
<file path=[Content_Types].xml><?xml version="1.0" encoding="utf-8"?>
<Types xmlns="http://schemas.openxmlformats.org/package/2006/content-types">
  <Default Extension="png" ContentType="image/pn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33EA094" w14:textId="6832749F" w:rsidR="005845CC" w:rsidRPr="00EE2F47" w:rsidRDefault="00C636E3" w:rsidP="002E6C45">
      <w:pPr>
        <w:pStyle w:val="Prrafodelista1"/>
      </w:pPr>
      <w:r w:rsidRPr="004B3AB3">
        <w:rPr>
          <w:noProof/>
          <w:lang w:eastAsia="es-CL"/>
        </w:rPr>
        <w:drawing>
          <wp:inline distT="0" distB="0" distL="0" distR="0" wp14:anchorId="60981F09" wp14:editId="46EB9461">
            <wp:extent cx="5971540" cy="946150"/>
            <wp:effectExtent l="0" t="0" r="0" b="0"/>
            <wp:docPr id="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71540" cy="946150"/>
                    </a:xfrm>
                    <a:prstGeom prst="rect">
                      <a:avLst/>
                    </a:prstGeom>
                    <a:noFill/>
                    <a:ln>
                      <a:noFill/>
                    </a:ln>
                  </pic:spPr>
                </pic:pic>
              </a:graphicData>
            </a:graphic>
          </wp:inline>
        </w:drawing>
      </w:r>
    </w:p>
    <w:p w14:paraId="54A326B4" w14:textId="77777777" w:rsidR="00FE3577" w:rsidRPr="00EE2F47" w:rsidRDefault="00FE3577" w:rsidP="00FE3577">
      <w:pPr>
        <w:ind w:firstLine="708"/>
      </w:pPr>
    </w:p>
    <w:p w14:paraId="1210B889" w14:textId="77777777" w:rsidR="00FE3577" w:rsidRPr="004C2EFB" w:rsidRDefault="00FE3577" w:rsidP="00FE3577">
      <w:pPr>
        <w:jc w:val="center"/>
        <w:rPr>
          <w:b/>
          <w:bCs/>
          <w:sz w:val="36"/>
          <w:szCs w:val="36"/>
        </w:rPr>
      </w:pPr>
      <w:bookmarkStart w:id="0" w:name="_Hlk20751187"/>
      <w:r w:rsidRPr="004C2EFB">
        <w:rPr>
          <w:b/>
          <w:bCs/>
          <w:sz w:val="36"/>
          <w:szCs w:val="36"/>
        </w:rPr>
        <w:t>CONSORCIO</w:t>
      </w:r>
    </w:p>
    <w:p w14:paraId="26841DE3" w14:textId="77777777" w:rsidR="00FE3577" w:rsidRPr="004C2EFB" w:rsidRDefault="00FE3577" w:rsidP="00FE3577">
      <w:pPr>
        <w:jc w:val="center"/>
        <w:rPr>
          <w:b/>
          <w:bCs/>
          <w:sz w:val="36"/>
          <w:szCs w:val="36"/>
        </w:rPr>
      </w:pPr>
      <w:r w:rsidRPr="004C2EFB">
        <w:rPr>
          <w:b/>
          <w:bCs/>
          <w:sz w:val="36"/>
          <w:szCs w:val="36"/>
        </w:rPr>
        <w:t>SYNEX - ESTUDIOS ENERGÉTICOS - ELEQUIPOS</w:t>
      </w:r>
    </w:p>
    <w:p w14:paraId="357B5732" w14:textId="77777777" w:rsidR="00FE3577" w:rsidRPr="00EE2F47" w:rsidRDefault="00FE3577" w:rsidP="00FE3577">
      <w:pPr>
        <w:jc w:val="center"/>
      </w:pPr>
    </w:p>
    <w:p w14:paraId="57CCE8D0" w14:textId="77777777" w:rsidR="00FE3577" w:rsidRPr="00EE2F47" w:rsidRDefault="00FE3577" w:rsidP="00FE3577">
      <w:pPr>
        <w:jc w:val="center"/>
      </w:pPr>
    </w:p>
    <w:p w14:paraId="6B0C509F" w14:textId="77777777" w:rsidR="00FE3577" w:rsidRPr="00CF0B91" w:rsidRDefault="00FE3577" w:rsidP="00FE3577">
      <w:pPr>
        <w:jc w:val="center"/>
        <w:rPr>
          <w:b/>
          <w:bCs/>
          <w:sz w:val="44"/>
          <w:szCs w:val="44"/>
        </w:rPr>
      </w:pPr>
      <w:r w:rsidRPr="00CF0B91">
        <w:rPr>
          <w:b/>
          <w:bCs/>
          <w:sz w:val="44"/>
          <w:szCs w:val="44"/>
        </w:rPr>
        <w:t>ESTUDIO DE VALORIZACIÓN DE LAS INSTALACIONES DEL SISTEMA DE TRANSMISIÓN NACIONAL</w:t>
      </w:r>
      <w:bookmarkEnd w:id="0"/>
    </w:p>
    <w:p w14:paraId="527DD487" w14:textId="77777777" w:rsidR="00FE3577" w:rsidRPr="00EE2F47" w:rsidRDefault="00FE3577" w:rsidP="00FE3577">
      <w:pPr>
        <w:ind w:firstLine="708"/>
      </w:pPr>
    </w:p>
    <w:p w14:paraId="404F271E" w14:textId="77777777" w:rsidR="00FE3577" w:rsidRPr="00CF0B91" w:rsidRDefault="00FE3577" w:rsidP="00FE3577">
      <w:pPr>
        <w:jc w:val="center"/>
        <w:rPr>
          <w:b/>
          <w:bCs/>
          <w:sz w:val="36"/>
          <w:szCs w:val="36"/>
        </w:rPr>
      </w:pPr>
      <w:r w:rsidRPr="00CF0B91">
        <w:rPr>
          <w:b/>
          <w:bCs/>
          <w:sz w:val="36"/>
          <w:szCs w:val="36"/>
        </w:rPr>
        <w:t>COMISIÓN NACIONAL DE ENERGÍA</w:t>
      </w:r>
    </w:p>
    <w:p w14:paraId="379C8F34" w14:textId="77777777" w:rsidR="00FE3577" w:rsidRPr="00EE2F47" w:rsidRDefault="00C636E3" w:rsidP="00FE3577">
      <w:pPr>
        <w:jc w:val="center"/>
      </w:pPr>
      <w:r w:rsidRPr="004B3AB3">
        <w:rPr>
          <w:noProof/>
          <w:lang w:eastAsia="es-CL"/>
        </w:rPr>
        <w:drawing>
          <wp:inline distT="0" distB="0" distL="0" distR="0" wp14:anchorId="56A82D98" wp14:editId="0CEA10B1">
            <wp:extent cx="1605915" cy="707390"/>
            <wp:effectExtent l="0" t="0" r="0" b="0"/>
            <wp:docPr id="2" name="Imagen 4" descr="Logo-CNE-final-C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descr="Logo-CNE-final-CC"/>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605915" cy="707390"/>
                    </a:xfrm>
                    <a:prstGeom prst="rect">
                      <a:avLst/>
                    </a:prstGeom>
                    <a:noFill/>
                    <a:ln>
                      <a:noFill/>
                    </a:ln>
                  </pic:spPr>
                </pic:pic>
              </a:graphicData>
            </a:graphic>
          </wp:inline>
        </w:drawing>
      </w:r>
    </w:p>
    <w:p w14:paraId="0C2E878C" w14:textId="77777777" w:rsidR="00FE3577" w:rsidRPr="00EE2F47" w:rsidRDefault="00FE3577" w:rsidP="00FE3577"/>
    <w:p w14:paraId="7012CE8A" w14:textId="77777777" w:rsidR="00FE3577" w:rsidRPr="00EE2F47" w:rsidRDefault="00FE3577" w:rsidP="00FE3577"/>
    <w:p w14:paraId="1C8A6551" w14:textId="57152A33" w:rsidR="009E2753" w:rsidRPr="00CF0B91" w:rsidRDefault="00AD7AC6" w:rsidP="00FE3577">
      <w:pPr>
        <w:jc w:val="center"/>
        <w:rPr>
          <w:b/>
          <w:bCs/>
          <w:sz w:val="40"/>
          <w:szCs w:val="40"/>
        </w:rPr>
      </w:pPr>
      <w:r>
        <w:rPr>
          <w:b/>
          <w:bCs/>
          <w:sz w:val="40"/>
          <w:szCs w:val="40"/>
        </w:rPr>
        <w:t xml:space="preserve">TERCERA VERSIÓN </w:t>
      </w:r>
      <w:r w:rsidR="00FE3577" w:rsidRPr="00CF0B91">
        <w:rPr>
          <w:b/>
          <w:bCs/>
          <w:sz w:val="40"/>
          <w:szCs w:val="40"/>
        </w:rPr>
        <w:t>INFORME DE AVANCE N°</w:t>
      </w:r>
      <w:r w:rsidR="005F38A2">
        <w:rPr>
          <w:b/>
          <w:bCs/>
          <w:sz w:val="40"/>
          <w:szCs w:val="40"/>
        </w:rPr>
        <w:t>2</w:t>
      </w:r>
    </w:p>
    <w:p w14:paraId="045D9E89" w14:textId="77777777" w:rsidR="00FE3577" w:rsidRPr="00EE2F47" w:rsidRDefault="00FE3577" w:rsidP="00FE3577"/>
    <w:p w14:paraId="16979389" w14:textId="77777777" w:rsidR="00FE3577" w:rsidRPr="00EE2F47" w:rsidRDefault="00FE3577" w:rsidP="00FE3577"/>
    <w:p w14:paraId="5003B739" w14:textId="3BF32D41" w:rsidR="00FE3577" w:rsidRPr="00CF0B91" w:rsidRDefault="00106534" w:rsidP="00FE3577">
      <w:pPr>
        <w:jc w:val="center"/>
        <w:rPr>
          <w:b/>
          <w:bCs/>
          <w:sz w:val="28"/>
          <w:szCs w:val="28"/>
        </w:rPr>
      </w:pPr>
      <w:r>
        <w:rPr>
          <w:b/>
          <w:bCs/>
          <w:sz w:val="28"/>
          <w:szCs w:val="28"/>
        </w:rPr>
        <w:t>MAYO</w:t>
      </w:r>
      <w:r w:rsidR="00FE3577" w:rsidRPr="00723B08">
        <w:rPr>
          <w:b/>
          <w:bCs/>
          <w:sz w:val="28"/>
          <w:szCs w:val="28"/>
        </w:rPr>
        <w:t xml:space="preserve"> DE 20</w:t>
      </w:r>
      <w:r w:rsidR="005F38A2" w:rsidRPr="00723B08">
        <w:rPr>
          <w:b/>
          <w:bCs/>
          <w:sz w:val="28"/>
          <w:szCs w:val="28"/>
        </w:rPr>
        <w:t>20</w:t>
      </w:r>
    </w:p>
    <w:p w14:paraId="3998F859" w14:textId="77777777" w:rsidR="00FE3577" w:rsidRPr="00F32585" w:rsidRDefault="00FE3577" w:rsidP="006E081A">
      <w:pPr>
        <w:spacing w:after="120" w:line="259" w:lineRule="auto"/>
        <w:jc w:val="left"/>
        <w:rPr>
          <w:b/>
          <w:bCs/>
          <w:color w:val="4472C4"/>
          <w:sz w:val="40"/>
          <w:szCs w:val="40"/>
        </w:rPr>
      </w:pPr>
      <w:r w:rsidRPr="00EE2F47">
        <w:br w:type="page"/>
      </w:r>
      <w:r w:rsidRPr="00F32585">
        <w:rPr>
          <w:b/>
          <w:bCs/>
          <w:color w:val="4472C4"/>
          <w:sz w:val="40"/>
          <w:szCs w:val="40"/>
        </w:rPr>
        <w:lastRenderedPageBreak/>
        <w:t>ÍNDICE</w:t>
      </w:r>
    </w:p>
    <w:p w14:paraId="5096D7B9" w14:textId="77777777" w:rsidR="00197B00" w:rsidRDefault="00EA1674">
      <w:pPr>
        <w:pStyle w:val="TDC1"/>
        <w:rPr>
          <w:rFonts w:asciiTheme="minorHAnsi" w:eastAsiaTheme="minorEastAsia" w:hAnsiTheme="minorHAnsi" w:cstheme="minorBidi"/>
          <w:b w:val="0"/>
          <w:caps w:val="0"/>
          <w:noProof/>
          <w:spacing w:val="0"/>
          <w:sz w:val="22"/>
          <w:szCs w:val="22"/>
          <w:lang w:eastAsia="es-CL"/>
        </w:rPr>
      </w:pPr>
      <w:r>
        <w:fldChar w:fldCharType="begin"/>
      </w:r>
      <w:r>
        <w:instrText xml:space="preserve"> TOC \o "1-4" \h \z \u </w:instrText>
      </w:r>
      <w:r>
        <w:fldChar w:fldCharType="separate"/>
      </w:r>
      <w:hyperlink w:anchor="_Toc39797748" w:history="1">
        <w:r w:rsidR="00197B00" w:rsidRPr="005452F8">
          <w:rPr>
            <w:rStyle w:val="Hipervnculo"/>
            <w:noProof/>
          </w:rPr>
          <w:t>1.</w:t>
        </w:r>
        <w:r w:rsidR="00197B00">
          <w:rPr>
            <w:rFonts w:asciiTheme="minorHAnsi" w:eastAsiaTheme="minorEastAsia" w:hAnsiTheme="minorHAnsi" w:cstheme="minorBidi"/>
            <w:b w:val="0"/>
            <w:caps w:val="0"/>
            <w:noProof/>
            <w:spacing w:val="0"/>
            <w:sz w:val="22"/>
            <w:szCs w:val="22"/>
            <w:lang w:eastAsia="es-CL"/>
          </w:rPr>
          <w:tab/>
        </w:r>
        <w:r w:rsidR="00197B00" w:rsidRPr="005452F8">
          <w:rPr>
            <w:rStyle w:val="Hipervnculo"/>
            <w:noProof/>
          </w:rPr>
          <w:t>Introducción</w:t>
        </w:r>
        <w:r w:rsidR="00197B00">
          <w:rPr>
            <w:noProof/>
            <w:webHidden/>
          </w:rPr>
          <w:tab/>
        </w:r>
        <w:r w:rsidR="00197B00">
          <w:rPr>
            <w:noProof/>
            <w:webHidden/>
          </w:rPr>
          <w:fldChar w:fldCharType="begin"/>
        </w:r>
        <w:r w:rsidR="00197B00">
          <w:rPr>
            <w:noProof/>
            <w:webHidden/>
          </w:rPr>
          <w:instrText xml:space="preserve"> PAGEREF _Toc39797748 \h </w:instrText>
        </w:r>
        <w:r w:rsidR="00197B00">
          <w:rPr>
            <w:noProof/>
            <w:webHidden/>
          </w:rPr>
        </w:r>
        <w:r w:rsidR="00197B00">
          <w:rPr>
            <w:noProof/>
            <w:webHidden/>
          </w:rPr>
          <w:fldChar w:fldCharType="separate"/>
        </w:r>
        <w:r w:rsidR="001F3E2E">
          <w:rPr>
            <w:noProof/>
            <w:webHidden/>
          </w:rPr>
          <w:t>9</w:t>
        </w:r>
        <w:r w:rsidR="00197B00">
          <w:rPr>
            <w:noProof/>
            <w:webHidden/>
          </w:rPr>
          <w:fldChar w:fldCharType="end"/>
        </w:r>
      </w:hyperlink>
    </w:p>
    <w:p w14:paraId="45DEC220" w14:textId="77777777" w:rsidR="00197B00" w:rsidRDefault="0088072F">
      <w:pPr>
        <w:pStyle w:val="TDC1"/>
        <w:rPr>
          <w:rFonts w:asciiTheme="minorHAnsi" w:eastAsiaTheme="minorEastAsia" w:hAnsiTheme="minorHAnsi" w:cstheme="minorBidi"/>
          <w:b w:val="0"/>
          <w:caps w:val="0"/>
          <w:noProof/>
          <w:spacing w:val="0"/>
          <w:sz w:val="22"/>
          <w:szCs w:val="22"/>
          <w:lang w:eastAsia="es-CL"/>
        </w:rPr>
      </w:pPr>
      <w:hyperlink w:anchor="_Toc39797749" w:history="1">
        <w:r w:rsidR="00197B00" w:rsidRPr="005452F8">
          <w:rPr>
            <w:rStyle w:val="Hipervnculo"/>
            <w:noProof/>
          </w:rPr>
          <w:t>2.</w:t>
        </w:r>
        <w:r w:rsidR="00197B00">
          <w:rPr>
            <w:rFonts w:asciiTheme="minorHAnsi" w:eastAsiaTheme="minorEastAsia" w:hAnsiTheme="minorHAnsi" w:cstheme="minorBidi"/>
            <w:b w:val="0"/>
            <w:caps w:val="0"/>
            <w:noProof/>
            <w:spacing w:val="0"/>
            <w:sz w:val="22"/>
            <w:szCs w:val="22"/>
            <w:lang w:eastAsia="es-CL"/>
          </w:rPr>
          <w:tab/>
        </w:r>
        <w:r w:rsidR="00197B00" w:rsidRPr="005452F8">
          <w:rPr>
            <w:rStyle w:val="Hipervnculo"/>
            <w:noProof/>
          </w:rPr>
          <w:t>Definiciones y abreviaturas</w:t>
        </w:r>
        <w:r w:rsidR="00197B00">
          <w:rPr>
            <w:noProof/>
            <w:webHidden/>
          </w:rPr>
          <w:tab/>
        </w:r>
        <w:r w:rsidR="00197B00">
          <w:rPr>
            <w:noProof/>
            <w:webHidden/>
          </w:rPr>
          <w:fldChar w:fldCharType="begin"/>
        </w:r>
        <w:r w:rsidR="00197B00">
          <w:rPr>
            <w:noProof/>
            <w:webHidden/>
          </w:rPr>
          <w:instrText xml:space="preserve"> PAGEREF _Toc39797749 \h </w:instrText>
        </w:r>
        <w:r w:rsidR="00197B00">
          <w:rPr>
            <w:noProof/>
            <w:webHidden/>
          </w:rPr>
        </w:r>
        <w:r w:rsidR="00197B00">
          <w:rPr>
            <w:noProof/>
            <w:webHidden/>
          </w:rPr>
          <w:fldChar w:fldCharType="separate"/>
        </w:r>
        <w:r w:rsidR="001F3E2E">
          <w:rPr>
            <w:noProof/>
            <w:webHidden/>
          </w:rPr>
          <w:t>12</w:t>
        </w:r>
        <w:r w:rsidR="00197B00">
          <w:rPr>
            <w:noProof/>
            <w:webHidden/>
          </w:rPr>
          <w:fldChar w:fldCharType="end"/>
        </w:r>
      </w:hyperlink>
    </w:p>
    <w:p w14:paraId="0DCA3160" w14:textId="77777777" w:rsidR="00197B00" w:rsidRDefault="0088072F">
      <w:pPr>
        <w:pStyle w:val="TDC2"/>
        <w:tabs>
          <w:tab w:val="left" w:pos="1134"/>
        </w:tabs>
        <w:rPr>
          <w:rFonts w:asciiTheme="minorHAnsi" w:eastAsiaTheme="minorEastAsia" w:hAnsiTheme="minorHAnsi" w:cstheme="minorBidi"/>
          <w:b w:val="0"/>
          <w:noProof/>
          <w:spacing w:val="0"/>
          <w:szCs w:val="22"/>
          <w:lang w:eastAsia="es-CL"/>
        </w:rPr>
      </w:pPr>
      <w:hyperlink w:anchor="_Toc39797750" w:history="1">
        <w:r w:rsidR="00197B00" w:rsidRPr="005452F8">
          <w:rPr>
            <w:rStyle w:val="Hipervnculo"/>
            <w:noProof/>
          </w:rPr>
          <w:t>2.1</w:t>
        </w:r>
        <w:r w:rsidR="00197B00">
          <w:rPr>
            <w:rFonts w:asciiTheme="minorHAnsi" w:eastAsiaTheme="minorEastAsia" w:hAnsiTheme="minorHAnsi" w:cstheme="minorBidi"/>
            <w:b w:val="0"/>
            <w:noProof/>
            <w:spacing w:val="0"/>
            <w:szCs w:val="22"/>
            <w:lang w:eastAsia="es-CL"/>
          </w:rPr>
          <w:tab/>
        </w:r>
        <w:r w:rsidR="00197B00" w:rsidRPr="005452F8">
          <w:rPr>
            <w:rStyle w:val="Hipervnculo"/>
            <w:noProof/>
          </w:rPr>
          <w:t>Definiciones</w:t>
        </w:r>
        <w:r w:rsidR="00197B00">
          <w:rPr>
            <w:noProof/>
            <w:webHidden/>
          </w:rPr>
          <w:tab/>
        </w:r>
        <w:r w:rsidR="00197B00">
          <w:rPr>
            <w:noProof/>
            <w:webHidden/>
          </w:rPr>
          <w:fldChar w:fldCharType="begin"/>
        </w:r>
        <w:r w:rsidR="00197B00">
          <w:rPr>
            <w:noProof/>
            <w:webHidden/>
          </w:rPr>
          <w:instrText xml:space="preserve"> PAGEREF _Toc39797750 \h </w:instrText>
        </w:r>
        <w:r w:rsidR="00197B00">
          <w:rPr>
            <w:noProof/>
            <w:webHidden/>
          </w:rPr>
        </w:r>
        <w:r w:rsidR="00197B00">
          <w:rPr>
            <w:noProof/>
            <w:webHidden/>
          </w:rPr>
          <w:fldChar w:fldCharType="separate"/>
        </w:r>
        <w:r w:rsidR="001F3E2E">
          <w:rPr>
            <w:noProof/>
            <w:webHidden/>
          </w:rPr>
          <w:t>12</w:t>
        </w:r>
        <w:r w:rsidR="00197B00">
          <w:rPr>
            <w:noProof/>
            <w:webHidden/>
          </w:rPr>
          <w:fldChar w:fldCharType="end"/>
        </w:r>
      </w:hyperlink>
    </w:p>
    <w:p w14:paraId="20D4EAFF" w14:textId="77777777" w:rsidR="00197B00" w:rsidRDefault="0088072F">
      <w:pPr>
        <w:pStyle w:val="TDC2"/>
        <w:tabs>
          <w:tab w:val="left" w:pos="1134"/>
        </w:tabs>
        <w:rPr>
          <w:rFonts w:asciiTheme="minorHAnsi" w:eastAsiaTheme="minorEastAsia" w:hAnsiTheme="minorHAnsi" w:cstheme="minorBidi"/>
          <w:b w:val="0"/>
          <w:noProof/>
          <w:spacing w:val="0"/>
          <w:szCs w:val="22"/>
          <w:lang w:eastAsia="es-CL"/>
        </w:rPr>
      </w:pPr>
      <w:hyperlink w:anchor="_Toc39797751" w:history="1">
        <w:r w:rsidR="00197B00" w:rsidRPr="005452F8">
          <w:rPr>
            <w:rStyle w:val="Hipervnculo"/>
            <w:noProof/>
          </w:rPr>
          <w:t>2.2</w:t>
        </w:r>
        <w:r w:rsidR="00197B00">
          <w:rPr>
            <w:rFonts w:asciiTheme="minorHAnsi" w:eastAsiaTheme="minorEastAsia" w:hAnsiTheme="minorHAnsi" w:cstheme="minorBidi"/>
            <w:b w:val="0"/>
            <w:noProof/>
            <w:spacing w:val="0"/>
            <w:szCs w:val="22"/>
            <w:lang w:eastAsia="es-CL"/>
          </w:rPr>
          <w:tab/>
        </w:r>
        <w:r w:rsidR="00197B00" w:rsidRPr="005452F8">
          <w:rPr>
            <w:rStyle w:val="Hipervnculo"/>
            <w:noProof/>
          </w:rPr>
          <w:t>Abreviaturas</w:t>
        </w:r>
        <w:r w:rsidR="00197B00">
          <w:rPr>
            <w:noProof/>
            <w:webHidden/>
          </w:rPr>
          <w:tab/>
        </w:r>
        <w:r w:rsidR="00197B00">
          <w:rPr>
            <w:noProof/>
            <w:webHidden/>
          </w:rPr>
          <w:fldChar w:fldCharType="begin"/>
        </w:r>
        <w:r w:rsidR="00197B00">
          <w:rPr>
            <w:noProof/>
            <w:webHidden/>
          </w:rPr>
          <w:instrText xml:space="preserve"> PAGEREF _Toc39797751 \h </w:instrText>
        </w:r>
        <w:r w:rsidR="00197B00">
          <w:rPr>
            <w:noProof/>
            <w:webHidden/>
          </w:rPr>
        </w:r>
        <w:r w:rsidR="00197B00">
          <w:rPr>
            <w:noProof/>
            <w:webHidden/>
          </w:rPr>
          <w:fldChar w:fldCharType="separate"/>
        </w:r>
        <w:r w:rsidR="001F3E2E">
          <w:rPr>
            <w:noProof/>
            <w:webHidden/>
          </w:rPr>
          <w:t>13</w:t>
        </w:r>
        <w:r w:rsidR="00197B00">
          <w:rPr>
            <w:noProof/>
            <w:webHidden/>
          </w:rPr>
          <w:fldChar w:fldCharType="end"/>
        </w:r>
      </w:hyperlink>
    </w:p>
    <w:p w14:paraId="2347F82E" w14:textId="77777777" w:rsidR="00197B00" w:rsidRDefault="0088072F">
      <w:pPr>
        <w:pStyle w:val="TDC1"/>
        <w:rPr>
          <w:rFonts w:asciiTheme="minorHAnsi" w:eastAsiaTheme="minorEastAsia" w:hAnsiTheme="minorHAnsi" w:cstheme="minorBidi"/>
          <w:b w:val="0"/>
          <w:caps w:val="0"/>
          <w:noProof/>
          <w:spacing w:val="0"/>
          <w:sz w:val="22"/>
          <w:szCs w:val="22"/>
          <w:lang w:eastAsia="es-CL"/>
        </w:rPr>
      </w:pPr>
      <w:hyperlink w:anchor="_Toc39797752" w:history="1">
        <w:r w:rsidR="00197B00" w:rsidRPr="005452F8">
          <w:rPr>
            <w:rStyle w:val="Hipervnculo"/>
            <w:noProof/>
          </w:rPr>
          <w:t>3.</w:t>
        </w:r>
        <w:r w:rsidR="00197B00">
          <w:rPr>
            <w:rFonts w:asciiTheme="minorHAnsi" w:eastAsiaTheme="minorEastAsia" w:hAnsiTheme="minorHAnsi" w:cstheme="minorBidi"/>
            <w:b w:val="0"/>
            <w:caps w:val="0"/>
            <w:noProof/>
            <w:spacing w:val="0"/>
            <w:sz w:val="22"/>
            <w:szCs w:val="22"/>
            <w:lang w:eastAsia="es-CL"/>
          </w:rPr>
          <w:tab/>
        </w:r>
        <w:r w:rsidR="00197B00" w:rsidRPr="005452F8">
          <w:rPr>
            <w:rStyle w:val="Hipervnculo"/>
            <w:noProof/>
          </w:rPr>
          <w:t>Objetivos del Estudio</w:t>
        </w:r>
        <w:r w:rsidR="00197B00">
          <w:rPr>
            <w:noProof/>
            <w:webHidden/>
          </w:rPr>
          <w:tab/>
        </w:r>
        <w:r w:rsidR="00197B00">
          <w:rPr>
            <w:noProof/>
            <w:webHidden/>
          </w:rPr>
          <w:fldChar w:fldCharType="begin"/>
        </w:r>
        <w:r w:rsidR="00197B00">
          <w:rPr>
            <w:noProof/>
            <w:webHidden/>
          </w:rPr>
          <w:instrText xml:space="preserve"> PAGEREF _Toc39797752 \h </w:instrText>
        </w:r>
        <w:r w:rsidR="00197B00">
          <w:rPr>
            <w:noProof/>
            <w:webHidden/>
          </w:rPr>
        </w:r>
        <w:r w:rsidR="00197B00">
          <w:rPr>
            <w:noProof/>
            <w:webHidden/>
          </w:rPr>
          <w:fldChar w:fldCharType="separate"/>
        </w:r>
        <w:r w:rsidR="001F3E2E">
          <w:rPr>
            <w:noProof/>
            <w:webHidden/>
          </w:rPr>
          <w:t>14</w:t>
        </w:r>
        <w:r w:rsidR="00197B00">
          <w:rPr>
            <w:noProof/>
            <w:webHidden/>
          </w:rPr>
          <w:fldChar w:fldCharType="end"/>
        </w:r>
      </w:hyperlink>
    </w:p>
    <w:p w14:paraId="1B08B163" w14:textId="77777777" w:rsidR="00197B00" w:rsidRDefault="0088072F">
      <w:pPr>
        <w:pStyle w:val="TDC2"/>
        <w:tabs>
          <w:tab w:val="left" w:pos="1134"/>
        </w:tabs>
        <w:rPr>
          <w:rFonts w:asciiTheme="minorHAnsi" w:eastAsiaTheme="minorEastAsia" w:hAnsiTheme="minorHAnsi" w:cstheme="minorBidi"/>
          <w:b w:val="0"/>
          <w:noProof/>
          <w:spacing w:val="0"/>
          <w:szCs w:val="22"/>
          <w:lang w:eastAsia="es-CL"/>
        </w:rPr>
      </w:pPr>
      <w:hyperlink w:anchor="_Toc39797753" w:history="1">
        <w:r w:rsidR="00197B00" w:rsidRPr="005452F8">
          <w:rPr>
            <w:rStyle w:val="Hipervnculo"/>
            <w:noProof/>
          </w:rPr>
          <w:t>3.1</w:t>
        </w:r>
        <w:r w:rsidR="00197B00">
          <w:rPr>
            <w:rFonts w:asciiTheme="minorHAnsi" w:eastAsiaTheme="minorEastAsia" w:hAnsiTheme="minorHAnsi" w:cstheme="minorBidi"/>
            <w:b w:val="0"/>
            <w:noProof/>
            <w:spacing w:val="0"/>
            <w:szCs w:val="22"/>
            <w:lang w:eastAsia="es-CL"/>
          </w:rPr>
          <w:tab/>
        </w:r>
        <w:r w:rsidR="00197B00" w:rsidRPr="005452F8">
          <w:rPr>
            <w:rStyle w:val="Hipervnculo"/>
            <w:noProof/>
          </w:rPr>
          <w:t>Objetivo General</w:t>
        </w:r>
        <w:r w:rsidR="00197B00">
          <w:rPr>
            <w:noProof/>
            <w:webHidden/>
          </w:rPr>
          <w:tab/>
        </w:r>
        <w:r w:rsidR="00197B00">
          <w:rPr>
            <w:noProof/>
            <w:webHidden/>
          </w:rPr>
          <w:fldChar w:fldCharType="begin"/>
        </w:r>
        <w:r w:rsidR="00197B00">
          <w:rPr>
            <w:noProof/>
            <w:webHidden/>
          </w:rPr>
          <w:instrText xml:space="preserve"> PAGEREF _Toc39797753 \h </w:instrText>
        </w:r>
        <w:r w:rsidR="00197B00">
          <w:rPr>
            <w:noProof/>
            <w:webHidden/>
          </w:rPr>
        </w:r>
        <w:r w:rsidR="00197B00">
          <w:rPr>
            <w:noProof/>
            <w:webHidden/>
          </w:rPr>
          <w:fldChar w:fldCharType="separate"/>
        </w:r>
        <w:r w:rsidR="001F3E2E">
          <w:rPr>
            <w:noProof/>
            <w:webHidden/>
          </w:rPr>
          <w:t>14</w:t>
        </w:r>
        <w:r w:rsidR="00197B00">
          <w:rPr>
            <w:noProof/>
            <w:webHidden/>
          </w:rPr>
          <w:fldChar w:fldCharType="end"/>
        </w:r>
      </w:hyperlink>
    </w:p>
    <w:p w14:paraId="3789F10A" w14:textId="77777777" w:rsidR="00197B00" w:rsidRDefault="0088072F">
      <w:pPr>
        <w:pStyle w:val="TDC2"/>
        <w:tabs>
          <w:tab w:val="left" w:pos="1134"/>
        </w:tabs>
        <w:rPr>
          <w:rFonts w:asciiTheme="minorHAnsi" w:eastAsiaTheme="minorEastAsia" w:hAnsiTheme="minorHAnsi" w:cstheme="minorBidi"/>
          <w:b w:val="0"/>
          <w:noProof/>
          <w:spacing w:val="0"/>
          <w:szCs w:val="22"/>
          <w:lang w:eastAsia="es-CL"/>
        </w:rPr>
      </w:pPr>
      <w:hyperlink w:anchor="_Toc39797754" w:history="1">
        <w:r w:rsidR="00197B00" w:rsidRPr="005452F8">
          <w:rPr>
            <w:rStyle w:val="Hipervnculo"/>
            <w:noProof/>
          </w:rPr>
          <w:t>3.2</w:t>
        </w:r>
        <w:r w:rsidR="00197B00">
          <w:rPr>
            <w:rFonts w:asciiTheme="minorHAnsi" w:eastAsiaTheme="minorEastAsia" w:hAnsiTheme="minorHAnsi" w:cstheme="minorBidi"/>
            <w:b w:val="0"/>
            <w:noProof/>
            <w:spacing w:val="0"/>
            <w:szCs w:val="22"/>
            <w:lang w:eastAsia="es-CL"/>
          </w:rPr>
          <w:tab/>
        </w:r>
        <w:r w:rsidR="00197B00" w:rsidRPr="005452F8">
          <w:rPr>
            <w:rStyle w:val="Hipervnculo"/>
            <w:noProof/>
          </w:rPr>
          <w:t>Objetivos Específicos</w:t>
        </w:r>
        <w:r w:rsidR="00197B00">
          <w:rPr>
            <w:noProof/>
            <w:webHidden/>
          </w:rPr>
          <w:tab/>
        </w:r>
        <w:r w:rsidR="00197B00">
          <w:rPr>
            <w:noProof/>
            <w:webHidden/>
          </w:rPr>
          <w:fldChar w:fldCharType="begin"/>
        </w:r>
        <w:r w:rsidR="00197B00">
          <w:rPr>
            <w:noProof/>
            <w:webHidden/>
          </w:rPr>
          <w:instrText xml:space="preserve"> PAGEREF _Toc39797754 \h </w:instrText>
        </w:r>
        <w:r w:rsidR="00197B00">
          <w:rPr>
            <w:noProof/>
            <w:webHidden/>
          </w:rPr>
        </w:r>
        <w:r w:rsidR="00197B00">
          <w:rPr>
            <w:noProof/>
            <w:webHidden/>
          </w:rPr>
          <w:fldChar w:fldCharType="separate"/>
        </w:r>
        <w:r w:rsidR="001F3E2E">
          <w:rPr>
            <w:noProof/>
            <w:webHidden/>
          </w:rPr>
          <w:t>14</w:t>
        </w:r>
        <w:r w:rsidR="00197B00">
          <w:rPr>
            <w:noProof/>
            <w:webHidden/>
          </w:rPr>
          <w:fldChar w:fldCharType="end"/>
        </w:r>
      </w:hyperlink>
    </w:p>
    <w:p w14:paraId="41F0F0D0" w14:textId="77777777" w:rsidR="00197B00" w:rsidRDefault="0088072F">
      <w:pPr>
        <w:pStyle w:val="TDC1"/>
        <w:rPr>
          <w:rFonts w:asciiTheme="minorHAnsi" w:eastAsiaTheme="minorEastAsia" w:hAnsiTheme="minorHAnsi" w:cstheme="minorBidi"/>
          <w:b w:val="0"/>
          <w:caps w:val="0"/>
          <w:noProof/>
          <w:spacing w:val="0"/>
          <w:sz w:val="22"/>
          <w:szCs w:val="22"/>
          <w:lang w:eastAsia="es-CL"/>
        </w:rPr>
      </w:pPr>
      <w:hyperlink w:anchor="_Toc39797755" w:history="1">
        <w:r w:rsidR="00197B00" w:rsidRPr="005452F8">
          <w:rPr>
            <w:rStyle w:val="Hipervnculo"/>
            <w:noProof/>
          </w:rPr>
          <w:t>4.</w:t>
        </w:r>
        <w:r w:rsidR="00197B00">
          <w:rPr>
            <w:rFonts w:asciiTheme="minorHAnsi" w:eastAsiaTheme="minorEastAsia" w:hAnsiTheme="minorHAnsi" w:cstheme="minorBidi"/>
            <w:b w:val="0"/>
            <w:caps w:val="0"/>
            <w:noProof/>
            <w:spacing w:val="0"/>
            <w:sz w:val="22"/>
            <w:szCs w:val="22"/>
            <w:lang w:eastAsia="es-CL"/>
          </w:rPr>
          <w:tab/>
        </w:r>
        <w:r w:rsidR="00197B00" w:rsidRPr="005452F8">
          <w:rPr>
            <w:rStyle w:val="Hipervnculo"/>
            <w:noProof/>
          </w:rPr>
          <w:t>Marco normativo</w:t>
        </w:r>
        <w:r w:rsidR="00197B00">
          <w:rPr>
            <w:noProof/>
            <w:webHidden/>
          </w:rPr>
          <w:tab/>
        </w:r>
        <w:r w:rsidR="00197B00">
          <w:rPr>
            <w:noProof/>
            <w:webHidden/>
          </w:rPr>
          <w:fldChar w:fldCharType="begin"/>
        </w:r>
        <w:r w:rsidR="00197B00">
          <w:rPr>
            <w:noProof/>
            <w:webHidden/>
          </w:rPr>
          <w:instrText xml:space="preserve"> PAGEREF _Toc39797755 \h </w:instrText>
        </w:r>
        <w:r w:rsidR="00197B00">
          <w:rPr>
            <w:noProof/>
            <w:webHidden/>
          </w:rPr>
        </w:r>
        <w:r w:rsidR="00197B00">
          <w:rPr>
            <w:noProof/>
            <w:webHidden/>
          </w:rPr>
          <w:fldChar w:fldCharType="separate"/>
        </w:r>
        <w:r w:rsidR="001F3E2E">
          <w:rPr>
            <w:noProof/>
            <w:webHidden/>
          </w:rPr>
          <w:t>15</w:t>
        </w:r>
        <w:r w:rsidR="00197B00">
          <w:rPr>
            <w:noProof/>
            <w:webHidden/>
          </w:rPr>
          <w:fldChar w:fldCharType="end"/>
        </w:r>
      </w:hyperlink>
    </w:p>
    <w:p w14:paraId="53532FC8" w14:textId="77777777" w:rsidR="00197B00" w:rsidRDefault="0088072F">
      <w:pPr>
        <w:pStyle w:val="TDC1"/>
        <w:rPr>
          <w:rFonts w:asciiTheme="minorHAnsi" w:eastAsiaTheme="minorEastAsia" w:hAnsiTheme="minorHAnsi" w:cstheme="minorBidi"/>
          <w:b w:val="0"/>
          <w:caps w:val="0"/>
          <w:noProof/>
          <w:spacing w:val="0"/>
          <w:sz w:val="22"/>
          <w:szCs w:val="22"/>
          <w:lang w:eastAsia="es-CL"/>
        </w:rPr>
      </w:pPr>
      <w:hyperlink w:anchor="_Toc39797756" w:history="1">
        <w:r w:rsidR="00197B00" w:rsidRPr="005452F8">
          <w:rPr>
            <w:rStyle w:val="Hipervnculo"/>
            <w:noProof/>
          </w:rPr>
          <w:t>5.</w:t>
        </w:r>
        <w:r w:rsidR="00197B00">
          <w:rPr>
            <w:rFonts w:asciiTheme="minorHAnsi" w:eastAsiaTheme="minorEastAsia" w:hAnsiTheme="minorHAnsi" w:cstheme="minorBidi"/>
            <w:b w:val="0"/>
            <w:caps w:val="0"/>
            <w:noProof/>
            <w:spacing w:val="0"/>
            <w:sz w:val="22"/>
            <w:szCs w:val="22"/>
            <w:lang w:eastAsia="es-CL"/>
          </w:rPr>
          <w:tab/>
        </w:r>
        <w:r w:rsidR="00197B00" w:rsidRPr="005452F8">
          <w:rPr>
            <w:rStyle w:val="Hipervnculo"/>
            <w:noProof/>
          </w:rPr>
          <w:t>Descripción del V.A.T.T. y referencias generales a las Bases</w:t>
        </w:r>
        <w:r w:rsidR="00197B00">
          <w:rPr>
            <w:noProof/>
            <w:webHidden/>
          </w:rPr>
          <w:tab/>
        </w:r>
        <w:r w:rsidR="00197B00">
          <w:rPr>
            <w:noProof/>
            <w:webHidden/>
          </w:rPr>
          <w:fldChar w:fldCharType="begin"/>
        </w:r>
        <w:r w:rsidR="00197B00">
          <w:rPr>
            <w:noProof/>
            <w:webHidden/>
          </w:rPr>
          <w:instrText xml:space="preserve"> PAGEREF _Toc39797756 \h </w:instrText>
        </w:r>
        <w:r w:rsidR="00197B00">
          <w:rPr>
            <w:noProof/>
            <w:webHidden/>
          </w:rPr>
        </w:r>
        <w:r w:rsidR="00197B00">
          <w:rPr>
            <w:noProof/>
            <w:webHidden/>
          </w:rPr>
          <w:fldChar w:fldCharType="separate"/>
        </w:r>
        <w:r w:rsidR="001F3E2E">
          <w:rPr>
            <w:noProof/>
            <w:webHidden/>
          </w:rPr>
          <w:t>16</w:t>
        </w:r>
        <w:r w:rsidR="00197B00">
          <w:rPr>
            <w:noProof/>
            <w:webHidden/>
          </w:rPr>
          <w:fldChar w:fldCharType="end"/>
        </w:r>
      </w:hyperlink>
    </w:p>
    <w:p w14:paraId="395CEBCA" w14:textId="77777777" w:rsidR="00197B00" w:rsidRDefault="0088072F">
      <w:pPr>
        <w:pStyle w:val="TDC2"/>
        <w:tabs>
          <w:tab w:val="left" w:pos="1134"/>
        </w:tabs>
        <w:rPr>
          <w:rFonts w:asciiTheme="minorHAnsi" w:eastAsiaTheme="minorEastAsia" w:hAnsiTheme="minorHAnsi" w:cstheme="minorBidi"/>
          <w:b w:val="0"/>
          <w:noProof/>
          <w:spacing w:val="0"/>
          <w:szCs w:val="22"/>
          <w:lang w:eastAsia="es-CL"/>
        </w:rPr>
      </w:pPr>
      <w:hyperlink w:anchor="_Toc39797757" w:history="1">
        <w:r w:rsidR="00197B00" w:rsidRPr="005452F8">
          <w:rPr>
            <w:rStyle w:val="Hipervnculo"/>
            <w:noProof/>
          </w:rPr>
          <w:t>5.1</w:t>
        </w:r>
        <w:r w:rsidR="00197B00">
          <w:rPr>
            <w:rFonts w:asciiTheme="minorHAnsi" w:eastAsiaTheme="minorEastAsia" w:hAnsiTheme="minorHAnsi" w:cstheme="minorBidi"/>
            <w:b w:val="0"/>
            <w:noProof/>
            <w:spacing w:val="0"/>
            <w:szCs w:val="22"/>
            <w:lang w:eastAsia="es-CL"/>
          </w:rPr>
          <w:tab/>
        </w:r>
        <w:r w:rsidR="00197B00" w:rsidRPr="005452F8">
          <w:rPr>
            <w:rStyle w:val="Hipervnculo"/>
            <w:noProof/>
          </w:rPr>
          <w:t>Determinación del V.A.T.T.</w:t>
        </w:r>
        <w:r w:rsidR="00197B00">
          <w:rPr>
            <w:noProof/>
            <w:webHidden/>
          </w:rPr>
          <w:tab/>
        </w:r>
        <w:r w:rsidR="00197B00">
          <w:rPr>
            <w:noProof/>
            <w:webHidden/>
          </w:rPr>
          <w:fldChar w:fldCharType="begin"/>
        </w:r>
        <w:r w:rsidR="00197B00">
          <w:rPr>
            <w:noProof/>
            <w:webHidden/>
          </w:rPr>
          <w:instrText xml:space="preserve"> PAGEREF _Toc39797757 \h </w:instrText>
        </w:r>
        <w:r w:rsidR="00197B00">
          <w:rPr>
            <w:noProof/>
            <w:webHidden/>
          </w:rPr>
        </w:r>
        <w:r w:rsidR="00197B00">
          <w:rPr>
            <w:noProof/>
            <w:webHidden/>
          </w:rPr>
          <w:fldChar w:fldCharType="separate"/>
        </w:r>
        <w:r w:rsidR="001F3E2E">
          <w:rPr>
            <w:noProof/>
            <w:webHidden/>
          </w:rPr>
          <w:t>17</w:t>
        </w:r>
        <w:r w:rsidR="00197B00">
          <w:rPr>
            <w:noProof/>
            <w:webHidden/>
          </w:rPr>
          <w:fldChar w:fldCharType="end"/>
        </w:r>
      </w:hyperlink>
    </w:p>
    <w:p w14:paraId="3CCE7FF2" w14:textId="77777777" w:rsidR="00197B00" w:rsidRDefault="0088072F">
      <w:pPr>
        <w:pStyle w:val="TDC2"/>
        <w:tabs>
          <w:tab w:val="left" w:pos="1134"/>
        </w:tabs>
        <w:rPr>
          <w:rFonts w:asciiTheme="minorHAnsi" w:eastAsiaTheme="minorEastAsia" w:hAnsiTheme="minorHAnsi" w:cstheme="minorBidi"/>
          <w:b w:val="0"/>
          <w:noProof/>
          <w:spacing w:val="0"/>
          <w:szCs w:val="22"/>
          <w:lang w:eastAsia="es-CL"/>
        </w:rPr>
      </w:pPr>
      <w:hyperlink w:anchor="_Toc39797758" w:history="1">
        <w:r w:rsidR="00197B00" w:rsidRPr="005452F8">
          <w:rPr>
            <w:rStyle w:val="Hipervnculo"/>
            <w:noProof/>
          </w:rPr>
          <w:t>5.2</w:t>
        </w:r>
        <w:r w:rsidR="00197B00">
          <w:rPr>
            <w:rFonts w:asciiTheme="minorHAnsi" w:eastAsiaTheme="minorEastAsia" w:hAnsiTheme="minorHAnsi" w:cstheme="minorBidi"/>
            <w:b w:val="0"/>
            <w:noProof/>
            <w:spacing w:val="0"/>
            <w:szCs w:val="22"/>
            <w:lang w:eastAsia="es-CL"/>
          </w:rPr>
          <w:tab/>
        </w:r>
        <w:r w:rsidR="00197B00" w:rsidRPr="005452F8">
          <w:rPr>
            <w:rStyle w:val="Hipervnculo"/>
            <w:noProof/>
          </w:rPr>
          <w:t>Moneda, Nivel de Precios y Año Base</w:t>
        </w:r>
        <w:r w:rsidR="00197B00">
          <w:rPr>
            <w:noProof/>
            <w:webHidden/>
          </w:rPr>
          <w:tab/>
        </w:r>
        <w:r w:rsidR="00197B00">
          <w:rPr>
            <w:noProof/>
            <w:webHidden/>
          </w:rPr>
          <w:fldChar w:fldCharType="begin"/>
        </w:r>
        <w:r w:rsidR="00197B00">
          <w:rPr>
            <w:noProof/>
            <w:webHidden/>
          </w:rPr>
          <w:instrText xml:space="preserve"> PAGEREF _Toc39797758 \h </w:instrText>
        </w:r>
        <w:r w:rsidR="00197B00">
          <w:rPr>
            <w:noProof/>
            <w:webHidden/>
          </w:rPr>
        </w:r>
        <w:r w:rsidR="00197B00">
          <w:rPr>
            <w:noProof/>
            <w:webHidden/>
          </w:rPr>
          <w:fldChar w:fldCharType="separate"/>
        </w:r>
        <w:r w:rsidR="001F3E2E">
          <w:rPr>
            <w:noProof/>
            <w:webHidden/>
          </w:rPr>
          <w:t>18</w:t>
        </w:r>
        <w:r w:rsidR="00197B00">
          <w:rPr>
            <w:noProof/>
            <w:webHidden/>
          </w:rPr>
          <w:fldChar w:fldCharType="end"/>
        </w:r>
      </w:hyperlink>
    </w:p>
    <w:p w14:paraId="590F3F67" w14:textId="77777777" w:rsidR="00197B00" w:rsidRDefault="0088072F">
      <w:pPr>
        <w:pStyle w:val="TDC1"/>
        <w:rPr>
          <w:rFonts w:asciiTheme="minorHAnsi" w:eastAsiaTheme="minorEastAsia" w:hAnsiTheme="minorHAnsi" w:cstheme="minorBidi"/>
          <w:b w:val="0"/>
          <w:caps w:val="0"/>
          <w:noProof/>
          <w:spacing w:val="0"/>
          <w:sz w:val="22"/>
          <w:szCs w:val="22"/>
          <w:lang w:eastAsia="es-CL"/>
        </w:rPr>
      </w:pPr>
      <w:hyperlink w:anchor="_Toc39797759" w:history="1">
        <w:r w:rsidR="00197B00" w:rsidRPr="005452F8">
          <w:rPr>
            <w:rStyle w:val="Hipervnculo"/>
            <w:noProof/>
          </w:rPr>
          <w:t>6.</w:t>
        </w:r>
        <w:r w:rsidR="00197B00">
          <w:rPr>
            <w:rFonts w:asciiTheme="minorHAnsi" w:eastAsiaTheme="minorEastAsia" w:hAnsiTheme="minorHAnsi" w:cstheme="minorBidi"/>
            <w:b w:val="0"/>
            <w:caps w:val="0"/>
            <w:noProof/>
            <w:spacing w:val="0"/>
            <w:sz w:val="22"/>
            <w:szCs w:val="22"/>
            <w:lang w:eastAsia="es-CL"/>
          </w:rPr>
          <w:tab/>
        </w:r>
        <w:r w:rsidR="00197B00" w:rsidRPr="005452F8">
          <w:rPr>
            <w:rStyle w:val="Hipervnculo"/>
            <w:noProof/>
          </w:rPr>
          <w:t>Metodología aplicada</w:t>
        </w:r>
        <w:r w:rsidR="00197B00">
          <w:rPr>
            <w:noProof/>
            <w:webHidden/>
          </w:rPr>
          <w:tab/>
        </w:r>
        <w:r w:rsidR="00197B00">
          <w:rPr>
            <w:noProof/>
            <w:webHidden/>
          </w:rPr>
          <w:fldChar w:fldCharType="begin"/>
        </w:r>
        <w:r w:rsidR="00197B00">
          <w:rPr>
            <w:noProof/>
            <w:webHidden/>
          </w:rPr>
          <w:instrText xml:space="preserve"> PAGEREF _Toc39797759 \h </w:instrText>
        </w:r>
        <w:r w:rsidR="00197B00">
          <w:rPr>
            <w:noProof/>
            <w:webHidden/>
          </w:rPr>
        </w:r>
        <w:r w:rsidR="00197B00">
          <w:rPr>
            <w:noProof/>
            <w:webHidden/>
          </w:rPr>
          <w:fldChar w:fldCharType="separate"/>
        </w:r>
        <w:r w:rsidR="001F3E2E">
          <w:rPr>
            <w:noProof/>
            <w:webHidden/>
          </w:rPr>
          <w:t>19</w:t>
        </w:r>
        <w:r w:rsidR="00197B00">
          <w:rPr>
            <w:noProof/>
            <w:webHidden/>
          </w:rPr>
          <w:fldChar w:fldCharType="end"/>
        </w:r>
      </w:hyperlink>
    </w:p>
    <w:p w14:paraId="3900401D" w14:textId="77777777" w:rsidR="00197B00" w:rsidRDefault="0088072F">
      <w:pPr>
        <w:pStyle w:val="TDC2"/>
        <w:tabs>
          <w:tab w:val="left" w:pos="1134"/>
        </w:tabs>
        <w:rPr>
          <w:rFonts w:asciiTheme="minorHAnsi" w:eastAsiaTheme="minorEastAsia" w:hAnsiTheme="minorHAnsi" w:cstheme="minorBidi"/>
          <w:b w:val="0"/>
          <w:noProof/>
          <w:spacing w:val="0"/>
          <w:szCs w:val="22"/>
          <w:lang w:eastAsia="es-CL"/>
        </w:rPr>
      </w:pPr>
      <w:hyperlink w:anchor="_Toc39797760" w:history="1">
        <w:r w:rsidR="00197B00" w:rsidRPr="005452F8">
          <w:rPr>
            <w:rStyle w:val="Hipervnculo"/>
            <w:noProof/>
          </w:rPr>
          <w:t>6.1</w:t>
        </w:r>
        <w:r w:rsidR="00197B00">
          <w:rPr>
            <w:rFonts w:asciiTheme="minorHAnsi" w:eastAsiaTheme="minorEastAsia" w:hAnsiTheme="minorHAnsi" w:cstheme="minorBidi"/>
            <w:b w:val="0"/>
            <w:noProof/>
            <w:spacing w:val="0"/>
            <w:szCs w:val="22"/>
            <w:lang w:eastAsia="es-CL"/>
          </w:rPr>
          <w:tab/>
        </w:r>
        <w:r w:rsidR="00197B00" w:rsidRPr="005452F8">
          <w:rPr>
            <w:rStyle w:val="Hipervnculo"/>
            <w:noProof/>
          </w:rPr>
          <w:t>Metodología aplicada a la determinación del V.I.</w:t>
        </w:r>
        <w:r w:rsidR="00197B00">
          <w:rPr>
            <w:noProof/>
            <w:webHidden/>
          </w:rPr>
          <w:tab/>
        </w:r>
        <w:r w:rsidR="00197B00">
          <w:rPr>
            <w:noProof/>
            <w:webHidden/>
          </w:rPr>
          <w:fldChar w:fldCharType="begin"/>
        </w:r>
        <w:r w:rsidR="00197B00">
          <w:rPr>
            <w:noProof/>
            <w:webHidden/>
          </w:rPr>
          <w:instrText xml:space="preserve"> PAGEREF _Toc39797760 \h </w:instrText>
        </w:r>
        <w:r w:rsidR="00197B00">
          <w:rPr>
            <w:noProof/>
            <w:webHidden/>
          </w:rPr>
        </w:r>
        <w:r w:rsidR="00197B00">
          <w:rPr>
            <w:noProof/>
            <w:webHidden/>
          </w:rPr>
          <w:fldChar w:fldCharType="separate"/>
        </w:r>
        <w:r w:rsidR="001F3E2E">
          <w:rPr>
            <w:noProof/>
            <w:webHidden/>
          </w:rPr>
          <w:t>19</w:t>
        </w:r>
        <w:r w:rsidR="00197B00">
          <w:rPr>
            <w:noProof/>
            <w:webHidden/>
          </w:rPr>
          <w:fldChar w:fldCharType="end"/>
        </w:r>
      </w:hyperlink>
    </w:p>
    <w:p w14:paraId="59A86F60" w14:textId="77777777" w:rsidR="00197B00" w:rsidRDefault="0088072F">
      <w:pPr>
        <w:pStyle w:val="TDC3"/>
        <w:tabs>
          <w:tab w:val="left" w:pos="2552"/>
        </w:tabs>
        <w:rPr>
          <w:rFonts w:asciiTheme="minorHAnsi" w:eastAsiaTheme="minorEastAsia" w:hAnsiTheme="minorHAnsi" w:cstheme="minorBidi"/>
          <w:sz w:val="22"/>
          <w:szCs w:val="22"/>
          <w:lang w:eastAsia="es-CL"/>
        </w:rPr>
      </w:pPr>
      <w:hyperlink w:anchor="_Toc39797761" w:history="1">
        <w:r w:rsidR="00197B00" w:rsidRPr="005452F8">
          <w:rPr>
            <w:rStyle w:val="Hipervnculo"/>
          </w:rPr>
          <w:t>6.1.1</w:t>
        </w:r>
        <w:r w:rsidR="00197B00">
          <w:rPr>
            <w:rFonts w:asciiTheme="minorHAnsi" w:eastAsiaTheme="minorEastAsia" w:hAnsiTheme="minorHAnsi" w:cstheme="minorBidi"/>
            <w:sz w:val="22"/>
            <w:szCs w:val="22"/>
            <w:lang w:eastAsia="es-CL"/>
          </w:rPr>
          <w:tab/>
        </w:r>
        <w:r w:rsidR="00197B00" w:rsidRPr="005452F8">
          <w:rPr>
            <w:rStyle w:val="Hipervnculo"/>
          </w:rPr>
          <w:t>Análisis de información recibida</w:t>
        </w:r>
        <w:r w:rsidR="00197B00">
          <w:rPr>
            <w:webHidden/>
          </w:rPr>
          <w:tab/>
        </w:r>
        <w:r w:rsidR="00197B00">
          <w:rPr>
            <w:webHidden/>
          </w:rPr>
          <w:fldChar w:fldCharType="begin"/>
        </w:r>
        <w:r w:rsidR="00197B00">
          <w:rPr>
            <w:webHidden/>
          </w:rPr>
          <w:instrText xml:space="preserve"> PAGEREF _Toc39797761 \h </w:instrText>
        </w:r>
        <w:r w:rsidR="00197B00">
          <w:rPr>
            <w:webHidden/>
          </w:rPr>
        </w:r>
        <w:r w:rsidR="00197B00">
          <w:rPr>
            <w:webHidden/>
          </w:rPr>
          <w:fldChar w:fldCharType="separate"/>
        </w:r>
        <w:r w:rsidR="001F3E2E">
          <w:rPr>
            <w:webHidden/>
          </w:rPr>
          <w:t>20</w:t>
        </w:r>
        <w:r w:rsidR="00197B00">
          <w:rPr>
            <w:webHidden/>
          </w:rPr>
          <w:fldChar w:fldCharType="end"/>
        </w:r>
      </w:hyperlink>
    </w:p>
    <w:p w14:paraId="2DC5A3B9" w14:textId="77777777" w:rsidR="00197B00" w:rsidRDefault="0088072F">
      <w:pPr>
        <w:pStyle w:val="TDC4"/>
        <w:tabs>
          <w:tab w:val="left" w:pos="2552"/>
        </w:tabs>
        <w:rPr>
          <w:rFonts w:asciiTheme="minorHAnsi" w:eastAsiaTheme="minorEastAsia" w:hAnsiTheme="minorHAnsi" w:cstheme="minorBidi"/>
          <w:spacing w:val="0"/>
          <w:sz w:val="22"/>
          <w:szCs w:val="22"/>
          <w:lang w:val="es-CL" w:eastAsia="es-CL"/>
        </w:rPr>
      </w:pPr>
      <w:hyperlink w:anchor="_Toc39797762" w:history="1">
        <w:r w:rsidR="00197B00" w:rsidRPr="005452F8">
          <w:rPr>
            <w:rStyle w:val="Hipervnculo"/>
          </w:rPr>
          <w:t>6.1.1.1</w:t>
        </w:r>
        <w:r w:rsidR="00197B00">
          <w:rPr>
            <w:rFonts w:asciiTheme="minorHAnsi" w:eastAsiaTheme="minorEastAsia" w:hAnsiTheme="minorHAnsi" w:cstheme="minorBidi"/>
            <w:spacing w:val="0"/>
            <w:sz w:val="22"/>
            <w:szCs w:val="22"/>
            <w:lang w:val="es-CL" w:eastAsia="es-CL"/>
          </w:rPr>
          <w:tab/>
        </w:r>
        <w:r w:rsidR="00197B00" w:rsidRPr="005452F8">
          <w:rPr>
            <w:rStyle w:val="Hipervnculo"/>
          </w:rPr>
          <w:t>Base de Datos de instalaciones</w:t>
        </w:r>
        <w:r w:rsidR="00197B00">
          <w:rPr>
            <w:webHidden/>
          </w:rPr>
          <w:tab/>
        </w:r>
        <w:r w:rsidR="00197B00">
          <w:rPr>
            <w:webHidden/>
          </w:rPr>
          <w:fldChar w:fldCharType="begin"/>
        </w:r>
        <w:r w:rsidR="00197B00">
          <w:rPr>
            <w:webHidden/>
          </w:rPr>
          <w:instrText xml:space="preserve"> PAGEREF _Toc39797762 \h </w:instrText>
        </w:r>
        <w:r w:rsidR="00197B00">
          <w:rPr>
            <w:webHidden/>
          </w:rPr>
        </w:r>
        <w:r w:rsidR="00197B00">
          <w:rPr>
            <w:webHidden/>
          </w:rPr>
          <w:fldChar w:fldCharType="separate"/>
        </w:r>
        <w:r w:rsidR="001F3E2E">
          <w:rPr>
            <w:webHidden/>
          </w:rPr>
          <w:t>21</w:t>
        </w:r>
        <w:r w:rsidR="00197B00">
          <w:rPr>
            <w:webHidden/>
          </w:rPr>
          <w:fldChar w:fldCharType="end"/>
        </w:r>
      </w:hyperlink>
    </w:p>
    <w:p w14:paraId="1226AEA0" w14:textId="77777777" w:rsidR="00197B00" w:rsidRDefault="0088072F">
      <w:pPr>
        <w:pStyle w:val="TDC4"/>
        <w:tabs>
          <w:tab w:val="left" w:pos="2552"/>
        </w:tabs>
        <w:rPr>
          <w:rFonts w:asciiTheme="minorHAnsi" w:eastAsiaTheme="minorEastAsia" w:hAnsiTheme="minorHAnsi" w:cstheme="minorBidi"/>
          <w:spacing w:val="0"/>
          <w:sz w:val="22"/>
          <w:szCs w:val="22"/>
          <w:lang w:val="es-CL" w:eastAsia="es-CL"/>
        </w:rPr>
      </w:pPr>
      <w:hyperlink w:anchor="_Toc39797763" w:history="1">
        <w:r w:rsidR="00197B00" w:rsidRPr="005452F8">
          <w:rPr>
            <w:rStyle w:val="Hipervnculo"/>
          </w:rPr>
          <w:t>6.1.1.2</w:t>
        </w:r>
        <w:r w:rsidR="00197B00">
          <w:rPr>
            <w:rFonts w:asciiTheme="minorHAnsi" w:eastAsiaTheme="minorEastAsia" w:hAnsiTheme="minorHAnsi" w:cstheme="minorBidi"/>
            <w:spacing w:val="0"/>
            <w:sz w:val="22"/>
            <w:szCs w:val="22"/>
            <w:lang w:val="es-CL" w:eastAsia="es-CL"/>
          </w:rPr>
          <w:tab/>
        </w:r>
        <w:r w:rsidR="00197B00" w:rsidRPr="005452F8">
          <w:rPr>
            <w:rStyle w:val="Hipervnculo"/>
          </w:rPr>
          <w:t>Análisis general de la Base de Datos</w:t>
        </w:r>
        <w:r w:rsidR="00197B00">
          <w:rPr>
            <w:webHidden/>
          </w:rPr>
          <w:tab/>
        </w:r>
        <w:r w:rsidR="00197B00">
          <w:rPr>
            <w:webHidden/>
          </w:rPr>
          <w:fldChar w:fldCharType="begin"/>
        </w:r>
        <w:r w:rsidR="00197B00">
          <w:rPr>
            <w:webHidden/>
          </w:rPr>
          <w:instrText xml:space="preserve"> PAGEREF _Toc39797763 \h </w:instrText>
        </w:r>
        <w:r w:rsidR="00197B00">
          <w:rPr>
            <w:webHidden/>
          </w:rPr>
        </w:r>
        <w:r w:rsidR="00197B00">
          <w:rPr>
            <w:webHidden/>
          </w:rPr>
          <w:fldChar w:fldCharType="separate"/>
        </w:r>
        <w:r w:rsidR="001F3E2E">
          <w:rPr>
            <w:webHidden/>
          </w:rPr>
          <w:t>21</w:t>
        </w:r>
        <w:r w:rsidR="00197B00">
          <w:rPr>
            <w:webHidden/>
          </w:rPr>
          <w:fldChar w:fldCharType="end"/>
        </w:r>
      </w:hyperlink>
    </w:p>
    <w:p w14:paraId="7105EF5D" w14:textId="77777777" w:rsidR="00197B00" w:rsidRDefault="0088072F">
      <w:pPr>
        <w:pStyle w:val="TDC4"/>
        <w:tabs>
          <w:tab w:val="left" w:pos="2552"/>
        </w:tabs>
        <w:rPr>
          <w:rFonts w:asciiTheme="minorHAnsi" w:eastAsiaTheme="minorEastAsia" w:hAnsiTheme="minorHAnsi" w:cstheme="minorBidi"/>
          <w:spacing w:val="0"/>
          <w:sz w:val="22"/>
          <w:szCs w:val="22"/>
          <w:lang w:val="es-CL" w:eastAsia="es-CL"/>
        </w:rPr>
      </w:pPr>
      <w:hyperlink w:anchor="_Toc39797764" w:history="1">
        <w:r w:rsidR="00197B00" w:rsidRPr="005452F8">
          <w:rPr>
            <w:rStyle w:val="Hipervnculo"/>
          </w:rPr>
          <w:t>6.1.1.3</w:t>
        </w:r>
        <w:r w:rsidR="00197B00">
          <w:rPr>
            <w:rFonts w:asciiTheme="minorHAnsi" w:eastAsiaTheme="minorEastAsia" w:hAnsiTheme="minorHAnsi" w:cstheme="minorBidi"/>
            <w:spacing w:val="0"/>
            <w:sz w:val="22"/>
            <w:szCs w:val="22"/>
            <w:lang w:val="es-CL" w:eastAsia="es-CL"/>
          </w:rPr>
          <w:tab/>
        </w:r>
        <w:r w:rsidR="00197B00" w:rsidRPr="005452F8">
          <w:rPr>
            <w:rStyle w:val="Hipervnculo"/>
          </w:rPr>
          <w:t>Adecuación de información de la Base de Datos</w:t>
        </w:r>
        <w:r w:rsidR="00197B00">
          <w:rPr>
            <w:webHidden/>
          </w:rPr>
          <w:tab/>
        </w:r>
        <w:r w:rsidR="00197B00">
          <w:rPr>
            <w:webHidden/>
          </w:rPr>
          <w:fldChar w:fldCharType="begin"/>
        </w:r>
        <w:r w:rsidR="00197B00">
          <w:rPr>
            <w:webHidden/>
          </w:rPr>
          <w:instrText xml:space="preserve"> PAGEREF _Toc39797764 \h </w:instrText>
        </w:r>
        <w:r w:rsidR="00197B00">
          <w:rPr>
            <w:webHidden/>
          </w:rPr>
        </w:r>
        <w:r w:rsidR="00197B00">
          <w:rPr>
            <w:webHidden/>
          </w:rPr>
          <w:fldChar w:fldCharType="separate"/>
        </w:r>
        <w:r w:rsidR="001F3E2E">
          <w:rPr>
            <w:webHidden/>
          </w:rPr>
          <w:t>24</w:t>
        </w:r>
        <w:r w:rsidR="00197B00">
          <w:rPr>
            <w:webHidden/>
          </w:rPr>
          <w:fldChar w:fldCharType="end"/>
        </w:r>
      </w:hyperlink>
    </w:p>
    <w:p w14:paraId="0BBCA851" w14:textId="77777777" w:rsidR="00197B00" w:rsidRDefault="0088072F">
      <w:pPr>
        <w:pStyle w:val="TDC4"/>
        <w:tabs>
          <w:tab w:val="left" w:pos="2552"/>
        </w:tabs>
        <w:rPr>
          <w:rFonts w:asciiTheme="minorHAnsi" w:eastAsiaTheme="minorEastAsia" w:hAnsiTheme="minorHAnsi" w:cstheme="minorBidi"/>
          <w:spacing w:val="0"/>
          <w:sz w:val="22"/>
          <w:szCs w:val="22"/>
          <w:lang w:val="es-CL" w:eastAsia="es-CL"/>
        </w:rPr>
      </w:pPr>
      <w:hyperlink w:anchor="_Toc39797765" w:history="1">
        <w:r w:rsidR="00197B00" w:rsidRPr="005452F8">
          <w:rPr>
            <w:rStyle w:val="Hipervnculo"/>
          </w:rPr>
          <w:t>6.1.1.4</w:t>
        </w:r>
        <w:r w:rsidR="00197B00">
          <w:rPr>
            <w:rFonts w:asciiTheme="minorHAnsi" w:eastAsiaTheme="minorEastAsia" w:hAnsiTheme="minorHAnsi" w:cstheme="minorBidi"/>
            <w:spacing w:val="0"/>
            <w:sz w:val="22"/>
            <w:szCs w:val="22"/>
            <w:lang w:val="es-CL" w:eastAsia="es-CL"/>
          </w:rPr>
          <w:tab/>
        </w:r>
        <w:r w:rsidR="00197B00" w:rsidRPr="005452F8">
          <w:rPr>
            <w:rStyle w:val="Hipervnculo"/>
          </w:rPr>
          <w:t>Revisión de inventario</w:t>
        </w:r>
        <w:r w:rsidR="00197B00">
          <w:rPr>
            <w:webHidden/>
          </w:rPr>
          <w:tab/>
        </w:r>
        <w:r w:rsidR="00197B00">
          <w:rPr>
            <w:webHidden/>
          </w:rPr>
          <w:fldChar w:fldCharType="begin"/>
        </w:r>
        <w:r w:rsidR="00197B00">
          <w:rPr>
            <w:webHidden/>
          </w:rPr>
          <w:instrText xml:space="preserve"> PAGEREF _Toc39797765 \h </w:instrText>
        </w:r>
        <w:r w:rsidR="00197B00">
          <w:rPr>
            <w:webHidden/>
          </w:rPr>
        </w:r>
        <w:r w:rsidR="00197B00">
          <w:rPr>
            <w:webHidden/>
          </w:rPr>
          <w:fldChar w:fldCharType="separate"/>
        </w:r>
        <w:r w:rsidR="001F3E2E">
          <w:rPr>
            <w:webHidden/>
          </w:rPr>
          <w:t>26</w:t>
        </w:r>
        <w:r w:rsidR="00197B00">
          <w:rPr>
            <w:webHidden/>
          </w:rPr>
          <w:fldChar w:fldCharType="end"/>
        </w:r>
      </w:hyperlink>
    </w:p>
    <w:p w14:paraId="5F91E3B2" w14:textId="77777777" w:rsidR="00197B00" w:rsidRDefault="0088072F">
      <w:pPr>
        <w:pStyle w:val="TDC3"/>
        <w:tabs>
          <w:tab w:val="left" w:pos="2552"/>
        </w:tabs>
        <w:rPr>
          <w:rFonts w:asciiTheme="minorHAnsi" w:eastAsiaTheme="minorEastAsia" w:hAnsiTheme="minorHAnsi" w:cstheme="minorBidi"/>
          <w:sz w:val="22"/>
          <w:szCs w:val="22"/>
          <w:lang w:eastAsia="es-CL"/>
        </w:rPr>
      </w:pPr>
      <w:hyperlink w:anchor="_Toc39797766" w:history="1">
        <w:r w:rsidR="00197B00" w:rsidRPr="005452F8">
          <w:rPr>
            <w:rStyle w:val="Hipervnculo"/>
          </w:rPr>
          <w:t>6.1.2</w:t>
        </w:r>
        <w:r w:rsidR="00197B00">
          <w:rPr>
            <w:rFonts w:asciiTheme="minorHAnsi" w:eastAsiaTheme="minorEastAsia" w:hAnsiTheme="minorHAnsi" w:cstheme="minorBidi"/>
            <w:sz w:val="22"/>
            <w:szCs w:val="22"/>
            <w:lang w:eastAsia="es-CL"/>
          </w:rPr>
          <w:tab/>
        </w:r>
        <w:r w:rsidR="00197B00" w:rsidRPr="005452F8">
          <w:rPr>
            <w:rStyle w:val="Hipervnculo"/>
          </w:rPr>
          <w:t>Caracterización de los tramos del STN</w:t>
        </w:r>
        <w:r w:rsidR="00197B00">
          <w:rPr>
            <w:webHidden/>
          </w:rPr>
          <w:tab/>
        </w:r>
        <w:r w:rsidR="00197B00">
          <w:rPr>
            <w:webHidden/>
          </w:rPr>
          <w:fldChar w:fldCharType="begin"/>
        </w:r>
        <w:r w:rsidR="00197B00">
          <w:rPr>
            <w:webHidden/>
          </w:rPr>
          <w:instrText xml:space="preserve"> PAGEREF _Toc39797766 \h </w:instrText>
        </w:r>
        <w:r w:rsidR="00197B00">
          <w:rPr>
            <w:webHidden/>
          </w:rPr>
        </w:r>
        <w:r w:rsidR="00197B00">
          <w:rPr>
            <w:webHidden/>
          </w:rPr>
          <w:fldChar w:fldCharType="separate"/>
        </w:r>
        <w:r w:rsidR="001F3E2E">
          <w:rPr>
            <w:webHidden/>
          </w:rPr>
          <w:t>30</w:t>
        </w:r>
        <w:r w:rsidR="00197B00">
          <w:rPr>
            <w:webHidden/>
          </w:rPr>
          <w:fldChar w:fldCharType="end"/>
        </w:r>
      </w:hyperlink>
    </w:p>
    <w:p w14:paraId="7AD90D4F" w14:textId="77777777" w:rsidR="00197B00" w:rsidRDefault="0088072F">
      <w:pPr>
        <w:pStyle w:val="TDC3"/>
        <w:tabs>
          <w:tab w:val="left" w:pos="2552"/>
        </w:tabs>
        <w:rPr>
          <w:rFonts w:asciiTheme="minorHAnsi" w:eastAsiaTheme="minorEastAsia" w:hAnsiTheme="minorHAnsi" w:cstheme="minorBidi"/>
          <w:sz w:val="22"/>
          <w:szCs w:val="22"/>
          <w:lang w:eastAsia="es-CL"/>
        </w:rPr>
      </w:pPr>
      <w:hyperlink w:anchor="_Toc39797767" w:history="1">
        <w:r w:rsidR="00197B00" w:rsidRPr="005452F8">
          <w:rPr>
            <w:rStyle w:val="Hipervnculo"/>
          </w:rPr>
          <w:t>6.1.3</w:t>
        </w:r>
        <w:r w:rsidR="00197B00">
          <w:rPr>
            <w:rFonts w:asciiTheme="minorHAnsi" w:eastAsiaTheme="minorEastAsia" w:hAnsiTheme="minorHAnsi" w:cstheme="minorBidi"/>
            <w:sz w:val="22"/>
            <w:szCs w:val="22"/>
            <w:lang w:eastAsia="es-CL"/>
          </w:rPr>
          <w:tab/>
        </w:r>
        <w:r w:rsidR="00197B00" w:rsidRPr="005452F8">
          <w:rPr>
            <w:rStyle w:val="Hipervnculo"/>
          </w:rPr>
          <w:t>Estudio de precios</w:t>
        </w:r>
        <w:r w:rsidR="00197B00">
          <w:rPr>
            <w:webHidden/>
          </w:rPr>
          <w:tab/>
        </w:r>
        <w:r w:rsidR="00197B00">
          <w:rPr>
            <w:webHidden/>
          </w:rPr>
          <w:fldChar w:fldCharType="begin"/>
        </w:r>
        <w:r w:rsidR="00197B00">
          <w:rPr>
            <w:webHidden/>
          </w:rPr>
          <w:instrText xml:space="preserve"> PAGEREF _Toc39797767 \h </w:instrText>
        </w:r>
        <w:r w:rsidR="00197B00">
          <w:rPr>
            <w:webHidden/>
          </w:rPr>
        </w:r>
        <w:r w:rsidR="00197B00">
          <w:rPr>
            <w:webHidden/>
          </w:rPr>
          <w:fldChar w:fldCharType="separate"/>
        </w:r>
        <w:r w:rsidR="001F3E2E">
          <w:rPr>
            <w:webHidden/>
          </w:rPr>
          <w:t>31</w:t>
        </w:r>
        <w:r w:rsidR="00197B00">
          <w:rPr>
            <w:webHidden/>
          </w:rPr>
          <w:fldChar w:fldCharType="end"/>
        </w:r>
      </w:hyperlink>
    </w:p>
    <w:p w14:paraId="73E0943F" w14:textId="77777777" w:rsidR="00197B00" w:rsidRDefault="0088072F">
      <w:pPr>
        <w:pStyle w:val="TDC3"/>
        <w:tabs>
          <w:tab w:val="left" w:pos="2552"/>
        </w:tabs>
        <w:rPr>
          <w:rFonts w:asciiTheme="minorHAnsi" w:eastAsiaTheme="minorEastAsia" w:hAnsiTheme="minorHAnsi" w:cstheme="minorBidi"/>
          <w:sz w:val="22"/>
          <w:szCs w:val="22"/>
          <w:lang w:eastAsia="es-CL"/>
        </w:rPr>
      </w:pPr>
      <w:hyperlink w:anchor="_Toc39797768" w:history="1">
        <w:r w:rsidR="00197B00" w:rsidRPr="005452F8">
          <w:rPr>
            <w:rStyle w:val="Hipervnculo"/>
          </w:rPr>
          <w:t>6.1.4</w:t>
        </w:r>
        <w:r w:rsidR="00197B00">
          <w:rPr>
            <w:rFonts w:asciiTheme="minorHAnsi" w:eastAsiaTheme="minorEastAsia" w:hAnsiTheme="minorHAnsi" w:cstheme="minorBidi"/>
            <w:sz w:val="22"/>
            <w:szCs w:val="22"/>
            <w:lang w:eastAsia="es-CL"/>
          </w:rPr>
          <w:tab/>
        </w:r>
        <w:r w:rsidR="00197B00" w:rsidRPr="005452F8">
          <w:rPr>
            <w:rStyle w:val="Hipervnculo"/>
          </w:rPr>
          <w:t>Costos de Montaje</w:t>
        </w:r>
        <w:r w:rsidR="00197B00">
          <w:rPr>
            <w:webHidden/>
          </w:rPr>
          <w:tab/>
        </w:r>
        <w:r w:rsidR="00197B00">
          <w:rPr>
            <w:webHidden/>
          </w:rPr>
          <w:fldChar w:fldCharType="begin"/>
        </w:r>
        <w:r w:rsidR="00197B00">
          <w:rPr>
            <w:webHidden/>
          </w:rPr>
          <w:instrText xml:space="preserve"> PAGEREF _Toc39797768 \h </w:instrText>
        </w:r>
        <w:r w:rsidR="00197B00">
          <w:rPr>
            <w:webHidden/>
          </w:rPr>
        </w:r>
        <w:r w:rsidR="00197B00">
          <w:rPr>
            <w:webHidden/>
          </w:rPr>
          <w:fldChar w:fldCharType="separate"/>
        </w:r>
        <w:r w:rsidR="001F3E2E">
          <w:rPr>
            <w:webHidden/>
          </w:rPr>
          <w:t>37</w:t>
        </w:r>
        <w:r w:rsidR="00197B00">
          <w:rPr>
            <w:webHidden/>
          </w:rPr>
          <w:fldChar w:fldCharType="end"/>
        </w:r>
      </w:hyperlink>
    </w:p>
    <w:p w14:paraId="09A41B2B" w14:textId="77777777" w:rsidR="00197B00" w:rsidRDefault="0088072F">
      <w:pPr>
        <w:pStyle w:val="TDC3"/>
        <w:tabs>
          <w:tab w:val="left" w:pos="2552"/>
        </w:tabs>
        <w:rPr>
          <w:rFonts w:asciiTheme="minorHAnsi" w:eastAsiaTheme="minorEastAsia" w:hAnsiTheme="minorHAnsi" w:cstheme="minorBidi"/>
          <w:sz w:val="22"/>
          <w:szCs w:val="22"/>
          <w:lang w:eastAsia="es-CL"/>
        </w:rPr>
      </w:pPr>
      <w:hyperlink w:anchor="_Toc39797769" w:history="1">
        <w:r w:rsidR="00197B00" w:rsidRPr="005452F8">
          <w:rPr>
            <w:rStyle w:val="Hipervnculo"/>
          </w:rPr>
          <w:t>6.1.5</w:t>
        </w:r>
        <w:r w:rsidR="00197B00">
          <w:rPr>
            <w:rFonts w:asciiTheme="minorHAnsi" w:eastAsiaTheme="minorEastAsia" w:hAnsiTheme="minorHAnsi" w:cstheme="minorBidi"/>
            <w:sz w:val="22"/>
            <w:szCs w:val="22"/>
            <w:lang w:eastAsia="es-CL"/>
          </w:rPr>
          <w:tab/>
        </w:r>
        <w:r w:rsidR="00197B00" w:rsidRPr="005452F8">
          <w:rPr>
            <w:rStyle w:val="Hipervnculo"/>
          </w:rPr>
          <w:t>Determinación de los recargos porcentuales</w:t>
        </w:r>
        <w:r w:rsidR="00197B00">
          <w:rPr>
            <w:webHidden/>
          </w:rPr>
          <w:tab/>
        </w:r>
        <w:r w:rsidR="00197B00">
          <w:rPr>
            <w:webHidden/>
          </w:rPr>
          <w:fldChar w:fldCharType="begin"/>
        </w:r>
        <w:r w:rsidR="00197B00">
          <w:rPr>
            <w:webHidden/>
          </w:rPr>
          <w:instrText xml:space="preserve"> PAGEREF _Toc39797769 \h </w:instrText>
        </w:r>
        <w:r w:rsidR="00197B00">
          <w:rPr>
            <w:webHidden/>
          </w:rPr>
        </w:r>
        <w:r w:rsidR="00197B00">
          <w:rPr>
            <w:webHidden/>
          </w:rPr>
          <w:fldChar w:fldCharType="separate"/>
        </w:r>
        <w:r w:rsidR="001F3E2E">
          <w:rPr>
            <w:webHidden/>
          </w:rPr>
          <w:t>50</w:t>
        </w:r>
        <w:r w:rsidR="00197B00">
          <w:rPr>
            <w:webHidden/>
          </w:rPr>
          <w:fldChar w:fldCharType="end"/>
        </w:r>
      </w:hyperlink>
    </w:p>
    <w:p w14:paraId="77B2F1D9" w14:textId="77777777" w:rsidR="00197B00" w:rsidRDefault="0088072F">
      <w:pPr>
        <w:pStyle w:val="TDC4"/>
        <w:tabs>
          <w:tab w:val="left" w:pos="2552"/>
        </w:tabs>
        <w:rPr>
          <w:rFonts w:asciiTheme="minorHAnsi" w:eastAsiaTheme="minorEastAsia" w:hAnsiTheme="minorHAnsi" w:cstheme="minorBidi"/>
          <w:spacing w:val="0"/>
          <w:sz w:val="22"/>
          <w:szCs w:val="22"/>
          <w:lang w:val="es-CL" w:eastAsia="es-CL"/>
        </w:rPr>
      </w:pPr>
      <w:hyperlink w:anchor="_Toc39797770" w:history="1">
        <w:r w:rsidR="00197B00" w:rsidRPr="005452F8">
          <w:rPr>
            <w:rStyle w:val="Hipervnculo"/>
          </w:rPr>
          <w:t>6.1.5.1</w:t>
        </w:r>
        <w:r w:rsidR="00197B00">
          <w:rPr>
            <w:rFonts w:asciiTheme="minorHAnsi" w:eastAsiaTheme="minorEastAsia" w:hAnsiTheme="minorHAnsi" w:cstheme="minorBidi"/>
            <w:spacing w:val="0"/>
            <w:sz w:val="22"/>
            <w:szCs w:val="22"/>
            <w:lang w:val="es-CL" w:eastAsia="es-CL"/>
          </w:rPr>
          <w:tab/>
        </w:r>
        <w:r w:rsidR="00197B00" w:rsidRPr="005452F8">
          <w:rPr>
            <w:rStyle w:val="Hipervnculo"/>
          </w:rPr>
          <w:t>Recargo por flete</w:t>
        </w:r>
        <w:r w:rsidR="00197B00">
          <w:rPr>
            <w:webHidden/>
          </w:rPr>
          <w:tab/>
        </w:r>
        <w:r w:rsidR="00197B00">
          <w:rPr>
            <w:webHidden/>
          </w:rPr>
          <w:fldChar w:fldCharType="begin"/>
        </w:r>
        <w:r w:rsidR="00197B00">
          <w:rPr>
            <w:webHidden/>
          </w:rPr>
          <w:instrText xml:space="preserve"> PAGEREF _Toc39797770 \h </w:instrText>
        </w:r>
        <w:r w:rsidR="00197B00">
          <w:rPr>
            <w:webHidden/>
          </w:rPr>
        </w:r>
        <w:r w:rsidR="00197B00">
          <w:rPr>
            <w:webHidden/>
          </w:rPr>
          <w:fldChar w:fldCharType="separate"/>
        </w:r>
        <w:r w:rsidR="001F3E2E">
          <w:rPr>
            <w:webHidden/>
          </w:rPr>
          <w:t>52</w:t>
        </w:r>
        <w:r w:rsidR="00197B00">
          <w:rPr>
            <w:webHidden/>
          </w:rPr>
          <w:fldChar w:fldCharType="end"/>
        </w:r>
      </w:hyperlink>
    </w:p>
    <w:p w14:paraId="26F4F8A3" w14:textId="77777777" w:rsidR="00197B00" w:rsidRDefault="0088072F">
      <w:pPr>
        <w:pStyle w:val="TDC4"/>
        <w:tabs>
          <w:tab w:val="left" w:pos="2552"/>
        </w:tabs>
        <w:rPr>
          <w:rFonts w:asciiTheme="minorHAnsi" w:eastAsiaTheme="minorEastAsia" w:hAnsiTheme="minorHAnsi" w:cstheme="minorBidi"/>
          <w:spacing w:val="0"/>
          <w:sz w:val="22"/>
          <w:szCs w:val="22"/>
          <w:lang w:val="es-CL" w:eastAsia="es-CL"/>
        </w:rPr>
      </w:pPr>
      <w:hyperlink w:anchor="_Toc39797771" w:history="1">
        <w:r w:rsidR="00197B00" w:rsidRPr="005452F8">
          <w:rPr>
            <w:rStyle w:val="Hipervnculo"/>
          </w:rPr>
          <w:t>6.1.5.2</w:t>
        </w:r>
        <w:r w:rsidR="00197B00">
          <w:rPr>
            <w:rFonts w:asciiTheme="minorHAnsi" w:eastAsiaTheme="minorEastAsia" w:hAnsiTheme="minorHAnsi" w:cstheme="minorBidi"/>
            <w:spacing w:val="0"/>
            <w:sz w:val="22"/>
            <w:szCs w:val="22"/>
            <w:lang w:val="es-CL" w:eastAsia="es-CL"/>
          </w:rPr>
          <w:tab/>
        </w:r>
        <w:r w:rsidR="00197B00" w:rsidRPr="005452F8">
          <w:rPr>
            <w:rStyle w:val="Hipervnculo"/>
          </w:rPr>
          <w:t>Recargo por bodega</w:t>
        </w:r>
        <w:r w:rsidR="00197B00">
          <w:rPr>
            <w:webHidden/>
          </w:rPr>
          <w:tab/>
        </w:r>
        <w:r w:rsidR="00197B00">
          <w:rPr>
            <w:webHidden/>
          </w:rPr>
          <w:fldChar w:fldCharType="begin"/>
        </w:r>
        <w:r w:rsidR="00197B00">
          <w:rPr>
            <w:webHidden/>
          </w:rPr>
          <w:instrText xml:space="preserve"> PAGEREF _Toc39797771 \h </w:instrText>
        </w:r>
        <w:r w:rsidR="00197B00">
          <w:rPr>
            <w:webHidden/>
          </w:rPr>
        </w:r>
        <w:r w:rsidR="00197B00">
          <w:rPr>
            <w:webHidden/>
          </w:rPr>
          <w:fldChar w:fldCharType="separate"/>
        </w:r>
        <w:r w:rsidR="001F3E2E">
          <w:rPr>
            <w:webHidden/>
          </w:rPr>
          <w:t>54</w:t>
        </w:r>
        <w:r w:rsidR="00197B00">
          <w:rPr>
            <w:webHidden/>
          </w:rPr>
          <w:fldChar w:fldCharType="end"/>
        </w:r>
      </w:hyperlink>
    </w:p>
    <w:p w14:paraId="1EF340C9" w14:textId="77777777" w:rsidR="00197B00" w:rsidRDefault="0088072F">
      <w:pPr>
        <w:pStyle w:val="TDC4"/>
        <w:tabs>
          <w:tab w:val="left" w:pos="2552"/>
        </w:tabs>
        <w:rPr>
          <w:rFonts w:asciiTheme="minorHAnsi" w:eastAsiaTheme="minorEastAsia" w:hAnsiTheme="minorHAnsi" w:cstheme="minorBidi"/>
          <w:spacing w:val="0"/>
          <w:sz w:val="22"/>
          <w:szCs w:val="22"/>
          <w:lang w:val="es-CL" w:eastAsia="es-CL"/>
        </w:rPr>
      </w:pPr>
      <w:hyperlink w:anchor="_Toc39797772" w:history="1">
        <w:r w:rsidR="00197B00" w:rsidRPr="005452F8">
          <w:rPr>
            <w:rStyle w:val="Hipervnculo"/>
          </w:rPr>
          <w:t>6.1.5.3</w:t>
        </w:r>
        <w:r w:rsidR="00197B00">
          <w:rPr>
            <w:rFonts w:asciiTheme="minorHAnsi" w:eastAsiaTheme="minorEastAsia" w:hAnsiTheme="minorHAnsi" w:cstheme="minorBidi"/>
            <w:spacing w:val="0"/>
            <w:sz w:val="22"/>
            <w:szCs w:val="22"/>
            <w:lang w:val="es-CL" w:eastAsia="es-CL"/>
          </w:rPr>
          <w:tab/>
        </w:r>
        <w:r w:rsidR="00197B00" w:rsidRPr="005452F8">
          <w:rPr>
            <w:rStyle w:val="Hipervnculo"/>
          </w:rPr>
          <w:t>Recargo por Ingeniería</w:t>
        </w:r>
        <w:r w:rsidR="00197B00">
          <w:rPr>
            <w:webHidden/>
          </w:rPr>
          <w:tab/>
        </w:r>
        <w:r w:rsidR="00197B00">
          <w:rPr>
            <w:webHidden/>
          </w:rPr>
          <w:fldChar w:fldCharType="begin"/>
        </w:r>
        <w:r w:rsidR="00197B00">
          <w:rPr>
            <w:webHidden/>
          </w:rPr>
          <w:instrText xml:space="preserve"> PAGEREF _Toc39797772 \h </w:instrText>
        </w:r>
        <w:r w:rsidR="00197B00">
          <w:rPr>
            <w:webHidden/>
          </w:rPr>
        </w:r>
        <w:r w:rsidR="00197B00">
          <w:rPr>
            <w:webHidden/>
          </w:rPr>
          <w:fldChar w:fldCharType="separate"/>
        </w:r>
        <w:r w:rsidR="001F3E2E">
          <w:rPr>
            <w:webHidden/>
          </w:rPr>
          <w:t>57</w:t>
        </w:r>
        <w:r w:rsidR="00197B00">
          <w:rPr>
            <w:webHidden/>
          </w:rPr>
          <w:fldChar w:fldCharType="end"/>
        </w:r>
      </w:hyperlink>
    </w:p>
    <w:p w14:paraId="75092201" w14:textId="77777777" w:rsidR="00197B00" w:rsidRDefault="0088072F">
      <w:pPr>
        <w:pStyle w:val="TDC4"/>
        <w:tabs>
          <w:tab w:val="left" w:pos="2552"/>
        </w:tabs>
        <w:rPr>
          <w:rFonts w:asciiTheme="minorHAnsi" w:eastAsiaTheme="minorEastAsia" w:hAnsiTheme="minorHAnsi" w:cstheme="minorBidi"/>
          <w:spacing w:val="0"/>
          <w:sz w:val="22"/>
          <w:szCs w:val="22"/>
          <w:lang w:val="es-CL" w:eastAsia="es-CL"/>
        </w:rPr>
      </w:pPr>
      <w:hyperlink w:anchor="_Toc39797773" w:history="1">
        <w:r w:rsidR="00197B00" w:rsidRPr="005452F8">
          <w:rPr>
            <w:rStyle w:val="Hipervnculo"/>
          </w:rPr>
          <w:t>6.1.5.4</w:t>
        </w:r>
        <w:r w:rsidR="00197B00">
          <w:rPr>
            <w:rFonts w:asciiTheme="minorHAnsi" w:eastAsiaTheme="minorEastAsia" w:hAnsiTheme="minorHAnsi" w:cstheme="minorBidi"/>
            <w:spacing w:val="0"/>
            <w:sz w:val="22"/>
            <w:szCs w:val="22"/>
            <w:lang w:val="es-CL" w:eastAsia="es-CL"/>
          </w:rPr>
          <w:tab/>
        </w:r>
        <w:r w:rsidR="00197B00" w:rsidRPr="005452F8">
          <w:rPr>
            <w:rStyle w:val="Hipervnculo"/>
          </w:rPr>
          <w:t>Recargo por gastos generales</w:t>
        </w:r>
        <w:r w:rsidR="00197B00">
          <w:rPr>
            <w:webHidden/>
          </w:rPr>
          <w:tab/>
        </w:r>
        <w:r w:rsidR="00197B00">
          <w:rPr>
            <w:webHidden/>
          </w:rPr>
          <w:fldChar w:fldCharType="begin"/>
        </w:r>
        <w:r w:rsidR="00197B00">
          <w:rPr>
            <w:webHidden/>
          </w:rPr>
          <w:instrText xml:space="preserve"> PAGEREF _Toc39797773 \h </w:instrText>
        </w:r>
        <w:r w:rsidR="00197B00">
          <w:rPr>
            <w:webHidden/>
          </w:rPr>
        </w:r>
        <w:r w:rsidR="00197B00">
          <w:rPr>
            <w:webHidden/>
          </w:rPr>
          <w:fldChar w:fldCharType="separate"/>
        </w:r>
        <w:r w:rsidR="001F3E2E">
          <w:rPr>
            <w:webHidden/>
          </w:rPr>
          <w:t>60</w:t>
        </w:r>
        <w:r w:rsidR="00197B00">
          <w:rPr>
            <w:webHidden/>
          </w:rPr>
          <w:fldChar w:fldCharType="end"/>
        </w:r>
      </w:hyperlink>
    </w:p>
    <w:p w14:paraId="7A6A6909" w14:textId="77777777" w:rsidR="00197B00" w:rsidRDefault="0088072F">
      <w:pPr>
        <w:pStyle w:val="TDC4"/>
        <w:tabs>
          <w:tab w:val="left" w:pos="2552"/>
        </w:tabs>
        <w:rPr>
          <w:rFonts w:asciiTheme="minorHAnsi" w:eastAsiaTheme="minorEastAsia" w:hAnsiTheme="minorHAnsi" w:cstheme="minorBidi"/>
          <w:spacing w:val="0"/>
          <w:sz w:val="22"/>
          <w:szCs w:val="22"/>
          <w:lang w:val="es-CL" w:eastAsia="es-CL"/>
        </w:rPr>
      </w:pPr>
      <w:hyperlink w:anchor="_Toc39797774" w:history="1">
        <w:r w:rsidR="00197B00" w:rsidRPr="005452F8">
          <w:rPr>
            <w:rStyle w:val="Hipervnculo"/>
          </w:rPr>
          <w:t>6.1.5.5</w:t>
        </w:r>
        <w:r w:rsidR="00197B00">
          <w:rPr>
            <w:rFonts w:asciiTheme="minorHAnsi" w:eastAsiaTheme="minorEastAsia" w:hAnsiTheme="minorHAnsi" w:cstheme="minorBidi"/>
            <w:spacing w:val="0"/>
            <w:sz w:val="22"/>
            <w:szCs w:val="22"/>
            <w:lang w:val="es-CL" w:eastAsia="es-CL"/>
          </w:rPr>
          <w:tab/>
        </w:r>
        <w:r w:rsidR="00197B00" w:rsidRPr="005452F8">
          <w:rPr>
            <w:rStyle w:val="Hipervnculo"/>
          </w:rPr>
          <w:t>Intereses intercalarios</w:t>
        </w:r>
        <w:r w:rsidR="00197B00">
          <w:rPr>
            <w:webHidden/>
          </w:rPr>
          <w:tab/>
        </w:r>
        <w:r w:rsidR="00197B00">
          <w:rPr>
            <w:webHidden/>
          </w:rPr>
          <w:fldChar w:fldCharType="begin"/>
        </w:r>
        <w:r w:rsidR="00197B00">
          <w:rPr>
            <w:webHidden/>
          </w:rPr>
          <w:instrText xml:space="preserve"> PAGEREF _Toc39797774 \h </w:instrText>
        </w:r>
        <w:r w:rsidR="00197B00">
          <w:rPr>
            <w:webHidden/>
          </w:rPr>
        </w:r>
        <w:r w:rsidR="00197B00">
          <w:rPr>
            <w:webHidden/>
          </w:rPr>
          <w:fldChar w:fldCharType="separate"/>
        </w:r>
        <w:r w:rsidR="001F3E2E">
          <w:rPr>
            <w:webHidden/>
          </w:rPr>
          <w:t>61</w:t>
        </w:r>
        <w:r w:rsidR="00197B00">
          <w:rPr>
            <w:webHidden/>
          </w:rPr>
          <w:fldChar w:fldCharType="end"/>
        </w:r>
      </w:hyperlink>
    </w:p>
    <w:p w14:paraId="5F4C7507" w14:textId="77777777" w:rsidR="00197B00" w:rsidRDefault="0088072F">
      <w:pPr>
        <w:pStyle w:val="TDC3"/>
        <w:tabs>
          <w:tab w:val="left" w:pos="2552"/>
        </w:tabs>
        <w:rPr>
          <w:rFonts w:asciiTheme="minorHAnsi" w:eastAsiaTheme="minorEastAsia" w:hAnsiTheme="minorHAnsi" w:cstheme="minorBidi"/>
          <w:sz w:val="22"/>
          <w:szCs w:val="22"/>
          <w:lang w:eastAsia="es-CL"/>
        </w:rPr>
      </w:pPr>
      <w:hyperlink w:anchor="_Toc39797775" w:history="1">
        <w:r w:rsidR="00197B00" w:rsidRPr="005452F8">
          <w:rPr>
            <w:rStyle w:val="Hipervnculo"/>
          </w:rPr>
          <w:t>6.1.6</w:t>
        </w:r>
        <w:r w:rsidR="00197B00">
          <w:rPr>
            <w:rFonts w:asciiTheme="minorHAnsi" w:eastAsiaTheme="minorEastAsia" w:hAnsiTheme="minorHAnsi" w:cstheme="minorBidi"/>
            <w:sz w:val="22"/>
            <w:szCs w:val="22"/>
            <w:lang w:eastAsia="es-CL"/>
          </w:rPr>
          <w:tab/>
        </w:r>
        <w:r w:rsidR="00197B00" w:rsidRPr="005452F8">
          <w:rPr>
            <w:rStyle w:val="Hipervnculo"/>
          </w:rPr>
          <w:t>Proceso de cálculo del V.I.</w:t>
        </w:r>
        <w:r w:rsidR="00197B00">
          <w:rPr>
            <w:webHidden/>
          </w:rPr>
          <w:tab/>
        </w:r>
        <w:r w:rsidR="00197B00">
          <w:rPr>
            <w:webHidden/>
          </w:rPr>
          <w:fldChar w:fldCharType="begin"/>
        </w:r>
        <w:r w:rsidR="00197B00">
          <w:rPr>
            <w:webHidden/>
          </w:rPr>
          <w:instrText xml:space="preserve"> PAGEREF _Toc39797775 \h </w:instrText>
        </w:r>
        <w:r w:rsidR="00197B00">
          <w:rPr>
            <w:webHidden/>
          </w:rPr>
        </w:r>
        <w:r w:rsidR="00197B00">
          <w:rPr>
            <w:webHidden/>
          </w:rPr>
          <w:fldChar w:fldCharType="separate"/>
        </w:r>
        <w:r w:rsidR="001F3E2E">
          <w:rPr>
            <w:webHidden/>
          </w:rPr>
          <w:t>63</w:t>
        </w:r>
        <w:r w:rsidR="00197B00">
          <w:rPr>
            <w:webHidden/>
          </w:rPr>
          <w:fldChar w:fldCharType="end"/>
        </w:r>
      </w:hyperlink>
    </w:p>
    <w:p w14:paraId="13328A00" w14:textId="77777777" w:rsidR="00197B00" w:rsidRDefault="0088072F">
      <w:pPr>
        <w:pStyle w:val="TDC3"/>
        <w:tabs>
          <w:tab w:val="left" w:pos="2552"/>
        </w:tabs>
        <w:rPr>
          <w:rFonts w:asciiTheme="minorHAnsi" w:eastAsiaTheme="minorEastAsia" w:hAnsiTheme="minorHAnsi" w:cstheme="minorBidi"/>
          <w:sz w:val="22"/>
          <w:szCs w:val="22"/>
          <w:lang w:eastAsia="es-CL"/>
        </w:rPr>
      </w:pPr>
      <w:hyperlink w:anchor="_Toc39797776" w:history="1">
        <w:r w:rsidR="00197B00" w:rsidRPr="005452F8">
          <w:rPr>
            <w:rStyle w:val="Hipervnculo"/>
          </w:rPr>
          <w:t>6.1.7</w:t>
        </w:r>
        <w:r w:rsidR="00197B00">
          <w:rPr>
            <w:rFonts w:asciiTheme="minorHAnsi" w:eastAsiaTheme="minorEastAsia" w:hAnsiTheme="minorHAnsi" w:cstheme="minorBidi"/>
            <w:sz w:val="22"/>
            <w:szCs w:val="22"/>
            <w:lang w:eastAsia="es-CL"/>
          </w:rPr>
          <w:tab/>
        </w:r>
        <w:r w:rsidR="00197B00" w:rsidRPr="005452F8">
          <w:rPr>
            <w:rStyle w:val="Hipervnculo"/>
          </w:rPr>
          <w:t>Determinación de derechos relacionados con el uso de suelo y medioambiente</w:t>
        </w:r>
        <w:r w:rsidR="00197B00">
          <w:rPr>
            <w:webHidden/>
          </w:rPr>
          <w:tab/>
        </w:r>
        <w:r w:rsidR="00197B00">
          <w:rPr>
            <w:webHidden/>
          </w:rPr>
          <w:fldChar w:fldCharType="begin"/>
        </w:r>
        <w:r w:rsidR="00197B00">
          <w:rPr>
            <w:webHidden/>
          </w:rPr>
          <w:instrText xml:space="preserve"> PAGEREF _Toc39797776 \h </w:instrText>
        </w:r>
        <w:r w:rsidR="00197B00">
          <w:rPr>
            <w:webHidden/>
          </w:rPr>
        </w:r>
        <w:r w:rsidR="00197B00">
          <w:rPr>
            <w:webHidden/>
          </w:rPr>
          <w:fldChar w:fldCharType="separate"/>
        </w:r>
        <w:r w:rsidR="001F3E2E">
          <w:rPr>
            <w:webHidden/>
          </w:rPr>
          <w:t>66</w:t>
        </w:r>
        <w:r w:rsidR="00197B00">
          <w:rPr>
            <w:webHidden/>
          </w:rPr>
          <w:fldChar w:fldCharType="end"/>
        </w:r>
      </w:hyperlink>
    </w:p>
    <w:p w14:paraId="14E4F087" w14:textId="77777777" w:rsidR="00197B00" w:rsidRDefault="0088072F">
      <w:pPr>
        <w:pStyle w:val="TDC4"/>
        <w:tabs>
          <w:tab w:val="left" w:pos="2552"/>
        </w:tabs>
        <w:rPr>
          <w:rFonts w:asciiTheme="minorHAnsi" w:eastAsiaTheme="minorEastAsia" w:hAnsiTheme="minorHAnsi" w:cstheme="minorBidi"/>
          <w:spacing w:val="0"/>
          <w:sz w:val="22"/>
          <w:szCs w:val="22"/>
          <w:lang w:val="es-CL" w:eastAsia="es-CL"/>
        </w:rPr>
      </w:pPr>
      <w:hyperlink w:anchor="_Toc39797777" w:history="1">
        <w:r w:rsidR="00197B00" w:rsidRPr="005452F8">
          <w:rPr>
            <w:rStyle w:val="Hipervnculo"/>
          </w:rPr>
          <w:t>6.1.7.1</w:t>
        </w:r>
        <w:r w:rsidR="00197B00">
          <w:rPr>
            <w:rFonts w:asciiTheme="minorHAnsi" w:eastAsiaTheme="minorEastAsia" w:hAnsiTheme="minorHAnsi" w:cstheme="minorBidi"/>
            <w:spacing w:val="0"/>
            <w:sz w:val="22"/>
            <w:szCs w:val="22"/>
            <w:lang w:val="es-CL" w:eastAsia="es-CL"/>
          </w:rPr>
          <w:tab/>
        </w:r>
        <w:r w:rsidR="00197B00" w:rsidRPr="005452F8">
          <w:rPr>
            <w:rStyle w:val="Hipervnculo"/>
          </w:rPr>
          <w:t>Derechos relacionados con el uso de suelo</w:t>
        </w:r>
        <w:r w:rsidR="00197B00">
          <w:rPr>
            <w:webHidden/>
          </w:rPr>
          <w:tab/>
        </w:r>
        <w:r w:rsidR="00197B00">
          <w:rPr>
            <w:webHidden/>
          </w:rPr>
          <w:fldChar w:fldCharType="begin"/>
        </w:r>
        <w:r w:rsidR="00197B00">
          <w:rPr>
            <w:webHidden/>
          </w:rPr>
          <w:instrText xml:space="preserve"> PAGEREF _Toc39797777 \h </w:instrText>
        </w:r>
        <w:r w:rsidR="00197B00">
          <w:rPr>
            <w:webHidden/>
          </w:rPr>
        </w:r>
        <w:r w:rsidR="00197B00">
          <w:rPr>
            <w:webHidden/>
          </w:rPr>
          <w:fldChar w:fldCharType="separate"/>
        </w:r>
        <w:r w:rsidR="001F3E2E">
          <w:rPr>
            <w:webHidden/>
          </w:rPr>
          <w:t>66</w:t>
        </w:r>
        <w:r w:rsidR="00197B00">
          <w:rPr>
            <w:webHidden/>
          </w:rPr>
          <w:fldChar w:fldCharType="end"/>
        </w:r>
      </w:hyperlink>
    </w:p>
    <w:p w14:paraId="2DEC2C4F" w14:textId="77777777" w:rsidR="00197B00" w:rsidRDefault="0088072F">
      <w:pPr>
        <w:pStyle w:val="TDC4"/>
        <w:tabs>
          <w:tab w:val="left" w:pos="2552"/>
        </w:tabs>
        <w:rPr>
          <w:rFonts w:asciiTheme="minorHAnsi" w:eastAsiaTheme="minorEastAsia" w:hAnsiTheme="minorHAnsi" w:cstheme="minorBidi"/>
          <w:spacing w:val="0"/>
          <w:sz w:val="22"/>
          <w:szCs w:val="22"/>
          <w:lang w:val="es-CL" w:eastAsia="es-CL"/>
        </w:rPr>
      </w:pPr>
      <w:hyperlink w:anchor="_Toc39797778" w:history="1">
        <w:r w:rsidR="00197B00" w:rsidRPr="005452F8">
          <w:rPr>
            <w:rStyle w:val="Hipervnculo"/>
          </w:rPr>
          <w:t>6.1.7.2</w:t>
        </w:r>
        <w:r w:rsidR="00197B00">
          <w:rPr>
            <w:rFonts w:asciiTheme="minorHAnsi" w:eastAsiaTheme="minorEastAsia" w:hAnsiTheme="minorHAnsi" w:cstheme="minorBidi"/>
            <w:spacing w:val="0"/>
            <w:sz w:val="22"/>
            <w:szCs w:val="22"/>
            <w:lang w:val="es-CL" w:eastAsia="es-CL"/>
          </w:rPr>
          <w:tab/>
        </w:r>
        <w:r w:rsidR="00197B00" w:rsidRPr="005452F8">
          <w:rPr>
            <w:rStyle w:val="Hipervnculo"/>
          </w:rPr>
          <w:t>Derechos relacionados con medioambiente</w:t>
        </w:r>
        <w:r w:rsidR="00197B00">
          <w:rPr>
            <w:webHidden/>
          </w:rPr>
          <w:tab/>
        </w:r>
        <w:r w:rsidR="00197B00">
          <w:rPr>
            <w:webHidden/>
          </w:rPr>
          <w:fldChar w:fldCharType="begin"/>
        </w:r>
        <w:r w:rsidR="00197B00">
          <w:rPr>
            <w:webHidden/>
          </w:rPr>
          <w:instrText xml:space="preserve"> PAGEREF _Toc39797778 \h </w:instrText>
        </w:r>
        <w:r w:rsidR="00197B00">
          <w:rPr>
            <w:webHidden/>
          </w:rPr>
        </w:r>
        <w:r w:rsidR="00197B00">
          <w:rPr>
            <w:webHidden/>
          </w:rPr>
          <w:fldChar w:fldCharType="separate"/>
        </w:r>
        <w:r w:rsidR="001F3E2E">
          <w:rPr>
            <w:webHidden/>
          </w:rPr>
          <w:t>67</w:t>
        </w:r>
        <w:r w:rsidR="00197B00">
          <w:rPr>
            <w:webHidden/>
          </w:rPr>
          <w:fldChar w:fldCharType="end"/>
        </w:r>
      </w:hyperlink>
    </w:p>
    <w:p w14:paraId="586C8E31" w14:textId="77777777" w:rsidR="00197B00" w:rsidRDefault="0088072F">
      <w:pPr>
        <w:pStyle w:val="TDC2"/>
        <w:tabs>
          <w:tab w:val="left" w:pos="1134"/>
        </w:tabs>
        <w:rPr>
          <w:rFonts w:asciiTheme="minorHAnsi" w:eastAsiaTheme="minorEastAsia" w:hAnsiTheme="minorHAnsi" w:cstheme="minorBidi"/>
          <w:b w:val="0"/>
          <w:noProof/>
          <w:spacing w:val="0"/>
          <w:szCs w:val="22"/>
          <w:lang w:eastAsia="es-CL"/>
        </w:rPr>
      </w:pPr>
      <w:hyperlink w:anchor="_Toc39797779" w:history="1">
        <w:r w:rsidR="00197B00" w:rsidRPr="005452F8">
          <w:rPr>
            <w:rStyle w:val="Hipervnculo"/>
            <w:noProof/>
          </w:rPr>
          <w:t>6.2</w:t>
        </w:r>
        <w:r w:rsidR="00197B00">
          <w:rPr>
            <w:rFonts w:asciiTheme="minorHAnsi" w:eastAsiaTheme="minorEastAsia" w:hAnsiTheme="minorHAnsi" w:cstheme="minorBidi"/>
            <w:b w:val="0"/>
            <w:noProof/>
            <w:spacing w:val="0"/>
            <w:szCs w:val="22"/>
            <w:lang w:eastAsia="es-CL"/>
          </w:rPr>
          <w:tab/>
        </w:r>
        <w:r w:rsidR="00197B00" w:rsidRPr="005452F8">
          <w:rPr>
            <w:rStyle w:val="Hipervnculo"/>
            <w:noProof/>
          </w:rPr>
          <w:t>Metodología aplicada a la determinación del C.O.M.A.</w:t>
        </w:r>
        <w:r w:rsidR="00197B00">
          <w:rPr>
            <w:noProof/>
            <w:webHidden/>
          </w:rPr>
          <w:tab/>
        </w:r>
        <w:r w:rsidR="00197B00">
          <w:rPr>
            <w:noProof/>
            <w:webHidden/>
          </w:rPr>
          <w:fldChar w:fldCharType="begin"/>
        </w:r>
        <w:r w:rsidR="00197B00">
          <w:rPr>
            <w:noProof/>
            <w:webHidden/>
          </w:rPr>
          <w:instrText xml:space="preserve"> PAGEREF _Toc39797779 \h </w:instrText>
        </w:r>
        <w:r w:rsidR="00197B00">
          <w:rPr>
            <w:noProof/>
            <w:webHidden/>
          </w:rPr>
        </w:r>
        <w:r w:rsidR="00197B00">
          <w:rPr>
            <w:noProof/>
            <w:webHidden/>
          </w:rPr>
          <w:fldChar w:fldCharType="separate"/>
        </w:r>
        <w:r w:rsidR="001F3E2E">
          <w:rPr>
            <w:noProof/>
            <w:webHidden/>
          </w:rPr>
          <w:t>68</w:t>
        </w:r>
        <w:r w:rsidR="00197B00">
          <w:rPr>
            <w:noProof/>
            <w:webHidden/>
          </w:rPr>
          <w:fldChar w:fldCharType="end"/>
        </w:r>
      </w:hyperlink>
    </w:p>
    <w:p w14:paraId="5797D02E" w14:textId="77777777" w:rsidR="00197B00" w:rsidRDefault="0088072F">
      <w:pPr>
        <w:pStyle w:val="TDC3"/>
        <w:tabs>
          <w:tab w:val="left" w:pos="2552"/>
        </w:tabs>
        <w:rPr>
          <w:rFonts w:asciiTheme="minorHAnsi" w:eastAsiaTheme="minorEastAsia" w:hAnsiTheme="minorHAnsi" w:cstheme="minorBidi"/>
          <w:sz w:val="22"/>
          <w:szCs w:val="22"/>
          <w:lang w:eastAsia="es-CL"/>
        </w:rPr>
      </w:pPr>
      <w:hyperlink w:anchor="_Toc39797780" w:history="1">
        <w:r w:rsidR="00197B00" w:rsidRPr="005452F8">
          <w:rPr>
            <w:rStyle w:val="Hipervnculo"/>
          </w:rPr>
          <w:t>6.2.1</w:t>
        </w:r>
        <w:r w:rsidR="00197B00">
          <w:rPr>
            <w:rFonts w:asciiTheme="minorHAnsi" w:eastAsiaTheme="minorEastAsia" w:hAnsiTheme="minorHAnsi" w:cstheme="minorBidi"/>
            <w:sz w:val="22"/>
            <w:szCs w:val="22"/>
            <w:lang w:eastAsia="es-CL"/>
          </w:rPr>
          <w:tab/>
        </w:r>
        <w:r w:rsidR="00197B00" w:rsidRPr="005452F8">
          <w:rPr>
            <w:rStyle w:val="Hipervnculo"/>
          </w:rPr>
          <w:t>Introducción</w:t>
        </w:r>
        <w:r w:rsidR="00197B00">
          <w:rPr>
            <w:webHidden/>
          </w:rPr>
          <w:tab/>
        </w:r>
        <w:r w:rsidR="00197B00">
          <w:rPr>
            <w:webHidden/>
          </w:rPr>
          <w:fldChar w:fldCharType="begin"/>
        </w:r>
        <w:r w:rsidR="00197B00">
          <w:rPr>
            <w:webHidden/>
          </w:rPr>
          <w:instrText xml:space="preserve"> PAGEREF _Toc39797780 \h </w:instrText>
        </w:r>
        <w:r w:rsidR="00197B00">
          <w:rPr>
            <w:webHidden/>
          </w:rPr>
        </w:r>
        <w:r w:rsidR="00197B00">
          <w:rPr>
            <w:webHidden/>
          </w:rPr>
          <w:fldChar w:fldCharType="separate"/>
        </w:r>
        <w:r w:rsidR="001F3E2E">
          <w:rPr>
            <w:webHidden/>
          </w:rPr>
          <w:t>68</w:t>
        </w:r>
        <w:r w:rsidR="00197B00">
          <w:rPr>
            <w:webHidden/>
          </w:rPr>
          <w:fldChar w:fldCharType="end"/>
        </w:r>
      </w:hyperlink>
    </w:p>
    <w:p w14:paraId="761A6181" w14:textId="77777777" w:rsidR="00197B00" w:rsidRDefault="0088072F">
      <w:pPr>
        <w:pStyle w:val="TDC3"/>
        <w:tabs>
          <w:tab w:val="left" w:pos="2552"/>
        </w:tabs>
        <w:rPr>
          <w:rFonts w:asciiTheme="minorHAnsi" w:eastAsiaTheme="minorEastAsia" w:hAnsiTheme="minorHAnsi" w:cstheme="minorBidi"/>
          <w:sz w:val="22"/>
          <w:szCs w:val="22"/>
          <w:lang w:eastAsia="es-CL"/>
        </w:rPr>
      </w:pPr>
      <w:hyperlink w:anchor="_Toc39797781" w:history="1">
        <w:r w:rsidR="00197B00" w:rsidRPr="005452F8">
          <w:rPr>
            <w:rStyle w:val="Hipervnculo"/>
          </w:rPr>
          <w:t>6.2.2</w:t>
        </w:r>
        <w:r w:rsidR="00197B00">
          <w:rPr>
            <w:rFonts w:asciiTheme="minorHAnsi" w:eastAsiaTheme="minorEastAsia" w:hAnsiTheme="minorHAnsi" w:cstheme="minorBidi"/>
            <w:sz w:val="22"/>
            <w:szCs w:val="22"/>
            <w:lang w:eastAsia="es-CL"/>
          </w:rPr>
          <w:tab/>
        </w:r>
        <w:r w:rsidR="00197B00" w:rsidRPr="005452F8">
          <w:rPr>
            <w:rStyle w:val="Hipervnculo"/>
          </w:rPr>
          <w:t>Etapas de la Metodología para el cálculo del C.O.M.A.</w:t>
        </w:r>
        <w:r w:rsidR="00197B00">
          <w:rPr>
            <w:webHidden/>
          </w:rPr>
          <w:tab/>
        </w:r>
        <w:r w:rsidR="00197B00">
          <w:rPr>
            <w:webHidden/>
          </w:rPr>
          <w:fldChar w:fldCharType="begin"/>
        </w:r>
        <w:r w:rsidR="00197B00">
          <w:rPr>
            <w:webHidden/>
          </w:rPr>
          <w:instrText xml:space="preserve"> PAGEREF _Toc39797781 \h </w:instrText>
        </w:r>
        <w:r w:rsidR="00197B00">
          <w:rPr>
            <w:webHidden/>
          </w:rPr>
        </w:r>
        <w:r w:rsidR="00197B00">
          <w:rPr>
            <w:webHidden/>
          </w:rPr>
          <w:fldChar w:fldCharType="separate"/>
        </w:r>
        <w:r w:rsidR="001F3E2E">
          <w:rPr>
            <w:webHidden/>
          </w:rPr>
          <w:t>71</w:t>
        </w:r>
        <w:r w:rsidR="00197B00">
          <w:rPr>
            <w:webHidden/>
          </w:rPr>
          <w:fldChar w:fldCharType="end"/>
        </w:r>
      </w:hyperlink>
    </w:p>
    <w:p w14:paraId="6D1B882C" w14:textId="77777777" w:rsidR="00197B00" w:rsidRDefault="0088072F">
      <w:pPr>
        <w:pStyle w:val="TDC3"/>
        <w:tabs>
          <w:tab w:val="left" w:pos="2552"/>
        </w:tabs>
        <w:rPr>
          <w:rFonts w:asciiTheme="minorHAnsi" w:eastAsiaTheme="minorEastAsia" w:hAnsiTheme="minorHAnsi" w:cstheme="minorBidi"/>
          <w:sz w:val="22"/>
          <w:szCs w:val="22"/>
          <w:lang w:eastAsia="es-CL"/>
        </w:rPr>
      </w:pPr>
      <w:hyperlink w:anchor="_Toc39797782" w:history="1">
        <w:r w:rsidR="00197B00" w:rsidRPr="005452F8">
          <w:rPr>
            <w:rStyle w:val="Hipervnculo"/>
          </w:rPr>
          <w:t>6.2.3</w:t>
        </w:r>
        <w:r w:rsidR="00197B00">
          <w:rPr>
            <w:rFonts w:asciiTheme="minorHAnsi" w:eastAsiaTheme="minorEastAsia" w:hAnsiTheme="minorHAnsi" w:cstheme="minorBidi"/>
            <w:sz w:val="22"/>
            <w:szCs w:val="22"/>
            <w:lang w:eastAsia="es-CL"/>
          </w:rPr>
          <w:tab/>
        </w:r>
        <w:r w:rsidR="00197B00" w:rsidRPr="005452F8">
          <w:rPr>
            <w:rStyle w:val="Hipervnculo"/>
          </w:rPr>
          <w:t>Diseño y dimensionamiento de la organización de la EM eficiente</w:t>
        </w:r>
        <w:r w:rsidR="00197B00">
          <w:rPr>
            <w:webHidden/>
          </w:rPr>
          <w:tab/>
        </w:r>
        <w:r w:rsidR="00197B00">
          <w:rPr>
            <w:webHidden/>
          </w:rPr>
          <w:fldChar w:fldCharType="begin"/>
        </w:r>
        <w:r w:rsidR="00197B00">
          <w:rPr>
            <w:webHidden/>
          </w:rPr>
          <w:instrText xml:space="preserve"> PAGEREF _Toc39797782 \h </w:instrText>
        </w:r>
        <w:r w:rsidR="00197B00">
          <w:rPr>
            <w:webHidden/>
          </w:rPr>
        </w:r>
        <w:r w:rsidR="00197B00">
          <w:rPr>
            <w:webHidden/>
          </w:rPr>
          <w:fldChar w:fldCharType="separate"/>
        </w:r>
        <w:r w:rsidR="001F3E2E">
          <w:rPr>
            <w:webHidden/>
          </w:rPr>
          <w:t>72</w:t>
        </w:r>
        <w:r w:rsidR="00197B00">
          <w:rPr>
            <w:webHidden/>
          </w:rPr>
          <w:fldChar w:fldCharType="end"/>
        </w:r>
      </w:hyperlink>
    </w:p>
    <w:p w14:paraId="5443F8FE" w14:textId="77777777" w:rsidR="00197B00" w:rsidRDefault="0088072F">
      <w:pPr>
        <w:pStyle w:val="TDC4"/>
        <w:tabs>
          <w:tab w:val="left" w:pos="2552"/>
        </w:tabs>
        <w:rPr>
          <w:rFonts w:asciiTheme="minorHAnsi" w:eastAsiaTheme="minorEastAsia" w:hAnsiTheme="minorHAnsi" w:cstheme="minorBidi"/>
          <w:spacing w:val="0"/>
          <w:sz w:val="22"/>
          <w:szCs w:val="22"/>
          <w:lang w:val="es-CL" w:eastAsia="es-CL"/>
        </w:rPr>
      </w:pPr>
      <w:hyperlink w:anchor="_Toc39797783" w:history="1">
        <w:r w:rsidR="00197B00" w:rsidRPr="005452F8">
          <w:rPr>
            <w:rStyle w:val="Hipervnculo"/>
          </w:rPr>
          <w:t>6.2.3.1</w:t>
        </w:r>
        <w:r w:rsidR="00197B00">
          <w:rPr>
            <w:rFonts w:asciiTheme="minorHAnsi" w:eastAsiaTheme="minorEastAsia" w:hAnsiTheme="minorHAnsi" w:cstheme="minorBidi"/>
            <w:spacing w:val="0"/>
            <w:sz w:val="22"/>
            <w:szCs w:val="22"/>
            <w:lang w:val="es-CL" w:eastAsia="es-CL"/>
          </w:rPr>
          <w:tab/>
        </w:r>
        <w:r w:rsidR="00197B00" w:rsidRPr="005452F8">
          <w:rPr>
            <w:rStyle w:val="Hipervnculo"/>
          </w:rPr>
          <w:t>Proceso: dirección, estrategia y control</w:t>
        </w:r>
        <w:r w:rsidR="00197B00">
          <w:rPr>
            <w:webHidden/>
          </w:rPr>
          <w:tab/>
        </w:r>
        <w:r w:rsidR="00197B00">
          <w:rPr>
            <w:webHidden/>
          </w:rPr>
          <w:fldChar w:fldCharType="begin"/>
        </w:r>
        <w:r w:rsidR="00197B00">
          <w:rPr>
            <w:webHidden/>
          </w:rPr>
          <w:instrText xml:space="preserve"> PAGEREF _Toc39797783 \h </w:instrText>
        </w:r>
        <w:r w:rsidR="00197B00">
          <w:rPr>
            <w:webHidden/>
          </w:rPr>
        </w:r>
        <w:r w:rsidR="00197B00">
          <w:rPr>
            <w:webHidden/>
          </w:rPr>
          <w:fldChar w:fldCharType="separate"/>
        </w:r>
        <w:r w:rsidR="001F3E2E">
          <w:rPr>
            <w:webHidden/>
          </w:rPr>
          <w:t>74</w:t>
        </w:r>
        <w:r w:rsidR="00197B00">
          <w:rPr>
            <w:webHidden/>
          </w:rPr>
          <w:fldChar w:fldCharType="end"/>
        </w:r>
      </w:hyperlink>
    </w:p>
    <w:p w14:paraId="4EB40F99" w14:textId="77777777" w:rsidR="00197B00" w:rsidRDefault="0088072F">
      <w:pPr>
        <w:pStyle w:val="TDC4"/>
        <w:tabs>
          <w:tab w:val="left" w:pos="2552"/>
        </w:tabs>
        <w:rPr>
          <w:rFonts w:asciiTheme="minorHAnsi" w:eastAsiaTheme="minorEastAsia" w:hAnsiTheme="minorHAnsi" w:cstheme="minorBidi"/>
          <w:spacing w:val="0"/>
          <w:sz w:val="22"/>
          <w:szCs w:val="22"/>
          <w:lang w:val="es-CL" w:eastAsia="es-CL"/>
        </w:rPr>
      </w:pPr>
      <w:hyperlink w:anchor="_Toc39797784" w:history="1">
        <w:r w:rsidR="00197B00" w:rsidRPr="005452F8">
          <w:rPr>
            <w:rStyle w:val="Hipervnculo"/>
          </w:rPr>
          <w:t>6.2.3.2</w:t>
        </w:r>
        <w:r w:rsidR="00197B00">
          <w:rPr>
            <w:rFonts w:asciiTheme="minorHAnsi" w:eastAsiaTheme="minorEastAsia" w:hAnsiTheme="minorHAnsi" w:cstheme="minorBidi"/>
            <w:spacing w:val="0"/>
            <w:sz w:val="22"/>
            <w:szCs w:val="22"/>
            <w:lang w:val="es-CL" w:eastAsia="es-CL"/>
          </w:rPr>
          <w:tab/>
        </w:r>
        <w:r w:rsidR="00197B00" w:rsidRPr="005452F8">
          <w:rPr>
            <w:rStyle w:val="Hipervnculo"/>
          </w:rPr>
          <w:t>Proceso: administración y finanzas</w:t>
        </w:r>
        <w:r w:rsidR="00197B00">
          <w:rPr>
            <w:webHidden/>
          </w:rPr>
          <w:tab/>
        </w:r>
        <w:r w:rsidR="00197B00">
          <w:rPr>
            <w:webHidden/>
          </w:rPr>
          <w:fldChar w:fldCharType="begin"/>
        </w:r>
        <w:r w:rsidR="00197B00">
          <w:rPr>
            <w:webHidden/>
          </w:rPr>
          <w:instrText xml:space="preserve"> PAGEREF _Toc39797784 \h </w:instrText>
        </w:r>
        <w:r w:rsidR="00197B00">
          <w:rPr>
            <w:webHidden/>
          </w:rPr>
        </w:r>
        <w:r w:rsidR="00197B00">
          <w:rPr>
            <w:webHidden/>
          </w:rPr>
          <w:fldChar w:fldCharType="separate"/>
        </w:r>
        <w:r w:rsidR="001F3E2E">
          <w:rPr>
            <w:webHidden/>
          </w:rPr>
          <w:t>75</w:t>
        </w:r>
        <w:r w:rsidR="00197B00">
          <w:rPr>
            <w:webHidden/>
          </w:rPr>
          <w:fldChar w:fldCharType="end"/>
        </w:r>
      </w:hyperlink>
    </w:p>
    <w:p w14:paraId="6CC74CED" w14:textId="77777777" w:rsidR="00197B00" w:rsidRDefault="0088072F">
      <w:pPr>
        <w:pStyle w:val="TDC4"/>
        <w:tabs>
          <w:tab w:val="left" w:pos="2552"/>
        </w:tabs>
        <w:rPr>
          <w:rFonts w:asciiTheme="minorHAnsi" w:eastAsiaTheme="minorEastAsia" w:hAnsiTheme="minorHAnsi" w:cstheme="minorBidi"/>
          <w:spacing w:val="0"/>
          <w:sz w:val="22"/>
          <w:szCs w:val="22"/>
          <w:lang w:val="es-CL" w:eastAsia="es-CL"/>
        </w:rPr>
      </w:pPr>
      <w:hyperlink w:anchor="_Toc39797785" w:history="1">
        <w:r w:rsidR="00197B00" w:rsidRPr="005452F8">
          <w:rPr>
            <w:rStyle w:val="Hipervnculo"/>
          </w:rPr>
          <w:t>6.2.3.3</w:t>
        </w:r>
        <w:r w:rsidR="00197B00">
          <w:rPr>
            <w:rFonts w:asciiTheme="minorHAnsi" w:eastAsiaTheme="minorEastAsia" w:hAnsiTheme="minorHAnsi" w:cstheme="minorBidi"/>
            <w:spacing w:val="0"/>
            <w:sz w:val="22"/>
            <w:szCs w:val="22"/>
            <w:lang w:val="es-CL" w:eastAsia="es-CL"/>
          </w:rPr>
          <w:tab/>
        </w:r>
        <w:r w:rsidR="00197B00" w:rsidRPr="005452F8">
          <w:rPr>
            <w:rStyle w:val="Hipervnculo"/>
          </w:rPr>
          <w:t>Proceso: comercial y regulación</w:t>
        </w:r>
        <w:r w:rsidR="00197B00">
          <w:rPr>
            <w:webHidden/>
          </w:rPr>
          <w:tab/>
        </w:r>
        <w:r w:rsidR="00197B00">
          <w:rPr>
            <w:webHidden/>
          </w:rPr>
          <w:fldChar w:fldCharType="begin"/>
        </w:r>
        <w:r w:rsidR="00197B00">
          <w:rPr>
            <w:webHidden/>
          </w:rPr>
          <w:instrText xml:space="preserve"> PAGEREF _Toc39797785 \h </w:instrText>
        </w:r>
        <w:r w:rsidR="00197B00">
          <w:rPr>
            <w:webHidden/>
          </w:rPr>
        </w:r>
        <w:r w:rsidR="00197B00">
          <w:rPr>
            <w:webHidden/>
          </w:rPr>
          <w:fldChar w:fldCharType="separate"/>
        </w:r>
        <w:r w:rsidR="001F3E2E">
          <w:rPr>
            <w:webHidden/>
          </w:rPr>
          <w:t>75</w:t>
        </w:r>
        <w:r w:rsidR="00197B00">
          <w:rPr>
            <w:webHidden/>
          </w:rPr>
          <w:fldChar w:fldCharType="end"/>
        </w:r>
      </w:hyperlink>
    </w:p>
    <w:p w14:paraId="34DF12F7" w14:textId="77777777" w:rsidR="00197B00" w:rsidRDefault="0088072F">
      <w:pPr>
        <w:pStyle w:val="TDC4"/>
        <w:tabs>
          <w:tab w:val="left" w:pos="2552"/>
        </w:tabs>
        <w:rPr>
          <w:rFonts w:asciiTheme="minorHAnsi" w:eastAsiaTheme="minorEastAsia" w:hAnsiTheme="minorHAnsi" w:cstheme="minorBidi"/>
          <w:spacing w:val="0"/>
          <w:sz w:val="22"/>
          <w:szCs w:val="22"/>
          <w:lang w:val="es-CL" w:eastAsia="es-CL"/>
        </w:rPr>
      </w:pPr>
      <w:hyperlink w:anchor="_Toc39797786" w:history="1">
        <w:r w:rsidR="00197B00" w:rsidRPr="005452F8">
          <w:rPr>
            <w:rStyle w:val="Hipervnculo"/>
          </w:rPr>
          <w:t>6.2.3.4</w:t>
        </w:r>
        <w:r w:rsidR="00197B00">
          <w:rPr>
            <w:rFonts w:asciiTheme="minorHAnsi" w:eastAsiaTheme="minorEastAsia" w:hAnsiTheme="minorHAnsi" w:cstheme="minorBidi"/>
            <w:spacing w:val="0"/>
            <w:sz w:val="22"/>
            <w:szCs w:val="22"/>
            <w:lang w:val="es-CL" w:eastAsia="es-CL"/>
          </w:rPr>
          <w:tab/>
        </w:r>
        <w:r w:rsidR="00197B00" w:rsidRPr="005452F8">
          <w:rPr>
            <w:rStyle w:val="Hipervnculo"/>
          </w:rPr>
          <w:t>Proceso: planificación técnica y normas</w:t>
        </w:r>
        <w:r w:rsidR="00197B00">
          <w:rPr>
            <w:webHidden/>
          </w:rPr>
          <w:tab/>
        </w:r>
        <w:r w:rsidR="00197B00">
          <w:rPr>
            <w:webHidden/>
          </w:rPr>
          <w:fldChar w:fldCharType="begin"/>
        </w:r>
        <w:r w:rsidR="00197B00">
          <w:rPr>
            <w:webHidden/>
          </w:rPr>
          <w:instrText xml:space="preserve"> PAGEREF _Toc39797786 \h </w:instrText>
        </w:r>
        <w:r w:rsidR="00197B00">
          <w:rPr>
            <w:webHidden/>
          </w:rPr>
        </w:r>
        <w:r w:rsidR="00197B00">
          <w:rPr>
            <w:webHidden/>
          </w:rPr>
          <w:fldChar w:fldCharType="separate"/>
        </w:r>
        <w:r w:rsidR="001F3E2E">
          <w:rPr>
            <w:webHidden/>
          </w:rPr>
          <w:t>76</w:t>
        </w:r>
        <w:r w:rsidR="00197B00">
          <w:rPr>
            <w:webHidden/>
          </w:rPr>
          <w:fldChar w:fldCharType="end"/>
        </w:r>
      </w:hyperlink>
    </w:p>
    <w:p w14:paraId="6CE752BD" w14:textId="77777777" w:rsidR="00197B00" w:rsidRDefault="0088072F">
      <w:pPr>
        <w:pStyle w:val="TDC4"/>
        <w:tabs>
          <w:tab w:val="left" w:pos="2552"/>
        </w:tabs>
        <w:rPr>
          <w:rFonts w:asciiTheme="minorHAnsi" w:eastAsiaTheme="minorEastAsia" w:hAnsiTheme="minorHAnsi" w:cstheme="minorBidi"/>
          <w:spacing w:val="0"/>
          <w:sz w:val="22"/>
          <w:szCs w:val="22"/>
          <w:lang w:val="es-CL" w:eastAsia="es-CL"/>
        </w:rPr>
      </w:pPr>
      <w:hyperlink w:anchor="_Toc39797787" w:history="1">
        <w:r w:rsidR="00197B00" w:rsidRPr="005452F8">
          <w:rPr>
            <w:rStyle w:val="Hipervnculo"/>
          </w:rPr>
          <w:t>6.2.3.5</w:t>
        </w:r>
        <w:r w:rsidR="00197B00">
          <w:rPr>
            <w:rFonts w:asciiTheme="minorHAnsi" w:eastAsiaTheme="minorEastAsia" w:hAnsiTheme="minorHAnsi" w:cstheme="minorBidi"/>
            <w:spacing w:val="0"/>
            <w:sz w:val="22"/>
            <w:szCs w:val="22"/>
            <w:lang w:val="es-CL" w:eastAsia="es-CL"/>
          </w:rPr>
          <w:tab/>
        </w:r>
        <w:r w:rsidR="00197B00" w:rsidRPr="005452F8">
          <w:rPr>
            <w:rStyle w:val="Hipervnculo"/>
          </w:rPr>
          <w:t>Proceso: explotación</w:t>
        </w:r>
        <w:r w:rsidR="00197B00">
          <w:rPr>
            <w:webHidden/>
          </w:rPr>
          <w:tab/>
        </w:r>
        <w:r w:rsidR="00197B00">
          <w:rPr>
            <w:webHidden/>
          </w:rPr>
          <w:fldChar w:fldCharType="begin"/>
        </w:r>
        <w:r w:rsidR="00197B00">
          <w:rPr>
            <w:webHidden/>
          </w:rPr>
          <w:instrText xml:space="preserve"> PAGEREF _Toc39797787 \h </w:instrText>
        </w:r>
        <w:r w:rsidR="00197B00">
          <w:rPr>
            <w:webHidden/>
          </w:rPr>
        </w:r>
        <w:r w:rsidR="00197B00">
          <w:rPr>
            <w:webHidden/>
          </w:rPr>
          <w:fldChar w:fldCharType="separate"/>
        </w:r>
        <w:r w:rsidR="001F3E2E">
          <w:rPr>
            <w:webHidden/>
          </w:rPr>
          <w:t>76</w:t>
        </w:r>
        <w:r w:rsidR="00197B00">
          <w:rPr>
            <w:webHidden/>
          </w:rPr>
          <w:fldChar w:fldCharType="end"/>
        </w:r>
      </w:hyperlink>
    </w:p>
    <w:p w14:paraId="015E01AB" w14:textId="77777777" w:rsidR="00197B00" w:rsidRDefault="0088072F">
      <w:pPr>
        <w:pStyle w:val="TDC3"/>
        <w:tabs>
          <w:tab w:val="left" w:pos="2552"/>
        </w:tabs>
        <w:rPr>
          <w:rFonts w:asciiTheme="minorHAnsi" w:eastAsiaTheme="minorEastAsia" w:hAnsiTheme="minorHAnsi" w:cstheme="minorBidi"/>
          <w:sz w:val="22"/>
          <w:szCs w:val="22"/>
          <w:lang w:eastAsia="es-CL"/>
        </w:rPr>
      </w:pPr>
      <w:hyperlink w:anchor="_Toc39797788" w:history="1">
        <w:r w:rsidR="00197B00" w:rsidRPr="005452F8">
          <w:rPr>
            <w:rStyle w:val="Hipervnculo"/>
          </w:rPr>
          <w:t>6.2.4</w:t>
        </w:r>
        <w:r w:rsidR="00197B00">
          <w:rPr>
            <w:rFonts w:asciiTheme="minorHAnsi" w:eastAsiaTheme="minorEastAsia" w:hAnsiTheme="minorHAnsi" w:cstheme="minorBidi"/>
            <w:sz w:val="22"/>
            <w:szCs w:val="22"/>
            <w:lang w:eastAsia="es-CL"/>
          </w:rPr>
          <w:tab/>
        </w:r>
        <w:r w:rsidR="00197B00" w:rsidRPr="005452F8">
          <w:rPr>
            <w:rStyle w:val="Hipervnculo"/>
          </w:rPr>
          <w:t>Diseño y dimensionamiento de las actividades de operación y mantenimiento en terreno</w:t>
        </w:r>
        <w:r w:rsidR="00197B00">
          <w:rPr>
            <w:webHidden/>
          </w:rPr>
          <w:tab/>
        </w:r>
        <w:r w:rsidR="00197B00">
          <w:rPr>
            <w:webHidden/>
          </w:rPr>
          <w:fldChar w:fldCharType="begin"/>
        </w:r>
        <w:r w:rsidR="00197B00">
          <w:rPr>
            <w:webHidden/>
          </w:rPr>
          <w:instrText xml:space="preserve"> PAGEREF _Toc39797788 \h </w:instrText>
        </w:r>
        <w:r w:rsidR="00197B00">
          <w:rPr>
            <w:webHidden/>
          </w:rPr>
        </w:r>
        <w:r w:rsidR="00197B00">
          <w:rPr>
            <w:webHidden/>
          </w:rPr>
          <w:fldChar w:fldCharType="separate"/>
        </w:r>
        <w:r w:rsidR="001F3E2E">
          <w:rPr>
            <w:webHidden/>
          </w:rPr>
          <w:t>78</w:t>
        </w:r>
        <w:r w:rsidR="00197B00">
          <w:rPr>
            <w:webHidden/>
          </w:rPr>
          <w:fldChar w:fldCharType="end"/>
        </w:r>
      </w:hyperlink>
    </w:p>
    <w:p w14:paraId="0E72AAE8" w14:textId="77777777" w:rsidR="00197B00" w:rsidRDefault="0088072F">
      <w:pPr>
        <w:pStyle w:val="TDC4"/>
        <w:tabs>
          <w:tab w:val="left" w:pos="2552"/>
        </w:tabs>
        <w:rPr>
          <w:rFonts w:asciiTheme="minorHAnsi" w:eastAsiaTheme="minorEastAsia" w:hAnsiTheme="minorHAnsi" w:cstheme="minorBidi"/>
          <w:spacing w:val="0"/>
          <w:sz w:val="22"/>
          <w:szCs w:val="22"/>
          <w:lang w:val="es-CL" w:eastAsia="es-CL"/>
        </w:rPr>
      </w:pPr>
      <w:hyperlink w:anchor="_Toc39797789" w:history="1">
        <w:r w:rsidR="00197B00" w:rsidRPr="005452F8">
          <w:rPr>
            <w:rStyle w:val="Hipervnculo"/>
          </w:rPr>
          <w:t>6.2.4.1</w:t>
        </w:r>
        <w:r w:rsidR="00197B00">
          <w:rPr>
            <w:rFonts w:asciiTheme="minorHAnsi" w:eastAsiaTheme="minorEastAsia" w:hAnsiTheme="minorHAnsi" w:cstheme="minorBidi"/>
            <w:spacing w:val="0"/>
            <w:sz w:val="22"/>
            <w:szCs w:val="22"/>
            <w:lang w:val="es-CL" w:eastAsia="es-CL"/>
          </w:rPr>
          <w:tab/>
        </w:r>
        <w:r w:rsidR="00197B00" w:rsidRPr="005452F8">
          <w:rPr>
            <w:rStyle w:val="Hipervnculo"/>
          </w:rPr>
          <w:t>Definición de las cuadrillas de terreno</w:t>
        </w:r>
        <w:r w:rsidR="00197B00">
          <w:rPr>
            <w:webHidden/>
          </w:rPr>
          <w:tab/>
        </w:r>
        <w:r w:rsidR="00197B00">
          <w:rPr>
            <w:webHidden/>
          </w:rPr>
          <w:fldChar w:fldCharType="begin"/>
        </w:r>
        <w:r w:rsidR="00197B00">
          <w:rPr>
            <w:webHidden/>
          </w:rPr>
          <w:instrText xml:space="preserve"> PAGEREF _Toc39797789 \h </w:instrText>
        </w:r>
        <w:r w:rsidR="00197B00">
          <w:rPr>
            <w:webHidden/>
          </w:rPr>
        </w:r>
        <w:r w:rsidR="00197B00">
          <w:rPr>
            <w:webHidden/>
          </w:rPr>
          <w:fldChar w:fldCharType="separate"/>
        </w:r>
        <w:r w:rsidR="001F3E2E">
          <w:rPr>
            <w:webHidden/>
          </w:rPr>
          <w:t>82</w:t>
        </w:r>
        <w:r w:rsidR="00197B00">
          <w:rPr>
            <w:webHidden/>
          </w:rPr>
          <w:fldChar w:fldCharType="end"/>
        </w:r>
      </w:hyperlink>
    </w:p>
    <w:p w14:paraId="60133915" w14:textId="77777777" w:rsidR="00197B00" w:rsidRDefault="0088072F">
      <w:pPr>
        <w:pStyle w:val="TDC4"/>
        <w:tabs>
          <w:tab w:val="left" w:pos="2552"/>
        </w:tabs>
        <w:rPr>
          <w:rFonts w:asciiTheme="minorHAnsi" w:eastAsiaTheme="minorEastAsia" w:hAnsiTheme="minorHAnsi" w:cstheme="minorBidi"/>
          <w:spacing w:val="0"/>
          <w:sz w:val="22"/>
          <w:szCs w:val="22"/>
          <w:lang w:val="es-CL" w:eastAsia="es-CL"/>
        </w:rPr>
      </w:pPr>
      <w:hyperlink w:anchor="_Toc39797790" w:history="1">
        <w:r w:rsidR="00197B00" w:rsidRPr="005452F8">
          <w:rPr>
            <w:rStyle w:val="Hipervnculo"/>
          </w:rPr>
          <w:t>6.2.4.2</w:t>
        </w:r>
        <w:r w:rsidR="00197B00">
          <w:rPr>
            <w:rFonts w:asciiTheme="minorHAnsi" w:eastAsiaTheme="minorEastAsia" w:hAnsiTheme="minorHAnsi" w:cstheme="minorBidi"/>
            <w:spacing w:val="0"/>
            <w:sz w:val="22"/>
            <w:szCs w:val="22"/>
            <w:lang w:val="es-CL" w:eastAsia="es-CL"/>
          </w:rPr>
          <w:tab/>
        </w:r>
        <w:r w:rsidR="00197B00" w:rsidRPr="005452F8">
          <w:rPr>
            <w:rStyle w:val="Hipervnculo"/>
          </w:rPr>
          <w:t>Tratamiento de las distancias recorridas para las faenas de OyM</w:t>
        </w:r>
        <w:r w:rsidR="00197B00">
          <w:rPr>
            <w:webHidden/>
          </w:rPr>
          <w:tab/>
        </w:r>
        <w:r w:rsidR="00197B00">
          <w:rPr>
            <w:webHidden/>
          </w:rPr>
          <w:fldChar w:fldCharType="begin"/>
        </w:r>
        <w:r w:rsidR="00197B00">
          <w:rPr>
            <w:webHidden/>
          </w:rPr>
          <w:instrText xml:space="preserve"> PAGEREF _Toc39797790 \h </w:instrText>
        </w:r>
        <w:r w:rsidR="00197B00">
          <w:rPr>
            <w:webHidden/>
          </w:rPr>
        </w:r>
        <w:r w:rsidR="00197B00">
          <w:rPr>
            <w:webHidden/>
          </w:rPr>
          <w:fldChar w:fldCharType="separate"/>
        </w:r>
        <w:r w:rsidR="001F3E2E">
          <w:rPr>
            <w:webHidden/>
          </w:rPr>
          <w:t>85</w:t>
        </w:r>
        <w:r w:rsidR="00197B00">
          <w:rPr>
            <w:webHidden/>
          </w:rPr>
          <w:fldChar w:fldCharType="end"/>
        </w:r>
      </w:hyperlink>
    </w:p>
    <w:p w14:paraId="5C81C5D0" w14:textId="77777777" w:rsidR="00197B00" w:rsidRDefault="0088072F">
      <w:pPr>
        <w:pStyle w:val="TDC3"/>
        <w:tabs>
          <w:tab w:val="left" w:pos="2552"/>
        </w:tabs>
        <w:rPr>
          <w:rFonts w:asciiTheme="minorHAnsi" w:eastAsiaTheme="minorEastAsia" w:hAnsiTheme="minorHAnsi" w:cstheme="minorBidi"/>
          <w:sz w:val="22"/>
          <w:szCs w:val="22"/>
          <w:lang w:eastAsia="es-CL"/>
        </w:rPr>
      </w:pPr>
      <w:hyperlink w:anchor="_Toc39797791" w:history="1">
        <w:r w:rsidR="00197B00" w:rsidRPr="005452F8">
          <w:rPr>
            <w:rStyle w:val="Hipervnculo"/>
          </w:rPr>
          <w:t>6.2.5</w:t>
        </w:r>
        <w:r w:rsidR="00197B00">
          <w:rPr>
            <w:rFonts w:asciiTheme="minorHAnsi" w:eastAsiaTheme="minorEastAsia" w:hAnsiTheme="minorHAnsi" w:cstheme="minorBidi"/>
            <w:sz w:val="22"/>
            <w:szCs w:val="22"/>
            <w:lang w:eastAsia="es-CL"/>
          </w:rPr>
          <w:tab/>
        </w:r>
        <w:r w:rsidR="00197B00" w:rsidRPr="005452F8">
          <w:rPr>
            <w:rStyle w:val="Hipervnculo"/>
          </w:rPr>
          <w:t>Remuneraciones</w:t>
        </w:r>
        <w:r w:rsidR="00197B00">
          <w:rPr>
            <w:webHidden/>
          </w:rPr>
          <w:tab/>
        </w:r>
        <w:r w:rsidR="00197B00">
          <w:rPr>
            <w:webHidden/>
          </w:rPr>
          <w:fldChar w:fldCharType="begin"/>
        </w:r>
        <w:r w:rsidR="00197B00">
          <w:rPr>
            <w:webHidden/>
          </w:rPr>
          <w:instrText xml:space="preserve"> PAGEREF _Toc39797791 \h </w:instrText>
        </w:r>
        <w:r w:rsidR="00197B00">
          <w:rPr>
            <w:webHidden/>
          </w:rPr>
        </w:r>
        <w:r w:rsidR="00197B00">
          <w:rPr>
            <w:webHidden/>
          </w:rPr>
          <w:fldChar w:fldCharType="separate"/>
        </w:r>
        <w:r w:rsidR="001F3E2E">
          <w:rPr>
            <w:webHidden/>
          </w:rPr>
          <w:t>88</w:t>
        </w:r>
        <w:r w:rsidR="00197B00">
          <w:rPr>
            <w:webHidden/>
          </w:rPr>
          <w:fldChar w:fldCharType="end"/>
        </w:r>
      </w:hyperlink>
    </w:p>
    <w:p w14:paraId="798EA35C" w14:textId="77777777" w:rsidR="00197B00" w:rsidRDefault="0088072F">
      <w:pPr>
        <w:pStyle w:val="TDC4"/>
        <w:tabs>
          <w:tab w:val="left" w:pos="2552"/>
        </w:tabs>
        <w:rPr>
          <w:rFonts w:asciiTheme="minorHAnsi" w:eastAsiaTheme="minorEastAsia" w:hAnsiTheme="minorHAnsi" w:cstheme="minorBidi"/>
          <w:spacing w:val="0"/>
          <w:sz w:val="22"/>
          <w:szCs w:val="22"/>
          <w:lang w:val="es-CL" w:eastAsia="es-CL"/>
        </w:rPr>
      </w:pPr>
      <w:hyperlink w:anchor="_Toc39797792" w:history="1">
        <w:r w:rsidR="00197B00" w:rsidRPr="005452F8">
          <w:rPr>
            <w:rStyle w:val="Hipervnculo"/>
          </w:rPr>
          <w:t>6.2.5.1</w:t>
        </w:r>
        <w:r w:rsidR="00197B00">
          <w:rPr>
            <w:rFonts w:asciiTheme="minorHAnsi" w:eastAsiaTheme="minorEastAsia" w:hAnsiTheme="minorHAnsi" w:cstheme="minorBidi"/>
            <w:spacing w:val="0"/>
            <w:sz w:val="22"/>
            <w:szCs w:val="22"/>
            <w:lang w:val="es-CL" w:eastAsia="es-CL"/>
          </w:rPr>
          <w:tab/>
        </w:r>
        <w:r w:rsidR="00197B00" w:rsidRPr="005452F8">
          <w:rPr>
            <w:rStyle w:val="Hipervnculo"/>
          </w:rPr>
          <w:t>Introducción</w:t>
        </w:r>
        <w:r w:rsidR="00197B00">
          <w:rPr>
            <w:webHidden/>
          </w:rPr>
          <w:tab/>
        </w:r>
        <w:r w:rsidR="00197B00">
          <w:rPr>
            <w:webHidden/>
          </w:rPr>
          <w:fldChar w:fldCharType="begin"/>
        </w:r>
        <w:r w:rsidR="00197B00">
          <w:rPr>
            <w:webHidden/>
          </w:rPr>
          <w:instrText xml:space="preserve"> PAGEREF _Toc39797792 \h </w:instrText>
        </w:r>
        <w:r w:rsidR="00197B00">
          <w:rPr>
            <w:webHidden/>
          </w:rPr>
        </w:r>
        <w:r w:rsidR="00197B00">
          <w:rPr>
            <w:webHidden/>
          </w:rPr>
          <w:fldChar w:fldCharType="separate"/>
        </w:r>
        <w:r w:rsidR="001F3E2E">
          <w:rPr>
            <w:webHidden/>
          </w:rPr>
          <w:t>88</w:t>
        </w:r>
        <w:r w:rsidR="00197B00">
          <w:rPr>
            <w:webHidden/>
          </w:rPr>
          <w:fldChar w:fldCharType="end"/>
        </w:r>
      </w:hyperlink>
    </w:p>
    <w:p w14:paraId="701E08B7" w14:textId="77777777" w:rsidR="00197B00" w:rsidRDefault="0088072F">
      <w:pPr>
        <w:pStyle w:val="TDC4"/>
        <w:tabs>
          <w:tab w:val="left" w:pos="2552"/>
        </w:tabs>
        <w:rPr>
          <w:rFonts w:asciiTheme="minorHAnsi" w:eastAsiaTheme="minorEastAsia" w:hAnsiTheme="minorHAnsi" w:cstheme="minorBidi"/>
          <w:spacing w:val="0"/>
          <w:sz w:val="22"/>
          <w:szCs w:val="22"/>
          <w:lang w:val="es-CL" w:eastAsia="es-CL"/>
        </w:rPr>
      </w:pPr>
      <w:hyperlink w:anchor="_Toc39797793" w:history="1">
        <w:r w:rsidR="00197B00" w:rsidRPr="005452F8">
          <w:rPr>
            <w:rStyle w:val="Hipervnculo"/>
          </w:rPr>
          <w:t>6.2.5.2</w:t>
        </w:r>
        <w:r w:rsidR="00197B00">
          <w:rPr>
            <w:rFonts w:asciiTheme="minorHAnsi" w:eastAsiaTheme="minorEastAsia" w:hAnsiTheme="minorHAnsi" w:cstheme="minorBidi"/>
            <w:spacing w:val="0"/>
            <w:sz w:val="22"/>
            <w:szCs w:val="22"/>
            <w:lang w:val="es-CL" w:eastAsia="es-CL"/>
          </w:rPr>
          <w:tab/>
        </w:r>
        <w:r w:rsidR="00197B00" w:rsidRPr="005452F8">
          <w:rPr>
            <w:rStyle w:val="Hipervnculo"/>
          </w:rPr>
          <w:t>Metodología y Fuentes de Información</w:t>
        </w:r>
        <w:r w:rsidR="00197B00">
          <w:rPr>
            <w:webHidden/>
          </w:rPr>
          <w:tab/>
        </w:r>
        <w:r w:rsidR="00197B00">
          <w:rPr>
            <w:webHidden/>
          </w:rPr>
          <w:fldChar w:fldCharType="begin"/>
        </w:r>
        <w:r w:rsidR="00197B00">
          <w:rPr>
            <w:webHidden/>
          </w:rPr>
          <w:instrText xml:space="preserve"> PAGEREF _Toc39797793 \h </w:instrText>
        </w:r>
        <w:r w:rsidR="00197B00">
          <w:rPr>
            <w:webHidden/>
          </w:rPr>
        </w:r>
        <w:r w:rsidR="00197B00">
          <w:rPr>
            <w:webHidden/>
          </w:rPr>
          <w:fldChar w:fldCharType="separate"/>
        </w:r>
        <w:r w:rsidR="001F3E2E">
          <w:rPr>
            <w:webHidden/>
          </w:rPr>
          <w:t>88</w:t>
        </w:r>
        <w:r w:rsidR="00197B00">
          <w:rPr>
            <w:webHidden/>
          </w:rPr>
          <w:fldChar w:fldCharType="end"/>
        </w:r>
      </w:hyperlink>
    </w:p>
    <w:p w14:paraId="4B413DE7" w14:textId="77777777" w:rsidR="00197B00" w:rsidRDefault="0088072F">
      <w:pPr>
        <w:pStyle w:val="TDC4"/>
        <w:tabs>
          <w:tab w:val="left" w:pos="2552"/>
        </w:tabs>
        <w:rPr>
          <w:rFonts w:asciiTheme="minorHAnsi" w:eastAsiaTheme="minorEastAsia" w:hAnsiTheme="minorHAnsi" w:cstheme="minorBidi"/>
          <w:spacing w:val="0"/>
          <w:sz w:val="22"/>
          <w:szCs w:val="22"/>
          <w:lang w:val="es-CL" w:eastAsia="es-CL"/>
        </w:rPr>
      </w:pPr>
      <w:hyperlink w:anchor="_Toc39797794" w:history="1">
        <w:r w:rsidR="00197B00" w:rsidRPr="005452F8">
          <w:rPr>
            <w:rStyle w:val="Hipervnculo"/>
          </w:rPr>
          <w:t>6.2.5.3</w:t>
        </w:r>
        <w:r w:rsidR="00197B00">
          <w:rPr>
            <w:rFonts w:asciiTheme="minorHAnsi" w:eastAsiaTheme="minorEastAsia" w:hAnsiTheme="minorHAnsi" w:cstheme="minorBidi"/>
            <w:spacing w:val="0"/>
            <w:sz w:val="22"/>
            <w:szCs w:val="22"/>
            <w:lang w:val="es-CL" w:eastAsia="es-CL"/>
          </w:rPr>
          <w:tab/>
        </w:r>
        <w:r w:rsidR="00197B00" w:rsidRPr="005452F8">
          <w:rPr>
            <w:rStyle w:val="Hipervnculo"/>
          </w:rPr>
          <w:t>Fundamentación de la Muestra Propuesta</w:t>
        </w:r>
        <w:r w:rsidR="00197B00">
          <w:rPr>
            <w:webHidden/>
          </w:rPr>
          <w:tab/>
        </w:r>
        <w:r w:rsidR="00197B00">
          <w:rPr>
            <w:webHidden/>
          </w:rPr>
          <w:fldChar w:fldCharType="begin"/>
        </w:r>
        <w:r w:rsidR="00197B00">
          <w:rPr>
            <w:webHidden/>
          </w:rPr>
          <w:instrText xml:space="preserve"> PAGEREF _Toc39797794 \h </w:instrText>
        </w:r>
        <w:r w:rsidR="00197B00">
          <w:rPr>
            <w:webHidden/>
          </w:rPr>
        </w:r>
        <w:r w:rsidR="00197B00">
          <w:rPr>
            <w:webHidden/>
          </w:rPr>
          <w:fldChar w:fldCharType="separate"/>
        </w:r>
        <w:r w:rsidR="001F3E2E">
          <w:rPr>
            <w:webHidden/>
          </w:rPr>
          <w:t>90</w:t>
        </w:r>
        <w:r w:rsidR="00197B00">
          <w:rPr>
            <w:webHidden/>
          </w:rPr>
          <w:fldChar w:fldCharType="end"/>
        </w:r>
      </w:hyperlink>
    </w:p>
    <w:p w14:paraId="20F0B6A3" w14:textId="77777777" w:rsidR="00197B00" w:rsidRDefault="0088072F">
      <w:pPr>
        <w:pStyle w:val="TDC4"/>
        <w:tabs>
          <w:tab w:val="left" w:pos="2552"/>
        </w:tabs>
        <w:rPr>
          <w:rFonts w:asciiTheme="minorHAnsi" w:eastAsiaTheme="minorEastAsia" w:hAnsiTheme="minorHAnsi" w:cstheme="minorBidi"/>
          <w:spacing w:val="0"/>
          <w:sz w:val="22"/>
          <w:szCs w:val="22"/>
          <w:lang w:val="es-CL" w:eastAsia="es-CL"/>
        </w:rPr>
      </w:pPr>
      <w:hyperlink w:anchor="_Toc39797795" w:history="1">
        <w:r w:rsidR="00197B00" w:rsidRPr="005452F8">
          <w:rPr>
            <w:rStyle w:val="Hipervnculo"/>
          </w:rPr>
          <w:t>6.2.5.4</w:t>
        </w:r>
        <w:r w:rsidR="00197B00">
          <w:rPr>
            <w:rFonts w:asciiTheme="minorHAnsi" w:eastAsiaTheme="minorEastAsia" w:hAnsiTheme="minorHAnsi" w:cstheme="minorBidi"/>
            <w:spacing w:val="0"/>
            <w:sz w:val="22"/>
            <w:szCs w:val="22"/>
            <w:lang w:val="es-CL" w:eastAsia="es-CL"/>
          </w:rPr>
          <w:tab/>
        </w:r>
        <w:r w:rsidR="00197B00" w:rsidRPr="005452F8">
          <w:rPr>
            <w:rStyle w:val="Hipervnculo"/>
          </w:rPr>
          <w:t>Costos de personal de la EM</w:t>
        </w:r>
        <w:r w:rsidR="00197B00">
          <w:rPr>
            <w:webHidden/>
          </w:rPr>
          <w:tab/>
        </w:r>
        <w:r w:rsidR="00197B00">
          <w:rPr>
            <w:webHidden/>
          </w:rPr>
          <w:fldChar w:fldCharType="begin"/>
        </w:r>
        <w:r w:rsidR="00197B00">
          <w:rPr>
            <w:webHidden/>
          </w:rPr>
          <w:instrText xml:space="preserve"> PAGEREF _Toc39797795 \h </w:instrText>
        </w:r>
        <w:r w:rsidR="00197B00">
          <w:rPr>
            <w:webHidden/>
          </w:rPr>
        </w:r>
        <w:r w:rsidR="00197B00">
          <w:rPr>
            <w:webHidden/>
          </w:rPr>
          <w:fldChar w:fldCharType="separate"/>
        </w:r>
        <w:r w:rsidR="001F3E2E">
          <w:rPr>
            <w:webHidden/>
          </w:rPr>
          <w:t>91</w:t>
        </w:r>
        <w:r w:rsidR="00197B00">
          <w:rPr>
            <w:webHidden/>
          </w:rPr>
          <w:fldChar w:fldCharType="end"/>
        </w:r>
      </w:hyperlink>
    </w:p>
    <w:p w14:paraId="4D9B5E62" w14:textId="77777777" w:rsidR="00197B00" w:rsidRDefault="0088072F">
      <w:pPr>
        <w:pStyle w:val="TDC4"/>
        <w:tabs>
          <w:tab w:val="left" w:pos="2552"/>
        </w:tabs>
        <w:rPr>
          <w:rFonts w:asciiTheme="minorHAnsi" w:eastAsiaTheme="minorEastAsia" w:hAnsiTheme="minorHAnsi" w:cstheme="minorBidi"/>
          <w:spacing w:val="0"/>
          <w:sz w:val="22"/>
          <w:szCs w:val="22"/>
          <w:lang w:val="es-CL" w:eastAsia="es-CL"/>
        </w:rPr>
      </w:pPr>
      <w:hyperlink w:anchor="_Toc39797796" w:history="1">
        <w:r w:rsidR="00197B00" w:rsidRPr="005452F8">
          <w:rPr>
            <w:rStyle w:val="Hipervnculo"/>
          </w:rPr>
          <w:t>6.2.5.5</w:t>
        </w:r>
        <w:r w:rsidR="00197B00">
          <w:rPr>
            <w:rFonts w:asciiTheme="minorHAnsi" w:eastAsiaTheme="minorEastAsia" w:hAnsiTheme="minorHAnsi" w:cstheme="minorBidi"/>
            <w:spacing w:val="0"/>
            <w:sz w:val="22"/>
            <w:szCs w:val="22"/>
            <w:lang w:val="es-CL" w:eastAsia="es-CL"/>
          </w:rPr>
          <w:tab/>
        </w:r>
        <w:r w:rsidR="00197B00" w:rsidRPr="005452F8">
          <w:rPr>
            <w:rStyle w:val="Hipervnculo"/>
          </w:rPr>
          <w:t>Homologación de cargos</w:t>
        </w:r>
        <w:r w:rsidR="00197B00">
          <w:rPr>
            <w:webHidden/>
          </w:rPr>
          <w:tab/>
        </w:r>
        <w:r w:rsidR="00197B00">
          <w:rPr>
            <w:webHidden/>
          </w:rPr>
          <w:fldChar w:fldCharType="begin"/>
        </w:r>
        <w:r w:rsidR="00197B00">
          <w:rPr>
            <w:webHidden/>
          </w:rPr>
          <w:instrText xml:space="preserve"> PAGEREF _Toc39797796 \h </w:instrText>
        </w:r>
        <w:r w:rsidR="00197B00">
          <w:rPr>
            <w:webHidden/>
          </w:rPr>
        </w:r>
        <w:r w:rsidR="00197B00">
          <w:rPr>
            <w:webHidden/>
          </w:rPr>
          <w:fldChar w:fldCharType="separate"/>
        </w:r>
        <w:r w:rsidR="001F3E2E">
          <w:rPr>
            <w:webHidden/>
          </w:rPr>
          <w:t>95</w:t>
        </w:r>
        <w:r w:rsidR="00197B00">
          <w:rPr>
            <w:webHidden/>
          </w:rPr>
          <w:fldChar w:fldCharType="end"/>
        </w:r>
      </w:hyperlink>
    </w:p>
    <w:p w14:paraId="5C80C744" w14:textId="77777777" w:rsidR="00197B00" w:rsidRDefault="0088072F">
      <w:pPr>
        <w:pStyle w:val="TDC4"/>
        <w:tabs>
          <w:tab w:val="left" w:pos="2552"/>
        </w:tabs>
        <w:rPr>
          <w:rFonts w:asciiTheme="minorHAnsi" w:eastAsiaTheme="minorEastAsia" w:hAnsiTheme="minorHAnsi" w:cstheme="minorBidi"/>
          <w:spacing w:val="0"/>
          <w:sz w:val="22"/>
          <w:szCs w:val="22"/>
          <w:lang w:val="es-CL" w:eastAsia="es-CL"/>
        </w:rPr>
      </w:pPr>
      <w:hyperlink w:anchor="_Toc39797797" w:history="1">
        <w:r w:rsidR="00197B00" w:rsidRPr="005452F8">
          <w:rPr>
            <w:rStyle w:val="Hipervnculo"/>
          </w:rPr>
          <w:t>6.2.5.6</w:t>
        </w:r>
        <w:r w:rsidR="00197B00">
          <w:rPr>
            <w:rFonts w:asciiTheme="minorHAnsi" w:eastAsiaTheme="minorEastAsia" w:hAnsiTheme="minorHAnsi" w:cstheme="minorBidi"/>
            <w:spacing w:val="0"/>
            <w:sz w:val="22"/>
            <w:szCs w:val="22"/>
            <w:lang w:val="es-CL" w:eastAsia="es-CL"/>
          </w:rPr>
          <w:tab/>
        </w:r>
        <w:r w:rsidR="00197B00" w:rsidRPr="005452F8">
          <w:rPr>
            <w:rStyle w:val="Hipervnculo"/>
          </w:rPr>
          <w:t>Régimen de horas extras y guardias pasiva</w:t>
        </w:r>
        <w:r w:rsidR="00197B00">
          <w:rPr>
            <w:webHidden/>
          </w:rPr>
          <w:tab/>
        </w:r>
        <w:r w:rsidR="00197B00">
          <w:rPr>
            <w:webHidden/>
          </w:rPr>
          <w:fldChar w:fldCharType="begin"/>
        </w:r>
        <w:r w:rsidR="00197B00">
          <w:rPr>
            <w:webHidden/>
          </w:rPr>
          <w:instrText xml:space="preserve"> PAGEREF _Toc39797797 \h </w:instrText>
        </w:r>
        <w:r w:rsidR="00197B00">
          <w:rPr>
            <w:webHidden/>
          </w:rPr>
        </w:r>
        <w:r w:rsidR="00197B00">
          <w:rPr>
            <w:webHidden/>
          </w:rPr>
          <w:fldChar w:fldCharType="separate"/>
        </w:r>
        <w:r w:rsidR="001F3E2E">
          <w:rPr>
            <w:webHidden/>
          </w:rPr>
          <w:t>96</w:t>
        </w:r>
        <w:r w:rsidR="00197B00">
          <w:rPr>
            <w:webHidden/>
          </w:rPr>
          <w:fldChar w:fldCharType="end"/>
        </w:r>
      </w:hyperlink>
    </w:p>
    <w:p w14:paraId="53696A99" w14:textId="77777777" w:rsidR="00197B00" w:rsidRDefault="0088072F">
      <w:pPr>
        <w:pStyle w:val="TDC3"/>
        <w:tabs>
          <w:tab w:val="left" w:pos="2552"/>
        </w:tabs>
        <w:rPr>
          <w:rFonts w:asciiTheme="minorHAnsi" w:eastAsiaTheme="minorEastAsia" w:hAnsiTheme="minorHAnsi" w:cstheme="minorBidi"/>
          <w:sz w:val="22"/>
          <w:szCs w:val="22"/>
          <w:lang w:eastAsia="es-CL"/>
        </w:rPr>
      </w:pPr>
      <w:hyperlink w:anchor="_Toc39797798" w:history="1">
        <w:r w:rsidR="00197B00" w:rsidRPr="005452F8">
          <w:rPr>
            <w:rStyle w:val="Hipervnculo"/>
          </w:rPr>
          <w:t>6.2.6</w:t>
        </w:r>
        <w:r w:rsidR="00197B00">
          <w:rPr>
            <w:rFonts w:asciiTheme="minorHAnsi" w:eastAsiaTheme="minorEastAsia" w:hAnsiTheme="minorHAnsi" w:cstheme="minorBidi"/>
            <w:sz w:val="22"/>
            <w:szCs w:val="22"/>
            <w:lang w:eastAsia="es-CL"/>
          </w:rPr>
          <w:tab/>
        </w:r>
        <w:r w:rsidR="00197B00" w:rsidRPr="005452F8">
          <w:rPr>
            <w:rStyle w:val="Hipervnculo"/>
          </w:rPr>
          <w:t>Costos de rotación del personal</w:t>
        </w:r>
        <w:r w:rsidR="00197B00">
          <w:rPr>
            <w:webHidden/>
          </w:rPr>
          <w:tab/>
        </w:r>
        <w:r w:rsidR="00197B00">
          <w:rPr>
            <w:webHidden/>
          </w:rPr>
          <w:fldChar w:fldCharType="begin"/>
        </w:r>
        <w:r w:rsidR="00197B00">
          <w:rPr>
            <w:webHidden/>
          </w:rPr>
          <w:instrText xml:space="preserve"> PAGEREF _Toc39797798 \h </w:instrText>
        </w:r>
        <w:r w:rsidR="00197B00">
          <w:rPr>
            <w:webHidden/>
          </w:rPr>
        </w:r>
        <w:r w:rsidR="00197B00">
          <w:rPr>
            <w:webHidden/>
          </w:rPr>
          <w:fldChar w:fldCharType="separate"/>
        </w:r>
        <w:r w:rsidR="001F3E2E">
          <w:rPr>
            <w:webHidden/>
          </w:rPr>
          <w:t>98</w:t>
        </w:r>
        <w:r w:rsidR="00197B00">
          <w:rPr>
            <w:webHidden/>
          </w:rPr>
          <w:fldChar w:fldCharType="end"/>
        </w:r>
      </w:hyperlink>
    </w:p>
    <w:p w14:paraId="0E2B42D5" w14:textId="77777777" w:rsidR="00197B00" w:rsidRDefault="0088072F">
      <w:pPr>
        <w:pStyle w:val="TDC3"/>
        <w:tabs>
          <w:tab w:val="left" w:pos="2552"/>
        </w:tabs>
        <w:rPr>
          <w:rFonts w:asciiTheme="minorHAnsi" w:eastAsiaTheme="minorEastAsia" w:hAnsiTheme="minorHAnsi" w:cstheme="minorBidi"/>
          <w:sz w:val="22"/>
          <w:szCs w:val="22"/>
          <w:lang w:eastAsia="es-CL"/>
        </w:rPr>
      </w:pPr>
      <w:hyperlink w:anchor="_Toc39797799" w:history="1">
        <w:r w:rsidR="00197B00" w:rsidRPr="005452F8">
          <w:rPr>
            <w:rStyle w:val="Hipervnculo"/>
          </w:rPr>
          <w:t>6.2.7</w:t>
        </w:r>
        <w:r w:rsidR="00197B00">
          <w:rPr>
            <w:rFonts w:asciiTheme="minorHAnsi" w:eastAsiaTheme="minorEastAsia" w:hAnsiTheme="minorHAnsi" w:cstheme="minorBidi"/>
            <w:sz w:val="22"/>
            <w:szCs w:val="22"/>
            <w:lang w:eastAsia="es-CL"/>
          </w:rPr>
          <w:tab/>
        </w:r>
        <w:r w:rsidR="00197B00" w:rsidRPr="005452F8">
          <w:rPr>
            <w:rStyle w:val="Hipervnculo"/>
          </w:rPr>
          <w:t>Análisis de tercerización de actividades</w:t>
        </w:r>
        <w:r w:rsidR="00197B00">
          <w:rPr>
            <w:webHidden/>
          </w:rPr>
          <w:tab/>
        </w:r>
        <w:r w:rsidR="00197B00">
          <w:rPr>
            <w:webHidden/>
          </w:rPr>
          <w:fldChar w:fldCharType="begin"/>
        </w:r>
        <w:r w:rsidR="00197B00">
          <w:rPr>
            <w:webHidden/>
          </w:rPr>
          <w:instrText xml:space="preserve"> PAGEREF _Toc39797799 \h </w:instrText>
        </w:r>
        <w:r w:rsidR="00197B00">
          <w:rPr>
            <w:webHidden/>
          </w:rPr>
        </w:r>
        <w:r w:rsidR="00197B00">
          <w:rPr>
            <w:webHidden/>
          </w:rPr>
          <w:fldChar w:fldCharType="separate"/>
        </w:r>
        <w:r w:rsidR="001F3E2E">
          <w:rPr>
            <w:webHidden/>
          </w:rPr>
          <w:t>98</w:t>
        </w:r>
        <w:r w:rsidR="00197B00">
          <w:rPr>
            <w:webHidden/>
          </w:rPr>
          <w:fldChar w:fldCharType="end"/>
        </w:r>
      </w:hyperlink>
    </w:p>
    <w:p w14:paraId="2CAF914A" w14:textId="77777777" w:rsidR="00197B00" w:rsidRDefault="0088072F">
      <w:pPr>
        <w:pStyle w:val="TDC4"/>
        <w:tabs>
          <w:tab w:val="left" w:pos="2552"/>
        </w:tabs>
        <w:rPr>
          <w:rFonts w:asciiTheme="minorHAnsi" w:eastAsiaTheme="minorEastAsia" w:hAnsiTheme="minorHAnsi" w:cstheme="minorBidi"/>
          <w:spacing w:val="0"/>
          <w:sz w:val="22"/>
          <w:szCs w:val="22"/>
          <w:lang w:val="es-CL" w:eastAsia="es-CL"/>
        </w:rPr>
      </w:pPr>
      <w:hyperlink w:anchor="_Toc39797800" w:history="1">
        <w:r w:rsidR="00197B00" w:rsidRPr="005452F8">
          <w:rPr>
            <w:rStyle w:val="Hipervnculo"/>
          </w:rPr>
          <w:t>6.2.7.1</w:t>
        </w:r>
        <w:r w:rsidR="00197B00">
          <w:rPr>
            <w:rFonts w:asciiTheme="minorHAnsi" w:eastAsiaTheme="minorEastAsia" w:hAnsiTheme="minorHAnsi" w:cstheme="minorBidi"/>
            <w:spacing w:val="0"/>
            <w:sz w:val="22"/>
            <w:szCs w:val="22"/>
            <w:lang w:val="es-CL" w:eastAsia="es-CL"/>
          </w:rPr>
          <w:tab/>
        </w:r>
        <w:r w:rsidR="00197B00" w:rsidRPr="005452F8">
          <w:rPr>
            <w:rStyle w:val="Hipervnculo"/>
          </w:rPr>
          <w:t>Análisis de la importancia estratégica</w:t>
        </w:r>
        <w:r w:rsidR="00197B00">
          <w:rPr>
            <w:webHidden/>
          </w:rPr>
          <w:tab/>
        </w:r>
        <w:r w:rsidR="00197B00">
          <w:rPr>
            <w:webHidden/>
          </w:rPr>
          <w:fldChar w:fldCharType="begin"/>
        </w:r>
        <w:r w:rsidR="00197B00">
          <w:rPr>
            <w:webHidden/>
          </w:rPr>
          <w:instrText xml:space="preserve"> PAGEREF _Toc39797800 \h </w:instrText>
        </w:r>
        <w:r w:rsidR="00197B00">
          <w:rPr>
            <w:webHidden/>
          </w:rPr>
        </w:r>
        <w:r w:rsidR="00197B00">
          <w:rPr>
            <w:webHidden/>
          </w:rPr>
          <w:fldChar w:fldCharType="separate"/>
        </w:r>
        <w:r w:rsidR="001F3E2E">
          <w:rPr>
            <w:webHidden/>
          </w:rPr>
          <w:t>99</w:t>
        </w:r>
        <w:r w:rsidR="00197B00">
          <w:rPr>
            <w:webHidden/>
          </w:rPr>
          <w:fldChar w:fldCharType="end"/>
        </w:r>
      </w:hyperlink>
    </w:p>
    <w:p w14:paraId="6665884A" w14:textId="77777777" w:rsidR="00197B00" w:rsidRDefault="0088072F">
      <w:pPr>
        <w:pStyle w:val="TDC4"/>
        <w:tabs>
          <w:tab w:val="left" w:pos="2552"/>
        </w:tabs>
        <w:rPr>
          <w:rFonts w:asciiTheme="minorHAnsi" w:eastAsiaTheme="minorEastAsia" w:hAnsiTheme="minorHAnsi" w:cstheme="minorBidi"/>
          <w:spacing w:val="0"/>
          <w:sz w:val="22"/>
          <w:szCs w:val="22"/>
          <w:lang w:val="es-CL" w:eastAsia="es-CL"/>
        </w:rPr>
      </w:pPr>
      <w:hyperlink w:anchor="_Toc39797801" w:history="1">
        <w:r w:rsidR="00197B00" w:rsidRPr="005452F8">
          <w:rPr>
            <w:rStyle w:val="Hipervnculo"/>
          </w:rPr>
          <w:t>6.2.7.2</w:t>
        </w:r>
        <w:r w:rsidR="00197B00">
          <w:rPr>
            <w:rFonts w:asciiTheme="minorHAnsi" w:eastAsiaTheme="minorEastAsia" w:hAnsiTheme="minorHAnsi" w:cstheme="minorBidi"/>
            <w:spacing w:val="0"/>
            <w:sz w:val="22"/>
            <w:szCs w:val="22"/>
            <w:lang w:val="es-CL" w:eastAsia="es-CL"/>
          </w:rPr>
          <w:tab/>
        </w:r>
        <w:r w:rsidR="00197B00" w:rsidRPr="005452F8">
          <w:rPr>
            <w:rStyle w:val="Hipervnculo"/>
          </w:rPr>
          <w:t>Análisis de la conveniencia económica</w:t>
        </w:r>
        <w:r w:rsidR="00197B00">
          <w:rPr>
            <w:webHidden/>
          </w:rPr>
          <w:tab/>
        </w:r>
        <w:r w:rsidR="00197B00">
          <w:rPr>
            <w:webHidden/>
          </w:rPr>
          <w:fldChar w:fldCharType="begin"/>
        </w:r>
        <w:r w:rsidR="00197B00">
          <w:rPr>
            <w:webHidden/>
          </w:rPr>
          <w:instrText xml:space="preserve"> PAGEREF _Toc39797801 \h </w:instrText>
        </w:r>
        <w:r w:rsidR="00197B00">
          <w:rPr>
            <w:webHidden/>
          </w:rPr>
        </w:r>
        <w:r w:rsidR="00197B00">
          <w:rPr>
            <w:webHidden/>
          </w:rPr>
          <w:fldChar w:fldCharType="separate"/>
        </w:r>
        <w:r w:rsidR="001F3E2E">
          <w:rPr>
            <w:webHidden/>
          </w:rPr>
          <w:t>100</w:t>
        </w:r>
        <w:r w:rsidR="00197B00">
          <w:rPr>
            <w:webHidden/>
          </w:rPr>
          <w:fldChar w:fldCharType="end"/>
        </w:r>
      </w:hyperlink>
    </w:p>
    <w:p w14:paraId="602A78DD" w14:textId="77777777" w:rsidR="00197B00" w:rsidRDefault="0088072F">
      <w:pPr>
        <w:pStyle w:val="TDC3"/>
        <w:tabs>
          <w:tab w:val="left" w:pos="2552"/>
        </w:tabs>
        <w:rPr>
          <w:rFonts w:asciiTheme="minorHAnsi" w:eastAsiaTheme="minorEastAsia" w:hAnsiTheme="minorHAnsi" w:cstheme="minorBidi"/>
          <w:sz w:val="22"/>
          <w:szCs w:val="22"/>
          <w:lang w:eastAsia="es-CL"/>
        </w:rPr>
      </w:pPr>
      <w:hyperlink w:anchor="_Toc39797802" w:history="1">
        <w:r w:rsidR="00197B00" w:rsidRPr="005452F8">
          <w:rPr>
            <w:rStyle w:val="Hipervnculo"/>
          </w:rPr>
          <w:t>6.2.8</w:t>
        </w:r>
        <w:r w:rsidR="00197B00">
          <w:rPr>
            <w:rFonts w:asciiTheme="minorHAnsi" w:eastAsiaTheme="minorEastAsia" w:hAnsiTheme="minorHAnsi" w:cstheme="minorBidi"/>
            <w:sz w:val="22"/>
            <w:szCs w:val="22"/>
            <w:lang w:eastAsia="es-CL"/>
          </w:rPr>
          <w:tab/>
        </w:r>
        <w:r w:rsidR="00197B00" w:rsidRPr="005452F8">
          <w:rPr>
            <w:rStyle w:val="Hipervnculo"/>
          </w:rPr>
          <w:t>Otras actividades de administración sujetas a tercerización.</w:t>
        </w:r>
        <w:r w:rsidR="00197B00">
          <w:rPr>
            <w:webHidden/>
          </w:rPr>
          <w:tab/>
        </w:r>
        <w:r w:rsidR="00197B00">
          <w:rPr>
            <w:webHidden/>
          </w:rPr>
          <w:fldChar w:fldCharType="begin"/>
        </w:r>
        <w:r w:rsidR="00197B00">
          <w:rPr>
            <w:webHidden/>
          </w:rPr>
          <w:instrText xml:space="preserve"> PAGEREF _Toc39797802 \h </w:instrText>
        </w:r>
        <w:r w:rsidR="00197B00">
          <w:rPr>
            <w:webHidden/>
          </w:rPr>
        </w:r>
        <w:r w:rsidR="00197B00">
          <w:rPr>
            <w:webHidden/>
          </w:rPr>
          <w:fldChar w:fldCharType="separate"/>
        </w:r>
        <w:r w:rsidR="001F3E2E">
          <w:rPr>
            <w:webHidden/>
          </w:rPr>
          <w:t>104</w:t>
        </w:r>
        <w:r w:rsidR="00197B00">
          <w:rPr>
            <w:webHidden/>
          </w:rPr>
          <w:fldChar w:fldCharType="end"/>
        </w:r>
      </w:hyperlink>
    </w:p>
    <w:p w14:paraId="586BAB66" w14:textId="77777777" w:rsidR="00197B00" w:rsidRDefault="0088072F">
      <w:pPr>
        <w:pStyle w:val="TDC3"/>
        <w:tabs>
          <w:tab w:val="left" w:pos="2552"/>
        </w:tabs>
        <w:rPr>
          <w:rFonts w:asciiTheme="minorHAnsi" w:eastAsiaTheme="minorEastAsia" w:hAnsiTheme="minorHAnsi" w:cstheme="minorBidi"/>
          <w:sz w:val="22"/>
          <w:szCs w:val="22"/>
          <w:lang w:eastAsia="es-CL"/>
        </w:rPr>
      </w:pPr>
      <w:hyperlink w:anchor="_Toc39797803" w:history="1">
        <w:r w:rsidR="00197B00" w:rsidRPr="005452F8">
          <w:rPr>
            <w:rStyle w:val="Hipervnculo"/>
          </w:rPr>
          <w:t>6.2.9</w:t>
        </w:r>
        <w:r w:rsidR="00197B00">
          <w:rPr>
            <w:rFonts w:asciiTheme="minorHAnsi" w:eastAsiaTheme="minorEastAsia" w:hAnsiTheme="minorHAnsi" w:cstheme="minorBidi"/>
            <w:sz w:val="22"/>
            <w:szCs w:val="22"/>
            <w:lang w:eastAsia="es-CL"/>
          </w:rPr>
          <w:tab/>
        </w:r>
        <w:r w:rsidR="00197B00" w:rsidRPr="005452F8">
          <w:rPr>
            <w:rStyle w:val="Hipervnculo"/>
          </w:rPr>
          <w:t>Valorización de los recursos a precios de mercado</w:t>
        </w:r>
        <w:r w:rsidR="00197B00">
          <w:rPr>
            <w:webHidden/>
          </w:rPr>
          <w:tab/>
        </w:r>
        <w:r w:rsidR="00197B00">
          <w:rPr>
            <w:webHidden/>
          </w:rPr>
          <w:fldChar w:fldCharType="begin"/>
        </w:r>
        <w:r w:rsidR="00197B00">
          <w:rPr>
            <w:webHidden/>
          </w:rPr>
          <w:instrText xml:space="preserve"> PAGEREF _Toc39797803 \h </w:instrText>
        </w:r>
        <w:r w:rsidR="00197B00">
          <w:rPr>
            <w:webHidden/>
          </w:rPr>
        </w:r>
        <w:r w:rsidR="00197B00">
          <w:rPr>
            <w:webHidden/>
          </w:rPr>
          <w:fldChar w:fldCharType="separate"/>
        </w:r>
        <w:r w:rsidR="001F3E2E">
          <w:rPr>
            <w:webHidden/>
          </w:rPr>
          <w:t>104</w:t>
        </w:r>
        <w:r w:rsidR="00197B00">
          <w:rPr>
            <w:webHidden/>
          </w:rPr>
          <w:fldChar w:fldCharType="end"/>
        </w:r>
      </w:hyperlink>
    </w:p>
    <w:p w14:paraId="359B3E39" w14:textId="77777777" w:rsidR="00197B00" w:rsidRDefault="0088072F">
      <w:pPr>
        <w:pStyle w:val="TDC4"/>
        <w:tabs>
          <w:tab w:val="left" w:pos="2552"/>
        </w:tabs>
        <w:rPr>
          <w:rFonts w:asciiTheme="minorHAnsi" w:eastAsiaTheme="minorEastAsia" w:hAnsiTheme="minorHAnsi" w:cstheme="minorBidi"/>
          <w:spacing w:val="0"/>
          <w:sz w:val="22"/>
          <w:szCs w:val="22"/>
          <w:lang w:val="es-CL" w:eastAsia="es-CL"/>
        </w:rPr>
      </w:pPr>
      <w:hyperlink w:anchor="_Toc39797804" w:history="1">
        <w:r w:rsidR="00197B00" w:rsidRPr="005452F8">
          <w:rPr>
            <w:rStyle w:val="Hipervnculo"/>
          </w:rPr>
          <w:t>6.2.9.1</w:t>
        </w:r>
        <w:r w:rsidR="00197B00">
          <w:rPr>
            <w:rFonts w:asciiTheme="minorHAnsi" w:eastAsiaTheme="minorEastAsia" w:hAnsiTheme="minorHAnsi" w:cstheme="minorBidi"/>
            <w:spacing w:val="0"/>
            <w:sz w:val="22"/>
            <w:szCs w:val="22"/>
            <w:lang w:val="es-CL" w:eastAsia="es-CL"/>
          </w:rPr>
          <w:tab/>
        </w:r>
        <w:r w:rsidR="00197B00" w:rsidRPr="005452F8">
          <w:rPr>
            <w:rStyle w:val="Hipervnculo"/>
          </w:rPr>
          <w:t>Personal propio</w:t>
        </w:r>
        <w:r w:rsidR="00197B00">
          <w:rPr>
            <w:webHidden/>
          </w:rPr>
          <w:tab/>
        </w:r>
        <w:r w:rsidR="00197B00">
          <w:rPr>
            <w:webHidden/>
          </w:rPr>
          <w:fldChar w:fldCharType="begin"/>
        </w:r>
        <w:r w:rsidR="00197B00">
          <w:rPr>
            <w:webHidden/>
          </w:rPr>
          <w:instrText xml:space="preserve"> PAGEREF _Toc39797804 \h </w:instrText>
        </w:r>
        <w:r w:rsidR="00197B00">
          <w:rPr>
            <w:webHidden/>
          </w:rPr>
        </w:r>
        <w:r w:rsidR="00197B00">
          <w:rPr>
            <w:webHidden/>
          </w:rPr>
          <w:fldChar w:fldCharType="separate"/>
        </w:r>
        <w:r w:rsidR="001F3E2E">
          <w:rPr>
            <w:webHidden/>
          </w:rPr>
          <w:t>105</w:t>
        </w:r>
        <w:r w:rsidR="00197B00">
          <w:rPr>
            <w:webHidden/>
          </w:rPr>
          <w:fldChar w:fldCharType="end"/>
        </w:r>
      </w:hyperlink>
    </w:p>
    <w:p w14:paraId="1FAEE634" w14:textId="77777777" w:rsidR="00197B00" w:rsidRDefault="0088072F">
      <w:pPr>
        <w:pStyle w:val="TDC4"/>
        <w:tabs>
          <w:tab w:val="left" w:pos="2552"/>
        </w:tabs>
        <w:rPr>
          <w:rFonts w:asciiTheme="minorHAnsi" w:eastAsiaTheme="minorEastAsia" w:hAnsiTheme="minorHAnsi" w:cstheme="minorBidi"/>
          <w:spacing w:val="0"/>
          <w:sz w:val="22"/>
          <w:szCs w:val="22"/>
          <w:lang w:val="es-CL" w:eastAsia="es-CL"/>
        </w:rPr>
      </w:pPr>
      <w:hyperlink w:anchor="_Toc39797805" w:history="1">
        <w:r w:rsidR="00197B00" w:rsidRPr="005452F8">
          <w:rPr>
            <w:rStyle w:val="Hipervnculo"/>
          </w:rPr>
          <w:t>6.2.9.2</w:t>
        </w:r>
        <w:r w:rsidR="00197B00">
          <w:rPr>
            <w:rFonts w:asciiTheme="minorHAnsi" w:eastAsiaTheme="minorEastAsia" w:hAnsiTheme="minorHAnsi" w:cstheme="minorBidi"/>
            <w:spacing w:val="0"/>
            <w:sz w:val="22"/>
            <w:szCs w:val="22"/>
            <w:lang w:val="es-CL" w:eastAsia="es-CL"/>
          </w:rPr>
          <w:tab/>
        </w:r>
        <w:r w:rsidR="00197B00" w:rsidRPr="005452F8">
          <w:rPr>
            <w:rStyle w:val="Hipervnculo"/>
          </w:rPr>
          <w:t>Servicios de operación y mantenimiento tercerizados</w:t>
        </w:r>
        <w:r w:rsidR="00197B00">
          <w:rPr>
            <w:webHidden/>
          </w:rPr>
          <w:tab/>
        </w:r>
        <w:r w:rsidR="00197B00">
          <w:rPr>
            <w:webHidden/>
          </w:rPr>
          <w:fldChar w:fldCharType="begin"/>
        </w:r>
        <w:r w:rsidR="00197B00">
          <w:rPr>
            <w:webHidden/>
          </w:rPr>
          <w:instrText xml:space="preserve"> PAGEREF _Toc39797805 \h </w:instrText>
        </w:r>
        <w:r w:rsidR="00197B00">
          <w:rPr>
            <w:webHidden/>
          </w:rPr>
        </w:r>
        <w:r w:rsidR="00197B00">
          <w:rPr>
            <w:webHidden/>
          </w:rPr>
          <w:fldChar w:fldCharType="separate"/>
        </w:r>
        <w:r w:rsidR="001F3E2E">
          <w:rPr>
            <w:webHidden/>
          </w:rPr>
          <w:t>105</w:t>
        </w:r>
        <w:r w:rsidR="00197B00">
          <w:rPr>
            <w:webHidden/>
          </w:rPr>
          <w:fldChar w:fldCharType="end"/>
        </w:r>
      </w:hyperlink>
    </w:p>
    <w:p w14:paraId="13C21609" w14:textId="77777777" w:rsidR="00197B00" w:rsidRDefault="0088072F">
      <w:pPr>
        <w:pStyle w:val="TDC3"/>
        <w:tabs>
          <w:tab w:val="left" w:pos="2552"/>
        </w:tabs>
        <w:rPr>
          <w:rFonts w:asciiTheme="minorHAnsi" w:eastAsiaTheme="minorEastAsia" w:hAnsiTheme="minorHAnsi" w:cstheme="minorBidi"/>
          <w:sz w:val="22"/>
          <w:szCs w:val="22"/>
          <w:lang w:eastAsia="es-CL"/>
        </w:rPr>
      </w:pPr>
      <w:hyperlink w:anchor="_Toc39797806" w:history="1">
        <w:r w:rsidR="00197B00" w:rsidRPr="005452F8">
          <w:rPr>
            <w:rStyle w:val="Hipervnculo"/>
          </w:rPr>
          <w:t>6.2.10</w:t>
        </w:r>
        <w:r w:rsidR="00197B00">
          <w:rPr>
            <w:rFonts w:asciiTheme="minorHAnsi" w:eastAsiaTheme="minorEastAsia" w:hAnsiTheme="minorHAnsi" w:cstheme="minorBidi"/>
            <w:sz w:val="22"/>
            <w:szCs w:val="22"/>
            <w:lang w:eastAsia="es-CL"/>
          </w:rPr>
          <w:tab/>
        </w:r>
        <w:r w:rsidR="00197B00" w:rsidRPr="005452F8">
          <w:rPr>
            <w:rStyle w:val="Hipervnculo"/>
          </w:rPr>
          <w:t>Gastos generales y otros servicios tercerizados</w:t>
        </w:r>
        <w:r w:rsidR="00197B00">
          <w:rPr>
            <w:webHidden/>
          </w:rPr>
          <w:tab/>
        </w:r>
        <w:r w:rsidR="00197B00">
          <w:rPr>
            <w:webHidden/>
          </w:rPr>
          <w:fldChar w:fldCharType="begin"/>
        </w:r>
        <w:r w:rsidR="00197B00">
          <w:rPr>
            <w:webHidden/>
          </w:rPr>
          <w:instrText xml:space="preserve"> PAGEREF _Toc39797806 \h </w:instrText>
        </w:r>
        <w:r w:rsidR="00197B00">
          <w:rPr>
            <w:webHidden/>
          </w:rPr>
        </w:r>
        <w:r w:rsidR="00197B00">
          <w:rPr>
            <w:webHidden/>
          </w:rPr>
          <w:fldChar w:fldCharType="separate"/>
        </w:r>
        <w:r w:rsidR="001F3E2E">
          <w:rPr>
            <w:webHidden/>
          </w:rPr>
          <w:t>107</w:t>
        </w:r>
        <w:r w:rsidR="00197B00">
          <w:rPr>
            <w:webHidden/>
          </w:rPr>
          <w:fldChar w:fldCharType="end"/>
        </w:r>
      </w:hyperlink>
    </w:p>
    <w:p w14:paraId="17D41324" w14:textId="77777777" w:rsidR="00197B00" w:rsidRDefault="0088072F">
      <w:pPr>
        <w:pStyle w:val="TDC4"/>
        <w:tabs>
          <w:tab w:val="left" w:pos="2552"/>
        </w:tabs>
        <w:rPr>
          <w:rFonts w:asciiTheme="minorHAnsi" w:eastAsiaTheme="minorEastAsia" w:hAnsiTheme="minorHAnsi" w:cstheme="minorBidi"/>
          <w:spacing w:val="0"/>
          <w:sz w:val="22"/>
          <w:szCs w:val="22"/>
          <w:lang w:val="es-CL" w:eastAsia="es-CL"/>
        </w:rPr>
      </w:pPr>
      <w:hyperlink w:anchor="_Toc39797807" w:history="1">
        <w:r w:rsidR="00197B00" w:rsidRPr="005452F8">
          <w:rPr>
            <w:rStyle w:val="Hipervnculo"/>
          </w:rPr>
          <w:t>6.2.10.1</w:t>
        </w:r>
        <w:r w:rsidR="00197B00">
          <w:rPr>
            <w:rFonts w:asciiTheme="minorHAnsi" w:eastAsiaTheme="minorEastAsia" w:hAnsiTheme="minorHAnsi" w:cstheme="minorBidi"/>
            <w:spacing w:val="0"/>
            <w:sz w:val="22"/>
            <w:szCs w:val="22"/>
            <w:lang w:val="es-CL" w:eastAsia="es-CL"/>
          </w:rPr>
          <w:tab/>
        </w:r>
        <w:r w:rsidR="00197B00" w:rsidRPr="005452F8">
          <w:rPr>
            <w:rStyle w:val="Hipervnculo"/>
          </w:rPr>
          <w:t>Gastos en seguridad (vigilancia) de subestaciones</w:t>
        </w:r>
        <w:r w:rsidR="00197B00">
          <w:rPr>
            <w:webHidden/>
          </w:rPr>
          <w:tab/>
        </w:r>
        <w:r w:rsidR="00197B00">
          <w:rPr>
            <w:webHidden/>
          </w:rPr>
          <w:fldChar w:fldCharType="begin"/>
        </w:r>
        <w:r w:rsidR="00197B00">
          <w:rPr>
            <w:webHidden/>
          </w:rPr>
          <w:instrText xml:space="preserve"> PAGEREF _Toc39797807 \h </w:instrText>
        </w:r>
        <w:r w:rsidR="00197B00">
          <w:rPr>
            <w:webHidden/>
          </w:rPr>
        </w:r>
        <w:r w:rsidR="00197B00">
          <w:rPr>
            <w:webHidden/>
          </w:rPr>
          <w:fldChar w:fldCharType="separate"/>
        </w:r>
        <w:r w:rsidR="001F3E2E">
          <w:rPr>
            <w:webHidden/>
          </w:rPr>
          <w:t>108</w:t>
        </w:r>
        <w:r w:rsidR="00197B00">
          <w:rPr>
            <w:webHidden/>
          </w:rPr>
          <w:fldChar w:fldCharType="end"/>
        </w:r>
      </w:hyperlink>
    </w:p>
    <w:p w14:paraId="3DEF0493" w14:textId="77777777" w:rsidR="00197B00" w:rsidRDefault="0088072F">
      <w:pPr>
        <w:pStyle w:val="TDC4"/>
        <w:tabs>
          <w:tab w:val="left" w:pos="2552"/>
        </w:tabs>
        <w:rPr>
          <w:rFonts w:asciiTheme="minorHAnsi" w:eastAsiaTheme="minorEastAsia" w:hAnsiTheme="minorHAnsi" w:cstheme="minorBidi"/>
          <w:spacing w:val="0"/>
          <w:sz w:val="22"/>
          <w:szCs w:val="22"/>
          <w:lang w:val="es-CL" w:eastAsia="es-CL"/>
        </w:rPr>
      </w:pPr>
      <w:hyperlink w:anchor="_Toc39797808" w:history="1">
        <w:r w:rsidR="00197B00" w:rsidRPr="005452F8">
          <w:rPr>
            <w:rStyle w:val="Hipervnculo"/>
          </w:rPr>
          <w:t>6.2.10.2</w:t>
        </w:r>
        <w:r w:rsidR="00197B00">
          <w:rPr>
            <w:rFonts w:asciiTheme="minorHAnsi" w:eastAsiaTheme="minorEastAsia" w:hAnsiTheme="minorHAnsi" w:cstheme="minorBidi"/>
            <w:spacing w:val="0"/>
            <w:sz w:val="22"/>
            <w:szCs w:val="22"/>
            <w:lang w:val="es-CL" w:eastAsia="es-CL"/>
          </w:rPr>
          <w:tab/>
        </w:r>
        <w:r w:rsidR="00197B00" w:rsidRPr="005452F8">
          <w:rPr>
            <w:rStyle w:val="Hipervnculo"/>
          </w:rPr>
          <w:t>Aseo y limpieza de edificios, y bodegas</w:t>
        </w:r>
        <w:r w:rsidR="00197B00">
          <w:rPr>
            <w:webHidden/>
          </w:rPr>
          <w:tab/>
        </w:r>
        <w:r w:rsidR="00197B00">
          <w:rPr>
            <w:webHidden/>
          </w:rPr>
          <w:fldChar w:fldCharType="begin"/>
        </w:r>
        <w:r w:rsidR="00197B00">
          <w:rPr>
            <w:webHidden/>
          </w:rPr>
          <w:instrText xml:space="preserve"> PAGEREF _Toc39797808 \h </w:instrText>
        </w:r>
        <w:r w:rsidR="00197B00">
          <w:rPr>
            <w:webHidden/>
          </w:rPr>
        </w:r>
        <w:r w:rsidR="00197B00">
          <w:rPr>
            <w:webHidden/>
          </w:rPr>
          <w:fldChar w:fldCharType="separate"/>
        </w:r>
        <w:r w:rsidR="001F3E2E">
          <w:rPr>
            <w:webHidden/>
          </w:rPr>
          <w:t>108</w:t>
        </w:r>
        <w:r w:rsidR="00197B00">
          <w:rPr>
            <w:webHidden/>
          </w:rPr>
          <w:fldChar w:fldCharType="end"/>
        </w:r>
      </w:hyperlink>
    </w:p>
    <w:p w14:paraId="158F5399" w14:textId="77777777" w:rsidR="00197B00" w:rsidRDefault="0088072F">
      <w:pPr>
        <w:pStyle w:val="TDC4"/>
        <w:tabs>
          <w:tab w:val="left" w:pos="2552"/>
        </w:tabs>
        <w:rPr>
          <w:rFonts w:asciiTheme="minorHAnsi" w:eastAsiaTheme="minorEastAsia" w:hAnsiTheme="minorHAnsi" w:cstheme="minorBidi"/>
          <w:spacing w:val="0"/>
          <w:sz w:val="22"/>
          <w:szCs w:val="22"/>
          <w:lang w:val="es-CL" w:eastAsia="es-CL"/>
        </w:rPr>
      </w:pPr>
      <w:hyperlink w:anchor="_Toc39797809" w:history="1">
        <w:r w:rsidR="00197B00" w:rsidRPr="005452F8">
          <w:rPr>
            <w:rStyle w:val="Hipervnculo"/>
          </w:rPr>
          <w:t>6.2.10.3</w:t>
        </w:r>
        <w:r w:rsidR="00197B00">
          <w:rPr>
            <w:rFonts w:asciiTheme="minorHAnsi" w:eastAsiaTheme="minorEastAsia" w:hAnsiTheme="minorHAnsi" w:cstheme="minorBidi"/>
            <w:spacing w:val="0"/>
            <w:sz w:val="22"/>
            <w:szCs w:val="22"/>
            <w:lang w:val="es-CL" w:eastAsia="es-CL"/>
          </w:rPr>
          <w:tab/>
        </w:r>
        <w:r w:rsidR="00197B00" w:rsidRPr="005452F8">
          <w:rPr>
            <w:rStyle w:val="Hipervnculo"/>
          </w:rPr>
          <w:t>Gastos del directorio</w:t>
        </w:r>
        <w:r w:rsidR="00197B00">
          <w:rPr>
            <w:webHidden/>
          </w:rPr>
          <w:tab/>
        </w:r>
        <w:r w:rsidR="00197B00">
          <w:rPr>
            <w:webHidden/>
          </w:rPr>
          <w:fldChar w:fldCharType="begin"/>
        </w:r>
        <w:r w:rsidR="00197B00">
          <w:rPr>
            <w:webHidden/>
          </w:rPr>
          <w:instrText xml:space="preserve"> PAGEREF _Toc39797809 \h </w:instrText>
        </w:r>
        <w:r w:rsidR="00197B00">
          <w:rPr>
            <w:webHidden/>
          </w:rPr>
        </w:r>
        <w:r w:rsidR="00197B00">
          <w:rPr>
            <w:webHidden/>
          </w:rPr>
          <w:fldChar w:fldCharType="separate"/>
        </w:r>
        <w:r w:rsidR="001F3E2E">
          <w:rPr>
            <w:webHidden/>
          </w:rPr>
          <w:t>109</w:t>
        </w:r>
        <w:r w:rsidR="00197B00">
          <w:rPr>
            <w:webHidden/>
          </w:rPr>
          <w:fldChar w:fldCharType="end"/>
        </w:r>
      </w:hyperlink>
    </w:p>
    <w:p w14:paraId="3686C00B" w14:textId="77777777" w:rsidR="00197B00" w:rsidRDefault="0088072F">
      <w:pPr>
        <w:pStyle w:val="TDC4"/>
        <w:tabs>
          <w:tab w:val="left" w:pos="2552"/>
        </w:tabs>
        <w:rPr>
          <w:rFonts w:asciiTheme="minorHAnsi" w:eastAsiaTheme="minorEastAsia" w:hAnsiTheme="minorHAnsi" w:cstheme="minorBidi"/>
          <w:spacing w:val="0"/>
          <w:sz w:val="22"/>
          <w:szCs w:val="22"/>
          <w:lang w:val="es-CL" w:eastAsia="es-CL"/>
        </w:rPr>
      </w:pPr>
      <w:hyperlink w:anchor="_Toc39797810" w:history="1">
        <w:r w:rsidR="00197B00" w:rsidRPr="005452F8">
          <w:rPr>
            <w:rStyle w:val="Hipervnculo"/>
          </w:rPr>
          <w:t>6.2.10.4</w:t>
        </w:r>
        <w:r w:rsidR="00197B00">
          <w:rPr>
            <w:rFonts w:asciiTheme="minorHAnsi" w:eastAsiaTheme="minorEastAsia" w:hAnsiTheme="minorHAnsi" w:cstheme="minorBidi"/>
            <w:spacing w:val="0"/>
            <w:sz w:val="22"/>
            <w:szCs w:val="22"/>
            <w:lang w:val="es-CL" w:eastAsia="es-CL"/>
          </w:rPr>
          <w:tab/>
        </w:r>
        <w:r w:rsidR="00197B00" w:rsidRPr="005452F8">
          <w:rPr>
            <w:rStyle w:val="Hipervnculo"/>
          </w:rPr>
          <w:t>Contribuciones por terrenos de SSEE y edificios de la EM</w:t>
        </w:r>
        <w:r w:rsidR="00197B00">
          <w:rPr>
            <w:webHidden/>
          </w:rPr>
          <w:tab/>
        </w:r>
        <w:r w:rsidR="00197B00">
          <w:rPr>
            <w:webHidden/>
          </w:rPr>
          <w:fldChar w:fldCharType="begin"/>
        </w:r>
        <w:r w:rsidR="00197B00">
          <w:rPr>
            <w:webHidden/>
          </w:rPr>
          <w:instrText xml:space="preserve"> PAGEREF _Toc39797810 \h </w:instrText>
        </w:r>
        <w:r w:rsidR="00197B00">
          <w:rPr>
            <w:webHidden/>
          </w:rPr>
        </w:r>
        <w:r w:rsidR="00197B00">
          <w:rPr>
            <w:webHidden/>
          </w:rPr>
          <w:fldChar w:fldCharType="separate"/>
        </w:r>
        <w:r w:rsidR="001F3E2E">
          <w:rPr>
            <w:webHidden/>
          </w:rPr>
          <w:t>109</w:t>
        </w:r>
        <w:r w:rsidR="00197B00">
          <w:rPr>
            <w:webHidden/>
          </w:rPr>
          <w:fldChar w:fldCharType="end"/>
        </w:r>
      </w:hyperlink>
    </w:p>
    <w:p w14:paraId="6A8226F5" w14:textId="77777777" w:rsidR="00197B00" w:rsidRDefault="0088072F">
      <w:pPr>
        <w:pStyle w:val="TDC4"/>
        <w:tabs>
          <w:tab w:val="left" w:pos="2552"/>
        </w:tabs>
        <w:rPr>
          <w:rFonts w:asciiTheme="minorHAnsi" w:eastAsiaTheme="minorEastAsia" w:hAnsiTheme="minorHAnsi" w:cstheme="minorBidi"/>
          <w:spacing w:val="0"/>
          <w:sz w:val="22"/>
          <w:szCs w:val="22"/>
          <w:lang w:val="es-CL" w:eastAsia="es-CL"/>
        </w:rPr>
      </w:pPr>
      <w:hyperlink w:anchor="_Toc39797811" w:history="1">
        <w:r w:rsidR="00197B00" w:rsidRPr="005452F8">
          <w:rPr>
            <w:rStyle w:val="Hipervnculo"/>
          </w:rPr>
          <w:t>6.2.10.5</w:t>
        </w:r>
        <w:r w:rsidR="00197B00">
          <w:rPr>
            <w:rFonts w:asciiTheme="minorHAnsi" w:eastAsiaTheme="minorEastAsia" w:hAnsiTheme="minorHAnsi" w:cstheme="minorBidi"/>
            <w:spacing w:val="0"/>
            <w:sz w:val="22"/>
            <w:szCs w:val="22"/>
            <w:lang w:val="es-CL" w:eastAsia="es-CL"/>
          </w:rPr>
          <w:tab/>
        </w:r>
        <w:r w:rsidR="00197B00" w:rsidRPr="005452F8">
          <w:rPr>
            <w:rStyle w:val="Hipervnculo"/>
          </w:rPr>
          <w:t>Asesorías, estudios y otros servicios</w:t>
        </w:r>
        <w:r w:rsidR="00197B00">
          <w:rPr>
            <w:webHidden/>
          </w:rPr>
          <w:tab/>
        </w:r>
        <w:r w:rsidR="00197B00">
          <w:rPr>
            <w:webHidden/>
          </w:rPr>
          <w:fldChar w:fldCharType="begin"/>
        </w:r>
        <w:r w:rsidR="00197B00">
          <w:rPr>
            <w:webHidden/>
          </w:rPr>
          <w:instrText xml:space="preserve"> PAGEREF _Toc39797811 \h </w:instrText>
        </w:r>
        <w:r w:rsidR="00197B00">
          <w:rPr>
            <w:webHidden/>
          </w:rPr>
        </w:r>
        <w:r w:rsidR="00197B00">
          <w:rPr>
            <w:webHidden/>
          </w:rPr>
          <w:fldChar w:fldCharType="separate"/>
        </w:r>
        <w:r w:rsidR="001F3E2E">
          <w:rPr>
            <w:webHidden/>
          </w:rPr>
          <w:t>109</w:t>
        </w:r>
        <w:r w:rsidR="00197B00">
          <w:rPr>
            <w:webHidden/>
          </w:rPr>
          <w:fldChar w:fldCharType="end"/>
        </w:r>
      </w:hyperlink>
    </w:p>
    <w:p w14:paraId="1E1D715A" w14:textId="77777777" w:rsidR="00197B00" w:rsidRDefault="0088072F">
      <w:pPr>
        <w:pStyle w:val="TDC4"/>
        <w:tabs>
          <w:tab w:val="left" w:pos="2552"/>
        </w:tabs>
        <w:rPr>
          <w:rFonts w:asciiTheme="minorHAnsi" w:eastAsiaTheme="minorEastAsia" w:hAnsiTheme="minorHAnsi" w:cstheme="minorBidi"/>
          <w:spacing w:val="0"/>
          <w:sz w:val="22"/>
          <w:szCs w:val="22"/>
          <w:lang w:val="es-CL" w:eastAsia="es-CL"/>
        </w:rPr>
      </w:pPr>
      <w:hyperlink w:anchor="_Toc39797812" w:history="1">
        <w:r w:rsidR="00197B00" w:rsidRPr="005452F8">
          <w:rPr>
            <w:rStyle w:val="Hipervnculo"/>
          </w:rPr>
          <w:t>6.2.10.6</w:t>
        </w:r>
        <w:r w:rsidR="00197B00">
          <w:rPr>
            <w:rFonts w:asciiTheme="minorHAnsi" w:eastAsiaTheme="minorEastAsia" w:hAnsiTheme="minorHAnsi" w:cstheme="minorBidi"/>
            <w:spacing w:val="0"/>
            <w:sz w:val="22"/>
            <w:szCs w:val="22"/>
            <w:lang w:val="es-CL" w:eastAsia="es-CL"/>
          </w:rPr>
          <w:tab/>
        </w:r>
        <w:r w:rsidR="00197B00" w:rsidRPr="005452F8">
          <w:rPr>
            <w:rStyle w:val="Hipervnculo"/>
          </w:rPr>
          <w:t>Gastos de Imagen institucional</w:t>
        </w:r>
        <w:r w:rsidR="00197B00">
          <w:rPr>
            <w:webHidden/>
          </w:rPr>
          <w:tab/>
        </w:r>
        <w:r w:rsidR="00197B00">
          <w:rPr>
            <w:webHidden/>
          </w:rPr>
          <w:fldChar w:fldCharType="begin"/>
        </w:r>
        <w:r w:rsidR="00197B00">
          <w:rPr>
            <w:webHidden/>
          </w:rPr>
          <w:instrText xml:space="preserve"> PAGEREF _Toc39797812 \h </w:instrText>
        </w:r>
        <w:r w:rsidR="00197B00">
          <w:rPr>
            <w:webHidden/>
          </w:rPr>
        </w:r>
        <w:r w:rsidR="00197B00">
          <w:rPr>
            <w:webHidden/>
          </w:rPr>
          <w:fldChar w:fldCharType="separate"/>
        </w:r>
        <w:r w:rsidR="001F3E2E">
          <w:rPr>
            <w:webHidden/>
          </w:rPr>
          <w:t>111</w:t>
        </w:r>
        <w:r w:rsidR="00197B00">
          <w:rPr>
            <w:webHidden/>
          </w:rPr>
          <w:fldChar w:fldCharType="end"/>
        </w:r>
      </w:hyperlink>
    </w:p>
    <w:p w14:paraId="6A925632" w14:textId="77777777" w:rsidR="00197B00" w:rsidRDefault="0088072F">
      <w:pPr>
        <w:pStyle w:val="TDC4"/>
        <w:tabs>
          <w:tab w:val="left" w:pos="2552"/>
        </w:tabs>
        <w:rPr>
          <w:rFonts w:asciiTheme="minorHAnsi" w:eastAsiaTheme="minorEastAsia" w:hAnsiTheme="minorHAnsi" w:cstheme="minorBidi"/>
          <w:spacing w:val="0"/>
          <w:sz w:val="22"/>
          <w:szCs w:val="22"/>
          <w:lang w:val="es-CL" w:eastAsia="es-CL"/>
        </w:rPr>
      </w:pPr>
      <w:hyperlink w:anchor="_Toc39797813" w:history="1">
        <w:r w:rsidR="00197B00" w:rsidRPr="005452F8">
          <w:rPr>
            <w:rStyle w:val="Hipervnculo"/>
          </w:rPr>
          <w:t>6.2.10.7</w:t>
        </w:r>
        <w:r w:rsidR="00197B00">
          <w:rPr>
            <w:rFonts w:asciiTheme="minorHAnsi" w:eastAsiaTheme="minorEastAsia" w:hAnsiTheme="minorHAnsi" w:cstheme="minorBidi"/>
            <w:spacing w:val="0"/>
            <w:sz w:val="22"/>
            <w:szCs w:val="22"/>
            <w:lang w:val="es-CL" w:eastAsia="es-CL"/>
          </w:rPr>
          <w:tab/>
        </w:r>
        <w:r w:rsidR="00197B00" w:rsidRPr="005452F8">
          <w:rPr>
            <w:rStyle w:val="Hipervnculo"/>
          </w:rPr>
          <w:t>Gastos de capacitación</w:t>
        </w:r>
        <w:r w:rsidR="00197B00">
          <w:rPr>
            <w:webHidden/>
          </w:rPr>
          <w:tab/>
        </w:r>
        <w:r w:rsidR="00197B00">
          <w:rPr>
            <w:webHidden/>
          </w:rPr>
          <w:fldChar w:fldCharType="begin"/>
        </w:r>
        <w:r w:rsidR="00197B00">
          <w:rPr>
            <w:webHidden/>
          </w:rPr>
          <w:instrText xml:space="preserve"> PAGEREF _Toc39797813 \h </w:instrText>
        </w:r>
        <w:r w:rsidR="00197B00">
          <w:rPr>
            <w:webHidden/>
          </w:rPr>
        </w:r>
        <w:r w:rsidR="00197B00">
          <w:rPr>
            <w:webHidden/>
          </w:rPr>
          <w:fldChar w:fldCharType="separate"/>
        </w:r>
        <w:r w:rsidR="001F3E2E">
          <w:rPr>
            <w:webHidden/>
          </w:rPr>
          <w:t>111</w:t>
        </w:r>
        <w:r w:rsidR="00197B00">
          <w:rPr>
            <w:webHidden/>
          </w:rPr>
          <w:fldChar w:fldCharType="end"/>
        </w:r>
      </w:hyperlink>
    </w:p>
    <w:p w14:paraId="0B01A777" w14:textId="77777777" w:rsidR="00197B00" w:rsidRDefault="0088072F">
      <w:pPr>
        <w:pStyle w:val="TDC4"/>
        <w:tabs>
          <w:tab w:val="left" w:pos="2552"/>
        </w:tabs>
        <w:rPr>
          <w:rFonts w:asciiTheme="minorHAnsi" w:eastAsiaTheme="minorEastAsia" w:hAnsiTheme="minorHAnsi" w:cstheme="minorBidi"/>
          <w:spacing w:val="0"/>
          <w:sz w:val="22"/>
          <w:szCs w:val="22"/>
          <w:lang w:val="es-CL" w:eastAsia="es-CL"/>
        </w:rPr>
      </w:pPr>
      <w:hyperlink w:anchor="_Toc39797814" w:history="1">
        <w:r w:rsidR="00197B00" w:rsidRPr="005452F8">
          <w:rPr>
            <w:rStyle w:val="Hipervnculo"/>
          </w:rPr>
          <w:t>6.2.10.8</w:t>
        </w:r>
        <w:r w:rsidR="00197B00">
          <w:rPr>
            <w:rFonts w:asciiTheme="minorHAnsi" w:eastAsiaTheme="minorEastAsia" w:hAnsiTheme="minorHAnsi" w:cstheme="minorBidi"/>
            <w:spacing w:val="0"/>
            <w:sz w:val="22"/>
            <w:szCs w:val="22"/>
            <w:lang w:val="es-CL" w:eastAsia="es-CL"/>
          </w:rPr>
          <w:tab/>
        </w:r>
        <w:r w:rsidR="00197B00" w:rsidRPr="005452F8">
          <w:rPr>
            <w:rStyle w:val="Hipervnculo"/>
          </w:rPr>
          <w:t>Gastos por viajes no operacionales (pasajes y viáticos)</w:t>
        </w:r>
        <w:r w:rsidR="00197B00">
          <w:rPr>
            <w:webHidden/>
          </w:rPr>
          <w:tab/>
        </w:r>
        <w:r w:rsidR="00197B00">
          <w:rPr>
            <w:webHidden/>
          </w:rPr>
          <w:fldChar w:fldCharType="begin"/>
        </w:r>
        <w:r w:rsidR="00197B00">
          <w:rPr>
            <w:webHidden/>
          </w:rPr>
          <w:instrText xml:space="preserve"> PAGEREF _Toc39797814 \h </w:instrText>
        </w:r>
        <w:r w:rsidR="00197B00">
          <w:rPr>
            <w:webHidden/>
          </w:rPr>
        </w:r>
        <w:r w:rsidR="00197B00">
          <w:rPr>
            <w:webHidden/>
          </w:rPr>
          <w:fldChar w:fldCharType="separate"/>
        </w:r>
        <w:r w:rsidR="001F3E2E">
          <w:rPr>
            <w:webHidden/>
          </w:rPr>
          <w:t>111</w:t>
        </w:r>
        <w:r w:rsidR="00197B00">
          <w:rPr>
            <w:webHidden/>
          </w:rPr>
          <w:fldChar w:fldCharType="end"/>
        </w:r>
      </w:hyperlink>
    </w:p>
    <w:p w14:paraId="598237E7" w14:textId="77777777" w:rsidR="00197B00" w:rsidRDefault="0088072F">
      <w:pPr>
        <w:pStyle w:val="TDC4"/>
        <w:tabs>
          <w:tab w:val="left" w:pos="2552"/>
        </w:tabs>
        <w:rPr>
          <w:rFonts w:asciiTheme="minorHAnsi" w:eastAsiaTheme="minorEastAsia" w:hAnsiTheme="minorHAnsi" w:cstheme="minorBidi"/>
          <w:spacing w:val="0"/>
          <w:sz w:val="22"/>
          <w:szCs w:val="22"/>
          <w:lang w:val="es-CL" w:eastAsia="es-CL"/>
        </w:rPr>
      </w:pPr>
      <w:hyperlink w:anchor="_Toc39797815" w:history="1">
        <w:r w:rsidR="00197B00" w:rsidRPr="005452F8">
          <w:rPr>
            <w:rStyle w:val="Hipervnculo"/>
          </w:rPr>
          <w:t>6.2.10.9</w:t>
        </w:r>
        <w:r w:rsidR="00197B00">
          <w:rPr>
            <w:rFonts w:asciiTheme="minorHAnsi" w:eastAsiaTheme="minorEastAsia" w:hAnsiTheme="minorHAnsi" w:cstheme="minorBidi"/>
            <w:spacing w:val="0"/>
            <w:sz w:val="22"/>
            <w:szCs w:val="22"/>
            <w:lang w:val="es-CL" w:eastAsia="es-CL"/>
          </w:rPr>
          <w:tab/>
        </w:r>
        <w:r w:rsidR="00197B00" w:rsidRPr="005452F8">
          <w:rPr>
            <w:rStyle w:val="Hipervnculo"/>
          </w:rPr>
          <w:t>Gastos de viáticos operacionales de personal de plantilla</w:t>
        </w:r>
        <w:r w:rsidR="00197B00">
          <w:rPr>
            <w:webHidden/>
          </w:rPr>
          <w:tab/>
        </w:r>
        <w:r w:rsidR="00197B00">
          <w:rPr>
            <w:webHidden/>
          </w:rPr>
          <w:fldChar w:fldCharType="begin"/>
        </w:r>
        <w:r w:rsidR="00197B00">
          <w:rPr>
            <w:webHidden/>
          </w:rPr>
          <w:instrText xml:space="preserve"> PAGEREF _Toc39797815 \h </w:instrText>
        </w:r>
        <w:r w:rsidR="00197B00">
          <w:rPr>
            <w:webHidden/>
          </w:rPr>
        </w:r>
        <w:r w:rsidR="00197B00">
          <w:rPr>
            <w:webHidden/>
          </w:rPr>
          <w:fldChar w:fldCharType="separate"/>
        </w:r>
        <w:r w:rsidR="001F3E2E">
          <w:rPr>
            <w:webHidden/>
          </w:rPr>
          <w:t>112</w:t>
        </w:r>
        <w:r w:rsidR="00197B00">
          <w:rPr>
            <w:webHidden/>
          </w:rPr>
          <w:fldChar w:fldCharType="end"/>
        </w:r>
      </w:hyperlink>
    </w:p>
    <w:p w14:paraId="73A7712E" w14:textId="77777777" w:rsidR="00197B00" w:rsidRDefault="0088072F">
      <w:pPr>
        <w:pStyle w:val="TDC4"/>
        <w:tabs>
          <w:tab w:val="left" w:pos="2591"/>
        </w:tabs>
        <w:rPr>
          <w:rFonts w:asciiTheme="minorHAnsi" w:eastAsiaTheme="minorEastAsia" w:hAnsiTheme="minorHAnsi" w:cstheme="minorBidi"/>
          <w:spacing w:val="0"/>
          <w:sz w:val="22"/>
          <w:szCs w:val="22"/>
          <w:lang w:val="es-CL" w:eastAsia="es-CL"/>
        </w:rPr>
      </w:pPr>
      <w:hyperlink w:anchor="_Toc39797816" w:history="1">
        <w:r w:rsidR="00197B00" w:rsidRPr="005452F8">
          <w:rPr>
            <w:rStyle w:val="Hipervnculo"/>
          </w:rPr>
          <w:t>6.2.10.10</w:t>
        </w:r>
        <w:r w:rsidR="00197B00">
          <w:rPr>
            <w:rFonts w:asciiTheme="minorHAnsi" w:eastAsiaTheme="minorEastAsia" w:hAnsiTheme="minorHAnsi" w:cstheme="minorBidi"/>
            <w:spacing w:val="0"/>
            <w:sz w:val="22"/>
            <w:szCs w:val="22"/>
            <w:lang w:val="es-CL" w:eastAsia="es-CL"/>
          </w:rPr>
          <w:tab/>
        </w:r>
        <w:r w:rsidR="00197B00" w:rsidRPr="005452F8">
          <w:rPr>
            <w:rStyle w:val="Hipervnculo"/>
          </w:rPr>
          <w:t>Gastos en seguros de bienes eléctricos y muebles e inmuebles</w:t>
        </w:r>
        <w:r w:rsidR="00197B00">
          <w:rPr>
            <w:webHidden/>
          </w:rPr>
          <w:tab/>
        </w:r>
        <w:r w:rsidR="00197B00">
          <w:rPr>
            <w:webHidden/>
          </w:rPr>
          <w:fldChar w:fldCharType="begin"/>
        </w:r>
        <w:r w:rsidR="00197B00">
          <w:rPr>
            <w:webHidden/>
          </w:rPr>
          <w:instrText xml:space="preserve"> PAGEREF _Toc39797816 \h </w:instrText>
        </w:r>
        <w:r w:rsidR="00197B00">
          <w:rPr>
            <w:webHidden/>
          </w:rPr>
        </w:r>
        <w:r w:rsidR="00197B00">
          <w:rPr>
            <w:webHidden/>
          </w:rPr>
          <w:fldChar w:fldCharType="separate"/>
        </w:r>
        <w:r w:rsidR="001F3E2E">
          <w:rPr>
            <w:webHidden/>
          </w:rPr>
          <w:t>112</w:t>
        </w:r>
        <w:r w:rsidR="00197B00">
          <w:rPr>
            <w:webHidden/>
          </w:rPr>
          <w:fldChar w:fldCharType="end"/>
        </w:r>
      </w:hyperlink>
    </w:p>
    <w:p w14:paraId="79ADF0DC" w14:textId="77777777" w:rsidR="00197B00" w:rsidRDefault="0088072F">
      <w:pPr>
        <w:pStyle w:val="TDC4"/>
        <w:tabs>
          <w:tab w:val="left" w:pos="2591"/>
        </w:tabs>
        <w:rPr>
          <w:rFonts w:asciiTheme="minorHAnsi" w:eastAsiaTheme="minorEastAsia" w:hAnsiTheme="minorHAnsi" w:cstheme="minorBidi"/>
          <w:spacing w:val="0"/>
          <w:sz w:val="22"/>
          <w:szCs w:val="22"/>
          <w:lang w:val="es-CL" w:eastAsia="es-CL"/>
        </w:rPr>
      </w:pPr>
      <w:hyperlink w:anchor="_Toc39797817" w:history="1">
        <w:r w:rsidR="00197B00" w:rsidRPr="005452F8">
          <w:rPr>
            <w:rStyle w:val="Hipervnculo"/>
          </w:rPr>
          <w:t>6.2.10.11</w:t>
        </w:r>
        <w:r w:rsidR="00197B00">
          <w:rPr>
            <w:rFonts w:asciiTheme="minorHAnsi" w:eastAsiaTheme="minorEastAsia" w:hAnsiTheme="minorHAnsi" w:cstheme="minorBidi"/>
            <w:spacing w:val="0"/>
            <w:sz w:val="22"/>
            <w:szCs w:val="22"/>
            <w:lang w:val="es-CL" w:eastAsia="es-CL"/>
          </w:rPr>
          <w:tab/>
        </w:r>
        <w:r w:rsidR="00197B00" w:rsidRPr="005452F8">
          <w:rPr>
            <w:rStyle w:val="Hipervnculo"/>
          </w:rPr>
          <w:t>Gastos en patentes comerciales</w:t>
        </w:r>
        <w:r w:rsidR="00197B00">
          <w:rPr>
            <w:webHidden/>
          </w:rPr>
          <w:tab/>
        </w:r>
        <w:r w:rsidR="00197B00">
          <w:rPr>
            <w:webHidden/>
          </w:rPr>
          <w:fldChar w:fldCharType="begin"/>
        </w:r>
        <w:r w:rsidR="00197B00">
          <w:rPr>
            <w:webHidden/>
          </w:rPr>
          <w:instrText xml:space="preserve"> PAGEREF _Toc39797817 \h </w:instrText>
        </w:r>
        <w:r w:rsidR="00197B00">
          <w:rPr>
            <w:webHidden/>
          </w:rPr>
        </w:r>
        <w:r w:rsidR="00197B00">
          <w:rPr>
            <w:webHidden/>
          </w:rPr>
          <w:fldChar w:fldCharType="separate"/>
        </w:r>
        <w:r w:rsidR="001F3E2E">
          <w:rPr>
            <w:webHidden/>
          </w:rPr>
          <w:t>113</w:t>
        </w:r>
        <w:r w:rsidR="00197B00">
          <w:rPr>
            <w:webHidden/>
          </w:rPr>
          <w:fldChar w:fldCharType="end"/>
        </w:r>
      </w:hyperlink>
    </w:p>
    <w:p w14:paraId="20FE3191" w14:textId="77777777" w:rsidR="00197B00" w:rsidRDefault="0088072F">
      <w:pPr>
        <w:pStyle w:val="TDC4"/>
        <w:tabs>
          <w:tab w:val="left" w:pos="2591"/>
        </w:tabs>
        <w:rPr>
          <w:rFonts w:asciiTheme="minorHAnsi" w:eastAsiaTheme="minorEastAsia" w:hAnsiTheme="minorHAnsi" w:cstheme="minorBidi"/>
          <w:spacing w:val="0"/>
          <w:sz w:val="22"/>
          <w:szCs w:val="22"/>
          <w:lang w:val="es-CL" w:eastAsia="es-CL"/>
        </w:rPr>
      </w:pPr>
      <w:hyperlink w:anchor="_Toc39797818" w:history="1">
        <w:r w:rsidR="00197B00" w:rsidRPr="005452F8">
          <w:rPr>
            <w:rStyle w:val="Hipervnculo"/>
          </w:rPr>
          <w:t>6.2.10.12</w:t>
        </w:r>
        <w:r w:rsidR="00197B00">
          <w:rPr>
            <w:rFonts w:asciiTheme="minorHAnsi" w:eastAsiaTheme="minorEastAsia" w:hAnsiTheme="minorHAnsi" w:cstheme="minorBidi"/>
            <w:spacing w:val="0"/>
            <w:sz w:val="22"/>
            <w:szCs w:val="22"/>
            <w:lang w:val="es-CL" w:eastAsia="es-CL"/>
          </w:rPr>
          <w:tab/>
        </w:r>
        <w:r w:rsidR="00197B00" w:rsidRPr="005452F8">
          <w:rPr>
            <w:rStyle w:val="Hipervnculo"/>
          </w:rPr>
          <w:t>Consumos básicos de gas, electricidad y agua en edificios</w:t>
        </w:r>
        <w:r w:rsidR="00197B00">
          <w:rPr>
            <w:webHidden/>
          </w:rPr>
          <w:tab/>
        </w:r>
        <w:r w:rsidR="00197B00">
          <w:rPr>
            <w:webHidden/>
          </w:rPr>
          <w:fldChar w:fldCharType="begin"/>
        </w:r>
        <w:r w:rsidR="00197B00">
          <w:rPr>
            <w:webHidden/>
          </w:rPr>
          <w:instrText xml:space="preserve"> PAGEREF _Toc39797818 \h </w:instrText>
        </w:r>
        <w:r w:rsidR="00197B00">
          <w:rPr>
            <w:webHidden/>
          </w:rPr>
        </w:r>
        <w:r w:rsidR="00197B00">
          <w:rPr>
            <w:webHidden/>
          </w:rPr>
          <w:fldChar w:fldCharType="separate"/>
        </w:r>
        <w:r w:rsidR="001F3E2E">
          <w:rPr>
            <w:webHidden/>
          </w:rPr>
          <w:t>113</w:t>
        </w:r>
        <w:r w:rsidR="00197B00">
          <w:rPr>
            <w:webHidden/>
          </w:rPr>
          <w:fldChar w:fldCharType="end"/>
        </w:r>
      </w:hyperlink>
    </w:p>
    <w:p w14:paraId="52C05513" w14:textId="77777777" w:rsidR="00197B00" w:rsidRDefault="0088072F">
      <w:pPr>
        <w:pStyle w:val="TDC4"/>
        <w:tabs>
          <w:tab w:val="left" w:pos="2591"/>
        </w:tabs>
        <w:rPr>
          <w:rFonts w:asciiTheme="minorHAnsi" w:eastAsiaTheme="minorEastAsia" w:hAnsiTheme="minorHAnsi" w:cstheme="minorBidi"/>
          <w:spacing w:val="0"/>
          <w:sz w:val="22"/>
          <w:szCs w:val="22"/>
          <w:lang w:val="es-CL" w:eastAsia="es-CL"/>
        </w:rPr>
      </w:pPr>
      <w:hyperlink w:anchor="_Toc39797819" w:history="1">
        <w:r w:rsidR="00197B00" w:rsidRPr="005452F8">
          <w:rPr>
            <w:rStyle w:val="Hipervnculo"/>
          </w:rPr>
          <w:t>6.2.10.13</w:t>
        </w:r>
        <w:r w:rsidR="00197B00">
          <w:rPr>
            <w:rFonts w:asciiTheme="minorHAnsi" w:eastAsiaTheme="minorEastAsia" w:hAnsiTheme="minorHAnsi" w:cstheme="minorBidi"/>
            <w:spacing w:val="0"/>
            <w:sz w:val="22"/>
            <w:szCs w:val="22"/>
            <w:lang w:val="es-CL" w:eastAsia="es-CL"/>
          </w:rPr>
          <w:tab/>
        </w:r>
        <w:r w:rsidR="00197B00" w:rsidRPr="005452F8">
          <w:rPr>
            <w:rStyle w:val="Hipervnculo"/>
          </w:rPr>
          <w:t>Consumos básicos de electricidad de subestaciones</w:t>
        </w:r>
        <w:r w:rsidR="00197B00">
          <w:rPr>
            <w:webHidden/>
          </w:rPr>
          <w:tab/>
        </w:r>
        <w:r w:rsidR="00197B00">
          <w:rPr>
            <w:webHidden/>
          </w:rPr>
          <w:fldChar w:fldCharType="begin"/>
        </w:r>
        <w:r w:rsidR="00197B00">
          <w:rPr>
            <w:webHidden/>
          </w:rPr>
          <w:instrText xml:space="preserve"> PAGEREF _Toc39797819 \h </w:instrText>
        </w:r>
        <w:r w:rsidR="00197B00">
          <w:rPr>
            <w:webHidden/>
          </w:rPr>
        </w:r>
        <w:r w:rsidR="00197B00">
          <w:rPr>
            <w:webHidden/>
          </w:rPr>
          <w:fldChar w:fldCharType="separate"/>
        </w:r>
        <w:r w:rsidR="001F3E2E">
          <w:rPr>
            <w:webHidden/>
          </w:rPr>
          <w:t>114</w:t>
        </w:r>
        <w:r w:rsidR="00197B00">
          <w:rPr>
            <w:webHidden/>
          </w:rPr>
          <w:fldChar w:fldCharType="end"/>
        </w:r>
      </w:hyperlink>
    </w:p>
    <w:p w14:paraId="378CAC18" w14:textId="77777777" w:rsidR="00197B00" w:rsidRDefault="0088072F">
      <w:pPr>
        <w:pStyle w:val="TDC4"/>
        <w:tabs>
          <w:tab w:val="left" w:pos="2591"/>
        </w:tabs>
        <w:rPr>
          <w:rFonts w:asciiTheme="minorHAnsi" w:eastAsiaTheme="minorEastAsia" w:hAnsiTheme="minorHAnsi" w:cstheme="minorBidi"/>
          <w:spacing w:val="0"/>
          <w:sz w:val="22"/>
          <w:szCs w:val="22"/>
          <w:lang w:val="es-CL" w:eastAsia="es-CL"/>
        </w:rPr>
      </w:pPr>
      <w:hyperlink w:anchor="_Toc39797820" w:history="1">
        <w:r w:rsidR="00197B00" w:rsidRPr="005452F8">
          <w:rPr>
            <w:rStyle w:val="Hipervnculo"/>
          </w:rPr>
          <w:t>6.2.10.14</w:t>
        </w:r>
        <w:r w:rsidR="00197B00">
          <w:rPr>
            <w:rFonts w:asciiTheme="minorHAnsi" w:eastAsiaTheme="minorEastAsia" w:hAnsiTheme="minorHAnsi" w:cstheme="minorBidi"/>
            <w:spacing w:val="0"/>
            <w:sz w:val="22"/>
            <w:szCs w:val="22"/>
            <w:lang w:val="es-CL" w:eastAsia="es-CL"/>
          </w:rPr>
          <w:tab/>
        </w:r>
        <w:r w:rsidR="00197B00" w:rsidRPr="005452F8">
          <w:rPr>
            <w:rStyle w:val="Hipervnculo"/>
          </w:rPr>
          <w:t>Costos de comunicaciones en telefonía fija y móvil (celular y satelital)</w:t>
        </w:r>
        <w:r w:rsidR="00197B00">
          <w:rPr>
            <w:webHidden/>
          </w:rPr>
          <w:tab/>
        </w:r>
        <w:r w:rsidR="00197B00">
          <w:rPr>
            <w:webHidden/>
          </w:rPr>
          <w:fldChar w:fldCharType="begin"/>
        </w:r>
        <w:r w:rsidR="00197B00">
          <w:rPr>
            <w:webHidden/>
          </w:rPr>
          <w:instrText xml:space="preserve"> PAGEREF _Toc39797820 \h </w:instrText>
        </w:r>
        <w:r w:rsidR="00197B00">
          <w:rPr>
            <w:webHidden/>
          </w:rPr>
        </w:r>
        <w:r w:rsidR="00197B00">
          <w:rPr>
            <w:webHidden/>
          </w:rPr>
          <w:fldChar w:fldCharType="separate"/>
        </w:r>
        <w:r w:rsidR="001F3E2E">
          <w:rPr>
            <w:webHidden/>
          </w:rPr>
          <w:t>114</w:t>
        </w:r>
        <w:r w:rsidR="00197B00">
          <w:rPr>
            <w:webHidden/>
          </w:rPr>
          <w:fldChar w:fldCharType="end"/>
        </w:r>
      </w:hyperlink>
    </w:p>
    <w:p w14:paraId="2AB2E7AA" w14:textId="77777777" w:rsidR="00197B00" w:rsidRDefault="0088072F">
      <w:pPr>
        <w:pStyle w:val="TDC4"/>
        <w:tabs>
          <w:tab w:val="left" w:pos="2591"/>
        </w:tabs>
        <w:rPr>
          <w:rFonts w:asciiTheme="minorHAnsi" w:eastAsiaTheme="minorEastAsia" w:hAnsiTheme="minorHAnsi" w:cstheme="minorBidi"/>
          <w:spacing w:val="0"/>
          <w:sz w:val="22"/>
          <w:szCs w:val="22"/>
          <w:lang w:val="es-CL" w:eastAsia="es-CL"/>
        </w:rPr>
      </w:pPr>
      <w:hyperlink w:anchor="_Toc39797821" w:history="1">
        <w:r w:rsidR="00197B00" w:rsidRPr="005452F8">
          <w:rPr>
            <w:rStyle w:val="Hipervnculo"/>
          </w:rPr>
          <w:t>6.2.10.15</w:t>
        </w:r>
        <w:r w:rsidR="00197B00">
          <w:rPr>
            <w:rFonts w:asciiTheme="minorHAnsi" w:eastAsiaTheme="minorEastAsia" w:hAnsiTheme="minorHAnsi" w:cstheme="minorBidi"/>
            <w:spacing w:val="0"/>
            <w:sz w:val="22"/>
            <w:szCs w:val="22"/>
            <w:lang w:val="es-CL" w:eastAsia="es-CL"/>
          </w:rPr>
          <w:tab/>
        </w:r>
        <w:r w:rsidR="00197B00" w:rsidRPr="005452F8">
          <w:rPr>
            <w:rStyle w:val="Hipervnculo"/>
          </w:rPr>
          <w:t>Servicio de datos (internet y respaldo de datos)</w:t>
        </w:r>
        <w:r w:rsidR="00197B00">
          <w:rPr>
            <w:webHidden/>
          </w:rPr>
          <w:tab/>
        </w:r>
        <w:r w:rsidR="00197B00">
          <w:rPr>
            <w:webHidden/>
          </w:rPr>
          <w:fldChar w:fldCharType="begin"/>
        </w:r>
        <w:r w:rsidR="00197B00">
          <w:rPr>
            <w:webHidden/>
          </w:rPr>
          <w:instrText xml:space="preserve"> PAGEREF _Toc39797821 \h </w:instrText>
        </w:r>
        <w:r w:rsidR="00197B00">
          <w:rPr>
            <w:webHidden/>
          </w:rPr>
        </w:r>
        <w:r w:rsidR="00197B00">
          <w:rPr>
            <w:webHidden/>
          </w:rPr>
          <w:fldChar w:fldCharType="separate"/>
        </w:r>
        <w:r w:rsidR="001F3E2E">
          <w:rPr>
            <w:webHidden/>
          </w:rPr>
          <w:t>115</w:t>
        </w:r>
        <w:r w:rsidR="00197B00">
          <w:rPr>
            <w:webHidden/>
          </w:rPr>
          <w:fldChar w:fldCharType="end"/>
        </w:r>
      </w:hyperlink>
    </w:p>
    <w:p w14:paraId="2C6E4185" w14:textId="77777777" w:rsidR="00197B00" w:rsidRDefault="0088072F">
      <w:pPr>
        <w:pStyle w:val="TDC4"/>
        <w:tabs>
          <w:tab w:val="left" w:pos="2591"/>
        </w:tabs>
        <w:rPr>
          <w:rFonts w:asciiTheme="minorHAnsi" w:eastAsiaTheme="minorEastAsia" w:hAnsiTheme="minorHAnsi" w:cstheme="minorBidi"/>
          <w:spacing w:val="0"/>
          <w:sz w:val="22"/>
          <w:szCs w:val="22"/>
          <w:lang w:val="es-CL" w:eastAsia="es-CL"/>
        </w:rPr>
      </w:pPr>
      <w:hyperlink w:anchor="_Toc39797822" w:history="1">
        <w:r w:rsidR="00197B00" w:rsidRPr="005452F8">
          <w:rPr>
            <w:rStyle w:val="Hipervnculo"/>
          </w:rPr>
          <w:t>6.2.10.16</w:t>
        </w:r>
        <w:r w:rsidR="00197B00">
          <w:rPr>
            <w:rFonts w:asciiTheme="minorHAnsi" w:eastAsiaTheme="minorEastAsia" w:hAnsiTheme="minorHAnsi" w:cstheme="minorBidi"/>
            <w:spacing w:val="0"/>
            <w:sz w:val="22"/>
            <w:szCs w:val="22"/>
            <w:lang w:val="es-CL" w:eastAsia="es-CL"/>
          </w:rPr>
          <w:tab/>
        </w:r>
        <w:r w:rsidR="00197B00" w:rsidRPr="005452F8">
          <w:rPr>
            <w:rStyle w:val="Hipervnculo"/>
          </w:rPr>
          <w:t>Gastos en mantenimiento sistemas informáticos (actualización software y hardware)</w:t>
        </w:r>
        <w:r w:rsidR="00197B00">
          <w:rPr>
            <w:webHidden/>
          </w:rPr>
          <w:tab/>
        </w:r>
        <w:r w:rsidR="00197B00">
          <w:rPr>
            <w:webHidden/>
          </w:rPr>
          <w:fldChar w:fldCharType="begin"/>
        </w:r>
        <w:r w:rsidR="00197B00">
          <w:rPr>
            <w:webHidden/>
          </w:rPr>
          <w:instrText xml:space="preserve"> PAGEREF _Toc39797822 \h </w:instrText>
        </w:r>
        <w:r w:rsidR="00197B00">
          <w:rPr>
            <w:webHidden/>
          </w:rPr>
        </w:r>
        <w:r w:rsidR="00197B00">
          <w:rPr>
            <w:webHidden/>
          </w:rPr>
          <w:fldChar w:fldCharType="separate"/>
        </w:r>
        <w:r w:rsidR="001F3E2E">
          <w:rPr>
            <w:webHidden/>
          </w:rPr>
          <w:t>115</w:t>
        </w:r>
        <w:r w:rsidR="00197B00">
          <w:rPr>
            <w:webHidden/>
          </w:rPr>
          <w:fldChar w:fldCharType="end"/>
        </w:r>
      </w:hyperlink>
    </w:p>
    <w:p w14:paraId="1CD46036" w14:textId="77777777" w:rsidR="00197B00" w:rsidRDefault="0088072F">
      <w:pPr>
        <w:pStyle w:val="TDC4"/>
        <w:tabs>
          <w:tab w:val="left" w:pos="2591"/>
        </w:tabs>
        <w:rPr>
          <w:rFonts w:asciiTheme="minorHAnsi" w:eastAsiaTheme="minorEastAsia" w:hAnsiTheme="minorHAnsi" w:cstheme="minorBidi"/>
          <w:spacing w:val="0"/>
          <w:sz w:val="22"/>
          <w:szCs w:val="22"/>
          <w:lang w:val="es-CL" w:eastAsia="es-CL"/>
        </w:rPr>
      </w:pPr>
      <w:hyperlink w:anchor="_Toc39797823" w:history="1">
        <w:r w:rsidR="00197B00" w:rsidRPr="005452F8">
          <w:rPr>
            <w:rStyle w:val="Hipervnculo"/>
          </w:rPr>
          <w:t>6.2.10.17</w:t>
        </w:r>
        <w:r w:rsidR="00197B00">
          <w:rPr>
            <w:rFonts w:asciiTheme="minorHAnsi" w:eastAsiaTheme="minorEastAsia" w:hAnsiTheme="minorHAnsi" w:cstheme="minorBidi"/>
            <w:spacing w:val="0"/>
            <w:sz w:val="22"/>
            <w:szCs w:val="22"/>
            <w:lang w:val="es-CL" w:eastAsia="es-CL"/>
          </w:rPr>
          <w:tab/>
        </w:r>
        <w:r w:rsidR="00197B00" w:rsidRPr="005452F8">
          <w:rPr>
            <w:rStyle w:val="Hipervnculo"/>
          </w:rPr>
          <w:t>Gastos de mantenimiento del SCADA</w:t>
        </w:r>
        <w:r w:rsidR="00197B00">
          <w:rPr>
            <w:webHidden/>
          </w:rPr>
          <w:tab/>
        </w:r>
        <w:r w:rsidR="00197B00">
          <w:rPr>
            <w:webHidden/>
          </w:rPr>
          <w:fldChar w:fldCharType="begin"/>
        </w:r>
        <w:r w:rsidR="00197B00">
          <w:rPr>
            <w:webHidden/>
          </w:rPr>
          <w:instrText xml:space="preserve"> PAGEREF _Toc39797823 \h </w:instrText>
        </w:r>
        <w:r w:rsidR="00197B00">
          <w:rPr>
            <w:webHidden/>
          </w:rPr>
        </w:r>
        <w:r w:rsidR="00197B00">
          <w:rPr>
            <w:webHidden/>
          </w:rPr>
          <w:fldChar w:fldCharType="separate"/>
        </w:r>
        <w:r w:rsidR="001F3E2E">
          <w:rPr>
            <w:webHidden/>
          </w:rPr>
          <w:t>115</w:t>
        </w:r>
        <w:r w:rsidR="00197B00">
          <w:rPr>
            <w:webHidden/>
          </w:rPr>
          <w:fldChar w:fldCharType="end"/>
        </w:r>
      </w:hyperlink>
    </w:p>
    <w:p w14:paraId="1A7BC9BE" w14:textId="77777777" w:rsidR="00197B00" w:rsidRDefault="0088072F">
      <w:pPr>
        <w:pStyle w:val="TDC4"/>
        <w:tabs>
          <w:tab w:val="left" w:pos="2591"/>
        </w:tabs>
        <w:rPr>
          <w:rFonts w:asciiTheme="minorHAnsi" w:eastAsiaTheme="minorEastAsia" w:hAnsiTheme="minorHAnsi" w:cstheme="minorBidi"/>
          <w:spacing w:val="0"/>
          <w:sz w:val="22"/>
          <w:szCs w:val="22"/>
          <w:lang w:val="es-CL" w:eastAsia="es-CL"/>
        </w:rPr>
      </w:pPr>
      <w:hyperlink w:anchor="_Toc39797824" w:history="1">
        <w:r w:rsidR="00197B00" w:rsidRPr="005452F8">
          <w:rPr>
            <w:rStyle w:val="Hipervnculo"/>
          </w:rPr>
          <w:t>6.2.10.18</w:t>
        </w:r>
        <w:r w:rsidR="00197B00">
          <w:rPr>
            <w:rFonts w:asciiTheme="minorHAnsi" w:eastAsiaTheme="minorEastAsia" w:hAnsiTheme="minorHAnsi" w:cstheme="minorBidi"/>
            <w:spacing w:val="0"/>
            <w:sz w:val="22"/>
            <w:szCs w:val="22"/>
            <w:lang w:val="es-CL" w:eastAsia="es-CL"/>
          </w:rPr>
          <w:tab/>
        </w:r>
        <w:r w:rsidR="00197B00" w:rsidRPr="005452F8">
          <w:rPr>
            <w:rStyle w:val="Hipervnculo"/>
          </w:rPr>
          <w:t>Gastos de mantenimiento del equipamiento utilizado para OyM</w:t>
        </w:r>
        <w:r w:rsidR="00197B00">
          <w:rPr>
            <w:webHidden/>
          </w:rPr>
          <w:tab/>
        </w:r>
        <w:r w:rsidR="00197B00">
          <w:rPr>
            <w:webHidden/>
          </w:rPr>
          <w:fldChar w:fldCharType="begin"/>
        </w:r>
        <w:r w:rsidR="00197B00">
          <w:rPr>
            <w:webHidden/>
          </w:rPr>
          <w:instrText xml:space="preserve"> PAGEREF _Toc39797824 \h </w:instrText>
        </w:r>
        <w:r w:rsidR="00197B00">
          <w:rPr>
            <w:webHidden/>
          </w:rPr>
        </w:r>
        <w:r w:rsidR="00197B00">
          <w:rPr>
            <w:webHidden/>
          </w:rPr>
          <w:fldChar w:fldCharType="separate"/>
        </w:r>
        <w:r w:rsidR="001F3E2E">
          <w:rPr>
            <w:webHidden/>
          </w:rPr>
          <w:t>116</w:t>
        </w:r>
        <w:r w:rsidR="00197B00">
          <w:rPr>
            <w:webHidden/>
          </w:rPr>
          <w:fldChar w:fldCharType="end"/>
        </w:r>
      </w:hyperlink>
    </w:p>
    <w:p w14:paraId="19F73480" w14:textId="77777777" w:rsidR="00197B00" w:rsidRDefault="0088072F">
      <w:pPr>
        <w:pStyle w:val="TDC4"/>
        <w:tabs>
          <w:tab w:val="left" w:pos="2591"/>
        </w:tabs>
        <w:rPr>
          <w:rFonts w:asciiTheme="minorHAnsi" w:eastAsiaTheme="minorEastAsia" w:hAnsiTheme="minorHAnsi" w:cstheme="minorBidi"/>
          <w:spacing w:val="0"/>
          <w:sz w:val="22"/>
          <w:szCs w:val="22"/>
          <w:lang w:val="es-CL" w:eastAsia="es-CL"/>
        </w:rPr>
      </w:pPr>
      <w:hyperlink w:anchor="_Toc39797825" w:history="1">
        <w:r w:rsidR="00197B00" w:rsidRPr="005452F8">
          <w:rPr>
            <w:rStyle w:val="Hipervnculo"/>
          </w:rPr>
          <w:t>6.2.10.19</w:t>
        </w:r>
        <w:r w:rsidR="00197B00">
          <w:rPr>
            <w:rFonts w:asciiTheme="minorHAnsi" w:eastAsiaTheme="minorEastAsia" w:hAnsiTheme="minorHAnsi" w:cstheme="minorBidi"/>
            <w:spacing w:val="0"/>
            <w:sz w:val="22"/>
            <w:szCs w:val="22"/>
            <w:lang w:val="es-CL" w:eastAsia="es-CL"/>
          </w:rPr>
          <w:tab/>
        </w:r>
        <w:r w:rsidR="00197B00" w:rsidRPr="005452F8">
          <w:rPr>
            <w:rStyle w:val="Hipervnculo"/>
          </w:rPr>
          <w:t>Materiales e insumos computacionales</w:t>
        </w:r>
        <w:r w:rsidR="00197B00">
          <w:rPr>
            <w:webHidden/>
          </w:rPr>
          <w:tab/>
        </w:r>
        <w:r w:rsidR="00197B00">
          <w:rPr>
            <w:webHidden/>
          </w:rPr>
          <w:fldChar w:fldCharType="begin"/>
        </w:r>
        <w:r w:rsidR="00197B00">
          <w:rPr>
            <w:webHidden/>
          </w:rPr>
          <w:instrText xml:space="preserve"> PAGEREF _Toc39797825 \h </w:instrText>
        </w:r>
        <w:r w:rsidR="00197B00">
          <w:rPr>
            <w:webHidden/>
          </w:rPr>
        </w:r>
        <w:r w:rsidR="00197B00">
          <w:rPr>
            <w:webHidden/>
          </w:rPr>
          <w:fldChar w:fldCharType="separate"/>
        </w:r>
        <w:r w:rsidR="001F3E2E">
          <w:rPr>
            <w:webHidden/>
          </w:rPr>
          <w:t>116</w:t>
        </w:r>
        <w:r w:rsidR="00197B00">
          <w:rPr>
            <w:webHidden/>
          </w:rPr>
          <w:fldChar w:fldCharType="end"/>
        </w:r>
      </w:hyperlink>
    </w:p>
    <w:p w14:paraId="3BA5C800" w14:textId="77777777" w:rsidR="00197B00" w:rsidRDefault="0088072F">
      <w:pPr>
        <w:pStyle w:val="TDC4"/>
        <w:tabs>
          <w:tab w:val="left" w:pos="2591"/>
        </w:tabs>
        <w:rPr>
          <w:rFonts w:asciiTheme="minorHAnsi" w:eastAsiaTheme="minorEastAsia" w:hAnsiTheme="minorHAnsi" w:cstheme="minorBidi"/>
          <w:spacing w:val="0"/>
          <w:sz w:val="22"/>
          <w:szCs w:val="22"/>
          <w:lang w:val="es-CL" w:eastAsia="es-CL"/>
        </w:rPr>
      </w:pPr>
      <w:hyperlink w:anchor="_Toc39797826" w:history="1">
        <w:r w:rsidR="00197B00" w:rsidRPr="005452F8">
          <w:rPr>
            <w:rStyle w:val="Hipervnculo"/>
          </w:rPr>
          <w:t>6.2.10.20</w:t>
        </w:r>
        <w:r w:rsidR="00197B00">
          <w:rPr>
            <w:rFonts w:asciiTheme="minorHAnsi" w:eastAsiaTheme="minorEastAsia" w:hAnsiTheme="minorHAnsi" w:cstheme="minorBidi"/>
            <w:spacing w:val="0"/>
            <w:sz w:val="22"/>
            <w:szCs w:val="22"/>
            <w:lang w:val="es-CL" w:eastAsia="es-CL"/>
          </w:rPr>
          <w:tab/>
        </w:r>
        <w:r w:rsidR="00197B00" w:rsidRPr="005452F8">
          <w:rPr>
            <w:rStyle w:val="Hipervnculo"/>
          </w:rPr>
          <w:t>Memoria anual</w:t>
        </w:r>
        <w:r w:rsidR="00197B00">
          <w:rPr>
            <w:webHidden/>
          </w:rPr>
          <w:tab/>
        </w:r>
        <w:r w:rsidR="00197B00">
          <w:rPr>
            <w:webHidden/>
          </w:rPr>
          <w:fldChar w:fldCharType="begin"/>
        </w:r>
        <w:r w:rsidR="00197B00">
          <w:rPr>
            <w:webHidden/>
          </w:rPr>
          <w:instrText xml:space="preserve"> PAGEREF _Toc39797826 \h </w:instrText>
        </w:r>
        <w:r w:rsidR="00197B00">
          <w:rPr>
            <w:webHidden/>
          </w:rPr>
        </w:r>
        <w:r w:rsidR="00197B00">
          <w:rPr>
            <w:webHidden/>
          </w:rPr>
          <w:fldChar w:fldCharType="separate"/>
        </w:r>
        <w:r w:rsidR="001F3E2E">
          <w:rPr>
            <w:webHidden/>
          </w:rPr>
          <w:t>116</w:t>
        </w:r>
        <w:r w:rsidR="00197B00">
          <w:rPr>
            <w:webHidden/>
          </w:rPr>
          <w:fldChar w:fldCharType="end"/>
        </w:r>
      </w:hyperlink>
    </w:p>
    <w:p w14:paraId="61F67600" w14:textId="77777777" w:rsidR="00197B00" w:rsidRDefault="0088072F">
      <w:pPr>
        <w:pStyle w:val="TDC4"/>
        <w:tabs>
          <w:tab w:val="left" w:pos="2591"/>
        </w:tabs>
        <w:rPr>
          <w:rFonts w:asciiTheme="minorHAnsi" w:eastAsiaTheme="minorEastAsia" w:hAnsiTheme="minorHAnsi" w:cstheme="minorBidi"/>
          <w:spacing w:val="0"/>
          <w:sz w:val="22"/>
          <w:szCs w:val="22"/>
          <w:lang w:val="es-CL" w:eastAsia="es-CL"/>
        </w:rPr>
      </w:pPr>
      <w:hyperlink w:anchor="_Toc39797827" w:history="1">
        <w:r w:rsidR="00197B00" w:rsidRPr="005452F8">
          <w:rPr>
            <w:rStyle w:val="Hipervnculo"/>
          </w:rPr>
          <w:t>6.2.10.21</w:t>
        </w:r>
        <w:r w:rsidR="00197B00">
          <w:rPr>
            <w:rFonts w:asciiTheme="minorHAnsi" w:eastAsiaTheme="minorEastAsia" w:hAnsiTheme="minorHAnsi" w:cstheme="minorBidi"/>
            <w:spacing w:val="0"/>
            <w:sz w:val="22"/>
            <w:szCs w:val="22"/>
            <w:lang w:val="es-CL" w:eastAsia="es-CL"/>
          </w:rPr>
          <w:tab/>
        </w:r>
        <w:r w:rsidR="00197B00" w:rsidRPr="005452F8">
          <w:rPr>
            <w:rStyle w:val="Hipervnculo"/>
          </w:rPr>
          <w:t>Publicaciones y avisos</w:t>
        </w:r>
        <w:r w:rsidR="00197B00">
          <w:rPr>
            <w:webHidden/>
          </w:rPr>
          <w:tab/>
        </w:r>
        <w:r w:rsidR="00197B00">
          <w:rPr>
            <w:webHidden/>
          </w:rPr>
          <w:fldChar w:fldCharType="begin"/>
        </w:r>
        <w:r w:rsidR="00197B00">
          <w:rPr>
            <w:webHidden/>
          </w:rPr>
          <w:instrText xml:space="preserve"> PAGEREF _Toc39797827 \h </w:instrText>
        </w:r>
        <w:r w:rsidR="00197B00">
          <w:rPr>
            <w:webHidden/>
          </w:rPr>
        </w:r>
        <w:r w:rsidR="00197B00">
          <w:rPr>
            <w:webHidden/>
          </w:rPr>
          <w:fldChar w:fldCharType="separate"/>
        </w:r>
        <w:r w:rsidR="001F3E2E">
          <w:rPr>
            <w:webHidden/>
          </w:rPr>
          <w:t>116</w:t>
        </w:r>
        <w:r w:rsidR="00197B00">
          <w:rPr>
            <w:webHidden/>
          </w:rPr>
          <w:fldChar w:fldCharType="end"/>
        </w:r>
      </w:hyperlink>
    </w:p>
    <w:p w14:paraId="4719BB36" w14:textId="77777777" w:rsidR="00197B00" w:rsidRDefault="0088072F">
      <w:pPr>
        <w:pStyle w:val="TDC4"/>
        <w:tabs>
          <w:tab w:val="left" w:pos="2591"/>
        </w:tabs>
        <w:rPr>
          <w:rFonts w:asciiTheme="minorHAnsi" w:eastAsiaTheme="minorEastAsia" w:hAnsiTheme="minorHAnsi" w:cstheme="minorBidi"/>
          <w:spacing w:val="0"/>
          <w:sz w:val="22"/>
          <w:szCs w:val="22"/>
          <w:lang w:val="es-CL" w:eastAsia="es-CL"/>
        </w:rPr>
      </w:pPr>
      <w:hyperlink w:anchor="_Toc39797828" w:history="1">
        <w:r w:rsidR="00197B00" w:rsidRPr="005452F8">
          <w:rPr>
            <w:rStyle w:val="Hipervnculo"/>
          </w:rPr>
          <w:t>6.2.10.22</w:t>
        </w:r>
        <w:r w:rsidR="00197B00">
          <w:rPr>
            <w:rFonts w:asciiTheme="minorHAnsi" w:eastAsiaTheme="minorEastAsia" w:hAnsiTheme="minorHAnsi" w:cstheme="minorBidi"/>
            <w:spacing w:val="0"/>
            <w:sz w:val="22"/>
            <w:szCs w:val="22"/>
            <w:lang w:val="es-CL" w:eastAsia="es-CL"/>
          </w:rPr>
          <w:tab/>
        </w:r>
        <w:r w:rsidR="00197B00" w:rsidRPr="005452F8">
          <w:rPr>
            <w:rStyle w:val="Hipervnculo"/>
          </w:rPr>
          <w:t>Fotocopias, formularios, útiles y materiales de oficina</w:t>
        </w:r>
        <w:r w:rsidR="00197B00">
          <w:rPr>
            <w:webHidden/>
          </w:rPr>
          <w:tab/>
        </w:r>
        <w:r w:rsidR="00197B00">
          <w:rPr>
            <w:webHidden/>
          </w:rPr>
          <w:fldChar w:fldCharType="begin"/>
        </w:r>
        <w:r w:rsidR="00197B00">
          <w:rPr>
            <w:webHidden/>
          </w:rPr>
          <w:instrText xml:space="preserve"> PAGEREF _Toc39797828 \h </w:instrText>
        </w:r>
        <w:r w:rsidR="00197B00">
          <w:rPr>
            <w:webHidden/>
          </w:rPr>
        </w:r>
        <w:r w:rsidR="00197B00">
          <w:rPr>
            <w:webHidden/>
          </w:rPr>
          <w:fldChar w:fldCharType="separate"/>
        </w:r>
        <w:r w:rsidR="001F3E2E">
          <w:rPr>
            <w:webHidden/>
          </w:rPr>
          <w:t>117</w:t>
        </w:r>
        <w:r w:rsidR="00197B00">
          <w:rPr>
            <w:webHidden/>
          </w:rPr>
          <w:fldChar w:fldCharType="end"/>
        </w:r>
      </w:hyperlink>
    </w:p>
    <w:p w14:paraId="412FDEF5" w14:textId="77777777" w:rsidR="00197B00" w:rsidRDefault="0088072F">
      <w:pPr>
        <w:pStyle w:val="TDC4"/>
        <w:tabs>
          <w:tab w:val="left" w:pos="2591"/>
        </w:tabs>
        <w:rPr>
          <w:rFonts w:asciiTheme="minorHAnsi" w:eastAsiaTheme="minorEastAsia" w:hAnsiTheme="minorHAnsi" w:cstheme="minorBidi"/>
          <w:spacing w:val="0"/>
          <w:sz w:val="22"/>
          <w:szCs w:val="22"/>
          <w:lang w:val="es-CL" w:eastAsia="es-CL"/>
        </w:rPr>
      </w:pPr>
      <w:hyperlink w:anchor="_Toc39797829" w:history="1">
        <w:r w:rsidR="00197B00" w:rsidRPr="005452F8">
          <w:rPr>
            <w:rStyle w:val="Hipervnculo"/>
          </w:rPr>
          <w:t>6.2.10.23</w:t>
        </w:r>
        <w:r w:rsidR="00197B00">
          <w:rPr>
            <w:rFonts w:asciiTheme="minorHAnsi" w:eastAsiaTheme="minorEastAsia" w:hAnsiTheme="minorHAnsi" w:cstheme="minorBidi"/>
            <w:spacing w:val="0"/>
            <w:sz w:val="22"/>
            <w:szCs w:val="22"/>
            <w:lang w:val="es-CL" w:eastAsia="es-CL"/>
          </w:rPr>
          <w:tab/>
        </w:r>
        <w:r w:rsidR="00197B00" w:rsidRPr="005452F8">
          <w:rPr>
            <w:rStyle w:val="Hipervnculo"/>
          </w:rPr>
          <w:t>Retiro y disposición de residuos (tóxicos y no tóxicos)</w:t>
        </w:r>
        <w:r w:rsidR="00197B00">
          <w:rPr>
            <w:webHidden/>
          </w:rPr>
          <w:tab/>
        </w:r>
        <w:r w:rsidR="00197B00">
          <w:rPr>
            <w:webHidden/>
          </w:rPr>
          <w:fldChar w:fldCharType="begin"/>
        </w:r>
        <w:r w:rsidR="00197B00">
          <w:rPr>
            <w:webHidden/>
          </w:rPr>
          <w:instrText xml:space="preserve"> PAGEREF _Toc39797829 \h </w:instrText>
        </w:r>
        <w:r w:rsidR="00197B00">
          <w:rPr>
            <w:webHidden/>
          </w:rPr>
        </w:r>
        <w:r w:rsidR="00197B00">
          <w:rPr>
            <w:webHidden/>
          </w:rPr>
          <w:fldChar w:fldCharType="separate"/>
        </w:r>
        <w:r w:rsidR="001F3E2E">
          <w:rPr>
            <w:webHidden/>
          </w:rPr>
          <w:t>117</w:t>
        </w:r>
        <w:r w:rsidR="00197B00">
          <w:rPr>
            <w:webHidden/>
          </w:rPr>
          <w:fldChar w:fldCharType="end"/>
        </w:r>
      </w:hyperlink>
    </w:p>
    <w:p w14:paraId="64893CC3" w14:textId="77777777" w:rsidR="00197B00" w:rsidRDefault="0088072F">
      <w:pPr>
        <w:pStyle w:val="TDC4"/>
        <w:tabs>
          <w:tab w:val="left" w:pos="2591"/>
        </w:tabs>
        <w:rPr>
          <w:rFonts w:asciiTheme="minorHAnsi" w:eastAsiaTheme="minorEastAsia" w:hAnsiTheme="minorHAnsi" w:cstheme="minorBidi"/>
          <w:spacing w:val="0"/>
          <w:sz w:val="22"/>
          <w:szCs w:val="22"/>
          <w:lang w:val="es-CL" w:eastAsia="es-CL"/>
        </w:rPr>
      </w:pPr>
      <w:hyperlink w:anchor="_Toc39797830" w:history="1">
        <w:r w:rsidR="00197B00" w:rsidRPr="005452F8">
          <w:rPr>
            <w:rStyle w:val="Hipervnculo"/>
          </w:rPr>
          <w:t>6.2.10.24</w:t>
        </w:r>
        <w:r w:rsidR="00197B00">
          <w:rPr>
            <w:rFonts w:asciiTheme="minorHAnsi" w:eastAsiaTheme="minorEastAsia" w:hAnsiTheme="minorHAnsi" w:cstheme="minorBidi"/>
            <w:spacing w:val="0"/>
            <w:sz w:val="22"/>
            <w:szCs w:val="22"/>
            <w:lang w:val="es-CL" w:eastAsia="es-CL"/>
          </w:rPr>
          <w:tab/>
        </w:r>
        <w:r w:rsidR="00197B00" w:rsidRPr="005452F8">
          <w:rPr>
            <w:rStyle w:val="Hipervnculo"/>
          </w:rPr>
          <w:t>Costos de traslado y alojamiento de personal tercerizado de OyM (viáticos operacionales)</w:t>
        </w:r>
        <w:r w:rsidR="00197B00">
          <w:rPr>
            <w:webHidden/>
          </w:rPr>
          <w:tab/>
        </w:r>
        <w:r w:rsidR="00197B00">
          <w:rPr>
            <w:webHidden/>
          </w:rPr>
          <w:fldChar w:fldCharType="begin"/>
        </w:r>
        <w:r w:rsidR="00197B00">
          <w:rPr>
            <w:webHidden/>
          </w:rPr>
          <w:instrText xml:space="preserve"> PAGEREF _Toc39797830 \h </w:instrText>
        </w:r>
        <w:r w:rsidR="00197B00">
          <w:rPr>
            <w:webHidden/>
          </w:rPr>
        </w:r>
        <w:r w:rsidR="00197B00">
          <w:rPr>
            <w:webHidden/>
          </w:rPr>
          <w:fldChar w:fldCharType="separate"/>
        </w:r>
        <w:r w:rsidR="001F3E2E">
          <w:rPr>
            <w:webHidden/>
          </w:rPr>
          <w:t>117</w:t>
        </w:r>
        <w:r w:rsidR="00197B00">
          <w:rPr>
            <w:webHidden/>
          </w:rPr>
          <w:fldChar w:fldCharType="end"/>
        </w:r>
      </w:hyperlink>
    </w:p>
    <w:p w14:paraId="7FECE3EC" w14:textId="77777777" w:rsidR="00197B00" w:rsidRDefault="0088072F">
      <w:pPr>
        <w:pStyle w:val="TDC4"/>
        <w:tabs>
          <w:tab w:val="left" w:pos="2591"/>
        </w:tabs>
        <w:rPr>
          <w:rFonts w:asciiTheme="minorHAnsi" w:eastAsiaTheme="minorEastAsia" w:hAnsiTheme="minorHAnsi" w:cstheme="minorBidi"/>
          <w:spacing w:val="0"/>
          <w:sz w:val="22"/>
          <w:szCs w:val="22"/>
          <w:lang w:val="es-CL" w:eastAsia="es-CL"/>
        </w:rPr>
      </w:pPr>
      <w:hyperlink w:anchor="_Toc39797831" w:history="1">
        <w:r w:rsidR="00197B00" w:rsidRPr="005452F8">
          <w:rPr>
            <w:rStyle w:val="Hipervnculo"/>
          </w:rPr>
          <w:t>6.2.10.25</w:t>
        </w:r>
        <w:r w:rsidR="00197B00">
          <w:rPr>
            <w:rFonts w:asciiTheme="minorHAnsi" w:eastAsiaTheme="minorEastAsia" w:hAnsiTheme="minorHAnsi" w:cstheme="minorBidi"/>
            <w:spacing w:val="0"/>
            <w:sz w:val="22"/>
            <w:szCs w:val="22"/>
            <w:lang w:val="es-CL" w:eastAsia="es-CL"/>
          </w:rPr>
          <w:tab/>
        </w:r>
        <w:r w:rsidR="00197B00" w:rsidRPr="005452F8">
          <w:rPr>
            <w:rStyle w:val="Hipervnculo"/>
          </w:rPr>
          <w:t>Indemnización a propietarios por daños debido a Trabajos en Franja Servidumbre</w:t>
        </w:r>
        <w:r w:rsidR="00197B00">
          <w:rPr>
            <w:webHidden/>
          </w:rPr>
          <w:tab/>
        </w:r>
        <w:r w:rsidR="00197B00">
          <w:rPr>
            <w:webHidden/>
          </w:rPr>
          <w:fldChar w:fldCharType="begin"/>
        </w:r>
        <w:r w:rsidR="00197B00">
          <w:rPr>
            <w:webHidden/>
          </w:rPr>
          <w:instrText xml:space="preserve"> PAGEREF _Toc39797831 \h </w:instrText>
        </w:r>
        <w:r w:rsidR="00197B00">
          <w:rPr>
            <w:webHidden/>
          </w:rPr>
        </w:r>
        <w:r w:rsidR="00197B00">
          <w:rPr>
            <w:webHidden/>
          </w:rPr>
          <w:fldChar w:fldCharType="separate"/>
        </w:r>
        <w:r w:rsidR="001F3E2E">
          <w:rPr>
            <w:webHidden/>
          </w:rPr>
          <w:t>117</w:t>
        </w:r>
        <w:r w:rsidR="00197B00">
          <w:rPr>
            <w:webHidden/>
          </w:rPr>
          <w:fldChar w:fldCharType="end"/>
        </w:r>
      </w:hyperlink>
    </w:p>
    <w:p w14:paraId="3DF0C1D5" w14:textId="77777777" w:rsidR="00197B00" w:rsidRDefault="0088072F">
      <w:pPr>
        <w:pStyle w:val="TDC4"/>
        <w:tabs>
          <w:tab w:val="left" w:pos="2591"/>
        </w:tabs>
        <w:rPr>
          <w:rFonts w:asciiTheme="minorHAnsi" w:eastAsiaTheme="minorEastAsia" w:hAnsiTheme="minorHAnsi" w:cstheme="minorBidi"/>
          <w:spacing w:val="0"/>
          <w:sz w:val="22"/>
          <w:szCs w:val="22"/>
          <w:lang w:val="es-CL" w:eastAsia="es-CL"/>
        </w:rPr>
      </w:pPr>
      <w:hyperlink w:anchor="_Toc39797832" w:history="1">
        <w:r w:rsidR="00197B00" w:rsidRPr="005452F8">
          <w:rPr>
            <w:rStyle w:val="Hipervnculo"/>
            <w:lang w:val="es-ES"/>
          </w:rPr>
          <w:t>6.2.10.26</w:t>
        </w:r>
        <w:r w:rsidR="00197B00">
          <w:rPr>
            <w:rFonts w:asciiTheme="minorHAnsi" w:eastAsiaTheme="minorEastAsia" w:hAnsiTheme="minorHAnsi" w:cstheme="minorBidi"/>
            <w:spacing w:val="0"/>
            <w:sz w:val="22"/>
            <w:szCs w:val="22"/>
            <w:lang w:val="es-CL" w:eastAsia="es-CL"/>
          </w:rPr>
          <w:tab/>
        </w:r>
        <w:r w:rsidR="00197B00" w:rsidRPr="005452F8">
          <w:rPr>
            <w:rStyle w:val="Hipervnculo"/>
          </w:rPr>
          <w:t>Costos de operación de vehículos de la EM</w:t>
        </w:r>
        <w:r w:rsidR="00197B00">
          <w:rPr>
            <w:webHidden/>
          </w:rPr>
          <w:tab/>
        </w:r>
        <w:r w:rsidR="00197B00">
          <w:rPr>
            <w:webHidden/>
          </w:rPr>
          <w:fldChar w:fldCharType="begin"/>
        </w:r>
        <w:r w:rsidR="00197B00">
          <w:rPr>
            <w:webHidden/>
          </w:rPr>
          <w:instrText xml:space="preserve"> PAGEREF _Toc39797832 \h </w:instrText>
        </w:r>
        <w:r w:rsidR="00197B00">
          <w:rPr>
            <w:webHidden/>
          </w:rPr>
        </w:r>
        <w:r w:rsidR="00197B00">
          <w:rPr>
            <w:webHidden/>
          </w:rPr>
          <w:fldChar w:fldCharType="separate"/>
        </w:r>
        <w:r w:rsidR="001F3E2E">
          <w:rPr>
            <w:webHidden/>
          </w:rPr>
          <w:t>118</w:t>
        </w:r>
        <w:r w:rsidR="00197B00">
          <w:rPr>
            <w:webHidden/>
          </w:rPr>
          <w:fldChar w:fldCharType="end"/>
        </w:r>
      </w:hyperlink>
    </w:p>
    <w:p w14:paraId="5848CDD6" w14:textId="77777777" w:rsidR="00197B00" w:rsidRDefault="0088072F">
      <w:pPr>
        <w:pStyle w:val="TDC4"/>
        <w:tabs>
          <w:tab w:val="left" w:pos="2591"/>
        </w:tabs>
        <w:rPr>
          <w:rFonts w:asciiTheme="minorHAnsi" w:eastAsiaTheme="minorEastAsia" w:hAnsiTheme="minorHAnsi" w:cstheme="minorBidi"/>
          <w:spacing w:val="0"/>
          <w:sz w:val="22"/>
          <w:szCs w:val="22"/>
          <w:lang w:val="es-CL" w:eastAsia="es-CL"/>
        </w:rPr>
      </w:pPr>
      <w:hyperlink w:anchor="_Toc39797833" w:history="1">
        <w:r w:rsidR="00197B00" w:rsidRPr="005452F8">
          <w:rPr>
            <w:rStyle w:val="Hipervnculo"/>
          </w:rPr>
          <w:t>6.2.10.27</w:t>
        </w:r>
        <w:r w:rsidR="00197B00">
          <w:rPr>
            <w:rFonts w:asciiTheme="minorHAnsi" w:eastAsiaTheme="minorEastAsia" w:hAnsiTheme="minorHAnsi" w:cstheme="minorBidi"/>
            <w:spacing w:val="0"/>
            <w:sz w:val="22"/>
            <w:szCs w:val="22"/>
            <w:lang w:val="es-CL" w:eastAsia="es-CL"/>
          </w:rPr>
          <w:tab/>
        </w:r>
        <w:r w:rsidR="00197B00" w:rsidRPr="005452F8">
          <w:rPr>
            <w:rStyle w:val="Hipervnculo"/>
          </w:rPr>
          <w:t>Costos de mantenimiento de edificios</w:t>
        </w:r>
        <w:r w:rsidR="00197B00">
          <w:rPr>
            <w:webHidden/>
          </w:rPr>
          <w:tab/>
        </w:r>
        <w:r w:rsidR="00197B00">
          <w:rPr>
            <w:webHidden/>
          </w:rPr>
          <w:fldChar w:fldCharType="begin"/>
        </w:r>
        <w:r w:rsidR="00197B00">
          <w:rPr>
            <w:webHidden/>
          </w:rPr>
          <w:instrText xml:space="preserve"> PAGEREF _Toc39797833 \h </w:instrText>
        </w:r>
        <w:r w:rsidR="00197B00">
          <w:rPr>
            <w:webHidden/>
          </w:rPr>
        </w:r>
        <w:r w:rsidR="00197B00">
          <w:rPr>
            <w:webHidden/>
          </w:rPr>
          <w:fldChar w:fldCharType="separate"/>
        </w:r>
        <w:r w:rsidR="001F3E2E">
          <w:rPr>
            <w:webHidden/>
          </w:rPr>
          <w:t>119</w:t>
        </w:r>
        <w:r w:rsidR="00197B00">
          <w:rPr>
            <w:webHidden/>
          </w:rPr>
          <w:fldChar w:fldCharType="end"/>
        </w:r>
      </w:hyperlink>
    </w:p>
    <w:p w14:paraId="7C0D7330" w14:textId="77777777" w:rsidR="00197B00" w:rsidRDefault="0088072F">
      <w:pPr>
        <w:pStyle w:val="TDC4"/>
        <w:tabs>
          <w:tab w:val="left" w:pos="2591"/>
        </w:tabs>
        <w:rPr>
          <w:rFonts w:asciiTheme="minorHAnsi" w:eastAsiaTheme="minorEastAsia" w:hAnsiTheme="minorHAnsi" w:cstheme="minorBidi"/>
          <w:spacing w:val="0"/>
          <w:sz w:val="22"/>
          <w:szCs w:val="22"/>
          <w:lang w:val="es-CL" w:eastAsia="es-CL"/>
        </w:rPr>
      </w:pPr>
      <w:hyperlink w:anchor="_Toc39797834" w:history="1">
        <w:r w:rsidR="00197B00" w:rsidRPr="005452F8">
          <w:rPr>
            <w:rStyle w:val="Hipervnculo"/>
          </w:rPr>
          <w:t>6.2.10.28</w:t>
        </w:r>
        <w:r w:rsidR="00197B00">
          <w:rPr>
            <w:rFonts w:asciiTheme="minorHAnsi" w:eastAsiaTheme="minorEastAsia" w:hAnsiTheme="minorHAnsi" w:cstheme="minorBidi"/>
            <w:spacing w:val="0"/>
            <w:sz w:val="22"/>
            <w:szCs w:val="22"/>
            <w:lang w:val="es-CL" w:eastAsia="es-CL"/>
          </w:rPr>
          <w:tab/>
        </w:r>
        <w:r w:rsidR="00197B00" w:rsidRPr="005452F8">
          <w:rPr>
            <w:rStyle w:val="Hipervnculo"/>
          </w:rPr>
          <w:t>Costos de ciberseguridad</w:t>
        </w:r>
        <w:r w:rsidR="00197B00">
          <w:rPr>
            <w:webHidden/>
          </w:rPr>
          <w:tab/>
        </w:r>
        <w:r w:rsidR="00197B00">
          <w:rPr>
            <w:webHidden/>
          </w:rPr>
          <w:fldChar w:fldCharType="begin"/>
        </w:r>
        <w:r w:rsidR="00197B00">
          <w:rPr>
            <w:webHidden/>
          </w:rPr>
          <w:instrText xml:space="preserve"> PAGEREF _Toc39797834 \h </w:instrText>
        </w:r>
        <w:r w:rsidR="00197B00">
          <w:rPr>
            <w:webHidden/>
          </w:rPr>
        </w:r>
        <w:r w:rsidR="00197B00">
          <w:rPr>
            <w:webHidden/>
          </w:rPr>
          <w:fldChar w:fldCharType="separate"/>
        </w:r>
        <w:r w:rsidR="001F3E2E">
          <w:rPr>
            <w:webHidden/>
          </w:rPr>
          <w:t>119</w:t>
        </w:r>
        <w:r w:rsidR="00197B00">
          <w:rPr>
            <w:webHidden/>
          </w:rPr>
          <w:fldChar w:fldCharType="end"/>
        </w:r>
      </w:hyperlink>
    </w:p>
    <w:p w14:paraId="2B090095" w14:textId="77777777" w:rsidR="00197B00" w:rsidRDefault="0088072F">
      <w:pPr>
        <w:pStyle w:val="TDC3"/>
        <w:tabs>
          <w:tab w:val="left" w:pos="2552"/>
        </w:tabs>
        <w:rPr>
          <w:rFonts w:asciiTheme="minorHAnsi" w:eastAsiaTheme="minorEastAsia" w:hAnsiTheme="minorHAnsi" w:cstheme="minorBidi"/>
          <w:sz w:val="22"/>
          <w:szCs w:val="22"/>
          <w:lang w:eastAsia="es-CL"/>
        </w:rPr>
      </w:pPr>
      <w:hyperlink w:anchor="_Toc39797835" w:history="1">
        <w:r w:rsidR="00197B00" w:rsidRPr="005452F8">
          <w:rPr>
            <w:rStyle w:val="Hipervnculo"/>
          </w:rPr>
          <w:t>6.2.11</w:t>
        </w:r>
        <w:r w:rsidR="00197B00">
          <w:rPr>
            <w:rFonts w:asciiTheme="minorHAnsi" w:eastAsiaTheme="minorEastAsia" w:hAnsiTheme="minorHAnsi" w:cstheme="minorBidi"/>
            <w:sz w:val="22"/>
            <w:szCs w:val="22"/>
            <w:lang w:eastAsia="es-CL"/>
          </w:rPr>
          <w:tab/>
        </w:r>
        <w:r w:rsidR="00197B00" w:rsidRPr="005452F8">
          <w:rPr>
            <w:rStyle w:val="Hipervnculo"/>
          </w:rPr>
          <w:t>Bienes muebles e inmuebles</w:t>
        </w:r>
        <w:r w:rsidR="00197B00">
          <w:rPr>
            <w:webHidden/>
          </w:rPr>
          <w:tab/>
        </w:r>
        <w:r w:rsidR="00197B00">
          <w:rPr>
            <w:webHidden/>
          </w:rPr>
          <w:fldChar w:fldCharType="begin"/>
        </w:r>
        <w:r w:rsidR="00197B00">
          <w:rPr>
            <w:webHidden/>
          </w:rPr>
          <w:instrText xml:space="preserve"> PAGEREF _Toc39797835 \h </w:instrText>
        </w:r>
        <w:r w:rsidR="00197B00">
          <w:rPr>
            <w:webHidden/>
          </w:rPr>
        </w:r>
        <w:r w:rsidR="00197B00">
          <w:rPr>
            <w:webHidden/>
          </w:rPr>
          <w:fldChar w:fldCharType="separate"/>
        </w:r>
        <w:r w:rsidR="001F3E2E">
          <w:rPr>
            <w:webHidden/>
          </w:rPr>
          <w:t>119</w:t>
        </w:r>
        <w:r w:rsidR="00197B00">
          <w:rPr>
            <w:webHidden/>
          </w:rPr>
          <w:fldChar w:fldCharType="end"/>
        </w:r>
      </w:hyperlink>
    </w:p>
    <w:p w14:paraId="13682F9F" w14:textId="77777777" w:rsidR="00197B00" w:rsidRDefault="0088072F">
      <w:pPr>
        <w:pStyle w:val="TDC4"/>
        <w:tabs>
          <w:tab w:val="left" w:pos="2552"/>
        </w:tabs>
        <w:rPr>
          <w:rFonts w:asciiTheme="minorHAnsi" w:eastAsiaTheme="minorEastAsia" w:hAnsiTheme="minorHAnsi" w:cstheme="minorBidi"/>
          <w:spacing w:val="0"/>
          <w:sz w:val="22"/>
          <w:szCs w:val="22"/>
          <w:lang w:val="es-CL" w:eastAsia="es-CL"/>
        </w:rPr>
      </w:pPr>
      <w:hyperlink w:anchor="_Toc39797836" w:history="1">
        <w:r w:rsidR="00197B00" w:rsidRPr="005452F8">
          <w:rPr>
            <w:rStyle w:val="Hipervnculo"/>
          </w:rPr>
          <w:t>6.2.11.1</w:t>
        </w:r>
        <w:r w:rsidR="00197B00">
          <w:rPr>
            <w:rFonts w:asciiTheme="minorHAnsi" w:eastAsiaTheme="minorEastAsia" w:hAnsiTheme="minorHAnsi" w:cstheme="minorBidi"/>
            <w:spacing w:val="0"/>
            <w:sz w:val="22"/>
            <w:szCs w:val="22"/>
            <w:lang w:val="es-CL" w:eastAsia="es-CL"/>
          </w:rPr>
          <w:tab/>
        </w:r>
        <w:r w:rsidR="00197B00" w:rsidRPr="005452F8">
          <w:rPr>
            <w:rStyle w:val="Hipervnculo"/>
          </w:rPr>
          <w:t>Bienes inmuebles distintos a los terrenos</w:t>
        </w:r>
        <w:r w:rsidR="00197B00">
          <w:rPr>
            <w:webHidden/>
          </w:rPr>
          <w:tab/>
        </w:r>
        <w:r w:rsidR="00197B00">
          <w:rPr>
            <w:webHidden/>
          </w:rPr>
          <w:fldChar w:fldCharType="begin"/>
        </w:r>
        <w:r w:rsidR="00197B00">
          <w:rPr>
            <w:webHidden/>
          </w:rPr>
          <w:instrText xml:space="preserve"> PAGEREF _Toc39797836 \h </w:instrText>
        </w:r>
        <w:r w:rsidR="00197B00">
          <w:rPr>
            <w:webHidden/>
          </w:rPr>
        </w:r>
        <w:r w:rsidR="00197B00">
          <w:rPr>
            <w:webHidden/>
          </w:rPr>
          <w:fldChar w:fldCharType="separate"/>
        </w:r>
        <w:r w:rsidR="001F3E2E">
          <w:rPr>
            <w:webHidden/>
          </w:rPr>
          <w:t>119</w:t>
        </w:r>
        <w:r w:rsidR="00197B00">
          <w:rPr>
            <w:webHidden/>
          </w:rPr>
          <w:fldChar w:fldCharType="end"/>
        </w:r>
      </w:hyperlink>
    </w:p>
    <w:p w14:paraId="1EF791EC" w14:textId="77777777" w:rsidR="00197B00" w:rsidRDefault="0088072F">
      <w:pPr>
        <w:pStyle w:val="TDC4"/>
        <w:tabs>
          <w:tab w:val="left" w:pos="2552"/>
        </w:tabs>
        <w:rPr>
          <w:rFonts w:asciiTheme="minorHAnsi" w:eastAsiaTheme="minorEastAsia" w:hAnsiTheme="minorHAnsi" w:cstheme="minorBidi"/>
          <w:spacing w:val="0"/>
          <w:sz w:val="22"/>
          <w:szCs w:val="22"/>
          <w:lang w:val="es-CL" w:eastAsia="es-CL"/>
        </w:rPr>
      </w:pPr>
      <w:hyperlink w:anchor="_Toc39797837" w:history="1">
        <w:r w:rsidR="00197B00" w:rsidRPr="005452F8">
          <w:rPr>
            <w:rStyle w:val="Hipervnculo"/>
          </w:rPr>
          <w:t>6.2.11.2</w:t>
        </w:r>
        <w:r w:rsidR="00197B00">
          <w:rPr>
            <w:rFonts w:asciiTheme="minorHAnsi" w:eastAsiaTheme="minorEastAsia" w:hAnsiTheme="minorHAnsi" w:cstheme="minorBidi"/>
            <w:spacing w:val="0"/>
            <w:sz w:val="22"/>
            <w:szCs w:val="22"/>
            <w:lang w:val="es-CL" w:eastAsia="es-CL"/>
          </w:rPr>
          <w:tab/>
        </w:r>
        <w:r w:rsidR="00197B00" w:rsidRPr="005452F8">
          <w:rPr>
            <w:rStyle w:val="Hipervnculo"/>
          </w:rPr>
          <w:t>Equipamiento de operación y mantenimiento no fungible</w:t>
        </w:r>
        <w:r w:rsidR="00197B00">
          <w:rPr>
            <w:webHidden/>
          </w:rPr>
          <w:tab/>
        </w:r>
        <w:r w:rsidR="00197B00">
          <w:rPr>
            <w:webHidden/>
          </w:rPr>
          <w:fldChar w:fldCharType="begin"/>
        </w:r>
        <w:r w:rsidR="00197B00">
          <w:rPr>
            <w:webHidden/>
          </w:rPr>
          <w:instrText xml:space="preserve"> PAGEREF _Toc39797837 \h </w:instrText>
        </w:r>
        <w:r w:rsidR="00197B00">
          <w:rPr>
            <w:webHidden/>
          </w:rPr>
        </w:r>
        <w:r w:rsidR="00197B00">
          <w:rPr>
            <w:webHidden/>
          </w:rPr>
          <w:fldChar w:fldCharType="separate"/>
        </w:r>
        <w:r w:rsidR="001F3E2E">
          <w:rPr>
            <w:webHidden/>
          </w:rPr>
          <w:t>121</w:t>
        </w:r>
        <w:r w:rsidR="00197B00">
          <w:rPr>
            <w:webHidden/>
          </w:rPr>
          <w:fldChar w:fldCharType="end"/>
        </w:r>
      </w:hyperlink>
    </w:p>
    <w:p w14:paraId="1AA5D631" w14:textId="77777777" w:rsidR="00197B00" w:rsidRDefault="0088072F">
      <w:pPr>
        <w:pStyle w:val="TDC4"/>
        <w:tabs>
          <w:tab w:val="left" w:pos="2552"/>
        </w:tabs>
        <w:rPr>
          <w:rFonts w:asciiTheme="minorHAnsi" w:eastAsiaTheme="minorEastAsia" w:hAnsiTheme="minorHAnsi" w:cstheme="minorBidi"/>
          <w:spacing w:val="0"/>
          <w:sz w:val="22"/>
          <w:szCs w:val="22"/>
          <w:lang w:val="es-CL" w:eastAsia="es-CL"/>
        </w:rPr>
      </w:pPr>
      <w:hyperlink w:anchor="_Toc39797838" w:history="1">
        <w:r w:rsidR="00197B00" w:rsidRPr="005452F8">
          <w:rPr>
            <w:rStyle w:val="Hipervnculo"/>
          </w:rPr>
          <w:t>6.2.11.3</w:t>
        </w:r>
        <w:r w:rsidR="00197B00">
          <w:rPr>
            <w:rFonts w:asciiTheme="minorHAnsi" w:eastAsiaTheme="minorEastAsia" w:hAnsiTheme="minorHAnsi" w:cstheme="minorBidi"/>
            <w:spacing w:val="0"/>
            <w:sz w:val="22"/>
            <w:szCs w:val="22"/>
            <w:lang w:val="es-CL" w:eastAsia="es-CL"/>
          </w:rPr>
          <w:tab/>
        </w:r>
        <w:r w:rsidR="00197B00" w:rsidRPr="005452F8">
          <w:rPr>
            <w:rStyle w:val="Hipervnculo"/>
          </w:rPr>
          <w:t>Equipamiento de oficina no fungible</w:t>
        </w:r>
        <w:r w:rsidR="00197B00">
          <w:rPr>
            <w:webHidden/>
          </w:rPr>
          <w:tab/>
        </w:r>
        <w:r w:rsidR="00197B00">
          <w:rPr>
            <w:webHidden/>
          </w:rPr>
          <w:fldChar w:fldCharType="begin"/>
        </w:r>
        <w:r w:rsidR="00197B00">
          <w:rPr>
            <w:webHidden/>
          </w:rPr>
          <w:instrText xml:space="preserve"> PAGEREF _Toc39797838 \h </w:instrText>
        </w:r>
        <w:r w:rsidR="00197B00">
          <w:rPr>
            <w:webHidden/>
          </w:rPr>
        </w:r>
        <w:r w:rsidR="00197B00">
          <w:rPr>
            <w:webHidden/>
          </w:rPr>
          <w:fldChar w:fldCharType="separate"/>
        </w:r>
        <w:r w:rsidR="001F3E2E">
          <w:rPr>
            <w:webHidden/>
          </w:rPr>
          <w:t>123</w:t>
        </w:r>
        <w:r w:rsidR="00197B00">
          <w:rPr>
            <w:webHidden/>
          </w:rPr>
          <w:fldChar w:fldCharType="end"/>
        </w:r>
      </w:hyperlink>
    </w:p>
    <w:p w14:paraId="6716C5E7" w14:textId="77777777" w:rsidR="00197B00" w:rsidRDefault="0088072F">
      <w:pPr>
        <w:pStyle w:val="TDC4"/>
        <w:tabs>
          <w:tab w:val="left" w:pos="2552"/>
        </w:tabs>
        <w:rPr>
          <w:rFonts w:asciiTheme="minorHAnsi" w:eastAsiaTheme="minorEastAsia" w:hAnsiTheme="minorHAnsi" w:cstheme="minorBidi"/>
          <w:spacing w:val="0"/>
          <w:sz w:val="22"/>
          <w:szCs w:val="22"/>
          <w:lang w:val="es-CL" w:eastAsia="es-CL"/>
        </w:rPr>
      </w:pPr>
      <w:hyperlink w:anchor="_Toc39797839" w:history="1">
        <w:r w:rsidR="00197B00" w:rsidRPr="005452F8">
          <w:rPr>
            <w:rStyle w:val="Hipervnculo"/>
          </w:rPr>
          <w:t>6.2.11.4</w:t>
        </w:r>
        <w:r w:rsidR="00197B00">
          <w:rPr>
            <w:rFonts w:asciiTheme="minorHAnsi" w:eastAsiaTheme="minorEastAsia" w:hAnsiTheme="minorHAnsi" w:cstheme="minorBidi"/>
            <w:spacing w:val="0"/>
            <w:sz w:val="22"/>
            <w:szCs w:val="22"/>
            <w:lang w:val="es-CL" w:eastAsia="es-CL"/>
          </w:rPr>
          <w:tab/>
        </w:r>
        <w:r w:rsidR="00197B00" w:rsidRPr="005452F8">
          <w:rPr>
            <w:rStyle w:val="Hipervnculo"/>
          </w:rPr>
          <w:t>Equipamiento computacional</w:t>
        </w:r>
        <w:r w:rsidR="00197B00">
          <w:rPr>
            <w:webHidden/>
          </w:rPr>
          <w:tab/>
        </w:r>
        <w:r w:rsidR="00197B00">
          <w:rPr>
            <w:webHidden/>
          </w:rPr>
          <w:fldChar w:fldCharType="begin"/>
        </w:r>
        <w:r w:rsidR="00197B00">
          <w:rPr>
            <w:webHidden/>
          </w:rPr>
          <w:instrText xml:space="preserve"> PAGEREF _Toc39797839 \h </w:instrText>
        </w:r>
        <w:r w:rsidR="00197B00">
          <w:rPr>
            <w:webHidden/>
          </w:rPr>
        </w:r>
        <w:r w:rsidR="00197B00">
          <w:rPr>
            <w:webHidden/>
          </w:rPr>
          <w:fldChar w:fldCharType="separate"/>
        </w:r>
        <w:r w:rsidR="001F3E2E">
          <w:rPr>
            <w:webHidden/>
          </w:rPr>
          <w:t>123</w:t>
        </w:r>
        <w:r w:rsidR="00197B00">
          <w:rPr>
            <w:webHidden/>
          </w:rPr>
          <w:fldChar w:fldCharType="end"/>
        </w:r>
      </w:hyperlink>
    </w:p>
    <w:p w14:paraId="6FB32048" w14:textId="77777777" w:rsidR="00197B00" w:rsidRDefault="0088072F">
      <w:pPr>
        <w:pStyle w:val="TDC4"/>
        <w:tabs>
          <w:tab w:val="left" w:pos="2552"/>
        </w:tabs>
        <w:rPr>
          <w:rFonts w:asciiTheme="minorHAnsi" w:eastAsiaTheme="minorEastAsia" w:hAnsiTheme="minorHAnsi" w:cstheme="minorBidi"/>
          <w:spacing w:val="0"/>
          <w:sz w:val="22"/>
          <w:szCs w:val="22"/>
          <w:lang w:val="es-CL" w:eastAsia="es-CL"/>
        </w:rPr>
      </w:pPr>
      <w:hyperlink w:anchor="_Toc39797840" w:history="1">
        <w:r w:rsidR="00197B00" w:rsidRPr="005452F8">
          <w:rPr>
            <w:rStyle w:val="Hipervnculo"/>
          </w:rPr>
          <w:t>6.2.11.5</w:t>
        </w:r>
        <w:r w:rsidR="00197B00">
          <w:rPr>
            <w:rFonts w:asciiTheme="minorHAnsi" w:eastAsiaTheme="minorEastAsia" w:hAnsiTheme="minorHAnsi" w:cstheme="minorBidi"/>
            <w:spacing w:val="0"/>
            <w:sz w:val="22"/>
            <w:szCs w:val="22"/>
            <w:lang w:val="es-CL" w:eastAsia="es-CL"/>
          </w:rPr>
          <w:tab/>
        </w:r>
        <w:r w:rsidR="00197B00" w:rsidRPr="005452F8">
          <w:rPr>
            <w:rStyle w:val="Hipervnculo"/>
          </w:rPr>
          <w:t>Equipamiento de comunicaciones</w:t>
        </w:r>
        <w:r w:rsidR="00197B00">
          <w:rPr>
            <w:webHidden/>
          </w:rPr>
          <w:tab/>
        </w:r>
        <w:r w:rsidR="00197B00">
          <w:rPr>
            <w:webHidden/>
          </w:rPr>
          <w:fldChar w:fldCharType="begin"/>
        </w:r>
        <w:r w:rsidR="00197B00">
          <w:rPr>
            <w:webHidden/>
          </w:rPr>
          <w:instrText xml:space="preserve"> PAGEREF _Toc39797840 \h </w:instrText>
        </w:r>
        <w:r w:rsidR="00197B00">
          <w:rPr>
            <w:webHidden/>
          </w:rPr>
        </w:r>
        <w:r w:rsidR="00197B00">
          <w:rPr>
            <w:webHidden/>
          </w:rPr>
          <w:fldChar w:fldCharType="separate"/>
        </w:r>
        <w:r w:rsidR="001F3E2E">
          <w:rPr>
            <w:webHidden/>
          </w:rPr>
          <w:t>130</w:t>
        </w:r>
        <w:r w:rsidR="00197B00">
          <w:rPr>
            <w:webHidden/>
          </w:rPr>
          <w:fldChar w:fldCharType="end"/>
        </w:r>
      </w:hyperlink>
    </w:p>
    <w:p w14:paraId="45EA638A" w14:textId="77777777" w:rsidR="00197B00" w:rsidRDefault="0088072F">
      <w:pPr>
        <w:pStyle w:val="TDC4"/>
        <w:tabs>
          <w:tab w:val="left" w:pos="2552"/>
        </w:tabs>
        <w:rPr>
          <w:rFonts w:asciiTheme="minorHAnsi" w:eastAsiaTheme="minorEastAsia" w:hAnsiTheme="minorHAnsi" w:cstheme="minorBidi"/>
          <w:spacing w:val="0"/>
          <w:sz w:val="22"/>
          <w:szCs w:val="22"/>
          <w:lang w:val="es-CL" w:eastAsia="es-CL"/>
        </w:rPr>
      </w:pPr>
      <w:hyperlink w:anchor="_Toc39797841" w:history="1">
        <w:r w:rsidR="00197B00" w:rsidRPr="005452F8">
          <w:rPr>
            <w:rStyle w:val="Hipervnculo"/>
          </w:rPr>
          <w:t>6.2.11.6</w:t>
        </w:r>
        <w:r w:rsidR="00197B00">
          <w:rPr>
            <w:rFonts w:asciiTheme="minorHAnsi" w:eastAsiaTheme="minorEastAsia" w:hAnsiTheme="minorHAnsi" w:cstheme="minorBidi"/>
            <w:spacing w:val="0"/>
            <w:sz w:val="22"/>
            <w:szCs w:val="22"/>
            <w:lang w:val="es-CL" w:eastAsia="es-CL"/>
          </w:rPr>
          <w:tab/>
        </w:r>
        <w:r w:rsidR="00197B00" w:rsidRPr="005452F8">
          <w:rPr>
            <w:rStyle w:val="Hipervnculo"/>
          </w:rPr>
          <w:t>Sistema SCADA (Software y Hardware).</w:t>
        </w:r>
        <w:r w:rsidR="00197B00">
          <w:rPr>
            <w:webHidden/>
          </w:rPr>
          <w:tab/>
        </w:r>
        <w:r w:rsidR="00197B00">
          <w:rPr>
            <w:webHidden/>
          </w:rPr>
          <w:fldChar w:fldCharType="begin"/>
        </w:r>
        <w:r w:rsidR="00197B00">
          <w:rPr>
            <w:webHidden/>
          </w:rPr>
          <w:instrText xml:space="preserve"> PAGEREF _Toc39797841 \h </w:instrText>
        </w:r>
        <w:r w:rsidR="00197B00">
          <w:rPr>
            <w:webHidden/>
          </w:rPr>
        </w:r>
        <w:r w:rsidR="00197B00">
          <w:rPr>
            <w:webHidden/>
          </w:rPr>
          <w:fldChar w:fldCharType="separate"/>
        </w:r>
        <w:r w:rsidR="001F3E2E">
          <w:rPr>
            <w:webHidden/>
          </w:rPr>
          <w:t>130</w:t>
        </w:r>
        <w:r w:rsidR="00197B00">
          <w:rPr>
            <w:webHidden/>
          </w:rPr>
          <w:fldChar w:fldCharType="end"/>
        </w:r>
      </w:hyperlink>
    </w:p>
    <w:p w14:paraId="4BF988DD" w14:textId="77777777" w:rsidR="00197B00" w:rsidRDefault="0088072F">
      <w:pPr>
        <w:pStyle w:val="TDC4"/>
        <w:tabs>
          <w:tab w:val="left" w:pos="2552"/>
        </w:tabs>
        <w:rPr>
          <w:rFonts w:asciiTheme="minorHAnsi" w:eastAsiaTheme="minorEastAsia" w:hAnsiTheme="minorHAnsi" w:cstheme="minorBidi"/>
          <w:spacing w:val="0"/>
          <w:sz w:val="22"/>
          <w:szCs w:val="22"/>
          <w:lang w:val="es-CL" w:eastAsia="es-CL"/>
        </w:rPr>
      </w:pPr>
      <w:hyperlink w:anchor="_Toc39797842" w:history="1">
        <w:r w:rsidR="00197B00" w:rsidRPr="005452F8">
          <w:rPr>
            <w:rStyle w:val="Hipervnculo"/>
          </w:rPr>
          <w:t>6.2.11.7</w:t>
        </w:r>
        <w:r w:rsidR="00197B00">
          <w:rPr>
            <w:rFonts w:asciiTheme="minorHAnsi" w:eastAsiaTheme="minorEastAsia" w:hAnsiTheme="minorHAnsi" w:cstheme="minorBidi"/>
            <w:spacing w:val="0"/>
            <w:sz w:val="22"/>
            <w:szCs w:val="22"/>
            <w:lang w:val="es-CL" w:eastAsia="es-CL"/>
          </w:rPr>
          <w:tab/>
        </w:r>
        <w:r w:rsidR="00197B00" w:rsidRPr="005452F8">
          <w:rPr>
            <w:rStyle w:val="Hipervnculo"/>
          </w:rPr>
          <w:t>Vehículos</w:t>
        </w:r>
        <w:r w:rsidR="00197B00">
          <w:rPr>
            <w:webHidden/>
          </w:rPr>
          <w:tab/>
        </w:r>
        <w:r w:rsidR="00197B00">
          <w:rPr>
            <w:webHidden/>
          </w:rPr>
          <w:fldChar w:fldCharType="begin"/>
        </w:r>
        <w:r w:rsidR="00197B00">
          <w:rPr>
            <w:webHidden/>
          </w:rPr>
          <w:instrText xml:space="preserve"> PAGEREF _Toc39797842 \h </w:instrText>
        </w:r>
        <w:r w:rsidR="00197B00">
          <w:rPr>
            <w:webHidden/>
          </w:rPr>
        </w:r>
        <w:r w:rsidR="00197B00">
          <w:rPr>
            <w:webHidden/>
          </w:rPr>
          <w:fldChar w:fldCharType="separate"/>
        </w:r>
        <w:r w:rsidR="001F3E2E">
          <w:rPr>
            <w:webHidden/>
          </w:rPr>
          <w:t>132</w:t>
        </w:r>
        <w:r w:rsidR="00197B00">
          <w:rPr>
            <w:webHidden/>
          </w:rPr>
          <w:fldChar w:fldCharType="end"/>
        </w:r>
      </w:hyperlink>
    </w:p>
    <w:p w14:paraId="3F04570F" w14:textId="77777777" w:rsidR="00197B00" w:rsidRDefault="0088072F">
      <w:pPr>
        <w:pStyle w:val="TDC3"/>
        <w:tabs>
          <w:tab w:val="left" w:pos="2552"/>
        </w:tabs>
        <w:rPr>
          <w:rFonts w:asciiTheme="minorHAnsi" w:eastAsiaTheme="minorEastAsia" w:hAnsiTheme="minorHAnsi" w:cstheme="minorBidi"/>
          <w:sz w:val="22"/>
          <w:szCs w:val="22"/>
          <w:lang w:eastAsia="es-CL"/>
        </w:rPr>
      </w:pPr>
      <w:hyperlink w:anchor="_Toc39797843" w:history="1">
        <w:r w:rsidR="00197B00" w:rsidRPr="005452F8">
          <w:rPr>
            <w:rStyle w:val="Hipervnculo"/>
          </w:rPr>
          <w:t>6.2.12</w:t>
        </w:r>
        <w:r w:rsidR="00197B00">
          <w:rPr>
            <w:rFonts w:asciiTheme="minorHAnsi" w:eastAsiaTheme="minorEastAsia" w:hAnsiTheme="minorHAnsi" w:cstheme="minorBidi"/>
            <w:sz w:val="22"/>
            <w:szCs w:val="22"/>
            <w:lang w:eastAsia="es-CL"/>
          </w:rPr>
          <w:tab/>
        </w:r>
        <w:r w:rsidR="00197B00" w:rsidRPr="005452F8">
          <w:rPr>
            <w:rStyle w:val="Hipervnculo"/>
          </w:rPr>
          <w:t>Capital de Explotación</w:t>
        </w:r>
        <w:r w:rsidR="00197B00">
          <w:rPr>
            <w:webHidden/>
          </w:rPr>
          <w:tab/>
        </w:r>
        <w:r w:rsidR="00197B00">
          <w:rPr>
            <w:webHidden/>
          </w:rPr>
          <w:fldChar w:fldCharType="begin"/>
        </w:r>
        <w:r w:rsidR="00197B00">
          <w:rPr>
            <w:webHidden/>
          </w:rPr>
          <w:instrText xml:space="preserve"> PAGEREF _Toc39797843 \h </w:instrText>
        </w:r>
        <w:r w:rsidR="00197B00">
          <w:rPr>
            <w:webHidden/>
          </w:rPr>
        </w:r>
        <w:r w:rsidR="00197B00">
          <w:rPr>
            <w:webHidden/>
          </w:rPr>
          <w:fldChar w:fldCharType="separate"/>
        </w:r>
        <w:r w:rsidR="001F3E2E">
          <w:rPr>
            <w:webHidden/>
          </w:rPr>
          <w:t>134</w:t>
        </w:r>
        <w:r w:rsidR="00197B00">
          <w:rPr>
            <w:webHidden/>
          </w:rPr>
          <w:fldChar w:fldCharType="end"/>
        </w:r>
      </w:hyperlink>
    </w:p>
    <w:p w14:paraId="248CACF3" w14:textId="77777777" w:rsidR="00197B00" w:rsidRDefault="0088072F">
      <w:pPr>
        <w:pStyle w:val="TDC3"/>
        <w:tabs>
          <w:tab w:val="left" w:pos="2552"/>
        </w:tabs>
        <w:rPr>
          <w:rFonts w:asciiTheme="minorHAnsi" w:eastAsiaTheme="minorEastAsia" w:hAnsiTheme="minorHAnsi" w:cstheme="minorBidi"/>
          <w:sz w:val="22"/>
          <w:szCs w:val="22"/>
          <w:lang w:eastAsia="es-CL"/>
        </w:rPr>
      </w:pPr>
      <w:hyperlink w:anchor="_Toc39797844" w:history="1">
        <w:r w:rsidR="00197B00" w:rsidRPr="005452F8">
          <w:rPr>
            <w:rStyle w:val="Hipervnculo"/>
          </w:rPr>
          <w:t>6.2.13</w:t>
        </w:r>
        <w:r w:rsidR="00197B00">
          <w:rPr>
            <w:rFonts w:asciiTheme="minorHAnsi" w:eastAsiaTheme="minorEastAsia" w:hAnsiTheme="minorHAnsi" w:cstheme="minorBidi"/>
            <w:sz w:val="22"/>
            <w:szCs w:val="22"/>
            <w:lang w:eastAsia="es-CL"/>
          </w:rPr>
          <w:tab/>
        </w:r>
        <w:r w:rsidR="00197B00" w:rsidRPr="005452F8">
          <w:rPr>
            <w:rStyle w:val="Hipervnculo"/>
          </w:rPr>
          <w:t>Metodología de asignación del C.O.M.A.</w:t>
        </w:r>
        <w:r w:rsidR="00197B00">
          <w:rPr>
            <w:webHidden/>
          </w:rPr>
          <w:tab/>
        </w:r>
        <w:r w:rsidR="00197B00">
          <w:rPr>
            <w:webHidden/>
          </w:rPr>
          <w:fldChar w:fldCharType="begin"/>
        </w:r>
        <w:r w:rsidR="00197B00">
          <w:rPr>
            <w:webHidden/>
          </w:rPr>
          <w:instrText xml:space="preserve"> PAGEREF _Toc39797844 \h </w:instrText>
        </w:r>
        <w:r w:rsidR="00197B00">
          <w:rPr>
            <w:webHidden/>
          </w:rPr>
        </w:r>
        <w:r w:rsidR="00197B00">
          <w:rPr>
            <w:webHidden/>
          </w:rPr>
          <w:fldChar w:fldCharType="separate"/>
        </w:r>
        <w:r w:rsidR="001F3E2E">
          <w:rPr>
            <w:webHidden/>
          </w:rPr>
          <w:t>135</w:t>
        </w:r>
        <w:r w:rsidR="00197B00">
          <w:rPr>
            <w:webHidden/>
          </w:rPr>
          <w:fldChar w:fldCharType="end"/>
        </w:r>
      </w:hyperlink>
    </w:p>
    <w:p w14:paraId="43D3993B" w14:textId="77777777" w:rsidR="00197B00" w:rsidRDefault="0088072F">
      <w:pPr>
        <w:pStyle w:val="TDC3"/>
        <w:tabs>
          <w:tab w:val="left" w:pos="2552"/>
        </w:tabs>
        <w:rPr>
          <w:rFonts w:asciiTheme="minorHAnsi" w:eastAsiaTheme="minorEastAsia" w:hAnsiTheme="minorHAnsi" w:cstheme="minorBidi"/>
          <w:sz w:val="22"/>
          <w:szCs w:val="22"/>
          <w:lang w:eastAsia="es-CL"/>
        </w:rPr>
      </w:pPr>
      <w:hyperlink w:anchor="_Toc39797845" w:history="1">
        <w:r w:rsidR="00197B00" w:rsidRPr="005452F8">
          <w:rPr>
            <w:rStyle w:val="Hipervnculo"/>
          </w:rPr>
          <w:t>6.2.14</w:t>
        </w:r>
        <w:r w:rsidR="00197B00">
          <w:rPr>
            <w:rFonts w:asciiTheme="minorHAnsi" w:eastAsiaTheme="minorEastAsia" w:hAnsiTheme="minorHAnsi" w:cstheme="minorBidi"/>
            <w:sz w:val="22"/>
            <w:szCs w:val="22"/>
            <w:lang w:eastAsia="es-CL"/>
          </w:rPr>
          <w:tab/>
        </w:r>
        <w:r w:rsidR="00197B00" w:rsidRPr="005452F8">
          <w:rPr>
            <w:rStyle w:val="Hipervnculo"/>
          </w:rPr>
          <w:t>Modelo de cálculo del C.O.M.A.</w:t>
        </w:r>
        <w:r w:rsidR="00197B00">
          <w:rPr>
            <w:webHidden/>
          </w:rPr>
          <w:tab/>
        </w:r>
        <w:r w:rsidR="00197B00">
          <w:rPr>
            <w:webHidden/>
          </w:rPr>
          <w:fldChar w:fldCharType="begin"/>
        </w:r>
        <w:r w:rsidR="00197B00">
          <w:rPr>
            <w:webHidden/>
          </w:rPr>
          <w:instrText xml:space="preserve"> PAGEREF _Toc39797845 \h </w:instrText>
        </w:r>
        <w:r w:rsidR="00197B00">
          <w:rPr>
            <w:webHidden/>
          </w:rPr>
        </w:r>
        <w:r w:rsidR="00197B00">
          <w:rPr>
            <w:webHidden/>
          </w:rPr>
          <w:fldChar w:fldCharType="separate"/>
        </w:r>
        <w:r w:rsidR="001F3E2E">
          <w:rPr>
            <w:webHidden/>
          </w:rPr>
          <w:t>135</w:t>
        </w:r>
        <w:r w:rsidR="00197B00">
          <w:rPr>
            <w:webHidden/>
          </w:rPr>
          <w:fldChar w:fldCharType="end"/>
        </w:r>
      </w:hyperlink>
    </w:p>
    <w:p w14:paraId="27AA33B1" w14:textId="77777777" w:rsidR="00197B00" w:rsidRDefault="0088072F">
      <w:pPr>
        <w:pStyle w:val="TDC4"/>
        <w:tabs>
          <w:tab w:val="left" w:pos="2552"/>
        </w:tabs>
        <w:rPr>
          <w:rFonts w:asciiTheme="minorHAnsi" w:eastAsiaTheme="minorEastAsia" w:hAnsiTheme="minorHAnsi" w:cstheme="minorBidi"/>
          <w:spacing w:val="0"/>
          <w:sz w:val="22"/>
          <w:szCs w:val="22"/>
          <w:lang w:val="es-CL" w:eastAsia="es-CL"/>
        </w:rPr>
      </w:pPr>
      <w:hyperlink w:anchor="_Toc39797846" w:history="1">
        <w:r w:rsidR="00197B00" w:rsidRPr="005452F8">
          <w:rPr>
            <w:rStyle w:val="Hipervnculo"/>
            <w:lang w:val="es-ES"/>
          </w:rPr>
          <w:t>6.2.14.1</w:t>
        </w:r>
        <w:r w:rsidR="00197B00">
          <w:rPr>
            <w:rFonts w:asciiTheme="minorHAnsi" w:eastAsiaTheme="minorEastAsia" w:hAnsiTheme="minorHAnsi" w:cstheme="minorBidi"/>
            <w:spacing w:val="0"/>
            <w:sz w:val="22"/>
            <w:szCs w:val="22"/>
            <w:lang w:val="es-CL" w:eastAsia="es-CL"/>
          </w:rPr>
          <w:tab/>
        </w:r>
        <w:r w:rsidR="00197B00" w:rsidRPr="005452F8">
          <w:rPr>
            <w:rStyle w:val="Hipervnculo"/>
            <w:lang w:val="es-ES"/>
          </w:rPr>
          <w:t>Estructura Central y Regionales</w:t>
        </w:r>
        <w:r w:rsidR="00197B00">
          <w:rPr>
            <w:webHidden/>
          </w:rPr>
          <w:tab/>
        </w:r>
        <w:r w:rsidR="00197B00">
          <w:rPr>
            <w:webHidden/>
          </w:rPr>
          <w:fldChar w:fldCharType="begin"/>
        </w:r>
        <w:r w:rsidR="00197B00">
          <w:rPr>
            <w:webHidden/>
          </w:rPr>
          <w:instrText xml:space="preserve"> PAGEREF _Toc39797846 \h </w:instrText>
        </w:r>
        <w:r w:rsidR="00197B00">
          <w:rPr>
            <w:webHidden/>
          </w:rPr>
        </w:r>
        <w:r w:rsidR="00197B00">
          <w:rPr>
            <w:webHidden/>
          </w:rPr>
          <w:fldChar w:fldCharType="separate"/>
        </w:r>
        <w:r w:rsidR="001F3E2E">
          <w:rPr>
            <w:webHidden/>
          </w:rPr>
          <w:t>138</w:t>
        </w:r>
        <w:r w:rsidR="00197B00">
          <w:rPr>
            <w:webHidden/>
          </w:rPr>
          <w:fldChar w:fldCharType="end"/>
        </w:r>
      </w:hyperlink>
    </w:p>
    <w:p w14:paraId="478DDD2D" w14:textId="77777777" w:rsidR="00197B00" w:rsidRDefault="0088072F">
      <w:pPr>
        <w:pStyle w:val="TDC4"/>
        <w:tabs>
          <w:tab w:val="left" w:pos="2552"/>
        </w:tabs>
        <w:rPr>
          <w:rFonts w:asciiTheme="minorHAnsi" w:eastAsiaTheme="minorEastAsia" w:hAnsiTheme="minorHAnsi" w:cstheme="minorBidi"/>
          <w:spacing w:val="0"/>
          <w:sz w:val="22"/>
          <w:szCs w:val="22"/>
          <w:lang w:val="es-CL" w:eastAsia="es-CL"/>
        </w:rPr>
      </w:pPr>
      <w:hyperlink w:anchor="_Toc39797847" w:history="1">
        <w:r w:rsidR="00197B00" w:rsidRPr="005452F8">
          <w:rPr>
            <w:rStyle w:val="Hipervnculo"/>
            <w:lang w:val="es-ES"/>
          </w:rPr>
          <w:t>6.2.14.2</w:t>
        </w:r>
        <w:r w:rsidR="00197B00">
          <w:rPr>
            <w:rFonts w:asciiTheme="minorHAnsi" w:eastAsiaTheme="minorEastAsia" w:hAnsiTheme="minorHAnsi" w:cstheme="minorBidi"/>
            <w:spacing w:val="0"/>
            <w:sz w:val="22"/>
            <w:szCs w:val="22"/>
            <w:lang w:val="es-CL" w:eastAsia="es-CL"/>
          </w:rPr>
          <w:tab/>
        </w:r>
        <w:r w:rsidR="00197B00" w:rsidRPr="005452F8">
          <w:rPr>
            <w:rStyle w:val="Hipervnculo"/>
            <w:lang w:val="es-ES"/>
          </w:rPr>
          <w:t>Costos directos de OyM</w:t>
        </w:r>
        <w:r w:rsidR="00197B00">
          <w:rPr>
            <w:webHidden/>
          </w:rPr>
          <w:tab/>
        </w:r>
        <w:r w:rsidR="00197B00">
          <w:rPr>
            <w:webHidden/>
          </w:rPr>
          <w:fldChar w:fldCharType="begin"/>
        </w:r>
        <w:r w:rsidR="00197B00">
          <w:rPr>
            <w:webHidden/>
          </w:rPr>
          <w:instrText xml:space="preserve"> PAGEREF _Toc39797847 \h </w:instrText>
        </w:r>
        <w:r w:rsidR="00197B00">
          <w:rPr>
            <w:webHidden/>
          </w:rPr>
        </w:r>
        <w:r w:rsidR="00197B00">
          <w:rPr>
            <w:webHidden/>
          </w:rPr>
          <w:fldChar w:fldCharType="separate"/>
        </w:r>
        <w:r w:rsidR="001F3E2E">
          <w:rPr>
            <w:webHidden/>
          </w:rPr>
          <w:t>138</w:t>
        </w:r>
        <w:r w:rsidR="00197B00">
          <w:rPr>
            <w:webHidden/>
          </w:rPr>
          <w:fldChar w:fldCharType="end"/>
        </w:r>
      </w:hyperlink>
    </w:p>
    <w:p w14:paraId="286AD2F4" w14:textId="77777777" w:rsidR="00197B00" w:rsidRDefault="0088072F">
      <w:pPr>
        <w:pStyle w:val="TDC3"/>
        <w:tabs>
          <w:tab w:val="left" w:pos="2552"/>
        </w:tabs>
        <w:rPr>
          <w:rFonts w:asciiTheme="minorHAnsi" w:eastAsiaTheme="minorEastAsia" w:hAnsiTheme="minorHAnsi" w:cstheme="minorBidi"/>
          <w:sz w:val="22"/>
          <w:szCs w:val="22"/>
          <w:lang w:eastAsia="es-CL"/>
        </w:rPr>
      </w:pPr>
      <w:hyperlink w:anchor="_Toc39797848" w:history="1">
        <w:r w:rsidR="00197B00" w:rsidRPr="005452F8">
          <w:rPr>
            <w:rStyle w:val="Hipervnculo"/>
          </w:rPr>
          <w:t>6.2.15</w:t>
        </w:r>
        <w:r w:rsidR="00197B00">
          <w:rPr>
            <w:rFonts w:asciiTheme="minorHAnsi" w:eastAsiaTheme="minorEastAsia" w:hAnsiTheme="minorHAnsi" w:cstheme="minorBidi"/>
            <w:sz w:val="22"/>
            <w:szCs w:val="22"/>
            <w:lang w:eastAsia="es-CL"/>
          </w:rPr>
          <w:tab/>
        </w:r>
        <w:r w:rsidR="00197B00" w:rsidRPr="005452F8">
          <w:rPr>
            <w:rStyle w:val="Hipervnculo"/>
          </w:rPr>
          <w:t>Tratamiento de las economías de ámbito</w:t>
        </w:r>
        <w:r w:rsidR="00197B00">
          <w:rPr>
            <w:webHidden/>
          </w:rPr>
          <w:tab/>
        </w:r>
        <w:r w:rsidR="00197B00">
          <w:rPr>
            <w:webHidden/>
          </w:rPr>
          <w:fldChar w:fldCharType="begin"/>
        </w:r>
        <w:r w:rsidR="00197B00">
          <w:rPr>
            <w:webHidden/>
          </w:rPr>
          <w:instrText xml:space="preserve"> PAGEREF _Toc39797848 \h </w:instrText>
        </w:r>
        <w:r w:rsidR="00197B00">
          <w:rPr>
            <w:webHidden/>
          </w:rPr>
        </w:r>
        <w:r w:rsidR="00197B00">
          <w:rPr>
            <w:webHidden/>
          </w:rPr>
          <w:fldChar w:fldCharType="separate"/>
        </w:r>
        <w:r w:rsidR="001F3E2E">
          <w:rPr>
            <w:webHidden/>
          </w:rPr>
          <w:t>141</w:t>
        </w:r>
        <w:r w:rsidR="00197B00">
          <w:rPr>
            <w:webHidden/>
          </w:rPr>
          <w:fldChar w:fldCharType="end"/>
        </w:r>
      </w:hyperlink>
    </w:p>
    <w:p w14:paraId="252B98AF" w14:textId="77777777" w:rsidR="00197B00" w:rsidRDefault="0088072F">
      <w:pPr>
        <w:pStyle w:val="TDC3"/>
        <w:tabs>
          <w:tab w:val="left" w:pos="2552"/>
        </w:tabs>
        <w:rPr>
          <w:rFonts w:asciiTheme="minorHAnsi" w:eastAsiaTheme="minorEastAsia" w:hAnsiTheme="minorHAnsi" w:cstheme="minorBidi"/>
          <w:sz w:val="22"/>
          <w:szCs w:val="22"/>
          <w:lang w:eastAsia="es-CL"/>
        </w:rPr>
      </w:pPr>
      <w:hyperlink w:anchor="_Toc39797849" w:history="1">
        <w:r w:rsidR="00197B00" w:rsidRPr="005452F8">
          <w:rPr>
            <w:rStyle w:val="Hipervnculo"/>
          </w:rPr>
          <w:t>6.2.16</w:t>
        </w:r>
        <w:r w:rsidR="00197B00">
          <w:rPr>
            <w:rFonts w:asciiTheme="minorHAnsi" w:eastAsiaTheme="minorEastAsia" w:hAnsiTheme="minorHAnsi" w:cstheme="minorBidi"/>
            <w:sz w:val="22"/>
            <w:szCs w:val="22"/>
            <w:lang w:eastAsia="es-CL"/>
          </w:rPr>
          <w:tab/>
        </w:r>
        <w:r w:rsidR="00197B00" w:rsidRPr="005452F8">
          <w:rPr>
            <w:rStyle w:val="Hipervnculo"/>
          </w:rPr>
          <w:t>Información aportada por el Comité Coordinador</w:t>
        </w:r>
        <w:r w:rsidR="00197B00">
          <w:rPr>
            <w:webHidden/>
          </w:rPr>
          <w:tab/>
        </w:r>
        <w:r w:rsidR="00197B00">
          <w:rPr>
            <w:webHidden/>
          </w:rPr>
          <w:fldChar w:fldCharType="begin"/>
        </w:r>
        <w:r w:rsidR="00197B00">
          <w:rPr>
            <w:webHidden/>
          </w:rPr>
          <w:instrText xml:space="preserve"> PAGEREF _Toc39797849 \h </w:instrText>
        </w:r>
        <w:r w:rsidR="00197B00">
          <w:rPr>
            <w:webHidden/>
          </w:rPr>
        </w:r>
        <w:r w:rsidR="00197B00">
          <w:rPr>
            <w:webHidden/>
          </w:rPr>
          <w:fldChar w:fldCharType="separate"/>
        </w:r>
        <w:r w:rsidR="001F3E2E">
          <w:rPr>
            <w:webHidden/>
          </w:rPr>
          <w:t>143</w:t>
        </w:r>
        <w:r w:rsidR="00197B00">
          <w:rPr>
            <w:webHidden/>
          </w:rPr>
          <w:fldChar w:fldCharType="end"/>
        </w:r>
      </w:hyperlink>
    </w:p>
    <w:p w14:paraId="148D3457" w14:textId="77777777" w:rsidR="00197B00" w:rsidRDefault="0088072F">
      <w:pPr>
        <w:pStyle w:val="TDC3"/>
        <w:tabs>
          <w:tab w:val="left" w:pos="2552"/>
        </w:tabs>
        <w:rPr>
          <w:rFonts w:asciiTheme="minorHAnsi" w:eastAsiaTheme="minorEastAsia" w:hAnsiTheme="minorHAnsi" w:cstheme="minorBidi"/>
          <w:sz w:val="22"/>
          <w:szCs w:val="22"/>
          <w:lang w:eastAsia="es-CL"/>
        </w:rPr>
      </w:pPr>
      <w:hyperlink w:anchor="_Toc39797850" w:history="1">
        <w:r w:rsidR="00197B00" w:rsidRPr="005452F8">
          <w:rPr>
            <w:rStyle w:val="Hipervnculo"/>
          </w:rPr>
          <w:t>6.2.17</w:t>
        </w:r>
        <w:r w:rsidR="00197B00">
          <w:rPr>
            <w:rFonts w:asciiTheme="minorHAnsi" w:eastAsiaTheme="minorEastAsia" w:hAnsiTheme="minorHAnsi" w:cstheme="minorBidi"/>
            <w:sz w:val="22"/>
            <w:szCs w:val="22"/>
            <w:lang w:eastAsia="es-CL"/>
          </w:rPr>
          <w:tab/>
        </w:r>
        <w:r w:rsidR="00197B00" w:rsidRPr="005452F8">
          <w:rPr>
            <w:rStyle w:val="Hipervnculo"/>
          </w:rPr>
          <w:t>Cálculo de intangibles</w:t>
        </w:r>
        <w:r w:rsidR="00197B00">
          <w:rPr>
            <w:webHidden/>
          </w:rPr>
          <w:tab/>
        </w:r>
        <w:r w:rsidR="00197B00">
          <w:rPr>
            <w:webHidden/>
          </w:rPr>
          <w:fldChar w:fldCharType="begin"/>
        </w:r>
        <w:r w:rsidR="00197B00">
          <w:rPr>
            <w:webHidden/>
          </w:rPr>
          <w:instrText xml:space="preserve"> PAGEREF _Toc39797850 \h </w:instrText>
        </w:r>
        <w:r w:rsidR="00197B00">
          <w:rPr>
            <w:webHidden/>
          </w:rPr>
        </w:r>
        <w:r w:rsidR="00197B00">
          <w:rPr>
            <w:webHidden/>
          </w:rPr>
          <w:fldChar w:fldCharType="separate"/>
        </w:r>
        <w:r w:rsidR="001F3E2E">
          <w:rPr>
            <w:webHidden/>
          </w:rPr>
          <w:t>145</w:t>
        </w:r>
        <w:r w:rsidR="00197B00">
          <w:rPr>
            <w:webHidden/>
          </w:rPr>
          <w:fldChar w:fldCharType="end"/>
        </w:r>
      </w:hyperlink>
    </w:p>
    <w:p w14:paraId="081D9B04" w14:textId="77777777" w:rsidR="00197B00" w:rsidRDefault="0088072F">
      <w:pPr>
        <w:pStyle w:val="TDC2"/>
        <w:tabs>
          <w:tab w:val="left" w:pos="1134"/>
        </w:tabs>
        <w:rPr>
          <w:rFonts w:asciiTheme="minorHAnsi" w:eastAsiaTheme="minorEastAsia" w:hAnsiTheme="minorHAnsi" w:cstheme="minorBidi"/>
          <w:b w:val="0"/>
          <w:noProof/>
          <w:spacing w:val="0"/>
          <w:szCs w:val="22"/>
          <w:lang w:eastAsia="es-CL"/>
        </w:rPr>
      </w:pPr>
      <w:hyperlink w:anchor="_Toc39797851" w:history="1">
        <w:r w:rsidR="00197B00" w:rsidRPr="005452F8">
          <w:rPr>
            <w:rStyle w:val="Hipervnculo"/>
            <w:noProof/>
          </w:rPr>
          <w:t>6.3</w:t>
        </w:r>
        <w:r w:rsidR="00197B00">
          <w:rPr>
            <w:rFonts w:asciiTheme="minorHAnsi" w:eastAsiaTheme="minorEastAsia" w:hAnsiTheme="minorHAnsi" w:cstheme="minorBidi"/>
            <w:b w:val="0"/>
            <w:noProof/>
            <w:spacing w:val="0"/>
            <w:szCs w:val="22"/>
            <w:lang w:eastAsia="es-CL"/>
          </w:rPr>
          <w:tab/>
        </w:r>
        <w:r w:rsidR="00197B00" w:rsidRPr="005452F8">
          <w:rPr>
            <w:rStyle w:val="Hipervnculo"/>
            <w:noProof/>
          </w:rPr>
          <w:t>Metodología aplicada a la determinación de Labores de Ampliación</w:t>
        </w:r>
        <w:r w:rsidR="00197B00">
          <w:rPr>
            <w:noProof/>
            <w:webHidden/>
          </w:rPr>
          <w:tab/>
        </w:r>
        <w:r w:rsidR="00197B00">
          <w:rPr>
            <w:noProof/>
            <w:webHidden/>
          </w:rPr>
          <w:fldChar w:fldCharType="begin"/>
        </w:r>
        <w:r w:rsidR="00197B00">
          <w:rPr>
            <w:noProof/>
            <w:webHidden/>
          </w:rPr>
          <w:instrText xml:space="preserve"> PAGEREF _Toc39797851 \h </w:instrText>
        </w:r>
        <w:r w:rsidR="00197B00">
          <w:rPr>
            <w:noProof/>
            <w:webHidden/>
          </w:rPr>
        </w:r>
        <w:r w:rsidR="00197B00">
          <w:rPr>
            <w:noProof/>
            <w:webHidden/>
          </w:rPr>
          <w:fldChar w:fldCharType="separate"/>
        </w:r>
        <w:r w:rsidR="001F3E2E">
          <w:rPr>
            <w:noProof/>
            <w:webHidden/>
          </w:rPr>
          <w:t>145</w:t>
        </w:r>
        <w:r w:rsidR="00197B00">
          <w:rPr>
            <w:noProof/>
            <w:webHidden/>
          </w:rPr>
          <w:fldChar w:fldCharType="end"/>
        </w:r>
      </w:hyperlink>
    </w:p>
    <w:p w14:paraId="72D09EC6" w14:textId="77777777" w:rsidR="00197B00" w:rsidRDefault="0088072F">
      <w:pPr>
        <w:pStyle w:val="TDC3"/>
        <w:tabs>
          <w:tab w:val="left" w:pos="2552"/>
        </w:tabs>
        <w:rPr>
          <w:rFonts w:asciiTheme="minorHAnsi" w:eastAsiaTheme="minorEastAsia" w:hAnsiTheme="minorHAnsi" w:cstheme="minorBidi"/>
          <w:sz w:val="22"/>
          <w:szCs w:val="22"/>
          <w:lang w:eastAsia="es-CL"/>
        </w:rPr>
      </w:pPr>
      <w:hyperlink w:anchor="_Toc39797852" w:history="1">
        <w:r w:rsidR="00197B00" w:rsidRPr="005452F8">
          <w:rPr>
            <w:rStyle w:val="Hipervnculo"/>
          </w:rPr>
          <w:t>6.3.1</w:t>
        </w:r>
        <w:r w:rsidR="00197B00">
          <w:rPr>
            <w:rFonts w:asciiTheme="minorHAnsi" w:eastAsiaTheme="minorEastAsia" w:hAnsiTheme="minorHAnsi" w:cstheme="minorBidi"/>
            <w:sz w:val="22"/>
            <w:szCs w:val="22"/>
            <w:lang w:eastAsia="es-CL"/>
          </w:rPr>
          <w:tab/>
        </w:r>
        <w:r w:rsidR="00197B00" w:rsidRPr="005452F8">
          <w:rPr>
            <w:rStyle w:val="Hipervnculo"/>
          </w:rPr>
          <w:t>Introducción</w:t>
        </w:r>
        <w:r w:rsidR="00197B00">
          <w:rPr>
            <w:webHidden/>
          </w:rPr>
          <w:tab/>
        </w:r>
        <w:r w:rsidR="00197B00">
          <w:rPr>
            <w:webHidden/>
          </w:rPr>
          <w:fldChar w:fldCharType="begin"/>
        </w:r>
        <w:r w:rsidR="00197B00">
          <w:rPr>
            <w:webHidden/>
          </w:rPr>
          <w:instrText xml:space="preserve"> PAGEREF _Toc39797852 \h </w:instrText>
        </w:r>
        <w:r w:rsidR="00197B00">
          <w:rPr>
            <w:webHidden/>
          </w:rPr>
        </w:r>
        <w:r w:rsidR="00197B00">
          <w:rPr>
            <w:webHidden/>
          </w:rPr>
          <w:fldChar w:fldCharType="separate"/>
        </w:r>
        <w:r w:rsidR="001F3E2E">
          <w:rPr>
            <w:webHidden/>
          </w:rPr>
          <w:t>145</w:t>
        </w:r>
        <w:r w:rsidR="00197B00">
          <w:rPr>
            <w:webHidden/>
          </w:rPr>
          <w:fldChar w:fldCharType="end"/>
        </w:r>
      </w:hyperlink>
    </w:p>
    <w:p w14:paraId="48680638" w14:textId="77777777" w:rsidR="00197B00" w:rsidRDefault="0088072F">
      <w:pPr>
        <w:pStyle w:val="TDC4"/>
        <w:tabs>
          <w:tab w:val="left" w:pos="2552"/>
        </w:tabs>
        <w:rPr>
          <w:rFonts w:asciiTheme="minorHAnsi" w:eastAsiaTheme="minorEastAsia" w:hAnsiTheme="minorHAnsi" w:cstheme="minorBidi"/>
          <w:spacing w:val="0"/>
          <w:sz w:val="22"/>
          <w:szCs w:val="22"/>
          <w:lang w:val="es-CL" w:eastAsia="es-CL"/>
        </w:rPr>
      </w:pPr>
      <w:hyperlink w:anchor="_Toc39797853" w:history="1">
        <w:r w:rsidR="00197B00" w:rsidRPr="005452F8">
          <w:rPr>
            <w:rStyle w:val="Hipervnculo"/>
          </w:rPr>
          <w:t>6.3.1.1</w:t>
        </w:r>
        <w:r w:rsidR="00197B00">
          <w:rPr>
            <w:rFonts w:asciiTheme="minorHAnsi" w:eastAsiaTheme="minorEastAsia" w:hAnsiTheme="minorHAnsi" w:cstheme="minorBidi"/>
            <w:spacing w:val="0"/>
            <w:sz w:val="22"/>
            <w:szCs w:val="22"/>
            <w:lang w:val="es-CL" w:eastAsia="es-CL"/>
          </w:rPr>
          <w:tab/>
        </w:r>
        <w:r w:rsidR="00197B00" w:rsidRPr="005452F8">
          <w:rPr>
            <w:rStyle w:val="Hipervnculo"/>
          </w:rPr>
          <w:t>Labores de Ampliación y Bases</w:t>
        </w:r>
        <w:r w:rsidR="00197B00">
          <w:rPr>
            <w:webHidden/>
          </w:rPr>
          <w:tab/>
        </w:r>
        <w:r w:rsidR="00197B00">
          <w:rPr>
            <w:webHidden/>
          </w:rPr>
          <w:fldChar w:fldCharType="begin"/>
        </w:r>
        <w:r w:rsidR="00197B00">
          <w:rPr>
            <w:webHidden/>
          </w:rPr>
          <w:instrText xml:space="preserve"> PAGEREF _Toc39797853 \h </w:instrText>
        </w:r>
        <w:r w:rsidR="00197B00">
          <w:rPr>
            <w:webHidden/>
          </w:rPr>
        </w:r>
        <w:r w:rsidR="00197B00">
          <w:rPr>
            <w:webHidden/>
          </w:rPr>
          <w:fldChar w:fldCharType="separate"/>
        </w:r>
        <w:r w:rsidR="001F3E2E">
          <w:rPr>
            <w:webHidden/>
          </w:rPr>
          <w:t>145</w:t>
        </w:r>
        <w:r w:rsidR="00197B00">
          <w:rPr>
            <w:webHidden/>
          </w:rPr>
          <w:fldChar w:fldCharType="end"/>
        </w:r>
      </w:hyperlink>
    </w:p>
    <w:p w14:paraId="59C36896" w14:textId="77777777" w:rsidR="00197B00" w:rsidRDefault="0088072F">
      <w:pPr>
        <w:pStyle w:val="TDC4"/>
        <w:tabs>
          <w:tab w:val="left" w:pos="2552"/>
        </w:tabs>
        <w:rPr>
          <w:rFonts w:asciiTheme="minorHAnsi" w:eastAsiaTheme="minorEastAsia" w:hAnsiTheme="minorHAnsi" w:cstheme="minorBidi"/>
          <w:spacing w:val="0"/>
          <w:sz w:val="22"/>
          <w:szCs w:val="22"/>
          <w:lang w:val="es-CL" w:eastAsia="es-CL"/>
        </w:rPr>
      </w:pPr>
      <w:hyperlink w:anchor="_Toc39797854" w:history="1">
        <w:r w:rsidR="00197B00" w:rsidRPr="005452F8">
          <w:rPr>
            <w:rStyle w:val="Hipervnculo"/>
          </w:rPr>
          <w:t>6.3.1.2</w:t>
        </w:r>
        <w:r w:rsidR="00197B00">
          <w:rPr>
            <w:rFonts w:asciiTheme="minorHAnsi" w:eastAsiaTheme="minorEastAsia" w:hAnsiTheme="minorHAnsi" w:cstheme="minorBidi"/>
            <w:spacing w:val="0"/>
            <w:sz w:val="22"/>
            <w:szCs w:val="22"/>
            <w:lang w:val="es-CL" w:eastAsia="es-CL"/>
          </w:rPr>
          <w:tab/>
        </w:r>
        <w:r w:rsidR="00197B00" w:rsidRPr="005452F8">
          <w:rPr>
            <w:rStyle w:val="Hipervnculo"/>
          </w:rPr>
          <w:t>Obras de Ampliación a Estudiar</w:t>
        </w:r>
        <w:r w:rsidR="00197B00">
          <w:rPr>
            <w:webHidden/>
          </w:rPr>
          <w:tab/>
        </w:r>
        <w:r w:rsidR="00197B00">
          <w:rPr>
            <w:webHidden/>
          </w:rPr>
          <w:fldChar w:fldCharType="begin"/>
        </w:r>
        <w:r w:rsidR="00197B00">
          <w:rPr>
            <w:webHidden/>
          </w:rPr>
          <w:instrText xml:space="preserve"> PAGEREF _Toc39797854 \h </w:instrText>
        </w:r>
        <w:r w:rsidR="00197B00">
          <w:rPr>
            <w:webHidden/>
          </w:rPr>
        </w:r>
        <w:r w:rsidR="00197B00">
          <w:rPr>
            <w:webHidden/>
          </w:rPr>
          <w:fldChar w:fldCharType="separate"/>
        </w:r>
        <w:r w:rsidR="001F3E2E">
          <w:rPr>
            <w:webHidden/>
          </w:rPr>
          <w:t>146</w:t>
        </w:r>
        <w:r w:rsidR="00197B00">
          <w:rPr>
            <w:webHidden/>
          </w:rPr>
          <w:fldChar w:fldCharType="end"/>
        </w:r>
      </w:hyperlink>
    </w:p>
    <w:p w14:paraId="38901EF4" w14:textId="77777777" w:rsidR="00197B00" w:rsidRDefault="0088072F">
      <w:pPr>
        <w:pStyle w:val="TDC3"/>
        <w:tabs>
          <w:tab w:val="left" w:pos="2552"/>
        </w:tabs>
        <w:rPr>
          <w:rFonts w:asciiTheme="minorHAnsi" w:eastAsiaTheme="minorEastAsia" w:hAnsiTheme="minorHAnsi" w:cstheme="minorBidi"/>
          <w:sz w:val="22"/>
          <w:szCs w:val="22"/>
          <w:lang w:eastAsia="es-CL"/>
        </w:rPr>
      </w:pPr>
      <w:hyperlink w:anchor="_Toc39797855" w:history="1">
        <w:r w:rsidR="00197B00" w:rsidRPr="005452F8">
          <w:rPr>
            <w:rStyle w:val="Hipervnculo"/>
          </w:rPr>
          <w:t>6.3.2</w:t>
        </w:r>
        <w:r w:rsidR="00197B00">
          <w:rPr>
            <w:rFonts w:asciiTheme="minorHAnsi" w:eastAsiaTheme="minorEastAsia" w:hAnsiTheme="minorHAnsi" w:cstheme="minorBidi"/>
            <w:sz w:val="22"/>
            <w:szCs w:val="22"/>
            <w:lang w:eastAsia="es-CL"/>
          </w:rPr>
          <w:tab/>
        </w:r>
        <w:r w:rsidR="00197B00" w:rsidRPr="005452F8">
          <w:rPr>
            <w:rStyle w:val="Hipervnculo"/>
          </w:rPr>
          <w:t>Metodología para Determinación del V.I. de Labores de Ampliación</w:t>
        </w:r>
        <w:r w:rsidR="00197B00">
          <w:rPr>
            <w:webHidden/>
          </w:rPr>
          <w:tab/>
        </w:r>
        <w:r w:rsidR="00197B00">
          <w:rPr>
            <w:webHidden/>
          </w:rPr>
          <w:fldChar w:fldCharType="begin"/>
        </w:r>
        <w:r w:rsidR="00197B00">
          <w:rPr>
            <w:webHidden/>
          </w:rPr>
          <w:instrText xml:space="preserve"> PAGEREF _Toc39797855 \h </w:instrText>
        </w:r>
        <w:r w:rsidR="00197B00">
          <w:rPr>
            <w:webHidden/>
          </w:rPr>
        </w:r>
        <w:r w:rsidR="00197B00">
          <w:rPr>
            <w:webHidden/>
          </w:rPr>
          <w:fldChar w:fldCharType="separate"/>
        </w:r>
        <w:r w:rsidR="001F3E2E">
          <w:rPr>
            <w:webHidden/>
          </w:rPr>
          <w:t>149</w:t>
        </w:r>
        <w:r w:rsidR="00197B00">
          <w:rPr>
            <w:webHidden/>
          </w:rPr>
          <w:fldChar w:fldCharType="end"/>
        </w:r>
      </w:hyperlink>
    </w:p>
    <w:p w14:paraId="0C005607" w14:textId="77777777" w:rsidR="00197B00" w:rsidRDefault="0088072F">
      <w:pPr>
        <w:pStyle w:val="TDC4"/>
        <w:tabs>
          <w:tab w:val="left" w:pos="2552"/>
        </w:tabs>
        <w:rPr>
          <w:rFonts w:asciiTheme="minorHAnsi" w:eastAsiaTheme="minorEastAsia" w:hAnsiTheme="minorHAnsi" w:cstheme="minorBidi"/>
          <w:spacing w:val="0"/>
          <w:sz w:val="22"/>
          <w:szCs w:val="22"/>
          <w:lang w:val="es-CL" w:eastAsia="es-CL"/>
        </w:rPr>
      </w:pPr>
      <w:hyperlink w:anchor="_Toc39797856" w:history="1">
        <w:r w:rsidR="00197B00" w:rsidRPr="005452F8">
          <w:rPr>
            <w:rStyle w:val="Hipervnculo"/>
          </w:rPr>
          <w:t>6.3.2.1</w:t>
        </w:r>
        <w:r w:rsidR="00197B00">
          <w:rPr>
            <w:rFonts w:asciiTheme="minorHAnsi" w:eastAsiaTheme="minorEastAsia" w:hAnsiTheme="minorHAnsi" w:cstheme="minorBidi"/>
            <w:spacing w:val="0"/>
            <w:sz w:val="22"/>
            <w:szCs w:val="22"/>
            <w:lang w:val="es-CL" w:eastAsia="es-CL"/>
          </w:rPr>
          <w:tab/>
        </w:r>
        <w:r w:rsidR="00197B00" w:rsidRPr="005452F8">
          <w:rPr>
            <w:rStyle w:val="Hipervnculo"/>
          </w:rPr>
          <w:t>Determinación del VI de Labores de Ampliación y AVI a recuperar</w:t>
        </w:r>
        <w:r w:rsidR="00197B00">
          <w:rPr>
            <w:webHidden/>
          </w:rPr>
          <w:tab/>
        </w:r>
        <w:r w:rsidR="00197B00">
          <w:rPr>
            <w:webHidden/>
          </w:rPr>
          <w:fldChar w:fldCharType="begin"/>
        </w:r>
        <w:r w:rsidR="00197B00">
          <w:rPr>
            <w:webHidden/>
          </w:rPr>
          <w:instrText xml:space="preserve"> PAGEREF _Toc39797856 \h </w:instrText>
        </w:r>
        <w:r w:rsidR="00197B00">
          <w:rPr>
            <w:webHidden/>
          </w:rPr>
        </w:r>
        <w:r w:rsidR="00197B00">
          <w:rPr>
            <w:webHidden/>
          </w:rPr>
          <w:fldChar w:fldCharType="separate"/>
        </w:r>
        <w:r w:rsidR="001F3E2E">
          <w:rPr>
            <w:webHidden/>
          </w:rPr>
          <w:t>150</w:t>
        </w:r>
        <w:r w:rsidR="00197B00">
          <w:rPr>
            <w:webHidden/>
          </w:rPr>
          <w:fldChar w:fldCharType="end"/>
        </w:r>
      </w:hyperlink>
    </w:p>
    <w:p w14:paraId="03F106CA" w14:textId="77777777" w:rsidR="00197B00" w:rsidRDefault="0088072F">
      <w:pPr>
        <w:pStyle w:val="TDC4"/>
        <w:tabs>
          <w:tab w:val="left" w:pos="2552"/>
        </w:tabs>
        <w:rPr>
          <w:rFonts w:asciiTheme="minorHAnsi" w:eastAsiaTheme="minorEastAsia" w:hAnsiTheme="minorHAnsi" w:cstheme="minorBidi"/>
          <w:spacing w:val="0"/>
          <w:sz w:val="22"/>
          <w:szCs w:val="22"/>
          <w:lang w:val="es-CL" w:eastAsia="es-CL"/>
        </w:rPr>
      </w:pPr>
      <w:hyperlink w:anchor="_Toc39797857" w:history="1">
        <w:r w:rsidR="00197B00" w:rsidRPr="005452F8">
          <w:rPr>
            <w:rStyle w:val="Hipervnculo"/>
            <w:b/>
            <w:bCs/>
          </w:rPr>
          <w:t>6.3.2.2</w:t>
        </w:r>
        <w:r w:rsidR="00197B00">
          <w:rPr>
            <w:rFonts w:asciiTheme="minorHAnsi" w:eastAsiaTheme="minorEastAsia" w:hAnsiTheme="minorHAnsi" w:cstheme="minorBidi"/>
            <w:spacing w:val="0"/>
            <w:sz w:val="22"/>
            <w:szCs w:val="22"/>
            <w:lang w:val="es-CL" w:eastAsia="es-CL"/>
          </w:rPr>
          <w:tab/>
        </w:r>
        <w:r w:rsidR="00197B00" w:rsidRPr="005452F8">
          <w:rPr>
            <w:rStyle w:val="Hipervnculo"/>
            <w:b/>
            <w:bCs/>
          </w:rPr>
          <w:t>Determinación de Ajuste por Impuesto a la Renta</w:t>
        </w:r>
        <w:r w:rsidR="00197B00">
          <w:rPr>
            <w:webHidden/>
          </w:rPr>
          <w:tab/>
        </w:r>
        <w:r w:rsidR="00197B00">
          <w:rPr>
            <w:webHidden/>
          </w:rPr>
          <w:fldChar w:fldCharType="begin"/>
        </w:r>
        <w:r w:rsidR="00197B00">
          <w:rPr>
            <w:webHidden/>
          </w:rPr>
          <w:instrText xml:space="preserve"> PAGEREF _Toc39797857 \h </w:instrText>
        </w:r>
        <w:r w:rsidR="00197B00">
          <w:rPr>
            <w:webHidden/>
          </w:rPr>
        </w:r>
        <w:r w:rsidR="00197B00">
          <w:rPr>
            <w:webHidden/>
          </w:rPr>
          <w:fldChar w:fldCharType="separate"/>
        </w:r>
        <w:r w:rsidR="001F3E2E">
          <w:rPr>
            <w:webHidden/>
          </w:rPr>
          <w:t>152</w:t>
        </w:r>
        <w:r w:rsidR="00197B00">
          <w:rPr>
            <w:webHidden/>
          </w:rPr>
          <w:fldChar w:fldCharType="end"/>
        </w:r>
      </w:hyperlink>
    </w:p>
    <w:p w14:paraId="509E285B" w14:textId="77777777" w:rsidR="00197B00" w:rsidRDefault="0088072F">
      <w:pPr>
        <w:pStyle w:val="TDC1"/>
        <w:rPr>
          <w:rFonts w:asciiTheme="minorHAnsi" w:eastAsiaTheme="minorEastAsia" w:hAnsiTheme="minorHAnsi" w:cstheme="minorBidi"/>
          <w:b w:val="0"/>
          <w:caps w:val="0"/>
          <w:noProof/>
          <w:spacing w:val="0"/>
          <w:sz w:val="22"/>
          <w:szCs w:val="22"/>
          <w:lang w:eastAsia="es-CL"/>
        </w:rPr>
      </w:pPr>
      <w:hyperlink w:anchor="_Toc39797858" w:history="1">
        <w:r w:rsidR="00197B00" w:rsidRPr="005452F8">
          <w:rPr>
            <w:rStyle w:val="Hipervnculo"/>
            <w:noProof/>
          </w:rPr>
          <w:t>7.</w:t>
        </w:r>
        <w:r w:rsidR="00197B00">
          <w:rPr>
            <w:rFonts w:asciiTheme="minorHAnsi" w:eastAsiaTheme="minorEastAsia" w:hAnsiTheme="minorHAnsi" w:cstheme="minorBidi"/>
            <w:b w:val="0"/>
            <w:caps w:val="0"/>
            <w:noProof/>
            <w:spacing w:val="0"/>
            <w:sz w:val="22"/>
            <w:szCs w:val="22"/>
            <w:lang w:eastAsia="es-CL"/>
          </w:rPr>
          <w:tab/>
        </w:r>
        <w:r w:rsidR="00197B00" w:rsidRPr="005452F8">
          <w:rPr>
            <w:rStyle w:val="Hipervnculo"/>
            <w:noProof/>
          </w:rPr>
          <w:t>Determinación del V.I.</w:t>
        </w:r>
        <w:r w:rsidR="00197B00">
          <w:rPr>
            <w:noProof/>
            <w:webHidden/>
          </w:rPr>
          <w:tab/>
        </w:r>
        <w:r w:rsidR="00197B00">
          <w:rPr>
            <w:noProof/>
            <w:webHidden/>
          </w:rPr>
          <w:fldChar w:fldCharType="begin"/>
        </w:r>
        <w:r w:rsidR="00197B00">
          <w:rPr>
            <w:noProof/>
            <w:webHidden/>
          </w:rPr>
          <w:instrText xml:space="preserve"> PAGEREF _Toc39797858 \h </w:instrText>
        </w:r>
        <w:r w:rsidR="00197B00">
          <w:rPr>
            <w:noProof/>
            <w:webHidden/>
          </w:rPr>
        </w:r>
        <w:r w:rsidR="00197B00">
          <w:rPr>
            <w:noProof/>
            <w:webHidden/>
          </w:rPr>
          <w:fldChar w:fldCharType="separate"/>
        </w:r>
        <w:r w:rsidR="001F3E2E">
          <w:rPr>
            <w:noProof/>
            <w:webHidden/>
          </w:rPr>
          <w:t>153</w:t>
        </w:r>
        <w:r w:rsidR="00197B00">
          <w:rPr>
            <w:noProof/>
            <w:webHidden/>
          </w:rPr>
          <w:fldChar w:fldCharType="end"/>
        </w:r>
      </w:hyperlink>
    </w:p>
    <w:p w14:paraId="5E7F1501" w14:textId="77777777" w:rsidR="00197B00" w:rsidRDefault="0088072F">
      <w:pPr>
        <w:pStyle w:val="TDC2"/>
        <w:tabs>
          <w:tab w:val="left" w:pos="1134"/>
        </w:tabs>
        <w:rPr>
          <w:rFonts w:asciiTheme="minorHAnsi" w:eastAsiaTheme="minorEastAsia" w:hAnsiTheme="minorHAnsi" w:cstheme="minorBidi"/>
          <w:b w:val="0"/>
          <w:noProof/>
          <w:spacing w:val="0"/>
          <w:szCs w:val="22"/>
          <w:lang w:eastAsia="es-CL"/>
        </w:rPr>
      </w:pPr>
      <w:hyperlink w:anchor="_Toc39797859" w:history="1">
        <w:r w:rsidR="00197B00" w:rsidRPr="005452F8">
          <w:rPr>
            <w:rStyle w:val="Hipervnculo"/>
            <w:noProof/>
          </w:rPr>
          <w:t>7.1</w:t>
        </w:r>
        <w:r w:rsidR="00197B00">
          <w:rPr>
            <w:rFonts w:asciiTheme="minorHAnsi" w:eastAsiaTheme="minorEastAsia" w:hAnsiTheme="minorHAnsi" w:cstheme="minorBidi"/>
            <w:b w:val="0"/>
            <w:noProof/>
            <w:spacing w:val="0"/>
            <w:szCs w:val="22"/>
            <w:lang w:eastAsia="es-CL"/>
          </w:rPr>
          <w:tab/>
        </w:r>
        <w:r w:rsidR="00197B00" w:rsidRPr="005452F8">
          <w:rPr>
            <w:rStyle w:val="Hipervnculo"/>
            <w:noProof/>
          </w:rPr>
          <w:t>Introducción</w:t>
        </w:r>
        <w:r w:rsidR="00197B00">
          <w:rPr>
            <w:noProof/>
            <w:webHidden/>
          </w:rPr>
          <w:tab/>
        </w:r>
        <w:r w:rsidR="00197B00">
          <w:rPr>
            <w:noProof/>
            <w:webHidden/>
          </w:rPr>
          <w:fldChar w:fldCharType="begin"/>
        </w:r>
        <w:r w:rsidR="00197B00">
          <w:rPr>
            <w:noProof/>
            <w:webHidden/>
          </w:rPr>
          <w:instrText xml:space="preserve"> PAGEREF _Toc39797859 \h </w:instrText>
        </w:r>
        <w:r w:rsidR="00197B00">
          <w:rPr>
            <w:noProof/>
            <w:webHidden/>
          </w:rPr>
        </w:r>
        <w:r w:rsidR="00197B00">
          <w:rPr>
            <w:noProof/>
            <w:webHidden/>
          </w:rPr>
          <w:fldChar w:fldCharType="separate"/>
        </w:r>
        <w:r w:rsidR="001F3E2E">
          <w:rPr>
            <w:noProof/>
            <w:webHidden/>
          </w:rPr>
          <w:t>153</w:t>
        </w:r>
        <w:r w:rsidR="00197B00">
          <w:rPr>
            <w:noProof/>
            <w:webHidden/>
          </w:rPr>
          <w:fldChar w:fldCharType="end"/>
        </w:r>
      </w:hyperlink>
    </w:p>
    <w:p w14:paraId="4C55C16C" w14:textId="77777777" w:rsidR="00197B00" w:rsidRDefault="0088072F">
      <w:pPr>
        <w:pStyle w:val="TDC2"/>
        <w:tabs>
          <w:tab w:val="left" w:pos="1134"/>
        </w:tabs>
        <w:rPr>
          <w:rFonts w:asciiTheme="minorHAnsi" w:eastAsiaTheme="minorEastAsia" w:hAnsiTheme="minorHAnsi" w:cstheme="minorBidi"/>
          <w:b w:val="0"/>
          <w:noProof/>
          <w:spacing w:val="0"/>
          <w:szCs w:val="22"/>
          <w:lang w:eastAsia="es-CL"/>
        </w:rPr>
      </w:pPr>
      <w:hyperlink w:anchor="_Toc39797860" w:history="1">
        <w:r w:rsidR="00197B00" w:rsidRPr="005452F8">
          <w:rPr>
            <w:rStyle w:val="Hipervnculo"/>
            <w:noProof/>
          </w:rPr>
          <w:t>7.2</w:t>
        </w:r>
        <w:r w:rsidR="00197B00">
          <w:rPr>
            <w:rFonts w:asciiTheme="minorHAnsi" w:eastAsiaTheme="minorEastAsia" w:hAnsiTheme="minorHAnsi" w:cstheme="minorBidi"/>
            <w:b w:val="0"/>
            <w:noProof/>
            <w:spacing w:val="0"/>
            <w:szCs w:val="22"/>
            <w:lang w:eastAsia="es-CL"/>
          </w:rPr>
          <w:tab/>
        </w:r>
        <w:r w:rsidR="00197B00" w:rsidRPr="005452F8">
          <w:rPr>
            <w:rStyle w:val="Hipervnculo"/>
            <w:noProof/>
          </w:rPr>
          <w:t>Resultados</w:t>
        </w:r>
        <w:r w:rsidR="00197B00">
          <w:rPr>
            <w:noProof/>
            <w:webHidden/>
          </w:rPr>
          <w:tab/>
        </w:r>
        <w:r w:rsidR="00197B00">
          <w:rPr>
            <w:noProof/>
            <w:webHidden/>
          </w:rPr>
          <w:fldChar w:fldCharType="begin"/>
        </w:r>
        <w:r w:rsidR="00197B00">
          <w:rPr>
            <w:noProof/>
            <w:webHidden/>
          </w:rPr>
          <w:instrText xml:space="preserve"> PAGEREF _Toc39797860 \h </w:instrText>
        </w:r>
        <w:r w:rsidR="00197B00">
          <w:rPr>
            <w:noProof/>
            <w:webHidden/>
          </w:rPr>
        </w:r>
        <w:r w:rsidR="00197B00">
          <w:rPr>
            <w:noProof/>
            <w:webHidden/>
          </w:rPr>
          <w:fldChar w:fldCharType="separate"/>
        </w:r>
        <w:r w:rsidR="001F3E2E">
          <w:rPr>
            <w:noProof/>
            <w:webHidden/>
          </w:rPr>
          <w:t>156</w:t>
        </w:r>
        <w:r w:rsidR="00197B00">
          <w:rPr>
            <w:noProof/>
            <w:webHidden/>
          </w:rPr>
          <w:fldChar w:fldCharType="end"/>
        </w:r>
      </w:hyperlink>
    </w:p>
    <w:p w14:paraId="10EA21F5" w14:textId="77777777" w:rsidR="00197B00" w:rsidRDefault="0088072F">
      <w:pPr>
        <w:pStyle w:val="TDC3"/>
        <w:tabs>
          <w:tab w:val="left" w:pos="2552"/>
        </w:tabs>
        <w:rPr>
          <w:rFonts w:asciiTheme="minorHAnsi" w:eastAsiaTheme="minorEastAsia" w:hAnsiTheme="minorHAnsi" w:cstheme="minorBidi"/>
          <w:sz w:val="22"/>
          <w:szCs w:val="22"/>
          <w:lang w:eastAsia="es-CL"/>
        </w:rPr>
      </w:pPr>
      <w:hyperlink w:anchor="_Toc39797861" w:history="1">
        <w:r w:rsidR="00197B00" w:rsidRPr="005452F8">
          <w:rPr>
            <w:rStyle w:val="Hipervnculo"/>
          </w:rPr>
          <w:t>7.2.1</w:t>
        </w:r>
        <w:r w:rsidR="00197B00">
          <w:rPr>
            <w:rFonts w:asciiTheme="minorHAnsi" w:eastAsiaTheme="minorEastAsia" w:hAnsiTheme="minorHAnsi" w:cstheme="minorBidi"/>
            <w:sz w:val="22"/>
            <w:szCs w:val="22"/>
            <w:lang w:eastAsia="es-CL"/>
          </w:rPr>
          <w:tab/>
        </w:r>
        <w:r w:rsidR="00197B00" w:rsidRPr="005452F8">
          <w:rPr>
            <w:rStyle w:val="Hipervnculo"/>
          </w:rPr>
          <w:t>Valor de Inversión por empresa propietaria</w:t>
        </w:r>
        <w:r w:rsidR="00197B00">
          <w:rPr>
            <w:webHidden/>
          </w:rPr>
          <w:tab/>
        </w:r>
        <w:r w:rsidR="00197B00">
          <w:rPr>
            <w:webHidden/>
          </w:rPr>
          <w:fldChar w:fldCharType="begin"/>
        </w:r>
        <w:r w:rsidR="00197B00">
          <w:rPr>
            <w:webHidden/>
          </w:rPr>
          <w:instrText xml:space="preserve"> PAGEREF _Toc39797861 \h </w:instrText>
        </w:r>
        <w:r w:rsidR="00197B00">
          <w:rPr>
            <w:webHidden/>
          </w:rPr>
        </w:r>
        <w:r w:rsidR="00197B00">
          <w:rPr>
            <w:webHidden/>
          </w:rPr>
          <w:fldChar w:fldCharType="separate"/>
        </w:r>
        <w:r w:rsidR="001F3E2E">
          <w:rPr>
            <w:webHidden/>
          </w:rPr>
          <w:t>156</w:t>
        </w:r>
        <w:r w:rsidR="00197B00">
          <w:rPr>
            <w:webHidden/>
          </w:rPr>
          <w:fldChar w:fldCharType="end"/>
        </w:r>
      </w:hyperlink>
    </w:p>
    <w:p w14:paraId="01255FB1" w14:textId="77777777" w:rsidR="00197B00" w:rsidRDefault="0088072F">
      <w:pPr>
        <w:pStyle w:val="TDC3"/>
        <w:tabs>
          <w:tab w:val="left" w:pos="2552"/>
        </w:tabs>
        <w:rPr>
          <w:rFonts w:asciiTheme="minorHAnsi" w:eastAsiaTheme="minorEastAsia" w:hAnsiTheme="minorHAnsi" w:cstheme="minorBidi"/>
          <w:sz w:val="22"/>
          <w:szCs w:val="22"/>
          <w:lang w:eastAsia="es-CL"/>
        </w:rPr>
      </w:pPr>
      <w:hyperlink w:anchor="_Toc39797862" w:history="1">
        <w:r w:rsidR="00197B00" w:rsidRPr="005452F8">
          <w:rPr>
            <w:rStyle w:val="Hipervnculo"/>
          </w:rPr>
          <w:t>7.2.2</w:t>
        </w:r>
        <w:r w:rsidR="00197B00">
          <w:rPr>
            <w:rFonts w:asciiTheme="minorHAnsi" w:eastAsiaTheme="minorEastAsia" w:hAnsiTheme="minorHAnsi" w:cstheme="minorBidi"/>
            <w:sz w:val="22"/>
            <w:szCs w:val="22"/>
            <w:lang w:eastAsia="es-CL"/>
          </w:rPr>
          <w:tab/>
        </w:r>
        <w:r w:rsidR="00197B00" w:rsidRPr="005452F8">
          <w:rPr>
            <w:rStyle w:val="Hipervnculo"/>
          </w:rPr>
          <w:t>Valor de Inversión por tramo de subestación calificación nacional</w:t>
        </w:r>
        <w:r w:rsidR="00197B00">
          <w:rPr>
            <w:webHidden/>
          </w:rPr>
          <w:tab/>
        </w:r>
        <w:r w:rsidR="00197B00">
          <w:rPr>
            <w:webHidden/>
          </w:rPr>
          <w:fldChar w:fldCharType="begin"/>
        </w:r>
        <w:r w:rsidR="00197B00">
          <w:rPr>
            <w:webHidden/>
          </w:rPr>
          <w:instrText xml:space="preserve"> PAGEREF _Toc39797862 \h </w:instrText>
        </w:r>
        <w:r w:rsidR="00197B00">
          <w:rPr>
            <w:webHidden/>
          </w:rPr>
        </w:r>
        <w:r w:rsidR="00197B00">
          <w:rPr>
            <w:webHidden/>
          </w:rPr>
          <w:fldChar w:fldCharType="separate"/>
        </w:r>
        <w:r w:rsidR="001F3E2E">
          <w:rPr>
            <w:webHidden/>
          </w:rPr>
          <w:t>157</w:t>
        </w:r>
        <w:r w:rsidR="00197B00">
          <w:rPr>
            <w:webHidden/>
          </w:rPr>
          <w:fldChar w:fldCharType="end"/>
        </w:r>
      </w:hyperlink>
    </w:p>
    <w:p w14:paraId="11D4B8CF" w14:textId="77777777" w:rsidR="00197B00" w:rsidRDefault="0088072F">
      <w:pPr>
        <w:pStyle w:val="TDC3"/>
        <w:tabs>
          <w:tab w:val="left" w:pos="2552"/>
        </w:tabs>
        <w:rPr>
          <w:rFonts w:asciiTheme="minorHAnsi" w:eastAsiaTheme="minorEastAsia" w:hAnsiTheme="minorHAnsi" w:cstheme="minorBidi"/>
          <w:sz w:val="22"/>
          <w:szCs w:val="22"/>
          <w:lang w:eastAsia="es-CL"/>
        </w:rPr>
      </w:pPr>
      <w:hyperlink w:anchor="_Toc39797863" w:history="1">
        <w:r w:rsidR="00197B00" w:rsidRPr="005452F8">
          <w:rPr>
            <w:rStyle w:val="Hipervnculo"/>
          </w:rPr>
          <w:t>7.2.3</w:t>
        </w:r>
        <w:r w:rsidR="00197B00">
          <w:rPr>
            <w:rFonts w:asciiTheme="minorHAnsi" w:eastAsiaTheme="minorEastAsia" w:hAnsiTheme="minorHAnsi" w:cstheme="minorBidi"/>
            <w:sz w:val="22"/>
            <w:szCs w:val="22"/>
            <w:lang w:eastAsia="es-CL"/>
          </w:rPr>
          <w:tab/>
        </w:r>
        <w:r w:rsidR="00197B00" w:rsidRPr="005452F8">
          <w:rPr>
            <w:rStyle w:val="Hipervnculo"/>
          </w:rPr>
          <w:t>Valor de Inversión por tramo de transporte calificación nacional</w:t>
        </w:r>
        <w:r w:rsidR="00197B00">
          <w:rPr>
            <w:webHidden/>
          </w:rPr>
          <w:tab/>
        </w:r>
        <w:r w:rsidR="00197B00">
          <w:rPr>
            <w:webHidden/>
          </w:rPr>
          <w:fldChar w:fldCharType="begin"/>
        </w:r>
        <w:r w:rsidR="00197B00">
          <w:rPr>
            <w:webHidden/>
          </w:rPr>
          <w:instrText xml:space="preserve"> PAGEREF _Toc39797863 \h </w:instrText>
        </w:r>
        <w:r w:rsidR="00197B00">
          <w:rPr>
            <w:webHidden/>
          </w:rPr>
        </w:r>
        <w:r w:rsidR="00197B00">
          <w:rPr>
            <w:webHidden/>
          </w:rPr>
          <w:fldChar w:fldCharType="separate"/>
        </w:r>
        <w:r w:rsidR="001F3E2E">
          <w:rPr>
            <w:webHidden/>
          </w:rPr>
          <w:t>159</w:t>
        </w:r>
        <w:r w:rsidR="00197B00">
          <w:rPr>
            <w:webHidden/>
          </w:rPr>
          <w:fldChar w:fldCharType="end"/>
        </w:r>
      </w:hyperlink>
    </w:p>
    <w:p w14:paraId="28C296D2" w14:textId="77777777" w:rsidR="00197B00" w:rsidRDefault="0088072F">
      <w:pPr>
        <w:pStyle w:val="TDC3"/>
        <w:tabs>
          <w:tab w:val="left" w:pos="2552"/>
        </w:tabs>
        <w:rPr>
          <w:rFonts w:asciiTheme="minorHAnsi" w:eastAsiaTheme="minorEastAsia" w:hAnsiTheme="minorHAnsi" w:cstheme="minorBidi"/>
          <w:sz w:val="22"/>
          <w:szCs w:val="22"/>
          <w:lang w:eastAsia="es-CL"/>
        </w:rPr>
      </w:pPr>
      <w:hyperlink w:anchor="_Toc39797864" w:history="1">
        <w:r w:rsidR="00197B00" w:rsidRPr="005452F8">
          <w:rPr>
            <w:rStyle w:val="Hipervnculo"/>
          </w:rPr>
          <w:t>7.2.4</w:t>
        </w:r>
        <w:r w:rsidR="00197B00">
          <w:rPr>
            <w:rFonts w:asciiTheme="minorHAnsi" w:eastAsiaTheme="minorEastAsia" w:hAnsiTheme="minorHAnsi" w:cstheme="minorBidi"/>
            <w:sz w:val="22"/>
            <w:szCs w:val="22"/>
            <w:lang w:eastAsia="es-CL"/>
          </w:rPr>
          <w:tab/>
        </w:r>
        <w:r w:rsidR="00197B00" w:rsidRPr="005452F8">
          <w:rPr>
            <w:rStyle w:val="Hipervnculo"/>
          </w:rPr>
          <w:t>Valor de Inversión por tramo de subestación y por propietario calificación nacional</w:t>
        </w:r>
        <w:r w:rsidR="00197B00">
          <w:rPr>
            <w:webHidden/>
          </w:rPr>
          <w:tab/>
        </w:r>
        <w:r w:rsidR="00197B00">
          <w:rPr>
            <w:webHidden/>
          </w:rPr>
          <w:fldChar w:fldCharType="begin"/>
        </w:r>
        <w:r w:rsidR="00197B00">
          <w:rPr>
            <w:webHidden/>
          </w:rPr>
          <w:instrText xml:space="preserve"> PAGEREF _Toc39797864 \h </w:instrText>
        </w:r>
        <w:r w:rsidR="00197B00">
          <w:rPr>
            <w:webHidden/>
          </w:rPr>
        </w:r>
        <w:r w:rsidR="00197B00">
          <w:rPr>
            <w:webHidden/>
          </w:rPr>
          <w:fldChar w:fldCharType="separate"/>
        </w:r>
        <w:r w:rsidR="001F3E2E">
          <w:rPr>
            <w:webHidden/>
          </w:rPr>
          <w:t>164</w:t>
        </w:r>
        <w:r w:rsidR="00197B00">
          <w:rPr>
            <w:webHidden/>
          </w:rPr>
          <w:fldChar w:fldCharType="end"/>
        </w:r>
      </w:hyperlink>
    </w:p>
    <w:p w14:paraId="4C20CF6A" w14:textId="77777777" w:rsidR="00197B00" w:rsidRDefault="0088072F">
      <w:pPr>
        <w:pStyle w:val="TDC3"/>
        <w:tabs>
          <w:tab w:val="left" w:pos="2552"/>
        </w:tabs>
        <w:rPr>
          <w:rFonts w:asciiTheme="minorHAnsi" w:eastAsiaTheme="minorEastAsia" w:hAnsiTheme="minorHAnsi" w:cstheme="minorBidi"/>
          <w:sz w:val="22"/>
          <w:szCs w:val="22"/>
          <w:lang w:eastAsia="es-CL"/>
        </w:rPr>
      </w:pPr>
      <w:hyperlink w:anchor="_Toc39797865" w:history="1">
        <w:r w:rsidR="00197B00" w:rsidRPr="005452F8">
          <w:rPr>
            <w:rStyle w:val="Hipervnculo"/>
          </w:rPr>
          <w:t>7.2.5</w:t>
        </w:r>
        <w:r w:rsidR="00197B00">
          <w:rPr>
            <w:rFonts w:asciiTheme="minorHAnsi" w:eastAsiaTheme="minorEastAsia" w:hAnsiTheme="minorHAnsi" w:cstheme="minorBidi"/>
            <w:sz w:val="22"/>
            <w:szCs w:val="22"/>
            <w:lang w:eastAsia="es-CL"/>
          </w:rPr>
          <w:tab/>
        </w:r>
        <w:r w:rsidR="00197B00" w:rsidRPr="005452F8">
          <w:rPr>
            <w:rStyle w:val="Hipervnculo"/>
          </w:rPr>
          <w:t>Valor de Inversión por tramo de transporte y por propietario calificación nacional</w:t>
        </w:r>
        <w:r w:rsidR="00197B00">
          <w:rPr>
            <w:webHidden/>
          </w:rPr>
          <w:tab/>
        </w:r>
        <w:r w:rsidR="00197B00">
          <w:rPr>
            <w:webHidden/>
          </w:rPr>
          <w:fldChar w:fldCharType="begin"/>
        </w:r>
        <w:r w:rsidR="00197B00">
          <w:rPr>
            <w:webHidden/>
          </w:rPr>
          <w:instrText xml:space="preserve"> PAGEREF _Toc39797865 \h </w:instrText>
        </w:r>
        <w:r w:rsidR="00197B00">
          <w:rPr>
            <w:webHidden/>
          </w:rPr>
        </w:r>
        <w:r w:rsidR="00197B00">
          <w:rPr>
            <w:webHidden/>
          </w:rPr>
          <w:fldChar w:fldCharType="separate"/>
        </w:r>
        <w:r w:rsidR="001F3E2E">
          <w:rPr>
            <w:webHidden/>
          </w:rPr>
          <w:t>170</w:t>
        </w:r>
        <w:r w:rsidR="00197B00">
          <w:rPr>
            <w:webHidden/>
          </w:rPr>
          <w:fldChar w:fldCharType="end"/>
        </w:r>
      </w:hyperlink>
    </w:p>
    <w:p w14:paraId="21C204E4" w14:textId="77777777" w:rsidR="00197B00" w:rsidRDefault="0088072F">
      <w:pPr>
        <w:pStyle w:val="TDC3"/>
        <w:tabs>
          <w:tab w:val="left" w:pos="2552"/>
        </w:tabs>
        <w:rPr>
          <w:rFonts w:asciiTheme="minorHAnsi" w:eastAsiaTheme="minorEastAsia" w:hAnsiTheme="minorHAnsi" w:cstheme="minorBidi"/>
          <w:sz w:val="22"/>
          <w:szCs w:val="22"/>
          <w:lang w:eastAsia="es-CL"/>
        </w:rPr>
      </w:pPr>
      <w:hyperlink w:anchor="_Toc39797866" w:history="1">
        <w:r w:rsidR="00197B00" w:rsidRPr="005452F8">
          <w:rPr>
            <w:rStyle w:val="Hipervnculo"/>
            <w:lang w:val="es-ES"/>
          </w:rPr>
          <w:t>7.2.6</w:t>
        </w:r>
        <w:r w:rsidR="00197B00">
          <w:rPr>
            <w:rFonts w:asciiTheme="minorHAnsi" w:eastAsiaTheme="minorEastAsia" w:hAnsiTheme="minorHAnsi" w:cstheme="minorBidi"/>
            <w:sz w:val="22"/>
            <w:szCs w:val="22"/>
            <w:lang w:eastAsia="es-CL"/>
          </w:rPr>
          <w:tab/>
        </w:r>
        <w:r w:rsidR="00197B00" w:rsidRPr="005452F8">
          <w:rPr>
            <w:rStyle w:val="Hipervnculo"/>
          </w:rPr>
          <w:t>Valor de inversión derechos relacionados con el uso del suelo y medioambiente</w:t>
        </w:r>
        <w:r w:rsidR="00197B00">
          <w:rPr>
            <w:webHidden/>
          </w:rPr>
          <w:tab/>
        </w:r>
        <w:r w:rsidR="00197B00">
          <w:rPr>
            <w:webHidden/>
          </w:rPr>
          <w:fldChar w:fldCharType="begin"/>
        </w:r>
        <w:r w:rsidR="00197B00">
          <w:rPr>
            <w:webHidden/>
          </w:rPr>
          <w:instrText xml:space="preserve"> PAGEREF _Toc39797866 \h </w:instrText>
        </w:r>
        <w:r w:rsidR="00197B00">
          <w:rPr>
            <w:webHidden/>
          </w:rPr>
        </w:r>
        <w:r w:rsidR="00197B00">
          <w:rPr>
            <w:webHidden/>
          </w:rPr>
          <w:fldChar w:fldCharType="separate"/>
        </w:r>
        <w:r w:rsidR="001F3E2E">
          <w:rPr>
            <w:webHidden/>
          </w:rPr>
          <w:t>177</w:t>
        </w:r>
        <w:r w:rsidR="00197B00">
          <w:rPr>
            <w:webHidden/>
          </w:rPr>
          <w:fldChar w:fldCharType="end"/>
        </w:r>
      </w:hyperlink>
    </w:p>
    <w:p w14:paraId="2B4265DD" w14:textId="77777777" w:rsidR="00197B00" w:rsidRDefault="0088072F">
      <w:pPr>
        <w:pStyle w:val="TDC4"/>
        <w:tabs>
          <w:tab w:val="left" w:pos="2552"/>
        </w:tabs>
        <w:rPr>
          <w:rFonts w:asciiTheme="minorHAnsi" w:eastAsiaTheme="minorEastAsia" w:hAnsiTheme="minorHAnsi" w:cstheme="minorBidi"/>
          <w:spacing w:val="0"/>
          <w:sz w:val="22"/>
          <w:szCs w:val="22"/>
          <w:lang w:val="es-CL" w:eastAsia="es-CL"/>
        </w:rPr>
      </w:pPr>
      <w:hyperlink w:anchor="_Toc39797867" w:history="1">
        <w:r w:rsidR="00197B00" w:rsidRPr="005452F8">
          <w:rPr>
            <w:rStyle w:val="Hipervnculo"/>
          </w:rPr>
          <w:t>7.2.6.1</w:t>
        </w:r>
        <w:r w:rsidR="00197B00">
          <w:rPr>
            <w:rFonts w:asciiTheme="minorHAnsi" w:eastAsiaTheme="minorEastAsia" w:hAnsiTheme="minorHAnsi" w:cstheme="minorBidi"/>
            <w:spacing w:val="0"/>
            <w:sz w:val="22"/>
            <w:szCs w:val="22"/>
            <w:lang w:val="es-CL" w:eastAsia="es-CL"/>
          </w:rPr>
          <w:tab/>
        </w:r>
        <w:r w:rsidR="00197B00" w:rsidRPr="005452F8">
          <w:rPr>
            <w:rStyle w:val="Hipervnculo"/>
          </w:rPr>
          <w:t>V.I. Terrenos tramos de subestaciones</w:t>
        </w:r>
        <w:r w:rsidR="00197B00">
          <w:rPr>
            <w:webHidden/>
          </w:rPr>
          <w:tab/>
        </w:r>
        <w:r w:rsidR="00197B00">
          <w:rPr>
            <w:webHidden/>
          </w:rPr>
          <w:fldChar w:fldCharType="begin"/>
        </w:r>
        <w:r w:rsidR="00197B00">
          <w:rPr>
            <w:webHidden/>
          </w:rPr>
          <w:instrText xml:space="preserve"> PAGEREF _Toc39797867 \h </w:instrText>
        </w:r>
        <w:r w:rsidR="00197B00">
          <w:rPr>
            <w:webHidden/>
          </w:rPr>
        </w:r>
        <w:r w:rsidR="00197B00">
          <w:rPr>
            <w:webHidden/>
          </w:rPr>
          <w:fldChar w:fldCharType="separate"/>
        </w:r>
        <w:r w:rsidR="001F3E2E">
          <w:rPr>
            <w:webHidden/>
          </w:rPr>
          <w:t>177</w:t>
        </w:r>
        <w:r w:rsidR="00197B00">
          <w:rPr>
            <w:webHidden/>
          </w:rPr>
          <w:fldChar w:fldCharType="end"/>
        </w:r>
      </w:hyperlink>
    </w:p>
    <w:p w14:paraId="2D4A8A41" w14:textId="77777777" w:rsidR="00197B00" w:rsidRDefault="0088072F">
      <w:pPr>
        <w:pStyle w:val="TDC4"/>
        <w:tabs>
          <w:tab w:val="left" w:pos="2552"/>
        </w:tabs>
        <w:rPr>
          <w:rFonts w:asciiTheme="minorHAnsi" w:eastAsiaTheme="minorEastAsia" w:hAnsiTheme="minorHAnsi" w:cstheme="minorBidi"/>
          <w:spacing w:val="0"/>
          <w:sz w:val="22"/>
          <w:szCs w:val="22"/>
          <w:lang w:val="es-CL" w:eastAsia="es-CL"/>
        </w:rPr>
      </w:pPr>
      <w:hyperlink w:anchor="_Toc39797868" w:history="1">
        <w:r w:rsidR="00197B00" w:rsidRPr="005452F8">
          <w:rPr>
            <w:rStyle w:val="Hipervnculo"/>
          </w:rPr>
          <w:t>7.2.6.2</w:t>
        </w:r>
        <w:r w:rsidR="00197B00">
          <w:rPr>
            <w:rFonts w:asciiTheme="minorHAnsi" w:eastAsiaTheme="minorEastAsia" w:hAnsiTheme="minorHAnsi" w:cstheme="minorBidi"/>
            <w:spacing w:val="0"/>
            <w:sz w:val="22"/>
            <w:szCs w:val="22"/>
            <w:lang w:val="es-CL" w:eastAsia="es-CL"/>
          </w:rPr>
          <w:tab/>
        </w:r>
        <w:r w:rsidR="00197B00" w:rsidRPr="005452F8">
          <w:rPr>
            <w:rStyle w:val="Hipervnculo"/>
          </w:rPr>
          <w:t>V.I. Servidumbres tramos de transporte</w:t>
        </w:r>
        <w:r w:rsidR="00197B00">
          <w:rPr>
            <w:webHidden/>
          </w:rPr>
          <w:tab/>
        </w:r>
        <w:r w:rsidR="00197B00">
          <w:rPr>
            <w:webHidden/>
          </w:rPr>
          <w:fldChar w:fldCharType="begin"/>
        </w:r>
        <w:r w:rsidR="00197B00">
          <w:rPr>
            <w:webHidden/>
          </w:rPr>
          <w:instrText xml:space="preserve"> PAGEREF _Toc39797868 \h </w:instrText>
        </w:r>
        <w:r w:rsidR="00197B00">
          <w:rPr>
            <w:webHidden/>
          </w:rPr>
        </w:r>
        <w:r w:rsidR="00197B00">
          <w:rPr>
            <w:webHidden/>
          </w:rPr>
          <w:fldChar w:fldCharType="separate"/>
        </w:r>
        <w:r w:rsidR="001F3E2E">
          <w:rPr>
            <w:webHidden/>
          </w:rPr>
          <w:t>178</w:t>
        </w:r>
        <w:r w:rsidR="00197B00">
          <w:rPr>
            <w:webHidden/>
          </w:rPr>
          <w:fldChar w:fldCharType="end"/>
        </w:r>
      </w:hyperlink>
    </w:p>
    <w:p w14:paraId="1FA6B795" w14:textId="77777777" w:rsidR="00197B00" w:rsidRDefault="0088072F">
      <w:pPr>
        <w:pStyle w:val="TDC4"/>
        <w:tabs>
          <w:tab w:val="left" w:pos="2552"/>
        </w:tabs>
        <w:rPr>
          <w:rFonts w:asciiTheme="minorHAnsi" w:eastAsiaTheme="minorEastAsia" w:hAnsiTheme="minorHAnsi" w:cstheme="minorBidi"/>
          <w:spacing w:val="0"/>
          <w:sz w:val="22"/>
          <w:szCs w:val="22"/>
          <w:lang w:val="es-CL" w:eastAsia="es-CL"/>
        </w:rPr>
      </w:pPr>
      <w:hyperlink w:anchor="_Toc39797869" w:history="1">
        <w:r w:rsidR="00197B00" w:rsidRPr="005452F8">
          <w:rPr>
            <w:rStyle w:val="Hipervnculo"/>
          </w:rPr>
          <w:t>7.2.6.3</w:t>
        </w:r>
        <w:r w:rsidR="00197B00">
          <w:rPr>
            <w:rFonts w:asciiTheme="minorHAnsi" w:eastAsiaTheme="minorEastAsia" w:hAnsiTheme="minorHAnsi" w:cstheme="minorBidi"/>
            <w:spacing w:val="0"/>
            <w:sz w:val="22"/>
            <w:szCs w:val="22"/>
            <w:lang w:val="es-CL" w:eastAsia="es-CL"/>
          </w:rPr>
          <w:tab/>
        </w:r>
        <w:r w:rsidR="00197B00" w:rsidRPr="005452F8">
          <w:rPr>
            <w:rStyle w:val="Hipervnculo"/>
          </w:rPr>
          <w:t>V.I. Estudios de Impacto Ambiental (EIA)</w:t>
        </w:r>
        <w:r w:rsidR="00197B00">
          <w:rPr>
            <w:webHidden/>
          </w:rPr>
          <w:tab/>
        </w:r>
        <w:r w:rsidR="00197B00">
          <w:rPr>
            <w:webHidden/>
          </w:rPr>
          <w:fldChar w:fldCharType="begin"/>
        </w:r>
        <w:r w:rsidR="00197B00">
          <w:rPr>
            <w:webHidden/>
          </w:rPr>
          <w:instrText xml:space="preserve"> PAGEREF _Toc39797869 \h </w:instrText>
        </w:r>
        <w:r w:rsidR="00197B00">
          <w:rPr>
            <w:webHidden/>
          </w:rPr>
        </w:r>
        <w:r w:rsidR="00197B00">
          <w:rPr>
            <w:webHidden/>
          </w:rPr>
          <w:fldChar w:fldCharType="separate"/>
        </w:r>
        <w:r w:rsidR="001F3E2E">
          <w:rPr>
            <w:webHidden/>
          </w:rPr>
          <w:t>181</w:t>
        </w:r>
        <w:r w:rsidR="00197B00">
          <w:rPr>
            <w:webHidden/>
          </w:rPr>
          <w:fldChar w:fldCharType="end"/>
        </w:r>
      </w:hyperlink>
    </w:p>
    <w:p w14:paraId="59DD8C0B" w14:textId="77777777" w:rsidR="00197B00" w:rsidRDefault="0088072F">
      <w:pPr>
        <w:pStyle w:val="TDC3"/>
        <w:tabs>
          <w:tab w:val="left" w:pos="2552"/>
        </w:tabs>
        <w:rPr>
          <w:rFonts w:asciiTheme="minorHAnsi" w:eastAsiaTheme="minorEastAsia" w:hAnsiTheme="minorHAnsi" w:cstheme="minorBidi"/>
          <w:sz w:val="22"/>
          <w:szCs w:val="22"/>
          <w:lang w:eastAsia="es-CL"/>
        </w:rPr>
      </w:pPr>
      <w:hyperlink w:anchor="_Toc39797870" w:history="1">
        <w:r w:rsidR="00197B00" w:rsidRPr="005452F8">
          <w:rPr>
            <w:rStyle w:val="Hipervnculo"/>
            <w:lang w:val="es-ES"/>
          </w:rPr>
          <w:t>7.2.7</w:t>
        </w:r>
        <w:r w:rsidR="00197B00">
          <w:rPr>
            <w:rFonts w:asciiTheme="minorHAnsi" w:eastAsiaTheme="minorEastAsia" w:hAnsiTheme="minorHAnsi" w:cstheme="minorBidi"/>
            <w:sz w:val="22"/>
            <w:szCs w:val="22"/>
            <w:lang w:eastAsia="es-CL"/>
          </w:rPr>
          <w:tab/>
        </w:r>
        <w:r w:rsidR="00197B00" w:rsidRPr="005452F8">
          <w:rPr>
            <w:rStyle w:val="Hipervnculo"/>
          </w:rPr>
          <w:t>Valor de inversión adicional a los resultados de la Base de Datos</w:t>
        </w:r>
        <w:r w:rsidR="00197B00">
          <w:rPr>
            <w:webHidden/>
          </w:rPr>
          <w:tab/>
        </w:r>
        <w:r w:rsidR="00197B00">
          <w:rPr>
            <w:webHidden/>
          </w:rPr>
          <w:fldChar w:fldCharType="begin"/>
        </w:r>
        <w:r w:rsidR="00197B00">
          <w:rPr>
            <w:webHidden/>
          </w:rPr>
          <w:instrText xml:space="preserve"> PAGEREF _Toc39797870 \h </w:instrText>
        </w:r>
        <w:r w:rsidR="00197B00">
          <w:rPr>
            <w:webHidden/>
          </w:rPr>
        </w:r>
        <w:r w:rsidR="00197B00">
          <w:rPr>
            <w:webHidden/>
          </w:rPr>
          <w:fldChar w:fldCharType="separate"/>
        </w:r>
        <w:r w:rsidR="001F3E2E">
          <w:rPr>
            <w:webHidden/>
          </w:rPr>
          <w:t>182</w:t>
        </w:r>
        <w:r w:rsidR="00197B00">
          <w:rPr>
            <w:webHidden/>
          </w:rPr>
          <w:fldChar w:fldCharType="end"/>
        </w:r>
      </w:hyperlink>
    </w:p>
    <w:p w14:paraId="235275B0" w14:textId="77777777" w:rsidR="00197B00" w:rsidRDefault="0088072F">
      <w:pPr>
        <w:pStyle w:val="TDC4"/>
        <w:tabs>
          <w:tab w:val="left" w:pos="2552"/>
        </w:tabs>
        <w:rPr>
          <w:rFonts w:asciiTheme="minorHAnsi" w:eastAsiaTheme="minorEastAsia" w:hAnsiTheme="minorHAnsi" w:cstheme="minorBidi"/>
          <w:spacing w:val="0"/>
          <w:sz w:val="22"/>
          <w:szCs w:val="22"/>
          <w:lang w:val="es-CL" w:eastAsia="es-CL"/>
        </w:rPr>
      </w:pPr>
      <w:hyperlink w:anchor="_Toc39797871" w:history="1">
        <w:r w:rsidR="00197B00" w:rsidRPr="005452F8">
          <w:rPr>
            <w:rStyle w:val="Hipervnculo"/>
          </w:rPr>
          <w:t>7.2.7.1</w:t>
        </w:r>
        <w:r w:rsidR="00197B00">
          <w:rPr>
            <w:rFonts w:asciiTheme="minorHAnsi" w:eastAsiaTheme="minorEastAsia" w:hAnsiTheme="minorHAnsi" w:cstheme="minorBidi"/>
            <w:spacing w:val="0"/>
            <w:sz w:val="22"/>
            <w:szCs w:val="22"/>
            <w:lang w:val="es-CL" w:eastAsia="es-CL"/>
          </w:rPr>
          <w:tab/>
        </w:r>
        <w:r w:rsidR="00197B00" w:rsidRPr="005452F8">
          <w:rPr>
            <w:rStyle w:val="Hipervnculo"/>
          </w:rPr>
          <w:t>V.I. Plataformas tramos de subestaciones</w:t>
        </w:r>
        <w:r w:rsidR="00197B00">
          <w:rPr>
            <w:webHidden/>
          </w:rPr>
          <w:tab/>
        </w:r>
        <w:r w:rsidR="00197B00">
          <w:rPr>
            <w:webHidden/>
          </w:rPr>
          <w:fldChar w:fldCharType="begin"/>
        </w:r>
        <w:r w:rsidR="00197B00">
          <w:rPr>
            <w:webHidden/>
          </w:rPr>
          <w:instrText xml:space="preserve"> PAGEREF _Toc39797871 \h </w:instrText>
        </w:r>
        <w:r w:rsidR="00197B00">
          <w:rPr>
            <w:webHidden/>
          </w:rPr>
        </w:r>
        <w:r w:rsidR="00197B00">
          <w:rPr>
            <w:webHidden/>
          </w:rPr>
          <w:fldChar w:fldCharType="separate"/>
        </w:r>
        <w:r w:rsidR="001F3E2E">
          <w:rPr>
            <w:webHidden/>
          </w:rPr>
          <w:t>182</w:t>
        </w:r>
        <w:r w:rsidR="00197B00">
          <w:rPr>
            <w:webHidden/>
          </w:rPr>
          <w:fldChar w:fldCharType="end"/>
        </w:r>
      </w:hyperlink>
    </w:p>
    <w:p w14:paraId="2D79A5CC" w14:textId="77777777" w:rsidR="00197B00" w:rsidRDefault="0088072F">
      <w:pPr>
        <w:pStyle w:val="TDC4"/>
        <w:tabs>
          <w:tab w:val="left" w:pos="2552"/>
        </w:tabs>
        <w:rPr>
          <w:rFonts w:asciiTheme="minorHAnsi" w:eastAsiaTheme="minorEastAsia" w:hAnsiTheme="minorHAnsi" w:cstheme="minorBidi"/>
          <w:spacing w:val="0"/>
          <w:sz w:val="22"/>
          <w:szCs w:val="22"/>
          <w:lang w:val="es-CL" w:eastAsia="es-CL"/>
        </w:rPr>
      </w:pPr>
      <w:hyperlink w:anchor="_Toc39797872" w:history="1">
        <w:r w:rsidR="00197B00" w:rsidRPr="005452F8">
          <w:rPr>
            <w:rStyle w:val="Hipervnculo"/>
          </w:rPr>
          <w:t>7.2.7.2</w:t>
        </w:r>
        <w:r w:rsidR="00197B00">
          <w:rPr>
            <w:rFonts w:asciiTheme="minorHAnsi" w:eastAsiaTheme="minorEastAsia" w:hAnsiTheme="minorHAnsi" w:cstheme="minorBidi"/>
            <w:spacing w:val="0"/>
            <w:sz w:val="22"/>
            <w:szCs w:val="22"/>
            <w:lang w:val="es-CL" w:eastAsia="es-CL"/>
          </w:rPr>
          <w:tab/>
        </w:r>
        <w:r w:rsidR="00197B00" w:rsidRPr="005452F8">
          <w:rPr>
            <w:rStyle w:val="Hipervnculo"/>
          </w:rPr>
          <w:t>V.I. Líneas sin instalaciones declaradas en la base de datos</w:t>
        </w:r>
        <w:r w:rsidR="00197B00">
          <w:rPr>
            <w:webHidden/>
          </w:rPr>
          <w:tab/>
        </w:r>
        <w:r w:rsidR="00197B00">
          <w:rPr>
            <w:webHidden/>
          </w:rPr>
          <w:fldChar w:fldCharType="begin"/>
        </w:r>
        <w:r w:rsidR="00197B00">
          <w:rPr>
            <w:webHidden/>
          </w:rPr>
          <w:instrText xml:space="preserve"> PAGEREF _Toc39797872 \h </w:instrText>
        </w:r>
        <w:r w:rsidR="00197B00">
          <w:rPr>
            <w:webHidden/>
          </w:rPr>
        </w:r>
        <w:r w:rsidR="00197B00">
          <w:rPr>
            <w:webHidden/>
          </w:rPr>
          <w:fldChar w:fldCharType="separate"/>
        </w:r>
        <w:r w:rsidR="001F3E2E">
          <w:rPr>
            <w:webHidden/>
          </w:rPr>
          <w:t>184</w:t>
        </w:r>
        <w:r w:rsidR="00197B00">
          <w:rPr>
            <w:webHidden/>
          </w:rPr>
          <w:fldChar w:fldCharType="end"/>
        </w:r>
      </w:hyperlink>
    </w:p>
    <w:p w14:paraId="2EDA5A2D" w14:textId="77777777" w:rsidR="00197B00" w:rsidRDefault="0088072F">
      <w:pPr>
        <w:pStyle w:val="TDC1"/>
        <w:rPr>
          <w:rFonts w:asciiTheme="minorHAnsi" w:eastAsiaTheme="minorEastAsia" w:hAnsiTheme="minorHAnsi" w:cstheme="minorBidi"/>
          <w:b w:val="0"/>
          <w:caps w:val="0"/>
          <w:noProof/>
          <w:spacing w:val="0"/>
          <w:sz w:val="22"/>
          <w:szCs w:val="22"/>
          <w:lang w:eastAsia="es-CL"/>
        </w:rPr>
      </w:pPr>
      <w:hyperlink w:anchor="_Toc39797873" w:history="1">
        <w:r w:rsidR="00197B00" w:rsidRPr="005452F8">
          <w:rPr>
            <w:rStyle w:val="Hipervnculo"/>
            <w:noProof/>
          </w:rPr>
          <w:t>8.</w:t>
        </w:r>
        <w:r w:rsidR="00197B00">
          <w:rPr>
            <w:rFonts w:asciiTheme="minorHAnsi" w:eastAsiaTheme="minorEastAsia" w:hAnsiTheme="minorHAnsi" w:cstheme="minorBidi"/>
            <w:b w:val="0"/>
            <w:caps w:val="0"/>
            <w:noProof/>
            <w:spacing w:val="0"/>
            <w:sz w:val="22"/>
            <w:szCs w:val="22"/>
            <w:lang w:eastAsia="es-CL"/>
          </w:rPr>
          <w:tab/>
        </w:r>
        <w:r w:rsidR="00197B00" w:rsidRPr="005452F8">
          <w:rPr>
            <w:rStyle w:val="Hipervnculo"/>
            <w:noProof/>
          </w:rPr>
          <w:t>Determinación del C.O.M.A.</w:t>
        </w:r>
        <w:r w:rsidR="00197B00">
          <w:rPr>
            <w:noProof/>
            <w:webHidden/>
          </w:rPr>
          <w:tab/>
        </w:r>
        <w:r w:rsidR="00197B00">
          <w:rPr>
            <w:noProof/>
            <w:webHidden/>
          </w:rPr>
          <w:fldChar w:fldCharType="begin"/>
        </w:r>
        <w:r w:rsidR="00197B00">
          <w:rPr>
            <w:noProof/>
            <w:webHidden/>
          </w:rPr>
          <w:instrText xml:space="preserve"> PAGEREF _Toc39797873 \h </w:instrText>
        </w:r>
        <w:r w:rsidR="00197B00">
          <w:rPr>
            <w:noProof/>
            <w:webHidden/>
          </w:rPr>
        </w:r>
        <w:r w:rsidR="00197B00">
          <w:rPr>
            <w:noProof/>
            <w:webHidden/>
          </w:rPr>
          <w:fldChar w:fldCharType="separate"/>
        </w:r>
        <w:r w:rsidR="001F3E2E">
          <w:rPr>
            <w:noProof/>
            <w:webHidden/>
          </w:rPr>
          <w:t>186</w:t>
        </w:r>
        <w:r w:rsidR="00197B00">
          <w:rPr>
            <w:noProof/>
            <w:webHidden/>
          </w:rPr>
          <w:fldChar w:fldCharType="end"/>
        </w:r>
      </w:hyperlink>
    </w:p>
    <w:p w14:paraId="09C24CBD" w14:textId="77777777" w:rsidR="00197B00" w:rsidRDefault="0088072F">
      <w:pPr>
        <w:pStyle w:val="TDC2"/>
        <w:tabs>
          <w:tab w:val="left" w:pos="1134"/>
        </w:tabs>
        <w:rPr>
          <w:rFonts w:asciiTheme="minorHAnsi" w:eastAsiaTheme="minorEastAsia" w:hAnsiTheme="minorHAnsi" w:cstheme="minorBidi"/>
          <w:b w:val="0"/>
          <w:noProof/>
          <w:spacing w:val="0"/>
          <w:szCs w:val="22"/>
          <w:lang w:eastAsia="es-CL"/>
        </w:rPr>
      </w:pPr>
      <w:hyperlink w:anchor="_Toc39797874" w:history="1">
        <w:r w:rsidR="00197B00" w:rsidRPr="005452F8">
          <w:rPr>
            <w:rStyle w:val="Hipervnculo"/>
            <w:noProof/>
          </w:rPr>
          <w:t>8.1</w:t>
        </w:r>
        <w:r w:rsidR="00197B00">
          <w:rPr>
            <w:rFonts w:asciiTheme="minorHAnsi" w:eastAsiaTheme="minorEastAsia" w:hAnsiTheme="minorHAnsi" w:cstheme="minorBidi"/>
            <w:b w:val="0"/>
            <w:noProof/>
            <w:spacing w:val="0"/>
            <w:szCs w:val="22"/>
            <w:lang w:eastAsia="es-CL"/>
          </w:rPr>
          <w:tab/>
        </w:r>
        <w:r w:rsidR="00197B00" w:rsidRPr="005452F8">
          <w:rPr>
            <w:rStyle w:val="Hipervnculo"/>
            <w:noProof/>
          </w:rPr>
          <w:t>Organigrama y plantilla de personal</w:t>
        </w:r>
        <w:r w:rsidR="00197B00">
          <w:rPr>
            <w:noProof/>
            <w:webHidden/>
          </w:rPr>
          <w:tab/>
        </w:r>
        <w:r w:rsidR="00197B00">
          <w:rPr>
            <w:noProof/>
            <w:webHidden/>
          </w:rPr>
          <w:fldChar w:fldCharType="begin"/>
        </w:r>
        <w:r w:rsidR="00197B00">
          <w:rPr>
            <w:noProof/>
            <w:webHidden/>
          </w:rPr>
          <w:instrText xml:space="preserve"> PAGEREF _Toc39797874 \h </w:instrText>
        </w:r>
        <w:r w:rsidR="00197B00">
          <w:rPr>
            <w:noProof/>
            <w:webHidden/>
          </w:rPr>
        </w:r>
        <w:r w:rsidR="00197B00">
          <w:rPr>
            <w:noProof/>
            <w:webHidden/>
          </w:rPr>
          <w:fldChar w:fldCharType="separate"/>
        </w:r>
        <w:r w:rsidR="001F3E2E">
          <w:rPr>
            <w:noProof/>
            <w:webHidden/>
          </w:rPr>
          <w:t>186</w:t>
        </w:r>
        <w:r w:rsidR="00197B00">
          <w:rPr>
            <w:noProof/>
            <w:webHidden/>
          </w:rPr>
          <w:fldChar w:fldCharType="end"/>
        </w:r>
      </w:hyperlink>
    </w:p>
    <w:p w14:paraId="7E06A0B5" w14:textId="77777777" w:rsidR="00197B00" w:rsidRDefault="0088072F">
      <w:pPr>
        <w:pStyle w:val="TDC2"/>
        <w:tabs>
          <w:tab w:val="left" w:pos="1134"/>
        </w:tabs>
        <w:rPr>
          <w:rFonts w:asciiTheme="minorHAnsi" w:eastAsiaTheme="minorEastAsia" w:hAnsiTheme="minorHAnsi" w:cstheme="minorBidi"/>
          <w:b w:val="0"/>
          <w:noProof/>
          <w:spacing w:val="0"/>
          <w:szCs w:val="22"/>
          <w:lang w:eastAsia="es-CL"/>
        </w:rPr>
      </w:pPr>
      <w:hyperlink w:anchor="_Toc39797875" w:history="1">
        <w:r w:rsidR="00197B00" w:rsidRPr="005452F8">
          <w:rPr>
            <w:rStyle w:val="Hipervnculo"/>
            <w:noProof/>
          </w:rPr>
          <w:t>8.2</w:t>
        </w:r>
        <w:r w:rsidR="00197B00">
          <w:rPr>
            <w:rFonts w:asciiTheme="minorHAnsi" w:eastAsiaTheme="minorEastAsia" w:hAnsiTheme="minorHAnsi" w:cstheme="minorBidi"/>
            <w:b w:val="0"/>
            <w:noProof/>
            <w:spacing w:val="0"/>
            <w:szCs w:val="22"/>
            <w:lang w:eastAsia="es-CL"/>
          </w:rPr>
          <w:tab/>
        </w:r>
        <w:r w:rsidR="00197B00" w:rsidRPr="005452F8">
          <w:rPr>
            <w:rStyle w:val="Hipervnculo"/>
            <w:noProof/>
          </w:rPr>
          <w:t>Resultados del C.O.M.A.</w:t>
        </w:r>
        <w:r w:rsidR="00197B00">
          <w:rPr>
            <w:noProof/>
            <w:webHidden/>
          </w:rPr>
          <w:tab/>
        </w:r>
        <w:r w:rsidR="00197B00">
          <w:rPr>
            <w:noProof/>
            <w:webHidden/>
          </w:rPr>
          <w:fldChar w:fldCharType="begin"/>
        </w:r>
        <w:r w:rsidR="00197B00">
          <w:rPr>
            <w:noProof/>
            <w:webHidden/>
          </w:rPr>
          <w:instrText xml:space="preserve"> PAGEREF _Toc39797875 \h </w:instrText>
        </w:r>
        <w:r w:rsidR="00197B00">
          <w:rPr>
            <w:noProof/>
            <w:webHidden/>
          </w:rPr>
        </w:r>
        <w:r w:rsidR="00197B00">
          <w:rPr>
            <w:noProof/>
            <w:webHidden/>
          </w:rPr>
          <w:fldChar w:fldCharType="separate"/>
        </w:r>
        <w:r w:rsidR="001F3E2E">
          <w:rPr>
            <w:noProof/>
            <w:webHidden/>
          </w:rPr>
          <w:t>187</w:t>
        </w:r>
        <w:r w:rsidR="00197B00">
          <w:rPr>
            <w:noProof/>
            <w:webHidden/>
          </w:rPr>
          <w:fldChar w:fldCharType="end"/>
        </w:r>
      </w:hyperlink>
    </w:p>
    <w:p w14:paraId="5F504CD8" w14:textId="77777777" w:rsidR="00197B00" w:rsidRDefault="0088072F">
      <w:pPr>
        <w:pStyle w:val="TDC2"/>
        <w:tabs>
          <w:tab w:val="left" w:pos="1134"/>
        </w:tabs>
        <w:rPr>
          <w:rFonts w:asciiTheme="minorHAnsi" w:eastAsiaTheme="minorEastAsia" w:hAnsiTheme="minorHAnsi" w:cstheme="minorBidi"/>
          <w:b w:val="0"/>
          <w:noProof/>
          <w:spacing w:val="0"/>
          <w:szCs w:val="22"/>
          <w:lang w:eastAsia="es-CL"/>
        </w:rPr>
      </w:pPr>
      <w:hyperlink w:anchor="_Toc39797876" w:history="1">
        <w:r w:rsidR="00197B00" w:rsidRPr="005452F8">
          <w:rPr>
            <w:rStyle w:val="Hipervnculo"/>
            <w:noProof/>
          </w:rPr>
          <w:t>8.3</w:t>
        </w:r>
        <w:r w:rsidR="00197B00">
          <w:rPr>
            <w:rFonts w:asciiTheme="minorHAnsi" w:eastAsiaTheme="minorEastAsia" w:hAnsiTheme="minorHAnsi" w:cstheme="minorBidi"/>
            <w:b w:val="0"/>
            <w:noProof/>
            <w:spacing w:val="0"/>
            <w:szCs w:val="22"/>
            <w:lang w:eastAsia="es-CL"/>
          </w:rPr>
          <w:tab/>
        </w:r>
        <w:r w:rsidR="00197B00" w:rsidRPr="005452F8">
          <w:rPr>
            <w:rStyle w:val="Hipervnculo"/>
            <w:noProof/>
          </w:rPr>
          <w:t>Resultados de BM&amp;I</w:t>
        </w:r>
        <w:r w:rsidR="00197B00">
          <w:rPr>
            <w:noProof/>
            <w:webHidden/>
          </w:rPr>
          <w:tab/>
        </w:r>
        <w:r w:rsidR="00197B00">
          <w:rPr>
            <w:noProof/>
            <w:webHidden/>
          </w:rPr>
          <w:fldChar w:fldCharType="begin"/>
        </w:r>
        <w:r w:rsidR="00197B00">
          <w:rPr>
            <w:noProof/>
            <w:webHidden/>
          </w:rPr>
          <w:instrText xml:space="preserve"> PAGEREF _Toc39797876 \h </w:instrText>
        </w:r>
        <w:r w:rsidR="00197B00">
          <w:rPr>
            <w:noProof/>
            <w:webHidden/>
          </w:rPr>
        </w:r>
        <w:r w:rsidR="00197B00">
          <w:rPr>
            <w:noProof/>
            <w:webHidden/>
          </w:rPr>
          <w:fldChar w:fldCharType="separate"/>
        </w:r>
        <w:r w:rsidR="001F3E2E">
          <w:rPr>
            <w:noProof/>
            <w:webHidden/>
          </w:rPr>
          <w:t>188</w:t>
        </w:r>
        <w:r w:rsidR="00197B00">
          <w:rPr>
            <w:noProof/>
            <w:webHidden/>
          </w:rPr>
          <w:fldChar w:fldCharType="end"/>
        </w:r>
      </w:hyperlink>
    </w:p>
    <w:p w14:paraId="26A0D582" w14:textId="77777777" w:rsidR="00197B00" w:rsidRDefault="0088072F">
      <w:pPr>
        <w:pStyle w:val="TDC2"/>
        <w:tabs>
          <w:tab w:val="left" w:pos="1134"/>
        </w:tabs>
        <w:rPr>
          <w:rFonts w:asciiTheme="minorHAnsi" w:eastAsiaTheme="minorEastAsia" w:hAnsiTheme="minorHAnsi" w:cstheme="minorBidi"/>
          <w:b w:val="0"/>
          <w:noProof/>
          <w:spacing w:val="0"/>
          <w:szCs w:val="22"/>
          <w:lang w:eastAsia="es-CL"/>
        </w:rPr>
      </w:pPr>
      <w:hyperlink w:anchor="_Toc39797877" w:history="1">
        <w:r w:rsidR="00197B00" w:rsidRPr="005452F8">
          <w:rPr>
            <w:rStyle w:val="Hipervnculo"/>
            <w:noProof/>
          </w:rPr>
          <w:t>8.4</w:t>
        </w:r>
        <w:r w:rsidR="00197B00">
          <w:rPr>
            <w:rFonts w:asciiTheme="minorHAnsi" w:eastAsiaTheme="minorEastAsia" w:hAnsiTheme="minorHAnsi" w:cstheme="minorBidi"/>
            <w:b w:val="0"/>
            <w:noProof/>
            <w:spacing w:val="0"/>
            <w:szCs w:val="22"/>
            <w:lang w:eastAsia="es-CL"/>
          </w:rPr>
          <w:tab/>
        </w:r>
        <w:r w:rsidR="00197B00" w:rsidRPr="005452F8">
          <w:rPr>
            <w:rStyle w:val="Hipervnculo"/>
            <w:noProof/>
          </w:rPr>
          <w:t>Determinación de bienes intangibles</w:t>
        </w:r>
        <w:r w:rsidR="00197B00">
          <w:rPr>
            <w:noProof/>
            <w:webHidden/>
          </w:rPr>
          <w:tab/>
        </w:r>
        <w:r w:rsidR="00197B00">
          <w:rPr>
            <w:noProof/>
            <w:webHidden/>
          </w:rPr>
          <w:fldChar w:fldCharType="begin"/>
        </w:r>
        <w:r w:rsidR="00197B00">
          <w:rPr>
            <w:noProof/>
            <w:webHidden/>
          </w:rPr>
          <w:instrText xml:space="preserve"> PAGEREF _Toc39797877 \h </w:instrText>
        </w:r>
        <w:r w:rsidR="00197B00">
          <w:rPr>
            <w:noProof/>
            <w:webHidden/>
          </w:rPr>
        </w:r>
        <w:r w:rsidR="00197B00">
          <w:rPr>
            <w:noProof/>
            <w:webHidden/>
          </w:rPr>
          <w:fldChar w:fldCharType="separate"/>
        </w:r>
        <w:r w:rsidR="001F3E2E">
          <w:rPr>
            <w:noProof/>
            <w:webHidden/>
          </w:rPr>
          <w:t>194</w:t>
        </w:r>
        <w:r w:rsidR="00197B00">
          <w:rPr>
            <w:noProof/>
            <w:webHidden/>
          </w:rPr>
          <w:fldChar w:fldCharType="end"/>
        </w:r>
      </w:hyperlink>
    </w:p>
    <w:p w14:paraId="032BAA4E" w14:textId="77777777" w:rsidR="00197B00" w:rsidRDefault="0088072F">
      <w:pPr>
        <w:pStyle w:val="TDC2"/>
        <w:tabs>
          <w:tab w:val="left" w:pos="1134"/>
        </w:tabs>
        <w:rPr>
          <w:rFonts w:asciiTheme="minorHAnsi" w:eastAsiaTheme="minorEastAsia" w:hAnsiTheme="minorHAnsi" w:cstheme="minorBidi"/>
          <w:b w:val="0"/>
          <w:noProof/>
          <w:spacing w:val="0"/>
          <w:szCs w:val="22"/>
          <w:lang w:eastAsia="es-CL"/>
        </w:rPr>
      </w:pPr>
      <w:hyperlink w:anchor="_Toc39797878" w:history="1">
        <w:r w:rsidR="00197B00" w:rsidRPr="005452F8">
          <w:rPr>
            <w:rStyle w:val="Hipervnculo"/>
            <w:noProof/>
          </w:rPr>
          <w:t>8.5</w:t>
        </w:r>
        <w:r w:rsidR="00197B00">
          <w:rPr>
            <w:rFonts w:asciiTheme="minorHAnsi" w:eastAsiaTheme="minorEastAsia" w:hAnsiTheme="minorHAnsi" w:cstheme="minorBidi"/>
            <w:b w:val="0"/>
            <w:noProof/>
            <w:spacing w:val="0"/>
            <w:szCs w:val="22"/>
            <w:lang w:eastAsia="es-CL"/>
          </w:rPr>
          <w:tab/>
        </w:r>
        <w:r w:rsidR="00197B00" w:rsidRPr="005452F8">
          <w:rPr>
            <w:rStyle w:val="Hipervnculo"/>
            <w:noProof/>
          </w:rPr>
          <w:t>Determinación de economías de ámbito</w:t>
        </w:r>
        <w:r w:rsidR="00197B00">
          <w:rPr>
            <w:noProof/>
            <w:webHidden/>
          </w:rPr>
          <w:tab/>
        </w:r>
        <w:r w:rsidR="00197B00">
          <w:rPr>
            <w:noProof/>
            <w:webHidden/>
          </w:rPr>
          <w:fldChar w:fldCharType="begin"/>
        </w:r>
        <w:r w:rsidR="00197B00">
          <w:rPr>
            <w:noProof/>
            <w:webHidden/>
          </w:rPr>
          <w:instrText xml:space="preserve"> PAGEREF _Toc39797878 \h </w:instrText>
        </w:r>
        <w:r w:rsidR="00197B00">
          <w:rPr>
            <w:noProof/>
            <w:webHidden/>
          </w:rPr>
        </w:r>
        <w:r w:rsidR="00197B00">
          <w:rPr>
            <w:noProof/>
            <w:webHidden/>
          </w:rPr>
          <w:fldChar w:fldCharType="separate"/>
        </w:r>
        <w:r w:rsidR="001F3E2E">
          <w:rPr>
            <w:noProof/>
            <w:webHidden/>
          </w:rPr>
          <w:t>194</w:t>
        </w:r>
        <w:r w:rsidR="00197B00">
          <w:rPr>
            <w:noProof/>
            <w:webHidden/>
          </w:rPr>
          <w:fldChar w:fldCharType="end"/>
        </w:r>
      </w:hyperlink>
    </w:p>
    <w:p w14:paraId="3D313027" w14:textId="77777777" w:rsidR="00197B00" w:rsidRDefault="0088072F">
      <w:pPr>
        <w:pStyle w:val="TDC1"/>
        <w:rPr>
          <w:rFonts w:asciiTheme="minorHAnsi" w:eastAsiaTheme="minorEastAsia" w:hAnsiTheme="minorHAnsi" w:cstheme="minorBidi"/>
          <w:b w:val="0"/>
          <w:caps w:val="0"/>
          <w:noProof/>
          <w:spacing w:val="0"/>
          <w:sz w:val="22"/>
          <w:szCs w:val="22"/>
          <w:lang w:eastAsia="es-CL"/>
        </w:rPr>
      </w:pPr>
      <w:hyperlink w:anchor="_Toc39797879" w:history="1">
        <w:r w:rsidR="00197B00" w:rsidRPr="005452F8">
          <w:rPr>
            <w:rStyle w:val="Hipervnculo"/>
            <w:noProof/>
          </w:rPr>
          <w:t>9.</w:t>
        </w:r>
        <w:r w:rsidR="00197B00">
          <w:rPr>
            <w:rFonts w:asciiTheme="minorHAnsi" w:eastAsiaTheme="minorEastAsia" w:hAnsiTheme="minorHAnsi" w:cstheme="minorBidi"/>
            <w:b w:val="0"/>
            <w:caps w:val="0"/>
            <w:noProof/>
            <w:spacing w:val="0"/>
            <w:sz w:val="22"/>
            <w:szCs w:val="22"/>
            <w:lang w:eastAsia="es-CL"/>
          </w:rPr>
          <w:tab/>
        </w:r>
        <w:r w:rsidR="00197B00" w:rsidRPr="005452F8">
          <w:rPr>
            <w:rStyle w:val="Hipervnculo"/>
            <w:noProof/>
          </w:rPr>
          <w:t>Determinación de Labores de ampliación</w:t>
        </w:r>
        <w:r w:rsidR="00197B00">
          <w:rPr>
            <w:noProof/>
            <w:webHidden/>
          </w:rPr>
          <w:tab/>
        </w:r>
        <w:r w:rsidR="00197B00">
          <w:rPr>
            <w:noProof/>
            <w:webHidden/>
          </w:rPr>
          <w:fldChar w:fldCharType="begin"/>
        </w:r>
        <w:r w:rsidR="00197B00">
          <w:rPr>
            <w:noProof/>
            <w:webHidden/>
          </w:rPr>
          <w:instrText xml:space="preserve"> PAGEREF _Toc39797879 \h </w:instrText>
        </w:r>
        <w:r w:rsidR="00197B00">
          <w:rPr>
            <w:noProof/>
            <w:webHidden/>
          </w:rPr>
        </w:r>
        <w:r w:rsidR="00197B00">
          <w:rPr>
            <w:noProof/>
            <w:webHidden/>
          </w:rPr>
          <w:fldChar w:fldCharType="separate"/>
        </w:r>
        <w:r w:rsidR="001F3E2E">
          <w:rPr>
            <w:noProof/>
            <w:webHidden/>
          </w:rPr>
          <w:t>195</w:t>
        </w:r>
        <w:r w:rsidR="00197B00">
          <w:rPr>
            <w:noProof/>
            <w:webHidden/>
          </w:rPr>
          <w:fldChar w:fldCharType="end"/>
        </w:r>
      </w:hyperlink>
    </w:p>
    <w:p w14:paraId="23111C64" w14:textId="77777777" w:rsidR="00197B00" w:rsidRDefault="0088072F">
      <w:pPr>
        <w:pStyle w:val="TDC1"/>
        <w:rPr>
          <w:rFonts w:asciiTheme="minorHAnsi" w:eastAsiaTheme="minorEastAsia" w:hAnsiTheme="minorHAnsi" w:cstheme="minorBidi"/>
          <w:b w:val="0"/>
          <w:caps w:val="0"/>
          <w:noProof/>
          <w:spacing w:val="0"/>
          <w:sz w:val="22"/>
          <w:szCs w:val="22"/>
          <w:lang w:eastAsia="es-CL"/>
        </w:rPr>
      </w:pPr>
      <w:hyperlink w:anchor="_Toc39797880" w:history="1">
        <w:r w:rsidR="00197B00" w:rsidRPr="005452F8">
          <w:rPr>
            <w:rStyle w:val="Hipervnculo"/>
            <w:noProof/>
          </w:rPr>
          <w:t>10.</w:t>
        </w:r>
        <w:r w:rsidR="00197B00">
          <w:rPr>
            <w:rFonts w:asciiTheme="minorHAnsi" w:eastAsiaTheme="minorEastAsia" w:hAnsiTheme="minorHAnsi" w:cstheme="minorBidi"/>
            <w:b w:val="0"/>
            <w:caps w:val="0"/>
            <w:noProof/>
            <w:spacing w:val="0"/>
            <w:sz w:val="22"/>
            <w:szCs w:val="22"/>
            <w:lang w:eastAsia="es-CL"/>
          </w:rPr>
          <w:tab/>
        </w:r>
        <w:r w:rsidR="00197B00" w:rsidRPr="005452F8">
          <w:rPr>
            <w:rStyle w:val="Hipervnculo"/>
            <w:noProof/>
          </w:rPr>
          <w:t>Determinación del V.A.T.T.</w:t>
        </w:r>
        <w:r w:rsidR="00197B00">
          <w:rPr>
            <w:noProof/>
            <w:webHidden/>
          </w:rPr>
          <w:tab/>
        </w:r>
        <w:r w:rsidR="00197B00">
          <w:rPr>
            <w:noProof/>
            <w:webHidden/>
          </w:rPr>
          <w:fldChar w:fldCharType="begin"/>
        </w:r>
        <w:r w:rsidR="00197B00">
          <w:rPr>
            <w:noProof/>
            <w:webHidden/>
          </w:rPr>
          <w:instrText xml:space="preserve"> PAGEREF _Toc39797880 \h </w:instrText>
        </w:r>
        <w:r w:rsidR="00197B00">
          <w:rPr>
            <w:noProof/>
            <w:webHidden/>
          </w:rPr>
        </w:r>
        <w:r w:rsidR="00197B00">
          <w:rPr>
            <w:noProof/>
            <w:webHidden/>
          </w:rPr>
          <w:fldChar w:fldCharType="separate"/>
        </w:r>
        <w:r w:rsidR="001F3E2E">
          <w:rPr>
            <w:noProof/>
            <w:webHidden/>
          </w:rPr>
          <w:t>202</w:t>
        </w:r>
        <w:r w:rsidR="00197B00">
          <w:rPr>
            <w:noProof/>
            <w:webHidden/>
          </w:rPr>
          <w:fldChar w:fldCharType="end"/>
        </w:r>
      </w:hyperlink>
    </w:p>
    <w:p w14:paraId="627AF919" w14:textId="77777777" w:rsidR="00197B00" w:rsidRDefault="0088072F">
      <w:pPr>
        <w:pStyle w:val="TDC2"/>
        <w:tabs>
          <w:tab w:val="left" w:pos="1134"/>
        </w:tabs>
        <w:rPr>
          <w:rFonts w:asciiTheme="minorHAnsi" w:eastAsiaTheme="minorEastAsia" w:hAnsiTheme="minorHAnsi" w:cstheme="minorBidi"/>
          <w:b w:val="0"/>
          <w:noProof/>
          <w:spacing w:val="0"/>
          <w:szCs w:val="22"/>
          <w:lang w:eastAsia="es-CL"/>
        </w:rPr>
      </w:pPr>
      <w:hyperlink w:anchor="_Toc39797881" w:history="1">
        <w:r w:rsidR="00197B00" w:rsidRPr="005452F8">
          <w:rPr>
            <w:rStyle w:val="Hipervnculo"/>
            <w:noProof/>
          </w:rPr>
          <w:t>10.1</w:t>
        </w:r>
        <w:r w:rsidR="00197B00">
          <w:rPr>
            <w:rFonts w:asciiTheme="minorHAnsi" w:eastAsiaTheme="minorEastAsia" w:hAnsiTheme="minorHAnsi" w:cstheme="minorBidi"/>
            <w:b w:val="0"/>
            <w:noProof/>
            <w:spacing w:val="0"/>
            <w:szCs w:val="22"/>
            <w:lang w:eastAsia="es-CL"/>
          </w:rPr>
          <w:tab/>
        </w:r>
        <w:r w:rsidR="00197B00" w:rsidRPr="005452F8">
          <w:rPr>
            <w:rStyle w:val="Hipervnculo"/>
            <w:noProof/>
          </w:rPr>
          <w:t>Antecedentes generales</w:t>
        </w:r>
        <w:r w:rsidR="00197B00">
          <w:rPr>
            <w:noProof/>
            <w:webHidden/>
          </w:rPr>
          <w:tab/>
        </w:r>
        <w:r w:rsidR="00197B00">
          <w:rPr>
            <w:noProof/>
            <w:webHidden/>
          </w:rPr>
          <w:fldChar w:fldCharType="begin"/>
        </w:r>
        <w:r w:rsidR="00197B00">
          <w:rPr>
            <w:noProof/>
            <w:webHidden/>
          </w:rPr>
          <w:instrText xml:space="preserve"> PAGEREF _Toc39797881 \h </w:instrText>
        </w:r>
        <w:r w:rsidR="00197B00">
          <w:rPr>
            <w:noProof/>
            <w:webHidden/>
          </w:rPr>
        </w:r>
        <w:r w:rsidR="00197B00">
          <w:rPr>
            <w:noProof/>
            <w:webHidden/>
          </w:rPr>
          <w:fldChar w:fldCharType="separate"/>
        </w:r>
        <w:r w:rsidR="001F3E2E">
          <w:rPr>
            <w:noProof/>
            <w:webHidden/>
          </w:rPr>
          <w:t>202</w:t>
        </w:r>
        <w:r w:rsidR="00197B00">
          <w:rPr>
            <w:noProof/>
            <w:webHidden/>
          </w:rPr>
          <w:fldChar w:fldCharType="end"/>
        </w:r>
      </w:hyperlink>
    </w:p>
    <w:p w14:paraId="22B32CF2" w14:textId="77777777" w:rsidR="00197B00" w:rsidRDefault="0088072F">
      <w:pPr>
        <w:pStyle w:val="TDC3"/>
        <w:tabs>
          <w:tab w:val="left" w:pos="2552"/>
        </w:tabs>
        <w:rPr>
          <w:rFonts w:asciiTheme="minorHAnsi" w:eastAsiaTheme="minorEastAsia" w:hAnsiTheme="minorHAnsi" w:cstheme="minorBidi"/>
          <w:sz w:val="22"/>
          <w:szCs w:val="22"/>
          <w:lang w:eastAsia="es-CL"/>
        </w:rPr>
      </w:pPr>
      <w:hyperlink w:anchor="_Toc39797882" w:history="1">
        <w:r w:rsidR="00197B00" w:rsidRPr="005452F8">
          <w:rPr>
            <w:rStyle w:val="Hipervnculo"/>
          </w:rPr>
          <w:t>10.1.1</w:t>
        </w:r>
        <w:r w:rsidR="00197B00">
          <w:rPr>
            <w:rFonts w:asciiTheme="minorHAnsi" w:eastAsiaTheme="minorEastAsia" w:hAnsiTheme="minorHAnsi" w:cstheme="minorBidi"/>
            <w:sz w:val="22"/>
            <w:szCs w:val="22"/>
            <w:lang w:eastAsia="es-CL"/>
          </w:rPr>
          <w:tab/>
        </w:r>
        <w:r w:rsidR="00197B00" w:rsidRPr="005452F8">
          <w:rPr>
            <w:rStyle w:val="Hipervnculo"/>
          </w:rPr>
          <w:t>Conceptos Generales</w:t>
        </w:r>
        <w:r w:rsidR="00197B00">
          <w:rPr>
            <w:webHidden/>
          </w:rPr>
          <w:tab/>
        </w:r>
        <w:r w:rsidR="00197B00">
          <w:rPr>
            <w:webHidden/>
          </w:rPr>
          <w:fldChar w:fldCharType="begin"/>
        </w:r>
        <w:r w:rsidR="00197B00">
          <w:rPr>
            <w:webHidden/>
          </w:rPr>
          <w:instrText xml:space="preserve"> PAGEREF _Toc39797882 \h </w:instrText>
        </w:r>
        <w:r w:rsidR="00197B00">
          <w:rPr>
            <w:webHidden/>
          </w:rPr>
        </w:r>
        <w:r w:rsidR="00197B00">
          <w:rPr>
            <w:webHidden/>
          </w:rPr>
          <w:fldChar w:fldCharType="separate"/>
        </w:r>
        <w:r w:rsidR="001F3E2E">
          <w:rPr>
            <w:webHidden/>
          </w:rPr>
          <w:t>202</w:t>
        </w:r>
        <w:r w:rsidR="00197B00">
          <w:rPr>
            <w:webHidden/>
          </w:rPr>
          <w:fldChar w:fldCharType="end"/>
        </w:r>
      </w:hyperlink>
    </w:p>
    <w:p w14:paraId="4ECFF2DD" w14:textId="77777777" w:rsidR="00197B00" w:rsidRDefault="0088072F">
      <w:pPr>
        <w:pStyle w:val="TDC3"/>
        <w:tabs>
          <w:tab w:val="left" w:pos="2552"/>
        </w:tabs>
        <w:rPr>
          <w:rFonts w:asciiTheme="minorHAnsi" w:eastAsiaTheme="minorEastAsia" w:hAnsiTheme="minorHAnsi" w:cstheme="minorBidi"/>
          <w:sz w:val="22"/>
          <w:szCs w:val="22"/>
          <w:lang w:eastAsia="es-CL"/>
        </w:rPr>
      </w:pPr>
      <w:hyperlink w:anchor="_Toc39797883" w:history="1">
        <w:r w:rsidR="00197B00" w:rsidRPr="005452F8">
          <w:rPr>
            <w:rStyle w:val="Hipervnculo"/>
          </w:rPr>
          <w:t>10.1.2</w:t>
        </w:r>
        <w:r w:rsidR="00197B00">
          <w:rPr>
            <w:rFonts w:asciiTheme="minorHAnsi" w:eastAsiaTheme="minorEastAsia" w:hAnsiTheme="minorHAnsi" w:cstheme="minorBidi"/>
            <w:sz w:val="22"/>
            <w:szCs w:val="22"/>
            <w:lang w:eastAsia="es-CL"/>
          </w:rPr>
          <w:tab/>
        </w:r>
        <w:r w:rsidR="00197B00" w:rsidRPr="005452F8">
          <w:rPr>
            <w:rStyle w:val="Hipervnculo"/>
          </w:rPr>
          <w:t>V.A.T.T. y Tipos de Obras de Transmisión</w:t>
        </w:r>
        <w:r w:rsidR="00197B00">
          <w:rPr>
            <w:webHidden/>
          </w:rPr>
          <w:tab/>
        </w:r>
        <w:r w:rsidR="00197B00">
          <w:rPr>
            <w:webHidden/>
          </w:rPr>
          <w:fldChar w:fldCharType="begin"/>
        </w:r>
        <w:r w:rsidR="00197B00">
          <w:rPr>
            <w:webHidden/>
          </w:rPr>
          <w:instrText xml:space="preserve"> PAGEREF _Toc39797883 \h </w:instrText>
        </w:r>
        <w:r w:rsidR="00197B00">
          <w:rPr>
            <w:webHidden/>
          </w:rPr>
        </w:r>
        <w:r w:rsidR="00197B00">
          <w:rPr>
            <w:webHidden/>
          </w:rPr>
          <w:fldChar w:fldCharType="separate"/>
        </w:r>
        <w:r w:rsidR="001F3E2E">
          <w:rPr>
            <w:webHidden/>
          </w:rPr>
          <w:t>202</w:t>
        </w:r>
        <w:r w:rsidR="00197B00">
          <w:rPr>
            <w:webHidden/>
          </w:rPr>
          <w:fldChar w:fldCharType="end"/>
        </w:r>
      </w:hyperlink>
    </w:p>
    <w:p w14:paraId="1AA4F5E8" w14:textId="77777777" w:rsidR="00197B00" w:rsidRDefault="0088072F">
      <w:pPr>
        <w:pStyle w:val="TDC2"/>
        <w:tabs>
          <w:tab w:val="left" w:pos="1134"/>
        </w:tabs>
        <w:rPr>
          <w:rFonts w:asciiTheme="minorHAnsi" w:eastAsiaTheme="minorEastAsia" w:hAnsiTheme="minorHAnsi" w:cstheme="minorBidi"/>
          <w:b w:val="0"/>
          <w:noProof/>
          <w:spacing w:val="0"/>
          <w:szCs w:val="22"/>
          <w:lang w:eastAsia="es-CL"/>
        </w:rPr>
      </w:pPr>
      <w:hyperlink w:anchor="_Toc39797884" w:history="1">
        <w:r w:rsidR="00197B00" w:rsidRPr="005452F8">
          <w:rPr>
            <w:rStyle w:val="Hipervnculo"/>
            <w:noProof/>
          </w:rPr>
          <w:t>10.2</w:t>
        </w:r>
        <w:r w:rsidR="00197B00">
          <w:rPr>
            <w:rFonts w:asciiTheme="minorHAnsi" w:eastAsiaTheme="minorEastAsia" w:hAnsiTheme="minorHAnsi" w:cstheme="minorBidi"/>
            <w:b w:val="0"/>
            <w:noProof/>
            <w:spacing w:val="0"/>
            <w:szCs w:val="22"/>
            <w:lang w:eastAsia="es-CL"/>
          </w:rPr>
          <w:tab/>
        </w:r>
        <w:r w:rsidR="00197B00" w:rsidRPr="005452F8">
          <w:rPr>
            <w:rStyle w:val="Hipervnculo"/>
            <w:noProof/>
          </w:rPr>
          <w:t>Disposiciones de las bases</w:t>
        </w:r>
        <w:r w:rsidR="00197B00">
          <w:rPr>
            <w:noProof/>
            <w:webHidden/>
          </w:rPr>
          <w:tab/>
        </w:r>
        <w:r w:rsidR="00197B00">
          <w:rPr>
            <w:noProof/>
            <w:webHidden/>
          </w:rPr>
          <w:fldChar w:fldCharType="begin"/>
        </w:r>
        <w:r w:rsidR="00197B00">
          <w:rPr>
            <w:noProof/>
            <w:webHidden/>
          </w:rPr>
          <w:instrText xml:space="preserve"> PAGEREF _Toc39797884 \h </w:instrText>
        </w:r>
        <w:r w:rsidR="00197B00">
          <w:rPr>
            <w:noProof/>
            <w:webHidden/>
          </w:rPr>
        </w:r>
        <w:r w:rsidR="00197B00">
          <w:rPr>
            <w:noProof/>
            <w:webHidden/>
          </w:rPr>
          <w:fldChar w:fldCharType="separate"/>
        </w:r>
        <w:r w:rsidR="001F3E2E">
          <w:rPr>
            <w:noProof/>
            <w:webHidden/>
          </w:rPr>
          <w:t>203</w:t>
        </w:r>
        <w:r w:rsidR="00197B00">
          <w:rPr>
            <w:noProof/>
            <w:webHidden/>
          </w:rPr>
          <w:fldChar w:fldCharType="end"/>
        </w:r>
      </w:hyperlink>
    </w:p>
    <w:p w14:paraId="457A9528" w14:textId="77777777" w:rsidR="00197B00" w:rsidRDefault="0088072F">
      <w:pPr>
        <w:pStyle w:val="TDC3"/>
        <w:tabs>
          <w:tab w:val="left" w:pos="2552"/>
        </w:tabs>
        <w:rPr>
          <w:rFonts w:asciiTheme="minorHAnsi" w:eastAsiaTheme="minorEastAsia" w:hAnsiTheme="minorHAnsi" w:cstheme="minorBidi"/>
          <w:sz w:val="22"/>
          <w:szCs w:val="22"/>
          <w:lang w:eastAsia="es-CL"/>
        </w:rPr>
      </w:pPr>
      <w:hyperlink w:anchor="_Toc39797885" w:history="1">
        <w:r w:rsidR="00197B00" w:rsidRPr="005452F8">
          <w:rPr>
            <w:rStyle w:val="Hipervnculo"/>
          </w:rPr>
          <w:t>10.2.1</w:t>
        </w:r>
        <w:r w:rsidR="00197B00">
          <w:rPr>
            <w:rFonts w:asciiTheme="minorHAnsi" w:eastAsiaTheme="minorEastAsia" w:hAnsiTheme="minorHAnsi" w:cstheme="minorBidi"/>
            <w:sz w:val="22"/>
            <w:szCs w:val="22"/>
            <w:lang w:eastAsia="es-CL"/>
          </w:rPr>
          <w:tab/>
        </w:r>
        <w:r w:rsidR="00197B00" w:rsidRPr="005452F8">
          <w:rPr>
            <w:rStyle w:val="Hipervnculo"/>
          </w:rPr>
          <w:t>Definición del V.A.T.T.</w:t>
        </w:r>
        <w:r w:rsidR="00197B00">
          <w:rPr>
            <w:webHidden/>
          </w:rPr>
          <w:tab/>
        </w:r>
        <w:r w:rsidR="00197B00">
          <w:rPr>
            <w:webHidden/>
          </w:rPr>
          <w:fldChar w:fldCharType="begin"/>
        </w:r>
        <w:r w:rsidR="00197B00">
          <w:rPr>
            <w:webHidden/>
          </w:rPr>
          <w:instrText xml:space="preserve"> PAGEREF _Toc39797885 \h </w:instrText>
        </w:r>
        <w:r w:rsidR="00197B00">
          <w:rPr>
            <w:webHidden/>
          </w:rPr>
        </w:r>
        <w:r w:rsidR="00197B00">
          <w:rPr>
            <w:webHidden/>
          </w:rPr>
          <w:fldChar w:fldCharType="separate"/>
        </w:r>
        <w:r w:rsidR="001F3E2E">
          <w:rPr>
            <w:webHidden/>
          </w:rPr>
          <w:t>203</w:t>
        </w:r>
        <w:r w:rsidR="00197B00">
          <w:rPr>
            <w:webHidden/>
          </w:rPr>
          <w:fldChar w:fldCharType="end"/>
        </w:r>
      </w:hyperlink>
    </w:p>
    <w:p w14:paraId="0AB8EB23" w14:textId="77777777" w:rsidR="00197B00" w:rsidRDefault="0088072F">
      <w:pPr>
        <w:pStyle w:val="TDC3"/>
        <w:tabs>
          <w:tab w:val="left" w:pos="2552"/>
        </w:tabs>
        <w:rPr>
          <w:rFonts w:asciiTheme="minorHAnsi" w:eastAsiaTheme="minorEastAsia" w:hAnsiTheme="minorHAnsi" w:cstheme="minorBidi"/>
          <w:sz w:val="22"/>
          <w:szCs w:val="22"/>
          <w:lang w:eastAsia="es-CL"/>
        </w:rPr>
      </w:pPr>
      <w:hyperlink w:anchor="_Toc39797886" w:history="1">
        <w:r w:rsidR="00197B00" w:rsidRPr="005452F8">
          <w:rPr>
            <w:rStyle w:val="Hipervnculo"/>
          </w:rPr>
          <w:t>10.2.2</w:t>
        </w:r>
        <w:r w:rsidR="00197B00">
          <w:rPr>
            <w:rFonts w:asciiTheme="minorHAnsi" w:eastAsiaTheme="minorEastAsia" w:hAnsiTheme="minorHAnsi" w:cstheme="minorBidi"/>
            <w:sz w:val="22"/>
            <w:szCs w:val="22"/>
            <w:lang w:eastAsia="es-CL"/>
          </w:rPr>
          <w:tab/>
        </w:r>
        <w:r w:rsidR="00197B00" w:rsidRPr="005452F8">
          <w:rPr>
            <w:rStyle w:val="Hipervnculo"/>
          </w:rPr>
          <w:t>Componentes del V.A.T.T.</w:t>
        </w:r>
        <w:r w:rsidR="00197B00">
          <w:rPr>
            <w:webHidden/>
          </w:rPr>
          <w:tab/>
        </w:r>
        <w:r w:rsidR="00197B00">
          <w:rPr>
            <w:webHidden/>
          </w:rPr>
          <w:fldChar w:fldCharType="begin"/>
        </w:r>
        <w:r w:rsidR="00197B00">
          <w:rPr>
            <w:webHidden/>
          </w:rPr>
          <w:instrText xml:space="preserve"> PAGEREF _Toc39797886 \h </w:instrText>
        </w:r>
        <w:r w:rsidR="00197B00">
          <w:rPr>
            <w:webHidden/>
          </w:rPr>
        </w:r>
        <w:r w:rsidR="00197B00">
          <w:rPr>
            <w:webHidden/>
          </w:rPr>
          <w:fldChar w:fldCharType="separate"/>
        </w:r>
        <w:r w:rsidR="001F3E2E">
          <w:rPr>
            <w:webHidden/>
          </w:rPr>
          <w:t>203</w:t>
        </w:r>
        <w:r w:rsidR="00197B00">
          <w:rPr>
            <w:webHidden/>
          </w:rPr>
          <w:fldChar w:fldCharType="end"/>
        </w:r>
      </w:hyperlink>
    </w:p>
    <w:p w14:paraId="73215BC1" w14:textId="77777777" w:rsidR="00197B00" w:rsidRDefault="0088072F">
      <w:pPr>
        <w:pStyle w:val="TDC3"/>
        <w:tabs>
          <w:tab w:val="left" w:pos="2552"/>
        </w:tabs>
        <w:rPr>
          <w:rFonts w:asciiTheme="minorHAnsi" w:eastAsiaTheme="minorEastAsia" w:hAnsiTheme="minorHAnsi" w:cstheme="minorBidi"/>
          <w:sz w:val="22"/>
          <w:szCs w:val="22"/>
          <w:lang w:eastAsia="es-CL"/>
        </w:rPr>
      </w:pPr>
      <w:hyperlink w:anchor="_Toc39797887" w:history="1">
        <w:r w:rsidR="00197B00" w:rsidRPr="005452F8">
          <w:rPr>
            <w:rStyle w:val="Hipervnculo"/>
          </w:rPr>
          <w:t>10.2.3</w:t>
        </w:r>
        <w:r w:rsidR="00197B00">
          <w:rPr>
            <w:rFonts w:asciiTheme="minorHAnsi" w:eastAsiaTheme="minorEastAsia" w:hAnsiTheme="minorHAnsi" w:cstheme="minorBidi"/>
            <w:sz w:val="22"/>
            <w:szCs w:val="22"/>
            <w:lang w:eastAsia="es-CL"/>
          </w:rPr>
          <w:tab/>
        </w:r>
        <w:r w:rsidR="00197B00" w:rsidRPr="005452F8">
          <w:rPr>
            <w:rStyle w:val="Hipervnculo"/>
          </w:rPr>
          <w:t>Ajuste por Efectos de Impuesto a la Renta</w:t>
        </w:r>
        <w:r w:rsidR="00197B00">
          <w:rPr>
            <w:webHidden/>
          </w:rPr>
          <w:tab/>
        </w:r>
        <w:r w:rsidR="00197B00">
          <w:rPr>
            <w:webHidden/>
          </w:rPr>
          <w:fldChar w:fldCharType="begin"/>
        </w:r>
        <w:r w:rsidR="00197B00">
          <w:rPr>
            <w:webHidden/>
          </w:rPr>
          <w:instrText xml:space="preserve"> PAGEREF _Toc39797887 \h </w:instrText>
        </w:r>
        <w:r w:rsidR="00197B00">
          <w:rPr>
            <w:webHidden/>
          </w:rPr>
        </w:r>
        <w:r w:rsidR="00197B00">
          <w:rPr>
            <w:webHidden/>
          </w:rPr>
          <w:fldChar w:fldCharType="separate"/>
        </w:r>
        <w:r w:rsidR="001F3E2E">
          <w:rPr>
            <w:webHidden/>
          </w:rPr>
          <w:t>205</w:t>
        </w:r>
        <w:r w:rsidR="00197B00">
          <w:rPr>
            <w:webHidden/>
          </w:rPr>
          <w:fldChar w:fldCharType="end"/>
        </w:r>
      </w:hyperlink>
    </w:p>
    <w:p w14:paraId="61C9E43C" w14:textId="77777777" w:rsidR="00197B00" w:rsidRDefault="0088072F">
      <w:pPr>
        <w:pStyle w:val="TDC2"/>
        <w:tabs>
          <w:tab w:val="left" w:pos="1134"/>
        </w:tabs>
        <w:rPr>
          <w:rFonts w:asciiTheme="minorHAnsi" w:eastAsiaTheme="minorEastAsia" w:hAnsiTheme="minorHAnsi" w:cstheme="minorBidi"/>
          <w:b w:val="0"/>
          <w:noProof/>
          <w:spacing w:val="0"/>
          <w:szCs w:val="22"/>
          <w:lang w:eastAsia="es-CL"/>
        </w:rPr>
      </w:pPr>
      <w:hyperlink w:anchor="_Toc39797888" w:history="1">
        <w:r w:rsidR="00197B00" w:rsidRPr="005452F8">
          <w:rPr>
            <w:rStyle w:val="Hipervnculo"/>
            <w:noProof/>
          </w:rPr>
          <w:t>10.3</w:t>
        </w:r>
        <w:r w:rsidR="00197B00">
          <w:rPr>
            <w:rFonts w:asciiTheme="minorHAnsi" w:eastAsiaTheme="minorEastAsia" w:hAnsiTheme="minorHAnsi" w:cstheme="minorBidi"/>
            <w:b w:val="0"/>
            <w:noProof/>
            <w:spacing w:val="0"/>
            <w:szCs w:val="22"/>
            <w:lang w:eastAsia="es-CL"/>
          </w:rPr>
          <w:tab/>
        </w:r>
        <w:r w:rsidR="00197B00" w:rsidRPr="005452F8">
          <w:rPr>
            <w:rStyle w:val="Hipervnculo"/>
            <w:noProof/>
          </w:rPr>
          <w:t>Tasa de Descuento</w:t>
        </w:r>
        <w:r w:rsidR="00197B00">
          <w:rPr>
            <w:noProof/>
            <w:webHidden/>
          </w:rPr>
          <w:tab/>
        </w:r>
        <w:r w:rsidR="00197B00">
          <w:rPr>
            <w:noProof/>
            <w:webHidden/>
          </w:rPr>
          <w:fldChar w:fldCharType="begin"/>
        </w:r>
        <w:r w:rsidR="00197B00">
          <w:rPr>
            <w:noProof/>
            <w:webHidden/>
          </w:rPr>
          <w:instrText xml:space="preserve"> PAGEREF _Toc39797888 \h </w:instrText>
        </w:r>
        <w:r w:rsidR="00197B00">
          <w:rPr>
            <w:noProof/>
            <w:webHidden/>
          </w:rPr>
        </w:r>
        <w:r w:rsidR="00197B00">
          <w:rPr>
            <w:noProof/>
            <w:webHidden/>
          </w:rPr>
          <w:fldChar w:fldCharType="separate"/>
        </w:r>
        <w:r w:rsidR="001F3E2E">
          <w:rPr>
            <w:noProof/>
            <w:webHidden/>
          </w:rPr>
          <w:t>206</w:t>
        </w:r>
        <w:r w:rsidR="00197B00">
          <w:rPr>
            <w:noProof/>
            <w:webHidden/>
          </w:rPr>
          <w:fldChar w:fldCharType="end"/>
        </w:r>
      </w:hyperlink>
    </w:p>
    <w:p w14:paraId="1945CC02" w14:textId="77777777" w:rsidR="00197B00" w:rsidRDefault="0088072F">
      <w:pPr>
        <w:pStyle w:val="TDC2"/>
        <w:tabs>
          <w:tab w:val="left" w:pos="1134"/>
        </w:tabs>
        <w:rPr>
          <w:rFonts w:asciiTheme="minorHAnsi" w:eastAsiaTheme="minorEastAsia" w:hAnsiTheme="minorHAnsi" w:cstheme="minorBidi"/>
          <w:b w:val="0"/>
          <w:noProof/>
          <w:spacing w:val="0"/>
          <w:szCs w:val="22"/>
          <w:lang w:eastAsia="es-CL"/>
        </w:rPr>
      </w:pPr>
      <w:hyperlink w:anchor="_Toc39797889" w:history="1">
        <w:r w:rsidR="00197B00" w:rsidRPr="005452F8">
          <w:rPr>
            <w:rStyle w:val="Hipervnculo"/>
            <w:noProof/>
          </w:rPr>
          <w:t>10.4</w:t>
        </w:r>
        <w:r w:rsidR="00197B00">
          <w:rPr>
            <w:rFonts w:asciiTheme="minorHAnsi" w:eastAsiaTheme="minorEastAsia" w:hAnsiTheme="minorHAnsi" w:cstheme="minorBidi"/>
            <w:b w:val="0"/>
            <w:noProof/>
            <w:spacing w:val="0"/>
            <w:szCs w:val="22"/>
            <w:lang w:eastAsia="es-CL"/>
          </w:rPr>
          <w:tab/>
        </w:r>
        <w:r w:rsidR="00197B00" w:rsidRPr="005452F8">
          <w:rPr>
            <w:rStyle w:val="Hipervnculo"/>
            <w:noProof/>
          </w:rPr>
          <w:t>Vida Útil de las Instalaciones y Resolución Exenta N°412</w:t>
        </w:r>
        <w:r w:rsidR="00197B00">
          <w:rPr>
            <w:noProof/>
            <w:webHidden/>
          </w:rPr>
          <w:tab/>
        </w:r>
        <w:r w:rsidR="00197B00">
          <w:rPr>
            <w:noProof/>
            <w:webHidden/>
          </w:rPr>
          <w:fldChar w:fldCharType="begin"/>
        </w:r>
        <w:r w:rsidR="00197B00">
          <w:rPr>
            <w:noProof/>
            <w:webHidden/>
          </w:rPr>
          <w:instrText xml:space="preserve"> PAGEREF _Toc39797889 \h </w:instrText>
        </w:r>
        <w:r w:rsidR="00197B00">
          <w:rPr>
            <w:noProof/>
            <w:webHidden/>
          </w:rPr>
        </w:r>
        <w:r w:rsidR="00197B00">
          <w:rPr>
            <w:noProof/>
            <w:webHidden/>
          </w:rPr>
          <w:fldChar w:fldCharType="separate"/>
        </w:r>
        <w:r w:rsidR="001F3E2E">
          <w:rPr>
            <w:noProof/>
            <w:webHidden/>
          </w:rPr>
          <w:t>207</w:t>
        </w:r>
        <w:r w:rsidR="00197B00">
          <w:rPr>
            <w:noProof/>
            <w:webHidden/>
          </w:rPr>
          <w:fldChar w:fldCharType="end"/>
        </w:r>
      </w:hyperlink>
    </w:p>
    <w:p w14:paraId="25B02605" w14:textId="77777777" w:rsidR="00197B00" w:rsidRDefault="0088072F">
      <w:pPr>
        <w:pStyle w:val="TDC2"/>
        <w:tabs>
          <w:tab w:val="left" w:pos="1134"/>
        </w:tabs>
        <w:rPr>
          <w:rFonts w:asciiTheme="minorHAnsi" w:eastAsiaTheme="minorEastAsia" w:hAnsiTheme="minorHAnsi" w:cstheme="minorBidi"/>
          <w:b w:val="0"/>
          <w:noProof/>
          <w:spacing w:val="0"/>
          <w:szCs w:val="22"/>
          <w:lang w:eastAsia="es-CL"/>
        </w:rPr>
      </w:pPr>
      <w:hyperlink w:anchor="_Toc39797890" w:history="1">
        <w:r w:rsidR="00197B00" w:rsidRPr="005452F8">
          <w:rPr>
            <w:rStyle w:val="Hipervnculo"/>
            <w:noProof/>
          </w:rPr>
          <w:t>10.5</w:t>
        </w:r>
        <w:r w:rsidR="00197B00">
          <w:rPr>
            <w:rFonts w:asciiTheme="minorHAnsi" w:eastAsiaTheme="minorEastAsia" w:hAnsiTheme="minorHAnsi" w:cstheme="minorBidi"/>
            <w:b w:val="0"/>
            <w:noProof/>
            <w:spacing w:val="0"/>
            <w:szCs w:val="22"/>
            <w:lang w:eastAsia="es-CL"/>
          </w:rPr>
          <w:tab/>
        </w:r>
        <w:r w:rsidR="00197B00" w:rsidRPr="005452F8">
          <w:rPr>
            <w:rStyle w:val="Hipervnculo"/>
            <w:noProof/>
          </w:rPr>
          <w:t>Resolución Nº 43 del Servicio de Impuestos Internos, 2002</w:t>
        </w:r>
        <w:r w:rsidR="00197B00">
          <w:rPr>
            <w:noProof/>
            <w:webHidden/>
          </w:rPr>
          <w:tab/>
        </w:r>
        <w:r w:rsidR="00197B00">
          <w:rPr>
            <w:noProof/>
            <w:webHidden/>
          </w:rPr>
          <w:fldChar w:fldCharType="begin"/>
        </w:r>
        <w:r w:rsidR="00197B00">
          <w:rPr>
            <w:noProof/>
            <w:webHidden/>
          </w:rPr>
          <w:instrText xml:space="preserve"> PAGEREF _Toc39797890 \h </w:instrText>
        </w:r>
        <w:r w:rsidR="00197B00">
          <w:rPr>
            <w:noProof/>
            <w:webHidden/>
          </w:rPr>
        </w:r>
        <w:r w:rsidR="00197B00">
          <w:rPr>
            <w:noProof/>
            <w:webHidden/>
          </w:rPr>
          <w:fldChar w:fldCharType="separate"/>
        </w:r>
        <w:r w:rsidR="001F3E2E">
          <w:rPr>
            <w:noProof/>
            <w:webHidden/>
          </w:rPr>
          <w:t>208</w:t>
        </w:r>
        <w:r w:rsidR="00197B00">
          <w:rPr>
            <w:noProof/>
            <w:webHidden/>
          </w:rPr>
          <w:fldChar w:fldCharType="end"/>
        </w:r>
      </w:hyperlink>
    </w:p>
    <w:p w14:paraId="71AF579E" w14:textId="77777777" w:rsidR="00197B00" w:rsidRDefault="0088072F">
      <w:pPr>
        <w:pStyle w:val="TDC2"/>
        <w:tabs>
          <w:tab w:val="left" w:pos="1134"/>
        </w:tabs>
        <w:rPr>
          <w:rFonts w:asciiTheme="minorHAnsi" w:eastAsiaTheme="minorEastAsia" w:hAnsiTheme="minorHAnsi" w:cstheme="minorBidi"/>
          <w:b w:val="0"/>
          <w:noProof/>
          <w:spacing w:val="0"/>
          <w:szCs w:val="22"/>
          <w:lang w:eastAsia="es-CL"/>
        </w:rPr>
      </w:pPr>
      <w:hyperlink w:anchor="_Toc39797891" w:history="1">
        <w:r w:rsidR="00197B00" w:rsidRPr="005452F8">
          <w:rPr>
            <w:rStyle w:val="Hipervnculo"/>
            <w:noProof/>
          </w:rPr>
          <w:t>10.6</w:t>
        </w:r>
        <w:r w:rsidR="00197B00">
          <w:rPr>
            <w:rFonts w:asciiTheme="minorHAnsi" w:eastAsiaTheme="minorEastAsia" w:hAnsiTheme="minorHAnsi" w:cstheme="minorBidi"/>
            <w:b w:val="0"/>
            <w:noProof/>
            <w:spacing w:val="0"/>
            <w:szCs w:val="22"/>
            <w:lang w:eastAsia="es-CL"/>
          </w:rPr>
          <w:tab/>
        </w:r>
        <w:r w:rsidR="00197B00" w:rsidRPr="005452F8">
          <w:rPr>
            <w:rStyle w:val="Hipervnculo"/>
            <w:noProof/>
          </w:rPr>
          <w:t>Homologación de Instalaciones Resolución CNE N°380 versus Resolución SII N°43</w:t>
        </w:r>
        <w:r w:rsidR="00197B00">
          <w:rPr>
            <w:noProof/>
            <w:webHidden/>
          </w:rPr>
          <w:tab/>
        </w:r>
        <w:r w:rsidR="00197B00">
          <w:rPr>
            <w:noProof/>
            <w:webHidden/>
          </w:rPr>
          <w:fldChar w:fldCharType="begin"/>
        </w:r>
        <w:r w:rsidR="00197B00">
          <w:rPr>
            <w:noProof/>
            <w:webHidden/>
          </w:rPr>
          <w:instrText xml:space="preserve"> PAGEREF _Toc39797891 \h </w:instrText>
        </w:r>
        <w:r w:rsidR="00197B00">
          <w:rPr>
            <w:noProof/>
            <w:webHidden/>
          </w:rPr>
        </w:r>
        <w:r w:rsidR="00197B00">
          <w:rPr>
            <w:noProof/>
            <w:webHidden/>
          </w:rPr>
          <w:fldChar w:fldCharType="separate"/>
        </w:r>
        <w:r w:rsidR="001F3E2E">
          <w:rPr>
            <w:noProof/>
            <w:webHidden/>
          </w:rPr>
          <w:t>211</w:t>
        </w:r>
        <w:r w:rsidR="00197B00">
          <w:rPr>
            <w:noProof/>
            <w:webHidden/>
          </w:rPr>
          <w:fldChar w:fldCharType="end"/>
        </w:r>
      </w:hyperlink>
    </w:p>
    <w:p w14:paraId="6EC14560" w14:textId="77777777" w:rsidR="00197B00" w:rsidRDefault="0088072F">
      <w:pPr>
        <w:pStyle w:val="TDC3"/>
        <w:tabs>
          <w:tab w:val="left" w:pos="2552"/>
        </w:tabs>
        <w:rPr>
          <w:rFonts w:asciiTheme="minorHAnsi" w:eastAsiaTheme="minorEastAsia" w:hAnsiTheme="minorHAnsi" w:cstheme="minorBidi"/>
          <w:sz w:val="22"/>
          <w:szCs w:val="22"/>
          <w:lang w:eastAsia="es-CL"/>
        </w:rPr>
      </w:pPr>
      <w:hyperlink w:anchor="_Toc39797892" w:history="1">
        <w:r w:rsidR="00197B00" w:rsidRPr="005452F8">
          <w:rPr>
            <w:rStyle w:val="Hipervnculo"/>
          </w:rPr>
          <w:t>10.6.1</w:t>
        </w:r>
        <w:r w:rsidR="00197B00">
          <w:rPr>
            <w:rFonts w:asciiTheme="minorHAnsi" w:eastAsiaTheme="minorEastAsia" w:hAnsiTheme="minorHAnsi" w:cstheme="minorBidi"/>
            <w:sz w:val="22"/>
            <w:szCs w:val="22"/>
            <w:lang w:eastAsia="es-CL"/>
          </w:rPr>
          <w:tab/>
        </w:r>
        <w:r w:rsidR="00197B00" w:rsidRPr="005452F8">
          <w:rPr>
            <w:rStyle w:val="Hipervnculo"/>
          </w:rPr>
          <w:t>Criterios Generales</w:t>
        </w:r>
        <w:r w:rsidR="00197B00">
          <w:rPr>
            <w:webHidden/>
          </w:rPr>
          <w:tab/>
        </w:r>
        <w:r w:rsidR="00197B00">
          <w:rPr>
            <w:webHidden/>
          </w:rPr>
          <w:fldChar w:fldCharType="begin"/>
        </w:r>
        <w:r w:rsidR="00197B00">
          <w:rPr>
            <w:webHidden/>
          </w:rPr>
          <w:instrText xml:space="preserve"> PAGEREF _Toc39797892 \h </w:instrText>
        </w:r>
        <w:r w:rsidR="00197B00">
          <w:rPr>
            <w:webHidden/>
          </w:rPr>
        </w:r>
        <w:r w:rsidR="00197B00">
          <w:rPr>
            <w:webHidden/>
          </w:rPr>
          <w:fldChar w:fldCharType="separate"/>
        </w:r>
        <w:r w:rsidR="001F3E2E">
          <w:rPr>
            <w:webHidden/>
          </w:rPr>
          <w:t>211</w:t>
        </w:r>
        <w:r w:rsidR="00197B00">
          <w:rPr>
            <w:webHidden/>
          </w:rPr>
          <w:fldChar w:fldCharType="end"/>
        </w:r>
      </w:hyperlink>
    </w:p>
    <w:p w14:paraId="078F732F" w14:textId="77777777" w:rsidR="00197B00" w:rsidRDefault="0088072F">
      <w:pPr>
        <w:pStyle w:val="TDC3"/>
        <w:tabs>
          <w:tab w:val="left" w:pos="2552"/>
        </w:tabs>
        <w:rPr>
          <w:rFonts w:asciiTheme="minorHAnsi" w:eastAsiaTheme="minorEastAsia" w:hAnsiTheme="minorHAnsi" w:cstheme="minorBidi"/>
          <w:sz w:val="22"/>
          <w:szCs w:val="22"/>
          <w:lang w:eastAsia="es-CL"/>
        </w:rPr>
      </w:pPr>
      <w:hyperlink w:anchor="_Toc39797893" w:history="1">
        <w:r w:rsidR="00197B00" w:rsidRPr="005452F8">
          <w:rPr>
            <w:rStyle w:val="Hipervnculo"/>
          </w:rPr>
          <w:t>10.6.2</w:t>
        </w:r>
        <w:r w:rsidR="00197B00">
          <w:rPr>
            <w:rFonts w:asciiTheme="minorHAnsi" w:eastAsiaTheme="minorEastAsia" w:hAnsiTheme="minorHAnsi" w:cstheme="minorBidi"/>
            <w:sz w:val="22"/>
            <w:szCs w:val="22"/>
            <w:lang w:eastAsia="es-CL"/>
          </w:rPr>
          <w:tab/>
        </w:r>
        <w:r w:rsidR="00197B00" w:rsidRPr="005452F8">
          <w:rPr>
            <w:rStyle w:val="Hipervnculo"/>
          </w:rPr>
          <w:t>Procedimiento y Resultado de la Homologación</w:t>
        </w:r>
        <w:r w:rsidR="00197B00">
          <w:rPr>
            <w:webHidden/>
          </w:rPr>
          <w:tab/>
        </w:r>
        <w:r w:rsidR="00197B00">
          <w:rPr>
            <w:webHidden/>
          </w:rPr>
          <w:fldChar w:fldCharType="begin"/>
        </w:r>
        <w:r w:rsidR="00197B00">
          <w:rPr>
            <w:webHidden/>
          </w:rPr>
          <w:instrText xml:space="preserve"> PAGEREF _Toc39797893 \h </w:instrText>
        </w:r>
        <w:r w:rsidR="00197B00">
          <w:rPr>
            <w:webHidden/>
          </w:rPr>
        </w:r>
        <w:r w:rsidR="00197B00">
          <w:rPr>
            <w:webHidden/>
          </w:rPr>
          <w:fldChar w:fldCharType="separate"/>
        </w:r>
        <w:r w:rsidR="001F3E2E">
          <w:rPr>
            <w:webHidden/>
          </w:rPr>
          <w:t>211</w:t>
        </w:r>
        <w:r w:rsidR="00197B00">
          <w:rPr>
            <w:webHidden/>
          </w:rPr>
          <w:fldChar w:fldCharType="end"/>
        </w:r>
      </w:hyperlink>
    </w:p>
    <w:p w14:paraId="25427691" w14:textId="77777777" w:rsidR="00197B00" w:rsidRDefault="0088072F">
      <w:pPr>
        <w:pStyle w:val="TDC2"/>
        <w:tabs>
          <w:tab w:val="left" w:pos="1134"/>
        </w:tabs>
        <w:rPr>
          <w:rFonts w:asciiTheme="minorHAnsi" w:eastAsiaTheme="minorEastAsia" w:hAnsiTheme="minorHAnsi" w:cstheme="minorBidi"/>
          <w:b w:val="0"/>
          <w:noProof/>
          <w:spacing w:val="0"/>
          <w:szCs w:val="22"/>
          <w:lang w:eastAsia="es-CL"/>
        </w:rPr>
      </w:pPr>
      <w:hyperlink w:anchor="_Toc39797894" w:history="1">
        <w:r w:rsidR="00197B00" w:rsidRPr="005452F8">
          <w:rPr>
            <w:rStyle w:val="Hipervnculo"/>
            <w:noProof/>
          </w:rPr>
          <w:t>10.7</w:t>
        </w:r>
        <w:r w:rsidR="00197B00">
          <w:rPr>
            <w:rFonts w:asciiTheme="minorHAnsi" w:eastAsiaTheme="minorEastAsia" w:hAnsiTheme="minorHAnsi" w:cstheme="minorBidi"/>
            <w:b w:val="0"/>
            <w:noProof/>
            <w:spacing w:val="0"/>
            <w:szCs w:val="22"/>
            <w:lang w:eastAsia="es-CL"/>
          </w:rPr>
          <w:tab/>
        </w:r>
        <w:r w:rsidR="00197B00" w:rsidRPr="005452F8">
          <w:rPr>
            <w:rStyle w:val="Hipervnculo"/>
            <w:noProof/>
          </w:rPr>
          <w:t>Tasa de Impuesto</w:t>
        </w:r>
        <w:r w:rsidR="00197B00">
          <w:rPr>
            <w:noProof/>
            <w:webHidden/>
          </w:rPr>
          <w:tab/>
        </w:r>
        <w:r w:rsidR="00197B00">
          <w:rPr>
            <w:noProof/>
            <w:webHidden/>
          </w:rPr>
          <w:fldChar w:fldCharType="begin"/>
        </w:r>
        <w:r w:rsidR="00197B00">
          <w:rPr>
            <w:noProof/>
            <w:webHidden/>
          </w:rPr>
          <w:instrText xml:space="preserve"> PAGEREF _Toc39797894 \h </w:instrText>
        </w:r>
        <w:r w:rsidR="00197B00">
          <w:rPr>
            <w:noProof/>
            <w:webHidden/>
          </w:rPr>
        </w:r>
        <w:r w:rsidR="00197B00">
          <w:rPr>
            <w:noProof/>
            <w:webHidden/>
          </w:rPr>
          <w:fldChar w:fldCharType="separate"/>
        </w:r>
        <w:r w:rsidR="001F3E2E">
          <w:rPr>
            <w:noProof/>
            <w:webHidden/>
          </w:rPr>
          <w:t>213</w:t>
        </w:r>
        <w:r w:rsidR="00197B00">
          <w:rPr>
            <w:noProof/>
            <w:webHidden/>
          </w:rPr>
          <w:fldChar w:fldCharType="end"/>
        </w:r>
      </w:hyperlink>
    </w:p>
    <w:p w14:paraId="01CB5DC4" w14:textId="77777777" w:rsidR="00197B00" w:rsidRDefault="0088072F">
      <w:pPr>
        <w:pStyle w:val="TDC2"/>
        <w:tabs>
          <w:tab w:val="left" w:pos="1134"/>
        </w:tabs>
        <w:rPr>
          <w:rFonts w:asciiTheme="minorHAnsi" w:eastAsiaTheme="minorEastAsia" w:hAnsiTheme="minorHAnsi" w:cstheme="minorBidi"/>
          <w:b w:val="0"/>
          <w:noProof/>
          <w:spacing w:val="0"/>
          <w:szCs w:val="22"/>
          <w:lang w:eastAsia="es-CL"/>
        </w:rPr>
      </w:pPr>
      <w:hyperlink w:anchor="_Toc39797895" w:history="1">
        <w:r w:rsidR="00197B00" w:rsidRPr="005452F8">
          <w:rPr>
            <w:rStyle w:val="Hipervnculo"/>
            <w:noProof/>
          </w:rPr>
          <w:t>10.8</w:t>
        </w:r>
        <w:r w:rsidR="00197B00">
          <w:rPr>
            <w:rFonts w:asciiTheme="minorHAnsi" w:eastAsiaTheme="minorEastAsia" w:hAnsiTheme="minorHAnsi" w:cstheme="minorBidi"/>
            <w:b w:val="0"/>
            <w:noProof/>
            <w:spacing w:val="0"/>
            <w:szCs w:val="22"/>
            <w:lang w:eastAsia="es-CL"/>
          </w:rPr>
          <w:tab/>
        </w:r>
        <w:r w:rsidR="00197B00" w:rsidRPr="005452F8">
          <w:rPr>
            <w:rStyle w:val="Hipervnculo"/>
            <w:noProof/>
          </w:rPr>
          <w:t>Cálculo del V.A.T.T.</w:t>
        </w:r>
        <w:r w:rsidR="00197B00">
          <w:rPr>
            <w:noProof/>
            <w:webHidden/>
          </w:rPr>
          <w:tab/>
        </w:r>
        <w:r w:rsidR="00197B00">
          <w:rPr>
            <w:noProof/>
            <w:webHidden/>
          </w:rPr>
          <w:fldChar w:fldCharType="begin"/>
        </w:r>
        <w:r w:rsidR="00197B00">
          <w:rPr>
            <w:noProof/>
            <w:webHidden/>
          </w:rPr>
          <w:instrText xml:space="preserve"> PAGEREF _Toc39797895 \h </w:instrText>
        </w:r>
        <w:r w:rsidR="00197B00">
          <w:rPr>
            <w:noProof/>
            <w:webHidden/>
          </w:rPr>
        </w:r>
        <w:r w:rsidR="00197B00">
          <w:rPr>
            <w:noProof/>
            <w:webHidden/>
          </w:rPr>
          <w:fldChar w:fldCharType="separate"/>
        </w:r>
        <w:r w:rsidR="001F3E2E">
          <w:rPr>
            <w:noProof/>
            <w:webHidden/>
          </w:rPr>
          <w:t>215</w:t>
        </w:r>
        <w:r w:rsidR="00197B00">
          <w:rPr>
            <w:noProof/>
            <w:webHidden/>
          </w:rPr>
          <w:fldChar w:fldCharType="end"/>
        </w:r>
      </w:hyperlink>
    </w:p>
    <w:p w14:paraId="71D8C772" w14:textId="77777777" w:rsidR="00197B00" w:rsidRDefault="0088072F">
      <w:pPr>
        <w:pStyle w:val="TDC1"/>
        <w:rPr>
          <w:rFonts w:asciiTheme="minorHAnsi" w:eastAsiaTheme="minorEastAsia" w:hAnsiTheme="minorHAnsi" w:cstheme="minorBidi"/>
          <w:b w:val="0"/>
          <w:caps w:val="0"/>
          <w:noProof/>
          <w:spacing w:val="0"/>
          <w:sz w:val="22"/>
          <w:szCs w:val="22"/>
          <w:lang w:eastAsia="es-CL"/>
        </w:rPr>
      </w:pPr>
      <w:hyperlink w:anchor="_Toc39797896" w:history="1">
        <w:r w:rsidR="00197B00" w:rsidRPr="005452F8">
          <w:rPr>
            <w:rStyle w:val="Hipervnculo"/>
            <w:noProof/>
          </w:rPr>
          <w:t>11.</w:t>
        </w:r>
        <w:r w:rsidR="00197B00">
          <w:rPr>
            <w:rFonts w:asciiTheme="minorHAnsi" w:eastAsiaTheme="minorEastAsia" w:hAnsiTheme="minorHAnsi" w:cstheme="minorBidi"/>
            <w:b w:val="0"/>
            <w:caps w:val="0"/>
            <w:noProof/>
            <w:spacing w:val="0"/>
            <w:sz w:val="22"/>
            <w:szCs w:val="22"/>
            <w:lang w:eastAsia="es-CL"/>
          </w:rPr>
          <w:tab/>
        </w:r>
        <w:r w:rsidR="00197B00" w:rsidRPr="005452F8">
          <w:rPr>
            <w:rStyle w:val="Hipervnculo"/>
            <w:noProof/>
          </w:rPr>
          <w:t>Fórmulas de indexación y deflactores</w:t>
        </w:r>
        <w:r w:rsidR="00197B00">
          <w:rPr>
            <w:noProof/>
            <w:webHidden/>
          </w:rPr>
          <w:tab/>
        </w:r>
        <w:r w:rsidR="00197B00">
          <w:rPr>
            <w:noProof/>
            <w:webHidden/>
          </w:rPr>
          <w:fldChar w:fldCharType="begin"/>
        </w:r>
        <w:r w:rsidR="00197B00">
          <w:rPr>
            <w:noProof/>
            <w:webHidden/>
          </w:rPr>
          <w:instrText xml:space="preserve"> PAGEREF _Toc39797896 \h </w:instrText>
        </w:r>
        <w:r w:rsidR="00197B00">
          <w:rPr>
            <w:noProof/>
            <w:webHidden/>
          </w:rPr>
        </w:r>
        <w:r w:rsidR="00197B00">
          <w:rPr>
            <w:noProof/>
            <w:webHidden/>
          </w:rPr>
          <w:fldChar w:fldCharType="separate"/>
        </w:r>
        <w:r w:rsidR="001F3E2E">
          <w:rPr>
            <w:noProof/>
            <w:webHidden/>
          </w:rPr>
          <w:t>217</w:t>
        </w:r>
        <w:r w:rsidR="00197B00">
          <w:rPr>
            <w:noProof/>
            <w:webHidden/>
          </w:rPr>
          <w:fldChar w:fldCharType="end"/>
        </w:r>
      </w:hyperlink>
    </w:p>
    <w:p w14:paraId="246856CE" w14:textId="77777777" w:rsidR="00197B00" w:rsidRDefault="0088072F">
      <w:pPr>
        <w:pStyle w:val="TDC2"/>
        <w:tabs>
          <w:tab w:val="left" w:pos="1134"/>
        </w:tabs>
        <w:rPr>
          <w:rFonts w:asciiTheme="minorHAnsi" w:eastAsiaTheme="minorEastAsia" w:hAnsiTheme="minorHAnsi" w:cstheme="minorBidi"/>
          <w:b w:val="0"/>
          <w:noProof/>
          <w:spacing w:val="0"/>
          <w:szCs w:val="22"/>
          <w:lang w:eastAsia="es-CL"/>
        </w:rPr>
      </w:pPr>
      <w:hyperlink w:anchor="_Toc39797897" w:history="1">
        <w:r w:rsidR="00197B00" w:rsidRPr="005452F8">
          <w:rPr>
            <w:rStyle w:val="Hipervnculo"/>
            <w:noProof/>
          </w:rPr>
          <w:t>11.1</w:t>
        </w:r>
        <w:r w:rsidR="00197B00">
          <w:rPr>
            <w:rFonts w:asciiTheme="minorHAnsi" w:eastAsiaTheme="minorEastAsia" w:hAnsiTheme="minorHAnsi" w:cstheme="minorBidi"/>
            <w:b w:val="0"/>
            <w:noProof/>
            <w:spacing w:val="0"/>
            <w:szCs w:val="22"/>
            <w:lang w:eastAsia="es-CL"/>
          </w:rPr>
          <w:tab/>
        </w:r>
        <w:r w:rsidR="00197B00" w:rsidRPr="005452F8">
          <w:rPr>
            <w:rStyle w:val="Hipervnculo"/>
            <w:noProof/>
          </w:rPr>
          <w:t>Fórmulas de Indexación</w:t>
        </w:r>
        <w:r w:rsidR="00197B00">
          <w:rPr>
            <w:noProof/>
            <w:webHidden/>
          </w:rPr>
          <w:tab/>
        </w:r>
        <w:r w:rsidR="00197B00">
          <w:rPr>
            <w:noProof/>
            <w:webHidden/>
          </w:rPr>
          <w:fldChar w:fldCharType="begin"/>
        </w:r>
        <w:r w:rsidR="00197B00">
          <w:rPr>
            <w:noProof/>
            <w:webHidden/>
          </w:rPr>
          <w:instrText xml:space="preserve"> PAGEREF _Toc39797897 \h </w:instrText>
        </w:r>
        <w:r w:rsidR="00197B00">
          <w:rPr>
            <w:noProof/>
            <w:webHidden/>
          </w:rPr>
        </w:r>
        <w:r w:rsidR="00197B00">
          <w:rPr>
            <w:noProof/>
            <w:webHidden/>
          </w:rPr>
          <w:fldChar w:fldCharType="separate"/>
        </w:r>
        <w:r w:rsidR="001F3E2E">
          <w:rPr>
            <w:noProof/>
            <w:webHidden/>
          </w:rPr>
          <w:t>217</w:t>
        </w:r>
        <w:r w:rsidR="00197B00">
          <w:rPr>
            <w:noProof/>
            <w:webHidden/>
          </w:rPr>
          <w:fldChar w:fldCharType="end"/>
        </w:r>
      </w:hyperlink>
    </w:p>
    <w:p w14:paraId="51D6E6F0" w14:textId="77777777" w:rsidR="00197B00" w:rsidRDefault="0088072F">
      <w:pPr>
        <w:pStyle w:val="TDC3"/>
        <w:tabs>
          <w:tab w:val="left" w:pos="2552"/>
        </w:tabs>
        <w:rPr>
          <w:rFonts w:asciiTheme="minorHAnsi" w:eastAsiaTheme="minorEastAsia" w:hAnsiTheme="minorHAnsi" w:cstheme="minorBidi"/>
          <w:sz w:val="22"/>
          <w:szCs w:val="22"/>
          <w:lang w:eastAsia="es-CL"/>
        </w:rPr>
      </w:pPr>
      <w:hyperlink w:anchor="_Toc39797898" w:history="1">
        <w:r w:rsidR="00197B00" w:rsidRPr="005452F8">
          <w:rPr>
            <w:rStyle w:val="Hipervnculo"/>
          </w:rPr>
          <w:t>11.1.1</w:t>
        </w:r>
        <w:r w:rsidR="00197B00">
          <w:rPr>
            <w:rFonts w:asciiTheme="minorHAnsi" w:eastAsiaTheme="minorEastAsia" w:hAnsiTheme="minorHAnsi" w:cstheme="minorBidi"/>
            <w:sz w:val="22"/>
            <w:szCs w:val="22"/>
            <w:lang w:eastAsia="es-CL"/>
          </w:rPr>
          <w:tab/>
        </w:r>
        <w:r w:rsidR="00197B00" w:rsidRPr="005452F8">
          <w:rPr>
            <w:rStyle w:val="Hipervnculo"/>
          </w:rPr>
          <w:t>Estructura General</w:t>
        </w:r>
        <w:r w:rsidR="00197B00">
          <w:rPr>
            <w:webHidden/>
          </w:rPr>
          <w:tab/>
        </w:r>
        <w:r w:rsidR="00197B00">
          <w:rPr>
            <w:webHidden/>
          </w:rPr>
          <w:fldChar w:fldCharType="begin"/>
        </w:r>
        <w:r w:rsidR="00197B00">
          <w:rPr>
            <w:webHidden/>
          </w:rPr>
          <w:instrText xml:space="preserve"> PAGEREF _Toc39797898 \h </w:instrText>
        </w:r>
        <w:r w:rsidR="00197B00">
          <w:rPr>
            <w:webHidden/>
          </w:rPr>
        </w:r>
        <w:r w:rsidR="00197B00">
          <w:rPr>
            <w:webHidden/>
          </w:rPr>
          <w:fldChar w:fldCharType="separate"/>
        </w:r>
        <w:r w:rsidR="001F3E2E">
          <w:rPr>
            <w:webHidden/>
          </w:rPr>
          <w:t>217</w:t>
        </w:r>
        <w:r w:rsidR="00197B00">
          <w:rPr>
            <w:webHidden/>
          </w:rPr>
          <w:fldChar w:fldCharType="end"/>
        </w:r>
      </w:hyperlink>
    </w:p>
    <w:p w14:paraId="3C6677AE" w14:textId="77777777" w:rsidR="00197B00" w:rsidRDefault="0088072F">
      <w:pPr>
        <w:pStyle w:val="TDC3"/>
        <w:tabs>
          <w:tab w:val="left" w:pos="2552"/>
        </w:tabs>
        <w:rPr>
          <w:rFonts w:asciiTheme="minorHAnsi" w:eastAsiaTheme="minorEastAsia" w:hAnsiTheme="minorHAnsi" w:cstheme="minorBidi"/>
          <w:sz w:val="22"/>
          <w:szCs w:val="22"/>
          <w:lang w:eastAsia="es-CL"/>
        </w:rPr>
      </w:pPr>
      <w:hyperlink w:anchor="_Toc39797899" w:history="1">
        <w:r w:rsidR="00197B00" w:rsidRPr="005452F8">
          <w:rPr>
            <w:rStyle w:val="Hipervnculo"/>
          </w:rPr>
          <w:t>11.1.2</w:t>
        </w:r>
        <w:r w:rsidR="00197B00">
          <w:rPr>
            <w:rFonts w:asciiTheme="minorHAnsi" w:eastAsiaTheme="minorEastAsia" w:hAnsiTheme="minorHAnsi" w:cstheme="minorBidi"/>
            <w:sz w:val="22"/>
            <w:szCs w:val="22"/>
            <w:lang w:eastAsia="es-CL"/>
          </w:rPr>
          <w:tab/>
        </w:r>
        <w:r w:rsidR="00197B00" w:rsidRPr="005452F8">
          <w:rPr>
            <w:rStyle w:val="Hipervnculo"/>
          </w:rPr>
          <w:t>Indexadores y Valores Base</w:t>
        </w:r>
        <w:r w:rsidR="00197B00">
          <w:rPr>
            <w:webHidden/>
          </w:rPr>
          <w:tab/>
        </w:r>
        <w:r w:rsidR="00197B00">
          <w:rPr>
            <w:webHidden/>
          </w:rPr>
          <w:fldChar w:fldCharType="begin"/>
        </w:r>
        <w:r w:rsidR="00197B00">
          <w:rPr>
            <w:webHidden/>
          </w:rPr>
          <w:instrText xml:space="preserve"> PAGEREF _Toc39797899 \h </w:instrText>
        </w:r>
        <w:r w:rsidR="00197B00">
          <w:rPr>
            <w:webHidden/>
          </w:rPr>
        </w:r>
        <w:r w:rsidR="00197B00">
          <w:rPr>
            <w:webHidden/>
          </w:rPr>
          <w:fldChar w:fldCharType="separate"/>
        </w:r>
        <w:r w:rsidR="001F3E2E">
          <w:rPr>
            <w:webHidden/>
          </w:rPr>
          <w:t>218</w:t>
        </w:r>
        <w:r w:rsidR="00197B00">
          <w:rPr>
            <w:webHidden/>
          </w:rPr>
          <w:fldChar w:fldCharType="end"/>
        </w:r>
      </w:hyperlink>
    </w:p>
    <w:p w14:paraId="420A16AB" w14:textId="77777777" w:rsidR="00197B00" w:rsidRDefault="0088072F">
      <w:pPr>
        <w:pStyle w:val="TDC4"/>
        <w:tabs>
          <w:tab w:val="left" w:pos="2552"/>
        </w:tabs>
        <w:rPr>
          <w:rFonts w:asciiTheme="minorHAnsi" w:eastAsiaTheme="minorEastAsia" w:hAnsiTheme="minorHAnsi" w:cstheme="minorBidi"/>
          <w:spacing w:val="0"/>
          <w:sz w:val="22"/>
          <w:szCs w:val="22"/>
          <w:lang w:val="es-CL" w:eastAsia="es-CL"/>
        </w:rPr>
      </w:pPr>
      <w:hyperlink w:anchor="_Toc39797900" w:history="1">
        <w:r w:rsidR="00197B00" w:rsidRPr="005452F8">
          <w:rPr>
            <w:rStyle w:val="Hipervnculo"/>
          </w:rPr>
          <w:t>11.1.2.1</w:t>
        </w:r>
        <w:r w:rsidR="00197B00">
          <w:rPr>
            <w:rFonts w:asciiTheme="minorHAnsi" w:eastAsiaTheme="minorEastAsia" w:hAnsiTheme="minorHAnsi" w:cstheme="minorBidi"/>
            <w:spacing w:val="0"/>
            <w:sz w:val="22"/>
            <w:szCs w:val="22"/>
            <w:lang w:val="es-CL" w:eastAsia="es-CL"/>
          </w:rPr>
          <w:tab/>
        </w:r>
        <w:r w:rsidR="00197B00" w:rsidRPr="005452F8">
          <w:rPr>
            <w:rStyle w:val="Hipervnculo"/>
          </w:rPr>
          <w:t>Tasa de Arancel (Ta)</w:t>
        </w:r>
        <w:r w:rsidR="00197B00">
          <w:rPr>
            <w:webHidden/>
          </w:rPr>
          <w:tab/>
        </w:r>
        <w:r w:rsidR="00197B00">
          <w:rPr>
            <w:webHidden/>
          </w:rPr>
          <w:fldChar w:fldCharType="begin"/>
        </w:r>
        <w:r w:rsidR="00197B00">
          <w:rPr>
            <w:webHidden/>
          </w:rPr>
          <w:instrText xml:space="preserve"> PAGEREF _Toc39797900 \h </w:instrText>
        </w:r>
        <w:r w:rsidR="00197B00">
          <w:rPr>
            <w:webHidden/>
          </w:rPr>
        </w:r>
        <w:r w:rsidR="00197B00">
          <w:rPr>
            <w:webHidden/>
          </w:rPr>
          <w:fldChar w:fldCharType="separate"/>
        </w:r>
        <w:r w:rsidR="001F3E2E">
          <w:rPr>
            <w:webHidden/>
          </w:rPr>
          <w:t>218</w:t>
        </w:r>
        <w:r w:rsidR="00197B00">
          <w:rPr>
            <w:webHidden/>
          </w:rPr>
          <w:fldChar w:fldCharType="end"/>
        </w:r>
      </w:hyperlink>
    </w:p>
    <w:p w14:paraId="18146A67" w14:textId="77777777" w:rsidR="00197B00" w:rsidRDefault="0088072F">
      <w:pPr>
        <w:pStyle w:val="TDC4"/>
        <w:tabs>
          <w:tab w:val="left" w:pos="2552"/>
        </w:tabs>
        <w:rPr>
          <w:rFonts w:asciiTheme="minorHAnsi" w:eastAsiaTheme="minorEastAsia" w:hAnsiTheme="minorHAnsi" w:cstheme="minorBidi"/>
          <w:spacing w:val="0"/>
          <w:sz w:val="22"/>
          <w:szCs w:val="22"/>
          <w:lang w:val="es-CL" w:eastAsia="es-CL"/>
        </w:rPr>
      </w:pPr>
      <w:hyperlink w:anchor="_Toc39797901" w:history="1">
        <w:r w:rsidR="00197B00" w:rsidRPr="005452F8">
          <w:rPr>
            <w:rStyle w:val="Hipervnculo"/>
          </w:rPr>
          <w:t>11.1.2.2</w:t>
        </w:r>
        <w:r w:rsidR="00197B00">
          <w:rPr>
            <w:rFonts w:asciiTheme="minorHAnsi" w:eastAsiaTheme="minorEastAsia" w:hAnsiTheme="minorHAnsi" w:cstheme="minorBidi"/>
            <w:spacing w:val="0"/>
            <w:sz w:val="22"/>
            <w:szCs w:val="22"/>
            <w:lang w:val="es-CL" w:eastAsia="es-CL"/>
          </w:rPr>
          <w:tab/>
        </w:r>
        <w:r w:rsidR="00197B00" w:rsidRPr="005452F8">
          <w:rPr>
            <w:rStyle w:val="Hipervnculo"/>
          </w:rPr>
          <w:t>Índice de Precios al Consumidor (IPC)</w:t>
        </w:r>
        <w:r w:rsidR="00197B00">
          <w:rPr>
            <w:webHidden/>
          </w:rPr>
          <w:tab/>
        </w:r>
        <w:r w:rsidR="00197B00">
          <w:rPr>
            <w:webHidden/>
          </w:rPr>
          <w:fldChar w:fldCharType="begin"/>
        </w:r>
        <w:r w:rsidR="00197B00">
          <w:rPr>
            <w:webHidden/>
          </w:rPr>
          <w:instrText xml:space="preserve"> PAGEREF _Toc39797901 \h </w:instrText>
        </w:r>
        <w:r w:rsidR="00197B00">
          <w:rPr>
            <w:webHidden/>
          </w:rPr>
        </w:r>
        <w:r w:rsidR="00197B00">
          <w:rPr>
            <w:webHidden/>
          </w:rPr>
          <w:fldChar w:fldCharType="separate"/>
        </w:r>
        <w:r w:rsidR="001F3E2E">
          <w:rPr>
            <w:webHidden/>
          </w:rPr>
          <w:t>219</w:t>
        </w:r>
        <w:r w:rsidR="00197B00">
          <w:rPr>
            <w:webHidden/>
          </w:rPr>
          <w:fldChar w:fldCharType="end"/>
        </w:r>
      </w:hyperlink>
    </w:p>
    <w:p w14:paraId="6242A172" w14:textId="77777777" w:rsidR="00197B00" w:rsidRDefault="0088072F">
      <w:pPr>
        <w:pStyle w:val="TDC4"/>
        <w:tabs>
          <w:tab w:val="left" w:pos="2552"/>
        </w:tabs>
        <w:rPr>
          <w:rFonts w:asciiTheme="minorHAnsi" w:eastAsiaTheme="minorEastAsia" w:hAnsiTheme="minorHAnsi" w:cstheme="minorBidi"/>
          <w:spacing w:val="0"/>
          <w:sz w:val="22"/>
          <w:szCs w:val="22"/>
          <w:lang w:val="es-CL" w:eastAsia="es-CL"/>
        </w:rPr>
      </w:pPr>
      <w:hyperlink w:anchor="_Toc39797902" w:history="1">
        <w:r w:rsidR="00197B00" w:rsidRPr="005452F8">
          <w:rPr>
            <w:rStyle w:val="Hipervnculo"/>
          </w:rPr>
          <w:t>11.1.2.3</w:t>
        </w:r>
        <w:r w:rsidR="00197B00">
          <w:rPr>
            <w:rFonts w:asciiTheme="minorHAnsi" w:eastAsiaTheme="minorEastAsia" w:hAnsiTheme="minorHAnsi" w:cstheme="minorBidi"/>
            <w:spacing w:val="0"/>
            <w:sz w:val="22"/>
            <w:szCs w:val="22"/>
            <w:lang w:val="es-CL" w:eastAsia="es-CL"/>
          </w:rPr>
          <w:tab/>
        </w:r>
        <w:r w:rsidR="00197B00" w:rsidRPr="005452F8">
          <w:rPr>
            <w:rStyle w:val="Hipervnculo"/>
          </w:rPr>
          <w:t>Consumer Price Index (CPI)</w:t>
        </w:r>
        <w:r w:rsidR="00197B00">
          <w:rPr>
            <w:webHidden/>
          </w:rPr>
          <w:tab/>
        </w:r>
        <w:r w:rsidR="00197B00">
          <w:rPr>
            <w:webHidden/>
          </w:rPr>
          <w:fldChar w:fldCharType="begin"/>
        </w:r>
        <w:r w:rsidR="00197B00">
          <w:rPr>
            <w:webHidden/>
          </w:rPr>
          <w:instrText xml:space="preserve"> PAGEREF _Toc39797902 \h </w:instrText>
        </w:r>
        <w:r w:rsidR="00197B00">
          <w:rPr>
            <w:webHidden/>
          </w:rPr>
        </w:r>
        <w:r w:rsidR="00197B00">
          <w:rPr>
            <w:webHidden/>
          </w:rPr>
          <w:fldChar w:fldCharType="separate"/>
        </w:r>
        <w:r w:rsidR="001F3E2E">
          <w:rPr>
            <w:webHidden/>
          </w:rPr>
          <w:t>219</w:t>
        </w:r>
        <w:r w:rsidR="00197B00">
          <w:rPr>
            <w:webHidden/>
          </w:rPr>
          <w:fldChar w:fldCharType="end"/>
        </w:r>
      </w:hyperlink>
    </w:p>
    <w:p w14:paraId="31387CD0" w14:textId="77777777" w:rsidR="00197B00" w:rsidRDefault="0088072F">
      <w:pPr>
        <w:pStyle w:val="TDC4"/>
        <w:tabs>
          <w:tab w:val="left" w:pos="2552"/>
        </w:tabs>
        <w:rPr>
          <w:rFonts w:asciiTheme="minorHAnsi" w:eastAsiaTheme="minorEastAsia" w:hAnsiTheme="minorHAnsi" w:cstheme="minorBidi"/>
          <w:spacing w:val="0"/>
          <w:sz w:val="22"/>
          <w:szCs w:val="22"/>
          <w:lang w:val="es-CL" w:eastAsia="es-CL"/>
        </w:rPr>
      </w:pPr>
      <w:hyperlink w:anchor="_Toc39797903" w:history="1">
        <w:r w:rsidR="00197B00" w:rsidRPr="005452F8">
          <w:rPr>
            <w:rStyle w:val="Hipervnculo"/>
          </w:rPr>
          <w:t>11.1.2.4</w:t>
        </w:r>
        <w:r w:rsidR="00197B00">
          <w:rPr>
            <w:rFonts w:asciiTheme="minorHAnsi" w:eastAsiaTheme="minorEastAsia" w:hAnsiTheme="minorHAnsi" w:cstheme="minorBidi"/>
            <w:spacing w:val="0"/>
            <w:sz w:val="22"/>
            <w:szCs w:val="22"/>
            <w:lang w:val="es-CL" w:eastAsia="es-CL"/>
          </w:rPr>
          <w:tab/>
        </w:r>
        <w:r w:rsidR="00197B00" w:rsidRPr="005452F8">
          <w:rPr>
            <w:rStyle w:val="Hipervnculo"/>
          </w:rPr>
          <w:t>Tipo de Cambio (D)</w:t>
        </w:r>
        <w:r w:rsidR="00197B00">
          <w:rPr>
            <w:webHidden/>
          </w:rPr>
          <w:tab/>
        </w:r>
        <w:r w:rsidR="00197B00">
          <w:rPr>
            <w:webHidden/>
          </w:rPr>
          <w:fldChar w:fldCharType="begin"/>
        </w:r>
        <w:r w:rsidR="00197B00">
          <w:rPr>
            <w:webHidden/>
          </w:rPr>
          <w:instrText xml:space="preserve"> PAGEREF _Toc39797903 \h </w:instrText>
        </w:r>
        <w:r w:rsidR="00197B00">
          <w:rPr>
            <w:webHidden/>
          </w:rPr>
        </w:r>
        <w:r w:rsidR="00197B00">
          <w:rPr>
            <w:webHidden/>
          </w:rPr>
          <w:fldChar w:fldCharType="separate"/>
        </w:r>
        <w:r w:rsidR="001F3E2E">
          <w:rPr>
            <w:webHidden/>
          </w:rPr>
          <w:t>220</w:t>
        </w:r>
        <w:r w:rsidR="00197B00">
          <w:rPr>
            <w:webHidden/>
          </w:rPr>
          <w:fldChar w:fldCharType="end"/>
        </w:r>
      </w:hyperlink>
    </w:p>
    <w:p w14:paraId="5F190EB4" w14:textId="77777777" w:rsidR="00197B00" w:rsidRDefault="0088072F">
      <w:pPr>
        <w:pStyle w:val="TDC4"/>
        <w:tabs>
          <w:tab w:val="left" w:pos="2552"/>
        </w:tabs>
        <w:rPr>
          <w:rFonts w:asciiTheme="minorHAnsi" w:eastAsiaTheme="minorEastAsia" w:hAnsiTheme="minorHAnsi" w:cstheme="minorBidi"/>
          <w:spacing w:val="0"/>
          <w:sz w:val="22"/>
          <w:szCs w:val="22"/>
          <w:lang w:val="es-CL" w:eastAsia="es-CL"/>
        </w:rPr>
      </w:pPr>
      <w:hyperlink w:anchor="_Toc39797904" w:history="1">
        <w:r w:rsidR="00197B00" w:rsidRPr="005452F8">
          <w:rPr>
            <w:rStyle w:val="Hipervnculo"/>
          </w:rPr>
          <w:t>11.1.2.5</w:t>
        </w:r>
        <w:r w:rsidR="00197B00">
          <w:rPr>
            <w:rFonts w:asciiTheme="minorHAnsi" w:eastAsiaTheme="minorEastAsia" w:hAnsiTheme="minorHAnsi" w:cstheme="minorBidi"/>
            <w:spacing w:val="0"/>
            <w:sz w:val="22"/>
            <w:szCs w:val="22"/>
            <w:lang w:val="es-CL" w:eastAsia="es-CL"/>
          </w:rPr>
          <w:tab/>
        </w:r>
        <w:r w:rsidR="00197B00" w:rsidRPr="005452F8">
          <w:rPr>
            <w:rStyle w:val="Hipervnculo"/>
          </w:rPr>
          <w:t>Tasa de impuestos a las utilidades (t)</w:t>
        </w:r>
        <w:r w:rsidR="00197B00">
          <w:rPr>
            <w:webHidden/>
          </w:rPr>
          <w:tab/>
        </w:r>
        <w:r w:rsidR="00197B00">
          <w:rPr>
            <w:webHidden/>
          </w:rPr>
          <w:fldChar w:fldCharType="begin"/>
        </w:r>
        <w:r w:rsidR="00197B00">
          <w:rPr>
            <w:webHidden/>
          </w:rPr>
          <w:instrText xml:space="preserve"> PAGEREF _Toc39797904 \h </w:instrText>
        </w:r>
        <w:r w:rsidR="00197B00">
          <w:rPr>
            <w:webHidden/>
          </w:rPr>
        </w:r>
        <w:r w:rsidR="00197B00">
          <w:rPr>
            <w:webHidden/>
          </w:rPr>
          <w:fldChar w:fldCharType="separate"/>
        </w:r>
        <w:r w:rsidR="001F3E2E">
          <w:rPr>
            <w:webHidden/>
          </w:rPr>
          <w:t>220</w:t>
        </w:r>
        <w:r w:rsidR="00197B00">
          <w:rPr>
            <w:webHidden/>
          </w:rPr>
          <w:fldChar w:fldCharType="end"/>
        </w:r>
      </w:hyperlink>
    </w:p>
    <w:p w14:paraId="5F55F2BE" w14:textId="77777777" w:rsidR="00197B00" w:rsidRDefault="0088072F">
      <w:pPr>
        <w:pStyle w:val="TDC3"/>
        <w:tabs>
          <w:tab w:val="left" w:pos="2552"/>
        </w:tabs>
        <w:rPr>
          <w:rFonts w:asciiTheme="minorHAnsi" w:eastAsiaTheme="minorEastAsia" w:hAnsiTheme="minorHAnsi" w:cstheme="minorBidi"/>
          <w:sz w:val="22"/>
          <w:szCs w:val="22"/>
          <w:lang w:eastAsia="es-CL"/>
        </w:rPr>
      </w:pPr>
      <w:hyperlink w:anchor="_Toc39797905" w:history="1">
        <w:r w:rsidR="00197B00" w:rsidRPr="005452F8">
          <w:rPr>
            <w:rStyle w:val="Hipervnculo"/>
          </w:rPr>
          <w:t>11.1.3</w:t>
        </w:r>
        <w:r w:rsidR="00197B00">
          <w:rPr>
            <w:rFonts w:asciiTheme="minorHAnsi" w:eastAsiaTheme="minorEastAsia" w:hAnsiTheme="minorHAnsi" w:cstheme="minorBidi"/>
            <w:sz w:val="22"/>
            <w:szCs w:val="22"/>
            <w:lang w:eastAsia="es-CL"/>
          </w:rPr>
          <w:tab/>
        </w:r>
        <w:r w:rsidR="00197B00" w:rsidRPr="005452F8">
          <w:rPr>
            <w:rStyle w:val="Hipervnculo"/>
          </w:rPr>
          <w:t>Determinación de coeficientes de la fórmula de indexación</w:t>
        </w:r>
        <w:r w:rsidR="00197B00">
          <w:rPr>
            <w:webHidden/>
          </w:rPr>
          <w:tab/>
        </w:r>
        <w:r w:rsidR="00197B00">
          <w:rPr>
            <w:webHidden/>
          </w:rPr>
          <w:fldChar w:fldCharType="begin"/>
        </w:r>
        <w:r w:rsidR="00197B00">
          <w:rPr>
            <w:webHidden/>
          </w:rPr>
          <w:instrText xml:space="preserve"> PAGEREF _Toc39797905 \h </w:instrText>
        </w:r>
        <w:r w:rsidR="00197B00">
          <w:rPr>
            <w:webHidden/>
          </w:rPr>
        </w:r>
        <w:r w:rsidR="00197B00">
          <w:rPr>
            <w:webHidden/>
          </w:rPr>
          <w:fldChar w:fldCharType="separate"/>
        </w:r>
        <w:r w:rsidR="001F3E2E">
          <w:rPr>
            <w:webHidden/>
          </w:rPr>
          <w:t>221</w:t>
        </w:r>
        <w:r w:rsidR="00197B00">
          <w:rPr>
            <w:webHidden/>
          </w:rPr>
          <w:fldChar w:fldCharType="end"/>
        </w:r>
      </w:hyperlink>
    </w:p>
    <w:p w14:paraId="7F4E5DAD" w14:textId="77777777" w:rsidR="00197B00" w:rsidRDefault="0088072F">
      <w:pPr>
        <w:pStyle w:val="TDC2"/>
        <w:tabs>
          <w:tab w:val="left" w:pos="1134"/>
        </w:tabs>
        <w:rPr>
          <w:rFonts w:asciiTheme="minorHAnsi" w:eastAsiaTheme="minorEastAsia" w:hAnsiTheme="minorHAnsi" w:cstheme="minorBidi"/>
          <w:b w:val="0"/>
          <w:noProof/>
          <w:spacing w:val="0"/>
          <w:szCs w:val="22"/>
          <w:lang w:eastAsia="es-CL"/>
        </w:rPr>
      </w:pPr>
      <w:hyperlink w:anchor="_Toc39797906" w:history="1">
        <w:r w:rsidR="00197B00" w:rsidRPr="005452F8">
          <w:rPr>
            <w:rStyle w:val="Hipervnculo"/>
            <w:noProof/>
          </w:rPr>
          <w:t>11.2</w:t>
        </w:r>
        <w:r w:rsidR="00197B00">
          <w:rPr>
            <w:rFonts w:asciiTheme="minorHAnsi" w:eastAsiaTheme="minorEastAsia" w:hAnsiTheme="minorHAnsi" w:cstheme="minorBidi"/>
            <w:b w:val="0"/>
            <w:noProof/>
            <w:spacing w:val="0"/>
            <w:szCs w:val="22"/>
            <w:lang w:eastAsia="es-CL"/>
          </w:rPr>
          <w:tab/>
        </w:r>
        <w:r w:rsidR="00197B00" w:rsidRPr="005452F8">
          <w:rPr>
            <w:rStyle w:val="Hipervnculo"/>
            <w:noProof/>
          </w:rPr>
          <w:t>Referenciación de Precios a diciembre de 2017. Deflactores</w:t>
        </w:r>
        <w:r w:rsidR="00197B00">
          <w:rPr>
            <w:noProof/>
            <w:webHidden/>
          </w:rPr>
          <w:tab/>
        </w:r>
        <w:r w:rsidR="00197B00">
          <w:rPr>
            <w:noProof/>
            <w:webHidden/>
          </w:rPr>
          <w:fldChar w:fldCharType="begin"/>
        </w:r>
        <w:r w:rsidR="00197B00">
          <w:rPr>
            <w:noProof/>
            <w:webHidden/>
          </w:rPr>
          <w:instrText xml:space="preserve"> PAGEREF _Toc39797906 \h </w:instrText>
        </w:r>
        <w:r w:rsidR="00197B00">
          <w:rPr>
            <w:noProof/>
            <w:webHidden/>
          </w:rPr>
        </w:r>
        <w:r w:rsidR="00197B00">
          <w:rPr>
            <w:noProof/>
            <w:webHidden/>
          </w:rPr>
          <w:fldChar w:fldCharType="separate"/>
        </w:r>
        <w:r w:rsidR="001F3E2E">
          <w:rPr>
            <w:noProof/>
            <w:webHidden/>
          </w:rPr>
          <w:t>221</w:t>
        </w:r>
        <w:r w:rsidR="00197B00">
          <w:rPr>
            <w:noProof/>
            <w:webHidden/>
          </w:rPr>
          <w:fldChar w:fldCharType="end"/>
        </w:r>
      </w:hyperlink>
    </w:p>
    <w:p w14:paraId="7C6CC34F" w14:textId="77777777" w:rsidR="00197B00" w:rsidRDefault="0088072F">
      <w:pPr>
        <w:pStyle w:val="TDC3"/>
        <w:tabs>
          <w:tab w:val="left" w:pos="2552"/>
        </w:tabs>
        <w:rPr>
          <w:rFonts w:asciiTheme="minorHAnsi" w:eastAsiaTheme="minorEastAsia" w:hAnsiTheme="minorHAnsi" w:cstheme="minorBidi"/>
          <w:sz w:val="22"/>
          <w:szCs w:val="22"/>
          <w:lang w:eastAsia="es-CL"/>
        </w:rPr>
      </w:pPr>
      <w:hyperlink w:anchor="_Toc39797907" w:history="1">
        <w:r w:rsidR="00197B00" w:rsidRPr="005452F8">
          <w:rPr>
            <w:rStyle w:val="Hipervnculo"/>
          </w:rPr>
          <w:t>11.2.1</w:t>
        </w:r>
        <w:r w:rsidR="00197B00">
          <w:rPr>
            <w:rFonts w:asciiTheme="minorHAnsi" w:eastAsiaTheme="minorEastAsia" w:hAnsiTheme="minorHAnsi" w:cstheme="minorBidi"/>
            <w:sz w:val="22"/>
            <w:szCs w:val="22"/>
            <w:lang w:eastAsia="es-CL"/>
          </w:rPr>
          <w:tab/>
        </w:r>
        <w:r w:rsidR="00197B00" w:rsidRPr="005452F8">
          <w:rPr>
            <w:rStyle w:val="Hipervnculo"/>
          </w:rPr>
          <w:t>Consideraciones Previas</w:t>
        </w:r>
        <w:r w:rsidR="00197B00">
          <w:rPr>
            <w:webHidden/>
          </w:rPr>
          <w:tab/>
        </w:r>
        <w:r w:rsidR="00197B00">
          <w:rPr>
            <w:webHidden/>
          </w:rPr>
          <w:fldChar w:fldCharType="begin"/>
        </w:r>
        <w:r w:rsidR="00197B00">
          <w:rPr>
            <w:webHidden/>
          </w:rPr>
          <w:instrText xml:space="preserve"> PAGEREF _Toc39797907 \h </w:instrText>
        </w:r>
        <w:r w:rsidR="00197B00">
          <w:rPr>
            <w:webHidden/>
          </w:rPr>
        </w:r>
        <w:r w:rsidR="00197B00">
          <w:rPr>
            <w:webHidden/>
          </w:rPr>
          <w:fldChar w:fldCharType="separate"/>
        </w:r>
        <w:r w:rsidR="001F3E2E">
          <w:rPr>
            <w:webHidden/>
          </w:rPr>
          <w:t>221</w:t>
        </w:r>
        <w:r w:rsidR="00197B00">
          <w:rPr>
            <w:webHidden/>
          </w:rPr>
          <w:fldChar w:fldCharType="end"/>
        </w:r>
      </w:hyperlink>
    </w:p>
    <w:p w14:paraId="738DAB80" w14:textId="77777777" w:rsidR="00197B00" w:rsidRDefault="0088072F">
      <w:pPr>
        <w:pStyle w:val="TDC3"/>
        <w:tabs>
          <w:tab w:val="left" w:pos="2552"/>
        </w:tabs>
        <w:rPr>
          <w:rFonts w:asciiTheme="minorHAnsi" w:eastAsiaTheme="minorEastAsia" w:hAnsiTheme="minorHAnsi" w:cstheme="minorBidi"/>
          <w:sz w:val="22"/>
          <w:szCs w:val="22"/>
          <w:lang w:eastAsia="es-CL"/>
        </w:rPr>
      </w:pPr>
      <w:hyperlink w:anchor="_Toc39797908" w:history="1">
        <w:r w:rsidR="00197B00" w:rsidRPr="005452F8">
          <w:rPr>
            <w:rStyle w:val="Hipervnculo"/>
          </w:rPr>
          <w:t>11.2.2</w:t>
        </w:r>
        <w:r w:rsidR="00197B00">
          <w:rPr>
            <w:rFonts w:asciiTheme="minorHAnsi" w:eastAsiaTheme="minorEastAsia" w:hAnsiTheme="minorHAnsi" w:cstheme="minorBidi"/>
            <w:sz w:val="22"/>
            <w:szCs w:val="22"/>
            <w:lang w:eastAsia="es-CL"/>
          </w:rPr>
          <w:tab/>
        </w:r>
        <w:r w:rsidR="00197B00" w:rsidRPr="005452F8">
          <w:rPr>
            <w:rStyle w:val="Hipervnculo"/>
          </w:rPr>
          <w:t>Deflactores</w:t>
        </w:r>
        <w:r w:rsidR="00197B00">
          <w:rPr>
            <w:webHidden/>
          </w:rPr>
          <w:tab/>
        </w:r>
        <w:r w:rsidR="00197B00">
          <w:rPr>
            <w:webHidden/>
          </w:rPr>
          <w:fldChar w:fldCharType="begin"/>
        </w:r>
        <w:r w:rsidR="00197B00">
          <w:rPr>
            <w:webHidden/>
          </w:rPr>
          <w:instrText xml:space="preserve"> PAGEREF _Toc39797908 \h </w:instrText>
        </w:r>
        <w:r w:rsidR="00197B00">
          <w:rPr>
            <w:webHidden/>
          </w:rPr>
        </w:r>
        <w:r w:rsidR="00197B00">
          <w:rPr>
            <w:webHidden/>
          </w:rPr>
          <w:fldChar w:fldCharType="separate"/>
        </w:r>
        <w:r w:rsidR="001F3E2E">
          <w:rPr>
            <w:webHidden/>
          </w:rPr>
          <w:t>223</w:t>
        </w:r>
        <w:r w:rsidR="00197B00">
          <w:rPr>
            <w:webHidden/>
          </w:rPr>
          <w:fldChar w:fldCharType="end"/>
        </w:r>
      </w:hyperlink>
    </w:p>
    <w:p w14:paraId="1CF94CCE" w14:textId="77777777" w:rsidR="00197B00" w:rsidRDefault="0088072F">
      <w:pPr>
        <w:pStyle w:val="TDC1"/>
        <w:rPr>
          <w:rFonts w:asciiTheme="minorHAnsi" w:eastAsiaTheme="minorEastAsia" w:hAnsiTheme="minorHAnsi" w:cstheme="minorBidi"/>
          <w:b w:val="0"/>
          <w:caps w:val="0"/>
          <w:noProof/>
          <w:spacing w:val="0"/>
          <w:sz w:val="22"/>
          <w:szCs w:val="22"/>
          <w:lang w:eastAsia="es-CL"/>
        </w:rPr>
      </w:pPr>
      <w:hyperlink w:anchor="_Toc39797909" w:history="1">
        <w:r w:rsidR="00197B00" w:rsidRPr="005452F8">
          <w:rPr>
            <w:rStyle w:val="Hipervnculo"/>
            <w:noProof/>
          </w:rPr>
          <w:t>12.</w:t>
        </w:r>
        <w:r w:rsidR="00197B00">
          <w:rPr>
            <w:rFonts w:asciiTheme="minorHAnsi" w:eastAsiaTheme="minorEastAsia" w:hAnsiTheme="minorHAnsi" w:cstheme="minorBidi"/>
            <w:b w:val="0"/>
            <w:caps w:val="0"/>
            <w:noProof/>
            <w:spacing w:val="0"/>
            <w:sz w:val="22"/>
            <w:szCs w:val="22"/>
            <w:lang w:eastAsia="es-CL"/>
          </w:rPr>
          <w:tab/>
        </w:r>
        <w:r w:rsidR="00197B00" w:rsidRPr="005452F8">
          <w:rPr>
            <w:rStyle w:val="Hipervnculo"/>
            <w:noProof/>
          </w:rPr>
          <w:t>Resultados del estudio</w:t>
        </w:r>
        <w:r w:rsidR="00197B00">
          <w:rPr>
            <w:noProof/>
            <w:webHidden/>
          </w:rPr>
          <w:tab/>
        </w:r>
        <w:r w:rsidR="00197B00">
          <w:rPr>
            <w:noProof/>
            <w:webHidden/>
          </w:rPr>
          <w:fldChar w:fldCharType="begin"/>
        </w:r>
        <w:r w:rsidR="00197B00">
          <w:rPr>
            <w:noProof/>
            <w:webHidden/>
          </w:rPr>
          <w:instrText xml:space="preserve"> PAGEREF _Toc39797909 \h </w:instrText>
        </w:r>
        <w:r w:rsidR="00197B00">
          <w:rPr>
            <w:noProof/>
            <w:webHidden/>
          </w:rPr>
        </w:r>
        <w:r w:rsidR="00197B00">
          <w:rPr>
            <w:noProof/>
            <w:webHidden/>
          </w:rPr>
          <w:fldChar w:fldCharType="separate"/>
        </w:r>
        <w:r w:rsidR="001F3E2E">
          <w:rPr>
            <w:noProof/>
            <w:webHidden/>
          </w:rPr>
          <w:t>224</w:t>
        </w:r>
        <w:r w:rsidR="00197B00">
          <w:rPr>
            <w:noProof/>
            <w:webHidden/>
          </w:rPr>
          <w:fldChar w:fldCharType="end"/>
        </w:r>
      </w:hyperlink>
    </w:p>
    <w:p w14:paraId="230445B1" w14:textId="77777777" w:rsidR="00197B00" w:rsidRDefault="0088072F">
      <w:pPr>
        <w:pStyle w:val="TDC1"/>
        <w:rPr>
          <w:rFonts w:asciiTheme="minorHAnsi" w:eastAsiaTheme="minorEastAsia" w:hAnsiTheme="minorHAnsi" w:cstheme="minorBidi"/>
          <w:b w:val="0"/>
          <w:caps w:val="0"/>
          <w:noProof/>
          <w:spacing w:val="0"/>
          <w:sz w:val="22"/>
          <w:szCs w:val="22"/>
          <w:lang w:eastAsia="es-CL"/>
        </w:rPr>
      </w:pPr>
      <w:hyperlink w:anchor="_Toc39797910" w:history="1">
        <w:r w:rsidR="00197B00" w:rsidRPr="005452F8">
          <w:rPr>
            <w:rStyle w:val="Hipervnculo"/>
            <w:noProof/>
          </w:rPr>
          <w:t>13.</w:t>
        </w:r>
        <w:r w:rsidR="00197B00">
          <w:rPr>
            <w:rFonts w:asciiTheme="minorHAnsi" w:eastAsiaTheme="minorEastAsia" w:hAnsiTheme="minorHAnsi" w:cstheme="minorBidi"/>
            <w:b w:val="0"/>
            <w:caps w:val="0"/>
            <w:noProof/>
            <w:spacing w:val="0"/>
            <w:sz w:val="22"/>
            <w:szCs w:val="22"/>
            <w:lang w:eastAsia="es-CL"/>
          </w:rPr>
          <w:tab/>
        </w:r>
        <w:r w:rsidR="00197B00" w:rsidRPr="005452F8">
          <w:rPr>
            <w:rStyle w:val="Hipervnculo"/>
            <w:noProof/>
          </w:rPr>
          <w:t>Anexos</w:t>
        </w:r>
        <w:r w:rsidR="00197B00">
          <w:rPr>
            <w:noProof/>
            <w:webHidden/>
          </w:rPr>
          <w:tab/>
        </w:r>
        <w:r w:rsidR="00197B00">
          <w:rPr>
            <w:noProof/>
            <w:webHidden/>
          </w:rPr>
          <w:fldChar w:fldCharType="begin"/>
        </w:r>
        <w:r w:rsidR="00197B00">
          <w:rPr>
            <w:noProof/>
            <w:webHidden/>
          </w:rPr>
          <w:instrText xml:space="preserve"> PAGEREF _Toc39797910 \h </w:instrText>
        </w:r>
        <w:r w:rsidR="00197B00">
          <w:rPr>
            <w:noProof/>
            <w:webHidden/>
          </w:rPr>
        </w:r>
        <w:r w:rsidR="00197B00">
          <w:rPr>
            <w:noProof/>
            <w:webHidden/>
          </w:rPr>
          <w:fldChar w:fldCharType="separate"/>
        </w:r>
        <w:r w:rsidR="001F3E2E">
          <w:rPr>
            <w:noProof/>
            <w:webHidden/>
          </w:rPr>
          <w:t>237</w:t>
        </w:r>
        <w:r w:rsidR="00197B00">
          <w:rPr>
            <w:noProof/>
            <w:webHidden/>
          </w:rPr>
          <w:fldChar w:fldCharType="end"/>
        </w:r>
      </w:hyperlink>
    </w:p>
    <w:p w14:paraId="4A5482D9" w14:textId="2CC8A572" w:rsidR="00B865EB" w:rsidRDefault="00EA1674" w:rsidP="00230F1D">
      <w:r>
        <w:fldChar w:fldCharType="end"/>
      </w:r>
    </w:p>
    <w:p w14:paraId="23F0508C" w14:textId="77777777" w:rsidR="00B865EB" w:rsidRDefault="00B865EB">
      <w:pPr>
        <w:spacing w:after="0" w:line="240" w:lineRule="auto"/>
        <w:jc w:val="left"/>
      </w:pPr>
      <w:r>
        <w:br w:type="page"/>
      </w:r>
    </w:p>
    <w:p w14:paraId="4E24994F" w14:textId="1AAACF47" w:rsidR="00230F1D" w:rsidRPr="00B865EB" w:rsidRDefault="00B865EB" w:rsidP="00230F1D">
      <w:pPr>
        <w:rPr>
          <w:sz w:val="32"/>
          <w:szCs w:val="32"/>
        </w:rPr>
      </w:pPr>
      <w:r w:rsidRPr="00B865EB">
        <w:rPr>
          <w:b/>
          <w:bCs/>
          <w:color w:val="4472C4"/>
          <w:sz w:val="32"/>
          <w:szCs w:val="32"/>
        </w:rPr>
        <w:lastRenderedPageBreak/>
        <w:t>ÍNDICE DE TABLAS</w:t>
      </w:r>
    </w:p>
    <w:p w14:paraId="58490FF0" w14:textId="77777777" w:rsidR="00197B00" w:rsidRDefault="00B865EB">
      <w:pPr>
        <w:pStyle w:val="Tabladeilustraciones"/>
        <w:tabs>
          <w:tab w:val="right" w:leader="dot" w:pos="9680"/>
        </w:tabs>
        <w:rPr>
          <w:rFonts w:asciiTheme="minorHAnsi" w:eastAsiaTheme="minorEastAsia" w:hAnsiTheme="minorHAnsi" w:cstheme="minorBidi"/>
          <w:noProof/>
          <w:szCs w:val="22"/>
          <w:lang w:eastAsia="es-CL"/>
        </w:rPr>
      </w:pPr>
      <w:r w:rsidRPr="00640F44">
        <w:rPr>
          <w:rFonts w:cs="Calibri"/>
          <w:szCs w:val="22"/>
        </w:rPr>
        <w:fldChar w:fldCharType="begin"/>
      </w:r>
      <w:r w:rsidRPr="00640F44">
        <w:rPr>
          <w:rFonts w:cs="Calibri"/>
          <w:szCs w:val="22"/>
        </w:rPr>
        <w:instrText xml:space="preserve"> TOC \h \z \c "Tabla" </w:instrText>
      </w:r>
      <w:r w:rsidRPr="00640F44">
        <w:rPr>
          <w:rFonts w:cs="Calibri"/>
          <w:szCs w:val="22"/>
        </w:rPr>
        <w:fldChar w:fldCharType="separate"/>
      </w:r>
      <w:hyperlink w:anchor="_Toc39797911" w:history="1">
        <w:r w:rsidR="00197B00" w:rsidRPr="00616B68">
          <w:rPr>
            <w:rStyle w:val="Hipervnculo"/>
            <w:noProof/>
          </w:rPr>
          <w:t>Tabla 1: Tramos de transporte que no existen en la base de datos</w:t>
        </w:r>
        <w:r w:rsidR="00197B00">
          <w:rPr>
            <w:noProof/>
            <w:webHidden/>
          </w:rPr>
          <w:tab/>
        </w:r>
        <w:r w:rsidR="00197B00">
          <w:rPr>
            <w:noProof/>
            <w:webHidden/>
          </w:rPr>
          <w:fldChar w:fldCharType="begin"/>
        </w:r>
        <w:r w:rsidR="00197B00">
          <w:rPr>
            <w:noProof/>
            <w:webHidden/>
          </w:rPr>
          <w:instrText xml:space="preserve"> PAGEREF _Toc39797911 \h </w:instrText>
        </w:r>
        <w:r w:rsidR="00197B00">
          <w:rPr>
            <w:noProof/>
            <w:webHidden/>
          </w:rPr>
        </w:r>
        <w:r w:rsidR="00197B00">
          <w:rPr>
            <w:noProof/>
            <w:webHidden/>
          </w:rPr>
          <w:fldChar w:fldCharType="separate"/>
        </w:r>
        <w:r w:rsidR="001F3E2E">
          <w:rPr>
            <w:noProof/>
            <w:webHidden/>
          </w:rPr>
          <w:t>22</w:t>
        </w:r>
        <w:r w:rsidR="00197B00">
          <w:rPr>
            <w:noProof/>
            <w:webHidden/>
          </w:rPr>
          <w:fldChar w:fldCharType="end"/>
        </w:r>
      </w:hyperlink>
    </w:p>
    <w:p w14:paraId="05F55A49" w14:textId="77777777" w:rsidR="00197B00" w:rsidRDefault="0088072F">
      <w:pPr>
        <w:pStyle w:val="Tabladeilustraciones"/>
        <w:tabs>
          <w:tab w:val="right" w:leader="dot" w:pos="9680"/>
        </w:tabs>
        <w:rPr>
          <w:rFonts w:asciiTheme="minorHAnsi" w:eastAsiaTheme="minorEastAsia" w:hAnsiTheme="minorHAnsi" w:cstheme="minorBidi"/>
          <w:noProof/>
          <w:szCs w:val="22"/>
          <w:lang w:eastAsia="es-CL"/>
        </w:rPr>
      </w:pPr>
      <w:hyperlink w:anchor="_Toc39797912" w:history="1">
        <w:r w:rsidR="00197B00" w:rsidRPr="00616B68">
          <w:rPr>
            <w:rStyle w:val="Hipervnculo"/>
            <w:noProof/>
          </w:rPr>
          <w:t>Tabla 2: Obras nuevas no valorizadas (VATT asegurado por 20 años)</w:t>
        </w:r>
        <w:r w:rsidR="00197B00">
          <w:rPr>
            <w:noProof/>
            <w:webHidden/>
          </w:rPr>
          <w:tab/>
        </w:r>
        <w:r w:rsidR="00197B00">
          <w:rPr>
            <w:noProof/>
            <w:webHidden/>
          </w:rPr>
          <w:fldChar w:fldCharType="begin"/>
        </w:r>
        <w:r w:rsidR="00197B00">
          <w:rPr>
            <w:noProof/>
            <w:webHidden/>
          </w:rPr>
          <w:instrText xml:space="preserve"> PAGEREF _Toc39797912 \h </w:instrText>
        </w:r>
        <w:r w:rsidR="00197B00">
          <w:rPr>
            <w:noProof/>
            <w:webHidden/>
          </w:rPr>
        </w:r>
        <w:r w:rsidR="00197B00">
          <w:rPr>
            <w:noProof/>
            <w:webHidden/>
          </w:rPr>
          <w:fldChar w:fldCharType="separate"/>
        </w:r>
        <w:r w:rsidR="001F3E2E">
          <w:rPr>
            <w:noProof/>
            <w:webHidden/>
          </w:rPr>
          <w:t>25</w:t>
        </w:r>
        <w:r w:rsidR="00197B00">
          <w:rPr>
            <w:noProof/>
            <w:webHidden/>
          </w:rPr>
          <w:fldChar w:fldCharType="end"/>
        </w:r>
      </w:hyperlink>
    </w:p>
    <w:p w14:paraId="30955745" w14:textId="77777777" w:rsidR="00197B00" w:rsidRDefault="0088072F">
      <w:pPr>
        <w:pStyle w:val="Tabladeilustraciones"/>
        <w:tabs>
          <w:tab w:val="right" w:leader="dot" w:pos="9680"/>
        </w:tabs>
        <w:rPr>
          <w:rFonts w:asciiTheme="minorHAnsi" w:eastAsiaTheme="minorEastAsia" w:hAnsiTheme="minorHAnsi" w:cstheme="minorBidi"/>
          <w:noProof/>
          <w:szCs w:val="22"/>
          <w:lang w:eastAsia="es-CL"/>
        </w:rPr>
      </w:pPr>
      <w:hyperlink w:anchor="_Toc39797913" w:history="1">
        <w:r w:rsidR="00197B00" w:rsidRPr="00616B68">
          <w:rPr>
            <w:rStyle w:val="Hipervnculo"/>
            <w:noProof/>
          </w:rPr>
          <w:t>Tabla 3: Obras de ampliación no valorizadas (VATT asegurado por 20 años)</w:t>
        </w:r>
        <w:r w:rsidR="00197B00">
          <w:rPr>
            <w:noProof/>
            <w:webHidden/>
          </w:rPr>
          <w:tab/>
        </w:r>
        <w:r w:rsidR="00197B00">
          <w:rPr>
            <w:noProof/>
            <w:webHidden/>
          </w:rPr>
          <w:fldChar w:fldCharType="begin"/>
        </w:r>
        <w:r w:rsidR="00197B00">
          <w:rPr>
            <w:noProof/>
            <w:webHidden/>
          </w:rPr>
          <w:instrText xml:space="preserve"> PAGEREF _Toc39797913 \h </w:instrText>
        </w:r>
        <w:r w:rsidR="00197B00">
          <w:rPr>
            <w:noProof/>
            <w:webHidden/>
          </w:rPr>
        </w:r>
        <w:r w:rsidR="00197B00">
          <w:rPr>
            <w:noProof/>
            <w:webHidden/>
          </w:rPr>
          <w:fldChar w:fldCharType="separate"/>
        </w:r>
        <w:r w:rsidR="001F3E2E">
          <w:rPr>
            <w:noProof/>
            <w:webHidden/>
          </w:rPr>
          <w:t>26</w:t>
        </w:r>
        <w:r w:rsidR="00197B00">
          <w:rPr>
            <w:noProof/>
            <w:webHidden/>
          </w:rPr>
          <w:fldChar w:fldCharType="end"/>
        </w:r>
      </w:hyperlink>
    </w:p>
    <w:p w14:paraId="6C41C71C" w14:textId="77777777" w:rsidR="00197B00" w:rsidRDefault="0088072F">
      <w:pPr>
        <w:pStyle w:val="Tabladeilustraciones"/>
        <w:tabs>
          <w:tab w:val="right" w:leader="dot" w:pos="9680"/>
        </w:tabs>
        <w:rPr>
          <w:rFonts w:asciiTheme="minorHAnsi" w:eastAsiaTheme="minorEastAsia" w:hAnsiTheme="minorHAnsi" w:cstheme="minorBidi"/>
          <w:noProof/>
          <w:szCs w:val="22"/>
          <w:lang w:eastAsia="es-CL"/>
        </w:rPr>
      </w:pPr>
      <w:hyperlink w:anchor="_Toc39797914" w:history="1">
        <w:r w:rsidR="00197B00" w:rsidRPr="00616B68">
          <w:rPr>
            <w:rStyle w:val="Hipervnculo"/>
            <w:b/>
            <w:iCs/>
            <w:noProof/>
          </w:rPr>
          <w:t>Tabla 4: Cuadrillas de trabajo para montaje</w:t>
        </w:r>
        <w:r w:rsidR="00197B00">
          <w:rPr>
            <w:noProof/>
            <w:webHidden/>
          </w:rPr>
          <w:tab/>
        </w:r>
        <w:r w:rsidR="00197B00">
          <w:rPr>
            <w:noProof/>
            <w:webHidden/>
          </w:rPr>
          <w:fldChar w:fldCharType="begin"/>
        </w:r>
        <w:r w:rsidR="00197B00">
          <w:rPr>
            <w:noProof/>
            <w:webHidden/>
          </w:rPr>
          <w:instrText xml:space="preserve"> PAGEREF _Toc39797914 \h </w:instrText>
        </w:r>
        <w:r w:rsidR="00197B00">
          <w:rPr>
            <w:noProof/>
            <w:webHidden/>
          </w:rPr>
        </w:r>
        <w:r w:rsidR="00197B00">
          <w:rPr>
            <w:noProof/>
            <w:webHidden/>
          </w:rPr>
          <w:fldChar w:fldCharType="separate"/>
        </w:r>
        <w:r w:rsidR="001F3E2E">
          <w:rPr>
            <w:noProof/>
            <w:webHidden/>
          </w:rPr>
          <w:t>40</w:t>
        </w:r>
        <w:r w:rsidR="00197B00">
          <w:rPr>
            <w:noProof/>
            <w:webHidden/>
          </w:rPr>
          <w:fldChar w:fldCharType="end"/>
        </w:r>
      </w:hyperlink>
    </w:p>
    <w:p w14:paraId="32805D3B" w14:textId="77777777" w:rsidR="00197B00" w:rsidRDefault="0088072F">
      <w:pPr>
        <w:pStyle w:val="Tabladeilustraciones"/>
        <w:tabs>
          <w:tab w:val="right" w:leader="dot" w:pos="9680"/>
        </w:tabs>
        <w:rPr>
          <w:rFonts w:asciiTheme="minorHAnsi" w:eastAsiaTheme="minorEastAsia" w:hAnsiTheme="minorHAnsi" w:cstheme="minorBidi"/>
          <w:noProof/>
          <w:szCs w:val="22"/>
          <w:lang w:eastAsia="es-CL"/>
        </w:rPr>
      </w:pPr>
      <w:hyperlink w:anchor="_Toc39797915" w:history="1">
        <w:r w:rsidR="00197B00" w:rsidRPr="00616B68">
          <w:rPr>
            <w:rStyle w:val="Hipervnculo"/>
            <w:b/>
            <w:iCs/>
            <w:noProof/>
          </w:rPr>
          <w:t>Tabla 5: Cuadrillas de trabajo para montaje</w:t>
        </w:r>
        <w:r w:rsidR="00197B00">
          <w:rPr>
            <w:noProof/>
            <w:webHidden/>
          </w:rPr>
          <w:tab/>
        </w:r>
        <w:r w:rsidR="00197B00">
          <w:rPr>
            <w:noProof/>
            <w:webHidden/>
          </w:rPr>
          <w:fldChar w:fldCharType="begin"/>
        </w:r>
        <w:r w:rsidR="00197B00">
          <w:rPr>
            <w:noProof/>
            <w:webHidden/>
          </w:rPr>
          <w:instrText xml:space="preserve"> PAGEREF _Toc39797915 \h </w:instrText>
        </w:r>
        <w:r w:rsidR="00197B00">
          <w:rPr>
            <w:noProof/>
            <w:webHidden/>
          </w:rPr>
        </w:r>
        <w:r w:rsidR="00197B00">
          <w:rPr>
            <w:noProof/>
            <w:webHidden/>
          </w:rPr>
          <w:fldChar w:fldCharType="separate"/>
        </w:r>
        <w:r w:rsidR="001F3E2E">
          <w:rPr>
            <w:noProof/>
            <w:webHidden/>
          </w:rPr>
          <w:t>41</w:t>
        </w:r>
        <w:r w:rsidR="00197B00">
          <w:rPr>
            <w:noProof/>
            <w:webHidden/>
          </w:rPr>
          <w:fldChar w:fldCharType="end"/>
        </w:r>
      </w:hyperlink>
    </w:p>
    <w:p w14:paraId="01857508" w14:textId="77777777" w:rsidR="00197B00" w:rsidRDefault="0088072F">
      <w:pPr>
        <w:pStyle w:val="Tabladeilustraciones"/>
        <w:tabs>
          <w:tab w:val="right" w:leader="dot" w:pos="9680"/>
        </w:tabs>
        <w:rPr>
          <w:rFonts w:asciiTheme="minorHAnsi" w:eastAsiaTheme="minorEastAsia" w:hAnsiTheme="minorHAnsi" w:cstheme="minorBidi"/>
          <w:noProof/>
          <w:szCs w:val="22"/>
          <w:lang w:eastAsia="es-CL"/>
        </w:rPr>
      </w:pPr>
      <w:hyperlink w:anchor="_Toc39797916" w:history="1">
        <w:r w:rsidR="00197B00" w:rsidRPr="00616B68">
          <w:rPr>
            <w:rStyle w:val="Hipervnculo"/>
            <w:b/>
            <w:iCs/>
            <w:noProof/>
          </w:rPr>
          <w:t>Tabla 6: Remuneración bruta del personal</w:t>
        </w:r>
        <w:r w:rsidR="00197B00">
          <w:rPr>
            <w:noProof/>
            <w:webHidden/>
          </w:rPr>
          <w:tab/>
        </w:r>
        <w:r w:rsidR="00197B00">
          <w:rPr>
            <w:noProof/>
            <w:webHidden/>
          </w:rPr>
          <w:fldChar w:fldCharType="begin"/>
        </w:r>
        <w:r w:rsidR="00197B00">
          <w:rPr>
            <w:noProof/>
            <w:webHidden/>
          </w:rPr>
          <w:instrText xml:space="preserve"> PAGEREF _Toc39797916 \h </w:instrText>
        </w:r>
        <w:r w:rsidR="00197B00">
          <w:rPr>
            <w:noProof/>
            <w:webHidden/>
          </w:rPr>
        </w:r>
        <w:r w:rsidR="00197B00">
          <w:rPr>
            <w:noProof/>
            <w:webHidden/>
          </w:rPr>
          <w:fldChar w:fldCharType="separate"/>
        </w:r>
        <w:r w:rsidR="001F3E2E">
          <w:rPr>
            <w:noProof/>
            <w:webHidden/>
          </w:rPr>
          <w:t>42</w:t>
        </w:r>
        <w:r w:rsidR="00197B00">
          <w:rPr>
            <w:noProof/>
            <w:webHidden/>
          </w:rPr>
          <w:fldChar w:fldCharType="end"/>
        </w:r>
      </w:hyperlink>
    </w:p>
    <w:p w14:paraId="77E76A27" w14:textId="77777777" w:rsidR="00197B00" w:rsidRDefault="0088072F">
      <w:pPr>
        <w:pStyle w:val="Tabladeilustraciones"/>
        <w:tabs>
          <w:tab w:val="right" w:leader="dot" w:pos="9680"/>
        </w:tabs>
        <w:rPr>
          <w:rFonts w:asciiTheme="minorHAnsi" w:eastAsiaTheme="minorEastAsia" w:hAnsiTheme="minorHAnsi" w:cstheme="minorBidi"/>
          <w:noProof/>
          <w:szCs w:val="22"/>
          <w:lang w:eastAsia="es-CL"/>
        </w:rPr>
      </w:pPr>
      <w:hyperlink w:anchor="_Toc39797917" w:history="1">
        <w:r w:rsidR="00197B00" w:rsidRPr="00616B68">
          <w:rPr>
            <w:rStyle w:val="Hipervnculo"/>
            <w:b/>
            <w:iCs/>
            <w:noProof/>
          </w:rPr>
          <w:t>Tabla 7: Subfamilias tramos de subestación</w:t>
        </w:r>
        <w:r w:rsidR="00197B00">
          <w:rPr>
            <w:noProof/>
            <w:webHidden/>
          </w:rPr>
          <w:tab/>
        </w:r>
        <w:r w:rsidR="00197B00">
          <w:rPr>
            <w:noProof/>
            <w:webHidden/>
          </w:rPr>
          <w:fldChar w:fldCharType="begin"/>
        </w:r>
        <w:r w:rsidR="00197B00">
          <w:rPr>
            <w:noProof/>
            <w:webHidden/>
          </w:rPr>
          <w:instrText xml:space="preserve"> PAGEREF _Toc39797917 \h </w:instrText>
        </w:r>
        <w:r w:rsidR="00197B00">
          <w:rPr>
            <w:noProof/>
            <w:webHidden/>
          </w:rPr>
        </w:r>
        <w:r w:rsidR="00197B00">
          <w:rPr>
            <w:noProof/>
            <w:webHidden/>
          </w:rPr>
          <w:fldChar w:fldCharType="separate"/>
        </w:r>
        <w:r w:rsidR="001F3E2E">
          <w:rPr>
            <w:noProof/>
            <w:webHidden/>
          </w:rPr>
          <w:t>44</w:t>
        </w:r>
        <w:r w:rsidR="00197B00">
          <w:rPr>
            <w:noProof/>
            <w:webHidden/>
          </w:rPr>
          <w:fldChar w:fldCharType="end"/>
        </w:r>
      </w:hyperlink>
    </w:p>
    <w:p w14:paraId="03E0477E" w14:textId="77777777" w:rsidR="00197B00" w:rsidRDefault="0088072F">
      <w:pPr>
        <w:pStyle w:val="Tabladeilustraciones"/>
        <w:tabs>
          <w:tab w:val="right" w:leader="dot" w:pos="9680"/>
        </w:tabs>
        <w:rPr>
          <w:rFonts w:asciiTheme="minorHAnsi" w:eastAsiaTheme="minorEastAsia" w:hAnsiTheme="minorHAnsi" w:cstheme="minorBidi"/>
          <w:noProof/>
          <w:szCs w:val="22"/>
          <w:lang w:eastAsia="es-CL"/>
        </w:rPr>
      </w:pPr>
      <w:hyperlink w:anchor="_Toc39797918" w:history="1">
        <w:r w:rsidR="00197B00" w:rsidRPr="00616B68">
          <w:rPr>
            <w:rStyle w:val="Hipervnculo"/>
            <w:b/>
            <w:iCs/>
            <w:noProof/>
          </w:rPr>
          <w:t>Tabla 8: Subfamilias tramos de transporte</w:t>
        </w:r>
        <w:r w:rsidR="00197B00">
          <w:rPr>
            <w:noProof/>
            <w:webHidden/>
          </w:rPr>
          <w:tab/>
        </w:r>
        <w:r w:rsidR="00197B00">
          <w:rPr>
            <w:noProof/>
            <w:webHidden/>
          </w:rPr>
          <w:fldChar w:fldCharType="begin"/>
        </w:r>
        <w:r w:rsidR="00197B00">
          <w:rPr>
            <w:noProof/>
            <w:webHidden/>
          </w:rPr>
          <w:instrText xml:space="preserve"> PAGEREF _Toc39797918 \h </w:instrText>
        </w:r>
        <w:r w:rsidR="00197B00">
          <w:rPr>
            <w:noProof/>
            <w:webHidden/>
          </w:rPr>
        </w:r>
        <w:r w:rsidR="00197B00">
          <w:rPr>
            <w:noProof/>
            <w:webHidden/>
          </w:rPr>
          <w:fldChar w:fldCharType="separate"/>
        </w:r>
        <w:r w:rsidR="001F3E2E">
          <w:rPr>
            <w:noProof/>
            <w:webHidden/>
          </w:rPr>
          <w:t>44</w:t>
        </w:r>
        <w:r w:rsidR="00197B00">
          <w:rPr>
            <w:noProof/>
            <w:webHidden/>
          </w:rPr>
          <w:fldChar w:fldCharType="end"/>
        </w:r>
      </w:hyperlink>
    </w:p>
    <w:p w14:paraId="4E236C3D" w14:textId="77777777" w:rsidR="00197B00" w:rsidRDefault="0088072F">
      <w:pPr>
        <w:pStyle w:val="Tabladeilustraciones"/>
        <w:tabs>
          <w:tab w:val="right" w:leader="dot" w:pos="9680"/>
        </w:tabs>
        <w:rPr>
          <w:rFonts w:asciiTheme="minorHAnsi" w:eastAsiaTheme="minorEastAsia" w:hAnsiTheme="minorHAnsi" w:cstheme="minorBidi"/>
          <w:noProof/>
          <w:szCs w:val="22"/>
          <w:lang w:eastAsia="es-CL"/>
        </w:rPr>
      </w:pPr>
      <w:hyperlink w:anchor="_Toc39797919" w:history="1">
        <w:r w:rsidR="00197B00" w:rsidRPr="00616B68">
          <w:rPr>
            <w:rStyle w:val="Hipervnculo"/>
            <w:b/>
            <w:iCs/>
            <w:noProof/>
          </w:rPr>
          <w:t>Tabla 9: Tareas y cuadrillas de montaje de subestaciones</w:t>
        </w:r>
        <w:r w:rsidR="00197B00">
          <w:rPr>
            <w:noProof/>
            <w:webHidden/>
          </w:rPr>
          <w:tab/>
        </w:r>
        <w:r w:rsidR="00197B00">
          <w:rPr>
            <w:noProof/>
            <w:webHidden/>
          </w:rPr>
          <w:fldChar w:fldCharType="begin"/>
        </w:r>
        <w:r w:rsidR="00197B00">
          <w:rPr>
            <w:noProof/>
            <w:webHidden/>
          </w:rPr>
          <w:instrText xml:space="preserve"> PAGEREF _Toc39797919 \h </w:instrText>
        </w:r>
        <w:r w:rsidR="00197B00">
          <w:rPr>
            <w:noProof/>
            <w:webHidden/>
          </w:rPr>
        </w:r>
        <w:r w:rsidR="00197B00">
          <w:rPr>
            <w:noProof/>
            <w:webHidden/>
          </w:rPr>
          <w:fldChar w:fldCharType="separate"/>
        </w:r>
        <w:r w:rsidR="001F3E2E">
          <w:rPr>
            <w:noProof/>
            <w:webHidden/>
          </w:rPr>
          <w:t>45</w:t>
        </w:r>
        <w:r w:rsidR="00197B00">
          <w:rPr>
            <w:noProof/>
            <w:webHidden/>
          </w:rPr>
          <w:fldChar w:fldCharType="end"/>
        </w:r>
      </w:hyperlink>
    </w:p>
    <w:p w14:paraId="3FFC343B" w14:textId="77777777" w:rsidR="00197B00" w:rsidRDefault="0088072F">
      <w:pPr>
        <w:pStyle w:val="Tabladeilustraciones"/>
        <w:tabs>
          <w:tab w:val="right" w:leader="dot" w:pos="9680"/>
        </w:tabs>
        <w:rPr>
          <w:rFonts w:asciiTheme="minorHAnsi" w:eastAsiaTheme="minorEastAsia" w:hAnsiTheme="minorHAnsi" w:cstheme="minorBidi"/>
          <w:noProof/>
          <w:szCs w:val="22"/>
          <w:lang w:eastAsia="es-CL"/>
        </w:rPr>
      </w:pPr>
      <w:hyperlink w:anchor="_Toc39797920" w:history="1">
        <w:r w:rsidR="00197B00" w:rsidRPr="00616B68">
          <w:rPr>
            <w:rStyle w:val="Hipervnculo"/>
            <w:b/>
            <w:iCs/>
            <w:noProof/>
          </w:rPr>
          <w:t>Tabla 10: Tareas y cuadrillas de montaje de líneas de transmisión</w:t>
        </w:r>
        <w:r w:rsidR="00197B00">
          <w:rPr>
            <w:noProof/>
            <w:webHidden/>
          </w:rPr>
          <w:tab/>
        </w:r>
        <w:r w:rsidR="00197B00">
          <w:rPr>
            <w:noProof/>
            <w:webHidden/>
          </w:rPr>
          <w:fldChar w:fldCharType="begin"/>
        </w:r>
        <w:r w:rsidR="00197B00">
          <w:rPr>
            <w:noProof/>
            <w:webHidden/>
          </w:rPr>
          <w:instrText xml:space="preserve"> PAGEREF _Toc39797920 \h </w:instrText>
        </w:r>
        <w:r w:rsidR="00197B00">
          <w:rPr>
            <w:noProof/>
            <w:webHidden/>
          </w:rPr>
        </w:r>
        <w:r w:rsidR="00197B00">
          <w:rPr>
            <w:noProof/>
            <w:webHidden/>
          </w:rPr>
          <w:fldChar w:fldCharType="separate"/>
        </w:r>
        <w:r w:rsidR="001F3E2E">
          <w:rPr>
            <w:noProof/>
            <w:webHidden/>
          </w:rPr>
          <w:t>46</w:t>
        </w:r>
        <w:r w:rsidR="00197B00">
          <w:rPr>
            <w:noProof/>
            <w:webHidden/>
          </w:rPr>
          <w:fldChar w:fldCharType="end"/>
        </w:r>
      </w:hyperlink>
    </w:p>
    <w:p w14:paraId="496C8DA1" w14:textId="77777777" w:rsidR="00197B00" w:rsidRDefault="0088072F">
      <w:pPr>
        <w:pStyle w:val="Tabladeilustraciones"/>
        <w:tabs>
          <w:tab w:val="right" w:leader="dot" w:pos="9680"/>
        </w:tabs>
        <w:rPr>
          <w:rFonts w:asciiTheme="minorHAnsi" w:eastAsiaTheme="minorEastAsia" w:hAnsiTheme="minorHAnsi" w:cstheme="minorBidi"/>
          <w:noProof/>
          <w:szCs w:val="22"/>
          <w:lang w:eastAsia="es-CL"/>
        </w:rPr>
      </w:pPr>
      <w:hyperlink w:anchor="_Toc39797921" w:history="1">
        <w:r w:rsidR="00197B00" w:rsidRPr="00616B68">
          <w:rPr>
            <w:rStyle w:val="Hipervnculo"/>
            <w:b/>
            <w:bCs/>
            <w:i/>
            <w:iCs/>
            <w:noProof/>
          </w:rPr>
          <w:t>Tabla Nº 11. Montaje Accesorios Estructuras</w:t>
        </w:r>
        <w:r w:rsidR="00197B00">
          <w:rPr>
            <w:noProof/>
            <w:webHidden/>
          </w:rPr>
          <w:tab/>
        </w:r>
        <w:r w:rsidR="00197B00">
          <w:rPr>
            <w:noProof/>
            <w:webHidden/>
          </w:rPr>
          <w:fldChar w:fldCharType="begin"/>
        </w:r>
        <w:r w:rsidR="00197B00">
          <w:rPr>
            <w:noProof/>
            <w:webHidden/>
          </w:rPr>
          <w:instrText xml:space="preserve"> PAGEREF _Toc39797921 \h </w:instrText>
        </w:r>
        <w:r w:rsidR="00197B00">
          <w:rPr>
            <w:noProof/>
            <w:webHidden/>
          </w:rPr>
        </w:r>
        <w:r w:rsidR="00197B00">
          <w:rPr>
            <w:noProof/>
            <w:webHidden/>
          </w:rPr>
          <w:fldChar w:fldCharType="separate"/>
        </w:r>
        <w:r w:rsidR="001F3E2E">
          <w:rPr>
            <w:noProof/>
            <w:webHidden/>
          </w:rPr>
          <w:t>49</w:t>
        </w:r>
        <w:r w:rsidR="00197B00">
          <w:rPr>
            <w:noProof/>
            <w:webHidden/>
          </w:rPr>
          <w:fldChar w:fldCharType="end"/>
        </w:r>
      </w:hyperlink>
    </w:p>
    <w:p w14:paraId="64823D4A" w14:textId="77777777" w:rsidR="00197B00" w:rsidRDefault="0088072F">
      <w:pPr>
        <w:pStyle w:val="Tabladeilustraciones"/>
        <w:tabs>
          <w:tab w:val="right" w:leader="dot" w:pos="9680"/>
        </w:tabs>
        <w:rPr>
          <w:rFonts w:asciiTheme="minorHAnsi" w:eastAsiaTheme="minorEastAsia" w:hAnsiTheme="minorHAnsi" w:cstheme="minorBidi"/>
          <w:noProof/>
          <w:szCs w:val="22"/>
          <w:lang w:eastAsia="es-CL"/>
        </w:rPr>
      </w:pPr>
      <w:hyperlink w:anchor="_Toc39797922" w:history="1">
        <w:r w:rsidR="00197B00" w:rsidRPr="00616B68">
          <w:rPr>
            <w:rStyle w:val="Hipervnculo"/>
            <w:b/>
            <w:bCs/>
            <w:i/>
            <w:iCs/>
            <w:noProof/>
          </w:rPr>
          <w:t>Tabla Nº 12. Tablas donde se encuentra el montaje por elemento</w:t>
        </w:r>
        <w:r w:rsidR="00197B00">
          <w:rPr>
            <w:noProof/>
            <w:webHidden/>
          </w:rPr>
          <w:tab/>
        </w:r>
        <w:r w:rsidR="00197B00">
          <w:rPr>
            <w:noProof/>
            <w:webHidden/>
          </w:rPr>
          <w:fldChar w:fldCharType="begin"/>
        </w:r>
        <w:r w:rsidR="00197B00">
          <w:rPr>
            <w:noProof/>
            <w:webHidden/>
          </w:rPr>
          <w:instrText xml:space="preserve"> PAGEREF _Toc39797922 \h </w:instrText>
        </w:r>
        <w:r w:rsidR="00197B00">
          <w:rPr>
            <w:noProof/>
            <w:webHidden/>
          </w:rPr>
        </w:r>
        <w:r w:rsidR="00197B00">
          <w:rPr>
            <w:noProof/>
            <w:webHidden/>
          </w:rPr>
          <w:fldChar w:fldCharType="separate"/>
        </w:r>
        <w:r w:rsidR="001F3E2E">
          <w:rPr>
            <w:noProof/>
            <w:webHidden/>
          </w:rPr>
          <w:t>49</w:t>
        </w:r>
        <w:r w:rsidR="00197B00">
          <w:rPr>
            <w:noProof/>
            <w:webHidden/>
          </w:rPr>
          <w:fldChar w:fldCharType="end"/>
        </w:r>
      </w:hyperlink>
    </w:p>
    <w:p w14:paraId="73763DFC" w14:textId="77777777" w:rsidR="00197B00" w:rsidRDefault="0088072F">
      <w:pPr>
        <w:pStyle w:val="Tabladeilustraciones"/>
        <w:tabs>
          <w:tab w:val="right" w:leader="dot" w:pos="9680"/>
        </w:tabs>
        <w:rPr>
          <w:rFonts w:asciiTheme="minorHAnsi" w:eastAsiaTheme="minorEastAsia" w:hAnsiTheme="minorHAnsi" w:cstheme="minorBidi"/>
          <w:noProof/>
          <w:szCs w:val="22"/>
          <w:lang w:eastAsia="es-CL"/>
        </w:rPr>
      </w:pPr>
      <w:hyperlink w:anchor="_Toc39797923" w:history="1">
        <w:r w:rsidR="00197B00" w:rsidRPr="00616B68">
          <w:rPr>
            <w:rStyle w:val="Hipervnculo"/>
            <w:noProof/>
          </w:rPr>
          <w:t>Tabla 13: Tipos de obras subestaciones</w:t>
        </w:r>
        <w:r w:rsidR="00197B00">
          <w:rPr>
            <w:noProof/>
            <w:webHidden/>
          </w:rPr>
          <w:tab/>
        </w:r>
        <w:r w:rsidR="00197B00">
          <w:rPr>
            <w:noProof/>
            <w:webHidden/>
          </w:rPr>
          <w:fldChar w:fldCharType="begin"/>
        </w:r>
        <w:r w:rsidR="00197B00">
          <w:rPr>
            <w:noProof/>
            <w:webHidden/>
          </w:rPr>
          <w:instrText xml:space="preserve"> PAGEREF _Toc39797923 \h </w:instrText>
        </w:r>
        <w:r w:rsidR="00197B00">
          <w:rPr>
            <w:noProof/>
            <w:webHidden/>
          </w:rPr>
        </w:r>
        <w:r w:rsidR="00197B00">
          <w:rPr>
            <w:noProof/>
            <w:webHidden/>
          </w:rPr>
          <w:fldChar w:fldCharType="separate"/>
        </w:r>
        <w:r w:rsidR="001F3E2E">
          <w:rPr>
            <w:noProof/>
            <w:webHidden/>
          </w:rPr>
          <w:t>50</w:t>
        </w:r>
        <w:r w:rsidR="00197B00">
          <w:rPr>
            <w:noProof/>
            <w:webHidden/>
          </w:rPr>
          <w:fldChar w:fldCharType="end"/>
        </w:r>
      </w:hyperlink>
    </w:p>
    <w:p w14:paraId="1A34E14A" w14:textId="77777777" w:rsidR="00197B00" w:rsidRDefault="0088072F">
      <w:pPr>
        <w:pStyle w:val="Tabladeilustraciones"/>
        <w:tabs>
          <w:tab w:val="right" w:leader="dot" w:pos="9680"/>
        </w:tabs>
        <w:rPr>
          <w:rFonts w:asciiTheme="minorHAnsi" w:eastAsiaTheme="minorEastAsia" w:hAnsiTheme="minorHAnsi" w:cstheme="minorBidi"/>
          <w:noProof/>
          <w:szCs w:val="22"/>
          <w:lang w:eastAsia="es-CL"/>
        </w:rPr>
      </w:pPr>
      <w:hyperlink w:anchor="_Toc39797924" w:history="1">
        <w:r w:rsidR="00197B00" w:rsidRPr="00616B68">
          <w:rPr>
            <w:rStyle w:val="Hipervnculo"/>
            <w:noProof/>
          </w:rPr>
          <w:t>Tabla 14: Tipos de obras líneas de transmisión</w:t>
        </w:r>
        <w:r w:rsidR="00197B00">
          <w:rPr>
            <w:noProof/>
            <w:webHidden/>
          </w:rPr>
          <w:tab/>
        </w:r>
        <w:r w:rsidR="00197B00">
          <w:rPr>
            <w:noProof/>
            <w:webHidden/>
          </w:rPr>
          <w:fldChar w:fldCharType="begin"/>
        </w:r>
        <w:r w:rsidR="00197B00">
          <w:rPr>
            <w:noProof/>
            <w:webHidden/>
          </w:rPr>
          <w:instrText xml:space="preserve"> PAGEREF _Toc39797924 \h </w:instrText>
        </w:r>
        <w:r w:rsidR="00197B00">
          <w:rPr>
            <w:noProof/>
            <w:webHidden/>
          </w:rPr>
        </w:r>
        <w:r w:rsidR="00197B00">
          <w:rPr>
            <w:noProof/>
            <w:webHidden/>
          </w:rPr>
          <w:fldChar w:fldCharType="separate"/>
        </w:r>
        <w:r w:rsidR="001F3E2E">
          <w:rPr>
            <w:noProof/>
            <w:webHidden/>
          </w:rPr>
          <w:t>51</w:t>
        </w:r>
        <w:r w:rsidR="00197B00">
          <w:rPr>
            <w:noProof/>
            <w:webHidden/>
          </w:rPr>
          <w:fldChar w:fldCharType="end"/>
        </w:r>
      </w:hyperlink>
    </w:p>
    <w:p w14:paraId="79B38735" w14:textId="77777777" w:rsidR="00197B00" w:rsidRDefault="0088072F">
      <w:pPr>
        <w:pStyle w:val="Tabladeilustraciones"/>
        <w:tabs>
          <w:tab w:val="right" w:leader="dot" w:pos="9680"/>
        </w:tabs>
        <w:rPr>
          <w:rFonts w:asciiTheme="minorHAnsi" w:eastAsiaTheme="minorEastAsia" w:hAnsiTheme="minorHAnsi" w:cstheme="minorBidi"/>
          <w:noProof/>
          <w:szCs w:val="22"/>
          <w:lang w:eastAsia="es-CL"/>
        </w:rPr>
      </w:pPr>
      <w:hyperlink w:anchor="_Toc39797925" w:history="1">
        <w:r w:rsidR="00197B00" w:rsidRPr="00616B68">
          <w:rPr>
            <w:rStyle w:val="Hipervnculo"/>
            <w:noProof/>
          </w:rPr>
          <w:t>Tabla 15: Costo bodega líneas de transmisión</w:t>
        </w:r>
        <w:r w:rsidR="00197B00">
          <w:rPr>
            <w:noProof/>
            <w:webHidden/>
          </w:rPr>
          <w:tab/>
        </w:r>
        <w:r w:rsidR="00197B00">
          <w:rPr>
            <w:noProof/>
            <w:webHidden/>
          </w:rPr>
          <w:fldChar w:fldCharType="begin"/>
        </w:r>
        <w:r w:rsidR="00197B00">
          <w:rPr>
            <w:noProof/>
            <w:webHidden/>
          </w:rPr>
          <w:instrText xml:space="preserve"> PAGEREF _Toc39797925 \h </w:instrText>
        </w:r>
        <w:r w:rsidR="00197B00">
          <w:rPr>
            <w:noProof/>
            <w:webHidden/>
          </w:rPr>
        </w:r>
        <w:r w:rsidR="00197B00">
          <w:rPr>
            <w:noProof/>
            <w:webHidden/>
          </w:rPr>
          <w:fldChar w:fldCharType="separate"/>
        </w:r>
        <w:r w:rsidR="001F3E2E">
          <w:rPr>
            <w:noProof/>
            <w:webHidden/>
          </w:rPr>
          <w:t>56</w:t>
        </w:r>
        <w:r w:rsidR="00197B00">
          <w:rPr>
            <w:noProof/>
            <w:webHidden/>
          </w:rPr>
          <w:fldChar w:fldCharType="end"/>
        </w:r>
      </w:hyperlink>
    </w:p>
    <w:p w14:paraId="7756E659" w14:textId="77777777" w:rsidR="00197B00" w:rsidRDefault="0088072F">
      <w:pPr>
        <w:pStyle w:val="Tabladeilustraciones"/>
        <w:tabs>
          <w:tab w:val="right" w:leader="dot" w:pos="9680"/>
        </w:tabs>
        <w:rPr>
          <w:rFonts w:asciiTheme="minorHAnsi" w:eastAsiaTheme="minorEastAsia" w:hAnsiTheme="minorHAnsi" w:cstheme="minorBidi"/>
          <w:noProof/>
          <w:szCs w:val="22"/>
          <w:lang w:eastAsia="es-CL"/>
        </w:rPr>
      </w:pPr>
      <w:hyperlink w:anchor="_Toc39797926" w:history="1">
        <w:r w:rsidR="00197B00" w:rsidRPr="00616B68">
          <w:rPr>
            <w:rStyle w:val="Hipervnculo"/>
            <w:noProof/>
          </w:rPr>
          <w:t>Tabla 16: Costo bodega subestaciones</w:t>
        </w:r>
        <w:r w:rsidR="00197B00">
          <w:rPr>
            <w:noProof/>
            <w:webHidden/>
          </w:rPr>
          <w:tab/>
        </w:r>
        <w:r w:rsidR="00197B00">
          <w:rPr>
            <w:noProof/>
            <w:webHidden/>
          </w:rPr>
          <w:fldChar w:fldCharType="begin"/>
        </w:r>
        <w:r w:rsidR="00197B00">
          <w:rPr>
            <w:noProof/>
            <w:webHidden/>
          </w:rPr>
          <w:instrText xml:space="preserve"> PAGEREF _Toc39797926 \h </w:instrText>
        </w:r>
        <w:r w:rsidR="00197B00">
          <w:rPr>
            <w:noProof/>
            <w:webHidden/>
          </w:rPr>
        </w:r>
        <w:r w:rsidR="00197B00">
          <w:rPr>
            <w:noProof/>
            <w:webHidden/>
          </w:rPr>
          <w:fldChar w:fldCharType="separate"/>
        </w:r>
        <w:r w:rsidR="001F3E2E">
          <w:rPr>
            <w:noProof/>
            <w:webHidden/>
          </w:rPr>
          <w:t>56</w:t>
        </w:r>
        <w:r w:rsidR="00197B00">
          <w:rPr>
            <w:noProof/>
            <w:webHidden/>
          </w:rPr>
          <w:fldChar w:fldCharType="end"/>
        </w:r>
      </w:hyperlink>
    </w:p>
    <w:p w14:paraId="5BCFEC53" w14:textId="77777777" w:rsidR="00197B00" w:rsidRDefault="0088072F">
      <w:pPr>
        <w:pStyle w:val="Tabladeilustraciones"/>
        <w:tabs>
          <w:tab w:val="right" w:leader="dot" w:pos="9680"/>
        </w:tabs>
        <w:rPr>
          <w:rFonts w:asciiTheme="minorHAnsi" w:eastAsiaTheme="minorEastAsia" w:hAnsiTheme="minorHAnsi" w:cstheme="minorBidi"/>
          <w:noProof/>
          <w:szCs w:val="22"/>
          <w:lang w:eastAsia="es-CL"/>
        </w:rPr>
      </w:pPr>
      <w:hyperlink w:anchor="_Toc39797927" w:history="1">
        <w:r w:rsidR="00197B00" w:rsidRPr="00616B68">
          <w:rPr>
            <w:rStyle w:val="Hipervnculo"/>
            <w:noProof/>
          </w:rPr>
          <w:t>Tabla 17: Ajuste cálculo ingeniería líneas de transmisión</w:t>
        </w:r>
        <w:r w:rsidR="00197B00">
          <w:rPr>
            <w:noProof/>
            <w:webHidden/>
          </w:rPr>
          <w:tab/>
        </w:r>
        <w:r w:rsidR="00197B00">
          <w:rPr>
            <w:noProof/>
            <w:webHidden/>
          </w:rPr>
          <w:fldChar w:fldCharType="begin"/>
        </w:r>
        <w:r w:rsidR="00197B00">
          <w:rPr>
            <w:noProof/>
            <w:webHidden/>
          </w:rPr>
          <w:instrText xml:space="preserve"> PAGEREF _Toc39797927 \h </w:instrText>
        </w:r>
        <w:r w:rsidR="00197B00">
          <w:rPr>
            <w:noProof/>
            <w:webHidden/>
          </w:rPr>
        </w:r>
        <w:r w:rsidR="00197B00">
          <w:rPr>
            <w:noProof/>
            <w:webHidden/>
          </w:rPr>
          <w:fldChar w:fldCharType="separate"/>
        </w:r>
        <w:r w:rsidR="001F3E2E">
          <w:rPr>
            <w:noProof/>
            <w:webHidden/>
          </w:rPr>
          <w:t>58</w:t>
        </w:r>
        <w:r w:rsidR="00197B00">
          <w:rPr>
            <w:noProof/>
            <w:webHidden/>
          </w:rPr>
          <w:fldChar w:fldCharType="end"/>
        </w:r>
      </w:hyperlink>
    </w:p>
    <w:p w14:paraId="52AA2011" w14:textId="77777777" w:rsidR="00197B00" w:rsidRDefault="0088072F">
      <w:pPr>
        <w:pStyle w:val="Tabladeilustraciones"/>
        <w:tabs>
          <w:tab w:val="right" w:leader="dot" w:pos="9680"/>
        </w:tabs>
        <w:rPr>
          <w:rFonts w:asciiTheme="minorHAnsi" w:eastAsiaTheme="minorEastAsia" w:hAnsiTheme="minorHAnsi" w:cstheme="minorBidi"/>
          <w:noProof/>
          <w:szCs w:val="22"/>
          <w:lang w:eastAsia="es-CL"/>
        </w:rPr>
      </w:pPr>
      <w:hyperlink w:anchor="_Toc39797928" w:history="1">
        <w:r w:rsidR="00197B00" w:rsidRPr="00616B68">
          <w:rPr>
            <w:rStyle w:val="Hipervnculo"/>
            <w:noProof/>
          </w:rPr>
          <w:t>Tabla 18: Gasto general para líneas de transmisión</w:t>
        </w:r>
        <w:r w:rsidR="00197B00">
          <w:rPr>
            <w:noProof/>
            <w:webHidden/>
          </w:rPr>
          <w:tab/>
        </w:r>
        <w:r w:rsidR="00197B00">
          <w:rPr>
            <w:noProof/>
            <w:webHidden/>
          </w:rPr>
          <w:fldChar w:fldCharType="begin"/>
        </w:r>
        <w:r w:rsidR="00197B00">
          <w:rPr>
            <w:noProof/>
            <w:webHidden/>
          </w:rPr>
          <w:instrText xml:space="preserve"> PAGEREF _Toc39797928 \h </w:instrText>
        </w:r>
        <w:r w:rsidR="00197B00">
          <w:rPr>
            <w:noProof/>
            <w:webHidden/>
          </w:rPr>
        </w:r>
        <w:r w:rsidR="00197B00">
          <w:rPr>
            <w:noProof/>
            <w:webHidden/>
          </w:rPr>
          <w:fldChar w:fldCharType="separate"/>
        </w:r>
        <w:r w:rsidR="001F3E2E">
          <w:rPr>
            <w:noProof/>
            <w:webHidden/>
          </w:rPr>
          <w:t>61</w:t>
        </w:r>
        <w:r w:rsidR="00197B00">
          <w:rPr>
            <w:noProof/>
            <w:webHidden/>
          </w:rPr>
          <w:fldChar w:fldCharType="end"/>
        </w:r>
      </w:hyperlink>
    </w:p>
    <w:p w14:paraId="639D05F0" w14:textId="77777777" w:rsidR="00197B00" w:rsidRDefault="0088072F">
      <w:pPr>
        <w:pStyle w:val="Tabladeilustraciones"/>
        <w:tabs>
          <w:tab w:val="right" w:leader="dot" w:pos="9680"/>
        </w:tabs>
        <w:rPr>
          <w:rFonts w:asciiTheme="minorHAnsi" w:eastAsiaTheme="minorEastAsia" w:hAnsiTheme="minorHAnsi" w:cstheme="minorBidi"/>
          <w:noProof/>
          <w:szCs w:val="22"/>
          <w:lang w:eastAsia="es-CL"/>
        </w:rPr>
      </w:pPr>
      <w:hyperlink w:anchor="_Toc39797929" w:history="1">
        <w:r w:rsidR="00197B00" w:rsidRPr="00616B68">
          <w:rPr>
            <w:rStyle w:val="Hipervnculo"/>
            <w:noProof/>
          </w:rPr>
          <w:t>Tabla 19: Gasto general para subestaciones</w:t>
        </w:r>
        <w:r w:rsidR="00197B00">
          <w:rPr>
            <w:noProof/>
            <w:webHidden/>
          </w:rPr>
          <w:tab/>
        </w:r>
        <w:r w:rsidR="00197B00">
          <w:rPr>
            <w:noProof/>
            <w:webHidden/>
          </w:rPr>
          <w:fldChar w:fldCharType="begin"/>
        </w:r>
        <w:r w:rsidR="00197B00">
          <w:rPr>
            <w:noProof/>
            <w:webHidden/>
          </w:rPr>
          <w:instrText xml:space="preserve"> PAGEREF _Toc39797929 \h </w:instrText>
        </w:r>
        <w:r w:rsidR="00197B00">
          <w:rPr>
            <w:noProof/>
            <w:webHidden/>
          </w:rPr>
        </w:r>
        <w:r w:rsidR="00197B00">
          <w:rPr>
            <w:noProof/>
            <w:webHidden/>
          </w:rPr>
          <w:fldChar w:fldCharType="separate"/>
        </w:r>
        <w:r w:rsidR="001F3E2E">
          <w:rPr>
            <w:noProof/>
            <w:webHidden/>
          </w:rPr>
          <w:t>61</w:t>
        </w:r>
        <w:r w:rsidR="00197B00">
          <w:rPr>
            <w:noProof/>
            <w:webHidden/>
          </w:rPr>
          <w:fldChar w:fldCharType="end"/>
        </w:r>
      </w:hyperlink>
    </w:p>
    <w:p w14:paraId="19F9B942" w14:textId="77777777" w:rsidR="00197B00" w:rsidRDefault="0088072F">
      <w:pPr>
        <w:pStyle w:val="Tabladeilustraciones"/>
        <w:tabs>
          <w:tab w:val="right" w:leader="dot" w:pos="9680"/>
        </w:tabs>
        <w:rPr>
          <w:rFonts w:asciiTheme="minorHAnsi" w:eastAsiaTheme="minorEastAsia" w:hAnsiTheme="minorHAnsi" w:cstheme="minorBidi"/>
          <w:noProof/>
          <w:szCs w:val="22"/>
          <w:lang w:eastAsia="es-CL"/>
        </w:rPr>
      </w:pPr>
      <w:hyperlink w:anchor="_Toc39797930" w:history="1">
        <w:r w:rsidR="00197B00" w:rsidRPr="00616B68">
          <w:rPr>
            <w:rStyle w:val="Hipervnculo"/>
            <w:noProof/>
          </w:rPr>
          <w:t>Tabla 20: Resultados interés intercalario</w:t>
        </w:r>
        <w:r w:rsidR="00197B00">
          <w:rPr>
            <w:noProof/>
            <w:webHidden/>
          </w:rPr>
          <w:tab/>
        </w:r>
        <w:r w:rsidR="00197B00">
          <w:rPr>
            <w:noProof/>
            <w:webHidden/>
          </w:rPr>
          <w:fldChar w:fldCharType="begin"/>
        </w:r>
        <w:r w:rsidR="00197B00">
          <w:rPr>
            <w:noProof/>
            <w:webHidden/>
          </w:rPr>
          <w:instrText xml:space="preserve"> PAGEREF _Toc39797930 \h </w:instrText>
        </w:r>
        <w:r w:rsidR="00197B00">
          <w:rPr>
            <w:noProof/>
            <w:webHidden/>
          </w:rPr>
        </w:r>
        <w:r w:rsidR="00197B00">
          <w:rPr>
            <w:noProof/>
            <w:webHidden/>
          </w:rPr>
          <w:fldChar w:fldCharType="separate"/>
        </w:r>
        <w:r w:rsidR="001F3E2E">
          <w:rPr>
            <w:noProof/>
            <w:webHidden/>
          </w:rPr>
          <w:t>62</w:t>
        </w:r>
        <w:r w:rsidR="00197B00">
          <w:rPr>
            <w:noProof/>
            <w:webHidden/>
          </w:rPr>
          <w:fldChar w:fldCharType="end"/>
        </w:r>
      </w:hyperlink>
    </w:p>
    <w:p w14:paraId="1C44D020" w14:textId="77777777" w:rsidR="00197B00" w:rsidRDefault="0088072F">
      <w:pPr>
        <w:pStyle w:val="Tabladeilustraciones"/>
        <w:tabs>
          <w:tab w:val="right" w:leader="dot" w:pos="9680"/>
        </w:tabs>
        <w:rPr>
          <w:rFonts w:asciiTheme="minorHAnsi" w:eastAsiaTheme="minorEastAsia" w:hAnsiTheme="minorHAnsi" w:cstheme="minorBidi"/>
          <w:noProof/>
          <w:szCs w:val="22"/>
          <w:lang w:eastAsia="es-CL"/>
        </w:rPr>
      </w:pPr>
      <w:hyperlink w:anchor="_Toc39797931" w:history="1">
        <w:r w:rsidR="00197B00" w:rsidRPr="00616B68">
          <w:rPr>
            <w:rStyle w:val="Hipervnculo"/>
            <w:noProof/>
          </w:rPr>
          <w:t>Tabla 21: Cuadrillas de terreno</w:t>
        </w:r>
        <w:r w:rsidR="00197B00">
          <w:rPr>
            <w:noProof/>
            <w:webHidden/>
          </w:rPr>
          <w:tab/>
        </w:r>
        <w:r w:rsidR="00197B00">
          <w:rPr>
            <w:noProof/>
            <w:webHidden/>
          </w:rPr>
          <w:fldChar w:fldCharType="begin"/>
        </w:r>
        <w:r w:rsidR="00197B00">
          <w:rPr>
            <w:noProof/>
            <w:webHidden/>
          </w:rPr>
          <w:instrText xml:space="preserve"> PAGEREF _Toc39797931 \h </w:instrText>
        </w:r>
        <w:r w:rsidR="00197B00">
          <w:rPr>
            <w:noProof/>
            <w:webHidden/>
          </w:rPr>
        </w:r>
        <w:r w:rsidR="00197B00">
          <w:rPr>
            <w:noProof/>
            <w:webHidden/>
          </w:rPr>
          <w:fldChar w:fldCharType="separate"/>
        </w:r>
        <w:r w:rsidR="001F3E2E">
          <w:rPr>
            <w:noProof/>
            <w:webHidden/>
          </w:rPr>
          <w:t>83</w:t>
        </w:r>
        <w:r w:rsidR="00197B00">
          <w:rPr>
            <w:noProof/>
            <w:webHidden/>
          </w:rPr>
          <w:fldChar w:fldCharType="end"/>
        </w:r>
      </w:hyperlink>
    </w:p>
    <w:p w14:paraId="16F1297A" w14:textId="77777777" w:rsidR="00197B00" w:rsidRDefault="0088072F">
      <w:pPr>
        <w:pStyle w:val="Tabladeilustraciones"/>
        <w:tabs>
          <w:tab w:val="right" w:leader="dot" w:pos="9680"/>
        </w:tabs>
        <w:rPr>
          <w:rFonts w:asciiTheme="minorHAnsi" w:eastAsiaTheme="minorEastAsia" w:hAnsiTheme="minorHAnsi" w:cstheme="minorBidi"/>
          <w:noProof/>
          <w:szCs w:val="22"/>
          <w:lang w:eastAsia="es-CL"/>
        </w:rPr>
      </w:pPr>
      <w:hyperlink w:anchor="_Toc39797932" w:history="1">
        <w:r w:rsidR="00197B00" w:rsidRPr="00616B68">
          <w:rPr>
            <w:rStyle w:val="Hipervnculo"/>
            <w:noProof/>
          </w:rPr>
          <w:t>Tabla 22: Integrantes cuadrillas de terreno</w:t>
        </w:r>
        <w:r w:rsidR="00197B00">
          <w:rPr>
            <w:noProof/>
            <w:webHidden/>
          </w:rPr>
          <w:tab/>
        </w:r>
        <w:r w:rsidR="00197B00">
          <w:rPr>
            <w:noProof/>
            <w:webHidden/>
          </w:rPr>
          <w:fldChar w:fldCharType="begin"/>
        </w:r>
        <w:r w:rsidR="00197B00">
          <w:rPr>
            <w:noProof/>
            <w:webHidden/>
          </w:rPr>
          <w:instrText xml:space="preserve"> PAGEREF _Toc39797932 \h </w:instrText>
        </w:r>
        <w:r w:rsidR="00197B00">
          <w:rPr>
            <w:noProof/>
            <w:webHidden/>
          </w:rPr>
        </w:r>
        <w:r w:rsidR="00197B00">
          <w:rPr>
            <w:noProof/>
            <w:webHidden/>
          </w:rPr>
          <w:fldChar w:fldCharType="separate"/>
        </w:r>
        <w:r w:rsidR="001F3E2E">
          <w:rPr>
            <w:noProof/>
            <w:webHidden/>
          </w:rPr>
          <w:t>84</w:t>
        </w:r>
        <w:r w:rsidR="00197B00">
          <w:rPr>
            <w:noProof/>
            <w:webHidden/>
          </w:rPr>
          <w:fldChar w:fldCharType="end"/>
        </w:r>
      </w:hyperlink>
    </w:p>
    <w:p w14:paraId="3CD0FC98" w14:textId="77777777" w:rsidR="00197B00" w:rsidRDefault="0088072F">
      <w:pPr>
        <w:pStyle w:val="Tabladeilustraciones"/>
        <w:tabs>
          <w:tab w:val="right" w:leader="dot" w:pos="9680"/>
        </w:tabs>
        <w:rPr>
          <w:rFonts w:asciiTheme="minorHAnsi" w:eastAsiaTheme="minorEastAsia" w:hAnsiTheme="minorHAnsi" w:cstheme="minorBidi"/>
          <w:noProof/>
          <w:szCs w:val="22"/>
          <w:lang w:eastAsia="es-CL"/>
        </w:rPr>
      </w:pPr>
      <w:hyperlink w:anchor="_Toc39797933" w:history="1">
        <w:r w:rsidR="00197B00" w:rsidRPr="00616B68">
          <w:rPr>
            <w:rStyle w:val="Hipervnculo"/>
            <w:noProof/>
          </w:rPr>
          <w:t>Tabla 23: Vehículos cuadrillas de terreno</w:t>
        </w:r>
        <w:r w:rsidR="00197B00">
          <w:rPr>
            <w:noProof/>
            <w:webHidden/>
          </w:rPr>
          <w:tab/>
        </w:r>
        <w:r w:rsidR="00197B00">
          <w:rPr>
            <w:noProof/>
            <w:webHidden/>
          </w:rPr>
          <w:fldChar w:fldCharType="begin"/>
        </w:r>
        <w:r w:rsidR="00197B00">
          <w:rPr>
            <w:noProof/>
            <w:webHidden/>
          </w:rPr>
          <w:instrText xml:space="preserve"> PAGEREF _Toc39797933 \h </w:instrText>
        </w:r>
        <w:r w:rsidR="00197B00">
          <w:rPr>
            <w:noProof/>
            <w:webHidden/>
          </w:rPr>
        </w:r>
        <w:r w:rsidR="00197B00">
          <w:rPr>
            <w:noProof/>
            <w:webHidden/>
          </w:rPr>
          <w:fldChar w:fldCharType="separate"/>
        </w:r>
        <w:r w:rsidR="001F3E2E">
          <w:rPr>
            <w:noProof/>
            <w:webHidden/>
          </w:rPr>
          <w:t>84</w:t>
        </w:r>
        <w:r w:rsidR="00197B00">
          <w:rPr>
            <w:noProof/>
            <w:webHidden/>
          </w:rPr>
          <w:fldChar w:fldCharType="end"/>
        </w:r>
      </w:hyperlink>
    </w:p>
    <w:p w14:paraId="387733CD" w14:textId="77777777" w:rsidR="00197B00" w:rsidRDefault="0088072F">
      <w:pPr>
        <w:pStyle w:val="Tabladeilustraciones"/>
        <w:tabs>
          <w:tab w:val="right" w:leader="dot" w:pos="9680"/>
        </w:tabs>
        <w:rPr>
          <w:rFonts w:asciiTheme="minorHAnsi" w:eastAsiaTheme="minorEastAsia" w:hAnsiTheme="minorHAnsi" w:cstheme="minorBidi"/>
          <w:noProof/>
          <w:szCs w:val="22"/>
          <w:lang w:eastAsia="es-CL"/>
        </w:rPr>
      </w:pPr>
      <w:hyperlink w:anchor="_Toc39797934" w:history="1">
        <w:r w:rsidR="00197B00" w:rsidRPr="00616B68">
          <w:rPr>
            <w:rStyle w:val="Hipervnculo"/>
            <w:noProof/>
          </w:rPr>
          <w:t>Tabla 24: Muestra empresas tecnológicas</w:t>
        </w:r>
        <w:r w:rsidR="00197B00">
          <w:rPr>
            <w:noProof/>
            <w:webHidden/>
          </w:rPr>
          <w:tab/>
        </w:r>
        <w:r w:rsidR="00197B00">
          <w:rPr>
            <w:noProof/>
            <w:webHidden/>
          </w:rPr>
          <w:fldChar w:fldCharType="begin"/>
        </w:r>
        <w:r w:rsidR="00197B00">
          <w:rPr>
            <w:noProof/>
            <w:webHidden/>
          </w:rPr>
          <w:instrText xml:space="preserve"> PAGEREF _Toc39797934 \h </w:instrText>
        </w:r>
        <w:r w:rsidR="00197B00">
          <w:rPr>
            <w:noProof/>
            <w:webHidden/>
          </w:rPr>
        </w:r>
        <w:r w:rsidR="00197B00">
          <w:rPr>
            <w:noProof/>
            <w:webHidden/>
          </w:rPr>
          <w:fldChar w:fldCharType="separate"/>
        </w:r>
        <w:r w:rsidR="001F3E2E">
          <w:rPr>
            <w:noProof/>
            <w:webHidden/>
          </w:rPr>
          <w:t>90</w:t>
        </w:r>
        <w:r w:rsidR="00197B00">
          <w:rPr>
            <w:noProof/>
            <w:webHidden/>
          </w:rPr>
          <w:fldChar w:fldCharType="end"/>
        </w:r>
      </w:hyperlink>
    </w:p>
    <w:p w14:paraId="500B1E7B" w14:textId="77777777" w:rsidR="00197B00" w:rsidRDefault="0088072F">
      <w:pPr>
        <w:pStyle w:val="Tabladeilustraciones"/>
        <w:tabs>
          <w:tab w:val="right" w:leader="dot" w:pos="9680"/>
        </w:tabs>
        <w:rPr>
          <w:rFonts w:asciiTheme="minorHAnsi" w:eastAsiaTheme="minorEastAsia" w:hAnsiTheme="minorHAnsi" w:cstheme="minorBidi"/>
          <w:noProof/>
          <w:szCs w:val="22"/>
          <w:lang w:eastAsia="es-CL"/>
        </w:rPr>
      </w:pPr>
      <w:hyperlink w:anchor="_Toc39797935" w:history="1">
        <w:r w:rsidR="00197B00" w:rsidRPr="00616B68">
          <w:rPr>
            <w:rStyle w:val="Hipervnculo"/>
            <w:noProof/>
          </w:rPr>
          <w:t>Tabla 25 Cuadrillas de contratista</w:t>
        </w:r>
        <w:r w:rsidR="00197B00">
          <w:rPr>
            <w:noProof/>
            <w:webHidden/>
          </w:rPr>
          <w:tab/>
        </w:r>
        <w:r w:rsidR="00197B00">
          <w:rPr>
            <w:noProof/>
            <w:webHidden/>
          </w:rPr>
          <w:fldChar w:fldCharType="begin"/>
        </w:r>
        <w:r w:rsidR="00197B00">
          <w:rPr>
            <w:noProof/>
            <w:webHidden/>
          </w:rPr>
          <w:instrText xml:space="preserve"> PAGEREF _Toc39797935 \h </w:instrText>
        </w:r>
        <w:r w:rsidR="00197B00">
          <w:rPr>
            <w:noProof/>
            <w:webHidden/>
          </w:rPr>
        </w:r>
        <w:r w:rsidR="00197B00">
          <w:rPr>
            <w:noProof/>
            <w:webHidden/>
          </w:rPr>
          <w:fldChar w:fldCharType="separate"/>
        </w:r>
        <w:r w:rsidR="001F3E2E">
          <w:rPr>
            <w:noProof/>
            <w:webHidden/>
          </w:rPr>
          <w:t>101</w:t>
        </w:r>
        <w:r w:rsidR="00197B00">
          <w:rPr>
            <w:noProof/>
            <w:webHidden/>
          </w:rPr>
          <w:fldChar w:fldCharType="end"/>
        </w:r>
      </w:hyperlink>
    </w:p>
    <w:p w14:paraId="559D3ACF" w14:textId="77777777" w:rsidR="00197B00" w:rsidRDefault="0088072F">
      <w:pPr>
        <w:pStyle w:val="Tabladeilustraciones"/>
        <w:tabs>
          <w:tab w:val="right" w:leader="dot" w:pos="9680"/>
        </w:tabs>
        <w:rPr>
          <w:rFonts w:asciiTheme="minorHAnsi" w:eastAsiaTheme="minorEastAsia" w:hAnsiTheme="minorHAnsi" w:cstheme="minorBidi"/>
          <w:noProof/>
          <w:szCs w:val="22"/>
          <w:lang w:eastAsia="es-CL"/>
        </w:rPr>
      </w:pPr>
      <w:hyperlink w:anchor="_Toc39797936" w:history="1">
        <w:r w:rsidR="00197B00" w:rsidRPr="00616B68">
          <w:rPr>
            <w:rStyle w:val="Hipervnculo"/>
            <w:noProof/>
          </w:rPr>
          <w:t>Tabla 26: Costo personal terciarizado y propio</w:t>
        </w:r>
        <w:r w:rsidR="00197B00">
          <w:rPr>
            <w:noProof/>
            <w:webHidden/>
          </w:rPr>
          <w:tab/>
        </w:r>
        <w:r w:rsidR="00197B00">
          <w:rPr>
            <w:noProof/>
            <w:webHidden/>
          </w:rPr>
          <w:fldChar w:fldCharType="begin"/>
        </w:r>
        <w:r w:rsidR="00197B00">
          <w:rPr>
            <w:noProof/>
            <w:webHidden/>
          </w:rPr>
          <w:instrText xml:space="preserve"> PAGEREF _Toc39797936 \h </w:instrText>
        </w:r>
        <w:r w:rsidR="00197B00">
          <w:rPr>
            <w:noProof/>
            <w:webHidden/>
          </w:rPr>
        </w:r>
        <w:r w:rsidR="00197B00">
          <w:rPr>
            <w:noProof/>
            <w:webHidden/>
          </w:rPr>
          <w:fldChar w:fldCharType="separate"/>
        </w:r>
        <w:r w:rsidR="001F3E2E">
          <w:rPr>
            <w:noProof/>
            <w:webHidden/>
          </w:rPr>
          <w:t>103</w:t>
        </w:r>
        <w:r w:rsidR="00197B00">
          <w:rPr>
            <w:noProof/>
            <w:webHidden/>
          </w:rPr>
          <w:fldChar w:fldCharType="end"/>
        </w:r>
      </w:hyperlink>
    </w:p>
    <w:p w14:paraId="0BE60725" w14:textId="77777777" w:rsidR="00197B00" w:rsidRDefault="0088072F">
      <w:pPr>
        <w:pStyle w:val="Tabladeilustraciones"/>
        <w:tabs>
          <w:tab w:val="right" w:leader="dot" w:pos="9680"/>
        </w:tabs>
        <w:rPr>
          <w:rFonts w:asciiTheme="minorHAnsi" w:eastAsiaTheme="minorEastAsia" w:hAnsiTheme="minorHAnsi" w:cstheme="minorBidi"/>
          <w:noProof/>
          <w:szCs w:val="22"/>
          <w:lang w:eastAsia="es-CL"/>
        </w:rPr>
      </w:pPr>
      <w:hyperlink w:anchor="_Toc39797937" w:history="1">
        <w:r w:rsidR="00197B00" w:rsidRPr="00616B68">
          <w:rPr>
            <w:rStyle w:val="Hipervnculo"/>
            <w:noProof/>
          </w:rPr>
          <w:t>Tabla 27: Costo cuadrillas externalizadas</w:t>
        </w:r>
        <w:r w:rsidR="00197B00">
          <w:rPr>
            <w:noProof/>
            <w:webHidden/>
          </w:rPr>
          <w:tab/>
        </w:r>
        <w:r w:rsidR="00197B00">
          <w:rPr>
            <w:noProof/>
            <w:webHidden/>
          </w:rPr>
          <w:fldChar w:fldCharType="begin"/>
        </w:r>
        <w:r w:rsidR="00197B00">
          <w:rPr>
            <w:noProof/>
            <w:webHidden/>
          </w:rPr>
          <w:instrText xml:space="preserve"> PAGEREF _Toc39797937 \h </w:instrText>
        </w:r>
        <w:r w:rsidR="00197B00">
          <w:rPr>
            <w:noProof/>
            <w:webHidden/>
          </w:rPr>
        </w:r>
        <w:r w:rsidR="00197B00">
          <w:rPr>
            <w:noProof/>
            <w:webHidden/>
          </w:rPr>
          <w:fldChar w:fldCharType="separate"/>
        </w:r>
        <w:r w:rsidR="001F3E2E">
          <w:rPr>
            <w:noProof/>
            <w:webHidden/>
          </w:rPr>
          <w:t>106</w:t>
        </w:r>
        <w:r w:rsidR="00197B00">
          <w:rPr>
            <w:noProof/>
            <w:webHidden/>
          </w:rPr>
          <w:fldChar w:fldCharType="end"/>
        </w:r>
      </w:hyperlink>
    </w:p>
    <w:p w14:paraId="12ACD828" w14:textId="77777777" w:rsidR="00197B00" w:rsidRDefault="0088072F">
      <w:pPr>
        <w:pStyle w:val="Tabladeilustraciones"/>
        <w:tabs>
          <w:tab w:val="right" w:leader="dot" w:pos="9680"/>
        </w:tabs>
        <w:rPr>
          <w:rFonts w:asciiTheme="minorHAnsi" w:eastAsiaTheme="minorEastAsia" w:hAnsiTheme="minorHAnsi" w:cstheme="minorBidi"/>
          <w:noProof/>
          <w:szCs w:val="22"/>
          <w:lang w:eastAsia="es-CL"/>
        </w:rPr>
      </w:pPr>
      <w:hyperlink w:anchor="_Toc39797938" w:history="1">
        <w:r w:rsidR="00197B00" w:rsidRPr="00616B68">
          <w:rPr>
            <w:rStyle w:val="Hipervnculo"/>
            <w:noProof/>
          </w:rPr>
          <w:t>Tabla 28: Premisas cálculo seguros</w:t>
        </w:r>
        <w:r w:rsidR="00197B00">
          <w:rPr>
            <w:noProof/>
            <w:webHidden/>
          </w:rPr>
          <w:tab/>
        </w:r>
        <w:r w:rsidR="00197B00">
          <w:rPr>
            <w:noProof/>
            <w:webHidden/>
          </w:rPr>
          <w:fldChar w:fldCharType="begin"/>
        </w:r>
        <w:r w:rsidR="00197B00">
          <w:rPr>
            <w:noProof/>
            <w:webHidden/>
          </w:rPr>
          <w:instrText xml:space="preserve"> PAGEREF _Toc39797938 \h </w:instrText>
        </w:r>
        <w:r w:rsidR="00197B00">
          <w:rPr>
            <w:noProof/>
            <w:webHidden/>
          </w:rPr>
        </w:r>
        <w:r w:rsidR="00197B00">
          <w:rPr>
            <w:noProof/>
            <w:webHidden/>
          </w:rPr>
          <w:fldChar w:fldCharType="separate"/>
        </w:r>
        <w:r w:rsidR="001F3E2E">
          <w:rPr>
            <w:noProof/>
            <w:webHidden/>
          </w:rPr>
          <w:t>113</w:t>
        </w:r>
        <w:r w:rsidR="00197B00">
          <w:rPr>
            <w:noProof/>
            <w:webHidden/>
          </w:rPr>
          <w:fldChar w:fldCharType="end"/>
        </w:r>
      </w:hyperlink>
    </w:p>
    <w:p w14:paraId="0BED3579" w14:textId="77777777" w:rsidR="00197B00" w:rsidRDefault="0088072F">
      <w:pPr>
        <w:pStyle w:val="Tabladeilustraciones"/>
        <w:tabs>
          <w:tab w:val="right" w:leader="dot" w:pos="9680"/>
        </w:tabs>
        <w:rPr>
          <w:rFonts w:asciiTheme="minorHAnsi" w:eastAsiaTheme="minorEastAsia" w:hAnsiTheme="minorHAnsi" w:cstheme="minorBidi"/>
          <w:noProof/>
          <w:szCs w:val="22"/>
          <w:lang w:eastAsia="es-CL"/>
        </w:rPr>
      </w:pPr>
      <w:hyperlink w:anchor="_Toc39797939" w:history="1">
        <w:r w:rsidR="00197B00" w:rsidRPr="00616B68">
          <w:rPr>
            <w:rStyle w:val="Hipervnculo"/>
            <w:noProof/>
          </w:rPr>
          <w:t>Tabla 29: área por tipo de empleado en edificio corporativo</w:t>
        </w:r>
        <w:r w:rsidR="00197B00">
          <w:rPr>
            <w:noProof/>
            <w:webHidden/>
          </w:rPr>
          <w:tab/>
        </w:r>
        <w:r w:rsidR="00197B00">
          <w:rPr>
            <w:noProof/>
            <w:webHidden/>
          </w:rPr>
          <w:fldChar w:fldCharType="begin"/>
        </w:r>
        <w:r w:rsidR="00197B00">
          <w:rPr>
            <w:noProof/>
            <w:webHidden/>
          </w:rPr>
          <w:instrText xml:space="preserve"> PAGEREF _Toc39797939 \h </w:instrText>
        </w:r>
        <w:r w:rsidR="00197B00">
          <w:rPr>
            <w:noProof/>
            <w:webHidden/>
          </w:rPr>
        </w:r>
        <w:r w:rsidR="00197B00">
          <w:rPr>
            <w:noProof/>
            <w:webHidden/>
          </w:rPr>
          <w:fldChar w:fldCharType="separate"/>
        </w:r>
        <w:r w:rsidR="001F3E2E">
          <w:rPr>
            <w:noProof/>
            <w:webHidden/>
          </w:rPr>
          <w:t>120</w:t>
        </w:r>
        <w:r w:rsidR="00197B00">
          <w:rPr>
            <w:noProof/>
            <w:webHidden/>
          </w:rPr>
          <w:fldChar w:fldCharType="end"/>
        </w:r>
      </w:hyperlink>
    </w:p>
    <w:p w14:paraId="26292C9D" w14:textId="77777777" w:rsidR="00197B00" w:rsidRDefault="0088072F">
      <w:pPr>
        <w:pStyle w:val="Tabladeilustraciones"/>
        <w:tabs>
          <w:tab w:val="right" w:leader="dot" w:pos="9680"/>
        </w:tabs>
        <w:rPr>
          <w:rFonts w:asciiTheme="minorHAnsi" w:eastAsiaTheme="minorEastAsia" w:hAnsiTheme="minorHAnsi" w:cstheme="minorBidi"/>
          <w:noProof/>
          <w:szCs w:val="22"/>
          <w:lang w:eastAsia="es-CL"/>
        </w:rPr>
      </w:pPr>
      <w:hyperlink w:anchor="_Toc39797940" w:history="1">
        <w:r w:rsidR="00197B00" w:rsidRPr="00616B68">
          <w:rPr>
            <w:rStyle w:val="Hipervnculo"/>
            <w:noProof/>
          </w:rPr>
          <w:t>Tabla 30: área por bodega</w:t>
        </w:r>
        <w:r w:rsidR="00197B00">
          <w:rPr>
            <w:noProof/>
            <w:webHidden/>
          </w:rPr>
          <w:tab/>
        </w:r>
        <w:r w:rsidR="00197B00">
          <w:rPr>
            <w:noProof/>
            <w:webHidden/>
          </w:rPr>
          <w:fldChar w:fldCharType="begin"/>
        </w:r>
        <w:r w:rsidR="00197B00">
          <w:rPr>
            <w:noProof/>
            <w:webHidden/>
          </w:rPr>
          <w:instrText xml:space="preserve"> PAGEREF _Toc39797940 \h </w:instrText>
        </w:r>
        <w:r w:rsidR="00197B00">
          <w:rPr>
            <w:noProof/>
            <w:webHidden/>
          </w:rPr>
        </w:r>
        <w:r w:rsidR="00197B00">
          <w:rPr>
            <w:noProof/>
            <w:webHidden/>
          </w:rPr>
          <w:fldChar w:fldCharType="separate"/>
        </w:r>
        <w:r w:rsidR="001F3E2E">
          <w:rPr>
            <w:noProof/>
            <w:webHidden/>
          </w:rPr>
          <w:t>120</w:t>
        </w:r>
        <w:r w:rsidR="00197B00">
          <w:rPr>
            <w:noProof/>
            <w:webHidden/>
          </w:rPr>
          <w:fldChar w:fldCharType="end"/>
        </w:r>
      </w:hyperlink>
    </w:p>
    <w:p w14:paraId="14A14BB8" w14:textId="77777777" w:rsidR="00197B00" w:rsidRDefault="0088072F">
      <w:pPr>
        <w:pStyle w:val="Tabladeilustraciones"/>
        <w:tabs>
          <w:tab w:val="right" w:leader="dot" w:pos="9680"/>
        </w:tabs>
        <w:rPr>
          <w:rFonts w:asciiTheme="minorHAnsi" w:eastAsiaTheme="minorEastAsia" w:hAnsiTheme="minorHAnsi" w:cstheme="minorBidi"/>
          <w:noProof/>
          <w:szCs w:val="22"/>
          <w:lang w:eastAsia="es-CL"/>
        </w:rPr>
      </w:pPr>
      <w:hyperlink w:anchor="_Toc39797941" w:history="1">
        <w:r w:rsidR="00197B00" w:rsidRPr="00616B68">
          <w:rPr>
            <w:rStyle w:val="Hipervnculo"/>
            <w:noProof/>
          </w:rPr>
          <w:t>Tabla 31: ratio compra/arriendo instalaciones</w:t>
        </w:r>
        <w:r w:rsidR="00197B00">
          <w:rPr>
            <w:noProof/>
            <w:webHidden/>
          </w:rPr>
          <w:tab/>
        </w:r>
        <w:r w:rsidR="00197B00">
          <w:rPr>
            <w:noProof/>
            <w:webHidden/>
          </w:rPr>
          <w:fldChar w:fldCharType="begin"/>
        </w:r>
        <w:r w:rsidR="00197B00">
          <w:rPr>
            <w:noProof/>
            <w:webHidden/>
          </w:rPr>
          <w:instrText xml:space="preserve"> PAGEREF _Toc39797941 \h </w:instrText>
        </w:r>
        <w:r w:rsidR="00197B00">
          <w:rPr>
            <w:noProof/>
            <w:webHidden/>
          </w:rPr>
        </w:r>
        <w:r w:rsidR="00197B00">
          <w:rPr>
            <w:noProof/>
            <w:webHidden/>
          </w:rPr>
          <w:fldChar w:fldCharType="separate"/>
        </w:r>
        <w:r w:rsidR="001F3E2E">
          <w:rPr>
            <w:noProof/>
            <w:webHidden/>
          </w:rPr>
          <w:t>121</w:t>
        </w:r>
        <w:r w:rsidR="00197B00">
          <w:rPr>
            <w:noProof/>
            <w:webHidden/>
          </w:rPr>
          <w:fldChar w:fldCharType="end"/>
        </w:r>
      </w:hyperlink>
    </w:p>
    <w:p w14:paraId="0AE28CAB" w14:textId="77777777" w:rsidR="00197B00" w:rsidRDefault="0088072F">
      <w:pPr>
        <w:pStyle w:val="Tabladeilustraciones"/>
        <w:tabs>
          <w:tab w:val="right" w:leader="dot" w:pos="9680"/>
        </w:tabs>
        <w:rPr>
          <w:rFonts w:asciiTheme="minorHAnsi" w:eastAsiaTheme="minorEastAsia" w:hAnsiTheme="minorHAnsi" w:cstheme="minorBidi"/>
          <w:noProof/>
          <w:szCs w:val="22"/>
          <w:lang w:eastAsia="es-CL"/>
        </w:rPr>
      </w:pPr>
      <w:hyperlink w:anchor="_Toc39797942" w:history="1">
        <w:r w:rsidR="00197B00" w:rsidRPr="00616B68">
          <w:rPr>
            <w:rStyle w:val="Hipervnculo"/>
            <w:noProof/>
          </w:rPr>
          <w:t>Tabla 32: descripción herramientas por tipo cuadrilla</w:t>
        </w:r>
        <w:r w:rsidR="00197B00">
          <w:rPr>
            <w:noProof/>
            <w:webHidden/>
          </w:rPr>
          <w:tab/>
        </w:r>
        <w:r w:rsidR="00197B00">
          <w:rPr>
            <w:noProof/>
            <w:webHidden/>
          </w:rPr>
          <w:fldChar w:fldCharType="begin"/>
        </w:r>
        <w:r w:rsidR="00197B00">
          <w:rPr>
            <w:noProof/>
            <w:webHidden/>
          </w:rPr>
          <w:instrText xml:space="preserve"> PAGEREF _Toc39797942 \h </w:instrText>
        </w:r>
        <w:r w:rsidR="00197B00">
          <w:rPr>
            <w:noProof/>
            <w:webHidden/>
          </w:rPr>
        </w:r>
        <w:r w:rsidR="00197B00">
          <w:rPr>
            <w:noProof/>
            <w:webHidden/>
          </w:rPr>
          <w:fldChar w:fldCharType="separate"/>
        </w:r>
        <w:r w:rsidR="001F3E2E">
          <w:rPr>
            <w:noProof/>
            <w:webHidden/>
          </w:rPr>
          <w:t>122</w:t>
        </w:r>
        <w:r w:rsidR="00197B00">
          <w:rPr>
            <w:noProof/>
            <w:webHidden/>
          </w:rPr>
          <w:fldChar w:fldCharType="end"/>
        </w:r>
      </w:hyperlink>
    </w:p>
    <w:p w14:paraId="303B1FCA" w14:textId="77777777" w:rsidR="00197B00" w:rsidRDefault="0088072F">
      <w:pPr>
        <w:pStyle w:val="Tabladeilustraciones"/>
        <w:tabs>
          <w:tab w:val="right" w:leader="dot" w:pos="9680"/>
        </w:tabs>
        <w:rPr>
          <w:rFonts w:asciiTheme="minorHAnsi" w:eastAsiaTheme="minorEastAsia" w:hAnsiTheme="minorHAnsi" w:cstheme="minorBidi"/>
          <w:noProof/>
          <w:szCs w:val="22"/>
          <w:lang w:eastAsia="es-CL"/>
        </w:rPr>
      </w:pPr>
      <w:hyperlink w:anchor="_Toc39797943" w:history="1">
        <w:r w:rsidR="00197B00" w:rsidRPr="00616B68">
          <w:rPr>
            <w:rStyle w:val="Hipervnculo"/>
            <w:noProof/>
          </w:rPr>
          <w:t>Tabla 33: asignación hardware</w:t>
        </w:r>
        <w:r w:rsidR="00197B00">
          <w:rPr>
            <w:noProof/>
            <w:webHidden/>
          </w:rPr>
          <w:tab/>
        </w:r>
        <w:r w:rsidR="00197B00">
          <w:rPr>
            <w:noProof/>
            <w:webHidden/>
          </w:rPr>
          <w:fldChar w:fldCharType="begin"/>
        </w:r>
        <w:r w:rsidR="00197B00">
          <w:rPr>
            <w:noProof/>
            <w:webHidden/>
          </w:rPr>
          <w:instrText xml:space="preserve"> PAGEREF _Toc39797943 \h </w:instrText>
        </w:r>
        <w:r w:rsidR="00197B00">
          <w:rPr>
            <w:noProof/>
            <w:webHidden/>
          </w:rPr>
        </w:r>
        <w:r w:rsidR="00197B00">
          <w:rPr>
            <w:noProof/>
            <w:webHidden/>
          </w:rPr>
          <w:fldChar w:fldCharType="separate"/>
        </w:r>
        <w:r w:rsidR="001F3E2E">
          <w:rPr>
            <w:noProof/>
            <w:webHidden/>
          </w:rPr>
          <w:t>124</w:t>
        </w:r>
        <w:r w:rsidR="00197B00">
          <w:rPr>
            <w:noProof/>
            <w:webHidden/>
          </w:rPr>
          <w:fldChar w:fldCharType="end"/>
        </w:r>
      </w:hyperlink>
    </w:p>
    <w:p w14:paraId="673F4D8A" w14:textId="77777777" w:rsidR="00197B00" w:rsidRDefault="0088072F">
      <w:pPr>
        <w:pStyle w:val="Tabladeilustraciones"/>
        <w:tabs>
          <w:tab w:val="right" w:leader="dot" w:pos="9680"/>
        </w:tabs>
        <w:rPr>
          <w:rFonts w:asciiTheme="minorHAnsi" w:eastAsiaTheme="minorEastAsia" w:hAnsiTheme="minorHAnsi" w:cstheme="minorBidi"/>
          <w:noProof/>
          <w:szCs w:val="22"/>
          <w:lang w:eastAsia="es-CL"/>
        </w:rPr>
      </w:pPr>
      <w:hyperlink w:anchor="_Toc39797944" w:history="1">
        <w:r w:rsidR="00197B00" w:rsidRPr="00616B68">
          <w:rPr>
            <w:rStyle w:val="Hipervnculo"/>
            <w:noProof/>
          </w:rPr>
          <w:t>Tabla 34: asignación software</w:t>
        </w:r>
        <w:r w:rsidR="00197B00">
          <w:rPr>
            <w:noProof/>
            <w:webHidden/>
          </w:rPr>
          <w:tab/>
        </w:r>
        <w:r w:rsidR="00197B00">
          <w:rPr>
            <w:noProof/>
            <w:webHidden/>
          </w:rPr>
          <w:fldChar w:fldCharType="begin"/>
        </w:r>
        <w:r w:rsidR="00197B00">
          <w:rPr>
            <w:noProof/>
            <w:webHidden/>
          </w:rPr>
          <w:instrText xml:space="preserve"> PAGEREF _Toc39797944 \h </w:instrText>
        </w:r>
        <w:r w:rsidR="00197B00">
          <w:rPr>
            <w:noProof/>
            <w:webHidden/>
          </w:rPr>
        </w:r>
        <w:r w:rsidR="00197B00">
          <w:rPr>
            <w:noProof/>
            <w:webHidden/>
          </w:rPr>
          <w:fldChar w:fldCharType="separate"/>
        </w:r>
        <w:r w:rsidR="001F3E2E">
          <w:rPr>
            <w:noProof/>
            <w:webHidden/>
          </w:rPr>
          <w:t>125</w:t>
        </w:r>
        <w:r w:rsidR="00197B00">
          <w:rPr>
            <w:noProof/>
            <w:webHidden/>
          </w:rPr>
          <w:fldChar w:fldCharType="end"/>
        </w:r>
      </w:hyperlink>
    </w:p>
    <w:p w14:paraId="028E9A14" w14:textId="77777777" w:rsidR="00197B00" w:rsidRDefault="0088072F">
      <w:pPr>
        <w:pStyle w:val="Tabladeilustraciones"/>
        <w:tabs>
          <w:tab w:val="right" w:leader="dot" w:pos="9680"/>
        </w:tabs>
        <w:rPr>
          <w:rFonts w:asciiTheme="minorHAnsi" w:eastAsiaTheme="minorEastAsia" w:hAnsiTheme="minorHAnsi" w:cstheme="minorBidi"/>
          <w:noProof/>
          <w:szCs w:val="22"/>
          <w:lang w:eastAsia="es-CL"/>
        </w:rPr>
      </w:pPr>
      <w:hyperlink w:anchor="_Toc39797945" w:history="1">
        <w:r w:rsidR="00197B00" w:rsidRPr="00616B68">
          <w:rPr>
            <w:rStyle w:val="Hipervnculo"/>
            <w:noProof/>
          </w:rPr>
          <w:t>Tabla 35: subsistemas de los sistemas ERP</w:t>
        </w:r>
        <w:r w:rsidR="00197B00">
          <w:rPr>
            <w:noProof/>
            <w:webHidden/>
          </w:rPr>
          <w:tab/>
        </w:r>
        <w:r w:rsidR="00197B00">
          <w:rPr>
            <w:noProof/>
            <w:webHidden/>
          </w:rPr>
          <w:fldChar w:fldCharType="begin"/>
        </w:r>
        <w:r w:rsidR="00197B00">
          <w:rPr>
            <w:noProof/>
            <w:webHidden/>
          </w:rPr>
          <w:instrText xml:space="preserve"> PAGEREF _Toc39797945 \h </w:instrText>
        </w:r>
        <w:r w:rsidR="00197B00">
          <w:rPr>
            <w:noProof/>
            <w:webHidden/>
          </w:rPr>
        </w:r>
        <w:r w:rsidR="00197B00">
          <w:rPr>
            <w:noProof/>
            <w:webHidden/>
          </w:rPr>
          <w:fldChar w:fldCharType="separate"/>
        </w:r>
        <w:r w:rsidR="001F3E2E">
          <w:rPr>
            <w:noProof/>
            <w:webHidden/>
          </w:rPr>
          <w:t>126</w:t>
        </w:r>
        <w:r w:rsidR="00197B00">
          <w:rPr>
            <w:noProof/>
            <w:webHidden/>
          </w:rPr>
          <w:fldChar w:fldCharType="end"/>
        </w:r>
      </w:hyperlink>
    </w:p>
    <w:p w14:paraId="33B996CE" w14:textId="77777777" w:rsidR="00197B00" w:rsidRDefault="0088072F">
      <w:pPr>
        <w:pStyle w:val="Tabladeilustraciones"/>
        <w:tabs>
          <w:tab w:val="right" w:leader="dot" w:pos="9680"/>
        </w:tabs>
        <w:rPr>
          <w:rFonts w:asciiTheme="minorHAnsi" w:eastAsiaTheme="minorEastAsia" w:hAnsiTheme="minorHAnsi" w:cstheme="minorBidi"/>
          <w:noProof/>
          <w:szCs w:val="22"/>
          <w:lang w:eastAsia="es-CL"/>
        </w:rPr>
      </w:pPr>
      <w:hyperlink w:anchor="_Toc39797946" w:history="1">
        <w:r w:rsidR="00197B00" w:rsidRPr="00616B68">
          <w:rPr>
            <w:rStyle w:val="Hipervnculo"/>
            <w:noProof/>
          </w:rPr>
          <w:t xml:space="preserve">Tabla 36: </w:t>
        </w:r>
        <w:r w:rsidR="00197B00" w:rsidRPr="00616B68">
          <w:rPr>
            <w:rStyle w:val="Hipervnculo"/>
            <w:noProof/>
            <w:lang w:val="es-ES"/>
          </w:rPr>
          <w:t>Sistema de Información Geográfica</w:t>
        </w:r>
        <w:r w:rsidR="00197B00">
          <w:rPr>
            <w:noProof/>
            <w:webHidden/>
          </w:rPr>
          <w:tab/>
        </w:r>
        <w:r w:rsidR="00197B00">
          <w:rPr>
            <w:noProof/>
            <w:webHidden/>
          </w:rPr>
          <w:fldChar w:fldCharType="begin"/>
        </w:r>
        <w:r w:rsidR="00197B00">
          <w:rPr>
            <w:noProof/>
            <w:webHidden/>
          </w:rPr>
          <w:instrText xml:space="preserve"> PAGEREF _Toc39797946 \h </w:instrText>
        </w:r>
        <w:r w:rsidR="00197B00">
          <w:rPr>
            <w:noProof/>
            <w:webHidden/>
          </w:rPr>
        </w:r>
        <w:r w:rsidR="00197B00">
          <w:rPr>
            <w:noProof/>
            <w:webHidden/>
          </w:rPr>
          <w:fldChar w:fldCharType="separate"/>
        </w:r>
        <w:r w:rsidR="001F3E2E">
          <w:rPr>
            <w:noProof/>
            <w:webHidden/>
          </w:rPr>
          <w:t>128</w:t>
        </w:r>
        <w:r w:rsidR="00197B00">
          <w:rPr>
            <w:noProof/>
            <w:webHidden/>
          </w:rPr>
          <w:fldChar w:fldCharType="end"/>
        </w:r>
      </w:hyperlink>
    </w:p>
    <w:p w14:paraId="71DB36C0" w14:textId="77777777" w:rsidR="00197B00" w:rsidRDefault="0088072F">
      <w:pPr>
        <w:pStyle w:val="Tabladeilustraciones"/>
        <w:tabs>
          <w:tab w:val="right" w:leader="dot" w:pos="9680"/>
        </w:tabs>
        <w:rPr>
          <w:rFonts w:asciiTheme="minorHAnsi" w:eastAsiaTheme="minorEastAsia" w:hAnsiTheme="minorHAnsi" w:cstheme="minorBidi"/>
          <w:noProof/>
          <w:szCs w:val="22"/>
          <w:lang w:eastAsia="es-CL"/>
        </w:rPr>
      </w:pPr>
      <w:hyperlink w:anchor="_Toc39797947" w:history="1">
        <w:r w:rsidR="00197B00" w:rsidRPr="00616B68">
          <w:rPr>
            <w:rStyle w:val="Hipervnculo"/>
            <w:noProof/>
          </w:rPr>
          <w:t xml:space="preserve">Tabla 37: </w:t>
        </w:r>
        <w:r w:rsidR="00197B00" w:rsidRPr="00616B68">
          <w:rPr>
            <w:rStyle w:val="Hipervnculo"/>
            <w:bCs/>
            <w:noProof/>
            <w:lang w:val="es-ES"/>
          </w:rPr>
          <w:t>Sistemas de Mantención</w:t>
        </w:r>
        <w:r w:rsidR="00197B00">
          <w:rPr>
            <w:noProof/>
            <w:webHidden/>
          </w:rPr>
          <w:tab/>
        </w:r>
        <w:r w:rsidR="00197B00">
          <w:rPr>
            <w:noProof/>
            <w:webHidden/>
          </w:rPr>
          <w:fldChar w:fldCharType="begin"/>
        </w:r>
        <w:r w:rsidR="00197B00">
          <w:rPr>
            <w:noProof/>
            <w:webHidden/>
          </w:rPr>
          <w:instrText xml:space="preserve"> PAGEREF _Toc39797947 \h </w:instrText>
        </w:r>
        <w:r w:rsidR="00197B00">
          <w:rPr>
            <w:noProof/>
            <w:webHidden/>
          </w:rPr>
        </w:r>
        <w:r w:rsidR="00197B00">
          <w:rPr>
            <w:noProof/>
            <w:webHidden/>
          </w:rPr>
          <w:fldChar w:fldCharType="separate"/>
        </w:r>
        <w:r w:rsidR="001F3E2E">
          <w:rPr>
            <w:noProof/>
            <w:webHidden/>
          </w:rPr>
          <w:t>129</w:t>
        </w:r>
        <w:r w:rsidR="00197B00">
          <w:rPr>
            <w:noProof/>
            <w:webHidden/>
          </w:rPr>
          <w:fldChar w:fldCharType="end"/>
        </w:r>
      </w:hyperlink>
    </w:p>
    <w:p w14:paraId="01D05366" w14:textId="77777777" w:rsidR="00197B00" w:rsidRDefault="0088072F">
      <w:pPr>
        <w:pStyle w:val="Tabladeilustraciones"/>
        <w:tabs>
          <w:tab w:val="right" w:leader="dot" w:pos="9680"/>
        </w:tabs>
        <w:rPr>
          <w:rFonts w:asciiTheme="minorHAnsi" w:eastAsiaTheme="minorEastAsia" w:hAnsiTheme="minorHAnsi" w:cstheme="minorBidi"/>
          <w:noProof/>
          <w:szCs w:val="22"/>
          <w:lang w:eastAsia="es-CL"/>
        </w:rPr>
      </w:pPr>
      <w:hyperlink w:anchor="_Toc39797948" w:history="1">
        <w:r w:rsidR="00197B00" w:rsidRPr="00616B68">
          <w:rPr>
            <w:rStyle w:val="Hipervnculo"/>
            <w:noProof/>
          </w:rPr>
          <w:t>Tabla 38: Análisis compra vs renta vehículos</w:t>
        </w:r>
        <w:r w:rsidR="00197B00">
          <w:rPr>
            <w:noProof/>
            <w:webHidden/>
          </w:rPr>
          <w:tab/>
        </w:r>
        <w:r w:rsidR="00197B00">
          <w:rPr>
            <w:noProof/>
            <w:webHidden/>
          </w:rPr>
          <w:fldChar w:fldCharType="begin"/>
        </w:r>
        <w:r w:rsidR="00197B00">
          <w:rPr>
            <w:noProof/>
            <w:webHidden/>
          </w:rPr>
          <w:instrText xml:space="preserve"> PAGEREF _Toc39797948 \h </w:instrText>
        </w:r>
        <w:r w:rsidR="00197B00">
          <w:rPr>
            <w:noProof/>
            <w:webHidden/>
          </w:rPr>
        </w:r>
        <w:r w:rsidR="00197B00">
          <w:rPr>
            <w:noProof/>
            <w:webHidden/>
          </w:rPr>
          <w:fldChar w:fldCharType="separate"/>
        </w:r>
        <w:r w:rsidR="001F3E2E">
          <w:rPr>
            <w:noProof/>
            <w:webHidden/>
          </w:rPr>
          <w:t>133</w:t>
        </w:r>
        <w:r w:rsidR="00197B00">
          <w:rPr>
            <w:noProof/>
            <w:webHidden/>
          </w:rPr>
          <w:fldChar w:fldCharType="end"/>
        </w:r>
      </w:hyperlink>
    </w:p>
    <w:p w14:paraId="301C15E5" w14:textId="77777777" w:rsidR="00197B00" w:rsidRDefault="0088072F">
      <w:pPr>
        <w:pStyle w:val="Tabladeilustraciones"/>
        <w:tabs>
          <w:tab w:val="right" w:leader="dot" w:pos="9680"/>
        </w:tabs>
        <w:rPr>
          <w:rFonts w:asciiTheme="minorHAnsi" w:eastAsiaTheme="minorEastAsia" w:hAnsiTheme="minorHAnsi" w:cstheme="minorBidi"/>
          <w:noProof/>
          <w:szCs w:val="22"/>
          <w:lang w:eastAsia="es-CL"/>
        </w:rPr>
      </w:pPr>
      <w:hyperlink w:anchor="_Toc39797949" w:history="1">
        <w:r w:rsidR="00197B00" w:rsidRPr="00616B68">
          <w:rPr>
            <w:rStyle w:val="Hipervnculo"/>
            <w:noProof/>
          </w:rPr>
          <w:t>Tabla 39: Obras de Ampliación a Analizar (Entrada en Operación: 1 de enero de 2015 a 31 de diciembre de 2017)</w:t>
        </w:r>
        <w:r w:rsidR="00197B00">
          <w:rPr>
            <w:noProof/>
            <w:webHidden/>
          </w:rPr>
          <w:tab/>
        </w:r>
        <w:r w:rsidR="00197B00">
          <w:rPr>
            <w:noProof/>
            <w:webHidden/>
          </w:rPr>
          <w:fldChar w:fldCharType="begin"/>
        </w:r>
        <w:r w:rsidR="00197B00">
          <w:rPr>
            <w:noProof/>
            <w:webHidden/>
          </w:rPr>
          <w:instrText xml:space="preserve"> PAGEREF _Toc39797949 \h </w:instrText>
        </w:r>
        <w:r w:rsidR="00197B00">
          <w:rPr>
            <w:noProof/>
            <w:webHidden/>
          </w:rPr>
        </w:r>
        <w:r w:rsidR="00197B00">
          <w:rPr>
            <w:noProof/>
            <w:webHidden/>
          </w:rPr>
          <w:fldChar w:fldCharType="separate"/>
        </w:r>
        <w:r w:rsidR="001F3E2E">
          <w:rPr>
            <w:noProof/>
            <w:webHidden/>
          </w:rPr>
          <w:t>147</w:t>
        </w:r>
        <w:r w:rsidR="00197B00">
          <w:rPr>
            <w:noProof/>
            <w:webHidden/>
          </w:rPr>
          <w:fldChar w:fldCharType="end"/>
        </w:r>
      </w:hyperlink>
    </w:p>
    <w:p w14:paraId="4080C19E" w14:textId="77777777" w:rsidR="00197B00" w:rsidRDefault="0088072F">
      <w:pPr>
        <w:pStyle w:val="Tabladeilustraciones"/>
        <w:tabs>
          <w:tab w:val="right" w:leader="dot" w:pos="9680"/>
        </w:tabs>
        <w:rPr>
          <w:rFonts w:asciiTheme="minorHAnsi" w:eastAsiaTheme="minorEastAsia" w:hAnsiTheme="minorHAnsi" w:cstheme="minorBidi"/>
          <w:noProof/>
          <w:szCs w:val="22"/>
          <w:lang w:eastAsia="es-CL"/>
        </w:rPr>
      </w:pPr>
      <w:hyperlink w:anchor="_Toc39797950" w:history="1">
        <w:r w:rsidR="00197B00" w:rsidRPr="00616B68">
          <w:rPr>
            <w:rStyle w:val="Hipervnculo"/>
            <w:noProof/>
          </w:rPr>
          <w:t>Tabla 40: Valor de Inversión (V.I.) por empresa propietaria</w:t>
        </w:r>
        <w:r w:rsidR="00197B00">
          <w:rPr>
            <w:noProof/>
            <w:webHidden/>
          </w:rPr>
          <w:tab/>
        </w:r>
        <w:r w:rsidR="00197B00">
          <w:rPr>
            <w:noProof/>
            <w:webHidden/>
          </w:rPr>
          <w:fldChar w:fldCharType="begin"/>
        </w:r>
        <w:r w:rsidR="00197B00">
          <w:rPr>
            <w:noProof/>
            <w:webHidden/>
          </w:rPr>
          <w:instrText xml:space="preserve"> PAGEREF _Toc39797950 \h </w:instrText>
        </w:r>
        <w:r w:rsidR="00197B00">
          <w:rPr>
            <w:noProof/>
            <w:webHidden/>
          </w:rPr>
        </w:r>
        <w:r w:rsidR="00197B00">
          <w:rPr>
            <w:noProof/>
            <w:webHidden/>
          </w:rPr>
          <w:fldChar w:fldCharType="separate"/>
        </w:r>
        <w:r w:rsidR="001F3E2E">
          <w:rPr>
            <w:noProof/>
            <w:webHidden/>
          </w:rPr>
          <w:t>156</w:t>
        </w:r>
        <w:r w:rsidR="00197B00">
          <w:rPr>
            <w:noProof/>
            <w:webHidden/>
          </w:rPr>
          <w:fldChar w:fldCharType="end"/>
        </w:r>
      </w:hyperlink>
    </w:p>
    <w:p w14:paraId="2690A98F" w14:textId="77777777" w:rsidR="00197B00" w:rsidRDefault="0088072F">
      <w:pPr>
        <w:pStyle w:val="Tabladeilustraciones"/>
        <w:tabs>
          <w:tab w:val="right" w:leader="dot" w:pos="9680"/>
        </w:tabs>
        <w:rPr>
          <w:rFonts w:asciiTheme="minorHAnsi" w:eastAsiaTheme="minorEastAsia" w:hAnsiTheme="minorHAnsi" w:cstheme="minorBidi"/>
          <w:noProof/>
          <w:szCs w:val="22"/>
          <w:lang w:eastAsia="es-CL"/>
        </w:rPr>
      </w:pPr>
      <w:hyperlink w:anchor="_Toc39797951" w:history="1">
        <w:r w:rsidR="00197B00" w:rsidRPr="00616B68">
          <w:rPr>
            <w:rStyle w:val="Hipervnculo"/>
            <w:noProof/>
          </w:rPr>
          <w:t>Tabla 41: Valor de Inversión (V.I.) por tramo de subestación calificación nacional</w:t>
        </w:r>
        <w:r w:rsidR="00197B00">
          <w:rPr>
            <w:noProof/>
            <w:webHidden/>
          </w:rPr>
          <w:tab/>
        </w:r>
        <w:r w:rsidR="00197B00">
          <w:rPr>
            <w:noProof/>
            <w:webHidden/>
          </w:rPr>
          <w:fldChar w:fldCharType="begin"/>
        </w:r>
        <w:r w:rsidR="00197B00">
          <w:rPr>
            <w:noProof/>
            <w:webHidden/>
          </w:rPr>
          <w:instrText xml:space="preserve"> PAGEREF _Toc39797951 \h </w:instrText>
        </w:r>
        <w:r w:rsidR="00197B00">
          <w:rPr>
            <w:noProof/>
            <w:webHidden/>
          </w:rPr>
        </w:r>
        <w:r w:rsidR="00197B00">
          <w:rPr>
            <w:noProof/>
            <w:webHidden/>
          </w:rPr>
          <w:fldChar w:fldCharType="separate"/>
        </w:r>
        <w:r w:rsidR="001F3E2E">
          <w:rPr>
            <w:noProof/>
            <w:webHidden/>
          </w:rPr>
          <w:t>157</w:t>
        </w:r>
        <w:r w:rsidR="00197B00">
          <w:rPr>
            <w:noProof/>
            <w:webHidden/>
          </w:rPr>
          <w:fldChar w:fldCharType="end"/>
        </w:r>
      </w:hyperlink>
    </w:p>
    <w:p w14:paraId="16C5A0A7" w14:textId="77777777" w:rsidR="00197B00" w:rsidRDefault="0088072F">
      <w:pPr>
        <w:pStyle w:val="Tabladeilustraciones"/>
        <w:tabs>
          <w:tab w:val="right" w:leader="dot" w:pos="9680"/>
        </w:tabs>
        <w:rPr>
          <w:rFonts w:asciiTheme="minorHAnsi" w:eastAsiaTheme="minorEastAsia" w:hAnsiTheme="minorHAnsi" w:cstheme="minorBidi"/>
          <w:noProof/>
          <w:szCs w:val="22"/>
          <w:lang w:eastAsia="es-CL"/>
        </w:rPr>
      </w:pPr>
      <w:hyperlink w:anchor="_Toc39797952" w:history="1">
        <w:r w:rsidR="00197B00" w:rsidRPr="00616B68">
          <w:rPr>
            <w:rStyle w:val="Hipervnculo"/>
            <w:noProof/>
          </w:rPr>
          <w:t>Tabla 42: Valor de Inversión (V.I.) por tramo de transporte calificación nacional</w:t>
        </w:r>
        <w:r w:rsidR="00197B00">
          <w:rPr>
            <w:noProof/>
            <w:webHidden/>
          </w:rPr>
          <w:tab/>
        </w:r>
        <w:r w:rsidR="00197B00">
          <w:rPr>
            <w:noProof/>
            <w:webHidden/>
          </w:rPr>
          <w:fldChar w:fldCharType="begin"/>
        </w:r>
        <w:r w:rsidR="00197B00">
          <w:rPr>
            <w:noProof/>
            <w:webHidden/>
          </w:rPr>
          <w:instrText xml:space="preserve"> PAGEREF _Toc39797952 \h </w:instrText>
        </w:r>
        <w:r w:rsidR="00197B00">
          <w:rPr>
            <w:noProof/>
            <w:webHidden/>
          </w:rPr>
        </w:r>
        <w:r w:rsidR="00197B00">
          <w:rPr>
            <w:noProof/>
            <w:webHidden/>
          </w:rPr>
          <w:fldChar w:fldCharType="separate"/>
        </w:r>
        <w:r w:rsidR="001F3E2E">
          <w:rPr>
            <w:noProof/>
            <w:webHidden/>
          </w:rPr>
          <w:t>159</w:t>
        </w:r>
        <w:r w:rsidR="00197B00">
          <w:rPr>
            <w:noProof/>
            <w:webHidden/>
          </w:rPr>
          <w:fldChar w:fldCharType="end"/>
        </w:r>
      </w:hyperlink>
    </w:p>
    <w:p w14:paraId="36B0E802" w14:textId="77777777" w:rsidR="00197B00" w:rsidRDefault="0088072F">
      <w:pPr>
        <w:pStyle w:val="Tabladeilustraciones"/>
        <w:tabs>
          <w:tab w:val="right" w:leader="dot" w:pos="9680"/>
        </w:tabs>
        <w:rPr>
          <w:rFonts w:asciiTheme="minorHAnsi" w:eastAsiaTheme="minorEastAsia" w:hAnsiTheme="minorHAnsi" w:cstheme="minorBidi"/>
          <w:noProof/>
          <w:szCs w:val="22"/>
          <w:lang w:eastAsia="es-CL"/>
        </w:rPr>
      </w:pPr>
      <w:hyperlink w:anchor="_Toc39797953" w:history="1">
        <w:r w:rsidR="00197B00" w:rsidRPr="00616B68">
          <w:rPr>
            <w:rStyle w:val="Hipervnculo"/>
            <w:noProof/>
          </w:rPr>
          <w:t>Tabla 43: Valor de Inversión (V.I.) por tramo de subestación y por propietario calificación nacional</w:t>
        </w:r>
        <w:r w:rsidR="00197B00">
          <w:rPr>
            <w:noProof/>
            <w:webHidden/>
          </w:rPr>
          <w:tab/>
        </w:r>
        <w:r w:rsidR="00197B00">
          <w:rPr>
            <w:noProof/>
            <w:webHidden/>
          </w:rPr>
          <w:fldChar w:fldCharType="begin"/>
        </w:r>
        <w:r w:rsidR="00197B00">
          <w:rPr>
            <w:noProof/>
            <w:webHidden/>
          </w:rPr>
          <w:instrText xml:space="preserve"> PAGEREF _Toc39797953 \h </w:instrText>
        </w:r>
        <w:r w:rsidR="00197B00">
          <w:rPr>
            <w:noProof/>
            <w:webHidden/>
          </w:rPr>
        </w:r>
        <w:r w:rsidR="00197B00">
          <w:rPr>
            <w:noProof/>
            <w:webHidden/>
          </w:rPr>
          <w:fldChar w:fldCharType="separate"/>
        </w:r>
        <w:r w:rsidR="001F3E2E">
          <w:rPr>
            <w:noProof/>
            <w:webHidden/>
          </w:rPr>
          <w:t>164</w:t>
        </w:r>
        <w:r w:rsidR="00197B00">
          <w:rPr>
            <w:noProof/>
            <w:webHidden/>
          </w:rPr>
          <w:fldChar w:fldCharType="end"/>
        </w:r>
      </w:hyperlink>
    </w:p>
    <w:p w14:paraId="3BC15730" w14:textId="77777777" w:rsidR="00197B00" w:rsidRDefault="0088072F">
      <w:pPr>
        <w:pStyle w:val="Tabladeilustraciones"/>
        <w:tabs>
          <w:tab w:val="right" w:leader="dot" w:pos="9680"/>
        </w:tabs>
        <w:rPr>
          <w:rFonts w:asciiTheme="minorHAnsi" w:eastAsiaTheme="minorEastAsia" w:hAnsiTheme="minorHAnsi" w:cstheme="minorBidi"/>
          <w:noProof/>
          <w:szCs w:val="22"/>
          <w:lang w:eastAsia="es-CL"/>
        </w:rPr>
      </w:pPr>
      <w:hyperlink w:anchor="_Toc39797954" w:history="1">
        <w:r w:rsidR="00197B00" w:rsidRPr="00616B68">
          <w:rPr>
            <w:rStyle w:val="Hipervnculo"/>
            <w:noProof/>
          </w:rPr>
          <w:t>Tabla 44: Valor de Inversión (V.I.) por tramo de transporte y por propietario calificación nacional</w:t>
        </w:r>
        <w:r w:rsidR="00197B00">
          <w:rPr>
            <w:noProof/>
            <w:webHidden/>
          </w:rPr>
          <w:tab/>
        </w:r>
        <w:r w:rsidR="00197B00">
          <w:rPr>
            <w:noProof/>
            <w:webHidden/>
          </w:rPr>
          <w:fldChar w:fldCharType="begin"/>
        </w:r>
        <w:r w:rsidR="00197B00">
          <w:rPr>
            <w:noProof/>
            <w:webHidden/>
          </w:rPr>
          <w:instrText xml:space="preserve"> PAGEREF _Toc39797954 \h </w:instrText>
        </w:r>
        <w:r w:rsidR="00197B00">
          <w:rPr>
            <w:noProof/>
            <w:webHidden/>
          </w:rPr>
        </w:r>
        <w:r w:rsidR="00197B00">
          <w:rPr>
            <w:noProof/>
            <w:webHidden/>
          </w:rPr>
          <w:fldChar w:fldCharType="separate"/>
        </w:r>
        <w:r w:rsidR="001F3E2E">
          <w:rPr>
            <w:noProof/>
            <w:webHidden/>
          </w:rPr>
          <w:t>170</w:t>
        </w:r>
        <w:r w:rsidR="00197B00">
          <w:rPr>
            <w:noProof/>
            <w:webHidden/>
          </w:rPr>
          <w:fldChar w:fldCharType="end"/>
        </w:r>
      </w:hyperlink>
    </w:p>
    <w:p w14:paraId="033AAAB4" w14:textId="77777777" w:rsidR="00197B00" w:rsidRDefault="0088072F">
      <w:pPr>
        <w:pStyle w:val="Tabladeilustraciones"/>
        <w:tabs>
          <w:tab w:val="right" w:leader="dot" w:pos="9680"/>
        </w:tabs>
        <w:rPr>
          <w:rFonts w:asciiTheme="minorHAnsi" w:eastAsiaTheme="minorEastAsia" w:hAnsiTheme="minorHAnsi" w:cstheme="minorBidi"/>
          <w:noProof/>
          <w:szCs w:val="22"/>
          <w:lang w:eastAsia="es-CL"/>
        </w:rPr>
      </w:pPr>
      <w:hyperlink w:anchor="_Toc39797955" w:history="1">
        <w:r w:rsidR="00197B00" w:rsidRPr="00616B68">
          <w:rPr>
            <w:rStyle w:val="Hipervnculo"/>
            <w:noProof/>
          </w:rPr>
          <w:t>Tabla 45: Valor de Inversión (V.I.) terrenos tramos de subestación</w:t>
        </w:r>
        <w:r w:rsidR="00197B00">
          <w:rPr>
            <w:noProof/>
            <w:webHidden/>
          </w:rPr>
          <w:tab/>
        </w:r>
        <w:r w:rsidR="00197B00">
          <w:rPr>
            <w:noProof/>
            <w:webHidden/>
          </w:rPr>
          <w:fldChar w:fldCharType="begin"/>
        </w:r>
        <w:r w:rsidR="00197B00">
          <w:rPr>
            <w:noProof/>
            <w:webHidden/>
          </w:rPr>
          <w:instrText xml:space="preserve"> PAGEREF _Toc39797955 \h </w:instrText>
        </w:r>
        <w:r w:rsidR="00197B00">
          <w:rPr>
            <w:noProof/>
            <w:webHidden/>
          </w:rPr>
        </w:r>
        <w:r w:rsidR="00197B00">
          <w:rPr>
            <w:noProof/>
            <w:webHidden/>
          </w:rPr>
          <w:fldChar w:fldCharType="separate"/>
        </w:r>
        <w:r w:rsidR="001F3E2E">
          <w:rPr>
            <w:noProof/>
            <w:webHidden/>
          </w:rPr>
          <w:t>177</w:t>
        </w:r>
        <w:r w:rsidR="00197B00">
          <w:rPr>
            <w:noProof/>
            <w:webHidden/>
          </w:rPr>
          <w:fldChar w:fldCharType="end"/>
        </w:r>
      </w:hyperlink>
    </w:p>
    <w:p w14:paraId="7CB35BD5" w14:textId="77777777" w:rsidR="00197B00" w:rsidRDefault="0088072F">
      <w:pPr>
        <w:pStyle w:val="Tabladeilustraciones"/>
        <w:tabs>
          <w:tab w:val="right" w:leader="dot" w:pos="9680"/>
        </w:tabs>
        <w:rPr>
          <w:rFonts w:asciiTheme="minorHAnsi" w:eastAsiaTheme="minorEastAsia" w:hAnsiTheme="minorHAnsi" w:cstheme="minorBidi"/>
          <w:noProof/>
          <w:szCs w:val="22"/>
          <w:lang w:eastAsia="es-CL"/>
        </w:rPr>
      </w:pPr>
      <w:hyperlink w:anchor="_Toc39797956" w:history="1">
        <w:r w:rsidR="00197B00" w:rsidRPr="00616B68">
          <w:rPr>
            <w:rStyle w:val="Hipervnculo"/>
            <w:noProof/>
          </w:rPr>
          <w:t>Tabla 46: Valor de Inversión (V.I.) servidumbres tramos de transporte</w:t>
        </w:r>
        <w:r w:rsidR="00197B00">
          <w:rPr>
            <w:noProof/>
            <w:webHidden/>
          </w:rPr>
          <w:tab/>
        </w:r>
        <w:r w:rsidR="00197B00">
          <w:rPr>
            <w:noProof/>
            <w:webHidden/>
          </w:rPr>
          <w:fldChar w:fldCharType="begin"/>
        </w:r>
        <w:r w:rsidR="00197B00">
          <w:rPr>
            <w:noProof/>
            <w:webHidden/>
          </w:rPr>
          <w:instrText xml:space="preserve"> PAGEREF _Toc39797956 \h </w:instrText>
        </w:r>
        <w:r w:rsidR="00197B00">
          <w:rPr>
            <w:noProof/>
            <w:webHidden/>
          </w:rPr>
        </w:r>
        <w:r w:rsidR="00197B00">
          <w:rPr>
            <w:noProof/>
            <w:webHidden/>
          </w:rPr>
          <w:fldChar w:fldCharType="separate"/>
        </w:r>
        <w:r w:rsidR="001F3E2E">
          <w:rPr>
            <w:noProof/>
            <w:webHidden/>
          </w:rPr>
          <w:t>178</w:t>
        </w:r>
        <w:r w:rsidR="00197B00">
          <w:rPr>
            <w:noProof/>
            <w:webHidden/>
          </w:rPr>
          <w:fldChar w:fldCharType="end"/>
        </w:r>
      </w:hyperlink>
    </w:p>
    <w:p w14:paraId="07D6ED2D" w14:textId="77777777" w:rsidR="00197B00" w:rsidRDefault="0088072F">
      <w:pPr>
        <w:pStyle w:val="Tabladeilustraciones"/>
        <w:tabs>
          <w:tab w:val="right" w:leader="dot" w:pos="9680"/>
        </w:tabs>
        <w:rPr>
          <w:rFonts w:asciiTheme="minorHAnsi" w:eastAsiaTheme="minorEastAsia" w:hAnsiTheme="minorHAnsi" w:cstheme="minorBidi"/>
          <w:noProof/>
          <w:szCs w:val="22"/>
          <w:lang w:eastAsia="es-CL"/>
        </w:rPr>
      </w:pPr>
      <w:hyperlink w:anchor="_Toc39797957" w:history="1">
        <w:r w:rsidR="00197B00" w:rsidRPr="00616B68">
          <w:rPr>
            <w:rStyle w:val="Hipervnculo"/>
            <w:noProof/>
          </w:rPr>
          <w:t>Tabla 47: Valor de Inversión (V.I.) Estudio de Impacto Ambiental</w:t>
        </w:r>
        <w:r w:rsidR="00197B00">
          <w:rPr>
            <w:noProof/>
            <w:webHidden/>
          </w:rPr>
          <w:tab/>
        </w:r>
        <w:r w:rsidR="00197B00">
          <w:rPr>
            <w:noProof/>
            <w:webHidden/>
          </w:rPr>
          <w:fldChar w:fldCharType="begin"/>
        </w:r>
        <w:r w:rsidR="00197B00">
          <w:rPr>
            <w:noProof/>
            <w:webHidden/>
          </w:rPr>
          <w:instrText xml:space="preserve"> PAGEREF _Toc39797957 \h </w:instrText>
        </w:r>
        <w:r w:rsidR="00197B00">
          <w:rPr>
            <w:noProof/>
            <w:webHidden/>
          </w:rPr>
        </w:r>
        <w:r w:rsidR="00197B00">
          <w:rPr>
            <w:noProof/>
            <w:webHidden/>
          </w:rPr>
          <w:fldChar w:fldCharType="separate"/>
        </w:r>
        <w:r w:rsidR="001F3E2E">
          <w:rPr>
            <w:noProof/>
            <w:webHidden/>
          </w:rPr>
          <w:t>181</w:t>
        </w:r>
        <w:r w:rsidR="00197B00">
          <w:rPr>
            <w:noProof/>
            <w:webHidden/>
          </w:rPr>
          <w:fldChar w:fldCharType="end"/>
        </w:r>
      </w:hyperlink>
    </w:p>
    <w:p w14:paraId="5B5585E0" w14:textId="77777777" w:rsidR="00197B00" w:rsidRDefault="0088072F">
      <w:pPr>
        <w:pStyle w:val="Tabladeilustraciones"/>
        <w:tabs>
          <w:tab w:val="right" w:leader="dot" w:pos="9680"/>
        </w:tabs>
        <w:rPr>
          <w:rFonts w:asciiTheme="minorHAnsi" w:eastAsiaTheme="minorEastAsia" w:hAnsiTheme="minorHAnsi" w:cstheme="minorBidi"/>
          <w:noProof/>
          <w:szCs w:val="22"/>
          <w:lang w:eastAsia="es-CL"/>
        </w:rPr>
      </w:pPr>
      <w:hyperlink w:anchor="_Toc39797958" w:history="1">
        <w:r w:rsidR="00197B00" w:rsidRPr="00616B68">
          <w:rPr>
            <w:rStyle w:val="Hipervnculo"/>
            <w:noProof/>
          </w:rPr>
          <w:t>Tabla 48: Valor de Inversión (V.I.) plataformas subestaciones</w:t>
        </w:r>
        <w:r w:rsidR="00197B00">
          <w:rPr>
            <w:noProof/>
            <w:webHidden/>
          </w:rPr>
          <w:tab/>
        </w:r>
        <w:r w:rsidR="00197B00">
          <w:rPr>
            <w:noProof/>
            <w:webHidden/>
          </w:rPr>
          <w:fldChar w:fldCharType="begin"/>
        </w:r>
        <w:r w:rsidR="00197B00">
          <w:rPr>
            <w:noProof/>
            <w:webHidden/>
          </w:rPr>
          <w:instrText xml:space="preserve"> PAGEREF _Toc39797958 \h </w:instrText>
        </w:r>
        <w:r w:rsidR="00197B00">
          <w:rPr>
            <w:noProof/>
            <w:webHidden/>
          </w:rPr>
        </w:r>
        <w:r w:rsidR="00197B00">
          <w:rPr>
            <w:noProof/>
            <w:webHidden/>
          </w:rPr>
          <w:fldChar w:fldCharType="separate"/>
        </w:r>
        <w:r w:rsidR="001F3E2E">
          <w:rPr>
            <w:noProof/>
            <w:webHidden/>
          </w:rPr>
          <w:t>182</w:t>
        </w:r>
        <w:r w:rsidR="00197B00">
          <w:rPr>
            <w:noProof/>
            <w:webHidden/>
          </w:rPr>
          <w:fldChar w:fldCharType="end"/>
        </w:r>
      </w:hyperlink>
    </w:p>
    <w:p w14:paraId="7AFDDADB" w14:textId="77777777" w:rsidR="00197B00" w:rsidRDefault="0088072F">
      <w:pPr>
        <w:pStyle w:val="Tabladeilustraciones"/>
        <w:tabs>
          <w:tab w:val="right" w:leader="dot" w:pos="9680"/>
        </w:tabs>
        <w:rPr>
          <w:rFonts w:asciiTheme="minorHAnsi" w:eastAsiaTheme="minorEastAsia" w:hAnsiTheme="minorHAnsi" w:cstheme="minorBidi"/>
          <w:noProof/>
          <w:szCs w:val="22"/>
          <w:lang w:eastAsia="es-CL"/>
        </w:rPr>
      </w:pPr>
      <w:hyperlink w:anchor="_Toc39797959" w:history="1">
        <w:r w:rsidR="00197B00" w:rsidRPr="00616B68">
          <w:rPr>
            <w:rStyle w:val="Hipervnculo"/>
            <w:noProof/>
          </w:rPr>
          <w:t>Tabla 49: Valor de Inversión (V.I.) aproximado líneas de transmisión nacionales no declaradas en BD</w:t>
        </w:r>
        <w:r w:rsidR="00197B00">
          <w:rPr>
            <w:noProof/>
            <w:webHidden/>
          </w:rPr>
          <w:tab/>
        </w:r>
        <w:r w:rsidR="00197B00">
          <w:rPr>
            <w:noProof/>
            <w:webHidden/>
          </w:rPr>
          <w:fldChar w:fldCharType="begin"/>
        </w:r>
        <w:r w:rsidR="00197B00">
          <w:rPr>
            <w:noProof/>
            <w:webHidden/>
          </w:rPr>
          <w:instrText xml:space="preserve"> PAGEREF _Toc39797959 \h </w:instrText>
        </w:r>
        <w:r w:rsidR="00197B00">
          <w:rPr>
            <w:noProof/>
            <w:webHidden/>
          </w:rPr>
        </w:r>
        <w:r w:rsidR="00197B00">
          <w:rPr>
            <w:noProof/>
            <w:webHidden/>
          </w:rPr>
          <w:fldChar w:fldCharType="separate"/>
        </w:r>
        <w:r w:rsidR="001F3E2E">
          <w:rPr>
            <w:noProof/>
            <w:webHidden/>
          </w:rPr>
          <w:t>185</w:t>
        </w:r>
        <w:r w:rsidR="00197B00">
          <w:rPr>
            <w:noProof/>
            <w:webHidden/>
          </w:rPr>
          <w:fldChar w:fldCharType="end"/>
        </w:r>
      </w:hyperlink>
    </w:p>
    <w:p w14:paraId="77C206C1" w14:textId="77777777" w:rsidR="00197B00" w:rsidRDefault="0088072F">
      <w:pPr>
        <w:pStyle w:val="Tabladeilustraciones"/>
        <w:tabs>
          <w:tab w:val="right" w:leader="dot" w:pos="9680"/>
        </w:tabs>
        <w:rPr>
          <w:rFonts w:asciiTheme="minorHAnsi" w:eastAsiaTheme="minorEastAsia" w:hAnsiTheme="minorHAnsi" w:cstheme="minorBidi"/>
          <w:noProof/>
          <w:szCs w:val="22"/>
          <w:lang w:eastAsia="es-CL"/>
        </w:rPr>
      </w:pPr>
      <w:hyperlink w:anchor="_Toc39797960" w:history="1">
        <w:r w:rsidR="00197B00" w:rsidRPr="00616B68">
          <w:rPr>
            <w:rStyle w:val="Hipervnculo"/>
            <w:noProof/>
          </w:rPr>
          <w:t>Tabla 50: Resultados costo del personal y gastos de C.O.M.A</w:t>
        </w:r>
        <w:r w:rsidR="00197B00">
          <w:rPr>
            <w:noProof/>
            <w:webHidden/>
          </w:rPr>
          <w:tab/>
        </w:r>
        <w:r w:rsidR="00197B00">
          <w:rPr>
            <w:noProof/>
            <w:webHidden/>
          </w:rPr>
          <w:fldChar w:fldCharType="begin"/>
        </w:r>
        <w:r w:rsidR="00197B00">
          <w:rPr>
            <w:noProof/>
            <w:webHidden/>
          </w:rPr>
          <w:instrText xml:space="preserve"> PAGEREF _Toc39797960 \h </w:instrText>
        </w:r>
        <w:r w:rsidR="00197B00">
          <w:rPr>
            <w:noProof/>
            <w:webHidden/>
          </w:rPr>
        </w:r>
        <w:r w:rsidR="00197B00">
          <w:rPr>
            <w:noProof/>
            <w:webHidden/>
          </w:rPr>
          <w:fldChar w:fldCharType="separate"/>
        </w:r>
        <w:r w:rsidR="001F3E2E">
          <w:rPr>
            <w:noProof/>
            <w:webHidden/>
          </w:rPr>
          <w:t>187</w:t>
        </w:r>
        <w:r w:rsidR="00197B00">
          <w:rPr>
            <w:noProof/>
            <w:webHidden/>
          </w:rPr>
          <w:fldChar w:fldCharType="end"/>
        </w:r>
      </w:hyperlink>
    </w:p>
    <w:p w14:paraId="698A1C69" w14:textId="77777777" w:rsidR="00197B00" w:rsidRDefault="0088072F">
      <w:pPr>
        <w:pStyle w:val="Tabladeilustraciones"/>
        <w:tabs>
          <w:tab w:val="right" w:leader="dot" w:pos="9680"/>
        </w:tabs>
        <w:rPr>
          <w:rFonts w:asciiTheme="minorHAnsi" w:eastAsiaTheme="minorEastAsia" w:hAnsiTheme="minorHAnsi" w:cstheme="minorBidi"/>
          <w:noProof/>
          <w:szCs w:val="22"/>
          <w:lang w:eastAsia="es-CL"/>
        </w:rPr>
      </w:pPr>
      <w:hyperlink w:anchor="_Toc39797961" w:history="1">
        <w:r w:rsidR="00197B00" w:rsidRPr="00616B68">
          <w:rPr>
            <w:rStyle w:val="Hipervnculo"/>
            <w:noProof/>
          </w:rPr>
          <w:t>Tabla 51: Resultados bienes muebles e inmuebles</w:t>
        </w:r>
        <w:r w:rsidR="00197B00">
          <w:rPr>
            <w:noProof/>
            <w:webHidden/>
          </w:rPr>
          <w:tab/>
        </w:r>
        <w:r w:rsidR="00197B00">
          <w:rPr>
            <w:noProof/>
            <w:webHidden/>
          </w:rPr>
          <w:fldChar w:fldCharType="begin"/>
        </w:r>
        <w:r w:rsidR="00197B00">
          <w:rPr>
            <w:noProof/>
            <w:webHidden/>
          </w:rPr>
          <w:instrText xml:space="preserve"> PAGEREF _Toc39797961 \h </w:instrText>
        </w:r>
        <w:r w:rsidR="00197B00">
          <w:rPr>
            <w:noProof/>
            <w:webHidden/>
          </w:rPr>
        </w:r>
        <w:r w:rsidR="00197B00">
          <w:rPr>
            <w:noProof/>
            <w:webHidden/>
          </w:rPr>
          <w:fldChar w:fldCharType="separate"/>
        </w:r>
        <w:r w:rsidR="001F3E2E">
          <w:rPr>
            <w:noProof/>
            <w:webHidden/>
          </w:rPr>
          <w:t>188</w:t>
        </w:r>
        <w:r w:rsidR="00197B00">
          <w:rPr>
            <w:noProof/>
            <w:webHidden/>
          </w:rPr>
          <w:fldChar w:fldCharType="end"/>
        </w:r>
      </w:hyperlink>
    </w:p>
    <w:p w14:paraId="7270E38C" w14:textId="77777777" w:rsidR="00197B00" w:rsidRDefault="0088072F">
      <w:pPr>
        <w:pStyle w:val="Tabladeilustraciones"/>
        <w:tabs>
          <w:tab w:val="right" w:leader="dot" w:pos="9680"/>
        </w:tabs>
        <w:rPr>
          <w:rFonts w:asciiTheme="minorHAnsi" w:eastAsiaTheme="minorEastAsia" w:hAnsiTheme="minorHAnsi" w:cstheme="minorBidi"/>
          <w:noProof/>
          <w:szCs w:val="22"/>
          <w:lang w:eastAsia="es-CL"/>
        </w:rPr>
      </w:pPr>
      <w:hyperlink w:anchor="_Toc39797962" w:history="1">
        <w:r w:rsidR="00197B00" w:rsidRPr="00616B68">
          <w:rPr>
            <w:rStyle w:val="Hipervnculo"/>
            <w:noProof/>
          </w:rPr>
          <w:t>Tabla 52: Resultados C.O.M.A. por tramo</w:t>
        </w:r>
        <w:r w:rsidR="00197B00">
          <w:rPr>
            <w:noProof/>
            <w:webHidden/>
          </w:rPr>
          <w:tab/>
        </w:r>
        <w:r w:rsidR="00197B00">
          <w:rPr>
            <w:noProof/>
            <w:webHidden/>
          </w:rPr>
          <w:fldChar w:fldCharType="begin"/>
        </w:r>
        <w:r w:rsidR="00197B00">
          <w:rPr>
            <w:noProof/>
            <w:webHidden/>
          </w:rPr>
          <w:instrText xml:space="preserve"> PAGEREF _Toc39797962 \h </w:instrText>
        </w:r>
        <w:r w:rsidR="00197B00">
          <w:rPr>
            <w:noProof/>
            <w:webHidden/>
          </w:rPr>
        </w:r>
        <w:r w:rsidR="00197B00">
          <w:rPr>
            <w:noProof/>
            <w:webHidden/>
          </w:rPr>
          <w:fldChar w:fldCharType="separate"/>
        </w:r>
        <w:r w:rsidR="001F3E2E">
          <w:rPr>
            <w:noProof/>
            <w:webHidden/>
          </w:rPr>
          <w:t>188</w:t>
        </w:r>
        <w:r w:rsidR="00197B00">
          <w:rPr>
            <w:noProof/>
            <w:webHidden/>
          </w:rPr>
          <w:fldChar w:fldCharType="end"/>
        </w:r>
      </w:hyperlink>
    </w:p>
    <w:p w14:paraId="6FD67847" w14:textId="77777777" w:rsidR="00197B00" w:rsidRDefault="0088072F">
      <w:pPr>
        <w:pStyle w:val="Tabladeilustraciones"/>
        <w:tabs>
          <w:tab w:val="right" w:leader="dot" w:pos="9680"/>
        </w:tabs>
        <w:rPr>
          <w:rFonts w:asciiTheme="minorHAnsi" w:eastAsiaTheme="minorEastAsia" w:hAnsiTheme="minorHAnsi" w:cstheme="minorBidi"/>
          <w:noProof/>
          <w:szCs w:val="22"/>
          <w:lang w:eastAsia="es-CL"/>
        </w:rPr>
      </w:pPr>
      <w:hyperlink w:anchor="_Toc39797963" w:history="1">
        <w:r w:rsidR="00197B00" w:rsidRPr="00616B68">
          <w:rPr>
            <w:rStyle w:val="Hipervnculo"/>
            <w:noProof/>
          </w:rPr>
          <w:t>Tabla 53: Resultados Bienes Intangibles</w:t>
        </w:r>
        <w:r w:rsidR="00197B00">
          <w:rPr>
            <w:noProof/>
            <w:webHidden/>
          </w:rPr>
          <w:tab/>
        </w:r>
        <w:r w:rsidR="00197B00">
          <w:rPr>
            <w:noProof/>
            <w:webHidden/>
          </w:rPr>
          <w:fldChar w:fldCharType="begin"/>
        </w:r>
        <w:r w:rsidR="00197B00">
          <w:rPr>
            <w:noProof/>
            <w:webHidden/>
          </w:rPr>
          <w:instrText xml:space="preserve"> PAGEREF _Toc39797963 \h </w:instrText>
        </w:r>
        <w:r w:rsidR="00197B00">
          <w:rPr>
            <w:noProof/>
            <w:webHidden/>
          </w:rPr>
        </w:r>
        <w:r w:rsidR="00197B00">
          <w:rPr>
            <w:noProof/>
            <w:webHidden/>
          </w:rPr>
          <w:fldChar w:fldCharType="separate"/>
        </w:r>
        <w:r w:rsidR="001F3E2E">
          <w:rPr>
            <w:noProof/>
            <w:webHidden/>
          </w:rPr>
          <w:t>194</w:t>
        </w:r>
        <w:r w:rsidR="00197B00">
          <w:rPr>
            <w:noProof/>
            <w:webHidden/>
          </w:rPr>
          <w:fldChar w:fldCharType="end"/>
        </w:r>
      </w:hyperlink>
    </w:p>
    <w:p w14:paraId="11D136C1" w14:textId="77777777" w:rsidR="00197B00" w:rsidRDefault="0088072F">
      <w:pPr>
        <w:pStyle w:val="Tabladeilustraciones"/>
        <w:tabs>
          <w:tab w:val="right" w:leader="dot" w:pos="9680"/>
        </w:tabs>
        <w:rPr>
          <w:rFonts w:asciiTheme="minorHAnsi" w:eastAsiaTheme="minorEastAsia" w:hAnsiTheme="minorHAnsi" w:cstheme="minorBidi"/>
          <w:noProof/>
          <w:szCs w:val="22"/>
          <w:lang w:eastAsia="es-CL"/>
        </w:rPr>
      </w:pPr>
      <w:hyperlink w:anchor="_Toc39797964" w:history="1">
        <w:r w:rsidR="00197B00" w:rsidRPr="00616B68">
          <w:rPr>
            <w:rStyle w:val="Hipervnculo"/>
            <w:noProof/>
          </w:rPr>
          <w:t>Tabla 54: Determinación de economías de ámbito</w:t>
        </w:r>
        <w:r w:rsidR="00197B00">
          <w:rPr>
            <w:noProof/>
            <w:webHidden/>
          </w:rPr>
          <w:tab/>
        </w:r>
        <w:r w:rsidR="00197B00">
          <w:rPr>
            <w:noProof/>
            <w:webHidden/>
          </w:rPr>
          <w:fldChar w:fldCharType="begin"/>
        </w:r>
        <w:r w:rsidR="00197B00">
          <w:rPr>
            <w:noProof/>
            <w:webHidden/>
          </w:rPr>
          <w:instrText xml:space="preserve"> PAGEREF _Toc39797964 \h </w:instrText>
        </w:r>
        <w:r w:rsidR="00197B00">
          <w:rPr>
            <w:noProof/>
            <w:webHidden/>
          </w:rPr>
        </w:r>
        <w:r w:rsidR="00197B00">
          <w:rPr>
            <w:noProof/>
            <w:webHidden/>
          </w:rPr>
          <w:fldChar w:fldCharType="separate"/>
        </w:r>
        <w:r w:rsidR="001F3E2E">
          <w:rPr>
            <w:noProof/>
            <w:webHidden/>
          </w:rPr>
          <w:t>194</w:t>
        </w:r>
        <w:r w:rsidR="00197B00">
          <w:rPr>
            <w:noProof/>
            <w:webHidden/>
          </w:rPr>
          <w:fldChar w:fldCharType="end"/>
        </w:r>
      </w:hyperlink>
    </w:p>
    <w:p w14:paraId="222E4070" w14:textId="77777777" w:rsidR="00197B00" w:rsidRDefault="0088072F">
      <w:pPr>
        <w:pStyle w:val="Tabladeilustraciones"/>
        <w:tabs>
          <w:tab w:val="right" w:leader="dot" w:pos="9680"/>
        </w:tabs>
        <w:rPr>
          <w:rFonts w:asciiTheme="minorHAnsi" w:eastAsiaTheme="minorEastAsia" w:hAnsiTheme="minorHAnsi" w:cstheme="minorBidi"/>
          <w:noProof/>
          <w:szCs w:val="22"/>
          <w:lang w:eastAsia="es-CL"/>
        </w:rPr>
      </w:pPr>
      <w:hyperlink w:anchor="_Toc39797965" w:history="1">
        <w:r w:rsidR="00197B00" w:rsidRPr="00616B68">
          <w:rPr>
            <w:rStyle w:val="Hipervnculo"/>
            <w:noProof/>
          </w:rPr>
          <w:t>Tabla 55: V.I. Labores de Ampliación</w:t>
        </w:r>
        <w:r w:rsidR="00197B00">
          <w:rPr>
            <w:noProof/>
            <w:webHidden/>
          </w:rPr>
          <w:tab/>
        </w:r>
        <w:r w:rsidR="00197B00">
          <w:rPr>
            <w:noProof/>
            <w:webHidden/>
          </w:rPr>
          <w:fldChar w:fldCharType="begin"/>
        </w:r>
        <w:r w:rsidR="00197B00">
          <w:rPr>
            <w:noProof/>
            <w:webHidden/>
          </w:rPr>
          <w:instrText xml:space="preserve"> PAGEREF _Toc39797965 \h </w:instrText>
        </w:r>
        <w:r w:rsidR="00197B00">
          <w:rPr>
            <w:noProof/>
            <w:webHidden/>
          </w:rPr>
        </w:r>
        <w:r w:rsidR="00197B00">
          <w:rPr>
            <w:noProof/>
            <w:webHidden/>
          </w:rPr>
          <w:fldChar w:fldCharType="separate"/>
        </w:r>
        <w:r w:rsidR="001F3E2E">
          <w:rPr>
            <w:noProof/>
            <w:webHidden/>
          </w:rPr>
          <w:t>196</w:t>
        </w:r>
        <w:r w:rsidR="00197B00">
          <w:rPr>
            <w:noProof/>
            <w:webHidden/>
          </w:rPr>
          <w:fldChar w:fldCharType="end"/>
        </w:r>
      </w:hyperlink>
    </w:p>
    <w:p w14:paraId="636AD69C" w14:textId="77777777" w:rsidR="00197B00" w:rsidRDefault="0088072F">
      <w:pPr>
        <w:pStyle w:val="Tabladeilustraciones"/>
        <w:tabs>
          <w:tab w:val="right" w:leader="dot" w:pos="9680"/>
        </w:tabs>
        <w:rPr>
          <w:rFonts w:asciiTheme="minorHAnsi" w:eastAsiaTheme="minorEastAsia" w:hAnsiTheme="minorHAnsi" w:cstheme="minorBidi"/>
          <w:noProof/>
          <w:szCs w:val="22"/>
          <w:lang w:eastAsia="es-CL"/>
        </w:rPr>
      </w:pPr>
      <w:hyperlink w:anchor="_Toc39797966" w:history="1">
        <w:r w:rsidR="00197B00" w:rsidRPr="00616B68">
          <w:rPr>
            <w:rStyle w:val="Hipervnculo"/>
            <w:noProof/>
          </w:rPr>
          <w:t>Tabla 56: V.I. A.V.I. Labores de Ampliación a recuperar</w:t>
        </w:r>
        <w:r w:rsidR="00197B00">
          <w:rPr>
            <w:noProof/>
            <w:webHidden/>
          </w:rPr>
          <w:tab/>
        </w:r>
        <w:r w:rsidR="00197B00">
          <w:rPr>
            <w:noProof/>
            <w:webHidden/>
          </w:rPr>
          <w:fldChar w:fldCharType="begin"/>
        </w:r>
        <w:r w:rsidR="00197B00">
          <w:rPr>
            <w:noProof/>
            <w:webHidden/>
          </w:rPr>
          <w:instrText xml:space="preserve"> PAGEREF _Toc39797966 \h </w:instrText>
        </w:r>
        <w:r w:rsidR="00197B00">
          <w:rPr>
            <w:noProof/>
            <w:webHidden/>
          </w:rPr>
        </w:r>
        <w:r w:rsidR="00197B00">
          <w:rPr>
            <w:noProof/>
            <w:webHidden/>
          </w:rPr>
          <w:fldChar w:fldCharType="separate"/>
        </w:r>
        <w:r w:rsidR="001F3E2E">
          <w:rPr>
            <w:noProof/>
            <w:webHidden/>
          </w:rPr>
          <w:t>198</w:t>
        </w:r>
        <w:r w:rsidR="00197B00">
          <w:rPr>
            <w:noProof/>
            <w:webHidden/>
          </w:rPr>
          <w:fldChar w:fldCharType="end"/>
        </w:r>
      </w:hyperlink>
    </w:p>
    <w:p w14:paraId="14B81B48" w14:textId="77777777" w:rsidR="00197B00" w:rsidRDefault="0088072F">
      <w:pPr>
        <w:pStyle w:val="Tabladeilustraciones"/>
        <w:tabs>
          <w:tab w:val="right" w:leader="dot" w:pos="9680"/>
        </w:tabs>
        <w:rPr>
          <w:rFonts w:asciiTheme="minorHAnsi" w:eastAsiaTheme="minorEastAsia" w:hAnsiTheme="minorHAnsi" w:cstheme="minorBidi"/>
          <w:noProof/>
          <w:szCs w:val="22"/>
          <w:lang w:eastAsia="es-CL"/>
        </w:rPr>
      </w:pPr>
      <w:hyperlink w:anchor="_Toc39797967" w:history="1">
        <w:r w:rsidR="00197B00" w:rsidRPr="00616B68">
          <w:rPr>
            <w:rStyle w:val="Hipervnculo"/>
            <w:noProof/>
          </w:rPr>
          <w:t>Tabla 57: V.I. A.V.I. Labores de Ampliación a recuperar</w:t>
        </w:r>
        <w:r w:rsidR="00197B00">
          <w:rPr>
            <w:noProof/>
            <w:webHidden/>
          </w:rPr>
          <w:tab/>
        </w:r>
        <w:r w:rsidR="00197B00">
          <w:rPr>
            <w:noProof/>
            <w:webHidden/>
          </w:rPr>
          <w:fldChar w:fldCharType="begin"/>
        </w:r>
        <w:r w:rsidR="00197B00">
          <w:rPr>
            <w:noProof/>
            <w:webHidden/>
          </w:rPr>
          <w:instrText xml:space="preserve"> PAGEREF _Toc39797967 \h </w:instrText>
        </w:r>
        <w:r w:rsidR="00197B00">
          <w:rPr>
            <w:noProof/>
            <w:webHidden/>
          </w:rPr>
        </w:r>
        <w:r w:rsidR="00197B00">
          <w:rPr>
            <w:noProof/>
            <w:webHidden/>
          </w:rPr>
          <w:fldChar w:fldCharType="separate"/>
        </w:r>
        <w:r w:rsidR="001F3E2E">
          <w:rPr>
            <w:noProof/>
            <w:webHidden/>
          </w:rPr>
          <w:t>200</w:t>
        </w:r>
        <w:r w:rsidR="00197B00">
          <w:rPr>
            <w:noProof/>
            <w:webHidden/>
          </w:rPr>
          <w:fldChar w:fldCharType="end"/>
        </w:r>
      </w:hyperlink>
    </w:p>
    <w:p w14:paraId="75FB4F40" w14:textId="77777777" w:rsidR="00197B00" w:rsidRDefault="0088072F">
      <w:pPr>
        <w:pStyle w:val="Tabladeilustraciones"/>
        <w:tabs>
          <w:tab w:val="right" w:leader="dot" w:pos="9680"/>
        </w:tabs>
        <w:rPr>
          <w:rFonts w:asciiTheme="minorHAnsi" w:eastAsiaTheme="minorEastAsia" w:hAnsiTheme="minorHAnsi" w:cstheme="minorBidi"/>
          <w:noProof/>
          <w:szCs w:val="22"/>
          <w:lang w:eastAsia="es-CL"/>
        </w:rPr>
      </w:pPr>
      <w:hyperlink w:anchor="_Toc39797968" w:history="1">
        <w:r w:rsidR="00197B00" w:rsidRPr="00616B68">
          <w:rPr>
            <w:rStyle w:val="Hipervnculo"/>
            <w:noProof/>
          </w:rPr>
          <w:t>Tabla 58: Vida Útil por Categoría de Elemento (años). Res. Exta. N°412</w:t>
        </w:r>
        <w:r w:rsidR="00197B00">
          <w:rPr>
            <w:noProof/>
            <w:webHidden/>
          </w:rPr>
          <w:tab/>
        </w:r>
        <w:r w:rsidR="00197B00">
          <w:rPr>
            <w:noProof/>
            <w:webHidden/>
          </w:rPr>
          <w:fldChar w:fldCharType="begin"/>
        </w:r>
        <w:r w:rsidR="00197B00">
          <w:rPr>
            <w:noProof/>
            <w:webHidden/>
          </w:rPr>
          <w:instrText xml:space="preserve"> PAGEREF _Toc39797968 \h </w:instrText>
        </w:r>
        <w:r w:rsidR="00197B00">
          <w:rPr>
            <w:noProof/>
            <w:webHidden/>
          </w:rPr>
        </w:r>
        <w:r w:rsidR="00197B00">
          <w:rPr>
            <w:noProof/>
            <w:webHidden/>
          </w:rPr>
          <w:fldChar w:fldCharType="separate"/>
        </w:r>
        <w:r w:rsidR="001F3E2E">
          <w:rPr>
            <w:noProof/>
            <w:webHidden/>
          </w:rPr>
          <w:t>207</w:t>
        </w:r>
        <w:r w:rsidR="00197B00">
          <w:rPr>
            <w:noProof/>
            <w:webHidden/>
          </w:rPr>
          <w:fldChar w:fldCharType="end"/>
        </w:r>
      </w:hyperlink>
    </w:p>
    <w:p w14:paraId="451C4FFF" w14:textId="77777777" w:rsidR="00197B00" w:rsidRDefault="0088072F">
      <w:pPr>
        <w:pStyle w:val="Tabladeilustraciones"/>
        <w:tabs>
          <w:tab w:val="right" w:leader="dot" w:pos="9680"/>
        </w:tabs>
        <w:rPr>
          <w:rFonts w:asciiTheme="minorHAnsi" w:eastAsiaTheme="minorEastAsia" w:hAnsiTheme="minorHAnsi" w:cstheme="minorBidi"/>
          <w:noProof/>
          <w:szCs w:val="22"/>
          <w:lang w:eastAsia="es-CL"/>
        </w:rPr>
      </w:pPr>
      <w:hyperlink w:anchor="_Toc39797969" w:history="1">
        <w:r w:rsidR="00197B00" w:rsidRPr="00616B68">
          <w:rPr>
            <w:rStyle w:val="Hipervnculo"/>
            <w:noProof/>
          </w:rPr>
          <w:t>Tabla 59: Nómina de bienes según actividades empresas eléctricas</w:t>
        </w:r>
        <w:r w:rsidR="00197B00">
          <w:rPr>
            <w:noProof/>
            <w:webHidden/>
          </w:rPr>
          <w:tab/>
        </w:r>
        <w:r w:rsidR="00197B00">
          <w:rPr>
            <w:noProof/>
            <w:webHidden/>
          </w:rPr>
          <w:fldChar w:fldCharType="begin"/>
        </w:r>
        <w:r w:rsidR="00197B00">
          <w:rPr>
            <w:noProof/>
            <w:webHidden/>
          </w:rPr>
          <w:instrText xml:space="preserve"> PAGEREF _Toc39797969 \h </w:instrText>
        </w:r>
        <w:r w:rsidR="00197B00">
          <w:rPr>
            <w:noProof/>
            <w:webHidden/>
          </w:rPr>
        </w:r>
        <w:r w:rsidR="00197B00">
          <w:rPr>
            <w:noProof/>
            <w:webHidden/>
          </w:rPr>
          <w:fldChar w:fldCharType="separate"/>
        </w:r>
        <w:r w:rsidR="001F3E2E">
          <w:rPr>
            <w:noProof/>
            <w:webHidden/>
          </w:rPr>
          <w:t>208</w:t>
        </w:r>
        <w:r w:rsidR="00197B00">
          <w:rPr>
            <w:noProof/>
            <w:webHidden/>
          </w:rPr>
          <w:fldChar w:fldCharType="end"/>
        </w:r>
      </w:hyperlink>
    </w:p>
    <w:p w14:paraId="6A35CC51" w14:textId="77777777" w:rsidR="00197B00" w:rsidRDefault="0088072F">
      <w:pPr>
        <w:pStyle w:val="Tabladeilustraciones"/>
        <w:tabs>
          <w:tab w:val="right" w:leader="dot" w:pos="9680"/>
        </w:tabs>
        <w:rPr>
          <w:rFonts w:asciiTheme="minorHAnsi" w:eastAsiaTheme="minorEastAsia" w:hAnsiTheme="minorHAnsi" w:cstheme="minorBidi"/>
          <w:noProof/>
          <w:szCs w:val="22"/>
          <w:lang w:eastAsia="es-CL"/>
        </w:rPr>
      </w:pPr>
      <w:hyperlink w:anchor="_Toc39797970" w:history="1">
        <w:r w:rsidR="00197B00" w:rsidRPr="00616B68">
          <w:rPr>
            <w:rStyle w:val="Hipervnculo"/>
            <w:noProof/>
          </w:rPr>
          <w:t xml:space="preserve">Tabla 60: Estructura de cálculo del A.E.I.R. Instalaciones económicamente identificables Tramo </w:t>
        </w:r>
        <m:oMath>
          <m:r>
            <m:rPr>
              <m:sty m:val="bi"/>
            </m:rPr>
            <w:rPr>
              <w:rStyle w:val="Hipervnculo"/>
              <w:rFonts w:ascii="Cambria Math" w:hAnsi="Cambria Math"/>
              <w:noProof/>
            </w:rPr>
            <m:t>i</m:t>
          </m:r>
        </m:oMath>
        <w:r w:rsidR="00197B00">
          <w:rPr>
            <w:noProof/>
            <w:webHidden/>
          </w:rPr>
          <w:tab/>
        </w:r>
        <w:r w:rsidR="00197B00">
          <w:rPr>
            <w:noProof/>
            <w:webHidden/>
          </w:rPr>
          <w:fldChar w:fldCharType="begin"/>
        </w:r>
        <w:r w:rsidR="00197B00">
          <w:rPr>
            <w:noProof/>
            <w:webHidden/>
          </w:rPr>
          <w:instrText xml:space="preserve"> PAGEREF _Toc39797970 \h </w:instrText>
        </w:r>
        <w:r w:rsidR="00197B00">
          <w:rPr>
            <w:noProof/>
            <w:webHidden/>
          </w:rPr>
        </w:r>
        <w:r w:rsidR="00197B00">
          <w:rPr>
            <w:noProof/>
            <w:webHidden/>
          </w:rPr>
          <w:fldChar w:fldCharType="separate"/>
        </w:r>
        <w:r w:rsidR="001F3E2E">
          <w:rPr>
            <w:noProof/>
            <w:webHidden/>
          </w:rPr>
          <w:t>210</w:t>
        </w:r>
        <w:r w:rsidR="00197B00">
          <w:rPr>
            <w:noProof/>
            <w:webHidden/>
          </w:rPr>
          <w:fldChar w:fldCharType="end"/>
        </w:r>
      </w:hyperlink>
    </w:p>
    <w:p w14:paraId="2CEC21BC" w14:textId="77777777" w:rsidR="00197B00" w:rsidRDefault="0088072F">
      <w:pPr>
        <w:pStyle w:val="Tabladeilustraciones"/>
        <w:tabs>
          <w:tab w:val="right" w:leader="dot" w:pos="9680"/>
        </w:tabs>
        <w:rPr>
          <w:rFonts w:asciiTheme="minorHAnsi" w:eastAsiaTheme="minorEastAsia" w:hAnsiTheme="minorHAnsi" w:cstheme="minorBidi"/>
          <w:noProof/>
          <w:szCs w:val="22"/>
          <w:lang w:eastAsia="es-CL"/>
        </w:rPr>
      </w:pPr>
      <w:hyperlink w:anchor="_Toc39797971" w:history="1">
        <w:r w:rsidR="00197B00" w:rsidRPr="00616B68">
          <w:rPr>
            <w:rStyle w:val="Hipervnculo"/>
            <w:noProof/>
          </w:rPr>
          <w:t>Tabla 61: Homologación vidas útiles SII y CNE</w:t>
        </w:r>
        <w:r w:rsidR="00197B00">
          <w:rPr>
            <w:noProof/>
            <w:webHidden/>
          </w:rPr>
          <w:tab/>
        </w:r>
        <w:r w:rsidR="00197B00">
          <w:rPr>
            <w:noProof/>
            <w:webHidden/>
          </w:rPr>
          <w:fldChar w:fldCharType="begin"/>
        </w:r>
        <w:r w:rsidR="00197B00">
          <w:rPr>
            <w:noProof/>
            <w:webHidden/>
          </w:rPr>
          <w:instrText xml:space="preserve"> PAGEREF _Toc39797971 \h </w:instrText>
        </w:r>
        <w:r w:rsidR="00197B00">
          <w:rPr>
            <w:noProof/>
            <w:webHidden/>
          </w:rPr>
        </w:r>
        <w:r w:rsidR="00197B00">
          <w:rPr>
            <w:noProof/>
            <w:webHidden/>
          </w:rPr>
          <w:fldChar w:fldCharType="separate"/>
        </w:r>
        <w:r w:rsidR="001F3E2E">
          <w:rPr>
            <w:noProof/>
            <w:webHidden/>
          </w:rPr>
          <w:t>212</w:t>
        </w:r>
        <w:r w:rsidR="00197B00">
          <w:rPr>
            <w:noProof/>
            <w:webHidden/>
          </w:rPr>
          <w:fldChar w:fldCharType="end"/>
        </w:r>
      </w:hyperlink>
    </w:p>
    <w:p w14:paraId="79D6E8C2" w14:textId="77777777" w:rsidR="00197B00" w:rsidRDefault="0088072F">
      <w:pPr>
        <w:pStyle w:val="Tabladeilustraciones"/>
        <w:tabs>
          <w:tab w:val="right" w:leader="dot" w:pos="9680"/>
        </w:tabs>
        <w:rPr>
          <w:rFonts w:asciiTheme="minorHAnsi" w:eastAsiaTheme="minorEastAsia" w:hAnsiTheme="minorHAnsi" w:cstheme="minorBidi"/>
          <w:noProof/>
          <w:szCs w:val="22"/>
          <w:lang w:eastAsia="es-CL"/>
        </w:rPr>
      </w:pPr>
      <w:hyperlink w:anchor="_Toc39797972" w:history="1">
        <w:r w:rsidR="00197B00" w:rsidRPr="00616B68">
          <w:rPr>
            <w:rStyle w:val="Hipervnculo"/>
            <w:noProof/>
          </w:rPr>
          <w:t>Tabla 62: Vida útiles Resolución Exenta 412 CNE</w:t>
        </w:r>
        <w:r w:rsidR="00197B00">
          <w:rPr>
            <w:noProof/>
            <w:webHidden/>
          </w:rPr>
          <w:tab/>
        </w:r>
        <w:r w:rsidR="00197B00">
          <w:rPr>
            <w:noProof/>
            <w:webHidden/>
          </w:rPr>
          <w:fldChar w:fldCharType="begin"/>
        </w:r>
        <w:r w:rsidR="00197B00">
          <w:rPr>
            <w:noProof/>
            <w:webHidden/>
          </w:rPr>
          <w:instrText xml:space="preserve"> PAGEREF _Toc39797972 \h </w:instrText>
        </w:r>
        <w:r w:rsidR="00197B00">
          <w:rPr>
            <w:noProof/>
            <w:webHidden/>
          </w:rPr>
        </w:r>
        <w:r w:rsidR="00197B00">
          <w:rPr>
            <w:noProof/>
            <w:webHidden/>
          </w:rPr>
          <w:fldChar w:fldCharType="separate"/>
        </w:r>
        <w:r w:rsidR="001F3E2E">
          <w:rPr>
            <w:noProof/>
            <w:webHidden/>
          </w:rPr>
          <w:t>215</w:t>
        </w:r>
        <w:r w:rsidR="00197B00">
          <w:rPr>
            <w:noProof/>
            <w:webHidden/>
          </w:rPr>
          <w:fldChar w:fldCharType="end"/>
        </w:r>
      </w:hyperlink>
    </w:p>
    <w:p w14:paraId="44AC54E9" w14:textId="77777777" w:rsidR="00197B00" w:rsidRDefault="0088072F">
      <w:pPr>
        <w:pStyle w:val="Tabladeilustraciones"/>
        <w:tabs>
          <w:tab w:val="right" w:leader="dot" w:pos="9680"/>
        </w:tabs>
        <w:rPr>
          <w:rFonts w:asciiTheme="minorHAnsi" w:eastAsiaTheme="minorEastAsia" w:hAnsiTheme="minorHAnsi" w:cstheme="minorBidi"/>
          <w:noProof/>
          <w:szCs w:val="22"/>
          <w:lang w:eastAsia="es-CL"/>
        </w:rPr>
      </w:pPr>
      <w:hyperlink w:anchor="_Toc39797973" w:history="1">
        <w:r w:rsidR="00197B00" w:rsidRPr="00616B68">
          <w:rPr>
            <w:rStyle w:val="Hipervnculo"/>
            <w:noProof/>
          </w:rPr>
          <w:t>Tabla 63:</w:t>
        </w:r>
        <w:r w:rsidR="00197B00" w:rsidRPr="00616B68">
          <w:rPr>
            <w:rStyle w:val="Hipervnculo"/>
            <w:bCs/>
            <w:noProof/>
          </w:rPr>
          <w:t xml:space="preserve"> IPC Base 2018</w:t>
        </w:r>
        <w:r w:rsidR="00197B00">
          <w:rPr>
            <w:noProof/>
            <w:webHidden/>
          </w:rPr>
          <w:tab/>
        </w:r>
        <w:r w:rsidR="00197B00">
          <w:rPr>
            <w:noProof/>
            <w:webHidden/>
          </w:rPr>
          <w:fldChar w:fldCharType="begin"/>
        </w:r>
        <w:r w:rsidR="00197B00">
          <w:rPr>
            <w:noProof/>
            <w:webHidden/>
          </w:rPr>
          <w:instrText xml:space="preserve"> PAGEREF _Toc39797973 \h </w:instrText>
        </w:r>
        <w:r w:rsidR="00197B00">
          <w:rPr>
            <w:noProof/>
            <w:webHidden/>
          </w:rPr>
        </w:r>
        <w:r w:rsidR="00197B00">
          <w:rPr>
            <w:noProof/>
            <w:webHidden/>
          </w:rPr>
          <w:fldChar w:fldCharType="separate"/>
        </w:r>
        <w:r w:rsidR="001F3E2E">
          <w:rPr>
            <w:noProof/>
            <w:webHidden/>
          </w:rPr>
          <w:t>219</w:t>
        </w:r>
        <w:r w:rsidR="00197B00">
          <w:rPr>
            <w:noProof/>
            <w:webHidden/>
          </w:rPr>
          <w:fldChar w:fldCharType="end"/>
        </w:r>
      </w:hyperlink>
    </w:p>
    <w:p w14:paraId="224240D8" w14:textId="77777777" w:rsidR="00197B00" w:rsidRDefault="0088072F">
      <w:pPr>
        <w:pStyle w:val="Tabladeilustraciones"/>
        <w:tabs>
          <w:tab w:val="right" w:leader="dot" w:pos="9680"/>
        </w:tabs>
        <w:rPr>
          <w:rFonts w:asciiTheme="minorHAnsi" w:eastAsiaTheme="minorEastAsia" w:hAnsiTheme="minorHAnsi" w:cstheme="minorBidi"/>
          <w:noProof/>
          <w:szCs w:val="22"/>
          <w:lang w:eastAsia="es-CL"/>
        </w:rPr>
      </w:pPr>
      <w:hyperlink w:anchor="_Toc39797974" w:history="1">
        <w:r w:rsidR="00197B00" w:rsidRPr="00616B68">
          <w:rPr>
            <w:rStyle w:val="Hipervnculo"/>
            <w:noProof/>
            <w:lang w:val="en-US"/>
          </w:rPr>
          <w:t>Tabla 64: Consumer Price Index All Urban Consumers</w:t>
        </w:r>
        <w:r w:rsidR="00197B00">
          <w:rPr>
            <w:noProof/>
            <w:webHidden/>
          </w:rPr>
          <w:tab/>
        </w:r>
        <w:r w:rsidR="00197B00">
          <w:rPr>
            <w:noProof/>
            <w:webHidden/>
          </w:rPr>
          <w:fldChar w:fldCharType="begin"/>
        </w:r>
        <w:r w:rsidR="00197B00">
          <w:rPr>
            <w:noProof/>
            <w:webHidden/>
          </w:rPr>
          <w:instrText xml:space="preserve"> PAGEREF _Toc39797974 \h </w:instrText>
        </w:r>
        <w:r w:rsidR="00197B00">
          <w:rPr>
            <w:noProof/>
            <w:webHidden/>
          </w:rPr>
        </w:r>
        <w:r w:rsidR="00197B00">
          <w:rPr>
            <w:noProof/>
            <w:webHidden/>
          </w:rPr>
          <w:fldChar w:fldCharType="separate"/>
        </w:r>
        <w:r w:rsidR="001F3E2E">
          <w:rPr>
            <w:noProof/>
            <w:webHidden/>
          </w:rPr>
          <w:t>219</w:t>
        </w:r>
        <w:r w:rsidR="00197B00">
          <w:rPr>
            <w:noProof/>
            <w:webHidden/>
          </w:rPr>
          <w:fldChar w:fldCharType="end"/>
        </w:r>
      </w:hyperlink>
    </w:p>
    <w:p w14:paraId="62BE5BE8" w14:textId="77777777" w:rsidR="00197B00" w:rsidRDefault="0088072F">
      <w:pPr>
        <w:pStyle w:val="Tabladeilustraciones"/>
        <w:tabs>
          <w:tab w:val="right" w:leader="dot" w:pos="9680"/>
        </w:tabs>
        <w:rPr>
          <w:rFonts w:asciiTheme="minorHAnsi" w:eastAsiaTheme="minorEastAsia" w:hAnsiTheme="minorHAnsi" w:cstheme="minorBidi"/>
          <w:noProof/>
          <w:szCs w:val="22"/>
          <w:lang w:eastAsia="es-CL"/>
        </w:rPr>
      </w:pPr>
      <w:hyperlink w:anchor="_Toc39797975" w:history="1">
        <w:r w:rsidR="00197B00" w:rsidRPr="00616B68">
          <w:rPr>
            <w:rStyle w:val="Hipervnculo"/>
            <w:noProof/>
          </w:rPr>
          <w:t>Tabla 65:</w:t>
        </w:r>
        <w:r w:rsidR="00197B00" w:rsidRPr="00616B68">
          <w:rPr>
            <w:rStyle w:val="Hipervnculo"/>
            <w:bCs/>
            <w:noProof/>
          </w:rPr>
          <w:t xml:space="preserve"> Dólar Observado</w:t>
        </w:r>
        <w:r w:rsidR="00197B00">
          <w:rPr>
            <w:noProof/>
            <w:webHidden/>
          </w:rPr>
          <w:tab/>
        </w:r>
        <w:r w:rsidR="00197B00">
          <w:rPr>
            <w:noProof/>
            <w:webHidden/>
          </w:rPr>
          <w:fldChar w:fldCharType="begin"/>
        </w:r>
        <w:r w:rsidR="00197B00">
          <w:rPr>
            <w:noProof/>
            <w:webHidden/>
          </w:rPr>
          <w:instrText xml:space="preserve"> PAGEREF _Toc39797975 \h </w:instrText>
        </w:r>
        <w:r w:rsidR="00197B00">
          <w:rPr>
            <w:noProof/>
            <w:webHidden/>
          </w:rPr>
        </w:r>
        <w:r w:rsidR="00197B00">
          <w:rPr>
            <w:noProof/>
            <w:webHidden/>
          </w:rPr>
          <w:fldChar w:fldCharType="separate"/>
        </w:r>
        <w:r w:rsidR="001F3E2E">
          <w:rPr>
            <w:noProof/>
            <w:webHidden/>
          </w:rPr>
          <w:t>220</w:t>
        </w:r>
        <w:r w:rsidR="00197B00">
          <w:rPr>
            <w:noProof/>
            <w:webHidden/>
          </w:rPr>
          <w:fldChar w:fldCharType="end"/>
        </w:r>
      </w:hyperlink>
    </w:p>
    <w:p w14:paraId="3BD8D163" w14:textId="77777777" w:rsidR="00197B00" w:rsidRDefault="0088072F">
      <w:pPr>
        <w:pStyle w:val="Tabladeilustraciones"/>
        <w:tabs>
          <w:tab w:val="right" w:leader="dot" w:pos="9680"/>
        </w:tabs>
        <w:rPr>
          <w:rFonts w:asciiTheme="minorHAnsi" w:eastAsiaTheme="minorEastAsia" w:hAnsiTheme="minorHAnsi" w:cstheme="minorBidi"/>
          <w:noProof/>
          <w:szCs w:val="22"/>
          <w:lang w:eastAsia="es-CL"/>
        </w:rPr>
      </w:pPr>
      <w:hyperlink w:anchor="_Toc39797976" w:history="1">
        <w:r w:rsidR="00197B00" w:rsidRPr="00616B68">
          <w:rPr>
            <w:rStyle w:val="Hipervnculo"/>
            <w:noProof/>
          </w:rPr>
          <w:t>Tabla 66: Valor Base Indexadores</w:t>
        </w:r>
        <w:r w:rsidR="00197B00">
          <w:rPr>
            <w:noProof/>
            <w:webHidden/>
          </w:rPr>
          <w:tab/>
        </w:r>
        <w:r w:rsidR="00197B00">
          <w:rPr>
            <w:noProof/>
            <w:webHidden/>
          </w:rPr>
          <w:fldChar w:fldCharType="begin"/>
        </w:r>
        <w:r w:rsidR="00197B00">
          <w:rPr>
            <w:noProof/>
            <w:webHidden/>
          </w:rPr>
          <w:instrText xml:space="preserve"> PAGEREF _Toc39797976 \h </w:instrText>
        </w:r>
        <w:r w:rsidR="00197B00">
          <w:rPr>
            <w:noProof/>
            <w:webHidden/>
          </w:rPr>
        </w:r>
        <w:r w:rsidR="00197B00">
          <w:rPr>
            <w:noProof/>
            <w:webHidden/>
          </w:rPr>
          <w:fldChar w:fldCharType="separate"/>
        </w:r>
        <w:r w:rsidR="001F3E2E">
          <w:rPr>
            <w:noProof/>
            <w:webHidden/>
          </w:rPr>
          <w:t>220</w:t>
        </w:r>
        <w:r w:rsidR="00197B00">
          <w:rPr>
            <w:noProof/>
            <w:webHidden/>
          </w:rPr>
          <w:fldChar w:fldCharType="end"/>
        </w:r>
      </w:hyperlink>
    </w:p>
    <w:p w14:paraId="07E59158" w14:textId="77777777" w:rsidR="00197B00" w:rsidRDefault="0088072F">
      <w:pPr>
        <w:pStyle w:val="Tabladeilustraciones"/>
        <w:tabs>
          <w:tab w:val="right" w:leader="dot" w:pos="9680"/>
        </w:tabs>
        <w:rPr>
          <w:rFonts w:asciiTheme="minorHAnsi" w:eastAsiaTheme="minorEastAsia" w:hAnsiTheme="minorHAnsi" w:cstheme="minorBidi"/>
          <w:noProof/>
          <w:szCs w:val="22"/>
          <w:lang w:eastAsia="es-CL"/>
        </w:rPr>
      </w:pPr>
      <w:hyperlink w:anchor="_Toc39797977" w:history="1">
        <w:r w:rsidR="00197B00" w:rsidRPr="00616B68">
          <w:rPr>
            <w:rStyle w:val="Hipervnculo"/>
            <w:noProof/>
          </w:rPr>
          <w:t>Tabla 67: Deflactores</w:t>
        </w:r>
        <w:r w:rsidR="00197B00">
          <w:rPr>
            <w:noProof/>
            <w:webHidden/>
          </w:rPr>
          <w:tab/>
        </w:r>
        <w:r w:rsidR="00197B00">
          <w:rPr>
            <w:noProof/>
            <w:webHidden/>
          </w:rPr>
          <w:fldChar w:fldCharType="begin"/>
        </w:r>
        <w:r w:rsidR="00197B00">
          <w:rPr>
            <w:noProof/>
            <w:webHidden/>
          </w:rPr>
          <w:instrText xml:space="preserve"> PAGEREF _Toc39797977 \h </w:instrText>
        </w:r>
        <w:r w:rsidR="00197B00">
          <w:rPr>
            <w:noProof/>
            <w:webHidden/>
          </w:rPr>
        </w:r>
        <w:r w:rsidR="00197B00">
          <w:rPr>
            <w:noProof/>
            <w:webHidden/>
          </w:rPr>
          <w:fldChar w:fldCharType="separate"/>
        </w:r>
        <w:r w:rsidR="001F3E2E">
          <w:rPr>
            <w:noProof/>
            <w:webHidden/>
          </w:rPr>
          <w:t>223</w:t>
        </w:r>
        <w:r w:rsidR="00197B00">
          <w:rPr>
            <w:noProof/>
            <w:webHidden/>
          </w:rPr>
          <w:fldChar w:fldCharType="end"/>
        </w:r>
      </w:hyperlink>
    </w:p>
    <w:p w14:paraId="0D05904C" w14:textId="77777777" w:rsidR="00197B00" w:rsidRDefault="0088072F">
      <w:pPr>
        <w:pStyle w:val="Tabladeilustraciones"/>
        <w:tabs>
          <w:tab w:val="right" w:leader="dot" w:pos="9680"/>
        </w:tabs>
        <w:rPr>
          <w:rFonts w:asciiTheme="minorHAnsi" w:eastAsiaTheme="minorEastAsia" w:hAnsiTheme="minorHAnsi" w:cstheme="minorBidi"/>
          <w:noProof/>
          <w:szCs w:val="22"/>
          <w:lang w:eastAsia="es-CL"/>
        </w:rPr>
      </w:pPr>
      <w:hyperlink w:anchor="_Toc39797978" w:history="1">
        <w:r w:rsidR="00197B00" w:rsidRPr="00616B68">
          <w:rPr>
            <w:rStyle w:val="Hipervnculo"/>
            <w:noProof/>
          </w:rPr>
          <w:t>Tabla 68: Resultados A.V.I. , C.O.M.A., A.E.I.R y V.A.T.T. tramos de transporte</w:t>
        </w:r>
        <w:r w:rsidR="00197B00">
          <w:rPr>
            <w:noProof/>
            <w:webHidden/>
          </w:rPr>
          <w:tab/>
        </w:r>
        <w:r w:rsidR="00197B00">
          <w:rPr>
            <w:noProof/>
            <w:webHidden/>
          </w:rPr>
          <w:fldChar w:fldCharType="begin"/>
        </w:r>
        <w:r w:rsidR="00197B00">
          <w:rPr>
            <w:noProof/>
            <w:webHidden/>
          </w:rPr>
          <w:instrText xml:space="preserve"> PAGEREF _Toc39797978 \h </w:instrText>
        </w:r>
        <w:r w:rsidR="00197B00">
          <w:rPr>
            <w:noProof/>
            <w:webHidden/>
          </w:rPr>
        </w:r>
        <w:r w:rsidR="00197B00">
          <w:rPr>
            <w:noProof/>
            <w:webHidden/>
          </w:rPr>
          <w:fldChar w:fldCharType="separate"/>
        </w:r>
        <w:r w:rsidR="001F3E2E">
          <w:rPr>
            <w:noProof/>
            <w:webHidden/>
          </w:rPr>
          <w:t>225</w:t>
        </w:r>
        <w:r w:rsidR="00197B00">
          <w:rPr>
            <w:noProof/>
            <w:webHidden/>
          </w:rPr>
          <w:fldChar w:fldCharType="end"/>
        </w:r>
      </w:hyperlink>
    </w:p>
    <w:p w14:paraId="297D7759" w14:textId="77777777" w:rsidR="00197B00" w:rsidRDefault="0088072F">
      <w:pPr>
        <w:pStyle w:val="Tabladeilustraciones"/>
        <w:tabs>
          <w:tab w:val="right" w:leader="dot" w:pos="9680"/>
        </w:tabs>
        <w:rPr>
          <w:rFonts w:asciiTheme="minorHAnsi" w:eastAsiaTheme="minorEastAsia" w:hAnsiTheme="minorHAnsi" w:cstheme="minorBidi"/>
          <w:noProof/>
          <w:szCs w:val="22"/>
          <w:lang w:eastAsia="es-CL"/>
        </w:rPr>
      </w:pPr>
      <w:hyperlink w:anchor="_Toc39797979" w:history="1">
        <w:r w:rsidR="00197B00" w:rsidRPr="00616B68">
          <w:rPr>
            <w:rStyle w:val="Hipervnculo"/>
            <w:noProof/>
          </w:rPr>
          <w:t>Tabla 69: Resultados A.V.I. , C.O.M.A., A.E.I.R y V.A.T.T. tramos de transformación</w:t>
        </w:r>
        <w:r w:rsidR="00197B00">
          <w:rPr>
            <w:noProof/>
            <w:webHidden/>
          </w:rPr>
          <w:tab/>
        </w:r>
        <w:r w:rsidR="00197B00">
          <w:rPr>
            <w:noProof/>
            <w:webHidden/>
          </w:rPr>
          <w:fldChar w:fldCharType="begin"/>
        </w:r>
        <w:r w:rsidR="00197B00">
          <w:rPr>
            <w:noProof/>
            <w:webHidden/>
          </w:rPr>
          <w:instrText xml:space="preserve"> PAGEREF _Toc39797979 \h </w:instrText>
        </w:r>
        <w:r w:rsidR="00197B00">
          <w:rPr>
            <w:noProof/>
            <w:webHidden/>
          </w:rPr>
        </w:r>
        <w:r w:rsidR="00197B00">
          <w:rPr>
            <w:noProof/>
            <w:webHidden/>
          </w:rPr>
          <w:fldChar w:fldCharType="separate"/>
        </w:r>
        <w:r w:rsidR="001F3E2E">
          <w:rPr>
            <w:noProof/>
            <w:webHidden/>
          </w:rPr>
          <w:t>228</w:t>
        </w:r>
        <w:r w:rsidR="00197B00">
          <w:rPr>
            <w:noProof/>
            <w:webHidden/>
          </w:rPr>
          <w:fldChar w:fldCharType="end"/>
        </w:r>
      </w:hyperlink>
    </w:p>
    <w:p w14:paraId="4D584C9A" w14:textId="77777777" w:rsidR="00197B00" w:rsidRDefault="0088072F">
      <w:pPr>
        <w:pStyle w:val="Tabladeilustraciones"/>
        <w:tabs>
          <w:tab w:val="right" w:leader="dot" w:pos="9680"/>
        </w:tabs>
        <w:rPr>
          <w:rFonts w:asciiTheme="minorHAnsi" w:eastAsiaTheme="minorEastAsia" w:hAnsiTheme="minorHAnsi" w:cstheme="minorBidi"/>
          <w:noProof/>
          <w:szCs w:val="22"/>
          <w:lang w:eastAsia="es-CL"/>
        </w:rPr>
      </w:pPr>
      <w:hyperlink w:anchor="_Toc39797980" w:history="1">
        <w:r w:rsidR="00197B00" w:rsidRPr="00616B68">
          <w:rPr>
            <w:rStyle w:val="Hipervnculo"/>
            <w:noProof/>
          </w:rPr>
          <w:t>Tabla 70: Coeficientes fórmulas de indexación tramos de transporte</w:t>
        </w:r>
        <w:r w:rsidR="00197B00">
          <w:rPr>
            <w:noProof/>
            <w:webHidden/>
          </w:rPr>
          <w:tab/>
        </w:r>
        <w:r w:rsidR="00197B00">
          <w:rPr>
            <w:noProof/>
            <w:webHidden/>
          </w:rPr>
          <w:fldChar w:fldCharType="begin"/>
        </w:r>
        <w:r w:rsidR="00197B00">
          <w:rPr>
            <w:noProof/>
            <w:webHidden/>
          </w:rPr>
          <w:instrText xml:space="preserve"> PAGEREF _Toc39797980 \h </w:instrText>
        </w:r>
        <w:r w:rsidR="00197B00">
          <w:rPr>
            <w:noProof/>
            <w:webHidden/>
          </w:rPr>
        </w:r>
        <w:r w:rsidR="00197B00">
          <w:rPr>
            <w:noProof/>
            <w:webHidden/>
          </w:rPr>
          <w:fldChar w:fldCharType="separate"/>
        </w:r>
        <w:r w:rsidR="001F3E2E">
          <w:rPr>
            <w:noProof/>
            <w:webHidden/>
          </w:rPr>
          <w:t>230</w:t>
        </w:r>
        <w:r w:rsidR="00197B00">
          <w:rPr>
            <w:noProof/>
            <w:webHidden/>
          </w:rPr>
          <w:fldChar w:fldCharType="end"/>
        </w:r>
      </w:hyperlink>
    </w:p>
    <w:p w14:paraId="4F7F7D6C" w14:textId="77777777" w:rsidR="00197B00" w:rsidRDefault="0088072F">
      <w:pPr>
        <w:pStyle w:val="Tabladeilustraciones"/>
        <w:tabs>
          <w:tab w:val="right" w:leader="dot" w:pos="9680"/>
        </w:tabs>
        <w:rPr>
          <w:rFonts w:asciiTheme="minorHAnsi" w:eastAsiaTheme="minorEastAsia" w:hAnsiTheme="minorHAnsi" w:cstheme="minorBidi"/>
          <w:noProof/>
          <w:szCs w:val="22"/>
          <w:lang w:eastAsia="es-CL"/>
        </w:rPr>
      </w:pPr>
      <w:hyperlink w:anchor="_Toc39797981" w:history="1">
        <w:r w:rsidR="00197B00" w:rsidRPr="00616B68">
          <w:rPr>
            <w:rStyle w:val="Hipervnculo"/>
            <w:noProof/>
          </w:rPr>
          <w:t>Tabla 71: Coeficientes fórmulas de indexación tramos de subestación</w:t>
        </w:r>
        <w:r w:rsidR="00197B00">
          <w:rPr>
            <w:noProof/>
            <w:webHidden/>
          </w:rPr>
          <w:tab/>
        </w:r>
        <w:r w:rsidR="00197B00">
          <w:rPr>
            <w:noProof/>
            <w:webHidden/>
          </w:rPr>
          <w:fldChar w:fldCharType="begin"/>
        </w:r>
        <w:r w:rsidR="00197B00">
          <w:rPr>
            <w:noProof/>
            <w:webHidden/>
          </w:rPr>
          <w:instrText xml:space="preserve"> PAGEREF _Toc39797981 \h </w:instrText>
        </w:r>
        <w:r w:rsidR="00197B00">
          <w:rPr>
            <w:noProof/>
            <w:webHidden/>
          </w:rPr>
        </w:r>
        <w:r w:rsidR="00197B00">
          <w:rPr>
            <w:noProof/>
            <w:webHidden/>
          </w:rPr>
          <w:fldChar w:fldCharType="separate"/>
        </w:r>
        <w:r w:rsidR="001F3E2E">
          <w:rPr>
            <w:noProof/>
            <w:webHidden/>
          </w:rPr>
          <w:t>235</w:t>
        </w:r>
        <w:r w:rsidR="00197B00">
          <w:rPr>
            <w:noProof/>
            <w:webHidden/>
          </w:rPr>
          <w:fldChar w:fldCharType="end"/>
        </w:r>
      </w:hyperlink>
    </w:p>
    <w:p w14:paraId="7C7F7554" w14:textId="2ABBC83C" w:rsidR="00B865EB" w:rsidRDefault="00B865EB" w:rsidP="00640F44">
      <w:pPr>
        <w:spacing w:after="0" w:line="240" w:lineRule="auto"/>
      </w:pPr>
      <w:r w:rsidRPr="00640F44">
        <w:rPr>
          <w:rFonts w:cs="Calibri"/>
          <w:sz w:val="22"/>
          <w:szCs w:val="22"/>
        </w:rPr>
        <w:fldChar w:fldCharType="end"/>
      </w:r>
    </w:p>
    <w:p w14:paraId="58F6F5F3" w14:textId="77777777" w:rsidR="00B92CF1" w:rsidRDefault="00B92CF1">
      <w:pPr>
        <w:spacing w:after="0" w:line="240" w:lineRule="auto"/>
        <w:jc w:val="left"/>
        <w:rPr>
          <w:b/>
          <w:bCs/>
          <w:color w:val="4472C4"/>
          <w:sz w:val="32"/>
          <w:szCs w:val="32"/>
        </w:rPr>
      </w:pPr>
      <w:r>
        <w:rPr>
          <w:b/>
          <w:bCs/>
          <w:color w:val="4472C4"/>
          <w:sz w:val="32"/>
          <w:szCs w:val="32"/>
        </w:rPr>
        <w:br w:type="page"/>
      </w:r>
    </w:p>
    <w:p w14:paraId="415B40DC" w14:textId="5D6A7AD4" w:rsidR="00B865EB" w:rsidRPr="00B865EB" w:rsidRDefault="00B865EB" w:rsidP="00B865EB">
      <w:pPr>
        <w:rPr>
          <w:sz w:val="32"/>
          <w:szCs w:val="32"/>
        </w:rPr>
      </w:pPr>
      <w:r w:rsidRPr="00B865EB">
        <w:rPr>
          <w:b/>
          <w:bCs/>
          <w:color w:val="4472C4"/>
          <w:sz w:val="32"/>
          <w:szCs w:val="32"/>
        </w:rPr>
        <w:lastRenderedPageBreak/>
        <w:t xml:space="preserve">ÍNDICE DE </w:t>
      </w:r>
      <w:r>
        <w:rPr>
          <w:b/>
          <w:bCs/>
          <w:color w:val="4472C4"/>
          <w:sz w:val="32"/>
          <w:szCs w:val="32"/>
        </w:rPr>
        <w:t>ILUSTRACIONES</w:t>
      </w:r>
    </w:p>
    <w:p w14:paraId="511B766C" w14:textId="77777777" w:rsidR="00197B00" w:rsidRDefault="00B865EB">
      <w:pPr>
        <w:pStyle w:val="Tabladeilustraciones"/>
        <w:tabs>
          <w:tab w:val="right" w:leader="dot" w:pos="9680"/>
        </w:tabs>
        <w:rPr>
          <w:rFonts w:asciiTheme="minorHAnsi" w:eastAsiaTheme="minorEastAsia" w:hAnsiTheme="minorHAnsi" w:cstheme="minorBidi"/>
          <w:noProof/>
          <w:szCs w:val="22"/>
          <w:lang w:eastAsia="es-CL"/>
        </w:rPr>
      </w:pPr>
      <w:r w:rsidRPr="00640F44">
        <w:rPr>
          <w:szCs w:val="22"/>
        </w:rPr>
        <w:fldChar w:fldCharType="begin"/>
      </w:r>
      <w:r w:rsidRPr="00640F44">
        <w:rPr>
          <w:szCs w:val="22"/>
        </w:rPr>
        <w:instrText xml:space="preserve"> TOC \h \z \c "Ilustración" </w:instrText>
      </w:r>
      <w:r w:rsidRPr="00640F44">
        <w:rPr>
          <w:szCs w:val="22"/>
        </w:rPr>
        <w:fldChar w:fldCharType="separate"/>
      </w:r>
      <w:hyperlink w:anchor="_Toc39797982" w:history="1">
        <w:r w:rsidR="00197B00" w:rsidRPr="00CA07D8">
          <w:rPr>
            <w:rStyle w:val="Hipervnculo"/>
            <w:noProof/>
          </w:rPr>
          <w:t>Ilustración 1: Equipos que requieren transporte especial</w:t>
        </w:r>
        <w:r w:rsidR="00197B00">
          <w:rPr>
            <w:noProof/>
            <w:webHidden/>
          </w:rPr>
          <w:tab/>
        </w:r>
        <w:r w:rsidR="00197B00">
          <w:rPr>
            <w:noProof/>
            <w:webHidden/>
          </w:rPr>
          <w:fldChar w:fldCharType="begin"/>
        </w:r>
        <w:r w:rsidR="00197B00">
          <w:rPr>
            <w:noProof/>
            <w:webHidden/>
          </w:rPr>
          <w:instrText xml:space="preserve"> PAGEREF _Toc39797982 \h </w:instrText>
        </w:r>
        <w:r w:rsidR="00197B00">
          <w:rPr>
            <w:noProof/>
            <w:webHidden/>
          </w:rPr>
        </w:r>
        <w:r w:rsidR="00197B00">
          <w:rPr>
            <w:noProof/>
            <w:webHidden/>
          </w:rPr>
          <w:fldChar w:fldCharType="separate"/>
        </w:r>
        <w:r w:rsidR="001F3E2E">
          <w:rPr>
            <w:noProof/>
            <w:webHidden/>
          </w:rPr>
          <w:t>54</w:t>
        </w:r>
        <w:r w:rsidR="00197B00">
          <w:rPr>
            <w:noProof/>
            <w:webHidden/>
          </w:rPr>
          <w:fldChar w:fldCharType="end"/>
        </w:r>
      </w:hyperlink>
    </w:p>
    <w:p w14:paraId="259AFE74" w14:textId="77777777" w:rsidR="00197B00" w:rsidRDefault="0088072F">
      <w:pPr>
        <w:pStyle w:val="Tabladeilustraciones"/>
        <w:tabs>
          <w:tab w:val="right" w:leader="dot" w:pos="9680"/>
        </w:tabs>
        <w:rPr>
          <w:rFonts w:asciiTheme="minorHAnsi" w:eastAsiaTheme="minorEastAsia" w:hAnsiTheme="minorHAnsi" w:cstheme="minorBidi"/>
          <w:noProof/>
          <w:szCs w:val="22"/>
          <w:lang w:eastAsia="es-CL"/>
        </w:rPr>
      </w:pPr>
      <w:hyperlink w:anchor="_Toc39797983" w:history="1">
        <w:r w:rsidR="00197B00" w:rsidRPr="00CA07D8">
          <w:rPr>
            <w:rStyle w:val="Hipervnculo"/>
            <w:noProof/>
          </w:rPr>
          <w:t>Ilustración 2: Esquema del proceso de cálculo del V.I.</w:t>
        </w:r>
        <w:r w:rsidR="00197B00">
          <w:rPr>
            <w:noProof/>
            <w:webHidden/>
          </w:rPr>
          <w:tab/>
        </w:r>
        <w:r w:rsidR="00197B00">
          <w:rPr>
            <w:noProof/>
            <w:webHidden/>
          </w:rPr>
          <w:fldChar w:fldCharType="begin"/>
        </w:r>
        <w:r w:rsidR="00197B00">
          <w:rPr>
            <w:noProof/>
            <w:webHidden/>
          </w:rPr>
          <w:instrText xml:space="preserve"> PAGEREF _Toc39797983 \h </w:instrText>
        </w:r>
        <w:r w:rsidR="00197B00">
          <w:rPr>
            <w:noProof/>
            <w:webHidden/>
          </w:rPr>
        </w:r>
        <w:r w:rsidR="00197B00">
          <w:rPr>
            <w:noProof/>
            <w:webHidden/>
          </w:rPr>
          <w:fldChar w:fldCharType="separate"/>
        </w:r>
        <w:r w:rsidR="001F3E2E">
          <w:rPr>
            <w:noProof/>
            <w:webHidden/>
          </w:rPr>
          <w:t>63</w:t>
        </w:r>
        <w:r w:rsidR="00197B00">
          <w:rPr>
            <w:noProof/>
            <w:webHidden/>
          </w:rPr>
          <w:fldChar w:fldCharType="end"/>
        </w:r>
      </w:hyperlink>
    </w:p>
    <w:p w14:paraId="46206D39" w14:textId="77777777" w:rsidR="00197B00" w:rsidRDefault="0088072F">
      <w:pPr>
        <w:pStyle w:val="Tabladeilustraciones"/>
        <w:tabs>
          <w:tab w:val="right" w:leader="dot" w:pos="9680"/>
        </w:tabs>
        <w:rPr>
          <w:rFonts w:asciiTheme="minorHAnsi" w:eastAsiaTheme="minorEastAsia" w:hAnsiTheme="minorHAnsi" w:cstheme="minorBidi"/>
          <w:noProof/>
          <w:szCs w:val="22"/>
          <w:lang w:eastAsia="es-CL"/>
        </w:rPr>
      </w:pPr>
      <w:hyperlink w:anchor="_Toc39797984" w:history="1">
        <w:r w:rsidR="00197B00" w:rsidRPr="00CA07D8">
          <w:rPr>
            <w:rStyle w:val="Hipervnculo"/>
            <w:noProof/>
          </w:rPr>
          <w:t>Ilustración 3: Componentes de costo</w:t>
        </w:r>
        <w:r w:rsidR="00197B00">
          <w:rPr>
            <w:noProof/>
            <w:webHidden/>
          </w:rPr>
          <w:tab/>
        </w:r>
        <w:r w:rsidR="00197B00">
          <w:rPr>
            <w:noProof/>
            <w:webHidden/>
          </w:rPr>
          <w:fldChar w:fldCharType="begin"/>
        </w:r>
        <w:r w:rsidR="00197B00">
          <w:rPr>
            <w:noProof/>
            <w:webHidden/>
          </w:rPr>
          <w:instrText xml:space="preserve"> PAGEREF _Toc39797984 \h </w:instrText>
        </w:r>
        <w:r w:rsidR="00197B00">
          <w:rPr>
            <w:noProof/>
            <w:webHidden/>
          </w:rPr>
        </w:r>
        <w:r w:rsidR="00197B00">
          <w:rPr>
            <w:noProof/>
            <w:webHidden/>
          </w:rPr>
          <w:fldChar w:fldCharType="separate"/>
        </w:r>
        <w:r w:rsidR="001F3E2E">
          <w:rPr>
            <w:noProof/>
            <w:webHidden/>
          </w:rPr>
          <w:t>68</w:t>
        </w:r>
        <w:r w:rsidR="00197B00">
          <w:rPr>
            <w:noProof/>
            <w:webHidden/>
          </w:rPr>
          <w:fldChar w:fldCharType="end"/>
        </w:r>
      </w:hyperlink>
    </w:p>
    <w:p w14:paraId="650B0FAD" w14:textId="77777777" w:rsidR="00197B00" w:rsidRDefault="0088072F">
      <w:pPr>
        <w:pStyle w:val="Tabladeilustraciones"/>
        <w:tabs>
          <w:tab w:val="right" w:leader="dot" w:pos="9680"/>
        </w:tabs>
        <w:rPr>
          <w:rFonts w:asciiTheme="minorHAnsi" w:eastAsiaTheme="minorEastAsia" w:hAnsiTheme="minorHAnsi" w:cstheme="minorBidi"/>
          <w:noProof/>
          <w:szCs w:val="22"/>
          <w:lang w:eastAsia="es-CL"/>
        </w:rPr>
      </w:pPr>
      <w:hyperlink w:anchor="_Toc39797985" w:history="1">
        <w:r w:rsidR="00197B00" w:rsidRPr="00CA07D8">
          <w:rPr>
            <w:rStyle w:val="Hipervnculo"/>
            <w:noProof/>
          </w:rPr>
          <w:t>Ilustración 4: Flujograma diseño de empresa modelo</w:t>
        </w:r>
        <w:r w:rsidR="00197B00">
          <w:rPr>
            <w:noProof/>
            <w:webHidden/>
          </w:rPr>
          <w:tab/>
        </w:r>
        <w:r w:rsidR="00197B00">
          <w:rPr>
            <w:noProof/>
            <w:webHidden/>
          </w:rPr>
          <w:fldChar w:fldCharType="begin"/>
        </w:r>
        <w:r w:rsidR="00197B00">
          <w:rPr>
            <w:noProof/>
            <w:webHidden/>
          </w:rPr>
          <w:instrText xml:space="preserve"> PAGEREF _Toc39797985 \h </w:instrText>
        </w:r>
        <w:r w:rsidR="00197B00">
          <w:rPr>
            <w:noProof/>
            <w:webHidden/>
          </w:rPr>
        </w:r>
        <w:r w:rsidR="00197B00">
          <w:rPr>
            <w:noProof/>
            <w:webHidden/>
          </w:rPr>
          <w:fldChar w:fldCharType="separate"/>
        </w:r>
        <w:r w:rsidR="001F3E2E">
          <w:rPr>
            <w:noProof/>
            <w:webHidden/>
          </w:rPr>
          <w:t>72</w:t>
        </w:r>
        <w:r w:rsidR="00197B00">
          <w:rPr>
            <w:noProof/>
            <w:webHidden/>
          </w:rPr>
          <w:fldChar w:fldCharType="end"/>
        </w:r>
      </w:hyperlink>
    </w:p>
    <w:p w14:paraId="7465563B" w14:textId="77777777" w:rsidR="00197B00" w:rsidRDefault="0088072F">
      <w:pPr>
        <w:pStyle w:val="Tabladeilustraciones"/>
        <w:tabs>
          <w:tab w:val="right" w:leader="dot" w:pos="9680"/>
        </w:tabs>
        <w:rPr>
          <w:rFonts w:asciiTheme="minorHAnsi" w:eastAsiaTheme="minorEastAsia" w:hAnsiTheme="minorHAnsi" w:cstheme="minorBidi"/>
          <w:noProof/>
          <w:szCs w:val="22"/>
          <w:lang w:eastAsia="es-CL"/>
        </w:rPr>
      </w:pPr>
      <w:hyperlink w:anchor="_Toc39797986" w:history="1">
        <w:r w:rsidR="00197B00" w:rsidRPr="00CA07D8">
          <w:rPr>
            <w:rStyle w:val="Hipervnculo"/>
            <w:noProof/>
          </w:rPr>
          <w:t>Ilustración 5: Desplazamiento cuadrillas hacia líneas de transmisión</w:t>
        </w:r>
        <w:r w:rsidR="00197B00">
          <w:rPr>
            <w:noProof/>
            <w:webHidden/>
          </w:rPr>
          <w:tab/>
        </w:r>
        <w:r w:rsidR="00197B00">
          <w:rPr>
            <w:noProof/>
            <w:webHidden/>
          </w:rPr>
          <w:fldChar w:fldCharType="begin"/>
        </w:r>
        <w:r w:rsidR="00197B00">
          <w:rPr>
            <w:noProof/>
            <w:webHidden/>
          </w:rPr>
          <w:instrText xml:space="preserve"> PAGEREF _Toc39797986 \h </w:instrText>
        </w:r>
        <w:r w:rsidR="00197B00">
          <w:rPr>
            <w:noProof/>
            <w:webHidden/>
          </w:rPr>
        </w:r>
        <w:r w:rsidR="00197B00">
          <w:rPr>
            <w:noProof/>
            <w:webHidden/>
          </w:rPr>
          <w:fldChar w:fldCharType="separate"/>
        </w:r>
        <w:r w:rsidR="001F3E2E">
          <w:rPr>
            <w:noProof/>
            <w:webHidden/>
          </w:rPr>
          <w:t>85</w:t>
        </w:r>
        <w:r w:rsidR="00197B00">
          <w:rPr>
            <w:noProof/>
            <w:webHidden/>
          </w:rPr>
          <w:fldChar w:fldCharType="end"/>
        </w:r>
      </w:hyperlink>
    </w:p>
    <w:p w14:paraId="6EAA1555" w14:textId="77777777" w:rsidR="00197B00" w:rsidRDefault="0088072F">
      <w:pPr>
        <w:pStyle w:val="Tabladeilustraciones"/>
        <w:tabs>
          <w:tab w:val="right" w:leader="dot" w:pos="9680"/>
        </w:tabs>
        <w:rPr>
          <w:rFonts w:asciiTheme="minorHAnsi" w:eastAsiaTheme="minorEastAsia" w:hAnsiTheme="minorHAnsi" w:cstheme="minorBidi"/>
          <w:noProof/>
          <w:szCs w:val="22"/>
          <w:lang w:eastAsia="es-CL"/>
        </w:rPr>
      </w:pPr>
      <w:hyperlink w:anchor="_Toc39797987" w:history="1">
        <w:r w:rsidR="00197B00" w:rsidRPr="00CA07D8">
          <w:rPr>
            <w:rStyle w:val="Hipervnculo"/>
            <w:noProof/>
          </w:rPr>
          <w:t>Ilustración 6: Desplazamiento cuadrillas hacia subestaciones</w:t>
        </w:r>
        <w:r w:rsidR="00197B00">
          <w:rPr>
            <w:noProof/>
            <w:webHidden/>
          </w:rPr>
          <w:tab/>
        </w:r>
        <w:r w:rsidR="00197B00">
          <w:rPr>
            <w:noProof/>
            <w:webHidden/>
          </w:rPr>
          <w:fldChar w:fldCharType="begin"/>
        </w:r>
        <w:r w:rsidR="00197B00">
          <w:rPr>
            <w:noProof/>
            <w:webHidden/>
          </w:rPr>
          <w:instrText xml:space="preserve"> PAGEREF _Toc39797987 \h </w:instrText>
        </w:r>
        <w:r w:rsidR="00197B00">
          <w:rPr>
            <w:noProof/>
            <w:webHidden/>
          </w:rPr>
        </w:r>
        <w:r w:rsidR="00197B00">
          <w:rPr>
            <w:noProof/>
            <w:webHidden/>
          </w:rPr>
          <w:fldChar w:fldCharType="separate"/>
        </w:r>
        <w:r w:rsidR="001F3E2E">
          <w:rPr>
            <w:noProof/>
            <w:webHidden/>
          </w:rPr>
          <w:t>86</w:t>
        </w:r>
        <w:r w:rsidR="00197B00">
          <w:rPr>
            <w:noProof/>
            <w:webHidden/>
          </w:rPr>
          <w:fldChar w:fldCharType="end"/>
        </w:r>
      </w:hyperlink>
    </w:p>
    <w:p w14:paraId="0E01607B" w14:textId="77777777" w:rsidR="00197B00" w:rsidRDefault="0088072F">
      <w:pPr>
        <w:pStyle w:val="Tabladeilustraciones"/>
        <w:tabs>
          <w:tab w:val="right" w:leader="dot" w:pos="9680"/>
        </w:tabs>
        <w:rPr>
          <w:rFonts w:asciiTheme="minorHAnsi" w:eastAsiaTheme="minorEastAsia" w:hAnsiTheme="minorHAnsi" w:cstheme="minorBidi"/>
          <w:noProof/>
          <w:szCs w:val="22"/>
          <w:lang w:eastAsia="es-CL"/>
        </w:rPr>
      </w:pPr>
      <w:hyperlink w:anchor="_Toc39797988" w:history="1">
        <w:r w:rsidR="00197B00" w:rsidRPr="00CA07D8">
          <w:rPr>
            <w:rStyle w:val="Hipervnculo"/>
            <w:noProof/>
          </w:rPr>
          <w:t>Ilustración 7:</w:t>
        </w:r>
        <w:r w:rsidR="00197B00" w:rsidRPr="00CA07D8">
          <w:rPr>
            <w:rStyle w:val="Hipervnculo"/>
            <w:rFonts w:eastAsia="Times New Roman" w:cs="Calibri"/>
            <w:noProof/>
            <w:lang w:val="es-ES" w:eastAsia="es-ES"/>
          </w:rPr>
          <w:t xml:space="preserve"> Flujograma de Costeo</w:t>
        </w:r>
        <w:r w:rsidR="00197B00">
          <w:rPr>
            <w:noProof/>
            <w:webHidden/>
          </w:rPr>
          <w:tab/>
        </w:r>
        <w:r w:rsidR="00197B00">
          <w:rPr>
            <w:noProof/>
            <w:webHidden/>
          </w:rPr>
          <w:fldChar w:fldCharType="begin"/>
        </w:r>
        <w:r w:rsidR="00197B00">
          <w:rPr>
            <w:noProof/>
            <w:webHidden/>
          </w:rPr>
          <w:instrText xml:space="preserve"> PAGEREF _Toc39797988 \h </w:instrText>
        </w:r>
        <w:r w:rsidR="00197B00">
          <w:rPr>
            <w:noProof/>
            <w:webHidden/>
          </w:rPr>
        </w:r>
        <w:r w:rsidR="00197B00">
          <w:rPr>
            <w:noProof/>
            <w:webHidden/>
          </w:rPr>
          <w:fldChar w:fldCharType="separate"/>
        </w:r>
        <w:r w:rsidR="001F3E2E">
          <w:rPr>
            <w:noProof/>
            <w:webHidden/>
          </w:rPr>
          <w:t>137</w:t>
        </w:r>
        <w:r w:rsidR="00197B00">
          <w:rPr>
            <w:noProof/>
            <w:webHidden/>
          </w:rPr>
          <w:fldChar w:fldCharType="end"/>
        </w:r>
      </w:hyperlink>
    </w:p>
    <w:p w14:paraId="65DF193C" w14:textId="77777777" w:rsidR="00197B00" w:rsidRDefault="0088072F">
      <w:pPr>
        <w:pStyle w:val="Tabladeilustraciones"/>
        <w:tabs>
          <w:tab w:val="right" w:leader="dot" w:pos="9680"/>
        </w:tabs>
        <w:rPr>
          <w:rFonts w:asciiTheme="minorHAnsi" w:eastAsiaTheme="minorEastAsia" w:hAnsiTheme="minorHAnsi" w:cstheme="minorBidi"/>
          <w:noProof/>
          <w:szCs w:val="22"/>
          <w:lang w:eastAsia="es-CL"/>
        </w:rPr>
      </w:pPr>
      <w:hyperlink w:anchor="_Toc39797989" w:history="1">
        <w:r w:rsidR="00197B00" w:rsidRPr="00CA07D8">
          <w:rPr>
            <w:rStyle w:val="Hipervnculo"/>
            <w:noProof/>
          </w:rPr>
          <w:t>Ilustración 8: Costos directos OyM</w:t>
        </w:r>
        <w:r w:rsidR="00197B00">
          <w:rPr>
            <w:noProof/>
            <w:webHidden/>
          </w:rPr>
          <w:tab/>
        </w:r>
        <w:r w:rsidR="00197B00">
          <w:rPr>
            <w:noProof/>
            <w:webHidden/>
          </w:rPr>
          <w:fldChar w:fldCharType="begin"/>
        </w:r>
        <w:r w:rsidR="00197B00">
          <w:rPr>
            <w:noProof/>
            <w:webHidden/>
          </w:rPr>
          <w:instrText xml:space="preserve"> PAGEREF _Toc39797989 \h </w:instrText>
        </w:r>
        <w:r w:rsidR="00197B00">
          <w:rPr>
            <w:noProof/>
            <w:webHidden/>
          </w:rPr>
        </w:r>
        <w:r w:rsidR="00197B00">
          <w:rPr>
            <w:noProof/>
            <w:webHidden/>
          </w:rPr>
          <w:fldChar w:fldCharType="separate"/>
        </w:r>
        <w:r w:rsidR="001F3E2E">
          <w:rPr>
            <w:noProof/>
            <w:webHidden/>
          </w:rPr>
          <w:t>139</w:t>
        </w:r>
        <w:r w:rsidR="00197B00">
          <w:rPr>
            <w:noProof/>
            <w:webHidden/>
          </w:rPr>
          <w:fldChar w:fldCharType="end"/>
        </w:r>
      </w:hyperlink>
    </w:p>
    <w:p w14:paraId="3AD808BC" w14:textId="77777777" w:rsidR="00197B00" w:rsidRDefault="0088072F">
      <w:pPr>
        <w:pStyle w:val="Tabladeilustraciones"/>
        <w:tabs>
          <w:tab w:val="right" w:leader="dot" w:pos="9680"/>
        </w:tabs>
        <w:rPr>
          <w:rFonts w:asciiTheme="minorHAnsi" w:eastAsiaTheme="minorEastAsia" w:hAnsiTheme="minorHAnsi" w:cstheme="minorBidi"/>
          <w:noProof/>
          <w:szCs w:val="22"/>
          <w:lang w:eastAsia="es-CL"/>
        </w:rPr>
      </w:pPr>
      <w:hyperlink w:anchor="_Toc39797990" w:history="1">
        <w:r w:rsidR="00197B00" w:rsidRPr="00CA07D8">
          <w:rPr>
            <w:rStyle w:val="Hipervnculo"/>
            <w:noProof/>
          </w:rPr>
          <w:t>Ilustración 9: Organigrama general empresas</w:t>
        </w:r>
        <w:r w:rsidR="00197B00">
          <w:rPr>
            <w:noProof/>
            <w:webHidden/>
          </w:rPr>
          <w:tab/>
        </w:r>
        <w:r w:rsidR="00197B00">
          <w:rPr>
            <w:noProof/>
            <w:webHidden/>
          </w:rPr>
          <w:fldChar w:fldCharType="begin"/>
        </w:r>
        <w:r w:rsidR="00197B00">
          <w:rPr>
            <w:noProof/>
            <w:webHidden/>
          </w:rPr>
          <w:instrText xml:space="preserve"> PAGEREF _Toc39797990 \h </w:instrText>
        </w:r>
        <w:r w:rsidR="00197B00">
          <w:rPr>
            <w:noProof/>
            <w:webHidden/>
          </w:rPr>
        </w:r>
        <w:r w:rsidR="00197B00">
          <w:rPr>
            <w:noProof/>
            <w:webHidden/>
          </w:rPr>
          <w:fldChar w:fldCharType="separate"/>
        </w:r>
        <w:r w:rsidR="001F3E2E">
          <w:rPr>
            <w:noProof/>
            <w:webHidden/>
          </w:rPr>
          <w:t>186</w:t>
        </w:r>
        <w:r w:rsidR="00197B00">
          <w:rPr>
            <w:noProof/>
            <w:webHidden/>
          </w:rPr>
          <w:fldChar w:fldCharType="end"/>
        </w:r>
      </w:hyperlink>
    </w:p>
    <w:p w14:paraId="272C94C7" w14:textId="180B7DA4" w:rsidR="00FE3577" w:rsidRPr="00EE2F47" w:rsidRDefault="00B865EB" w:rsidP="00640F44">
      <w:pPr>
        <w:spacing w:after="0" w:line="240" w:lineRule="auto"/>
      </w:pPr>
      <w:r w:rsidRPr="00640F44">
        <w:rPr>
          <w:sz w:val="22"/>
          <w:szCs w:val="22"/>
        </w:rPr>
        <w:fldChar w:fldCharType="end"/>
      </w:r>
      <w:r w:rsidR="00FE3577" w:rsidRPr="00EE2F47">
        <w:br w:type="page"/>
      </w:r>
    </w:p>
    <w:p w14:paraId="2B964C7E" w14:textId="77777777" w:rsidR="00FE3577" w:rsidRPr="00EE2F47" w:rsidRDefault="00FE3577" w:rsidP="009D6C18">
      <w:pPr>
        <w:pStyle w:val="Ttulo1"/>
      </w:pPr>
      <w:bookmarkStart w:id="1" w:name="_Toc20236666"/>
      <w:bookmarkStart w:id="2" w:name="_Toc39797748"/>
      <w:r w:rsidRPr="00EE2F47">
        <w:lastRenderedPageBreak/>
        <w:t>Introducción</w:t>
      </w:r>
      <w:bookmarkEnd w:id="1"/>
      <w:bookmarkEnd w:id="2"/>
    </w:p>
    <w:p w14:paraId="3F340E4D" w14:textId="77777777" w:rsidR="00DE3E6F" w:rsidRPr="00EE2F47" w:rsidRDefault="00DE3E6F" w:rsidP="00DE3E6F">
      <w:r w:rsidRPr="00EE2F47">
        <w:t>En junio de 2016 se reformó la Ley General de Servicios Eléctricos (LGSE) mediante la promulgación de la Ley N°20.936, del Ministerio de Energía, que “Establece un Nuevo Sistema de Transmisión Eléctrica y Crea un Organismo Coordinador Independiente del Sistema” y que, entre otros, introdujo una serie de perfeccionamientos a la regulación que rige el desarrollo y remuneración de los sistemas de transmisión eléctrica en el país.</w:t>
      </w:r>
    </w:p>
    <w:p w14:paraId="4B157923" w14:textId="77777777" w:rsidR="00DE3E6F" w:rsidRPr="00EE2F47" w:rsidRDefault="00DE3E6F" w:rsidP="00DE3E6F">
      <w:r w:rsidRPr="00EE2F47">
        <w:t>Si bien la nueva ley mantiene conceptos esenciales de la normativa que modificó</w:t>
      </w:r>
      <w:r w:rsidRPr="0035440A">
        <w:rPr>
          <w:rStyle w:val="Refdenotaalpie"/>
        </w:rPr>
        <w:footnoteReference w:id="2"/>
      </w:r>
      <w:r w:rsidRPr="00EE2F47">
        <w:t>, introduce definiciones y procedimientos que buscan agilizar el desarrollo de la infraestructura de transmisión, así como diversas modificaciones en los criterios de asignación de su remuneración orientados a simplificar el sistema tarifario</w:t>
      </w:r>
      <w:r w:rsidRPr="0035440A">
        <w:rPr>
          <w:rStyle w:val="Refdenotaalpie"/>
        </w:rPr>
        <w:footnoteReference w:id="3"/>
      </w:r>
      <w:r w:rsidRPr="00EE2F47">
        <w:t>.</w:t>
      </w:r>
    </w:p>
    <w:p w14:paraId="11D51367" w14:textId="77777777" w:rsidR="00DE3E6F" w:rsidRPr="00EE2F47" w:rsidRDefault="00DE3E6F" w:rsidP="00DE3E6F">
      <w:r w:rsidRPr="00EE2F47">
        <w:t>En lo que respecta a la planificación y desarrollo de los sistemas, la ley mantiene para el sistema de transmisión nacional -ex troncal- un esquema de planificación centralizada y vinculante, extendiendo la aplicación de este esquema para incluir también a los sistemas zonales -ex subtransmisión- antes de planificación descentralizada por parte de sus operadores.</w:t>
      </w:r>
    </w:p>
    <w:p w14:paraId="3656082C" w14:textId="77777777" w:rsidR="00DE3E6F" w:rsidRPr="00EE2F47" w:rsidRDefault="00DE3E6F" w:rsidP="00DE3E6F">
      <w:r w:rsidRPr="00EE2F47">
        <w:t>En relación a la remuneración de las instalaciones de transmisión, la norma establece que el valor anual de las instalaciones de transmisión nacional, zonal, de sistema de transmisión para polos de desarrollo</w:t>
      </w:r>
      <w:r w:rsidRPr="0035440A">
        <w:rPr>
          <w:rStyle w:val="Refdenotaalpie"/>
        </w:rPr>
        <w:footnoteReference w:id="4"/>
      </w:r>
      <w:r w:rsidRPr="00EE2F47">
        <w:t xml:space="preserve"> y el pago por uso de las instalaciones de transmisión dedicadas utilizadas por parte de los usuarios regulados será determinado por la CNE cada cuatro años</w:t>
      </w:r>
      <w:r w:rsidRPr="0035440A">
        <w:rPr>
          <w:rStyle w:val="Refdenotaalpie"/>
        </w:rPr>
        <w:footnoteReference w:id="5"/>
      </w:r>
      <w:r w:rsidRPr="00EE2F47">
        <w:t>. El procedimiento cuadrienal correspondiente se inicia con la emisión de las bases preliminares de los estudios de valorización respectivos, procedimiento que cuenta con la participación de usuarios e instituciones interesadas, y con la intervención del Panel de Expertos para la resolución de discrepancias.</w:t>
      </w:r>
    </w:p>
    <w:p w14:paraId="1D844AD7" w14:textId="77777777" w:rsidR="00DE3E6F" w:rsidRPr="00EE2F47" w:rsidRDefault="00DE3E6F" w:rsidP="00DE3E6F">
      <w:r w:rsidRPr="00EE2F47">
        <w:lastRenderedPageBreak/>
        <w:t>En este contexto, la Comisión Nacional de Energía (CNE), efectuó en abril de 2019 un llamado a empresas consultoras nacionales e internacionales con experiencia en valorización de sistemas de transmisión eléctrica, a participar en la licitación para la realización del Estudio de Valorización de las Instalaciones del Sistema de Transmisión Nacional, y del Estudio de Valorización de las Instalaciones de los Sistemas de Transmisión Zonal y de los Sistemas de Transmisión Dedicados utilizadas por usuarios sometidos a regulación de precios.</w:t>
      </w:r>
    </w:p>
    <w:p w14:paraId="7737DF30" w14:textId="77777777" w:rsidR="00DE3E6F" w:rsidRPr="00EE2F47" w:rsidRDefault="00DE3E6F" w:rsidP="00DE3E6F">
      <w:r w:rsidRPr="00EE2F47">
        <w:t>La ejecución del Estudio de Valorización de las Instalaciones del Sistema de Transmisión Nacional fue adjudicada al consorcio compuesto por SYNEX Ingenieros Consultores Ltda., Estudios Energéticos Consultores S.A., y Elequipos Servicios de Ingeniería S.A., en adelante, el “Consorcio Synex-Estudios Energéticos-Elequipos”, el Consorcio, o el Consultor, dándose inicio formal a las actividades del estudio el día 9 de agosto de 2019.</w:t>
      </w:r>
    </w:p>
    <w:p w14:paraId="357A2069" w14:textId="77777777" w:rsidR="00DE3E6F" w:rsidRDefault="00DE3E6F" w:rsidP="00DE3E6F">
      <w:r w:rsidRPr="00EE2F47">
        <w:t xml:space="preserve">Conforme a las bases del estudio, </w:t>
      </w:r>
      <w:r>
        <w:t xml:space="preserve">establecidas mediante Resolución Exenta N°272 del 26 de abril de 2019, de la Comisión Nacional de Energía, </w:t>
      </w:r>
      <w:r w:rsidRPr="00EE2F47">
        <w:t>en adelante, las Bases, el consultor que lo desarrolle debe emitir los siguientes cuatro informes</w:t>
      </w:r>
      <w:r w:rsidRPr="0035440A">
        <w:rPr>
          <w:rStyle w:val="Refdenotaalpie"/>
        </w:rPr>
        <w:footnoteReference w:id="6"/>
      </w:r>
      <w:r w:rsidRPr="00EE2F47">
        <w:t>:</w:t>
      </w:r>
    </w:p>
    <w:p w14:paraId="293A2C3F" w14:textId="77777777" w:rsidR="00DE3E6F" w:rsidRPr="00EE2F47" w:rsidRDefault="00DE3E6F" w:rsidP="00DE3E6F"/>
    <w:tbl>
      <w:tblPr>
        <w:tblW w:w="0" w:type="auto"/>
        <w:tblInd w:w="468" w:type="dxa"/>
        <w:tblLook w:val="04A0" w:firstRow="1" w:lastRow="0" w:firstColumn="1" w:lastColumn="0" w:noHBand="0" w:noVBand="1"/>
      </w:tblPr>
      <w:tblGrid>
        <w:gridCol w:w="4492"/>
        <w:gridCol w:w="4946"/>
      </w:tblGrid>
      <w:tr w:rsidR="00DE3E6F" w:rsidRPr="002C2818" w14:paraId="40706F2A" w14:textId="77777777" w:rsidTr="006B5A62">
        <w:tc>
          <w:tcPr>
            <w:tcW w:w="4492" w:type="dxa"/>
            <w:shd w:val="clear" w:color="auto" w:fill="auto"/>
          </w:tcPr>
          <w:p w14:paraId="37C02708" w14:textId="77777777" w:rsidR="00DE3E6F" w:rsidRPr="002C2818" w:rsidRDefault="00DE3E6F" w:rsidP="006B5A62">
            <w:pPr>
              <w:numPr>
                <w:ilvl w:val="0"/>
                <w:numId w:val="1"/>
              </w:numPr>
              <w:spacing w:after="120" w:line="240" w:lineRule="auto"/>
              <w:ind w:left="38" w:firstLine="0"/>
            </w:pPr>
            <w:r w:rsidRPr="002C2818">
              <w:t>Informe de Avance N° 1:</w:t>
            </w:r>
          </w:p>
        </w:tc>
        <w:tc>
          <w:tcPr>
            <w:tcW w:w="4946" w:type="dxa"/>
            <w:shd w:val="clear" w:color="auto" w:fill="auto"/>
          </w:tcPr>
          <w:p w14:paraId="61A635F2" w14:textId="77777777" w:rsidR="00DE3E6F" w:rsidRPr="002C2818" w:rsidRDefault="00DE3E6F" w:rsidP="006B5A62">
            <w:pPr>
              <w:spacing w:after="120" w:line="240" w:lineRule="auto"/>
            </w:pPr>
            <w:r w:rsidRPr="002C2818">
              <w:t>A más tardar a los 60 días corridos contados desde la fecha de inicio del estudio.</w:t>
            </w:r>
          </w:p>
        </w:tc>
      </w:tr>
      <w:tr w:rsidR="00DE3E6F" w:rsidRPr="002C2818" w14:paraId="59C179C6" w14:textId="77777777" w:rsidTr="006B5A62">
        <w:tc>
          <w:tcPr>
            <w:tcW w:w="4492" w:type="dxa"/>
            <w:shd w:val="clear" w:color="auto" w:fill="auto"/>
          </w:tcPr>
          <w:p w14:paraId="34656777" w14:textId="77777777" w:rsidR="00DE3E6F" w:rsidRPr="002C2818" w:rsidRDefault="00DE3E6F" w:rsidP="006B5A62">
            <w:pPr>
              <w:numPr>
                <w:ilvl w:val="0"/>
                <w:numId w:val="1"/>
              </w:numPr>
              <w:spacing w:after="120" w:line="240" w:lineRule="auto"/>
              <w:ind w:left="38" w:firstLine="0"/>
            </w:pPr>
            <w:r w:rsidRPr="002C2818">
              <w:t>Informe de Avance N° 2:</w:t>
            </w:r>
          </w:p>
        </w:tc>
        <w:tc>
          <w:tcPr>
            <w:tcW w:w="4946" w:type="dxa"/>
            <w:shd w:val="clear" w:color="auto" w:fill="auto"/>
          </w:tcPr>
          <w:p w14:paraId="313F0577" w14:textId="77777777" w:rsidR="00DE3E6F" w:rsidRPr="002C2818" w:rsidRDefault="00DE3E6F" w:rsidP="006B5A62">
            <w:pPr>
              <w:spacing w:after="120" w:line="240" w:lineRule="auto"/>
            </w:pPr>
            <w:r w:rsidRPr="002C2818">
              <w:t>A más tardar a los 150 días corridos contados desde la fecha de inicio del estudio.</w:t>
            </w:r>
          </w:p>
        </w:tc>
      </w:tr>
      <w:tr w:rsidR="00DE3E6F" w:rsidRPr="002C2818" w14:paraId="14CE7AFF" w14:textId="77777777" w:rsidTr="006B5A62">
        <w:tc>
          <w:tcPr>
            <w:tcW w:w="4492" w:type="dxa"/>
            <w:shd w:val="clear" w:color="auto" w:fill="auto"/>
          </w:tcPr>
          <w:p w14:paraId="6E698F12" w14:textId="77777777" w:rsidR="00DE3E6F" w:rsidRPr="002C2818" w:rsidRDefault="00DE3E6F" w:rsidP="006B5A62">
            <w:pPr>
              <w:numPr>
                <w:ilvl w:val="0"/>
                <w:numId w:val="1"/>
              </w:numPr>
              <w:spacing w:after="120" w:line="240" w:lineRule="auto"/>
              <w:ind w:left="38" w:firstLine="0"/>
            </w:pPr>
            <w:r w:rsidRPr="002C2818">
              <w:t>Informe Final Preliminar:</w:t>
            </w:r>
          </w:p>
        </w:tc>
        <w:tc>
          <w:tcPr>
            <w:tcW w:w="4946" w:type="dxa"/>
            <w:shd w:val="clear" w:color="auto" w:fill="auto"/>
          </w:tcPr>
          <w:p w14:paraId="62A2A630" w14:textId="77777777" w:rsidR="00DE3E6F" w:rsidRPr="002C2818" w:rsidRDefault="00DE3E6F" w:rsidP="006B5A62">
            <w:pPr>
              <w:spacing w:after="120" w:line="240" w:lineRule="auto"/>
            </w:pPr>
            <w:r w:rsidRPr="002C2818">
              <w:t>A más tardar a los 200 días corridos contados desde la fecha de inicio del estudio.</w:t>
            </w:r>
          </w:p>
        </w:tc>
      </w:tr>
      <w:tr w:rsidR="00DE3E6F" w:rsidRPr="002C2818" w14:paraId="299E6D3C" w14:textId="77777777" w:rsidTr="006B5A62">
        <w:tc>
          <w:tcPr>
            <w:tcW w:w="4492" w:type="dxa"/>
            <w:shd w:val="clear" w:color="auto" w:fill="auto"/>
          </w:tcPr>
          <w:p w14:paraId="50515044" w14:textId="77777777" w:rsidR="00DE3E6F" w:rsidRPr="002C2818" w:rsidRDefault="00DE3E6F" w:rsidP="006B5A62">
            <w:pPr>
              <w:numPr>
                <w:ilvl w:val="0"/>
                <w:numId w:val="1"/>
              </w:numPr>
              <w:spacing w:after="120" w:line="240" w:lineRule="auto"/>
              <w:ind w:left="38" w:firstLine="0"/>
            </w:pPr>
            <w:r w:rsidRPr="002C2818">
              <w:t>Informe Final Definitivo:</w:t>
            </w:r>
          </w:p>
        </w:tc>
        <w:tc>
          <w:tcPr>
            <w:tcW w:w="4946" w:type="dxa"/>
            <w:shd w:val="clear" w:color="auto" w:fill="auto"/>
          </w:tcPr>
          <w:p w14:paraId="5A81336B" w14:textId="77777777" w:rsidR="00DE3E6F" w:rsidRPr="002C2818" w:rsidRDefault="00DE3E6F" w:rsidP="006B5A62">
            <w:pPr>
              <w:spacing w:after="120" w:line="240" w:lineRule="auto"/>
            </w:pPr>
            <w:r w:rsidRPr="002C2818">
              <w:t>A más tardar a los 220 días corridos contados desde la fecha de inicio del estudio.</w:t>
            </w:r>
          </w:p>
        </w:tc>
      </w:tr>
    </w:tbl>
    <w:p w14:paraId="3DD156B6" w14:textId="77777777" w:rsidR="00DE3E6F" w:rsidRDefault="00DE3E6F" w:rsidP="00DE3E6F"/>
    <w:p w14:paraId="22F85BA3" w14:textId="6F2F6AB1" w:rsidR="00DE3E6F" w:rsidRPr="00723B08" w:rsidRDefault="00DE3E6F" w:rsidP="00DE3E6F">
      <w:r w:rsidRPr="00DE3E6F">
        <w:t xml:space="preserve">El presente documento corresponde a la tercera versión del Informe de Avance N°2, y tiene como objetivo principal acoger todas y cada una de las observaciones realizadas por el Comité de Contratación y Supervisión del Estudio, en adelante el Comité, a la segunda versión de dicho informe. Como se sabe, de acuerdo a lo establecido en las Bases, el Informe de Avance N° 2 debe contener todas las materias desarrolladas para la determinación del Valor Anual de la Transmisión </w:t>
      </w:r>
      <w:r w:rsidRPr="00DE3E6F">
        <w:lastRenderedPageBreak/>
        <w:t>por Tramo (V.A.T.T.), sus resultados, y el estado de avance del trabajo del Consultor a esta fecha</w:t>
      </w:r>
      <w:r w:rsidRPr="00DE3E6F">
        <w:rPr>
          <w:rStyle w:val="Refdenotaalpie"/>
        </w:rPr>
        <w:footnoteReference w:id="7"/>
      </w:r>
      <w:r w:rsidRPr="00DE3E6F">
        <w:t>. Cabe señalar que el en curso del análisis y procesamiento de las observaciones del Comité a la primera versión del informe de avance 2, fueron recibidas las observaciones efectuadas por la empresas propietarias del STN; posteriormente, en el curso del análisis y procesamiento de las observaciones del Comité a la segunda versión de dicho informe, fueron recibidas nuevas observaciones de las empresas propietarias; todas estas observaciones están siendo procesadas por el consultor y serán respondidas y tenidas en cuenta con ocasión de la elaboración del Informe Final Preliminar del estudio, el que está previsto de ser entregado el día 9 de Junio de 2020.</w:t>
      </w:r>
      <w:r w:rsidR="00754A4D">
        <w:t xml:space="preserve"> </w:t>
      </w:r>
      <w:r w:rsidR="00754A4D" w:rsidRPr="00754A4D">
        <w:t>Cabe señalar que las observaciones que ya han sido procesadas no se han incorporado en el presente informe, pues no se ha estimado conveniente entregar reconocimientos o respuestas sólo a una parte de las observaciones, estando las demás todavía en proceso de análisis</w:t>
      </w:r>
      <w:r w:rsidR="00754A4D">
        <w:t>.</w:t>
      </w:r>
    </w:p>
    <w:p w14:paraId="2CE035B0" w14:textId="3066AED3" w:rsidR="00DE3E6F" w:rsidRDefault="00DE3E6F" w:rsidP="00DE3E6F">
      <w:r w:rsidRPr="00723B08">
        <w:t>El</w:t>
      </w:r>
      <w:r>
        <w:t xml:space="preserve"> presente informe se ha organizado conforme a la estructura presentada por el Consultor en la propuesta técnica con la cual el estudio fue adjudicado. Además, visto el gran volumen del material que soporta los resultados del estudio, y con objeto de facilitar su lectura y compresión, se ha optado por presentar el estudio en versión electrónica, estructurándolo en la forma de un documento principal y ejecutivo -correspondiente al presente documento- y un cuerpo de anexos </w:t>
      </w:r>
      <w:r w:rsidRPr="00264870">
        <w:t xml:space="preserve">conformado por carpetas identificadas por actividad y/o materia -VI, COMA, VATT, etc- según </w:t>
      </w:r>
      <w:r w:rsidR="00197B00">
        <w:t xml:space="preserve">se </w:t>
      </w:r>
      <w:r w:rsidRPr="00264870">
        <w:t>señala en el capítulo 1</w:t>
      </w:r>
      <w:r w:rsidR="008C2F05" w:rsidRPr="00264870">
        <w:t>3</w:t>
      </w:r>
      <w:r w:rsidRPr="00264870">
        <w:t>.</w:t>
      </w:r>
    </w:p>
    <w:p w14:paraId="307860A1" w14:textId="77777777" w:rsidR="00DE3E6F" w:rsidRDefault="00DE3E6F" w:rsidP="00DE3E6F">
      <w:r>
        <w:t xml:space="preserve">Si bien la presente entrega corresponde a la tercera versión del segundo informe de avance, la misma, según las Bases, ya debe dar cuenta del panorama total del trabajo, incluidos sus resultados preliminares. </w:t>
      </w:r>
    </w:p>
    <w:p w14:paraId="151FC31A" w14:textId="77777777" w:rsidR="00DE3E6F" w:rsidRPr="00CF4498" w:rsidRDefault="00DE3E6F" w:rsidP="00DE3E6F">
      <w:pPr>
        <w:rPr>
          <w:highlight w:val="yellow"/>
        </w:rPr>
      </w:pPr>
      <w:r>
        <w:t>Respecto del estado de avance del trabajo, el mismo ha estado, y está todavía, fuertemente condicionado al trabajo sostenido de adecuación de la Base de Datos que sirve de inventario oficial de las instalaciones que deben ser valorizadas, instrumento que fue entregado al Consultor al inicio del estudio, y que ha debido ser adaptada, corregida y/o complementada por éste en base a su propio conocimiento del sistema eléctrico nacional vistas las innumerables y severas deficiencias tanto de contenido como relacionales que ésta present</w:t>
      </w:r>
      <w:r w:rsidRPr="00791F78">
        <w:t xml:space="preserve">a. </w:t>
      </w:r>
    </w:p>
    <w:p w14:paraId="7E8C8246" w14:textId="77777777" w:rsidR="00DE3E6F" w:rsidRDefault="00DE3E6F" w:rsidP="00DE3E6F">
      <w:r w:rsidRPr="00254DBB">
        <w:t xml:space="preserve">Debe tenerse presente que, de acuerdo con la LGSE (artículo vigesimoprimero transitorio), las empresas transmisoras debían presentar en un plazo determinado al CEN el inventario y características de sus instalaciones y este organismo incorporar esta información en un registro (base de datos) so pena de que las instalaciones no informadas no serán consideradas en el primer </w:t>
      </w:r>
      <w:r w:rsidRPr="00254DBB">
        <w:lastRenderedPageBreak/>
        <w:t xml:space="preserve">proceso de valorización. Lo anterior exige a los propietarios informar y al CEN la responsabilidad de tener un registro para acoger la información suministrada, así como verificar la completitud, calidad, exactitud y oportunidad de la información publicada en los respectivos sistemas de información (último inciso del artículo 72-8 de la LGSE). </w:t>
      </w:r>
      <w:r w:rsidRPr="00723B08">
        <w:t>Sin embargo, en vista del diagnóstico que se presenta en este informe, es evidente que lo dispuesto en la ley para la información de la base de datos no se ha cumplido en ninguno de los atributos exigidos. El detalle del análisis se presenta en el capítulo 6 y Anexo VI_1.</w:t>
      </w:r>
    </w:p>
    <w:p w14:paraId="28519D31" w14:textId="143B3761" w:rsidR="009D12B8" w:rsidRDefault="00DE3E6F" w:rsidP="00DE3E6F">
      <w:r w:rsidRPr="005A1E5C">
        <w:t xml:space="preserve">En línea con lo anterior, el enorme esfuerzo dedicado por el Consorcio a efectuar adecuaciones y reparaciones de la información de la Base de Datos, así como a identificar por fuera de ella componentes no incluidas, ha significado una reorientación importante de recursos originalmente presupuestados para el cumplimiento de los objetivos de fondo del estudio, cual es efectuar una correcta valorización de las instalaciones del STN. Consecuentemente, una porción no menor de las adecuaciones del inventario y de los parámetros de costo utilizados para determinar los valores presentados en este informe lo son en </w:t>
      </w:r>
      <w:proofErr w:type="gramStart"/>
      <w:r w:rsidRPr="005A1E5C">
        <w:t>carácter preliminar y/o provisorios</w:t>
      </w:r>
      <w:proofErr w:type="gramEnd"/>
      <w:r w:rsidRPr="005A1E5C">
        <w:t>, esperando contar con parámetros definitivos en la siguiente entrega. Cabe señalar que la colaboración de las empresas transmisoras será importante, en cuanto a aportar la información necesaria sobre el inventario de instalaciones y sus componentes de manera que se pueda mejorar la completitud, exactitud y calidad de la información de la BD, en orden a llegar a un resultado que refleje lo más razonablemente posible la valorización de las instal</w:t>
      </w:r>
      <w:r>
        <w:t>a</w:t>
      </w:r>
      <w:r w:rsidRPr="005A1E5C">
        <w:t>ciones del STN que estaban en servicio al 31 de Diciembre de 2017, horizonte de cierre del presente estudio.</w:t>
      </w:r>
    </w:p>
    <w:p w14:paraId="5E7D0F54" w14:textId="2E3AD54F" w:rsidR="00680717" w:rsidRPr="00680717" w:rsidRDefault="00680717" w:rsidP="00680717">
      <w:pPr>
        <w:pStyle w:val="Ttulo1"/>
      </w:pPr>
      <w:bookmarkStart w:id="3" w:name="_Toc39797749"/>
      <w:r w:rsidRPr="00680717">
        <w:t>D</w:t>
      </w:r>
      <w:r w:rsidR="00E8341C">
        <w:t>efiniciones y abreviaturas</w:t>
      </w:r>
      <w:bookmarkEnd w:id="3"/>
    </w:p>
    <w:p w14:paraId="7EC1EA05" w14:textId="77777777" w:rsidR="00680717" w:rsidRPr="002E6C45" w:rsidRDefault="00680717" w:rsidP="002E6C45">
      <w:pPr>
        <w:pStyle w:val="Ttulo2"/>
      </w:pPr>
      <w:bookmarkStart w:id="4" w:name="_Toc39797750"/>
      <w:r w:rsidRPr="002E6C45">
        <w:t>Definiciones</w:t>
      </w:r>
      <w:bookmarkEnd w:id="4"/>
    </w:p>
    <w:p w14:paraId="703BC038" w14:textId="77777777" w:rsidR="00B2633F" w:rsidRPr="00D570CB" w:rsidRDefault="00B2633F" w:rsidP="00B2633F">
      <w:pPr>
        <w:rPr>
          <w:rFonts w:cs="Arial"/>
        </w:rPr>
      </w:pPr>
      <w:r w:rsidRPr="00D570CB">
        <w:rPr>
          <w:rFonts w:cs="Arial"/>
        </w:rPr>
        <w:t xml:space="preserve">De acuerdo a lo establecido en la normativa </w:t>
      </w:r>
      <w:r>
        <w:rPr>
          <w:rFonts w:cs="Arial"/>
        </w:rPr>
        <w:t>aplicable a las actividades del estudio</w:t>
      </w:r>
      <w:r w:rsidRPr="00D570CB">
        <w:rPr>
          <w:rFonts w:cs="Arial"/>
        </w:rPr>
        <w:t xml:space="preserve"> y, en particular, a lo indicado en las </w:t>
      </w:r>
      <w:r>
        <w:rPr>
          <w:rFonts w:cs="Arial"/>
        </w:rPr>
        <w:t>b</w:t>
      </w:r>
      <w:r w:rsidRPr="00D570CB">
        <w:rPr>
          <w:rFonts w:cs="Arial"/>
        </w:rPr>
        <w:t>ases</w:t>
      </w:r>
      <w:r>
        <w:rPr>
          <w:rFonts w:cs="Arial"/>
        </w:rPr>
        <w:t xml:space="preserve"> de los estudios</w:t>
      </w:r>
      <w:r w:rsidRPr="00D570CB">
        <w:rPr>
          <w:rFonts w:cs="Arial"/>
        </w:rPr>
        <w:t xml:space="preserve">, </w:t>
      </w:r>
      <w:r>
        <w:rPr>
          <w:rFonts w:cs="Arial"/>
        </w:rPr>
        <w:t>se</w:t>
      </w:r>
      <w:r w:rsidRPr="00D570CB">
        <w:rPr>
          <w:rFonts w:cs="Arial"/>
        </w:rPr>
        <w:t xml:space="preserve"> considerará las siguientes definiciones generales:</w:t>
      </w:r>
    </w:p>
    <w:p w14:paraId="3F4A0EAB" w14:textId="7A219345" w:rsidR="00B2633F" w:rsidRPr="00E079FE" w:rsidRDefault="00B2633F" w:rsidP="008B0D7D">
      <w:pPr>
        <w:pStyle w:val="Listanumerada"/>
        <w:spacing w:after="200"/>
        <w:ind w:left="567" w:hanging="567"/>
      </w:pPr>
      <w:r w:rsidRPr="00E079FE">
        <w:rPr>
          <w:b/>
        </w:rPr>
        <w:t>Valor Anual de la Transmisión por Tramo</w:t>
      </w:r>
      <w:r w:rsidR="009A743E" w:rsidRPr="00E079FE">
        <w:rPr>
          <w:b/>
        </w:rPr>
        <w:t xml:space="preserve"> (</w:t>
      </w:r>
      <w:r w:rsidRPr="00E079FE">
        <w:rPr>
          <w:b/>
        </w:rPr>
        <w:t>V.A.T.T.</w:t>
      </w:r>
      <w:r w:rsidR="009A743E" w:rsidRPr="00E079FE">
        <w:rPr>
          <w:b/>
        </w:rPr>
        <w:t>)</w:t>
      </w:r>
      <w:r w:rsidRPr="00E079FE">
        <w:t>: Se entenderá la suma de la Anualidad del Valor de Inversión del tramo en estudio (A.V.I.), más los costos anuales de operación, mantenimiento y administración del tramo respectivo (C.O.M.A.), ajustados por los efectos de impuestos a la renta.</w:t>
      </w:r>
    </w:p>
    <w:p w14:paraId="1721865F" w14:textId="5D2C67F2" w:rsidR="00B2633F" w:rsidRPr="00E079FE" w:rsidRDefault="00B2633F" w:rsidP="008B0D7D">
      <w:pPr>
        <w:pStyle w:val="Listanumerada"/>
        <w:spacing w:after="200"/>
        <w:ind w:left="567" w:hanging="567"/>
      </w:pPr>
      <w:r w:rsidRPr="00E079FE">
        <w:rPr>
          <w:b/>
        </w:rPr>
        <w:t>Valor de Inversión</w:t>
      </w:r>
      <w:r w:rsidR="009A743E" w:rsidRPr="00E079FE">
        <w:rPr>
          <w:b/>
        </w:rPr>
        <w:t xml:space="preserve"> (</w:t>
      </w:r>
      <w:r w:rsidRPr="00E079FE">
        <w:rPr>
          <w:b/>
        </w:rPr>
        <w:t>V.I.</w:t>
      </w:r>
      <w:r w:rsidR="009A743E" w:rsidRPr="00E079FE">
        <w:rPr>
          <w:b/>
        </w:rPr>
        <w:t>)</w:t>
      </w:r>
      <w:r w:rsidRPr="00E079FE">
        <w:t>: Se define el V.I. como la suma de los costos de adquisición e instalación eficientes de sus componentes y equipos, de acuerdo con valores de mercado, incluyendo fletes, bodegaje, montaje, ingeniería, gastos generales, intereses intercalarios, los derechos relacionados con el uso del suelo y medio ambiente, los bienes intangibles y el capital de explotación.</w:t>
      </w:r>
    </w:p>
    <w:p w14:paraId="7C2CB297" w14:textId="60DA4899" w:rsidR="00B2633F" w:rsidRPr="00E079FE" w:rsidRDefault="00B2633F" w:rsidP="008B0D7D">
      <w:pPr>
        <w:pStyle w:val="Listanumerada"/>
        <w:spacing w:after="200"/>
        <w:ind w:left="567" w:hanging="567"/>
      </w:pPr>
      <w:r w:rsidRPr="00E079FE">
        <w:rPr>
          <w:b/>
        </w:rPr>
        <w:lastRenderedPageBreak/>
        <w:t>Anualidad d</w:t>
      </w:r>
      <w:r w:rsidR="009A743E" w:rsidRPr="00E079FE">
        <w:rPr>
          <w:b/>
        </w:rPr>
        <w:t>el Valor de Inversión por Tramo (</w:t>
      </w:r>
      <w:r w:rsidRPr="00E079FE">
        <w:rPr>
          <w:b/>
        </w:rPr>
        <w:t>A.V.I.</w:t>
      </w:r>
      <w:r w:rsidR="009A743E" w:rsidRPr="00E079FE">
        <w:rPr>
          <w:b/>
        </w:rPr>
        <w:t>)</w:t>
      </w:r>
      <w:r w:rsidRPr="00E079FE">
        <w:t>: Se define la anualidad del valor de inversión de un tramo de transporte o de subestación, o anualidad del V.I. del tramo de transporte o de subestación, como la suma de las anualidades del valor de inversión de cada tipo de instalación que componen el tramo de transporte o de subestación, incluida la anualidad de los derechos relacionados con el uso de suelo y medio ambiente, según se define su cálculo en el punto 3.4 de las Bases.</w:t>
      </w:r>
      <w:r w:rsidR="00694C46" w:rsidRPr="00E079FE">
        <w:t xml:space="preserve"> El A.V.I. de las instalaciones existentes se calculará considerando la vida útil de cada tipo de componente o instalación, teniendo en cuenta la tasa de descuento señalada en el Artículo 119° de la ley.</w:t>
      </w:r>
    </w:p>
    <w:p w14:paraId="59CC4104" w14:textId="2D6F8418" w:rsidR="00B2633F" w:rsidRPr="00E079FE" w:rsidRDefault="00B2633F" w:rsidP="008B0D7D">
      <w:pPr>
        <w:pStyle w:val="Listanumerada"/>
        <w:spacing w:after="200"/>
        <w:ind w:left="567" w:hanging="567"/>
      </w:pPr>
      <w:r w:rsidRPr="00AF71D0">
        <w:rPr>
          <w:b/>
        </w:rPr>
        <w:t>Costo Anual de Operación,</w:t>
      </w:r>
      <w:r w:rsidR="009A743E" w:rsidRPr="00AF71D0">
        <w:rPr>
          <w:b/>
        </w:rPr>
        <w:t xml:space="preserve"> Mantenimiento y Administración</w:t>
      </w:r>
      <w:r w:rsidRPr="00AF71D0">
        <w:rPr>
          <w:b/>
        </w:rPr>
        <w:t xml:space="preserve"> </w:t>
      </w:r>
      <w:r w:rsidR="009A743E" w:rsidRPr="00AF71D0">
        <w:rPr>
          <w:b/>
        </w:rPr>
        <w:t>(</w:t>
      </w:r>
      <w:r w:rsidRPr="00AF71D0">
        <w:rPr>
          <w:b/>
        </w:rPr>
        <w:t>C.O.M.A</w:t>
      </w:r>
      <w:r w:rsidR="009A743E" w:rsidRPr="00AF71D0">
        <w:rPr>
          <w:b/>
        </w:rPr>
        <w:t>.)</w:t>
      </w:r>
      <w:r w:rsidRPr="00E079FE">
        <w:t xml:space="preserve">: </w:t>
      </w:r>
      <w:r w:rsidR="00AA5242" w:rsidRPr="00E079FE">
        <w:t xml:space="preserve">Corresponde a los costos anuales de operación, mantenimiento y </w:t>
      </w:r>
      <w:r w:rsidR="00653A58" w:rsidRPr="00E079FE">
        <w:t>administración</w:t>
      </w:r>
      <w:r w:rsidRPr="00E079FE">
        <w:t xml:space="preserve"> para cada segmento de transmisión señalado en el artículo 100° de la Ley General de Servicios Eléctricos</w:t>
      </w:r>
      <w:r w:rsidR="00AA5242" w:rsidRPr="00E079FE">
        <w:t>.</w:t>
      </w:r>
      <w:r w:rsidRPr="00E079FE">
        <w:t xml:space="preserve"> </w:t>
      </w:r>
      <w:r w:rsidR="00AA5242" w:rsidRPr="00E079FE">
        <w:t>S</w:t>
      </w:r>
      <w:r w:rsidRPr="00E079FE">
        <w:t>e determina como los costos anuales de operación, mantenimiento y administración de una única empresa eficiente y que opera las instalaciones bajo los estándares de seguridad y calidad de servicio establecidas en la normativa vigente.</w:t>
      </w:r>
    </w:p>
    <w:p w14:paraId="0BE72187" w14:textId="77777777" w:rsidR="00B2633F" w:rsidRPr="00E079FE" w:rsidRDefault="00B2633F" w:rsidP="008B0D7D">
      <w:pPr>
        <w:pStyle w:val="Listanumerada"/>
        <w:spacing w:after="200"/>
        <w:ind w:left="567" w:hanging="567"/>
      </w:pPr>
      <w:r w:rsidRPr="00AF71D0">
        <w:rPr>
          <w:b/>
        </w:rPr>
        <w:t>Tramo del Sistema de Transmisión</w:t>
      </w:r>
      <w:r w:rsidRPr="00E079FE">
        <w:t>: Se ent</w:t>
      </w:r>
      <w:r w:rsidR="00AA5242" w:rsidRPr="00E079FE">
        <w:t>ie</w:t>
      </w:r>
      <w:r w:rsidRPr="00E079FE">
        <w:t>nd</w:t>
      </w:r>
      <w:r w:rsidR="00AA5242" w:rsidRPr="00E079FE">
        <w:t>e</w:t>
      </w:r>
      <w:r w:rsidRPr="00E079FE">
        <w:t xml:space="preserve"> por tramo del sistema de transmisión aquel que está compuesto por un conjunto mínimo de instalaciones económicamente identificables. Los tramos del sistema de transmisión se clasifican en tramos de subestación y tramos de transporte.</w:t>
      </w:r>
    </w:p>
    <w:p w14:paraId="3CFE012C" w14:textId="77777777" w:rsidR="00B2633F" w:rsidRPr="00E079FE" w:rsidRDefault="00B2633F" w:rsidP="008B0D7D">
      <w:pPr>
        <w:pStyle w:val="Listanumerada"/>
        <w:spacing w:after="200"/>
        <w:ind w:left="567" w:hanging="567"/>
      </w:pPr>
      <w:r w:rsidRPr="00AF71D0">
        <w:rPr>
          <w:b/>
        </w:rPr>
        <w:t>Tramo de Subestación</w:t>
      </w:r>
      <w:r w:rsidRPr="00E079FE">
        <w:t xml:space="preserve">: Se </w:t>
      </w:r>
      <w:r w:rsidR="00AA5242" w:rsidRPr="00E079FE">
        <w:t>entiende</w:t>
      </w:r>
      <w:r w:rsidRPr="00E079FE">
        <w:t xml:space="preserve"> por tramo de subestación aquel que está constituido por un conjunto de instalaciones comunes, económicamente identificables, ubicadas al interior de una subestación, cuyo uso no es atribuible a un tramo de transporte en particular, y que presta servicio a todos los tramos de transporte que se conecten a la misma, independiente de la calificación de estos.</w:t>
      </w:r>
    </w:p>
    <w:p w14:paraId="777FD99C" w14:textId="77777777" w:rsidR="00B2633F" w:rsidRPr="00AF71D0" w:rsidRDefault="00B2633F" w:rsidP="008B0D7D">
      <w:pPr>
        <w:pStyle w:val="Listanumerada"/>
        <w:spacing w:after="200"/>
        <w:ind w:left="567" w:hanging="567"/>
      </w:pPr>
      <w:r w:rsidRPr="00AF71D0">
        <w:rPr>
          <w:b/>
        </w:rPr>
        <w:t>Tramo de Transporte</w:t>
      </w:r>
      <w:r w:rsidRPr="00E079FE">
        <w:t xml:space="preserve">: Se </w:t>
      </w:r>
      <w:r w:rsidR="00AA5242" w:rsidRPr="00E079FE">
        <w:t>entiende</w:t>
      </w:r>
      <w:r w:rsidRPr="00E079FE">
        <w:t xml:space="preserve"> por tramo de transporte como aquel compuesto por el conjunto mínimo de instalaciones económicamente identificables para conformar una línea de transmisión, y que puede incluir todas aquellas instalaciones que no se encuentran </w:t>
      </w:r>
      <w:r w:rsidRPr="00AF71D0">
        <w:t>contenidas en la definición de tramo de subestación.</w:t>
      </w:r>
    </w:p>
    <w:p w14:paraId="7ECC33B3" w14:textId="03E39C16" w:rsidR="00783A29" w:rsidRPr="00AF71D0" w:rsidRDefault="00783A29" w:rsidP="008B0D7D">
      <w:pPr>
        <w:pStyle w:val="Listanumerada"/>
        <w:spacing w:after="200"/>
        <w:ind w:left="567" w:hanging="567"/>
      </w:pPr>
      <w:r w:rsidRPr="00AF71D0">
        <w:rPr>
          <w:b/>
        </w:rPr>
        <w:t>Instalaciones Económicamente Identificables</w:t>
      </w:r>
      <w:r w:rsidRPr="00AF71D0">
        <w:t xml:space="preserve">: Se refiere al conjunto de categorías de instalaciones establecidas en el Artículo 5° de la Resolución N°380 y que se </w:t>
      </w:r>
      <w:r w:rsidR="00BA2EDF" w:rsidRPr="00AF71D0">
        <w:t>identifican</w:t>
      </w:r>
      <w:r w:rsidRPr="00AF71D0">
        <w:t xml:space="preserve"> como componentes de un tramo de transmisión.</w:t>
      </w:r>
    </w:p>
    <w:p w14:paraId="3ECBE6D2" w14:textId="77777777" w:rsidR="00680717" w:rsidRPr="009A743E" w:rsidRDefault="00680717" w:rsidP="009A743E">
      <w:pPr>
        <w:pStyle w:val="Ttulo2"/>
      </w:pPr>
      <w:bookmarkStart w:id="5" w:name="_Toc39797751"/>
      <w:r w:rsidRPr="009A743E">
        <w:t>Abreviaturas</w:t>
      </w:r>
      <w:bookmarkEnd w:id="5"/>
    </w:p>
    <w:p w14:paraId="2F62EF0A" w14:textId="77777777" w:rsidR="00783A29" w:rsidRDefault="00783A29" w:rsidP="00783A29">
      <w:pPr>
        <w:rPr>
          <w:rFonts w:cs="Arial"/>
        </w:rPr>
      </w:pPr>
      <w:r>
        <w:rPr>
          <w:rFonts w:cs="Arial"/>
        </w:rPr>
        <w:t xml:space="preserve">En el presente informe se </w:t>
      </w:r>
      <w:r w:rsidR="001E13FF">
        <w:rPr>
          <w:rFonts w:cs="Arial"/>
        </w:rPr>
        <w:t>utilizan</w:t>
      </w:r>
      <w:r>
        <w:rPr>
          <w:rFonts w:cs="Arial"/>
        </w:rPr>
        <w:t xml:space="preserve"> las siguientes abreviaturas:</w:t>
      </w:r>
    </w:p>
    <w:tbl>
      <w:tblPr>
        <w:tblW w:w="0" w:type="auto"/>
        <w:tblLayout w:type="fixed"/>
        <w:tblCellMar>
          <w:left w:w="0" w:type="dxa"/>
          <w:right w:w="0" w:type="dxa"/>
        </w:tblCellMar>
        <w:tblLook w:val="04A0" w:firstRow="1" w:lastRow="0" w:firstColumn="1" w:lastColumn="0" w:noHBand="0" w:noVBand="1"/>
      </w:tblPr>
      <w:tblGrid>
        <w:gridCol w:w="1134"/>
        <w:gridCol w:w="284"/>
        <w:gridCol w:w="8505"/>
      </w:tblGrid>
      <w:tr w:rsidR="009A743E" w:rsidRPr="00A62C15" w14:paraId="3FA34932" w14:textId="77777777" w:rsidTr="008B0D7D">
        <w:tc>
          <w:tcPr>
            <w:tcW w:w="1134" w:type="dxa"/>
            <w:shd w:val="clear" w:color="auto" w:fill="auto"/>
          </w:tcPr>
          <w:p w14:paraId="176CDAB3" w14:textId="5B5448C6" w:rsidR="009A743E" w:rsidRPr="006B5F45" w:rsidRDefault="009A743E" w:rsidP="009A743E">
            <w:pPr>
              <w:jc w:val="left"/>
              <w:rPr>
                <w:rFonts w:cs="Arial"/>
              </w:rPr>
            </w:pPr>
            <w:r w:rsidRPr="006B5F45">
              <w:rPr>
                <w:rFonts w:cs="Arial"/>
                <w:b/>
                <w:bCs/>
              </w:rPr>
              <w:lastRenderedPageBreak/>
              <w:t>CNE</w:t>
            </w:r>
            <w:r w:rsidRPr="006B5F45">
              <w:rPr>
                <w:rFonts w:cs="Arial"/>
              </w:rPr>
              <w:t xml:space="preserve"> </w:t>
            </w:r>
          </w:p>
        </w:tc>
        <w:tc>
          <w:tcPr>
            <w:tcW w:w="284" w:type="dxa"/>
          </w:tcPr>
          <w:p w14:paraId="3A155C59" w14:textId="4707F332" w:rsidR="009A743E" w:rsidRPr="006B5F45" w:rsidRDefault="009A743E" w:rsidP="009A743E">
            <w:r>
              <w:t>:</w:t>
            </w:r>
          </w:p>
        </w:tc>
        <w:tc>
          <w:tcPr>
            <w:tcW w:w="8505" w:type="dxa"/>
            <w:shd w:val="clear" w:color="auto" w:fill="auto"/>
          </w:tcPr>
          <w:p w14:paraId="460EC4DE" w14:textId="759D9977" w:rsidR="009A743E" w:rsidRPr="00A62C15" w:rsidRDefault="009A743E" w:rsidP="009A743E">
            <w:r w:rsidRPr="006B5F45">
              <w:t>Comisión Nacional de Energía.</w:t>
            </w:r>
          </w:p>
        </w:tc>
      </w:tr>
      <w:tr w:rsidR="009A743E" w:rsidRPr="005A1E5C" w14:paraId="6CDFA6F9" w14:textId="77777777" w:rsidTr="008B0D7D">
        <w:tc>
          <w:tcPr>
            <w:tcW w:w="1134" w:type="dxa"/>
            <w:shd w:val="clear" w:color="auto" w:fill="auto"/>
          </w:tcPr>
          <w:p w14:paraId="763BE71E" w14:textId="538E498D" w:rsidR="009A743E" w:rsidRPr="005A1E5C" w:rsidRDefault="009A743E" w:rsidP="009A743E">
            <w:pPr>
              <w:jc w:val="left"/>
              <w:rPr>
                <w:rFonts w:cs="Arial"/>
                <w:b/>
                <w:bCs/>
              </w:rPr>
            </w:pPr>
            <w:r w:rsidRPr="005A1E5C">
              <w:rPr>
                <w:rFonts w:cs="Arial"/>
                <w:b/>
                <w:bCs/>
              </w:rPr>
              <w:t>CEN</w:t>
            </w:r>
          </w:p>
        </w:tc>
        <w:tc>
          <w:tcPr>
            <w:tcW w:w="284" w:type="dxa"/>
          </w:tcPr>
          <w:p w14:paraId="58572D73" w14:textId="0B0CDACC" w:rsidR="009A743E" w:rsidRPr="005A1E5C" w:rsidRDefault="009A743E" w:rsidP="009A743E">
            <w:r>
              <w:t>:</w:t>
            </w:r>
          </w:p>
        </w:tc>
        <w:tc>
          <w:tcPr>
            <w:tcW w:w="8505" w:type="dxa"/>
            <w:shd w:val="clear" w:color="auto" w:fill="auto"/>
          </w:tcPr>
          <w:p w14:paraId="731E4F93" w14:textId="60848E62" w:rsidR="009A743E" w:rsidRPr="005A1E5C" w:rsidRDefault="009A743E" w:rsidP="009A743E">
            <w:r w:rsidRPr="005A1E5C">
              <w:t xml:space="preserve">Coordinador Eléctrico </w:t>
            </w:r>
            <w:r w:rsidRPr="00A33A22">
              <w:t>Nacional</w:t>
            </w:r>
            <w:r w:rsidRPr="005A1E5C">
              <w:t>.</w:t>
            </w:r>
          </w:p>
        </w:tc>
      </w:tr>
      <w:tr w:rsidR="009A743E" w:rsidRPr="005A1E5C" w14:paraId="60452D43" w14:textId="77777777" w:rsidTr="008B0D7D">
        <w:tc>
          <w:tcPr>
            <w:tcW w:w="1134" w:type="dxa"/>
            <w:shd w:val="clear" w:color="auto" w:fill="auto"/>
          </w:tcPr>
          <w:p w14:paraId="5B157FF0" w14:textId="26152A57" w:rsidR="009A743E" w:rsidRPr="005A1E5C" w:rsidRDefault="009A743E" w:rsidP="009A743E">
            <w:pPr>
              <w:jc w:val="left"/>
              <w:rPr>
                <w:rFonts w:cs="Arial"/>
              </w:rPr>
            </w:pPr>
            <w:r w:rsidRPr="005A1E5C">
              <w:rPr>
                <w:rFonts w:cs="Arial"/>
                <w:b/>
                <w:bCs/>
              </w:rPr>
              <w:t>INE</w:t>
            </w:r>
          </w:p>
        </w:tc>
        <w:tc>
          <w:tcPr>
            <w:tcW w:w="284" w:type="dxa"/>
          </w:tcPr>
          <w:p w14:paraId="3C310327" w14:textId="428A052C" w:rsidR="009A743E" w:rsidRPr="005A1E5C" w:rsidRDefault="009A743E" w:rsidP="009A743E">
            <w:r>
              <w:t>:</w:t>
            </w:r>
          </w:p>
        </w:tc>
        <w:tc>
          <w:tcPr>
            <w:tcW w:w="8505" w:type="dxa"/>
            <w:shd w:val="clear" w:color="auto" w:fill="auto"/>
          </w:tcPr>
          <w:p w14:paraId="62DA002A" w14:textId="23778B8A" w:rsidR="009A743E" w:rsidRPr="005A1E5C" w:rsidRDefault="009A743E" w:rsidP="009A743E">
            <w:r w:rsidRPr="005A1E5C">
              <w:t>Instituto Nacional de Estadísticas</w:t>
            </w:r>
          </w:p>
        </w:tc>
      </w:tr>
      <w:tr w:rsidR="009A743E" w:rsidRPr="005A1E5C" w14:paraId="639BA330" w14:textId="77777777" w:rsidTr="008B0D7D">
        <w:tc>
          <w:tcPr>
            <w:tcW w:w="1134" w:type="dxa"/>
            <w:shd w:val="clear" w:color="auto" w:fill="auto"/>
          </w:tcPr>
          <w:p w14:paraId="58E653A8" w14:textId="6757C4B2" w:rsidR="009A743E" w:rsidRPr="005A1E5C" w:rsidRDefault="009A743E" w:rsidP="009A743E">
            <w:pPr>
              <w:jc w:val="left"/>
              <w:rPr>
                <w:rFonts w:cs="Arial"/>
              </w:rPr>
            </w:pPr>
            <w:r w:rsidRPr="005A1E5C">
              <w:rPr>
                <w:rFonts w:cs="Arial"/>
                <w:b/>
                <w:bCs/>
              </w:rPr>
              <w:t>SII</w:t>
            </w:r>
          </w:p>
        </w:tc>
        <w:tc>
          <w:tcPr>
            <w:tcW w:w="284" w:type="dxa"/>
          </w:tcPr>
          <w:p w14:paraId="6338C2F4" w14:textId="6B97D8CC" w:rsidR="009A743E" w:rsidRPr="005A1E5C" w:rsidRDefault="009A743E" w:rsidP="009A743E">
            <w:r>
              <w:t>:</w:t>
            </w:r>
          </w:p>
        </w:tc>
        <w:tc>
          <w:tcPr>
            <w:tcW w:w="8505" w:type="dxa"/>
            <w:shd w:val="clear" w:color="auto" w:fill="auto"/>
          </w:tcPr>
          <w:p w14:paraId="17243896" w14:textId="3F52B6BA" w:rsidR="009A743E" w:rsidRPr="005A1E5C" w:rsidRDefault="009A743E" w:rsidP="009A743E">
            <w:r w:rsidRPr="005A1E5C">
              <w:t>Servicio de Impuestos Internos</w:t>
            </w:r>
          </w:p>
        </w:tc>
      </w:tr>
      <w:tr w:rsidR="009A743E" w:rsidRPr="005A1E5C" w14:paraId="5A8AC886" w14:textId="77777777" w:rsidTr="008B0D7D">
        <w:tc>
          <w:tcPr>
            <w:tcW w:w="1134" w:type="dxa"/>
            <w:shd w:val="clear" w:color="auto" w:fill="auto"/>
          </w:tcPr>
          <w:p w14:paraId="64D05A54" w14:textId="7C93D813" w:rsidR="009A743E" w:rsidRPr="005A1E5C" w:rsidRDefault="009A743E" w:rsidP="009A743E">
            <w:pPr>
              <w:jc w:val="left"/>
              <w:rPr>
                <w:rFonts w:cs="Arial"/>
                <w:b/>
                <w:bCs/>
              </w:rPr>
            </w:pPr>
            <w:r w:rsidRPr="005A1E5C">
              <w:rPr>
                <w:rFonts w:cs="Arial"/>
                <w:b/>
                <w:bCs/>
              </w:rPr>
              <w:t>STN</w:t>
            </w:r>
          </w:p>
        </w:tc>
        <w:tc>
          <w:tcPr>
            <w:tcW w:w="284" w:type="dxa"/>
          </w:tcPr>
          <w:p w14:paraId="5FBE472A" w14:textId="2303BF67" w:rsidR="009A743E" w:rsidRPr="005A1E5C" w:rsidRDefault="009A743E" w:rsidP="009A743E">
            <w:r>
              <w:t>:</w:t>
            </w:r>
          </w:p>
        </w:tc>
        <w:tc>
          <w:tcPr>
            <w:tcW w:w="8505" w:type="dxa"/>
            <w:shd w:val="clear" w:color="auto" w:fill="auto"/>
          </w:tcPr>
          <w:p w14:paraId="282625F4" w14:textId="139BEC20" w:rsidR="009A743E" w:rsidRPr="005A1E5C" w:rsidRDefault="009A743E" w:rsidP="009A743E">
            <w:r w:rsidRPr="005A1E5C">
              <w:t>Sistema de Transmisión Nacional</w:t>
            </w:r>
          </w:p>
        </w:tc>
      </w:tr>
      <w:tr w:rsidR="009A743E" w:rsidRPr="006B5F45" w14:paraId="7E5159B3" w14:textId="77777777" w:rsidTr="008B0D7D">
        <w:tc>
          <w:tcPr>
            <w:tcW w:w="1134" w:type="dxa"/>
            <w:shd w:val="clear" w:color="auto" w:fill="auto"/>
          </w:tcPr>
          <w:p w14:paraId="193B9014" w14:textId="0F56B42D" w:rsidR="009A743E" w:rsidRPr="006B5F45" w:rsidRDefault="009A743E" w:rsidP="009A743E">
            <w:pPr>
              <w:jc w:val="left"/>
              <w:rPr>
                <w:rFonts w:cs="Arial"/>
              </w:rPr>
            </w:pPr>
            <w:r w:rsidRPr="006B5F45">
              <w:rPr>
                <w:rFonts w:cs="Arial"/>
                <w:b/>
                <w:bCs/>
              </w:rPr>
              <w:t>V.I.</w:t>
            </w:r>
          </w:p>
        </w:tc>
        <w:tc>
          <w:tcPr>
            <w:tcW w:w="284" w:type="dxa"/>
          </w:tcPr>
          <w:p w14:paraId="6881BEAF" w14:textId="49CB3635" w:rsidR="009A743E" w:rsidRPr="006B5F45" w:rsidRDefault="009A743E" w:rsidP="009A743E">
            <w:r>
              <w:t>:</w:t>
            </w:r>
          </w:p>
        </w:tc>
        <w:tc>
          <w:tcPr>
            <w:tcW w:w="8505" w:type="dxa"/>
            <w:shd w:val="clear" w:color="auto" w:fill="auto"/>
          </w:tcPr>
          <w:p w14:paraId="1D13091D" w14:textId="21BCF14C" w:rsidR="009A743E" w:rsidRPr="006B5F45" w:rsidRDefault="009A743E" w:rsidP="009A743E">
            <w:r w:rsidRPr="006B5F45">
              <w:t>Valor de Inversión.</w:t>
            </w:r>
          </w:p>
        </w:tc>
      </w:tr>
      <w:tr w:rsidR="009A743E" w:rsidRPr="006B5F45" w14:paraId="3D213FEC" w14:textId="77777777" w:rsidTr="008B0D7D">
        <w:tc>
          <w:tcPr>
            <w:tcW w:w="1134" w:type="dxa"/>
            <w:shd w:val="clear" w:color="auto" w:fill="auto"/>
          </w:tcPr>
          <w:p w14:paraId="11EB22C3" w14:textId="5672844A" w:rsidR="009A743E" w:rsidRPr="006B5F45" w:rsidRDefault="009A743E" w:rsidP="009A743E">
            <w:pPr>
              <w:jc w:val="left"/>
              <w:rPr>
                <w:rFonts w:cs="Arial"/>
              </w:rPr>
            </w:pPr>
            <w:r w:rsidRPr="006B5F45">
              <w:rPr>
                <w:rFonts w:cs="Arial"/>
                <w:b/>
                <w:bCs/>
              </w:rPr>
              <w:t>A.V.I.</w:t>
            </w:r>
          </w:p>
        </w:tc>
        <w:tc>
          <w:tcPr>
            <w:tcW w:w="284" w:type="dxa"/>
          </w:tcPr>
          <w:p w14:paraId="5FD17755" w14:textId="6132F9E1" w:rsidR="009A743E" w:rsidRPr="006B5F45" w:rsidRDefault="009A743E" w:rsidP="009A743E">
            <w:r>
              <w:t>:</w:t>
            </w:r>
          </w:p>
        </w:tc>
        <w:tc>
          <w:tcPr>
            <w:tcW w:w="8505" w:type="dxa"/>
            <w:shd w:val="clear" w:color="auto" w:fill="auto"/>
          </w:tcPr>
          <w:p w14:paraId="04A15AB3" w14:textId="547D23C1" w:rsidR="009A743E" w:rsidRPr="006B5F45" w:rsidRDefault="009A743E" w:rsidP="009A743E">
            <w:r w:rsidRPr="006B5F45">
              <w:t>Anualidad del Valor de Inversión.</w:t>
            </w:r>
          </w:p>
        </w:tc>
      </w:tr>
      <w:tr w:rsidR="009A743E" w:rsidRPr="006B5F45" w14:paraId="60CE2231" w14:textId="77777777" w:rsidTr="008B0D7D">
        <w:tc>
          <w:tcPr>
            <w:tcW w:w="1134" w:type="dxa"/>
            <w:shd w:val="clear" w:color="auto" w:fill="auto"/>
          </w:tcPr>
          <w:p w14:paraId="3F9E11BB" w14:textId="4F1FAE0E" w:rsidR="009A743E" w:rsidRPr="006B5F45" w:rsidRDefault="009A743E" w:rsidP="009A743E">
            <w:pPr>
              <w:jc w:val="left"/>
              <w:rPr>
                <w:rFonts w:cs="Arial"/>
              </w:rPr>
            </w:pPr>
            <w:r w:rsidRPr="006B5F45">
              <w:rPr>
                <w:rFonts w:cs="Arial"/>
                <w:b/>
                <w:bCs/>
              </w:rPr>
              <w:t>C.O.M.A.</w:t>
            </w:r>
          </w:p>
        </w:tc>
        <w:tc>
          <w:tcPr>
            <w:tcW w:w="284" w:type="dxa"/>
          </w:tcPr>
          <w:p w14:paraId="69FAC6A6" w14:textId="476899F7" w:rsidR="009A743E" w:rsidRPr="006B5F45" w:rsidRDefault="009A743E" w:rsidP="009A743E">
            <w:r>
              <w:t>:</w:t>
            </w:r>
          </w:p>
        </w:tc>
        <w:tc>
          <w:tcPr>
            <w:tcW w:w="8505" w:type="dxa"/>
            <w:shd w:val="clear" w:color="auto" w:fill="auto"/>
          </w:tcPr>
          <w:p w14:paraId="2E1B1A56" w14:textId="01DBD804" w:rsidR="009A743E" w:rsidRPr="006B5F45" w:rsidRDefault="009A743E" w:rsidP="009A743E">
            <w:r w:rsidRPr="006B5F45">
              <w:t>Costo de Operación, Mantenimiento y Administración.</w:t>
            </w:r>
          </w:p>
        </w:tc>
      </w:tr>
      <w:tr w:rsidR="009A743E" w:rsidRPr="006B5F45" w14:paraId="6205AC22" w14:textId="77777777" w:rsidTr="008B0D7D">
        <w:tc>
          <w:tcPr>
            <w:tcW w:w="1134" w:type="dxa"/>
            <w:shd w:val="clear" w:color="auto" w:fill="auto"/>
          </w:tcPr>
          <w:p w14:paraId="5F02A08B" w14:textId="00309F1F" w:rsidR="009A743E" w:rsidRPr="006B5F45" w:rsidRDefault="009A743E" w:rsidP="009A743E">
            <w:pPr>
              <w:jc w:val="left"/>
              <w:rPr>
                <w:rFonts w:cs="Arial"/>
              </w:rPr>
            </w:pPr>
            <w:r w:rsidRPr="006B5F45">
              <w:rPr>
                <w:rFonts w:cs="Arial"/>
                <w:b/>
                <w:bCs/>
              </w:rPr>
              <w:t>V.A.T.T.</w:t>
            </w:r>
          </w:p>
        </w:tc>
        <w:tc>
          <w:tcPr>
            <w:tcW w:w="284" w:type="dxa"/>
          </w:tcPr>
          <w:p w14:paraId="2B027C3B" w14:textId="456C4C60" w:rsidR="009A743E" w:rsidRPr="006B5F45" w:rsidRDefault="009A743E" w:rsidP="009A743E">
            <w:r>
              <w:t>:</w:t>
            </w:r>
          </w:p>
        </w:tc>
        <w:tc>
          <w:tcPr>
            <w:tcW w:w="8505" w:type="dxa"/>
            <w:shd w:val="clear" w:color="auto" w:fill="auto"/>
          </w:tcPr>
          <w:p w14:paraId="02D5E02C" w14:textId="54A3CD29" w:rsidR="009A743E" w:rsidRPr="006B5F45" w:rsidRDefault="009A743E" w:rsidP="009A743E">
            <w:r w:rsidRPr="006B5F45">
              <w:t>Valor anual de la transmisión por tramo.</w:t>
            </w:r>
          </w:p>
        </w:tc>
      </w:tr>
      <w:tr w:rsidR="009A743E" w:rsidRPr="006B5F45" w14:paraId="29A10F07" w14:textId="77777777" w:rsidTr="008B0D7D">
        <w:tc>
          <w:tcPr>
            <w:tcW w:w="1134" w:type="dxa"/>
            <w:shd w:val="clear" w:color="auto" w:fill="auto"/>
          </w:tcPr>
          <w:p w14:paraId="0EA97E61" w14:textId="2504ABF4" w:rsidR="009A743E" w:rsidRPr="006B5F45" w:rsidRDefault="009A743E" w:rsidP="009A743E">
            <w:pPr>
              <w:jc w:val="left"/>
              <w:rPr>
                <w:rFonts w:cs="Arial"/>
              </w:rPr>
            </w:pPr>
            <w:r w:rsidRPr="006B5F45">
              <w:rPr>
                <w:rFonts w:cs="Arial"/>
                <w:b/>
                <w:bCs/>
              </w:rPr>
              <w:t>LGSE</w:t>
            </w:r>
          </w:p>
        </w:tc>
        <w:tc>
          <w:tcPr>
            <w:tcW w:w="284" w:type="dxa"/>
          </w:tcPr>
          <w:p w14:paraId="46EF2CEC" w14:textId="07D79999" w:rsidR="009A743E" w:rsidRPr="006B5F45" w:rsidRDefault="009A743E" w:rsidP="009A743E">
            <w:r>
              <w:t>:</w:t>
            </w:r>
          </w:p>
        </w:tc>
        <w:tc>
          <w:tcPr>
            <w:tcW w:w="8505" w:type="dxa"/>
            <w:shd w:val="clear" w:color="auto" w:fill="auto"/>
          </w:tcPr>
          <w:p w14:paraId="17621A8B" w14:textId="1964B136" w:rsidR="009A743E" w:rsidRPr="006B5F45" w:rsidRDefault="009A743E" w:rsidP="009A743E">
            <w:r w:rsidRPr="006B5F45">
              <w:t>Ley General de Servicios Eléctricos.</w:t>
            </w:r>
          </w:p>
        </w:tc>
      </w:tr>
      <w:tr w:rsidR="009A743E" w:rsidRPr="00812DAD" w14:paraId="3C9BAE71" w14:textId="77777777" w:rsidTr="008B0D7D">
        <w:tc>
          <w:tcPr>
            <w:tcW w:w="1134" w:type="dxa"/>
            <w:shd w:val="clear" w:color="auto" w:fill="auto"/>
          </w:tcPr>
          <w:p w14:paraId="22CA52CA" w14:textId="759BF966" w:rsidR="009A743E" w:rsidRPr="006B5F45" w:rsidRDefault="009A743E" w:rsidP="009A743E">
            <w:pPr>
              <w:jc w:val="left"/>
              <w:rPr>
                <w:rFonts w:cs="Arial"/>
              </w:rPr>
            </w:pPr>
            <w:r w:rsidRPr="006B5F45">
              <w:rPr>
                <w:rFonts w:cs="Arial"/>
                <w:b/>
                <w:bCs/>
              </w:rPr>
              <w:t>A.E.I.R.</w:t>
            </w:r>
          </w:p>
        </w:tc>
        <w:tc>
          <w:tcPr>
            <w:tcW w:w="284" w:type="dxa"/>
          </w:tcPr>
          <w:p w14:paraId="3EB72D53" w14:textId="6A9E681F" w:rsidR="009A743E" w:rsidRPr="006B5F45" w:rsidRDefault="009A743E" w:rsidP="009A743E">
            <w:r>
              <w:t>:</w:t>
            </w:r>
          </w:p>
        </w:tc>
        <w:tc>
          <w:tcPr>
            <w:tcW w:w="8505" w:type="dxa"/>
            <w:shd w:val="clear" w:color="auto" w:fill="auto"/>
          </w:tcPr>
          <w:p w14:paraId="46D6E1A7" w14:textId="609B3E70" w:rsidR="009A743E" w:rsidRPr="00812DAD" w:rsidRDefault="009A743E" w:rsidP="009A743E">
            <w:r w:rsidRPr="006B5F45">
              <w:t>Ajuste por efecto de impuesto a la renta.</w:t>
            </w:r>
          </w:p>
        </w:tc>
      </w:tr>
      <w:tr w:rsidR="009A743E" w:rsidRPr="00812DAD" w14:paraId="6BC9ACF6" w14:textId="77777777" w:rsidTr="008B0D7D">
        <w:tc>
          <w:tcPr>
            <w:tcW w:w="1134" w:type="dxa"/>
            <w:shd w:val="clear" w:color="auto" w:fill="auto"/>
          </w:tcPr>
          <w:p w14:paraId="3B7FF8AC" w14:textId="4D34966A" w:rsidR="009A743E" w:rsidRPr="006B5F45" w:rsidRDefault="009A743E" w:rsidP="009A743E">
            <w:pPr>
              <w:jc w:val="left"/>
              <w:rPr>
                <w:rFonts w:cs="Arial"/>
              </w:rPr>
            </w:pPr>
            <w:r>
              <w:rPr>
                <w:rFonts w:cs="Arial"/>
                <w:b/>
                <w:bCs/>
              </w:rPr>
              <w:t>I</w:t>
            </w:r>
            <w:r w:rsidRPr="006B5F45">
              <w:rPr>
                <w:rFonts w:cs="Arial"/>
                <w:b/>
                <w:bCs/>
              </w:rPr>
              <w:t>PC</w:t>
            </w:r>
          </w:p>
        </w:tc>
        <w:tc>
          <w:tcPr>
            <w:tcW w:w="284" w:type="dxa"/>
          </w:tcPr>
          <w:p w14:paraId="3DE282DF" w14:textId="7E55ED65" w:rsidR="009A743E" w:rsidRPr="006B5F45" w:rsidRDefault="009A743E" w:rsidP="009A743E">
            <w:r>
              <w:t>:</w:t>
            </w:r>
          </w:p>
        </w:tc>
        <w:tc>
          <w:tcPr>
            <w:tcW w:w="8505" w:type="dxa"/>
            <w:shd w:val="clear" w:color="auto" w:fill="auto"/>
          </w:tcPr>
          <w:p w14:paraId="3773AD3C" w14:textId="14528C71" w:rsidR="009A743E" w:rsidRPr="00812DAD" w:rsidRDefault="009A743E" w:rsidP="009A743E">
            <w:r w:rsidRPr="006B5F45">
              <w:t>Índice de Precios al Consumidor, publicado por el Instituto Nacional de Estadística de Chile.</w:t>
            </w:r>
          </w:p>
        </w:tc>
      </w:tr>
      <w:tr w:rsidR="009A743E" w14:paraId="1BDD8CB9" w14:textId="77777777" w:rsidTr="008B0D7D">
        <w:tc>
          <w:tcPr>
            <w:tcW w:w="1134" w:type="dxa"/>
            <w:shd w:val="clear" w:color="auto" w:fill="auto"/>
          </w:tcPr>
          <w:p w14:paraId="32FD553A" w14:textId="7BD6CAE8" w:rsidR="009A743E" w:rsidRPr="006B5F45" w:rsidRDefault="009A743E" w:rsidP="009D12B8">
            <w:pPr>
              <w:jc w:val="left"/>
              <w:rPr>
                <w:rFonts w:cs="Arial"/>
              </w:rPr>
            </w:pPr>
            <w:r w:rsidRPr="006B5F45">
              <w:rPr>
                <w:rFonts w:cs="Arial"/>
                <w:b/>
                <w:bCs/>
              </w:rPr>
              <w:t>CPI</w:t>
            </w:r>
          </w:p>
        </w:tc>
        <w:tc>
          <w:tcPr>
            <w:tcW w:w="284" w:type="dxa"/>
          </w:tcPr>
          <w:p w14:paraId="29C08D88" w14:textId="0CA604D8" w:rsidR="009A743E" w:rsidRPr="006B5F45" w:rsidRDefault="009A743E" w:rsidP="009A743E">
            <w:r>
              <w:t>:</w:t>
            </w:r>
          </w:p>
        </w:tc>
        <w:tc>
          <w:tcPr>
            <w:tcW w:w="8505" w:type="dxa"/>
            <w:shd w:val="clear" w:color="auto" w:fill="auto"/>
          </w:tcPr>
          <w:p w14:paraId="3BBB4F4A" w14:textId="35C38B37" w:rsidR="009A743E" w:rsidRDefault="009A743E" w:rsidP="009A743E">
            <w:r w:rsidRPr="00653A58">
              <w:rPr>
                <w:i/>
              </w:rPr>
              <w:t>Consumer Price Index</w:t>
            </w:r>
            <w:r w:rsidRPr="006B5F45">
              <w:t xml:space="preserve"> </w:t>
            </w:r>
            <w:r w:rsidRPr="00812DAD">
              <w:t>(</w:t>
            </w:r>
            <w:r w:rsidRPr="00653A58">
              <w:rPr>
                <w:i/>
              </w:rPr>
              <w:t>All Urban Consumers</w:t>
            </w:r>
            <w:r w:rsidRPr="00812DAD">
              <w:t xml:space="preserve">), publicado por el </w:t>
            </w:r>
            <w:r w:rsidRPr="00653A58">
              <w:rPr>
                <w:i/>
              </w:rPr>
              <w:t>Bureau of Labor Statistics</w:t>
            </w:r>
            <w:r w:rsidRPr="00812DAD">
              <w:t xml:space="preserve"> (</w:t>
            </w:r>
            <w:r w:rsidRPr="00653A58">
              <w:rPr>
                <w:i/>
              </w:rPr>
              <w:t>BLS</w:t>
            </w:r>
            <w:r w:rsidRPr="00812DAD">
              <w:t>) del Gobierno de los Estados Unidos de América.</w:t>
            </w:r>
          </w:p>
        </w:tc>
      </w:tr>
    </w:tbl>
    <w:p w14:paraId="55103B05" w14:textId="086F5CE4" w:rsidR="001339DD" w:rsidRPr="008B0D7D" w:rsidRDefault="001339DD" w:rsidP="008B0D7D">
      <w:pPr>
        <w:pStyle w:val="Ttulo1"/>
      </w:pPr>
      <w:bookmarkStart w:id="6" w:name="_Toc39797752"/>
      <w:r w:rsidRPr="008B0D7D">
        <w:t>O</w:t>
      </w:r>
      <w:r w:rsidR="00E8341C" w:rsidRPr="008B0D7D">
        <w:t>bjetivos del Estudio</w:t>
      </w:r>
      <w:bookmarkEnd w:id="6"/>
    </w:p>
    <w:p w14:paraId="6AB50AD3" w14:textId="77777777" w:rsidR="001339DD" w:rsidRPr="009A743E" w:rsidRDefault="001339DD" w:rsidP="009A743E">
      <w:pPr>
        <w:pStyle w:val="Ttulo2"/>
      </w:pPr>
      <w:bookmarkStart w:id="7" w:name="_Toc39797753"/>
      <w:r w:rsidRPr="009A743E">
        <w:t>Objetivo General</w:t>
      </w:r>
      <w:bookmarkEnd w:id="7"/>
    </w:p>
    <w:p w14:paraId="3E6D42F4" w14:textId="77777777" w:rsidR="00D22202" w:rsidRPr="0017242A" w:rsidRDefault="00223637" w:rsidP="00D22202">
      <w:pPr>
        <w:rPr>
          <w:rFonts w:cs="Arial"/>
        </w:rPr>
      </w:pPr>
      <w:r>
        <w:rPr>
          <w:rFonts w:cs="Arial"/>
        </w:rPr>
        <w:t>E</w:t>
      </w:r>
      <w:r w:rsidR="00D22202" w:rsidRPr="0017242A">
        <w:rPr>
          <w:rFonts w:cs="Arial"/>
        </w:rPr>
        <w:t>l objetivo general de</w:t>
      </w:r>
      <w:r w:rsidR="00D22202">
        <w:rPr>
          <w:rFonts w:cs="Arial"/>
        </w:rPr>
        <w:t>l</w:t>
      </w:r>
      <w:r w:rsidR="00D22202" w:rsidRPr="0017242A">
        <w:rPr>
          <w:rFonts w:cs="Arial"/>
        </w:rPr>
        <w:t xml:space="preserve"> </w:t>
      </w:r>
      <w:r w:rsidR="00D22202">
        <w:rPr>
          <w:rFonts w:cs="Arial"/>
        </w:rPr>
        <w:t>estudio</w:t>
      </w:r>
      <w:r w:rsidR="00D22202" w:rsidRPr="0017242A">
        <w:rPr>
          <w:rFonts w:cs="Arial"/>
        </w:rPr>
        <w:t xml:space="preserve"> es la valorización de las instalaciones calificadas como de transmisión nacional</w:t>
      </w:r>
      <w:r w:rsidR="00D22202">
        <w:rPr>
          <w:rFonts w:cs="Arial"/>
        </w:rPr>
        <w:t xml:space="preserve"> para el cuadrienio tarifario 2020-2023</w:t>
      </w:r>
      <w:r w:rsidR="00D22202" w:rsidRPr="0017242A">
        <w:rPr>
          <w:rFonts w:cs="Arial"/>
        </w:rPr>
        <w:t>.</w:t>
      </w:r>
    </w:p>
    <w:p w14:paraId="7DD45D8D" w14:textId="0A37616B" w:rsidR="002568FF" w:rsidRPr="0088776A" w:rsidRDefault="00D22202" w:rsidP="001339DD">
      <w:pPr>
        <w:rPr>
          <w:rFonts w:cs="Arial"/>
        </w:rPr>
      </w:pPr>
      <w:r w:rsidRPr="0017242A">
        <w:rPr>
          <w:rFonts w:cs="Arial"/>
        </w:rPr>
        <w:t>De conformidad a lo indicado en los artículos 100° y 101° de la LGSE, estas instalaciones se especificaron en la Resolución Exenta N°244 de la CNE de abril de 2019</w:t>
      </w:r>
      <w:r w:rsidR="00223637">
        <w:rPr>
          <w:rFonts w:cs="Arial"/>
        </w:rPr>
        <w:t xml:space="preserve">, y en la forma de tramos de transmisión, distinguiéndose entre ellos </w:t>
      </w:r>
      <w:r w:rsidR="00223637" w:rsidRPr="00223637">
        <w:rPr>
          <w:rFonts w:cs="Arial"/>
          <w:i/>
          <w:iCs/>
        </w:rPr>
        <w:t>tramos de transporte</w:t>
      </w:r>
      <w:r w:rsidR="00223637">
        <w:rPr>
          <w:rFonts w:cs="Arial"/>
        </w:rPr>
        <w:t xml:space="preserve"> y </w:t>
      </w:r>
      <w:r w:rsidR="00223637" w:rsidRPr="00223637">
        <w:rPr>
          <w:rFonts w:cs="Arial"/>
          <w:i/>
          <w:iCs/>
        </w:rPr>
        <w:t>tramos de subestación</w:t>
      </w:r>
      <w:r w:rsidR="00223637">
        <w:rPr>
          <w:rFonts w:cs="Arial"/>
        </w:rPr>
        <w:t>.</w:t>
      </w:r>
    </w:p>
    <w:p w14:paraId="00E2F159" w14:textId="77777777" w:rsidR="001339DD" w:rsidRPr="009A743E" w:rsidRDefault="001339DD" w:rsidP="009A743E">
      <w:pPr>
        <w:pStyle w:val="Ttulo2"/>
      </w:pPr>
      <w:bookmarkStart w:id="8" w:name="_Toc39797754"/>
      <w:r w:rsidRPr="009A743E">
        <w:t>Objetivos Específicos</w:t>
      </w:r>
      <w:bookmarkEnd w:id="8"/>
    </w:p>
    <w:p w14:paraId="1D519B3B" w14:textId="77777777" w:rsidR="00A851CF" w:rsidRPr="0017242A" w:rsidRDefault="00223637" w:rsidP="00A851CF">
      <w:pPr>
        <w:rPr>
          <w:rFonts w:cs="Arial"/>
        </w:rPr>
      </w:pPr>
      <w:r>
        <w:rPr>
          <w:rFonts w:cs="Arial"/>
        </w:rPr>
        <w:t>S</w:t>
      </w:r>
      <w:r w:rsidR="00A851CF" w:rsidRPr="0017242A">
        <w:rPr>
          <w:rFonts w:cs="Arial"/>
        </w:rPr>
        <w:t>on objetivos específicos de</w:t>
      </w:r>
      <w:r w:rsidR="00A851CF">
        <w:rPr>
          <w:rFonts w:cs="Arial"/>
        </w:rPr>
        <w:t>l</w:t>
      </w:r>
      <w:r w:rsidR="00A851CF" w:rsidRPr="0017242A">
        <w:rPr>
          <w:rFonts w:cs="Arial"/>
        </w:rPr>
        <w:t xml:space="preserve"> estudio los siguientes:</w:t>
      </w:r>
    </w:p>
    <w:p w14:paraId="5EBCED3E" w14:textId="661112A5" w:rsidR="00A851CF" w:rsidRPr="0061035A" w:rsidRDefault="009D12B8" w:rsidP="00273FE4">
      <w:pPr>
        <w:pStyle w:val="Listanumerada"/>
        <w:numPr>
          <w:ilvl w:val="0"/>
          <w:numId w:val="38"/>
        </w:numPr>
        <w:spacing w:after="200"/>
        <w:ind w:left="567" w:hanging="567"/>
      </w:pPr>
      <w:r w:rsidRPr="0061035A">
        <w:lastRenderedPageBreak/>
        <w:t>Determ</w:t>
      </w:r>
      <w:r w:rsidR="00653A58">
        <w:t>inación del Valor de Inversión,</w:t>
      </w:r>
      <w:r w:rsidRPr="0061035A">
        <w:t xml:space="preserve"> en adelante e indistintamente “V.I.”, la Anualidad del Valor de Inversión, en adelante e indistintamente “A.V.I.”, de los Costos Anuales de Operación, Mantenimiento y Administración, en adelante e indistintamente “C.O.M.A.” y del Factor de Ajuste por Efecto de Impuesto a la Renta, en adelante e indistintamente “A.E.I.R.”. Esta determinación se efectúa para cada tramo de transmisión del Sistema de Transmisión Nacional, en adelante e indistintamente, STN.</w:t>
      </w:r>
    </w:p>
    <w:p w14:paraId="10E63B74" w14:textId="77777777" w:rsidR="00A851CF" w:rsidRPr="0061035A" w:rsidRDefault="00A851CF" w:rsidP="00273FE4">
      <w:pPr>
        <w:pStyle w:val="Listanumerada"/>
        <w:numPr>
          <w:ilvl w:val="0"/>
          <w:numId w:val="38"/>
        </w:numPr>
        <w:spacing w:after="200"/>
        <w:ind w:left="567" w:hanging="567"/>
      </w:pPr>
      <w:r w:rsidRPr="0061035A">
        <w:t>Determinación del Valor Anual de la Transmisión por Tramo, en adelante e indistintamente, “V.A.T.T.”</w:t>
      </w:r>
      <w:r w:rsidR="00223637" w:rsidRPr="0061035A">
        <w:t xml:space="preserve"> de las instalaciones del sistema de transmisión nacional</w:t>
      </w:r>
      <w:r w:rsidRPr="0061035A">
        <w:t>;</w:t>
      </w:r>
    </w:p>
    <w:p w14:paraId="6B839DB7" w14:textId="77777777" w:rsidR="00D22202" w:rsidRPr="0061035A" w:rsidRDefault="00A851CF" w:rsidP="00273FE4">
      <w:pPr>
        <w:pStyle w:val="Listanumerada"/>
        <w:numPr>
          <w:ilvl w:val="0"/>
          <w:numId w:val="38"/>
        </w:numPr>
        <w:spacing w:after="200"/>
        <w:ind w:left="567" w:hanging="567"/>
      </w:pPr>
      <w:r w:rsidRPr="0061035A">
        <w:t>Determinación de las correspondientes fórmulas de indexación y su forma de aplicación para los valores indicados en los literales anteriores, a fin de mantener su valor real a partir del mes de diciembre de 2017, mes que se establece como la fecha de valor base del V.A.T.T.</w:t>
      </w:r>
    </w:p>
    <w:p w14:paraId="2F06E461" w14:textId="5105D928" w:rsidR="00B11BEE" w:rsidRPr="00B11BEE" w:rsidRDefault="00B11BEE" w:rsidP="00B11BEE">
      <w:pPr>
        <w:pStyle w:val="Ttulo1"/>
      </w:pPr>
      <w:bookmarkStart w:id="9" w:name="_Toc39797755"/>
      <w:r w:rsidRPr="00B11BEE">
        <w:t>M</w:t>
      </w:r>
      <w:r w:rsidR="00E8341C">
        <w:t>arco normativo</w:t>
      </w:r>
      <w:bookmarkEnd w:id="9"/>
    </w:p>
    <w:p w14:paraId="3674167C" w14:textId="77777777" w:rsidR="00A904A6" w:rsidRPr="00AE0DDC" w:rsidRDefault="00A904A6" w:rsidP="008B0D7D">
      <w:r w:rsidRPr="00AE0DDC">
        <w:t>El marco normativo al cual se sujetará el presente estudio, tanto en lo referente al desarrollo de sus diferentes etapas, actividades y plazos, como desde el punto de vista de sus consideraciones técnicas y conceptuales, está dado, en lo que es esencial, por el siguiente conjunto de disposiciones:</w:t>
      </w:r>
    </w:p>
    <w:p w14:paraId="1E8F6432" w14:textId="77777777" w:rsidR="00A904A6" w:rsidRPr="00AE0DDC" w:rsidRDefault="00A904A6" w:rsidP="00273FE4">
      <w:pPr>
        <w:pStyle w:val="Prrafodelista"/>
        <w:numPr>
          <w:ilvl w:val="0"/>
          <w:numId w:val="39"/>
        </w:numPr>
        <w:ind w:left="567" w:hanging="567"/>
      </w:pPr>
      <w:r w:rsidRPr="00103C5D">
        <w:rPr>
          <w:b/>
        </w:rPr>
        <w:t xml:space="preserve">Decreto con Fuerza de Ley N°4 del Ministerio de Economía, Fomento y Reconstrucción de 2006, Ley General de Servicio Eléctricos </w:t>
      </w:r>
      <w:r w:rsidR="006B4AFA" w:rsidRPr="00103C5D">
        <w:rPr>
          <w:b/>
        </w:rPr>
        <w:t>(LGSE)</w:t>
      </w:r>
      <w:r w:rsidR="006B4AFA">
        <w:t xml:space="preserve"> </w:t>
      </w:r>
      <w:r w:rsidRPr="00AE0DDC">
        <w:t>y sus modificaciones.</w:t>
      </w:r>
    </w:p>
    <w:p w14:paraId="7E03A123" w14:textId="77777777" w:rsidR="00A904A6" w:rsidRDefault="00A904A6" w:rsidP="00273FE4">
      <w:pPr>
        <w:pStyle w:val="Prrafodelista"/>
        <w:numPr>
          <w:ilvl w:val="0"/>
          <w:numId w:val="39"/>
        </w:numPr>
        <w:ind w:left="567" w:hanging="567"/>
      </w:pPr>
      <w:r w:rsidRPr="00103C5D">
        <w:rPr>
          <w:b/>
        </w:rPr>
        <w:t>Ley N°20.936, de junio de 2016, del Ministerio de Energía</w:t>
      </w:r>
      <w:r w:rsidRPr="00AE0DDC">
        <w:t>, que “Establece un Nuevo Sistema de Transmisión Eléctrica y crea un Organismo Coordinador Independiente del Sistema Eléctrico Nacional”.</w:t>
      </w:r>
    </w:p>
    <w:p w14:paraId="6C49A6C9" w14:textId="77777777" w:rsidR="00A904A6" w:rsidRDefault="00A904A6" w:rsidP="00273FE4">
      <w:pPr>
        <w:pStyle w:val="Prrafodelista"/>
        <w:numPr>
          <w:ilvl w:val="0"/>
          <w:numId w:val="39"/>
        </w:numPr>
        <w:ind w:left="567" w:hanging="567"/>
      </w:pPr>
      <w:r w:rsidRPr="00103C5D">
        <w:rPr>
          <w:b/>
        </w:rPr>
        <w:t>Resolución Exenta N°380, del 20 de julio de 2017, de la Comisión Nacional de Energía</w:t>
      </w:r>
      <w:r w:rsidRPr="00AE0DDC">
        <w:t>, que “Establece Plazos, Requisitos y Condiciones Aplicables al Proceso de Valorización de las Instalaciones de los Sistemas de Transmisión Nacional, Zonal, para Polos de Desarrollo, y de las Instalaciones de Sistemas de Transmisión Dedicada Utilizadas por Usuarios Sometidos a Regulación de Precios”, y sus modificaciones.</w:t>
      </w:r>
    </w:p>
    <w:p w14:paraId="60905C96" w14:textId="77777777" w:rsidR="00A904A6" w:rsidRPr="00AE0DDC" w:rsidRDefault="00A904A6" w:rsidP="00273FE4">
      <w:pPr>
        <w:pStyle w:val="Prrafodelista"/>
        <w:numPr>
          <w:ilvl w:val="0"/>
          <w:numId w:val="39"/>
        </w:numPr>
        <w:ind w:left="567" w:hanging="567"/>
      </w:pPr>
      <w:r w:rsidRPr="00103C5D">
        <w:rPr>
          <w:b/>
        </w:rPr>
        <w:t>Resolución Exenta N°412, del 5 de junio de 2018, de la Comisión Nacional de Energía</w:t>
      </w:r>
      <w:r w:rsidRPr="00AE0DDC">
        <w:t>, que “Aprueba Informe Técnico Definitivo de Vidas Útiles a que se refiere el artículo 104° de la Ley General de Servicios Eléctricos y determina las vidas útiles de las instalaciones de transmisión que indica, aplicables por tres períodos tarifarios consecutivos”.</w:t>
      </w:r>
    </w:p>
    <w:p w14:paraId="1D3CD22B" w14:textId="77777777" w:rsidR="003A5B99" w:rsidRPr="00AE0DDC" w:rsidRDefault="003A5B99" w:rsidP="00273FE4">
      <w:pPr>
        <w:pStyle w:val="Prrafodelista"/>
        <w:numPr>
          <w:ilvl w:val="0"/>
          <w:numId w:val="39"/>
        </w:numPr>
        <w:ind w:left="567" w:hanging="567"/>
      </w:pPr>
      <w:r w:rsidRPr="00103C5D">
        <w:rPr>
          <w:b/>
        </w:rPr>
        <w:lastRenderedPageBreak/>
        <w:t>Resolución Exenta N°244 del 9 de abril de 2019, de la Comisión Nacional de Energía</w:t>
      </w:r>
      <w:r w:rsidRPr="00AE0DDC">
        <w:t>, que “Aprueba Informe Técnico Definitivo de Calificación de Instalaciones de los Sistemas de Transmisión para el Período 2020-2023”.</w:t>
      </w:r>
    </w:p>
    <w:p w14:paraId="41576FC5" w14:textId="77777777" w:rsidR="008A2286" w:rsidRDefault="008A2286" w:rsidP="00273FE4">
      <w:pPr>
        <w:pStyle w:val="Prrafodelista"/>
        <w:numPr>
          <w:ilvl w:val="0"/>
          <w:numId w:val="39"/>
        </w:numPr>
        <w:ind w:left="567" w:hanging="567"/>
      </w:pPr>
      <w:r w:rsidRPr="00103C5D">
        <w:rPr>
          <w:b/>
        </w:rPr>
        <w:t>Resolución Exenta N°272 del 26 de abril de 2019, de la Comisión Nacional de Energía</w:t>
      </w:r>
      <w:r w:rsidRPr="00AE0DDC">
        <w:t>, que “Aprueba Bases Técnicas y Administrativas Definitivas para la Realización de los Estudios de Valorización de los Sistemas de Transmisión”.</w:t>
      </w:r>
    </w:p>
    <w:p w14:paraId="5267C297" w14:textId="77777777" w:rsidR="008A2286" w:rsidRPr="00AE0DDC" w:rsidRDefault="00D13B17" w:rsidP="00273FE4">
      <w:pPr>
        <w:pStyle w:val="Prrafodelista"/>
        <w:numPr>
          <w:ilvl w:val="0"/>
          <w:numId w:val="39"/>
        </w:numPr>
        <w:ind w:left="567" w:hanging="567"/>
      </w:pPr>
      <w:r w:rsidRPr="00103C5D">
        <w:rPr>
          <w:b/>
          <w:bCs/>
        </w:rPr>
        <w:t>Resolución Exenta N°766 del 11 de diciembre de 2019, de la Comisión Nacional de Energía</w:t>
      </w:r>
      <w:r>
        <w:t>,</w:t>
      </w:r>
      <w:r w:rsidR="0026164C">
        <w:t xml:space="preserve"> que “Rectifica Resolución Exenta N°272, de 26 de abril de 2019, que </w:t>
      </w:r>
      <w:r w:rsidR="0026164C" w:rsidRPr="00AE0DDC">
        <w:t>“Aprueba Bases Técnicas y Administrativas Definitivas para la Realización de los Estudios de Valorización de los Sistemas de Transmisión”</w:t>
      </w:r>
      <w:r w:rsidR="0026164C">
        <w:t>”.</w:t>
      </w:r>
    </w:p>
    <w:p w14:paraId="71A0F584" w14:textId="77777777" w:rsidR="00A904A6" w:rsidRDefault="00A904A6" w:rsidP="00273FE4">
      <w:pPr>
        <w:pStyle w:val="Prrafodelista"/>
        <w:numPr>
          <w:ilvl w:val="0"/>
          <w:numId w:val="39"/>
        </w:numPr>
        <w:ind w:left="567" w:hanging="567"/>
      </w:pPr>
      <w:r w:rsidRPr="00103C5D">
        <w:rPr>
          <w:b/>
        </w:rPr>
        <w:t>Resolución Exenta N°299, del 26 de abril de 2018, de la Comisión Nacional de Energía</w:t>
      </w:r>
      <w:r w:rsidRPr="00AE0DDC">
        <w:t>, que “Aprueba Modificaciones a la Norma Técnica de Seguridad y Calidad de Servicio de Conformidad al Artículo 34° del Decreto Supremo N°11, de 2017, del Ministerio de Energía y Aprueba Texto Refundido y Sistematizado de Dicha Norma Técnica”.</w:t>
      </w:r>
    </w:p>
    <w:p w14:paraId="55BD7C6C" w14:textId="7CF038E0" w:rsidR="00103C5D" w:rsidRDefault="00BA2EDF" w:rsidP="00273FE4">
      <w:pPr>
        <w:pStyle w:val="Prrafodelista"/>
        <w:numPr>
          <w:ilvl w:val="0"/>
          <w:numId w:val="39"/>
        </w:numPr>
        <w:ind w:left="567" w:hanging="567"/>
      </w:pPr>
      <w:r w:rsidRPr="00103C5D">
        <w:rPr>
          <w:b/>
          <w:bCs/>
        </w:rPr>
        <w:t>Resolución</w:t>
      </w:r>
      <w:r w:rsidR="00DE678B" w:rsidRPr="00103C5D">
        <w:rPr>
          <w:b/>
          <w:bCs/>
        </w:rPr>
        <w:t xml:space="preserve"> Exenta N°43 </w:t>
      </w:r>
      <w:r w:rsidR="00A25607" w:rsidRPr="00103C5D">
        <w:rPr>
          <w:b/>
          <w:bCs/>
        </w:rPr>
        <w:t>d</w:t>
      </w:r>
      <w:r w:rsidR="00DE678B" w:rsidRPr="00103C5D">
        <w:rPr>
          <w:b/>
          <w:bCs/>
        </w:rPr>
        <w:t xml:space="preserve">el 26 de </w:t>
      </w:r>
      <w:r w:rsidR="00653A58" w:rsidRPr="00103C5D">
        <w:rPr>
          <w:b/>
          <w:bCs/>
        </w:rPr>
        <w:t>diciembre</w:t>
      </w:r>
      <w:r w:rsidR="00DE678B" w:rsidRPr="00103C5D">
        <w:rPr>
          <w:b/>
          <w:bCs/>
        </w:rPr>
        <w:t xml:space="preserve"> de 2002, del Servicio de Impuestos Internos</w:t>
      </w:r>
      <w:r w:rsidR="00DE678B" w:rsidRPr="00A620DF">
        <w:t xml:space="preserve">, que “Fija Vida </w:t>
      </w:r>
      <w:r w:rsidRPr="00A620DF">
        <w:t>Útil</w:t>
      </w:r>
      <w:r w:rsidR="00DE678B" w:rsidRPr="00A620DF">
        <w:t xml:space="preserve"> Normal a los Bienes </w:t>
      </w:r>
      <w:r w:rsidR="00D409FA" w:rsidRPr="00A620DF">
        <w:t>Físicos</w:t>
      </w:r>
      <w:r w:rsidR="00DE678B" w:rsidRPr="00A620DF">
        <w:t xml:space="preserve"> del Activo Inmovilizado para los Efectos de su </w:t>
      </w:r>
      <w:r w:rsidR="00D409FA" w:rsidRPr="00A620DF">
        <w:t>Depreciación</w:t>
      </w:r>
      <w:r w:rsidR="00DE678B" w:rsidRPr="00A620DF">
        <w:t xml:space="preserve">, conforme a las Normas del N°5 </w:t>
      </w:r>
      <w:r w:rsidR="00A620DF" w:rsidRPr="00A620DF">
        <w:t>d</w:t>
      </w:r>
      <w:r w:rsidR="00DE678B" w:rsidRPr="00A620DF">
        <w:t>el Art</w:t>
      </w:r>
      <w:r w:rsidR="00A620DF" w:rsidRPr="00A620DF">
        <w:t>í</w:t>
      </w:r>
      <w:r w:rsidR="00DE678B" w:rsidRPr="00A620DF">
        <w:t xml:space="preserve">culo 31 </w:t>
      </w:r>
      <w:r w:rsidR="00A620DF" w:rsidRPr="00A620DF">
        <w:t>d</w:t>
      </w:r>
      <w:r w:rsidR="00DE678B" w:rsidRPr="00A620DF">
        <w:t xml:space="preserve">e </w:t>
      </w:r>
      <w:r w:rsidR="00A620DF" w:rsidRPr="00A620DF">
        <w:t>l</w:t>
      </w:r>
      <w:r w:rsidR="00DE678B" w:rsidRPr="00A620DF">
        <w:t xml:space="preserve">a Ley </w:t>
      </w:r>
      <w:r w:rsidR="00A620DF" w:rsidRPr="00A620DF">
        <w:t>d</w:t>
      </w:r>
      <w:r w:rsidR="00DE678B" w:rsidRPr="00A620DF">
        <w:t xml:space="preserve">e </w:t>
      </w:r>
      <w:r w:rsidR="00A620DF" w:rsidRPr="00A620DF">
        <w:t>l</w:t>
      </w:r>
      <w:r w:rsidR="00DE678B" w:rsidRPr="00A620DF">
        <w:t xml:space="preserve">a Renta, </w:t>
      </w:r>
      <w:r w:rsidR="00A620DF" w:rsidRPr="00A620DF">
        <w:t>c</w:t>
      </w:r>
      <w:r w:rsidR="00DE678B" w:rsidRPr="00A620DF">
        <w:t xml:space="preserve">ontenida </w:t>
      </w:r>
      <w:r w:rsidR="00A620DF" w:rsidRPr="00A620DF">
        <w:t>e</w:t>
      </w:r>
      <w:r w:rsidR="00DE678B" w:rsidRPr="00A620DF">
        <w:t xml:space="preserve">n </w:t>
      </w:r>
      <w:r w:rsidR="00A620DF" w:rsidRPr="00A620DF">
        <w:t>e</w:t>
      </w:r>
      <w:r w:rsidR="00DE678B" w:rsidRPr="00A620DF">
        <w:t xml:space="preserve">l </w:t>
      </w:r>
      <w:r w:rsidR="00D409FA" w:rsidRPr="00A620DF">
        <w:t>Artículo</w:t>
      </w:r>
      <w:r w:rsidR="00DE678B" w:rsidRPr="00A620DF">
        <w:t xml:space="preserve"> 1° </w:t>
      </w:r>
      <w:r w:rsidR="00A620DF" w:rsidRPr="00A620DF">
        <w:t>d</w:t>
      </w:r>
      <w:r w:rsidR="00DE678B" w:rsidRPr="00A620DF">
        <w:t xml:space="preserve">el D.L. N° 824, </w:t>
      </w:r>
      <w:r w:rsidR="00A620DF" w:rsidRPr="00A620DF">
        <w:t>d</w:t>
      </w:r>
      <w:r w:rsidR="00DE678B" w:rsidRPr="00A620DF">
        <w:t>e 1974.</w:t>
      </w:r>
    </w:p>
    <w:p w14:paraId="29B0A381" w14:textId="4F39D4F0" w:rsidR="004C69DD" w:rsidRDefault="004C69DD" w:rsidP="00103C5D">
      <w:r>
        <w:t>El contenido completo de estas disposiciones se encuentra en el Anexo Normativo</w:t>
      </w:r>
      <w:r w:rsidR="00A25607">
        <w:t xml:space="preserve"> que acompaña a la presente entrega</w:t>
      </w:r>
      <w:r>
        <w:t xml:space="preserve">, con excepción de la Resolución Exenta N°299, que contiene la </w:t>
      </w:r>
      <w:r w:rsidRPr="00103C5D">
        <w:rPr>
          <w:rFonts w:cs="Arial"/>
        </w:rPr>
        <w:t>Norma Técnica de Seguridad y Calidad de Servicio, la que no se ha incluido debido a su extensión.</w:t>
      </w:r>
      <w:r>
        <w:t xml:space="preserve"> </w:t>
      </w:r>
    </w:p>
    <w:p w14:paraId="787D652D" w14:textId="77777777" w:rsidR="00223637" w:rsidRDefault="009F5751" w:rsidP="00B11BEE">
      <w:r>
        <w:t>Aparte de la normativa citada</w:t>
      </w:r>
      <w:r w:rsidR="004C69DD">
        <w:t>, el cumplimiento de los objetivos del estudio requiere de</w:t>
      </w:r>
      <w:r w:rsidR="00E31176">
        <w:t>l</w:t>
      </w:r>
      <w:r w:rsidR="004C69DD">
        <w:t xml:space="preserve"> examen de otra normativa de carácter general</w:t>
      </w:r>
      <w:r w:rsidR="00E31176">
        <w:t xml:space="preserve"> como</w:t>
      </w:r>
      <w:r w:rsidR="00A25607">
        <w:t>, por ejemplo,</w:t>
      </w:r>
      <w:r w:rsidR="00E31176">
        <w:t xml:space="preserve"> el </w:t>
      </w:r>
      <w:r w:rsidR="00A25607" w:rsidRPr="00A25607">
        <w:t>DL N°824, Ley Sobre Impuesto a la Renta</w:t>
      </w:r>
      <w:r w:rsidR="00A25607">
        <w:t xml:space="preserve">. </w:t>
      </w:r>
      <w:r w:rsidR="005C317D">
        <w:t xml:space="preserve">Cuando los desarrollos </w:t>
      </w:r>
      <w:r w:rsidR="00D475CC">
        <w:t xml:space="preserve">exhibidos en </w:t>
      </w:r>
      <w:r w:rsidR="005C317D">
        <w:t xml:space="preserve">el presente estudio han requerido fundarse en normativas generales -en este cuerpo principal o en sus anexos- se ha </w:t>
      </w:r>
      <w:r w:rsidR="00A25607">
        <w:t xml:space="preserve">efectuado una adecuada </w:t>
      </w:r>
      <w:r w:rsidR="005C317D">
        <w:t xml:space="preserve">referencia a la normativa que los sustenta, lo sea citando sus disposiciones y/o presentando el </w:t>
      </w:r>
      <w:r w:rsidR="005C317D" w:rsidRPr="005C317D">
        <w:rPr>
          <w:i/>
          <w:iCs/>
        </w:rPr>
        <w:t>link</w:t>
      </w:r>
      <w:r w:rsidR="005C317D">
        <w:t xml:space="preserve"> co</w:t>
      </w:r>
      <w:r w:rsidR="006B4AFA">
        <w:t>rrespondiente para su acceso y</w:t>
      </w:r>
      <w:r w:rsidR="005C317D">
        <w:t xml:space="preserve"> revisión en </w:t>
      </w:r>
      <w:r w:rsidR="005C317D" w:rsidRPr="005C317D">
        <w:rPr>
          <w:i/>
          <w:iCs/>
        </w:rPr>
        <w:t>internet</w:t>
      </w:r>
      <w:r w:rsidR="005C317D">
        <w:t>.</w:t>
      </w:r>
    </w:p>
    <w:p w14:paraId="65BE660A" w14:textId="2F84BD10" w:rsidR="006E0781" w:rsidRPr="006E0781" w:rsidRDefault="006E0781" w:rsidP="006E0781">
      <w:pPr>
        <w:pStyle w:val="Ttulo1"/>
      </w:pPr>
      <w:bookmarkStart w:id="10" w:name="_Toc39797756"/>
      <w:r w:rsidRPr="006E0781">
        <w:t>D</w:t>
      </w:r>
      <w:r w:rsidR="00E8341C">
        <w:t>escripción del V.A.T.T. y referencias generales a las Bases</w:t>
      </w:r>
      <w:bookmarkEnd w:id="10"/>
    </w:p>
    <w:p w14:paraId="545D86A4" w14:textId="27E86F86" w:rsidR="00D475CC" w:rsidRDefault="00D475CC" w:rsidP="00D475CC">
      <w:pPr>
        <w:rPr>
          <w:rFonts w:cs="Arial"/>
        </w:rPr>
      </w:pPr>
      <w:r>
        <w:rPr>
          <w:rFonts w:cs="Arial"/>
        </w:rPr>
        <w:t xml:space="preserve">El </w:t>
      </w:r>
      <w:r w:rsidRPr="000D2099">
        <w:rPr>
          <w:rFonts w:cs="Arial"/>
        </w:rPr>
        <w:t xml:space="preserve">Estudio </w:t>
      </w:r>
      <w:r>
        <w:rPr>
          <w:rFonts w:cs="Arial"/>
        </w:rPr>
        <w:t>d</w:t>
      </w:r>
      <w:r w:rsidRPr="000D2099">
        <w:rPr>
          <w:rFonts w:cs="Arial"/>
        </w:rPr>
        <w:t xml:space="preserve">e Valorización </w:t>
      </w:r>
      <w:r>
        <w:rPr>
          <w:rFonts w:cs="Arial"/>
        </w:rPr>
        <w:t>d</w:t>
      </w:r>
      <w:r w:rsidRPr="000D2099">
        <w:rPr>
          <w:rFonts w:cs="Arial"/>
        </w:rPr>
        <w:t xml:space="preserve">e </w:t>
      </w:r>
      <w:r>
        <w:rPr>
          <w:rFonts w:cs="Arial"/>
        </w:rPr>
        <w:t>l</w:t>
      </w:r>
      <w:r w:rsidRPr="000D2099">
        <w:rPr>
          <w:rFonts w:cs="Arial"/>
        </w:rPr>
        <w:t xml:space="preserve">as Instalaciones </w:t>
      </w:r>
      <w:r>
        <w:rPr>
          <w:rFonts w:cs="Arial"/>
        </w:rPr>
        <w:t>d</w:t>
      </w:r>
      <w:r w:rsidRPr="000D2099">
        <w:rPr>
          <w:rFonts w:cs="Arial"/>
        </w:rPr>
        <w:t xml:space="preserve">el Sistema </w:t>
      </w:r>
      <w:r>
        <w:rPr>
          <w:rFonts w:cs="Arial"/>
        </w:rPr>
        <w:t>d</w:t>
      </w:r>
      <w:r w:rsidRPr="000D2099">
        <w:rPr>
          <w:rFonts w:cs="Arial"/>
        </w:rPr>
        <w:t>e Transmisión Nacional</w:t>
      </w:r>
      <w:r>
        <w:rPr>
          <w:rFonts w:cs="Arial"/>
        </w:rPr>
        <w:t xml:space="preserve">, debe desarrollarse de conformidad a las disposiciones legales correspondientes, y en particular conforme a lo establecido en la </w:t>
      </w:r>
      <w:r w:rsidRPr="000D2099">
        <w:rPr>
          <w:rFonts w:cs="Arial"/>
        </w:rPr>
        <w:t xml:space="preserve">Resolución Exenta N°380, del 20 de julio de 2017, de la Comisión Nacional de Energía, </w:t>
      </w:r>
      <w:r>
        <w:rPr>
          <w:rFonts w:cs="Arial"/>
        </w:rPr>
        <w:t xml:space="preserve">y en la </w:t>
      </w:r>
      <w:r w:rsidRPr="000D2099">
        <w:rPr>
          <w:rFonts w:cs="Arial"/>
        </w:rPr>
        <w:t>Resolución Exenta N°272 del 26 de abril de 2019, de</w:t>
      </w:r>
      <w:r>
        <w:rPr>
          <w:rFonts w:cs="Arial"/>
        </w:rPr>
        <w:t>l mismo</w:t>
      </w:r>
      <w:r w:rsidRPr="000D2099">
        <w:rPr>
          <w:rFonts w:cs="Arial"/>
        </w:rPr>
        <w:t xml:space="preserve"> </w:t>
      </w:r>
      <w:r>
        <w:rPr>
          <w:rFonts w:cs="Arial"/>
        </w:rPr>
        <w:lastRenderedPageBreak/>
        <w:t>organismo</w:t>
      </w:r>
      <w:r w:rsidRPr="000D2099">
        <w:rPr>
          <w:rFonts w:cs="Arial"/>
        </w:rPr>
        <w:t xml:space="preserve">, que </w:t>
      </w:r>
      <w:r>
        <w:rPr>
          <w:rFonts w:cs="Arial"/>
        </w:rPr>
        <w:t>a</w:t>
      </w:r>
      <w:r w:rsidRPr="000D2099">
        <w:rPr>
          <w:rFonts w:cs="Arial"/>
        </w:rPr>
        <w:t xml:space="preserve">prueba </w:t>
      </w:r>
      <w:r>
        <w:rPr>
          <w:rFonts w:cs="Arial"/>
        </w:rPr>
        <w:t>las b</w:t>
      </w:r>
      <w:r w:rsidRPr="000D2099">
        <w:rPr>
          <w:rFonts w:cs="Arial"/>
        </w:rPr>
        <w:t xml:space="preserve">ases </w:t>
      </w:r>
      <w:r>
        <w:rPr>
          <w:rFonts w:cs="Arial"/>
        </w:rPr>
        <w:t>t</w:t>
      </w:r>
      <w:r w:rsidRPr="000D2099">
        <w:rPr>
          <w:rFonts w:cs="Arial"/>
        </w:rPr>
        <w:t xml:space="preserve">écnicas y </w:t>
      </w:r>
      <w:r>
        <w:rPr>
          <w:rFonts w:cs="Arial"/>
        </w:rPr>
        <w:t>a</w:t>
      </w:r>
      <w:r w:rsidRPr="000D2099">
        <w:rPr>
          <w:rFonts w:cs="Arial"/>
        </w:rPr>
        <w:t xml:space="preserve">dministrativas para la </w:t>
      </w:r>
      <w:r>
        <w:rPr>
          <w:rFonts w:cs="Arial"/>
        </w:rPr>
        <w:t>r</w:t>
      </w:r>
      <w:r w:rsidRPr="000D2099">
        <w:rPr>
          <w:rFonts w:cs="Arial"/>
        </w:rPr>
        <w:t xml:space="preserve">ealización de los </w:t>
      </w:r>
      <w:r>
        <w:rPr>
          <w:rFonts w:cs="Arial"/>
        </w:rPr>
        <w:t>e</w:t>
      </w:r>
      <w:r w:rsidRPr="000D2099">
        <w:rPr>
          <w:rFonts w:cs="Arial"/>
        </w:rPr>
        <w:t xml:space="preserve">studios de </w:t>
      </w:r>
      <w:r>
        <w:rPr>
          <w:rFonts w:cs="Arial"/>
        </w:rPr>
        <w:t>v</w:t>
      </w:r>
      <w:r w:rsidRPr="000D2099">
        <w:rPr>
          <w:rFonts w:cs="Arial"/>
        </w:rPr>
        <w:t>alorización</w:t>
      </w:r>
      <w:r>
        <w:rPr>
          <w:rFonts w:cs="Arial"/>
        </w:rPr>
        <w:t>, las Bases.</w:t>
      </w:r>
    </w:p>
    <w:p w14:paraId="230328D5" w14:textId="77777777" w:rsidR="00D475CC" w:rsidRPr="009A743E" w:rsidRDefault="00D475CC" w:rsidP="009A743E">
      <w:pPr>
        <w:pStyle w:val="Ttulo2"/>
      </w:pPr>
      <w:bookmarkStart w:id="11" w:name="_Toc11152184"/>
      <w:bookmarkStart w:id="12" w:name="_Toc39797757"/>
      <w:r w:rsidRPr="009A743E">
        <w:t>Determinación del V.A.T.T.</w:t>
      </w:r>
      <w:bookmarkEnd w:id="11"/>
      <w:bookmarkEnd w:id="12"/>
    </w:p>
    <w:p w14:paraId="4B423265" w14:textId="7B7017ED" w:rsidR="00D475CC" w:rsidRDefault="00D475CC" w:rsidP="00D475CC">
      <w:pPr>
        <w:rPr>
          <w:rFonts w:cs="Arial"/>
        </w:rPr>
      </w:pPr>
      <w:r>
        <w:rPr>
          <w:rFonts w:cs="Arial"/>
        </w:rPr>
        <w:t xml:space="preserve">Las Bases exponen con detalle los criterios y metodologías para la determinación del V.A.T.T. conforme a los conceptos establecidos en la Ley General de Servicios </w:t>
      </w:r>
      <w:r w:rsidR="00653A58">
        <w:rPr>
          <w:rFonts w:cs="Arial"/>
        </w:rPr>
        <w:t>Eléctricos</w:t>
      </w:r>
      <w:r>
        <w:rPr>
          <w:rFonts w:cs="Arial"/>
        </w:rPr>
        <w:t xml:space="preserve"> (LGSE) y en la Resolución Exenta N°380, añadiendo las precisiones correspondientes.</w:t>
      </w:r>
    </w:p>
    <w:p w14:paraId="45941D50" w14:textId="0EADEE77" w:rsidR="00D475CC" w:rsidRPr="000D2099" w:rsidRDefault="00D475CC" w:rsidP="00D475CC">
      <w:pPr>
        <w:rPr>
          <w:rFonts w:cs="Arial"/>
        </w:rPr>
      </w:pPr>
      <w:r>
        <w:rPr>
          <w:rFonts w:cs="Arial"/>
        </w:rPr>
        <w:t xml:space="preserve">Así, </w:t>
      </w:r>
      <w:r w:rsidR="009D3A63">
        <w:rPr>
          <w:rFonts w:cs="Arial"/>
        </w:rPr>
        <w:t>e</w:t>
      </w:r>
      <w:r>
        <w:rPr>
          <w:rFonts w:cs="Arial"/>
        </w:rPr>
        <w:t>stas señalan que s</w:t>
      </w:r>
      <w:r w:rsidRPr="000D2099">
        <w:rPr>
          <w:rFonts w:cs="Arial"/>
        </w:rPr>
        <w:t>e entenderá por Valor Anual de la Transmisión por Tramo, o V.A.T.T. a la suma de la Anualidad del Valor de Inversión del tramo en estudio (A.V.I.), más los costos anuales de operación, mantenimiento y administración del tramo respectivo (C.O.M.A.), ajustados por los efectos de impuestos a la renta</w:t>
      </w:r>
      <w:r w:rsidRPr="007F3EA7">
        <w:rPr>
          <w:rFonts w:cs="Arial"/>
          <w:vertAlign w:val="superscript"/>
        </w:rPr>
        <w:footnoteReference w:id="8"/>
      </w:r>
      <w:r w:rsidRPr="000D2099">
        <w:rPr>
          <w:rFonts w:cs="Arial"/>
        </w:rPr>
        <w:t>.</w:t>
      </w:r>
    </w:p>
    <w:p w14:paraId="5E3570FC" w14:textId="77777777" w:rsidR="00D475CC" w:rsidRPr="000D2099" w:rsidRDefault="00D475CC" w:rsidP="00D475CC">
      <w:pPr>
        <w:rPr>
          <w:rFonts w:cs="Arial"/>
        </w:rPr>
      </w:pPr>
      <w:r>
        <w:rPr>
          <w:rFonts w:cs="Arial"/>
        </w:rPr>
        <w:t>Conforme las Bases lo señalan, e</w:t>
      </w:r>
      <w:r w:rsidRPr="000D2099">
        <w:rPr>
          <w:rFonts w:cs="Arial"/>
        </w:rPr>
        <w:t>l V.A.T.T. de cada tramo estará compuesto por un conjunto mínimo de instalaciones económicamente identificables, calculado en función de sus características físicas y técnicas valoradas a los precios de mercado vigentes en base a una política de adquisición eficiente, operadas, mantenidas y administradas por una empresa eficiente que opera las instalaciones bajo criterios de eficiencia cumpliendo con la normativa vigente</w:t>
      </w:r>
      <w:r w:rsidRPr="000F77E2">
        <w:rPr>
          <w:rFonts w:cs="Arial"/>
          <w:vertAlign w:val="superscript"/>
        </w:rPr>
        <w:footnoteReference w:id="9"/>
      </w:r>
      <w:r w:rsidRPr="000D2099">
        <w:rPr>
          <w:rFonts w:cs="Arial"/>
        </w:rPr>
        <w:t xml:space="preserve">. </w:t>
      </w:r>
    </w:p>
    <w:p w14:paraId="433C551B" w14:textId="77777777" w:rsidR="00D475CC" w:rsidRPr="000D2099" w:rsidRDefault="00D475CC" w:rsidP="009D3A63">
      <w:pPr>
        <w:spacing w:after="80"/>
        <w:rPr>
          <w:rFonts w:cs="Arial"/>
        </w:rPr>
      </w:pPr>
      <w:r>
        <w:rPr>
          <w:rFonts w:cs="Arial"/>
        </w:rPr>
        <w:t>Las Bases señalan que e</w:t>
      </w:r>
      <w:r w:rsidRPr="000D2099">
        <w:rPr>
          <w:rFonts w:cs="Arial"/>
        </w:rPr>
        <w:t>l conjunto mínimo de instalaciones económicamente identificables de cada tramo del sistema de transmisión a valorizar estará agrupado de acuerdo a la siguiente categorización</w:t>
      </w:r>
      <w:r w:rsidRPr="000F77E2">
        <w:rPr>
          <w:rFonts w:cs="Arial"/>
          <w:vertAlign w:val="superscript"/>
        </w:rPr>
        <w:footnoteReference w:id="10"/>
      </w:r>
      <w:r w:rsidRPr="000D2099">
        <w:rPr>
          <w:rFonts w:cs="Arial"/>
        </w:rPr>
        <w:t>:</w:t>
      </w:r>
    </w:p>
    <w:p w14:paraId="7C99B350" w14:textId="77777777" w:rsidR="00D475CC" w:rsidRPr="00AF71D0" w:rsidRDefault="00D475CC" w:rsidP="00273FE4">
      <w:pPr>
        <w:pStyle w:val="Listanumerada"/>
        <w:numPr>
          <w:ilvl w:val="0"/>
          <w:numId w:val="11"/>
        </w:numPr>
        <w:ind w:left="567" w:hanging="567"/>
      </w:pPr>
      <w:r w:rsidRPr="00AF71D0">
        <w:t>Derechos relacionados con el uso de suelo y medio ambiente;</w:t>
      </w:r>
    </w:p>
    <w:p w14:paraId="2F810158" w14:textId="77777777" w:rsidR="00D475CC" w:rsidRPr="00AF71D0" w:rsidRDefault="00D475CC" w:rsidP="00273FE4">
      <w:pPr>
        <w:pStyle w:val="Listanumerada"/>
        <w:numPr>
          <w:ilvl w:val="0"/>
          <w:numId w:val="11"/>
        </w:numPr>
        <w:ind w:left="567" w:hanging="567"/>
      </w:pPr>
      <w:r w:rsidRPr="00AF71D0">
        <w:t>Obras civiles;</w:t>
      </w:r>
    </w:p>
    <w:p w14:paraId="031D5B6C" w14:textId="77777777" w:rsidR="00D475CC" w:rsidRPr="00AF71D0" w:rsidRDefault="00D475CC" w:rsidP="00273FE4">
      <w:pPr>
        <w:pStyle w:val="Listanumerada"/>
        <w:numPr>
          <w:ilvl w:val="0"/>
          <w:numId w:val="11"/>
        </w:numPr>
        <w:ind w:left="567" w:hanging="567"/>
      </w:pPr>
      <w:r w:rsidRPr="00AF71D0">
        <w:t>Estructuras de líneas y/o subestaciones;</w:t>
      </w:r>
    </w:p>
    <w:p w14:paraId="1848F888" w14:textId="77777777" w:rsidR="00D475CC" w:rsidRPr="00AF71D0" w:rsidRDefault="00D475CC" w:rsidP="00273FE4">
      <w:pPr>
        <w:pStyle w:val="Listanumerada"/>
        <w:numPr>
          <w:ilvl w:val="0"/>
          <w:numId w:val="11"/>
        </w:numPr>
        <w:ind w:left="567" w:hanging="567"/>
      </w:pPr>
      <w:r w:rsidRPr="00AF71D0">
        <w:t>Elementos de sujeción y aislación;</w:t>
      </w:r>
    </w:p>
    <w:p w14:paraId="42733906" w14:textId="77777777" w:rsidR="00D475CC" w:rsidRPr="00AF71D0" w:rsidRDefault="00D475CC" w:rsidP="00273FE4">
      <w:pPr>
        <w:pStyle w:val="Listanumerada"/>
        <w:numPr>
          <w:ilvl w:val="0"/>
          <w:numId w:val="11"/>
        </w:numPr>
        <w:ind w:left="567" w:hanging="567"/>
      </w:pPr>
      <w:r w:rsidRPr="00AF71D0">
        <w:t>Equipamiento electromecánico y electromagnético;</w:t>
      </w:r>
    </w:p>
    <w:p w14:paraId="595F6DD3" w14:textId="77777777" w:rsidR="00D475CC" w:rsidRPr="00AF71D0" w:rsidRDefault="00D475CC" w:rsidP="00273FE4">
      <w:pPr>
        <w:pStyle w:val="Listanumerada"/>
        <w:numPr>
          <w:ilvl w:val="0"/>
          <w:numId w:val="11"/>
        </w:numPr>
        <w:ind w:left="567" w:hanging="567"/>
      </w:pPr>
      <w:r w:rsidRPr="00AF71D0">
        <w:t>Conductores y cable de guardia;</w:t>
      </w:r>
    </w:p>
    <w:p w14:paraId="3D051EE7" w14:textId="77777777" w:rsidR="00D475CC" w:rsidRPr="00AF71D0" w:rsidRDefault="00D475CC" w:rsidP="00273FE4">
      <w:pPr>
        <w:pStyle w:val="Listanumerada"/>
        <w:numPr>
          <w:ilvl w:val="0"/>
          <w:numId w:val="11"/>
        </w:numPr>
        <w:ind w:left="567" w:hanging="567"/>
      </w:pPr>
      <w:r w:rsidRPr="00AF71D0">
        <w:t>Protecciones electromecánicas o electromagnéticas;</w:t>
      </w:r>
    </w:p>
    <w:p w14:paraId="087F694D" w14:textId="77777777" w:rsidR="00D475CC" w:rsidRPr="00AF71D0" w:rsidRDefault="00D475CC" w:rsidP="00273FE4">
      <w:pPr>
        <w:pStyle w:val="Listanumerada"/>
        <w:numPr>
          <w:ilvl w:val="0"/>
          <w:numId w:val="11"/>
        </w:numPr>
        <w:ind w:left="567" w:hanging="567"/>
      </w:pPr>
      <w:r w:rsidRPr="00AF71D0">
        <w:t>Protecciones digitales;</w:t>
      </w:r>
    </w:p>
    <w:p w14:paraId="1AF7593C" w14:textId="08D76082" w:rsidR="00D475CC" w:rsidRPr="00AF71D0" w:rsidRDefault="00D475CC" w:rsidP="00273FE4">
      <w:pPr>
        <w:pStyle w:val="Listanumerada"/>
        <w:numPr>
          <w:ilvl w:val="0"/>
          <w:numId w:val="11"/>
        </w:numPr>
        <w:ind w:left="567" w:hanging="567"/>
      </w:pPr>
      <w:r w:rsidRPr="00AF71D0">
        <w:lastRenderedPageBreak/>
        <w:t xml:space="preserve">Equipos de control, </w:t>
      </w:r>
      <w:r w:rsidR="00653A58">
        <w:t>telecomando</w:t>
      </w:r>
      <w:r w:rsidRPr="00AF71D0">
        <w:t>, medición y comunicaciones;</w:t>
      </w:r>
    </w:p>
    <w:p w14:paraId="1E27175C" w14:textId="77777777" w:rsidR="00D475CC" w:rsidRPr="00AF71D0" w:rsidRDefault="00D475CC" w:rsidP="00273FE4">
      <w:pPr>
        <w:pStyle w:val="Listanumerada"/>
        <w:numPr>
          <w:ilvl w:val="0"/>
          <w:numId w:val="11"/>
        </w:numPr>
        <w:ind w:left="567" w:hanging="567"/>
      </w:pPr>
      <w:r w:rsidRPr="00AF71D0">
        <w:t>Otros elementos secundarios de subestación o radioestaciones;</w:t>
      </w:r>
    </w:p>
    <w:p w14:paraId="5CB7DF9D" w14:textId="77777777" w:rsidR="00D475CC" w:rsidRPr="00AF71D0" w:rsidRDefault="00D475CC" w:rsidP="00893C83">
      <w:pPr>
        <w:pStyle w:val="Listanumerada"/>
        <w:ind w:left="567" w:hanging="567"/>
      </w:pPr>
      <w:r w:rsidRPr="00AF71D0">
        <w:t>Bienes inmuebles distintos a los terrenos;</w:t>
      </w:r>
    </w:p>
    <w:p w14:paraId="150A76E9" w14:textId="77777777" w:rsidR="00D475CC" w:rsidRPr="00AF71D0" w:rsidRDefault="00D475CC" w:rsidP="00893C83">
      <w:pPr>
        <w:pStyle w:val="Listanumerada"/>
        <w:ind w:left="567" w:hanging="567"/>
      </w:pPr>
      <w:r w:rsidRPr="00AF71D0">
        <w:t>Equipamiento de operación y mantenimiento no fungible;</w:t>
      </w:r>
    </w:p>
    <w:p w14:paraId="4D807933" w14:textId="77777777" w:rsidR="00D475CC" w:rsidRPr="00AF71D0" w:rsidRDefault="00D475CC" w:rsidP="00893C83">
      <w:pPr>
        <w:pStyle w:val="Listanumerada"/>
        <w:ind w:left="567" w:hanging="567"/>
      </w:pPr>
      <w:r w:rsidRPr="00AF71D0">
        <w:t>Equipamiento de oficina no fungible;</w:t>
      </w:r>
    </w:p>
    <w:p w14:paraId="54B667FA" w14:textId="77777777" w:rsidR="00D475CC" w:rsidRPr="00AF71D0" w:rsidRDefault="00D475CC" w:rsidP="00893C83">
      <w:pPr>
        <w:pStyle w:val="Listanumerada"/>
        <w:ind w:left="567" w:hanging="567"/>
      </w:pPr>
      <w:r w:rsidRPr="00AF71D0">
        <w:t>Equipamiento computacional; y</w:t>
      </w:r>
    </w:p>
    <w:p w14:paraId="74BFC27A" w14:textId="5D7122A2" w:rsidR="00D475CC" w:rsidRPr="00AF71D0" w:rsidRDefault="00D475CC" w:rsidP="009D3A63">
      <w:pPr>
        <w:pStyle w:val="Listanumerada"/>
        <w:spacing w:after="200"/>
        <w:ind w:left="567" w:hanging="567"/>
      </w:pPr>
      <w:r w:rsidRPr="00AF71D0">
        <w:t>Vehículos.</w:t>
      </w:r>
    </w:p>
    <w:p w14:paraId="7B94A84B" w14:textId="4074D737" w:rsidR="00D475CC" w:rsidRPr="000D2099" w:rsidRDefault="00D475CC" w:rsidP="00D475CC">
      <w:pPr>
        <w:rPr>
          <w:rFonts w:cs="Arial"/>
        </w:rPr>
      </w:pPr>
      <w:r>
        <w:rPr>
          <w:rFonts w:cs="Arial"/>
        </w:rPr>
        <w:t>Por su parte, y r</w:t>
      </w:r>
      <w:r w:rsidRPr="000D2099">
        <w:rPr>
          <w:rFonts w:cs="Arial"/>
        </w:rPr>
        <w:t>especto a los costos de operación, manten</w:t>
      </w:r>
      <w:r w:rsidR="00893C83">
        <w:rPr>
          <w:rFonts w:cs="Arial"/>
        </w:rPr>
        <w:t>imiento</w:t>
      </w:r>
      <w:r w:rsidRPr="000D2099">
        <w:rPr>
          <w:rFonts w:cs="Arial"/>
        </w:rPr>
        <w:t xml:space="preserve"> y administración (C.O.M.A.), </w:t>
      </w:r>
      <w:r>
        <w:rPr>
          <w:rFonts w:cs="Arial"/>
        </w:rPr>
        <w:t>las Bases indican</w:t>
      </w:r>
      <w:r w:rsidRPr="000D2099">
        <w:rPr>
          <w:rFonts w:cs="Arial"/>
        </w:rPr>
        <w:t xml:space="preserve"> </w:t>
      </w:r>
      <w:r>
        <w:rPr>
          <w:rFonts w:cs="Arial"/>
        </w:rPr>
        <w:t xml:space="preserve">que </w:t>
      </w:r>
      <w:r w:rsidRPr="000D2099">
        <w:rPr>
          <w:rFonts w:cs="Arial"/>
        </w:rPr>
        <w:t xml:space="preserve">estos valores </w:t>
      </w:r>
      <w:r>
        <w:rPr>
          <w:rFonts w:cs="Arial"/>
        </w:rPr>
        <w:t>s</w:t>
      </w:r>
      <w:r w:rsidRPr="000D2099">
        <w:rPr>
          <w:rFonts w:cs="Arial"/>
        </w:rPr>
        <w:t>e establecerán para cada segmento de los sistemas de transmisión señalados en el artículo 100° de la L</w:t>
      </w:r>
      <w:r>
        <w:rPr>
          <w:rFonts w:cs="Arial"/>
        </w:rPr>
        <w:t>GSE</w:t>
      </w:r>
      <w:r w:rsidRPr="000D2099">
        <w:rPr>
          <w:rFonts w:cs="Arial"/>
        </w:rPr>
        <w:t xml:space="preserve"> y para cada sistema de transmisión zonal, conforme a las consideraciones y metodologías que </w:t>
      </w:r>
      <w:r>
        <w:rPr>
          <w:rFonts w:cs="Arial"/>
        </w:rPr>
        <w:t>ellas mismas</w:t>
      </w:r>
      <w:r w:rsidRPr="000D2099">
        <w:rPr>
          <w:rFonts w:cs="Arial"/>
        </w:rPr>
        <w:t xml:space="preserve"> establecen</w:t>
      </w:r>
      <w:r w:rsidRPr="000F77E2">
        <w:rPr>
          <w:rFonts w:cs="Arial"/>
          <w:vertAlign w:val="superscript"/>
        </w:rPr>
        <w:footnoteReference w:id="11"/>
      </w:r>
      <w:r w:rsidRPr="000D2099">
        <w:rPr>
          <w:rFonts w:cs="Arial"/>
        </w:rPr>
        <w:t>.</w:t>
      </w:r>
    </w:p>
    <w:p w14:paraId="11094DB2" w14:textId="62417DD2" w:rsidR="00D475CC" w:rsidRPr="000D2099" w:rsidRDefault="00D475CC" w:rsidP="00D475CC">
      <w:pPr>
        <w:rPr>
          <w:rFonts w:cs="Arial"/>
        </w:rPr>
      </w:pPr>
      <w:r>
        <w:rPr>
          <w:rFonts w:cs="Arial"/>
        </w:rPr>
        <w:t>En relación a l</w:t>
      </w:r>
      <w:r w:rsidRPr="000D2099">
        <w:rPr>
          <w:rFonts w:cs="Arial"/>
        </w:rPr>
        <w:t>os costos anuales de inversión</w:t>
      </w:r>
      <w:r>
        <w:rPr>
          <w:rFonts w:cs="Arial"/>
        </w:rPr>
        <w:t>, las Bases establecen que los mismos</w:t>
      </w:r>
      <w:r w:rsidRPr="000D2099">
        <w:rPr>
          <w:rFonts w:cs="Arial"/>
        </w:rPr>
        <w:t xml:space="preserve"> se determinarán como la suma de las anualidades de inversión de cada instalación e infraestructura que conforman el V</w:t>
      </w:r>
      <w:r>
        <w:rPr>
          <w:rFonts w:cs="Arial"/>
        </w:rPr>
        <w:t>.</w:t>
      </w:r>
      <w:r w:rsidRPr="000D2099">
        <w:rPr>
          <w:rFonts w:cs="Arial"/>
        </w:rPr>
        <w:t>I</w:t>
      </w:r>
      <w:r>
        <w:rPr>
          <w:rFonts w:cs="Arial"/>
        </w:rPr>
        <w:t>.</w:t>
      </w:r>
      <w:r w:rsidRPr="000D2099">
        <w:rPr>
          <w:rFonts w:cs="Arial"/>
        </w:rPr>
        <w:t xml:space="preserve"> del sistema de transmisión. Para su determinación </w:t>
      </w:r>
      <w:r>
        <w:rPr>
          <w:rFonts w:cs="Arial"/>
        </w:rPr>
        <w:t>debe utilizarse</w:t>
      </w:r>
      <w:r w:rsidRPr="000D2099">
        <w:rPr>
          <w:rFonts w:cs="Arial"/>
        </w:rPr>
        <w:t xml:space="preserve"> la tasa de descuento determinada de acuerdo a lo establecido en el artículo 119° de la L</w:t>
      </w:r>
      <w:r>
        <w:rPr>
          <w:rFonts w:cs="Arial"/>
        </w:rPr>
        <w:t>GSE</w:t>
      </w:r>
      <w:r w:rsidRPr="000D2099">
        <w:rPr>
          <w:rFonts w:cs="Arial"/>
        </w:rPr>
        <w:t>, y las respectivas vidas útiles,</w:t>
      </w:r>
      <w:r w:rsidR="00893C83">
        <w:rPr>
          <w:rFonts w:cs="Arial"/>
        </w:rPr>
        <w:t xml:space="preserve"> </w:t>
      </w:r>
      <w:r w:rsidRPr="000D2099">
        <w:rPr>
          <w:rFonts w:cs="Arial"/>
        </w:rPr>
        <w:t>establecidas en años, de las componentes de inversión, conforme se estable</w:t>
      </w:r>
      <w:r>
        <w:rPr>
          <w:rFonts w:cs="Arial"/>
        </w:rPr>
        <w:t>ce</w:t>
      </w:r>
      <w:r w:rsidRPr="000D2099">
        <w:rPr>
          <w:rFonts w:cs="Arial"/>
        </w:rPr>
        <w:t xml:space="preserve"> en el Informe Técnico Definitivo de Vida Útil de las instalaciones establecido en el artículo 104° de la Ley</w:t>
      </w:r>
      <w:r w:rsidRPr="000F77E2">
        <w:rPr>
          <w:rFonts w:cs="Arial"/>
          <w:vertAlign w:val="superscript"/>
        </w:rPr>
        <w:footnoteReference w:id="12"/>
      </w:r>
      <w:r w:rsidRPr="000D2099">
        <w:rPr>
          <w:rFonts w:cs="Arial"/>
        </w:rPr>
        <w:t xml:space="preserve">. </w:t>
      </w:r>
    </w:p>
    <w:p w14:paraId="2CF6504D" w14:textId="77777777" w:rsidR="00D475CC" w:rsidRPr="000D2099" w:rsidRDefault="00D475CC" w:rsidP="00D475CC">
      <w:pPr>
        <w:rPr>
          <w:rFonts w:cs="Arial"/>
        </w:rPr>
      </w:pPr>
      <w:r w:rsidRPr="000D2099">
        <w:rPr>
          <w:rFonts w:cs="Arial"/>
        </w:rPr>
        <w:t xml:space="preserve">Para efectos de los </w:t>
      </w:r>
      <w:r>
        <w:rPr>
          <w:rFonts w:cs="Arial"/>
        </w:rPr>
        <w:t>e</w:t>
      </w:r>
      <w:r w:rsidRPr="000D2099">
        <w:rPr>
          <w:rFonts w:cs="Arial"/>
        </w:rPr>
        <w:t xml:space="preserve">studios, </w:t>
      </w:r>
      <w:r>
        <w:rPr>
          <w:rFonts w:cs="Arial"/>
        </w:rPr>
        <w:t xml:space="preserve">las Bases </w:t>
      </w:r>
      <w:r w:rsidRPr="000D2099">
        <w:rPr>
          <w:rFonts w:cs="Arial"/>
        </w:rPr>
        <w:t>define</w:t>
      </w:r>
      <w:r>
        <w:rPr>
          <w:rFonts w:cs="Arial"/>
        </w:rPr>
        <w:t>n</w:t>
      </w:r>
      <w:r w:rsidRPr="000D2099">
        <w:rPr>
          <w:rFonts w:cs="Arial"/>
        </w:rPr>
        <w:t xml:space="preserve"> el V.I. como la suma de los costos de adquisición e instalación eficientes de sus componentes y equipos, de acuerdo con valores de mercado, incluyendo fletes, bodegaje, montaje, ingeniería, gastos generales, intereses intercalarios, los derechos relacionados con el uso del suelo y medio ambiente, los bienes intangibles y el capital de explotación</w:t>
      </w:r>
      <w:r w:rsidRPr="00D4470A">
        <w:rPr>
          <w:rFonts w:cs="Arial"/>
          <w:vertAlign w:val="superscript"/>
        </w:rPr>
        <w:footnoteReference w:id="13"/>
      </w:r>
      <w:r w:rsidRPr="000D2099">
        <w:rPr>
          <w:rFonts w:cs="Arial"/>
        </w:rPr>
        <w:t>.</w:t>
      </w:r>
    </w:p>
    <w:p w14:paraId="00735B04" w14:textId="77777777" w:rsidR="00D475CC" w:rsidRPr="00103C5D" w:rsidRDefault="00D475CC" w:rsidP="00103C5D">
      <w:pPr>
        <w:pStyle w:val="Ttulo2"/>
      </w:pPr>
      <w:bookmarkStart w:id="13" w:name="_Toc11152185"/>
      <w:bookmarkStart w:id="14" w:name="_Toc39797758"/>
      <w:r w:rsidRPr="00103C5D">
        <w:t>Moneda, Nivel de Precios y Año Base</w:t>
      </w:r>
      <w:bookmarkEnd w:id="13"/>
      <w:bookmarkEnd w:id="14"/>
    </w:p>
    <w:p w14:paraId="64774F0A" w14:textId="77777777" w:rsidR="00D475CC" w:rsidRPr="000D2099" w:rsidRDefault="00D475CC" w:rsidP="00D475CC">
      <w:pPr>
        <w:rPr>
          <w:rFonts w:cs="Arial"/>
        </w:rPr>
      </w:pPr>
      <w:r>
        <w:rPr>
          <w:rFonts w:cs="Arial"/>
        </w:rPr>
        <w:t>Las Bases establecen que t</w:t>
      </w:r>
      <w:r w:rsidRPr="000D2099">
        <w:rPr>
          <w:rFonts w:cs="Arial"/>
        </w:rPr>
        <w:t xml:space="preserve">odos los costos y precios relacionados con los </w:t>
      </w:r>
      <w:r>
        <w:rPr>
          <w:rFonts w:cs="Arial"/>
        </w:rPr>
        <w:t>estudios de valorización</w:t>
      </w:r>
      <w:r w:rsidRPr="000D2099">
        <w:rPr>
          <w:rFonts w:cs="Arial"/>
        </w:rPr>
        <w:t xml:space="preserve">, utilizados tanto en los resultados finales como en las etapas intermedias, deberán expresarse en </w:t>
      </w:r>
      <w:r w:rsidRPr="000D2099">
        <w:rPr>
          <w:rFonts w:cs="Arial"/>
        </w:rPr>
        <w:lastRenderedPageBreak/>
        <w:t xml:space="preserve">dólares de Estados Unidos de América. Particularmente para referir los valores de componentes nacionales, originalmente expresados en pesos, </w:t>
      </w:r>
      <w:r>
        <w:rPr>
          <w:rFonts w:cs="Arial"/>
        </w:rPr>
        <w:t xml:space="preserve">las Bases indican que </w:t>
      </w:r>
      <w:r w:rsidRPr="000D2099">
        <w:rPr>
          <w:rFonts w:cs="Arial"/>
        </w:rPr>
        <w:t xml:space="preserve">se deberá considerar su valor al 31 de diciembre de 2017 y posteriormente su equivalencia en dólares, utilizando para ello el valor promedio mensual del dólar observado publicado por el Banco Central para el mes de diciembre de 2017. Por su parte, para referir los valores de componentes en otras monedas, </w:t>
      </w:r>
      <w:r>
        <w:rPr>
          <w:rFonts w:cs="Arial"/>
        </w:rPr>
        <w:t xml:space="preserve">las Bases señalan que </w:t>
      </w:r>
      <w:r w:rsidRPr="000D2099">
        <w:rPr>
          <w:rFonts w:cs="Arial"/>
        </w:rPr>
        <w:t>se deberá considerar su valor al 31 de diciembre de 2017 y posteriormente su equivalencia en dólares, utilizando la tasa de cambio promedio para el mes de diciembre de 2017 correspondiente</w:t>
      </w:r>
      <w:r w:rsidRPr="00F942CE">
        <w:rPr>
          <w:rFonts w:cs="Arial"/>
          <w:vertAlign w:val="superscript"/>
        </w:rPr>
        <w:footnoteReference w:id="14"/>
      </w:r>
      <w:r w:rsidRPr="000D2099">
        <w:rPr>
          <w:rFonts w:cs="Arial"/>
        </w:rPr>
        <w:t>.</w:t>
      </w:r>
    </w:p>
    <w:p w14:paraId="50202161" w14:textId="77777777" w:rsidR="00D475CC" w:rsidRPr="000D2099" w:rsidRDefault="00D475CC" w:rsidP="00D475CC">
      <w:pPr>
        <w:rPr>
          <w:rFonts w:cs="Arial"/>
        </w:rPr>
      </w:pPr>
      <w:r>
        <w:rPr>
          <w:rFonts w:cs="Arial"/>
        </w:rPr>
        <w:t>Respecto a l</w:t>
      </w:r>
      <w:r w:rsidRPr="000D2099">
        <w:rPr>
          <w:rFonts w:cs="Arial"/>
        </w:rPr>
        <w:t>as componentes del V.A.T.T. de cada tramo</w:t>
      </w:r>
      <w:r>
        <w:rPr>
          <w:rFonts w:cs="Arial"/>
        </w:rPr>
        <w:t>, las Bases indican que éstos</w:t>
      </w:r>
      <w:r w:rsidRPr="000D2099">
        <w:rPr>
          <w:rFonts w:cs="Arial"/>
        </w:rPr>
        <w:t xml:space="preserve"> se establecerán conforme al valor actualizado de los costos anuales de inversión, operación, mantención y administración para el año base de los </w:t>
      </w:r>
      <w:r>
        <w:rPr>
          <w:rFonts w:cs="Arial"/>
        </w:rPr>
        <w:t>e</w:t>
      </w:r>
      <w:r w:rsidRPr="000D2099">
        <w:rPr>
          <w:rFonts w:cs="Arial"/>
        </w:rPr>
        <w:t>studios, entendiéndose por este el año 2017</w:t>
      </w:r>
      <w:r>
        <w:rPr>
          <w:rFonts w:cs="Arial"/>
        </w:rPr>
        <w:t>, y que</w:t>
      </w:r>
      <w:r w:rsidRPr="000D2099">
        <w:rPr>
          <w:rFonts w:cs="Arial"/>
        </w:rPr>
        <w:t xml:space="preserve"> </w:t>
      </w:r>
      <w:r>
        <w:rPr>
          <w:rFonts w:cs="Arial"/>
        </w:rPr>
        <w:t>p</w:t>
      </w:r>
      <w:r w:rsidRPr="000D2099">
        <w:rPr>
          <w:rFonts w:cs="Arial"/>
        </w:rPr>
        <w:t xml:space="preserve">ara efectos del desarrollo de los </w:t>
      </w:r>
      <w:r>
        <w:rPr>
          <w:rFonts w:cs="Arial"/>
        </w:rPr>
        <w:t>estudios</w:t>
      </w:r>
      <w:r w:rsidRPr="000D2099">
        <w:rPr>
          <w:rFonts w:cs="Arial"/>
        </w:rPr>
        <w:t xml:space="preserve"> se considerarán las instalaciones de transmisión puestas en servicio hasta el 31 de diciembre de 2017</w:t>
      </w:r>
      <w:r w:rsidRPr="00CB58CF">
        <w:rPr>
          <w:rFonts w:cs="Arial"/>
          <w:vertAlign w:val="superscript"/>
        </w:rPr>
        <w:footnoteReference w:id="15"/>
      </w:r>
      <w:r>
        <w:rPr>
          <w:rFonts w:cs="Arial"/>
        </w:rPr>
        <w:t>.</w:t>
      </w:r>
    </w:p>
    <w:p w14:paraId="7BAD5702" w14:textId="77777777" w:rsidR="00D475CC" w:rsidRDefault="00D475CC" w:rsidP="00D475CC">
      <w:pPr>
        <w:rPr>
          <w:rFonts w:cs="Arial"/>
        </w:rPr>
      </w:pPr>
      <w:r>
        <w:rPr>
          <w:rFonts w:cs="Arial"/>
        </w:rPr>
        <w:t>Finalmente, las Bases precisan que l</w:t>
      </w:r>
      <w:r w:rsidRPr="000D2099">
        <w:rPr>
          <w:rFonts w:cs="Arial"/>
        </w:rPr>
        <w:t>os cálculos no debe</w:t>
      </w:r>
      <w:r>
        <w:rPr>
          <w:rFonts w:cs="Arial"/>
        </w:rPr>
        <w:t>n</w:t>
      </w:r>
      <w:r w:rsidRPr="000D2099">
        <w:rPr>
          <w:rFonts w:cs="Arial"/>
        </w:rPr>
        <w:t xml:space="preserve"> incluir el Impuesto al Valor Agregado (IVA)</w:t>
      </w:r>
      <w:r w:rsidRPr="00F942CE">
        <w:rPr>
          <w:rFonts w:cs="Arial"/>
          <w:vertAlign w:val="superscript"/>
        </w:rPr>
        <w:footnoteReference w:id="16"/>
      </w:r>
      <w:r w:rsidRPr="000D2099">
        <w:rPr>
          <w:rFonts w:cs="Arial"/>
        </w:rPr>
        <w:t>.</w:t>
      </w:r>
    </w:p>
    <w:p w14:paraId="43EFE096" w14:textId="77777777" w:rsidR="00D475CC" w:rsidRPr="000D2099" w:rsidRDefault="00D475CC" w:rsidP="0070692B">
      <w:pPr>
        <w:rPr>
          <w:rFonts w:cs="Arial"/>
        </w:rPr>
      </w:pPr>
      <w:r>
        <w:rPr>
          <w:rFonts w:cs="Arial"/>
        </w:rPr>
        <w:t>En los puntos que siguen se describe la metodología</w:t>
      </w:r>
      <w:r w:rsidR="00961FBA">
        <w:rPr>
          <w:rFonts w:cs="Arial"/>
        </w:rPr>
        <w:t>,</w:t>
      </w:r>
      <w:r>
        <w:rPr>
          <w:rFonts w:cs="Arial"/>
        </w:rPr>
        <w:t xml:space="preserve"> criterios </w:t>
      </w:r>
      <w:r w:rsidR="00961FBA">
        <w:rPr>
          <w:rFonts w:cs="Arial"/>
        </w:rPr>
        <w:t xml:space="preserve">y resultados preliminares </w:t>
      </w:r>
      <w:r>
        <w:rPr>
          <w:rFonts w:cs="Arial"/>
        </w:rPr>
        <w:t>de</w:t>
      </w:r>
      <w:r w:rsidR="00961FBA">
        <w:rPr>
          <w:rFonts w:cs="Arial"/>
        </w:rPr>
        <w:t>l</w:t>
      </w:r>
      <w:r>
        <w:rPr>
          <w:rFonts w:cs="Arial"/>
        </w:rPr>
        <w:t xml:space="preserve"> trabajo </w:t>
      </w:r>
      <w:r w:rsidR="00961FBA">
        <w:rPr>
          <w:rFonts w:cs="Arial"/>
        </w:rPr>
        <w:t>desarrollados y obtenidos</w:t>
      </w:r>
      <w:r>
        <w:rPr>
          <w:rFonts w:cs="Arial"/>
        </w:rPr>
        <w:t xml:space="preserve"> </w:t>
      </w:r>
      <w:r w:rsidR="00961FBA">
        <w:rPr>
          <w:rFonts w:cs="Arial"/>
        </w:rPr>
        <w:t xml:space="preserve">por el Consultor para </w:t>
      </w:r>
      <w:r>
        <w:rPr>
          <w:rFonts w:cs="Arial"/>
        </w:rPr>
        <w:t xml:space="preserve">el </w:t>
      </w:r>
      <w:r w:rsidRPr="00E0375F">
        <w:rPr>
          <w:rFonts w:cs="Arial"/>
        </w:rPr>
        <w:t xml:space="preserve">Estudio </w:t>
      </w:r>
      <w:r>
        <w:rPr>
          <w:rFonts w:cs="Arial"/>
        </w:rPr>
        <w:t>d</w:t>
      </w:r>
      <w:r w:rsidRPr="00E0375F">
        <w:rPr>
          <w:rFonts w:cs="Arial"/>
        </w:rPr>
        <w:t xml:space="preserve">e Valorización </w:t>
      </w:r>
      <w:r>
        <w:rPr>
          <w:rFonts w:cs="Arial"/>
        </w:rPr>
        <w:t>d</w:t>
      </w:r>
      <w:r w:rsidRPr="00E0375F">
        <w:rPr>
          <w:rFonts w:cs="Arial"/>
        </w:rPr>
        <w:t xml:space="preserve">e </w:t>
      </w:r>
      <w:r>
        <w:rPr>
          <w:rFonts w:cs="Arial"/>
        </w:rPr>
        <w:t>l</w:t>
      </w:r>
      <w:r w:rsidRPr="00E0375F">
        <w:rPr>
          <w:rFonts w:cs="Arial"/>
        </w:rPr>
        <w:t xml:space="preserve">as </w:t>
      </w:r>
      <w:r>
        <w:rPr>
          <w:rFonts w:cs="Arial"/>
        </w:rPr>
        <w:t>I</w:t>
      </w:r>
      <w:r w:rsidRPr="00E0375F">
        <w:rPr>
          <w:rFonts w:cs="Arial"/>
        </w:rPr>
        <w:t xml:space="preserve">nstalaciones </w:t>
      </w:r>
      <w:r>
        <w:rPr>
          <w:rFonts w:cs="Arial"/>
        </w:rPr>
        <w:t>d</w:t>
      </w:r>
      <w:r w:rsidRPr="00E0375F">
        <w:rPr>
          <w:rFonts w:cs="Arial"/>
        </w:rPr>
        <w:t xml:space="preserve">el Sistema </w:t>
      </w:r>
      <w:r>
        <w:rPr>
          <w:rFonts w:cs="Arial"/>
        </w:rPr>
        <w:t>d</w:t>
      </w:r>
      <w:r w:rsidRPr="00E0375F">
        <w:rPr>
          <w:rFonts w:cs="Arial"/>
        </w:rPr>
        <w:t>e Transmisión Nacional</w:t>
      </w:r>
      <w:r>
        <w:rPr>
          <w:rFonts w:cs="Arial"/>
        </w:rPr>
        <w:t>, los que se han concebido para cumplir a cabalidad los objetivos del estudio en cumplimiento de las disposiciones legales, las disposiciones de la Resolución Exenta N°380, y lo estipulado en las Bases.</w:t>
      </w:r>
    </w:p>
    <w:p w14:paraId="6487B3E1" w14:textId="625D0790" w:rsidR="00930F4D" w:rsidRDefault="00930F4D" w:rsidP="0070692B">
      <w:pPr>
        <w:pStyle w:val="Ttulo1"/>
      </w:pPr>
      <w:bookmarkStart w:id="15" w:name="_Toc39797759"/>
      <w:r w:rsidRPr="00930F4D">
        <w:t>M</w:t>
      </w:r>
      <w:r w:rsidR="00E8341C">
        <w:t>etodología aplicada</w:t>
      </w:r>
      <w:bookmarkEnd w:id="15"/>
    </w:p>
    <w:p w14:paraId="16CC0279" w14:textId="77777777" w:rsidR="004102B7" w:rsidRDefault="004102B7" w:rsidP="0070692B">
      <w:r>
        <w:t>Descripción general de la metodología aplicada y las actividades y fases seguidas en el estudio.</w:t>
      </w:r>
      <w:r w:rsidRPr="00097472">
        <w:t xml:space="preserve"> </w:t>
      </w:r>
    </w:p>
    <w:p w14:paraId="2B879AC0" w14:textId="77777777" w:rsidR="004102B7" w:rsidRPr="006F774C" w:rsidRDefault="004102B7" w:rsidP="006F774C">
      <w:pPr>
        <w:pStyle w:val="Ttulo2"/>
      </w:pPr>
      <w:bookmarkStart w:id="16" w:name="_Toc38016466"/>
      <w:bookmarkStart w:id="17" w:name="_Toc39797760"/>
      <w:r w:rsidRPr="006F774C">
        <w:t>Metodología aplicada a la determinación del V.I.</w:t>
      </w:r>
      <w:bookmarkEnd w:id="16"/>
      <w:bookmarkEnd w:id="17"/>
    </w:p>
    <w:p w14:paraId="3832083D" w14:textId="77777777" w:rsidR="003501B7" w:rsidRDefault="003501B7" w:rsidP="003501B7">
      <w:r>
        <w:t>El V.I. se ha calculado como la suma de los costos de adquisición e instalación eficientes de cada instalación e infraestructura que conforman el Sistema de Transmisión Nacional (STN).</w:t>
      </w:r>
    </w:p>
    <w:p w14:paraId="7272E2D9" w14:textId="77777777" w:rsidR="003501B7" w:rsidRDefault="003501B7" w:rsidP="003501B7">
      <w:r>
        <w:lastRenderedPageBreak/>
        <w:t>En los costos señalados, que se han valorizado con valores de mercado, se incluye fletes, bodegaje, montaje, ingeniería, gastos generales, intereses intercalarios, los derechos relacionados con el uso del suelo y medio ambiente, los bienes intangibles y el capital de explotación.</w:t>
      </w:r>
    </w:p>
    <w:p w14:paraId="3C75A51B" w14:textId="77777777" w:rsidR="003501B7" w:rsidRDefault="003501B7" w:rsidP="003501B7">
      <w:r>
        <w:t>Todos los precios de los equipos y materiales de instalaciones o de infraestructura están expresados en dólares de acuerdo a lo establecido en el punto 1 del CAPÍTULO II de las Bases del Estudio. Los cálculos no incluyen el Impuesto al Valor Agregado (IVA).</w:t>
      </w:r>
    </w:p>
    <w:p w14:paraId="084BC378" w14:textId="77777777" w:rsidR="003501B7" w:rsidRDefault="003501B7" w:rsidP="003501B7">
      <w:r>
        <w:t>Las instalaciones a las cuales debe determinárseles el VI, se establecen en la Resolución Exenta Nº 244 de la Comisión Nacional de energía, de fecha 9 de abril de 2019, que aprueba el “Informe Técnico Definitivo de Calificación de Instalaciones de los Sistemas de Transmisión para el Período 2020-2023”. En el punto 3.1 de la misma se indican los tramos de subestación y de transporte del Sistema de Transmisión Nacional, cuya cantidad total es la siguiente:</w:t>
      </w:r>
    </w:p>
    <w:tbl>
      <w:tblPr>
        <w:tblW w:w="0" w:type="auto"/>
        <w:jc w:val="center"/>
        <w:tblLayout w:type="fixed"/>
        <w:tblCellMar>
          <w:left w:w="0" w:type="dxa"/>
          <w:right w:w="0" w:type="dxa"/>
        </w:tblCellMar>
        <w:tblLook w:val="04A0" w:firstRow="1" w:lastRow="0" w:firstColumn="1" w:lastColumn="0" w:noHBand="0" w:noVBand="1"/>
      </w:tblPr>
      <w:tblGrid>
        <w:gridCol w:w="3402"/>
        <w:gridCol w:w="1134"/>
      </w:tblGrid>
      <w:tr w:rsidR="003501B7" w:rsidRPr="002C2818" w14:paraId="25DBE8F0" w14:textId="77777777" w:rsidTr="006B5A62">
        <w:trPr>
          <w:jc w:val="center"/>
        </w:trPr>
        <w:tc>
          <w:tcPr>
            <w:tcW w:w="3402" w:type="dxa"/>
            <w:tcBorders>
              <w:top w:val="nil"/>
              <w:left w:val="nil"/>
              <w:bottom w:val="nil"/>
              <w:right w:val="nil"/>
            </w:tcBorders>
            <w:shd w:val="clear" w:color="auto" w:fill="auto"/>
            <w:noWrap/>
            <w:vAlign w:val="center"/>
          </w:tcPr>
          <w:p w14:paraId="5D969115" w14:textId="77777777" w:rsidR="003501B7" w:rsidRPr="002C2818" w:rsidRDefault="003501B7" w:rsidP="006B5A62">
            <w:pPr>
              <w:spacing w:after="0"/>
            </w:pPr>
            <w:r w:rsidRPr="002C2818">
              <w:t>T</w:t>
            </w:r>
            <w:r>
              <w:t>ramos de subestación</w:t>
            </w:r>
          </w:p>
        </w:tc>
        <w:tc>
          <w:tcPr>
            <w:tcW w:w="1134" w:type="dxa"/>
            <w:tcBorders>
              <w:top w:val="nil"/>
              <w:left w:val="nil"/>
              <w:bottom w:val="nil"/>
              <w:right w:val="nil"/>
            </w:tcBorders>
            <w:shd w:val="clear" w:color="auto" w:fill="auto"/>
            <w:noWrap/>
            <w:vAlign w:val="center"/>
          </w:tcPr>
          <w:p w14:paraId="7448BF32" w14:textId="77777777" w:rsidR="003501B7" w:rsidRPr="002C2818" w:rsidRDefault="003501B7" w:rsidP="006B5A62">
            <w:pPr>
              <w:spacing w:after="0"/>
              <w:jc w:val="center"/>
            </w:pPr>
            <w:r w:rsidRPr="002C2818">
              <w:t>81</w:t>
            </w:r>
          </w:p>
        </w:tc>
      </w:tr>
      <w:tr w:rsidR="003501B7" w:rsidRPr="002C2818" w14:paraId="511FB6EA" w14:textId="77777777" w:rsidTr="006B5A62">
        <w:trPr>
          <w:jc w:val="center"/>
        </w:trPr>
        <w:tc>
          <w:tcPr>
            <w:tcW w:w="3402" w:type="dxa"/>
            <w:tcBorders>
              <w:top w:val="nil"/>
              <w:left w:val="nil"/>
              <w:bottom w:val="nil"/>
              <w:right w:val="nil"/>
            </w:tcBorders>
            <w:shd w:val="clear" w:color="auto" w:fill="auto"/>
            <w:noWrap/>
            <w:vAlign w:val="center"/>
          </w:tcPr>
          <w:p w14:paraId="0083F7C3" w14:textId="77777777" w:rsidR="003501B7" w:rsidRPr="002C2818" w:rsidRDefault="003501B7" w:rsidP="006B5A62">
            <w:pPr>
              <w:spacing w:after="0"/>
            </w:pPr>
            <w:r w:rsidRPr="002C2818">
              <w:t>T</w:t>
            </w:r>
            <w:r>
              <w:t>ramos de transporte</w:t>
            </w:r>
          </w:p>
        </w:tc>
        <w:tc>
          <w:tcPr>
            <w:tcW w:w="1134" w:type="dxa"/>
            <w:tcBorders>
              <w:top w:val="nil"/>
              <w:left w:val="nil"/>
              <w:bottom w:val="nil"/>
              <w:right w:val="nil"/>
            </w:tcBorders>
            <w:shd w:val="clear" w:color="auto" w:fill="auto"/>
            <w:noWrap/>
            <w:vAlign w:val="center"/>
          </w:tcPr>
          <w:p w14:paraId="61C4ACA2" w14:textId="77777777" w:rsidR="003501B7" w:rsidRPr="002C2818" w:rsidRDefault="003501B7" w:rsidP="006B5A62">
            <w:pPr>
              <w:spacing w:after="0"/>
              <w:jc w:val="center"/>
            </w:pPr>
            <w:r w:rsidRPr="002C2818">
              <w:t>140</w:t>
            </w:r>
          </w:p>
        </w:tc>
      </w:tr>
      <w:tr w:rsidR="003501B7" w:rsidRPr="002C2818" w14:paraId="7A83834B" w14:textId="77777777" w:rsidTr="006B5A62">
        <w:trPr>
          <w:jc w:val="center"/>
        </w:trPr>
        <w:tc>
          <w:tcPr>
            <w:tcW w:w="3402" w:type="dxa"/>
            <w:tcBorders>
              <w:top w:val="nil"/>
              <w:left w:val="nil"/>
              <w:bottom w:val="nil"/>
              <w:right w:val="nil"/>
            </w:tcBorders>
            <w:shd w:val="clear" w:color="auto" w:fill="auto"/>
            <w:noWrap/>
            <w:vAlign w:val="center"/>
          </w:tcPr>
          <w:p w14:paraId="48B9222C" w14:textId="77777777" w:rsidR="003501B7" w:rsidRPr="002C2818" w:rsidRDefault="003501B7" w:rsidP="006B5A62">
            <w:r w:rsidRPr="002C2818">
              <w:t>T</w:t>
            </w:r>
            <w:r>
              <w:t>otal tramos</w:t>
            </w:r>
          </w:p>
        </w:tc>
        <w:tc>
          <w:tcPr>
            <w:tcW w:w="1134" w:type="dxa"/>
            <w:tcBorders>
              <w:top w:val="nil"/>
              <w:left w:val="nil"/>
              <w:bottom w:val="nil"/>
              <w:right w:val="nil"/>
            </w:tcBorders>
            <w:shd w:val="clear" w:color="auto" w:fill="auto"/>
            <w:noWrap/>
            <w:vAlign w:val="center"/>
          </w:tcPr>
          <w:p w14:paraId="0160D2CC" w14:textId="77777777" w:rsidR="003501B7" w:rsidRPr="002C2818" w:rsidRDefault="003501B7" w:rsidP="006B5A62">
            <w:pPr>
              <w:jc w:val="center"/>
            </w:pPr>
            <w:r w:rsidRPr="002C2818">
              <w:t>221</w:t>
            </w:r>
          </w:p>
        </w:tc>
      </w:tr>
    </w:tbl>
    <w:p w14:paraId="2250D460" w14:textId="77777777" w:rsidR="003501B7" w:rsidRDefault="003501B7" w:rsidP="003501B7">
      <w:r>
        <w:t>Dado que los elementos identificados en el Informe Técnico Definitivo de Calificación de Instalaciones de los Sistemas de Transmisión para el Período 2020-2023 son una información de entrada para la realización de este estudio, cualquier definición incorrecta excede los alcances de este Consorcio, no siendo responsabilidad de éste modificar la Resolución Exenta Nº 244 de la Comisión Nacional de Energía.</w:t>
      </w:r>
    </w:p>
    <w:p w14:paraId="11F03D1F" w14:textId="77777777" w:rsidR="003501B7" w:rsidRPr="00103C5D" w:rsidRDefault="003501B7" w:rsidP="003501B7">
      <w:pPr>
        <w:pStyle w:val="Ttulo3"/>
        <w:keepNext/>
      </w:pPr>
      <w:bookmarkStart w:id="18" w:name="_Toc38016467"/>
      <w:bookmarkStart w:id="19" w:name="_Toc39795081"/>
      <w:bookmarkStart w:id="20" w:name="_Toc39797761"/>
      <w:r w:rsidRPr="00103C5D">
        <w:t>Análisis de información recibida</w:t>
      </w:r>
      <w:bookmarkEnd w:id="18"/>
      <w:bookmarkEnd w:id="19"/>
      <w:bookmarkEnd w:id="20"/>
    </w:p>
    <w:p w14:paraId="4865845C" w14:textId="77777777" w:rsidR="003501B7" w:rsidRDefault="003501B7" w:rsidP="003501B7">
      <w:r>
        <w:t>En las Bases del Estudio, se señala que para la determinación de la porción del V.I. que se refiere al valor de las componentes de instalaciones distintas al costo de derechos relacionados con el uso de suelo, el consultor deberá efectuar un análisis e identificación de las instalaciones existentes que componen cada tramo. Para tal efecto, el consultor deberá verificar y validar la desagregación y consistencia de los distintos componentes que integran las instalaciones de transmisión informadas en la base de datos entregada por el Coordinador. A su vez, deberá adecuar el modelo de dicha base de datos, de modo que los elementos o instalaciones tales como aquellos que no pudieran ser ingresados en una tabla exclusiva para ellos o que el modelo no permita relacionarlos debidamente, entre otros, queden correctamente asignados y representados. Los criterios de verificación y validación de la información de la base de datos del Coordinador, así como las modificaciones al modelo de dicha base de datos, deberán ser claramente especificados en la entrega de sus resultados. Sin perjuicio de lo anterior, la base de datos que disponga el Coordinador para efectos del presente Estudio debe contener todos los elementos de los sistemas de transmisión con la desagregación suficiente para la correcta valorización de las instalaciones.</w:t>
      </w:r>
    </w:p>
    <w:p w14:paraId="79939CCD" w14:textId="77777777" w:rsidR="003501B7" w:rsidRDefault="003501B7" w:rsidP="003501B7">
      <w:r w:rsidRPr="00284E6D">
        <w:lastRenderedPageBreak/>
        <w:t>En el documento Anexo VI_1. Análisis Información Recibida, que forma parte de este Informe de Avance 2 se</w:t>
      </w:r>
      <w:r>
        <w:t xml:space="preserve"> detalla </w:t>
      </w:r>
      <w:r w:rsidRPr="00284E6D">
        <w:t>el análisis realizado a la información recibida.</w:t>
      </w:r>
    </w:p>
    <w:p w14:paraId="2EF36D71" w14:textId="77777777" w:rsidR="003501B7" w:rsidRDefault="003501B7" w:rsidP="003501B7">
      <w:pPr>
        <w:pStyle w:val="Ttulo4"/>
        <w:keepNext/>
      </w:pPr>
      <w:bookmarkStart w:id="21" w:name="_Toc38016468"/>
      <w:bookmarkStart w:id="22" w:name="_Toc39795082"/>
      <w:bookmarkStart w:id="23" w:name="_Toc39797762"/>
      <w:r>
        <w:t>Base de Datos de instalaciones</w:t>
      </w:r>
      <w:bookmarkEnd w:id="21"/>
      <w:bookmarkEnd w:id="22"/>
      <w:bookmarkEnd w:id="23"/>
    </w:p>
    <w:p w14:paraId="4BBA6363" w14:textId="77777777" w:rsidR="003501B7" w:rsidRDefault="003501B7" w:rsidP="003501B7">
      <w:r>
        <w:t>Para la ejecución del estudio, la Comisión entregó un archivo de una base de datos denominado “BDC_2017_ENTREGA_CNE.bak” (en adelante BD), desarrollada en el software SQL Server 2012, proporcionada por el Coordinador, la cual “debe contener todos los elementos de los sistemas de transmisión con la desagregación suficiente para la correcta valorización de las instalaciones”.</w:t>
      </w:r>
    </w:p>
    <w:p w14:paraId="4883B6EA" w14:textId="77777777" w:rsidR="003501B7" w:rsidRDefault="003501B7" w:rsidP="003501B7">
      <w:r>
        <w:t xml:space="preserve">La BD contiene 201 tablas con un total de 2.375.212 datos y 109 tablas que no contienen datos. </w:t>
      </w:r>
      <w:r w:rsidRPr="00BD60B5">
        <w:t xml:space="preserve">El detalle de las tablas se encuentra en el </w:t>
      </w:r>
      <w:r>
        <w:t>“</w:t>
      </w:r>
      <w:r w:rsidRPr="00BD60B5">
        <w:t>Anexo VI_1. Análisis Información Recibida</w:t>
      </w:r>
      <w:r>
        <w:t>”</w:t>
      </w:r>
      <w:r w:rsidRPr="00BD60B5">
        <w:t>.</w:t>
      </w:r>
    </w:p>
    <w:p w14:paraId="000D02B5" w14:textId="77777777" w:rsidR="003501B7" w:rsidRDefault="003501B7" w:rsidP="003501B7">
      <w:pPr>
        <w:pStyle w:val="Ttulo4"/>
        <w:keepNext/>
      </w:pPr>
      <w:bookmarkStart w:id="24" w:name="_Toc38016469"/>
      <w:bookmarkStart w:id="25" w:name="_Toc39795083"/>
      <w:bookmarkStart w:id="26" w:name="_Toc39797763"/>
      <w:r>
        <w:t>Análisis general de la Base de Datos</w:t>
      </w:r>
      <w:bookmarkEnd w:id="24"/>
      <w:bookmarkEnd w:id="25"/>
      <w:bookmarkEnd w:id="26"/>
    </w:p>
    <w:p w14:paraId="0E2D891D" w14:textId="77777777" w:rsidR="003501B7" w:rsidRDefault="003501B7" w:rsidP="003501B7">
      <w:r>
        <w:t>Como parte de la primera fase del desarrollo del estudio, se realizó un análisis y diagnóstico de la base de datos que consideró los siguientes aspectos fundamentales:</w:t>
      </w:r>
    </w:p>
    <w:p w14:paraId="03F1C939" w14:textId="77777777" w:rsidR="003501B7" w:rsidRPr="00103C5D" w:rsidRDefault="003501B7" w:rsidP="003501B7">
      <w:pPr>
        <w:pStyle w:val="Prrafodelista"/>
        <w:numPr>
          <w:ilvl w:val="0"/>
          <w:numId w:val="40"/>
        </w:numPr>
        <w:spacing w:after="120"/>
        <w:ind w:left="567" w:hanging="567"/>
      </w:pPr>
      <w:r w:rsidRPr="00103C5D">
        <w:t>Existencia de tramos en la Base de Datos.</w:t>
      </w:r>
    </w:p>
    <w:p w14:paraId="6DC14CDD" w14:textId="77777777" w:rsidR="003501B7" w:rsidRPr="00103C5D" w:rsidRDefault="003501B7" w:rsidP="003501B7">
      <w:pPr>
        <w:pStyle w:val="Prrafodelista"/>
        <w:numPr>
          <w:ilvl w:val="0"/>
          <w:numId w:val="40"/>
        </w:numPr>
        <w:spacing w:after="120"/>
        <w:ind w:left="567" w:hanging="567"/>
      </w:pPr>
      <w:r w:rsidRPr="00103C5D">
        <w:t>Identificación de los elementos de cada una de las instalaciones a valorizar.</w:t>
      </w:r>
    </w:p>
    <w:p w14:paraId="2BAEBB08" w14:textId="77777777" w:rsidR="003501B7" w:rsidRPr="00103C5D" w:rsidRDefault="003501B7" w:rsidP="003501B7">
      <w:pPr>
        <w:pStyle w:val="Prrafodelista"/>
        <w:numPr>
          <w:ilvl w:val="0"/>
          <w:numId w:val="40"/>
        </w:numPr>
        <w:spacing w:after="120"/>
        <w:ind w:left="567" w:hanging="567"/>
      </w:pPr>
      <w:r w:rsidRPr="00103C5D">
        <w:t>Cantidades excesivas de elementos</w:t>
      </w:r>
      <w:r>
        <w:t>.</w:t>
      </w:r>
    </w:p>
    <w:p w14:paraId="6949F633" w14:textId="77777777" w:rsidR="003501B7" w:rsidRPr="00103C5D" w:rsidRDefault="003501B7" w:rsidP="003501B7">
      <w:pPr>
        <w:pStyle w:val="Prrafodelista"/>
        <w:numPr>
          <w:ilvl w:val="0"/>
          <w:numId w:val="40"/>
        </w:numPr>
        <w:spacing w:after="120"/>
        <w:ind w:left="567" w:hanging="567"/>
      </w:pPr>
      <w:r w:rsidRPr="00103C5D">
        <w:t>Cantidades insuficientes de elementos</w:t>
      </w:r>
      <w:r>
        <w:t>.</w:t>
      </w:r>
    </w:p>
    <w:p w14:paraId="5576E9A1" w14:textId="77777777" w:rsidR="003501B7" w:rsidRPr="00103C5D" w:rsidRDefault="003501B7" w:rsidP="003501B7">
      <w:pPr>
        <w:pStyle w:val="Prrafodelista"/>
        <w:numPr>
          <w:ilvl w:val="0"/>
          <w:numId w:val="40"/>
        </w:numPr>
        <w:ind w:left="567" w:hanging="567"/>
      </w:pPr>
      <w:r w:rsidRPr="00103C5D">
        <w:t>Uso erróneo de unidades</w:t>
      </w:r>
      <w:r>
        <w:t>.</w:t>
      </w:r>
    </w:p>
    <w:p w14:paraId="4DED9CEE" w14:textId="77777777" w:rsidR="003501B7" w:rsidRDefault="003501B7" w:rsidP="003501B7">
      <w:r>
        <w:t>Para realizar la verificación y validación de la información de la base de datos, se consideró los siguientes criterios principales:</w:t>
      </w:r>
    </w:p>
    <w:p w14:paraId="2FAA2F54" w14:textId="77777777" w:rsidR="003501B7" w:rsidRPr="00103C5D" w:rsidRDefault="003501B7" w:rsidP="003501B7">
      <w:pPr>
        <w:pStyle w:val="Listanumerada"/>
        <w:numPr>
          <w:ilvl w:val="0"/>
          <w:numId w:val="26"/>
        </w:numPr>
        <w:spacing w:after="200"/>
        <w:ind w:left="567" w:hanging="567"/>
      </w:pPr>
      <w:r w:rsidRPr="00103C5D">
        <w:t>Identificación de las instalaciones existentes que componen cada tramo, en conformidad a la calificación de instalaciones pertenecientes al STN establecida en la Resolución Nº 244 de fecha 9 de abril de 2019, de la CNE.</w:t>
      </w:r>
    </w:p>
    <w:p w14:paraId="2EE66D54" w14:textId="77777777" w:rsidR="003501B7" w:rsidRPr="00103C5D" w:rsidRDefault="003501B7" w:rsidP="003501B7">
      <w:pPr>
        <w:pStyle w:val="Listanumerada"/>
        <w:spacing w:after="200"/>
        <w:ind w:left="567" w:hanging="567"/>
      </w:pPr>
      <w:r w:rsidRPr="00103C5D">
        <w:t>Verificación que las instalaciones existentes declaradas y que corresponde valorizar de acuerdo con la calificación mencionada en letra a) anterior corresponden y contienen todos los elementos que efectivamente están instalados, utilizando para ello la información técnica disponible en la página web del CEN.</w:t>
      </w:r>
    </w:p>
    <w:p w14:paraId="58FCF1C0" w14:textId="77777777" w:rsidR="003501B7" w:rsidRPr="00103C5D" w:rsidRDefault="003501B7" w:rsidP="003501B7">
      <w:pPr>
        <w:pStyle w:val="Listanumerada"/>
        <w:spacing w:after="200"/>
        <w:ind w:left="567" w:hanging="567"/>
      </w:pPr>
      <w:r w:rsidRPr="00103C5D">
        <w:t xml:space="preserve">Verificación que las cantidades declaradas para los elementos de las instalaciones que corresponde valorizar, representan las cantidades que efectivamente existen, utilizando para ello planos y documentos disponibles en la información técnica de la página web del CEN, </w:t>
      </w:r>
      <w:r w:rsidRPr="00103C5D">
        <w:lastRenderedPageBreak/>
        <w:t>planos y documentos del Estudio de Transmisión Troncal del año 2014, estándares habituales en instalaciones del mismo tipo y, finalmente, la experiencia del Consultor en esta materia.</w:t>
      </w:r>
    </w:p>
    <w:p w14:paraId="7AD34277" w14:textId="77777777" w:rsidR="003501B7" w:rsidRDefault="003501B7" w:rsidP="003501B7">
      <w:r>
        <w:t>Si bien en general, en la BD se encuentra las instalaciones que han sido calificadas como tramos del Sistema de Transmisión Nacional, la falta de identificación del tramo correspondiente ha obligado a este Consultor a desarrollar un trabajo de asociación de instalaciones a los tramos establecidos.</w:t>
      </w:r>
    </w:p>
    <w:p w14:paraId="15A9C8C4" w14:textId="77777777" w:rsidR="003501B7" w:rsidRDefault="003501B7" w:rsidP="003501B7">
      <w:r>
        <w:t>En la calificación de instalaciones existen tramos de subestaciones que corresponden a puntos de tap off (derivación) sólidos en el Sistema de Transmisión Nacional y que, por tal razón, no tienen instalaciones. En la base de datos no hay datos que correspondan a esos tramos de subestaciones. Además de los casos anteriores, se observa que hay otros tramos de subestación, correspondientes a instalaciones nuevas, que tampoco están en la Base de Datos.</w:t>
      </w:r>
    </w:p>
    <w:p w14:paraId="2D87D282" w14:textId="77777777" w:rsidR="003501B7" w:rsidRDefault="003501B7" w:rsidP="003501B7">
      <w:r>
        <w:t>Se ha detectado numerosos tramos de transporte que no son identificables directamente en la base de datos por existir nuevas subestaciones seccionadoras que no están incorporadas en ella. Además, en los tramos de transporte se encontró diversos tramos repetidos en la base de datos.</w:t>
      </w:r>
    </w:p>
    <w:p w14:paraId="4EA38DC2" w14:textId="77777777" w:rsidR="003501B7" w:rsidRDefault="003501B7" w:rsidP="003501B7">
      <w:r>
        <w:t>Por otra parte, se detectó tramos de transporte que no aparecen en la base de datos, que son los siguientes:</w:t>
      </w:r>
    </w:p>
    <w:p w14:paraId="73821EB8" w14:textId="77777777" w:rsidR="003501B7" w:rsidRDefault="003501B7" w:rsidP="003501B7">
      <w:pPr>
        <w:pStyle w:val="Subttulo"/>
      </w:pPr>
      <w:bookmarkStart w:id="27" w:name="_Toc34655184"/>
      <w:bookmarkStart w:id="28" w:name="_Toc39795231"/>
      <w:bookmarkStart w:id="29" w:name="_Toc39797911"/>
      <w:r w:rsidRPr="0037269A">
        <w:t xml:space="preserve">Tabla </w:t>
      </w:r>
      <w:fldSimple w:instr=" SEQ Tabla \* ARABIC ">
        <w:r w:rsidR="001F3E2E">
          <w:rPr>
            <w:noProof/>
          </w:rPr>
          <w:t>1</w:t>
        </w:r>
      </w:fldSimple>
      <w:r w:rsidRPr="0037269A">
        <w:t>: Tramos de transporte que no existen en la base de datos</w:t>
      </w:r>
      <w:bookmarkEnd w:id="27"/>
      <w:bookmarkEnd w:id="28"/>
      <w:bookmarkEnd w:id="29"/>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firstRow="1" w:lastRow="0" w:firstColumn="1" w:lastColumn="0" w:noHBand="0" w:noVBand="1"/>
      </w:tblPr>
      <w:tblGrid>
        <w:gridCol w:w="1418"/>
        <w:gridCol w:w="4536"/>
      </w:tblGrid>
      <w:tr w:rsidR="003501B7" w:rsidRPr="009D3A63" w14:paraId="3066AC57" w14:textId="77777777" w:rsidTr="006B5A62">
        <w:trPr>
          <w:tblHeader/>
          <w:jc w:val="center"/>
        </w:trPr>
        <w:tc>
          <w:tcPr>
            <w:tcW w:w="1418" w:type="dxa"/>
            <w:shd w:val="clear" w:color="000000" w:fill="D9D9D9"/>
            <w:noWrap/>
            <w:vAlign w:val="center"/>
          </w:tcPr>
          <w:p w14:paraId="61E1717A" w14:textId="77777777" w:rsidR="003501B7" w:rsidRPr="009D3A63" w:rsidRDefault="003501B7" w:rsidP="006B5A62">
            <w:pPr>
              <w:spacing w:before="40" w:after="40" w:line="240" w:lineRule="auto"/>
              <w:jc w:val="center"/>
              <w:rPr>
                <w:b/>
                <w:bCs/>
                <w:sz w:val="22"/>
                <w:szCs w:val="22"/>
                <w:lang w:val="es-ES"/>
              </w:rPr>
            </w:pPr>
            <w:r w:rsidRPr="009D3A63">
              <w:rPr>
                <w:b/>
                <w:bCs/>
                <w:sz w:val="22"/>
                <w:szCs w:val="22"/>
                <w:lang w:val="es-ES"/>
              </w:rPr>
              <w:t>Código</w:t>
            </w:r>
          </w:p>
        </w:tc>
        <w:tc>
          <w:tcPr>
            <w:tcW w:w="4536" w:type="dxa"/>
            <w:shd w:val="clear" w:color="000000" w:fill="D9D9D9"/>
            <w:noWrap/>
            <w:vAlign w:val="center"/>
          </w:tcPr>
          <w:p w14:paraId="20CB4018" w14:textId="77777777" w:rsidR="003501B7" w:rsidRPr="009D3A63" w:rsidRDefault="003501B7" w:rsidP="006B5A62">
            <w:pPr>
              <w:spacing w:before="40" w:after="40" w:line="240" w:lineRule="auto"/>
              <w:jc w:val="center"/>
              <w:rPr>
                <w:b/>
                <w:bCs/>
                <w:sz w:val="22"/>
                <w:szCs w:val="22"/>
                <w:lang w:val="es-ES"/>
              </w:rPr>
            </w:pPr>
            <w:r w:rsidRPr="009D3A63">
              <w:rPr>
                <w:b/>
                <w:bCs/>
                <w:sz w:val="22"/>
                <w:szCs w:val="22"/>
                <w:lang w:val="es-ES"/>
              </w:rPr>
              <w:t>Tramo</w:t>
            </w:r>
          </w:p>
        </w:tc>
      </w:tr>
      <w:tr w:rsidR="003501B7" w:rsidRPr="009D3A63" w14:paraId="51CD6F90" w14:textId="77777777" w:rsidTr="006B5A62">
        <w:trPr>
          <w:jc w:val="center"/>
        </w:trPr>
        <w:tc>
          <w:tcPr>
            <w:tcW w:w="1418" w:type="dxa"/>
            <w:shd w:val="clear" w:color="auto" w:fill="auto"/>
            <w:noWrap/>
            <w:vAlign w:val="center"/>
          </w:tcPr>
          <w:p w14:paraId="6DEE545A" w14:textId="77777777" w:rsidR="003501B7" w:rsidRPr="009D3A63" w:rsidRDefault="003501B7" w:rsidP="006B5A62">
            <w:pPr>
              <w:spacing w:before="40" w:after="40" w:line="240" w:lineRule="auto"/>
              <w:jc w:val="center"/>
              <w:rPr>
                <w:sz w:val="22"/>
                <w:szCs w:val="22"/>
                <w:lang w:val="es-ES"/>
              </w:rPr>
            </w:pPr>
            <w:r w:rsidRPr="009D3A63">
              <w:rPr>
                <w:sz w:val="22"/>
                <w:szCs w:val="22"/>
                <w:lang w:val="es-ES"/>
              </w:rPr>
              <w:t>N_19</w:t>
            </w:r>
          </w:p>
        </w:tc>
        <w:tc>
          <w:tcPr>
            <w:tcW w:w="4536" w:type="dxa"/>
            <w:shd w:val="clear" w:color="auto" w:fill="auto"/>
            <w:noWrap/>
            <w:vAlign w:val="center"/>
          </w:tcPr>
          <w:p w14:paraId="6B26FD39" w14:textId="77777777" w:rsidR="003501B7" w:rsidRPr="009D3A63" w:rsidRDefault="003501B7" w:rsidP="006B5A62">
            <w:pPr>
              <w:spacing w:before="40" w:after="40" w:line="240" w:lineRule="auto"/>
              <w:jc w:val="left"/>
              <w:rPr>
                <w:sz w:val="22"/>
                <w:szCs w:val="22"/>
                <w:lang w:val="es-ES"/>
              </w:rPr>
            </w:pPr>
            <w:r w:rsidRPr="009D3A63">
              <w:rPr>
                <w:sz w:val="22"/>
                <w:szCs w:val="22"/>
                <w:lang w:val="es-ES"/>
              </w:rPr>
              <w:t>Cardones 220-&gt;Nueva Cardones 220</w:t>
            </w:r>
          </w:p>
        </w:tc>
      </w:tr>
      <w:tr w:rsidR="003501B7" w:rsidRPr="009D3A63" w14:paraId="15C5C549" w14:textId="77777777" w:rsidTr="006B5A62">
        <w:trPr>
          <w:jc w:val="center"/>
        </w:trPr>
        <w:tc>
          <w:tcPr>
            <w:tcW w:w="1418" w:type="dxa"/>
            <w:shd w:val="clear" w:color="auto" w:fill="auto"/>
            <w:noWrap/>
            <w:vAlign w:val="center"/>
          </w:tcPr>
          <w:p w14:paraId="513DCAE4" w14:textId="77777777" w:rsidR="003501B7" w:rsidRPr="009D3A63" w:rsidRDefault="003501B7" w:rsidP="006B5A62">
            <w:pPr>
              <w:spacing w:before="40" w:after="40" w:line="240" w:lineRule="auto"/>
              <w:jc w:val="center"/>
              <w:rPr>
                <w:sz w:val="22"/>
                <w:szCs w:val="22"/>
                <w:lang w:val="es-ES"/>
              </w:rPr>
            </w:pPr>
            <w:r w:rsidRPr="009D3A63">
              <w:rPr>
                <w:sz w:val="22"/>
                <w:szCs w:val="22"/>
                <w:lang w:val="es-ES"/>
              </w:rPr>
              <w:t>N_31</w:t>
            </w:r>
          </w:p>
        </w:tc>
        <w:tc>
          <w:tcPr>
            <w:tcW w:w="4536" w:type="dxa"/>
            <w:shd w:val="clear" w:color="auto" w:fill="auto"/>
            <w:noWrap/>
            <w:vAlign w:val="center"/>
          </w:tcPr>
          <w:p w14:paraId="4A9D7607" w14:textId="77777777" w:rsidR="003501B7" w:rsidRPr="009D3A63" w:rsidRDefault="003501B7" w:rsidP="006B5A62">
            <w:pPr>
              <w:spacing w:before="40" w:after="40" w:line="240" w:lineRule="auto"/>
              <w:jc w:val="left"/>
              <w:rPr>
                <w:sz w:val="22"/>
                <w:szCs w:val="22"/>
                <w:lang w:val="es-ES"/>
              </w:rPr>
            </w:pPr>
            <w:r w:rsidRPr="009D3A63">
              <w:rPr>
                <w:sz w:val="22"/>
                <w:szCs w:val="22"/>
                <w:lang w:val="es-ES"/>
              </w:rPr>
              <w:t>Charrúa 220-&gt;Mulchen 220</w:t>
            </w:r>
          </w:p>
        </w:tc>
      </w:tr>
      <w:tr w:rsidR="003501B7" w:rsidRPr="009D3A63" w14:paraId="60D063F2" w14:textId="77777777" w:rsidTr="006B5A62">
        <w:trPr>
          <w:jc w:val="center"/>
        </w:trPr>
        <w:tc>
          <w:tcPr>
            <w:tcW w:w="1418" w:type="dxa"/>
            <w:shd w:val="clear" w:color="auto" w:fill="auto"/>
            <w:noWrap/>
            <w:vAlign w:val="center"/>
          </w:tcPr>
          <w:p w14:paraId="5F2E33B8" w14:textId="77777777" w:rsidR="003501B7" w:rsidRPr="009D3A63" w:rsidRDefault="003501B7" w:rsidP="006B5A62">
            <w:pPr>
              <w:spacing w:before="40" w:after="40" w:line="240" w:lineRule="auto"/>
              <w:jc w:val="center"/>
              <w:rPr>
                <w:sz w:val="22"/>
                <w:szCs w:val="22"/>
                <w:lang w:val="es-ES"/>
              </w:rPr>
            </w:pPr>
            <w:r w:rsidRPr="009D3A63">
              <w:rPr>
                <w:sz w:val="22"/>
                <w:szCs w:val="22"/>
                <w:lang w:val="es-ES"/>
              </w:rPr>
              <w:t>N_62</w:t>
            </w:r>
          </w:p>
        </w:tc>
        <w:tc>
          <w:tcPr>
            <w:tcW w:w="4536" w:type="dxa"/>
            <w:shd w:val="clear" w:color="auto" w:fill="auto"/>
            <w:noWrap/>
            <w:vAlign w:val="center"/>
          </w:tcPr>
          <w:p w14:paraId="0A830E83" w14:textId="77777777" w:rsidR="003501B7" w:rsidRPr="009D3A63" w:rsidRDefault="003501B7" w:rsidP="006B5A62">
            <w:pPr>
              <w:spacing w:before="40" w:after="40" w:line="240" w:lineRule="auto"/>
              <w:jc w:val="left"/>
              <w:rPr>
                <w:sz w:val="22"/>
                <w:szCs w:val="22"/>
                <w:lang w:val="es-ES"/>
              </w:rPr>
            </w:pPr>
            <w:r w:rsidRPr="009D3A63">
              <w:rPr>
                <w:sz w:val="22"/>
                <w:szCs w:val="22"/>
                <w:lang w:val="es-ES"/>
              </w:rPr>
              <w:t>Laberinto 220-&gt;Nueva Zaldívar 220</w:t>
            </w:r>
          </w:p>
        </w:tc>
      </w:tr>
      <w:tr w:rsidR="003501B7" w:rsidRPr="009D3A63" w14:paraId="5F95D7AB" w14:textId="77777777" w:rsidTr="006B5A62">
        <w:trPr>
          <w:jc w:val="center"/>
        </w:trPr>
        <w:tc>
          <w:tcPr>
            <w:tcW w:w="1418" w:type="dxa"/>
            <w:shd w:val="clear" w:color="auto" w:fill="auto"/>
            <w:noWrap/>
            <w:vAlign w:val="center"/>
          </w:tcPr>
          <w:p w14:paraId="35972922" w14:textId="77777777" w:rsidR="003501B7" w:rsidRPr="009D3A63" w:rsidRDefault="003501B7" w:rsidP="006B5A62">
            <w:pPr>
              <w:spacing w:before="40" w:after="40" w:line="240" w:lineRule="auto"/>
              <w:jc w:val="center"/>
              <w:rPr>
                <w:sz w:val="22"/>
                <w:szCs w:val="22"/>
                <w:lang w:val="es-ES"/>
              </w:rPr>
            </w:pPr>
            <w:r w:rsidRPr="009D3A63">
              <w:rPr>
                <w:sz w:val="22"/>
                <w:szCs w:val="22"/>
                <w:lang w:val="es-ES"/>
              </w:rPr>
              <w:t>N_87</w:t>
            </w:r>
          </w:p>
        </w:tc>
        <w:tc>
          <w:tcPr>
            <w:tcW w:w="4536" w:type="dxa"/>
            <w:shd w:val="clear" w:color="auto" w:fill="auto"/>
            <w:noWrap/>
            <w:vAlign w:val="center"/>
          </w:tcPr>
          <w:p w14:paraId="0311DE9D" w14:textId="77777777" w:rsidR="003501B7" w:rsidRPr="009D3A63" w:rsidRDefault="003501B7" w:rsidP="006B5A62">
            <w:pPr>
              <w:spacing w:before="40" w:after="40" w:line="240" w:lineRule="auto"/>
              <w:jc w:val="left"/>
              <w:rPr>
                <w:sz w:val="22"/>
                <w:szCs w:val="22"/>
                <w:lang w:val="es-ES"/>
              </w:rPr>
            </w:pPr>
            <w:r w:rsidRPr="009D3A63">
              <w:rPr>
                <w:sz w:val="22"/>
                <w:szCs w:val="22"/>
                <w:lang w:val="es-ES"/>
              </w:rPr>
              <w:t>Mulchen 220-&gt;Rio Malleco 220</w:t>
            </w:r>
          </w:p>
        </w:tc>
      </w:tr>
      <w:tr w:rsidR="003501B7" w:rsidRPr="009D3A63" w14:paraId="79BF7687" w14:textId="77777777" w:rsidTr="006B5A62">
        <w:trPr>
          <w:jc w:val="center"/>
        </w:trPr>
        <w:tc>
          <w:tcPr>
            <w:tcW w:w="1418" w:type="dxa"/>
            <w:shd w:val="clear" w:color="auto" w:fill="auto"/>
            <w:noWrap/>
            <w:vAlign w:val="center"/>
          </w:tcPr>
          <w:p w14:paraId="127FA287" w14:textId="77777777" w:rsidR="003501B7" w:rsidRPr="009D3A63" w:rsidRDefault="003501B7" w:rsidP="006B5A62">
            <w:pPr>
              <w:spacing w:before="40" w:after="40" w:line="240" w:lineRule="auto"/>
              <w:jc w:val="center"/>
              <w:rPr>
                <w:sz w:val="22"/>
                <w:szCs w:val="22"/>
                <w:lang w:val="es-ES"/>
              </w:rPr>
            </w:pPr>
            <w:r w:rsidRPr="009D3A63">
              <w:rPr>
                <w:sz w:val="22"/>
                <w:szCs w:val="22"/>
                <w:lang w:val="es-ES"/>
              </w:rPr>
              <w:t>N_97</w:t>
            </w:r>
          </w:p>
        </w:tc>
        <w:tc>
          <w:tcPr>
            <w:tcW w:w="4536" w:type="dxa"/>
            <w:shd w:val="clear" w:color="auto" w:fill="auto"/>
            <w:noWrap/>
            <w:vAlign w:val="center"/>
          </w:tcPr>
          <w:p w14:paraId="458AD2A2" w14:textId="77777777" w:rsidR="003501B7" w:rsidRPr="009D3A63" w:rsidRDefault="003501B7" w:rsidP="006B5A62">
            <w:pPr>
              <w:spacing w:before="40" w:after="40" w:line="240" w:lineRule="auto"/>
              <w:jc w:val="left"/>
              <w:rPr>
                <w:sz w:val="22"/>
                <w:szCs w:val="22"/>
                <w:lang w:val="es-ES"/>
              </w:rPr>
            </w:pPr>
            <w:r w:rsidRPr="009D3A63">
              <w:rPr>
                <w:sz w:val="22"/>
                <w:szCs w:val="22"/>
                <w:lang w:val="es-ES"/>
              </w:rPr>
              <w:t>Nueva Pan de Azúcar 500-&gt;Polpaico 500</w:t>
            </w:r>
          </w:p>
        </w:tc>
      </w:tr>
      <w:tr w:rsidR="003501B7" w:rsidRPr="009D3A63" w14:paraId="07411919" w14:textId="77777777" w:rsidTr="006B5A62">
        <w:trPr>
          <w:jc w:val="center"/>
        </w:trPr>
        <w:tc>
          <w:tcPr>
            <w:tcW w:w="1418" w:type="dxa"/>
            <w:shd w:val="clear" w:color="auto" w:fill="auto"/>
            <w:noWrap/>
            <w:vAlign w:val="center"/>
          </w:tcPr>
          <w:p w14:paraId="4133058A" w14:textId="77777777" w:rsidR="003501B7" w:rsidRPr="009D3A63" w:rsidRDefault="003501B7" w:rsidP="006B5A62">
            <w:pPr>
              <w:spacing w:before="40" w:after="40" w:line="240" w:lineRule="auto"/>
              <w:jc w:val="center"/>
              <w:rPr>
                <w:sz w:val="22"/>
                <w:szCs w:val="22"/>
                <w:lang w:val="es-ES"/>
              </w:rPr>
            </w:pPr>
            <w:r w:rsidRPr="009D3A63">
              <w:rPr>
                <w:sz w:val="22"/>
                <w:szCs w:val="22"/>
                <w:lang w:val="es-ES"/>
              </w:rPr>
              <w:t>N_102</w:t>
            </w:r>
          </w:p>
        </w:tc>
        <w:tc>
          <w:tcPr>
            <w:tcW w:w="4536" w:type="dxa"/>
            <w:shd w:val="clear" w:color="auto" w:fill="auto"/>
            <w:noWrap/>
            <w:vAlign w:val="center"/>
          </w:tcPr>
          <w:p w14:paraId="5D685992" w14:textId="77777777" w:rsidR="003501B7" w:rsidRPr="009D3A63" w:rsidRDefault="003501B7" w:rsidP="006B5A62">
            <w:pPr>
              <w:spacing w:before="40" w:after="40" w:line="240" w:lineRule="auto"/>
              <w:jc w:val="left"/>
              <w:rPr>
                <w:sz w:val="22"/>
                <w:szCs w:val="22"/>
                <w:lang w:val="es-ES"/>
              </w:rPr>
            </w:pPr>
            <w:r w:rsidRPr="009D3A63">
              <w:rPr>
                <w:sz w:val="22"/>
                <w:szCs w:val="22"/>
                <w:lang w:val="es-ES"/>
              </w:rPr>
              <w:t>O’Higgins 220-&gt;Atacama 220</w:t>
            </w:r>
          </w:p>
        </w:tc>
      </w:tr>
      <w:tr w:rsidR="003501B7" w:rsidRPr="009D3A63" w14:paraId="06F7DBF0" w14:textId="77777777" w:rsidTr="006B5A62">
        <w:trPr>
          <w:jc w:val="center"/>
        </w:trPr>
        <w:tc>
          <w:tcPr>
            <w:tcW w:w="1418" w:type="dxa"/>
            <w:shd w:val="clear" w:color="auto" w:fill="auto"/>
            <w:noWrap/>
            <w:vAlign w:val="center"/>
          </w:tcPr>
          <w:p w14:paraId="676C8C80" w14:textId="77777777" w:rsidR="003501B7" w:rsidRPr="009D3A63" w:rsidRDefault="003501B7" w:rsidP="006B5A62">
            <w:pPr>
              <w:spacing w:before="40" w:after="40" w:line="240" w:lineRule="auto"/>
              <w:jc w:val="center"/>
              <w:rPr>
                <w:sz w:val="22"/>
                <w:szCs w:val="22"/>
                <w:lang w:val="es-ES"/>
              </w:rPr>
            </w:pPr>
            <w:r w:rsidRPr="009D3A63">
              <w:rPr>
                <w:sz w:val="22"/>
                <w:szCs w:val="22"/>
                <w:lang w:val="es-ES"/>
              </w:rPr>
              <w:t>N_112</w:t>
            </w:r>
          </w:p>
        </w:tc>
        <w:tc>
          <w:tcPr>
            <w:tcW w:w="4536" w:type="dxa"/>
            <w:shd w:val="clear" w:color="auto" w:fill="auto"/>
            <w:noWrap/>
            <w:vAlign w:val="center"/>
          </w:tcPr>
          <w:p w14:paraId="4A570216" w14:textId="77777777" w:rsidR="003501B7" w:rsidRPr="009D3A63" w:rsidRDefault="003501B7" w:rsidP="006B5A62">
            <w:pPr>
              <w:spacing w:before="40" w:after="40" w:line="240" w:lineRule="auto"/>
              <w:jc w:val="left"/>
              <w:rPr>
                <w:sz w:val="22"/>
                <w:szCs w:val="22"/>
                <w:lang w:val="es-ES"/>
              </w:rPr>
            </w:pPr>
            <w:r w:rsidRPr="009D3A63">
              <w:rPr>
                <w:sz w:val="22"/>
                <w:szCs w:val="22"/>
                <w:lang w:val="es-ES"/>
              </w:rPr>
              <w:t>Pozo Almonte 220-&gt;Nueva Pozo Almonte 220</w:t>
            </w:r>
          </w:p>
        </w:tc>
      </w:tr>
      <w:tr w:rsidR="003501B7" w:rsidRPr="009D3A63" w14:paraId="6CF1B84A" w14:textId="77777777" w:rsidTr="006B5A62">
        <w:trPr>
          <w:jc w:val="center"/>
        </w:trPr>
        <w:tc>
          <w:tcPr>
            <w:tcW w:w="1418" w:type="dxa"/>
            <w:shd w:val="clear" w:color="auto" w:fill="auto"/>
            <w:noWrap/>
            <w:vAlign w:val="center"/>
          </w:tcPr>
          <w:p w14:paraId="6DBD46C6" w14:textId="77777777" w:rsidR="003501B7" w:rsidRPr="009D3A63" w:rsidRDefault="003501B7" w:rsidP="006B5A62">
            <w:pPr>
              <w:spacing w:before="40" w:after="40" w:line="240" w:lineRule="auto"/>
              <w:jc w:val="center"/>
              <w:rPr>
                <w:sz w:val="22"/>
                <w:szCs w:val="22"/>
                <w:lang w:val="es-ES"/>
              </w:rPr>
            </w:pPr>
            <w:r w:rsidRPr="009D3A63">
              <w:rPr>
                <w:sz w:val="22"/>
                <w:szCs w:val="22"/>
                <w:lang w:val="es-ES"/>
              </w:rPr>
              <w:t>N_122</w:t>
            </w:r>
          </w:p>
        </w:tc>
        <w:tc>
          <w:tcPr>
            <w:tcW w:w="4536" w:type="dxa"/>
            <w:shd w:val="clear" w:color="auto" w:fill="auto"/>
            <w:noWrap/>
            <w:vAlign w:val="center"/>
          </w:tcPr>
          <w:p w14:paraId="115109CD" w14:textId="77777777" w:rsidR="003501B7" w:rsidRPr="009D3A63" w:rsidRDefault="003501B7" w:rsidP="006B5A62">
            <w:pPr>
              <w:spacing w:before="40" w:after="40" w:line="240" w:lineRule="auto"/>
              <w:jc w:val="left"/>
              <w:rPr>
                <w:sz w:val="22"/>
                <w:szCs w:val="22"/>
                <w:lang w:val="es-ES"/>
              </w:rPr>
            </w:pPr>
            <w:r w:rsidRPr="009D3A63">
              <w:rPr>
                <w:sz w:val="22"/>
                <w:szCs w:val="22"/>
                <w:lang w:val="es-ES"/>
              </w:rPr>
              <w:t>Rio Malleco 220-&gt;Cautín 220</w:t>
            </w:r>
          </w:p>
        </w:tc>
      </w:tr>
    </w:tbl>
    <w:p w14:paraId="1037DF47" w14:textId="77777777" w:rsidR="003501B7" w:rsidRPr="00FF2E57" w:rsidRDefault="003501B7" w:rsidP="003501B7">
      <w:pPr>
        <w:spacing w:after="0"/>
        <w:rPr>
          <w:sz w:val="16"/>
          <w:szCs w:val="16"/>
        </w:rPr>
      </w:pPr>
    </w:p>
    <w:p w14:paraId="4A7D6BF4" w14:textId="77777777" w:rsidR="003501B7" w:rsidRDefault="003501B7" w:rsidP="003501B7">
      <w:r>
        <w:t>Existen 26 tramos de transporte que contienen elementos que no deben valorizarse por tener VATT asegurado por 20 años y que, de acuerdo con las Bases del Estudio, no corresponde valorizar</w:t>
      </w:r>
    </w:p>
    <w:p w14:paraId="48A33C38" w14:textId="77777777" w:rsidR="003501B7" w:rsidRDefault="003501B7" w:rsidP="003501B7">
      <w:r>
        <w:t>Para analizar, verificar y validar la información de los elementos de las instalaciones (inventario), desde la Base de Datos se exportó a planilla Excel, la información correspondiente. Se creó una planilla para los tramos de subestaciones y otro para los tramos de transporte.</w:t>
      </w:r>
    </w:p>
    <w:p w14:paraId="3949FC3F" w14:textId="77777777" w:rsidR="003501B7" w:rsidRDefault="003501B7" w:rsidP="003501B7">
      <w:r>
        <w:t>El análisis realizado resulta en las observaciones principales que se describen a continuación.</w:t>
      </w:r>
    </w:p>
    <w:p w14:paraId="665ED6CC" w14:textId="77777777" w:rsidR="003501B7" w:rsidRPr="00B83B8B" w:rsidRDefault="003501B7" w:rsidP="003501B7">
      <w:pPr>
        <w:pStyle w:val="Prrafodelista"/>
        <w:numPr>
          <w:ilvl w:val="0"/>
          <w:numId w:val="41"/>
        </w:numPr>
        <w:ind w:left="567" w:hanging="567"/>
      </w:pPr>
      <w:r w:rsidRPr="00B83B8B">
        <w:lastRenderedPageBreak/>
        <w:t>Se observa que no hay uniformidad ni estandarización en la información en cada uno de ellos, lo cual se presenta en la mayoría de los elementos. Esta deficiencia dificulta la identificación completa de cada elemento.</w:t>
      </w:r>
    </w:p>
    <w:p w14:paraId="5F634F1C" w14:textId="77777777" w:rsidR="003501B7" w:rsidRPr="00B83B8B" w:rsidRDefault="003501B7" w:rsidP="003501B7">
      <w:pPr>
        <w:pStyle w:val="Prrafodelista"/>
        <w:numPr>
          <w:ilvl w:val="0"/>
          <w:numId w:val="41"/>
        </w:numPr>
        <w:ind w:left="567" w:hanging="567"/>
      </w:pPr>
      <w:r w:rsidRPr="00B83B8B">
        <w:t>En la gran mayoría de los elementos se omite información en algunos de los campos, como también se repite la misma información en más de un campo, un mismo tipo de elemento aparece con más de un identificador de tipo de elemento. En algunos casos se presenta información diferente en campos de descripción de un mismo elemento.</w:t>
      </w:r>
    </w:p>
    <w:p w14:paraId="7FDEE0CD" w14:textId="77777777" w:rsidR="003501B7" w:rsidRPr="00B83B8B" w:rsidRDefault="003501B7" w:rsidP="003501B7">
      <w:pPr>
        <w:pStyle w:val="Prrafodelista"/>
        <w:numPr>
          <w:ilvl w:val="0"/>
          <w:numId w:val="41"/>
        </w:numPr>
        <w:ind w:left="567" w:hanging="567"/>
      </w:pPr>
      <w:r w:rsidRPr="00B83B8B">
        <w:t>En algunos elementos de tramos de subestaciones y de transporte se ha encontrado cantidades excesivas que no guardan relación con el rango de valores que corresponde al elemento para la utilización que se hace de él. Ello ocurre principalmente en la familia Materiales OOCC.</w:t>
      </w:r>
    </w:p>
    <w:p w14:paraId="24630D70" w14:textId="77777777" w:rsidR="003501B7" w:rsidRPr="00B83B8B" w:rsidRDefault="003501B7" w:rsidP="003501B7">
      <w:pPr>
        <w:pStyle w:val="Prrafodelista"/>
        <w:numPr>
          <w:ilvl w:val="0"/>
          <w:numId w:val="41"/>
        </w:numPr>
        <w:ind w:left="567" w:hanging="567"/>
      </w:pPr>
      <w:r w:rsidRPr="00B83B8B">
        <w:t>En algunos elementos de los tramos de transporte se ha encontrado cantidades nulas o insuficientes, que no corresponden al rango de valores del elemento para la utilización que se hace de él. Ello ocurre principalmente en las familias Conjuntos de Aislación y Materiales OOCC.</w:t>
      </w:r>
    </w:p>
    <w:p w14:paraId="070749FF" w14:textId="77777777" w:rsidR="003501B7" w:rsidRPr="00B83B8B" w:rsidRDefault="003501B7" w:rsidP="003501B7">
      <w:pPr>
        <w:pStyle w:val="Prrafodelista"/>
        <w:numPr>
          <w:ilvl w:val="0"/>
          <w:numId w:val="41"/>
        </w:numPr>
        <w:ind w:left="567" w:hanging="567"/>
      </w:pPr>
      <w:r w:rsidRPr="00B83B8B">
        <w:t>Una cantidad de elementos cuyo costo es importante en la valorización de las instalaciones, está registrada en la Base de Datos con una unidad que no corresponde. Por ejemplo, debiendo usar la unidad metro se usa c/u.</w:t>
      </w:r>
    </w:p>
    <w:p w14:paraId="3DAE79FA" w14:textId="77777777" w:rsidR="003501B7" w:rsidRDefault="003501B7" w:rsidP="003501B7">
      <w:r>
        <w:t>El uso erróneo de la unidad que corresponde, la cantidad excesiva para algunos elementos y la insuficiente para otros, permite inferir que no ha existido la debida prolijidad en el poblamiento de la base de datos. A lo anterior se agrega un aspecto que no es posible dimensionar en su alcance y efecto en la valorización del Sistema de Transmisión Nacional, cual es la falta de elementos en la Base de Datos, es decir, que el inventario de algunas instalaciones está incompleto.</w:t>
      </w:r>
    </w:p>
    <w:p w14:paraId="698A4A74" w14:textId="77777777" w:rsidR="003501B7" w:rsidRDefault="003501B7" w:rsidP="003501B7">
      <w:r>
        <w:t>Debe tenerse presente que, de acuerdo con la LGSE (artículo vigesimoprimero transitorio), las empresas transmisoras debían presentar en un plazo determinado al CEN el inventario y características de sus instalaciones y este organismo incorporar esta información en un registro (base de datos) so pena de que las instalaciones no informadas no serán consideradas en el primer proceso de valorización. Lo anterior exige a los propietarios informar y al CEN la responsabilidad de tener un registro para acoger la información suministrada, así como verificar la completitud, calidad, exactitud y oportunidad de la información publicada en los respectivos sistemas de información (último inciso del artículo 72-8 de la LGE). Sin embargo, en vista del diagnóstico presentado en este informe, es evidente que lo dispuesto en la ley para la información de la base de datos no se ha cumplido en ninguno de los atributos exigidos.</w:t>
      </w:r>
    </w:p>
    <w:p w14:paraId="79572DC9" w14:textId="77777777" w:rsidR="003501B7" w:rsidRDefault="003501B7" w:rsidP="003501B7">
      <w:r>
        <w:lastRenderedPageBreak/>
        <w:t>No obstante, la situación presentada, el Consorcio ha hecho el mayor esfuerzo y dedicación posible para mejorar la información, con el propósito de obtener una valorización que represente razonablemente el Valor de Inversión del Sistema Eléctrico Nacional para las instalaciones en servicio al 31 de diciembre de 2017 que debían ser valorizadas.</w:t>
      </w:r>
    </w:p>
    <w:p w14:paraId="20847C92" w14:textId="77777777" w:rsidR="003501B7" w:rsidRDefault="003501B7" w:rsidP="003501B7">
      <w:pPr>
        <w:pStyle w:val="Ttulo4"/>
        <w:keepNext/>
      </w:pPr>
      <w:bookmarkStart w:id="30" w:name="_Toc38016470"/>
      <w:bookmarkStart w:id="31" w:name="_Toc39795084"/>
      <w:bookmarkStart w:id="32" w:name="_Toc39797764"/>
      <w:r>
        <w:t>Adecuación de información de la Base de Datos</w:t>
      </w:r>
      <w:bookmarkEnd w:id="30"/>
      <w:bookmarkEnd w:id="31"/>
      <w:bookmarkEnd w:id="32"/>
    </w:p>
    <w:p w14:paraId="15ABACF5" w14:textId="77777777" w:rsidR="003501B7" w:rsidRDefault="003501B7" w:rsidP="003501B7">
      <w:r>
        <w:t>La Base de Datos que el Coordinador proporcionó para la realización del presente Estudio contiene la información de las instalaciones existentes a diciembre de 2017 la cual está organizada según la calificación del año 2014, que no tiene relación ni similitud con la calificación del año 2019.</w:t>
      </w:r>
    </w:p>
    <w:p w14:paraId="7616E427" w14:textId="77777777" w:rsidR="003501B7" w:rsidRDefault="003501B7" w:rsidP="003501B7">
      <w:r>
        <w:t>Por lo anterior la Base de Datos no contiene ningún elemento que muestre la implementación de la Calificación de Instalaciones en ella, lo que ha obligado a este Consultor a realizar esta asignación, lo cual no estaba contemplado en las Bases Técnicas del Estudio.</w:t>
      </w:r>
    </w:p>
    <w:p w14:paraId="673BB25D" w14:textId="77777777" w:rsidR="003501B7" w:rsidRDefault="003501B7" w:rsidP="003501B7">
      <w:r>
        <w:t>Para poder crear los tramos, se debieron analizar más de 1.500 paños contenidos en subestaciones nacionales y subestaciones con extremos de tramos de transporte calificados como nacionales en la BD. Para poder asignar correctamente los paños se obtuvo su nombre, tensión, y toda característica útil desde la base de datos para contrastarlos con los planos de las subestaciones.</w:t>
      </w:r>
    </w:p>
    <w:p w14:paraId="78367FE9" w14:textId="77777777" w:rsidR="003501B7" w:rsidRDefault="003501B7" w:rsidP="003501B7">
      <w:r>
        <w:t>En la base de datos se creó una nueva tabla, llamada dbo.TramosSubestacion que indica el ID (código de identificación) de tramo al cual pertenece el paño. De esta revisión se calificaron como pertenecientes el Sistema de Transmisión Nacional alrededor de 800 paños.</w:t>
      </w:r>
    </w:p>
    <w:p w14:paraId="5DD5FD96" w14:textId="77777777" w:rsidR="003501B7" w:rsidRDefault="003501B7" w:rsidP="003501B7">
      <w:r>
        <w:t>También se creó una columna auxiliar en líneas, transformadores y subestaciones para poder asignarlos al tramo de calificación respectivo.</w:t>
      </w:r>
    </w:p>
    <w:p w14:paraId="756E4B91" w14:textId="77777777" w:rsidR="003501B7" w:rsidRDefault="003501B7" w:rsidP="003501B7">
      <w:r>
        <w:t>En el caso de tramos de transporte que corresponden a líneas de transmisión (algunos corresponden a transformación), los tramos quedan conformados por los paños extremos de la línea, los equipos de compensación serie y reactores de líneas con sus propios paños y la línea de transmisión propiamente tal.</w:t>
      </w:r>
    </w:p>
    <w:p w14:paraId="2355DEFB" w14:textId="77777777" w:rsidR="003501B7" w:rsidRDefault="003501B7" w:rsidP="003501B7">
      <w:r>
        <w:t>Los tramos de transporte correspondiente consideran los equipos de transformación 500/220 kV, 750 MVA y 220/220 kV 400 MVA. En el primer caso corresponden a bancos de autotransformadores monofásicos 500/220 kV de 250 MVA cada uno con la respectiva unidad de reserva monofásica, mientras que el segundo caso corresponde a un equipo controlador de flujo en 220 kV.</w:t>
      </w:r>
    </w:p>
    <w:p w14:paraId="30580CD7" w14:textId="77777777" w:rsidR="003501B7" w:rsidRDefault="003501B7" w:rsidP="003501B7">
      <w:r>
        <w:t xml:space="preserve">Dado que gran parte de los paños son asignados a tramos de transporte, las subestaciones quedan con pocos paños asignables a ella. Los paños que si quedan asignados son: paños seccionadores de barra, paños acopladores de barra (paños de transferencia), paños de transformadores de servicios </w:t>
      </w:r>
      <w:r>
        <w:lastRenderedPageBreak/>
        <w:t>auxiliares, paños de equipos de compensación conectados a las barras de las subestaciones o a los terciaros de transformadores, etc. Todos estos equipos también quedan asignados  a los tramos de subestación.</w:t>
      </w:r>
    </w:p>
    <w:p w14:paraId="3CF15CC9" w14:textId="77777777" w:rsidR="003501B7" w:rsidRDefault="003501B7" w:rsidP="003501B7">
      <w:r>
        <w:t>Es importante señalar que la Calificación de Instalaciones realizada, asignó a todos los patios de la subestación la misma calificación, por lo cual los paños comunes de tensiones menores también quedaron asignados a los tramos de subestación.</w:t>
      </w:r>
    </w:p>
    <w:p w14:paraId="12816C34" w14:textId="77777777" w:rsidR="003501B7" w:rsidRDefault="003501B7" w:rsidP="003501B7">
      <w:r>
        <w:t>Una importante problemática es la incompatibilidad entre la Resolución Exenta CNE 244 - 2019 y el contenido en la BD del Coordinador Eléctrico Nacional. La Calificación de Instalaciones fue realizada con la topología prevista a fines del año 2021 mientras que la valorización de instalaciones se realiza con las instalaciones en servicio al 31 de diciembre de 2017.</w:t>
      </w:r>
    </w:p>
    <w:p w14:paraId="0A20D0EC" w14:textId="77777777" w:rsidR="003501B7" w:rsidRDefault="003501B7" w:rsidP="003501B7">
      <w:r>
        <w:t>Como proceso requerido para el cálculo de Tramos de Transporte se presentó el inconveniente de que en la base de datos no existían tramos definidos en base a la calificación. Se debió realizar una serie de procesos con el fin de permitir la valorización de estos Tramos de Transporte. El proceso comprende los siguientes 4 pasos:</w:t>
      </w:r>
    </w:p>
    <w:p w14:paraId="27FBB2E5" w14:textId="77777777" w:rsidR="003501B7" w:rsidRPr="00103C5D" w:rsidRDefault="003501B7" w:rsidP="003501B7">
      <w:pPr>
        <w:pStyle w:val="Prrafodelista"/>
        <w:numPr>
          <w:ilvl w:val="0"/>
          <w:numId w:val="42"/>
        </w:numPr>
        <w:ind w:left="567" w:hanging="567"/>
      </w:pPr>
      <w:r w:rsidRPr="00103C5D">
        <w:t>Creación de nuevos identificadores de tramos Metodología de cálculo del V</w:t>
      </w:r>
      <w:r>
        <w:t>.</w:t>
      </w:r>
      <w:r w:rsidRPr="00103C5D">
        <w:t>I</w:t>
      </w:r>
      <w:r>
        <w:t>.</w:t>
      </w:r>
    </w:p>
    <w:p w14:paraId="7E0AC7C4" w14:textId="77777777" w:rsidR="003501B7" w:rsidRPr="00103C5D" w:rsidRDefault="003501B7" w:rsidP="003501B7">
      <w:pPr>
        <w:pStyle w:val="Prrafodelista"/>
        <w:numPr>
          <w:ilvl w:val="0"/>
          <w:numId w:val="42"/>
        </w:numPr>
        <w:ind w:left="567" w:hanging="567"/>
      </w:pPr>
      <w:r w:rsidRPr="00103C5D">
        <w:t>Modificación de IdTramo en tabla</w:t>
      </w:r>
      <w:r>
        <w:t xml:space="preserve"> dbo.Vanos por seccionamientos.</w:t>
      </w:r>
    </w:p>
    <w:p w14:paraId="7E9E9C77" w14:textId="77777777" w:rsidR="003501B7" w:rsidRPr="00103C5D" w:rsidRDefault="003501B7" w:rsidP="003501B7">
      <w:pPr>
        <w:pStyle w:val="Prrafodelista"/>
        <w:numPr>
          <w:ilvl w:val="0"/>
          <w:numId w:val="42"/>
        </w:numPr>
        <w:ind w:left="567" w:hanging="567"/>
      </w:pPr>
      <w:r w:rsidRPr="00103C5D">
        <w:t>Modificaciones en tabla dbo.Estructuras_tramos por seccionamientos.</w:t>
      </w:r>
    </w:p>
    <w:p w14:paraId="25E58196" w14:textId="77777777" w:rsidR="003501B7" w:rsidRPr="00103C5D" w:rsidRDefault="003501B7" w:rsidP="003501B7">
      <w:pPr>
        <w:pStyle w:val="Prrafodelista"/>
        <w:numPr>
          <w:ilvl w:val="0"/>
          <w:numId w:val="42"/>
        </w:numPr>
        <w:ind w:left="567" w:hanging="567"/>
      </w:pPr>
      <w:r w:rsidRPr="00103C5D">
        <w:t>Modificaciones realizadas en cables de guardia.</w:t>
      </w:r>
    </w:p>
    <w:p w14:paraId="70A910CF" w14:textId="77777777" w:rsidR="003501B7" w:rsidRDefault="003501B7" w:rsidP="003501B7">
      <w:r>
        <w:t>Además, de la calificación y asignación de las instalaciones de la BD y la creación de tramos, se ha debido realizar otras modificaciones y correcciones a la información de la BD.</w:t>
      </w:r>
    </w:p>
    <w:p w14:paraId="20F6D3AE" w14:textId="77777777" w:rsidR="003501B7" w:rsidRDefault="003501B7" w:rsidP="003501B7">
      <w:r>
        <w:t>En el Anexo VI_3. Calificación de instalaciones, se detalla el trabajo realizado tanto para la calificación y asignación de instalaciones a los tramos, como las otras modificaciones y correcciones</w:t>
      </w:r>
    </w:p>
    <w:p w14:paraId="38238511" w14:textId="77777777" w:rsidR="003501B7" w:rsidRDefault="003501B7" w:rsidP="003501B7">
      <w:r>
        <w:t>Una vez creados todos los tramos de transporte y de subestación se procedió a analizar cuáles de ellos debían ser valorizados y cuáles no. Para esto se estudiaron todos los Planes de Expansión Troncal desde la promulgación de la Ley Corta I, agrupando todas las obras nuevas que tienen su remuneración asegurada por 20 años, en función del valor adjudicado en la respectiva licitación. Asimismo, se identificaron las obras de ampliación que fueron construidas bajo la vigencia de las disposiciones de la LGSE que fueron sustituidas por las disposiciones de la Ley 20.936 y que entraron en servicio después del 31 de diciembre de 2017, las que tampoco deben ser valorizadas.</w:t>
      </w:r>
    </w:p>
    <w:p w14:paraId="45B4A242" w14:textId="77777777" w:rsidR="003501B7" w:rsidRPr="00783166" w:rsidRDefault="003501B7" w:rsidP="003501B7">
      <w:pPr>
        <w:pStyle w:val="Subttulo"/>
      </w:pPr>
      <w:bookmarkStart w:id="33" w:name="_Toc38047799"/>
      <w:bookmarkStart w:id="34" w:name="_Toc39795232"/>
      <w:bookmarkStart w:id="35" w:name="_Toc39797912"/>
      <w:r>
        <w:t>T</w:t>
      </w:r>
      <w:r w:rsidRPr="00783166">
        <w:t xml:space="preserve">abla </w:t>
      </w:r>
      <w:fldSimple w:instr=" SEQ Tabla \* ARABIC ">
        <w:r w:rsidR="001F3E2E">
          <w:rPr>
            <w:noProof/>
          </w:rPr>
          <w:t>2</w:t>
        </w:r>
      </w:fldSimple>
      <w:r w:rsidRPr="00783166">
        <w:t xml:space="preserve">: </w:t>
      </w:r>
      <w:r w:rsidRPr="00F11C51">
        <w:t>Obras nuevas no valorizadas (VATT asegurado por 20 años)</w:t>
      </w:r>
      <w:bookmarkEnd w:id="33"/>
      <w:bookmarkEnd w:id="34"/>
      <w:bookmarkEnd w:id="35"/>
    </w:p>
    <w:tbl>
      <w:tblPr>
        <w:tblW w:w="969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firstRow="1" w:lastRow="0" w:firstColumn="1" w:lastColumn="0" w:noHBand="0" w:noVBand="1"/>
      </w:tblPr>
      <w:tblGrid>
        <w:gridCol w:w="5272"/>
        <w:gridCol w:w="1134"/>
        <w:gridCol w:w="964"/>
        <w:gridCol w:w="1247"/>
        <w:gridCol w:w="1077"/>
      </w:tblGrid>
      <w:tr w:rsidR="003501B7" w:rsidRPr="00893C83" w14:paraId="66CC3CD9" w14:textId="77777777" w:rsidTr="006B5A62">
        <w:trPr>
          <w:tblHeader/>
          <w:jc w:val="center"/>
        </w:trPr>
        <w:tc>
          <w:tcPr>
            <w:tcW w:w="5272" w:type="dxa"/>
            <w:shd w:val="clear" w:color="000000" w:fill="D9D9D9"/>
            <w:vAlign w:val="center"/>
            <w:hideMark/>
          </w:tcPr>
          <w:p w14:paraId="3DC1A9F3" w14:textId="77777777" w:rsidR="003501B7" w:rsidRPr="00893C83" w:rsidRDefault="003501B7" w:rsidP="006B5A62">
            <w:pPr>
              <w:spacing w:before="40" w:after="40" w:line="240" w:lineRule="auto"/>
              <w:jc w:val="center"/>
              <w:rPr>
                <w:rFonts w:eastAsia="Times New Roman" w:cs="Calibri"/>
                <w:b/>
                <w:bCs/>
                <w:color w:val="000000"/>
                <w:sz w:val="20"/>
                <w:szCs w:val="20"/>
                <w:lang w:eastAsia="es-CL"/>
              </w:rPr>
            </w:pPr>
            <w:r w:rsidRPr="00893C83">
              <w:rPr>
                <w:rFonts w:eastAsia="Times New Roman" w:cs="Calibri"/>
                <w:b/>
                <w:bCs/>
                <w:color w:val="000000"/>
                <w:sz w:val="20"/>
                <w:szCs w:val="20"/>
                <w:lang w:eastAsia="es-CL"/>
              </w:rPr>
              <w:lastRenderedPageBreak/>
              <w:t>Nombre de Obra</w:t>
            </w:r>
          </w:p>
        </w:tc>
        <w:tc>
          <w:tcPr>
            <w:tcW w:w="1134" w:type="dxa"/>
            <w:shd w:val="clear" w:color="000000" w:fill="D9D9D9"/>
            <w:vAlign w:val="center"/>
            <w:hideMark/>
          </w:tcPr>
          <w:p w14:paraId="49A19F4D" w14:textId="77777777" w:rsidR="003501B7" w:rsidRPr="00893C83" w:rsidRDefault="003501B7" w:rsidP="006B5A62">
            <w:pPr>
              <w:spacing w:before="40" w:after="40" w:line="240" w:lineRule="auto"/>
              <w:jc w:val="center"/>
              <w:rPr>
                <w:rFonts w:eastAsia="Times New Roman" w:cs="Calibri"/>
                <w:b/>
                <w:bCs/>
                <w:color w:val="000000"/>
                <w:sz w:val="20"/>
                <w:szCs w:val="20"/>
                <w:lang w:eastAsia="es-CL"/>
              </w:rPr>
            </w:pPr>
            <w:r w:rsidRPr="00893C83">
              <w:rPr>
                <w:rFonts w:eastAsia="Times New Roman" w:cs="Calibri"/>
                <w:b/>
                <w:bCs/>
                <w:color w:val="000000"/>
                <w:sz w:val="20"/>
                <w:szCs w:val="20"/>
                <w:lang w:eastAsia="es-CL"/>
              </w:rPr>
              <w:t>Propietario</w:t>
            </w:r>
          </w:p>
        </w:tc>
        <w:tc>
          <w:tcPr>
            <w:tcW w:w="964" w:type="dxa"/>
            <w:shd w:val="clear" w:color="000000" w:fill="D9D9D9"/>
            <w:vAlign w:val="center"/>
            <w:hideMark/>
          </w:tcPr>
          <w:p w14:paraId="58692683" w14:textId="77777777" w:rsidR="003501B7" w:rsidRPr="00893C83" w:rsidRDefault="003501B7" w:rsidP="006B5A62">
            <w:pPr>
              <w:spacing w:before="40" w:after="40" w:line="240" w:lineRule="auto"/>
              <w:jc w:val="center"/>
              <w:rPr>
                <w:rFonts w:eastAsia="Times New Roman" w:cs="Calibri"/>
                <w:b/>
                <w:bCs/>
                <w:color w:val="000000"/>
                <w:sz w:val="20"/>
                <w:szCs w:val="20"/>
                <w:lang w:eastAsia="es-CL"/>
              </w:rPr>
            </w:pPr>
            <w:r w:rsidRPr="00893C83">
              <w:rPr>
                <w:rFonts w:eastAsia="Times New Roman" w:cs="Calibri"/>
                <w:b/>
                <w:bCs/>
                <w:color w:val="000000"/>
                <w:sz w:val="20"/>
                <w:szCs w:val="20"/>
                <w:lang w:eastAsia="es-CL"/>
              </w:rPr>
              <w:t>Decreto Plan de Expansión</w:t>
            </w:r>
          </w:p>
        </w:tc>
        <w:tc>
          <w:tcPr>
            <w:tcW w:w="1247" w:type="dxa"/>
            <w:shd w:val="clear" w:color="000000" w:fill="D9D9D9"/>
            <w:vAlign w:val="center"/>
            <w:hideMark/>
          </w:tcPr>
          <w:p w14:paraId="54F74BC0" w14:textId="77777777" w:rsidR="003501B7" w:rsidRPr="00893C83" w:rsidRDefault="003501B7" w:rsidP="006B5A62">
            <w:pPr>
              <w:spacing w:before="40" w:after="40" w:line="240" w:lineRule="auto"/>
              <w:jc w:val="center"/>
              <w:rPr>
                <w:rFonts w:eastAsia="Times New Roman" w:cs="Calibri"/>
                <w:b/>
                <w:bCs/>
                <w:color w:val="000000"/>
                <w:sz w:val="20"/>
                <w:szCs w:val="20"/>
                <w:lang w:eastAsia="es-CL"/>
              </w:rPr>
            </w:pPr>
            <w:r w:rsidRPr="00893C83">
              <w:rPr>
                <w:rFonts w:eastAsia="Times New Roman" w:cs="Calibri"/>
                <w:b/>
                <w:bCs/>
                <w:color w:val="000000"/>
                <w:sz w:val="20"/>
                <w:szCs w:val="20"/>
                <w:lang w:eastAsia="es-CL"/>
              </w:rPr>
              <w:t>Decreto Adjudicación/Valorización</w:t>
            </w:r>
          </w:p>
        </w:tc>
        <w:tc>
          <w:tcPr>
            <w:tcW w:w="1077" w:type="dxa"/>
            <w:shd w:val="clear" w:color="000000" w:fill="D9D9D9"/>
            <w:vAlign w:val="center"/>
          </w:tcPr>
          <w:p w14:paraId="2E21EEA0" w14:textId="77777777" w:rsidR="003501B7" w:rsidRPr="00893C83" w:rsidRDefault="003501B7" w:rsidP="006B5A62">
            <w:pPr>
              <w:spacing w:before="40" w:after="40" w:line="240" w:lineRule="auto"/>
              <w:jc w:val="center"/>
              <w:rPr>
                <w:rFonts w:eastAsia="Times New Roman" w:cs="Calibri"/>
                <w:b/>
                <w:bCs/>
                <w:color w:val="000000"/>
                <w:sz w:val="20"/>
                <w:szCs w:val="20"/>
                <w:lang w:eastAsia="es-CL"/>
              </w:rPr>
            </w:pPr>
            <w:r w:rsidRPr="00893C83">
              <w:rPr>
                <w:rFonts w:eastAsia="Times New Roman" w:cs="Calibri"/>
                <w:b/>
                <w:bCs/>
                <w:color w:val="000000"/>
                <w:sz w:val="20"/>
                <w:szCs w:val="20"/>
                <w:lang w:eastAsia="es-CL"/>
              </w:rPr>
              <w:t>Fecha entrada operación</w:t>
            </w:r>
          </w:p>
        </w:tc>
      </w:tr>
      <w:tr w:rsidR="003501B7" w:rsidRPr="00893C83" w14:paraId="3E49003A" w14:textId="77777777" w:rsidTr="006B5A62">
        <w:trPr>
          <w:jc w:val="center"/>
        </w:trPr>
        <w:tc>
          <w:tcPr>
            <w:tcW w:w="5272" w:type="dxa"/>
            <w:shd w:val="clear" w:color="auto" w:fill="auto"/>
            <w:vAlign w:val="center"/>
          </w:tcPr>
          <w:p w14:paraId="44475109" w14:textId="77777777" w:rsidR="003501B7" w:rsidRPr="00893C83" w:rsidRDefault="003501B7" w:rsidP="006B5A62">
            <w:pPr>
              <w:spacing w:before="40" w:after="40" w:line="240" w:lineRule="auto"/>
              <w:jc w:val="left"/>
              <w:rPr>
                <w:rFonts w:cs="Calibri"/>
                <w:color w:val="000000"/>
                <w:sz w:val="20"/>
                <w:szCs w:val="20"/>
              </w:rPr>
            </w:pPr>
            <w:r w:rsidRPr="00893C83">
              <w:rPr>
                <w:rFonts w:cs="Calibri"/>
                <w:color w:val="000000"/>
                <w:sz w:val="20"/>
                <w:szCs w:val="20"/>
              </w:rPr>
              <w:t>Equipos CER ubicado en la Subestación Puerto Montt</w:t>
            </w:r>
          </w:p>
        </w:tc>
        <w:tc>
          <w:tcPr>
            <w:tcW w:w="1134" w:type="dxa"/>
            <w:shd w:val="clear" w:color="auto" w:fill="auto"/>
            <w:noWrap/>
            <w:vAlign w:val="center"/>
          </w:tcPr>
          <w:p w14:paraId="7EFC97F0" w14:textId="77777777" w:rsidR="003501B7" w:rsidRPr="00893C83" w:rsidRDefault="003501B7" w:rsidP="006B5A62">
            <w:pPr>
              <w:spacing w:before="40" w:after="40" w:line="240" w:lineRule="auto"/>
              <w:jc w:val="center"/>
              <w:rPr>
                <w:rFonts w:cs="Calibri"/>
                <w:color w:val="000000"/>
                <w:sz w:val="20"/>
                <w:szCs w:val="20"/>
              </w:rPr>
            </w:pPr>
            <w:r w:rsidRPr="00893C83">
              <w:rPr>
                <w:rFonts w:cs="Calibri"/>
                <w:color w:val="000000"/>
                <w:sz w:val="20"/>
                <w:szCs w:val="20"/>
              </w:rPr>
              <w:t>Transelec</w:t>
            </w:r>
          </w:p>
        </w:tc>
        <w:tc>
          <w:tcPr>
            <w:tcW w:w="964" w:type="dxa"/>
            <w:shd w:val="clear" w:color="auto" w:fill="auto"/>
            <w:noWrap/>
            <w:vAlign w:val="center"/>
          </w:tcPr>
          <w:p w14:paraId="3B5DD1F1" w14:textId="77777777" w:rsidR="003501B7" w:rsidRPr="00893C83" w:rsidRDefault="003501B7" w:rsidP="006B5A62">
            <w:pPr>
              <w:spacing w:before="40" w:after="40" w:line="240" w:lineRule="auto"/>
              <w:jc w:val="center"/>
              <w:rPr>
                <w:rFonts w:cs="Calibri"/>
                <w:color w:val="000000"/>
                <w:sz w:val="20"/>
                <w:szCs w:val="20"/>
              </w:rPr>
            </w:pPr>
            <w:r w:rsidRPr="00893C83">
              <w:rPr>
                <w:rFonts w:cs="Calibri"/>
                <w:color w:val="000000"/>
                <w:sz w:val="20"/>
                <w:szCs w:val="20"/>
              </w:rPr>
              <w:t>D231-04</w:t>
            </w:r>
          </w:p>
        </w:tc>
        <w:tc>
          <w:tcPr>
            <w:tcW w:w="1247" w:type="dxa"/>
            <w:shd w:val="clear" w:color="auto" w:fill="auto"/>
            <w:noWrap/>
            <w:vAlign w:val="center"/>
          </w:tcPr>
          <w:p w14:paraId="194BD8DB" w14:textId="77777777" w:rsidR="003501B7" w:rsidRPr="00893C83" w:rsidRDefault="003501B7" w:rsidP="006B5A62">
            <w:pPr>
              <w:spacing w:before="40" w:after="40" w:line="240" w:lineRule="auto"/>
              <w:jc w:val="center"/>
              <w:rPr>
                <w:rFonts w:cs="Calibri"/>
                <w:color w:val="000000"/>
                <w:sz w:val="20"/>
                <w:szCs w:val="20"/>
              </w:rPr>
            </w:pPr>
            <w:r w:rsidRPr="00893C83">
              <w:rPr>
                <w:rFonts w:cs="Calibri"/>
                <w:color w:val="000000"/>
                <w:sz w:val="20"/>
                <w:szCs w:val="20"/>
              </w:rPr>
              <w:t>D162-05</w:t>
            </w:r>
          </w:p>
        </w:tc>
        <w:tc>
          <w:tcPr>
            <w:tcW w:w="1077" w:type="dxa"/>
            <w:vAlign w:val="center"/>
          </w:tcPr>
          <w:p w14:paraId="0DCAF5EB" w14:textId="77777777" w:rsidR="003501B7" w:rsidRPr="00893C83" w:rsidRDefault="003501B7" w:rsidP="006B5A62">
            <w:pPr>
              <w:spacing w:before="40" w:after="40" w:line="240" w:lineRule="auto"/>
              <w:jc w:val="center"/>
              <w:rPr>
                <w:rFonts w:cs="Calibri"/>
                <w:color w:val="000000"/>
                <w:sz w:val="20"/>
                <w:szCs w:val="20"/>
              </w:rPr>
            </w:pPr>
            <w:r w:rsidRPr="00893C83">
              <w:rPr>
                <w:rFonts w:cs="Calibri"/>
                <w:color w:val="000000"/>
                <w:sz w:val="20"/>
                <w:szCs w:val="20"/>
              </w:rPr>
              <w:t>05-07-2007</w:t>
            </w:r>
          </w:p>
        </w:tc>
      </w:tr>
      <w:tr w:rsidR="003501B7" w:rsidRPr="00893C83" w14:paraId="3A5B8A73" w14:textId="77777777" w:rsidTr="006B5A62">
        <w:trPr>
          <w:jc w:val="center"/>
        </w:trPr>
        <w:tc>
          <w:tcPr>
            <w:tcW w:w="5272" w:type="dxa"/>
            <w:shd w:val="clear" w:color="auto" w:fill="auto"/>
            <w:vAlign w:val="center"/>
          </w:tcPr>
          <w:p w14:paraId="119A9255" w14:textId="77777777" w:rsidR="003501B7" w:rsidRPr="00893C83" w:rsidRDefault="003501B7" w:rsidP="006B5A62">
            <w:pPr>
              <w:spacing w:before="40" w:after="40" w:line="240" w:lineRule="auto"/>
              <w:jc w:val="left"/>
              <w:rPr>
                <w:rFonts w:cs="Calibri"/>
                <w:color w:val="000000"/>
                <w:sz w:val="20"/>
                <w:szCs w:val="20"/>
              </w:rPr>
            </w:pPr>
            <w:r w:rsidRPr="00893C83">
              <w:rPr>
                <w:rFonts w:cs="Calibri"/>
                <w:color w:val="000000"/>
                <w:sz w:val="20"/>
                <w:szCs w:val="20"/>
              </w:rPr>
              <w:t>Equipos CER ubicado en la Subestación Cardones</w:t>
            </w:r>
          </w:p>
        </w:tc>
        <w:tc>
          <w:tcPr>
            <w:tcW w:w="1134" w:type="dxa"/>
            <w:shd w:val="clear" w:color="auto" w:fill="auto"/>
            <w:noWrap/>
            <w:vAlign w:val="center"/>
          </w:tcPr>
          <w:p w14:paraId="71EC7183" w14:textId="77777777" w:rsidR="003501B7" w:rsidRPr="00893C83" w:rsidRDefault="003501B7" w:rsidP="006B5A62">
            <w:pPr>
              <w:spacing w:before="40" w:after="40" w:line="240" w:lineRule="auto"/>
              <w:jc w:val="center"/>
              <w:rPr>
                <w:rFonts w:cs="Calibri"/>
                <w:color w:val="000000"/>
                <w:sz w:val="20"/>
                <w:szCs w:val="20"/>
              </w:rPr>
            </w:pPr>
            <w:r w:rsidRPr="00893C83">
              <w:rPr>
                <w:rFonts w:cs="Calibri"/>
                <w:color w:val="000000"/>
                <w:sz w:val="20"/>
                <w:szCs w:val="20"/>
              </w:rPr>
              <w:t>Transelec</w:t>
            </w:r>
          </w:p>
        </w:tc>
        <w:tc>
          <w:tcPr>
            <w:tcW w:w="964" w:type="dxa"/>
            <w:shd w:val="clear" w:color="auto" w:fill="auto"/>
            <w:noWrap/>
            <w:vAlign w:val="center"/>
          </w:tcPr>
          <w:p w14:paraId="16CB95FE" w14:textId="77777777" w:rsidR="003501B7" w:rsidRPr="00893C83" w:rsidRDefault="003501B7" w:rsidP="006B5A62">
            <w:pPr>
              <w:spacing w:before="40" w:after="40" w:line="240" w:lineRule="auto"/>
              <w:jc w:val="center"/>
              <w:rPr>
                <w:rFonts w:cs="Calibri"/>
                <w:color w:val="000000"/>
                <w:sz w:val="20"/>
                <w:szCs w:val="20"/>
              </w:rPr>
            </w:pPr>
            <w:r w:rsidRPr="00893C83">
              <w:rPr>
                <w:rFonts w:cs="Calibri"/>
                <w:color w:val="000000"/>
                <w:sz w:val="20"/>
                <w:szCs w:val="20"/>
              </w:rPr>
              <w:t>D115-11</w:t>
            </w:r>
          </w:p>
        </w:tc>
        <w:tc>
          <w:tcPr>
            <w:tcW w:w="1247" w:type="dxa"/>
            <w:shd w:val="clear" w:color="auto" w:fill="auto"/>
            <w:noWrap/>
            <w:vAlign w:val="center"/>
          </w:tcPr>
          <w:p w14:paraId="1B45FE3A" w14:textId="77777777" w:rsidR="003501B7" w:rsidRPr="00893C83" w:rsidRDefault="003501B7" w:rsidP="006B5A62">
            <w:pPr>
              <w:spacing w:before="40" w:after="40" w:line="240" w:lineRule="auto"/>
              <w:jc w:val="center"/>
              <w:rPr>
                <w:rFonts w:cs="Calibri"/>
                <w:color w:val="000000"/>
                <w:sz w:val="20"/>
                <w:szCs w:val="20"/>
              </w:rPr>
            </w:pPr>
            <w:r w:rsidRPr="00893C83">
              <w:rPr>
                <w:rFonts w:cs="Calibri"/>
                <w:color w:val="000000"/>
                <w:sz w:val="20"/>
                <w:szCs w:val="20"/>
              </w:rPr>
              <w:t>D079-12</w:t>
            </w:r>
          </w:p>
        </w:tc>
        <w:tc>
          <w:tcPr>
            <w:tcW w:w="1077" w:type="dxa"/>
            <w:vAlign w:val="center"/>
          </w:tcPr>
          <w:p w14:paraId="6736BF73" w14:textId="77777777" w:rsidR="003501B7" w:rsidRPr="00893C83" w:rsidRDefault="003501B7" w:rsidP="006B5A62">
            <w:pPr>
              <w:spacing w:before="40" w:after="40" w:line="240" w:lineRule="auto"/>
              <w:jc w:val="center"/>
              <w:rPr>
                <w:rFonts w:cs="Calibri"/>
                <w:color w:val="000000"/>
                <w:sz w:val="20"/>
                <w:szCs w:val="20"/>
              </w:rPr>
            </w:pPr>
            <w:r w:rsidRPr="00893C83">
              <w:rPr>
                <w:rFonts w:cs="Calibri"/>
                <w:color w:val="000000"/>
                <w:sz w:val="20"/>
                <w:szCs w:val="20"/>
              </w:rPr>
              <w:t>14-12-2013</w:t>
            </w:r>
          </w:p>
        </w:tc>
      </w:tr>
      <w:tr w:rsidR="003501B7" w:rsidRPr="00893C83" w14:paraId="3022D470" w14:textId="77777777" w:rsidTr="006B5A62">
        <w:trPr>
          <w:jc w:val="center"/>
        </w:trPr>
        <w:tc>
          <w:tcPr>
            <w:tcW w:w="5272" w:type="dxa"/>
            <w:shd w:val="clear" w:color="auto" w:fill="auto"/>
            <w:vAlign w:val="center"/>
          </w:tcPr>
          <w:p w14:paraId="64DB384A" w14:textId="77777777" w:rsidR="003501B7" w:rsidRPr="00893C83" w:rsidRDefault="003501B7" w:rsidP="006B5A62">
            <w:pPr>
              <w:spacing w:before="40" w:after="40" w:line="240" w:lineRule="auto"/>
              <w:jc w:val="left"/>
              <w:rPr>
                <w:rFonts w:cs="Calibri"/>
                <w:color w:val="000000"/>
                <w:sz w:val="20"/>
                <w:szCs w:val="20"/>
              </w:rPr>
            </w:pPr>
            <w:r w:rsidRPr="00893C83">
              <w:rPr>
                <w:rFonts w:cs="Calibri"/>
                <w:color w:val="000000"/>
                <w:sz w:val="20"/>
                <w:szCs w:val="20"/>
              </w:rPr>
              <w:t>Nueva Línea 2x220 Ciruelos-Pichirropulli: tendido del primer circuito</w:t>
            </w:r>
          </w:p>
        </w:tc>
        <w:tc>
          <w:tcPr>
            <w:tcW w:w="1134" w:type="dxa"/>
            <w:shd w:val="clear" w:color="auto" w:fill="auto"/>
            <w:noWrap/>
            <w:vAlign w:val="center"/>
          </w:tcPr>
          <w:p w14:paraId="490B58E8" w14:textId="77777777" w:rsidR="003501B7" w:rsidRPr="00893C83" w:rsidRDefault="003501B7" w:rsidP="006B5A62">
            <w:pPr>
              <w:spacing w:before="40" w:after="40" w:line="240" w:lineRule="auto"/>
              <w:jc w:val="center"/>
              <w:rPr>
                <w:rFonts w:cs="Calibri"/>
                <w:color w:val="000000"/>
                <w:sz w:val="20"/>
                <w:szCs w:val="20"/>
              </w:rPr>
            </w:pPr>
            <w:r w:rsidRPr="00893C83">
              <w:rPr>
                <w:rFonts w:cs="Calibri"/>
                <w:color w:val="000000"/>
                <w:sz w:val="20"/>
                <w:szCs w:val="20"/>
              </w:rPr>
              <w:t>Eletrans</w:t>
            </w:r>
          </w:p>
        </w:tc>
        <w:tc>
          <w:tcPr>
            <w:tcW w:w="964" w:type="dxa"/>
            <w:shd w:val="clear" w:color="auto" w:fill="auto"/>
            <w:noWrap/>
            <w:vAlign w:val="center"/>
          </w:tcPr>
          <w:p w14:paraId="535E96F2" w14:textId="77777777" w:rsidR="003501B7" w:rsidRPr="00893C83" w:rsidRDefault="003501B7" w:rsidP="006B5A62">
            <w:pPr>
              <w:spacing w:before="40" w:after="40" w:line="240" w:lineRule="auto"/>
              <w:jc w:val="center"/>
              <w:rPr>
                <w:rFonts w:cs="Calibri"/>
                <w:color w:val="000000"/>
                <w:sz w:val="20"/>
                <w:szCs w:val="20"/>
              </w:rPr>
            </w:pPr>
            <w:r w:rsidRPr="00893C83">
              <w:rPr>
                <w:rFonts w:cs="Calibri"/>
                <w:color w:val="000000"/>
                <w:sz w:val="20"/>
                <w:szCs w:val="20"/>
              </w:rPr>
              <w:t>D115-11</w:t>
            </w:r>
          </w:p>
        </w:tc>
        <w:tc>
          <w:tcPr>
            <w:tcW w:w="1247" w:type="dxa"/>
            <w:shd w:val="clear" w:color="auto" w:fill="auto"/>
            <w:noWrap/>
            <w:vAlign w:val="center"/>
          </w:tcPr>
          <w:p w14:paraId="6ED19382" w14:textId="77777777" w:rsidR="003501B7" w:rsidRPr="00893C83" w:rsidRDefault="003501B7" w:rsidP="006B5A62">
            <w:pPr>
              <w:spacing w:before="40" w:after="40" w:line="240" w:lineRule="auto"/>
              <w:jc w:val="center"/>
              <w:rPr>
                <w:rFonts w:cs="Calibri"/>
                <w:color w:val="000000"/>
                <w:sz w:val="20"/>
                <w:szCs w:val="20"/>
              </w:rPr>
            </w:pPr>
            <w:r w:rsidRPr="00893C83">
              <w:rPr>
                <w:rFonts w:cs="Calibri"/>
                <w:color w:val="000000"/>
                <w:sz w:val="20"/>
                <w:szCs w:val="20"/>
              </w:rPr>
              <w:t>D102-12</w:t>
            </w:r>
          </w:p>
        </w:tc>
        <w:tc>
          <w:tcPr>
            <w:tcW w:w="1077" w:type="dxa"/>
            <w:vAlign w:val="center"/>
          </w:tcPr>
          <w:p w14:paraId="7914DB02" w14:textId="77777777" w:rsidR="003501B7" w:rsidRPr="00893C83" w:rsidRDefault="003501B7" w:rsidP="006B5A62">
            <w:pPr>
              <w:spacing w:before="40" w:after="40" w:line="240" w:lineRule="auto"/>
              <w:jc w:val="center"/>
              <w:rPr>
                <w:rFonts w:cs="Calibri"/>
                <w:color w:val="000000"/>
                <w:sz w:val="20"/>
                <w:szCs w:val="20"/>
              </w:rPr>
            </w:pPr>
            <w:r w:rsidRPr="00893C83">
              <w:rPr>
                <w:rFonts w:cs="Calibri"/>
                <w:color w:val="000000"/>
                <w:sz w:val="20"/>
                <w:szCs w:val="20"/>
              </w:rPr>
              <w:t>03-09-2017</w:t>
            </w:r>
          </w:p>
        </w:tc>
      </w:tr>
      <w:tr w:rsidR="003501B7" w:rsidRPr="00893C83" w14:paraId="50DD15F3" w14:textId="77777777" w:rsidTr="006B5A62">
        <w:trPr>
          <w:jc w:val="center"/>
        </w:trPr>
        <w:tc>
          <w:tcPr>
            <w:tcW w:w="5272" w:type="dxa"/>
            <w:shd w:val="clear" w:color="auto" w:fill="auto"/>
            <w:vAlign w:val="center"/>
          </w:tcPr>
          <w:p w14:paraId="433C9824" w14:textId="77777777" w:rsidR="003501B7" w:rsidRPr="00893C83" w:rsidRDefault="003501B7" w:rsidP="006B5A62">
            <w:pPr>
              <w:spacing w:before="40" w:after="40" w:line="240" w:lineRule="auto"/>
              <w:jc w:val="left"/>
              <w:rPr>
                <w:rFonts w:cs="Calibri"/>
                <w:color w:val="000000"/>
                <w:sz w:val="20"/>
                <w:szCs w:val="20"/>
              </w:rPr>
            </w:pPr>
            <w:r w:rsidRPr="00893C83">
              <w:rPr>
                <w:rFonts w:cs="Calibri"/>
                <w:color w:val="000000"/>
                <w:sz w:val="20"/>
                <w:szCs w:val="20"/>
              </w:rPr>
              <w:t>Nueva Línea 2x500 Charrúa-Ancoa: tendido del primer circuito</w:t>
            </w:r>
          </w:p>
        </w:tc>
        <w:tc>
          <w:tcPr>
            <w:tcW w:w="1134" w:type="dxa"/>
            <w:shd w:val="clear" w:color="auto" w:fill="auto"/>
            <w:noWrap/>
            <w:vAlign w:val="center"/>
          </w:tcPr>
          <w:p w14:paraId="06A5738D" w14:textId="77777777" w:rsidR="003501B7" w:rsidRPr="00893C83" w:rsidRDefault="003501B7" w:rsidP="006B5A62">
            <w:pPr>
              <w:spacing w:before="40" w:after="40" w:line="240" w:lineRule="auto"/>
              <w:jc w:val="center"/>
              <w:rPr>
                <w:rFonts w:cs="Calibri"/>
                <w:color w:val="000000"/>
                <w:sz w:val="20"/>
                <w:szCs w:val="20"/>
              </w:rPr>
            </w:pPr>
            <w:r w:rsidRPr="00893C83">
              <w:rPr>
                <w:rFonts w:cs="Calibri"/>
                <w:color w:val="000000"/>
                <w:sz w:val="20"/>
                <w:szCs w:val="20"/>
              </w:rPr>
              <w:t>CHATE</w:t>
            </w:r>
          </w:p>
        </w:tc>
        <w:tc>
          <w:tcPr>
            <w:tcW w:w="964" w:type="dxa"/>
            <w:shd w:val="clear" w:color="auto" w:fill="auto"/>
            <w:noWrap/>
            <w:vAlign w:val="center"/>
          </w:tcPr>
          <w:p w14:paraId="144E8CDE" w14:textId="77777777" w:rsidR="003501B7" w:rsidRPr="00893C83" w:rsidRDefault="003501B7" w:rsidP="006B5A62">
            <w:pPr>
              <w:spacing w:before="40" w:after="40" w:line="240" w:lineRule="auto"/>
              <w:jc w:val="center"/>
              <w:rPr>
                <w:rFonts w:cs="Calibri"/>
                <w:color w:val="000000"/>
                <w:sz w:val="20"/>
                <w:szCs w:val="20"/>
              </w:rPr>
            </w:pPr>
            <w:r w:rsidRPr="00893C83">
              <w:rPr>
                <w:rFonts w:cs="Calibri"/>
                <w:color w:val="000000"/>
                <w:sz w:val="20"/>
                <w:szCs w:val="20"/>
              </w:rPr>
              <w:t>D115-11</w:t>
            </w:r>
          </w:p>
        </w:tc>
        <w:tc>
          <w:tcPr>
            <w:tcW w:w="1247" w:type="dxa"/>
            <w:shd w:val="clear" w:color="auto" w:fill="auto"/>
            <w:noWrap/>
            <w:vAlign w:val="center"/>
          </w:tcPr>
          <w:p w14:paraId="247ECD4F" w14:textId="77777777" w:rsidR="003501B7" w:rsidRPr="00893C83" w:rsidRDefault="003501B7" w:rsidP="006B5A62">
            <w:pPr>
              <w:spacing w:before="40" w:after="40" w:line="240" w:lineRule="auto"/>
              <w:jc w:val="center"/>
              <w:rPr>
                <w:rFonts w:cs="Calibri"/>
                <w:color w:val="000000"/>
                <w:sz w:val="20"/>
                <w:szCs w:val="20"/>
              </w:rPr>
            </w:pPr>
            <w:r w:rsidRPr="00893C83">
              <w:rPr>
                <w:rFonts w:cs="Calibri"/>
                <w:color w:val="000000"/>
                <w:sz w:val="20"/>
                <w:szCs w:val="20"/>
              </w:rPr>
              <w:t>D108-12</w:t>
            </w:r>
          </w:p>
        </w:tc>
        <w:tc>
          <w:tcPr>
            <w:tcW w:w="1077" w:type="dxa"/>
            <w:vAlign w:val="center"/>
          </w:tcPr>
          <w:p w14:paraId="2F970D11" w14:textId="77777777" w:rsidR="003501B7" w:rsidRPr="00893C83" w:rsidRDefault="003501B7" w:rsidP="006B5A62">
            <w:pPr>
              <w:spacing w:before="40" w:after="40" w:line="240" w:lineRule="auto"/>
              <w:jc w:val="center"/>
              <w:rPr>
                <w:rFonts w:cs="Calibri"/>
                <w:color w:val="000000"/>
                <w:sz w:val="20"/>
                <w:szCs w:val="20"/>
              </w:rPr>
            </w:pPr>
            <w:r w:rsidRPr="00893C83">
              <w:rPr>
                <w:rFonts w:cs="Calibri"/>
                <w:color w:val="000000"/>
                <w:sz w:val="20"/>
                <w:szCs w:val="20"/>
              </w:rPr>
              <w:t>24-12-2017</w:t>
            </w:r>
          </w:p>
        </w:tc>
      </w:tr>
      <w:tr w:rsidR="003501B7" w:rsidRPr="00893C83" w14:paraId="5AE37CF2" w14:textId="77777777" w:rsidTr="006B5A62">
        <w:trPr>
          <w:jc w:val="center"/>
        </w:trPr>
        <w:tc>
          <w:tcPr>
            <w:tcW w:w="5272" w:type="dxa"/>
            <w:shd w:val="clear" w:color="auto" w:fill="auto"/>
            <w:vAlign w:val="center"/>
          </w:tcPr>
          <w:p w14:paraId="4C9FDDC6" w14:textId="77777777" w:rsidR="003501B7" w:rsidRPr="00893C83" w:rsidRDefault="003501B7" w:rsidP="006B5A62">
            <w:pPr>
              <w:spacing w:before="40" w:after="40" w:line="240" w:lineRule="auto"/>
              <w:jc w:val="left"/>
              <w:rPr>
                <w:rFonts w:cs="Calibri"/>
                <w:color w:val="000000"/>
                <w:sz w:val="20"/>
                <w:szCs w:val="20"/>
              </w:rPr>
            </w:pPr>
            <w:r w:rsidRPr="00893C83">
              <w:rPr>
                <w:rFonts w:cs="Calibri"/>
                <w:color w:val="000000"/>
                <w:sz w:val="20"/>
                <w:szCs w:val="20"/>
              </w:rPr>
              <w:t>Obra Nueva Línea 2x220 kV Encuentro - Lagunas Primer Circuito</w:t>
            </w:r>
          </w:p>
        </w:tc>
        <w:tc>
          <w:tcPr>
            <w:tcW w:w="1134" w:type="dxa"/>
            <w:shd w:val="clear" w:color="auto" w:fill="auto"/>
            <w:noWrap/>
            <w:vAlign w:val="center"/>
          </w:tcPr>
          <w:p w14:paraId="2C0BCE3F" w14:textId="77777777" w:rsidR="003501B7" w:rsidRPr="00893C83" w:rsidRDefault="003501B7" w:rsidP="006B5A62">
            <w:pPr>
              <w:spacing w:before="40" w:after="40" w:line="240" w:lineRule="auto"/>
              <w:jc w:val="center"/>
              <w:rPr>
                <w:rFonts w:cs="Calibri"/>
                <w:color w:val="000000"/>
                <w:sz w:val="20"/>
                <w:szCs w:val="20"/>
              </w:rPr>
            </w:pPr>
            <w:r w:rsidRPr="00893C83">
              <w:rPr>
                <w:rFonts w:cs="Calibri"/>
                <w:color w:val="000000"/>
                <w:sz w:val="20"/>
                <w:szCs w:val="20"/>
              </w:rPr>
              <w:t>Interchile</w:t>
            </w:r>
          </w:p>
        </w:tc>
        <w:tc>
          <w:tcPr>
            <w:tcW w:w="964" w:type="dxa"/>
            <w:shd w:val="clear" w:color="auto" w:fill="auto"/>
            <w:noWrap/>
            <w:vAlign w:val="center"/>
          </w:tcPr>
          <w:p w14:paraId="5BF40E24" w14:textId="77777777" w:rsidR="003501B7" w:rsidRPr="00893C83" w:rsidRDefault="003501B7" w:rsidP="006B5A62">
            <w:pPr>
              <w:spacing w:before="40" w:after="40" w:line="240" w:lineRule="auto"/>
              <w:jc w:val="center"/>
              <w:rPr>
                <w:rFonts w:cs="Calibri"/>
                <w:color w:val="000000"/>
                <w:sz w:val="20"/>
                <w:szCs w:val="20"/>
              </w:rPr>
            </w:pPr>
            <w:r w:rsidRPr="00893C83">
              <w:rPr>
                <w:rFonts w:cs="Calibri"/>
                <w:color w:val="000000"/>
                <w:sz w:val="20"/>
                <w:szCs w:val="20"/>
              </w:rPr>
              <w:t>D082-12</w:t>
            </w:r>
          </w:p>
        </w:tc>
        <w:tc>
          <w:tcPr>
            <w:tcW w:w="1247" w:type="dxa"/>
            <w:shd w:val="clear" w:color="auto" w:fill="auto"/>
            <w:noWrap/>
            <w:vAlign w:val="center"/>
          </w:tcPr>
          <w:p w14:paraId="3CCF7151" w14:textId="77777777" w:rsidR="003501B7" w:rsidRPr="00893C83" w:rsidRDefault="003501B7" w:rsidP="006B5A62">
            <w:pPr>
              <w:spacing w:before="40" w:after="40" w:line="240" w:lineRule="auto"/>
              <w:jc w:val="center"/>
              <w:rPr>
                <w:rFonts w:cs="Calibri"/>
                <w:color w:val="000000"/>
                <w:sz w:val="20"/>
                <w:szCs w:val="20"/>
              </w:rPr>
            </w:pPr>
            <w:r w:rsidRPr="00893C83">
              <w:rPr>
                <w:rFonts w:cs="Calibri"/>
                <w:color w:val="000000"/>
                <w:sz w:val="20"/>
                <w:szCs w:val="20"/>
              </w:rPr>
              <w:t>D05T-13</w:t>
            </w:r>
          </w:p>
        </w:tc>
        <w:tc>
          <w:tcPr>
            <w:tcW w:w="1077" w:type="dxa"/>
            <w:vAlign w:val="center"/>
          </w:tcPr>
          <w:p w14:paraId="7D3AFC06" w14:textId="77777777" w:rsidR="003501B7" w:rsidRPr="00893C83" w:rsidRDefault="003501B7" w:rsidP="006B5A62">
            <w:pPr>
              <w:spacing w:before="40" w:after="40" w:line="240" w:lineRule="auto"/>
              <w:jc w:val="center"/>
              <w:rPr>
                <w:rFonts w:cs="Calibri"/>
                <w:color w:val="000000"/>
                <w:sz w:val="20"/>
                <w:szCs w:val="20"/>
              </w:rPr>
            </w:pPr>
            <w:r w:rsidRPr="00893C83">
              <w:rPr>
                <w:rFonts w:cs="Calibri"/>
                <w:color w:val="000000"/>
                <w:sz w:val="20"/>
                <w:szCs w:val="20"/>
              </w:rPr>
              <w:t>01-06-2017</w:t>
            </w:r>
          </w:p>
        </w:tc>
      </w:tr>
      <w:tr w:rsidR="003501B7" w:rsidRPr="00893C83" w14:paraId="2850A999" w14:textId="77777777" w:rsidTr="006B5A62">
        <w:trPr>
          <w:jc w:val="center"/>
        </w:trPr>
        <w:tc>
          <w:tcPr>
            <w:tcW w:w="5272" w:type="dxa"/>
            <w:shd w:val="clear" w:color="auto" w:fill="auto"/>
            <w:vAlign w:val="center"/>
          </w:tcPr>
          <w:p w14:paraId="643D3909" w14:textId="77777777" w:rsidR="003501B7" w:rsidRPr="00893C83" w:rsidRDefault="003501B7" w:rsidP="006B5A62">
            <w:pPr>
              <w:spacing w:before="40" w:after="40" w:line="240" w:lineRule="auto"/>
              <w:jc w:val="left"/>
              <w:rPr>
                <w:rFonts w:cs="Calibri"/>
                <w:color w:val="000000"/>
                <w:sz w:val="20"/>
                <w:szCs w:val="20"/>
              </w:rPr>
            </w:pPr>
            <w:r w:rsidRPr="00893C83">
              <w:rPr>
                <w:rFonts w:cs="Calibri"/>
                <w:color w:val="000000"/>
                <w:sz w:val="20"/>
                <w:szCs w:val="20"/>
              </w:rPr>
              <w:t>Nueva Línea 2x220 kV entre S/E Changos y S/E Kapatur</w:t>
            </w:r>
          </w:p>
        </w:tc>
        <w:tc>
          <w:tcPr>
            <w:tcW w:w="1134" w:type="dxa"/>
            <w:shd w:val="clear" w:color="auto" w:fill="auto"/>
            <w:noWrap/>
            <w:vAlign w:val="center"/>
          </w:tcPr>
          <w:p w14:paraId="1BC20868" w14:textId="77777777" w:rsidR="003501B7" w:rsidRPr="00893C83" w:rsidRDefault="003501B7" w:rsidP="006B5A62">
            <w:pPr>
              <w:spacing w:before="40" w:after="40" w:line="240" w:lineRule="auto"/>
              <w:jc w:val="center"/>
              <w:rPr>
                <w:rFonts w:cs="Calibri"/>
                <w:color w:val="000000"/>
                <w:sz w:val="20"/>
                <w:szCs w:val="20"/>
              </w:rPr>
            </w:pPr>
            <w:r w:rsidRPr="00893C83">
              <w:rPr>
                <w:rFonts w:cs="Calibri"/>
                <w:color w:val="000000"/>
                <w:sz w:val="20"/>
                <w:szCs w:val="20"/>
              </w:rPr>
              <w:t>Transelec Concesiones</w:t>
            </w:r>
          </w:p>
        </w:tc>
        <w:tc>
          <w:tcPr>
            <w:tcW w:w="964" w:type="dxa"/>
            <w:shd w:val="clear" w:color="auto" w:fill="auto"/>
            <w:noWrap/>
            <w:vAlign w:val="center"/>
          </w:tcPr>
          <w:p w14:paraId="7DC9341A" w14:textId="77777777" w:rsidR="003501B7" w:rsidRPr="00893C83" w:rsidRDefault="003501B7" w:rsidP="006B5A62">
            <w:pPr>
              <w:spacing w:before="40" w:after="40" w:line="240" w:lineRule="auto"/>
              <w:jc w:val="center"/>
              <w:rPr>
                <w:rFonts w:cs="Calibri"/>
                <w:color w:val="000000"/>
                <w:sz w:val="20"/>
                <w:szCs w:val="20"/>
              </w:rPr>
            </w:pPr>
            <w:r w:rsidRPr="00893C83">
              <w:rPr>
                <w:rFonts w:cs="Calibri"/>
                <w:color w:val="000000"/>
                <w:sz w:val="20"/>
                <w:szCs w:val="20"/>
              </w:rPr>
              <w:t>D158-15</w:t>
            </w:r>
          </w:p>
        </w:tc>
        <w:tc>
          <w:tcPr>
            <w:tcW w:w="1247" w:type="dxa"/>
            <w:shd w:val="clear" w:color="auto" w:fill="auto"/>
            <w:noWrap/>
            <w:vAlign w:val="center"/>
          </w:tcPr>
          <w:p w14:paraId="2AE0BDBC" w14:textId="77777777" w:rsidR="003501B7" w:rsidRPr="00893C83" w:rsidRDefault="003501B7" w:rsidP="006B5A62">
            <w:pPr>
              <w:spacing w:before="40" w:after="40" w:line="240" w:lineRule="auto"/>
              <w:jc w:val="center"/>
              <w:rPr>
                <w:rFonts w:cs="Calibri"/>
                <w:color w:val="000000"/>
                <w:sz w:val="20"/>
                <w:szCs w:val="20"/>
              </w:rPr>
            </w:pPr>
            <w:r w:rsidRPr="00893C83">
              <w:rPr>
                <w:rFonts w:cs="Calibri"/>
                <w:color w:val="000000"/>
                <w:sz w:val="20"/>
                <w:szCs w:val="20"/>
              </w:rPr>
              <w:t>D03T-16</w:t>
            </w:r>
          </w:p>
        </w:tc>
        <w:tc>
          <w:tcPr>
            <w:tcW w:w="1077" w:type="dxa"/>
            <w:vAlign w:val="center"/>
          </w:tcPr>
          <w:p w14:paraId="0ADBAB8B" w14:textId="77777777" w:rsidR="003501B7" w:rsidRPr="00893C83" w:rsidRDefault="003501B7" w:rsidP="006B5A62">
            <w:pPr>
              <w:spacing w:before="40" w:after="40" w:line="240" w:lineRule="auto"/>
              <w:jc w:val="center"/>
              <w:rPr>
                <w:rFonts w:cs="Calibri"/>
                <w:color w:val="000000"/>
                <w:sz w:val="20"/>
                <w:szCs w:val="20"/>
              </w:rPr>
            </w:pPr>
            <w:r w:rsidRPr="00893C83">
              <w:rPr>
                <w:rFonts w:cs="Calibri"/>
                <w:color w:val="000000"/>
                <w:sz w:val="20"/>
                <w:szCs w:val="20"/>
              </w:rPr>
              <w:t>20-11-2017</w:t>
            </w:r>
          </w:p>
        </w:tc>
      </w:tr>
      <w:tr w:rsidR="003501B7" w:rsidRPr="00893C83" w14:paraId="2290EBF8" w14:textId="77777777" w:rsidTr="006B5A62">
        <w:trPr>
          <w:jc w:val="center"/>
        </w:trPr>
        <w:tc>
          <w:tcPr>
            <w:tcW w:w="5272" w:type="dxa"/>
            <w:shd w:val="clear" w:color="auto" w:fill="auto"/>
            <w:vAlign w:val="center"/>
          </w:tcPr>
          <w:p w14:paraId="39870B9A" w14:textId="77777777" w:rsidR="003501B7" w:rsidRPr="00893C83" w:rsidRDefault="003501B7" w:rsidP="006B5A62">
            <w:pPr>
              <w:spacing w:before="40" w:after="40" w:line="240" w:lineRule="auto"/>
              <w:jc w:val="left"/>
              <w:rPr>
                <w:rFonts w:cs="Calibri"/>
                <w:color w:val="000000"/>
                <w:sz w:val="20"/>
                <w:szCs w:val="20"/>
              </w:rPr>
            </w:pPr>
            <w:r w:rsidRPr="00893C83">
              <w:rPr>
                <w:rFonts w:cs="Calibri"/>
                <w:color w:val="000000"/>
                <w:sz w:val="20"/>
                <w:szCs w:val="20"/>
              </w:rPr>
              <w:t>Nueva Línea Nogales - Polpaico 2x220 kV</w:t>
            </w:r>
          </w:p>
        </w:tc>
        <w:tc>
          <w:tcPr>
            <w:tcW w:w="1134" w:type="dxa"/>
            <w:shd w:val="clear" w:color="auto" w:fill="auto"/>
            <w:noWrap/>
            <w:vAlign w:val="center"/>
          </w:tcPr>
          <w:p w14:paraId="0CD4F58E" w14:textId="77777777" w:rsidR="003501B7" w:rsidRPr="00893C83" w:rsidRDefault="003501B7" w:rsidP="006B5A62">
            <w:pPr>
              <w:spacing w:before="40" w:after="40" w:line="240" w:lineRule="auto"/>
              <w:jc w:val="center"/>
              <w:rPr>
                <w:rFonts w:cs="Calibri"/>
                <w:color w:val="000000"/>
                <w:sz w:val="20"/>
                <w:szCs w:val="20"/>
              </w:rPr>
            </w:pPr>
            <w:r w:rsidRPr="00893C83">
              <w:rPr>
                <w:rFonts w:cs="Calibri"/>
                <w:color w:val="000000"/>
                <w:sz w:val="20"/>
                <w:szCs w:val="20"/>
              </w:rPr>
              <w:t>Transelec</w:t>
            </w:r>
          </w:p>
        </w:tc>
        <w:tc>
          <w:tcPr>
            <w:tcW w:w="964" w:type="dxa"/>
            <w:shd w:val="clear" w:color="auto" w:fill="auto"/>
            <w:noWrap/>
            <w:vAlign w:val="center"/>
          </w:tcPr>
          <w:p w14:paraId="60DCFD8F" w14:textId="77777777" w:rsidR="003501B7" w:rsidRPr="00893C83" w:rsidRDefault="003501B7" w:rsidP="006B5A62">
            <w:pPr>
              <w:spacing w:before="40" w:after="40" w:line="240" w:lineRule="auto"/>
              <w:jc w:val="center"/>
              <w:rPr>
                <w:rFonts w:cs="Calibri"/>
                <w:color w:val="000000"/>
                <w:sz w:val="20"/>
                <w:szCs w:val="20"/>
              </w:rPr>
            </w:pPr>
            <w:r w:rsidRPr="00893C83">
              <w:rPr>
                <w:rFonts w:cs="Calibri"/>
                <w:color w:val="000000"/>
                <w:sz w:val="20"/>
                <w:szCs w:val="20"/>
              </w:rPr>
              <w:t>D282-07</w:t>
            </w:r>
          </w:p>
        </w:tc>
        <w:tc>
          <w:tcPr>
            <w:tcW w:w="1247" w:type="dxa"/>
            <w:shd w:val="clear" w:color="auto" w:fill="auto"/>
            <w:noWrap/>
            <w:vAlign w:val="center"/>
          </w:tcPr>
          <w:p w14:paraId="18F840E7" w14:textId="77777777" w:rsidR="003501B7" w:rsidRPr="00893C83" w:rsidRDefault="003501B7" w:rsidP="006B5A62">
            <w:pPr>
              <w:spacing w:before="40" w:after="40" w:line="240" w:lineRule="auto"/>
              <w:jc w:val="center"/>
              <w:rPr>
                <w:rFonts w:cs="Calibri"/>
                <w:color w:val="000000"/>
                <w:sz w:val="20"/>
                <w:szCs w:val="20"/>
              </w:rPr>
            </w:pPr>
            <w:r w:rsidRPr="00893C83">
              <w:rPr>
                <w:rFonts w:cs="Calibri"/>
                <w:color w:val="000000"/>
                <w:sz w:val="20"/>
                <w:szCs w:val="20"/>
              </w:rPr>
              <w:t>D118-08</w:t>
            </w:r>
          </w:p>
        </w:tc>
        <w:tc>
          <w:tcPr>
            <w:tcW w:w="1077" w:type="dxa"/>
            <w:vAlign w:val="center"/>
          </w:tcPr>
          <w:p w14:paraId="06DE8B41" w14:textId="77777777" w:rsidR="003501B7" w:rsidRPr="00893C83" w:rsidRDefault="003501B7" w:rsidP="006B5A62">
            <w:pPr>
              <w:spacing w:before="40" w:after="40" w:line="240" w:lineRule="auto"/>
              <w:jc w:val="center"/>
              <w:rPr>
                <w:rFonts w:cs="Calibri"/>
                <w:color w:val="000000"/>
                <w:sz w:val="20"/>
                <w:szCs w:val="20"/>
              </w:rPr>
            </w:pPr>
            <w:r w:rsidRPr="00893C83">
              <w:rPr>
                <w:rFonts w:cs="Calibri"/>
                <w:color w:val="000000"/>
                <w:sz w:val="20"/>
                <w:szCs w:val="20"/>
              </w:rPr>
              <w:t>08-12-2011</w:t>
            </w:r>
          </w:p>
        </w:tc>
      </w:tr>
      <w:tr w:rsidR="003501B7" w:rsidRPr="00893C83" w14:paraId="6D8AF04E" w14:textId="77777777" w:rsidTr="006B5A62">
        <w:trPr>
          <w:jc w:val="center"/>
        </w:trPr>
        <w:tc>
          <w:tcPr>
            <w:tcW w:w="5272" w:type="dxa"/>
            <w:shd w:val="clear" w:color="auto" w:fill="auto"/>
            <w:vAlign w:val="center"/>
          </w:tcPr>
          <w:p w14:paraId="2CB95B24" w14:textId="77777777" w:rsidR="003501B7" w:rsidRPr="00893C83" w:rsidRDefault="003501B7" w:rsidP="006B5A62">
            <w:pPr>
              <w:spacing w:before="40" w:after="40" w:line="240" w:lineRule="auto"/>
              <w:jc w:val="left"/>
              <w:rPr>
                <w:rFonts w:cs="Calibri"/>
                <w:color w:val="000000"/>
                <w:sz w:val="20"/>
                <w:szCs w:val="20"/>
              </w:rPr>
            </w:pPr>
            <w:r w:rsidRPr="00893C83">
              <w:rPr>
                <w:rFonts w:cs="Calibri"/>
                <w:color w:val="000000"/>
                <w:sz w:val="20"/>
                <w:szCs w:val="20"/>
              </w:rPr>
              <w:t>Nueva Línea Cardones - Diego de Almagro 2x 220 kV: tendido del primer circuito</w:t>
            </w:r>
          </w:p>
        </w:tc>
        <w:tc>
          <w:tcPr>
            <w:tcW w:w="1134" w:type="dxa"/>
            <w:shd w:val="clear" w:color="auto" w:fill="auto"/>
            <w:noWrap/>
            <w:vAlign w:val="center"/>
          </w:tcPr>
          <w:p w14:paraId="5DEA49F2" w14:textId="77777777" w:rsidR="003501B7" w:rsidRPr="00893C83" w:rsidRDefault="003501B7" w:rsidP="006B5A62">
            <w:pPr>
              <w:spacing w:before="40" w:after="40" w:line="240" w:lineRule="auto"/>
              <w:jc w:val="center"/>
              <w:rPr>
                <w:rFonts w:cs="Calibri"/>
                <w:color w:val="000000"/>
                <w:sz w:val="20"/>
                <w:szCs w:val="20"/>
              </w:rPr>
            </w:pPr>
            <w:r w:rsidRPr="00893C83">
              <w:rPr>
                <w:rFonts w:cs="Calibri"/>
                <w:color w:val="000000"/>
                <w:sz w:val="20"/>
                <w:szCs w:val="20"/>
              </w:rPr>
              <w:t>Eletrans</w:t>
            </w:r>
          </w:p>
        </w:tc>
        <w:tc>
          <w:tcPr>
            <w:tcW w:w="964" w:type="dxa"/>
            <w:shd w:val="clear" w:color="auto" w:fill="auto"/>
            <w:noWrap/>
            <w:vAlign w:val="center"/>
          </w:tcPr>
          <w:p w14:paraId="0023A8E7" w14:textId="77777777" w:rsidR="003501B7" w:rsidRPr="00893C83" w:rsidRDefault="003501B7" w:rsidP="006B5A62">
            <w:pPr>
              <w:spacing w:before="40" w:after="40" w:line="240" w:lineRule="auto"/>
              <w:jc w:val="center"/>
              <w:rPr>
                <w:rFonts w:cs="Calibri"/>
                <w:color w:val="000000"/>
                <w:sz w:val="20"/>
                <w:szCs w:val="20"/>
              </w:rPr>
            </w:pPr>
            <w:r w:rsidRPr="00893C83">
              <w:rPr>
                <w:rFonts w:cs="Calibri"/>
                <w:color w:val="000000"/>
                <w:sz w:val="20"/>
                <w:szCs w:val="20"/>
              </w:rPr>
              <w:t>D115-11</w:t>
            </w:r>
          </w:p>
        </w:tc>
        <w:tc>
          <w:tcPr>
            <w:tcW w:w="1247" w:type="dxa"/>
            <w:shd w:val="clear" w:color="auto" w:fill="auto"/>
            <w:noWrap/>
            <w:vAlign w:val="center"/>
          </w:tcPr>
          <w:p w14:paraId="73134D2D" w14:textId="77777777" w:rsidR="003501B7" w:rsidRPr="00893C83" w:rsidRDefault="003501B7" w:rsidP="006B5A62">
            <w:pPr>
              <w:spacing w:before="40" w:after="40" w:line="240" w:lineRule="auto"/>
              <w:jc w:val="center"/>
              <w:rPr>
                <w:rFonts w:cs="Calibri"/>
                <w:color w:val="000000"/>
                <w:sz w:val="20"/>
                <w:szCs w:val="20"/>
              </w:rPr>
            </w:pPr>
            <w:r w:rsidRPr="00893C83">
              <w:rPr>
                <w:rFonts w:cs="Calibri"/>
                <w:color w:val="000000"/>
                <w:sz w:val="20"/>
                <w:szCs w:val="20"/>
              </w:rPr>
              <w:t>D099-12</w:t>
            </w:r>
          </w:p>
        </w:tc>
        <w:tc>
          <w:tcPr>
            <w:tcW w:w="1077" w:type="dxa"/>
            <w:vAlign w:val="center"/>
          </w:tcPr>
          <w:p w14:paraId="4684BE72" w14:textId="77777777" w:rsidR="003501B7" w:rsidRPr="00893C83" w:rsidRDefault="003501B7" w:rsidP="006B5A62">
            <w:pPr>
              <w:spacing w:before="40" w:after="40" w:line="240" w:lineRule="auto"/>
              <w:jc w:val="center"/>
              <w:rPr>
                <w:rFonts w:cs="Calibri"/>
                <w:color w:val="000000"/>
                <w:sz w:val="20"/>
                <w:szCs w:val="20"/>
              </w:rPr>
            </w:pPr>
            <w:r w:rsidRPr="00893C83">
              <w:rPr>
                <w:rFonts w:cs="Calibri"/>
                <w:color w:val="000000"/>
                <w:sz w:val="20"/>
                <w:szCs w:val="20"/>
              </w:rPr>
              <w:t>21-11-2015</w:t>
            </w:r>
          </w:p>
        </w:tc>
      </w:tr>
      <w:tr w:rsidR="003501B7" w:rsidRPr="00893C83" w14:paraId="41154166" w14:textId="77777777" w:rsidTr="006B5A62">
        <w:trPr>
          <w:jc w:val="center"/>
        </w:trPr>
        <w:tc>
          <w:tcPr>
            <w:tcW w:w="5272" w:type="dxa"/>
            <w:shd w:val="clear" w:color="auto" w:fill="auto"/>
            <w:vAlign w:val="center"/>
          </w:tcPr>
          <w:p w14:paraId="0631D8D3" w14:textId="77777777" w:rsidR="003501B7" w:rsidRPr="00893C83" w:rsidRDefault="003501B7" w:rsidP="006B5A62">
            <w:pPr>
              <w:spacing w:before="40" w:after="40" w:line="240" w:lineRule="auto"/>
              <w:jc w:val="left"/>
              <w:rPr>
                <w:rFonts w:cs="Calibri"/>
                <w:color w:val="000000"/>
                <w:sz w:val="20"/>
                <w:szCs w:val="20"/>
              </w:rPr>
            </w:pPr>
            <w:r w:rsidRPr="00893C83">
              <w:rPr>
                <w:rFonts w:cs="Calibri"/>
                <w:color w:val="000000"/>
                <w:sz w:val="20"/>
                <w:szCs w:val="20"/>
              </w:rPr>
              <w:t>Subestación Seccionadora Lo Aguirre: Etapa I</w:t>
            </w:r>
          </w:p>
        </w:tc>
        <w:tc>
          <w:tcPr>
            <w:tcW w:w="1134" w:type="dxa"/>
            <w:shd w:val="clear" w:color="auto" w:fill="auto"/>
            <w:noWrap/>
            <w:vAlign w:val="center"/>
          </w:tcPr>
          <w:p w14:paraId="4157CD20" w14:textId="77777777" w:rsidR="003501B7" w:rsidRPr="00893C83" w:rsidRDefault="003501B7" w:rsidP="006B5A62">
            <w:pPr>
              <w:spacing w:before="40" w:after="40" w:line="240" w:lineRule="auto"/>
              <w:jc w:val="center"/>
              <w:rPr>
                <w:rFonts w:cs="Calibri"/>
                <w:color w:val="000000"/>
                <w:sz w:val="20"/>
                <w:szCs w:val="20"/>
              </w:rPr>
            </w:pPr>
            <w:r w:rsidRPr="00893C83">
              <w:rPr>
                <w:rFonts w:cs="Calibri"/>
                <w:color w:val="000000"/>
                <w:sz w:val="20"/>
                <w:szCs w:val="20"/>
              </w:rPr>
              <w:t>Transelec</w:t>
            </w:r>
          </w:p>
        </w:tc>
        <w:tc>
          <w:tcPr>
            <w:tcW w:w="964" w:type="dxa"/>
            <w:shd w:val="clear" w:color="auto" w:fill="auto"/>
            <w:noWrap/>
            <w:vAlign w:val="center"/>
          </w:tcPr>
          <w:p w14:paraId="6065207C" w14:textId="77777777" w:rsidR="003501B7" w:rsidRPr="00893C83" w:rsidRDefault="003501B7" w:rsidP="006B5A62">
            <w:pPr>
              <w:spacing w:before="40" w:after="40" w:line="240" w:lineRule="auto"/>
              <w:jc w:val="center"/>
              <w:rPr>
                <w:rFonts w:cs="Calibri"/>
                <w:color w:val="000000"/>
                <w:sz w:val="20"/>
                <w:szCs w:val="20"/>
              </w:rPr>
            </w:pPr>
            <w:r w:rsidRPr="00893C83">
              <w:rPr>
                <w:rFonts w:cs="Calibri"/>
                <w:color w:val="000000"/>
                <w:sz w:val="20"/>
                <w:szCs w:val="20"/>
              </w:rPr>
              <w:t>D115-11</w:t>
            </w:r>
          </w:p>
        </w:tc>
        <w:tc>
          <w:tcPr>
            <w:tcW w:w="1247" w:type="dxa"/>
            <w:shd w:val="clear" w:color="auto" w:fill="auto"/>
            <w:noWrap/>
            <w:vAlign w:val="center"/>
          </w:tcPr>
          <w:p w14:paraId="229C296A" w14:textId="77777777" w:rsidR="003501B7" w:rsidRPr="00893C83" w:rsidRDefault="003501B7" w:rsidP="006B5A62">
            <w:pPr>
              <w:spacing w:before="40" w:after="40" w:line="240" w:lineRule="auto"/>
              <w:jc w:val="center"/>
              <w:rPr>
                <w:rFonts w:cs="Calibri"/>
                <w:color w:val="000000"/>
                <w:sz w:val="20"/>
                <w:szCs w:val="20"/>
              </w:rPr>
            </w:pPr>
            <w:r w:rsidRPr="00893C83">
              <w:rPr>
                <w:rFonts w:cs="Calibri"/>
                <w:color w:val="000000"/>
                <w:sz w:val="20"/>
                <w:szCs w:val="20"/>
              </w:rPr>
              <w:t>D071-12</w:t>
            </w:r>
          </w:p>
        </w:tc>
        <w:tc>
          <w:tcPr>
            <w:tcW w:w="1077" w:type="dxa"/>
            <w:vAlign w:val="center"/>
          </w:tcPr>
          <w:p w14:paraId="5BED7E5B" w14:textId="77777777" w:rsidR="003501B7" w:rsidRPr="00893C83" w:rsidRDefault="003501B7" w:rsidP="006B5A62">
            <w:pPr>
              <w:spacing w:before="40" w:after="40" w:line="240" w:lineRule="auto"/>
              <w:jc w:val="center"/>
              <w:rPr>
                <w:rFonts w:cs="Calibri"/>
                <w:color w:val="000000"/>
                <w:sz w:val="20"/>
                <w:szCs w:val="20"/>
              </w:rPr>
            </w:pPr>
            <w:r w:rsidRPr="00893C83">
              <w:rPr>
                <w:rFonts w:cs="Calibri"/>
                <w:color w:val="000000"/>
                <w:sz w:val="20"/>
                <w:szCs w:val="20"/>
              </w:rPr>
              <w:t>10-06-2015</w:t>
            </w:r>
          </w:p>
        </w:tc>
      </w:tr>
      <w:tr w:rsidR="003501B7" w:rsidRPr="00893C83" w14:paraId="39206D9E" w14:textId="77777777" w:rsidTr="006B5A62">
        <w:trPr>
          <w:jc w:val="center"/>
        </w:trPr>
        <w:tc>
          <w:tcPr>
            <w:tcW w:w="5272" w:type="dxa"/>
            <w:shd w:val="clear" w:color="auto" w:fill="auto"/>
            <w:vAlign w:val="center"/>
          </w:tcPr>
          <w:p w14:paraId="677AC5D0" w14:textId="77777777" w:rsidR="003501B7" w:rsidRPr="00893C83" w:rsidRDefault="003501B7" w:rsidP="006B5A62">
            <w:pPr>
              <w:spacing w:before="40" w:after="40" w:line="240" w:lineRule="auto"/>
              <w:jc w:val="left"/>
              <w:rPr>
                <w:rFonts w:cs="Calibri"/>
                <w:color w:val="000000"/>
                <w:sz w:val="20"/>
                <w:szCs w:val="20"/>
              </w:rPr>
            </w:pPr>
            <w:r w:rsidRPr="00893C83">
              <w:rPr>
                <w:rFonts w:cs="Calibri"/>
                <w:color w:val="000000"/>
                <w:sz w:val="20"/>
                <w:szCs w:val="20"/>
              </w:rPr>
              <w:t>Línea El Rodeo - Chena 1x220 kV</w:t>
            </w:r>
          </w:p>
        </w:tc>
        <w:tc>
          <w:tcPr>
            <w:tcW w:w="1134" w:type="dxa"/>
            <w:shd w:val="clear" w:color="auto" w:fill="auto"/>
            <w:noWrap/>
            <w:vAlign w:val="center"/>
          </w:tcPr>
          <w:p w14:paraId="6C039BA5" w14:textId="77777777" w:rsidR="003501B7" w:rsidRPr="00893C83" w:rsidRDefault="003501B7" w:rsidP="006B5A62">
            <w:pPr>
              <w:spacing w:before="40" w:after="40" w:line="240" w:lineRule="auto"/>
              <w:jc w:val="center"/>
              <w:rPr>
                <w:rFonts w:cs="Calibri"/>
                <w:color w:val="000000"/>
                <w:sz w:val="20"/>
                <w:szCs w:val="20"/>
              </w:rPr>
            </w:pPr>
            <w:r w:rsidRPr="00893C83">
              <w:rPr>
                <w:rFonts w:cs="Calibri"/>
                <w:color w:val="000000"/>
                <w:sz w:val="20"/>
                <w:szCs w:val="20"/>
              </w:rPr>
              <w:t>Transelec</w:t>
            </w:r>
          </w:p>
        </w:tc>
        <w:tc>
          <w:tcPr>
            <w:tcW w:w="964" w:type="dxa"/>
            <w:shd w:val="clear" w:color="auto" w:fill="auto"/>
            <w:noWrap/>
            <w:vAlign w:val="center"/>
          </w:tcPr>
          <w:p w14:paraId="6176F609" w14:textId="77777777" w:rsidR="003501B7" w:rsidRPr="00893C83" w:rsidRDefault="003501B7" w:rsidP="006B5A62">
            <w:pPr>
              <w:spacing w:before="40" w:after="40" w:line="240" w:lineRule="auto"/>
              <w:jc w:val="center"/>
              <w:rPr>
                <w:rFonts w:cs="Calibri"/>
                <w:color w:val="000000"/>
                <w:sz w:val="20"/>
                <w:szCs w:val="20"/>
              </w:rPr>
            </w:pPr>
            <w:r w:rsidRPr="00893C83">
              <w:rPr>
                <w:rFonts w:cs="Calibri"/>
                <w:color w:val="000000"/>
                <w:sz w:val="20"/>
                <w:szCs w:val="20"/>
              </w:rPr>
              <w:t>D231-04</w:t>
            </w:r>
          </w:p>
        </w:tc>
        <w:tc>
          <w:tcPr>
            <w:tcW w:w="1247" w:type="dxa"/>
            <w:shd w:val="clear" w:color="auto" w:fill="auto"/>
            <w:noWrap/>
            <w:vAlign w:val="center"/>
          </w:tcPr>
          <w:p w14:paraId="2BC9A318" w14:textId="77777777" w:rsidR="003501B7" w:rsidRPr="00893C83" w:rsidRDefault="003501B7" w:rsidP="006B5A62">
            <w:pPr>
              <w:spacing w:before="40" w:after="40" w:line="240" w:lineRule="auto"/>
              <w:jc w:val="center"/>
              <w:rPr>
                <w:rFonts w:cs="Calibri"/>
                <w:color w:val="000000"/>
                <w:sz w:val="20"/>
                <w:szCs w:val="20"/>
              </w:rPr>
            </w:pPr>
            <w:r w:rsidRPr="00893C83">
              <w:rPr>
                <w:rFonts w:cs="Calibri"/>
                <w:color w:val="000000"/>
                <w:sz w:val="20"/>
                <w:szCs w:val="20"/>
              </w:rPr>
              <w:t>D138-06</w:t>
            </w:r>
          </w:p>
        </w:tc>
        <w:tc>
          <w:tcPr>
            <w:tcW w:w="1077" w:type="dxa"/>
            <w:vAlign w:val="center"/>
          </w:tcPr>
          <w:p w14:paraId="718291CE" w14:textId="77777777" w:rsidR="003501B7" w:rsidRPr="00893C83" w:rsidRDefault="003501B7" w:rsidP="006B5A62">
            <w:pPr>
              <w:spacing w:before="40" w:after="40" w:line="240" w:lineRule="auto"/>
              <w:jc w:val="center"/>
              <w:rPr>
                <w:rFonts w:cs="Calibri"/>
                <w:color w:val="000000"/>
                <w:sz w:val="20"/>
                <w:szCs w:val="20"/>
              </w:rPr>
            </w:pPr>
            <w:r w:rsidRPr="00893C83">
              <w:rPr>
                <w:rFonts w:cs="Calibri"/>
                <w:color w:val="000000"/>
                <w:sz w:val="20"/>
                <w:szCs w:val="20"/>
              </w:rPr>
              <w:t>19-05-2010</w:t>
            </w:r>
          </w:p>
        </w:tc>
      </w:tr>
      <w:tr w:rsidR="003501B7" w:rsidRPr="00893C83" w14:paraId="02330582" w14:textId="77777777" w:rsidTr="006B5A62">
        <w:trPr>
          <w:jc w:val="center"/>
        </w:trPr>
        <w:tc>
          <w:tcPr>
            <w:tcW w:w="5272" w:type="dxa"/>
            <w:shd w:val="clear" w:color="auto" w:fill="auto"/>
            <w:vAlign w:val="center"/>
          </w:tcPr>
          <w:p w14:paraId="2C1A21E3" w14:textId="77777777" w:rsidR="003501B7" w:rsidRPr="00893C83" w:rsidRDefault="003501B7" w:rsidP="006B5A62">
            <w:pPr>
              <w:spacing w:before="40" w:after="40" w:line="240" w:lineRule="auto"/>
              <w:jc w:val="left"/>
              <w:rPr>
                <w:rFonts w:cs="Calibri"/>
                <w:color w:val="000000"/>
                <w:sz w:val="20"/>
                <w:szCs w:val="20"/>
              </w:rPr>
            </w:pPr>
            <w:r w:rsidRPr="00893C83">
              <w:rPr>
                <w:rFonts w:cs="Calibri"/>
                <w:color w:val="000000"/>
                <w:sz w:val="20"/>
                <w:szCs w:val="20"/>
              </w:rPr>
              <w:t>Línea Ancoa - Alto Jahuel 2x500 kV: Primer Circuito</w:t>
            </w:r>
          </w:p>
        </w:tc>
        <w:tc>
          <w:tcPr>
            <w:tcW w:w="1134" w:type="dxa"/>
            <w:shd w:val="clear" w:color="auto" w:fill="auto"/>
            <w:noWrap/>
            <w:vAlign w:val="center"/>
          </w:tcPr>
          <w:p w14:paraId="0192D2FE" w14:textId="77777777" w:rsidR="003501B7" w:rsidRPr="00893C83" w:rsidRDefault="003501B7" w:rsidP="006B5A62">
            <w:pPr>
              <w:spacing w:before="40" w:after="40" w:line="240" w:lineRule="auto"/>
              <w:jc w:val="center"/>
              <w:rPr>
                <w:rFonts w:cs="Calibri"/>
                <w:color w:val="000000"/>
                <w:sz w:val="20"/>
                <w:szCs w:val="20"/>
              </w:rPr>
            </w:pPr>
            <w:r w:rsidRPr="00893C83">
              <w:rPr>
                <w:rFonts w:cs="Calibri"/>
                <w:color w:val="000000"/>
                <w:sz w:val="20"/>
                <w:szCs w:val="20"/>
              </w:rPr>
              <w:t>Celeo Redes</w:t>
            </w:r>
          </w:p>
        </w:tc>
        <w:tc>
          <w:tcPr>
            <w:tcW w:w="964" w:type="dxa"/>
            <w:shd w:val="clear" w:color="auto" w:fill="auto"/>
            <w:noWrap/>
            <w:vAlign w:val="center"/>
          </w:tcPr>
          <w:p w14:paraId="78B4FF5C" w14:textId="77777777" w:rsidR="003501B7" w:rsidRPr="00893C83" w:rsidRDefault="003501B7" w:rsidP="006B5A62">
            <w:pPr>
              <w:spacing w:before="40" w:after="40" w:line="240" w:lineRule="auto"/>
              <w:jc w:val="center"/>
              <w:rPr>
                <w:rFonts w:cs="Calibri"/>
                <w:color w:val="000000"/>
                <w:sz w:val="20"/>
                <w:szCs w:val="20"/>
              </w:rPr>
            </w:pPr>
            <w:r w:rsidRPr="00893C83">
              <w:rPr>
                <w:rFonts w:cs="Calibri"/>
                <w:color w:val="000000"/>
                <w:sz w:val="20"/>
                <w:szCs w:val="20"/>
              </w:rPr>
              <w:t>D642-09</w:t>
            </w:r>
          </w:p>
        </w:tc>
        <w:tc>
          <w:tcPr>
            <w:tcW w:w="1247" w:type="dxa"/>
            <w:shd w:val="clear" w:color="auto" w:fill="auto"/>
            <w:noWrap/>
            <w:vAlign w:val="center"/>
          </w:tcPr>
          <w:p w14:paraId="52B56941" w14:textId="77777777" w:rsidR="003501B7" w:rsidRPr="00893C83" w:rsidRDefault="003501B7" w:rsidP="006B5A62">
            <w:pPr>
              <w:spacing w:before="40" w:after="40" w:line="240" w:lineRule="auto"/>
              <w:jc w:val="center"/>
              <w:rPr>
                <w:rFonts w:cs="Calibri"/>
                <w:color w:val="000000"/>
                <w:sz w:val="20"/>
                <w:szCs w:val="20"/>
              </w:rPr>
            </w:pPr>
            <w:r w:rsidRPr="00893C83">
              <w:rPr>
                <w:rFonts w:cs="Calibri"/>
                <w:color w:val="000000"/>
                <w:sz w:val="20"/>
                <w:szCs w:val="20"/>
              </w:rPr>
              <w:t>D034-10</w:t>
            </w:r>
          </w:p>
        </w:tc>
        <w:tc>
          <w:tcPr>
            <w:tcW w:w="1077" w:type="dxa"/>
            <w:vAlign w:val="center"/>
          </w:tcPr>
          <w:p w14:paraId="1493B929" w14:textId="77777777" w:rsidR="003501B7" w:rsidRPr="00893C83" w:rsidRDefault="003501B7" w:rsidP="006B5A62">
            <w:pPr>
              <w:spacing w:before="40" w:after="40" w:line="240" w:lineRule="auto"/>
              <w:jc w:val="center"/>
              <w:rPr>
                <w:rFonts w:cs="Calibri"/>
                <w:color w:val="000000"/>
                <w:sz w:val="20"/>
                <w:szCs w:val="20"/>
              </w:rPr>
            </w:pPr>
            <w:r w:rsidRPr="00893C83">
              <w:rPr>
                <w:rFonts w:cs="Calibri"/>
                <w:color w:val="000000"/>
                <w:sz w:val="20"/>
                <w:szCs w:val="20"/>
              </w:rPr>
              <w:t>26-09-2015</w:t>
            </w:r>
          </w:p>
        </w:tc>
      </w:tr>
      <w:tr w:rsidR="003501B7" w:rsidRPr="00893C83" w14:paraId="79BC9459" w14:textId="77777777" w:rsidTr="006B5A62">
        <w:trPr>
          <w:jc w:val="center"/>
        </w:trPr>
        <w:tc>
          <w:tcPr>
            <w:tcW w:w="5272" w:type="dxa"/>
            <w:shd w:val="clear" w:color="auto" w:fill="auto"/>
            <w:vAlign w:val="center"/>
          </w:tcPr>
          <w:p w14:paraId="7A66F4C2" w14:textId="77777777" w:rsidR="003501B7" w:rsidRPr="00893C83" w:rsidRDefault="003501B7" w:rsidP="006B5A62">
            <w:pPr>
              <w:spacing w:before="40" w:after="40" w:line="240" w:lineRule="auto"/>
              <w:jc w:val="left"/>
              <w:rPr>
                <w:rFonts w:cs="Calibri"/>
                <w:color w:val="000000"/>
                <w:sz w:val="20"/>
                <w:szCs w:val="20"/>
              </w:rPr>
            </w:pPr>
            <w:r w:rsidRPr="00893C83">
              <w:rPr>
                <w:rFonts w:cs="Calibri"/>
                <w:color w:val="000000"/>
                <w:sz w:val="20"/>
                <w:szCs w:val="20"/>
              </w:rPr>
              <w:t>Segundo Transformador Ancoa 500/220 kV</w:t>
            </w:r>
          </w:p>
        </w:tc>
        <w:tc>
          <w:tcPr>
            <w:tcW w:w="1134" w:type="dxa"/>
            <w:shd w:val="clear" w:color="auto" w:fill="auto"/>
            <w:noWrap/>
            <w:vAlign w:val="center"/>
          </w:tcPr>
          <w:p w14:paraId="5AC8C0F2" w14:textId="77777777" w:rsidR="003501B7" w:rsidRPr="00893C83" w:rsidRDefault="003501B7" w:rsidP="006B5A62">
            <w:pPr>
              <w:spacing w:before="40" w:after="40" w:line="240" w:lineRule="auto"/>
              <w:jc w:val="center"/>
              <w:rPr>
                <w:rFonts w:cs="Calibri"/>
                <w:color w:val="000000"/>
                <w:sz w:val="20"/>
                <w:szCs w:val="20"/>
              </w:rPr>
            </w:pPr>
            <w:r w:rsidRPr="00893C83">
              <w:rPr>
                <w:rFonts w:cs="Calibri"/>
                <w:color w:val="000000"/>
                <w:sz w:val="20"/>
                <w:szCs w:val="20"/>
              </w:rPr>
              <w:t>Transelec</w:t>
            </w:r>
          </w:p>
        </w:tc>
        <w:tc>
          <w:tcPr>
            <w:tcW w:w="964" w:type="dxa"/>
            <w:shd w:val="clear" w:color="auto" w:fill="auto"/>
            <w:noWrap/>
            <w:vAlign w:val="center"/>
          </w:tcPr>
          <w:p w14:paraId="629EE817" w14:textId="77777777" w:rsidR="003501B7" w:rsidRPr="00893C83" w:rsidRDefault="003501B7" w:rsidP="006B5A62">
            <w:pPr>
              <w:spacing w:before="40" w:after="40" w:line="240" w:lineRule="auto"/>
              <w:jc w:val="center"/>
              <w:rPr>
                <w:rFonts w:cs="Calibri"/>
                <w:color w:val="000000"/>
                <w:sz w:val="20"/>
                <w:szCs w:val="20"/>
              </w:rPr>
            </w:pPr>
            <w:r w:rsidRPr="00893C83">
              <w:rPr>
                <w:rFonts w:cs="Calibri"/>
                <w:color w:val="000000"/>
                <w:sz w:val="20"/>
                <w:szCs w:val="20"/>
              </w:rPr>
              <w:t>D082-12</w:t>
            </w:r>
          </w:p>
        </w:tc>
        <w:tc>
          <w:tcPr>
            <w:tcW w:w="1247" w:type="dxa"/>
            <w:shd w:val="clear" w:color="auto" w:fill="auto"/>
            <w:noWrap/>
            <w:vAlign w:val="center"/>
          </w:tcPr>
          <w:p w14:paraId="053AB4F1" w14:textId="77777777" w:rsidR="003501B7" w:rsidRPr="00893C83" w:rsidRDefault="003501B7" w:rsidP="006B5A62">
            <w:pPr>
              <w:spacing w:before="40" w:after="40" w:line="240" w:lineRule="auto"/>
              <w:jc w:val="center"/>
              <w:rPr>
                <w:rFonts w:cs="Calibri"/>
                <w:color w:val="000000"/>
                <w:sz w:val="20"/>
                <w:szCs w:val="20"/>
              </w:rPr>
            </w:pPr>
            <w:r w:rsidRPr="00893C83">
              <w:rPr>
                <w:rFonts w:cs="Calibri"/>
                <w:color w:val="000000"/>
                <w:sz w:val="20"/>
                <w:szCs w:val="20"/>
              </w:rPr>
              <w:t>D07T-13</w:t>
            </w:r>
          </w:p>
        </w:tc>
        <w:tc>
          <w:tcPr>
            <w:tcW w:w="1077" w:type="dxa"/>
            <w:vAlign w:val="center"/>
          </w:tcPr>
          <w:p w14:paraId="383C3B52" w14:textId="77777777" w:rsidR="003501B7" w:rsidRPr="00893C83" w:rsidRDefault="003501B7" w:rsidP="006B5A62">
            <w:pPr>
              <w:spacing w:before="40" w:after="40" w:line="240" w:lineRule="auto"/>
              <w:jc w:val="center"/>
              <w:rPr>
                <w:rFonts w:cs="Calibri"/>
                <w:color w:val="000000"/>
                <w:sz w:val="20"/>
                <w:szCs w:val="20"/>
              </w:rPr>
            </w:pPr>
            <w:r w:rsidRPr="00893C83">
              <w:rPr>
                <w:rFonts w:cs="Calibri"/>
                <w:color w:val="000000"/>
                <w:sz w:val="20"/>
                <w:szCs w:val="20"/>
              </w:rPr>
              <w:t>09-10-2015</w:t>
            </w:r>
          </w:p>
        </w:tc>
      </w:tr>
      <w:tr w:rsidR="003501B7" w:rsidRPr="00893C83" w14:paraId="558344E4" w14:textId="77777777" w:rsidTr="006B5A62">
        <w:trPr>
          <w:jc w:val="center"/>
        </w:trPr>
        <w:tc>
          <w:tcPr>
            <w:tcW w:w="5272" w:type="dxa"/>
            <w:shd w:val="clear" w:color="auto" w:fill="auto"/>
            <w:vAlign w:val="center"/>
          </w:tcPr>
          <w:p w14:paraId="5294192F" w14:textId="77777777" w:rsidR="003501B7" w:rsidRPr="00893C83" w:rsidRDefault="003501B7" w:rsidP="006B5A62">
            <w:pPr>
              <w:spacing w:before="40" w:after="40" w:line="240" w:lineRule="auto"/>
              <w:jc w:val="left"/>
              <w:rPr>
                <w:rFonts w:cs="Calibri"/>
                <w:color w:val="000000"/>
                <w:sz w:val="20"/>
                <w:szCs w:val="20"/>
              </w:rPr>
            </w:pPr>
            <w:r w:rsidRPr="00893C83">
              <w:rPr>
                <w:rFonts w:cs="Calibri"/>
                <w:color w:val="000000"/>
                <w:sz w:val="20"/>
                <w:szCs w:val="20"/>
              </w:rPr>
              <w:t>Nueva Línea 2x220 kV Lo Aguirre - Cerro Navia</w:t>
            </w:r>
          </w:p>
        </w:tc>
        <w:tc>
          <w:tcPr>
            <w:tcW w:w="1134" w:type="dxa"/>
            <w:shd w:val="clear" w:color="auto" w:fill="auto"/>
            <w:noWrap/>
            <w:vAlign w:val="center"/>
          </w:tcPr>
          <w:p w14:paraId="16970DD9" w14:textId="77777777" w:rsidR="003501B7" w:rsidRPr="00893C83" w:rsidRDefault="003501B7" w:rsidP="006B5A62">
            <w:pPr>
              <w:spacing w:before="40" w:after="40" w:line="240" w:lineRule="auto"/>
              <w:jc w:val="center"/>
              <w:rPr>
                <w:rFonts w:cs="Calibri"/>
                <w:color w:val="000000"/>
                <w:sz w:val="20"/>
                <w:szCs w:val="20"/>
              </w:rPr>
            </w:pPr>
            <w:r w:rsidRPr="00893C83">
              <w:rPr>
                <w:rFonts w:cs="Calibri"/>
                <w:color w:val="000000"/>
                <w:sz w:val="20"/>
                <w:szCs w:val="20"/>
              </w:rPr>
              <w:t>Transelec</w:t>
            </w:r>
          </w:p>
        </w:tc>
        <w:tc>
          <w:tcPr>
            <w:tcW w:w="964" w:type="dxa"/>
            <w:shd w:val="clear" w:color="auto" w:fill="auto"/>
            <w:noWrap/>
            <w:vAlign w:val="center"/>
          </w:tcPr>
          <w:p w14:paraId="3BFAF548" w14:textId="77777777" w:rsidR="003501B7" w:rsidRPr="00893C83" w:rsidRDefault="003501B7" w:rsidP="006B5A62">
            <w:pPr>
              <w:spacing w:before="40" w:after="40" w:line="240" w:lineRule="auto"/>
              <w:jc w:val="center"/>
              <w:rPr>
                <w:rFonts w:cs="Calibri"/>
                <w:color w:val="000000"/>
                <w:sz w:val="20"/>
                <w:szCs w:val="20"/>
              </w:rPr>
            </w:pPr>
            <w:r w:rsidRPr="00893C83">
              <w:rPr>
                <w:rFonts w:cs="Calibri"/>
                <w:color w:val="000000"/>
                <w:sz w:val="20"/>
                <w:szCs w:val="20"/>
              </w:rPr>
              <w:t>D082-12</w:t>
            </w:r>
          </w:p>
        </w:tc>
        <w:tc>
          <w:tcPr>
            <w:tcW w:w="1247" w:type="dxa"/>
            <w:shd w:val="clear" w:color="auto" w:fill="auto"/>
            <w:noWrap/>
            <w:vAlign w:val="center"/>
          </w:tcPr>
          <w:p w14:paraId="25A08E85" w14:textId="77777777" w:rsidR="003501B7" w:rsidRPr="00893C83" w:rsidRDefault="003501B7" w:rsidP="006B5A62">
            <w:pPr>
              <w:spacing w:before="40" w:after="40" w:line="240" w:lineRule="auto"/>
              <w:jc w:val="center"/>
              <w:rPr>
                <w:rFonts w:cs="Calibri"/>
                <w:color w:val="000000"/>
                <w:sz w:val="20"/>
                <w:szCs w:val="20"/>
              </w:rPr>
            </w:pPr>
            <w:r w:rsidRPr="00893C83">
              <w:rPr>
                <w:rFonts w:cs="Calibri"/>
                <w:color w:val="000000"/>
                <w:sz w:val="20"/>
                <w:szCs w:val="20"/>
              </w:rPr>
              <w:t>D11T-14</w:t>
            </w:r>
          </w:p>
        </w:tc>
        <w:tc>
          <w:tcPr>
            <w:tcW w:w="1077" w:type="dxa"/>
            <w:vAlign w:val="center"/>
          </w:tcPr>
          <w:p w14:paraId="1B88431C" w14:textId="77777777" w:rsidR="003501B7" w:rsidRPr="00893C83" w:rsidRDefault="003501B7" w:rsidP="006B5A62">
            <w:pPr>
              <w:spacing w:before="40" w:after="40" w:line="240" w:lineRule="auto"/>
              <w:jc w:val="center"/>
              <w:rPr>
                <w:rFonts w:cs="Calibri"/>
                <w:color w:val="000000"/>
                <w:sz w:val="20"/>
                <w:szCs w:val="20"/>
              </w:rPr>
            </w:pPr>
            <w:r w:rsidRPr="00893C83">
              <w:rPr>
                <w:rFonts w:cs="Calibri"/>
                <w:color w:val="000000"/>
                <w:sz w:val="20"/>
                <w:szCs w:val="20"/>
              </w:rPr>
              <w:t>07-11-2018</w:t>
            </w:r>
          </w:p>
        </w:tc>
      </w:tr>
    </w:tbl>
    <w:p w14:paraId="27F6AFC1" w14:textId="77777777" w:rsidR="003501B7" w:rsidRDefault="003501B7" w:rsidP="003501B7">
      <w:pPr>
        <w:spacing w:after="0"/>
      </w:pPr>
    </w:p>
    <w:p w14:paraId="3DC1392F" w14:textId="77777777" w:rsidR="003501B7" w:rsidRPr="00783166" w:rsidRDefault="003501B7" w:rsidP="003501B7">
      <w:pPr>
        <w:pStyle w:val="Subttulo"/>
      </w:pPr>
      <w:bookmarkStart w:id="36" w:name="_Toc38047800"/>
      <w:bookmarkStart w:id="37" w:name="_Toc39795233"/>
      <w:bookmarkStart w:id="38" w:name="_Toc39797913"/>
      <w:r>
        <w:t>T</w:t>
      </w:r>
      <w:r w:rsidRPr="00783166">
        <w:t xml:space="preserve">abla </w:t>
      </w:r>
      <w:fldSimple w:instr=" SEQ Tabla \* ARABIC ">
        <w:r w:rsidR="001F3E2E">
          <w:rPr>
            <w:noProof/>
          </w:rPr>
          <w:t>3</w:t>
        </w:r>
      </w:fldSimple>
      <w:r w:rsidRPr="00783166">
        <w:t xml:space="preserve">: </w:t>
      </w:r>
      <w:r w:rsidRPr="00F11C51">
        <w:t xml:space="preserve">Obras </w:t>
      </w:r>
      <w:r>
        <w:t>de ampliación</w:t>
      </w:r>
      <w:r w:rsidRPr="00F11C51">
        <w:t xml:space="preserve"> no valorizadas (VATT asegurado por 20 años)</w:t>
      </w:r>
      <w:bookmarkEnd w:id="36"/>
      <w:bookmarkEnd w:id="37"/>
      <w:bookmarkEnd w:id="38"/>
    </w:p>
    <w:tbl>
      <w:tblPr>
        <w:tblW w:w="969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firstRow="1" w:lastRow="0" w:firstColumn="1" w:lastColumn="0" w:noHBand="0" w:noVBand="1"/>
      </w:tblPr>
      <w:tblGrid>
        <w:gridCol w:w="5272"/>
        <w:gridCol w:w="1134"/>
        <w:gridCol w:w="964"/>
        <w:gridCol w:w="1247"/>
        <w:gridCol w:w="1077"/>
      </w:tblGrid>
      <w:tr w:rsidR="003501B7" w:rsidRPr="00F11C51" w14:paraId="1860B696" w14:textId="77777777" w:rsidTr="006B5A62">
        <w:trPr>
          <w:tblHeader/>
          <w:jc w:val="center"/>
        </w:trPr>
        <w:tc>
          <w:tcPr>
            <w:tcW w:w="5272" w:type="dxa"/>
            <w:shd w:val="clear" w:color="000000" w:fill="D9D9D9"/>
            <w:vAlign w:val="center"/>
            <w:hideMark/>
          </w:tcPr>
          <w:p w14:paraId="38BB9126" w14:textId="77777777" w:rsidR="003501B7" w:rsidRPr="00B83B8B" w:rsidRDefault="003501B7" w:rsidP="006B5A62">
            <w:pPr>
              <w:spacing w:before="60" w:after="60" w:line="240" w:lineRule="auto"/>
              <w:jc w:val="center"/>
              <w:rPr>
                <w:rFonts w:eastAsia="Times New Roman" w:cstheme="minorHAnsi"/>
                <w:b/>
                <w:bCs/>
                <w:color w:val="000000"/>
                <w:sz w:val="20"/>
                <w:szCs w:val="20"/>
                <w:lang w:eastAsia="es-CL"/>
              </w:rPr>
            </w:pPr>
            <w:r w:rsidRPr="00B83B8B">
              <w:rPr>
                <w:rFonts w:eastAsia="Times New Roman" w:cstheme="minorHAnsi"/>
                <w:b/>
                <w:bCs/>
                <w:color w:val="000000"/>
                <w:sz w:val="20"/>
                <w:szCs w:val="20"/>
                <w:lang w:eastAsia="es-CL"/>
              </w:rPr>
              <w:t>Nombre de Obra</w:t>
            </w:r>
          </w:p>
        </w:tc>
        <w:tc>
          <w:tcPr>
            <w:tcW w:w="1134" w:type="dxa"/>
            <w:shd w:val="clear" w:color="000000" w:fill="D9D9D9"/>
            <w:vAlign w:val="center"/>
            <w:hideMark/>
          </w:tcPr>
          <w:p w14:paraId="0EBC26D0" w14:textId="77777777" w:rsidR="003501B7" w:rsidRPr="00B83B8B" w:rsidRDefault="003501B7" w:rsidP="006B5A62">
            <w:pPr>
              <w:spacing w:before="60" w:after="60" w:line="240" w:lineRule="auto"/>
              <w:jc w:val="center"/>
              <w:rPr>
                <w:rFonts w:eastAsia="Times New Roman" w:cstheme="minorHAnsi"/>
                <w:b/>
                <w:bCs/>
                <w:color w:val="000000"/>
                <w:sz w:val="20"/>
                <w:szCs w:val="20"/>
                <w:lang w:eastAsia="es-CL"/>
              </w:rPr>
            </w:pPr>
            <w:r w:rsidRPr="00B83B8B">
              <w:rPr>
                <w:rFonts w:eastAsia="Times New Roman" w:cstheme="minorHAnsi"/>
                <w:b/>
                <w:bCs/>
                <w:color w:val="000000"/>
                <w:sz w:val="20"/>
                <w:szCs w:val="20"/>
                <w:lang w:eastAsia="es-CL"/>
              </w:rPr>
              <w:t>Propietario</w:t>
            </w:r>
          </w:p>
        </w:tc>
        <w:tc>
          <w:tcPr>
            <w:tcW w:w="964" w:type="dxa"/>
            <w:shd w:val="clear" w:color="000000" w:fill="D9D9D9"/>
            <w:vAlign w:val="center"/>
            <w:hideMark/>
          </w:tcPr>
          <w:p w14:paraId="6329C264" w14:textId="77777777" w:rsidR="003501B7" w:rsidRPr="00B83B8B" w:rsidRDefault="003501B7" w:rsidP="006B5A62">
            <w:pPr>
              <w:spacing w:before="60" w:after="60" w:line="240" w:lineRule="auto"/>
              <w:jc w:val="center"/>
              <w:rPr>
                <w:rFonts w:eastAsia="Times New Roman" w:cstheme="minorHAnsi"/>
                <w:b/>
                <w:bCs/>
                <w:color w:val="000000"/>
                <w:sz w:val="20"/>
                <w:szCs w:val="20"/>
                <w:lang w:eastAsia="es-CL"/>
              </w:rPr>
            </w:pPr>
            <w:r w:rsidRPr="00B83B8B">
              <w:rPr>
                <w:rFonts w:eastAsia="Times New Roman" w:cstheme="minorHAnsi"/>
                <w:b/>
                <w:bCs/>
                <w:color w:val="000000"/>
                <w:sz w:val="20"/>
                <w:szCs w:val="20"/>
                <w:lang w:eastAsia="es-CL"/>
              </w:rPr>
              <w:t>Decreto Plan de Expansión</w:t>
            </w:r>
          </w:p>
        </w:tc>
        <w:tc>
          <w:tcPr>
            <w:tcW w:w="1247" w:type="dxa"/>
            <w:shd w:val="clear" w:color="000000" w:fill="D9D9D9"/>
            <w:vAlign w:val="center"/>
            <w:hideMark/>
          </w:tcPr>
          <w:p w14:paraId="54136572" w14:textId="77777777" w:rsidR="003501B7" w:rsidRPr="00B83B8B" w:rsidRDefault="003501B7" w:rsidP="006B5A62">
            <w:pPr>
              <w:spacing w:before="60" w:after="60" w:line="240" w:lineRule="auto"/>
              <w:jc w:val="center"/>
              <w:rPr>
                <w:rFonts w:eastAsia="Times New Roman" w:cstheme="minorHAnsi"/>
                <w:b/>
                <w:bCs/>
                <w:color w:val="000000"/>
                <w:sz w:val="20"/>
                <w:szCs w:val="20"/>
                <w:lang w:eastAsia="es-CL"/>
              </w:rPr>
            </w:pPr>
            <w:r w:rsidRPr="00B83B8B">
              <w:rPr>
                <w:rFonts w:eastAsia="Times New Roman" w:cstheme="minorHAnsi"/>
                <w:b/>
                <w:bCs/>
                <w:color w:val="000000"/>
                <w:sz w:val="20"/>
                <w:szCs w:val="20"/>
                <w:lang w:eastAsia="es-CL"/>
              </w:rPr>
              <w:t>Decreto Adjudicación/Valorización</w:t>
            </w:r>
          </w:p>
        </w:tc>
        <w:tc>
          <w:tcPr>
            <w:tcW w:w="1077" w:type="dxa"/>
            <w:shd w:val="clear" w:color="000000" w:fill="D9D9D9"/>
            <w:vAlign w:val="center"/>
          </w:tcPr>
          <w:p w14:paraId="0727AE91" w14:textId="77777777" w:rsidR="003501B7" w:rsidRPr="00B83B8B" w:rsidRDefault="003501B7" w:rsidP="006B5A62">
            <w:pPr>
              <w:spacing w:before="60" w:after="60" w:line="240" w:lineRule="auto"/>
              <w:jc w:val="center"/>
              <w:rPr>
                <w:rFonts w:eastAsia="Times New Roman" w:cstheme="minorHAnsi"/>
                <w:b/>
                <w:bCs/>
                <w:color w:val="000000"/>
                <w:sz w:val="20"/>
                <w:szCs w:val="20"/>
                <w:lang w:eastAsia="es-CL"/>
              </w:rPr>
            </w:pPr>
            <w:r w:rsidRPr="00B83B8B">
              <w:rPr>
                <w:rFonts w:eastAsia="Times New Roman" w:cstheme="minorHAnsi"/>
                <w:b/>
                <w:bCs/>
                <w:color w:val="000000"/>
                <w:sz w:val="20"/>
                <w:szCs w:val="20"/>
                <w:lang w:eastAsia="es-CL"/>
              </w:rPr>
              <w:t>Fecha entrada operación</w:t>
            </w:r>
          </w:p>
        </w:tc>
      </w:tr>
      <w:tr w:rsidR="003501B7" w:rsidRPr="00F11C51" w14:paraId="34D6660D" w14:textId="77777777" w:rsidTr="006B5A62">
        <w:trPr>
          <w:jc w:val="center"/>
        </w:trPr>
        <w:tc>
          <w:tcPr>
            <w:tcW w:w="5272" w:type="dxa"/>
            <w:shd w:val="clear" w:color="auto" w:fill="auto"/>
            <w:vAlign w:val="center"/>
          </w:tcPr>
          <w:p w14:paraId="51495E06" w14:textId="77777777" w:rsidR="003501B7" w:rsidRPr="00B83B8B" w:rsidRDefault="003501B7" w:rsidP="006B5A62">
            <w:pPr>
              <w:spacing w:before="60" w:after="60"/>
              <w:jc w:val="left"/>
              <w:rPr>
                <w:rFonts w:cstheme="minorHAnsi"/>
                <w:color w:val="000000"/>
                <w:sz w:val="20"/>
                <w:szCs w:val="20"/>
              </w:rPr>
            </w:pPr>
            <w:r w:rsidRPr="00B83B8B">
              <w:rPr>
                <w:rFonts w:cstheme="minorHAnsi"/>
                <w:color w:val="000000"/>
                <w:sz w:val="20"/>
                <w:szCs w:val="20"/>
              </w:rPr>
              <w:t>Ampliación S/E Cardones 220 kV (D 158/15)</w:t>
            </w:r>
          </w:p>
        </w:tc>
        <w:tc>
          <w:tcPr>
            <w:tcW w:w="1134" w:type="dxa"/>
            <w:shd w:val="clear" w:color="auto" w:fill="auto"/>
            <w:noWrap/>
            <w:vAlign w:val="center"/>
          </w:tcPr>
          <w:p w14:paraId="06A8FB9A" w14:textId="77777777" w:rsidR="003501B7" w:rsidRPr="00B83B8B" w:rsidRDefault="003501B7" w:rsidP="006B5A62">
            <w:pPr>
              <w:spacing w:before="60" w:after="60"/>
              <w:jc w:val="center"/>
              <w:rPr>
                <w:rFonts w:cstheme="minorHAnsi"/>
                <w:color w:val="000000"/>
                <w:sz w:val="20"/>
                <w:szCs w:val="20"/>
              </w:rPr>
            </w:pPr>
            <w:r w:rsidRPr="00B83B8B">
              <w:rPr>
                <w:rFonts w:cstheme="minorHAnsi"/>
                <w:color w:val="000000"/>
                <w:sz w:val="20"/>
                <w:szCs w:val="20"/>
              </w:rPr>
              <w:t>Transelec</w:t>
            </w:r>
          </w:p>
        </w:tc>
        <w:tc>
          <w:tcPr>
            <w:tcW w:w="964" w:type="dxa"/>
            <w:shd w:val="clear" w:color="auto" w:fill="auto"/>
            <w:noWrap/>
            <w:vAlign w:val="center"/>
          </w:tcPr>
          <w:p w14:paraId="1BC8FA3F" w14:textId="77777777" w:rsidR="003501B7" w:rsidRPr="00B83B8B" w:rsidRDefault="003501B7" w:rsidP="006B5A62">
            <w:pPr>
              <w:spacing w:before="60" w:after="60"/>
              <w:jc w:val="center"/>
              <w:rPr>
                <w:rFonts w:cstheme="minorHAnsi"/>
                <w:color w:val="000000"/>
                <w:sz w:val="20"/>
                <w:szCs w:val="20"/>
              </w:rPr>
            </w:pPr>
            <w:r w:rsidRPr="00B83B8B">
              <w:rPr>
                <w:rFonts w:cstheme="minorHAnsi"/>
                <w:color w:val="000000"/>
                <w:sz w:val="20"/>
                <w:szCs w:val="20"/>
              </w:rPr>
              <w:t>D158-15</w:t>
            </w:r>
          </w:p>
        </w:tc>
        <w:tc>
          <w:tcPr>
            <w:tcW w:w="1247" w:type="dxa"/>
            <w:shd w:val="clear" w:color="auto" w:fill="auto"/>
            <w:noWrap/>
            <w:vAlign w:val="center"/>
          </w:tcPr>
          <w:p w14:paraId="0834F850" w14:textId="77777777" w:rsidR="003501B7" w:rsidRPr="00B83B8B" w:rsidRDefault="003501B7" w:rsidP="006B5A62">
            <w:pPr>
              <w:spacing w:before="60" w:after="60"/>
              <w:jc w:val="center"/>
              <w:rPr>
                <w:rFonts w:cstheme="minorHAnsi"/>
                <w:color w:val="000000"/>
                <w:sz w:val="20"/>
                <w:szCs w:val="20"/>
              </w:rPr>
            </w:pPr>
            <w:r w:rsidRPr="00B83B8B">
              <w:rPr>
                <w:rFonts w:cstheme="minorHAnsi"/>
                <w:color w:val="000000"/>
                <w:sz w:val="20"/>
                <w:szCs w:val="20"/>
              </w:rPr>
              <w:t>D11T-17</w:t>
            </w:r>
          </w:p>
        </w:tc>
        <w:tc>
          <w:tcPr>
            <w:tcW w:w="1077" w:type="dxa"/>
            <w:vAlign w:val="center"/>
          </w:tcPr>
          <w:p w14:paraId="7326DC17" w14:textId="77777777" w:rsidR="003501B7" w:rsidRPr="00B83B8B" w:rsidRDefault="003501B7" w:rsidP="006B5A62">
            <w:pPr>
              <w:spacing w:before="60" w:after="60"/>
              <w:jc w:val="center"/>
              <w:rPr>
                <w:rFonts w:cstheme="minorHAnsi"/>
                <w:color w:val="000000"/>
                <w:sz w:val="20"/>
                <w:szCs w:val="20"/>
              </w:rPr>
            </w:pPr>
            <w:r w:rsidRPr="00B83B8B">
              <w:rPr>
                <w:rFonts w:cstheme="minorHAnsi"/>
                <w:color w:val="000000"/>
                <w:sz w:val="20"/>
                <w:szCs w:val="20"/>
              </w:rPr>
              <w:t>25-01-2018</w:t>
            </w:r>
          </w:p>
        </w:tc>
      </w:tr>
      <w:tr w:rsidR="003501B7" w:rsidRPr="00F11C51" w14:paraId="741C02B5" w14:textId="77777777" w:rsidTr="006B5A62">
        <w:trPr>
          <w:jc w:val="center"/>
        </w:trPr>
        <w:tc>
          <w:tcPr>
            <w:tcW w:w="5272" w:type="dxa"/>
            <w:shd w:val="clear" w:color="auto" w:fill="auto"/>
            <w:vAlign w:val="center"/>
          </w:tcPr>
          <w:p w14:paraId="2015D8C4" w14:textId="77777777" w:rsidR="003501B7" w:rsidRPr="00B83B8B" w:rsidRDefault="003501B7" w:rsidP="006B5A62">
            <w:pPr>
              <w:spacing w:before="60" w:after="60"/>
              <w:jc w:val="left"/>
              <w:rPr>
                <w:rFonts w:cstheme="minorHAnsi"/>
                <w:color w:val="000000"/>
                <w:sz w:val="20"/>
                <w:szCs w:val="20"/>
              </w:rPr>
            </w:pPr>
            <w:r w:rsidRPr="00B83B8B">
              <w:rPr>
                <w:rFonts w:cstheme="minorHAnsi"/>
                <w:color w:val="000000"/>
                <w:sz w:val="20"/>
                <w:szCs w:val="20"/>
              </w:rPr>
              <w:t>Nueva S/E Seccionadora Puente Negro (D 158/15)</w:t>
            </w:r>
          </w:p>
        </w:tc>
        <w:tc>
          <w:tcPr>
            <w:tcW w:w="1134" w:type="dxa"/>
            <w:shd w:val="clear" w:color="auto" w:fill="auto"/>
            <w:noWrap/>
            <w:vAlign w:val="center"/>
          </w:tcPr>
          <w:p w14:paraId="01299B18" w14:textId="77777777" w:rsidR="003501B7" w:rsidRPr="00B83B8B" w:rsidRDefault="003501B7" w:rsidP="006B5A62">
            <w:pPr>
              <w:spacing w:before="60" w:after="60"/>
              <w:jc w:val="center"/>
              <w:rPr>
                <w:rFonts w:cstheme="minorHAnsi"/>
                <w:color w:val="000000"/>
                <w:sz w:val="20"/>
                <w:szCs w:val="20"/>
              </w:rPr>
            </w:pPr>
            <w:r w:rsidRPr="00B83B8B">
              <w:rPr>
                <w:rFonts w:cstheme="minorHAnsi"/>
                <w:color w:val="000000"/>
                <w:sz w:val="20"/>
                <w:szCs w:val="20"/>
              </w:rPr>
              <w:t>Colbún Transmisión</w:t>
            </w:r>
          </w:p>
        </w:tc>
        <w:tc>
          <w:tcPr>
            <w:tcW w:w="964" w:type="dxa"/>
            <w:shd w:val="clear" w:color="auto" w:fill="auto"/>
            <w:noWrap/>
            <w:vAlign w:val="center"/>
          </w:tcPr>
          <w:p w14:paraId="342F8A90" w14:textId="77777777" w:rsidR="003501B7" w:rsidRPr="00B83B8B" w:rsidRDefault="003501B7" w:rsidP="006B5A62">
            <w:pPr>
              <w:spacing w:before="60" w:after="60"/>
              <w:jc w:val="center"/>
              <w:rPr>
                <w:rFonts w:cstheme="minorHAnsi"/>
                <w:color w:val="000000"/>
                <w:sz w:val="20"/>
                <w:szCs w:val="20"/>
              </w:rPr>
            </w:pPr>
            <w:r w:rsidRPr="00B83B8B">
              <w:rPr>
                <w:rFonts w:cstheme="minorHAnsi"/>
                <w:color w:val="000000"/>
                <w:sz w:val="20"/>
                <w:szCs w:val="20"/>
              </w:rPr>
              <w:t>D158-15</w:t>
            </w:r>
          </w:p>
        </w:tc>
        <w:tc>
          <w:tcPr>
            <w:tcW w:w="1247" w:type="dxa"/>
            <w:shd w:val="clear" w:color="auto" w:fill="auto"/>
            <w:noWrap/>
            <w:vAlign w:val="center"/>
          </w:tcPr>
          <w:p w14:paraId="1EE37B8D" w14:textId="77777777" w:rsidR="003501B7" w:rsidRPr="00B83B8B" w:rsidRDefault="003501B7" w:rsidP="006B5A62">
            <w:pPr>
              <w:spacing w:before="60" w:after="60"/>
              <w:jc w:val="center"/>
              <w:rPr>
                <w:rFonts w:cstheme="minorHAnsi"/>
                <w:color w:val="000000"/>
                <w:sz w:val="20"/>
                <w:szCs w:val="20"/>
              </w:rPr>
            </w:pPr>
            <w:r w:rsidRPr="00B83B8B">
              <w:rPr>
                <w:rFonts w:cstheme="minorHAnsi"/>
                <w:color w:val="000000"/>
                <w:sz w:val="20"/>
                <w:szCs w:val="20"/>
              </w:rPr>
              <w:t>D06T-18</w:t>
            </w:r>
          </w:p>
        </w:tc>
        <w:tc>
          <w:tcPr>
            <w:tcW w:w="1077" w:type="dxa"/>
            <w:vAlign w:val="center"/>
          </w:tcPr>
          <w:p w14:paraId="180788E9" w14:textId="77777777" w:rsidR="003501B7" w:rsidRPr="00B83B8B" w:rsidRDefault="003501B7" w:rsidP="006B5A62">
            <w:pPr>
              <w:spacing w:before="60" w:after="60"/>
              <w:jc w:val="center"/>
              <w:rPr>
                <w:rFonts w:cstheme="minorHAnsi"/>
                <w:color w:val="000000"/>
                <w:sz w:val="20"/>
                <w:szCs w:val="20"/>
              </w:rPr>
            </w:pPr>
            <w:r w:rsidRPr="00B83B8B">
              <w:rPr>
                <w:rFonts w:cstheme="minorHAnsi"/>
                <w:color w:val="000000"/>
                <w:sz w:val="20"/>
                <w:szCs w:val="20"/>
              </w:rPr>
              <w:t>15-06-2018</w:t>
            </w:r>
          </w:p>
        </w:tc>
      </w:tr>
      <w:tr w:rsidR="003501B7" w:rsidRPr="00F11C51" w14:paraId="496F8EC3" w14:textId="77777777" w:rsidTr="006B5A62">
        <w:trPr>
          <w:jc w:val="center"/>
        </w:trPr>
        <w:tc>
          <w:tcPr>
            <w:tcW w:w="5272" w:type="dxa"/>
            <w:shd w:val="clear" w:color="auto" w:fill="auto"/>
            <w:vAlign w:val="center"/>
          </w:tcPr>
          <w:p w14:paraId="71A0DAD1" w14:textId="77777777" w:rsidR="003501B7" w:rsidRPr="00B83B8B" w:rsidRDefault="003501B7" w:rsidP="006B5A62">
            <w:pPr>
              <w:spacing w:before="60" w:after="60"/>
              <w:jc w:val="left"/>
              <w:rPr>
                <w:rFonts w:cstheme="minorHAnsi"/>
                <w:color w:val="000000"/>
                <w:sz w:val="20"/>
                <w:szCs w:val="20"/>
              </w:rPr>
            </w:pPr>
            <w:r w:rsidRPr="00B83B8B">
              <w:rPr>
                <w:rFonts w:cstheme="minorHAnsi"/>
                <w:color w:val="000000"/>
                <w:sz w:val="20"/>
                <w:szCs w:val="20"/>
              </w:rPr>
              <w:t>Normalización en S/E Charrúa 220 kV (D373-16)</w:t>
            </w:r>
          </w:p>
        </w:tc>
        <w:tc>
          <w:tcPr>
            <w:tcW w:w="1134" w:type="dxa"/>
            <w:shd w:val="clear" w:color="auto" w:fill="auto"/>
            <w:noWrap/>
            <w:vAlign w:val="center"/>
          </w:tcPr>
          <w:p w14:paraId="42F76C27" w14:textId="77777777" w:rsidR="003501B7" w:rsidRPr="00B83B8B" w:rsidRDefault="003501B7" w:rsidP="006B5A62">
            <w:pPr>
              <w:spacing w:before="60" w:after="60"/>
              <w:jc w:val="center"/>
              <w:rPr>
                <w:rFonts w:cstheme="minorHAnsi"/>
                <w:color w:val="000000"/>
                <w:sz w:val="20"/>
                <w:szCs w:val="20"/>
              </w:rPr>
            </w:pPr>
            <w:r w:rsidRPr="00B83B8B">
              <w:rPr>
                <w:rFonts w:cstheme="minorHAnsi"/>
                <w:color w:val="000000"/>
                <w:sz w:val="20"/>
                <w:szCs w:val="20"/>
              </w:rPr>
              <w:t>Transelec</w:t>
            </w:r>
          </w:p>
        </w:tc>
        <w:tc>
          <w:tcPr>
            <w:tcW w:w="964" w:type="dxa"/>
            <w:shd w:val="clear" w:color="auto" w:fill="auto"/>
            <w:noWrap/>
            <w:vAlign w:val="center"/>
          </w:tcPr>
          <w:p w14:paraId="28FCE11F" w14:textId="77777777" w:rsidR="003501B7" w:rsidRPr="00B83B8B" w:rsidRDefault="003501B7" w:rsidP="006B5A62">
            <w:pPr>
              <w:spacing w:before="60" w:after="60"/>
              <w:jc w:val="center"/>
              <w:rPr>
                <w:rFonts w:cstheme="minorHAnsi"/>
                <w:color w:val="000000"/>
                <w:sz w:val="20"/>
                <w:szCs w:val="20"/>
              </w:rPr>
            </w:pPr>
            <w:r w:rsidRPr="00B83B8B">
              <w:rPr>
                <w:rFonts w:cstheme="minorHAnsi"/>
                <w:color w:val="000000"/>
                <w:sz w:val="20"/>
                <w:szCs w:val="20"/>
              </w:rPr>
              <w:t>D373-16</w:t>
            </w:r>
          </w:p>
        </w:tc>
        <w:tc>
          <w:tcPr>
            <w:tcW w:w="1247" w:type="dxa"/>
            <w:shd w:val="clear" w:color="auto" w:fill="auto"/>
            <w:noWrap/>
            <w:vAlign w:val="center"/>
          </w:tcPr>
          <w:p w14:paraId="08552AA5" w14:textId="77777777" w:rsidR="003501B7" w:rsidRPr="00B83B8B" w:rsidRDefault="003501B7" w:rsidP="006B5A62">
            <w:pPr>
              <w:spacing w:before="60" w:after="60"/>
              <w:jc w:val="center"/>
              <w:rPr>
                <w:rFonts w:cstheme="minorHAnsi"/>
                <w:color w:val="000000"/>
                <w:sz w:val="20"/>
                <w:szCs w:val="20"/>
              </w:rPr>
            </w:pPr>
            <w:r w:rsidRPr="00B83B8B">
              <w:rPr>
                <w:rFonts w:cstheme="minorHAnsi"/>
                <w:color w:val="000000"/>
                <w:sz w:val="20"/>
                <w:szCs w:val="20"/>
              </w:rPr>
              <w:t>D11T-17</w:t>
            </w:r>
          </w:p>
        </w:tc>
        <w:tc>
          <w:tcPr>
            <w:tcW w:w="1077" w:type="dxa"/>
            <w:vAlign w:val="center"/>
          </w:tcPr>
          <w:p w14:paraId="4651C140" w14:textId="77777777" w:rsidR="003501B7" w:rsidRPr="00B83B8B" w:rsidRDefault="003501B7" w:rsidP="006B5A62">
            <w:pPr>
              <w:spacing w:before="60" w:after="60"/>
              <w:jc w:val="center"/>
              <w:rPr>
                <w:rFonts w:cstheme="minorHAnsi"/>
                <w:color w:val="000000"/>
                <w:sz w:val="20"/>
                <w:szCs w:val="20"/>
              </w:rPr>
            </w:pPr>
            <w:r w:rsidRPr="00B83B8B">
              <w:rPr>
                <w:rFonts w:cstheme="minorHAnsi"/>
                <w:color w:val="000000"/>
                <w:sz w:val="20"/>
                <w:szCs w:val="20"/>
              </w:rPr>
              <w:t>24-01-2019</w:t>
            </w:r>
          </w:p>
        </w:tc>
      </w:tr>
      <w:tr w:rsidR="003501B7" w:rsidRPr="00F11C51" w14:paraId="74D859E1" w14:textId="77777777" w:rsidTr="006B5A62">
        <w:trPr>
          <w:jc w:val="center"/>
        </w:trPr>
        <w:tc>
          <w:tcPr>
            <w:tcW w:w="5272" w:type="dxa"/>
            <w:shd w:val="clear" w:color="auto" w:fill="auto"/>
            <w:vAlign w:val="center"/>
          </w:tcPr>
          <w:p w14:paraId="57C4B8DD" w14:textId="77777777" w:rsidR="003501B7" w:rsidRPr="00B83B8B" w:rsidRDefault="003501B7" w:rsidP="006B5A62">
            <w:pPr>
              <w:spacing w:before="60" w:after="60"/>
              <w:jc w:val="left"/>
              <w:rPr>
                <w:rFonts w:cstheme="minorHAnsi"/>
                <w:color w:val="000000"/>
                <w:sz w:val="20"/>
                <w:szCs w:val="20"/>
              </w:rPr>
            </w:pPr>
            <w:r w:rsidRPr="00B83B8B">
              <w:rPr>
                <w:rFonts w:cstheme="minorHAnsi"/>
                <w:color w:val="000000"/>
                <w:sz w:val="20"/>
                <w:szCs w:val="20"/>
              </w:rPr>
              <w:t>Ampliación y cambio de configuración en S/E Pozo Almonte 220 kV</w:t>
            </w:r>
          </w:p>
        </w:tc>
        <w:tc>
          <w:tcPr>
            <w:tcW w:w="1134" w:type="dxa"/>
            <w:shd w:val="clear" w:color="auto" w:fill="auto"/>
            <w:noWrap/>
            <w:vAlign w:val="center"/>
          </w:tcPr>
          <w:p w14:paraId="30F4D0F3" w14:textId="77777777" w:rsidR="003501B7" w:rsidRPr="00B83B8B" w:rsidRDefault="003501B7" w:rsidP="006B5A62">
            <w:pPr>
              <w:spacing w:before="60" w:after="60"/>
              <w:jc w:val="center"/>
              <w:rPr>
                <w:rFonts w:cstheme="minorHAnsi"/>
                <w:color w:val="000000"/>
                <w:sz w:val="20"/>
                <w:szCs w:val="20"/>
              </w:rPr>
            </w:pPr>
            <w:r w:rsidRPr="00B83B8B">
              <w:rPr>
                <w:rFonts w:cstheme="minorHAnsi"/>
                <w:color w:val="000000"/>
                <w:sz w:val="20"/>
                <w:szCs w:val="20"/>
              </w:rPr>
              <w:t>Edelnor Transmisión</w:t>
            </w:r>
          </w:p>
        </w:tc>
        <w:tc>
          <w:tcPr>
            <w:tcW w:w="964" w:type="dxa"/>
            <w:shd w:val="clear" w:color="auto" w:fill="auto"/>
            <w:noWrap/>
            <w:vAlign w:val="center"/>
          </w:tcPr>
          <w:p w14:paraId="3B00CBE0" w14:textId="77777777" w:rsidR="003501B7" w:rsidRPr="00B83B8B" w:rsidRDefault="003501B7" w:rsidP="006B5A62">
            <w:pPr>
              <w:spacing w:before="60" w:after="60"/>
              <w:jc w:val="center"/>
              <w:rPr>
                <w:rFonts w:cstheme="minorHAnsi"/>
                <w:color w:val="000000"/>
                <w:sz w:val="20"/>
                <w:szCs w:val="20"/>
              </w:rPr>
            </w:pPr>
            <w:r w:rsidRPr="00B83B8B">
              <w:rPr>
                <w:rFonts w:cstheme="minorHAnsi"/>
                <w:color w:val="000000"/>
                <w:sz w:val="20"/>
                <w:szCs w:val="20"/>
              </w:rPr>
              <w:t>D373-16</w:t>
            </w:r>
          </w:p>
        </w:tc>
        <w:tc>
          <w:tcPr>
            <w:tcW w:w="1247" w:type="dxa"/>
            <w:shd w:val="clear" w:color="auto" w:fill="auto"/>
            <w:noWrap/>
            <w:vAlign w:val="center"/>
          </w:tcPr>
          <w:p w14:paraId="289A22CC" w14:textId="77777777" w:rsidR="003501B7" w:rsidRPr="00B83B8B" w:rsidRDefault="003501B7" w:rsidP="006B5A62">
            <w:pPr>
              <w:spacing w:before="60" w:after="60"/>
              <w:jc w:val="center"/>
              <w:rPr>
                <w:rFonts w:cstheme="minorHAnsi"/>
                <w:color w:val="000000"/>
                <w:sz w:val="20"/>
                <w:szCs w:val="20"/>
              </w:rPr>
            </w:pPr>
            <w:r w:rsidRPr="00B83B8B">
              <w:rPr>
                <w:rFonts w:cstheme="minorHAnsi"/>
                <w:color w:val="000000"/>
                <w:sz w:val="20"/>
                <w:szCs w:val="20"/>
              </w:rPr>
              <w:t>D06T-18</w:t>
            </w:r>
          </w:p>
        </w:tc>
        <w:tc>
          <w:tcPr>
            <w:tcW w:w="1077" w:type="dxa"/>
            <w:vAlign w:val="center"/>
          </w:tcPr>
          <w:p w14:paraId="3C35BE75" w14:textId="77777777" w:rsidR="003501B7" w:rsidRPr="00B83B8B" w:rsidRDefault="003501B7" w:rsidP="006B5A62">
            <w:pPr>
              <w:spacing w:before="60" w:after="60"/>
              <w:jc w:val="center"/>
              <w:rPr>
                <w:rFonts w:cstheme="minorHAnsi"/>
                <w:color w:val="000000"/>
                <w:sz w:val="20"/>
                <w:szCs w:val="20"/>
              </w:rPr>
            </w:pPr>
            <w:r w:rsidRPr="00B83B8B">
              <w:rPr>
                <w:rFonts w:cstheme="minorHAnsi"/>
                <w:color w:val="000000"/>
                <w:sz w:val="20"/>
                <w:szCs w:val="20"/>
              </w:rPr>
              <w:t>23-05-2019</w:t>
            </w:r>
          </w:p>
        </w:tc>
      </w:tr>
    </w:tbl>
    <w:p w14:paraId="2AFD029A" w14:textId="77777777" w:rsidR="003501B7" w:rsidRDefault="003501B7" w:rsidP="003501B7">
      <w:pPr>
        <w:pStyle w:val="Ttulo4"/>
        <w:keepNext/>
        <w:spacing w:before="240"/>
      </w:pPr>
      <w:bookmarkStart w:id="39" w:name="_Toc38016471"/>
      <w:bookmarkStart w:id="40" w:name="_Toc39795085"/>
      <w:bookmarkStart w:id="41" w:name="_Toc39797765"/>
      <w:r>
        <w:t>Revisión de inventario</w:t>
      </w:r>
      <w:bookmarkEnd w:id="39"/>
      <w:bookmarkEnd w:id="40"/>
      <w:bookmarkEnd w:id="41"/>
    </w:p>
    <w:p w14:paraId="47599D25" w14:textId="77777777" w:rsidR="003501B7" w:rsidRDefault="003501B7" w:rsidP="003501B7">
      <w:r>
        <w:t xml:space="preserve">Para la revisión del inventario de las instalaciones, se efectuó una verificación cruzada de distintas fuentes, que permitieran asegurar la veracidad de la información recibida. </w:t>
      </w:r>
    </w:p>
    <w:p w14:paraId="53EE6E0E" w14:textId="77777777" w:rsidR="003501B7" w:rsidRDefault="003501B7" w:rsidP="003501B7">
      <w:r>
        <w:t>Con este fin se revisaron los siguientes documentos fuente, para verificar la exactitud de los inventarios informados en la BD.</w:t>
      </w:r>
    </w:p>
    <w:p w14:paraId="7D00F236" w14:textId="77777777" w:rsidR="003501B7" w:rsidRPr="00103C5D" w:rsidRDefault="003501B7" w:rsidP="003501B7">
      <w:pPr>
        <w:pStyle w:val="Prrafodelista"/>
        <w:numPr>
          <w:ilvl w:val="0"/>
          <w:numId w:val="43"/>
        </w:numPr>
        <w:ind w:left="567" w:hanging="567"/>
      </w:pPr>
      <w:r w:rsidRPr="00103C5D">
        <w:lastRenderedPageBreak/>
        <w:t xml:space="preserve">Plano de la </w:t>
      </w:r>
      <w:r>
        <w:t>I</w:t>
      </w:r>
      <w:r w:rsidRPr="00103C5D">
        <w:t>nfotécnica del STN del sitio del Coordinador Eléctrico Nacional.</w:t>
      </w:r>
    </w:p>
    <w:p w14:paraId="28590DBC" w14:textId="77777777" w:rsidR="003501B7" w:rsidRPr="00103C5D" w:rsidRDefault="003501B7" w:rsidP="003501B7">
      <w:pPr>
        <w:pStyle w:val="Prrafodelista"/>
        <w:numPr>
          <w:ilvl w:val="0"/>
          <w:numId w:val="43"/>
        </w:numPr>
        <w:ind w:left="567" w:hanging="567"/>
      </w:pPr>
      <w:r w:rsidRPr="00103C5D">
        <w:t>Planos y documentos incluidos en Informe 2 Final del Estudio de Transmisión Troncal del año 2014.</w:t>
      </w:r>
    </w:p>
    <w:p w14:paraId="7B70B265" w14:textId="77777777" w:rsidR="003501B7" w:rsidRPr="00103C5D" w:rsidRDefault="003501B7" w:rsidP="003501B7">
      <w:pPr>
        <w:pStyle w:val="Prrafodelista"/>
        <w:numPr>
          <w:ilvl w:val="0"/>
          <w:numId w:val="43"/>
        </w:numPr>
        <w:ind w:left="567" w:hanging="567"/>
      </w:pPr>
      <w:r w:rsidRPr="00103C5D">
        <w:t>Salidas de planillas Excel desde la BD con los tramos de subestaciones y líneas de STN.</w:t>
      </w:r>
    </w:p>
    <w:p w14:paraId="2D78C960" w14:textId="77777777" w:rsidR="003501B7" w:rsidRPr="00103C5D" w:rsidRDefault="003501B7" w:rsidP="003501B7">
      <w:pPr>
        <w:pStyle w:val="Prrafodelista"/>
        <w:numPr>
          <w:ilvl w:val="0"/>
          <w:numId w:val="43"/>
        </w:numPr>
        <w:ind w:left="567" w:hanging="567"/>
      </w:pPr>
      <w:r w:rsidRPr="00103C5D">
        <w:t>Planos de instalaciones disponibles del consultor, correspondientes a obras eléctricas y civiles de instalaciones similares.</w:t>
      </w:r>
    </w:p>
    <w:p w14:paraId="0DD224F2" w14:textId="77777777" w:rsidR="003501B7" w:rsidRPr="00103C5D" w:rsidRDefault="003501B7" w:rsidP="003501B7">
      <w:pPr>
        <w:pStyle w:val="Prrafodelista"/>
        <w:numPr>
          <w:ilvl w:val="0"/>
          <w:numId w:val="43"/>
        </w:numPr>
        <w:ind w:left="567" w:hanging="567"/>
      </w:pPr>
      <w:r w:rsidRPr="00103C5D">
        <w:t>Clasificación de planillas de instalaciones en parte civil y parte eléctrica, por tipo de instalación.</w:t>
      </w:r>
    </w:p>
    <w:p w14:paraId="51E00CD0" w14:textId="77777777" w:rsidR="003501B7" w:rsidRDefault="003501B7" w:rsidP="003501B7">
      <w:r>
        <w:t xml:space="preserve">Debido al gran tamaño de la base de datos que contiene alrededor de cuatrocientos cincuenta mil registros solo del STN, es que se optó por revisar una muestra del total de instalaciones, que permitiera formarse una opinión objetiva sobre la calidad del inventario. </w:t>
      </w:r>
    </w:p>
    <w:p w14:paraId="1B586A8C" w14:textId="77777777" w:rsidR="003501B7" w:rsidRDefault="003501B7" w:rsidP="003501B7">
      <w:r>
        <w:t>La revisión de la parte eléctrica consistió en determinar si la totalidad de los equipos principales se encontraban incorporados en la base.</w:t>
      </w:r>
    </w:p>
    <w:p w14:paraId="29FC2E50" w14:textId="77777777" w:rsidR="003501B7" w:rsidRDefault="003501B7" w:rsidP="003501B7">
      <w:r>
        <w:t>La revisión de la parte civil se basó fundamentalmente en verificar con los planos de instalaciones disponibles, los volúmenes de excavación, enfierraduras, hormigones, moldajes, rellenos y compactados.</w:t>
      </w:r>
    </w:p>
    <w:p w14:paraId="4A898868" w14:textId="77777777" w:rsidR="003501B7" w:rsidRDefault="003501B7" w:rsidP="003501B7">
      <w:r>
        <w:t>Se revisaron los equipos eléctricos en los tramos de transporte y tramos de subestación del sistema eléctrico nacional. En total se analizaron más de 700 paños que fueron calificados como parte del sistema de transmisión nacional y que este Consultor debe valorizar.</w:t>
      </w:r>
    </w:p>
    <w:p w14:paraId="1942D35A" w14:textId="77777777" w:rsidR="003501B7" w:rsidRDefault="003501B7" w:rsidP="003501B7">
      <w:r>
        <w:t>En la revisión de la muestra de paños de subestación se llegó a determinar la cantidad de equipos declarados en exceso y aquellos que faltaban en el paño. Adicionalmente se verificó la consistencia entre los equipos y su correspondiente fundación.</w:t>
      </w:r>
    </w:p>
    <w:p w14:paraId="33B2E7CE" w14:textId="77777777" w:rsidR="003501B7" w:rsidRDefault="003501B7" w:rsidP="003501B7">
      <w:r>
        <w:t>La información errónea que se encontró fue modificada a valores que correspondan al elemento analizado, es decir, en aquellos casos en que la cantidad es excesiva se disminuyó al valor correspondiente y en aquellos casos que es cero o insuficiente se agregó el valor que se considera razonable.</w:t>
      </w:r>
    </w:p>
    <w:p w14:paraId="7173A7F1" w14:textId="77777777" w:rsidR="003501B7" w:rsidRDefault="003501B7" w:rsidP="003501B7">
      <w:r>
        <w:t>Se detectó paños mal calificados, como paños declarados que no corresponden a la subestación y otros paños que si corresponden a la subestación pero que no están declarados. Estos casos fueron corregidos.</w:t>
      </w:r>
    </w:p>
    <w:p w14:paraId="7CFECE25" w14:textId="77777777" w:rsidR="003501B7" w:rsidRDefault="003501B7" w:rsidP="003501B7">
      <w:r>
        <w:lastRenderedPageBreak/>
        <w:t>En las obras civiles de subestaciones se puede apreciar un importante desorden en la forma en que están descritos los elementos y en las unidades utilizadas que para el caso de casas de control y casetas en algunos casos se muestran como unidad y en otros en metros cuadrados con las importantes diferencias numéricas que esto genera y que al valorizarlas producen errores de gran magnitud.</w:t>
      </w:r>
    </w:p>
    <w:p w14:paraId="56375C8C" w14:textId="77777777" w:rsidR="003501B7" w:rsidRDefault="003501B7" w:rsidP="003501B7">
      <w:r>
        <w:t>La revisión consideró tanto fundaciones como estructuras y se aprecia, entre otras, que existen paños con marcos de línea no identificables en paños, equipos sin fundaciones, equipos en celda (que no requieren fundación) con fundaciones equivalentes a la de los equipos de 500 kV, fundaciones de TTPP o TTCC iguales para un equipo de 500 kV como para equipos de menor nivel de tensión, por lo cual estas últimas sobredimensionadas, etc.</w:t>
      </w:r>
    </w:p>
    <w:p w14:paraId="24E6517C" w14:textId="77777777" w:rsidR="003501B7" w:rsidRDefault="003501B7" w:rsidP="003501B7">
      <w:r>
        <w:t>Entre los elementos faltantes más relevantes, se observan las plataformas de subestaciones, que no tienen material asociado y, por lo tanto, no están registradas en la base de datos. Sin embargo, considerando el importante costo que estas tienen, originados por los volúmenes de excavación y relleno y compactado que requiere este elemento, el consultor agregó su valorización con planillas auxiliares externas a la base de datos.</w:t>
      </w:r>
    </w:p>
    <w:p w14:paraId="32D0C7BB" w14:textId="77777777" w:rsidR="003501B7" w:rsidRDefault="003501B7" w:rsidP="003501B7">
      <w:r>
        <w:t>Con este fin se desarrolló un modelo que considera la superficie de las subestaciones y las durezas de terreno informadas en la base de datos para valorizar el volumen de excavación, afectado por el factor de tipo de terreno y el volumen de relleno y compactado necesario para consolidar la plataforma. Esta corrección le aporta al V.I. un monto cercano a los cincuenta millones de dólares.</w:t>
      </w:r>
    </w:p>
    <w:p w14:paraId="0E8B27EE" w14:textId="77777777" w:rsidR="003501B7" w:rsidRDefault="003501B7" w:rsidP="003501B7">
      <w:r>
        <w:t xml:space="preserve">En las líneas se observa un mayor grado de exactitud en la información de la base de datos, donde en base a la muestra analizada se concluye que están </w:t>
      </w:r>
      <w:proofErr w:type="gramStart"/>
      <w:r>
        <w:t>presente</w:t>
      </w:r>
      <w:proofErr w:type="gramEnd"/>
      <w:r>
        <w:t xml:space="preserve"> casi todas las estructuras de torres y fundaciones, pero en algunas líneas faltan conductores y en otras faltan cadenas de aisladores.</w:t>
      </w:r>
    </w:p>
    <w:p w14:paraId="0B878485" w14:textId="77777777" w:rsidR="003501B7" w:rsidRDefault="003501B7" w:rsidP="003501B7">
      <w:r>
        <w:t>Los principales materiales que se observan en exceso son los relacionados con accesorios de estructuras y accesorios vanos, que corresponden a letreros, desviadores de pájaros y algunas distorsiones en amortiguadores, que consideramos no representan un valor relevante en el V.I.</w:t>
      </w:r>
    </w:p>
    <w:p w14:paraId="68F3987D" w14:textId="77777777" w:rsidR="003501B7" w:rsidRDefault="003501B7" w:rsidP="003501B7">
      <w:r>
        <w:t>Los elementos faltantes que se pueden observar en lineas son estructuras, amortiguadores, separadores de conductor y, principalmente cadenas de aisladores.</w:t>
      </w:r>
    </w:p>
    <w:p w14:paraId="642DD9C3" w14:textId="77777777" w:rsidR="003501B7" w:rsidRDefault="003501B7" w:rsidP="003501B7">
      <w:r>
        <w:t>Las obras civiles para la construcción de una línea de transmisión son relevantes en cuanto al monto de los materiales involucrados. Por esta razón es que se realizó una revisión más detallada en estos casos para ver las distorsiones más relevantes.</w:t>
      </w:r>
    </w:p>
    <w:p w14:paraId="4E07EC53" w14:textId="77777777" w:rsidR="003501B7" w:rsidRDefault="003501B7" w:rsidP="003501B7">
      <w:r>
        <w:t>Del análisis realizado se obtuvo las cantidades informadas en exceso y faltantes que debieron ser modificadas para acercarlas a la realidad.</w:t>
      </w:r>
    </w:p>
    <w:p w14:paraId="210207DE" w14:textId="77777777" w:rsidR="003501B7" w:rsidRDefault="003501B7" w:rsidP="003501B7">
      <w:r>
        <w:lastRenderedPageBreak/>
        <w:t>Cabe destacar que en una gran cantidad de líneas se estableció que los kilogramos de peso de cada una de las estructuras registrados en la base de datos incluye el peso de los pernos y, además, se registró el peso de los pernos en una columna destinada a ese material, por lo cual el peso de los pernos está considerado dos veces. Para la detección y corrección de esta situación se utilizó la tabla de estructuras con todos sus datos, incluyendo peso, excavaciones y fundaciones, elaborada por el Consultor del Estudio de Transmisión Troncal del año 2014 sobre la base de la información proporcionada por las empresas. El archivo correspondiente denominado “</w:t>
      </w:r>
      <w:r w:rsidRPr="007E5A4C">
        <w:t>ETT2014-Datos Estruct y Fundaciones lineas.xlsx</w:t>
      </w:r>
      <w:r>
        <w:t>”</w:t>
      </w:r>
      <w:r w:rsidRPr="007E5A4C">
        <w:t xml:space="preserve"> </w:t>
      </w:r>
      <w:r>
        <w:t>se incluye en el Anexo VI_04.</w:t>
      </w:r>
    </w:p>
    <w:p w14:paraId="65F48FB6" w14:textId="77777777" w:rsidR="003501B7" w:rsidRDefault="003501B7" w:rsidP="003501B7">
      <w:r>
        <w:t>Considerando los numerosos errores en las cantidades de tantos elementos, lo cual conduciría inevitablemente a una valorización del V.I. que de ninguna manera representaría razonablemente el valor del STN, se debió realizar modificaciones a los casos más relevantes, para lo cual se debió intervenir la Base de Datos.</w:t>
      </w:r>
    </w:p>
    <w:p w14:paraId="723A1E91" w14:textId="77777777" w:rsidR="003501B7" w:rsidRDefault="003501B7" w:rsidP="003501B7">
      <w:r>
        <w:t>Se creó un nuevo esquema en la base de datos con nombre MOD_ELEQUIPOS, con el fin de diferenciar las tablas que almacenan los datos de input que se utilizan para las modificaciones.</w:t>
      </w:r>
    </w:p>
    <w:p w14:paraId="3AB39EA2" w14:textId="77777777" w:rsidR="003501B7" w:rsidRDefault="003501B7" w:rsidP="003501B7">
      <w:r>
        <w:t>Lo anterior se realizó debido a que las cantidades de registros a modificar son mayores a 10.000 en algunas tablas por lo que incluir el código para modificar miles de registros de forma detallada por cada uno de ellos a nivel de SQL es ineficiente.</w:t>
      </w:r>
    </w:p>
    <w:p w14:paraId="17D96D5E" w14:textId="77777777" w:rsidR="003501B7" w:rsidRDefault="003501B7" w:rsidP="003501B7">
      <w:r>
        <w:t>Las adecuaciones realizadas al inventario de la base de datos han consistido únicamente en la modificación de cantidades en los términos descritos en los párrafos anteriores, para elementos declarados. No se han creado nuevos registros para elementos que, habiendo establecido su existencia en la realidad, no están registrados en la base de datos ni siquiera con cantidad cero.</w:t>
      </w:r>
    </w:p>
    <w:p w14:paraId="0B4571B0" w14:textId="77777777" w:rsidR="003501B7" w:rsidRDefault="003501B7" w:rsidP="003501B7">
      <w:r>
        <w:t>En el Anexo VI_4 se incluye un archivo Excel “</w:t>
      </w:r>
      <w:r w:rsidRPr="00C458F6">
        <w:t>BD_Modificaciones en Cantidades.xlsx</w:t>
      </w:r>
      <w:r>
        <w:t>”</w:t>
      </w:r>
      <w:r w:rsidRPr="00C458F6">
        <w:t xml:space="preserve"> </w:t>
      </w:r>
      <w:r>
        <w:t>que muestra el detalle de las modificaciones de cantidad que se realizaron en la base de datos y su fundamentación.</w:t>
      </w:r>
    </w:p>
    <w:p w14:paraId="02272BCE" w14:textId="77777777" w:rsidR="003501B7" w:rsidRDefault="003501B7" w:rsidP="003501B7">
      <w:r>
        <w:t>Si bien se ha hecho el mayor esfuerzo en corregir los problemas de inventario detectado, no es posible corregirlos todos en el desarrollo de este Estudio. En efecto, las correcciones en los registros de la Base de Datos deben ser efectuadas, de acuerdo con la LGSE, por el CEN. En todo caso el trabajo que requiere mejorar la base de datos en cuanto a la información ingresada para la incorporación de información faltante y retirar información que no corresponde, es una tarea de magnitud mayor que requiere de un tiempo no menor a seis meses.</w:t>
      </w:r>
    </w:p>
    <w:p w14:paraId="33C84086" w14:textId="77777777" w:rsidR="003501B7" w:rsidRDefault="003501B7" w:rsidP="003501B7"/>
    <w:p w14:paraId="2460217C" w14:textId="77777777" w:rsidR="003501B7" w:rsidRDefault="003501B7" w:rsidP="003501B7">
      <w:pPr>
        <w:pStyle w:val="Ttulo3"/>
        <w:keepNext/>
      </w:pPr>
      <w:bookmarkStart w:id="42" w:name="_Toc38016472"/>
      <w:bookmarkStart w:id="43" w:name="_Toc39795086"/>
      <w:bookmarkStart w:id="44" w:name="_Toc39797766"/>
      <w:r>
        <w:lastRenderedPageBreak/>
        <w:t>Caracterización de los tramos del STN</w:t>
      </w:r>
      <w:bookmarkEnd w:id="42"/>
      <w:bookmarkEnd w:id="43"/>
      <w:bookmarkEnd w:id="44"/>
    </w:p>
    <w:p w14:paraId="16F1637F" w14:textId="77777777" w:rsidR="003501B7" w:rsidRDefault="003501B7" w:rsidP="003501B7">
      <w:r>
        <w:t>En las Bases Técnicas del Estudio, en su capítulo 5.2 Caracterización de Tramos se establece lo siguiente:</w:t>
      </w:r>
    </w:p>
    <w:p w14:paraId="4582C39F" w14:textId="77777777" w:rsidR="003501B7" w:rsidRPr="001C5645" w:rsidRDefault="003501B7" w:rsidP="003501B7">
      <w:pPr>
        <w:rPr>
          <w:i/>
          <w:iCs/>
        </w:rPr>
      </w:pPr>
      <w:r>
        <w:rPr>
          <w:i/>
          <w:iCs/>
        </w:rPr>
        <w:t>“</w:t>
      </w:r>
      <w:r w:rsidRPr="001C5645">
        <w:rPr>
          <w:i/>
          <w:iCs/>
        </w:rPr>
        <w:t>Para cada tramo deberá especificarse el inventario de componentes correspondiente, de acuerdo a los formatos establecidos en las presentes Bases. Esta especificación deberá contener, al menos, el nombre del tramo, la asignación de un código de identificación, la identificación del o los propietarios, subdivisión del tramo por cada propietario, una enumeración detallada de los componentes del tramo especificando, cuando corresponda, capacidades nominales de potencia activa o reactiva, corrientes nominales, límites térmicos, tensiones nominales de operación y un diagrama unifilar monofásico simplificado.</w:t>
      </w:r>
    </w:p>
    <w:p w14:paraId="4497855A" w14:textId="77777777" w:rsidR="003501B7" w:rsidRDefault="003501B7" w:rsidP="003501B7">
      <w:r w:rsidRPr="001C5645">
        <w:rPr>
          <w:i/>
          <w:iCs/>
        </w:rPr>
        <w:t>En el caso de obras civiles asociadas a tramos de subestaciones, se deberá especificar adicionalmente y, al menos, el material constructivo, la superficie construida y la superficie del recinto ocupado por la subestación. En caso de tramos de transporte, deberá especificarse adicionalmente y, al menos, la capacidad de transporte con sol a la temperatura máxima propia de la zona geográfica, la longitud, tipo y sección de conductor, cable de guardia (continuo o discontinuo), comunicaciones para protecciones, el número de estructuras y vano medio, tipo de estructura (anclaje, suspensión, otros), su descripción, material constructivo, resistencia máxima de puesta a tierra y franja de servidumbre.</w:t>
      </w:r>
      <w:r>
        <w:rPr>
          <w:i/>
          <w:iCs/>
        </w:rPr>
        <w:t>”</w:t>
      </w:r>
    </w:p>
    <w:p w14:paraId="03E39854" w14:textId="77777777" w:rsidR="003501B7" w:rsidRDefault="003501B7" w:rsidP="003501B7">
      <w:r>
        <w:t>Para dar cumplimiento se ha elaborado la información señalada en las Bases del estudio, la cual se encuentra en archivos adjuntos al Anexo VI_5. Caracterización de tramos del STN, que forma parte de este Informe de Avance 2, organizada en las siguientes carpetas:</w:t>
      </w:r>
    </w:p>
    <w:p w14:paraId="4D577EB2" w14:textId="77777777" w:rsidR="003501B7" w:rsidRDefault="003501B7" w:rsidP="003501B7">
      <w:r w:rsidRPr="00E648D3">
        <w:rPr>
          <w:noProof/>
          <w:lang w:eastAsia="es-CL"/>
        </w:rPr>
        <w:drawing>
          <wp:inline distT="0" distB="0" distL="0" distR="0" wp14:anchorId="5FAA78DB" wp14:editId="29EB499E">
            <wp:extent cx="1609725" cy="1266825"/>
            <wp:effectExtent l="0" t="0" r="9525" b="9525"/>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609725" cy="1266825"/>
                    </a:xfrm>
                    <a:prstGeom prst="rect">
                      <a:avLst/>
                    </a:prstGeom>
                  </pic:spPr>
                </pic:pic>
              </a:graphicData>
            </a:graphic>
          </wp:inline>
        </w:drawing>
      </w:r>
    </w:p>
    <w:p w14:paraId="30A444A3" w14:textId="77777777" w:rsidR="003501B7" w:rsidRDefault="003501B7" w:rsidP="003501B7">
      <w:r>
        <w:t>En la carpeta “</w:t>
      </w:r>
      <w:r w:rsidRPr="00E648D3">
        <w:t>01-Diag Unilin STN</w:t>
      </w:r>
      <w:r>
        <w:t>” se encuentra el archivo “</w:t>
      </w:r>
      <w:r w:rsidRPr="00E648D3">
        <w:t>DU STN_Valorizacion.dwg</w:t>
      </w:r>
      <w:r>
        <w:t>” que contiene todas las instalaciones del STN y que se ha obtenido a partir del diagrama unilineal del sistema de junio 2018, publicado por el CEN en su página web.</w:t>
      </w:r>
    </w:p>
    <w:p w14:paraId="28E9F01E" w14:textId="77777777" w:rsidR="003501B7" w:rsidRDefault="003501B7" w:rsidP="003501B7">
      <w:r>
        <w:t>En la carpeta “</w:t>
      </w:r>
      <w:r w:rsidRPr="00E648D3">
        <w:t>02-Diag Unilin SSEE</w:t>
      </w:r>
      <w:r>
        <w:t>” se encuentran 81 archivos, uno para cada subestación de la calificación del STN, incluyendo aquellas que no se valorizan.</w:t>
      </w:r>
    </w:p>
    <w:p w14:paraId="31AD6CA4" w14:textId="77777777" w:rsidR="003501B7" w:rsidRDefault="003501B7" w:rsidP="003501B7">
      <w:r>
        <w:lastRenderedPageBreak/>
        <w:t>En la carpeta “</w:t>
      </w:r>
      <w:r w:rsidRPr="004A4AFB">
        <w:t>03-Diag Unilin Transporte</w:t>
      </w:r>
      <w:r>
        <w:t>”</w:t>
      </w:r>
      <w:r w:rsidRPr="004A4AFB">
        <w:t xml:space="preserve"> se encuentran </w:t>
      </w:r>
      <w:r>
        <w:t>140</w:t>
      </w:r>
      <w:r w:rsidRPr="004A4AFB">
        <w:t xml:space="preserve"> archivos, uno para cada </w:t>
      </w:r>
      <w:r>
        <w:t>tramo de transporte</w:t>
      </w:r>
      <w:r w:rsidRPr="004A4AFB">
        <w:t xml:space="preserve"> de la calificación del STN, incluyendo aquell</w:t>
      </w:r>
      <w:r>
        <w:t>o</w:t>
      </w:r>
      <w:r w:rsidRPr="004A4AFB">
        <w:t>s que no se valorizan.</w:t>
      </w:r>
    </w:p>
    <w:p w14:paraId="652D9CD4" w14:textId="77777777" w:rsidR="003501B7" w:rsidRDefault="003501B7" w:rsidP="003501B7">
      <w:r>
        <w:t>En la carpeta “</w:t>
      </w:r>
      <w:r w:rsidRPr="004A6136">
        <w:t>04-Inventario SSEE</w:t>
      </w:r>
      <w:r>
        <w:t xml:space="preserve">” </w:t>
      </w:r>
      <w:r w:rsidRPr="004A6136">
        <w:t>se encuentra el archivo</w:t>
      </w:r>
      <w:r>
        <w:t xml:space="preserve"> “</w:t>
      </w:r>
      <w:r w:rsidRPr="004A6136">
        <w:t>SSEE_Inventario_09-04-2020.xlsx</w:t>
      </w:r>
      <w:r>
        <w:t>” que contiene todos los elementos correspondientes a todas las instalaciones valorizadas de los tramos de subestación, con todos los identificadores de la base de datos, por lo cual se obtiene el inventario de una subestación específica mediante el filtro de nombre o de código de subestación.</w:t>
      </w:r>
    </w:p>
    <w:p w14:paraId="21E65546" w14:textId="77777777" w:rsidR="003501B7" w:rsidRDefault="003501B7" w:rsidP="003501B7">
      <w:r>
        <w:t xml:space="preserve">En la carpeta </w:t>
      </w:r>
      <w:r w:rsidRPr="00625A13">
        <w:t xml:space="preserve">05-Inventario Transporte </w:t>
      </w:r>
      <w:r w:rsidRPr="004A6136">
        <w:t>se encuentra el archivo</w:t>
      </w:r>
      <w:r>
        <w:t xml:space="preserve"> “</w:t>
      </w:r>
      <w:r w:rsidRPr="00625A13">
        <w:t>Transporte_Inventario_09-04-2020.xlsx</w:t>
      </w:r>
      <w:r>
        <w:t>”.</w:t>
      </w:r>
      <w:r w:rsidRPr="00625A13">
        <w:t xml:space="preserve"> </w:t>
      </w:r>
      <w:proofErr w:type="gramStart"/>
      <w:r w:rsidRPr="00625A13">
        <w:t>que</w:t>
      </w:r>
      <w:proofErr w:type="gramEnd"/>
      <w:r w:rsidRPr="00625A13">
        <w:t xml:space="preserve"> contiene todos los elementos correspondientes a todas las instalaciones valorizadas de los tramos de </w:t>
      </w:r>
      <w:r>
        <w:t>transporte</w:t>
      </w:r>
      <w:r w:rsidRPr="00625A13">
        <w:t>, con todos los identificadores de la base de datos, por lo cual se obtiene el inventario de un</w:t>
      </w:r>
      <w:r>
        <w:t xml:space="preserve"> tramo de transporte específico o de parte de él</w:t>
      </w:r>
      <w:r w:rsidRPr="00625A13">
        <w:t xml:space="preserve"> mediante el filtro de nombre o de código de</w:t>
      </w:r>
      <w:r>
        <w:t>l tramo, el cual incluye la línea y los paños de</w:t>
      </w:r>
      <w:r w:rsidRPr="00625A13">
        <w:t xml:space="preserve"> subestación</w:t>
      </w:r>
      <w:r>
        <w:t xml:space="preserve"> de sus extremos</w:t>
      </w:r>
      <w:r w:rsidRPr="00625A13">
        <w:t>.</w:t>
      </w:r>
    </w:p>
    <w:p w14:paraId="1C621342" w14:textId="77777777" w:rsidR="003501B7" w:rsidRDefault="003501B7" w:rsidP="003501B7">
      <w:r w:rsidRPr="00625A13">
        <w:t xml:space="preserve">En la carpeta 06-Ubicacion Tramos </w:t>
      </w:r>
      <w:r w:rsidRPr="004A6136">
        <w:t>se encuentra el archivo</w:t>
      </w:r>
      <w:r>
        <w:t xml:space="preserve"> “</w:t>
      </w:r>
      <w:r w:rsidRPr="00625A13">
        <w:t>Valorizacion Nacional.kmz</w:t>
      </w:r>
      <w:r>
        <w:t>”, que es un archivo creado a partir de uno disponible en el sitio web del CEN en el cual se muestra todas las instalaciones del STN, con algunas características principales.</w:t>
      </w:r>
    </w:p>
    <w:p w14:paraId="7989809F" w14:textId="77777777" w:rsidR="003501B7" w:rsidRDefault="003501B7" w:rsidP="003501B7">
      <w:r>
        <w:t xml:space="preserve">En las Bases del estudio se solicita, además de la incluida en el Anexo VI_5, información técnica de las instalaciones, que no está disponible en alguna de las fuentes oficiales y que solo tienen las empresas propietarias. Tal es el caso de </w:t>
      </w:r>
      <w:r w:rsidRPr="00205CDF">
        <w:t>una enumeración detallada de los componentes del tramo especificando, cuando corresponda, capacidades nominales de potencia activa o reactiva, corrientes nominales, límites térmicos</w:t>
      </w:r>
      <w:r>
        <w:t>.</w:t>
      </w:r>
      <w:r w:rsidRPr="00205CDF">
        <w:t xml:space="preserve"> En caso de tramos de transporte, deberá especificarse adicionalmente y, al menos, la capacidad de transporte con sol a la temperatura máxima propia de la zona geográfica, la longitud, tipo y sección de conductor, cable de guardia (continuo o discontinuo), comunicaciones para protecciones, el número de estructuras y vano medio, tipo de estructura (anclaje, suspensión, otros), su descripción, material constructivo, resistencia máxima de puesta a tierra y franja de servidumbre</w:t>
      </w:r>
      <w:r>
        <w:t>.</w:t>
      </w:r>
    </w:p>
    <w:p w14:paraId="00E991CE" w14:textId="576A32AC" w:rsidR="004102B7" w:rsidRDefault="003501B7" w:rsidP="003501B7">
      <w:r>
        <w:t>La información no disponible ha sido solicitada a las empresas propietarias a través de la CNE mediante el Oficio ORD. N° 235/2020, del 6 de abril de 2020, sin embargo, a la fecha de emisión del presente informe no ha sido recibida, razón por lo cual la información técnica faltante, especificada en las Bases del estudio, será incorporada en el Informe Final Preliminar.</w:t>
      </w:r>
    </w:p>
    <w:p w14:paraId="1B8B3918" w14:textId="7A2A5DB1" w:rsidR="004102B7" w:rsidRPr="00103C5D" w:rsidRDefault="004102B7" w:rsidP="00103C5D">
      <w:pPr>
        <w:pStyle w:val="Ttulo3"/>
      </w:pPr>
      <w:bookmarkStart w:id="45" w:name="_Toc38016473"/>
      <w:bookmarkStart w:id="46" w:name="_Toc39797767"/>
      <w:r w:rsidRPr="00103C5D">
        <w:t>Estudio de precios</w:t>
      </w:r>
      <w:bookmarkEnd w:id="45"/>
      <w:bookmarkEnd w:id="46"/>
    </w:p>
    <w:p w14:paraId="5D28384C" w14:textId="77777777" w:rsidR="007F6DDF" w:rsidRDefault="007F6DDF" w:rsidP="007F6DDF">
      <w:r>
        <w:t xml:space="preserve">Las Bases del Estudio establecen que los precios (costos unitarios) considerados para valorizar las instalaciones e infraestructura deberán basarse en estudios de mercado. Para obtener el inventario de materiales y equipos valorizado, se debe haber realizado un estudio de mercado de precios de </w:t>
      </w:r>
      <w:r>
        <w:lastRenderedPageBreak/>
        <w:t>elementos de transmisión de acuerdo con un principio de adquisición eficiente, con el fin obtener un listado de precios unitarios de elementos de transmisión.</w:t>
      </w:r>
    </w:p>
    <w:p w14:paraId="6B04A7A7" w14:textId="77777777" w:rsidR="007F6DDF" w:rsidRDefault="007F6DDF" w:rsidP="007F6DDF">
      <w:r>
        <w:t>Este estudio de mercado se ha realizado solicitando cotización a diferentes empresas proveedoras reconocidas en el mercado, con amplia experiencia en suministros para sistemas de transmisión, en los niveles de tensión superiores comprendidos en esta valorización.</w:t>
      </w:r>
    </w:p>
    <w:p w14:paraId="2CA0AF06" w14:textId="77777777" w:rsidR="007F6DDF" w:rsidRDefault="007F6DDF" w:rsidP="007F6DDF">
      <w:r>
        <w:t>Para el desarrollo del estudio de precios se definió la siguiente secuencia de actividades:</w:t>
      </w:r>
    </w:p>
    <w:p w14:paraId="2B674EAD" w14:textId="77777777" w:rsidR="007F6DDF" w:rsidRPr="0067128F" w:rsidRDefault="007F6DDF" w:rsidP="007F6DDF">
      <w:pPr>
        <w:pStyle w:val="Listanumerada"/>
        <w:numPr>
          <w:ilvl w:val="0"/>
          <w:numId w:val="26"/>
        </w:numPr>
        <w:spacing w:after="200"/>
        <w:ind w:left="567" w:hanging="567"/>
      </w:pPr>
      <w:r w:rsidRPr="0067128F">
        <w:t>Desde la Base de Datos del listado de elementos existentes, agrupados por familia, se elaboró una lista de elementos de transmisión utilizados en instalaciones del Sistema de Transmisión Nacional, sean estos equipos o materiales, determinando su procedencia ya sea del mercado nacional o extranjero.</w:t>
      </w:r>
    </w:p>
    <w:p w14:paraId="3541FFFD" w14:textId="77777777" w:rsidR="007F6DDF" w:rsidRPr="0067128F" w:rsidRDefault="007F6DDF" w:rsidP="007F6DDF">
      <w:pPr>
        <w:pStyle w:val="Listanumerada"/>
        <w:numPr>
          <w:ilvl w:val="0"/>
          <w:numId w:val="26"/>
        </w:numPr>
        <w:spacing w:after="200"/>
        <w:ind w:left="567" w:hanging="567"/>
      </w:pPr>
      <w:r w:rsidRPr="0067128F">
        <w:t>Caracterización y especificación técnica relevante de los elementos de transmisión. Para cada uno de los elementos de transmisión definidos, revisar la caracterización de sus especificaciones técnicas.</w:t>
      </w:r>
    </w:p>
    <w:p w14:paraId="40066F24" w14:textId="77777777" w:rsidR="007F6DDF" w:rsidRPr="0067128F" w:rsidRDefault="007F6DDF" w:rsidP="007F6DDF">
      <w:pPr>
        <w:pStyle w:val="Listanumerada"/>
        <w:numPr>
          <w:ilvl w:val="0"/>
          <w:numId w:val="26"/>
        </w:numPr>
        <w:spacing w:after="200"/>
        <w:ind w:left="567" w:hanging="567"/>
      </w:pPr>
      <w:r w:rsidRPr="0067128F">
        <w:t>Identificación de los proveedores de los elementos de transmisión, tanto en el mercado nacional, como en el extranjero. Se recurrió a los proveedores existentes utilizados tanto por las empresas eléctricas de generación, transmisión y distribución, como por las empresas contratistas, constructores o proveedores nacionales o internacionales, sin atribuir características de calidad por origen de los productos.</w:t>
      </w:r>
    </w:p>
    <w:p w14:paraId="51E296F0" w14:textId="77777777" w:rsidR="007F6DDF" w:rsidRPr="0067128F" w:rsidRDefault="007F6DDF" w:rsidP="007F6DDF">
      <w:pPr>
        <w:pStyle w:val="Listanumerada"/>
        <w:numPr>
          <w:ilvl w:val="0"/>
          <w:numId w:val="26"/>
        </w:numPr>
        <w:spacing w:after="200"/>
        <w:ind w:left="567" w:hanging="567"/>
      </w:pPr>
      <w:r w:rsidRPr="0067128F">
        <w:t>Desarrollo de lista de proveedores por familias de elementos para solicitar cotizaciones.</w:t>
      </w:r>
    </w:p>
    <w:p w14:paraId="7CC54D60" w14:textId="77777777" w:rsidR="007F6DDF" w:rsidRPr="0067128F" w:rsidRDefault="007F6DDF" w:rsidP="007F6DDF">
      <w:pPr>
        <w:pStyle w:val="Listanumerada"/>
        <w:numPr>
          <w:ilvl w:val="0"/>
          <w:numId w:val="26"/>
        </w:numPr>
        <w:spacing w:after="200"/>
        <w:ind w:left="567" w:hanging="567"/>
      </w:pPr>
      <w:r w:rsidRPr="0067128F">
        <w:t xml:space="preserve">Solicitar mediante carta a proveedores, cotizaciones de los elementos de transmisión. El proceso de solicitud de cotizaciones a los proveedores identificados como importados para el catastro de elementos de transmisión, se ha realizado a precio FOB. </w:t>
      </w:r>
    </w:p>
    <w:p w14:paraId="38365410" w14:textId="77777777" w:rsidR="007F6DDF" w:rsidRPr="0067128F" w:rsidRDefault="007F6DDF" w:rsidP="007F6DDF">
      <w:pPr>
        <w:pStyle w:val="Listanumerada"/>
        <w:numPr>
          <w:ilvl w:val="0"/>
          <w:numId w:val="26"/>
        </w:numPr>
        <w:spacing w:after="200"/>
        <w:ind w:left="567" w:hanging="567"/>
      </w:pPr>
      <w:r w:rsidRPr="0067128F">
        <w:t>Solicitar precios de Transporte Marítimo para este tipo de elementos, entre puertos chilenos y puertos utilizados normalmente de Europa, Asia y Norteamérica.</w:t>
      </w:r>
    </w:p>
    <w:p w14:paraId="1743AAC7" w14:textId="77777777" w:rsidR="007F6DDF" w:rsidRPr="0067128F" w:rsidRDefault="007F6DDF" w:rsidP="007F6DDF">
      <w:pPr>
        <w:pStyle w:val="Listanumerada"/>
        <w:numPr>
          <w:ilvl w:val="0"/>
          <w:numId w:val="26"/>
        </w:numPr>
        <w:spacing w:after="200"/>
        <w:ind w:left="567" w:hanging="567"/>
      </w:pPr>
      <w:r w:rsidRPr="0067128F">
        <w:t xml:space="preserve">Elaborar planilla de precios de cotizaciones de materiales, agregando valor de transporte marítimo y, en los casos pertinentes, tasa arancelaria de 6%. </w:t>
      </w:r>
    </w:p>
    <w:p w14:paraId="19FB5A47" w14:textId="77777777" w:rsidR="007F6DDF" w:rsidRPr="0067128F" w:rsidRDefault="007F6DDF" w:rsidP="007F6DDF">
      <w:pPr>
        <w:pStyle w:val="Listanumerada"/>
        <w:numPr>
          <w:ilvl w:val="0"/>
          <w:numId w:val="26"/>
        </w:numPr>
        <w:spacing w:after="200"/>
        <w:ind w:left="567" w:hanging="567"/>
      </w:pPr>
      <w:r w:rsidRPr="0067128F">
        <w:t>Agregar en planilla de precios, precios de estudios anteriores. Como complemento a las cotizaciones, se recopilarán precios de elementos de transmisión desde estudios anteriores u otros antecedentes disponibles.</w:t>
      </w:r>
    </w:p>
    <w:p w14:paraId="5AC3224B" w14:textId="77777777" w:rsidR="007F6DDF" w:rsidRPr="0067128F" w:rsidRDefault="007F6DDF" w:rsidP="007F6DDF">
      <w:pPr>
        <w:pStyle w:val="Listanumerada"/>
        <w:numPr>
          <w:ilvl w:val="0"/>
          <w:numId w:val="26"/>
        </w:numPr>
        <w:spacing w:after="200"/>
        <w:ind w:left="567" w:hanging="567"/>
      </w:pPr>
      <w:r w:rsidRPr="0067128F">
        <w:t>Solicitar, de acuerdo con las bases, precios de elementos de transmisión a las empresas transmisoras propietarias de las instalaciones del sistema de transmisión nacional.</w:t>
      </w:r>
    </w:p>
    <w:p w14:paraId="0B07828C" w14:textId="77777777" w:rsidR="007F6DDF" w:rsidRPr="0067128F" w:rsidRDefault="007F6DDF" w:rsidP="007F6DDF">
      <w:pPr>
        <w:pStyle w:val="Listanumerada"/>
        <w:numPr>
          <w:ilvl w:val="0"/>
          <w:numId w:val="26"/>
        </w:numPr>
        <w:spacing w:after="200"/>
        <w:ind w:left="567" w:hanging="567"/>
      </w:pPr>
      <w:r w:rsidRPr="0067128F">
        <w:lastRenderedPageBreak/>
        <w:t>Determinar precios unitarios de los elementos de transmisión de acuerdo con un principio de adquisición eficiente, aplicando fórmulas de indexación para determinar precios al 31 de diciembre de 2017.</w:t>
      </w:r>
    </w:p>
    <w:p w14:paraId="3A27EC88" w14:textId="77777777" w:rsidR="007F6DDF" w:rsidRDefault="007F6DDF" w:rsidP="007F6DDF">
      <w:r>
        <w:t>Se ha realizado una recopilación de toda la información disponible, tanto de la Comisión, del sitio web del Coordinador Eléctrico Nacional y de los archivos de los consultores. La información utilizada de la Comisión Nacional de Energía, es aquella relativa a informes realizados con anterioridad, de estudios de valorización del sistema troncal (actual sistema nacional), con motivo de tarificación de la transmisión.</w:t>
      </w:r>
    </w:p>
    <w:p w14:paraId="28A9F5AC" w14:textId="77777777" w:rsidR="007F6DDF" w:rsidRDefault="007F6DDF" w:rsidP="007F6DDF">
      <w:r>
        <w:t>De la información del CEN se tiene una base de datos de las instalaciones del sistema, que contiene todos los equipos y materiales instalados con la descripción de las características principales de ellos.</w:t>
      </w:r>
    </w:p>
    <w:p w14:paraId="1B42A047" w14:textId="77777777" w:rsidR="007F6DDF" w:rsidRDefault="007F6DDF" w:rsidP="007F6DDF">
      <w:r>
        <w:t xml:space="preserve">Con la información obtenida, una vez analizada y depurada, se ha elaborado la lista de materiales y equipos a cotizar, priorizando aquellos de mayor valor e incidencia en la valorización del STN. El conjunto de estos equipos y materiales principales representan un porcentaje muy elevado del valor de elementos de transmisión.  </w:t>
      </w:r>
    </w:p>
    <w:p w14:paraId="660B80A2" w14:textId="77777777" w:rsidR="007F6DDF" w:rsidRDefault="007F6DDF" w:rsidP="007F6DDF">
      <w:r>
        <w:t>Para los principales elementos de cada familia, se ha elaborado una hoja de datos técnicos que entrega su caracterización a partir de las especificaciones técnicas usualmente utilizadas para la adquisición de esos elementos. En esta caracterización tiene relación con el estándar de calidad de componentes sobre la base de las normas mayoritariamente utilizadas, las exigencias de comportamiento sísmico en conformidad a la normativa nacional (cuando corresponde) y las condiciones de calidad y seguridad de servicio.</w:t>
      </w:r>
    </w:p>
    <w:p w14:paraId="6252B392" w14:textId="77777777" w:rsidR="007F6DDF" w:rsidRDefault="007F6DDF" w:rsidP="007F6DDF">
      <w:r>
        <w:t>Se ha identificado a los proveedores y representantes de fábricas de las marcas de mayor presencia en el mercado eléctrico, que han participado en los suministros para las empresas eléctricas y contratistas de obras de los últimos años, determinando las familias de elementos que comercializa. Con esto se confecciona una lista de proveedores por familias de elementos para la valorización del Sistema de Transmisión Nacional.</w:t>
      </w:r>
    </w:p>
    <w:p w14:paraId="19BFD763" w14:textId="77777777" w:rsidR="007F6DDF" w:rsidRDefault="007F6DDF" w:rsidP="007F6DDF">
      <w:r>
        <w:t>Para determinar los precios de los elementos de transmisión, como primera actividad se analiza las cotizaciones recibidas, con el fin de verificar que los precios informados correspondieran a los elementos solicitados en cuanto a sus características técnicas.</w:t>
      </w:r>
    </w:p>
    <w:p w14:paraId="6FB6A14A" w14:textId="77777777" w:rsidR="007F6DDF" w:rsidRDefault="007F6DDF" w:rsidP="007F6DDF">
      <w:r>
        <w:t xml:space="preserve">El resultado de la etapa de cotización es la obtención de precios, solo para una parte de los elementos de cada familia. Debido a lo anterior, se define que para obtener precios para los restantes elementos se utilice la interpolación y extrapolación de precios, aplicable para cada familia. El modelo se basa en la obtención de la función que representa la tendencia de la curva establecida con los precios obtenidos según la variable más representativa que explica la variación </w:t>
      </w:r>
      <w:r>
        <w:lastRenderedPageBreak/>
        <w:t xml:space="preserve">del precio (como por ejemplo el nivel de tensión o la capacidad), seleccionando aquella función que entrega la mayor correlación. </w:t>
      </w:r>
    </w:p>
    <w:p w14:paraId="4C569A27" w14:textId="1A75DE1A" w:rsidR="007F6DDF" w:rsidRDefault="007F6DDF" w:rsidP="007F6DDF">
      <w:r w:rsidRPr="007F6DDF">
        <w:t>En aquellos casos que no se obtiene cotización y tampoco fue posible utilizar el procedimiento de interpolación o extrapolación, se utilizan valores obtenidos de estudios anteriores, indexados para ser actualizados a la fecha del estudio, considerando variaciones del mercado. Para ello se toma como referencia la diferencia de precios entre el Estudio de Tarifas de 2014 y los precios Cotizados en 2019 para equipos representativos del precio que se quiere actualizar reflejando condiciones del mercado</w:t>
      </w:r>
      <w:r>
        <w:t>.</w:t>
      </w:r>
    </w:p>
    <w:p w14:paraId="3164B731" w14:textId="77777777" w:rsidR="007F6DDF" w:rsidRDefault="007F6DDF" w:rsidP="007F6DDF">
      <w:r>
        <w:t>Se determinan los elementos que tendrán la categoría de importados, con todo el detalle técnico necesario y se solicita la cotización al proveedor respectivo. Estos elementos se cotizan a valor FOB (</w:t>
      </w:r>
      <w:r w:rsidRPr="002B4D06">
        <w:rPr>
          <w:i/>
        </w:rPr>
        <w:t>Free on Board</w:t>
      </w:r>
      <w:r>
        <w:t>), para posteriormente agregarle, los costos de transporte internacional, seguros e internación.</w:t>
      </w:r>
    </w:p>
    <w:p w14:paraId="7FD4914A" w14:textId="77777777" w:rsidR="007F6DDF" w:rsidRDefault="007F6DDF" w:rsidP="007F6DDF">
      <m:oMathPara>
        <m:oMath>
          <m:r>
            <w:rPr>
              <w:rFonts w:ascii="Cambria Math" w:hAnsi="Cambria Math"/>
            </w:rPr>
            <m:t>Valor CIF=</m:t>
          </m:r>
          <m:d>
            <m:dPr>
              <m:ctrlPr>
                <w:rPr>
                  <w:rFonts w:ascii="Cambria Math" w:hAnsi="Cambria Math"/>
                  <w:i/>
                </w:rPr>
              </m:ctrlPr>
            </m:dPr>
            <m:e>
              <m:r>
                <w:rPr>
                  <w:rFonts w:ascii="Cambria Math" w:hAnsi="Cambria Math"/>
                </w:rPr>
                <m:t>Valor FOB+flete+seguro</m:t>
              </m:r>
            </m:e>
          </m:d>
          <m:r>
            <w:rPr>
              <w:rFonts w:ascii="Cambria Math" w:hAnsi="Cambria Math"/>
            </w:rPr>
            <m:t>∙(1+%internación)</m:t>
          </m:r>
        </m:oMath>
      </m:oMathPara>
    </w:p>
    <w:p w14:paraId="18D6B075" w14:textId="77777777" w:rsidR="007F6DDF" w:rsidRDefault="007F6DDF" w:rsidP="007F6DDF">
      <w:r>
        <w:t>Donde:</w:t>
      </w: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41"/>
        <w:gridCol w:w="281"/>
        <w:gridCol w:w="6470"/>
      </w:tblGrid>
      <w:tr w:rsidR="007F6DDF" w14:paraId="28FF2430" w14:textId="77777777" w:rsidTr="006B5A62">
        <w:tc>
          <w:tcPr>
            <w:tcW w:w="0" w:type="auto"/>
            <w:vAlign w:val="center"/>
          </w:tcPr>
          <w:p w14:paraId="7F3C339E" w14:textId="77777777" w:rsidR="007F6DDF" w:rsidRPr="00F72CD9" w:rsidRDefault="007F6DDF" w:rsidP="006B5A62">
            <m:oMathPara>
              <m:oMathParaPr>
                <m:jc m:val="left"/>
              </m:oMathParaPr>
              <m:oMath>
                <m:r>
                  <w:rPr>
                    <w:rFonts w:ascii="Cambria Math" w:hAnsi="Cambria Math"/>
                  </w:rPr>
                  <m:t>Valor FOB</m:t>
                </m:r>
              </m:oMath>
            </m:oMathPara>
          </w:p>
        </w:tc>
        <w:tc>
          <w:tcPr>
            <w:tcW w:w="0" w:type="auto"/>
            <w:vAlign w:val="center"/>
          </w:tcPr>
          <w:p w14:paraId="439540AA" w14:textId="77777777" w:rsidR="007F6DDF" w:rsidRDefault="007F6DDF" w:rsidP="006B5A62">
            <w:pPr>
              <w:jc w:val="left"/>
            </w:pPr>
            <w:r>
              <w:t>:</w:t>
            </w:r>
          </w:p>
        </w:tc>
        <w:tc>
          <w:tcPr>
            <w:tcW w:w="0" w:type="auto"/>
            <w:vAlign w:val="center"/>
          </w:tcPr>
          <w:p w14:paraId="4FDE94CC" w14:textId="77777777" w:rsidR="007F6DDF" w:rsidRDefault="007F6DDF" w:rsidP="006B5A62">
            <w:pPr>
              <w:jc w:val="left"/>
            </w:pPr>
            <w:r>
              <w:t>valor cotizado de elemento de Transmisión (</w:t>
            </w:r>
            <w:r w:rsidRPr="00F72CD9">
              <w:rPr>
                <w:i/>
              </w:rPr>
              <w:t>Free on Board</w:t>
            </w:r>
            <w:r>
              <w:t>)</w:t>
            </w:r>
          </w:p>
        </w:tc>
      </w:tr>
      <w:tr w:rsidR="007F6DDF" w14:paraId="74312426" w14:textId="77777777" w:rsidTr="006B5A62">
        <w:tc>
          <w:tcPr>
            <w:tcW w:w="0" w:type="auto"/>
            <w:vAlign w:val="center"/>
          </w:tcPr>
          <w:p w14:paraId="5F1C0340" w14:textId="77777777" w:rsidR="007F6DDF" w:rsidRPr="00F72CD9" w:rsidRDefault="007F6DDF" w:rsidP="006B5A62">
            <m:oMathPara>
              <m:oMathParaPr>
                <m:jc m:val="left"/>
              </m:oMathParaPr>
              <m:oMath>
                <m:r>
                  <w:rPr>
                    <w:rFonts w:ascii="Cambria Math" w:hAnsi="Cambria Math"/>
                  </w:rPr>
                  <m:t>Flete+Seguro</m:t>
                </m:r>
              </m:oMath>
            </m:oMathPara>
          </w:p>
        </w:tc>
        <w:tc>
          <w:tcPr>
            <w:tcW w:w="0" w:type="auto"/>
            <w:vAlign w:val="center"/>
          </w:tcPr>
          <w:p w14:paraId="50B5A8D5" w14:textId="77777777" w:rsidR="007F6DDF" w:rsidRDefault="007F6DDF" w:rsidP="006B5A62">
            <w:pPr>
              <w:jc w:val="left"/>
            </w:pPr>
            <w:r>
              <w:t>:</w:t>
            </w:r>
          </w:p>
        </w:tc>
        <w:tc>
          <w:tcPr>
            <w:tcW w:w="0" w:type="auto"/>
            <w:vAlign w:val="center"/>
          </w:tcPr>
          <w:p w14:paraId="641AD383" w14:textId="77777777" w:rsidR="007F6DDF" w:rsidRDefault="007F6DDF" w:rsidP="006B5A62">
            <w:pPr>
              <w:jc w:val="left"/>
            </w:pPr>
            <w:r>
              <w:t>Valor de flete y seguro marítimo desde el puerto de exportación</w:t>
            </w:r>
          </w:p>
        </w:tc>
      </w:tr>
    </w:tbl>
    <w:p w14:paraId="1C44C4A9" w14:textId="77777777" w:rsidR="007F6DDF" w:rsidRDefault="007F6DDF" w:rsidP="007F6DDF">
      <w:r>
        <w:t>Las componentes de las instalaciones se deben valorizar conforme su costo puesto y habilitado en terreno, de acuerdo con su costo eficiente de adquisición y a los costos de las tareas propias del proyecto de habilitación de la instalación o infraestructura como proyecto completo (recargos). En virtud de lo anterior, los costos de transporte nacional y bodegaje correspondientes entre otros, se agregan posteriormente como recargos.</w:t>
      </w:r>
    </w:p>
    <w:p w14:paraId="15394ECE" w14:textId="77777777" w:rsidR="007F6DDF" w:rsidRDefault="007F6DDF" w:rsidP="007F6DDF">
      <w:r>
        <w:t>El costo de transporte nacional se obtiene de cotizaciones a empresas de transporte reconocidas en el país, obteniendo con esto un costo unitario por tonelada-km desde el puerto más cercano (Iquique, Valparaíso, Talcahuano, Coquimbo, etc.) hasta la obra. Los costos de bodegaje (recepción, registro, almacenamiento y despacho) están incluidos dentro del recargo por bodegaje.</w:t>
      </w:r>
    </w:p>
    <w:p w14:paraId="5290EC48" w14:textId="77777777" w:rsidR="007F6DDF" w:rsidRDefault="007F6DDF" w:rsidP="007F6DDF">
      <w:r>
        <w:t>De igual forma que en el caso de los importados, los costos de equipos y materiales nacionales se han obtenido de cotizaciones que se solicitan a empresas y proveedores, en este caso mayoristas nacionales, y para cantidades específicas de cada elemento basado en los listados de elementos de cada familia.</w:t>
      </w:r>
    </w:p>
    <w:p w14:paraId="1CC56FE2" w14:textId="77777777" w:rsidR="007F6DDF" w:rsidRDefault="007F6DDF" w:rsidP="007F6DDF">
      <w:r>
        <w:t>Los valores de transporte y bodegaje se han obtenido de la misma forma que para el caso de materiales importados.</w:t>
      </w:r>
    </w:p>
    <w:p w14:paraId="5D61EFE4" w14:textId="77777777" w:rsidR="007F6DDF" w:rsidRDefault="007F6DDF" w:rsidP="007F6DDF">
      <w:r>
        <w:lastRenderedPageBreak/>
        <w:t>Una vez determinado el inventario de los precios mínimos por cada elemento de transmisión, se ha procedido a aplicar las fórmulas que permiten llevar los precios obtenidos, a la fecha definida en la Bases.</w:t>
      </w:r>
    </w:p>
    <w:p w14:paraId="113CDFEA" w14:textId="77777777" w:rsidR="007F6DDF" w:rsidRDefault="007F6DDF" w:rsidP="007F6DDF">
      <w:r>
        <w:t>Para llevar los precios obtenidos en nuestra etapa de cotizaciones, al 31 de diciembre de 2017, se ha utilizado un modelo que considera la variación del IPC (Índice de Precios al Consumidor) y la variación del valor del Dólar, para los elementos de transmisión nacionales. Para los elementos de transmisión importados, el cálculo considera la variación del CPI (Consumer Price Index) en el periodo entre la cotización y el 31 de diciembre de 2017, fecha determinada por las bases.</w:t>
      </w:r>
    </w:p>
    <w:p w14:paraId="6766BE91" w14:textId="77777777" w:rsidR="007F6DDF" w:rsidRPr="00BF51DE" w:rsidRDefault="007F6DDF" w:rsidP="007F6DDF">
      <w:pPr>
        <w:rPr>
          <w:bCs/>
        </w:rPr>
      </w:pPr>
      <w:r w:rsidRPr="00BF51DE">
        <w:rPr>
          <w:bCs/>
        </w:rPr>
        <w:t xml:space="preserve">De esta forma para llevar el valor unitario de los precios cotizados se utilizan </w:t>
      </w:r>
      <w:proofErr w:type="gramStart"/>
      <w:r w:rsidRPr="00BF51DE">
        <w:rPr>
          <w:bCs/>
        </w:rPr>
        <w:t>la siguientes</w:t>
      </w:r>
      <w:proofErr w:type="gramEnd"/>
      <w:r w:rsidRPr="00BF51DE">
        <w:rPr>
          <w:bCs/>
        </w:rPr>
        <w:t xml:space="preserve"> formulas:</w:t>
      </w:r>
    </w:p>
    <w:p w14:paraId="6BA9A11B" w14:textId="77777777" w:rsidR="007F6DDF" w:rsidRPr="009D3A63" w:rsidRDefault="007F6DDF" w:rsidP="007F6DDF">
      <w:pPr>
        <w:pStyle w:val="Prrafodelista"/>
        <w:numPr>
          <w:ilvl w:val="0"/>
          <w:numId w:val="44"/>
        </w:numPr>
        <w:ind w:left="567" w:hanging="567"/>
        <w:rPr>
          <w:b/>
          <w:bCs/>
        </w:rPr>
      </w:pPr>
      <w:bookmarkStart w:id="47" w:name="_Hlk34056256"/>
      <w:r w:rsidRPr="009D3A63">
        <w:rPr>
          <w:b/>
          <w:bCs/>
        </w:rPr>
        <w:t>Elementos Nacionales</w:t>
      </w:r>
    </w:p>
    <w:p w14:paraId="6596803E" w14:textId="77777777" w:rsidR="007F6DDF" w:rsidRPr="00F72CD9" w:rsidRDefault="007F6DDF" w:rsidP="007F6DDF">
      <m:oMathPara>
        <m:oMath>
          <m:r>
            <w:rPr>
              <w:rFonts w:ascii="Cambria Math" w:hAnsi="Cambria Math"/>
            </w:rPr>
            <m:t>P.U.ET</m:t>
          </m:r>
          <m:sSub>
            <m:sSubPr>
              <m:ctrlPr>
                <w:rPr>
                  <w:rFonts w:ascii="Cambria Math" w:hAnsi="Cambria Math"/>
                  <w:i/>
                </w:rPr>
              </m:ctrlPr>
            </m:sSubPr>
            <m:e>
              <m:r>
                <w:rPr>
                  <w:rFonts w:ascii="Cambria Math" w:hAnsi="Cambria Math"/>
                </w:rPr>
                <m:t>N</m:t>
              </m:r>
            </m:e>
            <m:sub>
              <m:r>
                <w:rPr>
                  <w:rFonts w:ascii="Cambria Math" w:hAnsi="Cambria Math"/>
                </w:rPr>
                <m:t>dic17</m:t>
              </m:r>
            </m:sub>
          </m:sSub>
          <m:r>
            <w:rPr>
              <w:rFonts w:ascii="Cambria Math" w:hAnsi="Cambria Math"/>
            </w:rPr>
            <m:t>=</m:t>
          </m:r>
          <m:f>
            <m:fPr>
              <m:ctrlPr>
                <w:rPr>
                  <w:rFonts w:ascii="Cambria Math" w:hAnsi="Cambria Math"/>
                  <w:i/>
                </w:rPr>
              </m:ctrlPr>
            </m:fPr>
            <m:num>
              <m:r>
                <w:rPr>
                  <w:rFonts w:ascii="Cambria Math" w:hAnsi="Cambria Math"/>
                </w:rPr>
                <m:t>P.U. ET</m:t>
              </m:r>
              <m:sSub>
                <m:sSubPr>
                  <m:ctrlPr>
                    <w:rPr>
                      <w:rFonts w:ascii="Cambria Math" w:hAnsi="Cambria Math"/>
                      <w:i/>
                    </w:rPr>
                  </m:ctrlPr>
                </m:sSubPr>
                <m:e>
                  <m:r>
                    <w:rPr>
                      <w:rFonts w:ascii="Cambria Math" w:hAnsi="Cambria Math"/>
                    </w:rPr>
                    <m:t>N</m:t>
                  </m:r>
                </m:e>
                <m:sub>
                  <m:r>
                    <w:rPr>
                      <w:rFonts w:ascii="Cambria Math" w:hAnsi="Cambria Math"/>
                    </w:rPr>
                    <m:t>mes n</m:t>
                  </m:r>
                </m:sub>
              </m:sSub>
            </m:num>
            <m:den>
              <m:r>
                <w:rPr>
                  <w:rFonts w:ascii="Cambria Math" w:hAnsi="Cambria Math"/>
                </w:rPr>
                <m:t>V.Do</m:t>
              </m:r>
              <m:sSub>
                <m:sSubPr>
                  <m:ctrlPr>
                    <w:rPr>
                      <w:rFonts w:ascii="Cambria Math" w:hAnsi="Cambria Math"/>
                      <w:i/>
                    </w:rPr>
                  </m:ctrlPr>
                </m:sSubPr>
                <m:e>
                  <m:r>
                    <w:rPr>
                      <w:rFonts w:ascii="Cambria Math" w:hAnsi="Cambria Math"/>
                    </w:rPr>
                    <m:t>l</m:t>
                  </m:r>
                </m:e>
                <m:sub>
                  <m:r>
                    <w:rPr>
                      <w:rFonts w:ascii="Cambria Math" w:hAnsi="Cambria Math"/>
                    </w:rPr>
                    <m:t>dic17</m:t>
                  </m:r>
                </m:sub>
              </m:sSub>
            </m:den>
          </m:f>
          <m:r>
            <w:rPr>
              <w:rFonts w:ascii="Cambria Math" w:hAnsi="Cambria Math"/>
            </w:rPr>
            <m:t>∙</m:t>
          </m:r>
          <m:f>
            <m:fPr>
              <m:ctrlPr>
                <w:rPr>
                  <w:rFonts w:ascii="Cambria Math" w:hAnsi="Cambria Math"/>
                  <w:i/>
                </w:rPr>
              </m:ctrlPr>
            </m:fPr>
            <m:num>
              <m:r>
                <w:rPr>
                  <w:rFonts w:ascii="Cambria Math" w:hAnsi="Cambria Math"/>
                </w:rPr>
                <m:t>IP</m:t>
              </m:r>
              <m:sSub>
                <m:sSubPr>
                  <m:ctrlPr>
                    <w:rPr>
                      <w:rFonts w:ascii="Cambria Math" w:hAnsi="Cambria Math"/>
                      <w:i/>
                    </w:rPr>
                  </m:ctrlPr>
                </m:sSubPr>
                <m:e>
                  <m:r>
                    <w:rPr>
                      <w:rFonts w:ascii="Cambria Math" w:hAnsi="Cambria Math"/>
                    </w:rPr>
                    <m:t>C</m:t>
                  </m:r>
                </m:e>
                <m:sub>
                  <m:r>
                    <w:rPr>
                      <w:rFonts w:ascii="Cambria Math" w:hAnsi="Cambria Math"/>
                    </w:rPr>
                    <m:t>dic17</m:t>
                  </m:r>
                </m:sub>
              </m:sSub>
            </m:num>
            <m:den>
              <m:r>
                <w:rPr>
                  <w:rFonts w:ascii="Cambria Math" w:hAnsi="Cambria Math"/>
                </w:rPr>
                <m:t>IP</m:t>
              </m:r>
              <m:sSub>
                <m:sSubPr>
                  <m:ctrlPr>
                    <w:rPr>
                      <w:rFonts w:ascii="Cambria Math" w:hAnsi="Cambria Math"/>
                      <w:i/>
                    </w:rPr>
                  </m:ctrlPr>
                </m:sSubPr>
                <m:e>
                  <m:r>
                    <w:rPr>
                      <w:rFonts w:ascii="Cambria Math" w:hAnsi="Cambria Math"/>
                    </w:rPr>
                    <m:t>C</m:t>
                  </m:r>
                </m:e>
                <m:sub>
                  <m:r>
                    <w:rPr>
                      <w:rFonts w:ascii="Cambria Math" w:hAnsi="Cambria Math"/>
                    </w:rPr>
                    <m:t>mes n</m:t>
                  </m:r>
                </m:sub>
              </m:sSub>
            </m:den>
          </m:f>
        </m:oMath>
      </m:oMathPara>
    </w:p>
    <w:p w14:paraId="59C2B8E4" w14:textId="77777777" w:rsidR="007F6DDF" w:rsidRDefault="007F6DDF" w:rsidP="007F6DDF">
      <w:pPr>
        <w:rPr>
          <w:bCs/>
        </w:rPr>
      </w:pPr>
      <w:r w:rsidRPr="00F72CD9">
        <w:rPr>
          <w:bCs/>
        </w:rPr>
        <w:t>Donde:</w:t>
      </w: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71"/>
        <w:gridCol w:w="281"/>
        <w:gridCol w:w="7954"/>
      </w:tblGrid>
      <w:tr w:rsidR="007F6DDF" w14:paraId="42A46CBB" w14:textId="77777777" w:rsidTr="006B5A62">
        <w:tc>
          <w:tcPr>
            <w:tcW w:w="0" w:type="auto"/>
            <w:vAlign w:val="center"/>
          </w:tcPr>
          <w:p w14:paraId="1E3BF206" w14:textId="77777777" w:rsidR="007F6DDF" w:rsidRPr="00F72CD9" w:rsidRDefault="007F6DDF" w:rsidP="006B5A62">
            <m:oMathPara>
              <m:oMathParaPr>
                <m:jc m:val="left"/>
              </m:oMathParaPr>
              <m:oMath>
                <m:r>
                  <w:rPr>
                    <w:rFonts w:ascii="Cambria Math" w:hAnsi="Cambria Math"/>
                  </w:rPr>
                  <m:t>P.U.ET</m:t>
                </m:r>
                <m:sSub>
                  <m:sSubPr>
                    <m:ctrlPr>
                      <w:rPr>
                        <w:rFonts w:ascii="Cambria Math" w:hAnsi="Cambria Math"/>
                        <w:i/>
                      </w:rPr>
                    </m:ctrlPr>
                  </m:sSubPr>
                  <m:e>
                    <m:r>
                      <w:rPr>
                        <w:rFonts w:ascii="Cambria Math" w:hAnsi="Cambria Math"/>
                      </w:rPr>
                      <m:t>N</m:t>
                    </m:r>
                  </m:e>
                  <m:sub>
                    <m:r>
                      <w:rPr>
                        <w:rFonts w:ascii="Cambria Math" w:hAnsi="Cambria Math"/>
                      </w:rPr>
                      <m:t>dic17</m:t>
                    </m:r>
                  </m:sub>
                </m:sSub>
              </m:oMath>
            </m:oMathPara>
          </w:p>
        </w:tc>
        <w:tc>
          <w:tcPr>
            <w:tcW w:w="0" w:type="auto"/>
            <w:vAlign w:val="center"/>
          </w:tcPr>
          <w:p w14:paraId="7CC098EF" w14:textId="77777777" w:rsidR="007F6DDF" w:rsidRDefault="007F6DDF" w:rsidP="006B5A62">
            <w:pPr>
              <w:jc w:val="left"/>
            </w:pPr>
            <w:r>
              <w:t>:</w:t>
            </w:r>
          </w:p>
        </w:tc>
        <w:tc>
          <w:tcPr>
            <w:tcW w:w="0" w:type="auto"/>
            <w:vAlign w:val="center"/>
          </w:tcPr>
          <w:p w14:paraId="03B7F0FB" w14:textId="77777777" w:rsidR="007F6DDF" w:rsidRPr="00F72CD9" w:rsidRDefault="007F6DDF" w:rsidP="006B5A62">
            <w:pPr>
              <w:rPr>
                <w:bCs/>
              </w:rPr>
            </w:pPr>
            <w:r w:rsidRPr="00F72CD9">
              <w:rPr>
                <w:bCs/>
              </w:rPr>
              <w:t>Prec</w:t>
            </w:r>
            <w:r>
              <w:rPr>
                <w:bCs/>
              </w:rPr>
              <w:t>io unitario a diciembre de 2017</w:t>
            </w:r>
            <w:r w:rsidRPr="00F72CD9">
              <w:rPr>
                <w:bCs/>
              </w:rPr>
              <w:t xml:space="preserve"> de</w:t>
            </w:r>
            <w:r>
              <w:rPr>
                <w:bCs/>
              </w:rPr>
              <w:t>l</w:t>
            </w:r>
            <w:r w:rsidRPr="00F72CD9">
              <w:rPr>
                <w:bCs/>
              </w:rPr>
              <w:t xml:space="preserve"> elemento de transmisión de proce</w:t>
            </w:r>
            <w:r>
              <w:rPr>
                <w:bCs/>
              </w:rPr>
              <w:t>dencia nacional.</w:t>
            </w:r>
          </w:p>
        </w:tc>
      </w:tr>
      <w:tr w:rsidR="007F6DDF" w14:paraId="16E58F85" w14:textId="77777777" w:rsidTr="006B5A62">
        <w:tc>
          <w:tcPr>
            <w:tcW w:w="0" w:type="auto"/>
            <w:vAlign w:val="center"/>
          </w:tcPr>
          <w:p w14:paraId="38EC0778" w14:textId="77777777" w:rsidR="007F6DDF" w:rsidRPr="00F72CD9" w:rsidRDefault="007F6DDF" w:rsidP="006B5A62">
            <m:oMathPara>
              <m:oMathParaPr>
                <m:jc m:val="left"/>
              </m:oMathParaPr>
              <m:oMath>
                <m:r>
                  <w:rPr>
                    <w:rFonts w:ascii="Cambria Math" w:hAnsi="Cambria Math"/>
                  </w:rPr>
                  <m:t>P.U. ET</m:t>
                </m:r>
                <m:sSub>
                  <m:sSubPr>
                    <m:ctrlPr>
                      <w:rPr>
                        <w:rFonts w:ascii="Cambria Math" w:hAnsi="Cambria Math"/>
                        <w:i/>
                      </w:rPr>
                    </m:ctrlPr>
                  </m:sSubPr>
                  <m:e>
                    <m:r>
                      <w:rPr>
                        <w:rFonts w:ascii="Cambria Math" w:hAnsi="Cambria Math"/>
                      </w:rPr>
                      <m:t>N</m:t>
                    </m:r>
                  </m:e>
                  <m:sub>
                    <m:r>
                      <w:rPr>
                        <w:rFonts w:ascii="Cambria Math" w:hAnsi="Cambria Math"/>
                      </w:rPr>
                      <m:t>mes n</m:t>
                    </m:r>
                  </m:sub>
                </m:sSub>
              </m:oMath>
            </m:oMathPara>
          </w:p>
        </w:tc>
        <w:tc>
          <w:tcPr>
            <w:tcW w:w="0" w:type="auto"/>
            <w:vAlign w:val="center"/>
          </w:tcPr>
          <w:p w14:paraId="51E74FA6" w14:textId="77777777" w:rsidR="007F6DDF" w:rsidRDefault="007F6DDF" w:rsidP="006B5A62">
            <w:pPr>
              <w:jc w:val="left"/>
            </w:pPr>
            <w:r>
              <w:t>:</w:t>
            </w:r>
          </w:p>
        </w:tc>
        <w:tc>
          <w:tcPr>
            <w:tcW w:w="0" w:type="auto"/>
            <w:vAlign w:val="center"/>
          </w:tcPr>
          <w:p w14:paraId="31E770F7" w14:textId="77777777" w:rsidR="007F6DDF" w:rsidRDefault="007F6DDF" w:rsidP="006B5A62">
            <w:r w:rsidRPr="00F72CD9">
              <w:rPr>
                <w:bCs/>
              </w:rPr>
              <w:t>P</w:t>
            </w:r>
            <w:r>
              <w:rPr>
                <w:bCs/>
              </w:rPr>
              <w:t xml:space="preserve">recio unitario cotizado al mes </w:t>
            </w:r>
            <m:oMath>
              <m:r>
                <w:rPr>
                  <w:rFonts w:ascii="Cambria Math" w:hAnsi="Cambria Math"/>
                </w:rPr>
                <m:t>n</m:t>
              </m:r>
            </m:oMath>
            <w:r w:rsidRPr="00F72CD9">
              <w:rPr>
                <w:bCs/>
              </w:rPr>
              <w:t xml:space="preserve"> de</w:t>
            </w:r>
            <w:r>
              <w:rPr>
                <w:bCs/>
              </w:rPr>
              <w:t>l</w:t>
            </w:r>
            <w:r w:rsidRPr="00F72CD9">
              <w:rPr>
                <w:bCs/>
              </w:rPr>
              <w:t xml:space="preserve"> elemento de transmisión de procedencia nacional.</w:t>
            </w:r>
          </w:p>
        </w:tc>
      </w:tr>
      <w:tr w:rsidR="007F6DDF" w14:paraId="054B6070" w14:textId="77777777" w:rsidTr="006B5A62">
        <w:tc>
          <w:tcPr>
            <w:tcW w:w="0" w:type="auto"/>
            <w:vAlign w:val="center"/>
          </w:tcPr>
          <w:p w14:paraId="7FBFA858" w14:textId="77777777" w:rsidR="007F6DDF" w:rsidRPr="00F72CD9" w:rsidRDefault="007F6DDF" w:rsidP="006B5A62">
            <m:oMathPara>
              <m:oMathParaPr>
                <m:jc m:val="left"/>
              </m:oMathParaPr>
              <m:oMath>
                <m:r>
                  <w:rPr>
                    <w:rFonts w:ascii="Cambria Math" w:hAnsi="Cambria Math"/>
                  </w:rPr>
                  <m:t>V.Do</m:t>
                </m:r>
                <m:sSub>
                  <m:sSubPr>
                    <m:ctrlPr>
                      <w:rPr>
                        <w:rFonts w:ascii="Cambria Math" w:hAnsi="Cambria Math"/>
                        <w:i/>
                      </w:rPr>
                    </m:ctrlPr>
                  </m:sSubPr>
                  <m:e>
                    <m:r>
                      <w:rPr>
                        <w:rFonts w:ascii="Cambria Math" w:hAnsi="Cambria Math"/>
                      </w:rPr>
                      <m:t>l</m:t>
                    </m:r>
                  </m:e>
                  <m:sub>
                    <m:r>
                      <w:rPr>
                        <w:rFonts w:ascii="Cambria Math" w:hAnsi="Cambria Math"/>
                      </w:rPr>
                      <m:t>dic17</m:t>
                    </m:r>
                  </m:sub>
                </m:sSub>
              </m:oMath>
            </m:oMathPara>
          </w:p>
        </w:tc>
        <w:tc>
          <w:tcPr>
            <w:tcW w:w="0" w:type="auto"/>
            <w:vAlign w:val="center"/>
          </w:tcPr>
          <w:p w14:paraId="76AA3FA9" w14:textId="77777777" w:rsidR="007F6DDF" w:rsidRDefault="007F6DDF" w:rsidP="006B5A62">
            <w:pPr>
              <w:jc w:val="left"/>
            </w:pPr>
            <w:r>
              <w:t>:</w:t>
            </w:r>
          </w:p>
        </w:tc>
        <w:tc>
          <w:tcPr>
            <w:tcW w:w="0" w:type="auto"/>
            <w:vAlign w:val="center"/>
          </w:tcPr>
          <w:p w14:paraId="7C5934CC" w14:textId="77777777" w:rsidR="007F6DDF" w:rsidRDefault="007F6DDF" w:rsidP="006B5A62">
            <w:pPr>
              <w:jc w:val="left"/>
            </w:pPr>
            <w:r w:rsidRPr="00F72CD9">
              <w:rPr>
                <w:bCs/>
              </w:rPr>
              <w:t>Valor del dólar promedio oficial, en diciembre de 2017.</w:t>
            </w:r>
          </w:p>
        </w:tc>
      </w:tr>
      <w:tr w:rsidR="007F6DDF" w14:paraId="3560BE78" w14:textId="77777777" w:rsidTr="006B5A62">
        <w:tc>
          <w:tcPr>
            <w:tcW w:w="0" w:type="auto"/>
            <w:vAlign w:val="center"/>
          </w:tcPr>
          <w:p w14:paraId="37BF5293" w14:textId="77777777" w:rsidR="007F6DDF" w:rsidRPr="00F72CD9" w:rsidRDefault="007F6DDF" w:rsidP="006B5A62">
            <m:oMathPara>
              <m:oMathParaPr>
                <m:jc m:val="left"/>
              </m:oMathParaPr>
              <m:oMath>
                <m:r>
                  <w:rPr>
                    <w:rFonts w:ascii="Cambria Math" w:hAnsi="Cambria Math"/>
                  </w:rPr>
                  <m:t>IP</m:t>
                </m:r>
                <m:sSub>
                  <m:sSubPr>
                    <m:ctrlPr>
                      <w:rPr>
                        <w:rFonts w:ascii="Cambria Math" w:hAnsi="Cambria Math"/>
                        <w:i/>
                      </w:rPr>
                    </m:ctrlPr>
                  </m:sSubPr>
                  <m:e>
                    <m:r>
                      <w:rPr>
                        <w:rFonts w:ascii="Cambria Math" w:hAnsi="Cambria Math"/>
                      </w:rPr>
                      <m:t>C</m:t>
                    </m:r>
                  </m:e>
                  <m:sub>
                    <m:r>
                      <w:rPr>
                        <w:rFonts w:ascii="Cambria Math" w:hAnsi="Cambria Math"/>
                      </w:rPr>
                      <m:t>dic17</m:t>
                    </m:r>
                  </m:sub>
                </m:sSub>
              </m:oMath>
            </m:oMathPara>
          </w:p>
        </w:tc>
        <w:tc>
          <w:tcPr>
            <w:tcW w:w="0" w:type="auto"/>
            <w:vAlign w:val="center"/>
          </w:tcPr>
          <w:p w14:paraId="41CF997C" w14:textId="77777777" w:rsidR="007F6DDF" w:rsidRDefault="007F6DDF" w:rsidP="006B5A62">
            <w:pPr>
              <w:jc w:val="left"/>
            </w:pPr>
            <w:r>
              <w:t>:</w:t>
            </w:r>
          </w:p>
        </w:tc>
        <w:tc>
          <w:tcPr>
            <w:tcW w:w="0" w:type="auto"/>
            <w:vAlign w:val="center"/>
          </w:tcPr>
          <w:p w14:paraId="543FF9D8" w14:textId="77777777" w:rsidR="007F6DDF" w:rsidRPr="00F72CD9" w:rsidRDefault="007F6DDF" w:rsidP="006B5A62">
            <w:pPr>
              <w:rPr>
                <w:bCs/>
              </w:rPr>
            </w:pPr>
            <w:r w:rsidRPr="00F72CD9">
              <w:rPr>
                <w:bCs/>
              </w:rPr>
              <w:t>Índice de Precios a</w:t>
            </w:r>
            <w:r>
              <w:rPr>
                <w:bCs/>
              </w:rPr>
              <w:t>l Consumidor de diciembre 2017.</w:t>
            </w:r>
          </w:p>
        </w:tc>
      </w:tr>
      <w:tr w:rsidR="007F6DDF" w14:paraId="413D3CB2" w14:textId="77777777" w:rsidTr="006B5A62">
        <w:tc>
          <w:tcPr>
            <w:tcW w:w="0" w:type="auto"/>
            <w:vAlign w:val="center"/>
          </w:tcPr>
          <w:p w14:paraId="5B77C3C1" w14:textId="77777777" w:rsidR="007F6DDF" w:rsidRPr="00F72CD9" w:rsidRDefault="007F6DDF" w:rsidP="006B5A62">
            <m:oMathPara>
              <m:oMathParaPr>
                <m:jc m:val="left"/>
              </m:oMathParaPr>
              <m:oMath>
                <m:r>
                  <w:rPr>
                    <w:rFonts w:ascii="Cambria Math" w:hAnsi="Cambria Math"/>
                  </w:rPr>
                  <m:t>IP</m:t>
                </m:r>
                <m:sSub>
                  <m:sSubPr>
                    <m:ctrlPr>
                      <w:rPr>
                        <w:rFonts w:ascii="Cambria Math" w:hAnsi="Cambria Math"/>
                        <w:i/>
                      </w:rPr>
                    </m:ctrlPr>
                  </m:sSubPr>
                  <m:e>
                    <m:r>
                      <w:rPr>
                        <w:rFonts w:ascii="Cambria Math" w:hAnsi="Cambria Math"/>
                      </w:rPr>
                      <m:t>C</m:t>
                    </m:r>
                  </m:e>
                  <m:sub>
                    <m:r>
                      <w:rPr>
                        <w:rFonts w:ascii="Cambria Math" w:hAnsi="Cambria Math"/>
                      </w:rPr>
                      <m:t>mes n</m:t>
                    </m:r>
                  </m:sub>
                </m:sSub>
              </m:oMath>
            </m:oMathPara>
          </w:p>
        </w:tc>
        <w:tc>
          <w:tcPr>
            <w:tcW w:w="0" w:type="auto"/>
            <w:vAlign w:val="center"/>
          </w:tcPr>
          <w:p w14:paraId="1C9DABDE" w14:textId="77777777" w:rsidR="007F6DDF" w:rsidRDefault="007F6DDF" w:rsidP="006B5A62">
            <w:pPr>
              <w:jc w:val="left"/>
            </w:pPr>
            <w:r>
              <w:t>:</w:t>
            </w:r>
          </w:p>
        </w:tc>
        <w:tc>
          <w:tcPr>
            <w:tcW w:w="0" w:type="auto"/>
            <w:vAlign w:val="center"/>
          </w:tcPr>
          <w:p w14:paraId="67D71493" w14:textId="77777777" w:rsidR="007F6DDF" w:rsidRPr="00F72CD9" w:rsidRDefault="007F6DDF" w:rsidP="006B5A62">
            <w:pPr>
              <w:rPr>
                <w:bCs/>
              </w:rPr>
            </w:pPr>
            <w:r w:rsidRPr="00F72CD9">
              <w:rPr>
                <w:bCs/>
              </w:rPr>
              <w:t>Índice de Precios al Consu</w:t>
            </w:r>
            <w:r>
              <w:rPr>
                <w:bCs/>
              </w:rPr>
              <w:t xml:space="preserve">midor del mes </w:t>
            </w:r>
            <m:oMath>
              <m:r>
                <w:rPr>
                  <w:rFonts w:ascii="Cambria Math" w:hAnsi="Cambria Math"/>
                </w:rPr>
                <m:t>n</m:t>
              </m:r>
            </m:oMath>
            <w:r>
              <w:rPr>
                <w:bCs/>
              </w:rPr>
              <w:t xml:space="preserve"> de cotización.</w:t>
            </w:r>
          </w:p>
        </w:tc>
      </w:tr>
    </w:tbl>
    <w:bookmarkEnd w:id="47"/>
    <w:p w14:paraId="654E44B7" w14:textId="77777777" w:rsidR="007F6DDF" w:rsidRPr="009D3A63" w:rsidRDefault="007F6DDF" w:rsidP="007F6DDF">
      <w:pPr>
        <w:pStyle w:val="Prrafodelista"/>
        <w:numPr>
          <w:ilvl w:val="0"/>
          <w:numId w:val="44"/>
        </w:numPr>
        <w:ind w:left="567" w:hanging="567"/>
        <w:rPr>
          <w:b/>
          <w:bCs/>
        </w:rPr>
      </w:pPr>
      <w:r w:rsidRPr="009D3A63">
        <w:rPr>
          <w:b/>
          <w:bCs/>
        </w:rPr>
        <w:t>Elementos importados</w:t>
      </w:r>
    </w:p>
    <w:p w14:paraId="06AF0856" w14:textId="77777777" w:rsidR="007F6DDF" w:rsidRPr="00F72CD9" w:rsidRDefault="007F6DDF" w:rsidP="007F6DDF">
      <m:oMathPara>
        <m:oMath>
          <m:r>
            <w:rPr>
              <w:rFonts w:ascii="Cambria Math" w:hAnsi="Cambria Math"/>
            </w:rPr>
            <m:t>P</m:t>
          </m:r>
          <m:r>
            <m:rPr>
              <m:sty m:val="p"/>
            </m:rPr>
            <w:rPr>
              <w:rFonts w:ascii="Cambria Math" w:hAnsi="Cambria Math"/>
            </w:rPr>
            <m:t>.</m:t>
          </m:r>
          <m:r>
            <w:rPr>
              <w:rFonts w:ascii="Cambria Math" w:hAnsi="Cambria Math"/>
            </w:rPr>
            <m:t>U</m:t>
          </m:r>
          <m:r>
            <m:rPr>
              <m:sty m:val="p"/>
            </m:rPr>
            <w:rPr>
              <w:rFonts w:ascii="Cambria Math" w:hAnsi="Cambria Math"/>
            </w:rPr>
            <m:t>.</m:t>
          </m:r>
          <m:r>
            <w:rPr>
              <w:rFonts w:ascii="Cambria Math" w:hAnsi="Cambria Math"/>
            </w:rPr>
            <m:t>ET</m:t>
          </m:r>
          <m:sSub>
            <m:sSubPr>
              <m:ctrlPr>
                <w:rPr>
                  <w:rFonts w:ascii="Cambria Math" w:hAnsi="Cambria Math"/>
                </w:rPr>
              </m:ctrlPr>
            </m:sSubPr>
            <m:e>
              <m:r>
                <w:rPr>
                  <w:rFonts w:ascii="Cambria Math" w:hAnsi="Cambria Math"/>
                </w:rPr>
                <m:t>I</m:t>
              </m:r>
            </m:e>
            <m:sub>
              <m:r>
                <w:rPr>
                  <w:rFonts w:ascii="Cambria Math" w:hAnsi="Cambria Math"/>
                </w:rPr>
                <m:t>dic</m:t>
              </m:r>
              <m:r>
                <m:rPr>
                  <m:sty m:val="p"/>
                </m:rPr>
                <w:rPr>
                  <w:rFonts w:ascii="Cambria Math" w:hAnsi="Cambria Math"/>
                </w:rPr>
                <m:t>17</m:t>
              </m:r>
            </m:sub>
          </m:sSub>
          <m:r>
            <m:rPr>
              <m:sty m:val="p"/>
            </m:rPr>
            <w:rPr>
              <w:rFonts w:ascii="Cambria Math" w:hAnsi="Cambria Math"/>
            </w:rPr>
            <m:t>=</m:t>
          </m:r>
          <m:r>
            <w:rPr>
              <w:rFonts w:ascii="Cambria Math" w:hAnsi="Cambria Math"/>
            </w:rPr>
            <m:t>P</m:t>
          </m:r>
          <m:r>
            <m:rPr>
              <m:sty m:val="p"/>
            </m:rPr>
            <w:rPr>
              <w:rFonts w:ascii="Cambria Math" w:hAnsi="Cambria Math"/>
            </w:rPr>
            <m:t>.</m:t>
          </m:r>
          <m:r>
            <w:rPr>
              <w:rFonts w:ascii="Cambria Math" w:hAnsi="Cambria Math"/>
            </w:rPr>
            <m:t>U</m:t>
          </m:r>
          <m:r>
            <m:rPr>
              <m:sty m:val="p"/>
            </m:rPr>
            <w:rPr>
              <w:rFonts w:ascii="Cambria Math" w:hAnsi="Cambria Math"/>
            </w:rPr>
            <m:t xml:space="preserve">. </m:t>
          </m:r>
          <m:r>
            <w:rPr>
              <w:rFonts w:ascii="Cambria Math" w:hAnsi="Cambria Math"/>
            </w:rPr>
            <m:t>ET</m:t>
          </m:r>
          <m:sSub>
            <m:sSubPr>
              <m:ctrlPr>
                <w:rPr>
                  <w:rFonts w:ascii="Cambria Math" w:hAnsi="Cambria Math"/>
                </w:rPr>
              </m:ctrlPr>
            </m:sSubPr>
            <m:e>
              <m:r>
                <w:rPr>
                  <w:rFonts w:ascii="Cambria Math" w:hAnsi="Cambria Math"/>
                </w:rPr>
                <m:t>I</m:t>
              </m:r>
            </m:e>
            <m:sub>
              <m:r>
                <w:rPr>
                  <w:rFonts w:ascii="Cambria Math" w:hAnsi="Cambria Math"/>
                </w:rPr>
                <m:t>mes</m:t>
              </m:r>
              <m:r>
                <m:rPr>
                  <m:sty m:val="p"/>
                </m:rPr>
                <w:rPr>
                  <w:rFonts w:ascii="Cambria Math" w:hAnsi="Cambria Math"/>
                </w:rPr>
                <m:t xml:space="preserve"> </m:t>
              </m:r>
              <m:r>
                <w:rPr>
                  <w:rFonts w:ascii="Cambria Math" w:hAnsi="Cambria Math"/>
                </w:rPr>
                <m:t>n</m:t>
              </m:r>
            </m:sub>
          </m:sSub>
          <m:r>
            <m:rPr>
              <m:sty m:val="p"/>
            </m:rP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CPI</m:t>
                  </m:r>
                </m:e>
                <m:sub>
                  <m:r>
                    <w:rPr>
                      <w:rFonts w:ascii="Cambria Math" w:hAnsi="Cambria Math"/>
                    </w:rPr>
                    <m:t>dic</m:t>
                  </m:r>
                  <m:r>
                    <m:rPr>
                      <m:sty m:val="p"/>
                    </m:rPr>
                    <w:rPr>
                      <w:rFonts w:ascii="Cambria Math" w:hAnsi="Cambria Math"/>
                    </w:rPr>
                    <m:t>17</m:t>
                  </m:r>
                </m:sub>
              </m:sSub>
            </m:num>
            <m:den>
              <m:sSub>
                <m:sSubPr>
                  <m:ctrlPr>
                    <w:rPr>
                      <w:rFonts w:ascii="Cambria Math" w:hAnsi="Cambria Math"/>
                    </w:rPr>
                  </m:ctrlPr>
                </m:sSubPr>
                <m:e>
                  <m:r>
                    <w:rPr>
                      <w:rFonts w:ascii="Cambria Math" w:hAnsi="Cambria Math"/>
                    </w:rPr>
                    <m:t>CPI</m:t>
                  </m:r>
                </m:e>
                <m:sub>
                  <m:r>
                    <w:rPr>
                      <w:rFonts w:ascii="Cambria Math" w:hAnsi="Cambria Math"/>
                    </w:rPr>
                    <m:t>mes</m:t>
                  </m:r>
                  <m:r>
                    <m:rPr>
                      <m:sty m:val="p"/>
                    </m:rPr>
                    <w:rPr>
                      <w:rFonts w:ascii="Cambria Math" w:hAnsi="Cambria Math"/>
                    </w:rPr>
                    <m:t xml:space="preserve"> </m:t>
                  </m:r>
                  <m:r>
                    <w:rPr>
                      <w:rFonts w:ascii="Cambria Math" w:hAnsi="Cambria Math"/>
                    </w:rPr>
                    <m:t>n</m:t>
                  </m:r>
                </m:sub>
              </m:sSub>
            </m:den>
          </m:f>
        </m:oMath>
      </m:oMathPara>
    </w:p>
    <w:p w14:paraId="03DF7548" w14:textId="77777777" w:rsidR="007F6DDF" w:rsidRDefault="007F6DDF" w:rsidP="007F6DDF">
      <w:pPr>
        <w:rPr>
          <w:bCs/>
        </w:rPr>
      </w:pPr>
      <w:r w:rsidRPr="00F72CD9">
        <w:rPr>
          <w:bCs/>
        </w:rPr>
        <w:t>Donde:</w:t>
      </w: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92"/>
        <w:gridCol w:w="281"/>
        <w:gridCol w:w="7690"/>
      </w:tblGrid>
      <w:tr w:rsidR="007F6DDF" w14:paraId="659CCA6C" w14:textId="77777777" w:rsidTr="006B5A62">
        <w:tc>
          <w:tcPr>
            <w:tcW w:w="0" w:type="auto"/>
            <w:vAlign w:val="center"/>
          </w:tcPr>
          <w:p w14:paraId="2EA2FAD0" w14:textId="77777777" w:rsidR="007F6DDF" w:rsidRPr="00F72CD9" w:rsidRDefault="007F6DDF" w:rsidP="006B5A62">
            <m:oMathPara>
              <m:oMathParaPr>
                <m:jc m:val="left"/>
              </m:oMathParaPr>
              <m:oMath>
                <m:r>
                  <w:rPr>
                    <w:rFonts w:ascii="Cambria Math" w:hAnsi="Cambria Math"/>
                  </w:rPr>
                  <m:t>P.U.ET</m:t>
                </m:r>
                <m:sSub>
                  <m:sSubPr>
                    <m:ctrlPr>
                      <w:rPr>
                        <w:rFonts w:ascii="Cambria Math" w:hAnsi="Cambria Math"/>
                        <w:i/>
                      </w:rPr>
                    </m:ctrlPr>
                  </m:sSubPr>
                  <m:e>
                    <m:r>
                      <w:rPr>
                        <w:rFonts w:ascii="Cambria Math" w:hAnsi="Cambria Math"/>
                      </w:rPr>
                      <m:t>I</m:t>
                    </m:r>
                  </m:e>
                  <m:sub>
                    <m:r>
                      <w:rPr>
                        <w:rFonts w:ascii="Cambria Math" w:hAnsi="Cambria Math"/>
                      </w:rPr>
                      <m:t>dic17</m:t>
                    </m:r>
                  </m:sub>
                </m:sSub>
              </m:oMath>
            </m:oMathPara>
          </w:p>
        </w:tc>
        <w:tc>
          <w:tcPr>
            <w:tcW w:w="0" w:type="auto"/>
            <w:vAlign w:val="center"/>
          </w:tcPr>
          <w:p w14:paraId="3D7CC51F" w14:textId="77777777" w:rsidR="007F6DDF" w:rsidRDefault="007F6DDF" w:rsidP="006B5A62">
            <w:pPr>
              <w:jc w:val="left"/>
            </w:pPr>
            <w:r>
              <w:t>:</w:t>
            </w:r>
          </w:p>
        </w:tc>
        <w:tc>
          <w:tcPr>
            <w:tcW w:w="0" w:type="auto"/>
            <w:vAlign w:val="center"/>
          </w:tcPr>
          <w:p w14:paraId="76A2FBA4" w14:textId="77777777" w:rsidR="007F6DDF" w:rsidRPr="00F72CD9" w:rsidRDefault="007F6DDF" w:rsidP="006B5A62">
            <w:pPr>
              <w:rPr>
                <w:bCs/>
              </w:rPr>
            </w:pPr>
            <w:r w:rsidRPr="00F72CD9">
              <w:rPr>
                <w:bCs/>
              </w:rPr>
              <w:t>Precio unitario a diciembre de 2017, de ele</w:t>
            </w:r>
            <w:r>
              <w:rPr>
                <w:bCs/>
              </w:rPr>
              <w:t>mento de transmisión importado.</w:t>
            </w:r>
          </w:p>
        </w:tc>
      </w:tr>
      <w:tr w:rsidR="007F6DDF" w14:paraId="4C0FEBD2" w14:textId="77777777" w:rsidTr="006B5A62">
        <w:tc>
          <w:tcPr>
            <w:tcW w:w="0" w:type="auto"/>
            <w:vAlign w:val="center"/>
          </w:tcPr>
          <w:p w14:paraId="4B0E7736" w14:textId="77777777" w:rsidR="007F6DDF" w:rsidRPr="00F72CD9" w:rsidRDefault="007F6DDF" w:rsidP="006B5A62">
            <m:oMathPara>
              <m:oMathParaPr>
                <m:jc m:val="left"/>
              </m:oMathParaPr>
              <m:oMath>
                <m:r>
                  <w:rPr>
                    <w:rFonts w:ascii="Cambria Math" w:hAnsi="Cambria Math"/>
                  </w:rPr>
                  <m:t>P.U. ET</m:t>
                </m:r>
                <m:sSub>
                  <m:sSubPr>
                    <m:ctrlPr>
                      <w:rPr>
                        <w:rFonts w:ascii="Cambria Math" w:hAnsi="Cambria Math"/>
                        <w:i/>
                      </w:rPr>
                    </m:ctrlPr>
                  </m:sSubPr>
                  <m:e>
                    <m:r>
                      <w:rPr>
                        <w:rFonts w:ascii="Cambria Math" w:hAnsi="Cambria Math"/>
                      </w:rPr>
                      <m:t>I</m:t>
                    </m:r>
                  </m:e>
                  <m:sub>
                    <m:r>
                      <w:rPr>
                        <w:rFonts w:ascii="Cambria Math" w:hAnsi="Cambria Math"/>
                      </w:rPr>
                      <m:t>mes n</m:t>
                    </m:r>
                  </m:sub>
                </m:sSub>
              </m:oMath>
            </m:oMathPara>
          </w:p>
        </w:tc>
        <w:tc>
          <w:tcPr>
            <w:tcW w:w="0" w:type="auto"/>
            <w:vAlign w:val="center"/>
          </w:tcPr>
          <w:p w14:paraId="050034A1" w14:textId="77777777" w:rsidR="007F6DDF" w:rsidRDefault="007F6DDF" w:rsidP="006B5A62">
            <w:pPr>
              <w:jc w:val="left"/>
            </w:pPr>
            <w:r>
              <w:t>:</w:t>
            </w:r>
          </w:p>
        </w:tc>
        <w:tc>
          <w:tcPr>
            <w:tcW w:w="0" w:type="auto"/>
            <w:vAlign w:val="center"/>
          </w:tcPr>
          <w:p w14:paraId="73EFA814" w14:textId="77777777" w:rsidR="007F6DDF" w:rsidRDefault="007F6DDF" w:rsidP="006B5A62">
            <w:r w:rsidRPr="00F72CD9">
              <w:rPr>
                <w:bCs/>
              </w:rPr>
              <w:t>Precio unitario cotizado al mes m, de elemento de transmisión importado.</w:t>
            </w:r>
          </w:p>
        </w:tc>
      </w:tr>
      <w:tr w:rsidR="007F6DDF" w14:paraId="09954083" w14:textId="77777777" w:rsidTr="006B5A62">
        <w:tc>
          <w:tcPr>
            <w:tcW w:w="0" w:type="auto"/>
            <w:vAlign w:val="center"/>
          </w:tcPr>
          <w:p w14:paraId="19D6A7FD" w14:textId="77777777" w:rsidR="007F6DDF" w:rsidRPr="00F72CD9" w:rsidRDefault="0088072F" w:rsidP="006B5A62">
            <m:oMathPara>
              <m:oMathParaPr>
                <m:jc m:val="left"/>
              </m:oMathParaPr>
              <m:oMath>
                <m:sSub>
                  <m:sSubPr>
                    <m:ctrlPr>
                      <w:rPr>
                        <w:rFonts w:ascii="Cambria Math" w:hAnsi="Cambria Math"/>
                        <w:i/>
                      </w:rPr>
                    </m:ctrlPr>
                  </m:sSubPr>
                  <m:e>
                    <m:r>
                      <w:rPr>
                        <w:rFonts w:ascii="Cambria Math" w:hAnsi="Cambria Math"/>
                      </w:rPr>
                      <m:t>CPI</m:t>
                    </m:r>
                  </m:e>
                  <m:sub>
                    <m:r>
                      <w:rPr>
                        <w:rFonts w:ascii="Cambria Math" w:hAnsi="Cambria Math"/>
                      </w:rPr>
                      <m:t>dic17</m:t>
                    </m:r>
                  </m:sub>
                </m:sSub>
              </m:oMath>
            </m:oMathPara>
          </w:p>
        </w:tc>
        <w:tc>
          <w:tcPr>
            <w:tcW w:w="0" w:type="auto"/>
            <w:vAlign w:val="center"/>
          </w:tcPr>
          <w:p w14:paraId="5AF76070" w14:textId="77777777" w:rsidR="007F6DDF" w:rsidRDefault="007F6DDF" w:rsidP="006B5A62">
            <w:pPr>
              <w:jc w:val="left"/>
            </w:pPr>
            <w:r>
              <w:t>:</w:t>
            </w:r>
          </w:p>
        </w:tc>
        <w:tc>
          <w:tcPr>
            <w:tcW w:w="0" w:type="auto"/>
            <w:vAlign w:val="center"/>
          </w:tcPr>
          <w:p w14:paraId="5F3B861F" w14:textId="77777777" w:rsidR="007F6DDF" w:rsidRPr="00F72CD9" w:rsidRDefault="007F6DDF" w:rsidP="006B5A62">
            <w:pPr>
              <w:rPr>
                <w:bCs/>
              </w:rPr>
            </w:pPr>
            <w:r w:rsidRPr="00F72CD9">
              <w:rPr>
                <w:bCs/>
              </w:rPr>
              <w:t>Valor de</w:t>
            </w:r>
            <w:r w:rsidRPr="00F72CD9">
              <w:t xml:space="preserve"> </w:t>
            </w:r>
            <w:r>
              <w:rPr>
                <w:bCs/>
              </w:rPr>
              <w:t>CPI</w:t>
            </w:r>
            <w:r w:rsidRPr="00F72CD9">
              <w:t xml:space="preserve"> </w:t>
            </w:r>
            <w:r>
              <w:t>(</w:t>
            </w:r>
            <w:r w:rsidRPr="0075120D">
              <w:rPr>
                <w:bCs/>
                <w:i/>
              </w:rPr>
              <w:t>Consumer Price Index</w:t>
            </w:r>
            <w:r>
              <w:rPr>
                <w:bCs/>
                <w:i/>
              </w:rPr>
              <w:t>)</w:t>
            </w:r>
            <w:r>
              <w:rPr>
                <w:bCs/>
              </w:rPr>
              <w:t xml:space="preserve"> de diciembre 2017.</w:t>
            </w:r>
          </w:p>
        </w:tc>
      </w:tr>
      <w:tr w:rsidR="007F6DDF" w14:paraId="4D3D7B7E" w14:textId="77777777" w:rsidTr="006B5A62">
        <w:tc>
          <w:tcPr>
            <w:tcW w:w="0" w:type="auto"/>
            <w:vAlign w:val="center"/>
          </w:tcPr>
          <w:p w14:paraId="3DD88E9F" w14:textId="77777777" w:rsidR="007F6DDF" w:rsidRPr="00F72CD9" w:rsidRDefault="0088072F" w:rsidP="006B5A62">
            <m:oMathPara>
              <m:oMathParaPr>
                <m:jc m:val="left"/>
              </m:oMathParaPr>
              <m:oMath>
                <m:sSub>
                  <m:sSubPr>
                    <m:ctrlPr>
                      <w:rPr>
                        <w:rFonts w:ascii="Cambria Math" w:hAnsi="Cambria Math"/>
                      </w:rPr>
                    </m:ctrlPr>
                  </m:sSubPr>
                  <m:e>
                    <m:r>
                      <w:rPr>
                        <w:rFonts w:ascii="Cambria Math" w:hAnsi="Cambria Math"/>
                      </w:rPr>
                      <m:t>CPI</m:t>
                    </m:r>
                  </m:e>
                  <m:sub>
                    <m:r>
                      <w:rPr>
                        <w:rFonts w:ascii="Cambria Math" w:hAnsi="Cambria Math"/>
                      </w:rPr>
                      <m:t>mes</m:t>
                    </m:r>
                    <m:r>
                      <m:rPr>
                        <m:sty m:val="p"/>
                      </m:rPr>
                      <w:rPr>
                        <w:rFonts w:ascii="Cambria Math" w:hAnsi="Cambria Math"/>
                      </w:rPr>
                      <m:t xml:space="preserve"> </m:t>
                    </m:r>
                    <m:r>
                      <w:rPr>
                        <w:rFonts w:ascii="Cambria Math" w:hAnsi="Cambria Math"/>
                      </w:rPr>
                      <m:t>n</m:t>
                    </m:r>
                  </m:sub>
                </m:sSub>
              </m:oMath>
            </m:oMathPara>
          </w:p>
        </w:tc>
        <w:tc>
          <w:tcPr>
            <w:tcW w:w="0" w:type="auto"/>
            <w:vAlign w:val="center"/>
          </w:tcPr>
          <w:p w14:paraId="37E449F8" w14:textId="77777777" w:rsidR="007F6DDF" w:rsidRDefault="007F6DDF" w:rsidP="006B5A62">
            <w:pPr>
              <w:jc w:val="left"/>
            </w:pPr>
            <w:r>
              <w:t>:</w:t>
            </w:r>
          </w:p>
        </w:tc>
        <w:tc>
          <w:tcPr>
            <w:tcW w:w="0" w:type="auto"/>
            <w:vAlign w:val="center"/>
          </w:tcPr>
          <w:p w14:paraId="4BF691A0" w14:textId="77777777" w:rsidR="007F6DDF" w:rsidRPr="00F72CD9" w:rsidRDefault="007F6DDF" w:rsidP="006B5A62">
            <w:pPr>
              <w:rPr>
                <w:bCs/>
              </w:rPr>
            </w:pPr>
            <w:r w:rsidRPr="00F72CD9">
              <w:rPr>
                <w:bCs/>
              </w:rPr>
              <w:t>Valor de</w:t>
            </w:r>
            <w:r w:rsidRPr="00F72CD9">
              <w:t xml:space="preserve"> </w:t>
            </w:r>
            <w:r w:rsidRPr="00F72CD9">
              <w:rPr>
                <w:bCs/>
              </w:rPr>
              <w:t>CPI</w:t>
            </w:r>
            <w:r>
              <w:t xml:space="preserve"> (</w:t>
            </w:r>
            <w:r w:rsidRPr="0075120D">
              <w:rPr>
                <w:bCs/>
                <w:i/>
              </w:rPr>
              <w:t>Consumer Price Index</w:t>
            </w:r>
            <w:r>
              <w:rPr>
                <w:bCs/>
              </w:rPr>
              <w:t>)</w:t>
            </w:r>
            <w:r w:rsidRPr="00F72CD9">
              <w:rPr>
                <w:bCs/>
              </w:rPr>
              <w:t xml:space="preserve"> del mes m de cotización.</w:t>
            </w:r>
          </w:p>
        </w:tc>
      </w:tr>
    </w:tbl>
    <w:p w14:paraId="4AB77ED8" w14:textId="77777777" w:rsidR="007F6DDF" w:rsidRPr="00BF51DE" w:rsidRDefault="007F6DDF" w:rsidP="007F6DDF">
      <w:pPr>
        <w:rPr>
          <w:bCs/>
        </w:rPr>
      </w:pPr>
      <w:r w:rsidRPr="00BF51DE">
        <w:rPr>
          <w:bCs/>
        </w:rPr>
        <w:t>El resultado del estudio de precios entrega como resultado una tabla de precios unitarios de adquisición de equipos y materiales que se utiliza como fuente para asignarle un costo unitario (Cu) a cada elemento del Sistema de Transmisión Nacional en la planilla Excel extraída de la base de datos.</w:t>
      </w:r>
    </w:p>
    <w:p w14:paraId="7C89F7C9" w14:textId="77777777" w:rsidR="007F6DDF" w:rsidRDefault="007F6DDF" w:rsidP="007F6DDF">
      <w:r>
        <w:t>La tabla de precios unitarios obtenidos se copia como valor en la planilla “</w:t>
      </w:r>
      <w:r w:rsidRPr="00BF51DE">
        <w:t>Tabla Subida Precios Unitarios y Montaje.xlsx</w:t>
      </w:r>
      <w:r>
        <w:t>” que se encuentra en la carpeta “Anexos VI\09-Anexo VI_9-Calculo del VI\1-Tablas subida” y que se importa a la base de datos para ejecutar el proceso de cálculo del V.I.</w:t>
      </w:r>
    </w:p>
    <w:p w14:paraId="53F3D99F" w14:textId="77777777" w:rsidR="007F6DDF" w:rsidRDefault="007F6DDF" w:rsidP="007F6DDF">
      <w:r w:rsidRPr="00BF51DE">
        <w:t>Dado que no fue posible disponer de información de parte de las empresas, respecto de factores de reducción por economías de escala, el Consultor estudió la necesidad y la pertinencia de estimar un porcentaje de descuento a los precios unitarios cotizados, teniendo en considerando lo siguiente:</w:t>
      </w:r>
    </w:p>
    <w:p w14:paraId="4CF08F7D" w14:textId="77777777" w:rsidR="007F6DDF" w:rsidRPr="00BF51DE" w:rsidRDefault="007F6DDF" w:rsidP="007F6DDF">
      <w:pPr>
        <w:pStyle w:val="Prrafodelista"/>
        <w:numPr>
          <w:ilvl w:val="0"/>
          <w:numId w:val="45"/>
        </w:numPr>
        <w:ind w:left="567" w:hanging="567"/>
      </w:pPr>
      <w:r w:rsidRPr="00BF51DE">
        <w:t>De acuerdo con las bases del estudio, las economías de escala que originarían descuentos por volumen deben circunscribirse exclusivamente a cada tramo del STN objeto del estudio de valorización. Esta restricción reduce significativamente los volúmenes de equipos y materiales a adquirir, reduciendo con ello la factibilida</w:t>
      </w:r>
      <w:r>
        <w:t>d de obtener descuentos por volu</w:t>
      </w:r>
      <w:r w:rsidRPr="00BF51DE">
        <w:t xml:space="preserve">men. </w:t>
      </w:r>
    </w:p>
    <w:p w14:paraId="43BD8960" w14:textId="77777777" w:rsidR="007F6DDF" w:rsidRPr="00BF51DE" w:rsidRDefault="007F6DDF" w:rsidP="007F6DDF">
      <w:pPr>
        <w:pStyle w:val="Prrafodelista"/>
        <w:numPr>
          <w:ilvl w:val="0"/>
          <w:numId w:val="45"/>
        </w:numPr>
        <w:ind w:left="567" w:hanging="567"/>
      </w:pPr>
      <w:r w:rsidRPr="00BF51DE">
        <w:t>Por tratarse de un estudio de precios, las cotizaciones de los proveedores de materiales y equipos corresponden a precios de lista (referenciales), lo que significa que no entregan información de descuentos.</w:t>
      </w:r>
    </w:p>
    <w:p w14:paraId="594BEEFB" w14:textId="77777777" w:rsidR="007F6DDF" w:rsidRPr="00BF51DE" w:rsidRDefault="007F6DDF" w:rsidP="007F6DDF">
      <w:pPr>
        <w:pStyle w:val="Prrafodelista"/>
        <w:numPr>
          <w:ilvl w:val="0"/>
          <w:numId w:val="45"/>
        </w:numPr>
        <w:ind w:left="567" w:hanging="567"/>
      </w:pPr>
      <w:r w:rsidRPr="00BF51DE">
        <w:t xml:space="preserve">Actualmente la mayor parte de las obras se realizan bajo la modalidad EPC, en un esquema de competencia, por lo que cualquier descuento en materiales y equipos, es incluido dentro del valor total de la obra. </w:t>
      </w:r>
    </w:p>
    <w:p w14:paraId="511BFB7C" w14:textId="77777777" w:rsidR="007F6DDF" w:rsidRPr="00BF51DE" w:rsidRDefault="007F6DDF" w:rsidP="007F6DDF">
      <w:pPr>
        <w:pStyle w:val="Prrafodelista"/>
        <w:numPr>
          <w:ilvl w:val="0"/>
          <w:numId w:val="45"/>
        </w:numPr>
        <w:ind w:left="567" w:hanging="567"/>
      </w:pPr>
      <w:r w:rsidRPr="00BF51DE">
        <w:t xml:space="preserve">Los valores de descuento por volúmenes, cuando llegan a existir, son conocidos </w:t>
      </w:r>
      <w:r>
        <w:t>solamente por el constructor y el p</w:t>
      </w:r>
      <w:r w:rsidRPr="00BF51DE">
        <w:t>roveedor.</w:t>
      </w:r>
    </w:p>
    <w:p w14:paraId="398B97E4" w14:textId="77777777" w:rsidR="007F6DDF" w:rsidRPr="00BF51DE" w:rsidRDefault="007F6DDF" w:rsidP="007F6DDF">
      <w:pPr>
        <w:pStyle w:val="Prrafodelista"/>
        <w:numPr>
          <w:ilvl w:val="0"/>
          <w:numId w:val="45"/>
        </w:numPr>
        <w:ind w:left="567" w:hanging="567"/>
      </w:pPr>
      <w:r w:rsidRPr="00BF51DE">
        <w:t xml:space="preserve">Generalmente las </w:t>
      </w:r>
      <w:r>
        <w:t>s</w:t>
      </w:r>
      <w:r w:rsidRPr="00BF51DE">
        <w:t>ubestaciones se construyen y se van ampliando por paños, durante un largo lap</w:t>
      </w:r>
      <w:r>
        <w:t>so de tiempo que depende de la d</w:t>
      </w:r>
      <w:r w:rsidRPr="00BF51DE">
        <w:t>emanda entre otros factores, lo que dificulta tener volúmenes de compra.</w:t>
      </w:r>
    </w:p>
    <w:p w14:paraId="3B4EE97C" w14:textId="77777777" w:rsidR="007F6DDF" w:rsidRPr="00BF51DE" w:rsidRDefault="007F6DDF" w:rsidP="007F6DDF">
      <w:pPr>
        <w:pStyle w:val="Prrafodelista"/>
        <w:numPr>
          <w:ilvl w:val="0"/>
          <w:numId w:val="45"/>
        </w:numPr>
        <w:ind w:left="567" w:hanging="567"/>
      </w:pPr>
      <w:r w:rsidRPr="00BF51DE">
        <w:t xml:space="preserve">Aquellos elementos que se compran en volúmenes son los que menor participación tienen en </w:t>
      </w:r>
      <w:proofErr w:type="gramStart"/>
      <w:r w:rsidRPr="00BF51DE">
        <w:t>cuanto precios</w:t>
      </w:r>
      <w:proofErr w:type="gramEnd"/>
      <w:r w:rsidRPr="00BF51DE">
        <w:t xml:space="preserve"> dentro de la </w:t>
      </w:r>
      <w:r>
        <w:t>o</w:t>
      </w:r>
      <w:r w:rsidRPr="00BF51DE">
        <w:t>bra.</w:t>
      </w:r>
    </w:p>
    <w:p w14:paraId="5D6003DA" w14:textId="77777777" w:rsidR="007F6DDF" w:rsidRPr="00BF51DE" w:rsidRDefault="007F6DDF" w:rsidP="007F6DDF">
      <w:pPr>
        <w:rPr>
          <w:bCs/>
        </w:rPr>
      </w:pPr>
      <w:r w:rsidRPr="00BF51DE">
        <w:rPr>
          <w:bCs/>
        </w:rPr>
        <w:t xml:space="preserve">Dado lo anterior, </w:t>
      </w:r>
      <w:r>
        <w:rPr>
          <w:bCs/>
        </w:rPr>
        <w:t>no fue</w:t>
      </w:r>
      <w:r w:rsidRPr="00BF51DE">
        <w:rPr>
          <w:bCs/>
        </w:rPr>
        <w:t xml:space="preserve"> posible establecer valores de descuento por volumen en el estudio.</w:t>
      </w:r>
    </w:p>
    <w:p w14:paraId="478098D0" w14:textId="77777777" w:rsidR="007F6DDF" w:rsidRDefault="007F6DDF" w:rsidP="007F6DDF">
      <w:r>
        <w:lastRenderedPageBreak/>
        <w:t>El resultado del estudio de precios entrega como resultado una tabla de precios unitarios de adquisición de equipos y materiales que se utiliza como fuente para asignarle un costo unitario (Cu) a cada elemento del Sistema de Transmisión Nacional en la planilla Excel extraída de la base de datos.</w:t>
      </w:r>
    </w:p>
    <w:p w14:paraId="2B733C81" w14:textId="77777777" w:rsidR="007F6DDF" w:rsidRDefault="007F6DDF" w:rsidP="007F6DDF">
      <w:r>
        <w:t>El detalle del estudio de precios se encuentra en el Anexo VI 6 ubicado en “Anexos VI\06-Anexo VI_6-Estudio Precios”, donde también se incluye la planilla con los valores resultantes para el valor unitario utilizado en el cálculo del VI.</w:t>
      </w:r>
    </w:p>
    <w:p w14:paraId="17AD04D6" w14:textId="77777777" w:rsidR="004102B7" w:rsidRDefault="004102B7" w:rsidP="0070692B">
      <w:pPr>
        <w:pStyle w:val="Ttulo3"/>
      </w:pPr>
      <w:bookmarkStart w:id="48" w:name="_Toc38016474"/>
      <w:bookmarkStart w:id="49" w:name="_Toc39797768"/>
      <w:r>
        <w:t>Costos de Montaje</w:t>
      </w:r>
      <w:bookmarkEnd w:id="48"/>
      <w:bookmarkEnd w:id="49"/>
    </w:p>
    <w:p w14:paraId="44629CA2" w14:textId="77777777" w:rsidR="00EC4B36" w:rsidRPr="008C4794" w:rsidRDefault="00EC4B36" w:rsidP="00EC4B36">
      <w:pPr>
        <w:spacing w:line="252" w:lineRule="auto"/>
        <w:rPr>
          <w:rFonts w:cs="Arial"/>
          <w:szCs w:val="22"/>
          <w:lang w:val="es-ES_tradnl"/>
        </w:rPr>
      </w:pPr>
      <w:r>
        <w:t>En las Bases del estudio, literal b.3 del punto 3.4.1.4, se establece que “</w:t>
      </w:r>
      <w:r w:rsidRPr="00EF26F1">
        <w:rPr>
          <w:rFonts w:cs="Arial"/>
          <w:i/>
          <w:szCs w:val="22"/>
          <w:lang w:val="es-ES_tradnl"/>
        </w:rPr>
        <w:t xml:space="preserve">los </w:t>
      </w:r>
      <w:r w:rsidRPr="00EF26F1">
        <w:rPr>
          <w:i/>
          <w:szCs w:val="22"/>
        </w:rPr>
        <w:t>costos de montaje considerarán lo siguiente</w:t>
      </w:r>
      <w:r w:rsidRPr="008C4794">
        <w:rPr>
          <w:szCs w:val="22"/>
        </w:rPr>
        <w:t>:</w:t>
      </w:r>
    </w:p>
    <w:p w14:paraId="161FCA98" w14:textId="77777777" w:rsidR="00EC4B36" w:rsidRPr="00EF26F1" w:rsidRDefault="00EC4B36" w:rsidP="00EC4B36">
      <w:pPr>
        <w:pStyle w:val="Prrafodelista"/>
        <w:ind w:left="567" w:hanging="567"/>
        <w:rPr>
          <w:i/>
          <w:lang w:val="es-ES_tradnl"/>
        </w:rPr>
      </w:pPr>
      <w:r w:rsidRPr="00EF26F1">
        <w:rPr>
          <w:i/>
          <w:lang w:val="es-ES_tradnl"/>
        </w:rPr>
        <w:t>Costos de personal de montaje, ya sean de contratistas o personal propio;</w:t>
      </w:r>
    </w:p>
    <w:p w14:paraId="5CABF798" w14:textId="77777777" w:rsidR="00EC4B36" w:rsidRPr="00EF26F1" w:rsidRDefault="00EC4B36" w:rsidP="00EC4B36">
      <w:pPr>
        <w:pStyle w:val="Prrafodelista"/>
        <w:ind w:left="567" w:hanging="567"/>
        <w:rPr>
          <w:i/>
          <w:lang w:val="es-ES_tradnl"/>
        </w:rPr>
      </w:pPr>
      <w:r w:rsidRPr="00EF26F1">
        <w:rPr>
          <w:i/>
          <w:lang w:val="es-ES_tradnl"/>
        </w:rPr>
        <w:t>Costos de inspector técnico de obras (ITO) y supervisión;</w:t>
      </w:r>
    </w:p>
    <w:p w14:paraId="4C465BE8" w14:textId="77777777" w:rsidR="00EC4B36" w:rsidRPr="00EF26F1" w:rsidRDefault="00EC4B36" w:rsidP="00EC4B36">
      <w:pPr>
        <w:pStyle w:val="Prrafodelista"/>
        <w:ind w:left="567" w:hanging="567"/>
        <w:rPr>
          <w:i/>
          <w:lang w:val="es-ES_tradnl"/>
        </w:rPr>
      </w:pPr>
      <w:r w:rsidRPr="00EF26F1">
        <w:rPr>
          <w:i/>
          <w:lang w:val="es-ES_tradnl"/>
        </w:rPr>
        <w:t>Costos de vehículos, maquinarias y herramientas utilizadas en el montaje, sin considerar el costo de los materiales;</w:t>
      </w:r>
    </w:p>
    <w:p w14:paraId="4240BD61" w14:textId="77777777" w:rsidR="00EC4B36" w:rsidRPr="00EF26F1" w:rsidRDefault="00EC4B36" w:rsidP="00EC4B36">
      <w:pPr>
        <w:pStyle w:val="Prrafodelista"/>
        <w:ind w:left="567" w:hanging="567"/>
        <w:rPr>
          <w:i/>
          <w:lang w:val="es-ES_tradnl"/>
        </w:rPr>
      </w:pPr>
      <w:r w:rsidRPr="00EF26F1">
        <w:rPr>
          <w:i/>
          <w:lang w:val="es-ES_tradnl"/>
        </w:rPr>
        <w:t>Costo de montaje de las obras civiles y equipos electromecánicos diferenciados para instalaciones aéreas y subterráneas; y</w:t>
      </w:r>
    </w:p>
    <w:p w14:paraId="48AE13DF" w14:textId="77777777" w:rsidR="00EC4B36" w:rsidRPr="00EF26F1" w:rsidRDefault="00EC4B36" w:rsidP="00EC4B36">
      <w:pPr>
        <w:pStyle w:val="Prrafodelista"/>
        <w:ind w:left="567" w:hanging="567"/>
        <w:rPr>
          <w:i/>
          <w:lang w:val="es-ES_tradnl"/>
        </w:rPr>
      </w:pPr>
      <w:r w:rsidRPr="00EF26F1">
        <w:rPr>
          <w:i/>
          <w:lang w:val="es-ES_tradnl"/>
        </w:rPr>
        <w:t>Otros costos de montaje debidamente detallados, justificados y respaldados.</w:t>
      </w:r>
    </w:p>
    <w:p w14:paraId="593D1F7D" w14:textId="77777777" w:rsidR="00EC4B36" w:rsidRPr="008C4794" w:rsidRDefault="00EC4B36" w:rsidP="00EC4B36">
      <w:pPr>
        <w:rPr>
          <w:i/>
          <w:iCs/>
        </w:rPr>
      </w:pPr>
      <w:r w:rsidRPr="008C4794">
        <w:rPr>
          <w:i/>
          <w:iCs/>
        </w:rPr>
        <w:t>Para cada uno de los equipos y materiales requeridos en las obras de transmisión, o bien, para las familias representativas de éstas a las que se refiere el párrafo siguiente, el consultor deberá listar las tareas requeridas para llevar a cabo el montaje de dichos equipos y materiales, indicando los recursos y personal necesarios para llevar a cabo cada tarea eficientemente.</w:t>
      </w:r>
    </w:p>
    <w:p w14:paraId="18EDD135" w14:textId="77777777" w:rsidR="00EC4B36" w:rsidRPr="008C4794" w:rsidRDefault="00EC4B36" w:rsidP="00EC4B36">
      <w:pPr>
        <w:rPr>
          <w:i/>
          <w:iCs/>
          <w:lang w:val="es-ES_tradnl"/>
        </w:rPr>
      </w:pPr>
      <w:r w:rsidRPr="008C4794">
        <w:rPr>
          <w:i/>
          <w:iCs/>
          <w:lang w:val="es-ES_tradnl"/>
        </w:rPr>
        <w:t>El costo unitario será determinado como el cociente entre el costo de montaje compuesto por los costos listados anteriormente y el total de horas‐hombre (HH) usadas eficientemente en la construcción de obras de transmisión durante el mismo período de tiempo, de acuerdo con las normas laborales y de seguridad correspondientes. En su informe, el consultor deberá desagregar el monto resultante por montaje, según tipo de obra, indicando y justificando además el (los) valor(es) unitario(s) de la(s) hora‐ hombre y la cantidad de horas involucradas.</w:t>
      </w:r>
      <w:r>
        <w:rPr>
          <w:i/>
          <w:iCs/>
          <w:lang w:val="es-ES_tradnl"/>
        </w:rPr>
        <w:t>”</w:t>
      </w:r>
    </w:p>
    <w:p w14:paraId="767FAD13" w14:textId="77777777" w:rsidR="00EC4B36" w:rsidRPr="00AC57D5" w:rsidRDefault="00EC4B36" w:rsidP="00EC4B36">
      <w:r>
        <w:t>Por otra parte, en el literal a.1 del punto 3.4.3 de las Bases técnicas del estudio, se establece que: “</w:t>
      </w:r>
      <w:r w:rsidRPr="008C4794">
        <w:rPr>
          <w:i/>
          <w:iCs/>
        </w:rPr>
        <w:t xml:space="preserve">el término MO en la expresión matemática que define el V.I. de </w:t>
      </w:r>
      <w:bookmarkStart w:id="50" w:name="_Hlk38019213"/>
      <w:r w:rsidRPr="008C4794">
        <w:rPr>
          <w:i/>
          <w:iCs/>
        </w:rPr>
        <w:t>cada equipo o material corresponderá a su porción del montaje</w:t>
      </w:r>
      <w:bookmarkEnd w:id="50"/>
      <w:r w:rsidRPr="008C4794">
        <w:rPr>
          <w:i/>
          <w:iCs/>
        </w:rPr>
        <w:t xml:space="preserve">, de acuerdo al tipo de obra a que hace referencia la letra b) del punto 3.4.1.4. El criterio para asignar dicha porción, así como la memoria de cálculo de la </w:t>
      </w:r>
      <w:r w:rsidRPr="008C4794">
        <w:rPr>
          <w:i/>
          <w:iCs/>
        </w:rPr>
        <w:lastRenderedPageBreak/>
        <w:t xml:space="preserve">asignación correspondiente, deberá ser justificado e informado detalladamente a través de una memoria de </w:t>
      </w:r>
      <w:r w:rsidRPr="00AC57D5">
        <w:t>cálculo.”</w:t>
      </w:r>
    </w:p>
    <w:p w14:paraId="1B1FB567" w14:textId="77777777" w:rsidR="00EC4B36" w:rsidRPr="00AC57D5" w:rsidRDefault="00EC4B36" w:rsidP="00EC4B36">
      <w:pPr>
        <w:spacing w:line="252" w:lineRule="auto"/>
        <w:rPr>
          <w:rFonts w:cs="Calibri"/>
          <w:spacing w:val="-4"/>
          <w:szCs w:val="22"/>
        </w:rPr>
      </w:pPr>
      <w:r w:rsidRPr="00AC57D5">
        <w:rPr>
          <w:rFonts w:cs="Calibri"/>
          <w:spacing w:val="-4"/>
          <w:szCs w:val="22"/>
        </w:rPr>
        <w:t>Para compatibilizar ambas condiciones, se ha desarrollado y aplicado una metodología que por una parte calcula los costos de montaje para cada familia y subfamilia, siendo estas últimas cada uno de los tramos calificados del STN.</w:t>
      </w:r>
    </w:p>
    <w:p w14:paraId="2A7F01DE" w14:textId="77777777" w:rsidR="00EC4B36" w:rsidRPr="00AC57D5" w:rsidRDefault="00EC4B36" w:rsidP="00EC4B36">
      <w:pPr>
        <w:spacing w:line="252" w:lineRule="auto"/>
        <w:rPr>
          <w:rFonts w:cs="Calibri"/>
          <w:spacing w:val="-4"/>
          <w:szCs w:val="22"/>
        </w:rPr>
      </w:pPr>
      <w:r w:rsidRPr="00AC57D5">
        <w:rPr>
          <w:rFonts w:cs="Calibri"/>
          <w:spacing w:val="-4"/>
          <w:szCs w:val="22"/>
        </w:rPr>
        <w:t>En dicha planilla mediante filtro se puede obtener el costo de montaje de cada tramo o componente de tramo y la porción asignada a cada una de las subfamilias.</w:t>
      </w:r>
    </w:p>
    <w:p w14:paraId="65776622" w14:textId="77777777" w:rsidR="00EC4B36" w:rsidRPr="00AC57D5" w:rsidRDefault="00EC4B36" w:rsidP="00EC4B36">
      <w:pPr>
        <w:spacing w:line="252" w:lineRule="auto"/>
        <w:rPr>
          <w:rFonts w:cs="Calibri"/>
          <w:spacing w:val="-4"/>
          <w:szCs w:val="22"/>
        </w:rPr>
      </w:pPr>
      <w:r w:rsidRPr="00AC57D5">
        <w:rPr>
          <w:rFonts w:cs="Calibri"/>
          <w:spacing w:val="-4"/>
          <w:szCs w:val="22"/>
        </w:rPr>
        <w:t>Los montajes asignados se distribuyen en los elementos de cada tramo, determinando una cantidad de HH y un valor unitario de HH, considerando que los costos de montaje calculados deben agregarse a la Base de Datos, para lo cual a forma más expedita es asignar a todos y cada uno de los elementos de cada instalación una cantidad de HH (horas hombre) y un valor de la HH.</w:t>
      </w:r>
    </w:p>
    <w:p w14:paraId="309600F1" w14:textId="77777777" w:rsidR="00EC4B36" w:rsidRPr="00AC57D5" w:rsidRDefault="00EC4B36" w:rsidP="00EC4B36">
      <w:pPr>
        <w:spacing w:line="252" w:lineRule="auto"/>
        <w:rPr>
          <w:rFonts w:cs="Calibri"/>
          <w:spacing w:val="-4"/>
          <w:szCs w:val="22"/>
        </w:rPr>
      </w:pPr>
      <w:r w:rsidRPr="00AC57D5">
        <w:rPr>
          <w:rFonts w:cs="Calibri"/>
          <w:spacing w:val="-4"/>
          <w:szCs w:val="22"/>
        </w:rPr>
        <w:t>Cabe señalar que el inventario de tipos de obra que en la realidad son similares, en la base de datos contienen una diversidad y cantidades de elementos que difieren bastante entre si, incluso dentro de la misma instalación (paños de subestación por ejemplo), lo cual dificulta la determinación de obras representativas. En consecuencia, la porción de montaje de obra asignada a un mismo equipo o material en dos instalaciones del mismo tipo, puede conducir a valores muy distantes entre si lo cual no representaría razonablemente el costo de montaje en todos los casos. Por tal razón, se ha decidido realizar el cálculo y la asignación del montaje para cada tramo a través de los elementos que contiene en la base de datos.</w:t>
      </w:r>
    </w:p>
    <w:p w14:paraId="05AEE82F" w14:textId="77777777" w:rsidR="00EC4B36" w:rsidRPr="00AC57D5" w:rsidRDefault="00EC4B36" w:rsidP="00EC4B36">
      <w:pPr>
        <w:spacing w:line="252" w:lineRule="auto"/>
        <w:rPr>
          <w:rFonts w:cs="Calibri"/>
          <w:spacing w:val="-4"/>
          <w:szCs w:val="22"/>
        </w:rPr>
      </w:pPr>
      <w:r w:rsidRPr="00AC57D5">
        <w:rPr>
          <w:rFonts w:cs="Calibri"/>
          <w:spacing w:val="-4"/>
          <w:szCs w:val="22"/>
        </w:rPr>
        <w:t>Para determinar el costo de montaje de cada equipo o material, sobre la base de los recursos utilizados, requiere un modelamiento que no es posible desarrollar al interior de la base de datos en sus características y condiciones actuales. Por ello, se ha debido modelar los costos de montaje en forma separada de la base de datos, para poder incluir todos los componentes de costos incluidos en las bases y los resultados obtenidos traducirlos a cantidades y valores de HH de elementos, de modo que el cálculo de montaje realizado en la base de datos coincida con el valor de montaje calculado con el modelo de cálculo.</w:t>
      </w:r>
    </w:p>
    <w:p w14:paraId="220E0341" w14:textId="77777777" w:rsidR="00EC4B36" w:rsidRPr="00AC57D5" w:rsidRDefault="00EC4B36" w:rsidP="00EC4B36">
      <w:pPr>
        <w:spacing w:line="276" w:lineRule="auto"/>
        <w:rPr>
          <w:szCs w:val="22"/>
        </w:rPr>
      </w:pPr>
      <w:r w:rsidRPr="00AC57D5">
        <w:rPr>
          <w:szCs w:val="22"/>
        </w:rPr>
        <w:t>Se ha diseñado y utilizado un modelo de cálculo de montaje en planilla Excel, que considera, para cada tarea, el dimensionamiento de una cuadrilla de montaje en cantidad de personas y la calificación de cada una de ellas y el tiempo de ejecución eficiente, es decir el rendimiento de la cuadrilla. El modelo incluye una parametrización mediante factores de ajuste para incluir la variación que se produce en el rendimiento por diversas razones, como por ejemplo la ubicación geográfica (valle, costa o cordillera y distancia a centros urbanos), la altura sobre el nivel del mar (entre 0 y 1000, de 1000 a 3000 y sobre 3000), el clima (lluvioso o seco). Los costos unitarios del personal de las cuadrillas se obtienen del estudio de mercado de remuneraciones.</w:t>
      </w:r>
    </w:p>
    <w:p w14:paraId="0E9FA697" w14:textId="77777777" w:rsidR="00EC4B36" w:rsidRPr="00AC57D5" w:rsidRDefault="00EC4B36" w:rsidP="00EC4B36">
      <w:pPr>
        <w:spacing w:line="276" w:lineRule="auto"/>
        <w:rPr>
          <w:szCs w:val="22"/>
        </w:rPr>
      </w:pPr>
      <w:r w:rsidRPr="00AC57D5">
        <w:rPr>
          <w:szCs w:val="22"/>
        </w:rPr>
        <w:lastRenderedPageBreak/>
        <w:t>El modelo permite obtener la cantidad de HH y el valor de la HH del montaje de cada equipo y material presente en la base de datos, cuyo producto es el costo de montaje de la actividad correspondiente. Del mismo modo se realiza para las obras civiles que consisten fundamentalmente en fundaciones, estructuras y edificaciones.</w:t>
      </w:r>
    </w:p>
    <w:p w14:paraId="1DC69765" w14:textId="77777777" w:rsidR="00EC4B36" w:rsidRPr="00AC57D5" w:rsidRDefault="00EC4B36" w:rsidP="00EC4B36">
      <w:pPr>
        <w:spacing w:line="276" w:lineRule="auto"/>
        <w:rPr>
          <w:szCs w:val="22"/>
        </w:rPr>
      </w:pPr>
      <w:r w:rsidRPr="00AC57D5">
        <w:rPr>
          <w:szCs w:val="22"/>
        </w:rPr>
        <w:t>Las actividades se calculan para un valor base en condiciones normales de ejecución, en cuanto a ubicación geográfica, altura y tipo de clima. Con el fin de considerar la diferencia de costos como consecuencia de la variación en los aspectos mencionados que presentan instalaciones específicas del STN se definen factores que se aplican sobre el rendimiento establecido para la condición normal, entendiendo como rendimiento la cantidad instalada por unidad de tiempo.</w:t>
      </w:r>
    </w:p>
    <w:p w14:paraId="66AABB6E" w14:textId="77777777" w:rsidR="00EC4B36" w:rsidRPr="00AC57D5" w:rsidRDefault="00EC4B36" w:rsidP="00EC4B36">
      <w:pPr>
        <w:spacing w:line="276" w:lineRule="auto"/>
        <w:rPr>
          <w:szCs w:val="22"/>
        </w:rPr>
      </w:pPr>
      <w:r w:rsidRPr="00AC57D5">
        <w:rPr>
          <w:szCs w:val="22"/>
        </w:rPr>
        <w:t>Considerando que los resultados deben presentarse en la Base de Datos, se determinó que resulta más eficiente que los factores se apliquen directamente dentro de la Base, por lo cual se elaboró una matriz en Excel que contiene los factores para cada uno de los tramos la cual se subió a a base como una tabla de factores y se relacionó el cálculo del montaje de cada uno de los tramos con la cantidad de HH, el valor de HH y los factores propios del tramo.</w:t>
      </w:r>
    </w:p>
    <w:p w14:paraId="3EE55E93" w14:textId="77777777" w:rsidR="00EC4B36" w:rsidRPr="00AC57D5" w:rsidRDefault="00EC4B36" w:rsidP="00EC4B36">
      <w:pPr>
        <w:spacing w:line="276" w:lineRule="auto"/>
        <w:rPr>
          <w:szCs w:val="22"/>
        </w:rPr>
      </w:pPr>
      <w:r w:rsidRPr="00AC57D5">
        <w:rPr>
          <w:szCs w:val="22"/>
        </w:rPr>
        <w:t>Con el procedimiento descrito, el cálculo del costo de montaje queda incorporado en el motor de cálculo del V.I. que se utiliza para valorizar las instalaciones de la base de datos.</w:t>
      </w:r>
    </w:p>
    <w:p w14:paraId="006A11A9" w14:textId="77777777" w:rsidR="00EC4B36" w:rsidRPr="00AC57D5" w:rsidRDefault="00EC4B36" w:rsidP="00EC4B36">
      <w:pPr>
        <w:spacing w:line="276" w:lineRule="auto"/>
        <w:rPr>
          <w:szCs w:val="22"/>
        </w:rPr>
      </w:pPr>
      <w:r w:rsidRPr="00AC57D5">
        <w:rPr>
          <w:szCs w:val="22"/>
        </w:rPr>
        <w:t>La base de datos con que se ha debido realizar el estudio no permite la posibilidad de asignar un montaje diferente a un mismo tipo de equipo (que tiene un identificador único), por lo cual no se puede hacer una distinción que afecte el costo de montaje, como por ejemplo una altura sobre el nivel del mar más alá de la cual un trabajador tiene un rendimiento normal.</w:t>
      </w:r>
    </w:p>
    <w:p w14:paraId="00343539" w14:textId="77777777" w:rsidR="00EC4B36" w:rsidRPr="00AC57D5" w:rsidRDefault="00EC4B36" w:rsidP="00EC4B36">
      <w:pPr>
        <w:spacing w:line="276" w:lineRule="auto"/>
        <w:rPr>
          <w:szCs w:val="22"/>
        </w:rPr>
      </w:pPr>
      <w:r w:rsidRPr="00AC57D5">
        <w:rPr>
          <w:szCs w:val="22"/>
        </w:rPr>
        <w:t>Considerando que existen diferencias de costos de montaje en Chile, dependiendo de la zona de ubicación, la altura sobre el nivel del mar y las condiciones climáticas, este Consultor se vio en la necesidad de resolver esta problemática, sujeto a las limitaciones que entrega la base de datos. La única solución que se pudo establecer fue crear diversos factores de ajustes de rendimientos, los cuales se detallan más adelante.</w:t>
      </w:r>
    </w:p>
    <w:p w14:paraId="6DEA815B" w14:textId="77777777" w:rsidR="00EC4B36" w:rsidRPr="00AC57D5" w:rsidRDefault="00EC4B36" w:rsidP="00EC4B36">
      <w:pPr>
        <w:spacing w:line="276" w:lineRule="auto"/>
        <w:rPr>
          <w:szCs w:val="22"/>
        </w:rPr>
      </w:pPr>
      <w:r w:rsidRPr="00AC57D5">
        <w:rPr>
          <w:szCs w:val="22"/>
        </w:rPr>
        <w:t>En la carpeta del Anexo VI_7 se encuentran las siguientes planillas:</w:t>
      </w:r>
    </w:p>
    <w:p w14:paraId="5871677E" w14:textId="77777777" w:rsidR="00EC4B36" w:rsidRPr="00AC57D5" w:rsidRDefault="00EC4B36" w:rsidP="00EC4B36">
      <w:pPr>
        <w:numPr>
          <w:ilvl w:val="0"/>
          <w:numId w:val="82"/>
        </w:numPr>
        <w:spacing w:line="276" w:lineRule="auto"/>
        <w:ind w:left="567" w:hanging="567"/>
        <w:contextualSpacing/>
        <w:rPr>
          <w:szCs w:val="22"/>
        </w:rPr>
      </w:pPr>
      <w:bookmarkStart w:id="51" w:name="_Hlk39787503"/>
      <w:r w:rsidRPr="00AC57D5">
        <w:rPr>
          <w:szCs w:val="22"/>
        </w:rPr>
        <w:t>Base-Montaje_06MAY2020.xlsx</w:t>
      </w:r>
      <w:bookmarkEnd w:id="51"/>
    </w:p>
    <w:p w14:paraId="119C42A4" w14:textId="77777777" w:rsidR="00EC4B36" w:rsidRPr="00AC57D5" w:rsidRDefault="00EC4B36" w:rsidP="00EC4B36">
      <w:pPr>
        <w:numPr>
          <w:ilvl w:val="0"/>
          <w:numId w:val="82"/>
        </w:numPr>
        <w:spacing w:line="276" w:lineRule="auto"/>
        <w:ind w:left="567" w:hanging="567"/>
        <w:contextualSpacing/>
        <w:rPr>
          <w:szCs w:val="22"/>
        </w:rPr>
      </w:pPr>
      <w:r w:rsidRPr="00AC57D5">
        <w:rPr>
          <w:szCs w:val="22"/>
        </w:rPr>
        <w:t>TramoSubestacion_Montaje_07MAY2020.xlsx</w:t>
      </w:r>
    </w:p>
    <w:p w14:paraId="32B53657" w14:textId="77777777" w:rsidR="00EC4B36" w:rsidRPr="00AC57D5" w:rsidRDefault="00EC4B36" w:rsidP="00EC4B36">
      <w:pPr>
        <w:numPr>
          <w:ilvl w:val="0"/>
          <w:numId w:val="82"/>
        </w:numPr>
        <w:spacing w:line="276" w:lineRule="auto"/>
        <w:ind w:left="567" w:hanging="567"/>
        <w:contextualSpacing/>
        <w:rPr>
          <w:szCs w:val="22"/>
        </w:rPr>
      </w:pPr>
      <w:r w:rsidRPr="00AC57D5">
        <w:rPr>
          <w:szCs w:val="22"/>
        </w:rPr>
        <w:t>TramoTransporte_Montaje07MAY2002.xlsx</w:t>
      </w:r>
    </w:p>
    <w:p w14:paraId="6CF27A40" w14:textId="77777777" w:rsidR="00EC4B36" w:rsidRPr="00AC57D5" w:rsidRDefault="00EC4B36" w:rsidP="00EC4B36">
      <w:pPr>
        <w:numPr>
          <w:ilvl w:val="0"/>
          <w:numId w:val="82"/>
        </w:numPr>
        <w:spacing w:line="276" w:lineRule="auto"/>
        <w:ind w:left="567" w:hanging="567"/>
        <w:contextualSpacing/>
        <w:rPr>
          <w:szCs w:val="22"/>
        </w:rPr>
      </w:pPr>
      <w:r w:rsidRPr="00AC57D5">
        <w:rPr>
          <w:szCs w:val="22"/>
        </w:rPr>
        <w:t>Montaje_memoria de cálculo_07MAY2020.xlsx</w:t>
      </w:r>
    </w:p>
    <w:p w14:paraId="2D48D081" w14:textId="77777777" w:rsidR="00EC4B36" w:rsidRPr="00AC57D5" w:rsidRDefault="00EC4B36" w:rsidP="00EC4B36">
      <w:pPr>
        <w:numPr>
          <w:ilvl w:val="0"/>
          <w:numId w:val="82"/>
        </w:numPr>
        <w:spacing w:line="276" w:lineRule="auto"/>
        <w:ind w:left="567" w:hanging="567"/>
        <w:contextualSpacing/>
        <w:rPr>
          <w:szCs w:val="22"/>
        </w:rPr>
      </w:pPr>
      <w:r w:rsidRPr="00AC57D5">
        <w:rPr>
          <w:szCs w:val="22"/>
        </w:rPr>
        <w:t xml:space="preserve">Factores ajuste montaje_06MAY2020.xlsx </w:t>
      </w:r>
    </w:p>
    <w:p w14:paraId="5D73A3E0" w14:textId="77777777" w:rsidR="00EC4B36" w:rsidRPr="00AC57D5" w:rsidRDefault="00EC4B36" w:rsidP="00EC4B36">
      <w:pPr>
        <w:numPr>
          <w:ilvl w:val="0"/>
          <w:numId w:val="82"/>
        </w:numPr>
        <w:spacing w:line="276" w:lineRule="auto"/>
        <w:ind w:left="567" w:hanging="567"/>
        <w:contextualSpacing/>
        <w:rPr>
          <w:szCs w:val="22"/>
        </w:rPr>
      </w:pPr>
      <w:r w:rsidRPr="00AC57D5">
        <w:rPr>
          <w:szCs w:val="22"/>
        </w:rPr>
        <w:t>Caminos de Acceso.xlsx</w:t>
      </w:r>
    </w:p>
    <w:p w14:paraId="3862BF5D" w14:textId="77777777" w:rsidR="00EC4B36" w:rsidRPr="00AC57D5" w:rsidRDefault="00EC4B36" w:rsidP="00EC4B36">
      <w:pPr>
        <w:spacing w:line="276" w:lineRule="auto"/>
        <w:rPr>
          <w:szCs w:val="22"/>
        </w:rPr>
      </w:pPr>
      <w:r w:rsidRPr="00AC57D5">
        <w:rPr>
          <w:szCs w:val="22"/>
        </w:rPr>
        <w:lastRenderedPageBreak/>
        <w:t>En la planilla Base-Montaje_06MAY2020.xlsx se calcula el costo de montaje para elementos específicos correspondientes a los equipos eléctricos mayores y principales y los materiales principales que son los que inciden en más del 80% de los costos de montaje.</w:t>
      </w:r>
    </w:p>
    <w:p w14:paraId="3F541758" w14:textId="77777777" w:rsidR="00EC4B36" w:rsidRPr="00AC57D5" w:rsidRDefault="00EC4B36" w:rsidP="00EC4B36">
      <w:pPr>
        <w:spacing w:line="276" w:lineRule="auto"/>
        <w:rPr>
          <w:szCs w:val="22"/>
        </w:rPr>
      </w:pPr>
      <w:r w:rsidRPr="00AC57D5">
        <w:rPr>
          <w:szCs w:val="22"/>
        </w:rPr>
        <w:t>Los costos de montaje se establecen mediante la definición de cuadrillas de montaje, que se encuentra en la hoja Cuadrillas SSEE y Lineas, corresponden a las habituales en este tipo de obras en condiciones normales de montaje, según la experiencia del Consultor.  Se hace la distinción entre cuadrillas de montaje eléctrico y civil, como también entre subestaciones y líneas. Cabe mencionar que es posible constituir las cuadrillas de diferente forma y cantidad de integrantes, pero existe una relación entre dicha cantidad y el rendimiento de la cuadrilla, esto es, el tiempo que tarda en realizar una actividad específica, considerando además que también varía con la experiencia de cada uno de los integrantes y la eficiencia del trabajo en equipos. Por ello, no existe un óptimo de cuadrilla.</w:t>
      </w:r>
    </w:p>
    <w:p w14:paraId="18106C87" w14:textId="77777777" w:rsidR="00EC4B36" w:rsidRPr="00AC57D5" w:rsidRDefault="00EC4B36" w:rsidP="00EC4B36">
      <w:pPr>
        <w:spacing w:line="276" w:lineRule="auto"/>
        <w:rPr>
          <w:szCs w:val="22"/>
        </w:rPr>
      </w:pPr>
      <w:r w:rsidRPr="00AC57D5">
        <w:rPr>
          <w:szCs w:val="22"/>
        </w:rPr>
        <w:t>Las cuadrillas de montaje consideradas en este estudio para las instalaciones del STN se muestran en la tabla siguiente.</w:t>
      </w:r>
    </w:p>
    <w:p w14:paraId="49203D8D" w14:textId="77777777" w:rsidR="00EC4B36" w:rsidRPr="00AC57D5" w:rsidRDefault="00EC4B36" w:rsidP="00EC4B36">
      <w:pPr>
        <w:spacing w:line="276" w:lineRule="auto"/>
        <w:jc w:val="center"/>
        <w:rPr>
          <w:szCs w:val="22"/>
        </w:rPr>
      </w:pPr>
      <w:bookmarkStart w:id="52" w:name="_Toc39793628"/>
      <w:bookmarkStart w:id="53" w:name="_Toc39795234"/>
      <w:bookmarkStart w:id="54" w:name="_Toc39797914"/>
      <w:r w:rsidRPr="00AC57D5">
        <w:rPr>
          <w:b/>
          <w:iCs/>
          <w:szCs w:val="22"/>
        </w:rPr>
        <w:t xml:space="preserve">Tabla </w:t>
      </w:r>
      <w:r w:rsidRPr="00AC57D5">
        <w:rPr>
          <w:b/>
          <w:iCs/>
          <w:szCs w:val="22"/>
        </w:rPr>
        <w:fldChar w:fldCharType="begin"/>
      </w:r>
      <w:r w:rsidRPr="00AC57D5">
        <w:rPr>
          <w:b/>
          <w:iCs/>
          <w:szCs w:val="22"/>
        </w:rPr>
        <w:instrText xml:space="preserve"> SEQ Tabla \* ARABIC </w:instrText>
      </w:r>
      <w:r w:rsidRPr="00AC57D5">
        <w:rPr>
          <w:b/>
          <w:iCs/>
          <w:szCs w:val="22"/>
        </w:rPr>
        <w:fldChar w:fldCharType="separate"/>
      </w:r>
      <w:r w:rsidR="001F3E2E">
        <w:rPr>
          <w:b/>
          <w:iCs/>
          <w:noProof/>
          <w:szCs w:val="22"/>
        </w:rPr>
        <w:t>4</w:t>
      </w:r>
      <w:r w:rsidRPr="00AC57D5">
        <w:rPr>
          <w:szCs w:val="22"/>
          <w:lang w:val="es-ES_tradnl"/>
        </w:rPr>
        <w:fldChar w:fldCharType="end"/>
      </w:r>
      <w:r w:rsidRPr="00AC57D5">
        <w:rPr>
          <w:b/>
          <w:iCs/>
          <w:szCs w:val="22"/>
        </w:rPr>
        <w:t>: Cuadrillas de trabajo para montaje</w:t>
      </w:r>
      <w:bookmarkEnd w:id="52"/>
      <w:bookmarkEnd w:id="53"/>
      <w:bookmarkEnd w:id="54"/>
    </w:p>
    <w:tbl>
      <w:tblPr>
        <w:tblW w:w="0" w:type="auto"/>
        <w:tblLayout w:type="fixed"/>
        <w:tblCellMar>
          <w:left w:w="57" w:type="dxa"/>
          <w:right w:w="57" w:type="dxa"/>
        </w:tblCellMar>
        <w:tblLook w:val="04A0" w:firstRow="1" w:lastRow="0" w:firstColumn="1" w:lastColumn="0" w:noHBand="0" w:noVBand="1"/>
      </w:tblPr>
      <w:tblGrid>
        <w:gridCol w:w="2835"/>
        <w:gridCol w:w="851"/>
        <w:gridCol w:w="851"/>
        <w:gridCol w:w="851"/>
        <w:gridCol w:w="851"/>
        <w:gridCol w:w="851"/>
        <w:gridCol w:w="851"/>
        <w:gridCol w:w="851"/>
        <w:gridCol w:w="851"/>
      </w:tblGrid>
      <w:tr w:rsidR="00EC4B36" w:rsidRPr="00AC57D5" w14:paraId="652AF6DE" w14:textId="77777777" w:rsidTr="006B5A62">
        <w:trPr>
          <w:cantSplit/>
          <w:trHeight w:val="1474"/>
          <w:tblHeader/>
        </w:trPr>
        <w:tc>
          <w:tcPr>
            <w:tcW w:w="28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4E62123" w14:textId="77777777" w:rsidR="00EC4B36" w:rsidRPr="00AC57D5" w:rsidRDefault="00EC4B36" w:rsidP="006B5A62">
            <w:pPr>
              <w:spacing w:before="40" w:after="40" w:line="276" w:lineRule="auto"/>
              <w:jc w:val="center"/>
              <w:rPr>
                <w:rFonts w:cs="Calibri"/>
                <w:b/>
                <w:bCs/>
                <w:sz w:val="20"/>
                <w:szCs w:val="20"/>
                <w:lang w:val="es-ES"/>
              </w:rPr>
            </w:pPr>
            <w:r w:rsidRPr="00AC57D5">
              <w:rPr>
                <w:rFonts w:cs="Calibri"/>
                <w:b/>
                <w:bCs/>
                <w:sz w:val="20"/>
                <w:szCs w:val="20"/>
                <w:lang w:val="es-ES"/>
              </w:rPr>
              <w:t>EQUIPO DE TRABAJO POR CUADRILLA</w:t>
            </w:r>
          </w:p>
        </w:tc>
        <w:tc>
          <w:tcPr>
            <w:tcW w:w="851" w:type="dxa"/>
            <w:tcBorders>
              <w:top w:val="single" w:sz="4" w:space="0" w:color="auto"/>
              <w:left w:val="nil"/>
              <w:bottom w:val="single" w:sz="4" w:space="0" w:color="auto"/>
              <w:right w:val="single" w:sz="4" w:space="0" w:color="auto"/>
            </w:tcBorders>
            <w:shd w:val="clear" w:color="auto" w:fill="auto"/>
            <w:textDirection w:val="btLr"/>
            <w:vAlign w:val="center"/>
            <w:hideMark/>
          </w:tcPr>
          <w:p w14:paraId="3B923087" w14:textId="77777777" w:rsidR="00EC4B36" w:rsidRPr="00AC57D5" w:rsidRDefault="00EC4B36" w:rsidP="006B5A62">
            <w:pPr>
              <w:spacing w:before="40" w:after="40" w:line="276" w:lineRule="auto"/>
              <w:jc w:val="center"/>
              <w:rPr>
                <w:rFonts w:cs="Calibri"/>
                <w:b/>
                <w:bCs/>
                <w:sz w:val="20"/>
                <w:szCs w:val="20"/>
                <w:lang w:val="es-ES"/>
              </w:rPr>
            </w:pPr>
            <w:r w:rsidRPr="00AC57D5">
              <w:rPr>
                <w:rFonts w:cs="Calibri"/>
                <w:b/>
                <w:bCs/>
                <w:sz w:val="20"/>
                <w:szCs w:val="20"/>
                <w:lang w:val="es-ES"/>
              </w:rPr>
              <w:t>TIPO DE CUADRILLA</w:t>
            </w:r>
          </w:p>
        </w:tc>
        <w:tc>
          <w:tcPr>
            <w:tcW w:w="851" w:type="dxa"/>
            <w:tcBorders>
              <w:top w:val="single" w:sz="4" w:space="0" w:color="auto"/>
              <w:left w:val="nil"/>
              <w:bottom w:val="single" w:sz="4" w:space="0" w:color="auto"/>
              <w:right w:val="single" w:sz="4" w:space="0" w:color="auto"/>
            </w:tcBorders>
            <w:shd w:val="clear" w:color="auto" w:fill="auto"/>
            <w:textDirection w:val="btLr"/>
            <w:vAlign w:val="center"/>
            <w:hideMark/>
          </w:tcPr>
          <w:p w14:paraId="725C8BC6" w14:textId="77777777" w:rsidR="00EC4B36" w:rsidRPr="00AC57D5" w:rsidRDefault="00EC4B36" w:rsidP="006B5A62">
            <w:pPr>
              <w:spacing w:before="40" w:after="40" w:line="276" w:lineRule="auto"/>
              <w:jc w:val="center"/>
              <w:rPr>
                <w:rFonts w:cs="Calibri"/>
                <w:b/>
                <w:bCs/>
                <w:sz w:val="20"/>
                <w:szCs w:val="20"/>
                <w:lang w:val="es-ES"/>
              </w:rPr>
            </w:pPr>
            <w:r w:rsidRPr="00AC57D5">
              <w:rPr>
                <w:rFonts w:cs="Calibri"/>
                <w:b/>
                <w:bCs/>
                <w:sz w:val="20"/>
                <w:szCs w:val="20"/>
                <w:lang w:val="es-ES"/>
              </w:rPr>
              <w:t>Jefe de Obra</w:t>
            </w:r>
          </w:p>
        </w:tc>
        <w:tc>
          <w:tcPr>
            <w:tcW w:w="851" w:type="dxa"/>
            <w:tcBorders>
              <w:top w:val="single" w:sz="4" w:space="0" w:color="auto"/>
              <w:left w:val="nil"/>
              <w:bottom w:val="single" w:sz="4" w:space="0" w:color="auto"/>
              <w:right w:val="single" w:sz="4" w:space="0" w:color="auto"/>
            </w:tcBorders>
            <w:shd w:val="clear" w:color="auto" w:fill="auto"/>
            <w:textDirection w:val="btLr"/>
            <w:vAlign w:val="center"/>
            <w:hideMark/>
          </w:tcPr>
          <w:p w14:paraId="636B17E0" w14:textId="77777777" w:rsidR="00EC4B36" w:rsidRPr="00AC57D5" w:rsidRDefault="00EC4B36" w:rsidP="006B5A62">
            <w:pPr>
              <w:spacing w:before="40" w:after="40" w:line="276" w:lineRule="auto"/>
              <w:jc w:val="center"/>
              <w:rPr>
                <w:rFonts w:cs="Calibri"/>
                <w:b/>
                <w:bCs/>
                <w:sz w:val="20"/>
                <w:szCs w:val="20"/>
                <w:lang w:val="es-ES"/>
              </w:rPr>
            </w:pPr>
            <w:r w:rsidRPr="00AC57D5">
              <w:rPr>
                <w:rFonts w:cs="Calibri"/>
                <w:b/>
                <w:bCs/>
                <w:sz w:val="20"/>
                <w:szCs w:val="20"/>
                <w:lang w:val="es-ES"/>
              </w:rPr>
              <w:t>Subjefe obra especialidad</w:t>
            </w:r>
          </w:p>
        </w:tc>
        <w:tc>
          <w:tcPr>
            <w:tcW w:w="851" w:type="dxa"/>
            <w:tcBorders>
              <w:top w:val="single" w:sz="4" w:space="0" w:color="auto"/>
              <w:left w:val="nil"/>
              <w:bottom w:val="single" w:sz="4" w:space="0" w:color="auto"/>
              <w:right w:val="single" w:sz="4" w:space="0" w:color="auto"/>
            </w:tcBorders>
            <w:shd w:val="clear" w:color="auto" w:fill="auto"/>
            <w:textDirection w:val="btLr"/>
            <w:vAlign w:val="center"/>
            <w:hideMark/>
          </w:tcPr>
          <w:p w14:paraId="1E7FCA43" w14:textId="77777777" w:rsidR="00EC4B36" w:rsidRPr="00AC57D5" w:rsidRDefault="00EC4B36" w:rsidP="006B5A62">
            <w:pPr>
              <w:spacing w:before="40" w:after="40" w:line="276" w:lineRule="auto"/>
              <w:jc w:val="center"/>
              <w:rPr>
                <w:rFonts w:cs="Calibri"/>
                <w:b/>
                <w:bCs/>
                <w:sz w:val="20"/>
                <w:szCs w:val="20"/>
                <w:lang w:val="es-ES"/>
              </w:rPr>
            </w:pPr>
            <w:r w:rsidRPr="00AC57D5">
              <w:rPr>
                <w:rFonts w:cs="Calibri"/>
                <w:b/>
                <w:bCs/>
                <w:sz w:val="20"/>
                <w:szCs w:val="20"/>
                <w:lang w:val="es-ES"/>
              </w:rPr>
              <w:t>Maestro Especializado</w:t>
            </w:r>
          </w:p>
        </w:tc>
        <w:tc>
          <w:tcPr>
            <w:tcW w:w="851" w:type="dxa"/>
            <w:tcBorders>
              <w:top w:val="single" w:sz="4" w:space="0" w:color="auto"/>
              <w:left w:val="nil"/>
              <w:bottom w:val="single" w:sz="4" w:space="0" w:color="auto"/>
              <w:right w:val="single" w:sz="4" w:space="0" w:color="auto"/>
            </w:tcBorders>
            <w:shd w:val="clear" w:color="auto" w:fill="auto"/>
            <w:textDirection w:val="btLr"/>
            <w:vAlign w:val="center"/>
            <w:hideMark/>
          </w:tcPr>
          <w:p w14:paraId="277F36AC" w14:textId="77777777" w:rsidR="00EC4B36" w:rsidRPr="00AC57D5" w:rsidRDefault="00EC4B36" w:rsidP="006B5A62">
            <w:pPr>
              <w:spacing w:before="40" w:after="40" w:line="276" w:lineRule="auto"/>
              <w:jc w:val="center"/>
              <w:rPr>
                <w:rFonts w:cs="Calibri"/>
                <w:b/>
                <w:bCs/>
                <w:sz w:val="20"/>
                <w:szCs w:val="20"/>
                <w:lang w:val="es-ES"/>
              </w:rPr>
            </w:pPr>
            <w:r w:rsidRPr="00AC57D5">
              <w:rPr>
                <w:rFonts w:cs="Calibri"/>
                <w:b/>
                <w:bCs/>
                <w:sz w:val="20"/>
                <w:szCs w:val="20"/>
                <w:lang w:val="es-ES"/>
              </w:rPr>
              <w:t>Maestro Primero</w:t>
            </w:r>
          </w:p>
        </w:tc>
        <w:tc>
          <w:tcPr>
            <w:tcW w:w="851" w:type="dxa"/>
            <w:tcBorders>
              <w:top w:val="single" w:sz="4" w:space="0" w:color="auto"/>
              <w:left w:val="nil"/>
              <w:bottom w:val="single" w:sz="4" w:space="0" w:color="auto"/>
              <w:right w:val="single" w:sz="4" w:space="0" w:color="auto"/>
            </w:tcBorders>
            <w:shd w:val="clear" w:color="auto" w:fill="auto"/>
            <w:textDirection w:val="btLr"/>
            <w:vAlign w:val="center"/>
            <w:hideMark/>
          </w:tcPr>
          <w:p w14:paraId="56611F27" w14:textId="77777777" w:rsidR="00EC4B36" w:rsidRPr="00AC57D5" w:rsidRDefault="00EC4B36" w:rsidP="006B5A62">
            <w:pPr>
              <w:spacing w:before="40" w:after="40" w:line="276" w:lineRule="auto"/>
              <w:jc w:val="center"/>
              <w:rPr>
                <w:rFonts w:cs="Calibri"/>
                <w:b/>
                <w:bCs/>
                <w:sz w:val="20"/>
                <w:szCs w:val="20"/>
                <w:lang w:val="es-ES"/>
              </w:rPr>
            </w:pPr>
            <w:r w:rsidRPr="00AC57D5">
              <w:rPr>
                <w:rFonts w:cs="Calibri"/>
                <w:b/>
                <w:bCs/>
                <w:sz w:val="20"/>
                <w:szCs w:val="20"/>
                <w:lang w:val="es-ES"/>
              </w:rPr>
              <w:t>Maestro Segundo</w:t>
            </w:r>
          </w:p>
        </w:tc>
        <w:tc>
          <w:tcPr>
            <w:tcW w:w="851" w:type="dxa"/>
            <w:tcBorders>
              <w:top w:val="single" w:sz="4" w:space="0" w:color="auto"/>
              <w:left w:val="nil"/>
              <w:bottom w:val="single" w:sz="4" w:space="0" w:color="auto"/>
              <w:right w:val="single" w:sz="4" w:space="0" w:color="auto"/>
            </w:tcBorders>
            <w:shd w:val="clear" w:color="auto" w:fill="auto"/>
            <w:textDirection w:val="btLr"/>
            <w:vAlign w:val="center"/>
            <w:hideMark/>
          </w:tcPr>
          <w:p w14:paraId="66F4FD9F" w14:textId="77777777" w:rsidR="00EC4B36" w:rsidRPr="00AC57D5" w:rsidRDefault="00EC4B36" w:rsidP="006B5A62">
            <w:pPr>
              <w:spacing w:before="40" w:after="40" w:line="276" w:lineRule="auto"/>
              <w:jc w:val="center"/>
              <w:rPr>
                <w:rFonts w:cs="Calibri"/>
                <w:b/>
                <w:bCs/>
                <w:sz w:val="20"/>
                <w:szCs w:val="20"/>
                <w:lang w:val="es-ES"/>
              </w:rPr>
            </w:pPr>
            <w:r w:rsidRPr="00AC57D5">
              <w:rPr>
                <w:rFonts w:cs="Calibri"/>
                <w:b/>
                <w:bCs/>
                <w:sz w:val="20"/>
                <w:szCs w:val="20"/>
                <w:lang w:val="es-ES"/>
              </w:rPr>
              <w:t>Ayudante</w:t>
            </w:r>
          </w:p>
        </w:tc>
        <w:tc>
          <w:tcPr>
            <w:tcW w:w="851" w:type="dxa"/>
            <w:tcBorders>
              <w:top w:val="single" w:sz="4" w:space="0" w:color="auto"/>
              <w:left w:val="nil"/>
              <w:bottom w:val="single" w:sz="4" w:space="0" w:color="auto"/>
              <w:right w:val="single" w:sz="4" w:space="0" w:color="auto"/>
            </w:tcBorders>
            <w:shd w:val="clear" w:color="auto" w:fill="auto"/>
            <w:textDirection w:val="btLr"/>
            <w:vAlign w:val="center"/>
            <w:hideMark/>
          </w:tcPr>
          <w:p w14:paraId="5FB2B086" w14:textId="77777777" w:rsidR="00EC4B36" w:rsidRPr="00AC57D5" w:rsidRDefault="00EC4B36" w:rsidP="006B5A62">
            <w:pPr>
              <w:spacing w:before="40" w:after="40" w:line="276" w:lineRule="auto"/>
              <w:jc w:val="center"/>
              <w:rPr>
                <w:rFonts w:cs="Calibri"/>
                <w:b/>
                <w:bCs/>
                <w:sz w:val="20"/>
                <w:szCs w:val="20"/>
                <w:lang w:val="es-ES"/>
              </w:rPr>
            </w:pPr>
            <w:r w:rsidRPr="00AC57D5">
              <w:rPr>
                <w:rFonts w:cs="Calibri"/>
                <w:b/>
                <w:bCs/>
                <w:sz w:val="20"/>
                <w:szCs w:val="20"/>
                <w:lang w:val="es-ES"/>
              </w:rPr>
              <w:t>Jornal I</w:t>
            </w:r>
          </w:p>
        </w:tc>
      </w:tr>
      <w:tr w:rsidR="00EC4B36" w:rsidRPr="00AC57D5" w14:paraId="0C85F4F5" w14:textId="77777777" w:rsidTr="006B5A62">
        <w:tc>
          <w:tcPr>
            <w:tcW w:w="2835" w:type="dxa"/>
            <w:tcBorders>
              <w:top w:val="nil"/>
              <w:left w:val="single" w:sz="4" w:space="0" w:color="auto"/>
              <w:bottom w:val="single" w:sz="4" w:space="0" w:color="auto"/>
              <w:right w:val="single" w:sz="4" w:space="0" w:color="auto"/>
            </w:tcBorders>
            <w:shd w:val="clear" w:color="auto" w:fill="auto"/>
            <w:noWrap/>
            <w:vAlign w:val="center"/>
            <w:hideMark/>
          </w:tcPr>
          <w:p w14:paraId="3C4D9BF5" w14:textId="77777777" w:rsidR="00EC4B36" w:rsidRPr="00AC57D5" w:rsidRDefault="00EC4B36" w:rsidP="006B5A62">
            <w:pPr>
              <w:spacing w:before="40" w:after="40" w:line="276" w:lineRule="auto"/>
              <w:jc w:val="left"/>
              <w:rPr>
                <w:rFonts w:cs="Calibri"/>
                <w:sz w:val="20"/>
                <w:szCs w:val="20"/>
                <w:lang w:val="es-ES"/>
              </w:rPr>
            </w:pPr>
            <w:r w:rsidRPr="00AC57D5">
              <w:rPr>
                <w:rFonts w:cs="Calibri"/>
                <w:sz w:val="20"/>
                <w:szCs w:val="20"/>
                <w:lang w:val="es-ES"/>
              </w:rPr>
              <w:t>Obras civiles generales</w:t>
            </w:r>
          </w:p>
        </w:tc>
        <w:tc>
          <w:tcPr>
            <w:tcW w:w="851" w:type="dxa"/>
            <w:tcBorders>
              <w:top w:val="nil"/>
              <w:left w:val="nil"/>
              <w:bottom w:val="single" w:sz="4" w:space="0" w:color="auto"/>
              <w:right w:val="single" w:sz="4" w:space="0" w:color="auto"/>
            </w:tcBorders>
            <w:shd w:val="clear" w:color="auto" w:fill="auto"/>
            <w:noWrap/>
            <w:vAlign w:val="center"/>
            <w:hideMark/>
          </w:tcPr>
          <w:p w14:paraId="0864E2C5" w14:textId="77777777" w:rsidR="00EC4B36" w:rsidRPr="00AC57D5" w:rsidRDefault="00EC4B36" w:rsidP="006B5A62">
            <w:pPr>
              <w:spacing w:before="40" w:after="40" w:line="276" w:lineRule="auto"/>
              <w:jc w:val="center"/>
              <w:rPr>
                <w:rFonts w:cs="Calibri"/>
                <w:sz w:val="20"/>
                <w:szCs w:val="20"/>
                <w:lang w:val="es-ES"/>
              </w:rPr>
            </w:pPr>
            <w:r w:rsidRPr="00AC57D5">
              <w:rPr>
                <w:rFonts w:cs="Calibri"/>
                <w:sz w:val="20"/>
                <w:szCs w:val="20"/>
                <w:lang w:val="es-ES"/>
              </w:rPr>
              <w:t>C1</w:t>
            </w:r>
          </w:p>
        </w:tc>
        <w:tc>
          <w:tcPr>
            <w:tcW w:w="851" w:type="dxa"/>
            <w:tcBorders>
              <w:top w:val="nil"/>
              <w:left w:val="nil"/>
              <w:bottom w:val="single" w:sz="4" w:space="0" w:color="auto"/>
              <w:right w:val="single" w:sz="4" w:space="0" w:color="auto"/>
            </w:tcBorders>
            <w:shd w:val="clear" w:color="auto" w:fill="auto"/>
            <w:noWrap/>
            <w:vAlign w:val="center"/>
            <w:hideMark/>
          </w:tcPr>
          <w:p w14:paraId="215C4E19" w14:textId="77777777" w:rsidR="00EC4B36" w:rsidRPr="00AC57D5" w:rsidRDefault="00EC4B36" w:rsidP="006B5A62">
            <w:pPr>
              <w:spacing w:before="40" w:after="40" w:line="276" w:lineRule="auto"/>
              <w:jc w:val="center"/>
              <w:rPr>
                <w:rFonts w:cs="Calibri"/>
                <w:sz w:val="20"/>
                <w:szCs w:val="20"/>
                <w:lang w:val="es-ES"/>
              </w:rPr>
            </w:pPr>
            <w:r w:rsidRPr="00AC57D5">
              <w:rPr>
                <w:rFonts w:cs="Calibri"/>
                <w:sz w:val="20"/>
                <w:szCs w:val="20"/>
                <w:lang w:val="es-ES"/>
              </w:rPr>
              <w:t>0,05</w:t>
            </w:r>
          </w:p>
        </w:tc>
        <w:tc>
          <w:tcPr>
            <w:tcW w:w="851" w:type="dxa"/>
            <w:tcBorders>
              <w:top w:val="nil"/>
              <w:left w:val="nil"/>
              <w:bottom w:val="single" w:sz="4" w:space="0" w:color="auto"/>
              <w:right w:val="single" w:sz="4" w:space="0" w:color="auto"/>
            </w:tcBorders>
            <w:shd w:val="clear" w:color="auto" w:fill="auto"/>
            <w:noWrap/>
            <w:vAlign w:val="center"/>
            <w:hideMark/>
          </w:tcPr>
          <w:p w14:paraId="6D2CE733" w14:textId="77777777" w:rsidR="00EC4B36" w:rsidRPr="00AC57D5" w:rsidRDefault="00EC4B36" w:rsidP="006B5A62">
            <w:pPr>
              <w:spacing w:before="40" w:after="40" w:line="276" w:lineRule="auto"/>
              <w:jc w:val="center"/>
              <w:rPr>
                <w:rFonts w:cs="Calibri"/>
                <w:sz w:val="20"/>
                <w:szCs w:val="20"/>
                <w:lang w:val="es-ES"/>
              </w:rPr>
            </w:pPr>
            <w:r w:rsidRPr="00AC57D5">
              <w:rPr>
                <w:rFonts w:cs="Calibri"/>
                <w:sz w:val="20"/>
                <w:szCs w:val="20"/>
                <w:lang w:val="es-ES"/>
              </w:rPr>
              <w:t>0,1</w:t>
            </w:r>
          </w:p>
        </w:tc>
        <w:tc>
          <w:tcPr>
            <w:tcW w:w="851" w:type="dxa"/>
            <w:tcBorders>
              <w:top w:val="nil"/>
              <w:left w:val="nil"/>
              <w:bottom w:val="single" w:sz="4" w:space="0" w:color="auto"/>
              <w:right w:val="single" w:sz="4" w:space="0" w:color="auto"/>
            </w:tcBorders>
            <w:shd w:val="clear" w:color="auto" w:fill="auto"/>
            <w:noWrap/>
            <w:vAlign w:val="center"/>
            <w:hideMark/>
          </w:tcPr>
          <w:p w14:paraId="6EAE92B9" w14:textId="77777777" w:rsidR="00EC4B36" w:rsidRPr="00AC57D5" w:rsidRDefault="00EC4B36" w:rsidP="006B5A62">
            <w:pPr>
              <w:spacing w:before="40" w:after="40" w:line="276" w:lineRule="auto"/>
              <w:jc w:val="center"/>
              <w:rPr>
                <w:rFonts w:cs="Calibri"/>
                <w:sz w:val="20"/>
                <w:szCs w:val="20"/>
                <w:lang w:val="es-ES"/>
              </w:rPr>
            </w:pPr>
            <w:r w:rsidRPr="00AC57D5">
              <w:rPr>
                <w:rFonts w:cs="Calibri"/>
                <w:sz w:val="20"/>
                <w:szCs w:val="20"/>
                <w:lang w:val="es-ES"/>
              </w:rPr>
              <w:t>0</w:t>
            </w:r>
          </w:p>
        </w:tc>
        <w:tc>
          <w:tcPr>
            <w:tcW w:w="851" w:type="dxa"/>
            <w:tcBorders>
              <w:top w:val="nil"/>
              <w:left w:val="nil"/>
              <w:bottom w:val="single" w:sz="4" w:space="0" w:color="auto"/>
              <w:right w:val="single" w:sz="4" w:space="0" w:color="auto"/>
            </w:tcBorders>
            <w:shd w:val="clear" w:color="auto" w:fill="auto"/>
            <w:noWrap/>
            <w:vAlign w:val="center"/>
            <w:hideMark/>
          </w:tcPr>
          <w:p w14:paraId="3A3FC582" w14:textId="77777777" w:rsidR="00EC4B36" w:rsidRPr="00AC57D5" w:rsidRDefault="00EC4B36" w:rsidP="006B5A62">
            <w:pPr>
              <w:spacing w:before="40" w:after="40" w:line="276" w:lineRule="auto"/>
              <w:jc w:val="center"/>
              <w:rPr>
                <w:rFonts w:cs="Calibri"/>
                <w:sz w:val="20"/>
                <w:szCs w:val="20"/>
                <w:lang w:val="es-ES"/>
              </w:rPr>
            </w:pPr>
            <w:r w:rsidRPr="00AC57D5">
              <w:rPr>
                <w:rFonts w:cs="Calibri"/>
                <w:sz w:val="20"/>
                <w:szCs w:val="20"/>
                <w:lang w:val="es-ES"/>
              </w:rPr>
              <w:t>1</w:t>
            </w:r>
          </w:p>
        </w:tc>
        <w:tc>
          <w:tcPr>
            <w:tcW w:w="851" w:type="dxa"/>
            <w:tcBorders>
              <w:top w:val="nil"/>
              <w:left w:val="nil"/>
              <w:bottom w:val="single" w:sz="4" w:space="0" w:color="auto"/>
              <w:right w:val="single" w:sz="4" w:space="0" w:color="auto"/>
            </w:tcBorders>
            <w:shd w:val="clear" w:color="auto" w:fill="auto"/>
            <w:noWrap/>
            <w:vAlign w:val="center"/>
            <w:hideMark/>
          </w:tcPr>
          <w:p w14:paraId="3B88E145" w14:textId="77777777" w:rsidR="00EC4B36" w:rsidRPr="00AC57D5" w:rsidRDefault="00EC4B36" w:rsidP="006B5A62">
            <w:pPr>
              <w:spacing w:before="40" w:after="40" w:line="276" w:lineRule="auto"/>
              <w:jc w:val="center"/>
              <w:rPr>
                <w:rFonts w:cs="Calibri"/>
                <w:sz w:val="20"/>
                <w:szCs w:val="20"/>
                <w:lang w:val="es-ES"/>
              </w:rPr>
            </w:pPr>
            <w:r w:rsidRPr="00AC57D5">
              <w:rPr>
                <w:rFonts w:cs="Calibri"/>
                <w:sz w:val="20"/>
                <w:szCs w:val="20"/>
                <w:lang w:val="es-ES"/>
              </w:rPr>
              <w:t>1</w:t>
            </w:r>
          </w:p>
        </w:tc>
        <w:tc>
          <w:tcPr>
            <w:tcW w:w="851" w:type="dxa"/>
            <w:tcBorders>
              <w:top w:val="nil"/>
              <w:left w:val="nil"/>
              <w:bottom w:val="single" w:sz="4" w:space="0" w:color="auto"/>
              <w:right w:val="single" w:sz="4" w:space="0" w:color="auto"/>
            </w:tcBorders>
            <w:shd w:val="clear" w:color="auto" w:fill="auto"/>
            <w:noWrap/>
            <w:vAlign w:val="center"/>
            <w:hideMark/>
          </w:tcPr>
          <w:p w14:paraId="0D36F421" w14:textId="77777777" w:rsidR="00EC4B36" w:rsidRPr="00AC57D5" w:rsidRDefault="00EC4B36" w:rsidP="006B5A62">
            <w:pPr>
              <w:spacing w:before="40" w:after="40" w:line="276" w:lineRule="auto"/>
              <w:jc w:val="center"/>
              <w:rPr>
                <w:rFonts w:cs="Calibri"/>
                <w:sz w:val="20"/>
                <w:szCs w:val="20"/>
                <w:lang w:val="es-ES"/>
              </w:rPr>
            </w:pPr>
            <w:r w:rsidRPr="00AC57D5">
              <w:rPr>
                <w:rFonts w:cs="Calibri"/>
                <w:sz w:val="20"/>
                <w:szCs w:val="20"/>
                <w:lang w:val="es-ES"/>
              </w:rPr>
              <w:t>1</w:t>
            </w:r>
          </w:p>
        </w:tc>
        <w:tc>
          <w:tcPr>
            <w:tcW w:w="851" w:type="dxa"/>
            <w:tcBorders>
              <w:top w:val="nil"/>
              <w:left w:val="nil"/>
              <w:bottom w:val="single" w:sz="4" w:space="0" w:color="auto"/>
              <w:right w:val="single" w:sz="4" w:space="0" w:color="auto"/>
            </w:tcBorders>
            <w:shd w:val="clear" w:color="auto" w:fill="auto"/>
            <w:noWrap/>
            <w:vAlign w:val="center"/>
            <w:hideMark/>
          </w:tcPr>
          <w:p w14:paraId="10404439" w14:textId="77777777" w:rsidR="00EC4B36" w:rsidRPr="00AC57D5" w:rsidRDefault="00EC4B36" w:rsidP="006B5A62">
            <w:pPr>
              <w:spacing w:before="40" w:after="40" w:line="276" w:lineRule="auto"/>
              <w:jc w:val="center"/>
              <w:rPr>
                <w:rFonts w:cs="Calibri"/>
                <w:sz w:val="20"/>
                <w:szCs w:val="20"/>
                <w:lang w:val="es-ES"/>
              </w:rPr>
            </w:pPr>
            <w:r w:rsidRPr="00AC57D5">
              <w:rPr>
                <w:rFonts w:cs="Calibri"/>
                <w:sz w:val="20"/>
                <w:szCs w:val="20"/>
                <w:lang w:val="es-ES"/>
              </w:rPr>
              <w:t>1</w:t>
            </w:r>
          </w:p>
        </w:tc>
      </w:tr>
      <w:tr w:rsidR="00EC4B36" w:rsidRPr="00AC57D5" w14:paraId="3A6AF1B6" w14:textId="77777777" w:rsidTr="006B5A62">
        <w:tc>
          <w:tcPr>
            <w:tcW w:w="2835" w:type="dxa"/>
            <w:tcBorders>
              <w:top w:val="nil"/>
              <w:left w:val="single" w:sz="4" w:space="0" w:color="auto"/>
              <w:bottom w:val="single" w:sz="4" w:space="0" w:color="auto"/>
              <w:right w:val="single" w:sz="4" w:space="0" w:color="auto"/>
            </w:tcBorders>
            <w:shd w:val="clear" w:color="auto" w:fill="auto"/>
            <w:noWrap/>
            <w:vAlign w:val="center"/>
            <w:hideMark/>
          </w:tcPr>
          <w:p w14:paraId="0A1321F7" w14:textId="77777777" w:rsidR="00EC4B36" w:rsidRPr="00AC57D5" w:rsidRDefault="00EC4B36" w:rsidP="006B5A62">
            <w:pPr>
              <w:spacing w:before="40" w:after="40" w:line="276" w:lineRule="auto"/>
              <w:jc w:val="left"/>
              <w:rPr>
                <w:rFonts w:cs="Calibri"/>
                <w:sz w:val="20"/>
                <w:szCs w:val="20"/>
                <w:lang w:val="es-ES"/>
              </w:rPr>
            </w:pPr>
            <w:r w:rsidRPr="00AC57D5">
              <w:rPr>
                <w:rFonts w:cs="Calibri"/>
                <w:sz w:val="20"/>
                <w:szCs w:val="20"/>
                <w:lang w:val="es-ES"/>
              </w:rPr>
              <w:t>Fundaciones, cámaras, canalizaciones</w:t>
            </w:r>
          </w:p>
        </w:tc>
        <w:tc>
          <w:tcPr>
            <w:tcW w:w="851" w:type="dxa"/>
            <w:tcBorders>
              <w:top w:val="nil"/>
              <w:left w:val="nil"/>
              <w:bottom w:val="single" w:sz="4" w:space="0" w:color="auto"/>
              <w:right w:val="single" w:sz="4" w:space="0" w:color="auto"/>
            </w:tcBorders>
            <w:shd w:val="clear" w:color="auto" w:fill="auto"/>
            <w:noWrap/>
            <w:vAlign w:val="center"/>
            <w:hideMark/>
          </w:tcPr>
          <w:p w14:paraId="1B0AB4BC" w14:textId="77777777" w:rsidR="00EC4B36" w:rsidRPr="00AC57D5" w:rsidRDefault="00EC4B36" w:rsidP="006B5A62">
            <w:pPr>
              <w:spacing w:before="40" w:after="40" w:line="276" w:lineRule="auto"/>
              <w:jc w:val="center"/>
              <w:rPr>
                <w:rFonts w:cs="Calibri"/>
                <w:sz w:val="20"/>
                <w:szCs w:val="20"/>
                <w:lang w:val="es-ES"/>
              </w:rPr>
            </w:pPr>
            <w:r w:rsidRPr="00AC57D5">
              <w:rPr>
                <w:rFonts w:cs="Calibri"/>
                <w:sz w:val="20"/>
                <w:szCs w:val="20"/>
                <w:lang w:val="es-ES"/>
              </w:rPr>
              <w:t>C2</w:t>
            </w:r>
          </w:p>
        </w:tc>
        <w:tc>
          <w:tcPr>
            <w:tcW w:w="851" w:type="dxa"/>
            <w:tcBorders>
              <w:top w:val="nil"/>
              <w:left w:val="nil"/>
              <w:bottom w:val="single" w:sz="4" w:space="0" w:color="auto"/>
              <w:right w:val="single" w:sz="4" w:space="0" w:color="auto"/>
            </w:tcBorders>
            <w:shd w:val="clear" w:color="auto" w:fill="auto"/>
            <w:noWrap/>
            <w:vAlign w:val="center"/>
            <w:hideMark/>
          </w:tcPr>
          <w:p w14:paraId="04C44606" w14:textId="77777777" w:rsidR="00EC4B36" w:rsidRPr="00AC57D5" w:rsidRDefault="00EC4B36" w:rsidP="006B5A62">
            <w:pPr>
              <w:spacing w:before="40" w:after="40" w:line="276" w:lineRule="auto"/>
              <w:jc w:val="center"/>
              <w:rPr>
                <w:rFonts w:cs="Calibri"/>
                <w:sz w:val="20"/>
                <w:szCs w:val="20"/>
                <w:lang w:val="es-ES"/>
              </w:rPr>
            </w:pPr>
            <w:r w:rsidRPr="00AC57D5">
              <w:rPr>
                <w:rFonts w:cs="Calibri"/>
                <w:sz w:val="20"/>
                <w:szCs w:val="20"/>
                <w:lang w:val="es-ES"/>
              </w:rPr>
              <w:t>0,05</w:t>
            </w:r>
          </w:p>
        </w:tc>
        <w:tc>
          <w:tcPr>
            <w:tcW w:w="851" w:type="dxa"/>
            <w:tcBorders>
              <w:top w:val="nil"/>
              <w:left w:val="nil"/>
              <w:bottom w:val="single" w:sz="4" w:space="0" w:color="auto"/>
              <w:right w:val="single" w:sz="4" w:space="0" w:color="auto"/>
            </w:tcBorders>
            <w:shd w:val="clear" w:color="auto" w:fill="auto"/>
            <w:noWrap/>
            <w:vAlign w:val="center"/>
            <w:hideMark/>
          </w:tcPr>
          <w:p w14:paraId="78BF10B8" w14:textId="77777777" w:rsidR="00EC4B36" w:rsidRPr="00AC57D5" w:rsidRDefault="00EC4B36" w:rsidP="006B5A62">
            <w:pPr>
              <w:spacing w:before="40" w:after="40" w:line="276" w:lineRule="auto"/>
              <w:jc w:val="center"/>
              <w:rPr>
                <w:rFonts w:cs="Calibri"/>
                <w:sz w:val="20"/>
                <w:szCs w:val="20"/>
                <w:lang w:val="es-ES"/>
              </w:rPr>
            </w:pPr>
            <w:r w:rsidRPr="00AC57D5">
              <w:rPr>
                <w:rFonts w:cs="Calibri"/>
                <w:sz w:val="20"/>
                <w:szCs w:val="20"/>
                <w:lang w:val="es-ES"/>
              </w:rPr>
              <w:t>0,2</w:t>
            </w:r>
          </w:p>
        </w:tc>
        <w:tc>
          <w:tcPr>
            <w:tcW w:w="851" w:type="dxa"/>
            <w:tcBorders>
              <w:top w:val="nil"/>
              <w:left w:val="nil"/>
              <w:bottom w:val="single" w:sz="4" w:space="0" w:color="auto"/>
              <w:right w:val="single" w:sz="4" w:space="0" w:color="auto"/>
            </w:tcBorders>
            <w:shd w:val="clear" w:color="auto" w:fill="auto"/>
            <w:noWrap/>
            <w:vAlign w:val="center"/>
            <w:hideMark/>
          </w:tcPr>
          <w:p w14:paraId="54F15A0E" w14:textId="77777777" w:rsidR="00EC4B36" w:rsidRPr="00AC57D5" w:rsidRDefault="00EC4B36" w:rsidP="006B5A62">
            <w:pPr>
              <w:spacing w:before="40" w:after="40" w:line="276" w:lineRule="auto"/>
              <w:jc w:val="center"/>
              <w:rPr>
                <w:rFonts w:cs="Calibri"/>
                <w:sz w:val="20"/>
                <w:szCs w:val="20"/>
                <w:lang w:val="es-ES"/>
              </w:rPr>
            </w:pPr>
            <w:r w:rsidRPr="00AC57D5">
              <w:rPr>
                <w:rFonts w:cs="Calibri"/>
                <w:sz w:val="20"/>
                <w:szCs w:val="20"/>
                <w:lang w:val="es-ES"/>
              </w:rPr>
              <w:t>0</w:t>
            </w:r>
          </w:p>
        </w:tc>
        <w:tc>
          <w:tcPr>
            <w:tcW w:w="851" w:type="dxa"/>
            <w:tcBorders>
              <w:top w:val="nil"/>
              <w:left w:val="nil"/>
              <w:bottom w:val="single" w:sz="4" w:space="0" w:color="auto"/>
              <w:right w:val="single" w:sz="4" w:space="0" w:color="auto"/>
            </w:tcBorders>
            <w:shd w:val="clear" w:color="auto" w:fill="auto"/>
            <w:noWrap/>
            <w:vAlign w:val="center"/>
            <w:hideMark/>
          </w:tcPr>
          <w:p w14:paraId="4A18A4A0" w14:textId="77777777" w:rsidR="00EC4B36" w:rsidRPr="00AC57D5" w:rsidRDefault="00EC4B36" w:rsidP="006B5A62">
            <w:pPr>
              <w:spacing w:before="40" w:after="40" w:line="276" w:lineRule="auto"/>
              <w:jc w:val="center"/>
              <w:rPr>
                <w:rFonts w:cs="Calibri"/>
                <w:sz w:val="20"/>
                <w:szCs w:val="20"/>
                <w:lang w:val="es-ES"/>
              </w:rPr>
            </w:pPr>
            <w:r w:rsidRPr="00AC57D5">
              <w:rPr>
                <w:rFonts w:cs="Calibri"/>
                <w:sz w:val="20"/>
                <w:szCs w:val="20"/>
                <w:lang w:val="es-ES"/>
              </w:rPr>
              <w:t>1</w:t>
            </w:r>
          </w:p>
        </w:tc>
        <w:tc>
          <w:tcPr>
            <w:tcW w:w="851" w:type="dxa"/>
            <w:tcBorders>
              <w:top w:val="nil"/>
              <w:left w:val="nil"/>
              <w:bottom w:val="single" w:sz="4" w:space="0" w:color="auto"/>
              <w:right w:val="single" w:sz="4" w:space="0" w:color="auto"/>
            </w:tcBorders>
            <w:shd w:val="clear" w:color="auto" w:fill="auto"/>
            <w:noWrap/>
            <w:vAlign w:val="center"/>
            <w:hideMark/>
          </w:tcPr>
          <w:p w14:paraId="2E706A4A" w14:textId="77777777" w:rsidR="00EC4B36" w:rsidRPr="00AC57D5" w:rsidRDefault="00EC4B36" w:rsidP="006B5A62">
            <w:pPr>
              <w:spacing w:before="40" w:after="40" w:line="276" w:lineRule="auto"/>
              <w:jc w:val="center"/>
              <w:rPr>
                <w:rFonts w:cs="Calibri"/>
                <w:sz w:val="20"/>
                <w:szCs w:val="20"/>
                <w:lang w:val="es-ES"/>
              </w:rPr>
            </w:pPr>
            <w:r w:rsidRPr="00AC57D5">
              <w:rPr>
                <w:rFonts w:cs="Calibri"/>
                <w:sz w:val="20"/>
                <w:szCs w:val="20"/>
                <w:lang w:val="es-ES"/>
              </w:rPr>
              <w:t>1</w:t>
            </w:r>
          </w:p>
        </w:tc>
        <w:tc>
          <w:tcPr>
            <w:tcW w:w="851" w:type="dxa"/>
            <w:tcBorders>
              <w:top w:val="nil"/>
              <w:left w:val="nil"/>
              <w:bottom w:val="single" w:sz="4" w:space="0" w:color="auto"/>
              <w:right w:val="single" w:sz="4" w:space="0" w:color="auto"/>
            </w:tcBorders>
            <w:shd w:val="clear" w:color="auto" w:fill="auto"/>
            <w:noWrap/>
            <w:vAlign w:val="center"/>
            <w:hideMark/>
          </w:tcPr>
          <w:p w14:paraId="29AA5C65" w14:textId="77777777" w:rsidR="00EC4B36" w:rsidRPr="00AC57D5" w:rsidRDefault="00EC4B36" w:rsidP="006B5A62">
            <w:pPr>
              <w:spacing w:before="40" w:after="40" w:line="276" w:lineRule="auto"/>
              <w:jc w:val="center"/>
              <w:rPr>
                <w:rFonts w:cs="Calibri"/>
                <w:sz w:val="20"/>
                <w:szCs w:val="20"/>
                <w:lang w:val="es-ES"/>
              </w:rPr>
            </w:pPr>
            <w:r w:rsidRPr="00AC57D5">
              <w:rPr>
                <w:rFonts w:cs="Calibri"/>
                <w:sz w:val="20"/>
                <w:szCs w:val="20"/>
                <w:lang w:val="es-ES"/>
              </w:rPr>
              <w:t>1</w:t>
            </w:r>
          </w:p>
        </w:tc>
        <w:tc>
          <w:tcPr>
            <w:tcW w:w="851" w:type="dxa"/>
            <w:tcBorders>
              <w:top w:val="nil"/>
              <w:left w:val="nil"/>
              <w:bottom w:val="single" w:sz="4" w:space="0" w:color="auto"/>
              <w:right w:val="single" w:sz="4" w:space="0" w:color="auto"/>
            </w:tcBorders>
            <w:shd w:val="clear" w:color="auto" w:fill="auto"/>
            <w:noWrap/>
            <w:vAlign w:val="center"/>
            <w:hideMark/>
          </w:tcPr>
          <w:p w14:paraId="07A75B6C" w14:textId="77777777" w:rsidR="00EC4B36" w:rsidRPr="00AC57D5" w:rsidRDefault="00EC4B36" w:rsidP="006B5A62">
            <w:pPr>
              <w:spacing w:before="40" w:after="40" w:line="276" w:lineRule="auto"/>
              <w:jc w:val="center"/>
              <w:rPr>
                <w:rFonts w:cs="Calibri"/>
                <w:sz w:val="20"/>
                <w:szCs w:val="20"/>
                <w:lang w:val="es-ES"/>
              </w:rPr>
            </w:pPr>
            <w:r w:rsidRPr="00AC57D5">
              <w:rPr>
                <w:rFonts w:cs="Calibri"/>
                <w:sz w:val="20"/>
                <w:szCs w:val="20"/>
                <w:lang w:val="es-ES"/>
              </w:rPr>
              <w:t>1</w:t>
            </w:r>
          </w:p>
        </w:tc>
      </w:tr>
      <w:tr w:rsidR="00EC4B36" w:rsidRPr="00AC57D5" w14:paraId="774C80C2" w14:textId="77777777" w:rsidTr="006B5A62">
        <w:tc>
          <w:tcPr>
            <w:tcW w:w="2835" w:type="dxa"/>
            <w:tcBorders>
              <w:top w:val="nil"/>
              <w:left w:val="single" w:sz="4" w:space="0" w:color="auto"/>
              <w:bottom w:val="single" w:sz="4" w:space="0" w:color="auto"/>
              <w:right w:val="single" w:sz="4" w:space="0" w:color="auto"/>
            </w:tcBorders>
            <w:shd w:val="clear" w:color="auto" w:fill="auto"/>
            <w:noWrap/>
            <w:vAlign w:val="center"/>
            <w:hideMark/>
          </w:tcPr>
          <w:p w14:paraId="33C7A4CA" w14:textId="77777777" w:rsidR="00EC4B36" w:rsidRPr="00AC57D5" w:rsidRDefault="00EC4B36" w:rsidP="006B5A62">
            <w:pPr>
              <w:spacing w:before="40" w:after="40" w:line="276" w:lineRule="auto"/>
              <w:jc w:val="left"/>
              <w:rPr>
                <w:rFonts w:cs="Calibri"/>
                <w:sz w:val="20"/>
                <w:szCs w:val="20"/>
                <w:lang w:val="es-ES"/>
              </w:rPr>
            </w:pPr>
            <w:r w:rsidRPr="00AC57D5">
              <w:rPr>
                <w:rFonts w:cs="Calibri"/>
                <w:sz w:val="20"/>
                <w:szCs w:val="20"/>
                <w:lang w:val="es-ES"/>
              </w:rPr>
              <w:t>Edificaciones, casetas</w:t>
            </w:r>
          </w:p>
        </w:tc>
        <w:tc>
          <w:tcPr>
            <w:tcW w:w="851" w:type="dxa"/>
            <w:tcBorders>
              <w:top w:val="nil"/>
              <w:left w:val="nil"/>
              <w:bottom w:val="single" w:sz="4" w:space="0" w:color="auto"/>
              <w:right w:val="single" w:sz="4" w:space="0" w:color="auto"/>
            </w:tcBorders>
            <w:shd w:val="clear" w:color="auto" w:fill="auto"/>
            <w:noWrap/>
            <w:vAlign w:val="center"/>
            <w:hideMark/>
          </w:tcPr>
          <w:p w14:paraId="0D09B2C7" w14:textId="77777777" w:rsidR="00EC4B36" w:rsidRPr="00AC57D5" w:rsidRDefault="00EC4B36" w:rsidP="006B5A62">
            <w:pPr>
              <w:spacing w:before="40" w:after="40" w:line="276" w:lineRule="auto"/>
              <w:jc w:val="center"/>
              <w:rPr>
                <w:rFonts w:cs="Calibri"/>
                <w:sz w:val="20"/>
                <w:szCs w:val="20"/>
                <w:lang w:val="es-ES"/>
              </w:rPr>
            </w:pPr>
            <w:r w:rsidRPr="00AC57D5">
              <w:rPr>
                <w:rFonts w:cs="Calibri"/>
                <w:sz w:val="20"/>
                <w:szCs w:val="20"/>
                <w:lang w:val="es-ES"/>
              </w:rPr>
              <w:t>C3</w:t>
            </w:r>
          </w:p>
        </w:tc>
        <w:tc>
          <w:tcPr>
            <w:tcW w:w="851" w:type="dxa"/>
            <w:tcBorders>
              <w:top w:val="nil"/>
              <w:left w:val="nil"/>
              <w:bottom w:val="single" w:sz="4" w:space="0" w:color="auto"/>
              <w:right w:val="single" w:sz="4" w:space="0" w:color="auto"/>
            </w:tcBorders>
            <w:shd w:val="clear" w:color="auto" w:fill="auto"/>
            <w:noWrap/>
            <w:vAlign w:val="center"/>
            <w:hideMark/>
          </w:tcPr>
          <w:p w14:paraId="481C2428" w14:textId="77777777" w:rsidR="00EC4B36" w:rsidRPr="00AC57D5" w:rsidRDefault="00EC4B36" w:rsidP="006B5A62">
            <w:pPr>
              <w:spacing w:before="40" w:after="40" w:line="276" w:lineRule="auto"/>
              <w:jc w:val="center"/>
              <w:rPr>
                <w:rFonts w:cs="Calibri"/>
                <w:sz w:val="20"/>
                <w:szCs w:val="20"/>
                <w:lang w:val="es-ES"/>
              </w:rPr>
            </w:pPr>
            <w:r w:rsidRPr="00AC57D5">
              <w:rPr>
                <w:rFonts w:cs="Calibri"/>
                <w:sz w:val="20"/>
                <w:szCs w:val="20"/>
                <w:lang w:val="es-ES"/>
              </w:rPr>
              <w:t>0,1</w:t>
            </w:r>
          </w:p>
        </w:tc>
        <w:tc>
          <w:tcPr>
            <w:tcW w:w="851" w:type="dxa"/>
            <w:tcBorders>
              <w:top w:val="nil"/>
              <w:left w:val="nil"/>
              <w:bottom w:val="single" w:sz="4" w:space="0" w:color="auto"/>
              <w:right w:val="single" w:sz="4" w:space="0" w:color="auto"/>
            </w:tcBorders>
            <w:shd w:val="clear" w:color="auto" w:fill="auto"/>
            <w:noWrap/>
            <w:vAlign w:val="center"/>
            <w:hideMark/>
          </w:tcPr>
          <w:p w14:paraId="7AA3DE48" w14:textId="77777777" w:rsidR="00EC4B36" w:rsidRPr="00AC57D5" w:rsidRDefault="00EC4B36" w:rsidP="006B5A62">
            <w:pPr>
              <w:spacing w:before="40" w:after="40" w:line="276" w:lineRule="auto"/>
              <w:jc w:val="center"/>
              <w:rPr>
                <w:rFonts w:cs="Calibri"/>
                <w:sz w:val="20"/>
                <w:szCs w:val="20"/>
                <w:lang w:val="es-ES"/>
              </w:rPr>
            </w:pPr>
            <w:r w:rsidRPr="00AC57D5">
              <w:rPr>
                <w:rFonts w:cs="Calibri"/>
                <w:sz w:val="20"/>
                <w:szCs w:val="20"/>
                <w:lang w:val="es-ES"/>
              </w:rPr>
              <w:t>0,1</w:t>
            </w:r>
          </w:p>
        </w:tc>
        <w:tc>
          <w:tcPr>
            <w:tcW w:w="851" w:type="dxa"/>
            <w:tcBorders>
              <w:top w:val="nil"/>
              <w:left w:val="nil"/>
              <w:bottom w:val="single" w:sz="4" w:space="0" w:color="auto"/>
              <w:right w:val="single" w:sz="4" w:space="0" w:color="auto"/>
            </w:tcBorders>
            <w:shd w:val="clear" w:color="auto" w:fill="auto"/>
            <w:noWrap/>
            <w:vAlign w:val="center"/>
            <w:hideMark/>
          </w:tcPr>
          <w:p w14:paraId="7B93627E" w14:textId="77777777" w:rsidR="00EC4B36" w:rsidRPr="00AC57D5" w:rsidRDefault="00EC4B36" w:rsidP="006B5A62">
            <w:pPr>
              <w:spacing w:before="40" w:after="40" w:line="276" w:lineRule="auto"/>
              <w:jc w:val="center"/>
              <w:rPr>
                <w:rFonts w:cs="Calibri"/>
                <w:sz w:val="20"/>
                <w:szCs w:val="20"/>
                <w:lang w:val="es-ES"/>
              </w:rPr>
            </w:pPr>
            <w:r w:rsidRPr="00AC57D5">
              <w:rPr>
                <w:rFonts w:cs="Calibri"/>
                <w:sz w:val="20"/>
                <w:szCs w:val="20"/>
                <w:lang w:val="es-ES"/>
              </w:rPr>
              <w:t>0,5</w:t>
            </w:r>
          </w:p>
        </w:tc>
        <w:tc>
          <w:tcPr>
            <w:tcW w:w="851" w:type="dxa"/>
            <w:tcBorders>
              <w:top w:val="nil"/>
              <w:left w:val="nil"/>
              <w:bottom w:val="single" w:sz="4" w:space="0" w:color="auto"/>
              <w:right w:val="single" w:sz="4" w:space="0" w:color="auto"/>
            </w:tcBorders>
            <w:shd w:val="clear" w:color="auto" w:fill="auto"/>
            <w:noWrap/>
            <w:vAlign w:val="center"/>
            <w:hideMark/>
          </w:tcPr>
          <w:p w14:paraId="60368304" w14:textId="77777777" w:rsidR="00EC4B36" w:rsidRPr="00AC57D5" w:rsidRDefault="00EC4B36" w:rsidP="006B5A62">
            <w:pPr>
              <w:spacing w:before="40" w:after="40" w:line="276" w:lineRule="auto"/>
              <w:jc w:val="center"/>
              <w:rPr>
                <w:rFonts w:cs="Calibri"/>
                <w:sz w:val="20"/>
                <w:szCs w:val="20"/>
                <w:lang w:val="es-ES"/>
              </w:rPr>
            </w:pPr>
            <w:r w:rsidRPr="00AC57D5">
              <w:rPr>
                <w:rFonts w:cs="Calibri"/>
                <w:sz w:val="20"/>
                <w:szCs w:val="20"/>
                <w:lang w:val="es-ES"/>
              </w:rPr>
              <w:t>1</w:t>
            </w:r>
          </w:p>
        </w:tc>
        <w:tc>
          <w:tcPr>
            <w:tcW w:w="851" w:type="dxa"/>
            <w:tcBorders>
              <w:top w:val="nil"/>
              <w:left w:val="nil"/>
              <w:bottom w:val="single" w:sz="4" w:space="0" w:color="auto"/>
              <w:right w:val="single" w:sz="4" w:space="0" w:color="auto"/>
            </w:tcBorders>
            <w:shd w:val="clear" w:color="auto" w:fill="auto"/>
            <w:noWrap/>
            <w:vAlign w:val="center"/>
            <w:hideMark/>
          </w:tcPr>
          <w:p w14:paraId="264D2B6A" w14:textId="77777777" w:rsidR="00EC4B36" w:rsidRPr="00AC57D5" w:rsidRDefault="00EC4B36" w:rsidP="006B5A62">
            <w:pPr>
              <w:spacing w:before="40" w:after="40" w:line="276" w:lineRule="auto"/>
              <w:jc w:val="center"/>
              <w:rPr>
                <w:rFonts w:cs="Calibri"/>
                <w:sz w:val="20"/>
                <w:szCs w:val="20"/>
                <w:lang w:val="es-ES"/>
              </w:rPr>
            </w:pPr>
            <w:r w:rsidRPr="00AC57D5">
              <w:rPr>
                <w:rFonts w:cs="Calibri"/>
                <w:sz w:val="20"/>
                <w:szCs w:val="20"/>
                <w:lang w:val="es-ES"/>
              </w:rPr>
              <w:t>1</w:t>
            </w:r>
          </w:p>
        </w:tc>
        <w:tc>
          <w:tcPr>
            <w:tcW w:w="851" w:type="dxa"/>
            <w:tcBorders>
              <w:top w:val="nil"/>
              <w:left w:val="nil"/>
              <w:bottom w:val="single" w:sz="4" w:space="0" w:color="auto"/>
              <w:right w:val="single" w:sz="4" w:space="0" w:color="auto"/>
            </w:tcBorders>
            <w:shd w:val="clear" w:color="auto" w:fill="auto"/>
            <w:noWrap/>
            <w:vAlign w:val="center"/>
            <w:hideMark/>
          </w:tcPr>
          <w:p w14:paraId="798737C1" w14:textId="77777777" w:rsidR="00EC4B36" w:rsidRPr="00AC57D5" w:rsidRDefault="00EC4B36" w:rsidP="006B5A62">
            <w:pPr>
              <w:spacing w:before="40" w:after="40" w:line="276" w:lineRule="auto"/>
              <w:jc w:val="center"/>
              <w:rPr>
                <w:rFonts w:cs="Calibri"/>
                <w:sz w:val="20"/>
                <w:szCs w:val="20"/>
                <w:lang w:val="es-ES"/>
              </w:rPr>
            </w:pPr>
            <w:r w:rsidRPr="00AC57D5">
              <w:rPr>
                <w:rFonts w:cs="Calibri"/>
                <w:sz w:val="20"/>
                <w:szCs w:val="20"/>
                <w:lang w:val="es-ES"/>
              </w:rPr>
              <w:t>1</w:t>
            </w:r>
          </w:p>
        </w:tc>
        <w:tc>
          <w:tcPr>
            <w:tcW w:w="851" w:type="dxa"/>
            <w:tcBorders>
              <w:top w:val="nil"/>
              <w:left w:val="nil"/>
              <w:bottom w:val="single" w:sz="4" w:space="0" w:color="auto"/>
              <w:right w:val="single" w:sz="4" w:space="0" w:color="auto"/>
            </w:tcBorders>
            <w:shd w:val="clear" w:color="auto" w:fill="auto"/>
            <w:noWrap/>
            <w:vAlign w:val="center"/>
            <w:hideMark/>
          </w:tcPr>
          <w:p w14:paraId="5372D46F" w14:textId="77777777" w:rsidR="00EC4B36" w:rsidRPr="00AC57D5" w:rsidRDefault="00EC4B36" w:rsidP="006B5A62">
            <w:pPr>
              <w:spacing w:before="40" w:after="40" w:line="276" w:lineRule="auto"/>
              <w:jc w:val="center"/>
              <w:rPr>
                <w:rFonts w:cs="Calibri"/>
                <w:sz w:val="20"/>
                <w:szCs w:val="20"/>
                <w:lang w:val="es-ES"/>
              </w:rPr>
            </w:pPr>
            <w:r w:rsidRPr="00AC57D5">
              <w:rPr>
                <w:rFonts w:cs="Calibri"/>
                <w:sz w:val="20"/>
                <w:szCs w:val="20"/>
                <w:lang w:val="es-ES"/>
              </w:rPr>
              <w:t>1</w:t>
            </w:r>
          </w:p>
        </w:tc>
      </w:tr>
      <w:tr w:rsidR="00EC4B36" w:rsidRPr="00AC57D5" w14:paraId="4136821D" w14:textId="77777777" w:rsidTr="006B5A62">
        <w:tc>
          <w:tcPr>
            <w:tcW w:w="2835" w:type="dxa"/>
            <w:tcBorders>
              <w:top w:val="nil"/>
              <w:left w:val="single" w:sz="4" w:space="0" w:color="auto"/>
              <w:bottom w:val="single" w:sz="4" w:space="0" w:color="auto"/>
              <w:right w:val="single" w:sz="4" w:space="0" w:color="auto"/>
            </w:tcBorders>
            <w:shd w:val="clear" w:color="auto" w:fill="auto"/>
            <w:noWrap/>
            <w:vAlign w:val="center"/>
            <w:hideMark/>
          </w:tcPr>
          <w:p w14:paraId="4CF49BE5" w14:textId="77777777" w:rsidR="00EC4B36" w:rsidRPr="00AC57D5" w:rsidRDefault="00EC4B36" w:rsidP="006B5A62">
            <w:pPr>
              <w:spacing w:before="40" w:after="40" w:line="276" w:lineRule="auto"/>
              <w:jc w:val="left"/>
              <w:rPr>
                <w:rFonts w:cs="Calibri"/>
                <w:sz w:val="20"/>
                <w:szCs w:val="20"/>
                <w:lang w:val="es-ES"/>
              </w:rPr>
            </w:pPr>
            <w:r w:rsidRPr="00AC57D5">
              <w:rPr>
                <w:rFonts w:cs="Calibri"/>
                <w:sz w:val="20"/>
                <w:szCs w:val="20"/>
                <w:lang w:val="es-ES"/>
              </w:rPr>
              <w:t>Montaje estructuras subestaciones</w:t>
            </w:r>
          </w:p>
        </w:tc>
        <w:tc>
          <w:tcPr>
            <w:tcW w:w="851" w:type="dxa"/>
            <w:tcBorders>
              <w:top w:val="nil"/>
              <w:left w:val="nil"/>
              <w:bottom w:val="single" w:sz="4" w:space="0" w:color="auto"/>
              <w:right w:val="single" w:sz="4" w:space="0" w:color="auto"/>
            </w:tcBorders>
            <w:shd w:val="clear" w:color="auto" w:fill="auto"/>
            <w:noWrap/>
            <w:vAlign w:val="center"/>
            <w:hideMark/>
          </w:tcPr>
          <w:p w14:paraId="5F0D7EF9" w14:textId="77777777" w:rsidR="00EC4B36" w:rsidRPr="00AC57D5" w:rsidRDefault="00EC4B36" w:rsidP="006B5A62">
            <w:pPr>
              <w:spacing w:before="40" w:after="40" w:line="276" w:lineRule="auto"/>
              <w:jc w:val="center"/>
              <w:rPr>
                <w:rFonts w:cs="Calibri"/>
                <w:sz w:val="20"/>
                <w:szCs w:val="20"/>
                <w:lang w:val="es-ES"/>
              </w:rPr>
            </w:pPr>
            <w:r w:rsidRPr="00AC57D5">
              <w:rPr>
                <w:rFonts w:cs="Calibri"/>
                <w:sz w:val="20"/>
                <w:szCs w:val="20"/>
                <w:lang w:val="es-ES"/>
              </w:rPr>
              <w:t>C4</w:t>
            </w:r>
          </w:p>
        </w:tc>
        <w:tc>
          <w:tcPr>
            <w:tcW w:w="851" w:type="dxa"/>
            <w:tcBorders>
              <w:top w:val="nil"/>
              <w:left w:val="nil"/>
              <w:bottom w:val="single" w:sz="4" w:space="0" w:color="auto"/>
              <w:right w:val="single" w:sz="4" w:space="0" w:color="auto"/>
            </w:tcBorders>
            <w:shd w:val="clear" w:color="auto" w:fill="auto"/>
            <w:noWrap/>
            <w:vAlign w:val="center"/>
            <w:hideMark/>
          </w:tcPr>
          <w:p w14:paraId="23CD0E0B" w14:textId="77777777" w:rsidR="00EC4B36" w:rsidRPr="00AC57D5" w:rsidRDefault="00EC4B36" w:rsidP="006B5A62">
            <w:pPr>
              <w:spacing w:before="40" w:after="40" w:line="276" w:lineRule="auto"/>
              <w:jc w:val="center"/>
              <w:rPr>
                <w:rFonts w:cs="Calibri"/>
                <w:sz w:val="20"/>
                <w:szCs w:val="20"/>
                <w:lang w:val="es-ES"/>
              </w:rPr>
            </w:pPr>
            <w:r w:rsidRPr="00AC57D5">
              <w:rPr>
                <w:rFonts w:cs="Calibri"/>
                <w:sz w:val="20"/>
                <w:szCs w:val="20"/>
                <w:lang w:val="es-ES"/>
              </w:rPr>
              <w:t>0,1</w:t>
            </w:r>
          </w:p>
        </w:tc>
        <w:tc>
          <w:tcPr>
            <w:tcW w:w="851" w:type="dxa"/>
            <w:tcBorders>
              <w:top w:val="nil"/>
              <w:left w:val="nil"/>
              <w:bottom w:val="single" w:sz="4" w:space="0" w:color="auto"/>
              <w:right w:val="single" w:sz="4" w:space="0" w:color="auto"/>
            </w:tcBorders>
            <w:shd w:val="clear" w:color="auto" w:fill="auto"/>
            <w:noWrap/>
            <w:vAlign w:val="center"/>
            <w:hideMark/>
          </w:tcPr>
          <w:p w14:paraId="0CA091F1" w14:textId="77777777" w:rsidR="00EC4B36" w:rsidRPr="00AC57D5" w:rsidRDefault="00EC4B36" w:rsidP="006B5A62">
            <w:pPr>
              <w:spacing w:before="40" w:after="40" w:line="276" w:lineRule="auto"/>
              <w:jc w:val="center"/>
              <w:rPr>
                <w:rFonts w:cs="Calibri"/>
                <w:sz w:val="20"/>
                <w:szCs w:val="20"/>
                <w:lang w:val="es-ES"/>
              </w:rPr>
            </w:pPr>
            <w:r w:rsidRPr="00AC57D5">
              <w:rPr>
                <w:rFonts w:cs="Calibri"/>
                <w:sz w:val="20"/>
                <w:szCs w:val="20"/>
                <w:lang w:val="es-ES"/>
              </w:rPr>
              <w:t>0,2</w:t>
            </w:r>
          </w:p>
        </w:tc>
        <w:tc>
          <w:tcPr>
            <w:tcW w:w="851" w:type="dxa"/>
            <w:tcBorders>
              <w:top w:val="nil"/>
              <w:left w:val="nil"/>
              <w:bottom w:val="single" w:sz="4" w:space="0" w:color="auto"/>
              <w:right w:val="single" w:sz="4" w:space="0" w:color="auto"/>
            </w:tcBorders>
            <w:shd w:val="clear" w:color="auto" w:fill="auto"/>
            <w:noWrap/>
            <w:vAlign w:val="center"/>
            <w:hideMark/>
          </w:tcPr>
          <w:p w14:paraId="070B8B25" w14:textId="77777777" w:rsidR="00EC4B36" w:rsidRPr="00AC57D5" w:rsidRDefault="00EC4B36" w:rsidP="006B5A62">
            <w:pPr>
              <w:spacing w:before="40" w:after="40" w:line="276" w:lineRule="auto"/>
              <w:jc w:val="center"/>
              <w:rPr>
                <w:rFonts w:cs="Calibri"/>
                <w:sz w:val="20"/>
                <w:szCs w:val="20"/>
                <w:lang w:val="es-ES"/>
              </w:rPr>
            </w:pPr>
            <w:r w:rsidRPr="00AC57D5">
              <w:rPr>
                <w:rFonts w:cs="Calibri"/>
                <w:sz w:val="20"/>
                <w:szCs w:val="20"/>
                <w:lang w:val="es-ES"/>
              </w:rPr>
              <w:t>0,5</w:t>
            </w:r>
          </w:p>
        </w:tc>
        <w:tc>
          <w:tcPr>
            <w:tcW w:w="851" w:type="dxa"/>
            <w:tcBorders>
              <w:top w:val="nil"/>
              <w:left w:val="nil"/>
              <w:bottom w:val="single" w:sz="4" w:space="0" w:color="auto"/>
              <w:right w:val="single" w:sz="4" w:space="0" w:color="auto"/>
            </w:tcBorders>
            <w:shd w:val="clear" w:color="auto" w:fill="auto"/>
            <w:noWrap/>
            <w:vAlign w:val="center"/>
            <w:hideMark/>
          </w:tcPr>
          <w:p w14:paraId="60E5AD95" w14:textId="77777777" w:rsidR="00EC4B36" w:rsidRPr="00AC57D5" w:rsidRDefault="00EC4B36" w:rsidP="006B5A62">
            <w:pPr>
              <w:spacing w:before="40" w:after="40" w:line="276" w:lineRule="auto"/>
              <w:jc w:val="center"/>
              <w:rPr>
                <w:rFonts w:cs="Calibri"/>
                <w:sz w:val="20"/>
                <w:szCs w:val="20"/>
                <w:lang w:val="es-ES"/>
              </w:rPr>
            </w:pPr>
            <w:r w:rsidRPr="00AC57D5">
              <w:rPr>
                <w:rFonts w:cs="Calibri"/>
                <w:sz w:val="20"/>
                <w:szCs w:val="20"/>
                <w:lang w:val="es-ES"/>
              </w:rPr>
              <w:t>1</w:t>
            </w:r>
          </w:p>
        </w:tc>
        <w:tc>
          <w:tcPr>
            <w:tcW w:w="851" w:type="dxa"/>
            <w:tcBorders>
              <w:top w:val="nil"/>
              <w:left w:val="nil"/>
              <w:bottom w:val="single" w:sz="4" w:space="0" w:color="auto"/>
              <w:right w:val="single" w:sz="4" w:space="0" w:color="auto"/>
            </w:tcBorders>
            <w:shd w:val="clear" w:color="auto" w:fill="auto"/>
            <w:noWrap/>
            <w:vAlign w:val="center"/>
            <w:hideMark/>
          </w:tcPr>
          <w:p w14:paraId="66410E3C" w14:textId="77777777" w:rsidR="00EC4B36" w:rsidRPr="00AC57D5" w:rsidRDefault="00EC4B36" w:rsidP="006B5A62">
            <w:pPr>
              <w:spacing w:before="40" w:after="40" w:line="276" w:lineRule="auto"/>
              <w:jc w:val="center"/>
              <w:rPr>
                <w:rFonts w:cs="Calibri"/>
                <w:sz w:val="20"/>
                <w:szCs w:val="20"/>
                <w:lang w:val="es-ES"/>
              </w:rPr>
            </w:pPr>
            <w:r w:rsidRPr="00AC57D5">
              <w:rPr>
                <w:rFonts w:cs="Calibri"/>
                <w:sz w:val="20"/>
                <w:szCs w:val="20"/>
                <w:lang w:val="es-ES"/>
              </w:rPr>
              <w:t>1</w:t>
            </w:r>
          </w:p>
        </w:tc>
        <w:tc>
          <w:tcPr>
            <w:tcW w:w="851" w:type="dxa"/>
            <w:tcBorders>
              <w:top w:val="nil"/>
              <w:left w:val="nil"/>
              <w:bottom w:val="single" w:sz="4" w:space="0" w:color="auto"/>
              <w:right w:val="single" w:sz="4" w:space="0" w:color="auto"/>
            </w:tcBorders>
            <w:shd w:val="clear" w:color="auto" w:fill="auto"/>
            <w:noWrap/>
            <w:vAlign w:val="center"/>
            <w:hideMark/>
          </w:tcPr>
          <w:p w14:paraId="68CBFD38" w14:textId="77777777" w:rsidR="00EC4B36" w:rsidRPr="00AC57D5" w:rsidRDefault="00EC4B36" w:rsidP="006B5A62">
            <w:pPr>
              <w:spacing w:before="40" w:after="40" w:line="276" w:lineRule="auto"/>
              <w:jc w:val="center"/>
              <w:rPr>
                <w:rFonts w:cs="Calibri"/>
                <w:sz w:val="20"/>
                <w:szCs w:val="20"/>
                <w:lang w:val="es-ES"/>
              </w:rPr>
            </w:pPr>
          </w:p>
        </w:tc>
        <w:tc>
          <w:tcPr>
            <w:tcW w:w="851" w:type="dxa"/>
            <w:tcBorders>
              <w:top w:val="nil"/>
              <w:left w:val="nil"/>
              <w:bottom w:val="single" w:sz="4" w:space="0" w:color="auto"/>
              <w:right w:val="single" w:sz="4" w:space="0" w:color="auto"/>
            </w:tcBorders>
            <w:shd w:val="clear" w:color="auto" w:fill="auto"/>
            <w:noWrap/>
            <w:vAlign w:val="center"/>
            <w:hideMark/>
          </w:tcPr>
          <w:p w14:paraId="74BE3CFC" w14:textId="77777777" w:rsidR="00EC4B36" w:rsidRPr="00AC57D5" w:rsidRDefault="00EC4B36" w:rsidP="006B5A62">
            <w:pPr>
              <w:spacing w:before="40" w:after="40" w:line="276" w:lineRule="auto"/>
              <w:jc w:val="center"/>
              <w:rPr>
                <w:rFonts w:cs="Calibri"/>
                <w:sz w:val="20"/>
                <w:szCs w:val="20"/>
                <w:lang w:val="es-ES"/>
              </w:rPr>
            </w:pPr>
            <w:r w:rsidRPr="00AC57D5">
              <w:rPr>
                <w:rFonts w:cs="Calibri"/>
                <w:sz w:val="20"/>
                <w:szCs w:val="20"/>
                <w:lang w:val="es-ES"/>
              </w:rPr>
              <w:t>1</w:t>
            </w:r>
          </w:p>
        </w:tc>
      </w:tr>
      <w:tr w:rsidR="00EC4B36" w:rsidRPr="00AC57D5" w14:paraId="40E6C619" w14:textId="77777777" w:rsidTr="006B5A62">
        <w:tc>
          <w:tcPr>
            <w:tcW w:w="2835" w:type="dxa"/>
            <w:tcBorders>
              <w:top w:val="nil"/>
              <w:left w:val="single" w:sz="4" w:space="0" w:color="auto"/>
              <w:bottom w:val="single" w:sz="4" w:space="0" w:color="auto"/>
              <w:right w:val="single" w:sz="4" w:space="0" w:color="auto"/>
            </w:tcBorders>
            <w:shd w:val="clear" w:color="auto" w:fill="auto"/>
            <w:noWrap/>
            <w:vAlign w:val="center"/>
            <w:hideMark/>
          </w:tcPr>
          <w:p w14:paraId="632A6208" w14:textId="77777777" w:rsidR="00EC4B36" w:rsidRPr="00AC57D5" w:rsidRDefault="00EC4B36" w:rsidP="006B5A62">
            <w:pPr>
              <w:spacing w:before="40" w:after="40" w:line="276" w:lineRule="auto"/>
              <w:jc w:val="left"/>
              <w:rPr>
                <w:rFonts w:cs="Calibri"/>
                <w:sz w:val="20"/>
                <w:szCs w:val="20"/>
                <w:lang w:val="es-ES"/>
              </w:rPr>
            </w:pPr>
            <w:r w:rsidRPr="00AC57D5">
              <w:rPr>
                <w:rFonts w:cs="Calibri"/>
                <w:sz w:val="20"/>
                <w:szCs w:val="20"/>
                <w:lang w:val="es-ES"/>
              </w:rPr>
              <w:t>Obras civiles menores</w:t>
            </w:r>
          </w:p>
        </w:tc>
        <w:tc>
          <w:tcPr>
            <w:tcW w:w="851" w:type="dxa"/>
            <w:tcBorders>
              <w:top w:val="nil"/>
              <w:left w:val="nil"/>
              <w:bottom w:val="single" w:sz="4" w:space="0" w:color="auto"/>
              <w:right w:val="single" w:sz="4" w:space="0" w:color="auto"/>
            </w:tcBorders>
            <w:shd w:val="clear" w:color="auto" w:fill="auto"/>
            <w:noWrap/>
            <w:vAlign w:val="center"/>
            <w:hideMark/>
          </w:tcPr>
          <w:p w14:paraId="6BFFC264" w14:textId="77777777" w:rsidR="00EC4B36" w:rsidRPr="00AC57D5" w:rsidRDefault="00EC4B36" w:rsidP="006B5A62">
            <w:pPr>
              <w:spacing w:before="40" w:after="40" w:line="276" w:lineRule="auto"/>
              <w:jc w:val="center"/>
              <w:rPr>
                <w:rFonts w:cs="Calibri"/>
                <w:sz w:val="20"/>
                <w:szCs w:val="20"/>
                <w:lang w:val="es-ES"/>
              </w:rPr>
            </w:pPr>
            <w:r w:rsidRPr="00AC57D5">
              <w:rPr>
                <w:rFonts w:cs="Calibri"/>
                <w:sz w:val="20"/>
                <w:szCs w:val="20"/>
                <w:lang w:val="es-ES"/>
              </w:rPr>
              <w:t>C5</w:t>
            </w:r>
          </w:p>
        </w:tc>
        <w:tc>
          <w:tcPr>
            <w:tcW w:w="851" w:type="dxa"/>
            <w:tcBorders>
              <w:top w:val="nil"/>
              <w:left w:val="nil"/>
              <w:bottom w:val="single" w:sz="4" w:space="0" w:color="auto"/>
              <w:right w:val="single" w:sz="4" w:space="0" w:color="auto"/>
            </w:tcBorders>
            <w:shd w:val="clear" w:color="auto" w:fill="auto"/>
            <w:noWrap/>
            <w:vAlign w:val="center"/>
            <w:hideMark/>
          </w:tcPr>
          <w:p w14:paraId="4DD16F56" w14:textId="77777777" w:rsidR="00EC4B36" w:rsidRPr="00AC57D5" w:rsidRDefault="00EC4B36" w:rsidP="006B5A62">
            <w:pPr>
              <w:spacing w:before="40" w:after="40" w:line="276" w:lineRule="auto"/>
              <w:jc w:val="center"/>
              <w:rPr>
                <w:rFonts w:cs="Calibri"/>
                <w:sz w:val="20"/>
                <w:szCs w:val="20"/>
                <w:lang w:val="es-ES"/>
              </w:rPr>
            </w:pPr>
            <w:r w:rsidRPr="00AC57D5">
              <w:rPr>
                <w:rFonts w:cs="Calibri"/>
                <w:sz w:val="20"/>
                <w:szCs w:val="20"/>
                <w:lang w:val="es-ES"/>
              </w:rPr>
              <w:t>0,05</w:t>
            </w:r>
          </w:p>
        </w:tc>
        <w:tc>
          <w:tcPr>
            <w:tcW w:w="851" w:type="dxa"/>
            <w:tcBorders>
              <w:top w:val="nil"/>
              <w:left w:val="nil"/>
              <w:bottom w:val="single" w:sz="4" w:space="0" w:color="auto"/>
              <w:right w:val="single" w:sz="4" w:space="0" w:color="auto"/>
            </w:tcBorders>
            <w:shd w:val="clear" w:color="auto" w:fill="auto"/>
            <w:noWrap/>
            <w:vAlign w:val="center"/>
            <w:hideMark/>
          </w:tcPr>
          <w:p w14:paraId="76A91D91" w14:textId="77777777" w:rsidR="00EC4B36" w:rsidRPr="00AC57D5" w:rsidRDefault="00EC4B36" w:rsidP="006B5A62">
            <w:pPr>
              <w:spacing w:before="40" w:after="40" w:line="276" w:lineRule="auto"/>
              <w:jc w:val="center"/>
              <w:rPr>
                <w:rFonts w:cs="Calibri"/>
                <w:sz w:val="20"/>
                <w:szCs w:val="20"/>
                <w:lang w:val="es-ES"/>
              </w:rPr>
            </w:pPr>
            <w:r w:rsidRPr="00AC57D5">
              <w:rPr>
                <w:rFonts w:cs="Calibri"/>
                <w:sz w:val="20"/>
                <w:szCs w:val="20"/>
                <w:lang w:val="es-ES"/>
              </w:rPr>
              <w:t>0,1</w:t>
            </w:r>
          </w:p>
        </w:tc>
        <w:tc>
          <w:tcPr>
            <w:tcW w:w="851" w:type="dxa"/>
            <w:tcBorders>
              <w:top w:val="nil"/>
              <w:left w:val="nil"/>
              <w:bottom w:val="single" w:sz="4" w:space="0" w:color="auto"/>
              <w:right w:val="single" w:sz="4" w:space="0" w:color="auto"/>
            </w:tcBorders>
            <w:shd w:val="clear" w:color="auto" w:fill="auto"/>
            <w:noWrap/>
            <w:vAlign w:val="center"/>
            <w:hideMark/>
          </w:tcPr>
          <w:p w14:paraId="50E03005" w14:textId="77777777" w:rsidR="00EC4B36" w:rsidRPr="00AC57D5" w:rsidRDefault="00EC4B36" w:rsidP="006B5A62">
            <w:pPr>
              <w:spacing w:before="40" w:after="40" w:line="276" w:lineRule="auto"/>
              <w:jc w:val="center"/>
              <w:rPr>
                <w:rFonts w:cs="Calibri"/>
                <w:sz w:val="20"/>
                <w:szCs w:val="20"/>
                <w:lang w:val="es-ES"/>
              </w:rPr>
            </w:pPr>
          </w:p>
        </w:tc>
        <w:tc>
          <w:tcPr>
            <w:tcW w:w="851" w:type="dxa"/>
            <w:tcBorders>
              <w:top w:val="nil"/>
              <w:left w:val="nil"/>
              <w:bottom w:val="single" w:sz="4" w:space="0" w:color="auto"/>
              <w:right w:val="single" w:sz="4" w:space="0" w:color="auto"/>
            </w:tcBorders>
            <w:shd w:val="clear" w:color="auto" w:fill="auto"/>
            <w:noWrap/>
            <w:vAlign w:val="center"/>
            <w:hideMark/>
          </w:tcPr>
          <w:p w14:paraId="439F22AE" w14:textId="77777777" w:rsidR="00EC4B36" w:rsidRPr="00AC57D5" w:rsidRDefault="00EC4B36" w:rsidP="006B5A62">
            <w:pPr>
              <w:spacing w:before="40" w:after="40" w:line="276" w:lineRule="auto"/>
              <w:jc w:val="center"/>
              <w:rPr>
                <w:rFonts w:cs="Calibri"/>
                <w:sz w:val="20"/>
                <w:szCs w:val="20"/>
                <w:lang w:val="es-ES"/>
              </w:rPr>
            </w:pPr>
            <w:r w:rsidRPr="00AC57D5">
              <w:rPr>
                <w:rFonts w:cs="Calibri"/>
                <w:sz w:val="20"/>
                <w:szCs w:val="20"/>
                <w:lang w:val="es-ES"/>
              </w:rPr>
              <w:t>0,5</w:t>
            </w:r>
          </w:p>
        </w:tc>
        <w:tc>
          <w:tcPr>
            <w:tcW w:w="851" w:type="dxa"/>
            <w:tcBorders>
              <w:top w:val="nil"/>
              <w:left w:val="nil"/>
              <w:bottom w:val="single" w:sz="4" w:space="0" w:color="auto"/>
              <w:right w:val="single" w:sz="4" w:space="0" w:color="auto"/>
            </w:tcBorders>
            <w:shd w:val="clear" w:color="auto" w:fill="auto"/>
            <w:noWrap/>
            <w:vAlign w:val="center"/>
            <w:hideMark/>
          </w:tcPr>
          <w:p w14:paraId="4B025882" w14:textId="77777777" w:rsidR="00EC4B36" w:rsidRPr="00AC57D5" w:rsidRDefault="00EC4B36" w:rsidP="006B5A62">
            <w:pPr>
              <w:spacing w:before="40" w:after="40" w:line="276" w:lineRule="auto"/>
              <w:jc w:val="center"/>
              <w:rPr>
                <w:rFonts w:cs="Calibri"/>
                <w:sz w:val="20"/>
                <w:szCs w:val="20"/>
                <w:lang w:val="es-ES"/>
              </w:rPr>
            </w:pPr>
            <w:r w:rsidRPr="00AC57D5">
              <w:rPr>
                <w:rFonts w:cs="Calibri"/>
                <w:sz w:val="20"/>
                <w:szCs w:val="20"/>
                <w:lang w:val="es-ES"/>
              </w:rPr>
              <w:t>1</w:t>
            </w:r>
          </w:p>
        </w:tc>
        <w:tc>
          <w:tcPr>
            <w:tcW w:w="851" w:type="dxa"/>
            <w:tcBorders>
              <w:top w:val="nil"/>
              <w:left w:val="nil"/>
              <w:bottom w:val="single" w:sz="4" w:space="0" w:color="auto"/>
              <w:right w:val="single" w:sz="4" w:space="0" w:color="auto"/>
            </w:tcBorders>
            <w:shd w:val="clear" w:color="auto" w:fill="auto"/>
            <w:noWrap/>
            <w:vAlign w:val="center"/>
            <w:hideMark/>
          </w:tcPr>
          <w:p w14:paraId="340A5143" w14:textId="77777777" w:rsidR="00EC4B36" w:rsidRPr="00AC57D5" w:rsidRDefault="00EC4B36" w:rsidP="006B5A62">
            <w:pPr>
              <w:spacing w:before="40" w:after="40" w:line="276" w:lineRule="auto"/>
              <w:jc w:val="center"/>
              <w:rPr>
                <w:rFonts w:cs="Calibri"/>
                <w:sz w:val="20"/>
                <w:szCs w:val="20"/>
                <w:lang w:val="es-ES"/>
              </w:rPr>
            </w:pPr>
          </w:p>
        </w:tc>
        <w:tc>
          <w:tcPr>
            <w:tcW w:w="851" w:type="dxa"/>
            <w:tcBorders>
              <w:top w:val="nil"/>
              <w:left w:val="nil"/>
              <w:bottom w:val="single" w:sz="4" w:space="0" w:color="auto"/>
              <w:right w:val="single" w:sz="4" w:space="0" w:color="auto"/>
            </w:tcBorders>
            <w:shd w:val="clear" w:color="auto" w:fill="auto"/>
            <w:noWrap/>
            <w:vAlign w:val="center"/>
            <w:hideMark/>
          </w:tcPr>
          <w:p w14:paraId="0ADC4F9C" w14:textId="77777777" w:rsidR="00EC4B36" w:rsidRPr="00AC57D5" w:rsidRDefault="00EC4B36" w:rsidP="006B5A62">
            <w:pPr>
              <w:spacing w:before="40" w:after="40" w:line="276" w:lineRule="auto"/>
              <w:jc w:val="center"/>
              <w:rPr>
                <w:rFonts w:cs="Calibri"/>
                <w:sz w:val="20"/>
                <w:szCs w:val="20"/>
                <w:lang w:val="es-ES"/>
              </w:rPr>
            </w:pPr>
            <w:r w:rsidRPr="00AC57D5">
              <w:rPr>
                <w:rFonts w:cs="Calibri"/>
                <w:sz w:val="20"/>
                <w:szCs w:val="20"/>
                <w:lang w:val="es-ES"/>
              </w:rPr>
              <w:t>1</w:t>
            </w:r>
          </w:p>
        </w:tc>
      </w:tr>
      <w:tr w:rsidR="00EC4B36" w:rsidRPr="00AC57D5" w14:paraId="143C7A4A" w14:textId="77777777" w:rsidTr="006B5A62">
        <w:tc>
          <w:tcPr>
            <w:tcW w:w="2835" w:type="dxa"/>
            <w:tcBorders>
              <w:top w:val="nil"/>
              <w:left w:val="single" w:sz="4" w:space="0" w:color="auto"/>
              <w:bottom w:val="single" w:sz="4" w:space="0" w:color="auto"/>
              <w:right w:val="single" w:sz="4" w:space="0" w:color="auto"/>
            </w:tcBorders>
            <w:shd w:val="clear" w:color="auto" w:fill="auto"/>
            <w:noWrap/>
            <w:vAlign w:val="center"/>
            <w:hideMark/>
          </w:tcPr>
          <w:p w14:paraId="704A9049" w14:textId="77777777" w:rsidR="00EC4B36" w:rsidRPr="00AC57D5" w:rsidRDefault="00EC4B36" w:rsidP="006B5A62">
            <w:pPr>
              <w:spacing w:before="40" w:after="40" w:line="276" w:lineRule="auto"/>
              <w:jc w:val="left"/>
              <w:rPr>
                <w:rFonts w:cs="Calibri"/>
                <w:sz w:val="20"/>
                <w:szCs w:val="20"/>
                <w:lang w:val="es-ES"/>
              </w:rPr>
            </w:pPr>
            <w:r w:rsidRPr="00AC57D5">
              <w:rPr>
                <w:rFonts w:cs="Calibri"/>
                <w:sz w:val="20"/>
                <w:szCs w:val="20"/>
                <w:lang w:val="es-ES"/>
              </w:rPr>
              <w:t>Montaje estructuras menores</w:t>
            </w:r>
          </w:p>
        </w:tc>
        <w:tc>
          <w:tcPr>
            <w:tcW w:w="851" w:type="dxa"/>
            <w:tcBorders>
              <w:top w:val="nil"/>
              <w:left w:val="nil"/>
              <w:bottom w:val="single" w:sz="4" w:space="0" w:color="auto"/>
              <w:right w:val="single" w:sz="4" w:space="0" w:color="auto"/>
            </w:tcBorders>
            <w:shd w:val="clear" w:color="auto" w:fill="auto"/>
            <w:noWrap/>
            <w:vAlign w:val="center"/>
            <w:hideMark/>
          </w:tcPr>
          <w:p w14:paraId="778E2D3D" w14:textId="77777777" w:rsidR="00EC4B36" w:rsidRPr="00AC57D5" w:rsidRDefault="00EC4B36" w:rsidP="006B5A62">
            <w:pPr>
              <w:spacing w:before="40" w:after="40" w:line="276" w:lineRule="auto"/>
              <w:jc w:val="center"/>
              <w:rPr>
                <w:rFonts w:cs="Calibri"/>
                <w:sz w:val="20"/>
                <w:szCs w:val="20"/>
                <w:lang w:val="es-ES"/>
              </w:rPr>
            </w:pPr>
            <w:r w:rsidRPr="00AC57D5">
              <w:rPr>
                <w:rFonts w:cs="Calibri"/>
                <w:sz w:val="20"/>
                <w:szCs w:val="20"/>
                <w:lang w:val="es-ES"/>
              </w:rPr>
              <w:t>C6</w:t>
            </w:r>
          </w:p>
        </w:tc>
        <w:tc>
          <w:tcPr>
            <w:tcW w:w="851" w:type="dxa"/>
            <w:tcBorders>
              <w:top w:val="nil"/>
              <w:left w:val="nil"/>
              <w:bottom w:val="single" w:sz="4" w:space="0" w:color="auto"/>
              <w:right w:val="single" w:sz="4" w:space="0" w:color="auto"/>
            </w:tcBorders>
            <w:shd w:val="clear" w:color="auto" w:fill="auto"/>
            <w:noWrap/>
            <w:vAlign w:val="center"/>
            <w:hideMark/>
          </w:tcPr>
          <w:p w14:paraId="246A6C95" w14:textId="77777777" w:rsidR="00EC4B36" w:rsidRPr="00AC57D5" w:rsidRDefault="00EC4B36" w:rsidP="006B5A62">
            <w:pPr>
              <w:spacing w:before="40" w:after="40" w:line="276" w:lineRule="auto"/>
              <w:jc w:val="center"/>
              <w:rPr>
                <w:rFonts w:cs="Calibri"/>
                <w:sz w:val="20"/>
                <w:szCs w:val="20"/>
                <w:lang w:val="es-ES"/>
              </w:rPr>
            </w:pPr>
            <w:r w:rsidRPr="00AC57D5">
              <w:rPr>
                <w:rFonts w:cs="Calibri"/>
                <w:sz w:val="20"/>
                <w:szCs w:val="20"/>
                <w:lang w:val="es-ES"/>
              </w:rPr>
              <w:t>0,05</w:t>
            </w:r>
          </w:p>
        </w:tc>
        <w:tc>
          <w:tcPr>
            <w:tcW w:w="851" w:type="dxa"/>
            <w:tcBorders>
              <w:top w:val="nil"/>
              <w:left w:val="nil"/>
              <w:bottom w:val="single" w:sz="4" w:space="0" w:color="auto"/>
              <w:right w:val="single" w:sz="4" w:space="0" w:color="auto"/>
            </w:tcBorders>
            <w:shd w:val="clear" w:color="auto" w:fill="auto"/>
            <w:noWrap/>
            <w:vAlign w:val="center"/>
            <w:hideMark/>
          </w:tcPr>
          <w:p w14:paraId="21D44781" w14:textId="77777777" w:rsidR="00EC4B36" w:rsidRPr="00AC57D5" w:rsidRDefault="00EC4B36" w:rsidP="006B5A62">
            <w:pPr>
              <w:spacing w:before="40" w:after="40" w:line="276" w:lineRule="auto"/>
              <w:jc w:val="center"/>
              <w:rPr>
                <w:rFonts w:cs="Calibri"/>
                <w:sz w:val="20"/>
                <w:szCs w:val="20"/>
                <w:lang w:val="es-ES"/>
              </w:rPr>
            </w:pPr>
            <w:r w:rsidRPr="00AC57D5">
              <w:rPr>
                <w:rFonts w:cs="Calibri"/>
                <w:sz w:val="20"/>
                <w:szCs w:val="20"/>
                <w:lang w:val="es-ES"/>
              </w:rPr>
              <w:t>0,1</w:t>
            </w:r>
          </w:p>
        </w:tc>
        <w:tc>
          <w:tcPr>
            <w:tcW w:w="851" w:type="dxa"/>
            <w:tcBorders>
              <w:top w:val="nil"/>
              <w:left w:val="nil"/>
              <w:bottom w:val="single" w:sz="4" w:space="0" w:color="auto"/>
              <w:right w:val="single" w:sz="4" w:space="0" w:color="auto"/>
            </w:tcBorders>
            <w:shd w:val="clear" w:color="auto" w:fill="auto"/>
            <w:noWrap/>
            <w:vAlign w:val="center"/>
            <w:hideMark/>
          </w:tcPr>
          <w:p w14:paraId="67C7DC41" w14:textId="77777777" w:rsidR="00EC4B36" w:rsidRPr="00AC57D5" w:rsidRDefault="00EC4B36" w:rsidP="006B5A62">
            <w:pPr>
              <w:spacing w:before="40" w:after="40" w:line="276" w:lineRule="auto"/>
              <w:jc w:val="center"/>
              <w:rPr>
                <w:rFonts w:cs="Calibri"/>
                <w:sz w:val="20"/>
                <w:szCs w:val="20"/>
                <w:lang w:val="es-ES"/>
              </w:rPr>
            </w:pPr>
          </w:p>
        </w:tc>
        <w:tc>
          <w:tcPr>
            <w:tcW w:w="851" w:type="dxa"/>
            <w:tcBorders>
              <w:top w:val="nil"/>
              <w:left w:val="nil"/>
              <w:bottom w:val="single" w:sz="4" w:space="0" w:color="auto"/>
              <w:right w:val="single" w:sz="4" w:space="0" w:color="auto"/>
            </w:tcBorders>
            <w:shd w:val="clear" w:color="auto" w:fill="auto"/>
            <w:noWrap/>
            <w:vAlign w:val="center"/>
            <w:hideMark/>
          </w:tcPr>
          <w:p w14:paraId="795992E2" w14:textId="77777777" w:rsidR="00EC4B36" w:rsidRPr="00AC57D5" w:rsidRDefault="00EC4B36" w:rsidP="006B5A62">
            <w:pPr>
              <w:spacing w:before="40" w:after="40" w:line="276" w:lineRule="auto"/>
              <w:jc w:val="center"/>
              <w:rPr>
                <w:rFonts w:cs="Calibri"/>
                <w:sz w:val="20"/>
                <w:szCs w:val="20"/>
                <w:lang w:val="es-ES"/>
              </w:rPr>
            </w:pPr>
            <w:r w:rsidRPr="00AC57D5">
              <w:rPr>
                <w:rFonts w:cs="Calibri"/>
                <w:sz w:val="20"/>
                <w:szCs w:val="20"/>
                <w:lang w:val="es-ES"/>
              </w:rPr>
              <w:t>0,5</w:t>
            </w:r>
          </w:p>
        </w:tc>
        <w:tc>
          <w:tcPr>
            <w:tcW w:w="851" w:type="dxa"/>
            <w:tcBorders>
              <w:top w:val="nil"/>
              <w:left w:val="nil"/>
              <w:bottom w:val="single" w:sz="4" w:space="0" w:color="auto"/>
              <w:right w:val="single" w:sz="4" w:space="0" w:color="auto"/>
            </w:tcBorders>
            <w:shd w:val="clear" w:color="auto" w:fill="auto"/>
            <w:noWrap/>
            <w:vAlign w:val="center"/>
            <w:hideMark/>
          </w:tcPr>
          <w:p w14:paraId="7C64F02B" w14:textId="77777777" w:rsidR="00EC4B36" w:rsidRPr="00AC57D5" w:rsidRDefault="00EC4B36" w:rsidP="006B5A62">
            <w:pPr>
              <w:spacing w:before="40" w:after="40" w:line="276" w:lineRule="auto"/>
              <w:jc w:val="center"/>
              <w:rPr>
                <w:rFonts w:cs="Calibri"/>
                <w:sz w:val="20"/>
                <w:szCs w:val="20"/>
                <w:lang w:val="es-ES"/>
              </w:rPr>
            </w:pPr>
            <w:r w:rsidRPr="00AC57D5">
              <w:rPr>
                <w:rFonts w:cs="Calibri"/>
                <w:sz w:val="20"/>
                <w:szCs w:val="20"/>
                <w:lang w:val="es-ES"/>
              </w:rPr>
              <w:t>1</w:t>
            </w:r>
          </w:p>
        </w:tc>
        <w:tc>
          <w:tcPr>
            <w:tcW w:w="851" w:type="dxa"/>
            <w:tcBorders>
              <w:top w:val="nil"/>
              <w:left w:val="nil"/>
              <w:bottom w:val="single" w:sz="4" w:space="0" w:color="auto"/>
              <w:right w:val="single" w:sz="4" w:space="0" w:color="auto"/>
            </w:tcBorders>
            <w:shd w:val="clear" w:color="auto" w:fill="auto"/>
            <w:noWrap/>
            <w:vAlign w:val="center"/>
            <w:hideMark/>
          </w:tcPr>
          <w:p w14:paraId="475E9C6E" w14:textId="77777777" w:rsidR="00EC4B36" w:rsidRPr="00AC57D5" w:rsidRDefault="00EC4B36" w:rsidP="006B5A62">
            <w:pPr>
              <w:spacing w:before="40" w:after="40" w:line="276" w:lineRule="auto"/>
              <w:jc w:val="center"/>
              <w:rPr>
                <w:rFonts w:cs="Calibri"/>
                <w:sz w:val="20"/>
                <w:szCs w:val="20"/>
                <w:lang w:val="es-ES"/>
              </w:rPr>
            </w:pPr>
          </w:p>
        </w:tc>
        <w:tc>
          <w:tcPr>
            <w:tcW w:w="851" w:type="dxa"/>
            <w:tcBorders>
              <w:top w:val="nil"/>
              <w:left w:val="nil"/>
              <w:bottom w:val="single" w:sz="4" w:space="0" w:color="auto"/>
              <w:right w:val="single" w:sz="4" w:space="0" w:color="auto"/>
            </w:tcBorders>
            <w:shd w:val="clear" w:color="auto" w:fill="auto"/>
            <w:noWrap/>
            <w:vAlign w:val="center"/>
            <w:hideMark/>
          </w:tcPr>
          <w:p w14:paraId="13A3F6B7" w14:textId="77777777" w:rsidR="00EC4B36" w:rsidRPr="00AC57D5" w:rsidRDefault="00EC4B36" w:rsidP="006B5A62">
            <w:pPr>
              <w:spacing w:before="40" w:after="40" w:line="276" w:lineRule="auto"/>
              <w:jc w:val="center"/>
              <w:rPr>
                <w:rFonts w:cs="Calibri"/>
                <w:sz w:val="20"/>
                <w:szCs w:val="20"/>
                <w:lang w:val="es-ES"/>
              </w:rPr>
            </w:pPr>
            <w:r w:rsidRPr="00AC57D5">
              <w:rPr>
                <w:rFonts w:cs="Calibri"/>
                <w:sz w:val="20"/>
                <w:szCs w:val="20"/>
                <w:lang w:val="es-ES"/>
              </w:rPr>
              <w:t>1</w:t>
            </w:r>
          </w:p>
        </w:tc>
      </w:tr>
      <w:tr w:rsidR="00EC4B36" w:rsidRPr="00AC57D5" w14:paraId="00A67A1A" w14:textId="77777777" w:rsidTr="006B5A62">
        <w:tc>
          <w:tcPr>
            <w:tcW w:w="2835" w:type="dxa"/>
            <w:tcBorders>
              <w:top w:val="nil"/>
              <w:left w:val="single" w:sz="4" w:space="0" w:color="auto"/>
              <w:bottom w:val="single" w:sz="4" w:space="0" w:color="auto"/>
              <w:right w:val="single" w:sz="4" w:space="0" w:color="auto"/>
            </w:tcBorders>
            <w:shd w:val="clear" w:color="auto" w:fill="auto"/>
            <w:noWrap/>
            <w:vAlign w:val="center"/>
            <w:hideMark/>
          </w:tcPr>
          <w:p w14:paraId="6F2C1803" w14:textId="77777777" w:rsidR="00EC4B36" w:rsidRPr="00AC57D5" w:rsidRDefault="00EC4B36" w:rsidP="006B5A62">
            <w:pPr>
              <w:spacing w:before="40" w:after="40" w:line="276" w:lineRule="auto"/>
              <w:jc w:val="left"/>
              <w:rPr>
                <w:rFonts w:cs="Calibri"/>
                <w:sz w:val="20"/>
                <w:szCs w:val="20"/>
                <w:lang w:val="es-ES"/>
              </w:rPr>
            </w:pPr>
            <w:r w:rsidRPr="00AC57D5">
              <w:rPr>
                <w:rFonts w:cs="Calibri"/>
                <w:sz w:val="20"/>
                <w:szCs w:val="20"/>
                <w:lang w:val="es-ES"/>
              </w:rPr>
              <w:t>Montaje estructuras líneas</w:t>
            </w:r>
          </w:p>
        </w:tc>
        <w:tc>
          <w:tcPr>
            <w:tcW w:w="851" w:type="dxa"/>
            <w:tcBorders>
              <w:top w:val="nil"/>
              <w:left w:val="nil"/>
              <w:bottom w:val="single" w:sz="4" w:space="0" w:color="auto"/>
              <w:right w:val="single" w:sz="4" w:space="0" w:color="auto"/>
            </w:tcBorders>
            <w:shd w:val="clear" w:color="auto" w:fill="auto"/>
            <w:noWrap/>
            <w:vAlign w:val="center"/>
            <w:hideMark/>
          </w:tcPr>
          <w:p w14:paraId="09A20E99" w14:textId="77777777" w:rsidR="00EC4B36" w:rsidRPr="00AC57D5" w:rsidRDefault="00EC4B36" w:rsidP="006B5A62">
            <w:pPr>
              <w:spacing w:before="40" w:after="40" w:line="276" w:lineRule="auto"/>
              <w:jc w:val="center"/>
              <w:rPr>
                <w:rFonts w:cs="Calibri"/>
                <w:sz w:val="20"/>
                <w:szCs w:val="20"/>
                <w:lang w:val="es-ES"/>
              </w:rPr>
            </w:pPr>
            <w:r w:rsidRPr="00AC57D5">
              <w:rPr>
                <w:rFonts w:cs="Calibri"/>
                <w:sz w:val="20"/>
                <w:szCs w:val="20"/>
                <w:lang w:val="es-ES"/>
              </w:rPr>
              <w:t>C7</w:t>
            </w:r>
          </w:p>
        </w:tc>
        <w:tc>
          <w:tcPr>
            <w:tcW w:w="851" w:type="dxa"/>
            <w:tcBorders>
              <w:top w:val="nil"/>
              <w:left w:val="nil"/>
              <w:bottom w:val="single" w:sz="4" w:space="0" w:color="auto"/>
              <w:right w:val="single" w:sz="4" w:space="0" w:color="auto"/>
            </w:tcBorders>
            <w:shd w:val="clear" w:color="auto" w:fill="auto"/>
            <w:noWrap/>
            <w:vAlign w:val="center"/>
            <w:hideMark/>
          </w:tcPr>
          <w:p w14:paraId="2916BF74" w14:textId="77777777" w:rsidR="00EC4B36" w:rsidRPr="00AC57D5" w:rsidRDefault="00EC4B36" w:rsidP="006B5A62">
            <w:pPr>
              <w:spacing w:before="40" w:after="40" w:line="276" w:lineRule="auto"/>
              <w:jc w:val="center"/>
              <w:rPr>
                <w:rFonts w:cs="Calibri"/>
                <w:sz w:val="20"/>
                <w:szCs w:val="20"/>
                <w:lang w:val="es-ES"/>
              </w:rPr>
            </w:pPr>
            <w:r w:rsidRPr="00AC57D5">
              <w:rPr>
                <w:rFonts w:cs="Calibri"/>
                <w:sz w:val="20"/>
                <w:szCs w:val="20"/>
                <w:lang w:val="es-ES"/>
              </w:rPr>
              <w:t>0,05</w:t>
            </w:r>
          </w:p>
        </w:tc>
        <w:tc>
          <w:tcPr>
            <w:tcW w:w="851" w:type="dxa"/>
            <w:tcBorders>
              <w:top w:val="nil"/>
              <w:left w:val="nil"/>
              <w:bottom w:val="single" w:sz="4" w:space="0" w:color="auto"/>
              <w:right w:val="single" w:sz="4" w:space="0" w:color="auto"/>
            </w:tcBorders>
            <w:shd w:val="clear" w:color="auto" w:fill="auto"/>
            <w:noWrap/>
            <w:vAlign w:val="center"/>
            <w:hideMark/>
          </w:tcPr>
          <w:p w14:paraId="68BB7DA2" w14:textId="77777777" w:rsidR="00EC4B36" w:rsidRPr="00AC57D5" w:rsidRDefault="00EC4B36" w:rsidP="006B5A62">
            <w:pPr>
              <w:spacing w:before="40" w:after="40" w:line="276" w:lineRule="auto"/>
              <w:jc w:val="center"/>
              <w:rPr>
                <w:rFonts w:cs="Calibri"/>
                <w:sz w:val="20"/>
                <w:szCs w:val="20"/>
                <w:lang w:val="es-ES"/>
              </w:rPr>
            </w:pPr>
            <w:r w:rsidRPr="00AC57D5">
              <w:rPr>
                <w:rFonts w:cs="Calibri"/>
                <w:sz w:val="20"/>
                <w:szCs w:val="20"/>
                <w:lang w:val="es-ES"/>
              </w:rPr>
              <w:t>0,2</w:t>
            </w:r>
          </w:p>
        </w:tc>
        <w:tc>
          <w:tcPr>
            <w:tcW w:w="851" w:type="dxa"/>
            <w:tcBorders>
              <w:top w:val="nil"/>
              <w:left w:val="nil"/>
              <w:bottom w:val="single" w:sz="4" w:space="0" w:color="auto"/>
              <w:right w:val="single" w:sz="4" w:space="0" w:color="auto"/>
            </w:tcBorders>
            <w:shd w:val="clear" w:color="auto" w:fill="auto"/>
            <w:noWrap/>
            <w:vAlign w:val="center"/>
            <w:hideMark/>
          </w:tcPr>
          <w:p w14:paraId="7BCFAE67" w14:textId="77777777" w:rsidR="00EC4B36" w:rsidRPr="00AC57D5" w:rsidRDefault="00EC4B36" w:rsidP="006B5A62">
            <w:pPr>
              <w:spacing w:before="40" w:after="40" w:line="276" w:lineRule="auto"/>
              <w:jc w:val="center"/>
              <w:rPr>
                <w:rFonts w:cs="Calibri"/>
                <w:sz w:val="20"/>
                <w:szCs w:val="20"/>
                <w:lang w:val="es-ES"/>
              </w:rPr>
            </w:pPr>
            <w:r w:rsidRPr="00AC57D5">
              <w:rPr>
                <w:rFonts w:cs="Calibri"/>
                <w:sz w:val="20"/>
                <w:szCs w:val="20"/>
                <w:lang w:val="es-ES"/>
              </w:rPr>
              <w:t>0,5</w:t>
            </w:r>
          </w:p>
        </w:tc>
        <w:tc>
          <w:tcPr>
            <w:tcW w:w="851" w:type="dxa"/>
            <w:tcBorders>
              <w:top w:val="nil"/>
              <w:left w:val="nil"/>
              <w:bottom w:val="single" w:sz="4" w:space="0" w:color="auto"/>
              <w:right w:val="single" w:sz="4" w:space="0" w:color="auto"/>
            </w:tcBorders>
            <w:shd w:val="clear" w:color="auto" w:fill="auto"/>
            <w:noWrap/>
            <w:vAlign w:val="center"/>
            <w:hideMark/>
          </w:tcPr>
          <w:p w14:paraId="69629D9A" w14:textId="77777777" w:rsidR="00EC4B36" w:rsidRPr="00AC57D5" w:rsidRDefault="00EC4B36" w:rsidP="006B5A62">
            <w:pPr>
              <w:spacing w:before="40" w:after="40" w:line="276" w:lineRule="auto"/>
              <w:jc w:val="center"/>
              <w:rPr>
                <w:rFonts w:cs="Calibri"/>
                <w:sz w:val="20"/>
                <w:szCs w:val="20"/>
                <w:lang w:val="es-ES"/>
              </w:rPr>
            </w:pPr>
            <w:r w:rsidRPr="00AC57D5">
              <w:rPr>
                <w:rFonts w:cs="Calibri"/>
                <w:sz w:val="20"/>
                <w:szCs w:val="20"/>
                <w:lang w:val="es-ES"/>
              </w:rPr>
              <w:t>1</w:t>
            </w:r>
          </w:p>
        </w:tc>
        <w:tc>
          <w:tcPr>
            <w:tcW w:w="851" w:type="dxa"/>
            <w:tcBorders>
              <w:top w:val="nil"/>
              <w:left w:val="nil"/>
              <w:bottom w:val="single" w:sz="4" w:space="0" w:color="auto"/>
              <w:right w:val="single" w:sz="4" w:space="0" w:color="auto"/>
            </w:tcBorders>
            <w:shd w:val="clear" w:color="auto" w:fill="auto"/>
            <w:noWrap/>
            <w:vAlign w:val="center"/>
            <w:hideMark/>
          </w:tcPr>
          <w:p w14:paraId="07450446" w14:textId="77777777" w:rsidR="00EC4B36" w:rsidRPr="00AC57D5" w:rsidRDefault="00EC4B36" w:rsidP="006B5A62">
            <w:pPr>
              <w:spacing w:before="40" w:after="40" w:line="276" w:lineRule="auto"/>
              <w:jc w:val="center"/>
              <w:rPr>
                <w:rFonts w:cs="Calibri"/>
                <w:sz w:val="20"/>
                <w:szCs w:val="20"/>
                <w:lang w:val="es-ES"/>
              </w:rPr>
            </w:pPr>
            <w:r w:rsidRPr="00AC57D5">
              <w:rPr>
                <w:rFonts w:cs="Calibri"/>
                <w:sz w:val="20"/>
                <w:szCs w:val="20"/>
                <w:lang w:val="es-ES"/>
              </w:rPr>
              <w:t>1</w:t>
            </w:r>
          </w:p>
        </w:tc>
        <w:tc>
          <w:tcPr>
            <w:tcW w:w="851" w:type="dxa"/>
            <w:tcBorders>
              <w:top w:val="nil"/>
              <w:left w:val="nil"/>
              <w:bottom w:val="single" w:sz="4" w:space="0" w:color="auto"/>
              <w:right w:val="single" w:sz="4" w:space="0" w:color="auto"/>
            </w:tcBorders>
            <w:shd w:val="clear" w:color="auto" w:fill="auto"/>
            <w:noWrap/>
            <w:vAlign w:val="center"/>
            <w:hideMark/>
          </w:tcPr>
          <w:p w14:paraId="7DC1B769" w14:textId="77777777" w:rsidR="00EC4B36" w:rsidRPr="00AC57D5" w:rsidRDefault="00EC4B36" w:rsidP="006B5A62">
            <w:pPr>
              <w:spacing w:before="40" w:after="40" w:line="276" w:lineRule="auto"/>
              <w:jc w:val="center"/>
              <w:rPr>
                <w:rFonts w:cs="Calibri"/>
                <w:sz w:val="20"/>
                <w:szCs w:val="20"/>
                <w:lang w:val="es-ES"/>
              </w:rPr>
            </w:pPr>
            <w:r w:rsidRPr="00AC57D5">
              <w:rPr>
                <w:rFonts w:cs="Calibri"/>
                <w:sz w:val="20"/>
                <w:szCs w:val="20"/>
                <w:lang w:val="es-ES"/>
              </w:rPr>
              <w:t>1</w:t>
            </w:r>
          </w:p>
        </w:tc>
        <w:tc>
          <w:tcPr>
            <w:tcW w:w="851" w:type="dxa"/>
            <w:tcBorders>
              <w:top w:val="nil"/>
              <w:left w:val="nil"/>
              <w:bottom w:val="single" w:sz="4" w:space="0" w:color="auto"/>
              <w:right w:val="single" w:sz="4" w:space="0" w:color="auto"/>
            </w:tcBorders>
            <w:shd w:val="clear" w:color="auto" w:fill="auto"/>
            <w:noWrap/>
            <w:vAlign w:val="center"/>
            <w:hideMark/>
          </w:tcPr>
          <w:p w14:paraId="0BA62A03" w14:textId="77777777" w:rsidR="00EC4B36" w:rsidRPr="00AC57D5" w:rsidRDefault="00EC4B36" w:rsidP="006B5A62">
            <w:pPr>
              <w:spacing w:before="40" w:after="40" w:line="276" w:lineRule="auto"/>
              <w:jc w:val="center"/>
              <w:rPr>
                <w:rFonts w:cs="Calibri"/>
                <w:sz w:val="20"/>
                <w:szCs w:val="20"/>
                <w:lang w:val="es-ES"/>
              </w:rPr>
            </w:pPr>
          </w:p>
        </w:tc>
      </w:tr>
      <w:tr w:rsidR="00EC4B36" w:rsidRPr="00AC57D5" w14:paraId="279DBC86" w14:textId="77777777" w:rsidTr="006B5A62">
        <w:tc>
          <w:tcPr>
            <w:tcW w:w="2835" w:type="dxa"/>
            <w:tcBorders>
              <w:top w:val="nil"/>
              <w:left w:val="single" w:sz="4" w:space="0" w:color="auto"/>
              <w:bottom w:val="single" w:sz="4" w:space="0" w:color="auto"/>
              <w:right w:val="single" w:sz="4" w:space="0" w:color="auto"/>
            </w:tcBorders>
            <w:shd w:val="clear" w:color="auto" w:fill="auto"/>
            <w:noWrap/>
            <w:vAlign w:val="center"/>
            <w:hideMark/>
          </w:tcPr>
          <w:p w14:paraId="0DA6F617" w14:textId="77777777" w:rsidR="00EC4B36" w:rsidRPr="00AC57D5" w:rsidRDefault="00EC4B36" w:rsidP="006B5A62">
            <w:pPr>
              <w:spacing w:before="40" w:after="40" w:line="276" w:lineRule="auto"/>
              <w:jc w:val="left"/>
              <w:rPr>
                <w:rFonts w:cs="Calibri"/>
                <w:sz w:val="20"/>
                <w:szCs w:val="20"/>
                <w:lang w:val="es-ES"/>
              </w:rPr>
            </w:pPr>
            <w:r w:rsidRPr="00AC57D5">
              <w:rPr>
                <w:rFonts w:cs="Calibri"/>
                <w:sz w:val="20"/>
                <w:szCs w:val="20"/>
                <w:lang w:val="es-ES"/>
              </w:rPr>
              <w:t>Montaje equipos mayores</w:t>
            </w:r>
          </w:p>
        </w:tc>
        <w:tc>
          <w:tcPr>
            <w:tcW w:w="851" w:type="dxa"/>
            <w:tcBorders>
              <w:top w:val="nil"/>
              <w:left w:val="nil"/>
              <w:bottom w:val="single" w:sz="4" w:space="0" w:color="auto"/>
              <w:right w:val="single" w:sz="4" w:space="0" w:color="auto"/>
            </w:tcBorders>
            <w:shd w:val="clear" w:color="auto" w:fill="auto"/>
            <w:noWrap/>
            <w:vAlign w:val="center"/>
            <w:hideMark/>
          </w:tcPr>
          <w:p w14:paraId="593B7E23" w14:textId="77777777" w:rsidR="00EC4B36" w:rsidRPr="00AC57D5" w:rsidRDefault="00EC4B36" w:rsidP="006B5A62">
            <w:pPr>
              <w:spacing w:before="40" w:after="40" w:line="276" w:lineRule="auto"/>
              <w:jc w:val="center"/>
              <w:rPr>
                <w:rFonts w:cs="Calibri"/>
                <w:sz w:val="20"/>
                <w:szCs w:val="20"/>
                <w:lang w:val="es-ES"/>
              </w:rPr>
            </w:pPr>
            <w:r w:rsidRPr="00AC57D5">
              <w:rPr>
                <w:rFonts w:cs="Calibri"/>
                <w:sz w:val="20"/>
                <w:szCs w:val="20"/>
                <w:lang w:val="es-ES"/>
              </w:rPr>
              <w:t>E1</w:t>
            </w:r>
          </w:p>
        </w:tc>
        <w:tc>
          <w:tcPr>
            <w:tcW w:w="851" w:type="dxa"/>
            <w:tcBorders>
              <w:top w:val="nil"/>
              <w:left w:val="nil"/>
              <w:bottom w:val="single" w:sz="4" w:space="0" w:color="auto"/>
              <w:right w:val="single" w:sz="4" w:space="0" w:color="auto"/>
            </w:tcBorders>
            <w:shd w:val="clear" w:color="auto" w:fill="auto"/>
            <w:noWrap/>
            <w:vAlign w:val="center"/>
            <w:hideMark/>
          </w:tcPr>
          <w:p w14:paraId="5A62E961" w14:textId="77777777" w:rsidR="00EC4B36" w:rsidRPr="00AC57D5" w:rsidRDefault="00EC4B36" w:rsidP="006B5A62">
            <w:pPr>
              <w:spacing w:before="40" w:after="40" w:line="276" w:lineRule="auto"/>
              <w:jc w:val="center"/>
              <w:rPr>
                <w:rFonts w:cs="Calibri"/>
                <w:sz w:val="20"/>
                <w:szCs w:val="20"/>
                <w:lang w:val="es-ES"/>
              </w:rPr>
            </w:pPr>
            <w:r w:rsidRPr="00AC57D5">
              <w:rPr>
                <w:rFonts w:cs="Calibri"/>
                <w:sz w:val="20"/>
                <w:szCs w:val="20"/>
                <w:lang w:val="es-ES"/>
              </w:rPr>
              <w:t>0,25</w:t>
            </w:r>
          </w:p>
        </w:tc>
        <w:tc>
          <w:tcPr>
            <w:tcW w:w="851" w:type="dxa"/>
            <w:tcBorders>
              <w:top w:val="nil"/>
              <w:left w:val="nil"/>
              <w:bottom w:val="single" w:sz="4" w:space="0" w:color="auto"/>
              <w:right w:val="single" w:sz="4" w:space="0" w:color="auto"/>
            </w:tcBorders>
            <w:shd w:val="clear" w:color="auto" w:fill="auto"/>
            <w:noWrap/>
            <w:vAlign w:val="center"/>
            <w:hideMark/>
          </w:tcPr>
          <w:p w14:paraId="1FA01C9C" w14:textId="77777777" w:rsidR="00EC4B36" w:rsidRPr="00AC57D5" w:rsidRDefault="00EC4B36" w:rsidP="006B5A62">
            <w:pPr>
              <w:spacing w:before="40" w:after="40" w:line="276" w:lineRule="auto"/>
              <w:jc w:val="center"/>
              <w:rPr>
                <w:rFonts w:cs="Calibri"/>
                <w:sz w:val="20"/>
                <w:szCs w:val="20"/>
                <w:lang w:val="es-ES"/>
              </w:rPr>
            </w:pPr>
            <w:r w:rsidRPr="00AC57D5">
              <w:rPr>
                <w:rFonts w:cs="Calibri"/>
                <w:sz w:val="20"/>
                <w:szCs w:val="20"/>
                <w:lang w:val="es-ES"/>
              </w:rPr>
              <w:t>0,25</w:t>
            </w:r>
          </w:p>
        </w:tc>
        <w:tc>
          <w:tcPr>
            <w:tcW w:w="851" w:type="dxa"/>
            <w:tcBorders>
              <w:top w:val="nil"/>
              <w:left w:val="nil"/>
              <w:bottom w:val="single" w:sz="4" w:space="0" w:color="auto"/>
              <w:right w:val="single" w:sz="4" w:space="0" w:color="auto"/>
            </w:tcBorders>
            <w:shd w:val="clear" w:color="auto" w:fill="auto"/>
            <w:noWrap/>
            <w:vAlign w:val="center"/>
            <w:hideMark/>
          </w:tcPr>
          <w:p w14:paraId="5C765580" w14:textId="77777777" w:rsidR="00EC4B36" w:rsidRPr="00AC57D5" w:rsidRDefault="00EC4B36" w:rsidP="006B5A62">
            <w:pPr>
              <w:spacing w:before="40" w:after="40" w:line="276" w:lineRule="auto"/>
              <w:jc w:val="center"/>
              <w:rPr>
                <w:rFonts w:cs="Calibri"/>
                <w:sz w:val="20"/>
                <w:szCs w:val="20"/>
                <w:lang w:val="es-ES"/>
              </w:rPr>
            </w:pPr>
            <w:r w:rsidRPr="00AC57D5">
              <w:rPr>
                <w:rFonts w:cs="Calibri"/>
                <w:sz w:val="20"/>
                <w:szCs w:val="20"/>
                <w:lang w:val="es-ES"/>
              </w:rPr>
              <w:t>0,5</w:t>
            </w:r>
          </w:p>
        </w:tc>
        <w:tc>
          <w:tcPr>
            <w:tcW w:w="851" w:type="dxa"/>
            <w:tcBorders>
              <w:top w:val="nil"/>
              <w:left w:val="nil"/>
              <w:bottom w:val="single" w:sz="4" w:space="0" w:color="auto"/>
              <w:right w:val="single" w:sz="4" w:space="0" w:color="auto"/>
            </w:tcBorders>
            <w:shd w:val="clear" w:color="auto" w:fill="auto"/>
            <w:noWrap/>
            <w:vAlign w:val="center"/>
            <w:hideMark/>
          </w:tcPr>
          <w:p w14:paraId="42BAFE9E" w14:textId="77777777" w:rsidR="00EC4B36" w:rsidRPr="00AC57D5" w:rsidRDefault="00EC4B36" w:rsidP="006B5A62">
            <w:pPr>
              <w:spacing w:before="40" w:after="40" w:line="276" w:lineRule="auto"/>
              <w:jc w:val="center"/>
              <w:rPr>
                <w:rFonts w:cs="Calibri"/>
                <w:sz w:val="20"/>
                <w:szCs w:val="20"/>
                <w:lang w:val="es-ES"/>
              </w:rPr>
            </w:pPr>
            <w:r w:rsidRPr="00AC57D5">
              <w:rPr>
                <w:rFonts w:cs="Calibri"/>
                <w:sz w:val="20"/>
                <w:szCs w:val="20"/>
                <w:lang w:val="es-ES"/>
              </w:rPr>
              <w:t>1</w:t>
            </w:r>
          </w:p>
        </w:tc>
        <w:tc>
          <w:tcPr>
            <w:tcW w:w="851" w:type="dxa"/>
            <w:tcBorders>
              <w:top w:val="nil"/>
              <w:left w:val="nil"/>
              <w:bottom w:val="single" w:sz="4" w:space="0" w:color="auto"/>
              <w:right w:val="single" w:sz="4" w:space="0" w:color="auto"/>
            </w:tcBorders>
            <w:shd w:val="clear" w:color="auto" w:fill="auto"/>
            <w:noWrap/>
            <w:vAlign w:val="center"/>
            <w:hideMark/>
          </w:tcPr>
          <w:p w14:paraId="1AC6DB8D" w14:textId="77777777" w:rsidR="00EC4B36" w:rsidRPr="00AC57D5" w:rsidRDefault="00EC4B36" w:rsidP="006B5A62">
            <w:pPr>
              <w:spacing w:before="40" w:after="40" w:line="276" w:lineRule="auto"/>
              <w:jc w:val="center"/>
              <w:rPr>
                <w:rFonts w:cs="Calibri"/>
                <w:sz w:val="20"/>
                <w:szCs w:val="20"/>
                <w:lang w:val="es-ES"/>
              </w:rPr>
            </w:pPr>
            <w:r w:rsidRPr="00AC57D5">
              <w:rPr>
                <w:rFonts w:cs="Calibri"/>
                <w:sz w:val="20"/>
                <w:szCs w:val="20"/>
                <w:lang w:val="es-ES"/>
              </w:rPr>
              <w:t>1</w:t>
            </w:r>
          </w:p>
        </w:tc>
        <w:tc>
          <w:tcPr>
            <w:tcW w:w="851" w:type="dxa"/>
            <w:tcBorders>
              <w:top w:val="nil"/>
              <w:left w:val="nil"/>
              <w:bottom w:val="single" w:sz="4" w:space="0" w:color="auto"/>
              <w:right w:val="single" w:sz="4" w:space="0" w:color="auto"/>
            </w:tcBorders>
            <w:shd w:val="clear" w:color="auto" w:fill="auto"/>
            <w:noWrap/>
            <w:vAlign w:val="center"/>
            <w:hideMark/>
          </w:tcPr>
          <w:p w14:paraId="59E17621" w14:textId="77777777" w:rsidR="00EC4B36" w:rsidRPr="00AC57D5" w:rsidRDefault="00EC4B36" w:rsidP="006B5A62">
            <w:pPr>
              <w:spacing w:before="40" w:after="40" w:line="276" w:lineRule="auto"/>
              <w:jc w:val="center"/>
              <w:rPr>
                <w:rFonts w:cs="Calibri"/>
                <w:sz w:val="20"/>
                <w:szCs w:val="20"/>
                <w:lang w:val="es-ES"/>
              </w:rPr>
            </w:pPr>
            <w:r w:rsidRPr="00AC57D5">
              <w:rPr>
                <w:rFonts w:cs="Calibri"/>
                <w:sz w:val="20"/>
                <w:szCs w:val="20"/>
                <w:lang w:val="es-ES"/>
              </w:rPr>
              <w:t>2</w:t>
            </w:r>
          </w:p>
        </w:tc>
        <w:tc>
          <w:tcPr>
            <w:tcW w:w="851" w:type="dxa"/>
            <w:tcBorders>
              <w:top w:val="nil"/>
              <w:left w:val="nil"/>
              <w:bottom w:val="single" w:sz="4" w:space="0" w:color="auto"/>
              <w:right w:val="single" w:sz="4" w:space="0" w:color="auto"/>
            </w:tcBorders>
            <w:shd w:val="clear" w:color="auto" w:fill="auto"/>
            <w:noWrap/>
            <w:vAlign w:val="center"/>
            <w:hideMark/>
          </w:tcPr>
          <w:p w14:paraId="397DBBE3" w14:textId="77777777" w:rsidR="00EC4B36" w:rsidRPr="00AC57D5" w:rsidRDefault="00EC4B36" w:rsidP="006B5A62">
            <w:pPr>
              <w:spacing w:before="40" w:after="40" w:line="276" w:lineRule="auto"/>
              <w:jc w:val="center"/>
              <w:rPr>
                <w:rFonts w:cs="Calibri"/>
                <w:sz w:val="20"/>
                <w:szCs w:val="20"/>
                <w:lang w:val="es-ES"/>
              </w:rPr>
            </w:pPr>
          </w:p>
        </w:tc>
      </w:tr>
      <w:tr w:rsidR="00EC4B36" w:rsidRPr="00AC57D5" w14:paraId="44EBF8BB" w14:textId="77777777" w:rsidTr="006B5A62">
        <w:tc>
          <w:tcPr>
            <w:tcW w:w="2835" w:type="dxa"/>
            <w:tcBorders>
              <w:top w:val="nil"/>
              <w:left w:val="single" w:sz="4" w:space="0" w:color="auto"/>
              <w:bottom w:val="single" w:sz="4" w:space="0" w:color="auto"/>
              <w:right w:val="single" w:sz="4" w:space="0" w:color="auto"/>
            </w:tcBorders>
            <w:shd w:val="clear" w:color="auto" w:fill="auto"/>
            <w:noWrap/>
            <w:vAlign w:val="center"/>
            <w:hideMark/>
          </w:tcPr>
          <w:p w14:paraId="695617F9" w14:textId="77777777" w:rsidR="00EC4B36" w:rsidRPr="00AC57D5" w:rsidRDefault="00EC4B36" w:rsidP="006B5A62">
            <w:pPr>
              <w:spacing w:before="40" w:after="40" w:line="276" w:lineRule="auto"/>
              <w:jc w:val="left"/>
              <w:rPr>
                <w:rFonts w:cs="Calibri"/>
                <w:sz w:val="20"/>
                <w:szCs w:val="20"/>
                <w:lang w:val="es-ES"/>
              </w:rPr>
            </w:pPr>
            <w:r w:rsidRPr="00AC57D5">
              <w:rPr>
                <w:rFonts w:cs="Calibri"/>
                <w:sz w:val="20"/>
                <w:szCs w:val="20"/>
                <w:lang w:val="es-ES"/>
              </w:rPr>
              <w:t>Montaje equipo eléctrico primario</w:t>
            </w:r>
          </w:p>
        </w:tc>
        <w:tc>
          <w:tcPr>
            <w:tcW w:w="851" w:type="dxa"/>
            <w:tcBorders>
              <w:top w:val="nil"/>
              <w:left w:val="nil"/>
              <w:bottom w:val="single" w:sz="4" w:space="0" w:color="auto"/>
              <w:right w:val="single" w:sz="4" w:space="0" w:color="auto"/>
            </w:tcBorders>
            <w:shd w:val="clear" w:color="auto" w:fill="auto"/>
            <w:noWrap/>
            <w:vAlign w:val="center"/>
            <w:hideMark/>
          </w:tcPr>
          <w:p w14:paraId="26E2AD9C" w14:textId="77777777" w:rsidR="00EC4B36" w:rsidRPr="00AC57D5" w:rsidRDefault="00EC4B36" w:rsidP="006B5A62">
            <w:pPr>
              <w:spacing w:before="40" w:after="40" w:line="276" w:lineRule="auto"/>
              <w:jc w:val="center"/>
              <w:rPr>
                <w:rFonts w:cs="Calibri"/>
                <w:sz w:val="20"/>
                <w:szCs w:val="20"/>
                <w:lang w:val="es-ES"/>
              </w:rPr>
            </w:pPr>
            <w:r w:rsidRPr="00AC57D5">
              <w:rPr>
                <w:rFonts w:cs="Calibri"/>
                <w:sz w:val="20"/>
                <w:szCs w:val="20"/>
                <w:lang w:val="es-ES"/>
              </w:rPr>
              <w:t>E2</w:t>
            </w:r>
          </w:p>
        </w:tc>
        <w:tc>
          <w:tcPr>
            <w:tcW w:w="851" w:type="dxa"/>
            <w:tcBorders>
              <w:top w:val="nil"/>
              <w:left w:val="nil"/>
              <w:bottom w:val="single" w:sz="4" w:space="0" w:color="auto"/>
              <w:right w:val="single" w:sz="4" w:space="0" w:color="auto"/>
            </w:tcBorders>
            <w:shd w:val="clear" w:color="auto" w:fill="auto"/>
            <w:noWrap/>
            <w:vAlign w:val="center"/>
            <w:hideMark/>
          </w:tcPr>
          <w:p w14:paraId="612B00B4" w14:textId="77777777" w:rsidR="00EC4B36" w:rsidRPr="00AC57D5" w:rsidRDefault="00EC4B36" w:rsidP="006B5A62">
            <w:pPr>
              <w:spacing w:before="40" w:after="40" w:line="276" w:lineRule="auto"/>
              <w:jc w:val="center"/>
              <w:rPr>
                <w:rFonts w:cs="Calibri"/>
                <w:sz w:val="20"/>
                <w:szCs w:val="20"/>
                <w:lang w:val="es-ES"/>
              </w:rPr>
            </w:pPr>
            <w:r w:rsidRPr="00AC57D5">
              <w:rPr>
                <w:rFonts w:cs="Calibri"/>
                <w:sz w:val="20"/>
                <w:szCs w:val="20"/>
                <w:lang w:val="es-ES"/>
              </w:rPr>
              <w:t>0,25</w:t>
            </w:r>
          </w:p>
        </w:tc>
        <w:tc>
          <w:tcPr>
            <w:tcW w:w="851" w:type="dxa"/>
            <w:tcBorders>
              <w:top w:val="nil"/>
              <w:left w:val="nil"/>
              <w:bottom w:val="single" w:sz="4" w:space="0" w:color="auto"/>
              <w:right w:val="single" w:sz="4" w:space="0" w:color="auto"/>
            </w:tcBorders>
            <w:shd w:val="clear" w:color="auto" w:fill="auto"/>
            <w:noWrap/>
            <w:vAlign w:val="center"/>
            <w:hideMark/>
          </w:tcPr>
          <w:p w14:paraId="49C6DAB9" w14:textId="77777777" w:rsidR="00EC4B36" w:rsidRPr="00AC57D5" w:rsidRDefault="00EC4B36" w:rsidP="006B5A62">
            <w:pPr>
              <w:spacing w:before="40" w:after="40" w:line="276" w:lineRule="auto"/>
              <w:jc w:val="center"/>
              <w:rPr>
                <w:rFonts w:cs="Calibri"/>
                <w:sz w:val="20"/>
                <w:szCs w:val="20"/>
                <w:lang w:val="es-ES"/>
              </w:rPr>
            </w:pPr>
            <w:r w:rsidRPr="00AC57D5">
              <w:rPr>
                <w:rFonts w:cs="Calibri"/>
                <w:sz w:val="20"/>
                <w:szCs w:val="20"/>
                <w:lang w:val="es-ES"/>
              </w:rPr>
              <w:t>0,25</w:t>
            </w:r>
          </w:p>
        </w:tc>
        <w:tc>
          <w:tcPr>
            <w:tcW w:w="851" w:type="dxa"/>
            <w:tcBorders>
              <w:top w:val="nil"/>
              <w:left w:val="nil"/>
              <w:bottom w:val="single" w:sz="4" w:space="0" w:color="auto"/>
              <w:right w:val="single" w:sz="4" w:space="0" w:color="auto"/>
            </w:tcBorders>
            <w:shd w:val="clear" w:color="auto" w:fill="auto"/>
            <w:noWrap/>
            <w:vAlign w:val="center"/>
            <w:hideMark/>
          </w:tcPr>
          <w:p w14:paraId="6CC1C32C" w14:textId="77777777" w:rsidR="00EC4B36" w:rsidRPr="00AC57D5" w:rsidRDefault="00EC4B36" w:rsidP="006B5A62">
            <w:pPr>
              <w:spacing w:before="40" w:after="40" w:line="276" w:lineRule="auto"/>
              <w:jc w:val="center"/>
              <w:rPr>
                <w:rFonts w:cs="Calibri"/>
                <w:sz w:val="20"/>
                <w:szCs w:val="20"/>
                <w:lang w:val="es-ES"/>
              </w:rPr>
            </w:pPr>
            <w:r w:rsidRPr="00AC57D5">
              <w:rPr>
                <w:rFonts w:cs="Calibri"/>
                <w:sz w:val="20"/>
                <w:szCs w:val="20"/>
                <w:lang w:val="es-ES"/>
              </w:rPr>
              <w:t>1</w:t>
            </w:r>
          </w:p>
        </w:tc>
        <w:tc>
          <w:tcPr>
            <w:tcW w:w="851" w:type="dxa"/>
            <w:tcBorders>
              <w:top w:val="nil"/>
              <w:left w:val="nil"/>
              <w:bottom w:val="single" w:sz="4" w:space="0" w:color="auto"/>
              <w:right w:val="single" w:sz="4" w:space="0" w:color="auto"/>
            </w:tcBorders>
            <w:shd w:val="clear" w:color="auto" w:fill="auto"/>
            <w:noWrap/>
            <w:vAlign w:val="center"/>
            <w:hideMark/>
          </w:tcPr>
          <w:p w14:paraId="60695243" w14:textId="77777777" w:rsidR="00EC4B36" w:rsidRPr="00AC57D5" w:rsidRDefault="00EC4B36" w:rsidP="006B5A62">
            <w:pPr>
              <w:spacing w:before="40" w:after="40" w:line="276" w:lineRule="auto"/>
              <w:jc w:val="center"/>
              <w:rPr>
                <w:rFonts w:cs="Calibri"/>
                <w:sz w:val="20"/>
                <w:szCs w:val="20"/>
                <w:lang w:val="es-ES"/>
              </w:rPr>
            </w:pPr>
          </w:p>
        </w:tc>
        <w:tc>
          <w:tcPr>
            <w:tcW w:w="851" w:type="dxa"/>
            <w:tcBorders>
              <w:top w:val="nil"/>
              <w:left w:val="nil"/>
              <w:bottom w:val="single" w:sz="4" w:space="0" w:color="auto"/>
              <w:right w:val="single" w:sz="4" w:space="0" w:color="auto"/>
            </w:tcBorders>
            <w:shd w:val="clear" w:color="auto" w:fill="auto"/>
            <w:noWrap/>
            <w:vAlign w:val="center"/>
            <w:hideMark/>
          </w:tcPr>
          <w:p w14:paraId="4385C81B" w14:textId="77777777" w:rsidR="00EC4B36" w:rsidRPr="00AC57D5" w:rsidRDefault="00EC4B36" w:rsidP="006B5A62">
            <w:pPr>
              <w:spacing w:before="40" w:after="40" w:line="276" w:lineRule="auto"/>
              <w:jc w:val="center"/>
              <w:rPr>
                <w:rFonts w:cs="Calibri"/>
                <w:sz w:val="20"/>
                <w:szCs w:val="20"/>
                <w:lang w:val="es-ES"/>
              </w:rPr>
            </w:pPr>
            <w:r w:rsidRPr="00AC57D5">
              <w:rPr>
                <w:rFonts w:cs="Calibri"/>
                <w:sz w:val="20"/>
                <w:szCs w:val="20"/>
                <w:lang w:val="es-ES"/>
              </w:rPr>
              <w:t>1</w:t>
            </w:r>
          </w:p>
        </w:tc>
        <w:tc>
          <w:tcPr>
            <w:tcW w:w="851" w:type="dxa"/>
            <w:tcBorders>
              <w:top w:val="nil"/>
              <w:left w:val="nil"/>
              <w:bottom w:val="single" w:sz="4" w:space="0" w:color="auto"/>
              <w:right w:val="single" w:sz="4" w:space="0" w:color="auto"/>
            </w:tcBorders>
            <w:shd w:val="clear" w:color="auto" w:fill="auto"/>
            <w:noWrap/>
            <w:vAlign w:val="center"/>
            <w:hideMark/>
          </w:tcPr>
          <w:p w14:paraId="7E5A7FA2" w14:textId="77777777" w:rsidR="00EC4B36" w:rsidRPr="00AC57D5" w:rsidRDefault="00EC4B36" w:rsidP="006B5A62">
            <w:pPr>
              <w:spacing w:before="40" w:after="40" w:line="276" w:lineRule="auto"/>
              <w:jc w:val="center"/>
              <w:rPr>
                <w:rFonts w:cs="Calibri"/>
                <w:sz w:val="20"/>
                <w:szCs w:val="20"/>
                <w:lang w:val="es-ES"/>
              </w:rPr>
            </w:pPr>
            <w:r w:rsidRPr="00AC57D5">
              <w:rPr>
                <w:rFonts w:cs="Calibri"/>
                <w:sz w:val="20"/>
                <w:szCs w:val="20"/>
                <w:lang w:val="es-ES"/>
              </w:rPr>
              <w:t>1</w:t>
            </w:r>
          </w:p>
        </w:tc>
        <w:tc>
          <w:tcPr>
            <w:tcW w:w="851" w:type="dxa"/>
            <w:tcBorders>
              <w:top w:val="nil"/>
              <w:left w:val="nil"/>
              <w:bottom w:val="single" w:sz="4" w:space="0" w:color="auto"/>
              <w:right w:val="single" w:sz="4" w:space="0" w:color="auto"/>
            </w:tcBorders>
            <w:shd w:val="clear" w:color="auto" w:fill="auto"/>
            <w:noWrap/>
            <w:vAlign w:val="center"/>
            <w:hideMark/>
          </w:tcPr>
          <w:p w14:paraId="70DF6328" w14:textId="77777777" w:rsidR="00EC4B36" w:rsidRPr="00AC57D5" w:rsidRDefault="00EC4B36" w:rsidP="006B5A62">
            <w:pPr>
              <w:spacing w:before="40" w:after="40" w:line="276" w:lineRule="auto"/>
              <w:jc w:val="center"/>
              <w:rPr>
                <w:rFonts w:cs="Calibri"/>
                <w:sz w:val="20"/>
                <w:szCs w:val="20"/>
                <w:lang w:val="es-ES"/>
              </w:rPr>
            </w:pPr>
            <w:r w:rsidRPr="00AC57D5">
              <w:rPr>
                <w:rFonts w:cs="Calibri"/>
                <w:sz w:val="20"/>
                <w:szCs w:val="20"/>
                <w:lang w:val="es-ES"/>
              </w:rPr>
              <w:t>1</w:t>
            </w:r>
          </w:p>
        </w:tc>
      </w:tr>
      <w:tr w:rsidR="00EC4B36" w:rsidRPr="00AC57D5" w14:paraId="2B2E492C" w14:textId="77777777" w:rsidTr="006B5A62">
        <w:tc>
          <w:tcPr>
            <w:tcW w:w="2835" w:type="dxa"/>
            <w:tcBorders>
              <w:top w:val="nil"/>
              <w:left w:val="single" w:sz="4" w:space="0" w:color="auto"/>
              <w:bottom w:val="single" w:sz="4" w:space="0" w:color="auto"/>
              <w:right w:val="single" w:sz="4" w:space="0" w:color="auto"/>
            </w:tcBorders>
            <w:shd w:val="clear" w:color="auto" w:fill="auto"/>
            <w:noWrap/>
            <w:vAlign w:val="center"/>
            <w:hideMark/>
          </w:tcPr>
          <w:p w14:paraId="2BB1F9DF" w14:textId="77777777" w:rsidR="00EC4B36" w:rsidRPr="00AC57D5" w:rsidRDefault="00EC4B36" w:rsidP="006B5A62">
            <w:pPr>
              <w:spacing w:before="40" w:after="40" w:line="276" w:lineRule="auto"/>
              <w:jc w:val="left"/>
              <w:rPr>
                <w:rFonts w:cs="Calibri"/>
                <w:sz w:val="20"/>
                <w:szCs w:val="20"/>
                <w:lang w:val="es-ES"/>
              </w:rPr>
            </w:pPr>
            <w:r w:rsidRPr="00AC57D5">
              <w:rPr>
                <w:rFonts w:cs="Calibri"/>
                <w:sz w:val="20"/>
                <w:szCs w:val="20"/>
                <w:lang w:val="es-ES"/>
              </w:rPr>
              <w:t>Montaje aisladores, conductores, conectores, elementos auxiliares</w:t>
            </w:r>
          </w:p>
        </w:tc>
        <w:tc>
          <w:tcPr>
            <w:tcW w:w="851" w:type="dxa"/>
            <w:tcBorders>
              <w:top w:val="nil"/>
              <w:left w:val="nil"/>
              <w:bottom w:val="single" w:sz="4" w:space="0" w:color="auto"/>
              <w:right w:val="single" w:sz="4" w:space="0" w:color="auto"/>
            </w:tcBorders>
            <w:shd w:val="clear" w:color="auto" w:fill="auto"/>
            <w:noWrap/>
            <w:vAlign w:val="center"/>
            <w:hideMark/>
          </w:tcPr>
          <w:p w14:paraId="65CBB4FA" w14:textId="77777777" w:rsidR="00EC4B36" w:rsidRPr="00AC57D5" w:rsidRDefault="00EC4B36" w:rsidP="006B5A62">
            <w:pPr>
              <w:spacing w:before="40" w:after="40" w:line="276" w:lineRule="auto"/>
              <w:jc w:val="center"/>
              <w:rPr>
                <w:rFonts w:cs="Calibri"/>
                <w:sz w:val="20"/>
                <w:szCs w:val="20"/>
                <w:lang w:val="es-ES"/>
              </w:rPr>
            </w:pPr>
            <w:r w:rsidRPr="00AC57D5">
              <w:rPr>
                <w:rFonts w:cs="Calibri"/>
                <w:sz w:val="20"/>
                <w:szCs w:val="20"/>
                <w:lang w:val="es-ES"/>
              </w:rPr>
              <w:t>E3</w:t>
            </w:r>
          </w:p>
        </w:tc>
        <w:tc>
          <w:tcPr>
            <w:tcW w:w="851" w:type="dxa"/>
            <w:tcBorders>
              <w:top w:val="nil"/>
              <w:left w:val="nil"/>
              <w:bottom w:val="single" w:sz="4" w:space="0" w:color="auto"/>
              <w:right w:val="single" w:sz="4" w:space="0" w:color="auto"/>
            </w:tcBorders>
            <w:shd w:val="clear" w:color="auto" w:fill="auto"/>
            <w:noWrap/>
            <w:vAlign w:val="center"/>
            <w:hideMark/>
          </w:tcPr>
          <w:p w14:paraId="52EADA46" w14:textId="77777777" w:rsidR="00EC4B36" w:rsidRPr="00AC57D5" w:rsidRDefault="00EC4B36" w:rsidP="006B5A62">
            <w:pPr>
              <w:spacing w:before="40" w:after="40" w:line="276" w:lineRule="auto"/>
              <w:jc w:val="center"/>
              <w:rPr>
                <w:rFonts w:cs="Calibri"/>
                <w:sz w:val="20"/>
                <w:szCs w:val="20"/>
                <w:lang w:val="es-ES"/>
              </w:rPr>
            </w:pPr>
            <w:r w:rsidRPr="00AC57D5">
              <w:rPr>
                <w:rFonts w:cs="Calibri"/>
                <w:sz w:val="20"/>
                <w:szCs w:val="20"/>
                <w:lang w:val="es-ES"/>
              </w:rPr>
              <w:t>0,05</w:t>
            </w:r>
          </w:p>
        </w:tc>
        <w:tc>
          <w:tcPr>
            <w:tcW w:w="851" w:type="dxa"/>
            <w:tcBorders>
              <w:top w:val="nil"/>
              <w:left w:val="nil"/>
              <w:bottom w:val="single" w:sz="4" w:space="0" w:color="auto"/>
              <w:right w:val="single" w:sz="4" w:space="0" w:color="auto"/>
            </w:tcBorders>
            <w:shd w:val="clear" w:color="auto" w:fill="auto"/>
            <w:noWrap/>
            <w:vAlign w:val="center"/>
            <w:hideMark/>
          </w:tcPr>
          <w:p w14:paraId="16C48826" w14:textId="77777777" w:rsidR="00EC4B36" w:rsidRPr="00AC57D5" w:rsidRDefault="00EC4B36" w:rsidP="006B5A62">
            <w:pPr>
              <w:spacing w:before="40" w:after="40" w:line="276" w:lineRule="auto"/>
              <w:jc w:val="center"/>
              <w:rPr>
                <w:rFonts w:cs="Calibri"/>
                <w:sz w:val="20"/>
                <w:szCs w:val="20"/>
                <w:lang w:val="es-ES"/>
              </w:rPr>
            </w:pPr>
            <w:r w:rsidRPr="00AC57D5">
              <w:rPr>
                <w:rFonts w:cs="Calibri"/>
                <w:sz w:val="20"/>
                <w:szCs w:val="20"/>
                <w:lang w:val="es-ES"/>
              </w:rPr>
              <w:t>0,2</w:t>
            </w:r>
          </w:p>
        </w:tc>
        <w:tc>
          <w:tcPr>
            <w:tcW w:w="851" w:type="dxa"/>
            <w:tcBorders>
              <w:top w:val="nil"/>
              <w:left w:val="nil"/>
              <w:bottom w:val="single" w:sz="4" w:space="0" w:color="auto"/>
              <w:right w:val="single" w:sz="4" w:space="0" w:color="auto"/>
            </w:tcBorders>
            <w:shd w:val="clear" w:color="auto" w:fill="auto"/>
            <w:noWrap/>
            <w:vAlign w:val="center"/>
            <w:hideMark/>
          </w:tcPr>
          <w:p w14:paraId="0CA7CFAE" w14:textId="77777777" w:rsidR="00EC4B36" w:rsidRPr="00AC57D5" w:rsidRDefault="00EC4B36" w:rsidP="006B5A62">
            <w:pPr>
              <w:spacing w:before="40" w:after="40" w:line="276" w:lineRule="auto"/>
              <w:jc w:val="center"/>
              <w:rPr>
                <w:rFonts w:cs="Calibri"/>
                <w:sz w:val="20"/>
                <w:szCs w:val="20"/>
                <w:lang w:val="es-ES"/>
              </w:rPr>
            </w:pPr>
          </w:p>
        </w:tc>
        <w:tc>
          <w:tcPr>
            <w:tcW w:w="851" w:type="dxa"/>
            <w:tcBorders>
              <w:top w:val="nil"/>
              <w:left w:val="nil"/>
              <w:bottom w:val="single" w:sz="4" w:space="0" w:color="auto"/>
              <w:right w:val="single" w:sz="4" w:space="0" w:color="auto"/>
            </w:tcBorders>
            <w:shd w:val="clear" w:color="auto" w:fill="auto"/>
            <w:noWrap/>
            <w:vAlign w:val="center"/>
            <w:hideMark/>
          </w:tcPr>
          <w:p w14:paraId="1CD710B1" w14:textId="77777777" w:rsidR="00EC4B36" w:rsidRPr="00AC57D5" w:rsidRDefault="00EC4B36" w:rsidP="006B5A62">
            <w:pPr>
              <w:spacing w:before="40" w:after="40" w:line="276" w:lineRule="auto"/>
              <w:jc w:val="center"/>
              <w:rPr>
                <w:rFonts w:cs="Calibri"/>
                <w:sz w:val="20"/>
                <w:szCs w:val="20"/>
                <w:lang w:val="es-ES"/>
              </w:rPr>
            </w:pPr>
            <w:r w:rsidRPr="00AC57D5">
              <w:rPr>
                <w:rFonts w:cs="Calibri"/>
                <w:sz w:val="20"/>
                <w:szCs w:val="20"/>
                <w:lang w:val="es-ES"/>
              </w:rPr>
              <w:t>0,5</w:t>
            </w:r>
          </w:p>
        </w:tc>
        <w:tc>
          <w:tcPr>
            <w:tcW w:w="851" w:type="dxa"/>
            <w:tcBorders>
              <w:top w:val="nil"/>
              <w:left w:val="nil"/>
              <w:bottom w:val="single" w:sz="4" w:space="0" w:color="auto"/>
              <w:right w:val="single" w:sz="4" w:space="0" w:color="auto"/>
            </w:tcBorders>
            <w:shd w:val="clear" w:color="auto" w:fill="auto"/>
            <w:noWrap/>
            <w:vAlign w:val="center"/>
            <w:hideMark/>
          </w:tcPr>
          <w:p w14:paraId="01A81EE9" w14:textId="77777777" w:rsidR="00EC4B36" w:rsidRPr="00AC57D5" w:rsidRDefault="00EC4B36" w:rsidP="006B5A62">
            <w:pPr>
              <w:spacing w:before="40" w:after="40" w:line="276" w:lineRule="auto"/>
              <w:jc w:val="center"/>
              <w:rPr>
                <w:rFonts w:cs="Calibri"/>
                <w:sz w:val="20"/>
                <w:szCs w:val="20"/>
                <w:lang w:val="es-ES"/>
              </w:rPr>
            </w:pPr>
            <w:r w:rsidRPr="00AC57D5">
              <w:rPr>
                <w:rFonts w:cs="Calibri"/>
                <w:sz w:val="20"/>
                <w:szCs w:val="20"/>
                <w:lang w:val="es-ES"/>
              </w:rPr>
              <w:t>1</w:t>
            </w:r>
          </w:p>
        </w:tc>
        <w:tc>
          <w:tcPr>
            <w:tcW w:w="851" w:type="dxa"/>
            <w:tcBorders>
              <w:top w:val="nil"/>
              <w:left w:val="nil"/>
              <w:bottom w:val="single" w:sz="4" w:space="0" w:color="auto"/>
              <w:right w:val="single" w:sz="4" w:space="0" w:color="auto"/>
            </w:tcBorders>
            <w:shd w:val="clear" w:color="auto" w:fill="auto"/>
            <w:noWrap/>
            <w:vAlign w:val="center"/>
            <w:hideMark/>
          </w:tcPr>
          <w:p w14:paraId="29B6847F" w14:textId="77777777" w:rsidR="00EC4B36" w:rsidRPr="00AC57D5" w:rsidRDefault="00EC4B36" w:rsidP="006B5A62">
            <w:pPr>
              <w:spacing w:before="40" w:after="40" w:line="276" w:lineRule="auto"/>
              <w:jc w:val="center"/>
              <w:rPr>
                <w:rFonts w:cs="Calibri"/>
                <w:sz w:val="20"/>
                <w:szCs w:val="20"/>
                <w:lang w:val="es-ES"/>
              </w:rPr>
            </w:pPr>
          </w:p>
        </w:tc>
        <w:tc>
          <w:tcPr>
            <w:tcW w:w="851" w:type="dxa"/>
            <w:tcBorders>
              <w:top w:val="nil"/>
              <w:left w:val="nil"/>
              <w:bottom w:val="single" w:sz="4" w:space="0" w:color="auto"/>
              <w:right w:val="single" w:sz="4" w:space="0" w:color="auto"/>
            </w:tcBorders>
            <w:shd w:val="clear" w:color="auto" w:fill="auto"/>
            <w:noWrap/>
            <w:vAlign w:val="center"/>
            <w:hideMark/>
          </w:tcPr>
          <w:p w14:paraId="5A05CA49" w14:textId="77777777" w:rsidR="00EC4B36" w:rsidRPr="00AC57D5" w:rsidRDefault="00EC4B36" w:rsidP="006B5A62">
            <w:pPr>
              <w:spacing w:before="40" w:after="40" w:line="276" w:lineRule="auto"/>
              <w:jc w:val="center"/>
              <w:rPr>
                <w:rFonts w:cs="Calibri"/>
                <w:sz w:val="20"/>
                <w:szCs w:val="20"/>
                <w:lang w:val="es-ES"/>
              </w:rPr>
            </w:pPr>
            <w:r w:rsidRPr="00AC57D5">
              <w:rPr>
                <w:rFonts w:cs="Calibri"/>
                <w:sz w:val="20"/>
                <w:szCs w:val="20"/>
                <w:lang w:val="es-ES"/>
              </w:rPr>
              <w:t>1</w:t>
            </w:r>
          </w:p>
        </w:tc>
      </w:tr>
      <w:tr w:rsidR="00EC4B36" w:rsidRPr="00AC57D5" w14:paraId="724CE21A" w14:textId="77777777" w:rsidTr="006B5A62">
        <w:tc>
          <w:tcPr>
            <w:tcW w:w="2835" w:type="dxa"/>
            <w:tcBorders>
              <w:top w:val="nil"/>
              <w:left w:val="single" w:sz="4" w:space="0" w:color="auto"/>
              <w:bottom w:val="single" w:sz="4" w:space="0" w:color="auto"/>
              <w:right w:val="single" w:sz="4" w:space="0" w:color="auto"/>
            </w:tcBorders>
            <w:shd w:val="clear" w:color="auto" w:fill="auto"/>
            <w:noWrap/>
            <w:vAlign w:val="center"/>
            <w:hideMark/>
          </w:tcPr>
          <w:p w14:paraId="29B9D568" w14:textId="77777777" w:rsidR="00EC4B36" w:rsidRPr="00AC57D5" w:rsidRDefault="00EC4B36" w:rsidP="006B5A62">
            <w:pPr>
              <w:spacing w:before="40" w:after="40" w:line="276" w:lineRule="auto"/>
              <w:jc w:val="left"/>
              <w:rPr>
                <w:rFonts w:cs="Calibri"/>
                <w:sz w:val="20"/>
                <w:szCs w:val="20"/>
                <w:lang w:val="es-ES"/>
              </w:rPr>
            </w:pPr>
            <w:r w:rsidRPr="00AC57D5">
              <w:rPr>
                <w:rFonts w:cs="Calibri"/>
                <w:sz w:val="20"/>
                <w:szCs w:val="20"/>
                <w:lang w:val="es-ES"/>
              </w:rPr>
              <w:lastRenderedPageBreak/>
              <w:t>Montaje y conexionado control y protección</w:t>
            </w:r>
          </w:p>
        </w:tc>
        <w:tc>
          <w:tcPr>
            <w:tcW w:w="851" w:type="dxa"/>
            <w:tcBorders>
              <w:top w:val="nil"/>
              <w:left w:val="nil"/>
              <w:bottom w:val="single" w:sz="4" w:space="0" w:color="auto"/>
              <w:right w:val="single" w:sz="4" w:space="0" w:color="auto"/>
            </w:tcBorders>
            <w:shd w:val="clear" w:color="auto" w:fill="auto"/>
            <w:noWrap/>
            <w:vAlign w:val="center"/>
            <w:hideMark/>
          </w:tcPr>
          <w:p w14:paraId="593CC801" w14:textId="77777777" w:rsidR="00EC4B36" w:rsidRPr="00AC57D5" w:rsidRDefault="00EC4B36" w:rsidP="006B5A62">
            <w:pPr>
              <w:spacing w:before="40" w:after="40" w:line="276" w:lineRule="auto"/>
              <w:jc w:val="center"/>
              <w:rPr>
                <w:rFonts w:cs="Calibri"/>
                <w:sz w:val="20"/>
                <w:szCs w:val="20"/>
                <w:lang w:val="es-ES"/>
              </w:rPr>
            </w:pPr>
            <w:r w:rsidRPr="00AC57D5">
              <w:rPr>
                <w:rFonts w:cs="Calibri"/>
                <w:sz w:val="20"/>
                <w:szCs w:val="20"/>
                <w:lang w:val="es-ES"/>
              </w:rPr>
              <w:t>E4</w:t>
            </w:r>
          </w:p>
        </w:tc>
        <w:tc>
          <w:tcPr>
            <w:tcW w:w="851" w:type="dxa"/>
            <w:tcBorders>
              <w:top w:val="nil"/>
              <w:left w:val="nil"/>
              <w:bottom w:val="single" w:sz="4" w:space="0" w:color="auto"/>
              <w:right w:val="single" w:sz="4" w:space="0" w:color="auto"/>
            </w:tcBorders>
            <w:shd w:val="clear" w:color="auto" w:fill="auto"/>
            <w:noWrap/>
            <w:vAlign w:val="center"/>
            <w:hideMark/>
          </w:tcPr>
          <w:p w14:paraId="0BD1A44F" w14:textId="77777777" w:rsidR="00EC4B36" w:rsidRPr="00AC57D5" w:rsidRDefault="00EC4B36" w:rsidP="006B5A62">
            <w:pPr>
              <w:spacing w:before="40" w:after="40" w:line="276" w:lineRule="auto"/>
              <w:jc w:val="center"/>
              <w:rPr>
                <w:rFonts w:cs="Calibri"/>
                <w:sz w:val="20"/>
                <w:szCs w:val="20"/>
                <w:lang w:val="es-ES"/>
              </w:rPr>
            </w:pPr>
            <w:r w:rsidRPr="00AC57D5">
              <w:rPr>
                <w:rFonts w:cs="Calibri"/>
                <w:sz w:val="20"/>
                <w:szCs w:val="20"/>
                <w:lang w:val="es-ES"/>
              </w:rPr>
              <w:t>0,15</w:t>
            </w:r>
          </w:p>
        </w:tc>
        <w:tc>
          <w:tcPr>
            <w:tcW w:w="851" w:type="dxa"/>
            <w:tcBorders>
              <w:top w:val="nil"/>
              <w:left w:val="nil"/>
              <w:bottom w:val="single" w:sz="4" w:space="0" w:color="auto"/>
              <w:right w:val="single" w:sz="4" w:space="0" w:color="auto"/>
            </w:tcBorders>
            <w:shd w:val="clear" w:color="auto" w:fill="auto"/>
            <w:noWrap/>
            <w:vAlign w:val="center"/>
            <w:hideMark/>
          </w:tcPr>
          <w:p w14:paraId="04992B4B" w14:textId="77777777" w:rsidR="00EC4B36" w:rsidRPr="00AC57D5" w:rsidRDefault="00EC4B36" w:rsidP="006B5A62">
            <w:pPr>
              <w:spacing w:before="40" w:after="40" w:line="276" w:lineRule="auto"/>
              <w:jc w:val="center"/>
              <w:rPr>
                <w:rFonts w:cs="Calibri"/>
                <w:sz w:val="20"/>
                <w:szCs w:val="20"/>
                <w:lang w:val="es-ES"/>
              </w:rPr>
            </w:pPr>
            <w:r w:rsidRPr="00AC57D5">
              <w:rPr>
                <w:rFonts w:cs="Calibri"/>
                <w:sz w:val="20"/>
                <w:szCs w:val="20"/>
                <w:lang w:val="es-ES"/>
              </w:rPr>
              <w:t>0,25</w:t>
            </w:r>
          </w:p>
        </w:tc>
        <w:tc>
          <w:tcPr>
            <w:tcW w:w="851" w:type="dxa"/>
            <w:tcBorders>
              <w:top w:val="nil"/>
              <w:left w:val="nil"/>
              <w:bottom w:val="single" w:sz="4" w:space="0" w:color="auto"/>
              <w:right w:val="single" w:sz="4" w:space="0" w:color="auto"/>
            </w:tcBorders>
            <w:shd w:val="clear" w:color="auto" w:fill="auto"/>
            <w:noWrap/>
            <w:vAlign w:val="center"/>
            <w:hideMark/>
          </w:tcPr>
          <w:p w14:paraId="031E7F64" w14:textId="77777777" w:rsidR="00EC4B36" w:rsidRPr="00AC57D5" w:rsidRDefault="00EC4B36" w:rsidP="006B5A62">
            <w:pPr>
              <w:spacing w:before="40" w:after="40" w:line="276" w:lineRule="auto"/>
              <w:jc w:val="center"/>
              <w:rPr>
                <w:rFonts w:cs="Calibri"/>
                <w:sz w:val="20"/>
                <w:szCs w:val="20"/>
                <w:lang w:val="es-ES"/>
              </w:rPr>
            </w:pPr>
            <w:r w:rsidRPr="00AC57D5">
              <w:rPr>
                <w:rFonts w:cs="Calibri"/>
                <w:sz w:val="20"/>
                <w:szCs w:val="20"/>
                <w:lang w:val="es-ES"/>
              </w:rPr>
              <w:t>1</w:t>
            </w:r>
          </w:p>
        </w:tc>
        <w:tc>
          <w:tcPr>
            <w:tcW w:w="851" w:type="dxa"/>
            <w:tcBorders>
              <w:top w:val="nil"/>
              <w:left w:val="nil"/>
              <w:bottom w:val="single" w:sz="4" w:space="0" w:color="auto"/>
              <w:right w:val="single" w:sz="4" w:space="0" w:color="auto"/>
            </w:tcBorders>
            <w:shd w:val="clear" w:color="auto" w:fill="auto"/>
            <w:noWrap/>
            <w:vAlign w:val="center"/>
            <w:hideMark/>
          </w:tcPr>
          <w:p w14:paraId="4409DA12" w14:textId="77777777" w:rsidR="00EC4B36" w:rsidRPr="00AC57D5" w:rsidRDefault="00EC4B36" w:rsidP="006B5A62">
            <w:pPr>
              <w:spacing w:before="40" w:after="40" w:line="276" w:lineRule="auto"/>
              <w:jc w:val="center"/>
              <w:rPr>
                <w:rFonts w:cs="Calibri"/>
                <w:sz w:val="20"/>
                <w:szCs w:val="20"/>
                <w:lang w:val="es-ES"/>
              </w:rPr>
            </w:pPr>
            <w:r w:rsidRPr="00AC57D5">
              <w:rPr>
                <w:rFonts w:cs="Calibri"/>
                <w:sz w:val="20"/>
                <w:szCs w:val="20"/>
                <w:lang w:val="es-ES"/>
              </w:rPr>
              <w:t>1</w:t>
            </w:r>
          </w:p>
        </w:tc>
        <w:tc>
          <w:tcPr>
            <w:tcW w:w="851" w:type="dxa"/>
            <w:tcBorders>
              <w:top w:val="nil"/>
              <w:left w:val="nil"/>
              <w:bottom w:val="single" w:sz="4" w:space="0" w:color="auto"/>
              <w:right w:val="single" w:sz="4" w:space="0" w:color="auto"/>
            </w:tcBorders>
            <w:shd w:val="clear" w:color="auto" w:fill="auto"/>
            <w:noWrap/>
            <w:vAlign w:val="center"/>
            <w:hideMark/>
          </w:tcPr>
          <w:p w14:paraId="48FFCDF7" w14:textId="77777777" w:rsidR="00EC4B36" w:rsidRPr="00AC57D5" w:rsidRDefault="00EC4B36" w:rsidP="006B5A62">
            <w:pPr>
              <w:spacing w:before="40" w:after="40" w:line="276" w:lineRule="auto"/>
              <w:jc w:val="center"/>
              <w:rPr>
                <w:rFonts w:cs="Calibri"/>
                <w:sz w:val="20"/>
                <w:szCs w:val="20"/>
                <w:lang w:val="es-ES"/>
              </w:rPr>
            </w:pPr>
          </w:p>
        </w:tc>
        <w:tc>
          <w:tcPr>
            <w:tcW w:w="851" w:type="dxa"/>
            <w:tcBorders>
              <w:top w:val="nil"/>
              <w:left w:val="nil"/>
              <w:bottom w:val="single" w:sz="4" w:space="0" w:color="auto"/>
              <w:right w:val="single" w:sz="4" w:space="0" w:color="auto"/>
            </w:tcBorders>
            <w:shd w:val="clear" w:color="auto" w:fill="auto"/>
            <w:noWrap/>
            <w:vAlign w:val="center"/>
            <w:hideMark/>
          </w:tcPr>
          <w:p w14:paraId="188D5D04" w14:textId="77777777" w:rsidR="00EC4B36" w:rsidRPr="00AC57D5" w:rsidRDefault="00EC4B36" w:rsidP="006B5A62">
            <w:pPr>
              <w:spacing w:before="40" w:after="40" w:line="276" w:lineRule="auto"/>
              <w:jc w:val="center"/>
              <w:rPr>
                <w:rFonts w:cs="Calibri"/>
                <w:sz w:val="20"/>
                <w:szCs w:val="20"/>
                <w:lang w:val="es-ES"/>
              </w:rPr>
            </w:pPr>
            <w:r w:rsidRPr="00AC57D5">
              <w:rPr>
                <w:rFonts w:cs="Calibri"/>
                <w:sz w:val="20"/>
                <w:szCs w:val="20"/>
                <w:lang w:val="es-ES"/>
              </w:rPr>
              <w:t>2</w:t>
            </w:r>
          </w:p>
        </w:tc>
        <w:tc>
          <w:tcPr>
            <w:tcW w:w="851" w:type="dxa"/>
            <w:tcBorders>
              <w:top w:val="nil"/>
              <w:left w:val="nil"/>
              <w:bottom w:val="single" w:sz="4" w:space="0" w:color="auto"/>
              <w:right w:val="single" w:sz="4" w:space="0" w:color="auto"/>
            </w:tcBorders>
            <w:shd w:val="clear" w:color="auto" w:fill="auto"/>
            <w:noWrap/>
            <w:vAlign w:val="center"/>
            <w:hideMark/>
          </w:tcPr>
          <w:p w14:paraId="02362598" w14:textId="77777777" w:rsidR="00EC4B36" w:rsidRPr="00AC57D5" w:rsidRDefault="00EC4B36" w:rsidP="006B5A62">
            <w:pPr>
              <w:spacing w:before="40" w:after="40" w:line="276" w:lineRule="auto"/>
              <w:jc w:val="center"/>
              <w:rPr>
                <w:rFonts w:cs="Calibri"/>
                <w:sz w:val="20"/>
                <w:szCs w:val="20"/>
                <w:lang w:val="es-ES"/>
              </w:rPr>
            </w:pPr>
          </w:p>
        </w:tc>
      </w:tr>
      <w:tr w:rsidR="00EC4B36" w:rsidRPr="00AC57D5" w14:paraId="7A6A927D" w14:textId="77777777" w:rsidTr="006B5A62">
        <w:tc>
          <w:tcPr>
            <w:tcW w:w="2835" w:type="dxa"/>
            <w:tcBorders>
              <w:top w:val="nil"/>
              <w:left w:val="single" w:sz="4" w:space="0" w:color="auto"/>
              <w:bottom w:val="single" w:sz="4" w:space="0" w:color="auto"/>
              <w:right w:val="single" w:sz="4" w:space="0" w:color="auto"/>
            </w:tcBorders>
            <w:shd w:val="clear" w:color="auto" w:fill="auto"/>
            <w:noWrap/>
            <w:vAlign w:val="center"/>
            <w:hideMark/>
          </w:tcPr>
          <w:p w14:paraId="0A8AEDE5" w14:textId="77777777" w:rsidR="00EC4B36" w:rsidRPr="00AC57D5" w:rsidRDefault="00EC4B36" w:rsidP="006B5A62">
            <w:pPr>
              <w:spacing w:before="40" w:after="40" w:line="276" w:lineRule="auto"/>
              <w:jc w:val="left"/>
              <w:rPr>
                <w:rFonts w:cs="Calibri"/>
                <w:sz w:val="20"/>
                <w:szCs w:val="20"/>
                <w:lang w:val="es-ES"/>
              </w:rPr>
            </w:pPr>
            <w:r w:rsidRPr="00AC57D5">
              <w:rPr>
                <w:rFonts w:cs="Calibri"/>
                <w:sz w:val="20"/>
                <w:szCs w:val="20"/>
                <w:lang w:val="es-ES"/>
              </w:rPr>
              <w:t>Montaje y conexionado celementos auxiliares control y protección</w:t>
            </w:r>
          </w:p>
        </w:tc>
        <w:tc>
          <w:tcPr>
            <w:tcW w:w="851" w:type="dxa"/>
            <w:tcBorders>
              <w:top w:val="nil"/>
              <w:left w:val="nil"/>
              <w:bottom w:val="single" w:sz="4" w:space="0" w:color="auto"/>
              <w:right w:val="single" w:sz="4" w:space="0" w:color="auto"/>
            </w:tcBorders>
            <w:shd w:val="clear" w:color="auto" w:fill="auto"/>
            <w:noWrap/>
            <w:vAlign w:val="center"/>
            <w:hideMark/>
          </w:tcPr>
          <w:p w14:paraId="0ED52A8F" w14:textId="77777777" w:rsidR="00EC4B36" w:rsidRPr="00AC57D5" w:rsidRDefault="00EC4B36" w:rsidP="006B5A62">
            <w:pPr>
              <w:spacing w:before="40" w:after="40" w:line="276" w:lineRule="auto"/>
              <w:jc w:val="center"/>
              <w:rPr>
                <w:rFonts w:cs="Calibri"/>
                <w:sz w:val="20"/>
                <w:szCs w:val="20"/>
                <w:lang w:val="es-ES"/>
              </w:rPr>
            </w:pPr>
            <w:r w:rsidRPr="00AC57D5">
              <w:rPr>
                <w:rFonts w:cs="Calibri"/>
                <w:sz w:val="20"/>
                <w:szCs w:val="20"/>
                <w:lang w:val="es-ES"/>
              </w:rPr>
              <w:t>E5</w:t>
            </w:r>
          </w:p>
        </w:tc>
        <w:tc>
          <w:tcPr>
            <w:tcW w:w="851" w:type="dxa"/>
            <w:tcBorders>
              <w:top w:val="nil"/>
              <w:left w:val="nil"/>
              <w:bottom w:val="single" w:sz="4" w:space="0" w:color="auto"/>
              <w:right w:val="single" w:sz="4" w:space="0" w:color="auto"/>
            </w:tcBorders>
            <w:shd w:val="clear" w:color="auto" w:fill="auto"/>
            <w:noWrap/>
            <w:vAlign w:val="center"/>
            <w:hideMark/>
          </w:tcPr>
          <w:p w14:paraId="22CE648D" w14:textId="77777777" w:rsidR="00EC4B36" w:rsidRPr="00AC57D5" w:rsidRDefault="00EC4B36" w:rsidP="006B5A62">
            <w:pPr>
              <w:spacing w:before="40" w:after="40" w:line="276" w:lineRule="auto"/>
              <w:jc w:val="center"/>
              <w:rPr>
                <w:rFonts w:cs="Calibri"/>
                <w:sz w:val="20"/>
                <w:szCs w:val="20"/>
                <w:lang w:val="es-ES"/>
              </w:rPr>
            </w:pPr>
            <w:r w:rsidRPr="00AC57D5">
              <w:rPr>
                <w:rFonts w:cs="Calibri"/>
                <w:sz w:val="20"/>
                <w:szCs w:val="20"/>
                <w:lang w:val="es-ES"/>
              </w:rPr>
              <w:t>0,1</w:t>
            </w:r>
          </w:p>
        </w:tc>
        <w:tc>
          <w:tcPr>
            <w:tcW w:w="851" w:type="dxa"/>
            <w:tcBorders>
              <w:top w:val="nil"/>
              <w:left w:val="nil"/>
              <w:bottom w:val="single" w:sz="4" w:space="0" w:color="auto"/>
              <w:right w:val="single" w:sz="4" w:space="0" w:color="auto"/>
            </w:tcBorders>
            <w:shd w:val="clear" w:color="auto" w:fill="auto"/>
            <w:noWrap/>
            <w:vAlign w:val="center"/>
            <w:hideMark/>
          </w:tcPr>
          <w:p w14:paraId="62F43C54" w14:textId="77777777" w:rsidR="00EC4B36" w:rsidRPr="00AC57D5" w:rsidRDefault="00EC4B36" w:rsidP="006B5A62">
            <w:pPr>
              <w:spacing w:before="40" w:after="40" w:line="276" w:lineRule="auto"/>
              <w:jc w:val="center"/>
              <w:rPr>
                <w:rFonts w:cs="Calibri"/>
                <w:sz w:val="20"/>
                <w:szCs w:val="20"/>
                <w:lang w:val="es-ES"/>
              </w:rPr>
            </w:pPr>
            <w:r w:rsidRPr="00AC57D5">
              <w:rPr>
                <w:rFonts w:cs="Calibri"/>
                <w:sz w:val="20"/>
                <w:szCs w:val="20"/>
                <w:lang w:val="es-ES"/>
              </w:rPr>
              <w:t>0,15</w:t>
            </w:r>
          </w:p>
        </w:tc>
        <w:tc>
          <w:tcPr>
            <w:tcW w:w="851" w:type="dxa"/>
            <w:tcBorders>
              <w:top w:val="nil"/>
              <w:left w:val="nil"/>
              <w:bottom w:val="single" w:sz="4" w:space="0" w:color="auto"/>
              <w:right w:val="single" w:sz="4" w:space="0" w:color="auto"/>
            </w:tcBorders>
            <w:shd w:val="clear" w:color="auto" w:fill="auto"/>
            <w:noWrap/>
            <w:vAlign w:val="center"/>
            <w:hideMark/>
          </w:tcPr>
          <w:p w14:paraId="4EBB4AD1" w14:textId="77777777" w:rsidR="00EC4B36" w:rsidRPr="00AC57D5" w:rsidRDefault="00EC4B36" w:rsidP="006B5A62">
            <w:pPr>
              <w:spacing w:before="40" w:after="40" w:line="276" w:lineRule="auto"/>
              <w:jc w:val="center"/>
              <w:rPr>
                <w:rFonts w:cs="Calibri"/>
                <w:sz w:val="20"/>
                <w:szCs w:val="20"/>
                <w:lang w:val="es-ES"/>
              </w:rPr>
            </w:pPr>
          </w:p>
        </w:tc>
        <w:tc>
          <w:tcPr>
            <w:tcW w:w="851" w:type="dxa"/>
            <w:tcBorders>
              <w:top w:val="nil"/>
              <w:left w:val="nil"/>
              <w:bottom w:val="single" w:sz="4" w:space="0" w:color="auto"/>
              <w:right w:val="single" w:sz="4" w:space="0" w:color="auto"/>
            </w:tcBorders>
            <w:shd w:val="clear" w:color="auto" w:fill="auto"/>
            <w:noWrap/>
            <w:vAlign w:val="center"/>
            <w:hideMark/>
          </w:tcPr>
          <w:p w14:paraId="023207C6" w14:textId="77777777" w:rsidR="00EC4B36" w:rsidRPr="00AC57D5" w:rsidRDefault="00EC4B36" w:rsidP="006B5A62">
            <w:pPr>
              <w:spacing w:before="40" w:after="40" w:line="276" w:lineRule="auto"/>
              <w:jc w:val="center"/>
              <w:rPr>
                <w:rFonts w:cs="Calibri"/>
                <w:sz w:val="20"/>
                <w:szCs w:val="20"/>
                <w:lang w:val="es-ES"/>
              </w:rPr>
            </w:pPr>
            <w:r w:rsidRPr="00AC57D5">
              <w:rPr>
                <w:rFonts w:cs="Calibri"/>
                <w:sz w:val="20"/>
                <w:szCs w:val="20"/>
                <w:lang w:val="es-ES"/>
              </w:rPr>
              <w:t>1</w:t>
            </w:r>
          </w:p>
        </w:tc>
        <w:tc>
          <w:tcPr>
            <w:tcW w:w="851" w:type="dxa"/>
            <w:tcBorders>
              <w:top w:val="nil"/>
              <w:left w:val="nil"/>
              <w:bottom w:val="single" w:sz="4" w:space="0" w:color="auto"/>
              <w:right w:val="single" w:sz="4" w:space="0" w:color="auto"/>
            </w:tcBorders>
            <w:shd w:val="clear" w:color="auto" w:fill="auto"/>
            <w:noWrap/>
            <w:vAlign w:val="center"/>
            <w:hideMark/>
          </w:tcPr>
          <w:p w14:paraId="5460F438" w14:textId="77777777" w:rsidR="00EC4B36" w:rsidRPr="00AC57D5" w:rsidRDefault="00EC4B36" w:rsidP="006B5A62">
            <w:pPr>
              <w:spacing w:before="40" w:after="40" w:line="276" w:lineRule="auto"/>
              <w:jc w:val="center"/>
              <w:rPr>
                <w:rFonts w:cs="Calibri"/>
                <w:sz w:val="20"/>
                <w:szCs w:val="20"/>
                <w:lang w:val="es-ES"/>
              </w:rPr>
            </w:pPr>
            <w:r w:rsidRPr="00AC57D5">
              <w:rPr>
                <w:rFonts w:cs="Calibri"/>
                <w:sz w:val="20"/>
                <w:szCs w:val="20"/>
                <w:lang w:val="es-ES"/>
              </w:rPr>
              <w:t>1</w:t>
            </w:r>
          </w:p>
        </w:tc>
        <w:tc>
          <w:tcPr>
            <w:tcW w:w="851" w:type="dxa"/>
            <w:tcBorders>
              <w:top w:val="nil"/>
              <w:left w:val="nil"/>
              <w:bottom w:val="single" w:sz="4" w:space="0" w:color="auto"/>
              <w:right w:val="single" w:sz="4" w:space="0" w:color="auto"/>
            </w:tcBorders>
            <w:shd w:val="clear" w:color="auto" w:fill="auto"/>
            <w:noWrap/>
            <w:vAlign w:val="center"/>
            <w:hideMark/>
          </w:tcPr>
          <w:p w14:paraId="2685F884" w14:textId="77777777" w:rsidR="00EC4B36" w:rsidRPr="00AC57D5" w:rsidRDefault="00EC4B36" w:rsidP="006B5A62">
            <w:pPr>
              <w:spacing w:before="40" w:after="40" w:line="276" w:lineRule="auto"/>
              <w:jc w:val="center"/>
              <w:rPr>
                <w:rFonts w:cs="Calibri"/>
                <w:sz w:val="20"/>
                <w:szCs w:val="20"/>
                <w:lang w:val="es-ES"/>
              </w:rPr>
            </w:pPr>
            <w:r w:rsidRPr="00AC57D5">
              <w:rPr>
                <w:rFonts w:cs="Calibri"/>
                <w:sz w:val="20"/>
                <w:szCs w:val="20"/>
                <w:lang w:val="es-ES"/>
              </w:rPr>
              <w:t>1</w:t>
            </w:r>
          </w:p>
        </w:tc>
        <w:tc>
          <w:tcPr>
            <w:tcW w:w="851" w:type="dxa"/>
            <w:tcBorders>
              <w:top w:val="nil"/>
              <w:left w:val="nil"/>
              <w:bottom w:val="single" w:sz="4" w:space="0" w:color="auto"/>
              <w:right w:val="single" w:sz="4" w:space="0" w:color="auto"/>
            </w:tcBorders>
            <w:shd w:val="clear" w:color="auto" w:fill="auto"/>
            <w:noWrap/>
            <w:vAlign w:val="center"/>
            <w:hideMark/>
          </w:tcPr>
          <w:p w14:paraId="7C9BA735" w14:textId="77777777" w:rsidR="00EC4B36" w:rsidRPr="00AC57D5" w:rsidRDefault="00EC4B36" w:rsidP="006B5A62">
            <w:pPr>
              <w:spacing w:before="40" w:after="40" w:line="276" w:lineRule="auto"/>
              <w:jc w:val="center"/>
              <w:rPr>
                <w:rFonts w:cs="Calibri"/>
                <w:sz w:val="20"/>
                <w:szCs w:val="20"/>
                <w:lang w:val="es-ES"/>
              </w:rPr>
            </w:pPr>
          </w:p>
        </w:tc>
      </w:tr>
      <w:tr w:rsidR="00EC4B36" w:rsidRPr="00AC57D5" w14:paraId="0B547E03" w14:textId="77777777" w:rsidTr="006B5A62">
        <w:tc>
          <w:tcPr>
            <w:tcW w:w="2835" w:type="dxa"/>
            <w:tcBorders>
              <w:top w:val="nil"/>
              <w:left w:val="single" w:sz="4" w:space="0" w:color="auto"/>
              <w:bottom w:val="single" w:sz="4" w:space="0" w:color="auto"/>
              <w:right w:val="single" w:sz="4" w:space="0" w:color="auto"/>
            </w:tcBorders>
            <w:shd w:val="clear" w:color="auto" w:fill="auto"/>
            <w:noWrap/>
            <w:vAlign w:val="center"/>
            <w:hideMark/>
          </w:tcPr>
          <w:p w14:paraId="6582B760" w14:textId="77777777" w:rsidR="00EC4B36" w:rsidRPr="00AC57D5" w:rsidRDefault="00EC4B36" w:rsidP="006B5A62">
            <w:pPr>
              <w:spacing w:before="40" w:after="40" w:line="276" w:lineRule="auto"/>
              <w:jc w:val="left"/>
              <w:rPr>
                <w:rFonts w:cs="Calibri"/>
                <w:sz w:val="20"/>
                <w:szCs w:val="20"/>
                <w:lang w:val="es-ES"/>
              </w:rPr>
            </w:pPr>
            <w:r w:rsidRPr="00AC57D5">
              <w:rPr>
                <w:rFonts w:cs="Calibri"/>
                <w:sz w:val="20"/>
                <w:szCs w:val="20"/>
                <w:lang w:val="es-ES"/>
              </w:rPr>
              <w:t>Montaje conjuntos aislación y ferretería de líneas</w:t>
            </w:r>
          </w:p>
        </w:tc>
        <w:tc>
          <w:tcPr>
            <w:tcW w:w="851" w:type="dxa"/>
            <w:tcBorders>
              <w:top w:val="nil"/>
              <w:left w:val="nil"/>
              <w:bottom w:val="single" w:sz="4" w:space="0" w:color="auto"/>
              <w:right w:val="single" w:sz="4" w:space="0" w:color="auto"/>
            </w:tcBorders>
            <w:shd w:val="clear" w:color="auto" w:fill="auto"/>
            <w:noWrap/>
            <w:vAlign w:val="center"/>
            <w:hideMark/>
          </w:tcPr>
          <w:p w14:paraId="62C1C25A" w14:textId="77777777" w:rsidR="00EC4B36" w:rsidRPr="00AC57D5" w:rsidRDefault="00EC4B36" w:rsidP="006B5A62">
            <w:pPr>
              <w:spacing w:before="40" w:after="40" w:line="276" w:lineRule="auto"/>
              <w:jc w:val="center"/>
              <w:rPr>
                <w:rFonts w:cs="Calibri"/>
                <w:sz w:val="20"/>
                <w:szCs w:val="20"/>
                <w:lang w:val="es-ES"/>
              </w:rPr>
            </w:pPr>
            <w:r w:rsidRPr="00AC57D5">
              <w:rPr>
                <w:rFonts w:cs="Calibri"/>
                <w:sz w:val="20"/>
                <w:szCs w:val="20"/>
                <w:lang w:val="es-ES"/>
              </w:rPr>
              <w:t>E6</w:t>
            </w:r>
          </w:p>
        </w:tc>
        <w:tc>
          <w:tcPr>
            <w:tcW w:w="851" w:type="dxa"/>
            <w:tcBorders>
              <w:top w:val="nil"/>
              <w:left w:val="nil"/>
              <w:bottom w:val="single" w:sz="4" w:space="0" w:color="auto"/>
              <w:right w:val="single" w:sz="4" w:space="0" w:color="auto"/>
            </w:tcBorders>
            <w:shd w:val="clear" w:color="auto" w:fill="auto"/>
            <w:noWrap/>
            <w:vAlign w:val="center"/>
            <w:hideMark/>
          </w:tcPr>
          <w:p w14:paraId="3E49E6CA" w14:textId="77777777" w:rsidR="00EC4B36" w:rsidRPr="00AC57D5" w:rsidRDefault="00EC4B36" w:rsidP="006B5A62">
            <w:pPr>
              <w:spacing w:before="40" w:after="40" w:line="276" w:lineRule="auto"/>
              <w:jc w:val="center"/>
              <w:rPr>
                <w:rFonts w:cs="Calibri"/>
                <w:sz w:val="20"/>
                <w:szCs w:val="20"/>
                <w:lang w:val="es-ES"/>
              </w:rPr>
            </w:pPr>
            <w:r w:rsidRPr="00AC57D5">
              <w:rPr>
                <w:rFonts w:cs="Calibri"/>
                <w:sz w:val="20"/>
                <w:szCs w:val="20"/>
                <w:lang w:val="es-ES"/>
              </w:rPr>
              <w:t>0,05</w:t>
            </w:r>
          </w:p>
        </w:tc>
        <w:tc>
          <w:tcPr>
            <w:tcW w:w="851" w:type="dxa"/>
            <w:tcBorders>
              <w:top w:val="nil"/>
              <w:left w:val="nil"/>
              <w:bottom w:val="single" w:sz="4" w:space="0" w:color="auto"/>
              <w:right w:val="single" w:sz="4" w:space="0" w:color="auto"/>
            </w:tcBorders>
            <w:shd w:val="clear" w:color="auto" w:fill="auto"/>
            <w:noWrap/>
            <w:vAlign w:val="center"/>
            <w:hideMark/>
          </w:tcPr>
          <w:p w14:paraId="3427A308" w14:textId="77777777" w:rsidR="00EC4B36" w:rsidRPr="00AC57D5" w:rsidRDefault="00EC4B36" w:rsidP="006B5A62">
            <w:pPr>
              <w:spacing w:before="40" w:after="40" w:line="276" w:lineRule="auto"/>
              <w:jc w:val="center"/>
              <w:rPr>
                <w:rFonts w:cs="Calibri"/>
                <w:sz w:val="20"/>
                <w:szCs w:val="20"/>
                <w:lang w:val="es-ES"/>
              </w:rPr>
            </w:pPr>
            <w:r w:rsidRPr="00AC57D5">
              <w:rPr>
                <w:rFonts w:cs="Calibri"/>
                <w:sz w:val="20"/>
                <w:szCs w:val="20"/>
                <w:lang w:val="es-ES"/>
              </w:rPr>
              <w:t>0,15</w:t>
            </w:r>
          </w:p>
        </w:tc>
        <w:tc>
          <w:tcPr>
            <w:tcW w:w="851" w:type="dxa"/>
            <w:tcBorders>
              <w:top w:val="nil"/>
              <w:left w:val="nil"/>
              <w:bottom w:val="single" w:sz="4" w:space="0" w:color="auto"/>
              <w:right w:val="single" w:sz="4" w:space="0" w:color="auto"/>
            </w:tcBorders>
            <w:shd w:val="clear" w:color="auto" w:fill="auto"/>
            <w:noWrap/>
            <w:vAlign w:val="center"/>
            <w:hideMark/>
          </w:tcPr>
          <w:p w14:paraId="6FA646F7" w14:textId="77777777" w:rsidR="00EC4B36" w:rsidRPr="00AC57D5" w:rsidRDefault="00EC4B36" w:rsidP="006B5A62">
            <w:pPr>
              <w:spacing w:before="40" w:after="40" w:line="276" w:lineRule="auto"/>
              <w:jc w:val="center"/>
              <w:rPr>
                <w:rFonts w:cs="Calibri"/>
                <w:sz w:val="20"/>
                <w:szCs w:val="20"/>
                <w:lang w:val="es-ES"/>
              </w:rPr>
            </w:pPr>
          </w:p>
        </w:tc>
        <w:tc>
          <w:tcPr>
            <w:tcW w:w="851" w:type="dxa"/>
            <w:tcBorders>
              <w:top w:val="nil"/>
              <w:left w:val="nil"/>
              <w:bottom w:val="single" w:sz="4" w:space="0" w:color="auto"/>
              <w:right w:val="single" w:sz="4" w:space="0" w:color="auto"/>
            </w:tcBorders>
            <w:shd w:val="clear" w:color="auto" w:fill="auto"/>
            <w:noWrap/>
            <w:vAlign w:val="center"/>
            <w:hideMark/>
          </w:tcPr>
          <w:p w14:paraId="58FD627F" w14:textId="77777777" w:rsidR="00EC4B36" w:rsidRPr="00AC57D5" w:rsidRDefault="00EC4B36" w:rsidP="006B5A62">
            <w:pPr>
              <w:spacing w:before="40" w:after="40" w:line="276" w:lineRule="auto"/>
              <w:jc w:val="center"/>
              <w:rPr>
                <w:rFonts w:cs="Calibri"/>
                <w:sz w:val="20"/>
                <w:szCs w:val="20"/>
                <w:lang w:val="es-ES"/>
              </w:rPr>
            </w:pPr>
            <w:r w:rsidRPr="00AC57D5">
              <w:rPr>
                <w:rFonts w:cs="Calibri"/>
                <w:sz w:val="20"/>
                <w:szCs w:val="20"/>
                <w:lang w:val="es-ES"/>
              </w:rPr>
              <w:t>1</w:t>
            </w:r>
          </w:p>
        </w:tc>
        <w:tc>
          <w:tcPr>
            <w:tcW w:w="851" w:type="dxa"/>
            <w:tcBorders>
              <w:top w:val="nil"/>
              <w:left w:val="nil"/>
              <w:bottom w:val="single" w:sz="4" w:space="0" w:color="auto"/>
              <w:right w:val="single" w:sz="4" w:space="0" w:color="auto"/>
            </w:tcBorders>
            <w:shd w:val="clear" w:color="auto" w:fill="auto"/>
            <w:noWrap/>
            <w:vAlign w:val="center"/>
            <w:hideMark/>
          </w:tcPr>
          <w:p w14:paraId="0BB88A37" w14:textId="77777777" w:rsidR="00EC4B36" w:rsidRPr="00AC57D5" w:rsidRDefault="00EC4B36" w:rsidP="006B5A62">
            <w:pPr>
              <w:spacing w:before="40" w:after="40" w:line="276" w:lineRule="auto"/>
              <w:jc w:val="center"/>
              <w:rPr>
                <w:rFonts w:cs="Calibri"/>
                <w:sz w:val="20"/>
                <w:szCs w:val="20"/>
                <w:lang w:val="es-ES"/>
              </w:rPr>
            </w:pPr>
            <w:r w:rsidRPr="00AC57D5">
              <w:rPr>
                <w:rFonts w:cs="Calibri"/>
                <w:sz w:val="20"/>
                <w:szCs w:val="20"/>
                <w:lang w:val="es-ES"/>
              </w:rPr>
              <w:t>1</w:t>
            </w:r>
          </w:p>
        </w:tc>
        <w:tc>
          <w:tcPr>
            <w:tcW w:w="851" w:type="dxa"/>
            <w:tcBorders>
              <w:top w:val="nil"/>
              <w:left w:val="nil"/>
              <w:bottom w:val="single" w:sz="4" w:space="0" w:color="auto"/>
              <w:right w:val="single" w:sz="4" w:space="0" w:color="auto"/>
            </w:tcBorders>
            <w:shd w:val="clear" w:color="auto" w:fill="auto"/>
            <w:noWrap/>
            <w:vAlign w:val="center"/>
            <w:hideMark/>
          </w:tcPr>
          <w:p w14:paraId="419B1EEC" w14:textId="77777777" w:rsidR="00EC4B36" w:rsidRPr="00AC57D5" w:rsidRDefault="00EC4B36" w:rsidP="006B5A62">
            <w:pPr>
              <w:spacing w:before="40" w:after="40" w:line="276" w:lineRule="auto"/>
              <w:jc w:val="center"/>
              <w:rPr>
                <w:rFonts w:cs="Calibri"/>
                <w:sz w:val="20"/>
                <w:szCs w:val="20"/>
                <w:lang w:val="es-ES"/>
              </w:rPr>
            </w:pPr>
            <w:r w:rsidRPr="00AC57D5">
              <w:rPr>
                <w:rFonts w:cs="Calibri"/>
                <w:sz w:val="20"/>
                <w:szCs w:val="20"/>
                <w:lang w:val="es-ES"/>
              </w:rPr>
              <w:t>2</w:t>
            </w:r>
          </w:p>
        </w:tc>
        <w:tc>
          <w:tcPr>
            <w:tcW w:w="851" w:type="dxa"/>
            <w:tcBorders>
              <w:top w:val="nil"/>
              <w:left w:val="nil"/>
              <w:bottom w:val="single" w:sz="4" w:space="0" w:color="auto"/>
              <w:right w:val="single" w:sz="4" w:space="0" w:color="auto"/>
            </w:tcBorders>
            <w:shd w:val="clear" w:color="auto" w:fill="auto"/>
            <w:noWrap/>
            <w:vAlign w:val="center"/>
            <w:hideMark/>
          </w:tcPr>
          <w:p w14:paraId="76FE0D63" w14:textId="77777777" w:rsidR="00EC4B36" w:rsidRPr="00AC57D5" w:rsidRDefault="00EC4B36" w:rsidP="006B5A62">
            <w:pPr>
              <w:spacing w:before="40" w:after="40" w:line="276" w:lineRule="auto"/>
              <w:jc w:val="center"/>
              <w:rPr>
                <w:rFonts w:cs="Calibri"/>
                <w:sz w:val="20"/>
                <w:szCs w:val="20"/>
                <w:lang w:val="es-ES"/>
              </w:rPr>
            </w:pPr>
          </w:p>
        </w:tc>
      </w:tr>
      <w:tr w:rsidR="00EC4B36" w:rsidRPr="00AC57D5" w14:paraId="7A720D6F" w14:textId="77777777" w:rsidTr="006B5A62">
        <w:tc>
          <w:tcPr>
            <w:tcW w:w="2835" w:type="dxa"/>
            <w:tcBorders>
              <w:top w:val="nil"/>
              <w:left w:val="single" w:sz="4" w:space="0" w:color="auto"/>
              <w:bottom w:val="single" w:sz="4" w:space="0" w:color="auto"/>
              <w:right w:val="single" w:sz="4" w:space="0" w:color="auto"/>
            </w:tcBorders>
            <w:shd w:val="clear" w:color="auto" w:fill="auto"/>
            <w:noWrap/>
            <w:vAlign w:val="center"/>
            <w:hideMark/>
          </w:tcPr>
          <w:p w14:paraId="4372F3E9" w14:textId="77777777" w:rsidR="00EC4B36" w:rsidRPr="00AC57D5" w:rsidRDefault="00EC4B36" w:rsidP="006B5A62">
            <w:pPr>
              <w:spacing w:before="40" w:after="40" w:line="276" w:lineRule="auto"/>
              <w:jc w:val="left"/>
              <w:rPr>
                <w:rFonts w:cs="Calibri"/>
                <w:sz w:val="20"/>
                <w:szCs w:val="20"/>
                <w:lang w:val="es-ES"/>
              </w:rPr>
            </w:pPr>
            <w:r w:rsidRPr="00AC57D5">
              <w:rPr>
                <w:rFonts w:cs="Calibri"/>
                <w:sz w:val="20"/>
                <w:szCs w:val="20"/>
                <w:lang w:val="es-ES"/>
              </w:rPr>
              <w:t>Montaje conductores de línea</w:t>
            </w:r>
          </w:p>
        </w:tc>
        <w:tc>
          <w:tcPr>
            <w:tcW w:w="851" w:type="dxa"/>
            <w:tcBorders>
              <w:top w:val="nil"/>
              <w:left w:val="nil"/>
              <w:bottom w:val="single" w:sz="4" w:space="0" w:color="auto"/>
              <w:right w:val="single" w:sz="4" w:space="0" w:color="auto"/>
            </w:tcBorders>
            <w:shd w:val="clear" w:color="auto" w:fill="auto"/>
            <w:noWrap/>
            <w:vAlign w:val="center"/>
            <w:hideMark/>
          </w:tcPr>
          <w:p w14:paraId="2C03FBAD" w14:textId="77777777" w:rsidR="00EC4B36" w:rsidRPr="00AC57D5" w:rsidRDefault="00EC4B36" w:rsidP="006B5A62">
            <w:pPr>
              <w:spacing w:before="40" w:after="40" w:line="276" w:lineRule="auto"/>
              <w:jc w:val="center"/>
              <w:rPr>
                <w:rFonts w:cs="Calibri"/>
                <w:sz w:val="20"/>
                <w:szCs w:val="20"/>
                <w:lang w:val="es-ES"/>
              </w:rPr>
            </w:pPr>
            <w:r w:rsidRPr="00AC57D5">
              <w:rPr>
                <w:rFonts w:cs="Calibri"/>
                <w:sz w:val="20"/>
                <w:szCs w:val="20"/>
                <w:lang w:val="es-ES"/>
              </w:rPr>
              <w:t>E7</w:t>
            </w:r>
          </w:p>
        </w:tc>
        <w:tc>
          <w:tcPr>
            <w:tcW w:w="851" w:type="dxa"/>
            <w:tcBorders>
              <w:top w:val="nil"/>
              <w:left w:val="nil"/>
              <w:bottom w:val="single" w:sz="4" w:space="0" w:color="auto"/>
              <w:right w:val="single" w:sz="4" w:space="0" w:color="auto"/>
            </w:tcBorders>
            <w:shd w:val="clear" w:color="auto" w:fill="auto"/>
            <w:noWrap/>
            <w:vAlign w:val="center"/>
            <w:hideMark/>
          </w:tcPr>
          <w:p w14:paraId="2FDAE102" w14:textId="77777777" w:rsidR="00EC4B36" w:rsidRPr="00AC57D5" w:rsidRDefault="00EC4B36" w:rsidP="006B5A62">
            <w:pPr>
              <w:spacing w:before="40" w:after="40" w:line="276" w:lineRule="auto"/>
              <w:jc w:val="center"/>
              <w:rPr>
                <w:rFonts w:cs="Calibri"/>
                <w:sz w:val="20"/>
                <w:szCs w:val="20"/>
                <w:lang w:val="es-ES"/>
              </w:rPr>
            </w:pPr>
            <w:r w:rsidRPr="00AC57D5">
              <w:rPr>
                <w:rFonts w:cs="Calibri"/>
                <w:sz w:val="20"/>
                <w:szCs w:val="20"/>
                <w:lang w:val="es-ES"/>
              </w:rPr>
              <w:t>0,05</w:t>
            </w:r>
          </w:p>
        </w:tc>
        <w:tc>
          <w:tcPr>
            <w:tcW w:w="851" w:type="dxa"/>
            <w:tcBorders>
              <w:top w:val="nil"/>
              <w:left w:val="nil"/>
              <w:bottom w:val="single" w:sz="4" w:space="0" w:color="auto"/>
              <w:right w:val="single" w:sz="4" w:space="0" w:color="auto"/>
            </w:tcBorders>
            <w:shd w:val="clear" w:color="auto" w:fill="auto"/>
            <w:noWrap/>
            <w:vAlign w:val="center"/>
            <w:hideMark/>
          </w:tcPr>
          <w:p w14:paraId="7AF6D64D" w14:textId="77777777" w:rsidR="00EC4B36" w:rsidRPr="00AC57D5" w:rsidRDefault="00EC4B36" w:rsidP="006B5A62">
            <w:pPr>
              <w:spacing w:before="40" w:after="40" w:line="276" w:lineRule="auto"/>
              <w:jc w:val="center"/>
              <w:rPr>
                <w:rFonts w:cs="Calibri"/>
                <w:sz w:val="20"/>
                <w:szCs w:val="20"/>
                <w:lang w:val="es-ES"/>
              </w:rPr>
            </w:pPr>
            <w:r w:rsidRPr="00AC57D5">
              <w:rPr>
                <w:rFonts w:cs="Calibri"/>
                <w:sz w:val="20"/>
                <w:szCs w:val="20"/>
                <w:lang w:val="es-ES"/>
              </w:rPr>
              <w:t>0,15</w:t>
            </w:r>
          </w:p>
        </w:tc>
        <w:tc>
          <w:tcPr>
            <w:tcW w:w="851" w:type="dxa"/>
            <w:tcBorders>
              <w:top w:val="nil"/>
              <w:left w:val="nil"/>
              <w:bottom w:val="single" w:sz="4" w:space="0" w:color="auto"/>
              <w:right w:val="single" w:sz="4" w:space="0" w:color="auto"/>
            </w:tcBorders>
            <w:shd w:val="clear" w:color="auto" w:fill="auto"/>
            <w:noWrap/>
            <w:vAlign w:val="center"/>
            <w:hideMark/>
          </w:tcPr>
          <w:p w14:paraId="6A883A3C" w14:textId="77777777" w:rsidR="00EC4B36" w:rsidRPr="00AC57D5" w:rsidRDefault="00EC4B36" w:rsidP="006B5A62">
            <w:pPr>
              <w:spacing w:before="40" w:after="40" w:line="276" w:lineRule="auto"/>
              <w:jc w:val="center"/>
              <w:rPr>
                <w:rFonts w:cs="Calibri"/>
                <w:sz w:val="20"/>
                <w:szCs w:val="20"/>
                <w:lang w:val="es-ES"/>
              </w:rPr>
            </w:pPr>
            <w:r w:rsidRPr="00AC57D5">
              <w:rPr>
                <w:rFonts w:cs="Calibri"/>
                <w:sz w:val="20"/>
                <w:szCs w:val="20"/>
                <w:lang w:val="es-ES"/>
              </w:rPr>
              <w:t>0,5</w:t>
            </w:r>
          </w:p>
        </w:tc>
        <w:tc>
          <w:tcPr>
            <w:tcW w:w="851" w:type="dxa"/>
            <w:tcBorders>
              <w:top w:val="nil"/>
              <w:left w:val="nil"/>
              <w:bottom w:val="single" w:sz="4" w:space="0" w:color="auto"/>
              <w:right w:val="single" w:sz="4" w:space="0" w:color="auto"/>
            </w:tcBorders>
            <w:shd w:val="clear" w:color="auto" w:fill="auto"/>
            <w:noWrap/>
            <w:vAlign w:val="center"/>
            <w:hideMark/>
          </w:tcPr>
          <w:p w14:paraId="072F1027" w14:textId="77777777" w:rsidR="00EC4B36" w:rsidRPr="00AC57D5" w:rsidRDefault="00EC4B36" w:rsidP="006B5A62">
            <w:pPr>
              <w:spacing w:before="40" w:after="40" w:line="276" w:lineRule="auto"/>
              <w:jc w:val="center"/>
              <w:rPr>
                <w:rFonts w:cs="Calibri"/>
                <w:sz w:val="20"/>
                <w:szCs w:val="20"/>
                <w:lang w:val="es-ES"/>
              </w:rPr>
            </w:pPr>
            <w:r w:rsidRPr="00AC57D5">
              <w:rPr>
                <w:rFonts w:cs="Calibri"/>
                <w:sz w:val="20"/>
                <w:szCs w:val="20"/>
                <w:lang w:val="es-ES"/>
              </w:rPr>
              <w:t>1</w:t>
            </w:r>
          </w:p>
        </w:tc>
        <w:tc>
          <w:tcPr>
            <w:tcW w:w="851" w:type="dxa"/>
            <w:tcBorders>
              <w:top w:val="nil"/>
              <w:left w:val="nil"/>
              <w:bottom w:val="single" w:sz="4" w:space="0" w:color="auto"/>
              <w:right w:val="single" w:sz="4" w:space="0" w:color="auto"/>
            </w:tcBorders>
            <w:shd w:val="clear" w:color="auto" w:fill="auto"/>
            <w:noWrap/>
            <w:vAlign w:val="center"/>
            <w:hideMark/>
          </w:tcPr>
          <w:p w14:paraId="338B616A" w14:textId="77777777" w:rsidR="00EC4B36" w:rsidRPr="00AC57D5" w:rsidRDefault="00EC4B36" w:rsidP="006B5A62">
            <w:pPr>
              <w:spacing w:before="40" w:after="40" w:line="276" w:lineRule="auto"/>
              <w:jc w:val="center"/>
              <w:rPr>
                <w:rFonts w:cs="Calibri"/>
                <w:sz w:val="20"/>
                <w:szCs w:val="20"/>
                <w:lang w:val="es-ES"/>
              </w:rPr>
            </w:pPr>
            <w:r w:rsidRPr="00AC57D5">
              <w:rPr>
                <w:rFonts w:cs="Calibri"/>
                <w:sz w:val="20"/>
                <w:szCs w:val="20"/>
                <w:lang w:val="es-ES"/>
              </w:rPr>
              <w:t>1</w:t>
            </w:r>
          </w:p>
        </w:tc>
        <w:tc>
          <w:tcPr>
            <w:tcW w:w="851" w:type="dxa"/>
            <w:tcBorders>
              <w:top w:val="nil"/>
              <w:left w:val="nil"/>
              <w:bottom w:val="single" w:sz="4" w:space="0" w:color="auto"/>
              <w:right w:val="single" w:sz="4" w:space="0" w:color="auto"/>
            </w:tcBorders>
            <w:shd w:val="clear" w:color="auto" w:fill="auto"/>
            <w:noWrap/>
            <w:vAlign w:val="center"/>
            <w:hideMark/>
          </w:tcPr>
          <w:p w14:paraId="0524F0A9" w14:textId="77777777" w:rsidR="00EC4B36" w:rsidRPr="00AC57D5" w:rsidRDefault="00EC4B36" w:rsidP="006B5A62">
            <w:pPr>
              <w:spacing w:before="40" w:after="40" w:line="276" w:lineRule="auto"/>
              <w:jc w:val="center"/>
              <w:rPr>
                <w:rFonts w:cs="Calibri"/>
                <w:sz w:val="20"/>
                <w:szCs w:val="20"/>
                <w:lang w:val="es-ES"/>
              </w:rPr>
            </w:pPr>
            <w:r w:rsidRPr="00AC57D5">
              <w:rPr>
                <w:rFonts w:cs="Calibri"/>
                <w:sz w:val="20"/>
                <w:szCs w:val="20"/>
                <w:lang w:val="es-ES"/>
              </w:rPr>
              <w:t>2</w:t>
            </w:r>
          </w:p>
        </w:tc>
        <w:tc>
          <w:tcPr>
            <w:tcW w:w="851" w:type="dxa"/>
            <w:tcBorders>
              <w:top w:val="nil"/>
              <w:left w:val="nil"/>
              <w:bottom w:val="single" w:sz="4" w:space="0" w:color="auto"/>
              <w:right w:val="single" w:sz="4" w:space="0" w:color="auto"/>
            </w:tcBorders>
            <w:shd w:val="clear" w:color="auto" w:fill="auto"/>
            <w:noWrap/>
            <w:vAlign w:val="center"/>
            <w:hideMark/>
          </w:tcPr>
          <w:p w14:paraId="75312C01" w14:textId="77777777" w:rsidR="00EC4B36" w:rsidRPr="00AC57D5" w:rsidRDefault="00EC4B36" w:rsidP="006B5A62">
            <w:pPr>
              <w:spacing w:before="40" w:after="40" w:line="276" w:lineRule="auto"/>
              <w:jc w:val="center"/>
              <w:rPr>
                <w:rFonts w:cs="Calibri"/>
                <w:sz w:val="20"/>
                <w:szCs w:val="20"/>
                <w:lang w:val="es-ES"/>
              </w:rPr>
            </w:pPr>
          </w:p>
        </w:tc>
      </w:tr>
    </w:tbl>
    <w:p w14:paraId="047A4AE5" w14:textId="77777777" w:rsidR="00EC4B36" w:rsidRPr="00AC57D5" w:rsidRDefault="00EC4B36" w:rsidP="00EC4B36">
      <w:pPr>
        <w:spacing w:after="120" w:line="276" w:lineRule="auto"/>
        <w:rPr>
          <w:szCs w:val="22"/>
        </w:rPr>
      </w:pPr>
    </w:p>
    <w:p w14:paraId="6297F880" w14:textId="77777777" w:rsidR="00EC4B36" w:rsidRPr="00AC57D5" w:rsidRDefault="00EC4B36" w:rsidP="00EC4B36">
      <w:pPr>
        <w:spacing w:line="276" w:lineRule="auto"/>
        <w:rPr>
          <w:szCs w:val="22"/>
        </w:rPr>
      </w:pPr>
      <w:r w:rsidRPr="00AC57D5">
        <w:rPr>
          <w:szCs w:val="22"/>
        </w:rPr>
        <w:t>El número que aparece en cada celda corresponde a la fracción de hora de cada categoría por hora de trabajo de la cuadrilla.</w:t>
      </w:r>
    </w:p>
    <w:p w14:paraId="7B252103" w14:textId="77777777" w:rsidR="00EC4B36" w:rsidRPr="00AC57D5" w:rsidRDefault="00EC4B36" w:rsidP="00EC4B36">
      <w:pPr>
        <w:spacing w:line="276" w:lineRule="auto"/>
        <w:rPr>
          <w:szCs w:val="22"/>
        </w:rPr>
      </w:pPr>
      <w:r w:rsidRPr="00AC57D5">
        <w:rPr>
          <w:szCs w:val="22"/>
        </w:rPr>
        <w:t>La participación de los niveles superiores es en general inferior a uno por cuanto participan en más de una cuadrilla simultáneamente.</w:t>
      </w:r>
    </w:p>
    <w:p w14:paraId="5A705A1D" w14:textId="77777777" w:rsidR="00EC4B36" w:rsidRPr="00AC57D5" w:rsidRDefault="00EC4B36" w:rsidP="00EC4B36">
      <w:pPr>
        <w:spacing w:line="276" w:lineRule="auto"/>
        <w:rPr>
          <w:szCs w:val="22"/>
        </w:rPr>
      </w:pPr>
      <w:r w:rsidRPr="00AC57D5">
        <w:rPr>
          <w:szCs w:val="22"/>
        </w:rPr>
        <w:t>Por lo tanto la cantidad de HH de trabajo  por hora efectiva de montaje es mayor a 1, debido a que una cuadrilla está constituida por varias personas, algunas de ellas con participación parcial. En la tabla siguiente se muestra la cantidad total de HH por hora efectiva de montaje para cada tipo de cuadrilla.</w:t>
      </w:r>
    </w:p>
    <w:p w14:paraId="233DE547" w14:textId="77777777" w:rsidR="00EC4B36" w:rsidRPr="00AC57D5" w:rsidRDefault="00EC4B36" w:rsidP="00EC4B36">
      <w:pPr>
        <w:spacing w:line="276" w:lineRule="auto"/>
        <w:rPr>
          <w:szCs w:val="22"/>
        </w:rPr>
      </w:pPr>
      <w:r w:rsidRPr="00AC57D5">
        <w:rPr>
          <w:szCs w:val="22"/>
        </w:rPr>
        <w:t>Para establecer la cantidad de horas de trabajo del mes se ha considerado la cantidad de días hábiles del año dividido por 12, lo cual ha dado como resultado 20,5 días hábiles. Considerando una jornada diaria de 9 horas, la cantidad de horas laborables del mes es de 184,5 horas.</w:t>
      </w:r>
    </w:p>
    <w:p w14:paraId="189186FF" w14:textId="77777777" w:rsidR="00EC4B36" w:rsidRPr="00AC57D5" w:rsidRDefault="00EC4B36" w:rsidP="00EC4B36">
      <w:pPr>
        <w:spacing w:line="276" w:lineRule="auto"/>
        <w:jc w:val="center"/>
        <w:rPr>
          <w:szCs w:val="22"/>
        </w:rPr>
      </w:pPr>
      <w:bookmarkStart w:id="55" w:name="_Toc38047804"/>
      <w:bookmarkStart w:id="56" w:name="_Toc39793629"/>
      <w:bookmarkStart w:id="57" w:name="_Toc39795235"/>
      <w:bookmarkStart w:id="58" w:name="_Toc39797915"/>
      <w:r w:rsidRPr="00AC57D5">
        <w:rPr>
          <w:b/>
          <w:iCs/>
          <w:szCs w:val="22"/>
        </w:rPr>
        <w:t xml:space="preserve">Tabla </w:t>
      </w:r>
      <w:r w:rsidRPr="00AC57D5">
        <w:rPr>
          <w:b/>
          <w:iCs/>
          <w:szCs w:val="22"/>
        </w:rPr>
        <w:fldChar w:fldCharType="begin"/>
      </w:r>
      <w:r w:rsidRPr="00AC57D5">
        <w:rPr>
          <w:b/>
          <w:iCs/>
          <w:szCs w:val="22"/>
        </w:rPr>
        <w:instrText xml:space="preserve"> SEQ Tabla \* ARABIC </w:instrText>
      </w:r>
      <w:r w:rsidRPr="00AC57D5">
        <w:rPr>
          <w:b/>
          <w:iCs/>
          <w:szCs w:val="22"/>
        </w:rPr>
        <w:fldChar w:fldCharType="separate"/>
      </w:r>
      <w:r w:rsidR="001F3E2E">
        <w:rPr>
          <w:b/>
          <w:iCs/>
          <w:noProof/>
          <w:szCs w:val="22"/>
        </w:rPr>
        <w:t>5</w:t>
      </w:r>
      <w:r w:rsidRPr="00AC57D5">
        <w:rPr>
          <w:szCs w:val="22"/>
          <w:lang w:val="es-ES_tradnl"/>
        </w:rPr>
        <w:fldChar w:fldCharType="end"/>
      </w:r>
      <w:r w:rsidRPr="00AC57D5">
        <w:rPr>
          <w:b/>
          <w:iCs/>
          <w:szCs w:val="22"/>
        </w:rPr>
        <w:t>: Cuadrillas de trabajo para montaje</w:t>
      </w:r>
      <w:bookmarkEnd w:id="55"/>
      <w:bookmarkEnd w:id="56"/>
      <w:bookmarkEnd w:id="57"/>
      <w:bookmarkEnd w:id="58"/>
    </w:p>
    <w:tbl>
      <w:tblPr>
        <w:tblW w:w="0" w:type="auto"/>
        <w:jc w:val="center"/>
        <w:tblLayout w:type="fixed"/>
        <w:tblCellMar>
          <w:left w:w="57" w:type="dxa"/>
          <w:right w:w="57" w:type="dxa"/>
        </w:tblCellMar>
        <w:tblLook w:val="04A0" w:firstRow="1" w:lastRow="0" w:firstColumn="1" w:lastColumn="0" w:noHBand="0" w:noVBand="1"/>
      </w:tblPr>
      <w:tblGrid>
        <w:gridCol w:w="6804"/>
        <w:gridCol w:w="1701"/>
      </w:tblGrid>
      <w:tr w:rsidR="00EC4B36" w:rsidRPr="00AC57D5" w14:paraId="58487980" w14:textId="77777777" w:rsidTr="006B5A62">
        <w:trPr>
          <w:tblHeader/>
          <w:jc w:val="center"/>
        </w:trPr>
        <w:tc>
          <w:tcPr>
            <w:tcW w:w="6804"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21F4B2F0" w14:textId="77777777" w:rsidR="00EC4B36" w:rsidRPr="00AC57D5" w:rsidRDefault="00EC4B36" w:rsidP="006B5A62">
            <w:pPr>
              <w:spacing w:before="40" w:after="20" w:line="240" w:lineRule="auto"/>
              <w:rPr>
                <w:b/>
                <w:bCs/>
                <w:szCs w:val="22"/>
                <w:lang w:val="es-ES"/>
              </w:rPr>
            </w:pPr>
            <w:r w:rsidRPr="00AC57D5">
              <w:rPr>
                <w:b/>
                <w:bCs/>
                <w:szCs w:val="22"/>
                <w:lang w:val="es-ES"/>
              </w:rPr>
              <w:t>EQUIPO DE TRABAJO POR CUADRILLA</w:t>
            </w:r>
          </w:p>
        </w:tc>
        <w:tc>
          <w:tcPr>
            <w:tcW w:w="1701"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438173E9" w14:textId="77777777" w:rsidR="00EC4B36" w:rsidRPr="00AC57D5" w:rsidRDefault="00EC4B36" w:rsidP="006B5A62">
            <w:pPr>
              <w:spacing w:before="40" w:after="20" w:line="240" w:lineRule="auto"/>
              <w:jc w:val="center"/>
              <w:rPr>
                <w:b/>
                <w:bCs/>
                <w:szCs w:val="22"/>
                <w:lang w:val="es-ES"/>
              </w:rPr>
            </w:pPr>
            <w:r w:rsidRPr="00AC57D5">
              <w:rPr>
                <w:b/>
                <w:bCs/>
                <w:szCs w:val="22"/>
                <w:lang w:val="es-ES"/>
              </w:rPr>
              <w:t>Cantidad HH / Hora de Montaje</w:t>
            </w:r>
          </w:p>
        </w:tc>
      </w:tr>
      <w:tr w:rsidR="00EC4B36" w:rsidRPr="00AC57D5" w14:paraId="6C39A46E" w14:textId="77777777" w:rsidTr="006B5A62">
        <w:trPr>
          <w:jc w:val="center"/>
        </w:trPr>
        <w:tc>
          <w:tcPr>
            <w:tcW w:w="6804" w:type="dxa"/>
            <w:tcBorders>
              <w:top w:val="nil"/>
              <w:left w:val="single" w:sz="4" w:space="0" w:color="auto"/>
              <w:bottom w:val="single" w:sz="4" w:space="0" w:color="auto"/>
              <w:right w:val="single" w:sz="4" w:space="0" w:color="auto"/>
            </w:tcBorders>
            <w:shd w:val="clear" w:color="auto" w:fill="auto"/>
            <w:noWrap/>
            <w:vAlign w:val="center"/>
            <w:hideMark/>
          </w:tcPr>
          <w:p w14:paraId="6F6A04C1" w14:textId="77777777" w:rsidR="00EC4B36" w:rsidRPr="00AC57D5" w:rsidRDefault="00EC4B36" w:rsidP="006B5A62">
            <w:pPr>
              <w:spacing w:before="40" w:after="20" w:line="240" w:lineRule="auto"/>
              <w:rPr>
                <w:szCs w:val="22"/>
                <w:lang w:val="es-ES"/>
              </w:rPr>
            </w:pPr>
            <w:r w:rsidRPr="00AC57D5">
              <w:rPr>
                <w:szCs w:val="22"/>
                <w:lang w:val="es-ES"/>
              </w:rPr>
              <w:t>Obras civiles generales</w:t>
            </w:r>
          </w:p>
        </w:tc>
        <w:tc>
          <w:tcPr>
            <w:tcW w:w="1701" w:type="dxa"/>
            <w:tcBorders>
              <w:top w:val="nil"/>
              <w:left w:val="nil"/>
              <w:bottom w:val="single" w:sz="4" w:space="0" w:color="auto"/>
              <w:right w:val="single" w:sz="4" w:space="0" w:color="auto"/>
            </w:tcBorders>
            <w:shd w:val="clear" w:color="auto" w:fill="auto"/>
            <w:noWrap/>
            <w:vAlign w:val="center"/>
            <w:hideMark/>
          </w:tcPr>
          <w:p w14:paraId="51455779" w14:textId="77777777" w:rsidR="00EC4B36" w:rsidRPr="00AC57D5" w:rsidRDefault="00EC4B36" w:rsidP="006B5A62">
            <w:pPr>
              <w:spacing w:before="40" w:after="20" w:line="240" w:lineRule="auto"/>
              <w:jc w:val="center"/>
              <w:rPr>
                <w:szCs w:val="22"/>
                <w:lang w:val="es-ES"/>
              </w:rPr>
            </w:pPr>
            <w:r w:rsidRPr="00AC57D5">
              <w:rPr>
                <w:szCs w:val="22"/>
                <w:lang w:val="es-ES"/>
              </w:rPr>
              <w:t>4,15</w:t>
            </w:r>
          </w:p>
        </w:tc>
      </w:tr>
      <w:tr w:rsidR="00EC4B36" w:rsidRPr="00AC57D5" w14:paraId="23819291" w14:textId="77777777" w:rsidTr="006B5A62">
        <w:trPr>
          <w:jc w:val="center"/>
        </w:trPr>
        <w:tc>
          <w:tcPr>
            <w:tcW w:w="6804" w:type="dxa"/>
            <w:tcBorders>
              <w:top w:val="nil"/>
              <w:left w:val="single" w:sz="4" w:space="0" w:color="auto"/>
              <w:bottom w:val="single" w:sz="4" w:space="0" w:color="auto"/>
              <w:right w:val="single" w:sz="4" w:space="0" w:color="auto"/>
            </w:tcBorders>
            <w:shd w:val="clear" w:color="auto" w:fill="auto"/>
            <w:noWrap/>
            <w:vAlign w:val="center"/>
            <w:hideMark/>
          </w:tcPr>
          <w:p w14:paraId="7A660A3E" w14:textId="77777777" w:rsidR="00EC4B36" w:rsidRPr="00AC57D5" w:rsidRDefault="00EC4B36" w:rsidP="006B5A62">
            <w:pPr>
              <w:spacing w:before="40" w:after="20" w:line="240" w:lineRule="auto"/>
              <w:rPr>
                <w:szCs w:val="22"/>
                <w:lang w:val="es-ES"/>
              </w:rPr>
            </w:pPr>
            <w:r w:rsidRPr="00AC57D5">
              <w:rPr>
                <w:szCs w:val="22"/>
                <w:lang w:val="es-ES"/>
              </w:rPr>
              <w:t>Fundaciones, cámaras, canalizaciones</w:t>
            </w:r>
          </w:p>
        </w:tc>
        <w:tc>
          <w:tcPr>
            <w:tcW w:w="1701" w:type="dxa"/>
            <w:tcBorders>
              <w:top w:val="nil"/>
              <w:left w:val="nil"/>
              <w:bottom w:val="single" w:sz="4" w:space="0" w:color="auto"/>
              <w:right w:val="single" w:sz="4" w:space="0" w:color="auto"/>
            </w:tcBorders>
            <w:shd w:val="clear" w:color="auto" w:fill="auto"/>
            <w:noWrap/>
            <w:vAlign w:val="center"/>
            <w:hideMark/>
          </w:tcPr>
          <w:p w14:paraId="37A3D726" w14:textId="77777777" w:rsidR="00EC4B36" w:rsidRPr="00AC57D5" w:rsidRDefault="00EC4B36" w:rsidP="006B5A62">
            <w:pPr>
              <w:spacing w:before="40" w:after="20" w:line="240" w:lineRule="auto"/>
              <w:jc w:val="center"/>
              <w:rPr>
                <w:szCs w:val="22"/>
                <w:lang w:val="es-ES"/>
              </w:rPr>
            </w:pPr>
            <w:r w:rsidRPr="00AC57D5">
              <w:rPr>
                <w:szCs w:val="22"/>
                <w:lang w:val="es-ES"/>
              </w:rPr>
              <w:t>4,25</w:t>
            </w:r>
          </w:p>
        </w:tc>
      </w:tr>
      <w:tr w:rsidR="00EC4B36" w:rsidRPr="00AC57D5" w14:paraId="74016E7B" w14:textId="77777777" w:rsidTr="006B5A62">
        <w:trPr>
          <w:jc w:val="center"/>
        </w:trPr>
        <w:tc>
          <w:tcPr>
            <w:tcW w:w="6804" w:type="dxa"/>
            <w:tcBorders>
              <w:top w:val="nil"/>
              <w:left w:val="single" w:sz="4" w:space="0" w:color="auto"/>
              <w:bottom w:val="single" w:sz="4" w:space="0" w:color="auto"/>
              <w:right w:val="single" w:sz="4" w:space="0" w:color="auto"/>
            </w:tcBorders>
            <w:shd w:val="clear" w:color="auto" w:fill="auto"/>
            <w:noWrap/>
            <w:vAlign w:val="center"/>
            <w:hideMark/>
          </w:tcPr>
          <w:p w14:paraId="3CE07C46" w14:textId="77777777" w:rsidR="00EC4B36" w:rsidRPr="00AC57D5" w:rsidRDefault="00EC4B36" w:rsidP="006B5A62">
            <w:pPr>
              <w:spacing w:before="40" w:after="20" w:line="240" w:lineRule="auto"/>
              <w:rPr>
                <w:szCs w:val="22"/>
                <w:lang w:val="es-ES"/>
              </w:rPr>
            </w:pPr>
            <w:r w:rsidRPr="00AC57D5">
              <w:rPr>
                <w:szCs w:val="22"/>
                <w:lang w:val="es-ES"/>
              </w:rPr>
              <w:t>Edificaciones, casetas</w:t>
            </w:r>
          </w:p>
        </w:tc>
        <w:tc>
          <w:tcPr>
            <w:tcW w:w="1701" w:type="dxa"/>
            <w:tcBorders>
              <w:top w:val="nil"/>
              <w:left w:val="nil"/>
              <w:bottom w:val="single" w:sz="4" w:space="0" w:color="auto"/>
              <w:right w:val="single" w:sz="4" w:space="0" w:color="auto"/>
            </w:tcBorders>
            <w:shd w:val="clear" w:color="auto" w:fill="auto"/>
            <w:noWrap/>
            <w:vAlign w:val="center"/>
            <w:hideMark/>
          </w:tcPr>
          <w:p w14:paraId="0B0C5ABB" w14:textId="77777777" w:rsidR="00EC4B36" w:rsidRPr="00AC57D5" w:rsidRDefault="00EC4B36" w:rsidP="006B5A62">
            <w:pPr>
              <w:spacing w:before="40" w:after="20" w:line="240" w:lineRule="auto"/>
              <w:jc w:val="center"/>
              <w:rPr>
                <w:szCs w:val="22"/>
                <w:lang w:val="es-ES"/>
              </w:rPr>
            </w:pPr>
            <w:r w:rsidRPr="00AC57D5">
              <w:rPr>
                <w:szCs w:val="22"/>
                <w:lang w:val="es-ES"/>
              </w:rPr>
              <w:t>4,70</w:t>
            </w:r>
          </w:p>
        </w:tc>
      </w:tr>
      <w:tr w:rsidR="00EC4B36" w:rsidRPr="00AC57D5" w14:paraId="30E514E9" w14:textId="77777777" w:rsidTr="006B5A62">
        <w:trPr>
          <w:jc w:val="center"/>
        </w:trPr>
        <w:tc>
          <w:tcPr>
            <w:tcW w:w="6804" w:type="dxa"/>
            <w:tcBorders>
              <w:top w:val="nil"/>
              <w:left w:val="single" w:sz="4" w:space="0" w:color="auto"/>
              <w:bottom w:val="single" w:sz="4" w:space="0" w:color="auto"/>
              <w:right w:val="single" w:sz="4" w:space="0" w:color="auto"/>
            </w:tcBorders>
            <w:shd w:val="clear" w:color="auto" w:fill="auto"/>
            <w:noWrap/>
            <w:vAlign w:val="center"/>
            <w:hideMark/>
          </w:tcPr>
          <w:p w14:paraId="75F84783" w14:textId="77777777" w:rsidR="00EC4B36" w:rsidRPr="00AC57D5" w:rsidRDefault="00EC4B36" w:rsidP="006B5A62">
            <w:pPr>
              <w:spacing w:before="40" w:after="20" w:line="240" w:lineRule="auto"/>
              <w:rPr>
                <w:szCs w:val="22"/>
                <w:lang w:val="es-ES"/>
              </w:rPr>
            </w:pPr>
            <w:r w:rsidRPr="00AC57D5">
              <w:rPr>
                <w:szCs w:val="22"/>
                <w:lang w:val="es-ES"/>
              </w:rPr>
              <w:t>Montaje estructuras subestaciones</w:t>
            </w:r>
          </w:p>
        </w:tc>
        <w:tc>
          <w:tcPr>
            <w:tcW w:w="1701" w:type="dxa"/>
            <w:tcBorders>
              <w:top w:val="nil"/>
              <w:left w:val="nil"/>
              <w:bottom w:val="single" w:sz="4" w:space="0" w:color="auto"/>
              <w:right w:val="single" w:sz="4" w:space="0" w:color="auto"/>
            </w:tcBorders>
            <w:shd w:val="clear" w:color="auto" w:fill="auto"/>
            <w:noWrap/>
            <w:vAlign w:val="center"/>
            <w:hideMark/>
          </w:tcPr>
          <w:p w14:paraId="50DC5CE8" w14:textId="77777777" w:rsidR="00EC4B36" w:rsidRPr="00AC57D5" w:rsidRDefault="00EC4B36" w:rsidP="006B5A62">
            <w:pPr>
              <w:spacing w:before="40" w:after="20" w:line="240" w:lineRule="auto"/>
              <w:jc w:val="center"/>
              <w:rPr>
                <w:szCs w:val="22"/>
                <w:lang w:val="es-ES"/>
              </w:rPr>
            </w:pPr>
            <w:r w:rsidRPr="00AC57D5">
              <w:rPr>
                <w:szCs w:val="22"/>
                <w:lang w:val="es-ES"/>
              </w:rPr>
              <w:t>3,80</w:t>
            </w:r>
          </w:p>
        </w:tc>
      </w:tr>
      <w:tr w:rsidR="00EC4B36" w:rsidRPr="00AC57D5" w14:paraId="6108C367" w14:textId="77777777" w:rsidTr="006B5A62">
        <w:trPr>
          <w:jc w:val="center"/>
        </w:trPr>
        <w:tc>
          <w:tcPr>
            <w:tcW w:w="6804" w:type="dxa"/>
            <w:tcBorders>
              <w:top w:val="nil"/>
              <w:left w:val="single" w:sz="4" w:space="0" w:color="auto"/>
              <w:bottom w:val="single" w:sz="4" w:space="0" w:color="auto"/>
              <w:right w:val="single" w:sz="4" w:space="0" w:color="auto"/>
            </w:tcBorders>
            <w:shd w:val="clear" w:color="auto" w:fill="auto"/>
            <w:noWrap/>
            <w:vAlign w:val="center"/>
            <w:hideMark/>
          </w:tcPr>
          <w:p w14:paraId="5F60064F" w14:textId="77777777" w:rsidR="00EC4B36" w:rsidRPr="00AC57D5" w:rsidRDefault="00EC4B36" w:rsidP="006B5A62">
            <w:pPr>
              <w:spacing w:before="40" w:after="20" w:line="240" w:lineRule="auto"/>
              <w:rPr>
                <w:szCs w:val="22"/>
                <w:lang w:val="es-ES"/>
              </w:rPr>
            </w:pPr>
            <w:r w:rsidRPr="00AC57D5">
              <w:rPr>
                <w:szCs w:val="22"/>
                <w:lang w:val="es-ES"/>
              </w:rPr>
              <w:lastRenderedPageBreak/>
              <w:t>Obras civiles menores</w:t>
            </w:r>
          </w:p>
        </w:tc>
        <w:tc>
          <w:tcPr>
            <w:tcW w:w="1701" w:type="dxa"/>
            <w:tcBorders>
              <w:top w:val="nil"/>
              <w:left w:val="nil"/>
              <w:bottom w:val="single" w:sz="4" w:space="0" w:color="auto"/>
              <w:right w:val="single" w:sz="4" w:space="0" w:color="auto"/>
            </w:tcBorders>
            <w:shd w:val="clear" w:color="auto" w:fill="auto"/>
            <w:noWrap/>
            <w:vAlign w:val="center"/>
            <w:hideMark/>
          </w:tcPr>
          <w:p w14:paraId="01DEF279" w14:textId="77777777" w:rsidR="00EC4B36" w:rsidRPr="00AC57D5" w:rsidRDefault="00EC4B36" w:rsidP="006B5A62">
            <w:pPr>
              <w:spacing w:before="40" w:after="20" w:line="240" w:lineRule="auto"/>
              <w:jc w:val="center"/>
              <w:rPr>
                <w:szCs w:val="22"/>
                <w:lang w:val="es-ES"/>
              </w:rPr>
            </w:pPr>
            <w:r w:rsidRPr="00AC57D5">
              <w:rPr>
                <w:szCs w:val="22"/>
                <w:lang w:val="es-ES"/>
              </w:rPr>
              <w:t>2,65</w:t>
            </w:r>
          </w:p>
        </w:tc>
      </w:tr>
      <w:tr w:rsidR="00EC4B36" w:rsidRPr="00AC57D5" w14:paraId="3FA3C3D0" w14:textId="77777777" w:rsidTr="006B5A62">
        <w:trPr>
          <w:jc w:val="center"/>
        </w:trPr>
        <w:tc>
          <w:tcPr>
            <w:tcW w:w="6804" w:type="dxa"/>
            <w:tcBorders>
              <w:top w:val="nil"/>
              <w:left w:val="single" w:sz="4" w:space="0" w:color="auto"/>
              <w:bottom w:val="single" w:sz="4" w:space="0" w:color="auto"/>
              <w:right w:val="single" w:sz="4" w:space="0" w:color="auto"/>
            </w:tcBorders>
            <w:shd w:val="clear" w:color="auto" w:fill="auto"/>
            <w:noWrap/>
            <w:vAlign w:val="center"/>
            <w:hideMark/>
          </w:tcPr>
          <w:p w14:paraId="283D3025" w14:textId="77777777" w:rsidR="00EC4B36" w:rsidRPr="00AC57D5" w:rsidRDefault="00EC4B36" w:rsidP="006B5A62">
            <w:pPr>
              <w:spacing w:before="40" w:after="20" w:line="240" w:lineRule="auto"/>
              <w:rPr>
                <w:szCs w:val="22"/>
                <w:lang w:val="es-ES"/>
              </w:rPr>
            </w:pPr>
            <w:r w:rsidRPr="00AC57D5">
              <w:rPr>
                <w:szCs w:val="22"/>
                <w:lang w:val="es-ES"/>
              </w:rPr>
              <w:t>Montaje estructuras menores</w:t>
            </w:r>
          </w:p>
        </w:tc>
        <w:tc>
          <w:tcPr>
            <w:tcW w:w="1701" w:type="dxa"/>
            <w:tcBorders>
              <w:top w:val="nil"/>
              <w:left w:val="nil"/>
              <w:bottom w:val="single" w:sz="4" w:space="0" w:color="auto"/>
              <w:right w:val="single" w:sz="4" w:space="0" w:color="auto"/>
            </w:tcBorders>
            <w:shd w:val="clear" w:color="auto" w:fill="auto"/>
            <w:noWrap/>
            <w:vAlign w:val="center"/>
            <w:hideMark/>
          </w:tcPr>
          <w:p w14:paraId="4E6CD13C" w14:textId="77777777" w:rsidR="00EC4B36" w:rsidRPr="00AC57D5" w:rsidRDefault="00EC4B36" w:rsidP="006B5A62">
            <w:pPr>
              <w:spacing w:before="40" w:after="20" w:line="240" w:lineRule="auto"/>
              <w:jc w:val="center"/>
              <w:rPr>
                <w:szCs w:val="22"/>
                <w:lang w:val="es-ES"/>
              </w:rPr>
            </w:pPr>
            <w:r w:rsidRPr="00AC57D5">
              <w:rPr>
                <w:szCs w:val="22"/>
                <w:lang w:val="es-ES"/>
              </w:rPr>
              <w:t>2,65</w:t>
            </w:r>
          </w:p>
        </w:tc>
      </w:tr>
      <w:tr w:rsidR="00EC4B36" w:rsidRPr="00AC57D5" w14:paraId="1810F88E" w14:textId="77777777" w:rsidTr="006B5A62">
        <w:trPr>
          <w:jc w:val="center"/>
        </w:trPr>
        <w:tc>
          <w:tcPr>
            <w:tcW w:w="6804" w:type="dxa"/>
            <w:tcBorders>
              <w:top w:val="nil"/>
              <w:left w:val="single" w:sz="4" w:space="0" w:color="auto"/>
              <w:bottom w:val="single" w:sz="4" w:space="0" w:color="auto"/>
              <w:right w:val="single" w:sz="4" w:space="0" w:color="auto"/>
            </w:tcBorders>
            <w:shd w:val="clear" w:color="auto" w:fill="auto"/>
            <w:noWrap/>
            <w:vAlign w:val="center"/>
            <w:hideMark/>
          </w:tcPr>
          <w:p w14:paraId="089BD450" w14:textId="77777777" w:rsidR="00EC4B36" w:rsidRPr="00AC57D5" w:rsidRDefault="00EC4B36" w:rsidP="006B5A62">
            <w:pPr>
              <w:spacing w:before="40" w:after="20" w:line="240" w:lineRule="auto"/>
              <w:rPr>
                <w:szCs w:val="22"/>
                <w:lang w:val="es-ES"/>
              </w:rPr>
            </w:pPr>
            <w:r w:rsidRPr="00AC57D5">
              <w:rPr>
                <w:szCs w:val="22"/>
                <w:lang w:val="es-ES"/>
              </w:rPr>
              <w:t>Montaje estructuras líneas</w:t>
            </w:r>
          </w:p>
        </w:tc>
        <w:tc>
          <w:tcPr>
            <w:tcW w:w="1701" w:type="dxa"/>
            <w:tcBorders>
              <w:top w:val="nil"/>
              <w:left w:val="nil"/>
              <w:bottom w:val="single" w:sz="4" w:space="0" w:color="auto"/>
              <w:right w:val="single" w:sz="4" w:space="0" w:color="auto"/>
            </w:tcBorders>
            <w:shd w:val="clear" w:color="auto" w:fill="auto"/>
            <w:noWrap/>
            <w:vAlign w:val="center"/>
            <w:hideMark/>
          </w:tcPr>
          <w:p w14:paraId="5D2CBB0E" w14:textId="77777777" w:rsidR="00EC4B36" w:rsidRPr="00AC57D5" w:rsidRDefault="00EC4B36" w:rsidP="006B5A62">
            <w:pPr>
              <w:spacing w:before="40" w:after="20" w:line="240" w:lineRule="auto"/>
              <w:jc w:val="center"/>
              <w:rPr>
                <w:szCs w:val="22"/>
                <w:lang w:val="es-ES"/>
              </w:rPr>
            </w:pPr>
            <w:r w:rsidRPr="00AC57D5">
              <w:rPr>
                <w:szCs w:val="22"/>
                <w:lang w:val="es-ES"/>
              </w:rPr>
              <w:t>3,75</w:t>
            </w:r>
          </w:p>
        </w:tc>
      </w:tr>
      <w:tr w:rsidR="00EC4B36" w:rsidRPr="00AC57D5" w14:paraId="35606A77" w14:textId="77777777" w:rsidTr="006B5A62">
        <w:trPr>
          <w:jc w:val="center"/>
        </w:trPr>
        <w:tc>
          <w:tcPr>
            <w:tcW w:w="6804" w:type="dxa"/>
            <w:tcBorders>
              <w:top w:val="nil"/>
              <w:left w:val="single" w:sz="4" w:space="0" w:color="auto"/>
              <w:bottom w:val="single" w:sz="4" w:space="0" w:color="auto"/>
              <w:right w:val="single" w:sz="4" w:space="0" w:color="auto"/>
            </w:tcBorders>
            <w:shd w:val="clear" w:color="auto" w:fill="auto"/>
            <w:noWrap/>
            <w:vAlign w:val="center"/>
            <w:hideMark/>
          </w:tcPr>
          <w:p w14:paraId="5E1C2BB6" w14:textId="77777777" w:rsidR="00EC4B36" w:rsidRPr="00AC57D5" w:rsidRDefault="00EC4B36" w:rsidP="006B5A62">
            <w:pPr>
              <w:spacing w:before="40" w:after="20" w:line="240" w:lineRule="auto"/>
              <w:rPr>
                <w:szCs w:val="22"/>
                <w:lang w:val="es-ES"/>
              </w:rPr>
            </w:pPr>
            <w:r w:rsidRPr="00AC57D5">
              <w:rPr>
                <w:szCs w:val="22"/>
                <w:lang w:val="es-ES"/>
              </w:rPr>
              <w:t>Montaje equipos mayores</w:t>
            </w:r>
          </w:p>
        </w:tc>
        <w:tc>
          <w:tcPr>
            <w:tcW w:w="1701" w:type="dxa"/>
            <w:tcBorders>
              <w:top w:val="nil"/>
              <w:left w:val="nil"/>
              <w:bottom w:val="single" w:sz="4" w:space="0" w:color="auto"/>
              <w:right w:val="single" w:sz="4" w:space="0" w:color="auto"/>
            </w:tcBorders>
            <w:shd w:val="clear" w:color="auto" w:fill="auto"/>
            <w:noWrap/>
            <w:vAlign w:val="center"/>
            <w:hideMark/>
          </w:tcPr>
          <w:p w14:paraId="79C5D3EF" w14:textId="77777777" w:rsidR="00EC4B36" w:rsidRPr="00AC57D5" w:rsidRDefault="00EC4B36" w:rsidP="006B5A62">
            <w:pPr>
              <w:spacing w:before="40" w:after="20" w:line="240" w:lineRule="auto"/>
              <w:jc w:val="center"/>
              <w:rPr>
                <w:szCs w:val="22"/>
                <w:lang w:val="es-ES"/>
              </w:rPr>
            </w:pPr>
            <w:r w:rsidRPr="00AC57D5">
              <w:rPr>
                <w:szCs w:val="22"/>
                <w:lang w:val="es-ES"/>
              </w:rPr>
              <w:t>5,00</w:t>
            </w:r>
          </w:p>
        </w:tc>
      </w:tr>
      <w:tr w:rsidR="00EC4B36" w:rsidRPr="00AC57D5" w14:paraId="2BA5570A" w14:textId="77777777" w:rsidTr="006B5A62">
        <w:trPr>
          <w:jc w:val="center"/>
        </w:trPr>
        <w:tc>
          <w:tcPr>
            <w:tcW w:w="6804" w:type="dxa"/>
            <w:tcBorders>
              <w:top w:val="nil"/>
              <w:left w:val="single" w:sz="4" w:space="0" w:color="auto"/>
              <w:bottom w:val="single" w:sz="4" w:space="0" w:color="auto"/>
              <w:right w:val="single" w:sz="4" w:space="0" w:color="auto"/>
            </w:tcBorders>
            <w:shd w:val="clear" w:color="auto" w:fill="auto"/>
            <w:noWrap/>
            <w:vAlign w:val="center"/>
            <w:hideMark/>
          </w:tcPr>
          <w:p w14:paraId="4EE12D9F" w14:textId="77777777" w:rsidR="00EC4B36" w:rsidRPr="00AC57D5" w:rsidRDefault="00EC4B36" w:rsidP="006B5A62">
            <w:pPr>
              <w:spacing w:before="40" w:after="20" w:line="240" w:lineRule="auto"/>
              <w:rPr>
                <w:szCs w:val="22"/>
                <w:lang w:val="es-ES"/>
              </w:rPr>
            </w:pPr>
            <w:r w:rsidRPr="00AC57D5">
              <w:rPr>
                <w:szCs w:val="22"/>
                <w:lang w:val="es-ES"/>
              </w:rPr>
              <w:t>Montaje equipo eléctrico primario</w:t>
            </w:r>
          </w:p>
        </w:tc>
        <w:tc>
          <w:tcPr>
            <w:tcW w:w="1701" w:type="dxa"/>
            <w:tcBorders>
              <w:top w:val="nil"/>
              <w:left w:val="nil"/>
              <w:bottom w:val="single" w:sz="4" w:space="0" w:color="auto"/>
              <w:right w:val="single" w:sz="4" w:space="0" w:color="auto"/>
            </w:tcBorders>
            <w:shd w:val="clear" w:color="auto" w:fill="auto"/>
            <w:noWrap/>
            <w:vAlign w:val="center"/>
            <w:hideMark/>
          </w:tcPr>
          <w:p w14:paraId="2FA01729" w14:textId="77777777" w:rsidR="00EC4B36" w:rsidRPr="00AC57D5" w:rsidRDefault="00EC4B36" w:rsidP="006B5A62">
            <w:pPr>
              <w:spacing w:before="40" w:after="20" w:line="240" w:lineRule="auto"/>
              <w:jc w:val="center"/>
              <w:rPr>
                <w:szCs w:val="22"/>
                <w:lang w:val="es-ES"/>
              </w:rPr>
            </w:pPr>
            <w:r w:rsidRPr="00AC57D5">
              <w:rPr>
                <w:szCs w:val="22"/>
                <w:lang w:val="es-ES"/>
              </w:rPr>
              <w:t>4,50</w:t>
            </w:r>
          </w:p>
        </w:tc>
      </w:tr>
      <w:tr w:rsidR="00EC4B36" w:rsidRPr="00AC57D5" w14:paraId="2DBB94FA" w14:textId="77777777" w:rsidTr="006B5A62">
        <w:trPr>
          <w:jc w:val="center"/>
        </w:trPr>
        <w:tc>
          <w:tcPr>
            <w:tcW w:w="6804" w:type="dxa"/>
            <w:tcBorders>
              <w:top w:val="nil"/>
              <w:left w:val="single" w:sz="4" w:space="0" w:color="auto"/>
              <w:bottom w:val="single" w:sz="4" w:space="0" w:color="auto"/>
              <w:right w:val="single" w:sz="4" w:space="0" w:color="auto"/>
            </w:tcBorders>
            <w:shd w:val="clear" w:color="auto" w:fill="auto"/>
            <w:noWrap/>
            <w:vAlign w:val="center"/>
            <w:hideMark/>
          </w:tcPr>
          <w:p w14:paraId="0108D7A1" w14:textId="77777777" w:rsidR="00EC4B36" w:rsidRPr="00AC57D5" w:rsidRDefault="00EC4B36" w:rsidP="006B5A62">
            <w:pPr>
              <w:spacing w:before="40" w:after="20" w:line="240" w:lineRule="auto"/>
              <w:rPr>
                <w:szCs w:val="22"/>
                <w:lang w:val="es-ES"/>
              </w:rPr>
            </w:pPr>
            <w:r w:rsidRPr="00AC57D5">
              <w:rPr>
                <w:szCs w:val="22"/>
                <w:lang w:val="es-ES"/>
              </w:rPr>
              <w:t>Montaje aisladores, conductores, conectores, elementos auxiliares</w:t>
            </w:r>
          </w:p>
        </w:tc>
        <w:tc>
          <w:tcPr>
            <w:tcW w:w="1701" w:type="dxa"/>
            <w:tcBorders>
              <w:top w:val="nil"/>
              <w:left w:val="nil"/>
              <w:bottom w:val="single" w:sz="4" w:space="0" w:color="auto"/>
              <w:right w:val="single" w:sz="4" w:space="0" w:color="auto"/>
            </w:tcBorders>
            <w:shd w:val="clear" w:color="auto" w:fill="auto"/>
            <w:noWrap/>
            <w:vAlign w:val="center"/>
            <w:hideMark/>
          </w:tcPr>
          <w:p w14:paraId="4B44E96B" w14:textId="77777777" w:rsidR="00EC4B36" w:rsidRPr="00AC57D5" w:rsidRDefault="00EC4B36" w:rsidP="006B5A62">
            <w:pPr>
              <w:spacing w:before="40" w:after="20" w:line="240" w:lineRule="auto"/>
              <w:jc w:val="center"/>
              <w:rPr>
                <w:szCs w:val="22"/>
                <w:lang w:val="es-ES"/>
              </w:rPr>
            </w:pPr>
            <w:r w:rsidRPr="00AC57D5">
              <w:rPr>
                <w:szCs w:val="22"/>
                <w:lang w:val="es-ES"/>
              </w:rPr>
              <w:t>2,75</w:t>
            </w:r>
          </w:p>
        </w:tc>
      </w:tr>
      <w:tr w:rsidR="00EC4B36" w:rsidRPr="00AC57D5" w14:paraId="4FB7CF51" w14:textId="77777777" w:rsidTr="006B5A62">
        <w:trPr>
          <w:jc w:val="center"/>
        </w:trPr>
        <w:tc>
          <w:tcPr>
            <w:tcW w:w="6804" w:type="dxa"/>
            <w:tcBorders>
              <w:top w:val="nil"/>
              <w:left w:val="single" w:sz="4" w:space="0" w:color="auto"/>
              <w:bottom w:val="single" w:sz="4" w:space="0" w:color="auto"/>
              <w:right w:val="single" w:sz="4" w:space="0" w:color="auto"/>
            </w:tcBorders>
            <w:shd w:val="clear" w:color="auto" w:fill="auto"/>
            <w:noWrap/>
            <w:vAlign w:val="center"/>
            <w:hideMark/>
          </w:tcPr>
          <w:p w14:paraId="104EF75E" w14:textId="77777777" w:rsidR="00EC4B36" w:rsidRPr="00AC57D5" w:rsidRDefault="00EC4B36" w:rsidP="006B5A62">
            <w:pPr>
              <w:spacing w:before="40" w:after="20" w:line="240" w:lineRule="auto"/>
              <w:rPr>
                <w:szCs w:val="22"/>
                <w:lang w:val="es-ES"/>
              </w:rPr>
            </w:pPr>
            <w:r w:rsidRPr="00AC57D5">
              <w:rPr>
                <w:szCs w:val="22"/>
                <w:lang w:val="es-ES"/>
              </w:rPr>
              <w:t>Montaje y conexionado control y protección</w:t>
            </w:r>
          </w:p>
        </w:tc>
        <w:tc>
          <w:tcPr>
            <w:tcW w:w="1701" w:type="dxa"/>
            <w:tcBorders>
              <w:top w:val="nil"/>
              <w:left w:val="nil"/>
              <w:bottom w:val="single" w:sz="4" w:space="0" w:color="auto"/>
              <w:right w:val="single" w:sz="4" w:space="0" w:color="auto"/>
            </w:tcBorders>
            <w:shd w:val="clear" w:color="auto" w:fill="auto"/>
            <w:noWrap/>
            <w:vAlign w:val="center"/>
            <w:hideMark/>
          </w:tcPr>
          <w:p w14:paraId="40747BA2" w14:textId="77777777" w:rsidR="00EC4B36" w:rsidRPr="00AC57D5" w:rsidRDefault="00EC4B36" w:rsidP="006B5A62">
            <w:pPr>
              <w:spacing w:before="40" w:after="20" w:line="240" w:lineRule="auto"/>
              <w:jc w:val="center"/>
              <w:rPr>
                <w:szCs w:val="22"/>
                <w:lang w:val="es-ES"/>
              </w:rPr>
            </w:pPr>
            <w:r w:rsidRPr="00AC57D5">
              <w:rPr>
                <w:szCs w:val="22"/>
                <w:lang w:val="es-ES"/>
              </w:rPr>
              <w:t>4,40</w:t>
            </w:r>
          </w:p>
        </w:tc>
      </w:tr>
      <w:tr w:rsidR="00EC4B36" w:rsidRPr="00AC57D5" w14:paraId="696C010B" w14:textId="77777777" w:rsidTr="006B5A62">
        <w:trPr>
          <w:jc w:val="center"/>
        </w:trPr>
        <w:tc>
          <w:tcPr>
            <w:tcW w:w="6804" w:type="dxa"/>
            <w:tcBorders>
              <w:top w:val="nil"/>
              <w:left w:val="single" w:sz="4" w:space="0" w:color="auto"/>
              <w:bottom w:val="single" w:sz="4" w:space="0" w:color="auto"/>
              <w:right w:val="single" w:sz="4" w:space="0" w:color="auto"/>
            </w:tcBorders>
            <w:shd w:val="clear" w:color="auto" w:fill="auto"/>
            <w:noWrap/>
            <w:vAlign w:val="center"/>
            <w:hideMark/>
          </w:tcPr>
          <w:p w14:paraId="59992B9E" w14:textId="77777777" w:rsidR="00EC4B36" w:rsidRPr="00AC57D5" w:rsidRDefault="00EC4B36" w:rsidP="006B5A62">
            <w:pPr>
              <w:spacing w:before="40" w:after="20" w:line="240" w:lineRule="auto"/>
              <w:rPr>
                <w:szCs w:val="22"/>
                <w:lang w:val="es-ES"/>
              </w:rPr>
            </w:pPr>
            <w:r w:rsidRPr="00AC57D5">
              <w:rPr>
                <w:szCs w:val="22"/>
                <w:lang w:val="es-ES"/>
              </w:rPr>
              <w:t>Montaje y conexionado celementos auxiliares control y protección</w:t>
            </w:r>
          </w:p>
        </w:tc>
        <w:tc>
          <w:tcPr>
            <w:tcW w:w="1701" w:type="dxa"/>
            <w:tcBorders>
              <w:top w:val="nil"/>
              <w:left w:val="nil"/>
              <w:bottom w:val="single" w:sz="4" w:space="0" w:color="auto"/>
              <w:right w:val="single" w:sz="4" w:space="0" w:color="auto"/>
            </w:tcBorders>
            <w:shd w:val="clear" w:color="auto" w:fill="auto"/>
            <w:noWrap/>
            <w:vAlign w:val="center"/>
            <w:hideMark/>
          </w:tcPr>
          <w:p w14:paraId="642B3A64" w14:textId="77777777" w:rsidR="00EC4B36" w:rsidRPr="00AC57D5" w:rsidRDefault="00EC4B36" w:rsidP="006B5A62">
            <w:pPr>
              <w:spacing w:before="40" w:after="20" w:line="240" w:lineRule="auto"/>
              <w:jc w:val="center"/>
              <w:rPr>
                <w:szCs w:val="22"/>
                <w:lang w:val="es-ES"/>
              </w:rPr>
            </w:pPr>
            <w:r w:rsidRPr="00AC57D5">
              <w:rPr>
                <w:szCs w:val="22"/>
                <w:lang w:val="es-ES"/>
              </w:rPr>
              <w:t>3,25</w:t>
            </w:r>
          </w:p>
        </w:tc>
      </w:tr>
      <w:tr w:rsidR="00EC4B36" w:rsidRPr="00AC57D5" w14:paraId="59135FD5" w14:textId="77777777" w:rsidTr="006B5A62">
        <w:trPr>
          <w:jc w:val="center"/>
        </w:trPr>
        <w:tc>
          <w:tcPr>
            <w:tcW w:w="6804" w:type="dxa"/>
            <w:tcBorders>
              <w:top w:val="nil"/>
              <w:left w:val="single" w:sz="4" w:space="0" w:color="auto"/>
              <w:bottom w:val="single" w:sz="4" w:space="0" w:color="auto"/>
              <w:right w:val="single" w:sz="4" w:space="0" w:color="auto"/>
            </w:tcBorders>
            <w:shd w:val="clear" w:color="auto" w:fill="auto"/>
            <w:noWrap/>
            <w:vAlign w:val="center"/>
            <w:hideMark/>
          </w:tcPr>
          <w:p w14:paraId="6F70E05B" w14:textId="77777777" w:rsidR="00EC4B36" w:rsidRPr="00AC57D5" w:rsidRDefault="00EC4B36" w:rsidP="006B5A62">
            <w:pPr>
              <w:spacing w:before="40" w:after="20" w:line="240" w:lineRule="auto"/>
              <w:rPr>
                <w:szCs w:val="22"/>
                <w:lang w:val="es-ES"/>
              </w:rPr>
            </w:pPr>
            <w:r w:rsidRPr="00AC57D5">
              <w:rPr>
                <w:szCs w:val="22"/>
                <w:lang w:val="es-ES"/>
              </w:rPr>
              <w:t>Montaje conjuntos aislación y ferretería de líneas</w:t>
            </w:r>
          </w:p>
        </w:tc>
        <w:tc>
          <w:tcPr>
            <w:tcW w:w="1701" w:type="dxa"/>
            <w:tcBorders>
              <w:top w:val="nil"/>
              <w:left w:val="nil"/>
              <w:bottom w:val="single" w:sz="4" w:space="0" w:color="auto"/>
              <w:right w:val="single" w:sz="4" w:space="0" w:color="auto"/>
            </w:tcBorders>
            <w:shd w:val="clear" w:color="auto" w:fill="auto"/>
            <w:noWrap/>
            <w:vAlign w:val="center"/>
            <w:hideMark/>
          </w:tcPr>
          <w:p w14:paraId="585BE956" w14:textId="77777777" w:rsidR="00EC4B36" w:rsidRPr="00AC57D5" w:rsidRDefault="00EC4B36" w:rsidP="006B5A62">
            <w:pPr>
              <w:spacing w:before="40" w:after="20" w:line="240" w:lineRule="auto"/>
              <w:jc w:val="center"/>
              <w:rPr>
                <w:szCs w:val="22"/>
                <w:lang w:val="es-ES"/>
              </w:rPr>
            </w:pPr>
            <w:r w:rsidRPr="00AC57D5">
              <w:rPr>
                <w:szCs w:val="22"/>
                <w:lang w:val="es-ES"/>
              </w:rPr>
              <w:t>4,20</w:t>
            </w:r>
          </w:p>
        </w:tc>
      </w:tr>
      <w:tr w:rsidR="00EC4B36" w:rsidRPr="00AC57D5" w14:paraId="288C27EE" w14:textId="77777777" w:rsidTr="006B5A62">
        <w:trPr>
          <w:jc w:val="center"/>
        </w:trPr>
        <w:tc>
          <w:tcPr>
            <w:tcW w:w="6804" w:type="dxa"/>
            <w:tcBorders>
              <w:top w:val="nil"/>
              <w:left w:val="single" w:sz="4" w:space="0" w:color="auto"/>
              <w:bottom w:val="single" w:sz="4" w:space="0" w:color="auto"/>
              <w:right w:val="single" w:sz="4" w:space="0" w:color="auto"/>
            </w:tcBorders>
            <w:shd w:val="clear" w:color="auto" w:fill="auto"/>
            <w:noWrap/>
            <w:vAlign w:val="center"/>
            <w:hideMark/>
          </w:tcPr>
          <w:p w14:paraId="5750552E" w14:textId="77777777" w:rsidR="00EC4B36" w:rsidRPr="00AC57D5" w:rsidRDefault="00EC4B36" w:rsidP="006B5A62">
            <w:pPr>
              <w:spacing w:before="40" w:after="20" w:line="240" w:lineRule="auto"/>
              <w:rPr>
                <w:szCs w:val="22"/>
                <w:lang w:val="es-ES"/>
              </w:rPr>
            </w:pPr>
            <w:r w:rsidRPr="00AC57D5">
              <w:rPr>
                <w:szCs w:val="22"/>
                <w:lang w:val="es-ES"/>
              </w:rPr>
              <w:t>Montaje conductores de línea</w:t>
            </w:r>
          </w:p>
        </w:tc>
        <w:tc>
          <w:tcPr>
            <w:tcW w:w="1701" w:type="dxa"/>
            <w:tcBorders>
              <w:top w:val="nil"/>
              <w:left w:val="nil"/>
              <w:bottom w:val="single" w:sz="4" w:space="0" w:color="auto"/>
              <w:right w:val="single" w:sz="4" w:space="0" w:color="auto"/>
            </w:tcBorders>
            <w:shd w:val="clear" w:color="auto" w:fill="auto"/>
            <w:noWrap/>
            <w:vAlign w:val="center"/>
            <w:hideMark/>
          </w:tcPr>
          <w:p w14:paraId="3FE0A7A4" w14:textId="77777777" w:rsidR="00EC4B36" w:rsidRPr="00AC57D5" w:rsidRDefault="00EC4B36" w:rsidP="006B5A62">
            <w:pPr>
              <w:spacing w:before="40" w:after="20" w:line="240" w:lineRule="auto"/>
              <w:jc w:val="center"/>
              <w:rPr>
                <w:szCs w:val="22"/>
                <w:lang w:val="es-ES"/>
              </w:rPr>
            </w:pPr>
            <w:r w:rsidRPr="00AC57D5">
              <w:rPr>
                <w:szCs w:val="22"/>
                <w:lang w:val="es-ES"/>
              </w:rPr>
              <w:t>4,70</w:t>
            </w:r>
          </w:p>
        </w:tc>
      </w:tr>
    </w:tbl>
    <w:p w14:paraId="23E497C6" w14:textId="77777777" w:rsidR="00EC4B36" w:rsidRPr="00AC57D5" w:rsidRDefault="00EC4B36" w:rsidP="00EC4B36">
      <w:pPr>
        <w:spacing w:after="120" w:line="276" w:lineRule="auto"/>
        <w:rPr>
          <w:szCs w:val="22"/>
        </w:rPr>
      </w:pPr>
    </w:p>
    <w:p w14:paraId="139F5741" w14:textId="77777777" w:rsidR="00EC4B36" w:rsidRPr="00AC57D5" w:rsidRDefault="00EC4B36" w:rsidP="00EC4B36">
      <w:pPr>
        <w:spacing w:line="276" w:lineRule="auto"/>
        <w:rPr>
          <w:szCs w:val="22"/>
        </w:rPr>
      </w:pPr>
      <w:r w:rsidRPr="00AC57D5">
        <w:rPr>
          <w:szCs w:val="22"/>
        </w:rPr>
        <w:t>Para la determinación de la remuneración de cada una de las categorías definidas para las cuadrillas, se ha utilizado el estudio de remuneraciones considerado en este estudio, en el cual no existen cargos definidos para labores de montaje de subestaciones y líneas de transmisión. Por tal razón ha sido necesario homologar los cargos de las cuadrillas con cargos comparables del estudio de remuneraciones. Sin embargo, solo se logró homologar los 3 cargos principales, siendo necesario para los 4 cargos restantes estimar como remuneración un porcentaje de los anteriores. Los porcentajes se estimaron según proporciones habituales para el rubro.</w:t>
      </w:r>
    </w:p>
    <w:p w14:paraId="62E327A9" w14:textId="77777777" w:rsidR="00EC4B36" w:rsidRPr="00AC57D5" w:rsidRDefault="00EC4B36" w:rsidP="00EC4B36">
      <w:pPr>
        <w:spacing w:line="276" w:lineRule="auto"/>
        <w:rPr>
          <w:szCs w:val="22"/>
        </w:rPr>
      </w:pPr>
      <w:r w:rsidRPr="00AC57D5">
        <w:rPr>
          <w:szCs w:val="22"/>
        </w:rPr>
        <w:t>En definitiva, la remuneración utilizada para cada una de las categorías de personal del montaje se muestra en la tabla siguiente.</w:t>
      </w:r>
    </w:p>
    <w:p w14:paraId="3F757070" w14:textId="77777777" w:rsidR="00EC4B36" w:rsidRPr="00AC57D5" w:rsidRDefault="00EC4B36" w:rsidP="00EC4B36">
      <w:pPr>
        <w:spacing w:line="276" w:lineRule="auto"/>
        <w:jc w:val="center"/>
        <w:rPr>
          <w:szCs w:val="22"/>
        </w:rPr>
      </w:pPr>
      <w:bookmarkStart w:id="59" w:name="_Toc38047805"/>
      <w:bookmarkStart w:id="60" w:name="_Toc39793630"/>
      <w:bookmarkStart w:id="61" w:name="_Toc39795236"/>
      <w:bookmarkStart w:id="62" w:name="_Toc39797916"/>
      <w:r w:rsidRPr="00AC57D5">
        <w:rPr>
          <w:b/>
          <w:iCs/>
          <w:szCs w:val="22"/>
        </w:rPr>
        <w:t xml:space="preserve">Tabla </w:t>
      </w:r>
      <w:r w:rsidRPr="00AC57D5">
        <w:rPr>
          <w:b/>
          <w:iCs/>
          <w:szCs w:val="22"/>
        </w:rPr>
        <w:fldChar w:fldCharType="begin"/>
      </w:r>
      <w:r w:rsidRPr="00AC57D5">
        <w:rPr>
          <w:b/>
          <w:iCs/>
          <w:szCs w:val="22"/>
        </w:rPr>
        <w:instrText xml:space="preserve"> SEQ Tabla \* ARABIC </w:instrText>
      </w:r>
      <w:r w:rsidRPr="00AC57D5">
        <w:rPr>
          <w:b/>
          <w:iCs/>
          <w:szCs w:val="22"/>
        </w:rPr>
        <w:fldChar w:fldCharType="separate"/>
      </w:r>
      <w:r w:rsidR="001F3E2E">
        <w:rPr>
          <w:b/>
          <w:iCs/>
          <w:noProof/>
          <w:szCs w:val="22"/>
        </w:rPr>
        <w:t>6</w:t>
      </w:r>
      <w:r w:rsidRPr="00AC57D5">
        <w:rPr>
          <w:szCs w:val="22"/>
          <w:lang w:val="es-ES_tradnl"/>
        </w:rPr>
        <w:fldChar w:fldCharType="end"/>
      </w:r>
      <w:r w:rsidRPr="00AC57D5">
        <w:rPr>
          <w:b/>
          <w:iCs/>
          <w:szCs w:val="22"/>
        </w:rPr>
        <w:t>: Remuneración bruta del personal</w:t>
      </w:r>
      <w:bookmarkEnd w:id="59"/>
      <w:bookmarkEnd w:id="60"/>
      <w:bookmarkEnd w:id="61"/>
      <w:bookmarkEnd w:id="62"/>
    </w:p>
    <w:tbl>
      <w:tblPr>
        <w:tblW w:w="-1" w:type="dxa"/>
        <w:jc w:val="center"/>
        <w:tblLayout w:type="fixed"/>
        <w:tblCellMar>
          <w:left w:w="57" w:type="dxa"/>
          <w:right w:w="57" w:type="dxa"/>
        </w:tblCellMar>
        <w:tblLook w:val="04A0" w:firstRow="1" w:lastRow="0" w:firstColumn="1" w:lastColumn="0" w:noHBand="0" w:noVBand="1"/>
      </w:tblPr>
      <w:tblGrid>
        <w:gridCol w:w="3686"/>
        <w:gridCol w:w="1247"/>
        <w:gridCol w:w="1418"/>
        <w:gridCol w:w="1418"/>
        <w:gridCol w:w="1418"/>
      </w:tblGrid>
      <w:tr w:rsidR="00EC4B36" w:rsidRPr="00AC57D5" w14:paraId="169D21C2" w14:textId="77777777" w:rsidTr="006B5A62">
        <w:trPr>
          <w:tblHeader/>
          <w:jc w:val="center"/>
        </w:trPr>
        <w:tc>
          <w:tcPr>
            <w:tcW w:w="3686"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17673DB3" w14:textId="77777777" w:rsidR="00EC4B36" w:rsidRPr="00AC57D5" w:rsidRDefault="00EC4B36" w:rsidP="006B5A62">
            <w:pPr>
              <w:spacing w:before="20" w:after="20" w:line="240" w:lineRule="auto"/>
              <w:rPr>
                <w:b/>
                <w:bCs/>
                <w:sz w:val="22"/>
                <w:szCs w:val="22"/>
                <w:lang w:val="es-ES"/>
              </w:rPr>
            </w:pPr>
            <w:r w:rsidRPr="00AC57D5">
              <w:rPr>
                <w:b/>
                <w:bCs/>
                <w:sz w:val="22"/>
                <w:szCs w:val="22"/>
                <w:lang w:val="es-ES"/>
              </w:rPr>
              <w:t>CATEGORÍA</w:t>
            </w:r>
          </w:p>
        </w:tc>
        <w:tc>
          <w:tcPr>
            <w:tcW w:w="1247"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6EB6BAAA" w14:textId="77777777" w:rsidR="00EC4B36" w:rsidRPr="00AC57D5" w:rsidRDefault="00EC4B36" w:rsidP="006B5A62">
            <w:pPr>
              <w:spacing w:before="20" w:after="20" w:line="240" w:lineRule="auto"/>
              <w:rPr>
                <w:b/>
                <w:bCs/>
                <w:sz w:val="22"/>
                <w:szCs w:val="22"/>
                <w:lang w:val="es-ES"/>
              </w:rPr>
            </w:pPr>
            <w:r w:rsidRPr="00AC57D5">
              <w:rPr>
                <w:b/>
                <w:bCs/>
                <w:sz w:val="22"/>
                <w:szCs w:val="22"/>
                <w:lang w:val="es-ES"/>
              </w:rPr>
              <w:t>CÓDIGO</w:t>
            </w:r>
          </w:p>
        </w:tc>
        <w:tc>
          <w:tcPr>
            <w:tcW w:w="1418"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73240643" w14:textId="77777777" w:rsidR="00EC4B36" w:rsidRPr="00AC57D5" w:rsidRDefault="00EC4B36" w:rsidP="006B5A62">
            <w:pPr>
              <w:spacing w:before="20" w:after="20" w:line="240" w:lineRule="auto"/>
              <w:rPr>
                <w:b/>
                <w:bCs/>
                <w:sz w:val="22"/>
                <w:szCs w:val="22"/>
                <w:lang w:val="es-ES"/>
              </w:rPr>
            </w:pPr>
            <w:r w:rsidRPr="00AC57D5">
              <w:rPr>
                <w:b/>
                <w:bCs/>
                <w:sz w:val="22"/>
                <w:szCs w:val="22"/>
                <w:lang w:val="es-ES"/>
              </w:rPr>
              <w:t>USD/año</w:t>
            </w:r>
          </w:p>
        </w:tc>
        <w:tc>
          <w:tcPr>
            <w:tcW w:w="1418"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481137F1" w14:textId="77777777" w:rsidR="00EC4B36" w:rsidRPr="00AC57D5" w:rsidRDefault="00EC4B36" w:rsidP="006B5A62">
            <w:pPr>
              <w:spacing w:before="20" w:after="20" w:line="240" w:lineRule="auto"/>
              <w:rPr>
                <w:b/>
                <w:bCs/>
                <w:sz w:val="22"/>
                <w:szCs w:val="22"/>
                <w:lang w:val="es-ES"/>
              </w:rPr>
            </w:pPr>
            <w:r w:rsidRPr="00AC57D5">
              <w:rPr>
                <w:b/>
                <w:bCs/>
                <w:sz w:val="22"/>
                <w:szCs w:val="22"/>
                <w:lang w:val="es-ES"/>
              </w:rPr>
              <w:t>USD/mes</w:t>
            </w:r>
          </w:p>
        </w:tc>
        <w:tc>
          <w:tcPr>
            <w:tcW w:w="1418"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579BFF47" w14:textId="77777777" w:rsidR="00EC4B36" w:rsidRPr="00AC57D5" w:rsidRDefault="00EC4B36" w:rsidP="006B5A62">
            <w:pPr>
              <w:spacing w:before="20" w:after="20" w:line="240" w:lineRule="auto"/>
              <w:rPr>
                <w:b/>
                <w:bCs/>
                <w:sz w:val="22"/>
                <w:szCs w:val="22"/>
                <w:lang w:val="es-ES"/>
              </w:rPr>
            </w:pPr>
            <w:r w:rsidRPr="00AC57D5">
              <w:rPr>
                <w:b/>
                <w:bCs/>
                <w:sz w:val="22"/>
                <w:szCs w:val="22"/>
                <w:lang w:val="es-ES"/>
              </w:rPr>
              <w:t>USD/hora</w:t>
            </w:r>
          </w:p>
        </w:tc>
      </w:tr>
      <w:tr w:rsidR="00EC4B36" w:rsidRPr="00AC57D5" w14:paraId="4E101A62" w14:textId="77777777" w:rsidTr="006B5A62">
        <w:trPr>
          <w:jc w:val="center"/>
        </w:trPr>
        <w:tc>
          <w:tcPr>
            <w:tcW w:w="3686" w:type="dxa"/>
            <w:tcBorders>
              <w:top w:val="nil"/>
              <w:left w:val="single" w:sz="4" w:space="0" w:color="auto"/>
              <w:bottom w:val="single" w:sz="4" w:space="0" w:color="auto"/>
              <w:right w:val="single" w:sz="4" w:space="0" w:color="auto"/>
            </w:tcBorders>
            <w:shd w:val="clear" w:color="auto" w:fill="auto"/>
            <w:noWrap/>
            <w:vAlign w:val="center"/>
            <w:hideMark/>
          </w:tcPr>
          <w:p w14:paraId="2524D696" w14:textId="77777777" w:rsidR="00EC4B36" w:rsidRPr="00AC57D5" w:rsidRDefault="00EC4B36" w:rsidP="006B5A62">
            <w:pPr>
              <w:spacing w:before="20" w:after="20" w:line="240" w:lineRule="auto"/>
              <w:rPr>
                <w:sz w:val="22"/>
                <w:szCs w:val="22"/>
                <w:lang w:val="es-ES"/>
              </w:rPr>
            </w:pPr>
            <w:r w:rsidRPr="00AC57D5">
              <w:rPr>
                <w:sz w:val="22"/>
                <w:szCs w:val="22"/>
                <w:lang w:val="es-ES"/>
              </w:rPr>
              <w:t>Jefe de Obra</w:t>
            </w:r>
          </w:p>
        </w:tc>
        <w:tc>
          <w:tcPr>
            <w:tcW w:w="1247" w:type="dxa"/>
            <w:tcBorders>
              <w:top w:val="nil"/>
              <w:left w:val="nil"/>
              <w:bottom w:val="single" w:sz="4" w:space="0" w:color="auto"/>
              <w:right w:val="single" w:sz="4" w:space="0" w:color="auto"/>
            </w:tcBorders>
            <w:shd w:val="clear" w:color="auto" w:fill="auto"/>
            <w:noWrap/>
            <w:vAlign w:val="center"/>
            <w:hideMark/>
          </w:tcPr>
          <w:p w14:paraId="1148FA6F" w14:textId="77777777" w:rsidR="00EC4B36" w:rsidRPr="00AC57D5" w:rsidRDefault="00EC4B36" w:rsidP="006B5A62">
            <w:pPr>
              <w:spacing w:before="20" w:after="20" w:line="240" w:lineRule="auto"/>
              <w:rPr>
                <w:sz w:val="22"/>
                <w:szCs w:val="22"/>
                <w:lang w:val="es-ES"/>
              </w:rPr>
            </w:pPr>
            <w:r w:rsidRPr="00AC57D5">
              <w:rPr>
                <w:sz w:val="22"/>
                <w:szCs w:val="22"/>
                <w:lang w:val="es-ES"/>
              </w:rPr>
              <w:t>JOB</w:t>
            </w:r>
          </w:p>
        </w:tc>
        <w:tc>
          <w:tcPr>
            <w:tcW w:w="1418" w:type="dxa"/>
            <w:tcBorders>
              <w:top w:val="nil"/>
              <w:left w:val="nil"/>
              <w:bottom w:val="single" w:sz="4" w:space="0" w:color="auto"/>
              <w:right w:val="single" w:sz="4" w:space="0" w:color="auto"/>
            </w:tcBorders>
            <w:shd w:val="clear" w:color="auto" w:fill="auto"/>
            <w:noWrap/>
            <w:vAlign w:val="center"/>
            <w:hideMark/>
          </w:tcPr>
          <w:p w14:paraId="37BC21CE" w14:textId="77777777" w:rsidR="00EC4B36" w:rsidRPr="00AC57D5" w:rsidRDefault="00EC4B36" w:rsidP="006B5A62">
            <w:pPr>
              <w:spacing w:before="20" w:after="20" w:line="240" w:lineRule="auto"/>
              <w:jc w:val="right"/>
              <w:rPr>
                <w:sz w:val="22"/>
                <w:szCs w:val="22"/>
                <w:lang w:val="es-ES"/>
              </w:rPr>
            </w:pPr>
            <w:r w:rsidRPr="00AC57D5">
              <w:rPr>
                <w:sz w:val="22"/>
                <w:szCs w:val="22"/>
                <w:lang w:val="es-ES"/>
              </w:rPr>
              <w:t>36.751,38</w:t>
            </w:r>
          </w:p>
        </w:tc>
        <w:tc>
          <w:tcPr>
            <w:tcW w:w="1418" w:type="dxa"/>
            <w:tcBorders>
              <w:top w:val="nil"/>
              <w:left w:val="nil"/>
              <w:bottom w:val="single" w:sz="4" w:space="0" w:color="auto"/>
              <w:right w:val="single" w:sz="4" w:space="0" w:color="auto"/>
            </w:tcBorders>
            <w:shd w:val="clear" w:color="auto" w:fill="auto"/>
            <w:noWrap/>
            <w:vAlign w:val="center"/>
            <w:hideMark/>
          </w:tcPr>
          <w:p w14:paraId="4769BF7E" w14:textId="77777777" w:rsidR="00EC4B36" w:rsidRPr="00AC57D5" w:rsidRDefault="00EC4B36" w:rsidP="006B5A62">
            <w:pPr>
              <w:spacing w:before="20" w:after="20" w:line="240" w:lineRule="auto"/>
              <w:jc w:val="right"/>
              <w:rPr>
                <w:sz w:val="22"/>
                <w:szCs w:val="22"/>
                <w:lang w:val="es-ES"/>
              </w:rPr>
            </w:pPr>
            <w:r w:rsidRPr="00AC57D5">
              <w:rPr>
                <w:sz w:val="22"/>
                <w:szCs w:val="22"/>
                <w:lang w:val="es-ES"/>
              </w:rPr>
              <w:t>3.062,62</w:t>
            </w:r>
          </w:p>
        </w:tc>
        <w:tc>
          <w:tcPr>
            <w:tcW w:w="1418" w:type="dxa"/>
            <w:tcBorders>
              <w:top w:val="nil"/>
              <w:left w:val="nil"/>
              <w:bottom w:val="single" w:sz="4" w:space="0" w:color="auto"/>
              <w:right w:val="single" w:sz="4" w:space="0" w:color="auto"/>
            </w:tcBorders>
            <w:shd w:val="clear" w:color="auto" w:fill="auto"/>
            <w:noWrap/>
            <w:vAlign w:val="center"/>
            <w:hideMark/>
          </w:tcPr>
          <w:p w14:paraId="3EE40E94" w14:textId="77777777" w:rsidR="00EC4B36" w:rsidRPr="00AC57D5" w:rsidRDefault="00EC4B36" w:rsidP="006B5A62">
            <w:pPr>
              <w:spacing w:before="20" w:after="20" w:line="240" w:lineRule="auto"/>
              <w:jc w:val="right"/>
              <w:rPr>
                <w:sz w:val="22"/>
                <w:szCs w:val="22"/>
                <w:lang w:val="es-ES"/>
              </w:rPr>
            </w:pPr>
            <w:bookmarkStart w:id="63" w:name="RANGE!F11"/>
            <w:r w:rsidRPr="00AC57D5">
              <w:rPr>
                <w:sz w:val="22"/>
                <w:szCs w:val="22"/>
                <w:lang w:val="es-ES"/>
              </w:rPr>
              <w:t>16,60</w:t>
            </w:r>
            <w:bookmarkEnd w:id="63"/>
          </w:p>
        </w:tc>
      </w:tr>
      <w:tr w:rsidR="00EC4B36" w:rsidRPr="00AC57D5" w14:paraId="1C7E95BE" w14:textId="77777777" w:rsidTr="006B5A62">
        <w:trPr>
          <w:jc w:val="center"/>
        </w:trPr>
        <w:tc>
          <w:tcPr>
            <w:tcW w:w="3686" w:type="dxa"/>
            <w:tcBorders>
              <w:top w:val="nil"/>
              <w:left w:val="single" w:sz="4" w:space="0" w:color="auto"/>
              <w:bottom w:val="single" w:sz="4" w:space="0" w:color="auto"/>
              <w:right w:val="single" w:sz="4" w:space="0" w:color="auto"/>
            </w:tcBorders>
            <w:shd w:val="clear" w:color="auto" w:fill="auto"/>
            <w:noWrap/>
            <w:vAlign w:val="center"/>
            <w:hideMark/>
          </w:tcPr>
          <w:p w14:paraId="5AD0FA8A" w14:textId="77777777" w:rsidR="00EC4B36" w:rsidRPr="00AC57D5" w:rsidRDefault="00EC4B36" w:rsidP="006B5A62">
            <w:pPr>
              <w:spacing w:before="20" w:after="20" w:line="240" w:lineRule="auto"/>
              <w:rPr>
                <w:sz w:val="22"/>
                <w:szCs w:val="22"/>
                <w:lang w:val="es-ES"/>
              </w:rPr>
            </w:pPr>
            <w:r w:rsidRPr="00AC57D5">
              <w:rPr>
                <w:sz w:val="22"/>
                <w:szCs w:val="22"/>
                <w:lang w:val="es-ES"/>
              </w:rPr>
              <w:t>Subjefe obra especialidad</w:t>
            </w:r>
          </w:p>
        </w:tc>
        <w:tc>
          <w:tcPr>
            <w:tcW w:w="1247" w:type="dxa"/>
            <w:tcBorders>
              <w:top w:val="nil"/>
              <w:left w:val="nil"/>
              <w:bottom w:val="single" w:sz="4" w:space="0" w:color="auto"/>
              <w:right w:val="single" w:sz="4" w:space="0" w:color="auto"/>
            </w:tcBorders>
            <w:shd w:val="clear" w:color="auto" w:fill="auto"/>
            <w:noWrap/>
            <w:vAlign w:val="center"/>
            <w:hideMark/>
          </w:tcPr>
          <w:p w14:paraId="1E287147" w14:textId="77777777" w:rsidR="00EC4B36" w:rsidRPr="00AC57D5" w:rsidRDefault="00EC4B36" w:rsidP="006B5A62">
            <w:pPr>
              <w:spacing w:before="20" w:after="20" w:line="240" w:lineRule="auto"/>
              <w:rPr>
                <w:sz w:val="22"/>
                <w:szCs w:val="22"/>
                <w:lang w:val="es-ES"/>
              </w:rPr>
            </w:pPr>
            <w:r w:rsidRPr="00AC57D5">
              <w:rPr>
                <w:sz w:val="22"/>
                <w:szCs w:val="22"/>
                <w:lang w:val="es-ES"/>
              </w:rPr>
              <w:t>CAP</w:t>
            </w:r>
          </w:p>
        </w:tc>
        <w:tc>
          <w:tcPr>
            <w:tcW w:w="1418" w:type="dxa"/>
            <w:tcBorders>
              <w:top w:val="nil"/>
              <w:left w:val="nil"/>
              <w:bottom w:val="single" w:sz="4" w:space="0" w:color="auto"/>
              <w:right w:val="single" w:sz="4" w:space="0" w:color="auto"/>
            </w:tcBorders>
            <w:shd w:val="clear" w:color="auto" w:fill="auto"/>
            <w:noWrap/>
            <w:vAlign w:val="center"/>
            <w:hideMark/>
          </w:tcPr>
          <w:p w14:paraId="108E6EE9" w14:textId="77777777" w:rsidR="00EC4B36" w:rsidRPr="00AC57D5" w:rsidRDefault="00EC4B36" w:rsidP="006B5A62">
            <w:pPr>
              <w:spacing w:before="20" w:after="20" w:line="240" w:lineRule="auto"/>
              <w:jc w:val="right"/>
              <w:rPr>
                <w:sz w:val="22"/>
                <w:szCs w:val="22"/>
                <w:lang w:val="es-ES"/>
              </w:rPr>
            </w:pPr>
            <w:r w:rsidRPr="00AC57D5">
              <w:rPr>
                <w:sz w:val="22"/>
                <w:szCs w:val="22"/>
                <w:lang w:val="es-ES"/>
              </w:rPr>
              <w:t>26.764,43</w:t>
            </w:r>
          </w:p>
        </w:tc>
        <w:tc>
          <w:tcPr>
            <w:tcW w:w="1418" w:type="dxa"/>
            <w:tcBorders>
              <w:top w:val="nil"/>
              <w:left w:val="nil"/>
              <w:bottom w:val="single" w:sz="4" w:space="0" w:color="auto"/>
              <w:right w:val="single" w:sz="4" w:space="0" w:color="auto"/>
            </w:tcBorders>
            <w:shd w:val="clear" w:color="auto" w:fill="auto"/>
            <w:noWrap/>
            <w:vAlign w:val="center"/>
            <w:hideMark/>
          </w:tcPr>
          <w:p w14:paraId="4341AA60" w14:textId="77777777" w:rsidR="00EC4B36" w:rsidRPr="00AC57D5" w:rsidRDefault="00EC4B36" w:rsidP="006B5A62">
            <w:pPr>
              <w:spacing w:before="20" w:after="20" w:line="240" w:lineRule="auto"/>
              <w:jc w:val="right"/>
              <w:rPr>
                <w:sz w:val="22"/>
                <w:szCs w:val="22"/>
                <w:lang w:val="es-ES"/>
              </w:rPr>
            </w:pPr>
            <w:r w:rsidRPr="00AC57D5">
              <w:rPr>
                <w:sz w:val="22"/>
                <w:szCs w:val="22"/>
                <w:lang w:val="es-ES"/>
              </w:rPr>
              <w:t>2.230,37</w:t>
            </w:r>
          </w:p>
        </w:tc>
        <w:tc>
          <w:tcPr>
            <w:tcW w:w="1418" w:type="dxa"/>
            <w:tcBorders>
              <w:top w:val="nil"/>
              <w:left w:val="nil"/>
              <w:bottom w:val="single" w:sz="4" w:space="0" w:color="auto"/>
              <w:right w:val="single" w:sz="4" w:space="0" w:color="auto"/>
            </w:tcBorders>
            <w:shd w:val="clear" w:color="auto" w:fill="auto"/>
            <w:noWrap/>
            <w:vAlign w:val="center"/>
            <w:hideMark/>
          </w:tcPr>
          <w:p w14:paraId="4931F486" w14:textId="77777777" w:rsidR="00EC4B36" w:rsidRPr="00AC57D5" w:rsidRDefault="00EC4B36" w:rsidP="006B5A62">
            <w:pPr>
              <w:spacing w:before="20" w:after="20" w:line="240" w:lineRule="auto"/>
              <w:jc w:val="right"/>
              <w:rPr>
                <w:sz w:val="22"/>
                <w:szCs w:val="22"/>
                <w:lang w:val="es-ES"/>
              </w:rPr>
            </w:pPr>
            <w:bookmarkStart w:id="64" w:name="RANGE!F12"/>
            <w:r w:rsidRPr="00AC57D5">
              <w:rPr>
                <w:sz w:val="22"/>
                <w:szCs w:val="22"/>
                <w:lang w:val="es-ES"/>
              </w:rPr>
              <w:t>12,09</w:t>
            </w:r>
            <w:bookmarkEnd w:id="64"/>
          </w:p>
        </w:tc>
      </w:tr>
      <w:tr w:rsidR="00EC4B36" w:rsidRPr="00AC57D5" w14:paraId="12D0ADF4" w14:textId="77777777" w:rsidTr="006B5A62">
        <w:trPr>
          <w:jc w:val="center"/>
        </w:trPr>
        <w:tc>
          <w:tcPr>
            <w:tcW w:w="3686" w:type="dxa"/>
            <w:tcBorders>
              <w:top w:val="nil"/>
              <w:left w:val="single" w:sz="4" w:space="0" w:color="auto"/>
              <w:bottom w:val="single" w:sz="4" w:space="0" w:color="auto"/>
              <w:right w:val="single" w:sz="4" w:space="0" w:color="auto"/>
            </w:tcBorders>
            <w:shd w:val="clear" w:color="auto" w:fill="auto"/>
            <w:noWrap/>
            <w:vAlign w:val="center"/>
            <w:hideMark/>
          </w:tcPr>
          <w:p w14:paraId="3F43646D" w14:textId="77777777" w:rsidR="00EC4B36" w:rsidRPr="00AC57D5" w:rsidRDefault="00EC4B36" w:rsidP="006B5A62">
            <w:pPr>
              <w:spacing w:before="20" w:after="20" w:line="240" w:lineRule="auto"/>
              <w:rPr>
                <w:sz w:val="22"/>
                <w:szCs w:val="22"/>
                <w:lang w:val="es-ES"/>
              </w:rPr>
            </w:pPr>
            <w:r w:rsidRPr="00AC57D5">
              <w:rPr>
                <w:sz w:val="22"/>
                <w:szCs w:val="22"/>
                <w:lang w:val="es-ES"/>
              </w:rPr>
              <w:t>Maestro Especializado</w:t>
            </w:r>
          </w:p>
        </w:tc>
        <w:tc>
          <w:tcPr>
            <w:tcW w:w="1247" w:type="dxa"/>
            <w:tcBorders>
              <w:top w:val="nil"/>
              <w:left w:val="nil"/>
              <w:bottom w:val="single" w:sz="4" w:space="0" w:color="auto"/>
              <w:right w:val="single" w:sz="4" w:space="0" w:color="auto"/>
            </w:tcBorders>
            <w:shd w:val="clear" w:color="auto" w:fill="auto"/>
            <w:noWrap/>
            <w:vAlign w:val="center"/>
            <w:hideMark/>
          </w:tcPr>
          <w:p w14:paraId="1770919A" w14:textId="77777777" w:rsidR="00EC4B36" w:rsidRPr="00AC57D5" w:rsidRDefault="00EC4B36" w:rsidP="006B5A62">
            <w:pPr>
              <w:spacing w:before="20" w:after="20" w:line="240" w:lineRule="auto"/>
              <w:rPr>
                <w:sz w:val="22"/>
                <w:szCs w:val="22"/>
                <w:lang w:val="es-ES"/>
              </w:rPr>
            </w:pPr>
            <w:r w:rsidRPr="00AC57D5">
              <w:rPr>
                <w:sz w:val="22"/>
                <w:szCs w:val="22"/>
                <w:lang w:val="es-ES"/>
              </w:rPr>
              <w:t>MESP</w:t>
            </w:r>
          </w:p>
        </w:tc>
        <w:tc>
          <w:tcPr>
            <w:tcW w:w="1418" w:type="dxa"/>
            <w:tcBorders>
              <w:top w:val="nil"/>
              <w:left w:val="nil"/>
              <w:bottom w:val="single" w:sz="4" w:space="0" w:color="auto"/>
              <w:right w:val="single" w:sz="4" w:space="0" w:color="auto"/>
            </w:tcBorders>
            <w:shd w:val="clear" w:color="auto" w:fill="auto"/>
            <w:noWrap/>
            <w:vAlign w:val="center"/>
            <w:hideMark/>
          </w:tcPr>
          <w:p w14:paraId="548E78EA" w14:textId="77777777" w:rsidR="00EC4B36" w:rsidRPr="00AC57D5" w:rsidRDefault="00EC4B36" w:rsidP="006B5A62">
            <w:pPr>
              <w:spacing w:before="20" w:after="20" w:line="240" w:lineRule="auto"/>
              <w:jc w:val="right"/>
              <w:rPr>
                <w:sz w:val="22"/>
                <w:szCs w:val="22"/>
                <w:lang w:val="es-ES"/>
              </w:rPr>
            </w:pPr>
            <w:r w:rsidRPr="00AC57D5">
              <w:rPr>
                <w:sz w:val="22"/>
                <w:szCs w:val="22"/>
                <w:lang w:val="es-ES"/>
              </w:rPr>
              <w:t>26.765,43</w:t>
            </w:r>
          </w:p>
        </w:tc>
        <w:tc>
          <w:tcPr>
            <w:tcW w:w="1418" w:type="dxa"/>
            <w:tcBorders>
              <w:top w:val="nil"/>
              <w:left w:val="nil"/>
              <w:bottom w:val="single" w:sz="4" w:space="0" w:color="auto"/>
              <w:right w:val="single" w:sz="4" w:space="0" w:color="auto"/>
            </w:tcBorders>
            <w:shd w:val="clear" w:color="auto" w:fill="auto"/>
            <w:noWrap/>
            <w:vAlign w:val="center"/>
            <w:hideMark/>
          </w:tcPr>
          <w:p w14:paraId="78C19D25" w14:textId="77777777" w:rsidR="00EC4B36" w:rsidRPr="00AC57D5" w:rsidRDefault="00EC4B36" w:rsidP="006B5A62">
            <w:pPr>
              <w:spacing w:before="20" w:after="20" w:line="240" w:lineRule="auto"/>
              <w:jc w:val="right"/>
              <w:rPr>
                <w:sz w:val="22"/>
                <w:szCs w:val="22"/>
                <w:lang w:val="es-ES"/>
              </w:rPr>
            </w:pPr>
            <w:r w:rsidRPr="00AC57D5">
              <w:rPr>
                <w:sz w:val="22"/>
                <w:szCs w:val="22"/>
                <w:lang w:val="es-ES"/>
              </w:rPr>
              <w:t>2.230,45</w:t>
            </w:r>
          </w:p>
        </w:tc>
        <w:tc>
          <w:tcPr>
            <w:tcW w:w="1418" w:type="dxa"/>
            <w:tcBorders>
              <w:top w:val="nil"/>
              <w:left w:val="nil"/>
              <w:bottom w:val="single" w:sz="4" w:space="0" w:color="auto"/>
              <w:right w:val="single" w:sz="4" w:space="0" w:color="auto"/>
            </w:tcBorders>
            <w:shd w:val="clear" w:color="auto" w:fill="auto"/>
            <w:noWrap/>
            <w:vAlign w:val="center"/>
            <w:hideMark/>
          </w:tcPr>
          <w:p w14:paraId="36B6831D" w14:textId="77777777" w:rsidR="00EC4B36" w:rsidRPr="00AC57D5" w:rsidRDefault="00EC4B36" w:rsidP="006B5A62">
            <w:pPr>
              <w:spacing w:before="20" w:after="20" w:line="240" w:lineRule="auto"/>
              <w:jc w:val="right"/>
              <w:rPr>
                <w:sz w:val="22"/>
                <w:szCs w:val="22"/>
                <w:lang w:val="es-ES"/>
              </w:rPr>
            </w:pPr>
            <w:bookmarkStart w:id="65" w:name="RANGE!F13"/>
            <w:r w:rsidRPr="00AC57D5">
              <w:rPr>
                <w:sz w:val="22"/>
                <w:szCs w:val="22"/>
                <w:lang w:val="es-ES"/>
              </w:rPr>
              <w:t>12,09</w:t>
            </w:r>
            <w:bookmarkEnd w:id="65"/>
          </w:p>
        </w:tc>
      </w:tr>
      <w:tr w:rsidR="00EC4B36" w:rsidRPr="00AC57D5" w14:paraId="4D09FA17" w14:textId="77777777" w:rsidTr="006B5A62">
        <w:trPr>
          <w:jc w:val="center"/>
        </w:trPr>
        <w:tc>
          <w:tcPr>
            <w:tcW w:w="3686" w:type="dxa"/>
            <w:tcBorders>
              <w:top w:val="nil"/>
              <w:left w:val="single" w:sz="4" w:space="0" w:color="auto"/>
              <w:bottom w:val="single" w:sz="4" w:space="0" w:color="auto"/>
              <w:right w:val="single" w:sz="4" w:space="0" w:color="auto"/>
            </w:tcBorders>
            <w:shd w:val="clear" w:color="auto" w:fill="auto"/>
            <w:noWrap/>
            <w:vAlign w:val="center"/>
            <w:hideMark/>
          </w:tcPr>
          <w:p w14:paraId="6AAE28E1" w14:textId="77777777" w:rsidR="00EC4B36" w:rsidRPr="00AC57D5" w:rsidRDefault="00EC4B36" w:rsidP="006B5A62">
            <w:pPr>
              <w:spacing w:before="20" w:after="20" w:line="240" w:lineRule="auto"/>
              <w:rPr>
                <w:sz w:val="22"/>
                <w:szCs w:val="22"/>
                <w:lang w:val="es-ES"/>
              </w:rPr>
            </w:pPr>
            <w:r w:rsidRPr="00AC57D5">
              <w:rPr>
                <w:sz w:val="22"/>
                <w:szCs w:val="22"/>
                <w:lang w:val="es-ES"/>
              </w:rPr>
              <w:t>Maestro Primero</w:t>
            </w:r>
          </w:p>
        </w:tc>
        <w:tc>
          <w:tcPr>
            <w:tcW w:w="1247" w:type="dxa"/>
            <w:tcBorders>
              <w:top w:val="nil"/>
              <w:left w:val="nil"/>
              <w:bottom w:val="single" w:sz="4" w:space="0" w:color="auto"/>
              <w:right w:val="single" w:sz="4" w:space="0" w:color="auto"/>
            </w:tcBorders>
            <w:shd w:val="clear" w:color="auto" w:fill="auto"/>
            <w:noWrap/>
            <w:vAlign w:val="center"/>
            <w:hideMark/>
          </w:tcPr>
          <w:p w14:paraId="36632544" w14:textId="77777777" w:rsidR="00EC4B36" w:rsidRPr="00AC57D5" w:rsidRDefault="00EC4B36" w:rsidP="006B5A62">
            <w:pPr>
              <w:spacing w:before="20" w:after="20" w:line="240" w:lineRule="auto"/>
              <w:rPr>
                <w:sz w:val="22"/>
                <w:szCs w:val="22"/>
                <w:lang w:val="es-ES"/>
              </w:rPr>
            </w:pPr>
            <w:r w:rsidRPr="00AC57D5">
              <w:rPr>
                <w:sz w:val="22"/>
                <w:szCs w:val="22"/>
                <w:lang w:val="es-ES"/>
              </w:rPr>
              <w:t>MPRI</w:t>
            </w:r>
          </w:p>
        </w:tc>
        <w:tc>
          <w:tcPr>
            <w:tcW w:w="1418" w:type="dxa"/>
            <w:tcBorders>
              <w:top w:val="nil"/>
              <w:left w:val="nil"/>
              <w:bottom w:val="single" w:sz="4" w:space="0" w:color="auto"/>
              <w:right w:val="single" w:sz="4" w:space="0" w:color="auto"/>
            </w:tcBorders>
            <w:shd w:val="clear" w:color="auto" w:fill="auto"/>
            <w:noWrap/>
            <w:vAlign w:val="center"/>
            <w:hideMark/>
          </w:tcPr>
          <w:p w14:paraId="14998044" w14:textId="77777777" w:rsidR="00EC4B36" w:rsidRPr="00AC57D5" w:rsidRDefault="00EC4B36" w:rsidP="006B5A62">
            <w:pPr>
              <w:spacing w:before="20" w:after="20" w:line="240" w:lineRule="auto"/>
              <w:jc w:val="right"/>
              <w:rPr>
                <w:sz w:val="22"/>
                <w:szCs w:val="22"/>
                <w:lang w:val="es-ES"/>
              </w:rPr>
            </w:pPr>
            <w:r w:rsidRPr="00AC57D5">
              <w:rPr>
                <w:sz w:val="22"/>
                <w:szCs w:val="22"/>
                <w:lang w:val="es-ES"/>
              </w:rPr>
              <w:t>24.088,89</w:t>
            </w:r>
          </w:p>
        </w:tc>
        <w:tc>
          <w:tcPr>
            <w:tcW w:w="1418" w:type="dxa"/>
            <w:tcBorders>
              <w:top w:val="nil"/>
              <w:left w:val="nil"/>
              <w:bottom w:val="single" w:sz="4" w:space="0" w:color="auto"/>
              <w:right w:val="single" w:sz="4" w:space="0" w:color="auto"/>
            </w:tcBorders>
            <w:shd w:val="clear" w:color="auto" w:fill="auto"/>
            <w:noWrap/>
            <w:vAlign w:val="center"/>
            <w:hideMark/>
          </w:tcPr>
          <w:p w14:paraId="5FDA6D05" w14:textId="77777777" w:rsidR="00EC4B36" w:rsidRPr="00AC57D5" w:rsidRDefault="00EC4B36" w:rsidP="006B5A62">
            <w:pPr>
              <w:spacing w:before="20" w:after="20" w:line="240" w:lineRule="auto"/>
              <w:jc w:val="right"/>
              <w:rPr>
                <w:sz w:val="22"/>
                <w:szCs w:val="22"/>
                <w:lang w:val="es-ES"/>
              </w:rPr>
            </w:pPr>
            <w:r w:rsidRPr="00AC57D5">
              <w:rPr>
                <w:sz w:val="22"/>
                <w:szCs w:val="22"/>
                <w:lang w:val="es-ES"/>
              </w:rPr>
              <w:t>2.007,41</w:t>
            </w:r>
          </w:p>
        </w:tc>
        <w:tc>
          <w:tcPr>
            <w:tcW w:w="1418" w:type="dxa"/>
            <w:tcBorders>
              <w:top w:val="nil"/>
              <w:left w:val="nil"/>
              <w:bottom w:val="single" w:sz="4" w:space="0" w:color="auto"/>
              <w:right w:val="single" w:sz="4" w:space="0" w:color="auto"/>
            </w:tcBorders>
            <w:shd w:val="clear" w:color="auto" w:fill="auto"/>
            <w:noWrap/>
            <w:vAlign w:val="center"/>
            <w:hideMark/>
          </w:tcPr>
          <w:p w14:paraId="59953B1F" w14:textId="77777777" w:rsidR="00EC4B36" w:rsidRPr="00AC57D5" w:rsidRDefault="00EC4B36" w:rsidP="006B5A62">
            <w:pPr>
              <w:spacing w:before="20" w:after="20" w:line="240" w:lineRule="auto"/>
              <w:jc w:val="right"/>
              <w:rPr>
                <w:sz w:val="22"/>
                <w:szCs w:val="22"/>
                <w:lang w:val="es-ES"/>
              </w:rPr>
            </w:pPr>
            <w:bookmarkStart w:id="66" w:name="RANGE!F14"/>
            <w:r w:rsidRPr="00AC57D5">
              <w:rPr>
                <w:sz w:val="22"/>
                <w:szCs w:val="22"/>
                <w:lang w:val="es-ES"/>
              </w:rPr>
              <w:t>10,88</w:t>
            </w:r>
            <w:bookmarkEnd w:id="66"/>
          </w:p>
        </w:tc>
      </w:tr>
      <w:tr w:rsidR="00EC4B36" w:rsidRPr="00AC57D5" w14:paraId="1BBA8180" w14:textId="77777777" w:rsidTr="006B5A62">
        <w:trPr>
          <w:jc w:val="center"/>
        </w:trPr>
        <w:tc>
          <w:tcPr>
            <w:tcW w:w="3686" w:type="dxa"/>
            <w:tcBorders>
              <w:top w:val="nil"/>
              <w:left w:val="single" w:sz="4" w:space="0" w:color="auto"/>
              <w:bottom w:val="single" w:sz="4" w:space="0" w:color="auto"/>
              <w:right w:val="single" w:sz="4" w:space="0" w:color="auto"/>
            </w:tcBorders>
            <w:shd w:val="clear" w:color="auto" w:fill="auto"/>
            <w:noWrap/>
            <w:vAlign w:val="center"/>
            <w:hideMark/>
          </w:tcPr>
          <w:p w14:paraId="12CC186E" w14:textId="77777777" w:rsidR="00EC4B36" w:rsidRPr="00AC57D5" w:rsidRDefault="00EC4B36" w:rsidP="006B5A62">
            <w:pPr>
              <w:spacing w:before="20" w:after="20" w:line="240" w:lineRule="auto"/>
              <w:rPr>
                <w:sz w:val="22"/>
                <w:szCs w:val="22"/>
                <w:lang w:val="es-ES"/>
              </w:rPr>
            </w:pPr>
            <w:r w:rsidRPr="00AC57D5">
              <w:rPr>
                <w:sz w:val="22"/>
                <w:szCs w:val="22"/>
                <w:lang w:val="es-ES"/>
              </w:rPr>
              <w:t>Maestro Segundo</w:t>
            </w:r>
          </w:p>
        </w:tc>
        <w:tc>
          <w:tcPr>
            <w:tcW w:w="1247" w:type="dxa"/>
            <w:tcBorders>
              <w:top w:val="nil"/>
              <w:left w:val="nil"/>
              <w:bottom w:val="single" w:sz="4" w:space="0" w:color="auto"/>
              <w:right w:val="single" w:sz="4" w:space="0" w:color="auto"/>
            </w:tcBorders>
            <w:shd w:val="clear" w:color="auto" w:fill="auto"/>
            <w:noWrap/>
            <w:vAlign w:val="center"/>
            <w:hideMark/>
          </w:tcPr>
          <w:p w14:paraId="3AD1DFCB" w14:textId="77777777" w:rsidR="00EC4B36" w:rsidRPr="00AC57D5" w:rsidRDefault="00EC4B36" w:rsidP="006B5A62">
            <w:pPr>
              <w:spacing w:before="20" w:after="20" w:line="240" w:lineRule="auto"/>
              <w:rPr>
                <w:sz w:val="22"/>
                <w:szCs w:val="22"/>
                <w:lang w:val="es-ES"/>
              </w:rPr>
            </w:pPr>
            <w:r w:rsidRPr="00AC57D5">
              <w:rPr>
                <w:sz w:val="22"/>
                <w:szCs w:val="22"/>
                <w:lang w:val="es-ES"/>
              </w:rPr>
              <w:t>MSEG</w:t>
            </w:r>
          </w:p>
        </w:tc>
        <w:tc>
          <w:tcPr>
            <w:tcW w:w="1418" w:type="dxa"/>
            <w:tcBorders>
              <w:top w:val="nil"/>
              <w:left w:val="nil"/>
              <w:bottom w:val="single" w:sz="4" w:space="0" w:color="auto"/>
              <w:right w:val="single" w:sz="4" w:space="0" w:color="auto"/>
            </w:tcBorders>
            <w:shd w:val="clear" w:color="auto" w:fill="auto"/>
            <w:noWrap/>
            <w:vAlign w:val="center"/>
            <w:hideMark/>
          </w:tcPr>
          <w:p w14:paraId="2083528E" w14:textId="77777777" w:rsidR="00EC4B36" w:rsidRPr="00AC57D5" w:rsidRDefault="00EC4B36" w:rsidP="006B5A62">
            <w:pPr>
              <w:spacing w:before="20" w:after="20" w:line="240" w:lineRule="auto"/>
              <w:jc w:val="right"/>
              <w:rPr>
                <w:sz w:val="22"/>
                <w:szCs w:val="22"/>
                <w:lang w:val="es-ES"/>
              </w:rPr>
            </w:pPr>
            <w:r w:rsidRPr="00AC57D5">
              <w:rPr>
                <w:sz w:val="22"/>
                <w:szCs w:val="22"/>
                <w:lang w:val="es-ES"/>
              </w:rPr>
              <w:t>20.475,56</w:t>
            </w:r>
          </w:p>
        </w:tc>
        <w:tc>
          <w:tcPr>
            <w:tcW w:w="1418" w:type="dxa"/>
            <w:tcBorders>
              <w:top w:val="nil"/>
              <w:left w:val="nil"/>
              <w:bottom w:val="single" w:sz="4" w:space="0" w:color="auto"/>
              <w:right w:val="single" w:sz="4" w:space="0" w:color="auto"/>
            </w:tcBorders>
            <w:shd w:val="clear" w:color="auto" w:fill="auto"/>
            <w:noWrap/>
            <w:vAlign w:val="center"/>
            <w:hideMark/>
          </w:tcPr>
          <w:p w14:paraId="6902C2F6" w14:textId="77777777" w:rsidR="00EC4B36" w:rsidRPr="00AC57D5" w:rsidRDefault="00EC4B36" w:rsidP="006B5A62">
            <w:pPr>
              <w:spacing w:before="20" w:after="20" w:line="240" w:lineRule="auto"/>
              <w:jc w:val="right"/>
              <w:rPr>
                <w:sz w:val="22"/>
                <w:szCs w:val="22"/>
                <w:lang w:val="es-ES"/>
              </w:rPr>
            </w:pPr>
            <w:r w:rsidRPr="00AC57D5">
              <w:rPr>
                <w:sz w:val="22"/>
                <w:szCs w:val="22"/>
                <w:lang w:val="es-ES"/>
              </w:rPr>
              <w:t>1.706,30</w:t>
            </w:r>
          </w:p>
        </w:tc>
        <w:tc>
          <w:tcPr>
            <w:tcW w:w="1418" w:type="dxa"/>
            <w:tcBorders>
              <w:top w:val="nil"/>
              <w:left w:val="nil"/>
              <w:bottom w:val="single" w:sz="4" w:space="0" w:color="auto"/>
              <w:right w:val="single" w:sz="4" w:space="0" w:color="auto"/>
            </w:tcBorders>
            <w:shd w:val="clear" w:color="auto" w:fill="auto"/>
            <w:noWrap/>
            <w:vAlign w:val="center"/>
            <w:hideMark/>
          </w:tcPr>
          <w:p w14:paraId="29FE4C1B" w14:textId="77777777" w:rsidR="00EC4B36" w:rsidRPr="00AC57D5" w:rsidRDefault="00EC4B36" w:rsidP="006B5A62">
            <w:pPr>
              <w:spacing w:before="20" w:after="20" w:line="240" w:lineRule="auto"/>
              <w:jc w:val="right"/>
              <w:rPr>
                <w:sz w:val="22"/>
                <w:szCs w:val="22"/>
                <w:lang w:val="es-ES"/>
              </w:rPr>
            </w:pPr>
            <w:bookmarkStart w:id="67" w:name="RANGE!F15"/>
            <w:r w:rsidRPr="00AC57D5">
              <w:rPr>
                <w:sz w:val="22"/>
                <w:szCs w:val="22"/>
                <w:lang w:val="es-ES"/>
              </w:rPr>
              <w:t>9,25</w:t>
            </w:r>
            <w:bookmarkEnd w:id="67"/>
          </w:p>
        </w:tc>
      </w:tr>
      <w:tr w:rsidR="00EC4B36" w:rsidRPr="00AC57D5" w14:paraId="17751126" w14:textId="77777777" w:rsidTr="006B5A62">
        <w:trPr>
          <w:jc w:val="center"/>
        </w:trPr>
        <w:tc>
          <w:tcPr>
            <w:tcW w:w="3686" w:type="dxa"/>
            <w:tcBorders>
              <w:top w:val="nil"/>
              <w:left w:val="single" w:sz="4" w:space="0" w:color="auto"/>
              <w:bottom w:val="single" w:sz="4" w:space="0" w:color="auto"/>
              <w:right w:val="single" w:sz="4" w:space="0" w:color="auto"/>
            </w:tcBorders>
            <w:shd w:val="clear" w:color="auto" w:fill="auto"/>
            <w:noWrap/>
            <w:vAlign w:val="center"/>
            <w:hideMark/>
          </w:tcPr>
          <w:p w14:paraId="5D06CF3C" w14:textId="77777777" w:rsidR="00EC4B36" w:rsidRPr="00AC57D5" w:rsidRDefault="00EC4B36" w:rsidP="006B5A62">
            <w:pPr>
              <w:spacing w:before="20" w:after="20" w:line="240" w:lineRule="auto"/>
              <w:rPr>
                <w:sz w:val="22"/>
                <w:szCs w:val="22"/>
                <w:lang w:val="es-ES"/>
              </w:rPr>
            </w:pPr>
            <w:r w:rsidRPr="00AC57D5">
              <w:rPr>
                <w:sz w:val="22"/>
                <w:szCs w:val="22"/>
                <w:lang w:val="es-ES"/>
              </w:rPr>
              <w:t>Ayudante</w:t>
            </w:r>
          </w:p>
        </w:tc>
        <w:tc>
          <w:tcPr>
            <w:tcW w:w="1247" w:type="dxa"/>
            <w:tcBorders>
              <w:top w:val="nil"/>
              <w:left w:val="nil"/>
              <w:bottom w:val="single" w:sz="4" w:space="0" w:color="auto"/>
              <w:right w:val="single" w:sz="4" w:space="0" w:color="auto"/>
            </w:tcBorders>
            <w:shd w:val="clear" w:color="auto" w:fill="auto"/>
            <w:noWrap/>
            <w:vAlign w:val="center"/>
            <w:hideMark/>
          </w:tcPr>
          <w:p w14:paraId="6949126D" w14:textId="77777777" w:rsidR="00EC4B36" w:rsidRPr="00AC57D5" w:rsidRDefault="00EC4B36" w:rsidP="006B5A62">
            <w:pPr>
              <w:spacing w:before="20" w:after="20" w:line="240" w:lineRule="auto"/>
              <w:rPr>
                <w:sz w:val="22"/>
                <w:szCs w:val="22"/>
                <w:lang w:val="es-ES"/>
              </w:rPr>
            </w:pPr>
            <w:r w:rsidRPr="00AC57D5">
              <w:rPr>
                <w:sz w:val="22"/>
                <w:szCs w:val="22"/>
                <w:lang w:val="es-ES"/>
              </w:rPr>
              <w:t>AYU</w:t>
            </w:r>
          </w:p>
        </w:tc>
        <w:tc>
          <w:tcPr>
            <w:tcW w:w="1418" w:type="dxa"/>
            <w:tcBorders>
              <w:top w:val="nil"/>
              <w:left w:val="nil"/>
              <w:bottom w:val="single" w:sz="4" w:space="0" w:color="auto"/>
              <w:right w:val="single" w:sz="4" w:space="0" w:color="auto"/>
            </w:tcBorders>
            <w:shd w:val="clear" w:color="auto" w:fill="auto"/>
            <w:noWrap/>
            <w:vAlign w:val="center"/>
            <w:hideMark/>
          </w:tcPr>
          <w:p w14:paraId="3354D370" w14:textId="77777777" w:rsidR="00EC4B36" w:rsidRPr="00AC57D5" w:rsidRDefault="00EC4B36" w:rsidP="006B5A62">
            <w:pPr>
              <w:spacing w:before="20" w:after="20" w:line="240" w:lineRule="auto"/>
              <w:jc w:val="right"/>
              <w:rPr>
                <w:sz w:val="22"/>
                <w:szCs w:val="22"/>
                <w:lang w:val="es-ES"/>
              </w:rPr>
            </w:pPr>
            <w:r w:rsidRPr="00AC57D5">
              <w:rPr>
                <w:sz w:val="22"/>
                <w:szCs w:val="22"/>
                <w:lang w:val="es-ES"/>
              </w:rPr>
              <w:t>16.380,45</w:t>
            </w:r>
          </w:p>
        </w:tc>
        <w:tc>
          <w:tcPr>
            <w:tcW w:w="1418" w:type="dxa"/>
            <w:tcBorders>
              <w:top w:val="nil"/>
              <w:left w:val="nil"/>
              <w:bottom w:val="single" w:sz="4" w:space="0" w:color="auto"/>
              <w:right w:val="single" w:sz="4" w:space="0" w:color="auto"/>
            </w:tcBorders>
            <w:shd w:val="clear" w:color="auto" w:fill="auto"/>
            <w:noWrap/>
            <w:vAlign w:val="center"/>
            <w:hideMark/>
          </w:tcPr>
          <w:p w14:paraId="5840427B" w14:textId="77777777" w:rsidR="00EC4B36" w:rsidRPr="00AC57D5" w:rsidRDefault="00EC4B36" w:rsidP="006B5A62">
            <w:pPr>
              <w:spacing w:before="20" w:after="20" w:line="240" w:lineRule="auto"/>
              <w:jc w:val="right"/>
              <w:rPr>
                <w:sz w:val="22"/>
                <w:szCs w:val="22"/>
                <w:lang w:val="es-ES"/>
              </w:rPr>
            </w:pPr>
            <w:r w:rsidRPr="00AC57D5">
              <w:rPr>
                <w:sz w:val="22"/>
                <w:szCs w:val="22"/>
                <w:lang w:val="es-ES"/>
              </w:rPr>
              <w:t>1.365,04</w:t>
            </w:r>
          </w:p>
        </w:tc>
        <w:tc>
          <w:tcPr>
            <w:tcW w:w="1418" w:type="dxa"/>
            <w:tcBorders>
              <w:top w:val="nil"/>
              <w:left w:val="nil"/>
              <w:bottom w:val="single" w:sz="4" w:space="0" w:color="auto"/>
              <w:right w:val="single" w:sz="4" w:space="0" w:color="auto"/>
            </w:tcBorders>
            <w:shd w:val="clear" w:color="auto" w:fill="auto"/>
            <w:noWrap/>
            <w:vAlign w:val="center"/>
            <w:hideMark/>
          </w:tcPr>
          <w:p w14:paraId="34435DDF" w14:textId="77777777" w:rsidR="00EC4B36" w:rsidRPr="00AC57D5" w:rsidRDefault="00EC4B36" w:rsidP="006B5A62">
            <w:pPr>
              <w:spacing w:before="20" w:after="20" w:line="240" w:lineRule="auto"/>
              <w:jc w:val="right"/>
              <w:rPr>
                <w:sz w:val="22"/>
                <w:szCs w:val="22"/>
                <w:lang w:val="es-ES"/>
              </w:rPr>
            </w:pPr>
            <w:bookmarkStart w:id="68" w:name="RANGE!F16"/>
            <w:r w:rsidRPr="00AC57D5">
              <w:rPr>
                <w:sz w:val="22"/>
                <w:szCs w:val="22"/>
                <w:lang w:val="es-ES"/>
              </w:rPr>
              <w:t>7,40</w:t>
            </w:r>
            <w:bookmarkEnd w:id="68"/>
          </w:p>
        </w:tc>
      </w:tr>
      <w:tr w:rsidR="00EC4B36" w:rsidRPr="00AC57D5" w14:paraId="0B6AD29B" w14:textId="77777777" w:rsidTr="006B5A62">
        <w:trPr>
          <w:jc w:val="center"/>
        </w:trPr>
        <w:tc>
          <w:tcPr>
            <w:tcW w:w="3686" w:type="dxa"/>
            <w:tcBorders>
              <w:top w:val="nil"/>
              <w:left w:val="single" w:sz="4" w:space="0" w:color="auto"/>
              <w:bottom w:val="single" w:sz="4" w:space="0" w:color="auto"/>
              <w:right w:val="single" w:sz="4" w:space="0" w:color="auto"/>
            </w:tcBorders>
            <w:shd w:val="clear" w:color="auto" w:fill="auto"/>
            <w:noWrap/>
            <w:vAlign w:val="center"/>
            <w:hideMark/>
          </w:tcPr>
          <w:p w14:paraId="011FB02E" w14:textId="77777777" w:rsidR="00EC4B36" w:rsidRPr="00AC57D5" w:rsidRDefault="00EC4B36" w:rsidP="006B5A62">
            <w:pPr>
              <w:spacing w:before="20" w:after="20" w:line="240" w:lineRule="auto"/>
              <w:rPr>
                <w:sz w:val="22"/>
                <w:szCs w:val="22"/>
                <w:lang w:val="es-ES"/>
              </w:rPr>
            </w:pPr>
            <w:r w:rsidRPr="00AC57D5">
              <w:rPr>
                <w:sz w:val="22"/>
                <w:szCs w:val="22"/>
                <w:lang w:val="es-ES"/>
              </w:rPr>
              <w:t>Jornal I</w:t>
            </w:r>
          </w:p>
        </w:tc>
        <w:tc>
          <w:tcPr>
            <w:tcW w:w="1247" w:type="dxa"/>
            <w:tcBorders>
              <w:top w:val="nil"/>
              <w:left w:val="nil"/>
              <w:bottom w:val="single" w:sz="4" w:space="0" w:color="auto"/>
              <w:right w:val="single" w:sz="4" w:space="0" w:color="auto"/>
            </w:tcBorders>
            <w:shd w:val="clear" w:color="auto" w:fill="auto"/>
            <w:noWrap/>
            <w:vAlign w:val="center"/>
            <w:hideMark/>
          </w:tcPr>
          <w:p w14:paraId="37B6923A" w14:textId="77777777" w:rsidR="00EC4B36" w:rsidRPr="00AC57D5" w:rsidRDefault="00EC4B36" w:rsidP="006B5A62">
            <w:pPr>
              <w:spacing w:before="20" w:after="20" w:line="240" w:lineRule="auto"/>
              <w:rPr>
                <w:sz w:val="22"/>
                <w:szCs w:val="22"/>
                <w:lang w:val="es-ES"/>
              </w:rPr>
            </w:pPr>
            <w:r w:rsidRPr="00AC57D5">
              <w:rPr>
                <w:sz w:val="22"/>
                <w:szCs w:val="22"/>
                <w:lang w:val="es-ES"/>
              </w:rPr>
              <w:t>JOR</w:t>
            </w:r>
          </w:p>
        </w:tc>
        <w:tc>
          <w:tcPr>
            <w:tcW w:w="1418" w:type="dxa"/>
            <w:tcBorders>
              <w:top w:val="nil"/>
              <w:left w:val="nil"/>
              <w:bottom w:val="single" w:sz="4" w:space="0" w:color="auto"/>
              <w:right w:val="single" w:sz="4" w:space="0" w:color="auto"/>
            </w:tcBorders>
            <w:shd w:val="clear" w:color="auto" w:fill="auto"/>
            <w:noWrap/>
            <w:vAlign w:val="center"/>
            <w:hideMark/>
          </w:tcPr>
          <w:p w14:paraId="721499C7" w14:textId="77777777" w:rsidR="00EC4B36" w:rsidRPr="00AC57D5" w:rsidRDefault="00EC4B36" w:rsidP="006B5A62">
            <w:pPr>
              <w:spacing w:before="20" w:after="20" w:line="240" w:lineRule="auto"/>
              <w:jc w:val="right"/>
              <w:rPr>
                <w:sz w:val="22"/>
                <w:szCs w:val="22"/>
                <w:lang w:val="es-ES"/>
              </w:rPr>
            </w:pPr>
            <w:r w:rsidRPr="00AC57D5">
              <w:rPr>
                <w:sz w:val="22"/>
                <w:szCs w:val="22"/>
                <w:lang w:val="es-ES"/>
              </w:rPr>
              <w:t>9.828,27</w:t>
            </w:r>
          </w:p>
        </w:tc>
        <w:tc>
          <w:tcPr>
            <w:tcW w:w="1418" w:type="dxa"/>
            <w:tcBorders>
              <w:top w:val="nil"/>
              <w:left w:val="nil"/>
              <w:bottom w:val="single" w:sz="4" w:space="0" w:color="auto"/>
              <w:right w:val="single" w:sz="4" w:space="0" w:color="auto"/>
            </w:tcBorders>
            <w:shd w:val="clear" w:color="auto" w:fill="auto"/>
            <w:noWrap/>
            <w:vAlign w:val="center"/>
            <w:hideMark/>
          </w:tcPr>
          <w:p w14:paraId="1B5C6360" w14:textId="77777777" w:rsidR="00EC4B36" w:rsidRPr="00AC57D5" w:rsidRDefault="00EC4B36" w:rsidP="006B5A62">
            <w:pPr>
              <w:spacing w:before="20" w:after="20" w:line="240" w:lineRule="auto"/>
              <w:jc w:val="right"/>
              <w:rPr>
                <w:sz w:val="22"/>
                <w:szCs w:val="22"/>
                <w:lang w:val="es-ES"/>
              </w:rPr>
            </w:pPr>
            <w:r w:rsidRPr="00AC57D5">
              <w:rPr>
                <w:sz w:val="22"/>
                <w:szCs w:val="22"/>
                <w:lang w:val="es-ES"/>
              </w:rPr>
              <w:t>819,02</w:t>
            </w:r>
          </w:p>
        </w:tc>
        <w:tc>
          <w:tcPr>
            <w:tcW w:w="1418" w:type="dxa"/>
            <w:tcBorders>
              <w:top w:val="nil"/>
              <w:left w:val="nil"/>
              <w:bottom w:val="single" w:sz="4" w:space="0" w:color="auto"/>
              <w:right w:val="single" w:sz="4" w:space="0" w:color="auto"/>
            </w:tcBorders>
            <w:shd w:val="clear" w:color="auto" w:fill="auto"/>
            <w:noWrap/>
            <w:vAlign w:val="center"/>
            <w:hideMark/>
          </w:tcPr>
          <w:p w14:paraId="425D2BEC" w14:textId="77777777" w:rsidR="00EC4B36" w:rsidRPr="00AC57D5" w:rsidRDefault="00EC4B36" w:rsidP="006B5A62">
            <w:pPr>
              <w:spacing w:before="20" w:after="20" w:line="240" w:lineRule="auto"/>
              <w:jc w:val="right"/>
              <w:rPr>
                <w:sz w:val="22"/>
                <w:szCs w:val="22"/>
                <w:lang w:val="es-ES"/>
              </w:rPr>
            </w:pPr>
            <w:bookmarkStart w:id="69" w:name="RANGE!F17"/>
            <w:r w:rsidRPr="00AC57D5">
              <w:rPr>
                <w:sz w:val="22"/>
                <w:szCs w:val="22"/>
                <w:lang w:val="es-ES"/>
              </w:rPr>
              <w:t>4,44</w:t>
            </w:r>
            <w:bookmarkEnd w:id="69"/>
          </w:p>
        </w:tc>
      </w:tr>
      <w:tr w:rsidR="00EC4B36" w:rsidRPr="00AC57D5" w14:paraId="3AACA47E" w14:textId="77777777" w:rsidTr="006B5A62">
        <w:trPr>
          <w:jc w:val="center"/>
        </w:trPr>
        <w:tc>
          <w:tcPr>
            <w:tcW w:w="3686" w:type="dxa"/>
            <w:tcBorders>
              <w:top w:val="nil"/>
              <w:left w:val="single" w:sz="4" w:space="0" w:color="auto"/>
              <w:bottom w:val="single" w:sz="4" w:space="0" w:color="auto"/>
              <w:right w:val="single" w:sz="4" w:space="0" w:color="auto"/>
            </w:tcBorders>
            <w:shd w:val="clear" w:color="auto" w:fill="auto"/>
            <w:noWrap/>
            <w:vAlign w:val="center"/>
            <w:hideMark/>
          </w:tcPr>
          <w:p w14:paraId="1C1E3DEE" w14:textId="77777777" w:rsidR="00EC4B36" w:rsidRPr="00AC57D5" w:rsidRDefault="00EC4B36" w:rsidP="006B5A62">
            <w:pPr>
              <w:spacing w:before="20" w:after="20" w:line="240" w:lineRule="auto"/>
              <w:rPr>
                <w:sz w:val="22"/>
                <w:szCs w:val="22"/>
                <w:lang w:val="es-ES"/>
              </w:rPr>
            </w:pPr>
            <w:r w:rsidRPr="00AC57D5">
              <w:rPr>
                <w:sz w:val="22"/>
                <w:szCs w:val="22"/>
                <w:lang w:val="es-ES"/>
              </w:rPr>
              <w:t>Inspector Técnico de Obras (ITO)</w:t>
            </w:r>
          </w:p>
        </w:tc>
        <w:tc>
          <w:tcPr>
            <w:tcW w:w="1247" w:type="dxa"/>
            <w:tcBorders>
              <w:top w:val="nil"/>
              <w:left w:val="nil"/>
              <w:bottom w:val="single" w:sz="4" w:space="0" w:color="auto"/>
              <w:right w:val="single" w:sz="4" w:space="0" w:color="auto"/>
            </w:tcBorders>
            <w:shd w:val="clear" w:color="auto" w:fill="auto"/>
            <w:noWrap/>
            <w:vAlign w:val="center"/>
            <w:hideMark/>
          </w:tcPr>
          <w:p w14:paraId="4F3AA116" w14:textId="77777777" w:rsidR="00EC4B36" w:rsidRPr="00AC57D5" w:rsidRDefault="00EC4B36" w:rsidP="006B5A62">
            <w:pPr>
              <w:spacing w:before="20" w:after="20" w:line="240" w:lineRule="auto"/>
              <w:rPr>
                <w:sz w:val="22"/>
                <w:szCs w:val="22"/>
                <w:lang w:val="es-ES"/>
              </w:rPr>
            </w:pPr>
            <w:r w:rsidRPr="00AC57D5">
              <w:rPr>
                <w:sz w:val="22"/>
                <w:szCs w:val="22"/>
                <w:lang w:val="es-ES"/>
              </w:rPr>
              <w:t>ITO</w:t>
            </w:r>
          </w:p>
        </w:tc>
        <w:tc>
          <w:tcPr>
            <w:tcW w:w="1418" w:type="dxa"/>
            <w:tcBorders>
              <w:top w:val="nil"/>
              <w:left w:val="nil"/>
              <w:bottom w:val="single" w:sz="4" w:space="0" w:color="auto"/>
              <w:right w:val="single" w:sz="4" w:space="0" w:color="auto"/>
            </w:tcBorders>
            <w:shd w:val="clear" w:color="auto" w:fill="auto"/>
            <w:noWrap/>
            <w:vAlign w:val="center"/>
            <w:hideMark/>
          </w:tcPr>
          <w:p w14:paraId="1742A9BA" w14:textId="77777777" w:rsidR="00EC4B36" w:rsidRPr="00AC57D5" w:rsidRDefault="00EC4B36" w:rsidP="006B5A62">
            <w:pPr>
              <w:spacing w:before="20" w:after="20" w:line="240" w:lineRule="auto"/>
              <w:jc w:val="right"/>
              <w:rPr>
                <w:sz w:val="22"/>
                <w:szCs w:val="22"/>
                <w:lang w:val="es-ES"/>
              </w:rPr>
            </w:pPr>
            <w:r w:rsidRPr="00AC57D5">
              <w:rPr>
                <w:sz w:val="22"/>
                <w:szCs w:val="22"/>
                <w:lang w:val="es-ES"/>
              </w:rPr>
              <w:t>26.764,43</w:t>
            </w:r>
          </w:p>
        </w:tc>
        <w:tc>
          <w:tcPr>
            <w:tcW w:w="1418" w:type="dxa"/>
            <w:tcBorders>
              <w:top w:val="nil"/>
              <w:left w:val="nil"/>
              <w:bottom w:val="single" w:sz="4" w:space="0" w:color="auto"/>
              <w:right w:val="single" w:sz="4" w:space="0" w:color="auto"/>
            </w:tcBorders>
            <w:shd w:val="clear" w:color="auto" w:fill="auto"/>
            <w:noWrap/>
            <w:vAlign w:val="center"/>
            <w:hideMark/>
          </w:tcPr>
          <w:p w14:paraId="73760B26" w14:textId="77777777" w:rsidR="00EC4B36" w:rsidRPr="00AC57D5" w:rsidRDefault="00EC4B36" w:rsidP="006B5A62">
            <w:pPr>
              <w:spacing w:before="20" w:after="20" w:line="240" w:lineRule="auto"/>
              <w:jc w:val="right"/>
              <w:rPr>
                <w:sz w:val="22"/>
                <w:szCs w:val="22"/>
                <w:lang w:val="es-ES"/>
              </w:rPr>
            </w:pPr>
            <w:r w:rsidRPr="00AC57D5">
              <w:rPr>
                <w:sz w:val="22"/>
                <w:szCs w:val="22"/>
                <w:lang w:val="es-ES"/>
              </w:rPr>
              <w:t>2.230,37</w:t>
            </w:r>
          </w:p>
        </w:tc>
        <w:tc>
          <w:tcPr>
            <w:tcW w:w="1418" w:type="dxa"/>
            <w:tcBorders>
              <w:top w:val="nil"/>
              <w:left w:val="nil"/>
              <w:bottom w:val="single" w:sz="4" w:space="0" w:color="auto"/>
              <w:right w:val="single" w:sz="4" w:space="0" w:color="auto"/>
            </w:tcBorders>
            <w:shd w:val="clear" w:color="auto" w:fill="auto"/>
            <w:noWrap/>
            <w:vAlign w:val="center"/>
            <w:hideMark/>
          </w:tcPr>
          <w:p w14:paraId="1296B50E" w14:textId="77777777" w:rsidR="00EC4B36" w:rsidRPr="00AC57D5" w:rsidRDefault="00EC4B36" w:rsidP="006B5A62">
            <w:pPr>
              <w:spacing w:before="20" w:after="20" w:line="240" w:lineRule="auto"/>
              <w:jc w:val="right"/>
              <w:rPr>
                <w:sz w:val="22"/>
                <w:szCs w:val="22"/>
                <w:lang w:val="es-ES"/>
              </w:rPr>
            </w:pPr>
            <w:bookmarkStart w:id="70" w:name="RANGE!F18"/>
            <w:r w:rsidRPr="00AC57D5">
              <w:rPr>
                <w:sz w:val="22"/>
                <w:szCs w:val="22"/>
                <w:lang w:val="es-ES"/>
              </w:rPr>
              <w:t>12,09</w:t>
            </w:r>
            <w:bookmarkEnd w:id="70"/>
          </w:p>
        </w:tc>
      </w:tr>
    </w:tbl>
    <w:p w14:paraId="0C2F376A" w14:textId="77777777" w:rsidR="00EC4B36" w:rsidRPr="00AC57D5" w:rsidRDefault="00EC4B36" w:rsidP="00EC4B36">
      <w:pPr>
        <w:spacing w:after="120" w:line="276" w:lineRule="auto"/>
        <w:rPr>
          <w:szCs w:val="22"/>
        </w:rPr>
      </w:pPr>
    </w:p>
    <w:p w14:paraId="0A6D957C" w14:textId="77777777" w:rsidR="00EC4B36" w:rsidRPr="00AC57D5" w:rsidRDefault="00EC4B36" w:rsidP="00EC4B36">
      <w:pPr>
        <w:spacing w:line="276" w:lineRule="auto"/>
        <w:rPr>
          <w:szCs w:val="22"/>
        </w:rPr>
      </w:pPr>
      <w:r w:rsidRPr="00AC57D5">
        <w:rPr>
          <w:szCs w:val="22"/>
        </w:rPr>
        <w:lastRenderedPageBreak/>
        <w:t>Al costo unitario del recurso humano se suma el costo de transporte del personal y el costo de la ITO. La suma se define valor base de montaje en USD y además se determina la cantidad de HH por hora de montaje. Estos valores pueden verse en la hoja Cuadrillas SSEE y Lineas de la planilla del modelo de cálculo “Base_Montaje.xlsx”.</w:t>
      </w:r>
    </w:p>
    <w:p w14:paraId="290C5D76" w14:textId="77777777" w:rsidR="00EC4B36" w:rsidRPr="00AC57D5" w:rsidRDefault="00EC4B36" w:rsidP="00EC4B36">
      <w:pPr>
        <w:spacing w:line="276" w:lineRule="auto"/>
        <w:rPr>
          <w:szCs w:val="22"/>
        </w:rPr>
      </w:pPr>
      <w:r w:rsidRPr="00AC57D5">
        <w:rPr>
          <w:szCs w:val="22"/>
        </w:rPr>
        <w:t>Una vez establecido la cantidad de HH y el valor de HH por hora efectiva de montaje, que constituyen valores unitarios, se calcula el costo de montaje de cada uno de los elementos (equipos y materiales), mediante el producto del rendimiento, es decir el tiempo requerido para el montaje de esos elementos y de los valores unitarios de la cuadrilla correspondiente según el listado de actividades.</w:t>
      </w:r>
    </w:p>
    <w:p w14:paraId="5A6A402C" w14:textId="77777777" w:rsidR="00EC4B36" w:rsidRPr="00AC57D5" w:rsidRDefault="00EC4B36" w:rsidP="00EC4B36">
      <w:pPr>
        <w:spacing w:line="276" w:lineRule="auto"/>
        <w:rPr>
          <w:szCs w:val="22"/>
        </w:rPr>
      </w:pPr>
      <w:r w:rsidRPr="00AC57D5">
        <w:rPr>
          <w:szCs w:val="22"/>
        </w:rPr>
        <w:t>El cálculo se realiza separadamente para cada una de las familias definidas en la base de datos.</w:t>
      </w:r>
    </w:p>
    <w:p w14:paraId="392CBCB0" w14:textId="77777777" w:rsidR="00EC4B36" w:rsidRPr="00AC57D5" w:rsidRDefault="00EC4B36" w:rsidP="00EC4B36">
      <w:pPr>
        <w:spacing w:line="276" w:lineRule="auto"/>
        <w:rPr>
          <w:szCs w:val="22"/>
        </w:rPr>
      </w:pPr>
      <w:r w:rsidRPr="00AC57D5">
        <w:rPr>
          <w:szCs w:val="22"/>
        </w:rPr>
        <w:t>Al costo del recurso humano, incluyendo el transporte a obra de ida y regreso de cada jornada, y de la ITO, se agrega el costo de la maquinaria utilizada para el montaje, cuando corresponde, calculado con el costo unitario de la hora de arriendo y el tiempo utilizado en la ejecución del montaje. Todo el detalle se puede revisar en la planilla “Base_Montaje.xlsx”, en la cual está claramente indicado cada uno de los componentes de costos mencionados y con todas las fórmulas utilizadas, con lo cual es posible reproducir el cálculo realizado.</w:t>
      </w:r>
    </w:p>
    <w:p w14:paraId="044F8A93" w14:textId="77777777" w:rsidR="00EC4B36" w:rsidRPr="00AC57D5" w:rsidRDefault="00EC4B36" w:rsidP="00EC4B36">
      <w:pPr>
        <w:spacing w:line="276" w:lineRule="auto"/>
        <w:rPr>
          <w:szCs w:val="22"/>
        </w:rPr>
      </w:pPr>
      <w:r w:rsidRPr="00AC57D5">
        <w:rPr>
          <w:szCs w:val="22"/>
        </w:rPr>
        <w:t>Los rendimientos para el montaje de cada equipo y material han sido estimados según la experiencia del consultor, por cuanto no existe documento, informe, estudio o antecedentes de licitaciones realizadas en que se encuentre esta fundamental variable, por cuanto es considerada confidencial por todas las empresas de montaje. A pesar de ello, los tiempos de ejecución son conocidos en forma verbal en el rubro y bastante estandarizados.</w:t>
      </w:r>
    </w:p>
    <w:p w14:paraId="7A83ECAF" w14:textId="77777777" w:rsidR="00EC4B36" w:rsidRPr="00AC57D5" w:rsidRDefault="00EC4B36" w:rsidP="00EC4B36">
      <w:pPr>
        <w:spacing w:line="276" w:lineRule="auto"/>
        <w:rPr>
          <w:szCs w:val="22"/>
        </w:rPr>
      </w:pPr>
      <w:r w:rsidRPr="00AC57D5">
        <w:rPr>
          <w:szCs w:val="22"/>
        </w:rPr>
        <w:t xml:space="preserve">Para validar las estimaciones se ha utilizado los archivos </w:t>
      </w:r>
    </w:p>
    <w:p w14:paraId="321BFA20" w14:textId="77777777" w:rsidR="00EC4B36" w:rsidRPr="00AC57D5" w:rsidRDefault="00EC4B36" w:rsidP="00EC4B36">
      <w:pPr>
        <w:numPr>
          <w:ilvl w:val="0"/>
          <w:numId w:val="83"/>
        </w:numPr>
        <w:spacing w:line="276" w:lineRule="auto"/>
        <w:ind w:left="567" w:hanging="567"/>
        <w:contextualSpacing/>
        <w:rPr>
          <w:szCs w:val="22"/>
        </w:rPr>
      </w:pPr>
      <w:r w:rsidRPr="00AC57D5">
        <w:rPr>
          <w:szCs w:val="22"/>
        </w:rPr>
        <w:t>TramoSubestacion_Montaje_07MAY2020.xlsx</w:t>
      </w:r>
    </w:p>
    <w:p w14:paraId="76575D89" w14:textId="77777777" w:rsidR="00EC4B36" w:rsidRPr="00AC57D5" w:rsidRDefault="00EC4B36" w:rsidP="00EC4B36">
      <w:pPr>
        <w:numPr>
          <w:ilvl w:val="0"/>
          <w:numId w:val="83"/>
        </w:numPr>
        <w:spacing w:line="276" w:lineRule="auto"/>
        <w:ind w:left="567" w:hanging="567"/>
        <w:contextualSpacing/>
        <w:rPr>
          <w:szCs w:val="22"/>
        </w:rPr>
      </w:pPr>
      <w:r w:rsidRPr="00AC57D5">
        <w:rPr>
          <w:szCs w:val="22"/>
        </w:rPr>
        <w:t>TramoTransporte_Montaje07MAY2002.xlsx</w:t>
      </w:r>
    </w:p>
    <w:p w14:paraId="10AC4EA7" w14:textId="77777777" w:rsidR="00EC4B36" w:rsidRPr="00AC57D5" w:rsidRDefault="00EC4B36" w:rsidP="00EC4B36">
      <w:pPr>
        <w:spacing w:line="276" w:lineRule="auto"/>
        <w:rPr>
          <w:szCs w:val="22"/>
        </w:rPr>
      </w:pPr>
      <w:r w:rsidRPr="00AC57D5">
        <w:rPr>
          <w:szCs w:val="22"/>
        </w:rPr>
        <w:t>Estas planillas que están vinculadas con la planilla Base_Montaje.xlsx calcula el costo de montaje de cada tramo, lo cual se puede ver mediante filtrado. Además, calcula el tiempo de ejecución de cada familia y el tiempo total de montaje de la obra. Con ello se verifica que el plazo de construcción es el adecuado. Se considera adecuado los plazos de construcción establecidos por el Coordinador en las licitaciones de obras nuevas realizadas en los últimos 3 años.</w:t>
      </w:r>
    </w:p>
    <w:p w14:paraId="3D521623" w14:textId="77777777" w:rsidR="00EC4B36" w:rsidRPr="00AC57D5" w:rsidRDefault="00EC4B36" w:rsidP="00EC4B36">
      <w:pPr>
        <w:spacing w:line="276" w:lineRule="auto"/>
        <w:rPr>
          <w:szCs w:val="22"/>
        </w:rPr>
      </w:pPr>
      <w:r w:rsidRPr="00AC57D5">
        <w:rPr>
          <w:szCs w:val="22"/>
        </w:rPr>
        <w:t>Las subfamilias consideradas para cada tramo de subestación y de transporte, son las que se muestran en la tabla siguiente, indicando el tipo de cuadrilla definida para cada una de ellas.</w:t>
      </w:r>
    </w:p>
    <w:p w14:paraId="112822C5" w14:textId="77777777" w:rsidR="00EC4B36" w:rsidRPr="00AC57D5" w:rsidRDefault="00EC4B36" w:rsidP="00EC4B36">
      <w:pPr>
        <w:spacing w:line="276" w:lineRule="auto"/>
        <w:rPr>
          <w:szCs w:val="22"/>
        </w:rPr>
      </w:pPr>
    </w:p>
    <w:p w14:paraId="4BCAA22D" w14:textId="77777777" w:rsidR="00EC4B36" w:rsidRPr="00AC57D5" w:rsidRDefault="00EC4B36" w:rsidP="00EC4B36">
      <w:pPr>
        <w:spacing w:line="276" w:lineRule="auto"/>
        <w:jc w:val="center"/>
        <w:rPr>
          <w:szCs w:val="22"/>
        </w:rPr>
      </w:pPr>
      <w:bookmarkStart w:id="71" w:name="_Toc39793631"/>
      <w:bookmarkStart w:id="72" w:name="_Toc39795237"/>
      <w:bookmarkStart w:id="73" w:name="_Toc39797917"/>
      <w:r w:rsidRPr="00AC57D5">
        <w:rPr>
          <w:b/>
          <w:iCs/>
          <w:szCs w:val="22"/>
        </w:rPr>
        <w:t xml:space="preserve">Tabla </w:t>
      </w:r>
      <w:r w:rsidRPr="00AC57D5">
        <w:rPr>
          <w:b/>
          <w:iCs/>
          <w:szCs w:val="22"/>
        </w:rPr>
        <w:fldChar w:fldCharType="begin"/>
      </w:r>
      <w:r w:rsidRPr="00AC57D5">
        <w:rPr>
          <w:b/>
          <w:iCs/>
          <w:szCs w:val="22"/>
        </w:rPr>
        <w:instrText xml:space="preserve"> SEQ Tabla \* ARABIC </w:instrText>
      </w:r>
      <w:r w:rsidRPr="00AC57D5">
        <w:rPr>
          <w:b/>
          <w:iCs/>
          <w:szCs w:val="22"/>
        </w:rPr>
        <w:fldChar w:fldCharType="separate"/>
      </w:r>
      <w:r w:rsidR="001F3E2E">
        <w:rPr>
          <w:b/>
          <w:iCs/>
          <w:noProof/>
          <w:szCs w:val="22"/>
        </w:rPr>
        <w:t>7</w:t>
      </w:r>
      <w:r w:rsidRPr="00AC57D5">
        <w:rPr>
          <w:szCs w:val="22"/>
          <w:lang w:val="es-ES_tradnl"/>
        </w:rPr>
        <w:fldChar w:fldCharType="end"/>
      </w:r>
      <w:r w:rsidRPr="00AC57D5">
        <w:rPr>
          <w:b/>
          <w:iCs/>
          <w:szCs w:val="22"/>
        </w:rPr>
        <w:t>: Subfamilias tramos de subestación</w:t>
      </w:r>
      <w:bookmarkEnd w:id="71"/>
      <w:bookmarkEnd w:id="72"/>
      <w:bookmarkEnd w:id="73"/>
    </w:p>
    <w:tbl>
      <w:tblPr>
        <w:tblW w:w="0" w:type="auto"/>
        <w:jc w:val="center"/>
        <w:tblLayout w:type="fixed"/>
        <w:tblCellMar>
          <w:left w:w="57" w:type="dxa"/>
          <w:right w:w="57" w:type="dxa"/>
        </w:tblCellMar>
        <w:tblLook w:val="04A0" w:firstRow="1" w:lastRow="0" w:firstColumn="1" w:lastColumn="0" w:noHBand="0" w:noVBand="1"/>
      </w:tblPr>
      <w:tblGrid>
        <w:gridCol w:w="5670"/>
        <w:gridCol w:w="1701"/>
      </w:tblGrid>
      <w:tr w:rsidR="00EC4B36" w:rsidRPr="00AC57D5" w14:paraId="644AFBC6" w14:textId="77777777" w:rsidTr="006B5A62">
        <w:trPr>
          <w:tblHeader/>
          <w:jc w:val="center"/>
        </w:trPr>
        <w:tc>
          <w:tcPr>
            <w:tcW w:w="5670" w:type="dxa"/>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37BC848C" w14:textId="77777777" w:rsidR="00EC4B36" w:rsidRPr="00AC57D5" w:rsidRDefault="00EC4B36" w:rsidP="006B5A62">
            <w:pPr>
              <w:spacing w:after="0" w:line="240" w:lineRule="auto"/>
              <w:jc w:val="center"/>
              <w:rPr>
                <w:rFonts w:ascii="Arial Narrow" w:eastAsia="Times New Roman" w:hAnsi="Arial Narrow"/>
                <w:b/>
                <w:bCs/>
                <w:color w:val="000000"/>
                <w:sz w:val="20"/>
                <w:szCs w:val="20"/>
                <w:lang w:val="es-ES" w:eastAsia="es-ES"/>
              </w:rPr>
            </w:pPr>
            <w:r w:rsidRPr="00AC57D5">
              <w:rPr>
                <w:rFonts w:ascii="Arial Narrow" w:eastAsia="Times New Roman" w:hAnsi="Arial Narrow"/>
                <w:b/>
                <w:bCs/>
                <w:color w:val="000000"/>
                <w:sz w:val="20"/>
                <w:szCs w:val="20"/>
                <w:lang w:val="es-ES" w:eastAsia="es-ES"/>
              </w:rPr>
              <w:t>FAMILIAS DE ELEMENTOS TRAMOS SUBESTACIONES BD</w:t>
            </w:r>
          </w:p>
        </w:tc>
        <w:tc>
          <w:tcPr>
            <w:tcW w:w="1701" w:type="dxa"/>
            <w:tcBorders>
              <w:top w:val="single" w:sz="4" w:space="0" w:color="auto"/>
              <w:left w:val="nil"/>
              <w:bottom w:val="single" w:sz="4" w:space="0" w:color="auto"/>
              <w:right w:val="single" w:sz="4" w:space="0" w:color="auto"/>
            </w:tcBorders>
            <w:shd w:val="clear" w:color="000000" w:fill="D9D9D9"/>
            <w:vAlign w:val="center"/>
            <w:hideMark/>
          </w:tcPr>
          <w:p w14:paraId="5635AD6C" w14:textId="77777777" w:rsidR="00EC4B36" w:rsidRPr="00AC57D5" w:rsidRDefault="00EC4B36" w:rsidP="006B5A62">
            <w:pPr>
              <w:spacing w:after="0" w:line="240" w:lineRule="auto"/>
              <w:jc w:val="center"/>
              <w:rPr>
                <w:rFonts w:ascii="Arial Narrow" w:eastAsia="Times New Roman" w:hAnsi="Arial Narrow"/>
                <w:b/>
                <w:bCs/>
                <w:color w:val="000000"/>
                <w:sz w:val="20"/>
                <w:szCs w:val="20"/>
                <w:lang w:val="es-ES" w:eastAsia="es-ES"/>
              </w:rPr>
            </w:pPr>
            <w:r w:rsidRPr="00AC57D5">
              <w:rPr>
                <w:rFonts w:ascii="Arial Narrow" w:eastAsia="Times New Roman" w:hAnsi="Arial Narrow"/>
                <w:b/>
                <w:bCs/>
                <w:color w:val="000000"/>
                <w:sz w:val="20"/>
                <w:szCs w:val="20"/>
                <w:lang w:val="es-ES" w:eastAsia="es-ES"/>
              </w:rPr>
              <w:t>TIPO DE CUADRILLA</w:t>
            </w:r>
          </w:p>
        </w:tc>
      </w:tr>
      <w:tr w:rsidR="00EC4B36" w:rsidRPr="00AC57D5" w14:paraId="712AF384" w14:textId="77777777" w:rsidTr="006B5A62">
        <w:trPr>
          <w:jc w:val="center"/>
        </w:trPr>
        <w:tc>
          <w:tcPr>
            <w:tcW w:w="5670" w:type="dxa"/>
            <w:tcBorders>
              <w:top w:val="nil"/>
              <w:left w:val="single" w:sz="4" w:space="0" w:color="auto"/>
              <w:bottom w:val="single" w:sz="4" w:space="0" w:color="auto"/>
              <w:right w:val="single" w:sz="4" w:space="0" w:color="auto"/>
            </w:tcBorders>
            <w:shd w:val="clear" w:color="auto" w:fill="auto"/>
            <w:noWrap/>
            <w:vAlign w:val="center"/>
            <w:hideMark/>
          </w:tcPr>
          <w:p w14:paraId="2BA9B838" w14:textId="77777777" w:rsidR="00EC4B36" w:rsidRPr="00AC57D5" w:rsidRDefault="00EC4B36" w:rsidP="006B5A62">
            <w:pPr>
              <w:spacing w:before="20" w:after="20" w:line="240" w:lineRule="auto"/>
              <w:jc w:val="left"/>
              <w:rPr>
                <w:rFonts w:ascii="Arial Narrow" w:eastAsia="Times New Roman" w:hAnsi="Arial Narrow"/>
                <w:color w:val="000000"/>
                <w:sz w:val="20"/>
                <w:szCs w:val="20"/>
                <w:lang w:val="es-ES" w:eastAsia="es-ES"/>
              </w:rPr>
            </w:pPr>
            <w:r w:rsidRPr="00AC57D5">
              <w:rPr>
                <w:rFonts w:ascii="Arial Narrow" w:eastAsia="Times New Roman" w:hAnsi="Arial Narrow"/>
                <w:color w:val="000000"/>
                <w:sz w:val="20"/>
                <w:szCs w:val="20"/>
                <w:lang w:val="es-ES" w:eastAsia="es-ES"/>
              </w:rPr>
              <w:t>ESTUDIO DECLARACION AMBIENTAL</w:t>
            </w:r>
          </w:p>
        </w:tc>
        <w:tc>
          <w:tcPr>
            <w:tcW w:w="1701" w:type="dxa"/>
            <w:tcBorders>
              <w:top w:val="nil"/>
              <w:left w:val="nil"/>
              <w:bottom w:val="single" w:sz="4" w:space="0" w:color="auto"/>
              <w:right w:val="single" w:sz="4" w:space="0" w:color="auto"/>
            </w:tcBorders>
            <w:shd w:val="clear" w:color="auto" w:fill="auto"/>
            <w:noWrap/>
            <w:vAlign w:val="center"/>
            <w:hideMark/>
          </w:tcPr>
          <w:p w14:paraId="290CF54A" w14:textId="77777777" w:rsidR="00EC4B36" w:rsidRPr="00AC57D5" w:rsidRDefault="00EC4B36" w:rsidP="006B5A62">
            <w:pPr>
              <w:spacing w:before="20" w:after="20" w:line="240" w:lineRule="auto"/>
              <w:jc w:val="center"/>
              <w:rPr>
                <w:rFonts w:ascii="Arial Narrow" w:eastAsia="Times New Roman" w:hAnsi="Arial Narrow"/>
                <w:color w:val="000000"/>
                <w:sz w:val="20"/>
                <w:szCs w:val="20"/>
                <w:lang w:val="es-ES" w:eastAsia="es-ES"/>
              </w:rPr>
            </w:pPr>
            <w:r w:rsidRPr="00AC57D5">
              <w:rPr>
                <w:rFonts w:ascii="Arial Narrow" w:eastAsia="Times New Roman" w:hAnsi="Arial Narrow"/>
                <w:color w:val="000000"/>
                <w:sz w:val="20"/>
                <w:szCs w:val="20"/>
                <w:lang w:val="es-ES" w:eastAsia="es-ES"/>
              </w:rPr>
              <w:t>NA</w:t>
            </w:r>
          </w:p>
        </w:tc>
      </w:tr>
      <w:tr w:rsidR="00EC4B36" w:rsidRPr="00AC57D5" w14:paraId="4F7F0114" w14:textId="77777777" w:rsidTr="006B5A62">
        <w:trPr>
          <w:jc w:val="center"/>
        </w:trPr>
        <w:tc>
          <w:tcPr>
            <w:tcW w:w="5670" w:type="dxa"/>
            <w:tcBorders>
              <w:top w:val="nil"/>
              <w:left w:val="single" w:sz="4" w:space="0" w:color="auto"/>
              <w:bottom w:val="single" w:sz="4" w:space="0" w:color="auto"/>
              <w:right w:val="single" w:sz="4" w:space="0" w:color="auto"/>
            </w:tcBorders>
            <w:shd w:val="clear" w:color="auto" w:fill="auto"/>
            <w:noWrap/>
            <w:vAlign w:val="center"/>
            <w:hideMark/>
          </w:tcPr>
          <w:p w14:paraId="17CD14C7" w14:textId="77777777" w:rsidR="00EC4B36" w:rsidRPr="00AC57D5" w:rsidRDefault="00EC4B36" w:rsidP="006B5A62">
            <w:pPr>
              <w:spacing w:before="20" w:after="20" w:line="240" w:lineRule="auto"/>
              <w:jc w:val="left"/>
              <w:rPr>
                <w:rFonts w:ascii="Arial Narrow" w:eastAsia="Times New Roman" w:hAnsi="Arial Narrow"/>
                <w:color w:val="000000"/>
                <w:sz w:val="20"/>
                <w:szCs w:val="20"/>
                <w:lang w:val="es-ES" w:eastAsia="es-ES"/>
              </w:rPr>
            </w:pPr>
            <w:r w:rsidRPr="00AC57D5">
              <w:rPr>
                <w:rFonts w:ascii="Arial Narrow" w:eastAsia="Times New Roman" w:hAnsi="Arial Narrow"/>
                <w:color w:val="000000"/>
                <w:sz w:val="20"/>
                <w:szCs w:val="20"/>
                <w:lang w:val="es-ES" w:eastAsia="es-ES"/>
              </w:rPr>
              <w:t>TERRENOS</w:t>
            </w:r>
          </w:p>
        </w:tc>
        <w:tc>
          <w:tcPr>
            <w:tcW w:w="1701" w:type="dxa"/>
            <w:tcBorders>
              <w:top w:val="nil"/>
              <w:left w:val="nil"/>
              <w:bottom w:val="single" w:sz="4" w:space="0" w:color="auto"/>
              <w:right w:val="single" w:sz="4" w:space="0" w:color="auto"/>
            </w:tcBorders>
            <w:shd w:val="clear" w:color="auto" w:fill="auto"/>
            <w:noWrap/>
            <w:vAlign w:val="center"/>
            <w:hideMark/>
          </w:tcPr>
          <w:p w14:paraId="31A2D981" w14:textId="77777777" w:rsidR="00EC4B36" w:rsidRPr="00AC57D5" w:rsidRDefault="00EC4B36" w:rsidP="006B5A62">
            <w:pPr>
              <w:spacing w:before="20" w:after="20" w:line="240" w:lineRule="auto"/>
              <w:jc w:val="center"/>
              <w:rPr>
                <w:rFonts w:ascii="Arial Narrow" w:eastAsia="Times New Roman" w:hAnsi="Arial Narrow"/>
                <w:color w:val="000000"/>
                <w:sz w:val="20"/>
                <w:szCs w:val="20"/>
                <w:lang w:val="es-ES" w:eastAsia="es-ES"/>
              </w:rPr>
            </w:pPr>
            <w:r w:rsidRPr="00AC57D5">
              <w:rPr>
                <w:rFonts w:ascii="Arial Narrow" w:eastAsia="Times New Roman" w:hAnsi="Arial Narrow"/>
                <w:color w:val="000000"/>
                <w:sz w:val="20"/>
                <w:szCs w:val="20"/>
                <w:lang w:val="es-ES" w:eastAsia="es-ES"/>
              </w:rPr>
              <w:t>NA</w:t>
            </w:r>
          </w:p>
        </w:tc>
      </w:tr>
      <w:tr w:rsidR="00EC4B36" w:rsidRPr="00AC57D5" w14:paraId="2879F705" w14:textId="77777777" w:rsidTr="006B5A62">
        <w:trPr>
          <w:jc w:val="center"/>
        </w:trPr>
        <w:tc>
          <w:tcPr>
            <w:tcW w:w="5670" w:type="dxa"/>
            <w:tcBorders>
              <w:top w:val="nil"/>
              <w:left w:val="single" w:sz="4" w:space="0" w:color="auto"/>
              <w:bottom w:val="single" w:sz="4" w:space="0" w:color="auto"/>
              <w:right w:val="single" w:sz="4" w:space="0" w:color="auto"/>
            </w:tcBorders>
            <w:shd w:val="clear" w:color="auto" w:fill="auto"/>
            <w:noWrap/>
            <w:vAlign w:val="center"/>
            <w:hideMark/>
          </w:tcPr>
          <w:p w14:paraId="56594696" w14:textId="77777777" w:rsidR="00EC4B36" w:rsidRPr="00AC57D5" w:rsidRDefault="00EC4B36" w:rsidP="006B5A62">
            <w:pPr>
              <w:spacing w:before="20" w:after="20" w:line="240" w:lineRule="auto"/>
              <w:jc w:val="left"/>
              <w:rPr>
                <w:rFonts w:ascii="Arial Narrow" w:eastAsia="Times New Roman" w:hAnsi="Arial Narrow"/>
                <w:color w:val="000000"/>
                <w:sz w:val="20"/>
                <w:szCs w:val="20"/>
                <w:lang w:val="es-ES" w:eastAsia="es-ES"/>
              </w:rPr>
            </w:pPr>
            <w:r w:rsidRPr="00AC57D5">
              <w:rPr>
                <w:rFonts w:ascii="Arial Narrow" w:eastAsia="Times New Roman" w:hAnsi="Arial Narrow"/>
                <w:color w:val="000000"/>
                <w:sz w:val="20"/>
                <w:szCs w:val="20"/>
                <w:lang w:val="es-ES" w:eastAsia="es-ES"/>
              </w:rPr>
              <w:t>AISLADORES</w:t>
            </w:r>
          </w:p>
        </w:tc>
        <w:tc>
          <w:tcPr>
            <w:tcW w:w="1701" w:type="dxa"/>
            <w:tcBorders>
              <w:top w:val="nil"/>
              <w:left w:val="nil"/>
              <w:bottom w:val="single" w:sz="4" w:space="0" w:color="auto"/>
              <w:right w:val="single" w:sz="4" w:space="0" w:color="auto"/>
            </w:tcBorders>
            <w:shd w:val="clear" w:color="auto" w:fill="auto"/>
            <w:noWrap/>
            <w:vAlign w:val="center"/>
            <w:hideMark/>
          </w:tcPr>
          <w:p w14:paraId="39F5DF08" w14:textId="77777777" w:rsidR="00EC4B36" w:rsidRPr="00AC57D5" w:rsidRDefault="00EC4B36" w:rsidP="006B5A62">
            <w:pPr>
              <w:spacing w:before="20" w:after="20" w:line="240" w:lineRule="auto"/>
              <w:jc w:val="center"/>
              <w:rPr>
                <w:rFonts w:ascii="Arial Narrow" w:eastAsia="Times New Roman" w:hAnsi="Arial Narrow"/>
                <w:color w:val="000000"/>
                <w:sz w:val="20"/>
                <w:szCs w:val="20"/>
                <w:lang w:val="es-ES" w:eastAsia="es-ES"/>
              </w:rPr>
            </w:pPr>
            <w:r w:rsidRPr="00AC57D5">
              <w:rPr>
                <w:rFonts w:ascii="Arial Narrow" w:eastAsia="Times New Roman" w:hAnsi="Arial Narrow"/>
                <w:color w:val="000000"/>
                <w:sz w:val="20"/>
                <w:szCs w:val="20"/>
                <w:lang w:val="es-ES" w:eastAsia="es-ES"/>
              </w:rPr>
              <w:t>,</w:t>
            </w:r>
          </w:p>
        </w:tc>
      </w:tr>
      <w:tr w:rsidR="00EC4B36" w:rsidRPr="00AC57D5" w14:paraId="2AEA5F6B" w14:textId="77777777" w:rsidTr="006B5A62">
        <w:trPr>
          <w:jc w:val="center"/>
        </w:trPr>
        <w:tc>
          <w:tcPr>
            <w:tcW w:w="5670" w:type="dxa"/>
            <w:tcBorders>
              <w:top w:val="nil"/>
              <w:left w:val="single" w:sz="4" w:space="0" w:color="auto"/>
              <w:bottom w:val="single" w:sz="4" w:space="0" w:color="auto"/>
              <w:right w:val="single" w:sz="4" w:space="0" w:color="auto"/>
            </w:tcBorders>
            <w:shd w:val="clear" w:color="auto" w:fill="auto"/>
            <w:noWrap/>
            <w:vAlign w:val="center"/>
            <w:hideMark/>
          </w:tcPr>
          <w:p w14:paraId="6A064EBC" w14:textId="77777777" w:rsidR="00EC4B36" w:rsidRPr="00AC57D5" w:rsidRDefault="00EC4B36" w:rsidP="006B5A62">
            <w:pPr>
              <w:spacing w:before="20" w:after="20" w:line="240" w:lineRule="auto"/>
              <w:jc w:val="left"/>
              <w:rPr>
                <w:rFonts w:ascii="Arial Narrow" w:eastAsia="Times New Roman" w:hAnsi="Arial Narrow"/>
                <w:color w:val="000000"/>
                <w:sz w:val="20"/>
                <w:szCs w:val="20"/>
                <w:lang w:val="es-ES" w:eastAsia="es-ES"/>
              </w:rPr>
            </w:pPr>
            <w:r w:rsidRPr="00AC57D5">
              <w:rPr>
                <w:rFonts w:ascii="Arial Narrow" w:eastAsia="Times New Roman" w:hAnsi="Arial Narrow"/>
                <w:color w:val="000000"/>
                <w:sz w:val="20"/>
                <w:szCs w:val="20"/>
                <w:lang w:val="es-ES" w:eastAsia="es-ES"/>
              </w:rPr>
              <w:t>BANCOS DE BATERIAS</w:t>
            </w:r>
          </w:p>
        </w:tc>
        <w:tc>
          <w:tcPr>
            <w:tcW w:w="1701" w:type="dxa"/>
            <w:tcBorders>
              <w:top w:val="nil"/>
              <w:left w:val="nil"/>
              <w:bottom w:val="single" w:sz="4" w:space="0" w:color="auto"/>
              <w:right w:val="single" w:sz="4" w:space="0" w:color="auto"/>
            </w:tcBorders>
            <w:shd w:val="clear" w:color="auto" w:fill="auto"/>
            <w:noWrap/>
            <w:vAlign w:val="center"/>
            <w:hideMark/>
          </w:tcPr>
          <w:p w14:paraId="0F076CEC" w14:textId="77777777" w:rsidR="00EC4B36" w:rsidRPr="00AC57D5" w:rsidRDefault="00EC4B36" w:rsidP="006B5A62">
            <w:pPr>
              <w:spacing w:before="20" w:after="20" w:line="240" w:lineRule="auto"/>
              <w:jc w:val="center"/>
              <w:rPr>
                <w:rFonts w:ascii="Arial Narrow" w:eastAsia="Times New Roman" w:hAnsi="Arial Narrow"/>
                <w:color w:val="000000"/>
                <w:sz w:val="20"/>
                <w:szCs w:val="20"/>
                <w:lang w:val="es-ES" w:eastAsia="es-ES"/>
              </w:rPr>
            </w:pPr>
            <w:r w:rsidRPr="00AC57D5">
              <w:rPr>
                <w:rFonts w:ascii="Arial Narrow" w:eastAsia="Times New Roman" w:hAnsi="Arial Narrow"/>
                <w:color w:val="000000"/>
                <w:sz w:val="20"/>
                <w:szCs w:val="20"/>
                <w:lang w:val="es-ES" w:eastAsia="es-ES"/>
              </w:rPr>
              <w:t>E2</w:t>
            </w:r>
          </w:p>
        </w:tc>
      </w:tr>
      <w:tr w:rsidR="00EC4B36" w:rsidRPr="00AC57D5" w14:paraId="06050EEE" w14:textId="77777777" w:rsidTr="006B5A62">
        <w:trPr>
          <w:jc w:val="center"/>
        </w:trPr>
        <w:tc>
          <w:tcPr>
            <w:tcW w:w="5670" w:type="dxa"/>
            <w:tcBorders>
              <w:top w:val="nil"/>
              <w:left w:val="single" w:sz="4" w:space="0" w:color="auto"/>
              <w:bottom w:val="single" w:sz="4" w:space="0" w:color="auto"/>
              <w:right w:val="single" w:sz="4" w:space="0" w:color="auto"/>
            </w:tcBorders>
            <w:shd w:val="clear" w:color="auto" w:fill="auto"/>
            <w:noWrap/>
            <w:vAlign w:val="center"/>
            <w:hideMark/>
          </w:tcPr>
          <w:p w14:paraId="7C5B62DC" w14:textId="77777777" w:rsidR="00EC4B36" w:rsidRPr="00AC57D5" w:rsidRDefault="00EC4B36" w:rsidP="006B5A62">
            <w:pPr>
              <w:spacing w:before="20" w:after="20" w:line="240" w:lineRule="auto"/>
              <w:jc w:val="left"/>
              <w:rPr>
                <w:rFonts w:ascii="Arial Narrow" w:eastAsia="Times New Roman" w:hAnsi="Arial Narrow"/>
                <w:color w:val="000000"/>
                <w:sz w:val="20"/>
                <w:szCs w:val="20"/>
                <w:lang w:val="es-ES" w:eastAsia="es-ES"/>
              </w:rPr>
            </w:pPr>
            <w:r w:rsidRPr="00AC57D5">
              <w:rPr>
                <w:rFonts w:ascii="Arial Narrow" w:eastAsia="Times New Roman" w:hAnsi="Arial Narrow"/>
                <w:color w:val="000000"/>
                <w:sz w:val="20"/>
                <w:szCs w:val="20"/>
                <w:lang w:val="es-ES" w:eastAsia="es-ES"/>
              </w:rPr>
              <w:t>BANCOS DE CONDENSADORES</w:t>
            </w:r>
          </w:p>
        </w:tc>
        <w:tc>
          <w:tcPr>
            <w:tcW w:w="1701" w:type="dxa"/>
            <w:tcBorders>
              <w:top w:val="nil"/>
              <w:left w:val="nil"/>
              <w:bottom w:val="single" w:sz="4" w:space="0" w:color="auto"/>
              <w:right w:val="single" w:sz="4" w:space="0" w:color="auto"/>
            </w:tcBorders>
            <w:shd w:val="clear" w:color="auto" w:fill="auto"/>
            <w:noWrap/>
            <w:vAlign w:val="center"/>
            <w:hideMark/>
          </w:tcPr>
          <w:p w14:paraId="58EC8DB4" w14:textId="77777777" w:rsidR="00EC4B36" w:rsidRPr="00AC57D5" w:rsidRDefault="00EC4B36" w:rsidP="006B5A62">
            <w:pPr>
              <w:spacing w:before="20" w:after="20" w:line="240" w:lineRule="auto"/>
              <w:jc w:val="center"/>
              <w:rPr>
                <w:rFonts w:ascii="Arial Narrow" w:eastAsia="Times New Roman" w:hAnsi="Arial Narrow"/>
                <w:color w:val="000000"/>
                <w:sz w:val="20"/>
                <w:szCs w:val="20"/>
                <w:lang w:val="es-ES" w:eastAsia="es-ES"/>
              </w:rPr>
            </w:pPr>
            <w:r w:rsidRPr="00AC57D5">
              <w:rPr>
                <w:rFonts w:ascii="Arial Narrow" w:eastAsia="Times New Roman" w:hAnsi="Arial Narrow"/>
                <w:color w:val="000000"/>
                <w:sz w:val="20"/>
                <w:szCs w:val="20"/>
                <w:lang w:val="es-ES" w:eastAsia="es-ES"/>
              </w:rPr>
              <w:t>E1</w:t>
            </w:r>
          </w:p>
        </w:tc>
      </w:tr>
      <w:tr w:rsidR="00EC4B36" w:rsidRPr="00AC57D5" w14:paraId="3530D80E" w14:textId="77777777" w:rsidTr="006B5A62">
        <w:trPr>
          <w:jc w:val="center"/>
        </w:trPr>
        <w:tc>
          <w:tcPr>
            <w:tcW w:w="5670" w:type="dxa"/>
            <w:tcBorders>
              <w:top w:val="nil"/>
              <w:left w:val="single" w:sz="4" w:space="0" w:color="auto"/>
              <w:bottom w:val="single" w:sz="4" w:space="0" w:color="auto"/>
              <w:right w:val="single" w:sz="4" w:space="0" w:color="auto"/>
            </w:tcBorders>
            <w:shd w:val="clear" w:color="auto" w:fill="auto"/>
            <w:noWrap/>
            <w:vAlign w:val="center"/>
            <w:hideMark/>
          </w:tcPr>
          <w:p w14:paraId="0B1A8074" w14:textId="77777777" w:rsidR="00EC4B36" w:rsidRPr="00AC57D5" w:rsidRDefault="00EC4B36" w:rsidP="006B5A62">
            <w:pPr>
              <w:spacing w:before="20" w:after="20" w:line="240" w:lineRule="auto"/>
              <w:jc w:val="left"/>
              <w:rPr>
                <w:rFonts w:ascii="Arial Narrow" w:eastAsia="Times New Roman" w:hAnsi="Arial Narrow"/>
                <w:color w:val="000000"/>
                <w:sz w:val="20"/>
                <w:szCs w:val="20"/>
                <w:lang w:val="es-ES" w:eastAsia="es-ES"/>
              </w:rPr>
            </w:pPr>
            <w:r w:rsidRPr="00AC57D5">
              <w:rPr>
                <w:rFonts w:ascii="Arial Narrow" w:eastAsia="Times New Roman" w:hAnsi="Arial Narrow"/>
                <w:color w:val="000000"/>
                <w:sz w:val="20"/>
                <w:szCs w:val="20"/>
                <w:lang w:val="es-ES" w:eastAsia="es-ES"/>
              </w:rPr>
              <w:t>CONDENSADORES ACOPLAMIENTO</w:t>
            </w:r>
          </w:p>
        </w:tc>
        <w:tc>
          <w:tcPr>
            <w:tcW w:w="1701" w:type="dxa"/>
            <w:tcBorders>
              <w:top w:val="nil"/>
              <w:left w:val="nil"/>
              <w:bottom w:val="single" w:sz="4" w:space="0" w:color="auto"/>
              <w:right w:val="single" w:sz="4" w:space="0" w:color="auto"/>
            </w:tcBorders>
            <w:shd w:val="clear" w:color="auto" w:fill="auto"/>
            <w:noWrap/>
            <w:vAlign w:val="center"/>
            <w:hideMark/>
          </w:tcPr>
          <w:p w14:paraId="12BE9A44" w14:textId="77777777" w:rsidR="00EC4B36" w:rsidRPr="00AC57D5" w:rsidRDefault="00EC4B36" w:rsidP="006B5A62">
            <w:pPr>
              <w:spacing w:before="20" w:after="20" w:line="240" w:lineRule="auto"/>
              <w:jc w:val="center"/>
              <w:rPr>
                <w:rFonts w:ascii="Arial Narrow" w:eastAsia="Times New Roman" w:hAnsi="Arial Narrow"/>
                <w:color w:val="000000"/>
                <w:sz w:val="20"/>
                <w:szCs w:val="20"/>
                <w:lang w:val="es-ES" w:eastAsia="es-ES"/>
              </w:rPr>
            </w:pPr>
            <w:r w:rsidRPr="00AC57D5">
              <w:rPr>
                <w:rFonts w:ascii="Arial Narrow" w:eastAsia="Times New Roman" w:hAnsi="Arial Narrow"/>
                <w:color w:val="000000"/>
                <w:sz w:val="20"/>
                <w:szCs w:val="20"/>
                <w:lang w:val="es-ES" w:eastAsia="es-ES"/>
              </w:rPr>
              <w:t>E1</w:t>
            </w:r>
          </w:p>
        </w:tc>
      </w:tr>
      <w:tr w:rsidR="00EC4B36" w:rsidRPr="00AC57D5" w14:paraId="09D32F92" w14:textId="77777777" w:rsidTr="006B5A62">
        <w:trPr>
          <w:jc w:val="center"/>
        </w:trPr>
        <w:tc>
          <w:tcPr>
            <w:tcW w:w="5670" w:type="dxa"/>
            <w:tcBorders>
              <w:top w:val="nil"/>
              <w:left w:val="single" w:sz="4" w:space="0" w:color="auto"/>
              <w:bottom w:val="single" w:sz="4" w:space="0" w:color="auto"/>
              <w:right w:val="single" w:sz="4" w:space="0" w:color="auto"/>
            </w:tcBorders>
            <w:shd w:val="clear" w:color="auto" w:fill="auto"/>
            <w:noWrap/>
            <w:vAlign w:val="center"/>
            <w:hideMark/>
          </w:tcPr>
          <w:p w14:paraId="2DDD5127" w14:textId="77777777" w:rsidR="00EC4B36" w:rsidRPr="00AC57D5" w:rsidRDefault="00EC4B36" w:rsidP="006B5A62">
            <w:pPr>
              <w:spacing w:before="20" w:after="20" w:line="240" w:lineRule="auto"/>
              <w:jc w:val="left"/>
              <w:rPr>
                <w:rFonts w:ascii="Arial Narrow" w:eastAsia="Times New Roman" w:hAnsi="Arial Narrow"/>
                <w:color w:val="000000"/>
                <w:sz w:val="20"/>
                <w:szCs w:val="20"/>
                <w:lang w:val="es-ES" w:eastAsia="es-ES"/>
              </w:rPr>
            </w:pPr>
            <w:r w:rsidRPr="00AC57D5">
              <w:rPr>
                <w:rFonts w:ascii="Arial Narrow" w:eastAsia="Times New Roman" w:hAnsi="Arial Narrow"/>
                <w:color w:val="000000"/>
                <w:sz w:val="20"/>
                <w:szCs w:val="20"/>
                <w:lang w:val="es-ES" w:eastAsia="es-ES"/>
              </w:rPr>
              <w:t>CONDUCTORES BARRAS</w:t>
            </w:r>
          </w:p>
        </w:tc>
        <w:tc>
          <w:tcPr>
            <w:tcW w:w="1701" w:type="dxa"/>
            <w:tcBorders>
              <w:top w:val="nil"/>
              <w:left w:val="nil"/>
              <w:bottom w:val="single" w:sz="4" w:space="0" w:color="auto"/>
              <w:right w:val="single" w:sz="4" w:space="0" w:color="auto"/>
            </w:tcBorders>
            <w:shd w:val="clear" w:color="auto" w:fill="auto"/>
            <w:noWrap/>
            <w:vAlign w:val="center"/>
            <w:hideMark/>
          </w:tcPr>
          <w:p w14:paraId="1E7F0443" w14:textId="77777777" w:rsidR="00EC4B36" w:rsidRPr="00AC57D5" w:rsidRDefault="00EC4B36" w:rsidP="006B5A62">
            <w:pPr>
              <w:spacing w:before="20" w:after="20" w:line="240" w:lineRule="auto"/>
              <w:jc w:val="center"/>
              <w:rPr>
                <w:rFonts w:ascii="Arial Narrow" w:eastAsia="Times New Roman" w:hAnsi="Arial Narrow"/>
                <w:color w:val="000000"/>
                <w:sz w:val="20"/>
                <w:szCs w:val="20"/>
                <w:lang w:val="es-ES" w:eastAsia="es-ES"/>
              </w:rPr>
            </w:pPr>
            <w:r w:rsidRPr="00AC57D5">
              <w:rPr>
                <w:rFonts w:ascii="Arial Narrow" w:eastAsia="Times New Roman" w:hAnsi="Arial Narrow"/>
                <w:color w:val="000000"/>
                <w:sz w:val="20"/>
                <w:szCs w:val="20"/>
                <w:lang w:val="es-ES" w:eastAsia="es-ES"/>
              </w:rPr>
              <w:t>E2</w:t>
            </w:r>
          </w:p>
        </w:tc>
      </w:tr>
      <w:tr w:rsidR="00EC4B36" w:rsidRPr="00AC57D5" w14:paraId="7E8A1698" w14:textId="77777777" w:rsidTr="006B5A62">
        <w:trPr>
          <w:jc w:val="center"/>
        </w:trPr>
        <w:tc>
          <w:tcPr>
            <w:tcW w:w="5670" w:type="dxa"/>
            <w:tcBorders>
              <w:top w:val="nil"/>
              <w:left w:val="single" w:sz="4" w:space="0" w:color="auto"/>
              <w:bottom w:val="single" w:sz="4" w:space="0" w:color="auto"/>
              <w:right w:val="single" w:sz="4" w:space="0" w:color="auto"/>
            </w:tcBorders>
            <w:shd w:val="clear" w:color="auto" w:fill="auto"/>
            <w:noWrap/>
            <w:vAlign w:val="center"/>
            <w:hideMark/>
          </w:tcPr>
          <w:p w14:paraId="05D4B47B" w14:textId="77777777" w:rsidR="00EC4B36" w:rsidRPr="00AC57D5" w:rsidRDefault="00EC4B36" w:rsidP="006B5A62">
            <w:pPr>
              <w:spacing w:before="20" w:after="20" w:line="240" w:lineRule="auto"/>
              <w:jc w:val="left"/>
              <w:rPr>
                <w:rFonts w:ascii="Arial Narrow" w:eastAsia="Times New Roman" w:hAnsi="Arial Narrow"/>
                <w:color w:val="000000"/>
                <w:sz w:val="20"/>
                <w:szCs w:val="20"/>
                <w:lang w:val="es-ES" w:eastAsia="es-ES"/>
              </w:rPr>
            </w:pPr>
            <w:r w:rsidRPr="00AC57D5">
              <w:rPr>
                <w:rFonts w:ascii="Arial Narrow" w:eastAsia="Times New Roman" w:hAnsi="Arial Narrow"/>
                <w:color w:val="000000"/>
                <w:sz w:val="20"/>
                <w:szCs w:val="20"/>
                <w:lang w:val="es-ES" w:eastAsia="es-ES"/>
              </w:rPr>
              <w:t>DESCONECTADORES</w:t>
            </w:r>
          </w:p>
        </w:tc>
        <w:tc>
          <w:tcPr>
            <w:tcW w:w="1701" w:type="dxa"/>
            <w:tcBorders>
              <w:top w:val="nil"/>
              <w:left w:val="nil"/>
              <w:bottom w:val="single" w:sz="4" w:space="0" w:color="auto"/>
              <w:right w:val="single" w:sz="4" w:space="0" w:color="auto"/>
            </w:tcBorders>
            <w:shd w:val="clear" w:color="auto" w:fill="auto"/>
            <w:noWrap/>
            <w:vAlign w:val="center"/>
            <w:hideMark/>
          </w:tcPr>
          <w:p w14:paraId="4C1C8E40" w14:textId="77777777" w:rsidR="00EC4B36" w:rsidRPr="00AC57D5" w:rsidRDefault="00EC4B36" w:rsidP="006B5A62">
            <w:pPr>
              <w:spacing w:before="20" w:after="20" w:line="240" w:lineRule="auto"/>
              <w:jc w:val="center"/>
              <w:rPr>
                <w:rFonts w:ascii="Arial Narrow" w:eastAsia="Times New Roman" w:hAnsi="Arial Narrow"/>
                <w:color w:val="000000"/>
                <w:sz w:val="20"/>
                <w:szCs w:val="20"/>
                <w:lang w:val="es-ES" w:eastAsia="es-ES"/>
              </w:rPr>
            </w:pPr>
            <w:r w:rsidRPr="00AC57D5">
              <w:rPr>
                <w:rFonts w:ascii="Arial Narrow" w:eastAsia="Times New Roman" w:hAnsi="Arial Narrow"/>
                <w:color w:val="000000"/>
                <w:sz w:val="20"/>
                <w:szCs w:val="20"/>
                <w:lang w:val="es-ES" w:eastAsia="es-ES"/>
              </w:rPr>
              <w:t>E1</w:t>
            </w:r>
          </w:p>
        </w:tc>
      </w:tr>
      <w:tr w:rsidR="00EC4B36" w:rsidRPr="00AC57D5" w14:paraId="3B1610E5" w14:textId="77777777" w:rsidTr="006B5A62">
        <w:trPr>
          <w:jc w:val="center"/>
        </w:trPr>
        <w:tc>
          <w:tcPr>
            <w:tcW w:w="5670" w:type="dxa"/>
            <w:tcBorders>
              <w:top w:val="nil"/>
              <w:left w:val="single" w:sz="4" w:space="0" w:color="auto"/>
              <w:bottom w:val="single" w:sz="4" w:space="0" w:color="auto"/>
              <w:right w:val="single" w:sz="4" w:space="0" w:color="auto"/>
            </w:tcBorders>
            <w:shd w:val="clear" w:color="auto" w:fill="auto"/>
            <w:noWrap/>
            <w:vAlign w:val="center"/>
            <w:hideMark/>
          </w:tcPr>
          <w:p w14:paraId="1291D443" w14:textId="77777777" w:rsidR="00EC4B36" w:rsidRPr="00AC57D5" w:rsidRDefault="00EC4B36" w:rsidP="006B5A62">
            <w:pPr>
              <w:spacing w:before="20" w:after="20" w:line="240" w:lineRule="auto"/>
              <w:jc w:val="left"/>
              <w:rPr>
                <w:rFonts w:ascii="Arial Narrow" w:eastAsia="Times New Roman" w:hAnsi="Arial Narrow"/>
                <w:color w:val="000000"/>
                <w:sz w:val="20"/>
                <w:szCs w:val="20"/>
                <w:lang w:val="es-ES" w:eastAsia="es-ES"/>
              </w:rPr>
            </w:pPr>
            <w:r w:rsidRPr="00AC57D5">
              <w:rPr>
                <w:rFonts w:ascii="Arial Narrow" w:eastAsia="Times New Roman" w:hAnsi="Arial Narrow"/>
                <w:color w:val="000000"/>
                <w:sz w:val="20"/>
                <w:szCs w:val="20"/>
                <w:lang w:val="es-ES" w:eastAsia="es-ES"/>
              </w:rPr>
              <w:t>ELEMENTOS COMUNES PATIOS</w:t>
            </w:r>
          </w:p>
        </w:tc>
        <w:tc>
          <w:tcPr>
            <w:tcW w:w="1701" w:type="dxa"/>
            <w:tcBorders>
              <w:top w:val="nil"/>
              <w:left w:val="nil"/>
              <w:bottom w:val="single" w:sz="4" w:space="0" w:color="auto"/>
              <w:right w:val="single" w:sz="4" w:space="0" w:color="auto"/>
            </w:tcBorders>
            <w:shd w:val="clear" w:color="auto" w:fill="auto"/>
            <w:noWrap/>
            <w:vAlign w:val="center"/>
            <w:hideMark/>
          </w:tcPr>
          <w:p w14:paraId="7F88B85F" w14:textId="77777777" w:rsidR="00EC4B36" w:rsidRPr="00AC57D5" w:rsidRDefault="00EC4B36" w:rsidP="006B5A62">
            <w:pPr>
              <w:spacing w:before="20" w:after="20" w:line="240" w:lineRule="auto"/>
              <w:jc w:val="center"/>
              <w:rPr>
                <w:rFonts w:ascii="Arial Narrow" w:eastAsia="Times New Roman" w:hAnsi="Arial Narrow"/>
                <w:color w:val="000000"/>
                <w:sz w:val="20"/>
                <w:szCs w:val="20"/>
                <w:lang w:val="es-ES" w:eastAsia="es-ES"/>
              </w:rPr>
            </w:pPr>
            <w:r w:rsidRPr="00AC57D5">
              <w:rPr>
                <w:rFonts w:ascii="Arial Narrow" w:eastAsia="Times New Roman" w:hAnsi="Arial Narrow"/>
                <w:color w:val="000000"/>
                <w:sz w:val="20"/>
                <w:szCs w:val="20"/>
                <w:lang w:val="es-ES" w:eastAsia="es-ES"/>
              </w:rPr>
              <w:t>E1-E2-E3-C1</w:t>
            </w:r>
          </w:p>
        </w:tc>
      </w:tr>
      <w:tr w:rsidR="00EC4B36" w:rsidRPr="00AC57D5" w14:paraId="3C6BA0D5" w14:textId="77777777" w:rsidTr="006B5A62">
        <w:trPr>
          <w:jc w:val="center"/>
        </w:trPr>
        <w:tc>
          <w:tcPr>
            <w:tcW w:w="5670" w:type="dxa"/>
            <w:tcBorders>
              <w:top w:val="nil"/>
              <w:left w:val="single" w:sz="4" w:space="0" w:color="auto"/>
              <w:bottom w:val="single" w:sz="4" w:space="0" w:color="auto"/>
              <w:right w:val="single" w:sz="4" w:space="0" w:color="auto"/>
            </w:tcBorders>
            <w:shd w:val="clear" w:color="auto" w:fill="auto"/>
            <w:noWrap/>
            <w:vAlign w:val="center"/>
            <w:hideMark/>
          </w:tcPr>
          <w:p w14:paraId="5892E8BF" w14:textId="77777777" w:rsidR="00EC4B36" w:rsidRPr="00AC57D5" w:rsidRDefault="00EC4B36" w:rsidP="006B5A62">
            <w:pPr>
              <w:spacing w:before="20" w:after="20" w:line="240" w:lineRule="auto"/>
              <w:jc w:val="left"/>
              <w:rPr>
                <w:rFonts w:ascii="Arial Narrow" w:eastAsia="Times New Roman" w:hAnsi="Arial Narrow"/>
                <w:color w:val="000000"/>
                <w:sz w:val="20"/>
                <w:szCs w:val="20"/>
                <w:lang w:val="es-ES" w:eastAsia="es-ES"/>
              </w:rPr>
            </w:pPr>
            <w:r w:rsidRPr="00AC57D5">
              <w:rPr>
                <w:rFonts w:ascii="Arial Narrow" w:eastAsia="Times New Roman" w:hAnsi="Arial Narrow"/>
                <w:color w:val="000000"/>
                <w:sz w:val="20"/>
                <w:szCs w:val="20"/>
                <w:lang w:val="es-ES" w:eastAsia="es-ES"/>
              </w:rPr>
              <w:t>ELEMENTOS COMUNES SSEE</w:t>
            </w:r>
          </w:p>
        </w:tc>
        <w:tc>
          <w:tcPr>
            <w:tcW w:w="1701" w:type="dxa"/>
            <w:tcBorders>
              <w:top w:val="nil"/>
              <w:left w:val="nil"/>
              <w:bottom w:val="single" w:sz="4" w:space="0" w:color="auto"/>
              <w:right w:val="single" w:sz="4" w:space="0" w:color="auto"/>
            </w:tcBorders>
            <w:shd w:val="clear" w:color="auto" w:fill="auto"/>
            <w:noWrap/>
            <w:vAlign w:val="center"/>
            <w:hideMark/>
          </w:tcPr>
          <w:p w14:paraId="16F7D323" w14:textId="77777777" w:rsidR="00EC4B36" w:rsidRPr="00AC57D5" w:rsidRDefault="00EC4B36" w:rsidP="006B5A62">
            <w:pPr>
              <w:spacing w:before="20" w:after="20" w:line="240" w:lineRule="auto"/>
              <w:jc w:val="center"/>
              <w:rPr>
                <w:rFonts w:ascii="Arial Narrow" w:eastAsia="Times New Roman" w:hAnsi="Arial Narrow"/>
                <w:color w:val="000000"/>
                <w:sz w:val="20"/>
                <w:szCs w:val="20"/>
                <w:lang w:val="es-ES" w:eastAsia="es-ES"/>
              </w:rPr>
            </w:pPr>
            <w:r w:rsidRPr="00AC57D5">
              <w:rPr>
                <w:rFonts w:ascii="Arial Narrow" w:eastAsia="Times New Roman" w:hAnsi="Arial Narrow"/>
                <w:color w:val="000000"/>
                <w:sz w:val="20"/>
                <w:szCs w:val="20"/>
                <w:lang w:val="es-ES" w:eastAsia="es-ES"/>
              </w:rPr>
              <w:t>E2-C2</w:t>
            </w:r>
          </w:p>
        </w:tc>
      </w:tr>
      <w:tr w:rsidR="00EC4B36" w:rsidRPr="00AC57D5" w14:paraId="73C0763D" w14:textId="77777777" w:rsidTr="006B5A62">
        <w:trPr>
          <w:jc w:val="center"/>
        </w:trPr>
        <w:tc>
          <w:tcPr>
            <w:tcW w:w="5670" w:type="dxa"/>
            <w:tcBorders>
              <w:top w:val="nil"/>
              <w:left w:val="single" w:sz="4" w:space="0" w:color="auto"/>
              <w:bottom w:val="single" w:sz="4" w:space="0" w:color="auto"/>
              <w:right w:val="single" w:sz="4" w:space="0" w:color="auto"/>
            </w:tcBorders>
            <w:shd w:val="clear" w:color="auto" w:fill="auto"/>
            <w:noWrap/>
            <w:vAlign w:val="center"/>
            <w:hideMark/>
          </w:tcPr>
          <w:p w14:paraId="0805F149" w14:textId="77777777" w:rsidR="00EC4B36" w:rsidRPr="00AC57D5" w:rsidRDefault="00EC4B36" w:rsidP="006B5A62">
            <w:pPr>
              <w:spacing w:before="20" w:after="20" w:line="240" w:lineRule="auto"/>
              <w:jc w:val="left"/>
              <w:rPr>
                <w:rFonts w:ascii="Arial Narrow" w:eastAsia="Times New Roman" w:hAnsi="Arial Narrow"/>
                <w:color w:val="000000"/>
                <w:sz w:val="20"/>
                <w:szCs w:val="20"/>
                <w:lang w:val="es-ES" w:eastAsia="es-ES"/>
              </w:rPr>
            </w:pPr>
            <w:r w:rsidRPr="00AC57D5">
              <w:rPr>
                <w:rFonts w:ascii="Arial Narrow" w:eastAsia="Times New Roman" w:hAnsi="Arial Narrow"/>
                <w:color w:val="000000"/>
                <w:sz w:val="20"/>
                <w:szCs w:val="20"/>
                <w:lang w:val="es-ES" w:eastAsia="es-ES"/>
              </w:rPr>
              <w:t>ELEMENTOS DE PROTECCION</w:t>
            </w:r>
          </w:p>
        </w:tc>
        <w:tc>
          <w:tcPr>
            <w:tcW w:w="1701" w:type="dxa"/>
            <w:tcBorders>
              <w:top w:val="nil"/>
              <w:left w:val="nil"/>
              <w:bottom w:val="single" w:sz="4" w:space="0" w:color="auto"/>
              <w:right w:val="single" w:sz="4" w:space="0" w:color="auto"/>
            </w:tcBorders>
            <w:shd w:val="clear" w:color="auto" w:fill="auto"/>
            <w:noWrap/>
            <w:vAlign w:val="center"/>
            <w:hideMark/>
          </w:tcPr>
          <w:p w14:paraId="67063231" w14:textId="77777777" w:rsidR="00EC4B36" w:rsidRPr="00AC57D5" w:rsidRDefault="00EC4B36" w:rsidP="006B5A62">
            <w:pPr>
              <w:spacing w:before="20" w:after="20" w:line="240" w:lineRule="auto"/>
              <w:jc w:val="center"/>
              <w:rPr>
                <w:rFonts w:ascii="Arial Narrow" w:eastAsia="Times New Roman" w:hAnsi="Arial Narrow"/>
                <w:color w:val="000000"/>
                <w:sz w:val="20"/>
                <w:szCs w:val="20"/>
                <w:lang w:val="es-ES" w:eastAsia="es-ES"/>
              </w:rPr>
            </w:pPr>
            <w:r w:rsidRPr="00AC57D5">
              <w:rPr>
                <w:rFonts w:ascii="Arial Narrow" w:eastAsia="Times New Roman" w:hAnsi="Arial Narrow"/>
                <w:color w:val="000000"/>
                <w:sz w:val="20"/>
                <w:szCs w:val="20"/>
                <w:lang w:val="es-ES" w:eastAsia="es-ES"/>
              </w:rPr>
              <w:t>E3</w:t>
            </w:r>
          </w:p>
        </w:tc>
      </w:tr>
      <w:tr w:rsidR="00EC4B36" w:rsidRPr="00AC57D5" w14:paraId="2B893DA8" w14:textId="77777777" w:rsidTr="006B5A62">
        <w:trPr>
          <w:jc w:val="center"/>
        </w:trPr>
        <w:tc>
          <w:tcPr>
            <w:tcW w:w="5670" w:type="dxa"/>
            <w:tcBorders>
              <w:top w:val="nil"/>
              <w:left w:val="single" w:sz="4" w:space="0" w:color="auto"/>
              <w:bottom w:val="single" w:sz="4" w:space="0" w:color="auto"/>
              <w:right w:val="single" w:sz="4" w:space="0" w:color="auto"/>
            </w:tcBorders>
            <w:shd w:val="clear" w:color="auto" w:fill="auto"/>
            <w:noWrap/>
            <w:vAlign w:val="center"/>
            <w:hideMark/>
          </w:tcPr>
          <w:p w14:paraId="3984E657" w14:textId="77777777" w:rsidR="00EC4B36" w:rsidRPr="00AC57D5" w:rsidRDefault="00EC4B36" w:rsidP="006B5A62">
            <w:pPr>
              <w:spacing w:before="20" w:after="20" w:line="240" w:lineRule="auto"/>
              <w:jc w:val="left"/>
              <w:rPr>
                <w:rFonts w:ascii="Arial Narrow" w:eastAsia="Times New Roman" w:hAnsi="Arial Narrow"/>
                <w:color w:val="000000"/>
                <w:sz w:val="20"/>
                <w:szCs w:val="20"/>
                <w:lang w:val="es-ES" w:eastAsia="es-ES"/>
              </w:rPr>
            </w:pPr>
            <w:r w:rsidRPr="00AC57D5">
              <w:rPr>
                <w:rFonts w:ascii="Arial Narrow" w:eastAsia="Times New Roman" w:hAnsi="Arial Narrow"/>
                <w:color w:val="000000"/>
                <w:sz w:val="20"/>
                <w:szCs w:val="20"/>
                <w:lang w:val="es-ES" w:eastAsia="es-ES"/>
              </w:rPr>
              <w:t>ELEMENTOS PANOS</w:t>
            </w:r>
          </w:p>
        </w:tc>
        <w:tc>
          <w:tcPr>
            <w:tcW w:w="1701" w:type="dxa"/>
            <w:tcBorders>
              <w:top w:val="nil"/>
              <w:left w:val="nil"/>
              <w:bottom w:val="single" w:sz="4" w:space="0" w:color="auto"/>
              <w:right w:val="single" w:sz="4" w:space="0" w:color="auto"/>
            </w:tcBorders>
            <w:shd w:val="clear" w:color="auto" w:fill="auto"/>
            <w:noWrap/>
            <w:vAlign w:val="center"/>
            <w:hideMark/>
          </w:tcPr>
          <w:p w14:paraId="3A856BE7" w14:textId="77777777" w:rsidR="00EC4B36" w:rsidRPr="00AC57D5" w:rsidRDefault="00EC4B36" w:rsidP="006B5A62">
            <w:pPr>
              <w:spacing w:before="20" w:after="20" w:line="240" w:lineRule="auto"/>
              <w:jc w:val="center"/>
              <w:rPr>
                <w:rFonts w:ascii="Arial Narrow" w:eastAsia="Times New Roman" w:hAnsi="Arial Narrow"/>
                <w:color w:val="000000"/>
                <w:sz w:val="20"/>
                <w:szCs w:val="20"/>
                <w:lang w:val="es-ES" w:eastAsia="es-ES"/>
              </w:rPr>
            </w:pPr>
            <w:r w:rsidRPr="00AC57D5">
              <w:rPr>
                <w:rFonts w:ascii="Arial Narrow" w:eastAsia="Times New Roman" w:hAnsi="Arial Narrow"/>
                <w:color w:val="000000"/>
                <w:sz w:val="20"/>
                <w:szCs w:val="20"/>
                <w:lang w:val="es-ES" w:eastAsia="es-ES"/>
              </w:rPr>
              <w:t>E5</w:t>
            </w:r>
          </w:p>
        </w:tc>
      </w:tr>
      <w:tr w:rsidR="00EC4B36" w:rsidRPr="00AC57D5" w14:paraId="44AC8976" w14:textId="77777777" w:rsidTr="006B5A62">
        <w:trPr>
          <w:jc w:val="center"/>
        </w:trPr>
        <w:tc>
          <w:tcPr>
            <w:tcW w:w="5670" w:type="dxa"/>
            <w:tcBorders>
              <w:top w:val="nil"/>
              <w:left w:val="single" w:sz="4" w:space="0" w:color="auto"/>
              <w:bottom w:val="single" w:sz="4" w:space="0" w:color="auto"/>
              <w:right w:val="single" w:sz="4" w:space="0" w:color="auto"/>
            </w:tcBorders>
            <w:shd w:val="clear" w:color="auto" w:fill="auto"/>
            <w:noWrap/>
            <w:vAlign w:val="center"/>
            <w:hideMark/>
          </w:tcPr>
          <w:p w14:paraId="4B0F2D79" w14:textId="77777777" w:rsidR="00EC4B36" w:rsidRPr="00AC57D5" w:rsidRDefault="00EC4B36" w:rsidP="006B5A62">
            <w:pPr>
              <w:spacing w:before="20" w:after="20" w:line="240" w:lineRule="auto"/>
              <w:jc w:val="left"/>
              <w:rPr>
                <w:rFonts w:ascii="Arial Narrow" w:eastAsia="Times New Roman" w:hAnsi="Arial Narrow"/>
                <w:color w:val="000000"/>
                <w:sz w:val="20"/>
                <w:szCs w:val="20"/>
                <w:lang w:val="es-ES" w:eastAsia="es-ES"/>
              </w:rPr>
            </w:pPr>
            <w:r w:rsidRPr="00AC57D5">
              <w:rPr>
                <w:rFonts w:ascii="Arial Narrow" w:eastAsia="Times New Roman" w:hAnsi="Arial Narrow"/>
                <w:color w:val="000000"/>
                <w:sz w:val="20"/>
                <w:szCs w:val="20"/>
                <w:lang w:val="es-ES" w:eastAsia="es-ES"/>
              </w:rPr>
              <w:t>ELEMENTOS SCADA</w:t>
            </w:r>
          </w:p>
        </w:tc>
        <w:tc>
          <w:tcPr>
            <w:tcW w:w="1701" w:type="dxa"/>
            <w:tcBorders>
              <w:top w:val="nil"/>
              <w:left w:val="nil"/>
              <w:bottom w:val="single" w:sz="4" w:space="0" w:color="auto"/>
              <w:right w:val="single" w:sz="4" w:space="0" w:color="auto"/>
            </w:tcBorders>
            <w:shd w:val="clear" w:color="auto" w:fill="auto"/>
            <w:noWrap/>
            <w:vAlign w:val="center"/>
            <w:hideMark/>
          </w:tcPr>
          <w:p w14:paraId="205053D3" w14:textId="77777777" w:rsidR="00EC4B36" w:rsidRPr="00AC57D5" w:rsidRDefault="00EC4B36" w:rsidP="006B5A62">
            <w:pPr>
              <w:spacing w:before="20" w:after="20" w:line="240" w:lineRule="auto"/>
              <w:jc w:val="center"/>
              <w:rPr>
                <w:rFonts w:ascii="Arial Narrow" w:eastAsia="Times New Roman" w:hAnsi="Arial Narrow"/>
                <w:color w:val="000000"/>
                <w:sz w:val="20"/>
                <w:szCs w:val="20"/>
                <w:lang w:val="es-ES" w:eastAsia="es-ES"/>
              </w:rPr>
            </w:pPr>
            <w:r w:rsidRPr="00AC57D5">
              <w:rPr>
                <w:rFonts w:ascii="Arial Narrow" w:eastAsia="Times New Roman" w:hAnsi="Arial Narrow"/>
                <w:color w:val="000000"/>
                <w:sz w:val="20"/>
                <w:szCs w:val="20"/>
                <w:lang w:val="es-ES" w:eastAsia="es-ES"/>
              </w:rPr>
              <w:t>E3</w:t>
            </w:r>
          </w:p>
        </w:tc>
      </w:tr>
      <w:tr w:rsidR="00EC4B36" w:rsidRPr="00AC57D5" w14:paraId="1D5CAD73" w14:textId="77777777" w:rsidTr="006B5A62">
        <w:trPr>
          <w:jc w:val="center"/>
        </w:trPr>
        <w:tc>
          <w:tcPr>
            <w:tcW w:w="5670" w:type="dxa"/>
            <w:tcBorders>
              <w:top w:val="nil"/>
              <w:left w:val="single" w:sz="4" w:space="0" w:color="auto"/>
              <w:bottom w:val="single" w:sz="4" w:space="0" w:color="auto"/>
              <w:right w:val="single" w:sz="4" w:space="0" w:color="auto"/>
            </w:tcBorders>
            <w:shd w:val="clear" w:color="auto" w:fill="auto"/>
            <w:noWrap/>
            <w:vAlign w:val="center"/>
            <w:hideMark/>
          </w:tcPr>
          <w:p w14:paraId="2A225C78" w14:textId="77777777" w:rsidR="00EC4B36" w:rsidRPr="00AC57D5" w:rsidRDefault="00EC4B36" w:rsidP="006B5A62">
            <w:pPr>
              <w:spacing w:before="20" w:after="20" w:line="240" w:lineRule="auto"/>
              <w:jc w:val="left"/>
              <w:rPr>
                <w:rFonts w:ascii="Arial Narrow" w:eastAsia="Times New Roman" w:hAnsi="Arial Narrow"/>
                <w:color w:val="000000"/>
                <w:sz w:val="20"/>
                <w:szCs w:val="20"/>
                <w:lang w:val="es-ES" w:eastAsia="es-ES"/>
              </w:rPr>
            </w:pPr>
            <w:r w:rsidRPr="00AC57D5">
              <w:rPr>
                <w:rFonts w:ascii="Arial Narrow" w:eastAsia="Times New Roman" w:hAnsi="Arial Narrow"/>
                <w:color w:val="000000"/>
                <w:sz w:val="20"/>
                <w:szCs w:val="20"/>
                <w:lang w:val="es-ES" w:eastAsia="es-ES"/>
              </w:rPr>
              <w:t>EQUIPOS COMUNICACION</w:t>
            </w:r>
          </w:p>
        </w:tc>
        <w:tc>
          <w:tcPr>
            <w:tcW w:w="1701" w:type="dxa"/>
            <w:tcBorders>
              <w:top w:val="nil"/>
              <w:left w:val="nil"/>
              <w:bottom w:val="single" w:sz="4" w:space="0" w:color="auto"/>
              <w:right w:val="single" w:sz="4" w:space="0" w:color="auto"/>
            </w:tcBorders>
            <w:shd w:val="clear" w:color="auto" w:fill="auto"/>
            <w:noWrap/>
            <w:vAlign w:val="center"/>
            <w:hideMark/>
          </w:tcPr>
          <w:p w14:paraId="034230F4" w14:textId="77777777" w:rsidR="00EC4B36" w:rsidRPr="00AC57D5" w:rsidRDefault="00EC4B36" w:rsidP="006B5A62">
            <w:pPr>
              <w:spacing w:before="20" w:after="20" w:line="240" w:lineRule="auto"/>
              <w:jc w:val="center"/>
              <w:rPr>
                <w:rFonts w:ascii="Arial Narrow" w:eastAsia="Times New Roman" w:hAnsi="Arial Narrow"/>
                <w:color w:val="000000"/>
                <w:sz w:val="20"/>
                <w:szCs w:val="20"/>
                <w:lang w:val="es-ES" w:eastAsia="es-ES"/>
              </w:rPr>
            </w:pPr>
            <w:r w:rsidRPr="00AC57D5">
              <w:rPr>
                <w:rFonts w:ascii="Arial Narrow" w:eastAsia="Times New Roman" w:hAnsi="Arial Narrow"/>
                <w:color w:val="000000"/>
                <w:sz w:val="20"/>
                <w:szCs w:val="20"/>
                <w:lang w:val="es-ES" w:eastAsia="es-ES"/>
              </w:rPr>
              <w:t>E3</w:t>
            </w:r>
          </w:p>
        </w:tc>
      </w:tr>
      <w:tr w:rsidR="00EC4B36" w:rsidRPr="00AC57D5" w14:paraId="1058C671" w14:textId="77777777" w:rsidTr="006B5A62">
        <w:trPr>
          <w:jc w:val="center"/>
        </w:trPr>
        <w:tc>
          <w:tcPr>
            <w:tcW w:w="5670" w:type="dxa"/>
            <w:tcBorders>
              <w:top w:val="nil"/>
              <w:left w:val="single" w:sz="4" w:space="0" w:color="auto"/>
              <w:bottom w:val="single" w:sz="4" w:space="0" w:color="auto"/>
              <w:right w:val="single" w:sz="4" w:space="0" w:color="auto"/>
            </w:tcBorders>
            <w:shd w:val="clear" w:color="auto" w:fill="auto"/>
            <w:noWrap/>
            <w:vAlign w:val="center"/>
            <w:hideMark/>
          </w:tcPr>
          <w:p w14:paraId="0776E016" w14:textId="77777777" w:rsidR="00EC4B36" w:rsidRPr="00AC57D5" w:rsidRDefault="00EC4B36" w:rsidP="006B5A62">
            <w:pPr>
              <w:spacing w:before="20" w:after="20" w:line="240" w:lineRule="auto"/>
              <w:jc w:val="left"/>
              <w:rPr>
                <w:rFonts w:ascii="Arial Narrow" w:eastAsia="Times New Roman" w:hAnsi="Arial Narrow"/>
                <w:color w:val="000000"/>
                <w:sz w:val="20"/>
                <w:szCs w:val="20"/>
                <w:lang w:val="es-ES" w:eastAsia="es-ES"/>
              </w:rPr>
            </w:pPr>
            <w:r w:rsidRPr="00AC57D5">
              <w:rPr>
                <w:rFonts w:ascii="Arial Narrow" w:eastAsia="Times New Roman" w:hAnsi="Arial Narrow"/>
                <w:color w:val="000000"/>
                <w:sz w:val="20"/>
                <w:szCs w:val="20"/>
                <w:lang w:val="es-ES" w:eastAsia="es-ES"/>
              </w:rPr>
              <w:t>ESTRUCTURAS SUBESTACION</w:t>
            </w:r>
          </w:p>
        </w:tc>
        <w:tc>
          <w:tcPr>
            <w:tcW w:w="1701" w:type="dxa"/>
            <w:tcBorders>
              <w:top w:val="nil"/>
              <w:left w:val="nil"/>
              <w:bottom w:val="single" w:sz="4" w:space="0" w:color="auto"/>
              <w:right w:val="single" w:sz="4" w:space="0" w:color="auto"/>
            </w:tcBorders>
            <w:shd w:val="clear" w:color="auto" w:fill="auto"/>
            <w:noWrap/>
            <w:vAlign w:val="center"/>
            <w:hideMark/>
          </w:tcPr>
          <w:p w14:paraId="767F6529" w14:textId="77777777" w:rsidR="00EC4B36" w:rsidRPr="00AC57D5" w:rsidRDefault="00EC4B36" w:rsidP="006B5A62">
            <w:pPr>
              <w:spacing w:before="20" w:after="20" w:line="240" w:lineRule="auto"/>
              <w:jc w:val="center"/>
              <w:rPr>
                <w:rFonts w:ascii="Arial Narrow" w:eastAsia="Times New Roman" w:hAnsi="Arial Narrow"/>
                <w:color w:val="000000"/>
                <w:sz w:val="20"/>
                <w:szCs w:val="20"/>
                <w:lang w:val="es-ES" w:eastAsia="es-ES"/>
              </w:rPr>
            </w:pPr>
            <w:r w:rsidRPr="00AC57D5">
              <w:rPr>
                <w:rFonts w:ascii="Arial Narrow" w:eastAsia="Times New Roman" w:hAnsi="Arial Narrow"/>
                <w:color w:val="000000"/>
                <w:sz w:val="20"/>
                <w:szCs w:val="20"/>
                <w:lang w:val="es-ES" w:eastAsia="es-ES"/>
              </w:rPr>
              <w:t>C2</w:t>
            </w:r>
          </w:p>
        </w:tc>
      </w:tr>
      <w:tr w:rsidR="00EC4B36" w:rsidRPr="00AC57D5" w14:paraId="007A77B7" w14:textId="77777777" w:rsidTr="006B5A62">
        <w:trPr>
          <w:jc w:val="center"/>
        </w:trPr>
        <w:tc>
          <w:tcPr>
            <w:tcW w:w="5670" w:type="dxa"/>
            <w:tcBorders>
              <w:top w:val="nil"/>
              <w:left w:val="single" w:sz="4" w:space="0" w:color="auto"/>
              <w:bottom w:val="single" w:sz="4" w:space="0" w:color="auto"/>
              <w:right w:val="single" w:sz="4" w:space="0" w:color="auto"/>
            </w:tcBorders>
            <w:shd w:val="clear" w:color="auto" w:fill="auto"/>
            <w:noWrap/>
            <w:vAlign w:val="center"/>
            <w:hideMark/>
          </w:tcPr>
          <w:p w14:paraId="38C189C9" w14:textId="77777777" w:rsidR="00EC4B36" w:rsidRPr="00AC57D5" w:rsidRDefault="00EC4B36" w:rsidP="006B5A62">
            <w:pPr>
              <w:spacing w:before="20" w:after="20" w:line="240" w:lineRule="auto"/>
              <w:jc w:val="left"/>
              <w:rPr>
                <w:rFonts w:ascii="Arial Narrow" w:eastAsia="Times New Roman" w:hAnsi="Arial Narrow"/>
                <w:color w:val="000000"/>
                <w:sz w:val="20"/>
                <w:szCs w:val="20"/>
                <w:lang w:val="es-ES" w:eastAsia="es-ES"/>
              </w:rPr>
            </w:pPr>
            <w:r w:rsidRPr="00AC57D5">
              <w:rPr>
                <w:rFonts w:ascii="Arial Narrow" w:eastAsia="Times New Roman" w:hAnsi="Arial Narrow"/>
                <w:color w:val="000000"/>
                <w:sz w:val="20"/>
                <w:szCs w:val="20"/>
                <w:lang w:val="es-ES" w:eastAsia="es-ES"/>
              </w:rPr>
              <w:t>INTERRUPTORES</w:t>
            </w:r>
          </w:p>
        </w:tc>
        <w:tc>
          <w:tcPr>
            <w:tcW w:w="1701" w:type="dxa"/>
            <w:tcBorders>
              <w:top w:val="nil"/>
              <w:left w:val="nil"/>
              <w:bottom w:val="single" w:sz="4" w:space="0" w:color="auto"/>
              <w:right w:val="single" w:sz="4" w:space="0" w:color="auto"/>
            </w:tcBorders>
            <w:shd w:val="clear" w:color="auto" w:fill="auto"/>
            <w:noWrap/>
            <w:vAlign w:val="center"/>
            <w:hideMark/>
          </w:tcPr>
          <w:p w14:paraId="73CFA85A" w14:textId="77777777" w:rsidR="00EC4B36" w:rsidRPr="00AC57D5" w:rsidRDefault="00EC4B36" w:rsidP="006B5A62">
            <w:pPr>
              <w:spacing w:before="20" w:after="20" w:line="240" w:lineRule="auto"/>
              <w:jc w:val="center"/>
              <w:rPr>
                <w:rFonts w:ascii="Arial Narrow" w:eastAsia="Times New Roman" w:hAnsi="Arial Narrow"/>
                <w:color w:val="000000"/>
                <w:sz w:val="20"/>
                <w:szCs w:val="20"/>
                <w:lang w:val="es-ES" w:eastAsia="es-ES"/>
              </w:rPr>
            </w:pPr>
            <w:r w:rsidRPr="00AC57D5">
              <w:rPr>
                <w:rFonts w:ascii="Arial Narrow" w:eastAsia="Times New Roman" w:hAnsi="Arial Narrow"/>
                <w:color w:val="000000"/>
                <w:sz w:val="20"/>
                <w:szCs w:val="20"/>
                <w:lang w:val="es-ES" w:eastAsia="es-ES"/>
              </w:rPr>
              <w:t>E1</w:t>
            </w:r>
          </w:p>
        </w:tc>
      </w:tr>
      <w:tr w:rsidR="00EC4B36" w:rsidRPr="00AC57D5" w14:paraId="0BC6D5D7" w14:textId="77777777" w:rsidTr="006B5A62">
        <w:trPr>
          <w:jc w:val="center"/>
        </w:trPr>
        <w:tc>
          <w:tcPr>
            <w:tcW w:w="5670" w:type="dxa"/>
            <w:tcBorders>
              <w:top w:val="nil"/>
              <w:left w:val="single" w:sz="4" w:space="0" w:color="auto"/>
              <w:bottom w:val="single" w:sz="4" w:space="0" w:color="auto"/>
              <w:right w:val="single" w:sz="4" w:space="0" w:color="auto"/>
            </w:tcBorders>
            <w:shd w:val="clear" w:color="auto" w:fill="auto"/>
            <w:noWrap/>
            <w:vAlign w:val="center"/>
            <w:hideMark/>
          </w:tcPr>
          <w:p w14:paraId="754F540F" w14:textId="77777777" w:rsidR="00EC4B36" w:rsidRPr="00AC57D5" w:rsidRDefault="00EC4B36" w:rsidP="006B5A62">
            <w:pPr>
              <w:spacing w:before="20" w:after="20" w:line="240" w:lineRule="auto"/>
              <w:jc w:val="left"/>
              <w:rPr>
                <w:rFonts w:ascii="Arial Narrow" w:eastAsia="Times New Roman" w:hAnsi="Arial Narrow"/>
                <w:color w:val="000000"/>
                <w:sz w:val="20"/>
                <w:szCs w:val="20"/>
                <w:lang w:val="es-ES" w:eastAsia="es-ES"/>
              </w:rPr>
            </w:pPr>
            <w:r w:rsidRPr="00AC57D5">
              <w:rPr>
                <w:rFonts w:ascii="Arial Narrow" w:eastAsia="Times New Roman" w:hAnsi="Arial Narrow"/>
                <w:color w:val="000000"/>
                <w:sz w:val="20"/>
                <w:szCs w:val="20"/>
                <w:lang w:val="es-ES" w:eastAsia="es-ES"/>
              </w:rPr>
              <w:t>MATERIALES OOCC</w:t>
            </w:r>
          </w:p>
        </w:tc>
        <w:tc>
          <w:tcPr>
            <w:tcW w:w="1701" w:type="dxa"/>
            <w:tcBorders>
              <w:top w:val="nil"/>
              <w:left w:val="nil"/>
              <w:bottom w:val="single" w:sz="4" w:space="0" w:color="auto"/>
              <w:right w:val="single" w:sz="4" w:space="0" w:color="auto"/>
            </w:tcBorders>
            <w:shd w:val="clear" w:color="auto" w:fill="auto"/>
            <w:noWrap/>
            <w:vAlign w:val="center"/>
            <w:hideMark/>
          </w:tcPr>
          <w:p w14:paraId="7F58C692" w14:textId="77777777" w:rsidR="00EC4B36" w:rsidRPr="00AC57D5" w:rsidRDefault="00EC4B36" w:rsidP="006B5A62">
            <w:pPr>
              <w:spacing w:before="20" w:after="20" w:line="240" w:lineRule="auto"/>
              <w:jc w:val="center"/>
              <w:rPr>
                <w:rFonts w:ascii="Arial Narrow" w:eastAsia="Times New Roman" w:hAnsi="Arial Narrow"/>
                <w:color w:val="000000"/>
                <w:sz w:val="20"/>
                <w:szCs w:val="20"/>
                <w:lang w:val="es-ES" w:eastAsia="es-ES"/>
              </w:rPr>
            </w:pPr>
            <w:r w:rsidRPr="00AC57D5">
              <w:rPr>
                <w:rFonts w:ascii="Arial Narrow" w:eastAsia="Times New Roman" w:hAnsi="Arial Narrow"/>
                <w:color w:val="000000"/>
                <w:sz w:val="20"/>
                <w:szCs w:val="20"/>
                <w:lang w:val="es-ES" w:eastAsia="es-ES"/>
              </w:rPr>
              <w:t>C1</w:t>
            </w:r>
          </w:p>
        </w:tc>
      </w:tr>
      <w:tr w:rsidR="00EC4B36" w:rsidRPr="00AC57D5" w14:paraId="2B93B38C" w14:textId="77777777" w:rsidTr="006B5A62">
        <w:trPr>
          <w:jc w:val="center"/>
        </w:trPr>
        <w:tc>
          <w:tcPr>
            <w:tcW w:w="5670" w:type="dxa"/>
            <w:tcBorders>
              <w:top w:val="nil"/>
              <w:left w:val="single" w:sz="4" w:space="0" w:color="auto"/>
              <w:bottom w:val="single" w:sz="4" w:space="0" w:color="auto"/>
              <w:right w:val="single" w:sz="4" w:space="0" w:color="auto"/>
            </w:tcBorders>
            <w:shd w:val="clear" w:color="auto" w:fill="auto"/>
            <w:noWrap/>
            <w:vAlign w:val="center"/>
            <w:hideMark/>
          </w:tcPr>
          <w:p w14:paraId="660643E3" w14:textId="77777777" w:rsidR="00EC4B36" w:rsidRPr="00AC57D5" w:rsidRDefault="00EC4B36" w:rsidP="006B5A62">
            <w:pPr>
              <w:spacing w:before="20" w:after="20" w:line="240" w:lineRule="auto"/>
              <w:jc w:val="left"/>
              <w:rPr>
                <w:rFonts w:ascii="Arial Narrow" w:eastAsia="Times New Roman" w:hAnsi="Arial Narrow"/>
                <w:color w:val="000000"/>
                <w:sz w:val="20"/>
                <w:szCs w:val="20"/>
                <w:lang w:val="es-ES" w:eastAsia="es-ES"/>
              </w:rPr>
            </w:pPr>
            <w:r w:rsidRPr="00AC57D5">
              <w:rPr>
                <w:rFonts w:ascii="Arial Narrow" w:eastAsia="Times New Roman" w:hAnsi="Arial Narrow"/>
                <w:color w:val="000000"/>
                <w:sz w:val="20"/>
                <w:szCs w:val="20"/>
                <w:lang w:val="es-ES" w:eastAsia="es-ES"/>
              </w:rPr>
              <w:t>MEDIDORES DE FACTURACION</w:t>
            </w:r>
          </w:p>
        </w:tc>
        <w:tc>
          <w:tcPr>
            <w:tcW w:w="1701" w:type="dxa"/>
            <w:tcBorders>
              <w:top w:val="nil"/>
              <w:left w:val="nil"/>
              <w:bottom w:val="single" w:sz="4" w:space="0" w:color="auto"/>
              <w:right w:val="single" w:sz="4" w:space="0" w:color="auto"/>
            </w:tcBorders>
            <w:shd w:val="clear" w:color="auto" w:fill="auto"/>
            <w:noWrap/>
            <w:vAlign w:val="center"/>
            <w:hideMark/>
          </w:tcPr>
          <w:p w14:paraId="196750CE" w14:textId="77777777" w:rsidR="00EC4B36" w:rsidRPr="00AC57D5" w:rsidRDefault="00EC4B36" w:rsidP="006B5A62">
            <w:pPr>
              <w:spacing w:before="20" w:after="20" w:line="240" w:lineRule="auto"/>
              <w:jc w:val="center"/>
              <w:rPr>
                <w:rFonts w:ascii="Arial Narrow" w:eastAsia="Times New Roman" w:hAnsi="Arial Narrow"/>
                <w:color w:val="000000"/>
                <w:sz w:val="20"/>
                <w:szCs w:val="20"/>
                <w:lang w:val="es-ES" w:eastAsia="es-ES"/>
              </w:rPr>
            </w:pPr>
            <w:r w:rsidRPr="00AC57D5">
              <w:rPr>
                <w:rFonts w:ascii="Arial Narrow" w:eastAsia="Times New Roman" w:hAnsi="Arial Narrow"/>
                <w:color w:val="000000"/>
                <w:sz w:val="20"/>
                <w:szCs w:val="20"/>
                <w:lang w:val="es-ES" w:eastAsia="es-ES"/>
              </w:rPr>
              <w:t>E3</w:t>
            </w:r>
          </w:p>
        </w:tc>
      </w:tr>
      <w:tr w:rsidR="00EC4B36" w:rsidRPr="00AC57D5" w14:paraId="055DF5CE" w14:textId="77777777" w:rsidTr="006B5A62">
        <w:trPr>
          <w:jc w:val="center"/>
        </w:trPr>
        <w:tc>
          <w:tcPr>
            <w:tcW w:w="5670" w:type="dxa"/>
            <w:tcBorders>
              <w:top w:val="nil"/>
              <w:left w:val="single" w:sz="4" w:space="0" w:color="auto"/>
              <w:bottom w:val="single" w:sz="4" w:space="0" w:color="auto"/>
              <w:right w:val="single" w:sz="4" w:space="0" w:color="auto"/>
            </w:tcBorders>
            <w:shd w:val="clear" w:color="auto" w:fill="auto"/>
            <w:noWrap/>
            <w:vAlign w:val="center"/>
            <w:hideMark/>
          </w:tcPr>
          <w:p w14:paraId="5C5BCAFD" w14:textId="77777777" w:rsidR="00EC4B36" w:rsidRPr="00AC57D5" w:rsidRDefault="00EC4B36" w:rsidP="006B5A62">
            <w:pPr>
              <w:spacing w:before="20" w:after="20" w:line="240" w:lineRule="auto"/>
              <w:jc w:val="left"/>
              <w:rPr>
                <w:rFonts w:ascii="Arial Narrow" w:eastAsia="Times New Roman" w:hAnsi="Arial Narrow"/>
                <w:color w:val="000000"/>
                <w:sz w:val="20"/>
                <w:szCs w:val="20"/>
                <w:lang w:val="es-ES" w:eastAsia="es-ES"/>
              </w:rPr>
            </w:pPr>
            <w:r w:rsidRPr="00AC57D5">
              <w:rPr>
                <w:rFonts w:ascii="Arial Narrow" w:eastAsia="Times New Roman" w:hAnsi="Arial Narrow"/>
                <w:color w:val="000000"/>
                <w:sz w:val="20"/>
                <w:szCs w:val="20"/>
                <w:lang w:val="es-ES" w:eastAsia="es-ES"/>
              </w:rPr>
              <w:t>MUFAS SUBESTACION</w:t>
            </w:r>
          </w:p>
        </w:tc>
        <w:tc>
          <w:tcPr>
            <w:tcW w:w="1701" w:type="dxa"/>
            <w:tcBorders>
              <w:top w:val="nil"/>
              <w:left w:val="nil"/>
              <w:bottom w:val="single" w:sz="4" w:space="0" w:color="auto"/>
              <w:right w:val="single" w:sz="4" w:space="0" w:color="auto"/>
            </w:tcBorders>
            <w:shd w:val="clear" w:color="auto" w:fill="auto"/>
            <w:noWrap/>
            <w:vAlign w:val="center"/>
            <w:hideMark/>
          </w:tcPr>
          <w:p w14:paraId="4887308A" w14:textId="77777777" w:rsidR="00EC4B36" w:rsidRPr="00AC57D5" w:rsidRDefault="00EC4B36" w:rsidP="006B5A62">
            <w:pPr>
              <w:spacing w:before="20" w:after="20" w:line="240" w:lineRule="auto"/>
              <w:jc w:val="center"/>
              <w:rPr>
                <w:rFonts w:ascii="Arial Narrow" w:eastAsia="Times New Roman" w:hAnsi="Arial Narrow"/>
                <w:color w:val="000000"/>
                <w:sz w:val="20"/>
                <w:szCs w:val="20"/>
                <w:lang w:val="es-ES" w:eastAsia="es-ES"/>
              </w:rPr>
            </w:pPr>
            <w:r w:rsidRPr="00AC57D5">
              <w:rPr>
                <w:rFonts w:ascii="Arial Narrow" w:eastAsia="Times New Roman" w:hAnsi="Arial Narrow"/>
                <w:color w:val="000000"/>
                <w:sz w:val="20"/>
                <w:szCs w:val="20"/>
                <w:lang w:val="es-ES" w:eastAsia="es-ES"/>
              </w:rPr>
              <w:t>E1</w:t>
            </w:r>
          </w:p>
        </w:tc>
      </w:tr>
      <w:tr w:rsidR="00EC4B36" w:rsidRPr="00AC57D5" w14:paraId="09538597" w14:textId="77777777" w:rsidTr="006B5A62">
        <w:trPr>
          <w:jc w:val="center"/>
        </w:trPr>
        <w:tc>
          <w:tcPr>
            <w:tcW w:w="5670" w:type="dxa"/>
            <w:tcBorders>
              <w:top w:val="nil"/>
              <w:left w:val="single" w:sz="4" w:space="0" w:color="auto"/>
              <w:bottom w:val="single" w:sz="4" w:space="0" w:color="auto"/>
              <w:right w:val="single" w:sz="4" w:space="0" w:color="auto"/>
            </w:tcBorders>
            <w:shd w:val="clear" w:color="auto" w:fill="auto"/>
            <w:noWrap/>
            <w:vAlign w:val="center"/>
            <w:hideMark/>
          </w:tcPr>
          <w:p w14:paraId="00AB80E2" w14:textId="77777777" w:rsidR="00EC4B36" w:rsidRPr="00AC57D5" w:rsidRDefault="00EC4B36" w:rsidP="006B5A62">
            <w:pPr>
              <w:spacing w:before="20" w:after="20" w:line="240" w:lineRule="auto"/>
              <w:jc w:val="left"/>
              <w:rPr>
                <w:rFonts w:ascii="Arial Narrow" w:eastAsia="Times New Roman" w:hAnsi="Arial Narrow"/>
                <w:color w:val="000000"/>
                <w:sz w:val="20"/>
                <w:szCs w:val="20"/>
                <w:lang w:val="es-ES" w:eastAsia="es-ES"/>
              </w:rPr>
            </w:pPr>
            <w:r w:rsidRPr="00AC57D5">
              <w:rPr>
                <w:rFonts w:ascii="Arial Narrow" w:eastAsia="Times New Roman" w:hAnsi="Arial Narrow"/>
                <w:color w:val="000000"/>
                <w:sz w:val="20"/>
                <w:szCs w:val="20"/>
                <w:lang w:val="es-ES" w:eastAsia="es-ES"/>
              </w:rPr>
              <w:t>PARARRAYOS</w:t>
            </w:r>
          </w:p>
        </w:tc>
        <w:tc>
          <w:tcPr>
            <w:tcW w:w="1701" w:type="dxa"/>
            <w:tcBorders>
              <w:top w:val="nil"/>
              <w:left w:val="nil"/>
              <w:bottom w:val="single" w:sz="4" w:space="0" w:color="auto"/>
              <w:right w:val="single" w:sz="4" w:space="0" w:color="auto"/>
            </w:tcBorders>
            <w:shd w:val="clear" w:color="auto" w:fill="auto"/>
            <w:noWrap/>
            <w:vAlign w:val="center"/>
            <w:hideMark/>
          </w:tcPr>
          <w:p w14:paraId="4E7C158C" w14:textId="77777777" w:rsidR="00EC4B36" w:rsidRPr="00AC57D5" w:rsidRDefault="00EC4B36" w:rsidP="006B5A62">
            <w:pPr>
              <w:spacing w:before="20" w:after="20" w:line="240" w:lineRule="auto"/>
              <w:jc w:val="center"/>
              <w:rPr>
                <w:rFonts w:ascii="Arial Narrow" w:eastAsia="Times New Roman" w:hAnsi="Arial Narrow"/>
                <w:color w:val="000000"/>
                <w:sz w:val="20"/>
                <w:szCs w:val="20"/>
                <w:lang w:val="es-ES" w:eastAsia="es-ES"/>
              </w:rPr>
            </w:pPr>
            <w:r w:rsidRPr="00AC57D5">
              <w:rPr>
                <w:rFonts w:ascii="Arial Narrow" w:eastAsia="Times New Roman" w:hAnsi="Arial Narrow"/>
                <w:color w:val="000000"/>
                <w:sz w:val="20"/>
                <w:szCs w:val="20"/>
                <w:lang w:val="es-ES" w:eastAsia="es-ES"/>
              </w:rPr>
              <w:t>E1</w:t>
            </w:r>
          </w:p>
        </w:tc>
      </w:tr>
      <w:tr w:rsidR="00EC4B36" w:rsidRPr="00AC57D5" w14:paraId="4293145B" w14:textId="77777777" w:rsidTr="006B5A62">
        <w:trPr>
          <w:jc w:val="center"/>
        </w:trPr>
        <w:tc>
          <w:tcPr>
            <w:tcW w:w="5670" w:type="dxa"/>
            <w:tcBorders>
              <w:top w:val="nil"/>
              <w:left w:val="single" w:sz="4" w:space="0" w:color="auto"/>
              <w:bottom w:val="single" w:sz="4" w:space="0" w:color="auto"/>
              <w:right w:val="single" w:sz="4" w:space="0" w:color="auto"/>
            </w:tcBorders>
            <w:shd w:val="clear" w:color="auto" w:fill="auto"/>
            <w:noWrap/>
            <w:vAlign w:val="center"/>
            <w:hideMark/>
          </w:tcPr>
          <w:p w14:paraId="643895BF" w14:textId="77777777" w:rsidR="00EC4B36" w:rsidRPr="00AC57D5" w:rsidRDefault="00EC4B36" w:rsidP="006B5A62">
            <w:pPr>
              <w:spacing w:before="20" w:after="20" w:line="240" w:lineRule="auto"/>
              <w:jc w:val="left"/>
              <w:rPr>
                <w:rFonts w:ascii="Arial Narrow" w:eastAsia="Times New Roman" w:hAnsi="Arial Narrow"/>
                <w:color w:val="000000"/>
                <w:sz w:val="20"/>
                <w:szCs w:val="20"/>
                <w:lang w:val="es-ES" w:eastAsia="es-ES"/>
              </w:rPr>
            </w:pPr>
            <w:r w:rsidRPr="00AC57D5">
              <w:rPr>
                <w:rFonts w:ascii="Arial Narrow" w:eastAsia="Times New Roman" w:hAnsi="Arial Narrow"/>
                <w:color w:val="000000"/>
                <w:sz w:val="20"/>
                <w:szCs w:val="20"/>
                <w:lang w:val="es-ES" w:eastAsia="es-ES"/>
              </w:rPr>
              <w:t>REACTORES DE BARRAS</w:t>
            </w:r>
          </w:p>
        </w:tc>
        <w:tc>
          <w:tcPr>
            <w:tcW w:w="1701" w:type="dxa"/>
            <w:tcBorders>
              <w:top w:val="nil"/>
              <w:left w:val="nil"/>
              <w:bottom w:val="single" w:sz="4" w:space="0" w:color="auto"/>
              <w:right w:val="single" w:sz="4" w:space="0" w:color="auto"/>
            </w:tcBorders>
            <w:shd w:val="clear" w:color="auto" w:fill="auto"/>
            <w:noWrap/>
            <w:vAlign w:val="center"/>
            <w:hideMark/>
          </w:tcPr>
          <w:p w14:paraId="69D59A73" w14:textId="77777777" w:rsidR="00EC4B36" w:rsidRPr="00AC57D5" w:rsidRDefault="00EC4B36" w:rsidP="006B5A62">
            <w:pPr>
              <w:spacing w:before="20" w:after="20" w:line="240" w:lineRule="auto"/>
              <w:jc w:val="center"/>
              <w:rPr>
                <w:rFonts w:ascii="Arial Narrow" w:eastAsia="Times New Roman" w:hAnsi="Arial Narrow"/>
                <w:color w:val="000000"/>
                <w:sz w:val="20"/>
                <w:szCs w:val="20"/>
                <w:lang w:val="es-ES" w:eastAsia="es-ES"/>
              </w:rPr>
            </w:pPr>
            <w:r w:rsidRPr="00AC57D5">
              <w:rPr>
                <w:rFonts w:ascii="Arial Narrow" w:eastAsia="Times New Roman" w:hAnsi="Arial Narrow"/>
                <w:color w:val="000000"/>
                <w:sz w:val="20"/>
                <w:szCs w:val="20"/>
                <w:lang w:val="es-ES" w:eastAsia="es-ES"/>
              </w:rPr>
              <w:t>E1</w:t>
            </w:r>
          </w:p>
        </w:tc>
      </w:tr>
      <w:tr w:rsidR="00EC4B36" w:rsidRPr="00AC57D5" w14:paraId="60E71428" w14:textId="77777777" w:rsidTr="006B5A62">
        <w:trPr>
          <w:jc w:val="center"/>
        </w:trPr>
        <w:tc>
          <w:tcPr>
            <w:tcW w:w="5670" w:type="dxa"/>
            <w:tcBorders>
              <w:top w:val="nil"/>
              <w:left w:val="single" w:sz="4" w:space="0" w:color="auto"/>
              <w:bottom w:val="single" w:sz="4" w:space="0" w:color="auto"/>
              <w:right w:val="single" w:sz="4" w:space="0" w:color="auto"/>
            </w:tcBorders>
            <w:shd w:val="clear" w:color="auto" w:fill="auto"/>
            <w:noWrap/>
            <w:vAlign w:val="center"/>
            <w:hideMark/>
          </w:tcPr>
          <w:p w14:paraId="1F80B416" w14:textId="77777777" w:rsidR="00EC4B36" w:rsidRPr="00AC57D5" w:rsidRDefault="00EC4B36" w:rsidP="006B5A62">
            <w:pPr>
              <w:spacing w:before="20" w:after="20" w:line="240" w:lineRule="auto"/>
              <w:jc w:val="left"/>
              <w:rPr>
                <w:rFonts w:ascii="Arial Narrow" w:eastAsia="Times New Roman" w:hAnsi="Arial Narrow"/>
                <w:color w:val="000000"/>
                <w:sz w:val="20"/>
                <w:szCs w:val="20"/>
                <w:lang w:val="es-ES" w:eastAsia="es-ES"/>
              </w:rPr>
            </w:pPr>
            <w:r w:rsidRPr="00AC57D5">
              <w:rPr>
                <w:rFonts w:ascii="Arial Narrow" w:eastAsia="Times New Roman" w:hAnsi="Arial Narrow"/>
                <w:color w:val="000000"/>
                <w:sz w:val="20"/>
                <w:szCs w:val="20"/>
                <w:lang w:val="es-ES" w:eastAsia="es-ES"/>
              </w:rPr>
              <w:t>REACTORES LINEA</w:t>
            </w:r>
          </w:p>
        </w:tc>
        <w:tc>
          <w:tcPr>
            <w:tcW w:w="1701" w:type="dxa"/>
            <w:tcBorders>
              <w:top w:val="nil"/>
              <w:left w:val="nil"/>
              <w:bottom w:val="single" w:sz="4" w:space="0" w:color="auto"/>
              <w:right w:val="single" w:sz="4" w:space="0" w:color="auto"/>
            </w:tcBorders>
            <w:shd w:val="clear" w:color="auto" w:fill="auto"/>
            <w:noWrap/>
            <w:vAlign w:val="center"/>
            <w:hideMark/>
          </w:tcPr>
          <w:p w14:paraId="27897F58" w14:textId="77777777" w:rsidR="00EC4B36" w:rsidRPr="00AC57D5" w:rsidRDefault="00EC4B36" w:rsidP="006B5A62">
            <w:pPr>
              <w:spacing w:before="20" w:after="20" w:line="240" w:lineRule="auto"/>
              <w:jc w:val="center"/>
              <w:rPr>
                <w:rFonts w:ascii="Arial Narrow" w:eastAsia="Times New Roman" w:hAnsi="Arial Narrow"/>
                <w:color w:val="000000"/>
                <w:sz w:val="20"/>
                <w:szCs w:val="20"/>
                <w:lang w:val="es-ES" w:eastAsia="es-ES"/>
              </w:rPr>
            </w:pPr>
            <w:r w:rsidRPr="00AC57D5">
              <w:rPr>
                <w:rFonts w:ascii="Arial Narrow" w:eastAsia="Times New Roman" w:hAnsi="Arial Narrow"/>
                <w:color w:val="000000"/>
                <w:sz w:val="20"/>
                <w:szCs w:val="20"/>
                <w:lang w:val="es-ES" w:eastAsia="es-ES"/>
              </w:rPr>
              <w:t>E1</w:t>
            </w:r>
          </w:p>
        </w:tc>
      </w:tr>
      <w:tr w:rsidR="00EC4B36" w:rsidRPr="00AC57D5" w14:paraId="3B3CC0EF" w14:textId="77777777" w:rsidTr="006B5A62">
        <w:trPr>
          <w:jc w:val="center"/>
        </w:trPr>
        <w:tc>
          <w:tcPr>
            <w:tcW w:w="5670" w:type="dxa"/>
            <w:tcBorders>
              <w:top w:val="nil"/>
              <w:left w:val="single" w:sz="4" w:space="0" w:color="auto"/>
              <w:bottom w:val="single" w:sz="4" w:space="0" w:color="auto"/>
              <w:right w:val="single" w:sz="4" w:space="0" w:color="auto"/>
            </w:tcBorders>
            <w:shd w:val="clear" w:color="auto" w:fill="auto"/>
            <w:noWrap/>
            <w:vAlign w:val="center"/>
            <w:hideMark/>
          </w:tcPr>
          <w:p w14:paraId="1BFD1D6C" w14:textId="77777777" w:rsidR="00EC4B36" w:rsidRPr="00AC57D5" w:rsidRDefault="00EC4B36" w:rsidP="006B5A62">
            <w:pPr>
              <w:spacing w:before="20" w:after="20" w:line="240" w:lineRule="auto"/>
              <w:jc w:val="left"/>
              <w:rPr>
                <w:rFonts w:ascii="Arial Narrow" w:eastAsia="Times New Roman" w:hAnsi="Arial Narrow"/>
                <w:color w:val="000000"/>
                <w:sz w:val="20"/>
                <w:szCs w:val="20"/>
                <w:lang w:val="es-ES" w:eastAsia="es-ES"/>
              </w:rPr>
            </w:pPr>
            <w:r w:rsidRPr="00AC57D5">
              <w:rPr>
                <w:rFonts w:ascii="Arial Narrow" w:eastAsia="Times New Roman" w:hAnsi="Arial Narrow"/>
                <w:color w:val="000000"/>
                <w:sz w:val="20"/>
                <w:szCs w:val="20"/>
                <w:lang w:val="es-ES" w:eastAsia="es-ES"/>
              </w:rPr>
              <w:t>SALA DE CONTROL Y PROTECCIONES</w:t>
            </w:r>
          </w:p>
        </w:tc>
        <w:tc>
          <w:tcPr>
            <w:tcW w:w="1701" w:type="dxa"/>
            <w:tcBorders>
              <w:top w:val="nil"/>
              <w:left w:val="nil"/>
              <w:bottom w:val="single" w:sz="4" w:space="0" w:color="auto"/>
              <w:right w:val="single" w:sz="4" w:space="0" w:color="auto"/>
            </w:tcBorders>
            <w:shd w:val="clear" w:color="auto" w:fill="auto"/>
            <w:noWrap/>
            <w:vAlign w:val="center"/>
            <w:hideMark/>
          </w:tcPr>
          <w:p w14:paraId="585E785F" w14:textId="77777777" w:rsidR="00EC4B36" w:rsidRPr="00AC57D5" w:rsidRDefault="00EC4B36" w:rsidP="006B5A62">
            <w:pPr>
              <w:spacing w:before="20" w:after="20" w:line="240" w:lineRule="auto"/>
              <w:jc w:val="center"/>
              <w:rPr>
                <w:rFonts w:ascii="Arial Narrow" w:eastAsia="Times New Roman" w:hAnsi="Arial Narrow"/>
                <w:color w:val="000000"/>
                <w:sz w:val="20"/>
                <w:szCs w:val="20"/>
                <w:lang w:val="es-ES" w:eastAsia="es-ES"/>
              </w:rPr>
            </w:pPr>
            <w:r w:rsidRPr="00AC57D5">
              <w:rPr>
                <w:rFonts w:ascii="Arial Narrow" w:eastAsia="Times New Roman" w:hAnsi="Arial Narrow"/>
                <w:color w:val="000000"/>
                <w:sz w:val="20"/>
                <w:szCs w:val="20"/>
                <w:lang w:val="es-ES" w:eastAsia="es-ES"/>
              </w:rPr>
              <w:t>E3-C1</w:t>
            </w:r>
          </w:p>
        </w:tc>
      </w:tr>
      <w:tr w:rsidR="00EC4B36" w:rsidRPr="00AC57D5" w14:paraId="04AEA5A6" w14:textId="77777777" w:rsidTr="006B5A62">
        <w:trPr>
          <w:jc w:val="center"/>
        </w:trPr>
        <w:tc>
          <w:tcPr>
            <w:tcW w:w="5670" w:type="dxa"/>
            <w:tcBorders>
              <w:top w:val="nil"/>
              <w:left w:val="single" w:sz="4" w:space="0" w:color="auto"/>
              <w:bottom w:val="single" w:sz="4" w:space="0" w:color="auto"/>
              <w:right w:val="single" w:sz="4" w:space="0" w:color="auto"/>
            </w:tcBorders>
            <w:shd w:val="clear" w:color="auto" w:fill="auto"/>
            <w:noWrap/>
            <w:vAlign w:val="center"/>
            <w:hideMark/>
          </w:tcPr>
          <w:p w14:paraId="24C2644C" w14:textId="77777777" w:rsidR="00EC4B36" w:rsidRPr="00AC57D5" w:rsidRDefault="00EC4B36" w:rsidP="006B5A62">
            <w:pPr>
              <w:spacing w:before="20" w:after="20" w:line="240" w:lineRule="auto"/>
              <w:jc w:val="left"/>
              <w:rPr>
                <w:rFonts w:ascii="Arial Narrow" w:eastAsia="Times New Roman" w:hAnsi="Arial Narrow"/>
                <w:color w:val="000000"/>
                <w:sz w:val="20"/>
                <w:szCs w:val="20"/>
                <w:lang w:val="es-ES" w:eastAsia="es-ES"/>
              </w:rPr>
            </w:pPr>
            <w:r w:rsidRPr="00AC57D5">
              <w:rPr>
                <w:rFonts w:ascii="Arial Narrow" w:eastAsia="Times New Roman" w:hAnsi="Arial Narrow"/>
                <w:color w:val="000000"/>
                <w:sz w:val="20"/>
                <w:szCs w:val="20"/>
                <w:lang w:val="es-ES" w:eastAsia="es-ES"/>
              </w:rPr>
              <w:t>SISTEMAS CONTROL PANOS</w:t>
            </w:r>
          </w:p>
        </w:tc>
        <w:tc>
          <w:tcPr>
            <w:tcW w:w="1701" w:type="dxa"/>
            <w:tcBorders>
              <w:top w:val="nil"/>
              <w:left w:val="nil"/>
              <w:bottom w:val="single" w:sz="4" w:space="0" w:color="auto"/>
              <w:right w:val="single" w:sz="4" w:space="0" w:color="auto"/>
            </w:tcBorders>
            <w:shd w:val="clear" w:color="auto" w:fill="auto"/>
            <w:noWrap/>
            <w:vAlign w:val="center"/>
            <w:hideMark/>
          </w:tcPr>
          <w:p w14:paraId="508E786C" w14:textId="77777777" w:rsidR="00EC4B36" w:rsidRPr="00AC57D5" w:rsidRDefault="00EC4B36" w:rsidP="006B5A62">
            <w:pPr>
              <w:spacing w:before="20" w:after="20" w:line="240" w:lineRule="auto"/>
              <w:jc w:val="center"/>
              <w:rPr>
                <w:rFonts w:ascii="Arial Narrow" w:eastAsia="Times New Roman" w:hAnsi="Arial Narrow"/>
                <w:color w:val="000000"/>
                <w:sz w:val="20"/>
                <w:szCs w:val="20"/>
                <w:lang w:val="es-ES" w:eastAsia="es-ES"/>
              </w:rPr>
            </w:pPr>
            <w:r w:rsidRPr="00AC57D5">
              <w:rPr>
                <w:rFonts w:ascii="Arial Narrow" w:eastAsia="Times New Roman" w:hAnsi="Arial Narrow"/>
                <w:color w:val="000000"/>
                <w:sz w:val="20"/>
                <w:szCs w:val="20"/>
                <w:lang w:val="es-ES" w:eastAsia="es-ES"/>
              </w:rPr>
              <w:t>E3</w:t>
            </w:r>
          </w:p>
        </w:tc>
      </w:tr>
      <w:tr w:rsidR="00EC4B36" w:rsidRPr="00AC57D5" w14:paraId="4B455557" w14:textId="77777777" w:rsidTr="006B5A62">
        <w:trPr>
          <w:jc w:val="center"/>
        </w:trPr>
        <w:tc>
          <w:tcPr>
            <w:tcW w:w="5670" w:type="dxa"/>
            <w:tcBorders>
              <w:top w:val="nil"/>
              <w:left w:val="single" w:sz="4" w:space="0" w:color="auto"/>
              <w:bottom w:val="single" w:sz="4" w:space="0" w:color="auto"/>
              <w:right w:val="single" w:sz="4" w:space="0" w:color="auto"/>
            </w:tcBorders>
            <w:shd w:val="clear" w:color="auto" w:fill="auto"/>
            <w:noWrap/>
            <w:vAlign w:val="center"/>
            <w:hideMark/>
          </w:tcPr>
          <w:p w14:paraId="3B157FB0" w14:textId="77777777" w:rsidR="00EC4B36" w:rsidRPr="00AC57D5" w:rsidRDefault="00EC4B36" w:rsidP="006B5A62">
            <w:pPr>
              <w:spacing w:before="20" w:after="20" w:line="240" w:lineRule="auto"/>
              <w:jc w:val="left"/>
              <w:rPr>
                <w:rFonts w:ascii="Arial Narrow" w:eastAsia="Times New Roman" w:hAnsi="Arial Narrow"/>
                <w:color w:val="000000"/>
                <w:sz w:val="20"/>
                <w:szCs w:val="20"/>
                <w:lang w:val="es-ES" w:eastAsia="es-ES"/>
              </w:rPr>
            </w:pPr>
            <w:r w:rsidRPr="00AC57D5">
              <w:rPr>
                <w:rFonts w:ascii="Arial Narrow" w:eastAsia="Times New Roman" w:hAnsi="Arial Narrow"/>
                <w:color w:val="000000"/>
                <w:sz w:val="20"/>
                <w:szCs w:val="20"/>
                <w:lang w:val="es-ES" w:eastAsia="es-ES"/>
              </w:rPr>
              <w:t>SISTEMAS FACTS</w:t>
            </w:r>
          </w:p>
        </w:tc>
        <w:tc>
          <w:tcPr>
            <w:tcW w:w="1701" w:type="dxa"/>
            <w:tcBorders>
              <w:top w:val="nil"/>
              <w:left w:val="nil"/>
              <w:bottom w:val="single" w:sz="4" w:space="0" w:color="auto"/>
              <w:right w:val="single" w:sz="4" w:space="0" w:color="auto"/>
            </w:tcBorders>
            <w:shd w:val="clear" w:color="auto" w:fill="auto"/>
            <w:noWrap/>
            <w:vAlign w:val="center"/>
            <w:hideMark/>
          </w:tcPr>
          <w:p w14:paraId="42D0471F" w14:textId="77777777" w:rsidR="00EC4B36" w:rsidRPr="00AC57D5" w:rsidRDefault="00EC4B36" w:rsidP="006B5A62">
            <w:pPr>
              <w:spacing w:before="20" w:after="20" w:line="240" w:lineRule="auto"/>
              <w:jc w:val="center"/>
              <w:rPr>
                <w:rFonts w:ascii="Arial Narrow" w:eastAsia="Times New Roman" w:hAnsi="Arial Narrow"/>
                <w:color w:val="000000"/>
                <w:sz w:val="20"/>
                <w:szCs w:val="20"/>
                <w:lang w:val="es-ES" w:eastAsia="es-ES"/>
              </w:rPr>
            </w:pPr>
            <w:r w:rsidRPr="00AC57D5">
              <w:rPr>
                <w:rFonts w:ascii="Arial Narrow" w:eastAsia="Times New Roman" w:hAnsi="Arial Narrow"/>
                <w:color w:val="000000"/>
                <w:sz w:val="20"/>
                <w:szCs w:val="20"/>
                <w:lang w:val="es-ES" w:eastAsia="es-ES"/>
              </w:rPr>
              <w:t>E1</w:t>
            </w:r>
          </w:p>
        </w:tc>
      </w:tr>
      <w:tr w:rsidR="00EC4B36" w:rsidRPr="00AC57D5" w14:paraId="2A90FC86" w14:textId="77777777" w:rsidTr="006B5A62">
        <w:trPr>
          <w:jc w:val="center"/>
        </w:trPr>
        <w:tc>
          <w:tcPr>
            <w:tcW w:w="5670" w:type="dxa"/>
            <w:tcBorders>
              <w:top w:val="nil"/>
              <w:left w:val="single" w:sz="4" w:space="0" w:color="auto"/>
              <w:bottom w:val="single" w:sz="4" w:space="0" w:color="auto"/>
              <w:right w:val="single" w:sz="4" w:space="0" w:color="auto"/>
            </w:tcBorders>
            <w:shd w:val="clear" w:color="auto" w:fill="auto"/>
            <w:noWrap/>
            <w:vAlign w:val="center"/>
            <w:hideMark/>
          </w:tcPr>
          <w:p w14:paraId="3DE7C5B8" w14:textId="77777777" w:rsidR="00EC4B36" w:rsidRPr="00AC57D5" w:rsidRDefault="00EC4B36" w:rsidP="006B5A62">
            <w:pPr>
              <w:spacing w:before="20" w:after="20" w:line="240" w:lineRule="auto"/>
              <w:jc w:val="left"/>
              <w:rPr>
                <w:rFonts w:ascii="Arial Narrow" w:eastAsia="Times New Roman" w:hAnsi="Arial Narrow"/>
                <w:color w:val="000000"/>
                <w:sz w:val="20"/>
                <w:szCs w:val="20"/>
                <w:lang w:val="es-ES" w:eastAsia="es-ES"/>
              </w:rPr>
            </w:pPr>
            <w:r w:rsidRPr="00AC57D5">
              <w:rPr>
                <w:rFonts w:ascii="Arial Narrow" w:eastAsia="Times New Roman" w:hAnsi="Arial Narrow"/>
                <w:color w:val="000000"/>
                <w:sz w:val="20"/>
                <w:szCs w:val="20"/>
                <w:lang w:val="es-ES" w:eastAsia="es-ES"/>
              </w:rPr>
              <w:t>TRAMPAS DE ONDA</w:t>
            </w:r>
          </w:p>
        </w:tc>
        <w:tc>
          <w:tcPr>
            <w:tcW w:w="1701" w:type="dxa"/>
            <w:tcBorders>
              <w:top w:val="nil"/>
              <w:left w:val="nil"/>
              <w:bottom w:val="single" w:sz="4" w:space="0" w:color="auto"/>
              <w:right w:val="single" w:sz="4" w:space="0" w:color="auto"/>
            </w:tcBorders>
            <w:shd w:val="clear" w:color="auto" w:fill="auto"/>
            <w:noWrap/>
            <w:vAlign w:val="center"/>
            <w:hideMark/>
          </w:tcPr>
          <w:p w14:paraId="7F98F8E2" w14:textId="77777777" w:rsidR="00EC4B36" w:rsidRPr="00AC57D5" w:rsidRDefault="00EC4B36" w:rsidP="006B5A62">
            <w:pPr>
              <w:spacing w:before="20" w:after="20" w:line="240" w:lineRule="auto"/>
              <w:jc w:val="center"/>
              <w:rPr>
                <w:rFonts w:ascii="Arial Narrow" w:eastAsia="Times New Roman" w:hAnsi="Arial Narrow"/>
                <w:color w:val="000000"/>
                <w:sz w:val="20"/>
                <w:szCs w:val="20"/>
                <w:lang w:val="es-ES" w:eastAsia="es-ES"/>
              </w:rPr>
            </w:pPr>
            <w:r w:rsidRPr="00AC57D5">
              <w:rPr>
                <w:rFonts w:ascii="Arial Narrow" w:eastAsia="Times New Roman" w:hAnsi="Arial Narrow"/>
                <w:color w:val="000000"/>
                <w:sz w:val="20"/>
                <w:szCs w:val="20"/>
                <w:lang w:val="es-ES" w:eastAsia="es-ES"/>
              </w:rPr>
              <w:t>E1</w:t>
            </w:r>
          </w:p>
        </w:tc>
      </w:tr>
      <w:tr w:rsidR="00EC4B36" w:rsidRPr="00AC57D5" w14:paraId="2776FBF4" w14:textId="77777777" w:rsidTr="006B5A62">
        <w:trPr>
          <w:jc w:val="center"/>
        </w:trPr>
        <w:tc>
          <w:tcPr>
            <w:tcW w:w="5670" w:type="dxa"/>
            <w:tcBorders>
              <w:top w:val="nil"/>
              <w:left w:val="single" w:sz="4" w:space="0" w:color="auto"/>
              <w:bottom w:val="single" w:sz="4" w:space="0" w:color="auto"/>
              <w:right w:val="single" w:sz="4" w:space="0" w:color="auto"/>
            </w:tcBorders>
            <w:shd w:val="clear" w:color="auto" w:fill="auto"/>
            <w:noWrap/>
            <w:vAlign w:val="center"/>
            <w:hideMark/>
          </w:tcPr>
          <w:p w14:paraId="17347547" w14:textId="77777777" w:rsidR="00EC4B36" w:rsidRPr="00AC57D5" w:rsidRDefault="00EC4B36" w:rsidP="006B5A62">
            <w:pPr>
              <w:spacing w:before="20" w:after="20" w:line="240" w:lineRule="auto"/>
              <w:jc w:val="left"/>
              <w:rPr>
                <w:rFonts w:ascii="Arial Narrow" w:eastAsia="Times New Roman" w:hAnsi="Arial Narrow"/>
                <w:color w:val="000000"/>
                <w:sz w:val="20"/>
                <w:szCs w:val="20"/>
                <w:lang w:val="es-ES" w:eastAsia="es-ES"/>
              </w:rPr>
            </w:pPr>
            <w:r w:rsidRPr="00AC57D5">
              <w:rPr>
                <w:rFonts w:ascii="Arial Narrow" w:eastAsia="Times New Roman" w:hAnsi="Arial Narrow"/>
                <w:color w:val="000000"/>
                <w:sz w:val="20"/>
                <w:szCs w:val="20"/>
                <w:lang w:val="es-ES" w:eastAsia="es-ES"/>
              </w:rPr>
              <w:t>TRANSFORMADORES DE CORRIENTE</w:t>
            </w:r>
          </w:p>
        </w:tc>
        <w:tc>
          <w:tcPr>
            <w:tcW w:w="1701" w:type="dxa"/>
            <w:tcBorders>
              <w:top w:val="nil"/>
              <w:left w:val="nil"/>
              <w:bottom w:val="single" w:sz="4" w:space="0" w:color="auto"/>
              <w:right w:val="single" w:sz="4" w:space="0" w:color="auto"/>
            </w:tcBorders>
            <w:shd w:val="clear" w:color="auto" w:fill="auto"/>
            <w:noWrap/>
            <w:vAlign w:val="center"/>
            <w:hideMark/>
          </w:tcPr>
          <w:p w14:paraId="5283DB0A" w14:textId="77777777" w:rsidR="00EC4B36" w:rsidRPr="00AC57D5" w:rsidRDefault="00EC4B36" w:rsidP="006B5A62">
            <w:pPr>
              <w:spacing w:before="20" w:after="20" w:line="240" w:lineRule="auto"/>
              <w:jc w:val="center"/>
              <w:rPr>
                <w:rFonts w:ascii="Arial Narrow" w:eastAsia="Times New Roman" w:hAnsi="Arial Narrow"/>
                <w:color w:val="000000"/>
                <w:sz w:val="20"/>
                <w:szCs w:val="20"/>
                <w:lang w:val="es-ES" w:eastAsia="es-ES"/>
              </w:rPr>
            </w:pPr>
            <w:r w:rsidRPr="00AC57D5">
              <w:rPr>
                <w:rFonts w:ascii="Arial Narrow" w:eastAsia="Times New Roman" w:hAnsi="Arial Narrow"/>
                <w:color w:val="000000"/>
                <w:sz w:val="20"/>
                <w:szCs w:val="20"/>
                <w:lang w:val="es-ES" w:eastAsia="es-ES"/>
              </w:rPr>
              <w:t>E1</w:t>
            </w:r>
          </w:p>
        </w:tc>
      </w:tr>
      <w:tr w:rsidR="00EC4B36" w:rsidRPr="00AC57D5" w14:paraId="225AC2AF" w14:textId="77777777" w:rsidTr="006B5A62">
        <w:trPr>
          <w:jc w:val="center"/>
        </w:trPr>
        <w:tc>
          <w:tcPr>
            <w:tcW w:w="5670" w:type="dxa"/>
            <w:tcBorders>
              <w:top w:val="nil"/>
              <w:left w:val="single" w:sz="4" w:space="0" w:color="auto"/>
              <w:bottom w:val="single" w:sz="4" w:space="0" w:color="auto"/>
              <w:right w:val="single" w:sz="4" w:space="0" w:color="auto"/>
            </w:tcBorders>
            <w:shd w:val="clear" w:color="auto" w:fill="auto"/>
            <w:noWrap/>
            <w:vAlign w:val="center"/>
            <w:hideMark/>
          </w:tcPr>
          <w:p w14:paraId="1AAC9A02" w14:textId="77777777" w:rsidR="00EC4B36" w:rsidRPr="00AC57D5" w:rsidRDefault="00EC4B36" w:rsidP="006B5A62">
            <w:pPr>
              <w:spacing w:before="20" w:after="20" w:line="240" w:lineRule="auto"/>
              <w:jc w:val="left"/>
              <w:rPr>
                <w:rFonts w:ascii="Arial Narrow" w:eastAsia="Times New Roman" w:hAnsi="Arial Narrow"/>
                <w:color w:val="000000"/>
                <w:sz w:val="20"/>
                <w:szCs w:val="20"/>
                <w:lang w:val="es-ES" w:eastAsia="es-ES"/>
              </w:rPr>
            </w:pPr>
            <w:r w:rsidRPr="00AC57D5">
              <w:rPr>
                <w:rFonts w:ascii="Arial Narrow" w:eastAsia="Times New Roman" w:hAnsi="Arial Narrow"/>
                <w:color w:val="000000"/>
                <w:sz w:val="20"/>
                <w:szCs w:val="20"/>
                <w:lang w:val="es-ES" w:eastAsia="es-ES"/>
              </w:rPr>
              <w:t>TRANSFORMADORES DE PODER</w:t>
            </w:r>
          </w:p>
        </w:tc>
        <w:tc>
          <w:tcPr>
            <w:tcW w:w="1701" w:type="dxa"/>
            <w:tcBorders>
              <w:top w:val="nil"/>
              <w:left w:val="nil"/>
              <w:bottom w:val="single" w:sz="4" w:space="0" w:color="auto"/>
              <w:right w:val="single" w:sz="4" w:space="0" w:color="auto"/>
            </w:tcBorders>
            <w:shd w:val="clear" w:color="auto" w:fill="auto"/>
            <w:noWrap/>
            <w:vAlign w:val="center"/>
            <w:hideMark/>
          </w:tcPr>
          <w:p w14:paraId="6A9CF473" w14:textId="77777777" w:rsidR="00EC4B36" w:rsidRPr="00AC57D5" w:rsidRDefault="00EC4B36" w:rsidP="006B5A62">
            <w:pPr>
              <w:spacing w:before="20" w:after="20" w:line="240" w:lineRule="auto"/>
              <w:jc w:val="center"/>
              <w:rPr>
                <w:rFonts w:ascii="Arial Narrow" w:eastAsia="Times New Roman" w:hAnsi="Arial Narrow"/>
                <w:color w:val="000000"/>
                <w:sz w:val="20"/>
                <w:szCs w:val="20"/>
                <w:lang w:val="es-ES" w:eastAsia="es-ES"/>
              </w:rPr>
            </w:pPr>
            <w:r w:rsidRPr="00AC57D5">
              <w:rPr>
                <w:rFonts w:ascii="Arial Narrow" w:eastAsia="Times New Roman" w:hAnsi="Arial Narrow"/>
                <w:color w:val="000000"/>
                <w:sz w:val="20"/>
                <w:szCs w:val="20"/>
                <w:lang w:val="es-ES" w:eastAsia="es-ES"/>
              </w:rPr>
              <w:t>E1</w:t>
            </w:r>
          </w:p>
        </w:tc>
      </w:tr>
      <w:tr w:rsidR="00EC4B36" w:rsidRPr="00AC57D5" w14:paraId="57423438" w14:textId="77777777" w:rsidTr="006B5A62">
        <w:trPr>
          <w:jc w:val="center"/>
        </w:trPr>
        <w:tc>
          <w:tcPr>
            <w:tcW w:w="5670" w:type="dxa"/>
            <w:tcBorders>
              <w:top w:val="nil"/>
              <w:left w:val="single" w:sz="4" w:space="0" w:color="auto"/>
              <w:bottom w:val="single" w:sz="4" w:space="0" w:color="auto"/>
              <w:right w:val="single" w:sz="4" w:space="0" w:color="auto"/>
            </w:tcBorders>
            <w:shd w:val="clear" w:color="auto" w:fill="auto"/>
            <w:noWrap/>
            <w:vAlign w:val="center"/>
            <w:hideMark/>
          </w:tcPr>
          <w:p w14:paraId="0EEB846D" w14:textId="77777777" w:rsidR="00EC4B36" w:rsidRPr="00AC57D5" w:rsidRDefault="00EC4B36" w:rsidP="006B5A62">
            <w:pPr>
              <w:spacing w:before="20" w:after="20" w:line="240" w:lineRule="auto"/>
              <w:jc w:val="left"/>
              <w:rPr>
                <w:rFonts w:ascii="Arial Narrow" w:eastAsia="Times New Roman" w:hAnsi="Arial Narrow"/>
                <w:color w:val="000000"/>
                <w:sz w:val="20"/>
                <w:szCs w:val="20"/>
                <w:lang w:val="es-ES" w:eastAsia="es-ES"/>
              </w:rPr>
            </w:pPr>
            <w:r w:rsidRPr="00AC57D5">
              <w:rPr>
                <w:rFonts w:ascii="Arial Narrow" w:eastAsia="Times New Roman" w:hAnsi="Arial Narrow"/>
                <w:color w:val="000000"/>
                <w:sz w:val="20"/>
                <w:szCs w:val="20"/>
                <w:lang w:val="es-ES" w:eastAsia="es-ES"/>
              </w:rPr>
              <w:t>TRANSFORMADORES DE POTENCIAL</w:t>
            </w:r>
          </w:p>
        </w:tc>
        <w:tc>
          <w:tcPr>
            <w:tcW w:w="1701" w:type="dxa"/>
            <w:tcBorders>
              <w:top w:val="nil"/>
              <w:left w:val="nil"/>
              <w:bottom w:val="single" w:sz="4" w:space="0" w:color="auto"/>
              <w:right w:val="single" w:sz="4" w:space="0" w:color="auto"/>
            </w:tcBorders>
            <w:shd w:val="clear" w:color="auto" w:fill="auto"/>
            <w:noWrap/>
            <w:vAlign w:val="center"/>
            <w:hideMark/>
          </w:tcPr>
          <w:p w14:paraId="7C43FCB2" w14:textId="77777777" w:rsidR="00EC4B36" w:rsidRPr="00AC57D5" w:rsidRDefault="00EC4B36" w:rsidP="006B5A62">
            <w:pPr>
              <w:spacing w:before="20" w:after="20" w:line="240" w:lineRule="auto"/>
              <w:jc w:val="center"/>
              <w:rPr>
                <w:rFonts w:ascii="Arial Narrow" w:eastAsia="Times New Roman" w:hAnsi="Arial Narrow"/>
                <w:color w:val="000000"/>
                <w:sz w:val="20"/>
                <w:szCs w:val="20"/>
                <w:lang w:val="es-ES" w:eastAsia="es-ES"/>
              </w:rPr>
            </w:pPr>
            <w:r w:rsidRPr="00AC57D5">
              <w:rPr>
                <w:rFonts w:ascii="Arial Narrow" w:eastAsia="Times New Roman" w:hAnsi="Arial Narrow"/>
                <w:color w:val="000000"/>
                <w:sz w:val="20"/>
                <w:szCs w:val="20"/>
                <w:lang w:val="es-ES" w:eastAsia="es-ES"/>
              </w:rPr>
              <w:t>E1</w:t>
            </w:r>
          </w:p>
        </w:tc>
      </w:tr>
    </w:tbl>
    <w:p w14:paraId="21DA366A" w14:textId="77777777" w:rsidR="00EC4B36" w:rsidRPr="00AC57D5" w:rsidRDefault="00EC4B36" w:rsidP="00EC4B36">
      <w:pPr>
        <w:spacing w:after="0" w:line="276" w:lineRule="auto"/>
        <w:rPr>
          <w:szCs w:val="22"/>
        </w:rPr>
      </w:pPr>
    </w:p>
    <w:p w14:paraId="4B6653D4" w14:textId="77777777" w:rsidR="00EC4B36" w:rsidRPr="00AC57D5" w:rsidRDefault="00EC4B36" w:rsidP="00EC4B36">
      <w:pPr>
        <w:spacing w:line="276" w:lineRule="auto"/>
        <w:jc w:val="center"/>
        <w:rPr>
          <w:szCs w:val="22"/>
        </w:rPr>
      </w:pPr>
      <w:bookmarkStart w:id="74" w:name="_Toc39793632"/>
      <w:bookmarkStart w:id="75" w:name="_Toc39795238"/>
      <w:bookmarkStart w:id="76" w:name="_Toc39797918"/>
      <w:r w:rsidRPr="00AC57D5">
        <w:rPr>
          <w:b/>
          <w:iCs/>
          <w:szCs w:val="22"/>
        </w:rPr>
        <w:t xml:space="preserve">Tabla </w:t>
      </w:r>
      <w:r w:rsidRPr="00AC57D5">
        <w:rPr>
          <w:b/>
          <w:iCs/>
          <w:szCs w:val="22"/>
        </w:rPr>
        <w:fldChar w:fldCharType="begin"/>
      </w:r>
      <w:r w:rsidRPr="00AC57D5">
        <w:rPr>
          <w:b/>
          <w:iCs/>
          <w:szCs w:val="22"/>
        </w:rPr>
        <w:instrText xml:space="preserve"> SEQ Tabla \* ARABIC </w:instrText>
      </w:r>
      <w:r w:rsidRPr="00AC57D5">
        <w:rPr>
          <w:b/>
          <w:iCs/>
          <w:szCs w:val="22"/>
        </w:rPr>
        <w:fldChar w:fldCharType="separate"/>
      </w:r>
      <w:r w:rsidR="001F3E2E">
        <w:rPr>
          <w:b/>
          <w:iCs/>
          <w:noProof/>
          <w:szCs w:val="22"/>
        </w:rPr>
        <w:t>8</w:t>
      </w:r>
      <w:r w:rsidRPr="00AC57D5">
        <w:rPr>
          <w:szCs w:val="22"/>
          <w:lang w:val="es-ES_tradnl"/>
        </w:rPr>
        <w:fldChar w:fldCharType="end"/>
      </w:r>
      <w:r w:rsidRPr="00AC57D5">
        <w:rPr>
          <w:b/>
          <w:iCs/>
          <w:szCs w:val="22"/>
        </w:rPr>
        <w:t>: Subfamilias tramos de transporte</w:t>
      </w:r>
      <w:bookmarkEnd w:id="74"/>
      <w:bookmarkEnd w:id="75"/>
      <w:bookmarkEnd w:id="76"/>
    </w:p>
    <w:tbl>
      <w:tblPr>
        <w:tblW w:w="-1" w:type="dxa"/>
        <w:jc w:val="center"/>
        <w:tblLayout w:type="fixed"/>
        <w:tblCellMar>
          <w:left w:w="57" w:type="dxa"/>
          <w:right w:w="57" w:type="dxa"/>
        </w:tblCellMar>
        <w:tblLook w:val="04A0" w:firstRow="1" w:lastRow="0" w:firstColumn="1" w:lastColumn="0" w:noHBand="0" w:noVBand="1"/>
      </w:tblPr>
      <w:tblGrid>
        <w:gridCol w:w="5670"/>
        <w:gridCol w:w="1701"/>
      </w:tblGrid>
      <w:tr w:rsidR="00EC4B36" w:rsidRPr="00AC57D5" w14:paraId="4A2E45B3" w14:textId="77777777" w:rsidTr="006B5A62">
        <w:trPr>
          <w:tblHeader/>
          <w:jc w:val="center"/>
        </w:trPr>
        <w:tc>
          <w:tcPr>
            <w:tcW w:w="5670" w:type="dxa"/>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2FAAC542" w14:textId="77777777" w:rsidR="00EC4B36" w:rsidRPr="00AC57D5" w:rsidRDefault="00EC4B36" w:rsidP="006B5A62">
            <w:pPr>
              <w:spacing w:after="0" w:line="240" w:lineRule="auto"/>
              <w:jc w:val="center"/>
              <w:rPr>
                <w:rFonts w:ascii="Arial Narrow" w:eastAsia="Times New Roman" w:hAnsi="Arial Narrow"/>
                <w:b/>
                <w:bCs/>
                <w:color w:val="000000"/>
                <w:sz w:val="20"/>
                <w:szCs w:val="20"/>
                <w:lang w:val="es-ES" w:eastAsia="es-ES"/>
              </w:rPr>
            </w:pPr>
            <w:r w:rsidRPr="00AC57D5">
              <w:rPr>
                <w:rFonts w:ascii="Arial Narrow" w:eastAsia="Times New Roman" w:hAnsi="Arial Narrow"/>
                <w:b/>
                <w:bCs/>
                <w:color w:val="000000"/>
                <w:sz w:val="20"/>
                <w:szCs w:val="20"/>
                <w:lang w:val="es-ES" w:eastAsia="es-ES"/>
              </w:rPr>
              <w:t>FAMILIAS DE ELEMENTOS TRAMOS TRANSPORTE BD</w:t>
            </w:r>
          </w:p>
        </w:tc>
        <w:tc>
          <w:tcPr>
            <w:tcW w:w="1701" w:type="dxa"/>
            <w:tcBorders>
              <w:top w:val="single" w:sz="4" w:space="0" w:color="auto"/>
              <w:left w:val="nil"/>
              <w:bottom w:val="single" w:sz="4" w:space="0" w:color="auto"/>
              <w:right w:val="single" w:sz="4" w:space="0" w:color="auto"/>
            </w:tcBorders>
            <w:shd w:val="clear" w:color="000000" w:fill="D9D9D9"/>
            <w:vAlign w:val="center"/>
            <w:hideMark/>
          </w:tcPr>
          <w:p w14:paraId="455E3544" w14:textId="77777777" w:rsidR="00EC4B36" w:rsidRPr="00AC57D5" w:rsidRDefault="00EC4B36" w:rsidP="006B5A62">
            <w:pPr>
              <w:spacing w:before="20" w:after="20" w:line="240" w:lineRule="auto"/>
              <w:jc w:val="center"/>
              <w:rPr>
                <w:rFonts w:ascii="Arial Narrow" w:eastAsia="Times New Roman" w:hAnsi="Arial Narrow"/>
                <w:b/>
                <w:bCs/>
                <w:color w:val="000000"/>
                <w:sz w:val="20"/>
                <w:szCs w:val="20"/>
                <w:lang w:val="es-ES" w:eastAsia="es-ES"/>
              </w:rPr>
            </w:pPr>
            <w:r w:rsidRPr="00AC57D5">
              <w:rPr>
                <w:rFonts w:ascii="Arial Narrow" w:eastAsia="Times New Roman" w:hAnsi="Arial Narrow"/>
                <w:b/>
                <w:bCs/>
                <w:color w:val="000000"/>
                <w:sz w:val="20"/>
                <w:szCs w:val="20"/>
                <w:lang w:val="es-ES" w:eastAsia="es-ES"/>
              </w:rPr>
              <w:t>TIPO DE CUADRILLA</w:t>
            </w:r>
          </w:p>
        </w:tc>
      </w:tr>
      <w:tr w:rsidR="00EC4B36" w:rsidRPr="00AC57D5" w14:paraId="3A69DD93" w14:textId="77777777" w:rsidTr="006B5A62">
        <w:trPr>
          <w:jc w:val="center"/>
        </w:trPr>
        <w:tc>
          <w:tcPr>
            <w:tcW w:w="5670" w:type="dxa"/>
            <w:tcBorders>
              <w:top w:val="nil"/>
              <w:left w:val="single" w:sz="4" w:space="0" w:color="auto"/>
              <w:bottom w:val="single" w:sz="4" w:space="0" w:color="auto"/>
              <w:right w:val="single" w:sz="4" w:space="0" w:color="auto"/>
            </w:tcBorders>
            <w:shd w:val="clear" w:color="000000" w:fill="FFFFFF"/>
            <w:noWrap/>
            <w:vAlign w:val="center"/>
            <w:hideMark/>
          </w:tcPr>
          <w:p w14:paraId="6C34AF41" w14:textId="77777777" w:rsidR="00EC4B36" w:rsidRPr="00AC57D5" w:rsidRDefault="00EC4B36" w:rsidP="006B5A62">
            <w:pPr>
              <w:spacing w:after="0" w:line="240" w:lineRule="auto"/>
              <w:jc w:val="left"/>
              <w:rPr>
                <w:rFonts w:ascii="Arial Narrow" w:eastAsia="Times New Roman" w:hAnsi="Arial Narrow"/>
                <w:color w:val="000000"/>
                <w:sz w:val="20"/>
                <w:szCs w:val="20"/>
                <w:lang w:val="es-ES" w:eastAsia="es-ES"/>
              </w:rPr>
            </w:pPr>
            <w:r w:rsidRPr="00AC57D5">
              <w:rPr>
                <w:rFonts w:ascii="Arial Narrow" w:eastAsia="Times New Roman" w:hAnsi="Arial Narrow"/>
                <w:color w:val="000000"/>
                <w:sz w:val="20"/>
                <w:szCs w:val="20"/>
                <w:lang w:val="es-ES" w:eastAsia="es-ES"/>
              </w:rPr>
              <w:t>ACCESORIOS ESTRUCTURAS</w:t>
            </w:r>
          </w:p>
        </w:tc>
        <w:tc>
          <w:tcPr>
            <w:tcW w:w="1701" w:type="dxa"/>
            <w:tcBorders>
              <w:top w:val="nil"/>
              <w:left w:val="nil"/>
              <w:bottom w:val="single" w:sz="4" w:space="0" w:color="auto"/>
              <w:right w:val="single" w:sz="4" w:space="0" w:color="auto"/>
            </w:tcBorders>
            <w:shd w:val="clear" w:color="auto" w:fill="auto"/>
            <w:noWrap/>
            <w:vAlign w:val="center"/>
            <w:hideMark/>
          </w:tcPr>
          <w:p w14:paraId="3C34388A" w14:textId="77777777" w:rsidR="00EC4B36" w:rsidRPr="00AC57D5" w:rsidRDefault="00EC4B36" w:rsidP="006B5A62">
            <w:pPr>
              <w:spacing w:before="20" w:after="20" w:line="240" w:lineRule="auto"/>
              <w:jc w:val="center"/>
              <w:rPr>
                <w:rFonts w:ascii="Arial Narrow" w:eastAsia="Times New Roman" w:hAnsi="Arial Narrow"/>
                <w:color w:val="000000"/>
                <w:sz w:val="20"/>
                <w:szCs w:val="20"/>
                <w:lang w:val="es-ES" w:eastAsia="es-ES"/>
              </w:rPr>
            </w:pPr>
            <w:r w:rsidRPr="00AC57D5">
              <w:rPr>
                <w:rFonts w:ascii="Arial Narrow" w:eastAsia="Times New Roman" w:hAnsi="Arial Narrow"/>
                <w:color w:val="000000"/>
                <w:sz w:val="20"/>
                <w:szCs w:val="20"/>
                <w:lang w:val="es-ES" w:eastAsia="es-ES"/>
              </w:rPr>
              <w:t>E6</w:t>
            </w:r>
          </w:p>
        </w:tc>
      </w:tr>
      <w:tr w:rsidR="00EC4B36" w:rsidRPr="00AC57D5" w14:paraId="0DEA1CFA" w14:textId="77777777" w:rsidTr="006B5A62">
        <w:trPr>
          <w:jc w:val="center"/>
        </w:trPr>
        <w:tc>
          <w:tcPr>
            <w:tcW w:w="5670" w:type="dxa"/>
            <w:tcBorders>
              <w:top w:val="nil"/>
              <w:left w:val="single" w:sz="4" w:space="0" w:color="auto"/>
              <w:bottom w:val="single" w:sz="4" w:space="0" w:color="auto"/>
              <w:right w:val="single" w:sz="4" w:space="0" w:color="auto"/>
            </w:tcBorders>
            <w:shd w:val="clear" w:color="000000" w:fill="FFFFFF"/>
            <w:noWrap/>
            <w:vAlign w:val="center"/>
            <w:hideMark/>
          </w:tcPr>
          <w:p w14:paraId="0A662945" w14:textId="77777777" w:rsidR="00EC4B36" w:rsidRPr="00AC57D5" w:rsidRDefault="00EC4B36" w:rsidP="006B5A62">
            <w:pPr>
              <w:spacing w:after="0" w:line="240" w:lineRule="auto"/>
              <w:jc w:val="left"/>
              <w:rPr>
                <w:rFonts w:ascii="Arial Narrow" w:eastAsia="Times New Roman" w:hAnsi="Arial Narrow"/>
                <w:color w:val="000000"/>
                <w:sz w:val="20"/>
                <w:szCs w:val="20"/>
                <w:lang w:val="es-ES" w:eastAsia="es-ES"/>
              </w:rPr>
            </w:pPr>
            <w:r w:rsidRPr="00AC57D5">
              <w:rPr>
                <w:rFonts w:ascii="Arial Narrow" w:eastAsia="Times New Roman" w:hAnsi="Arial Narrow"/>
                <w:color w:val="000000"/>
                <w:sz w:val="20"/>
                <w:szCs w:val="20"/>
                <w:lang w:val="es-ES" w:eastAsia="es-ES"/>
              </w:rPr>
              <w:t>ACCESORIOS VANOS</w:t>
            </w:r>
          </w:p>
        </w:tc>
        <w:tc>
          <w:tcPr>
            <w:tcW w:w="1701" w:type="dxa"/>
            <w:tcBorders>
              <w:top w:val="nil"/>
              <w:left w:val="nil"/>
              <w:bottom w:val="single" w:sz="4" w:space="0" w:color="auto"/>
              <w:right w:val="single" w:sz="4" w:space="0" w:color="auto"/>
            </w:tcBorders>
            <w:shd w:val="clear" w:color="auto" w:fill="auto"/>
            <w:noWrap/>
            <w:vAlign w:val="center"/>
            <w:hideMark/>
          </w:tcPr>
          <w:p w14:paraId="0C49FFE1" w14:textId="77777777" w:rsidR="00EC4B36" w:rsidRPr="00AC57D5" w:rsidRDefault="00EC4B36" w:rsidP="006B5A62">
            <w:pPr>
              <w:spacing w:before="20" w:after="20" w:line="240" w:lineRule="auto"/>
              <w:jc w:val="center"/>
              <w:rPr>
                <w:rFonts w:ascii="Arial Narrow" w:eastAsia="Times New Roman" w:hAnsi="Arial Narrow"/>
                <w:color w:val="000000"/>
                <w:sz w:val="20"/>
                <w:szCs w:val="20"/>
                <w:lang w:val="es-ES" w:eastAsia="es-ES"/>
              </w:rPr>
            </w:pPr>
            <w:r w:rsidRPr="00AC57D5">
              <w:rPr>
                <w:rFonts w:ascii="Arial Narrow" w:eastAsia="Times New Roman" w:hAnsi="Arial Narrow"/>
                <w:color w:val="000000"/>
                <w:sz w:val="20"/>
                <w:szCs w:val="20"/>
                <w:lang w:val="es-ES" w:eastAsia="es-ES"/>
              </w:rPr>
              <w:t>E7</w:t>
            </w:r>
          </w:p>
        </w:tc>
      </w:tr>
      <w:tr w:rsidR="00EC4B36" w:rsidRPr="00AC57D5" w14:paraId="4BE9329E" w14:textId="77777777" w:rsidTr="006B5A62">
        <w:trPr>
          <w:jc w:val="center"/>
        </w:trPr>
        <w:tc>
          <w:tcPr>
            <w:tcW w:w="5670" w:type="dxa"/>
            <w:tcBorders>
              <w:top w:val="nil"/>
              <w:left w:val="single" w:sz="4" w:space="0" w:color="auto"/>
              <w:bottom w:val="single" w:sz="4" w:space="0" w:color="auto"/>
              <w:right w:val="single" w:sz="4" w:space="0" w:color="auto"/>
            </w:tcBorders>
            <w:shd w:val="clear" w:color="000000" w:fill="FFFFFF"/>
            <w:noWrap/>
            <w:vAlign w:val="center"/>
            <w:hideMark/>
          </w:tcPr>
          <w:p w14:paraId="69666C2C" w14:textId="77777777" w:rsidR="00EC4B36" w:rsidRPr="00AC57D5" w:rsidRDefault="00EC4B36" w:rsidP="006B5A62">
            <w:pPr>
              <w:spacing w:after="0" w:line="240" w:lineRule="auto"/>
              <w:jc w:val="left"/>
              <w:rPr>
                <w:rFonts w:ascii="Arial Narrow" w:eastAsia="Times New Roman" w:hAnsi="Arial Narrow"/>
                <w:color w:val="000000"/>
                <w:sz w:val="20"/>
                <w:szCs w:val="20"/>
                <w:lang w:val="es-ES" w:eastAsia="es-ES"/>
              </w:rPr>
            </w:pPr>
            <w:r w:rsidRPr="00AC57D5">
              <w:rPr>
                <w:rFonts w:ascii="Arial Narrow" w:eastAsia="Times New Roman" w:hAnsi="Arial Narrow"/>
                <w:color w:val="000000"/>
                <w:sz w:val="20"/>
                <w:szCs w:val="20"/>
                <w:lang w:val="es-ES" w:eastAsia="es-ES"/>
              </w:rPr>
              <w:t>AISLADORES</w:t>
            </w:r>
          </w:p>
        </w:tc>
        <w:tc>
          <w:tcPr>
            <w:tcW w:w="1701" w:type="dxa"/>
            <w:tcBorders>
              <w:top w:val="nil"/>
              <w:left w:val="nil"/>
              <w:bottom w:val="single" w:sz="4" w:space="0" w:color="auto"/>
              <w:right w:val="single" w:sz="4" w:space="0" w:color="auto"/>
            </w:tcBorders>
            <w:shd w:val="clear" w:color="auto" w:fill="auto"/>
            <w:noWrap/>
            <w:vAlign w:val="center"/>
            <w:hideMark/>
          </w:tcPr>
          <w:p w14:paraId="1950CD85" w14:textId="77777777" w:rsidR="00EC4B36" w:rsidRPr="00AC57D5" w:rsidRDefault="00EC4B36" w:rsidP="006B5A62">
            <w:pPr>
              <w:spacing w:before="20" w:after="20" w:line="240" w:lineRule="auto"/>
              <w:jc w:val="center"/>
              <w:rPr>
                <w:rFonts w:ascii="Arial Narrow" w:eastAsia="Times New Roman" w:hAnsi="Arial Narrow"/>
                <w:color w:val="000000"/>
                <w:sz w:val="20"/>
                <w:szCs w:val="20"/>
                <w:lang w:val="es-ES" w:eastAsia="es-ES"/>
              </w:rPr>
            </w:pPr>
            <w:r w:rsidRPr="00AC57D5">
              <w:rPr>
                <w:rFonts w:ascii="Arial Narrow" w:eastAsia="Times New Roman" w:hAnsi="Arial Narrow"/>
                <w:color w:val="000000"/>
                <w:sz w:val="20"/>
                <w:szCs w:val="20"/>
                <w:lang w:val="es-ES" w:eastAsia="es-ES"/>
              </w:rPr>
              <w:t>E3</w:t>
            </w:r>
          </w:p>
        </w:tc>
      </w:tr>
      <w:tr w:rsidR="00EC4B36" w:rsidRPr="00AC57D5" w14:paraId="20C5FA0C" w14:textId="77777777" w:rsidTr="006B5A62">
        <w:trPr>
          <w:jc w:val="center"/>
        </w:trPr>
        <w:tc>
          <w:tcPr>
            <w:tcW w:w="5670" w:type="dxa"/>
            <w:tcBorders>
              <w:top w:val="nil"/>
              <w:left w:val="single" w:sz="4" w:space="0" w:color="auto"/>
              <w:bottom w:val="single" w:sz="4" w:space="0" w:color="auto"/>
              <w:right w:val="single" w:sz="4" w:space="0" w:color="auto"/>
            </w:tcBorders>
            <w:shd w:val="clear" w:color="000000" w:fill="FFFFFF"/>
            <w:noWrap/>
            <w:vAlign w:val="center"/>
            <w:hideMark/>
          </w:tcPr>
          <w:p w14:paraId="4C47C64B" w14:textId="77777777" w:rsidR="00EC4B36" w:rsidRPr="00AC57D5" w:rsidRDefault="00EC4B36" w:rsidP="006B5A62">
            <w:pPr>
              <w:spacing w:after="0" w:line="240" w:lineRule="auto"/>
              <w:jc w:val="left"/>
              <w:rPr>
                <w:rFonts w:ascii="Arial Narrow" w:eastAsia="Times New Roman" w:hAnsi="Arial Narrow"/>
                <w:color w:val="000000"/>
                <w:sz w:val="20"/>
                <w:szCs w:val="20"/>
                <w:lang w:val="es-ES" w:eastAsia="es-ES"/>
              </w:rPr>
            </w:pPr>
            <w:r w:rsidRPr="00AC57D5">
              <w:rPr>
                <w:rFonts w:ascii="Arial Narrow" w:eastAsia="Times New Roman" w:hAnsi="Arial Narrow"/>
                <w:color w:val="000000"/>
                <w:sz w:val="20"/>
                <w:szCs w:val="20"/>
                <w:lang w:val="es-ES" w:eastAsia="es-ES"/>
              </w:rPr>
              <w:t>AMORTIGUADORES</w:t>
            </w:r>
          </w:p>
        </w:tc>
        <w:tc>
          <w:tcPr>
            <w:tcW w:w="1701" w:type="dxa"/>
            <w:tcBorders>
              <w:top w:val="nil"/>
              <w:left w:val="nil"/>
              <w:bottom w:val="single" w:sz="4" w:space="0" w:color="auto"/>
              <w:right w:val="single" w:sz="4" w:space="0" w:color="auto"/>
            </w:tcBorders>
            <w:shd w:val="clear" w:color="auto" w:fill="auto"/>
            <w:noWrap/>
            <w:vAlign w:val="center"/>
            <w:hideMark/>
          </w:tcPr>
          <w:p w14:paraId="788EFE7D" w14:textId="77777777" w:rsidR="00EC4B36" w:rsidRPr="00AC57D5" w:rsidRDefault="00EC4B36" w:rsidP="006B5A62">
            <w:pPr>
              <w:spacing w:before="20" w:after="20" w:line="240" w:lineRule="auto"/>
              <w:jc w:val="center"/>
              <w:rPr>
                <w:rFonts w:ascii="Arial Narrow" w:eastAsia="Times New Roman" w:hAnsi="Arial Narrow"/>
                <w:color w:val="000000"/>
                <w:sz w:val="20"/>
                <w:szCs w:val="20"/>
                <w:lang w:val="es-ES" w:eastAsia="es-ES"/>
              </w:rPr>
            </w:pPr>
            <w:r w:rsidRPr="00AC57D5">
              <w:rPr>
                <w:rFonts w:ascii="Arial Narrow" w:eastAsia="Times New Roman" w:hAnsi="Arial Narrow"/>
                <w:color w:val="000000"/>
                <w:sz w:val="20"/>
                <w:szCs w:val="20"/>
                <w:lang w:val="es-ES" w:eastAsia="es-ES"/>
              </w:rPr>
              <w:t>E6</w:t>
            </w:r>
          </w:p>
        </w:tc>
      </w:tr>
      <w:tr w:rsidR="00EC4B36" w:rsidRPr="00AC57D5" w14:paraId="0E994731" w14:textId="77777777" w:rsidTr="006B5A62">
        <w:trPr>
          <w:jc w:val="center"/>
        </w:trPr>
        <w:tc>
          <w:tcPr>
            <w:tcW w:w="5670" w:type="dxa"/>
            <w:tcBorders>
              <w:top w:val="nil"/>
              <w:left w:val="single" w:sz="4" w:space="0" w:color="auto"/>
              <w:bottom w:val="single" w:sz="4" w:space="0" w:color="auto"/>
              <w:right w:val="single" w:sz="4" w:space="0" w:color="auto"/>
            </w:tcBorders>
            <w:shd w:val="clear" w:color="000000" w:fill="FFFFFF"/>
            <w:noWrap/>
            <w:vAlign w:val="center"/>
            <w:hideMark/>
          </w:tcPr>
          <w:p w14:paraId="661662C4" w14:textId="77777777" w:rsidR="00EC4B36" w:rsidRPr="00AC57D5" w:rsidRDefault="00EC4B36" w:rsidP="006B5A62">
            <w:pPr>
              <w:spacing w:after="0" w:line="240" w:lineRule="auto"/>
              <w:jc w:val="left"/>
              <w:rPr>
                <w:rFonts w:ascii="Arial Narrow" w:eastAsia="Times New Roman" w:hAnsi="Arial Narrow"/>
                <w:color w:val="000000"/>
                <w:sz w:val="20"/>
                <w:szCs w:val="20"/>
                <w:lang w:val="es-ES" w:eastAsia="es-ES"/>
              </w:rPr>
            </w:pPr>
            <w:r w:rsidRPr="00AC57D5">
              <w:rPr>
                <w:rFonts w:ascii="Arial Narrow" w:eastAsia="Times New Roman" w:hAnsi="Arial Narrow"/>
                <w:color w:val="000000"/>
                <w:sz w:val="20"/>
                <w:szCs w:val="20"/>
                <w:lang w:val="es-ES" w:eastAsia="es-ES"/>
              </w:rPr>
              <w:lastRenderedPageBreak/>
              <w:t>CABLES GUARDIA</w:t>
            </w:r>
          </w:p>
        </w:tc>
        <w:tc>
          <w:tcPr>
            <w:tcW w:w="1701" w:type="dxa"/>
            <w:tcBorders>
              <w:top w:val="nil"/>
              <w:left w:val="nil"/>
              <w:bottom w:val="single" w:sz="4" w:space="0" w:color="auto"/>
              <w:right w:val="single" w:sz="4" w:space="0" w:color="auto"/>
            </w:tcBorders>
            <w:shd w:val="clear" w:color="auto" w:fill="auto"/>
            <w:noWrap/>
            <w:vAlign w:val="center"/>
            <w:hideMark/>
          </w:tcPr>
          <w:p w14:paraId="03D7F331" w14:textId="77777777" w:rsidR="00EC4B36" w:rsidRPr="00AC57D5" w:rsidRDefault="00EC4B36" w:rsidP="006B5A62">
            <w:pPr>
              <w:spacing w:before="20" w:after="20" w:line="240" w:lineRule="auto"/>
              <w:jc w:val="center"/>
              <w:rPr>
                <w:rFonts w:ascii="Arial Narrow" w:eastAsia="Times New Roman" w:hAnsi="Arial Narrow"/>
                <w:color w:val="000000"/>
                <w:sz w:val="20"/>
                <w:szCs w:val="20"/>
                <w:lang w:val="es-ES" w:eastAsia="es-ES"/>
              </w:rPr>
            </w:pPr>
            <w:r w:rsidRPr="00AC57D5">
              <w:rPr>
                <w:rFonts w:ascii="Arial Narrow" w:eastAsia="Times New Roman" w:hAnsi="Arial Narrow"/>
                <w:color w:val="000000"/>
                <w:sz w:val="20"/>
                <w:szCs w:val="20"/>
                <w:lang w:val="es-ES" w:eastAsia="es-ES"/>
              </w:rPr>
              <w:t>E7</w:t>
            </w:r>
          </w:p>
        </w:tc>
      </w:tr>
      <w:tr w:rsidR="00EC4B36" w:rsidRPr="00AC57D5" w14:paraId="23D9F0FB" w14:textId="77777777" w:rsidTr="006B5A62">
        <w:trPr>
          <w:jc w:val="center"/>
        </w:trPr>
        <w:tc>
          <w:tcPr>
            <w:tcW w:w="5670" w:type="dxa"/>
            <w:tcBorders>
              <w:top w:val="nil"/>
              <w:left w:val="single" w:sz="4" w:space="0" w:color="auto"/>
              <w:bottom w:val="single" w:sz="4" w:space="0" w:color="auto"/>
              <w:right w:val="single" w:sz="4" w:space="0" w:color="auto"/>
            </w:tcBorders>
            <w:shd w:val="clear" w:color="000000" w:fill="FFFFFF"/>
            <w:noWrap/>
            <w:vAlign w:val="center"/>
            <w:hideMark/>
          </w:tcPr>
          <w:p w14:paraId="294CD29B" w14:textId="77777777" w:rsidR="00EC4B36" w:rsidRPr="00AC57D5" w:rsidRDefault="00EC4B36" w:rsidP="006B5A62">
            <w:pPr>
              <w:spacing w:after="0" w:line="240" w:lineRule="auto"/>
              <w:jc w:val="left"/>
              <w:rPr>
                <w:rFonts w:ascii="Arial Narrow" w:eastAsia="Times New Roman" w:hAnsi="Arial Narrow"/>
                <w:color w:val="000000"/>
                <w:sz w:val="20"/>
                <w:szCs w:val="20"/>
                <w:lang w:val="es-ES" w:eastAsia="es-ES"/>
              </w:rPr>
            </w:pPr>
            <w:r w:rsidRPr="00AC57D5">
              <w:rPr>
                <w:rFonts w:ascii="Arial Narrow" w:eastAsia="Times New Roman" w:hAnsi="Arial Narrow"/>
                <w:color w:val="000000"/>
                <w:sz w:val="20"/>
                <w:szCs w:val="20"/>
                <w:lang w:val="es-ES" w:eastAsia="es-ES"/>
              </w:rPr>
              <w:t>CONDENSADORES ACOPLAMIENTO</w:t>
            </w:r>
          </w:p>
        </w:tc>
        <w:tc>
          <w:tcPr>
            <w:tcW w:w="1701" w:type="dxa"/>
            <w:tcBorders>
              <w:top w:val="nil"/>
              <w:left w:val="nil"/>
              <w:bottom w:val="single" w:sz="4" w:space="0" w:color="auto"/>
              <w:right w:val="single" w:sz="4" w:space="0" w:color="auto"/>
            </w:tcBorders>
            <w:shd w:val="clear" w:color="auto" w:fill="auto"/>
            <w:noWrap/>
            <w:vAlign w:val="center"/>
            <w:hideMark/>
          </w:tcPr>
          <w:p w14:paraId="033859CE" w14:textId="77777777" w:rsidR="00EC4B36" w:rsidRPr="00AC57D5" w:rsidRDefault="00EC4B36" w:rsidP="006B5A62">
            <w:pPr>
              <w:spacing w:before="20" w:after="20" w:line="240" w:lineRule="auto"/>
              <w:jc w:val="center"/>
              <w:rPr>
                <w:rFonts w:ascii="Arial Narrow" w:eastAsia="Times New Roman" w:hAnsi="Arial Narrow"/>
                <w:color w:val="000000"/>
                <w:sz w:val="20"/>
                <w:szCs w:val="20"/>
                <w:lang w:val="es-ES" w:eastAsia="es-ES"/>
              </w:rPr>
            </w:pPr>
            <w:r w:rsidRPr="00AC57D5">
              <w:rPr>
                <w:rFonts w:ascii="Arial Narrow" w:eastAsia="Times New Roman" w:hAnsi="Arial Narrow"/>
                <w:color w:val="000000"/>
                <w:sz w:val="20"/>
                <w:szCs w:val="20"/>
                <w:lang w:val="es-ES" w:eastAsia="es-ES"/>
              </w:rPr>
              <w:t>E2</w:t>
            </w:r>
          </w:p>
        </w:tc>
      </w:tr>
      <w:tr w:rsidR="00EC4B36" w:rsidRPr="00AC57D5" w14:paraId="59FC22B1" w14:textId="77777777" w:rsidTr="006B5A62">
        <w:trPr>
          <w:jc w:val="center"/>
        </w:trPr>
        <w:tc>
          <w:tcPr>
            <w:tcW w:w="5670" w:type="dxa"/>
            <w:tcBorders>
              <w:top w:val="nil"/>
              <w:left w:val="single" w:sz="4" w:space="0" w:color="auto"/>
              <w:bottom w:val="single" w:sz="4" w:space="0" w:color="auto"/>
              <w:right w:val="single" w:sz="4" w:space="0" w:color="auto"/>
            </w:tcBorders>
            <w:shd w:val="clear" w:color="000000" w:fill="FFFFFF"/>
            <w:noWrap/>
            <w:vAlign w:val="center"/>
            <w:hideMark/>
          </w:tcPr>
          <w:p w14:paraId="7AFE890D" w14:textId="77777777" w:rsidR="00EC4B36" w:rsidRPr="00AC57D5" w:rsidRDefault="00EC4B36" w:rsidP="006B5A62">
            <w:pPr>
              <w:spacing w:after="0" w:line="240" w:lineRule="auto"/>
              <w:jc w:val="left"/>
              <w:rPr>
                <w:rFonts w:ascii="Arial Narrow" w:eastAsia="Times New Roman" w:hAnsi="Arial Narrow"/>
                <w:color w:val="000000"/>
                <w:sz w:val="20"/>
                <w:szCs w:val="20"/>
                <w:lang w:val="es-ES" w:eastAsia="es-ES"/>
              </w:rPr>
            </w:pPr>
            <w:r w:rsidRPr="00AC57D5">
              <w:rPr>
                <w:rFonts w:ascii="Arial Narrow" w:eastAsia="Times New Roman" w:hAnsi="Arial Narrow"/>
                <w:color w:val="000000"/>
                <w:sz w:val="20"/>
                <w:szCs w:val="20"/>
                <w:lang w:val="es-ES" w:eastAsia="es-ES"/>
              </w:rPr>
              <w:t>CONDUCTORES</w:t>
            </w:r>
          </w:p>
        </w:tc>
        <w:tc>
          <w:tcPr>
            <w:tcW w:w="1701" w:type="dxa"/>
            <w:tcBorders>
              <w:top w:val="nil"/>
              <w:left w:val="nil"/>
              <w:bottom w:val="single" w:sz="4" w:space="0" w:color="auto"/>
              <w:right w:val="single" w:sz="4" w:space="0" w:color="auto"/>
            </w:tcBorders>
            <w:shd w:val="clear" w:color="auto" w:fill="auto"/>
            <w:noWrap/>
            <w:vAlign w:val="center"/>
            <w:hideMark/>
          </w:tcPr>
          <w:p w14:paraId="11DCAD97" w14:textId="77777777" w:rsidR="00EC4B36" w:rsidRPr="00AC57D5" w:rsidRDefault="00EC4B36" w:rsidP="006B5A62">
            <w:pPr>
              <w:spacing w:before="20" w:after="20" w:line="240" w:lineRule="auto"/>
              <w:jc w:val="center"/>
              <w:rPr>
                <w:rFonts w:ascii="Arial Narrow" w:eastAsia="Times New Roman" w:hAnsi="Arial Narrow"/>
                <w:color w:val="000000"/>
                <w:sz w:val="20"/>
                <w:szCs w:val="20"/>
                <w:lang w:val="es-ES" w:eastAsia="es-ES"/>
              </w:rPr>
            </w:pPr>
            <w:r w:rsidRPr="00AC57D5">
              <w:rPr>
                <w:rFonts w:ascii="Arial Narrow" w:eastAsia="Times New Roman" w:hAnsi="Arial Narrow"/>
                <w:color w:val="000000"/>
                <w:sz w:val="20"/>
                <w:szCs w:val="20"/>
                <w:lang w:val="es-ES" w:eastAsia="es-ES"/>
              </w:rPr>
              <w:t>E7</w:t>
            </w:r>
          </w:p>
        </w:tc>
      </w:tr>
      <w:tr w:rsidR="00EC4B36" w:rsidRPr="00AC57D5" w14:paraId="203F0978" w14:textId="77777777" w:rsidTr="006B5A62">
        <w:trPr>
          <w:jc w:val="center"/>
        </w:trPr>
        <w:tc>
          <w:tcPr>
            <w:tcW w:w="5670" w:type="dxa"/>
            <w:tcBorders>
              <w:top w:val="nil"/>
              <w:left w:val="single" w:sz="4" w:space="0" w:color="auto"/>
              <w:bottom w:val="single" w:sz="4" w:space="0" w:color="auto"/>
              <w:right w:val="single" w:sz="4" w:space="0" w:color="auto"/>
            </w:tcBorders>
            <w:shd w:val="clear" w:color="000000" w:fill="FFFFFF"/>
            <w:noWrap/>
            <w:vAlign w:val="center"/>
            <w:hideMark/>
          </w:tcPr>
          <w:p w14:paraId="38CBB9EA" w14:textId="77777777" w:rsidR="00EC4B36" w:rsidRPr="00AC57D5" w:rsidRDefault="00EC4B36" w:rsidP="006B5A62">
            <w:pPr>
              <w:spacing w:after="0" w:line="240" w:lineRule="auto"/>
              <w:jc w:val="left"/>
              <w:rPr>
                <w:rFonts w:ascii="Arial Narrow" w:eastAsia="Times New Roman" w:hAnsi="Arial Narrow"/>
                <w:color w:val="000000"/>
                <w:sz w:val="20"/>
                <w:szCs w:val="20"/>
                <w:lang w:val="es-ES" w:eastAsia="es-ES"/>
              </w:rPr>
            </w:pPr>
            <w:r w:rsidRPr="00AC57D5">
              <w:rPr>
                <w:rFonts w:ascii="Arial Narrow" w:eastAsia="Times New Roman" w:hAnsi="Arial Narrow"/>
                <w:color w:val="000000"/>
                <w:sz w:val="20"/>
                <w:szCs w:val="20"/>
                <w:lang w:val="es-ES" w:eastAsia="es-ES"/>
              </w:rPr>
              <w:t>CONJUNTOS AISLACION</w:t>
            </w:r>
          </w:p>
        </w:tc>
        <w:tc>
          <w:tcPr>
            <w:tcW w:w="1701" w:type="dxa"/>
            <w:tcBorders>
              <w:top w:val="nil"/>
              <w:left w:val="nil"/>
              <w:bottom w:val="single" w:sz="4" w:space="0" w:color="auto"/>
              <w:right w:val="single" w:sz="4" w:space="0" w:color="auto"/>
            </w:tcBorders>
            <w:shd w:val="clear" w:color="auto" w:fill="auto"/>
            <w:noWrap/>
            <w:vAlign w:val="center"/>
            <w:hideMark/>
          </w:tcPr>
          <w:p w14:paraId="7AA82922" w14:textId="77777777" w:rsidR="00EC4B36" w:rsidRPr="00AC57D5" w:rsidRDefault="00EC4B36" w:rsidP="006B5A62">
            <w:pPr>
              <w:spacing w:before="20" w:after="20" w:line="240" w:lineRule="auto"/>
              <w:jc w:val="center"/>
              <w:rPr>
                <w:rFonts w:ascii="Arial Narrow" w:eastAsia="Times New Roman" w:hAnsi="Arial Narrow"/>
                <w:color w:val="000000"/>
                <w:sz w:val="20"/>
                <w:szCs w:val="20"/>
                <w:lang w:val="es-ES" w:eastAsia="es-ES"/>
              </w:rPr>
            </w:pPr>
            <w:r w:rsidRPr="00AC57D5">
              <w:rPr>
                <w:rFonts w:ascii="Arial Narrow" w:eastAsia="Times New Roman" w:hAnsi="Arial Narrow"/>
                <w:color w:val="000000"/>
                <w:sz w:val="20"/>
                <w:szCs w:val="20"/>
                <w:lang w:val="es-ES" w:eastAsia="es-ES"/>
              </w:rPr>
              <w:t>E6</w:t>
            </w:r>
          </w:p>
        </w:tc>
      </w:tr>
      <w:tr w:rsidR="00EC4B36" w:rsidRPr="00AC57D5" w14:paraId="5DEEEF9D" w14:textId="77777777" w:rsidTr="006B5A62">
        <w:trPr>
          <w:jc w:val="center"/>
        </w:trPr>
        <w:tc>
          <w:tcPr>
            <w:tcW w:w="5670" w:type="dxa"/>
            <w:tcBorders>
              <w:top w:val="nil"/>
              <w:left w:val="single" w:sz="4" w:space="0" w:color="auto"/>
              <w:bottom w:val="single" w:sz="4" w:space="0" w:color="auto"/>
              <w:right w:val="single" w:sz="4" w:space="0" w:color="auto"/>
            </w:tcBorders>
            <w:shd w:val="clear" w:color="000000" w:fill="FFFFFF"/>
            <w:noWrap/>
            <w:vAlign w:val="center"/>
            <w:hideMark/>
          </w:tcPr>
          <w:p w14:paraId="2D5B0DB2" w14:textId="77777777" w:rsidR="00EC4B36" w:rsidRPr="00AC57D5" w:rsidRDefault="00EC4B36" w:rsidP="006B5A62">
            <w:pPr>
              <w:spacing w:after="0" w:line="240" w:lineRule="auto"/>
              <w:jc w:val="left"/>
              <w:rPr>
                <w:rFonts w:ascii="Arial Narrow" w:eastAsia="Times New Roman" w:hAnsi="Arial Narrow"/>
                <w:color w:val="000000"/>
                <w:sz w:val="20"/>
                <w:szCs w:val="20"/>
                <w:lang w:val="es-ES" w:eastAsia="es-ES"/>
              </w:rPr>
            </w:pPr>
            <w:r w:rsidRPr="00AC57D5">
              <w:rPr>
                <w:rFonts w:ascii="Arial Narrow" w:eastAsia="Times New Roman" w:hAnsi="Arial Narrow"/>
                <w:color w:val="000000"/>
                <w:sz w:val="20"/>
                <w:szCs w:val="20"/>
                <w:lang w:val="es-ES" w:eastAsia="es-ES"/>
              </w:rPr>
              <w:t>DESCONECTADORES</w:t>
            </w:r>
          </w:p>
        </w:tc>
        <w:tc>
          <w:tcPr>
            <w:tcW w:w="1701" w:type="dxa"/>
            <w:tcBorders>
              <w:top w:val="nil"/>
              <w:left w:val="nil"/>
              <w:bottom w:val="single" w:sz="4" w:space="0" w:color="auto"/>
              <w:right w:val="single" w:sz="4" w:space="0" w:color="auto"/>
            </w:tcBorders>
            <w:shd w:val="clear" w:color="auto" w:fill="auto"/>
            <w:noWrap/>
            <w:vAlign w:val="center"/>
            <w:hideMark/>
          </w:tcPr>
          <w:p w14:paraId="19293BFC" w14:textId="77777777" w:rsidR="00EC4B36" w:rsidRPr="00AC57D5" w:rsidRDefault="00EC4B36" w:rsidP="006B5A62">
            <w:pPr>
              <w:spacing w:before="20" w:after="20" w:line="240" w:lineRule="auto"/>
              <w:jc w:val="center"/>
              <w:rPr>
                <w:rFonts w:ascii="Arial Narrow" w:eastAsia="Times New Roman" w:hAnsi="Arial Narrow"/>
                <w:color w:val="000000"/>
                <w:sz w:val="20"/>
                <w:szCs w:val="20"/>
                <w:lang w:val="es-ES" w:eastAsia="es-ES"/>
              </w:rPr>
            </w:pPr>
            <w:r w:rsidRPr="00AC57D5">
              <w:rPr>
                <w:rFonts w:ascii="Arial Narrow" w:eastAsia="Times New Roman" w:hAnsi="Arial Narrow"/>
                <w:color w:val="000000"/>
                <w:sz w:val="20"/>
                <w:szCs w:val="20"/>
                <w:lang w:val="es-ES" w:eastAsia="es-ES"/>
              </w:rPr>
              <w:t>E2</w:t>
            </w:r>
          </w:p>
        </w:tc>
      </w:tr>
      <w:tr w:rsidR="00EC4B36" w:rsidRPr="00AC57D5" w14:paraId="54A683AC" w14:textId="77777777" w:rsidTr="006B5A62">
        <w:trPr>
          <w:jc w:val="center"/>
        </w:trPr>
        <w:tc>
          <w:tcPr>
            <w:tcW w:w="5670" w:type="dxa"/>
            <w:tcBorders>
              <w:top w:val="nil"/>
              <w:left w:val="single" w:sz="4" w:space="0" w:color="auto"/>
              <w:bottom w:val="single" w:sz="4" w:space="0" w:color="auto"/>
              <w:right w:val="single" w:sz="4" w:space="0" w:color="auto"/>
            </w:tcBorders>
            <w:shd w:val="clear" w:color="000000" w:fill="FFFFFF"/>
            <w:noWrap/>
            <w:vAlign w:val="center"/>
            <w:hideMark/>
          </w:tcPr>
          <w:p w14:paraId="326B354D" w14:textId="77777777" w:rsidR="00EC4B36" w:rsidRPr="00AC57D5" w:rsidRDefault="00EC4B36" w:rsidP="006B5A62">
            <w:pPr>
              <w:spacing w:after="0" w:line="240" w:lineRule="auto"/>
              <w:jc w:val="left"/>
              <w:rPr>
                <w:rFonts w:ascii="Arial Narrow" w:eastAsia="Times New Roman" w:hAnsi="Arial Narrow"/>
                <w:color w:val="000000"/>
                <w:sz w:val="20"/>
                <w:szCs w:val="20"/>
                <w:lang w:val="es-ES" w:eastAsia="es-ES"/>
              </w:rPr>
            </w:pPr>
            <w:r w:rsidRPr="00AC57D5">
              <w:rPr>
                <w:rFonts w:ascii="Arial Narrow" w:eastAsia="Times New Roman" w:hAnsi="Arial Narrow"/>
                <w:color w:val="000000"/>
                <w:sz w:val="20"/>
                <w:szCs w:val="20"/>
                <w:lang w:val="es-ES" w:eastAsia="es-ES"/>
              </w:rPr>
              <w:t>ELEMENTOS DE PROTECCION</w:t>
            </w:r>
          </w:p>
        </w:tc>
        <w:tc>
          <w:tcPr>
            <w:tcW w:w="1701" w:type="dxa"/>
            <w:tcBorders>
              <w:top w:val="nil"/>
              <w:left w:val="nil"/>
              <w:bottom w:val="single" w:sz="4" w:space="0" w:color="auto"/>
              <w:right w:val="single" w:sz="4" w:space="0" w:color="auto"/>
            </w:tcBorders>
            <w:shd w:val="clear" w:color="auto" w:fill="auto"/>
            <w:noWrap/>
            <w:vAlign w:val="center"/>
            <w:hideMark/>
          </w:tcPr>
          <w:p w14:paraId="55E88797" w14:textId="77777777" w:rsidR="00EC4B36" w:rsidRPr="00AC57D5" w:rsidRDefault="00EC4B36" w:rsidP="006B5A62">
            <w:pPr>
              <w:spacing w:before="20" w:after="20" w:line="240" w:lineRule="auto"/>
              <w:jc w:val="center"/>
              <w:rPr>
                <w:rFonts w:ascii="Arial Narrow" w:eastAsia="Times New Roman" w:hAnsi="Arial Narrow"/>
                <w:color w:val="000000"/>
                <w:sz w:val="20"/>
                <w:szCs w:val="20"/>
                <w:lang w:val="es-ES" w:eastAsia="es-ES"/>
              </w:rPr>
            </w:pPr>
            <w:r w:rsidRPr="00AC57D5">
              <w:rPr>
                <w:rFonts w:ascii="Arial Narrow" w:eastAsia="Times New Roman" w:hAnsi="Arial Narrow"/>
                <w:color w:val="000000"/>
                <w:sz w:val="20"/>
                <w:szCs w:val="20"/>
                <w:lang w:val="es-ES" w:eastAsia="es-ES"/>
              </w:rPr>
              <w:t>E4</w:t>
            </w:r>
          </w:p>
        </w:tc>
      </w:tr>
      <w:tr w:rsidR="00EC4B36" w:rsidRPr="00AC57D5" w14:paraId="468A729A" w14:textId="77777777" w:rsidTr="006B5A62">
        <w:trPr>
          <w:jc w:val="center"/>
        </w:trPr>
        <w:tc>
          <w:tcPr>
            <w:tcW w:w="5670" w:type="dxa"/>
            <w:tcBorders>
              <w:top w:val="nil"/>
              <w:left w:val="single" w:sz="4" w:space="0" w:color="auto"/>
              <w:bottom w:val="single" w:sz="4" w:space="0" w:color="auto"/>
              <w:right w:val="single" w:sz="4" w:space="0" w:color="auto"/>
            </w:tcBorders>
            <w:shd w:val="clear" w:color="000000" w:fill="FFFFFF"/>
            <w:noWrap/>
            <w:vAlign w:val="center"/>
            <w:hideMark/>
          </w:tcPr>
          <w:p w14:paraId="131632D5" w14:textId="77777777" w:rsidR="00EC4B36" w:rsidRPr="00AC57D5" w:rsidRDefault="00EC4B36" w:rsidP="006B5A62">
            <w:pPr>
              <w:spacing w:after="0" w:line="240" w:lineRule="auto"/>
              <w:jc w:val="left"/>
              <w:rPr>
                <w:rFonts w:ascii="Arial Narrow" w:eastAsia="Times New Roman" w:hAnsi="Arial Narrow"/>
                <w:color w:val="000000"/>
                <w:sz w:val="20"/>
                <w:szCs w:val="20"/>
                <w:lang w:val="es-ES" w:eastAsia="es-ES"/>
              </w:rPr>
            </w:pPr>
            <w:r w:rsidRPr="00AC57D5">
              <w:rPr>
                <w:rFonts w:ascii="Arial Narrow" w:eastAsia="Times New Roman" w:hAnsi="Arial Narrow"/>
                <w:color w:val="000000"/>
                <w:sz w:val="20"/>
                <w:szCs w:val="20"/>
                <w:lang w:val="es-ES" w:eastAsia="es-ES"/>
              </w:rPr>
              <w:t>ELEMENTOS PANOS</w:t>
            </w:r>
          </w:p>
        </w:tc>
        <w:tc>
          <w:tcPr>
            <w:tcW w:w="1701" w:type="dxa"/>
            <w:tcBorders>
              <w:top w:val="nil"/>
              <w:left w:val="nil"/>
              <w:bottom w:val="single" w:sz="4" w:space="0" w:color="auto"/>
              <w:right w:val="single" w:sz="4" w:space="0" w:color="auto"/>
            </w:tcBorders>
            <w:shd w:val="clear" w:color="auto" w:fill="auto"/>
            <w:noWrap/>
            <w:vAlign w:val="center"/>
            <w:hideMark/>
          </w:tcPr>
          <w:p w14:paraId="55A8C495" w14:textId="77777777" w:rsidR="00EC4B36" w:rsidRPr="00AC57D5" w:rsidRDefault="00EC4B36" w:rsidP="006B5A62">
            <w:pPr>
              <w:spacing w:before="20" w:after="20" w:line="240" w:lineRule="auto"/>
              <w:jc w:val="center"/>
              <w:rPr>
                <w:rFonts w:ascii="Arial Narrow" w:eastAsia="Times New Roman" w:hAnsi="Arial Narrow"/>
                <w:color w:val="000000"/>
                <w:sz w:val="20"/>
                <w:szCs w:val="20"/>
                <w:lang w:val="es-ES" w:eastAsia="es-ES"/>
              </w:rPr>
            </w:pPr>
            <w:r w:rsidRPr="00AC57D5">
              <w:rPr>
                <w:rFonts w:ascii="Arial Narrow" w:eastAsia="Times New Roman" w:hAnsi="Arial Narrow"/>
                <w:color w:val="000000"/>
                <w:sz w:val="20"/>
                <w:szCs w:val="20"/>
                <w:lang w:val="es-ES" w:eastAsia="es-ES"/>
              </w:rPr>
              <w:t>E5</w:t>
            </w:r>
          </w:p>
        </w:tc>
      </w:tr>
      <w:tr w:rsidR="00EC4B36" w:rsidRPr="00AC57D5" w14:paraId="0F007276" w14:textId="77777777" w:rsidTr="006B5A62">
        <w:trPr>
          <w:jc w:val="center"/>
        </w:trPr>
        <w:tc>
          <w:tcPr>
            <w:tcW w:w="5670" w:type="dxa"/>
            <w:tcBorders>
              <w:top w:val="nil"/>
              <w:left w:val="single" w:sz="4" w:space="0" w:color="auto"/>
              <w:bottom w:val="single" w:sz="4" w:space="0" w:color="auto"/>
              <w:right w:val="single" w:sz="4" w:space="0" w:color="auto"/>
            </w:tcBorders>
            <w:shd w:val="clear" w:color="000000" w:fill="FFFFFF"/>
            <w:noWrap/>
            <w:vAlign w:val="center"/>
            <w:hideMark/>
          </w:tcPr>
          <w:p w14:paraId="485B5C0E" w14:textId="77777777" w:rsidR="00EC4B36" w:rsidRPr="00AC57D5" w:rsidRDefault="00EC4B36" w:rsidP="006B5A62">
            <w:pPr>
              <w:spacing w:after="0" w:line="240" w:lineRule="auto"/>
              <w:jc w:val="left"/>
              <w:rPr>
                <w:rFonts w:ascii="Arial Narrow" w:eastAsia="Times New Roman" w:hAnsi="Arial Narrow"/>
                <w:color w:val="000000"/>
                <w:sz w:val="20"/>
                <w:szCs w:val="20"/>
                <w:lang w:val="es-ES" w:eastAsia="es-ES"/>
              </w:rPr>
            </w:pPr>
            <w:r w:rsidRPr="00AC57D5">
              <w:rPr>
                <w:rFonts w:ascii="Arial Narrow" w:eastAsia="Times New Roman" w:hAnsi="Arial Narrow"/>
                <w:color w:val="000000"/>
                <w:sz w:val="20"/>
                <w:szCs w:val="20"/>
                <w:lang w:val="es-ES" w:eastAsia="es-ES"/>
              </w:rPr>
              <w:t>EQUIPOS COMPENSACION SERIE</w:t>
            </w:r>
          </w:p>
        </w:tc>
        <w:tc>
          <w:tcPr>
            <w:tcW w:w="1701" w:type="dxa"/>
            <w:tcBorders>
              <w:top w:val="nil"/>
              <w:left w:val="nil"/>
              <w:bottom w:val="single" w:sz="4" w:space="0" w:color="auto"/>
              <w:right w:val="single" w:sz="4" w:space="0" w:color="auto"/>
            </w:tcBorders>
            <w:shd w:val="clear" w:color="auto" w:fill="auto"/>
            <w:noWrap/>
            <w:vAlign w:val="center"/>
            <w:hideMark/>
          </w:tcPr>
          <w:p w14:paraId="73E76451" w14:textId="77777777" w:rsidR="00EC4B36" w:rsidRPr="00AC57D5" w:rsidRDefault="00EC4B36" w:rsidP="006B5A62">
            <w:pPr>
              <w:spacing w:before="20" w:after="20" w:line="240" w:lineRule="auto"/>
              <w:jc w:val="center"/>
              <w:rPr>
                <w:rFonts w:ascii="Arial Narrow" w:eastAsia="Times New Roman" w:hAnsi="Arial Narrow"/>
                <w:color w:val="000000"/>
                <w:sz w:val="20"/>
                <w:szCs w:val="20"/>
                <w:lang w:val="es-ES" w:eastAsia="es-ES"/>
              </w:rPr>
            </w:pPr>
            <w:r w:rsidRPr="00AC57D5">
              <w:rPr>
                <w:rFonts w:ascii="Arial Narrow" w:eastAsia="Times New Roman" w:hAnsi="Arial Narrow"/>
                <w:color w:val="000000"/>
                <w:sz w:val="20"/>
                <w:szCs w:val="20"/>
                <w:lang w:val="es-ES" w:eastAsia="es-ES"/>
              </w:rPr>
              <w:t>E1</w:t>
            </w:r>
          </w:p>
        </w:tc>
      </w:tr>
      <w:tr w:rsidR="00EC4B36" w:rsidRPr="00AC57D5" w14:paraId="40C6BBC1" w14:textId="77777777" w:rsidTr="006B5A62">
        <w:trPr>
          <w:jc w:val="center"/>
        </w:trPr>
        <w:tc>
          <w:tcPr>
            <w:tcW w:w="5670" w:type="dxa"/>
            <w:tcBorders>
              <w:top w:val="nil"/>
              <w:left w:val="single" w:sz="4" w:space="0" w:color="auto"/>
              <w:bottom w:val="single" w:sz="4" w:space="0" w:color="auto"/>
              <w:right w:val="single" w:sz="4" w:space="0" w:color="auto"/>
            </w:tcBorders>
            <w:shd w:val="clear" w:color="000000" w:fill="FFFFFF"/>
            <w:noWrap/>
            <w:vAlign w:val="center"/>
            <w:hideMark/>
          </w:tcPr>
          <w:p w14:paraId="1F33D616" w14:textId="77777777" w:rsidR="00EC4B36" w:rsidRPr="00AC57D5" w:rsidRDefault="00EC4B36" w:rsidP="006B5A62">
            <w:pPr>
              <w:spacing w:after="0" w:line="240" w:lineRule="auto"/>
              <w:jc w:val="left"/>
              <w:rPr>
                <w:rFonts w:ascii="Arial Narrow" w:eastAsia="Times New Roman" w:hAnsi="Arial Narrow"/>
                <w:color w:val="000000"/>
                <w:sz w:val="20"/>
                <w:szCs w:val="20"/>
                <w:lang w:val="es-ES" w:eastAsia="es-ES"/>
              </w:rPr>
            </w:pPr>
            <w:r w:rsidRPr="00AC57D5">
              <w:rPr>
                <w:rFonts w:ascii="Arial Narrow" w:eastAsia="Times New Roman" w:hAnsi="Arial Narrow"/>
                <w:color w:val="000000"/>
                <w:sz w:val="20"/>
                <w:szCs w:val="20"/>
                <w:lang w:val="es-ES" w:eastAsia="es-ES"/>
              </w:rPr>
              <w:t>ESPACIADORES</w:t>
            </w:r>
          </w:p>
        </w:tc>
        <w:tc>
          <w:tcPr>
            <w:tcW w:w="1701" w:type="dxa"/>
            <w:tcBorders>
              <w:top w:val="nil"/>
              <w:left w:val="nil"/>
              <w:bottom w:val="single" w:sz="4" w:space="0" w:color="auto"/>
              <w:right w:val="single" w:sz="4" w:space="0" w:color="auto"/>
            </w:tcBorders>
            <w:shd w:val="clear" w:color="auto" w:fill="auto"/>
            <w:noWrap/>
            <w:vAlign w:val="center"/>
            <w:hideMark/>
          </w:tcPr>
          <w:p w14:paraId="22A8CCD5" w14:textId="77777777" w:rsidR="00EC4B36" w:rsidRPr="00AC57D5" w:rsidRDefault="00EC4B36" w:rsidP="006B5A62">
            <w:pPr>
              <w:spacing w:before="20" w:after="20" w:line="240" w:lineRule="auto"/>
              <w:jc w:val="center"/>
              <w:rPr>
                <w:rFonts w:ascii="Arial Narrow" w:eastAsia="Times New Roman" w:hAnsi="Arial Narrow"/>
                <w:color w:val="000000"/>
                <w:sz w:val="20"/>
                <w:szCs w:val="20"/>
                <w:lang w:val="es-ES" w:eastAsia="es-ES"/>
              </w:rPr>
            </w:pPr>
            <w:r w:rsidRPr="00AC57D5">
              <w:rPr>
                <w:rFonts w:ascii="Arial Narrow" w:eastAsia="Times New Roman" w:hAnsi="Arial Narrow"/>
                <w:color w:val="000000"/>
                <w:sz w:val="20"/>
                <w:szCs w:val="20"/>
                <w:lang w:val="es-ES" w:eastAsia="es-ES"/>
              </w:rPr>
              <w:t>E6</w:t>
            </w:r>
          </w:p>
        </w:tc>
      </w:tr>
      <w:tr w:rsidR="00EC4B36" w:rsidRPr="00AC57D5" w14:paraId="4A1EBC4F" w14:textId="77777777" w:rsidTr="006B5A62">
        <w:trPr>
          <w:jc w:val="center"/>
        </w:trPr>
        <w:tc>
          <w:tcPr>
            <w:tcW w:w="5670" w:type="dxa"/>
            <w:tcBorders>
              <w:top w:val="nil"/>
              <w:left w:val="single" w:sz="4" w:space="0" w:color="auto"/>
              <w:bottom w:val="single" w:sz="4" w:space="0" w:color="auto"/>
              <w:right w:val="single" w:sz="4" w:space="0" w:color="auto"/>
            </w:tcBorders>
            <w:shd w:val="clear" w:color="000000" w:fill="FFFFFF"/>
            <w:noWrap/>
            <w:vAlign w:val="center"/>
            <w:hideMark/>
          </w:tcPr>
          <w:p w14:paraId="231DB3AE" w14:textId="77777777" w:rsidR="00EC4B36" w:rsidRPr="00AC57D5" w:rsidRDefault="00EC4B36" w:rsidP="006B5A62">
            <w:pPr>
              <w:spacing w:after="0" w:line="240" w:lineRule="auto"/>
              <w:jc w:val="left"/>
              <w:rPr>
                <w:rFonts w:ascii="Arial Narrow" w:eastAsia="Times New Roman" w:hAnsi="Arial Narrow"/>
                <w:color w:val="000000"/>
                <w:sz w:val="20"/>
                <w:szCs w:val="20"/>
                <w:lang w:val="es-ES" w:eastAsia="es-ES"/>
              </w:rPr>
            </w:pPr>
            <w:r w:rsidRPr="00AC57D5">
              <w:rPr>
                <w:rFonts w:ascii="Arial Narrow" w:eastAsia="Times New Roman" w:hAnsi="Arial Narrow"/>
                <w:color w:val="000000"/>
                <w:sz w:val="20"/>
                <w:szCs w:val="20"/>
                <w:lang w:val="es-ES" w:eastAsia="es-ES"/>
              </w:rPr>
              <w:t>ESTRUCTURAS CON ACERO</w:t>
            </w:r>
          </w:p>
        </w:tc>
        <w:tc>
          <w:tcPr>
            <w:tcW w:w="1701" w:type="dxa"/>
            <w:tcBorders>
              <w:top w:val="nil"/>
              <w:left w:val="nil"/>
              <w:bottom w:val="single" w:sz="4" w:space="0" w:color="auto"/>
              <w:right w:val="single" w:sz="4" w:space="0" w:color="auto"/>
            </w:tcBorders>
            <w:shd w:val="clear" w:color="auto" w:fill="auto"/>
            <w:noWrap/>
            <w:vAlign w:val="center"/>
            <w:hideMark/>
          </w:tcPr>
          <w:p w14:paraId="4582E883" w14:textId="77777777" w:rsidR="00EC4B36" w:rsidRPr="00AC57D5" w:rsidRDefault="00EC4B36" w:rsidP="006B5A62">
            <w:pPr>
              <w:spacing w:before="20" w:after="20" w:line="240" w:lineRule="auto"/>
              <w:jc w:val="center"/>
              <w:rPr>
                <w:rFonts w:ascii="Arial Narrow" w:eastAsia="Times New Roman" w:hAnsi="Arial Narrow"/>
                <w:color w:val="000000"/>
                <w:sz w:val="20"/>
                <w:szCs w:val="20"/>
                <w:lang w:val="es-ES" w:eastAsia="es-ES"/>
              </w:rPr>
            </w:pPr>
            <w:r w:rsidRPr="00AC57D5">
              <w:rPr>
                <w:rFonts w:ascii="Arial Narrow" w:eastAsia="Times New Roman" w:hAnsi="Arial Narrow"/>
                <w:color w:val="000000"/>
                <w:sz w:val="20"/>
                <w:szCs w:val="20"/>
                <w:lang w:val="es-ES" w:eastAsia="es-ES"/>
              </w:rPr>
              <w:t>C7</w:t>
            </w:r>
          </w:p>
        </w:tc>
      </w:tr>
      <w:tr w:rsidR="00EC4B36" w:rsidRPr="00AC57D5" w14:paraId="53CD397C" w14:textId="77777777" w:rsidTr="006B5A62">
        <w:trPr>
          <w:jc w:val="center"/>
        </w:trPr>
        <w:tc>
          <w:tcPr>
            <w:tcW w:w="5670" w:type="dxa"/>
            <w:tcBorders>
              <w:top w:val="nil"/>
              <w:left w:val="single" w:sz="4" w:space="0" w:color="auto"/>
              <w:bottom w:val="single" w:sz="4" w:space="0" w:color="auto"/>
              <w:right w:val="single" w:sz="4" w:space="0" w:color="auto"/>
            </w:tcBorders>
            <w:shd w:val="clear" w:color="000000" w:fill="FFFFFF"/>
            <w:noWrap/>
            <w:vAlign w:val="center"/>
            <w:hideMark/>
          </w:tcPr>
          <w:p w14:paraId="182B10EC" w14:textId="77777777" w:rsidR="00EC4B36" w:rsidRPr="00AC57D5" w:rsidRDefault="00EC4B36" w:rsidP="006B5A62">
            <w:pPr>
              <w:spacing w:after="0" w:line="240" w:lineRule="auto"/>
              <w:jc w:val="left"/>
              <w:rPr>
                <w:rFonts w:ascii="Arial Narrow" w:eastAsia="Times New Roman" w:hAnsi="Arial Narrow"/>
                <w:color w:val="000000"/>
                <w:sz w:val="20"/>
                <w:szCs w:val="20"/>
                <w:lang w:val="es-ES" w:eastAsia="es-ES"/>
              </w:rPr>
            </w:pPr>
            <w:r w:rsidRPr="00AC57D5">
              <w:rPr>
                <w:rFonts w:ascii="Arial Narrow" w:eastAsia="Times New Roman" w:hAnsi="Arial Narrow"/>
                <w:color w:val="000000"/>
                <w:sz w:val="20"/>
                <w:szCs w:val="20"/>
                <w:lang w:val="es-ES" w:eastAsia="es-ES"/>
              </w:rPr>
              <w:t>ESTRUCTURAS CON HORMIGON</w:t>
            </w:r>
          </w:p>
        </w:tc>
        <w:tc>
          <w:tcPr>
            <w:tcW w:w="1701" w:type="dxa"/>
            <w:tcBorders>
              <w:top w:val="nil"/>
              <w:left w:val="nil"/>
              <w:bottom w:val="single" w:sz="4" w:space="0" w:color="auto"/>
              <w:right w:val="single" w:sz="4" w:space="0" w:color="auto"/>
            </w:tcBorders>
            <w:shd w:val="clear" w:color="auto" w:fill="auto"/>
            <w:noWrap/>
            <w:vAlign w:val="center"/>
            <w:hideMark/>
          </w:tcPr>
          <w:p w14:paraId="4734E8A1" w14:textId="77777777" w:rsidR="00EC4B36" w:rsidRPr="00AC57D5" w:rsidRDefault="00EC4B36" w:rsidP="006B5A62">
            <w:pPr>
              <w:spacing w:before="20" w:after="20" w:line="240" w:lineRule="auto"/>
              <w:jc w:val="center"/>
              <w:rPr>
                <w:rFonts w:ascii="Arial Narrow" w:eastAsia="Times New Roman" w:hAnsi="Arial Narrow"/>
                <w:color w:val="000000"/>
                <w:sz w:val="20"/>
                <w:szCs w:val="20"/>
                <w:lang w:val="es-ES" w:eastAsia="es-ES"/>
              </w:rPr>
            </w:pPr>
            <w:r w:rsidRPr="00AC57D5">
              <w:rPr>
                <w:rFonts w:ascii="Arial Narrow" w:eastAsia="Times New Roman" w:hAnsi="Arial Narrow"/>
                <w:color w:val="000000"/>
                <w:sz w:val="20"/>
                <w:szCs w:val="20"/>
                <w:lang w:val="es-ES" w:eastAsia="es-ES"/>
              </w:rPr>
              <w:t>C6</w:t>
            </w:r>
          </w:p>
        </w:tc>
      </w:tr>
      <w:tr w:rsidR="00EC4B36" w:rsidRPr="00AC57D5" w14:paraId="6B102F50" w14:textId="77777777" w:rsidTr="006B5A62">
        <w:trPr>
          <w:jc w:val="center"/>
        </w:trPr>
        <w:tc>
          <w:tcPr>
            <w:tcW w:w="5670" w:type="dxa"/>
            <w:tcBorders>
              <w:top w:val="nil"/>
              <w:left w:val="single" w:sz="4" w:space="0" w:color="auto"/>
              <w:bottom w:val="single" w:sz="4" w:space="0" w:color="auto"/>
              <w:right w:val="single" w:sz="4" w:space="0" w:color="auto"/>
            </w:tcBorders>
            <w:shd w:val="clear" w:color="000000" w:fill="FFFFFF"/>
            <w:noWrap/>
            <w:vAlign w:val="center"/>
            <w:hideMark/>
          </w:tcPr>
          <w:p w14:paraId="03233174" w14:textId="77777777" w:rsidR="00EC4B36" w:rsidRPr="00AC57D5" w:rsidRDefault="00EC4B36" w:rsidP="006B5A62">
            <w:pPr>
              <w:spacing w:after="0" w:line="240" w:lineRule="auto"/>
              <w:jc w:val="left"/>
              <w:rPr>
                <w:rFonts w:ascii="Arial Narrow" w:eastAsia="Times New Roman" w:hAnsi="Arial Narrow"/>
                <w:color w:val="000000"/>
                <w:sz w:val="20"/>
                <w:szCs w:val="20"/>
                <w:lang w:val="es-ES" w:eastAsia="es-ES"/>
              </w:rPr>
            </w:pPr>
            <w:r w:rsidRPr="00AC57D5">
              <w:rPr>
                <w:rFonts w:ascii="Arial Narrow" w:eastAsia="Times New Roman" w:hAnsi="Arial Narrow"/>
                <w:color w:val="000000"/>
                <w:sz w:val="20"/>
                <w:szCs w:val="20"/>
                <w:lang w:val="es-ES" w:eastAsia="es-ES"/>
              </w:rPr>
              <w:t>ESTRUCTURAS SUBESTACION</w:t>
            </w:r>
          </w:p>
        </w:tc>
        <w:tc>
          <w:tcPr>
            <w:tcW w:w="1701" w:type="dxa"/>
            <w:tcBorders>
              <w:top w:val="nil"/>
              <w:left w:val="nil"/>
              <w:bottom w:val="single" w:sz="4" w:space="0" w:color="auto"/>
              <w:right w:val="single" w:sz="4" w:space="0" w:color="auto"/>
            </w:tcBorders>
            <w:shd w:val="clear" w:color="auto" w:fill="auto"/>
            <w:noWrap/>
            <w:vAlign w:val="center"/>
            <w:hideMark/>
          </w:tcPr>
          <w:p w14:paraId="782CD5BA" w14:textId="77777777" w:rsidR="00EC4B36" w:rsidRPr="00AC57D5" w:rsidRDefault="00EC4B36" w:rsidP="006B5A62">
            <w:pPr>
              <w:spacing w:before="20" w:after="20" w:line="240" w:lineRule="auto"/>
              <w:jc w:val="center"/>
              <w:rPr>
                <w:rFonts w:ascii="Arial Narrow" w:eastAsia="Times New Roman" w:hAnsi="Arial Narrow"/>
                <w:color w:val="000000"/>
                <w:sz w:val="20"/>
                <w:szCs w:val="20"/>
                <w:lang w:val="es-ES" w:eastAsia="es-ES"/>
              </w:rPr>
            </w:pPr>
            <w:r w:rsidRPr="00AC57D5">
              <w:rPr>
                <w:rFonts w:ascii="Arial Narrow" w:eastAsia="Times New Roman" w:hAnsi="Arial Narrow"/>
                <w:color w:val="000000"/>
                <w:sz w:val="20"/>
                <w:szCs w:val="20"/>
                <w:lang w:val="es-ES" w:eastAsia="es-ES"/>
              </w:rPr>
              <w:t>C4</w:t>
            </w:r>
          </w:p>
        </w:tc>
      </w:tr>
      <w:tr w:rsidR="00EC4B36" w:rsidRPr="00AC57D5" w14:paraId="1B03A2A4" w14:textId="77777777" w:rsidTr="006B5A62">
        <w:trPr>
          <w:jc w:val="center"/>
        </w:trPr>
        <w:tc>
          <w:tcPr>
            <w:tcW w:w="5670" w:type="dxa"/>
            <w:tcBorders>
              <w:top w:val="nil"/>
              <w:left w:val="single" w:sz="4" w:space="0" w:color="auto"/>
              <w:bottom w:val="single" w:sz="4" w:space="0" w:color="auto"/>
              <w:right w:val="single" w:sz="4" w:space="0" w:color="auto"/>
            </w:tcBorders>
            <w:shd w:val="clear" w:color="000000" w:fill="FFFFFF"/>
            <w:noWrap/>
            <w:vAlign w:val="center"/>
            <w:hideMark/>
          </w:tcPr>
          <w:p w14:paraId="66F412A9" w14:textId="77777777" w:rsidR="00EC4B36" w:rsidRPr="00AC57D5" w:rsidRDefault="00EC4B36" w:rsidP="006B5A62">
            <w:pPr>
              <w:spacing w:after="0" w:line="240" w:lineRule="auto"/>
              <w:jc w:val="left"/>
              <w:rPr>
                <w:rFonts w:ascii="Arial Narrow" w:eastAsia="Times New Roman" w:hAnsi="Arial Narrow"/>
                <w:color w:val="000000"/>
                <w:sz w:val="20"/>
                <w:szCs w:val="20"/>
                <w:lang w:val="es-ES" w:eastAsia="es-ES"/>
              </w:rPr>
            </w:pPr>
            <w:r w:rsidRPr="00AC57D5">
              <w:rPr>
                <w:rFonts w:ascii="Arial Narrow" w:eastAsia="Times New Roman" w:hAnsi="Arial Narrow"/>
                <w:color w:val="000000"/>
                <w:sz w:val="20"/>
                <w:szCs w:val="20"/>
                <w:lang w:val="es-ES" w:eastAsia="es-ES"/>
              </w:rPr>
              <w:t>HABILITACION ACCESO ESTRUCTURAS</w:t>
            </w:r>
          </w:p>
        </w:tc>
        <w:tc>
          <w:tcPr>
            <w:tcW w:w="1701" w:type="dxa"/>
            <w:tcBorders>
              <w:top w:val="nil"/>
              <w:left w:val="nil"/>
              <w:bottom w:val="single" w:sz="4" w:space="0" w:color="auto"/>
              <w:right w:val="single" w:sz="4" w:space="0" w:color="auto"/>
            </w:tcBorders>
            <w:shd w:val="clear" w:color="auto" w:fill="auto"/>
            <w:noWrap/>
            <w:vAlign w:val="center"/>
            <w:hideMark/>
          </w:tcPr>
          <w:p w14:paraId="3C7CCE50" w14:textId="77777777" w:rsidR="00EC4B36" w:rsidRPr="00AC57D5" w:rsidRDefault="00EC4B36" w:rsidP="006B5A62">
            <w:pPr>
              <w:spacing w:before="20" w:after="20" w:line="240" w:lineRule="auto"/>
              <w:jc w:val="center"/>
              <w:rPr>
                <w:rFonts w:ascii="Arial Narrow" w:eastAsia="Times New Roman" w:hAnsi="Arial Narrow"/>
                <w:color w:val="000000"/>
                <w:sz w:val="20"/>
                <w:szCs w:val="20"/>
                <w:lang w:val="es-ES" w:eastAsia="es-ES"/>
              </w:rPr>
            </w:pPr>
            <w:r w:rsidRPr="00AC57D5">
              <w:rPr>
                <w:rFonts w:ascii="Arial Narrow" w:eastAsia="Times New Roman" w:hAnsi="Arial Narrow"/>
                <w:color w:val="000000"/>
                <w:sz w:val="20"/>
                <w:szCs w:val="20"/>
                <w:lang w:val="es-ES" w:eastAsia="es-ES"/>
              </w:rPr>
              <w:t>C1</w:t>
            </w:r>
          </w:p>
        </w:tc>
      </w:tr>
      <w:tr w:rsidR="00EC4B36" w:rsidRPr="00AC57D5" w14:paraId="4EE22855" w14:textId="77777777" w:rsidTr="006B5A62">
        <w:trPr>
          <w:jc w:val="center"/>
        </w:trPr>
        <w:tc>
          <w:tcPr>
            <w:tcW w:w="5670" w:type="dxa"/>
            <w:tcBorders>
              <w:top w:val="nil"/>
              <w:left w:val="single" w:sz="4" w:space="0" w:color="auto"/>
              <w:bottom w:val="single" w:sz="4" w:space="0" w:color="auto"/>
              <w:right w:val="single" w:sz="4" w:space="0" w:color="auto"/>
            </w:tcBorders>
            <w:shd w:val="clear" w:color="000000" w:fill="FFFFFF"/>
            <w:noWrap/>
            <w:vAlign w:val="center"/>
            <w:hideMark/>
          </w:tcPr>
          <w:p w14:paraId="75831D4E" w14:textId="77777777" w:rsidR="00EC4B36" w:rsidRPr="00AC57D5" w:rsidRDefault="00EC4B36" w:rsidP="006B5A62">
            <w:pPr>
              <w:spacing w:after="0" w:line="240" w:lineRule="auto"/>
              <w:jc w:val="left"/>
              <w:rPr>
                <w:rFonts w:ascii="Arial Narrow" w:eastAsia="Times New Roman" w:hAnsi="Arial Narrow"/>
                <w:color w:val="000000"/>
                <w:sz w:val="20"/>
                <w:szCs w:val="20"/>
                <w:lang w:val="es-ES" w:eastAsia="es-ES"/>
              </w:rPr>
            </w:pPr>
            <w:r w:rsidRPr="00AC57D5">
              <w:rPr>
                <w:rFonts w:ascii="Arial Narrow" w:eastAsia="Times New Roman" w:hAnsi="Arial Narrow"/>
                <w:color w:val="000000"/>
                <w:sz w:val="20"/>
                <w:szCs w:val="20"/>
                <w:lang w:val="es-ES" w:eastAsia="es-ES"/>
              </w:rPr>
              <w:t>INTERRUPTORES</w:t>
            </w:r>
          </w:p>
        </w:tc>
        <w:tc>
          <w:tcPr>
            <w:tcW w:w="1701" w:type="dxa"/>
            <w:tcBorders>
              <w:top w:val="nil"/>
              <w:left w:val="nil"/>
              <w:bottom w:val="single" w:sz="4" w:space="0" w:color="auto"/>
              <w:right w:val="single" w:sz="4" w:space="0" w:color="auto"/>
            </w:tcBorders>
            <w:shd w:val="clear" w:color="auto" w:fill="auto"/>
            <w:noWrap/>
            <w:vAlign w:val="center"/>
            <w:hideMark/>
          </w:tcPr>
          <w:p w14:paraId="42082E39" w14:textId="77777777" w:rsidR="00EC4B36" w:rsidRPr="00AC57D5" w:rsidRDefault="00EC4B36" w:rsidP="006B5A62">
            <w:pPr>
              <w:spacing w:before="20" w:after="20" w:line="240" w:lineRule="auto"/>
              <w:jc w:val="center"/>
              <w:rPr>
                <w:rFonts w:ascii="Arial Narrow" w:eastAsia="Times New Roman" w:hAnsi="Arial Narrow"/>
                <w:color w:val="000000"/>
                <w:sz w:val="20"/>
                <w:szCs w:val="20"/>
                <w:lang w:val="es-ES" w:eastAsia="es-ES"/>
              </w:rPr>
            </w:pPr>
            <w:r w:rsidRPr="00AC57D5">
              <w:rPr>
                <w:rFonts w:ascii="Arial Narrow" w:eastAsia="Times New Roman" w:hAnsi="Arial Narrow"/>
                <w:color w:val="000000"/>
                <w:sz w:val="20"/>
                <w:szCs w:val="20"/>
                <w:lang w:val="es-ES" w:eastAsia="es-ES"/>
              </w:rPr>
              <w:t>E2</w:t>
            </w:r>
          </w:p>
        </w:tc>
      </w:tr>
      <w:tr w:rsidR="00EC4B36" w:rsidRPr="00AC57D5" w14:paraId="5592C5A4" w14:textId="77777777" w:rsidTr="006B5A62">
        <w:trPr>
          <w:jc w:val="center"/>
        </w:trPr>
        <w:tc>
          <w:tcPr>
            <w:tcW w:w="5670" w:type="dxa"/>
            <w:tcBorders>
              <w:top w:val="nil"/>
              <w:left w:val="single" w:sz="4" w:space="0" w:color="auto"/>
              <w:bottom w:val="single" w:sz="4" w:space="0" w:color="auto"/>
              <w:right w:val="single" w:sz="4" w:space="0" w:color="auto"/>
            </w:tcBorders>
            <w:shd w:val="clear" w:color="000000" w:fill="FFFFFF"/>
            <w:noWrap/>
            <w:vAlign w:val="center"/>
            <w:hideMark/>
          </w:tcPr>
          <w:p w14:paraId="553226BC" w14:textId="77777777" w:rsidR="00EC4B36" w:rsidRPr="00AC57D5" w:rsidRDefault="00EC4B36" w:rsidP="006B5A62">
            <w:pPr>
              <w:spacing w:after="0" w:line="240" w:lineRule="auto"/>
              <w:jc w:val="left"/>
              <w:rPr>
                <w:rFonts w:ascii="Arial Narrow" w:eastAsia="Times New Roman" w:hAnsi="Arial Narrow"/>
                <w:color w:val="000000"/>
                <w:sz w:val="20"/>
                <w:szCs w:val="20"/>
                <w:lang w:val="es-ES" w:eastAsia="es-ES"/>
              </w:rPr>
            </w:pPr>
            <w:r w:rsidRPr="00AC57D5">
              <w:rPr>
                <w:rFonts w:ascii="Arial Narrow" w:eastAsia="Times New Roman" w:hAnsi="Arial Narrow"/>
                <w:color w:val="000000"/>
                <w:sz w:val="20"/>
                <w:szCs w:val="20"/>
                <w:lang w:val="es-ES" w:eastAsia="es-ES"/>
              </w:rPr>
              <w:t>MATERIALES OOCC</w:t>
            </w:r>
          </w:p>
        </w:tc>
        <w:tc>
          <w:tcPr>
            <w:tcW w:w="1701" w:type="dxa"/>
            <w:tcBorders>
              <w:top w:val="nil"/>
              <w:left w:val="nil"/>
              <w:bottom w:val="single" w:sz="4" w:space="0" w:color="auto"/>
              <w:right w:val="single" w:sz="4" w:space="0" w:color="auto"/>
            </w:tcBorders>
            <w:shd w:val="clear" w:color="auto" w:fill="auto"/>
            <w:noWrap/>
            <w:vAlign w:val="center"/>
            <w:hideMark/>
          </w:tcPr>
          <w:p w14:paraId="0004DCAF" w14:textId="77777777" w:rsidR="00EC4B36" w:rsidRPr="00AC57D5" w:rsidRDefault="00EC4B36" w:rsidP="006B5A62">
            <w:pPr>
              <w:spacing w:before="20" w:after="20" w:line="240" w:lineRule="auto"/>
              <w:jc w:val="center"/>
              <w:rPr>
                <w:rFonts w:ascii="Arial Narrow" w:eastAsia="Times New Roman" w:hAnsi="Arial Narrow"/>
                <w:color w:val="000000"/>
                <w:sz w:val="20"/>
                <w:szCs w:val="20"/>
                <w:lang w:val="es-ES" w:eastAsia="es-ES"/>
              </w:rPr>
            </w:pPr>
            <w:r w:rsidRPr="00AC57D5">
              <w:rPr>
                <w:rFonts w:ascii="Arial Narrow" w:eastAsia="Times New Roman" w:hAnsi="Arial Narrow"/>
                <w:color w:val="000000"/>
                <w:sz w:val="20"/>
                <w:szCs w:val="20"/>
                <w:lang w:val="es-ES" w:eastAsia="es-ES"/>
              </w:rPr>
              <w:t>C6</w:t>
            </w:r>
          </w:p>
        </w:tc>
      </w:tr>
      <w:tr w:rsidR="00EC4B36" w:rsidRPr="00AC57D5" w14:paraId="6933447C" w14:textId="77777777" w:rsidTr="006B5A62">
        <w:trPr>
          <w:jc w:val="center"/>
        </w:trPr>
        <w:tc>
          <w:tcPr>
            <w:tcW w:w="5670" w:type="dxa"/>
            <w:tcBorders>
              <w:top w:val="nil"/>
              <w:left w:val="single" w:sz="4" w:space="0" w:color="auto"/>
              <w:bottom w:val="single" w:sz="4" w:space="0" w:color="auto"/>
              <w:right w:val="single" w:sz="4" w:space="0" w:color="auto"/>
            </w:tcBorders>
            <w:shd w:val="clear" w:color="000000" w:fill="FFFFFF"/>
            <w:noWrap/>
            <w:vAlign w:val="center"/>
            <w:hideMark/>
          </w:tcPr>
          <w:p w14:paraId="7AB51AE3" w14:textId="77777777" w:rsidR="00EC4B36" w:rsidRPr="00AC57D5" w:rsidRDefault="00EC4B36" w:rsidP="006B5A62">
            <w:pPr>
              <w:spacing w:after="0" w:line="240" w:lineRule="auto"/>
              <w:jc w:val="left"/>
              <w:rPr>
                <w:rFonts w:ascii="Arial Narrow" w:eastAsia="Times New Roman" w:hAnsi="Arial Narrow"/>
                <w:color w:val="000000"/>
                <w:sz w:val="20"/>
                <w:szCs w:val="20"/>
                <w:lang w:val="es-ES" w:eastAsia="es-ES"/>
              </w:rPr>
            </w:pPr>
            <w:r w:rsidRPr="00AC57D5">
              <w:rPr>
                <w:rFonts w:ascii="Arial Narrow" w:eastAsia="Times New Roman" w:hAnsi="Arial Narrow"/>
                <w:color w:val="000000"/>
                <w:sz w:val="20"/>
                <w:szCs w:val="20"/>
                <w:lang w:val="es-ES" w:eastAsia="es-ES"/>
              </w:rPr>
              <w:t>MEDIDORES DE FACTURACION</w:t>
            </w:r>
          </w:p>
        </w:tc>
        <w:tc>
          <w:tcPr>
            <w:tcW w:w="1701" w:type="dxa"/>
            <w:tcBorders>
              <w:top w:val="nil"/>
              <w:left w:val="nil"/>
              <w:bottom w:val="single" w:sz="4" w:space="0" w:color="auto"/>
              <w:right w:val="single" w:sz="4" w:space="0" w:color="auto"/>
            </w:tcBorders>
            <w:shd w:val="clear" w:color="auto" w:fill="auto"/>
            <w:noWrap/>
            <w:vAlign w:val="center"/>
            <w:hideMark/>
          </w:tcPr>
          <w:p w14:paraId="10D57D44" w14:textId="77777777" w:rsidR="00EC4B36" w:rsidRPr="00AC57D5" w:rsidRDefault="00EC4B36" w:rsidP="006B5A62">
            <w:pPr>
              <w:spacing w:before="20" w:after="20" w:line="240" w:lineRule="auto"/>
              <w:jc w:val="center"/>
              <w:rPr>
                <w:rFonts w:ascii="Arial Narrow" w:eastAsia="Times New Roman" w:hAnsi="Arial Narrow"/>
                <w:color w:val="000000"/>
                <w:sz w:val="20"/>
                <w:szCs w:val="20"/>
                <w:lang w:val="es-ES" w:eastAsia="es-ES"/>
              </w:rPr>
            </w:pPr>
            <w:r w:rsidRPr="00AC57D5">
              <w:rPr>
                <w:rFonts w:ascii="Arial Narrow" w:eastAsia="Times New Roman" w:hAnsi="Arial Narrow"/>
                <w:color w:val="000000"/>
                <w:sz w:val="20"/>
                <w:szCs w:val="20"/>
                <w:lang w:val="es-ES" w:eastAsia="es-ES"/>
              </w:rPr>
              <w:t>E4</w:t>
            </w:r>
          </w:p>
        </w:tc>
      </w:tr>
      <w:tr w:rsidR="00EC4B36" w:rsidRPr="00AC57D5" w14:paraId="3ECF560E" w14:textId="77777777" w:rsidTr="006B5A62">
        <w:trPr>
          <w:jc w:val="center"/>
        </w:trPr>
        <w:tc>
          <w:tcPr>
            <w:tcW w:w="5670" w:type="dxa"/>
            <w:tcBorders>
              <w:top w:val="nil"/>
              <w:left w:val="single" w:sz="4" w:space="0" w:color="auto"/>
              <w:bottom w:val="single" w:sz="4" w:space="0" w:color="auto"/>
              <w:right w:val="single" w:sz="4" w:space="0" w:color="auto"/>
            </w:tcBorders>
            <w:shd w:val="clear" w:color="000000" w:fill="FFFFFF"/>
            <w:noWrap/>
            <w:vAlign w:val="center"/>
            <w:hideMark/>
          </w:tcPr>
          <w:p w14:paraId="6ED73E62" w14:textId="77777777" w:rsidR="00EC4B36" w:rsidRPr="00AC57D5" w:rsidRDefault="00EC4B36" w:rsidP="006B5A62">
            <w:pPr>
              <w:spacing w:after="0" w:line="240" w:lineRule="auto"/>
              <w:jc w:val="left"/>
              <w:rPr>
                <w:rFonts w:ascii="Arial Narrow" w:eastAsia="Times New Roman" w:hAnsi="Arial Narrow"/>
                <w:color w:val="000000"/>
                <w:sz w:val="20"/>
                <w:szCs w:val="20"/>
                <w:lang w:val="es-ES" w:eastAsia="es-ES"/>
              </w:rPr>
            </w:pPr>
            <w:r w:rsidRPr="00AC57D5">
              <w:rPr>
                <w:rFonts w:ascii="Arial Narrow" w:eastAsia="Times New Roman" w:hAnsi="Arial Narrow"/>
                <w:color w:val="000000"/>
                <w:sz w:val="20"/>
                <w:szCs w:val="20"/>
                <w:lang w:val="es-ES" w:eastAsia="es-ES"/>
              </w:rPr>
              <w:t>PARARRAYOS</w:t>
            </w:r>
          </w:p>
        </w:tc>
        <w:tc>
          <w:tcPr>
            <w:tcW w:w="1701" w:type="dxa"/>
            <w:tcBorders>
              <w:top w:val="nil"/>
              <w:left w:val="nil"/>
              <w:bottom w:val="single" w:sz="4" w:space="0" w:color="auto"/>
              <w:right w:val="single" w:sz="4" w:space="0" w:color="auto"/>
            </w:tcBorders>
            <w:shd w:val="clear" w:color="auto" w:fill="auto"/>
            <w:noWrap/>
            <w:vAlign w:val="center"/>
            <w:hideMark/>
          </w:tcPr>
          <w:p w14:paraId="528120AC" w14:textId="77777777" w:rsidR="00EC4B36" w:rsidRPr="00AC57D5" w:rsidRDefault="00EC4B36" w:rsidP="006B5A62">
            <w:pPr>
              <w:spacing w:before="20" w:after="20" w:line="240" w:lineRule="auto"/>
              <w:jc w:val="center"/>
              <w:rPr>
                <w:rFonts w:ascii="Arial Narrow" w:eastAsia="Times New Roman" w:hAnsi="Arial Narrow"/>
                <w:color w:val="000000"/>
                <w:sz w:val="20"/>
                <w:szCs w:val="20"/>
                <w:lang w:val="es-ES" w:eastAsia="es-ES"/>
              </w:rPr>
            </w:pPr>
            <w:r w:rsidRPr="00AC57D5">
              <w:rPr>
                <w:rFonts w:ascii="Arial Narrow" w:eastAsia="Times New Roman" w:hAnsi="Arial Narrow"/>
                <w:color w:val="000000"/>
                <w:sz w:val="20"/>
                <w:szCs w:val="20"/>
                <w:lang w:val="es-ES" w:eastAsia="es-ES"/>
              </w:rPr>
              <w:t>E2</w:t>
            </w:r>
          </w:p>
        </w:tc>
      </w:tr>
      <w:tr w:rsidR="00EC4B36" w:rsidRPr="00AC57D5" w14:paraId="1F563007" w14:textId="77777777" w:rsidTr="006B5A62">
        <w:trPr>
          <w:jc w:val="center"/>
        </w:trPr>
        <w:tc>
          <w:tcPr>
            <w:tcW w:w="5670" w:type="dxa"/>
            <w:tcBorders>
              <w:top w:val="nil"/>
              <w:left w:val="single" w:sz="4" w:space="0" w:color="auto"/>
              <w:bottom w:val="single" w:sz="4" w:space="0" w:color="auto"/>
              <w:right w:val="single" w:sz="4" w:space="0" w:color="auto"/>
            </w:tcBorders>
            <w:shd w:val="clear" w:color="000000" w:fill="FFFFFF"/>
            <w:noWrap/>
            <w:vAlign w:val="center"/>
            <w:hideMark/>
          </w:tcPr>
          <w:p w14:paraId="33251C52" w14:textId="77777777" w:rsidR="00EC4B36" w:rsidRPr="00AC57D5" w:rsidRDefault="00EC4B36" w:rsidP="006B5A62">
            <w:pPr>
              <w:spacing w:after="0" w:line="240" w:lineRule="auto"/>
              <w:jc w:val="left"/>
              <w:rPr>
                <w:rFonts w:ascii="Arial Narrow" w:eastAsia="Times New Roman" w:hAnsi="Arial Narrow"/>
                <w:color w:val="000000"/>
                <w:sz w:val="20"/>
                <w:szCs w:val="20"/>
                <w:lang w:val="es-ES" w:eastAsia="es-ES"/>
              </w:rPr>
            </w:pPr>
            <w:r w:rsidRPr="00AC57D5">
              <w:rPr>
                <w:rFonts w:ascii="Arial Narrow" w:eastAsia="Times New Roman" w:hAnsi="Arial Narrow"/>
                <w:color w:val="000000"/>
                <w:sz w:val="20"/>
                <w:szCs w:val="20"/>
                <w:lang w:val="es-ES" w:eastAsia="es-ES"/>
              </w:rPr>
              <w:t>REACTORES LINEA</w:t>
            </w:r>
          </w:p>
        </w:tc>
        <w:tc>
          <w:tcPr>
            <w:tcW w:w="1701" w:type="dxa"/>
            <w:tcBorders>
              <w:top w:val="nil"/>
              <w:left w:val="nil"/>
              <w:bottom w:val="single" w:sz="4" w:space="0" w:color="auto"/>
              <w:right w:val="single" w:sz="4" w:space="0" w:color="auto"/>
            </w:tcBorders>
            <w:shd w:val="clear" w:color="auto" w:fill="auto"/>
            <w:noWrap/>
            <w:vAlign w:val="center"/>
            <w:hideMark/>
          </w:tcPr>
          <w:p w14:paraId="31BC4956" w14:textId="77777777" w:rsidR="00EC4B36" w:rsidRPr="00AC57D5" w:rsidRDefault="00EC4B36" w:rsidP="006B5A62">
            <w:pPr>
              <w:spacing w:before="20" w:after="20" w:line="240" w:lineRule="auto"/>
              <w:jc w:val="center"/>
              <w:rPr>
                <w:rFonts w:ascii="Arial Narrow" w:eastAsia="Times New Roman" w:hAnsi="Arial Narrow"/>
                <w:color w:val="000000"/>
                <w:sz w:val="20"/>
                <w:szCs w:val="20"/>
                <w:lang w:val="es-ES" w:eastAsia="es-ES"/>
              </w:rPr>
            </w:pPr>
            <w:r w:rsidRPr="00AC57D5">
              <w:rPr>
                <w:rFonts w:ascii="Arial Narrow" w:eastAsia="Times New Roman" w:hAnsi="Arial Narrow"/>
                <w:color w:val="000000"/>
                <w:sz w:val="20"/>
                <w:szCs w:val="20"/>
                <w:lang w:val="es-ES" w:eastAsia="es-ES"/>
              </w:rPr>
              <w:t>E1</w:t>
            </w:r>
          </w:p>
        </w:tc>
      </w:tr>
      <w:tr w:rsidR="00EC4B36" w:rsidRPr="00AC57D5" w14:paraId="2EF46D25" w14:textId="77777777" w:rsidTr="006B5A62">
        <w:trPr>
          <w:jc w:val="center"/>
        </w:trPr>
        <w:tc>
          <w:tcPr>
            <w:tcW w:w="5670" w:type="dxa"/>
            <w:tcBorders>
              <w:top w:val="nil"/>
              <w:left w:val="single" w:sz="4" w:space="0" w:color="auto"/>
              <w:bottom w:val="single" w:sz="4" w:space="0" w:color="auto"/>
              <w:right w:val="single" w:sz="4" w:space="0" w:color="auto"/>
            </w:tcBorders>
            <w:shd w:val="clear" w:color="000000" w:fill="FFFFFF"/>
            <w:noWrap/>
            <w:vAlign w:val="center"/>
            <w:hideMark/>
          </w:tcPr>
          <w:p w14:paraId="487D3078" w14:textId="77777777" w:rsidR="00EC4B36" w:rsidRPr="00AC57D5" w:rsidRDefault="00EC4B36" w:rsidP="006B5A62">
            <w:pPr>
              <w:spacing w:after="0" w:line="240" w:lineRule="auto"/>
              <w:jc w:val="left"/>
              <w:rPr>
                <w:rFonts w:ascii="Arial Narrow" w:eastAsia="Times New Roman" w:hAnsi="Arial Narrow"/>
                <w:color w:val="000000"/>
                <w:sz w:val="20"/>
                <w:szCs w:val="20"/>
                <w:lang w:val="es-ES" w:eastAsia="es-ES"/>
              </w:rPr>
            </w:pPr>
            <w:r w:rsidRPr="00AC57D5">
              <w:rPr>
                <w:rFonts w:ascii="Arial Narrow" w:eastAsia="Times New Roman" w:hAnsi="Arial Narrow"/>
                <w:color w:val="000000"/>
                <w:sz w:val="20"/>
                <w:szCs w:val="20"/>
                <w:lang w:val="es-ES" w:eastAsia="es-ES"/>
              </w:rPr>
              <w:t>SISTEMAS CONTROL PANOS</w:t>
            </w:r>
          </w:p>
        </w:tc>
        <w:tc>
          <w:tcPr>
            <w:tcW w:w="1701" w:type="dxa"/>
            <w:tcBorders>
              <w:top w:val="nil"/>
              <w:left w:val="nil"/>
              <w:bottom w:val="single" w:sz="4" w:space="0" w:color="auto"/>
              <w:right w:val="single" w:sz="4" w:space="0" w:color="auto"/>
            </w:tcBorders>
            <w:shd w:val="clear" w:color="auto" w:fill="auto"/>
            <w:noWrap/>
            <w:vAlign w:val="center"/>
            <w:hideMark/>
          </w:tcPr>
          <w:p w14:paraId="05B940B7" w14:textId="77777777" w:rsidR="00EC4B36" w:rsidRPr="00AC57D5" w:rsidRDefault="00EC4B36" w:rsidP="006B5A62">
            <w:pPr>
              <w:spacing w:before="20" w:after="20" w:line="240" w:lineRule="auto"/>
              <w:jc w:val="center"/>
              <w:rPr>
                <w:rFonts w:ascii="Arial Narrow" w:eastAsia="Times New Roman" w:hAnsi="Arial Narrow"/>
                <w:color w:val="000000"/>
                <w:sz w:val="20"/>
                <w:szCs w:val="20"/>
                <w:lang w:val="es-ES" w:eastAsia="es-ES"/>
              </w:rPr>
            </w:pPr>
            <w:r w:rsidRPr="00AC57D5">
              <w:rPr>
                <w:rFonts w:ascii="Arial Narrow" w:eastAsia="Times New Roman" w:hAnsi="Arial Narrow"/>
                <w:color w:val="000000"/>
                <w:sz w:val="20"/>
                <w:szCs w:val="20"/>
                <w:lang w:val="es-ES" w:eastAsia="es-ES"/>
              </w:rPr>
              <w:t>E4</w:t>
            </w:r>
          </w:p>
        </w:tc>
      </w:tr>
      <w:tr w:rsidR="00EC4B36" w:rsidRPr="00AC57D5" w14:paraId="0350A727" w14:textId="77777777" w:rsidTr="006B5A62">
        <w:trPr>
          <w:jc w:val="center"/>
        </w:trPr>
        <w:tc>
          <w:tcPr>
            <w:tcW w:w="5670" w:type="dxa"/>
            <w:tcBorders>
              <w:top w:val="nil"/>
              <w:left w:val="single" w:sz="4" w:space="0" w:color="auto"/>
              <w:bottom w:val="single" w:sz="4" w:space="0" w:color="auto"/>
              <w:right w:val="single" w:sz="4" w:space="0" w:color="auto"/>
            </w:tcBorders>
            <w:shd w:val="clear" w:color="000000" w:fill="FFFFFF"/>
            <w:noWrap/>
            <w:vAlign w:val="center"/>
            <w:hideMark/>
          </w:tcPr>
          <w:p w14:paraId="720BF4E9" w14:textId="77777777" w:rsidR="00EC4B36" w:rsidRPr="00AC57D5" w:rsidRDefault="00EC4B36" w:rsidP="006B5A62">
            <w:pPr>
              <w:spacing w:after="0" w:line="240" w:lineRule="auto"/>
              <w:jc w:val="left"/>
              <w:rPr>
                <w:rFonts w:ascii="Arial Narrow" w:eastAsia="Times New Roman" w:hAnsi="Arial Narrow"/>
                <w:color w:val="000000"/>
                <w:sz w:val="20"/>
                <w:szCs w:val="20"/>
                <w:lang w:val="es-ES" w:eastAsia="es-ES"/>
              </w:rPr>
            </w:pPr>
            <w:r w:rsidRPr="00AC57D5">
              <w:rPr>
                <w:rFonts w:ascii="Arial Narrow" w:eastAsia="Times New Roman" w:hAnsi="Arial Narrow"/>
                <w:color w:val="000000"/>
                <w:sz w:val="20"/>
                <w:szCs w:val="20"/>
                <w:lang w:val="es-ES" w:eastAsia="es-ES"/>
              </w:rPr>
              <w:t>TRAMPAS DE ONDA</w:t>
            </w:r>
          </w:p>
        </w:tc>
        <w:tc>
          <w:tcPr>
            <w:tcW w:w="1701" w:type="dxa"/>
            <w:tcBorders>
              <w:top w:val="nil"/>
              <w:left w:val="nil"/>
              <w:bottom w:val="single" w:sz="4" w:space="0" w:color="auto"/>
              <w:right w:val="single" w:sz="4" w:space="0" w:color="auto"/>
            </w:tcBorders>
            <w:shd w:val="clear" w:color="auto" w:fill="auto"/>
            <w:noWrap/>
            <w:vAlign w:val="center"/>
            <w:hideMark/>
          </w:tcPr>
          <w:p w14:paraId="4FBF91FE" w14:textId="77777777" w:rsidR="00EC4B36" w:rsidRPr="00AC57D5" w:rsidRDefault="00EC4B36" w:rsidP="006B5A62">
            <w:pPr>
              <w:spacing w:before="20" w:after="20" w:line="240" w:lineRule="auto"/>
              <w:jc w:val="center"/>
              <w:rPr>
                <w:rFonts w:ascii="Arial Narrow" w:eastAsia="Times New Roman" w:hAnsi="Arial Narrow"/>
                <w:color w:val="000000"/>
                <w:sz w:val="20"/>
                <w:szCs w:val="20"/>
                <w:lang w:val="es-ES" w:eastAsia="es-ES"/>
              </w:rPr>
            </w:pPr>
            <w:r w:rsidRPr="00AC57D5">
              <w:rPr>
                <w:rFonts w:ascii="Arial Narrow" w:eastAsia="Times New Roman" w:hAnsi="Arial Narrow"/>
                <w:color w:val="000000"/>
                <w:sz w:val="20"/>
                <w:szCs w:val="20"/>
                <w:lang w:val="es-ES" w:eastAsia="es-ES"/>
              </w:rPr>
              <w:t>E2</w:t>
            </w:r>
          </w:p>
        </w:tc>
      </w:tr>
      <w:tr w:rsidR="00EC4B36" w:rsidRPr="00AC57D5" w14:paraId="0780F991" w14:textId="77777777" w:rsidTr="006B5A62">
        <w:trPr>
          <w:jc w:val="center"/>
        </w:trPr>
        <w:tc>
          <w:tcPr>
            <w:tcW w:w="5670" w:type="dxa"/>
            <w:tcBorders>
              <w:top w:val="nil"/>
              <w:left w:val="single" w:sz="4" w:space="0" w:color="auto"/>
              <w:bottom w:val="single" w:sz="4" w:space="0" w:color="auto"/>
              <w:right w:val="single" w:sz="4" w:space="0" w:color="auto"/>
            </w:tcBorders>
            <w:shd w:val="clear" w:color="000000" w:fill="FFFFFF"/>
            <w:noWrap/>
            <w:vAlign w:val="center"/>
            <w:hideMark/>
          </w:tcPr>
          <w:p w14:paraId="48292988" w14:textId="77777777" w:rsidR="00EC4B36" w:rsidRPr="00AC57D5" w:rsidRDefault="00EC4B36" w:rsidP="006B5A62">
            <w:pPr>
              <w:spacing w:after="0" w:line="240" w:lineRule="auto"/>
              <w:jc w:val="left"/>
              <w:rPr>
                <w:rFonts w:ascii="Arial Narrow" w:eastAsia="Times New Roman" w:hAnsi="Arial Narrow"/>
                <w:color w:val="000000"/>
                <w:sz w:val="20"/>
                <w:szCs w:val="20"/>
                <w:lang w:val="es-ES" w:eastAsia="es-ES"/>
              </w:rPr>
            </w:pPr>
            <w:r w:rsidRPr="00AC57D5">
              <w:rPr>
                <w:rFonts w:ascii="Arial Narrow" w:eastAsia="Times New Roman" w:hAnsi="Arial Narrow"/>
                <w:color w:val="000000"/>
                <w:sz w:val="20"/>
                <w:szCs w:val="20"/>
                <w:lang w:val="es-ES" w:eastAsia="es-ES"/>
              </w:rPr>
              <w:t>TRANSFORMADORES DE CORRIENTE</w:t>
            </w:r>
          </w:p>
        </w:tc>
        <w:tc>
          <w:tcPr>
            <w:tcW w:w="1701" w:type="dxa"/>
            <w:tcBorders>
              <w:top w:val="nil"/>
              <w:left w:val="nil"/>
              <w:bottom w:val="single" w:sz="4" w:space="0" w:color="auto"/>
              <w:right w:val="single" w:sz="4" w:space="0" w:color="auto"/>
            </w:tcBorders>
            <w:shd w:val="clear" w:color="auto" w:fill="auto"/>
            <w:noWrap/>
            <w:vAlign w:val="center"/>
            <w:hideMark/>
          </w:tcPr>
          <w:p w14:paraId="6E2B203F" w14:textId="77777777" w:rsidR="00EC4B36" w:rsidRPr="00AC57D5" w:rsidRDefault="00EC4B36" w:rsidP="006B5A62">
            <w:pPr>
              <w:spacing w:before="20" w:after="20" w:line="240" w:lineRule="auto"/>
              <w:jc w:val="center"/>
              <w:rPr>
                <w:rFonts w:ascii="Arial Narrow" w:eastAsia="Times New Roman" w:hAnsi="Arial Narrow"/>
                <w:color w:val="000000"/>
                <w:sz w:val="20"/>
                <w:szCs w:val="20"/>
                <w:lang w:val="es-ES" w:eastAsia="es-ES"/>
              </w:rPr>
            </w:pPr>
            <w:r w:rsidRPr="00AC57D5">
              <w:rPr>
                <w:rFonts w:ascii="Arial Narrow" w:eastAsia="Times New Roman" w:hAnsi="Arial Narrow"/>
                <w:color w:val="000000"/>
                <w:sz w:val="20"/>
                <w:szCs w:val="20"/>
                <w:lang w:val="es-ES" w:eastAsia="es-ES"/>
              </w:rPr>
              <w:t>E2</w:t>
            </w:r>
          </w:p>
        </w:tc>
      </w:tr>
      <w:tr w:rsidR="00EC4B36" w:rsidRPr="00AC57D5" w14:paraId="5DAD9345" w14:textId="77777777" w:rsidTr="006B5A62">
        <w:trPr>
          <w:jc w:val="center"/>
        </w:trPr>
        <w:tc>
          <w:tcPr>
            <w:tcW w:w="5670" w:type="dxa"/>
            <w:tcBorders>
              <w:top w:val="nil"/>
              <w:left w:val="single" w:sz="4" w:space="0" w:color="auto"/>
              <w:bottom w:val="single" w:sz="4" w:space="0" w:color="auto"/>
              <w:right w:val="single" w:sz="4" w:space="0" w:color="auto"/>
            </w:tcBorders>
            <w:shd w:val="clear" w:color="000000" w:fill="FFFFFF"/>
            <w:noWrap/>
            <w:vAlign w:val="center"/>
            <w:hideMark/>
          </w:tcPr>
          <w:p w14:paraId="79F2D9B5" w14:textId="77777777" w:rsidR="00EC4B36" w:rsidRPr="00AC57D5" w:rsidRDefault="00EC4B36" w:rsidP="006B5A62">
            <w:pPr>
              <w:spacing w:after="0" w:line="240" w:lineRule="auto"/>
              <w:jc w:val="left"/>
              <w:rPr>
                <w:rFonts w:ascii="Arial Narrow" w:eastAsia="Times New Roman" w:hAnsi="Arial Narrow"/>
                <w:color w:val="000000"/>
                <w:sz w:val="20"/>
                <w:szCs w:val="20"/>
                <w:lang w:val="es-ES" w:eastAsia="es-ES"/>
              </w:rPr>
            </w:pPr>
            <w:r w:rsidRPr="00AC57D5">
              <w:rPr>
                <w:rFonts w:ascii="Arial Narrow" w:eastAsia="Times New Roman" w:hAnsi="Arial Narrow"/>
                <w:color w:val="000000"/>
                <w:sz w:val="20"/>
                <w:szCs w:val="20"/>
                <w:lang w:val="es-ES" w:eastAsia="es-ES"/>
              </w:rPr>
              <w:t>TRANSFORMADORES DE PODER</w:t>
            </w:r>
          </w:p>
        </w:tc>
        <w:tc>
          <w:tcPr>
            <w:tcW w:w="1701" w:type="dxa"/>
            <w:tcBorders>
              <w:top w:val="nil"/>
              <w:left w:val="nil"/>
              <w:bottom w:val="single" w:sz="4" w:space="0" w:color="auto"/>
              <w:right w:val="single" w:sz="4" w:space="0" w:color="auto"/>
            </w:tcBorders>
            <w:shd w:val="clear" w:color="auto" w:fill="auto"/>
            <w:noWrap/>
            <w:vAlign w:val="center"/>
            <w:hideMark/>
          </w:tcPr>
          <w:p w14:paraId="7496F122" w14:textId="77777777" w:rsidR="00EC4B36" w:rsidRPr="00AC57D5" w:rsidRDefault="00EC4B36" w:rsidP="006B5A62">
            <w:pPr>
              <w:spacing w:before="20" w:after="20" w:line="240" w:lineRule="auto"/>
              <w:jc w:val="center"/>
              <w:rPr>
                <w:rFonts w:ascii="Arial Narrow" w:eastAsia="Times New Roman" w:hAnsi="Arial Narrow"/>
                <w:color w:val="000000"/>
                <w:sz w:val="20"/>
                <w:szCs w:val="20"/>
                <w:lang w:val="es-ES" w:eastAsia="es-ES"/>
              </w:rPr>
            </w:pPr>
            <w:r w:rsidRPr="00AC57D5">
              <w:rPr>
                <w:rFonts w:ascii="Arial Narrow" w:eastAsia="Times New Roman" w:hAnsi="Arial Narrow"/>
                <w:color w:val="000000"/>
                <w:sz w:val="20"/>
                <w:szCs w:val="20"/>
                <w:lang w:val="es-ES" w:eastAsia="es-ES"/>
              </w:rPr>
              <w:t>E1</w:t>
            </w:r>
          </w:p>
        </w:tc>
      </w:tr>
      <w:tr w:rsidR="00EC4B36" w:rsidRPr="00AC57D5" w14:paraId="397C5FCA" w14:textId="77777777" w:rsidTr="006B5A62">
        <w:trPr>
          <w:jc w:val="center"/>
        </w:trPr>
        <w:tc>
          <w:tcPr>
            <w:tcW w:w="5670" w:type="dxa"/>
            <w:tcBorders>
              <w:top w:val="nil"/>
              <w:left w:val="single" w:sz="4" w:space="0" w:color="auto"/>
              <w:bottom w:val="single" w:sz="4" w:space="0" w:color="auto"/>
              <w:right w:val="single" w:sz="4" w:space="0" w:color="auto"/>
            </w:tcBorders>
            <w:shd w:val="clear" w:color="000000" w:fill="FFFFFF"/>
            <w:noWrap/>
            <w:vAlign w:val="center"/>
            <w:hideMark/>
          </w:tcPr>
          <w:p w14:paraId="66F7A9E3" w14:textId="77777777" w:rsidR="00EC4B36" w:rsidRPr="00AC57D5" w:rsidRDefault="00EC4B36" w:rsidP="006B5A62">
            <w:pPr>
              <w:spacing w:after="0" w:line="240" w:lineRule="auto"/>
              <w:jc w:val="left"/>
              <w:rPr>
                <w:rFonts w:ascii="Arial Narrow" w:eastAsia="Times New Roman" w:hAnsi="Arial Narrow"/>
                <w:color w:val="000000"/>
                <w:sz w:val="20"/>
                <w:szCs w:val="20"/>
                <w:lang w:val="es-ES" w:eastAsia="es-ES"/>
              </w:rPr>
            </w:pPr>
            <w:r w:rsidRPr="00AC57D5">
              <w:rPr>
                <w:rFonts w:ascii="Arial Narrow" w:eastAsia="Times New Roman" w:hAnsi="Arial Narrow"/>
                <w:color w:val="000000"/>
                <w:sz w:val="20"/>
                <w:szCs w:val="20"/>
                <w:lang w:val="es-ES" w:eastAsia="es-ES"/>
              </w:rPr>
              <w:t>TRANSFORMADORES DE POTENCIAL</w:t>
            </w:r>
          </w:p>
        </w:tc>
        <w:tc>
          <w:tcPr>
            <w:tcW w:w="1701" w:type="dxa"/>
            <w:tcBorders>
              <w:top w:val="nil"/>
              <w:left w:val="nil"/>
              <w:bottom w:val="single" w:sz="4" w:space="0" w:color="auto"/>
              <w:right w:val="single" w:sz="4" w:space="0" w:color="auto"/>
            </w:tcBorders>
            <w:shd w:val="clear" w:color="auto" w:fill="auto"/>
            <w:noWrap/>
            <w:vAlign w:val="center"/>
            <w:hideMark/>
          </w:tcPr>
          <w:p w14:paraId="463D51EA" w14:textId="77777777" w:rsidR="00EC4B36" w:rsidRPr="00AC57D5" w:rsidRDefault="00EC4B36" w:rsidP="006B5A62">
            <w:pPr>
              <w:spacing w:before="20" w:after="20" w:line="240" w:lineRule="auto"/>
              <w:jc w:val="center"/>
              <w:rPr>
                <w:rFonts w:ascii="Arial Narrow" w:eastAsia="Times New Roman" w:hAnsi="Arial Narrow"/>
                <w:color w:val="000000"/>
                <w:sz w:val="20"/>
                <w:szCs w:val="20"/>
                <w:lang w:val="es-ES" w:eastAsia="es-ES"/>
              </w:rPr>
            </w:pPr>
            <w:r w:rsidRPr="00AC57D5">
              <w:rPr>
                <w:rFonts w:ascii="Arial Narrow" w:eastAsia="Times New Roman" w:hAnsi="Arial Narrow"/>
                <w:color w:val="000000"/>
                <w:sz w:val="20"/>
                <w:szCs w:val="20"/>
                <w:lang w:val="es-ES" w:eastAsia="es-ES"/>
              </w:rPr>
              <w:t>E2</w:t>
            </w:r>
          </w:p>
        </w:tc>
      </w:tr>
    </w:tbl>
    <w:p w14:paraId="7373A3CB" w14:textId="77777777" w:rsidR="00EC4B36" w:rsidRDefault="00EC4B36" w:rsidP="00EC4B36">
      <w:pPr>
        <w:spacing w:after="0" w:line="276" w:lineRule="auto"/>
        <w:rPr>
          <w:szCs w:val="22"/>
        </w:rPr>
      </w:pPr>
    </w:p>
    <w:p w14:paraId="365F93AA" w14:textId="77777777" w:rsidR="00EC4B36" w:rsidRPr="00AC57D5" w:rsidRDefault="00EC4B36" w:rsidP="00EC4B36">
      <w:pPr>
        <w:spacing w:line="276" w:lineRule="auto"/>
        <w:rPr>
          <w:szCs w:val="22"/>
        </w:rPr>
      </w:pPr>
      <w:r w:rsidRPr="00AC57D5">
        <w:rPr>
          <w:szCs w:val="22"/>
        </w:rPr>
        <w:t>La lista de actividades de montaje habituales en subestaciones y líneas, junto con las cuadrillas que se han definido para la ejecución de cada una de ellas se muestran en las tablas siguientes:</w:t>
      </w:r>
    </w:p>
    <w:p w14:paraId="0BB0B069" w14:textId="77777777" w:rsidR="00EC4B36" w:rsidRPr="00AC57D5" w:rsidRDefault="00EC4B36" w:rsidP="00EC4B36">
      <w:pPr>
        <w:spacing w:line="276" w:lineRule="auto"/>
        <w:jc w:val="center"/>
        <w:rPr>
          <w:b/>
          <w:iCs/>
          <w:szCs w:val="22"/>
        </w:rPr>
      </w:pPr>
      <w:bookmarkStart w:id="77" w:name="_Toc34655185"/>
      <w:bookmarkStart w:id="78" w:name="_Toc38047801"/>
      <w:bookmarkStart w:id="79" w:name="_Toc39793633"/>
      <w:bookmarkStart w:id="80" w:name="_Toc39795239"/>
      <w:bookmarkStart w:id="81" w:name="_Toc39797919"/>
      <w:r w:rsidRPr="00AC57D5">
        <w:rPr>
          <w:b/>
          <w:iCs/>
          <w:szCs w:val="22"/>
        </w:rPr>
        <w:t xml:space="preserve">Tabla </w:t>
      </w:r>
      <w:r w:rsidRPr="00AC57D5">
        <w:rPr>
          <w:b/>
          <w:iCs/>
          <w:szCs w:val="22"/>
        </w:rPr>
        <w:fldChar w:fldCharType="begin"/>
      </w:r>
      <w:r w:rsidRPr="00AC57D5">
        <w:rPr>
          <w:b/>
          <w:iCs/>
          <w:szCs w:val="22"/>
        </w:rPr>
        <w:instrText xml:space="preserve"> SEQ Tabla \* ARABIC </w:instrText>
      </w:r>
      <w:r w:rsidRPr="00AC57D5">
        <w:rPr>
          <w:b/>
          <w:iCs/>
          <w:szCs w:val="22"/>
        </w:rPr>
        <w:fldChar w:fldCharType="separate"/>
      </w:r>
      <w:r w:rsidR="001F3E2E">
        <w:rPr>
          <w:b/>
          <w:iCs/>
          <w:noProof/>
          <w:szCs w:val="22"/>
        </w:rPr>
        <w:t>9</w:t>
      </w:r>
      <w:r w:rsidRPr="00AC57D5">
        <w:rPr>
          <w:szCs w:val="22"/>
          <w:lang w:val="es-ES_tradnl"/>
        </w:rPr>
        <w:fldChar w:fldCharType="end"/>
      </w:r>
      <w:r w:rsidRPr="00AC57D5">
        <w:rPr>
          <w:b/>
          <w:iCs/>
          <w:szCs w:val="22"/>
        </w:rPr>
        <w:t>: Tareas y cuadrillas de montaje de subestaciones</w:t>
      </w:r>
      <w:bookmarkEnd w:id="77"/>
      <w:bookmarkEnd w:id="78"/>
      <w:bookmarkEnd w:id="79"/>
      <w:bookmarkEnd w:id="80"/>
      <w:bookmarkEnd w:id="81"/>
    </w:p>
    <w:tbl>
      <w:tblPr>
        <w:tblW w:w="0" w:type="auto"/>
        <w:jc w:val="center"/>
        <w:tblLayout w:type="fixed"/>
        <w:tblCellMar>
          <w:left w:w="57" w:type="dxa"/>
          <w:right w:w="57" w:type="dxa"/>
        </w:tblCellMar>
        <w:tblLook w:val="04A0" w:firstRow="1" w:lastRow="0" w:firstColumn="1" w:lastColumn="0" w:noHBand="0" w:noVBand="1"/>
      </w:tblPr>
      <w:tblGrid>
        <w:gridCol w:w="5670"/>
        <w:gridCol w:w="1701"/>
      </w:tblGrid>
      <w:tr w:rsidR="00EC4B36" w:rsidRPr="00AC57D5" w14:paraId="59F8CD03" w14:textId="77777777" w:rsidTr="006B5A62">
        <w:trPr>
          <w:tblHeader/>
          <w:jc w:val="center"/>
        </w:trPr>
        <w:tc>
          <w:tcPr>
            <w:tcW w:w="5670"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146C62D8" w14:textId="77777777" w:rsidR="00EC4B36" w:rsidRPr="00AC57D5" w:rsidRDefault="00EC4B36" w:rsidP="006B5A62">
            <w:pPr>
              <w:spacing w:before="20" w:after="20" w:line="240" w:lineRule="auto"/>
              <w:jc w:val="center"/>
              <w:rPr>
                <w:b/>
                <w:bCs/>
                <w:sz w:val="22"/>
                <w:szCs w:val="22"/>
                <w:lang w:val="es-ES"/>
              </w:rPr>
            </w:pPr>
            <w:r w:rsidRPr="00AC57D5">
              <w:rPr>
                <w:b/>
                <w:bCs/>
                <w:sz w:val="22"/>
                <w:szCs w:val="22"/>
                <w:lang w:val="es-ES"/>
              </w:rPr>
              <w:t>TAREAS</w:t>
            </w:r>
          </w:p>
        </w:tc>
        <w:tc>
          <w:tcPr>
            <w:tcW w:w="1701" w:type="dxa"/>
            <w:tcBorders>
              <w:top w:val="single" w:sz="4" w:space="0" w:color="auto"/>
              <w:left w:val="nil"/>
              <w:bottom w:val="single" w:sz="4" w:space="0" w:color="auto"/>
              <w:right w:val="single" w:sz="4" w:space="0" w:color="auto"/>
            </w:tcBorders>
            <w:shd w:val="clear" w:color="auto" w:fill="D9D9D9"/>
            <w:vAlign w:val="center"/>
            <w:hideMark/>
          </w:tcPr>
          <w:p w14:paraId="1D18C2E0" w14:textId="77777777" w:rsidR="00EC4B36" w:rsidRPr="00AC57D5" w:rsidRDefault="00EC4B36" w:rsidP="006B5A62">
            <w:pPr>
              <w:spacing w:before="20" w:after="20" w:line="240" w:lineRule="auto"/>
              <w:jc w:val="center"/>
              <w:rPr>
                <w:b/>
                <w:bCs/>
                <w:sz w:val="22"/>
                <w:szCs w:val="22"/>
                <w:lang w:val="es-ES"/>
              </w:rPr>
            </w:pPr>
            <w:r w:rsidRPr="00AC57D5">
              <w:rPr>
                <w:b/>
                <w:bCs/>
                <w:sz w:val="22"/>
                <w:szCs w:val="22"/>
                <w:lang w:val="es-ES"/>
              </w:rPr>
              <w:t>TIPO DE CUADRILLA</w:t>
            </w:r>
          </w:p>
        </w:tc>
      </w:tr>
      <w:tr w:rsidR="00EC4B36" w:rsidRPr="00AC57D5" w14:paraId="62287C2E" w14:textId="77777777" w:rsidTr="006B5A62">
        <w:trPr>
          <w:jc w:val="center"/>
        </w:trPr>
        <w:tc>
          <w:tcPr>
            <w:tcW w:w="5670" w:type="dxa"/>
            <w:tcBorders>
              <w:top w:val="nil"/>
              <w:left w:val="single" w:sz="4" w:space="0" w:color="auto"/>
              <w:bottom w:val="single" w:sz="4" w:space="0" w:color="auto"/>
              <w:right w:val="single" w:sz="4" w:space="0" w:color="auto"/>
            </w:tcBorders>
            <w:shd w:val="clear" w:color="auto" w:fill="auto"/>
            <w:noWrap/>
            <w:vAlign w:val="center"/>
            <w:hideMark/>
          </w:tcPr>
          <w:p w14:paraId="38DDCA6D" w14:textId="77777777" w:rsidR="00EC4B36" w:rsidRPr="00AC57D5" w:rsidRDefault="00EC4B36" w:rsidP="006B5A62">
            <w:pPr>
              <w:spacing w:before="20" w:after="20" w:line="240" w:lineRule="auto"/>
              <w:rPr>
                <w:sz w:val="22"/>
                <w:szCs w:val="22"/>
                <w:lang w:val="es-ES"/>
              </w:rPr>
            </w:pPr>
            <w:r w:rsidRPr="00AC57D5">
              <w:rPr>
                <w:sz w:val="22"/>
                <w:szCs w:val="22"/>
                <w:lang w:val="es-ES"/>
              </w:rPr>
              <w:t>Movimiento de tierras</w:t>
            </w:r>
          </w:p>
        </w:tc>
        <w:tc>
          <w:tcPr>
            <w:tcW w:w="1701" w:type="dxa"/>
            <w:tcBorders>
              <w:top w:val="nil"/>
              <w:left w:val="nil"/>
              <w:bottom w:val="single" w:sz="4" w:space="0" w:color="auto"/>
              <w:right w:val="single" w:sz="4" w:space="0" w:color="auto"/>
            </w:tcBorders>
            <w:shd w:val="clear" w:color="auto" w:fill="auto"/>
            <w:noWrap/>
            <w:vAlign w:val="center"/>
            <w:hideMark/>
          </w:tcPr>
          <w:p w14:paraId="2FAB8560" w14:textId="77777777" w:rsidR="00EC4B36" w:rsidRPr="00AC57D5" w:rsidRDefault="00EC4B36" w:rsidP="006B5A62">
            <w:pPr>
              <w:spacing w:before="20" w:after="20" w:line="240" w:lineRule="auto"/>
              <w:jc w:val="center"/>
              <w:rPr>
                <w:sz w:val="22"/>
                <w:szCs w:val="22"/>
                <w:lang w:val="es-ES"/>
              </w:rPr>
            </w:pPr>
            <w:r w:rsidRPr="00AC57D5">
              <w:rPr>
                <w:sz w:val="22"/>
                <w:szCs w:val="22"/>
                <w:lang w:val="es-ES"/>
              </w:rPr>
              <w:t>C1</w:t>
            </w:r>
          </w:p>
        </w:tc>
      </w:tr>
      <w:tr w:rsidR="00EC4B36" w:rsidRPr="00AC57D5" w14:paraId="4DC2A8BA" w14:textId="77777777" w:rsidTr="006B5A62">
        <w:trPr>
          <w:jc w:val="center"/>
        </w:trPr>
        <w:tc>
          <w:tcPr>
            <w:tcW w:w="5670" w:type="dxa"/>
            <w:tcBorders>
              <w:top w:val="nil"/>
              <w:left w:val="single" w:sz="4" w:space="0" w:color="auto"/>
              <w:bottom w:val="single" w:sz="4" w:space="0" w:color="auto"/>
              <w:right w:val="single" w:sz="4" w:space="0" w:color="auto"/>
            </w:tcBorders>
            <w:shd w:val="clear" w:color="auto" w:fill="auto"/>
            <w:noWrap/>
            <w:vAlign w:val="center"/>
            <w:hideMark/>
          </w:tcPr>
          <w:p w14:paraId="4630D56A" w14:textId="77777777" w:rsidR="00EC4B36" w:rsidRPr="00AC57D5" w:rsidRDefault="00EC4B36" w:rsidP="006B5A62">
            <w:pPr>
              <w:spacing w:before="20" w:after="20" w:line="240" w:lineRule="auto"/>
              <w:rPr>
                <w:sz w:val="22"/>
                <w:szCs w:val="22"/>
                <w:lang w:val="es-ES"/>
              </w:rPr>
            </w:pPr>
            <w:r w:rsidRPr="00AC57D5">
              <w:rPr>
                <w:sz w:val="22"/>
                <w:szCs w:val="22"/>
                <w:lang w:val="es-ES"/>
              </w:rPr>
              <w:t>Construcción de plataforma</w:t>
            </w:r>
          </w:p>
        </w:tc>
        <w:tc>
          <w:tcPr>
            <w:tcW w:w="1701" w:type="dxa"/>
            <w:tcBorders>
              <w:top w:val="nil"/>
              <w:left w:val="nil"/>
              <w:bottom w:val="single" w:sz="4" w:space="0" w:color="auto"/>
              <w:right w:val="single" w:sz="4" w:space="0" w:color="auto"/>
            </w:tcBorders>
            <w:shd w:val="clear" w:color="auto" w:fill="auto"/>
            <w:noWrap/>
            <w:vAlign w:val="center"/>
            <w:hideMark/>
          </w:tcPr>
          <w:p w14:paraId="5A782224" w14:textId="77777777" w:rsidR="00EC4B36" w:rsidRPr="00AC57D5" w:rsidRDefault="00EC4B36" w:rsidP="006B5A62">
            <w:pPr>
              <w:spacing w:before="20" w:after="20" w:line="240" w:lineRule="auto"/>
              <w:jc w:val="center"/>
              <w:rPr>
                <w:sz w:val="22"/>
                <w:szCs w:val="22"/>
                <w:lang w:val="es-ES"/>
              </w:rPr>
            </w:pPr>
            <w:r w:rsidRPr="00AC57D5">
              <w:rPr>
                <w:sz w:val="22"/>
                <w:szCs w:val="22"/>
                <w:lang w:val="es-ES"/>
              </w:rPr>
              <w:t>C1</w:t>
            </w:r>
          </w:p>
        </w:tc>
      </w:tr>
      <w:tr w:rsidR="00EC4B36" w:rsidRPr="00AC57D5" w14:paraId="2808EAFA" w14:textId="77777777" w:rsidTr="006B5A62">
        <w:trPr>
          <w:jc w:val="center"/>
        </w:trPr>
        <w:tc>
          <w:tcPr>
            <w:tcW w:w="5670" w:type="dxa"/>
            <w:tcBorders>
              <w:top w:val="nil"/>
              <w:left w:val="single" w:sz="4" w:space="0" w:color="auto"/>
              <w:bottom w:val="single" w:sz="4" w:space="0" w:color="auto"/>
              <w:right w:val="single" w:sz="4" w:space="0" w:color="auto"/>
            </w:tcBorders>
            <w:shd w:val="clear" w:color="auto" w:fill="auto"/>
            <w:noWrap/>
            <w:vAlign w:val="center"/>
            <w:hideMark/>
          </w:tcPr>
          <w:p w14:paraId="3FCFC5C1" w14:textId="77777777" w:rsidR="00EC4B36" w:rsidRPr="00AC57D5" w:rsidRDefault="00EC4B36" w:rsidP="006B5A62">
            <w:pPr>
              <w:spacing w:before="20" w:after="20" w:line="240" w:lineRule="auto"/>
              <w:rPr>
                <w:sz w:val="22"/>
                <w:szCs w:val="22"/>
                <w:lang w:val="es-ES"/>
              </w:rPr>
            </w:pPr>
            <w:r w:rsidRPr="00AC57D5">
              <w:rPr>
                <w:sz w:val="22"/>
                <w:szCs w:val="22"/>
                <w:lang w:val="es-ES"/>
              </w:rPr>
              <w:t>Cierros</w:t>
            </w:r>
          </w:p>
        </w:tc>
        <w:tc>
          <w:tcPr>
            <w:tcW w:w="1701" w:type="dxa"/>
            <w:tcBorders>
              <w:top w:val="nil"/>
              <w:left w:val="nil"/>
              <w:bottom w:val="single" w:sz="4" w:space="0" w:color="auto"/>
              <w:right w:val="single" w:sz="4" w:space="0" w:color="auto"/>
            </w:tcBorders>
            <w:shd w:val="clear" w:color="auto" w:fill="auto"/>
            <w:noWrap/>
            <w:vAlign w:val="center"/>
            <w:hideMark/>
          </w:tcPr>
          <w:p w14:paraId="20E26351" w14:textId="77777777" w:rsidR="00EC4B36" w:rsidRPr="00AC57D5" w:rsidRDefault="00EC4B36" w:rsidP="006B5A62">
            <w:pPr>
              <w:spacing w:before="20" w:after="20" w:line="240" w:lineRule="auto"/>
              <w:jc w:val="center"/>
              <w:rPr>
                <w:sz w:val="22"/>
                <w:szCs w:val="22"/>
                <w:lang w:val="es-ES"/>
              </w:rPr>
            </w:pPr>
            <w:r w:rsidRPr="00AC57D5">
              <w:rPr>
                <w:sz w:val="22"/>
                <w:szCs w:val="22"/>
                <w:lang w:val="es-ES"/>
              </w:rPr>
              <w:t>C1</w:t>
            </w:r>
          </w:p>
        </w:tc>
      </w:tr>
      <w:tr w:rsidR="00EC4B36" w:rsidRPr="00AC57D5" w14:paraId="084447DD" w14:textId="77777777" w:rsidTr="006B5A62">
        <w:trPr>
          <w:jc w:val="center"/>
        </w:trPr>
        <w:tc>
          <w:tcPr>
            <w:tcW w:w="5670" w:type="dxa"/>
            <w:tcBorders>
              <w:top w:val="nil"/>
              <w:left w:val="single" w:sz="4" w:space="0" w:color="auto"/>
              <w:bottom w:val="single" w:sz="4" w:space="0" w:color="auto"/>
              <w:right w:val="single" w:sz="4" w:space="0" w:color="auto"/>
            </w:tcBorders>
            <w:shd w:val="clear" w:color="auto" w:fill="auto"/>
            <w:noWrap/>
            <w:vAlign w:val="center"/>
            <w:hideMark/>
          </w:tcPr>
          <w:p w14:paraId="792B3669" w14:textId="77777777" w:rsidR="00EC4B36" w:rsidRPr="00AC57D5" w:rsidRDefault="00EC4B36" w:rsidP="006B5A62">
            <w:pPr>
              <w:spacing w:before="20" w:after="20" w:line="240" w:lineRule="auto"/>
              <w:rPr>
                <w:sz w:val="22"/>
                <w:szCs w:val="22"/>
                <w:lang w:val="es-ES"/>
              </w:rPr>
            </w:pPr>
            <w:r w:rsidRPr="00AC57D5">
              <w:rPr>
                <w:sz w:val="22"/>
                <w:szCs w:val="22"/>
                <w:lang w:val="es-ES"/>
              </w:rPr>
              <w:t>Malla de tierra subterránea</w:t>
            </w:r>
          </w:p>
        </w:tc>
        <w:tc>
          <w:tcPr>
            <w:tcW w:w="1701" w:type="dxa"/>
            <w:tcBorders>
              <w:top w:val="nil"/>
              <w:left w:val="nil"/>
              <w:bottom w:val="single" w:sz="4" w:space="0" w:color="auto"/>
              <w:right w:val="single" w:sz="4" w:space="0" w:color="auto"/>
            </w:tcBorders>
            <w:shd w:val="clear" w:color="auto" w:fill="auto"/>
            <w:noWrap/>
            <w:vAlign w:val="center"/>
            <w:hideMark/>
          </w:tcPr>
          <w:p w14:paraId="09D33FD3" w14:textId="77777777" w:rsidR="00EC4B36" w:rsidRPr="00AC57D5" w:rsidRDefault="00EC4B36" w:rsidP="006B5A62">
            <w:pPr>
              <w:spacing w:before="20" w:after="20" w:line="240" w:lineRule="auto"/>
              <w:jc w:val="center"/>
              <w:rPr>
                <w:sz w:val="22"/>
                <w:szCs w:val="22"/>
                <w:lang w:val="es-ES"/>
              </w:rPr>
            </w:pPr>
            <w:r w:rsidRPr="00AC57D5">
              <w:rPr>
                <w:sz w:val="22"/>
                <w:szCs w:val="22"/>
                <w:lang w:val="es-ES"/>
              </w:rPr>
              <w:t>E3</w:t>
            </w:r>
          </w:p>
        </w:tc>
      </w:tr>
      <w:tr w:rsidR="00EC4B36" w:rsidRPr="00AC57D5" w14:paraId="57BD5FEF" w14:textId="77777777" w:rsidTr="006B5A62">
        <w:trPr>
          <w:jc w:val="center"/>
        </w:trPr>
        <w:tc>
          <w:tcPr>
            <w:tcW w:w="5670" w:type="dxa"/>
            <w:tcBorders>
              <w:top w:val="nil"/>
              <w:left w:val="single" w:sz="4" w:space="0" w:color="auto"/>
              <w:bottom w:val="single" w:sz="4" w:space="0" w:color="auto"/>
              <w:right w:val="single" w:sz="4" w:space="0" w:color="auto"/>
            </w:tcBorders>
            <w:shd w:val="clear" w:color="auto" w:fill="auto"/>
            <w:noWrap/>
            <w:vAlign w:val="center"/>
            <w:hideMark/>
          </w:tcPr>
          <w:p w14:paraId="3E85A454" w14:textId="77777777" w:rsidR="00EC4B36" w:rsidRPr="00AC57D5" w:rsidRDefault="00EC4B36" w:rsidP="006B5A62">
            <w:pPr>
              <w:spacing w:before="20" w:after="20" w:line="240" w:lineRule="auto"/>
              <w:rPr>
                <w:sz w:val="22"/>
                <w:szCs w:val="22"/>
                <w:lang w:val="es-ES"/>
              </w:rPr>
            </w:pPr>
            <w:r w:rsidRPr="00AC57D5">
              <w:rPr>
                <w:sz w:val="22"/>
                <w:szCs w:val="22"/>
                <w:lang w:val="es-ES"/>
              </w:rPr>
              <w:t>Caminos interiores</w:t>
            </w:r>
          </w:p>
        </w:tc>
        <w:tc>
          <w:tcPr>
            <w:tcW w:w="1701" w:type="dxa"/>
            <w:tcBorders>
              <w:top w:val="nil"/>
              <w:left w:val="nil"/>
              <w:bottom w:val="single" w:sz="4" w:space="0" w:color="auto"/>
              <w:right w:val="single" w:sz="4" w:space="0" w:color="auto"/>
            </w:tcBorders>
            <w:shd w:val="clear" w:color="auto" w:fill="auto"/>
            <w:noWrap/>
            <w:vAlign w:val="center"/>
            <w:hideMark/>
          </w:tcPr>
          <w:p w14:paraId="27FE0974" w14:textId="77777777" w:rsidR="00EC4B36" w:rsidRPr="00AC57D5" w:rsidRDefault="00EC4B36" w:rsidP="006B5A62">
            <w:pPr>
              <w:spacing w:before="20" w:after="20" w:line="240" w:lineRule="auto"/>
              <w:jc w:val="center"/>
              <w:rPr>
                <w:sz w:val="22"/>
                <w:szCs w:val="22"/>
                <w:lang w:val="es-ES"/>
              </w:rPr>
            </w:pPr>
            <w:r w:rsidRPr="00AC57D5">
              <w:rPr>
                <w:sz w:val="22"/>
                <w:szCs w:val="22"/>
                <w:lang w:val="es-ES"/>
              </w:rPr>
              <w:t>C1</w:t>
            </w:r>
          </w:p>
        </w:tc>
      </w:tr>
      <w:tr w:rsidR="00EC4B36" w:rsidRPr="00AC57D5" w14:paraId="7E0FAF14" w14:textId="77777777" w:rsidTr="006B5A62">
        <w:trPr>
          <w:jc w:val="center"/>
        </w:trPr>
        <w:tc>
          <w:tcPr>
            <w:tcW w:w="5670" w:type="dxa"/>
            <w:tcBorders>
              <w:top w:val="nil"/>
              <w:left w:val="single" w:sz="4" w:space="0" w:color="auto"/>
              <w:bottom w:val="single" w:sz="4" w:space="0" w:color="auto"/>
              <w:right w:val="single" w:sz="4" w:space="0" w:color="auto"/>
            </w:tcBorders>
            <w:shd w:val="clear" w:color="auto" w:fill="auto"/>
            <w:noWrap/>
            <w:vAlign w:val="center"/>
            <w:hideMark/>
          </w:tcPr>
          <w:p w14:paraId="171647E4" w14:textId="77777777" w:rsidR="00EC4B36" w:rsidRPr="00AC57D5" w:rsidRDefault="00EC4B36" w:rsidP="006B5A62">
            <w:pPr>
              <w:spacing w:before="20" w:after="20" w:line="240" w:lineRule="auto"/>
              <w:rPr>
                <w:sz w:val="22"/>
                <w:szCs w:val="22"/>
                <w:lang w:val="es-ES"/>
              </w:rPr>
            </w:pPr>
            <w:r w:rsidRPr="00AC57D5">
              <w:rPr>
                <w:sz w:val="22"/>
                <w:szCs w:val="22"/>
                <w:lang w:val="es-ES"/>
              </w:rPr>
              <w:t>Fundaciones</w:t>
            </w:r>
          </w:p>
        </w:tc>
        <w:tc>
          <w:tcPr>
            <w:tcW w:w="1701" w:type="dxa"/>
            <w:tcBorders>
              <w:top w:val="nil"/>
              <w:left w:val="nil"/>
              <w:bottom w:val="single" w:sz="4" w:space="0" w:color="auto"/>
              <w:right w:val="single" w:sz="4" w:space="0" w:color="auto"/>
            </w:tcBorders>
            <w:shd w:val="clear" w:color="auto" w:fill="auto"/>
            <w:noWrap/>
            <w:vAlign w:val="center"/>
            <w:hideMark/>
          </w:tcPr>
          <w:p w14:paraId="4CD0B72A" w14:textId="77777777" w:rsidR="00EC4B36" w:rsidRPr="00AC57D5" w:rsidRDefault="00EC4B36" w:rsidP="006B5A62">
            <w:pPr>
              <w:spacing w:before="20" w:after="20" w:line="240" w:lineRule="auto"/>
              <w:jc w:val="center"/>
              <w:rPr>
                <w:sz w:val="22"/>
                <w:szCs w:val="22"/>
                <w:lang w:val="es-ES"/>
              </w:rPr>
            </w:pPr>
            <w:r w:rsidRPr="00AC57D5">
              <w:rPr>
                <w:sz w:val="22"/>
                <w:szCs w:val="22"/>
                <w:lang w:val="es-ES"/>
              </w:rPr>
              <w:t>C2</w:t>
            </w:r>
          </w:p>
        </w:tc>
      </w:tr>
      <w:tr w:rsidR="00EC4B36" w:rsidRPr="00AC57D5" w14:paraId="35C88CA5" w14:textId="77777777" w:rsidTr="006B5A62">
        <w:trPr>
          <w:jc w:val="center"/>
        </w:trPr>
        <w:tc>
          <w:tcPr>
            <w:tcW w:w="5670" w:type="dxa"/>
            <w:tcBorders>
              <w:top w:val="nil"/>
              <w:left w:val="single" w:sz="4" w:space="0" w:color="auto"/>
              <w:bottom w:val="single" w:sz="4" w:space="0" w:color="auto"/>
              <w:right w:val="single" w:sz="4" w:space="0" w:color="auto"/>
            </w:tcBorders>
            <w:shd w:val="clear" w:color="auto" w:fill="auto"/>
            <w:noWrap/>
            <w:vAlign w:val="center"/>
            <w:hideMark/>
          </w:tcPr>
          <w:p w14:paraId="3ABC96E4" w14:textId="77777777" w:rsidR="00EC4B36" w:rsidRPr="00AC57D5" w:rsidRDefault="00EC4B36" w:rsidP="006B5A62">
            <w:pPr>
              <w:spacing w:before="20" w:after="20" w:line="240" w:lineRule="auto"/>
              <w:rPr>
                <w:sz w:val="22"/>
                <w:szCs w:val="22"/>
                <w:lang w:val="es-ES"/>
              </w:rPr>
            </w:pPr>
            <w:r w:rsidRPr="00AC57D5">
              <w:rPr>
                <w:sz w:val="22"/>
                <w:szCs w:val="22"/>
                <w:lang w:val="es-ES"/>
              </w:rPr>
              <w:t>Edificaciones</w:t>
            </w:r>
          </w:p>
        </w:tc>
        <w:tc>
          <w:tcPr>
            <w:tcW w:w="1701" w:type="dxa"/>
            <w:tcBorders>
              <w:top w:val="nil"/>
              <w:left w:val="nil"/>
              <w:bottom w:val="single" w:sz="4" w:space="0" w:color="auto"/>
              <w:right w:val="single" w:sz="4" w:space="0" w:color="auto"/>
            </w:tcBorders>
            <w:shd w:val="clear" w:color="auto" w:fill="auto"/>
            <w:noWrap/>
            <w:vAlign w:val="center"/>
            <w:hideMark/>
          </w:tcPr>
          <w:p w14:paraId="6FF56FA2" w14:textId="77777777" w:rsidR="00EC4B36" w:rsidRPr="00AC57D5" w:rsidRDefault="00EC4B36" w:rsidP="006B5A62">
            <w:pPr>
              <w:spacing w:before="20" w:after="20" w:line="240" w:lineRule="auto"/>
              <w:jc w:val="center"/>
              <w:rPr>
                <w:sz w:val="22"/>
                <w:szCs w:val="22"/>
                <w:lang w:val="es-ES"/>
              </w:rPr>
            </w:pPr>
            <w:r w:rsidRPr="00AC57D5">
              <w:rPr>
                <w:sz w:val="22"/>
                <w:szCs w:val="22"/>
                <w:lang w:val="es-ES"/>
              </w:rPr>
              <w:t>C3</w:t>
            </w:r>
          </w:p>
        </w:tc>
      </w:tr>
      <w:tr w:rsidR="00EC4B36" w:rsidRPr="00AC57D5" w14:paraId="6EA11993" w14:textId="77777777" w:rsidTr="006B5A62">
        <w:trPr>
          <w:jc w:val="center"/>
        </w:trPr>
        <w:tc>
          <w:tcPr>
            <w:tcW w:w="5670" w:type="dxa"/>
            <w:tcBorders>
              <w:top w:val="nil"/>
              <w:left w:val="single" w:sz="4" w:space="0" w:color="auto"/>
              <w:bottom w:val="single" w:sz="4" w:space="0" w:color="auto"/>
              <w:right w:val="single" w:sz="4" w:space="0" w:color="auto"/>
            </w:tcBorders>
            <w:shd w:val="clear" w:color="auto" w:fill="auto"/>
            <w:noWrap/>
            <w:vAlign w:val="center"/>
            <w:hideMark/>
          </w:tcPr>
          <w:p w14:paraId="69C853E8" w14:textId="77777777" w:rsidR="00EC4B36" w:rsidRPr="00AC57D5" w:rsidRDefault="00EC4B36" w:rsidP="006B5A62">
            <w:pPr>
              <w:spacing w:before="20" w:after="20" w:line="240" w:lineRule="auto"/>
              <w:rPr>
                <w:sz w:val="22"/>
                <w:szCs w:val="22"/>
                <w:lang w:val="es-ES"/>
              </w:rPr>
            </w:pPr>
            <w:r w:rsidRPr="00AC57D5">
              <w:rPr>
                <w:sz w:val="22"/>
                <w:szCs w:val="22"/>
                <w:lang w:val="es-ES"/>
              </w:rPr>
              <w:t>Construcción de canalizaciones</w:t>
            </w:r>
          </w:p>
        </w:tc>
        <w:tc>
          <w:tcPr>
            <w:tcW w:w="1701" w:type="dxa"/>
            <w:tcBorders>
              <w:top w:val="nil"/>
              <w:left w:val="nil"/>
              <w:bottom w:val="single" w:sz="4" w:space="0" w:color="auto"/>
              <w:right w:val="single" w:sz="4" w:space="0" w:color="auto"/>
            </w:tcBorders>
            <w:shd w:val="clear" w:color="auto" w:fill="auto"/>
            <w:noWrap/>
            <w:vAlign w:val="center"/>
            <w:hideMark/>
          </w:tcPr>
          <w:p w14:paraId="4547CD70" w14:textId="77777777" w:rsidR="00EC4B36" w:rsidRPr="00AC57D5" w:rsidRDefault="00EC4B36" w:rsidP="006B5A62">
            <w:pPr>
              <w:spacing w:before="20" w:after="20" w:line="240" w:lineRule="auto"/>
              <w:jc w:val="center"/>
              <w:rPr>
                <w:sz w:val="22"/>
                <w:szCs w:val="22"/>
                <w:lang w:val="es-ES"/>
              </w:rPr>
            </w:pPr>
            <w:r w:rsidRPr="00AC57D5">
              <w:rPr>
                <w:sz w:val="22"/>
                <w:szCs w:val="22"/>
                <w:lang w:val="es-ES"/>
              </w:rPr>
              <w:t>C2</w:t>
            </w:r>
          </w:p>
        </w:tc>
      </w:tr>
      <w:tr w:rsidR="00EC4B36" w:rsidRPr="00AC57D5" w14:paraId="0B5917F8" w14:textId="77777777" w:rsidTr="006B5A62">
        <w:trPr>
          <w:jc w:val="center"/>
        </w:trPr>
        <w:tc>
          <w:tcPr>
            <w:tcW w:w="5670" w:type="dxa"/>
            <w:tcBorders>
              <w:top w:val="nil"/>
              <w:left w:val="single" w:sz="4" w:space="0" w:color="auto"/>
              <w:bottom w:val="single" w:sz="4" w:space="0" w:color="auto"/>
              <w:right w:val="single" w:sz="4" w:space="0" w:color="auto"/>
            </w:tcBorders>
            <w:shd w:val="clear" w:color="auto" w:fill="auto"/>
            <w:noWrap/>
            <w:vAlign w:val="center"/>
            <w:hideMark/>
          </w:tcPr>
          <w:p w14:paraId="355F1F14" w14:textId="77777777" w:rsidR="00EC4B36" w:rsidRPr="00AC57D5" w:rsidRDefault="00EC4B36" w:rsidP="006B5A62">
            <w:pPr>
              <w:spacing w:before="20" w:after="20" w:line="240" w:lineRule="auto"/>
              <w:rPr>
                <w:sz w:val="22"/>
                <w:szCs w:val="22"/>
                <w:lang w:val="es-ES"/>
              </w:rPr>
            </w:pPr>
            <w:r w:rsidRPr="00AC57D5">
              <w:rPr>
                <w:sz w:val="22"/>
                <w:szCs w:val="22"/>
                <w:lang w:val="es-ES"/>
              </w:rPr>
              <w:t>Alumbrado Patios</w:t>
            </w:r>
          </w:p>
        </w:tc>
        <w:tc>
          <w:tcPr>
            <w:tcW w:w="1701" w:type="dxa"/>
            <w:tcBorders>
              <w:top w:val="nil"/>
              <w:left w:val="nil"/>
              <w:bottom w:val="single" w:sz="4" w:space="0" w:color="auto"/>
              <w:right w:val="single" w:sz="4" w:space="0" w:color="auto"/>
            </w:tcBorders>
            <w:shd w:val="clear" w:color="auto" w:fill="auto"/>
            <w:noWrap/>
            <w:vAlign w:val="center"/>
            <w:hideMark/>
          </w:tcPr>
          <w:p w14:paraId="1D3813B7" w14:textId="77777777" w:rsidR="00EC4B36" w:rsidRPr="00AC57D5" w:rsidRDefault="00EC4B36" w:rsidP="006B5A62">
            <w:pPr>
              <w:spacing w:before="20" w:after="20" w:line="240" w:lineRule="auto"/>
              <w:jc w:val="center"/>
              <w:rPr>
                <w:sz w:val="22"/>
                <w:szCs w:val="22"/>
                <w:lang w:val="es-ES"/>
              </w:rPr>
            </w:pPr>
            <w:r w:rsidRPr="00AC57D5">
              <w:rPr>
                <w:sz w:val="22"/>
                <w:szCs w:val="22"/>
                <w:lang w:val="es-ES"/>
              </w:rPr>
              <w:t>E3</w:t>
            </w:r>
          </w:p>
        </w:tc>
      </w:tr>
      <w:tr w:rsidR="00EC4B36" w:rsidRPr="00AC57D5" w14:paraId="40F3E46A" w14:textId="77777777" w:rsidTr="006B5A62">
        <w:trPr>
          <w:jc w:val="center"/>
        </w:trPr>
        <w:tc>
          <w:tcPr>
            <w:tcW w:w="5670" w:type="dxa"/>
            <w:tcBorders>
              <w:top w:val="nil"/>
              <w:left w:val="single" w:sz="4" w:space="0" w:color="auto"/>
              <w:bottom w:val="single" w:sz="4" w:space="0" w:color="auto"/>
              <w:right w:val="single" w:sz="4" w:space="0" w:color="auto"/>
            </w:tcBorders>
            <w:shd w:val="clear" w:color="auto" w:fill="auto"/>
            <w:noWrap/>
            <w:vAlign w:val="center"/>
            <w:hideMark/>
          </w:tcPr>
          <w:p w14:paraId="73F93951" w14:textId="77777777" w:rsidR="00EC4B36" w:rsidRPr="00AC57D5" w:rsidRDefault="00EC4B36" w:rsidP="006B5A62">
            <w:pPr>
              <w:spacing w:before="20" w:after="20" w:line="240" w:lineRule="auto"/>
              <w:rPr>
                <w:sz w:val="22"/>
                <w:szCs w:val="22"/>
                <w:lang w:val="es-ES"/>
              </w:rPr>
            </w:pPr>
            <w:r w:rsidRPr="00AC57D5">
              <w:rPr>
                <w:sz w:val="22"/>
                <w:szCs w:val="22"/>
                <w:lang w:val="es-ES"/>
              </w:rPr>
              <w:lastRenderedPageBreak/>
              <w:t>Montaje estructuras</w:t>
            </w:r>
          </w:p>
        </w:tc>
        <w:tc>
          <w:tcPr>
            <w:tcW w:w="1701" w:type="dxa"/>
            <w:tcBorders>
              <w:top w:val="nil"/>
              <w:left w:val="nil"/>
              <w:bottom w:val="single" w:sz="4" w:space="0" w:color="auto"/>
              <w:right w:val="single" w:sz="4" w:space="0" w:color="auto"/>
            </w:tcBorders>
            <w:shd w:val="clear" w:color="auto" w:fill="auto"/>
            <w:noWrap/>
            <w:vAlign w:val="center"/>
            <w:hideMark/>
          </w:tcPr>
          <w:p w14:paraId="3B18C96B" w14:textId="77777777" w:rsidR="00EC4B36" w:rsidRPr="00AC57D5" w:rsidRDefault="00EC4B36" w:rsidP="006B5A62">
            <w:pPr>
              <w:spacing w:before="20" w:after="20" w:line="240" w:lineRule="auto"/>
              <w:jc w:val="center"/>
              <w:rPr>
                <w:sz w:val="22"/>
                <w:szCs w:val="22"/>
                <w:lang w:val="es-ES"/>
              </w:rPr>
            </w:pPr>
            <w:r w:rsidRPr="00AC57D5">
              <w:rPr>
                <w:sz w:val="22"/>
                <w:szCs w:val="22"/>
                <w:lang w:val="es-ES"/>
              </w:rPr>
              <w:t>E1  y E2</w:t>
            </w:r>
          </w:p>
        </w:tc>
      </w:tr>
      <w:tr w:rsidR="00EC4B36" w:rsidRPr="00AC57D5" w14:paraId="19DB293C" w14:textId="77777777" w:rsidTr="006B5A62">
        <w:trPr>
          <w:jc w:val="center"/>
        </w:trPr>
        <w:tc>
          <w:tcPr>
            <w:tcW w:w="5670" w:type="dxa"/>
            <w:tcBorders>
              <w:top w:val="nil"/>
              <w:left w:val="single" w:sz="4" w:space="0" w:color="auto"/>
              <w:bottom w:val="single" w:sz="4" w:space="0" w:color="auto"/>
              <w:right w:val="single" w:sz="4" w:space="0" w:color="auto"/>
            </w:tcBorders>
            <w:shd w:val="clear" w:color="auto" w:fill="auto"/>
            <w:noWrap/>
            <w:vAlign w:val="center"/>
            <w:hideMark/>
          </w:tcPr>
          <w:p w14:paraId="678E887A" w14:textId="77777777" w:rsidR="00EC4B36" w:rsidRPr="00AC57D5" w:rsidRDefault="00EC4B36" w:rsidP="006B5A62">
            <w:pPr>
              <w:spacing w:before="20" w:after="20" w:line="240" w:lineRule="auto"/>
              <w:rPr>
                <w:sz w:val="22"/>
                <w:szCs w:val="22"/>
                <w:lang w:val="es-ES"/>
              </w:rPr>
            </w:pPr>
            <w:r w:rsidRPr="00AC57D5">
              <w:rPr>
                <w:sz w:val="22"/>
                <w:szCs w:val="22"/>
                <w:lang w:val="es-ES"/>
              </w:rPr>
              <w:t>Montaje equipos eléctricos primarios</w:t>
            </w:r>
          </w:p>
        </w:tc>
        <w:tc>
          <w:tcPr>
            <w:tcW w:w="1701" w:type="dxa"/>
            <w:tcBorders>
              <w:top w:val="nil"/>
              <w:left w:val="nil"/>
              <w:bottom w:val="single" w:sz="4" w:space="0" w:color="auto"/>
              <w:right w:val="single" w:sz="4" w:space="0" w:color="auto"/>
            </w:tcBorders>
            <w:shd w:val="clear" w:color="auto" w:fill="auto"/>
            <w:noWrap/>
            <w:vAlign w:val="center"/>
            <w:hideMark/>
          </w:tcPr>
          <w:p w14:paraId="6216A595" w14:textId="77777777" w:rsidR="00EC4B36" w:rsidRPr="00AC57D5" w:rsidRDefault="00EC4B36" w:rsidP="006B5A62">
            <w:pPr>
              <w:spacing w:before="20" w:after="20" w:line="240" w:lineRule="auto"/>
              <w:jc w:val="center"/>
              <w:rPr>
                <w:sz w:val="22"/>
                <w:szCs w:val="22"/>
                <w:lang w:val="es-ES"/>
              </w:rPr>
            </w:pPr>
            <w:r w:rsidRPr="00AC57D5">
              <w:rPr>
                <w:sz w:val="22"/>
                <w:szCs w:val="22"/>
                <w:lang w:val="es-ES"/>
              </w:rPr>
              <w:t>E3</w:t>
            </w:r>
          </w:p>
        </w:tc>
      </w:tr>
      <w:tr w:rsidR="00EC4B36" w:rsidRPr="00AC57D5" w14:paraId="71E58238" w14:textId="77777777" w:rsidTr="006B5A62">
        <w:trPr>
          <w:jc w:val="center"/>
        </w:trPr>
        <w:tc>
          <w:tcPr>
            <w:tcW w:w="5670" w:type="dxa"/>
            <w:tcBorders>
              <w:top w:val="nil"/>
              <w:left w:val="single" w:sz="4" w:space="0" w:color="auto"/>
              <w:bottom w:val="single" w:sz="4" w:space="0" w:color="auto"/>
              <w:right w:val="single" w:sz="4" w:space="0" w:color="auto"/>
            </w:tcBorders>
            <w:shd w:val="clear" w:color="auto" w:fill="auto"/>
            <w:noWrap/>
            <w:vAlign w:val="center"/>
            <w:hideMark/>
          </w:tcPr>
          <w:p w14:paraId="07C9B00D" w14:textId="77777777" w:rsidR="00EC4B36" w:rsidRPr="00AC57D5" w:rsidRDefault="00EC4B36" w:rsidP="006B5A62">
            <w:pPr>
              <w:spacing w:before="20" w:after="20" w:line="240" w:lineRule="auto"/>
              <w:rPr>
                <w:sz w:val="22"/>
                <w:szCs w:val="22"/>
                <w:lang w:val="es-ES"/>
              </w:rPr>
            </w:pPr>
            <w:r w:rsidRPr="00AC57D5">
              <w:rPr>
                <w:sz w:val="22"/>
                <w:szCs w:val="22"/>
                <w:lang w:val="es-ES"/>
              </w:rPr>
              <w:t>Instalación y conexionado conductores de potencia</w:t>
            </w:r>
          </w:p>
        </w:tc>
        <w:tc>
          <w:tcPr>
            <w:tcW w:w="1701" w:type="dxa"/>
            <w:tcBorders>
              <w:top w:val="nil"/>
              <w:left w:val="nil"/>
              <w:bottom w:val="single" w:sz="4" w:space="0" w:color="auto"/>
              <w:right w:val="single" w:sz="4" w:space="0" w:color="auto"/>
            </w:tcBorders>
            <w:shd w:val="clear" w:color="auto" w:fill="auto"/>
            <w:noWrap/>
            <w:vAlign w:val="center"/>
            <w:hideMark/>
          </w:tcPr>
          <w:p w14:paraId="5F73A09D" w14:textId="77777777" w:rsidR="00EC4B36" w:rsidRPr="00AC57D5" w:rsidRDefault="00EC4B36" w:rsidP="006B5A62">
            <w:pPr>
              <w:spacing w:before="20" w:after="20" w:line="240" w:lineRule="auto"/>
              <w:jc w:val="center"/>
              <w:rPr>
                <w:sz w:val="22"/>
                <w:szCs w:val="22"/>
                <w:lang w:val="es-ES"/>
              </w:rPr>
            </w:pPr>
            <w:r w:rsidRPr="00AC57D5">
              <w:rPr>
                <w:sz w:val="22"/>
                <w:szCs w:val="22"/>
                <w:lang w:val="es-ES"/>
              </w:rPr>
              <w:t>E3</w:t>
            </w:r>
          </w:p>
        </w:tc>
      </w:tr>
      <w:tr w:rsidR="00EC4B36" w:rsidRPr="00AC57D5" w14:paraId="505563A0" w14:textId="77777777" w:rsidTr="006B5A62">
        <w:trPr>
          <w:jc w:val="center"/>
        </w:trPr>
        <w:tc>
          <w:tcPr>
            <w:tcW w:w="5670" w:type="dxa"/>
            <w:tcBorders>
              <w:top w:val="nil"/>
              <w:left w:val="single" w:sz="4" w:space="0" w:color="auto"/>
              <w:bottom w:val="single" w:sz="4" w:space="0" w:color="auto"/>
              <w:right w:val="single" w:sz="4" w:space="0" w:color="auto"/>
            </w:tcBorders>
            <w:shd w:val="clear" w:color="auto" w:fill="auto"/>
            <w:noWrap/>
            <w:vAlign w:val="center"/>
            <w:hideMark/>
          </w:tcPr>
          <w:p w14:paraId="0CC1A0B9" w14:textId="77777777" w:rsidR="00EC4B36" w:rsidRPr="00AC57D5" w:rsidRDefault="00EC4B36" w:rsidP="006B5A62">
            <w:pPr>
              <w:spacing w:before="20" w:after="20" w:line="240" w:lineRule="auto"/>
              <w:rPr>
                <w:sz w:val="22"/>
                <w:szCs w:val="22"/>
                <w:lang w:val="es-ES"/>
              </w:rPr>
            </w:pPr>
            <w:r w:rsidRPr="00AC57D5">
              <w:rPr>
                <w:sz w:val="22"/>
                <w:szCs w:val="22"/>
                <w:lang w:val="es-ES"/>
              </w:rPr>
              <w:t>Montaje Servicios Auxiliares CA</w:t>
            </w:r>
          </w:p>
        </w:tc>
        <w:tc>
          <w:tcPr>
            <w:tcW w:w="1701" w:type="dxa"/>
            <w:tcBorders>
              <w:top w:val="nil"/>
              <w:left w:val="nil"/>
              <w:bottom w:val="single" w:sz="4" w:space="0" w:color="auto"/>
              <w:right w:val="single" w:sz="4" w:space="0" w:color="auto"/>
            </w:tcBorders>
            <w:shd w:val="clear" w:color="auto" w:fill="auto"/>
            <w:noWrap/>
            <w:vAlign w:val="center"/>
            <w:hideMark/>
          </w:tcPr>
          <w:p w14:paraId="7B3F8EC7" w14:textId="77777777" w:rsidR="00EC4B36" w:rsidRPr="00AC57D5" w:rsidRDefault="00EC4B36" w:rsidP="006B5A62">
            <w:pPr>
              <w:spacing w:before="20" w:after="20" w:line="240" w:lineRule="auto"/>
              <w:jc w:val="center"/>
              <w:rPr>
                <w:sz w:val="22"/>
                <w:szCs w:val="22"/>
                <w:lang w:val="es-ES"/>
              </w:rPr>
            </w:pPr>
            <w:r w:rsidRPr="00AC57D5">
              <w:rPr>
                <w:sz w:val="22"/>
                <w:szCs w:val="22"/>
                <w:lang w:val="es-ES"/>
              </w:rPr>
              <w:t>E3</w:t>
            </w:r>
          </w:p>
        </w:tc>
      </w:tr>
      <w:tr w:rsidR="00EC4B36" w:rsidRPr="00AC57D5" w14:paraId="5FC820E6" w14:textId="77777777" w:rsidTr="006B5A62">
        <w:trPr>
          <w:jc w:val="center"/>
        </w:trPr>
        <w:tc>
          <w:tcPr>
            <w:tcW w:w="5670" w:type="dxa"/>
            <w:tcBorders>
              <w:top w:val="nil"/>
              <w:left w:val="single" w:sz="4" w:space="0" w:color="auto"/>
              <w:bottom w:val="single" w:sz="4" w:space="0" w:color="auto"/>
              <w:right w:val="single" w:sz="4" w:space="0" w:color="auto"/>
            </w:tcBorders>
            <w:shd w:val="clear" w:color="auto" w:fill="auto"/>
            <w:noWrap/>
            <w:vAlign w:val="center"/>
            <w:hideMark/>
          </w:tcPr>
          <w:p w14:paraId="76DBCA36" w14:textId="77777777" w:rsidR="00EC4B36" w:rsidRPr="00AC57D5" w:rsidRDefault="00EC4B36" w:rsidP="006B5A62">
            <w:pPr>
              <w:spacing w:before="20" w:after="20" w:line="240" w:lineRule="auto"/>
              <w:rPr>
                <w:sz w:val="22"/>
                <w:szCs w:val="22"/>
                <w:lang w:val="es-ES"/>
              </w:rPr>
            </w:pPr>
            <w:r w:rsidRPr="00AC57D5">
              <w:rPr>
                <w:sz w:val="22"/>
                <w:szCs w:val="22"/>
                <w:lang w:val="es-ES"/>
              </w:rPr>
              <w:t>Montaje Servicios Auxiliares CC</w:t>
            </w:r>
          </w:p>
        </w:tc>
        <w:tc>
          <w:tcPr>
            <w:tcW w:w="1701" w:type="dxa"/>
            <w:tcBorders>
              <w:top w:val="nil"/>
              <w:left w:val="nil"/>
              <w:bottom w:val="single" w:sz="4" w:space="0" w:color="auto"/>
              <w:right w:val="single" w:sz="4" w:space="0" w:color="auto"/>
            </w:tcBorders>
            <w:shd w:val="clear" w:color="auto" w:fill="auto"/>
            <w:noWrap/>
            <w:vAlign w:val="center"/>
            <w:hideMark/>
          </w:tcPr>
          <w:p w14:paraId="68E978B2" w14:textId="77777777" w:rsidR="00EC4B36" w:rsidRPr="00AC57D5" w:rsidRDefault="00EC4B36" w:rsidP="006B5A62">
            <w:pPr>
              <w:spacing w:before="20" w:after="20" w:line="240" w:lineRule="auto"/>
              <w:jc w:val="center"/>
              <w:rPr>
                <w:sz w:val="22"/>
                <w:szCs w:val="22"/>
                <w:lang w:val="es-ES"/>
              </w:rPr>
            </w:pPr>
            <w:r w:rsidRPr="00AC57D5">
              <w:rPr>
                <w:sz w:val="22"/>
                <w:szCs w:val="22"/>
                <w:lang w:val="es-ES"/>
              </w:rPr>
              <w:t>E3</w:t>
            </w:r>
          </w:p>
        </w:tc>
      </w:tr>
      <w:tr w:rsidR="00EC4B36" w:rsidRPr="00AC57D5" w14:paraId="26C7A29C" w14:textId="77777777" w:rsidTr="006B5A62">
        <w:trPr>
          <w:jc w:val="center"/>
        </w:trPr>
        <w:tc>
          <w:tcPr>
            <w:tcW w:w="5670" w:type="dxa"/>
            <w:tcBorders>
              <w:top w:val="nil"/>
              <w:left w:val="single" w:sz="4" w:space="0" w:color="auto"/>
              <w:bottom w:val="single" w:sz="4" w:space="0" w:color="auto"/>
              <w:right w:val="single" w:sz="4" w:space="0" w:color="auto"/>
            </w:tcBorders>
            <w:shd w:val="clear" w:color="auto" w:fill="auto"/>
            <w:noWrap/>
            <w:vAlign w:val="center"/>
            <w:hideMark/>
          </w:tcPr>
          <w:p w14:paraId="1BA30866" w14:textId="77777777" w:rsidR="00EC4B36" w:rsidRPr="00AC57D5" w:rsidRDefault="00EC4B36" w:rsidP="006B5A62">
            <w:pPr>
              <w:spacing w:before="20" w:after="20" w:line="240" w:lineRule="auto"/>
              <w:rPr>
                <w:sz w:val="22"/>
                <w:szCs w:val="22"/>
                <w:lang w:val="es-ES"/>
              </w:rPr>
            </w:pPr>
            <w:r w:rsidRPr="00AC57D5">
              <w:rPr>
                <w:sz w:val="22"/>
                <w:szCs w:val="22"/>
                <w:lang w:val="es-ES"/>
              </w:rPr>
              <w:t>Instalación armarios de control y protección</w:t>
            </w:r>
          </w:p>
        </w:tc>
        <w:tc>
          <w:tcPr>
            <w:tcW w:w="1701" w:type="dxa"/>
            <w:tcBorders>
              <w:top w:val="nil"/>
              <w:left w:val="nil"/>
              <w:bottom w:val="single" w:sz="4" w:space="0" w:color="auto"/>
              <w:right w:val="single" w:sz="4" w:space="0" w:color="auto"/>
            </w:tcBorders>
            <w:shd w:val="clear" w:color="auto" w:fill="auto"/>
            <w:noWrap/>
            <w:vAlign w:val="center"/>
            <w:hideMark/>
          </w:tcPr>
          <w:p w14:paraId="5885F9A9" w14:textId="77777777" w:rsidR="00EC4B36" w:rsidRPr="00AC57D5" w:rsidRDefault="00EC4B36" w:rsidP="006B5A62">
            <w:pPr>
              <w:spacing w:before="20" w:after="20" w:line="240" w:lineRule="auto"/>
              <w:jc w:val="center"/>
              <w:rPr>
                <w:sz w:val="22"/>
                <w:szCs w:val="22"/>
                <w:lang w:val="es-ES"/>
              </w:rPr>
            </w:pPr>
            <w:r w:rsidRPr="00AC57D5">
              <w:rPr>
                <w:sz w:val="22"/>
                <w:szCs w:val="22"/>
                <w:lang w:val="es-ES"/>
              </w:rPr>
              <w:t>E4</w:t>
            </w:r>
          </w:p>
        </w:tc>
      </w:tr>
      <w:tr w:rsidR="00EC4B36" w:rsidRPr="00AC57D5" w14:paraId="26C3D7CA" w14:textId="77777777" w:rsidTr="006B5A62">
        <w:trPr>
          <w:jc w:val="center"/>
        </w:trPr>
        <w:tc>
          <w:tcPr>
            <w:tcW w:w="5670" w:type="dxa"/>
            <w:tcBorders>
              <w:top w:val="nil"/>
              <w:left w:val="single" w:sz="4" w:space="0" w:color="auto"/>
              <w:bottom w:val="single" w:sz="4" w:space="0" w:color="auto"/>
              <w:right w:val="single" w:sz="4" w:space="0" w:color="auto"/>
            </w:tcBorders>
            <w:shd w:val="clear" w:color="auto" w:fill="auto"/>
            <w:noWrap/>
            <w:vAlign w:val="center"/>
            <w:hideMark/>
          </w:tcPr>
          <w:p w14:paraId="53B608D2" w14:textId="77777777" w:rsidR="00EC4B36" w:rsidRPr="00AC57D5" w:rsidRDefault="00EC4B36" w:rsidP="006B5A62">
            <w:pPr>
              <w:spacing w:before="20" w:after="20" w:line="240" w:lineRule="auto"/>
              <w:rPr>
                <w:sz w:val="22"/>
                <w:szCs w:val="22"/>
                <w:lang w:val="es-ES"/>
              </w:rPr>
            </w:pPr>
            <w:r w:rsidRPr="00AC57D5">
              <w:rPr>
                <w:sz w:val="22"/>
                <w:szCs w:val="22"/>
                <w:lang w:val="es-ES"/>
              </w:rPr>
              <w:t>Instalación dispositivos de control y protección</w:t>
            </w:r>
          </w:p>
        </w:tc>
        <w:tc>
          <w:tcPr>
            <w:tcW w:w="1701" w:type="dxa"/>
            <w:tcBorders>
              <w:top w:val="nil"/>
              <w:left w:val="nil"/>
              <w:bottom w:val="single" w:sz="4" w:space="0" w:color="auto"/>
              <w:right w:val="single" w:sz="4" w:space="0" w:color="auto"/>
            </w:tcBorders>
            <w:shd w:val="clear" w:color="auto" w:fill="auto"/>
            <w:noWrap/>
            <w:vAlign w:val="center"/>
            <w:hideMark/>
          </w:tcPr>
          <w:p w14:paraId="097D4B71" w14:textId="77777777" w:rsidR="00EC4B36" w:rsidRPr="00AC57D5" w:rsidRDefault="00EC4B36" w:rsidP="006B5A62">
            <w:pPr>
              <w:spacing w:before="20" w:after="20" w:line="240" w:lineRule="auto"/>
              <w:jc w:val="center"/>
              <w:rPr>
                <w:sz w:val="22"/>
                <w:szCs w:val="22"/>
                <w:lang w:val="es-ES"/>
              </w:rPr>
            </w:pPr>
            <w:r w:rsidRPr="00AC57D5">
              <w:rPr>
                <w:sz w:val="22"/>
                <w:szCs w:val="22"/>
                <w:lang w:val="es-ES"/>
              </w:rPr>
              <w:t>E4</w:t>
            </w:r>
          </w:p>
        </w:tc>
      </w:tr>
      <w:tr w:rsidR="00EC4B36" w:rsidRPr="00AC57D5" w14:paraId="29B660E1" w14:textId="77777777" w:rsidTr="006B5A62">
        <w:trPr>
          <w:jc w:val="center"/>
        </w:trPr>
        <w:tc>
          <w:tcPr>
            <w:tcW w:w="5670" w:type="dxa"/>
            <w:tcBorders>
              <w:top w:val="nil"/>
              <w:left w:val="single" w:sz="4" w:space="0" w:color="auto"/>
              <w:bottom w:val="single" w:sz="4" w:space="0" w:color="auto"/>
              <w:right w:val="single" w:sz="4" w:space="0" w:color="auto"/>
            </w:tcBorders>
            <w:shd w:val="clear" w:color="auto" w:fill="auto"/>
            <w:noWrap/>
            <w:vAlign w:val="center"/>
            <w:hideMark/>
          </w:tcPr>
          <w:p w14:paraId="423A1A87" w14:textId="77777777" w:rsidR="00EC4B36" w:rsidRPr="00AC57D5" w:rsidRDefault="00EC4B36" w:rsidP="006B5A62">
            <w:pPr>
              <w:spacing w:before="20" w:after="20" w:line="240" w:lineRule="auto"/>
              <w:rPr>
                <w:sz w:val="22"/>
                <w:szCs w:val="22"/>
                <w:lang w:val="es-ES"/>
              </w:rPr>
            </w:pPr>
            <w:r w:rsidRPr="00AC57D5">
              <w:rPr>
                <w:sz w:val="22"/>
                <w:szCs w:val="22"/>
                <w:lang w:val="es-ES"/>
              </w:rPr>
              <w:t>Alambrado y conexionado cables de control y protección</w:t>
            </w:r>
          </w:p>
        </w:tc>
        <w:tc>
          <w:tcPr>
            <w:tcW w:w="1701" w:type="dxa"/>
            <w:tcBorders>
              <w:top w:val="nil"/>
              <w:left w:val="nil"/>
              <w:bottom w:val="single" w:sz="4" w:space="0" w:color="auto"/>
              <w:right w:val="single" w:sz="4" w:space="0" w:color="auto"/>
            </w:tcBorders>
            <w:shd w:val="clear" w:color="auto" w:fill="auto"/>
            <w:noWrap/>
            <w:vAlign w:val="center"/>
            <w:hideMark/>
          </w:tcPr>
          <w:p w14:paraId="4A188515" w14:textId="77777777" w:rsidR="00EC4B36" w:rsidRPr="00AC57D5" w:rsidRDefault="00EC4B36" w:rsidP="006B5A62">
            <w:pPr>
              <w:spacing w:before="20" w:after="20" w:line="240" w:lineRule="auto"/>
              <w:jc w:val="center"/>
              <w:rPr>
                <w:sz w:val="22"/>
                <w:szCs w:val="22"/>
                <w:lang w:val="es-ES"/>
              </w:rPr>
            </w:pPr>
            <w:r w:rsidRPr="00AC57D5">
              <w:rPr>
                <w:sz w:val="22"/>
                <w:szCs w:val="22"/>
                <w:lang w:val="es-ES"/>
              </w:rPr>
              <w:t>E5</w:t>
            </w:r>
          </w:p>
        </w:tc>
      </w:tr>
      <w:tr w:rsidR="00EC4B36" w:rsidRPr="00AC57D5" w14:paraId="5ACB2A59" w14:textId="77777777" w:rsidTr="006B5A62">
        <w:trPr>
          <w:jc w:val="center"/>
        </w:trPr>
        <w:tc>
          <w:tcPr>
            <w:tcW w:w="5670" w:type="dxa"/>
            <w:tcBorders>
              <w:top w:val="nil"/>
              <w:left w:val="single" w:sz="4" w:space="0" w:color="auto"/>
              <w:bottom w:val="single" w:sz="4" w:space="0" w:color="auto"/>
              <w:right w:val="single" w:sz="4" w:space="0" w:color="auto"/>
            </w:tcBorders>
            <w:shd w:val="clear" w:color="auto" w:fill="auto"/>
            <w:noWrap/>
            <w:vAlign w:val="center"/>
            <w:hideMark/>
          </w:tcPr>
          <w:p w14:paraId="54AF60F1" w14:textId="77777777" w:rsidR="00EC4B36" w:rsidRPr="00AC57D5" w:rsidRDefault="00EC4B36" w:rsidP="006B5A62">
            <w:pPr>
              <w:spacing w:before="20" w:after="20" w:line="240" w:lineRule="auto"/>
              <w:rPr>
                <w:sz w:val="22"/>
                <w:szCs w:val="22"/>
                <w:lang w:val="es-ES"/>
              </w:rPr>
            </w:pPr>
            <w:r w:rsidRPr="00AC57D5">
              <w:rPr>
                <w:sz w:val="22"/>
                <w:szCs w:val="22"/>
                <w:lang w:val="es-ES"/>
              </w:rPr>
              <w:t>Inspección Técnica de Obras</w:t>
            </w:r>
          </w:p>
        </w:tc>
        <w:tc>
          <w:tcPr>
            <w:tcW w:w="1701" w:type="dxa"/>
            <w:tcBorders>
              <w:top w:val="nil"/>
              <w:left w:val="nil"/>
              <w:bottom w:val="single" w:sz="4" w:space="0" w:color="auto"/>
              <w:right w:val="single" w:sz="4" w:space="0" w:color="auto"/>
            </w:tcBorders>
            <w:shd w:val="clear" w:color="auto" w:fill="auto"/>
            <w:noWrap/>
            <w:vAlign w:val="center"/>
            <w:hideMark/>
          </w:tcPr>
          <w:p w14:paraId="6726E925" w14:textId="77777777" w:rsidR="00EC4B36" w:rsidRPr="00AC57D5" w:rsidRDefault="00EC4B36" w:rsidP="006B5A62">
            <w:pPr>
              <w:spacing w:before="20" w:after="20" w:line="240" w:lineRule="auto"/>
              <w:jc w:val="center"/>
              <w:rPr>
                <w:sz w:val="22"/>
                <w:szCs w:val="22"/>
                <w:lang w:val="es-ES"/>
              </w:rPr>
            </w:pPr>
            <w:r w:rsidRPr="00AC57D5">
              <w:rPr>
                <w:sz w:val="22"/>
                <w:szCs w:val="22"/>
                <w:lang w:val="es-ES"/>
              </w:rPr>
              <w:t>ITO</w:t>
            </w:r>
          </w:p>
        </w:tc>
      </w:tr>
      <w:tr w:rsidR="00EC4B36" w:rsidRPr="00AC57D5" w14:paraId="191AC5CB" w14:textId="77777777" w:rsidTr="006B5A62">
        <w:trPr>
          <w:jc w:val="center"/>
        </w:trPr>
        <w:tc>
          <w:tcPr>
            <w:tcW w:w="5670" w:type="dxa"/>
            <w:tcBorders>
              <w:top w:val="nil"/>
              <w:left w:val="single" w:sz="4" w:space="0" w:color="auto"/>
              <w:bottom w:val="single" w:sz="4" w:space="0" w:color="auto"/>
              <w:right w:val="single" w:sz="4" w:space="0" w:color="auto"/>
            </w:tcBorders>
            <w:shd w:val="clear" w:color="auto" w:fill="auto"/>
            <w:noWrap/>
            <w:vAlign w:val="center"/>
            <w:hideMark/>
          </w:tcPr>
          <w:p w14:paraId="3F24867A" w14:textId="77777777" w:rsidR="00EC4B36" w:rsidRPr="00AC57D5" w:rsidRDefault="00EC4B36" w:rsidP="006B5A62">
            <w:pPr>
              <w:spacing w:before="20" w:after="20" w:line="240" w:lineRule="auto"/>
              <w:rPr>
                <w:sz w:val="22"/>
                <w:szCs w:val="22"/>
                <w:lang w:val="es-ES"/>
              </w:rPr>
            </w:pPr>
            <w:r w:rsidRPr="00AC57D5">
              <w:rPr>
                <w:sz w:val="22"/>
                <w:szCs w:val="22"/>
                <w:lang w:val="es-ES"/>
              </w:rPr>
              <w:t>Pruebas y Puesta en Servicio</w:t>
            </w:r>
          </w:p>
        </w:tc>
        <w:tc>
          <w:tcPr>
            <w:tcW w:w="1701" w:type="dxa"/>
            <w:tcBorders>
              <w:top w:val="nil"/>
              <w:left w:val="nil"/>
              <w:bottom w:val="single" w:sz="4" w:space="0" w:color="auto"/>
              <w:right w:val="single" w:sz="4" w:space="0" w:color="auto"/>
            </w:tcBorders>
            <w:shd w:val="clear" w:color="auto" w:fill="auto"/>
            <w:noWrap/>
            <w:vAlign w:val="center"/>
            <w:hideMark/>
          </w:tcPr>
          <w:p w14:paraId="7747D09B" w14:textId="77777777" w:rsidR="00EC4B36" w:rsidRPr="00AC57D5" w:rsidRDefault="00EC4B36" w:rsidP="006B5A62">
            <w:pPr>
              <w:spacing w:before="20" w:after="20" w:line="240" w:lineRule="auto"/>
              <w:jc w:val="center"/>
              <w:rPr>
                <w:sz w:val="22"/>
                <w:szCs w:val="22"/>
                <w:lang w:val="es-ES"/>
              </w:rPr>
            </w:pPr>
          </w:p>
        </w:tc>
      </w:tr>
    </w:tbl>
    <w:p w14:paraId="3322BD69" w14:textId="77777777" w:rsidR="00EC4B36" w:rsidRPr="00AC57D5" w:rsidRDefault="00EC4B36" w:rsidP="00EC4B36">
      <w:pPr>
        <w:spacing w:after="120" w:line="276" w:lineRule="auto"/>
        <w:rPr>
          <w:szCs w:val="22"/>
        </w:rPr>
      </w:pPr>
    </w:p>
    <w:p w14:paraId="56C9359E" w14:textId="77777777" w:rsidR="00EC4B36" w:rsidRPr="00AC57D5" w:rsidRDefault="00EC4B36" w:rsidP="00EC4B36">
      <w:pPr>
        <w:spacing w:line="276" w:lineRule="auto"/>
        <w:jc w:val="center"/>
        <w:rPr>
          <w:szCs w:val="22"/>
        </w:rPr>
      </w:pPr>
      <w:bookmarkStart w:id="82" w:name="_Toc38047802"/>
      <w:bookmarkStart w:id="83" w:name="_Toc39793634"/>
      <w:bookmarkStart w:id="84" w:name="_Toc39795240"/>
      <w:bookmarkStart w:id="85" w:name="_Toc39797920"/>
      <w:r w:rsidRPr="00AC57D5">
        <w:rPr>
          <w:b/>
          <w:iCs/>
          <w:szCs w:val="22"/>
        </w:rPr>
        <w:t xml:space="preserve">Tabla </w:t>
      </w:r>
      <w:r w:rsidRPr="00AC57D5">
        <w:rPr>
          <w:b/>
          <w:iCs/>
          <w:szCs w:val="22"/>
        </w:rPr>
        <w:fldChar w:fldCharType="begin"/>
      </w:r>
      <w:r w:rsidRPr="00AC57D5">
        <w:rPr>
          <w:b/>
          <w:iCs/>
          <w:szCs w:val="22"/>
        </w:rPr>
        <w:instrText xml:space="preserve"> SEQ Tabla \* ARABIC </w:instrText>
      </w:r>
      <w:r w:rsidRPr="00AC57D5">
        <w:rPr>
          <w:b/>
          <w:iCs/>
          <w:szCs w:val="22"/>
        </w:rPr>
        <w:fldChar w:fldCharType="separate"/>
      </w:r>
      <w:r w:rsidR="001F3E2E">
        <w:rPr>
          <w:b/>
          <w:iCs/>
          <w:noProof/>
          <w:szCs w:val="22"/>
        </w:rPr>
        <w:t>10</w:t>
      </w:r>
      <w:r w:rsidRPr="00AC57D5">
        <w:rPr>
          <w:szCs w:val="22"/>
          <w:lang w:val="es-ES_tradnl"/>
        </w:rPr>
        <w:fldChar w:fldCharType="end"/>
      </w:r>
      <w:r w:rsidRPr="00AC57D5">
        <w:rPr>
          <w:b/>
          <w:iCs/>
          <w:szCs w:val="22"/>
        </w:rPr>
        <w:t>: Tareas y cuadrillas de montaje de líneas de transmisión</w:t>
      </w:r>
      <w:bookmarkEnd w:id="82"/>
      <w:bookmarkEnd w:id="83"/>
      <w:bookmarkEnd w:id="84"/>
      <w:bookmarkEnd w:id="85"/>
    </w:p>
    <w:tbl>
      <w:tblPr>
        <w:tblW w:w="0" w:type="auto"/>
        <w:jc w:val="center"/>
        <w:tblLayout w:type="fixed"/>
        <w:tblCellMar>
          <w:left w:w="57" w:type="dxa"/>
          <w:right w:w="57" w:type="dxa"/>
        </w:tblCellMar>
        <w:tblLook w:val="04A0" w:firstRow="1" w:lastRow="0" w:firstColumn="1" w:lastColumn="0" w:noHBand="0" w:noVBand="1"/>
      </w:tblPr>
      <w:tblGrid>
        <w:gridCol w:w="5670"/>
        <w:gridCol w:w="1701"/>
      </w:tblGrid>
      <w:tr w:rsidR="00EC4B36" w:rsidRPr="00AC57D5" w14:paraId="5EC12D2D" w14:textId="77777777" w:rsidTr="006B5A62">
        <w:trPr>
          <w:tblHeader/>
          <w:jc w:val="center"/>
        </w:trPr>
        <w:tc>
          <w:tcPr>
            <w:tcW w:w="5670" w:type="dxa"/>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001ACB64" w14:textId="77777777" w:rsidR="00EC4B36" w:rsidRPr="00AC57D5" w:rsidRDefault="00EC4B36" w:rsidP="006B5A62">
            <w:pPr>
              <w:spacing w:before="20" w:after="20" w:line="240" w:lineRule="auto"/>
              <w:jc w:val="center"/>
              <w:rPr>
                <w:b/>
                <w:bCs/>
                <w:sz w:val="22"/>
                <w:szCs w:val="22"/>
                <w:lang w:val="es-ES"/>
              </w:rPr>
            </w:pPr>
            <w:r w:rsidRPr="00AC57D5">
              <w:rPr>
                <w:b/>
                <w:bCs/>
                <w:sz w:val="22"/>
                <w:szCs w:val="22"/>
                <w:lang w:val="es-ES"/>
              </w:rPr>
              <w:t>TAREAS</w:t>
            </w:r>
          </w:p>
        </w:tc>
        <w:tc>
          <w:tcPr>
            <w:tcW w:w="1701" w:type="dxa"/>
            <w:tcBorders>
              <w:top w:val="single" w:sz="4" w:space="0" w:color="auto"/>
              <w:left w:val="nil"/>
              <w:bottom w:val="single" w:sz="4" w:space="0" w:color="auto"/>
              <w:right w:val="single" w:sz="4" w:space="0" w:color="auto"/>
            </w:tcBorders>
            <w:shd w:val="clear" w:color="auto" w:fill="D9D9D9"/>
            <w:vAlign w:val="center"/>
            <w:hideMark/>
          </w:tcPr>
          <w:p w14:paraId="1EF95867" w14:textId="77777777" w:rsidR="00EC4B36" w:rsidRPr="00AC57D5" w:rsidRDefault="00EC4B36" w:rsidP="006B5A62">
            <w:pPr>
              <w:spacing w:before="20" w:after="20" w:line="240" w:lineRule="auto"/>
              <w:jc w:val="center"/>
              <w:rPr>
                <w:b/>
                <w:bCs/>
                <w:sz w:val="22"/>
                <w:szCs w:val="22"/>
                <w:lang w:val="es-ES"/>
              </w:rPr>
            </w:pPr>
            <w:r w:rsidRPr="00AC57D5">
              <w:rPr>
                <w:b/>
                <w:bCs/>
                <w:sz w:val="22"/>
                <w:szCs w:val="22"/>
                <w:lang w:val="es-ES"/>
              </w:rPr>
              <w:t>TIPO DE CUADRILLA</w:t>
            </w:r>
          </w:p>
        </w:tc>
      </w:tr>
      <w:tr w:rsidR="00EC4B36" w:rsidRPr="00AC57D5" w14:paraId="4D40868E" w14:textId="77777777" w:rsidTr="006B5A62">
        <w:trPr>
          <w:jc w:val="center"/>
        </w:trPr>
        <w:tc>
          <w:tcPr>
            <w:tcW w:w="5670" w:type="dxa"/>
            <w:tcBorders>
              <w:top w:val="nil"/>
              <w:left w:val="single" w:sz="4" w:space="0" w:color="auto"/>
              <w:bottom w:val="single" w:sz="4" w:space="0" w:color="auto"/>
              <w:right w:val="single" w:sz="4" w:space="0" w:color="auto"/>
            </w:tcBorders>
            <w:shd w:val="clear" w:color="auto" w:fill="auto"/>
            <w:noWrap/>
            <w:vAlign w:val="center"/>
            <w:hideMark/>
          </w:tcPr>
          <w:p w14:paraId="33EF03B2" w14:textId="77777777" w:rsidR="00EC4B36" w:rsidRPr="00AC57D5" w:rsidRDefault="00EC4B36" w:rsidP="006B5A62">
            <w:pPr>
              <w:spacing w:before="20" w:after="20" w:line="240" w:lineRule="auto"/>
              <w:rPr>
                <w:sz w:val="22"/>
                <w:szCs w:val="22"/>
                <w:lang w:val="es-ES"/>
              </w:rPr>
            </w:pPr>
            <w:r w:rsidRPr="00AC57D5">
              <w:rPr>
                <w:sz w:val="22"/>
                <w:szCs w:val="22"/>
                <w:lang w:val="es-ES"/>
              </w:rPr>
              <w:t>Roce y despeje Franja</w:t>
            </w:r>
          </w:p>
        </w:tc>
        <w:tc>
          <w:tcPr>
            <w:tcW w:w="1701" w:type="dxa"/>
            <w:tcBorders>
              <w:top w:val="nil"/>
              <w:left w:val="nil"/>
              <w:bottom w:val="single" w:sz="4" w:space="0" w:color="auto"/>
              <w:right w:val="single" w:sz="4" w:space="0" w:color="auto"/>
            </w:tcBorders>
            <w:shd w:val="clear" w:color="auto" w:fill="auto"/>
            <w:noWrap/>
            <w:vAlign w:val="center"/>
            <w:hideMark/>
          </w:tcPr>
          <w:p w14:paraId="736D902A" w14:textId="77777777" w:rsidR="00EC4B36" w:rsidRPr="00AC57D5" w:rsidRDefault="00EC4B36" w:rsidP="006B5A62">
            <w:pPr>
              <w:spacing w:before="20" w:after="20" w:line="240" w:lineRule="auto"/>
              <w:jc w:val="center"/>
              <w:rPr>
                <w:sz w:val="22"/>
                <w:szCs w:val="22"/>
                <w:lang w:val="es-ES"/>
              </w:rPr>
            </w:pPr>
            <w:r w:rsidRPr="00AC57D5">
              <w:rPr>
                <w:sz w:val="22"/>
                <w:szCs w:val="22"/>
                <w:lang w:val="es-ES"/>
              </w:rPr>
              <w:t>C5</w:t>
            </w:r>
          </w:p>
        </w:tc>
      </w:tr>
      <w:tr w:rsidR="00EC4B36" w:rsidRPr="00AC57D5" w14:paraId="63FB0C55" w14:textId="77777777" w:rsidTr="006B5A62">
        <w:trPr>
          <w:jc w:val="center"/>
        </w:trPr>
        <w:tc>
          <w:tcPr>
            <w:tcW w:w="5670" w:type="dxa"/>
            <w:tcBorders>
              <w:top w:val="nil"/>
              <w:left w:val="single" w:sz="4" w:space="0" w:color="auto"/>
              <w:bottom w:val="single" w:sz="4" w:space="0" w:color="auto"/>
              <w:right w:val="single" w:sz="4" w:space="0" w:color="auto"/>
            </w:tcBorders>
            <w:shd w:val="clear" w:color="auto" w:fill="auto"/>
            <w:noWrap/>
            <w:vAlign w:val="center"/>
            <w:hideMark/>
          </w:tcPr>
          <w:p w14:paraId="3F76D39F" w14:textId="77777777" w:rsidR="00EC4B36" w:rsidRPr="00AC57D5" w:rsidRDefault="00EC4B36" w:rsidP="006B5A62">
            <w:pPr>
              <w:spacing w:before="20" w:after="20" w:line="240" w:lineRule="auto"/>
              <w:rPr>
                <w:sz w:val="22"/>
                <w:szCs w:val="22"/>
                <w:lang w:val="es-ES"/>
              </w:rPr>
            </w:pPr>
            <w:r w:rsidRPr="00AC57D5">
              <w:rPr>
                <w:sz w:val="22"/>
                <w:szCs w:val="22"/>
                <w:lang w:val="es-ES"/>
              </w:rPr>
              <w:t>Replanteo de Estructuras</w:t>
            </w:r>
          </w:p>
        </w:tc>
        <w:tc>
          <w:tcPr>
            <w:tcW w:w="1701" w:type="dxa"/>
            <w:tcBorders>
              <w:top w:val="nil"/>
              <w:left w:val="nil"/>
              <w:bottom w:val="single" w:sz="4" w:space="0" w:color="auto"/>
              <w:right w:val="single" w:sz="4" w:space="0" w:color="auto"/>
            </w:tcBorders>
            <w:shd w:val="clear" w:color="auto" w:fill="auto"/>
            <w:noWrap/>
            <w:vAlign w:val="center"/>
            <w:hideMark/>
          </w:tcPr>
          <w:p w14:paraId="4CA15307" w14:textId="77777777" w:rsidR="00EC4B36" w:rsidRPr="00AC57D5" w:rsidRDefault="00EC4B36" w:rsidP="006B5A62">
            <w:pPr>
              <w:spacing w:before="20" w:after="20" w:line="240" w:lineRule="auto"/>
              <w:jc w:val="center"/>
              <w:rPr>
                <w:sz w:val="22"/>
                <w:szCs w:val="22"/>
                <w:lang w:val="es-ES"/>
              </w:rPr>
            </w:pPr>
            <w:r w:rsidRPr="00AC57D5">
              <w:rPr>
                <w:sz w:val="22"/>
                <w:szCs w:val="22"/>
                <w:lang w:val="es-ES"/>
              </w:rPr>
              <w:t>C5</w:t>
            </w:r>
          </w:p>
        </w:tc>
      </w:tr>
      <w:tr w:rsidR="00EC4B36" w:rsidRPr="00AC57D5" w14:paraId="5E22ABAD" w14:textId="77777777" w:rsidTr="006B5A62">
        <w:trPr>
          <w:jc w:val="center"/>
        </w:trPr>
        <w:tc>
          <w:tcPr>
            <w:tcW w:w="5670" w:type="dxa"/>
            <w:tcBorders>
              <w:top w:val="nil"/>
              <w:left w:val="single" w:sz="4" w:space="0" w:color="auto"/>
              <w:bottom w:val="single" w:sz="4" w:space="0" w:color="auto"/>
              <w:right w:val="single" w:sz="4" w:space="0" w:color="auto"/>
            </w:tcBorders>
            <w:shd w:val="clear" w:color="auto" w:fill="auto"/>
            <w:noWrap/>
            <w:vAlign w:val="center"/>
            <w:hideMark/>
          </w:tcPr>
          <w:p w14:paraId="3114FC16" w14:textId="77777777" w:rsidR="00EC4B36" w:rsidRPr="00AC57D5" w:rsidRDefault="00EC4B36" w:rsidP="006B5A62">
            <w:pPr>
              <w:spacing w:before="20" w:after="20" w:line="240" w:lineRule="auto"/>
              <w:rPr>
                <w:sz w:val="22"/>
                <w:szCs w:val="22"/>
                <w:lang w:val="es-ES"/>
              </w:rPr>
            </w:pPr>
            <w:r w:rsidRPr="00AC57D5">
              <w:rPr>
                <w:sz w:val="22"/>
                <w:szCs w:val="22"/>
                <w:lang w:val="es-ES"/>
              </w:rPr>
              <w:t>Construcción caminos de Accesos</w:t>
            </w:r>
          </w:p>
        </w:tc>
        <w:tc>
          <w:tcPr>
            <w:tcW w:w="1701" w:type="dxa"/>
            <w:tcBorders>
              <w:top w:val="nil"/>
              <w:left w:val="nil"/>
              <w:bottom w:val="single" w:sz="4" w:space="0" w:color="auto"/>
              <w:right w:val="single" w:sz="4" w:space="0" w:color="auto"/>
            </w:tcBorders>
            <w:shd w:val="clear" w:color="auto" w:fill="auto"/>
            <w:noWrap/>
            <w:vAlign w:val="center"/>
            <w:hideMark/>
          </w:tcPr>
          <w:p w14:paraId="0D179E5A" w14:textId="77777777" w:rsidR="00EC4B36" w:rsidRPr="00AC57D5" w:rsidRDefault="00EC4B36" w:rsidP="006B5A62">
            <w:pPr>
              <w:spacing w:before="20" w:after="20" w:line="240" w:lineRule="auto"/>
              <w:jc w:val="center"/>
              <w:rPr>
                <w:sz w:val="22"/>
                <w:szCs w:val="22"/>
                <w:lang w:val="es-ES"/>
              </w:rPr>
            </w:pPr>
            <w:r w:rsidRPr="00AC57D5">
              <w:rPr>
                <w:sz w:val="22"/>
                <w:szCs w:val="22"/>
                <w:lang w:val="es-ES"/>
              </w:rPr>
              <w:t>C1</w:t>
            </w:r>
          </w:p>
        </w:tc>
      </w:tr>
      <w:tr w:rsidR="00EC4B36" w:rsidRPr="00AC57D5" w14:paraId="3AFE74A7" w14:textId="77777777" w:rsidTr="006B5A62">
        <w:trPr>
          <w:jc w:val="center"/>
        </w:trPr>
        <w:tc>
          <w:tcPr>
            <w:tcW w:w="5670" w:type="dxa"/>
            <w:tcBorders>
              <w:top w:val="nil"/>
              <w:left w:val="single" w:sz="4" w:space="0" w:color="auto"/>
              <w:bottom w:val="single" w:sz="4" w:space="0" w:color="auto"/>
              <w:right w:val="single" w:sz="4" w:space="0" w:color="auto"/>
            </w:tcBorders>
            <w:shd w:val="clear" w:color="auto" w:fill="auto"/>
            <w:noWrap/>
            <w:vAlign w:val="center"/>
            <w:hideMark/>
          </w:tcPr>
          <w:p w14:paraId="7320E289" w14:textId="77777777" w:rsidR="00EC4B36" w:rsidRPr="00AC57D5" w:rsidRDefault="00EC4B36" w:rsidP="006B5A62">
            <w:pPr>
              <w:spacing w:before="20" w:after="20" w:line="240" w:lineRule="auto"/>
              <w:rPr>
                <w:sz w:val="22"/>
                <w:szCs w:val="22"/>
                <w:lang w:val="es-ES"/>
              </w:rPr>
            </w:pPr>
            <w:r w:rsidRPr="00AC57D5">
              <w:rPr>
                <w:sz w:val="22"/>
                <w:szCs w:val="22"/>
                <w:lang w:val="es-ES"/>
              </w:rPr>
              <w:t xml:space="preserve">Excavación </w:t>
            </w:r>
          </w:p>
        </w:tc>
        <w:tc>
          <w:tcPr>
            <w:tcW w:w="1701" w:type="dxa"/>
            <w:tcBorders>
              <w:top w:val="nil"/>
              <w:left w:val="nil"/>
              <w:bottom w:val="single" w:sz="4" w:space="0" w:color="auto"/>
              <w:right w:val="single" w:sz="4" w:space="0" w:color="auto"/>
            </w:tcBorders>
            <w:shd w:val="clear" w:color="auto" w:fill="auto"/>
            <w:noWrap/>
            <w:vAlign w:val="center"/>
            <w:hideMark/>
          </w:tcPr>
          <w:p w14:paraId="4F9FA80A" w14:textId="77777777" w:rsidR="00EC4B36" w:rsidRPr="00AC57D5" w:rsidRDefault="00EC4B36" w:rsidP="006B5A62">
            <w:pPr>
              <w:spacing w:before="20" w:after="20" w:line="240" w:lineRule="auto"/>
              <w:jc w:val="center"/>
              <w:rPr>
                <w:sz w:val="22"/>
                <w:szCs w:val="22"/>
                <w:lang w:val="es-ES"/>
              </w:rPr>
            </w:pPr>
            <w:r w:rsidRPr="00AC57D5">
              <w:rPr>
                <w:sz w:val="22"/>
                <w:szCs w:val="22"/>
                <w:lang w:val="es-ES"/>
              </w:rPr>
              <w:t>C1</w:t>
            </w:r>
          </w:p>
        </w:tc>
      </w:tr>
      <w:tr w:rsidR="00EC4B36" w:rsidRPr="00AC57D5" w14:paraId="0856DEE0" w14:textId="77777777" w:rsidTr="006B5A62">
        <w:trPr>
          <w:jc w:val="center"/>
        </w:trPr>
        <w:tc>
          <w:tcPr>
            <w:tcW w:w="5670" w:type="dxa"/>
            <w:tcBorders>
              <w:top w:val="nil"/>
              <w:left w:val="single" w:sz="4" w:space="0" w:color="auto"/>
              <w:bottom w:val="single" w:sz="4" w:space="0" w:color="auto"/>
              <w:right w:val="single" w:sz="4" w:space="0" w:color="auto"/>
            </w:tcBorders>
            <w:shd w:val="clear" w:color="auto" w:fill="auto"/>
            <w:noWrap/>
            <w:vAlign w:val="center"/>
            <w:hideMark/>
          </w:tcPr>
          <w:p w14:paraId="4ECE0F85" w14:textId="77777777" w:rsidR="00EC4B36" w:rsidRPr="00AC57D5" w:rsidRDefault="00EC4B36" w:rsidP="006B5A62">
            <w:pPr>
              <w:spacing w:before="20" w:after="20" w:line="240" w:lineRule="auto"/>
              <w:rPr>
                <w:sz w:val="22"/>
                <w:szCs w:val="22"/>
                <w:lang w:val="es-ES"/>
              </w:rPr>
            </w:pPr>
            <w:r w:rsidRPr="00AC57D5">
              <w:rPr>
                <w:sz w:val="22"/>
                <w:szCs w:val="22"/>
                <w:lang w:val="es-ES"/>
              </w:rPr>
              <w:t>Enfierradura</w:t>
            </w:r>
          </w:p>
        </w:tc>
        <w:tc>
          <w:tcPr>
            <w:tcW w:w="1701" w:type="dxa"/>
            <w:tcBorders>
              <w:top w:val="nil"/>
              <w:left w:val="nil"/>
              <w:bottom w:val="single" w:sz="4" w:space="0" w:color="auto"/>
              <w:right w:val="single" w:sz="4" w:space="0" w:color="auto"/>
            </w:tcBorders>
            <w:shd w:val="clear" w:color="auto" w:fill="auto"/>
            <w:noWrap/>
            <w:vAlign w:val="center"/>
            <w:hideMark/>
          </w:tcPr>
          <w:p w14:paraId="52364DE3" w14:textId="77777777" w:rsidR="00EC4B36" w:rsidRPr="00AC57D5" w:rsidRDefault="00EC4B36" w:rsidP="006B5A62">
            <w:pPr>
              <w:spacing w:before="20" w:after="20" w:line="240" w:lineRule="auto"/>
              <w:jc w:val="center"/>
              <w:rPr>
                <w:sz w:val="22"/>
                <w:szCs w:val="22"/>
                <w:lang w:val="es-ES"/>
              </w:rPr>
            </w:pPr>
            <w:r w:rsidRPr="00AC57D5">
              <w:rPr>
                <w:sz w:val="22"/>
                <w:szCs w:val="22"/>
                <w:lang w:val="es-ES"/>
              </w:rPr>
              <w:t>C6</w:t>
            </w:r>
          </w:p>
        </w:tc>
      </w:tr>
      <w:tr w:rsidR="00EC4B36" w:rsidRPr="00AC57D5" w14:paraId="427A049A" w14:textId="77777777" w:rsidTr="006B5A62">
        <w:trPr>
          <w:jc w:val="center"/>
        </w:trPr>
        <w:tc>
          <w:tcPr>
            <w:tcW w:w="5670" w:type="dxa"/>
            <w:tcBorders>
              <w:top w:val="nil"/>
              <w:left w:val="single" w:sz="4" w:space="0" w:color="auto"/>
              <w:bottom w:val="single" w:sz="4" w:space="0" w:color="auto"/>
              <w:right w:val="single" w:sz="4" w:space="0" w:color="auto"/>
            </w:tcBorders>
            <w:shd w:val="clear" w:color="auto" w:fill="auto"/>
            <w:noWrap/>
            <w:vAlign w:val="center"/>
            <w:hideMark/>
          </w:tcPr>
          <w:p w14:paraId="07B0EFF3" w14:textId="77777777" w:rsidR="00EC4B36" w:rsidRPr="00AC57D5" w:rsidRDefault="00EC4B36" w:rsidP="006B5A62">
            <w:pPr>
              <w:spacing w:before="20" w:after="20" w:line="240" w:lineRule="auto"/>
              <w:rPr>
                <w:sz w:val="22"/>
                <w:szCs w:val="22"/>
                <w:lang w:val="es-ES"/>
              </w:rPr>
            </w:pPr>
            <w:r w:rsidRPr="00AC57D5">
              <w:rPr>
                <w:sz w:val="22"/>
                <w:szCs w:val="22"/>
                <w:lang w:val="es-ES"/>
              </w:rPr>
              <w:t>Hormigón H-10</w:t>
            </w:r>
          </w:p>
        </w:tc>
        <w:tc>
          <w:tcPr>
            <w:tcW w:w="1701" w:type="dxa"/>
            <w:tcBorders>
              <w:top w:val="nil"/>
              <w:left w:val="nil"/>
              <w:bottom w:val="single" w:sz="4" w:space="0" w:color="auto"/>
              <w:right w:val="single" w:sz="4" w:space="0" w:color="auto"/>
            </w:tcBorders>
            <w:shd w:val="clear" w:color="auto" w:fill="auto"/>
            <w:noWrap/>
            <w:vAlign w:val="center"/>
            <w:hideMark/>
          </w:tcPr>
          <w:p w14:paraId="29F1F613" w14:textId="77777777" w:rsidR="00EC4B36" w:rsidRPr="00AC57D5" w:rsidRDefault="00EC4B36" w:rsidP="006B5A62">
            <w:pPr>
              <w:spacing w:before="20" w:after="20" w:line="240" w:lineRule="auto"/>
              <w:jc w:val="center"/>
              <w:rPr>
                <w:sz w:val="22"/>
                <w:szCs w:val="22"/>
                <w:lang w:val="es-ES"/>
              </w:rPr>
            </w:pPr>
            <w:r w:rsidRPr="00AC57D5">
              <w:rPr>
                <w:sz w:val="22"/>
                <w:szCs w:val="22"/>
                <w:lang w:val="es-ES"/>
              </w:rPr>
              <w:t>C2</w:t>
            </w:r>
          </w:p>
        </w:tc>
      </w:tr>
      <w:tr w:rsidR="00EC4B36" w:rsidRPr="00AC57D5" w14:paraId="1DF33E77" w14:textId="77777777" w:rsidTr="006B5A62">
        <w:trPr>
          <w:jc w:val="center"/>
        </w:trPr>
        <w:tc>
          <w:tcPr>
            <w:tcW w:w="5670" w:type="dxa"/>
            <w:tcBorders>
              <w:top w:val="nil"/>
              <w:left w:val="single" w:sz="4" w:space="0" w:color="auto"/>
              <w:bottom w:val="single" w:sz="4" w:space="0" w:color="auto"/>
              <w:right w:val="single" w:sz="4" w:space="0" w:color="auto"/>
            </w:tcBorders>
            <w:shd w:val="clear" w:color="auto" w:fill="auto"/>
            <w:noWrap/>
            <w:vAlign w:val="center"/>
            <w:hideMark/>
          </w:tcPr>
          <w:p w14:paraId="5E0F6FA5" w14:textId="77777777" w:rsidR="00EC4B36" w:rsidRPr="00AC57D5" w:rsidRDefault="00EC4B36" w:rsidP="006B5A62">
            <w:pPr>
              <w:spacing w:before="20" w:after="20" w:line="240" w:lineRule="auto"/>
              <w:rPr>
                <w:sz w:val="22"/>
                <w:szCs w:val="22"/>
                <w:lang w:val="es-ES"/>
              </w:rPr>
            </w:pPr>
            <w:r w:rsidRPr="00AC57D5">
              <w:rPr>
                <w:sz w:val="22"/>
                <w:szCs w:val="22"/>
                <w:lang w:val="es-ES"/>
              </w:rPr>
              <w:t>Hormigón H-25</w:t>
            </w:r>
          </w:p>
        </w:tc>
        <w:tc>
          <w:tcPr>
            <w:tcW w:w="1701" w:type="dxa"/>
            <w:tcBorders>
              <w:top w:val="nil"/>
              <w:left w:val="nil"/>
              <w:bottom w:val="single" w:sz="4" w:space="0" w:color="auto"/>
              <w:right w:val="single" w:sz="4" w:space="0" w:color="auto"/>
            </w:tcBorders>
            <w:shd w:val="clear" w:color="auto" w:fill="auto"/>
            <w:noWrap/>
            <w:vAlign w:val="center"/>
            <w:hideMark/>
          </w:tcPr>
          <w:p w14:paraId="113AF5C5" w14:textId="77777777" w:rsidR="00EC4B36" w:rsidRPr="00AC57D5" w:rsidRDefault="00EC4B36" w:rsidP="006B5A62">
            <w:pPr>
              <w:spacing w:before="20" w:after="20" w:line="240" w:lineRule="auto"/>
              <w:jc w:val="center"/>
              <w:rPr>
                <w:sz w:val="22"/>
                <w:szCs w:val="22"/>
                <w:lang w:val="es-ES"/>
              </w:rPr>
            </w:pPr>
            <w:r w:rsidRPr="00AC57D5">
              <w:rPr>
                <w:sz w:val="22"/>
                <w:szCs w:val="22"/>
                <w:lang w:val="es-ES"/>
              </w:rPr>
              <w:t>C3</w:t>
            </w:r>
          </w:p>
        </w:tc>
      </w:tr>
      <w:tr w:rsidR="00EC4B36" w:rsidRPr="00AC57D5" w14:paraId="0EED71C8" w14:textId="77777777" w:rsidTr="006B5A62">
        <w:trPr>
          <w:jc w:val="center"/>
        </w:trPr>
        <w:tc>
          <w:tcPr>
            <w:tcW w:w="5670" w:type="dxa"/>
            <w:tcBorders>
              <w:top w:val="nil"/>
              <w:left w:val="single" w:sz="4" w:space="0" w:color="auto"/>
              <w:bottom w:val="single" w:sz="4" w:space="0" w:color="auto"/>
              <w:right w:val="single" w:sz="4" w:space="0" w:color="auto"/>
            </w:tcBorders>
            <w:shd w:val="clear" w:color="auto" w:fill="auto"/>
            <w:noWrap/>
            <w:vAlign w:val="center"/>
            <w:hideMark/>
          </w:tcPr>
          <w:p w14:paraId="17B0220A" w14:textId="77777777" w:rsidR="00EC4B36" w:rsidRPr="00AC57D5" w:rsidRDefault="00EC4B36" w:rsidP="006B5A62">
            <w:pPr>
              <w:spacing w:before="20" w:after="20" w:line="240" w:lineRule="auto"/>
              <w:rPr>
                <w:sz w:val="22"/>
                <w:szCs w:val="22"/>
                <w:lang w:val="es-ES"/>
              </w:rPr>
            </w:pPr>
            <w:r w:rsidRPr="00AC57D5">
              <w:rPr>
                <w:sz w:val="22"/>
                <w:szCs w:val="22"/>
                <w:lang w:val="es-ES"/>
              </w:rPr>
              <w:t>Relleno Terreno Natural Seleccionado</w:t>
            </w:r>
          </w:p>
        </w:tc>
        <w:tc>
          <w:tcPr>
            <w:tcW w:w="1701" w:type="dxa"/>
            <w:tcBorders>
              <w:top w:val="nil"/>
              <w:left w:val="nil"/>
              <w:bottom w:val="single" w:sz="4" w:space="0" w:color="auto"/>
              <w:right w:val="single" w:sz="4" w:space="0" w:color="auto"/>
            </w:tcBorders>
            <w:shd w:val="clear" w:color="auto" w:fill="auto"/>
            <w:noWrap/>
            <w:vAlign w:val="center"/>
            <w:hideMark/>
          </w:tcPr>
          <w:p w14:paraId="5B16A60F" w14:textId="77777777" w:rsidR="00EC4B36" w:rsidRPr="00AC57D5" w:rsidRDefault="00EC4B36" w:rsidP="006B5A62">
            <w:pPr>
              <w:spacing w:before="20" w:after="20" w:line="240" w:lineRule="auto"/>
              <w:jc w:val="center"/>
              <w:rPr>
                <w:sz w:val="22"/>
                <w:szCs w:val="22"/>
                <w:lang w:val="es-ES"/>
              </w:rPr>
            </w:pPr>
            <w:r w:rsidRPr="00AC57D5">
              <w:rPr>
                <w:sz w:val="22"/>
                <w:szCs w:val="22"/>
                <w:lang w:val="es-ES"/>
              </w:rPr>
              <w:t>C6</w:t>
            </w:r>
          </w:p>
        </w:tc>
      </w:tr>
      <w:tr w:rsidR="00EC4B36" w:rsidRPr="00AC57D5" w14:paraId="013BEC70" w14:textId="77777777" w:rsidTr="006B5A62">
        <w:trPr>
          <w:jc w:val="center"/>
        </w:trPr>
        <w:tc>
          <w:tcPr>
            <w:tcW w:w="5670" w:type="dxa"/>
            <w:tcBorders>
              <w:top w:val="nil"/>
              <w:left w:val="single" w:sz="4" w:space="0" w:color="auto"/>
              <w:bottom w:val="single" w:sz="4" w:space="0" w:color="auto"/>
              <w:right w:val="single" w:sz="4" w:space="0" w:color="auto"/>
            </w:tcBorders>
            <w:shd w:val="clear" w:color="auto" w:fill="auto"/>
            <w:noWrap/>
            <w:vAlign w:val="center"/>
            <w:hideMark/>
          </w:tcPr>
          <w:p w14:paraId="4632C173" w14:textId="77777777" w:rsidR="00EC4B36" w:rsidRPr="00AC57D5" w:rsidRDefault="00EC4B36" w:rsidP="006B5A62">
            <w:pPr>
              <w:spacing w:before="20" w:after="20" w:line="240" w:lineRule="auto"/>
              <w:rPr>
                <w:sz w:val="22"/>
                <w:szCs w:val="22"/>
                <w:lang w:val="es-ES"/>
              </w:rPr>
            </w:pPr>
            <w:r w:rsidRPr="00AC57D5">
              <w:rPr>
                <w:sz w:val="22"/>
                <w:szCs w:val="22"/>
                <w:lang w:val="es-ES"/>
              </w:rPr>
              <w:t>Relleno Aporte Material</w:t>
            </w:r>
          </w:p>
        </w:tc>
        <w:tc>
          <w:tcPr>
            <w:tcW w:w="1701" w:type="dxa"/>
            <w:tcBorders>
              <w:top w:val="nil"/>
              <w:left w:val="nil"/>
              <w:bottom w:val="single" w:sz="4" w:space="0" w:color="auto"/>
              <w:right w:val="single" w:sz="4" w:space="0" w:color="auto"/>
            </w:tcBorders>
            <w:shd w:val="clear" w:color="auto" w:fill="auto"/>
            <w:noWrap/>
            <w:vAlign w:val="center"/>
            <w:hideMark/>
          </w:tcPr>
          <w:p w14:paraId="243430AC" w14:textId="77777777" w:rsidR="00EC4B36" w:rsidRPr="00AC57D5" w:rsidRDefault="00EC4B36" w:rsidP="006B5A62">
            <w:pPr>
              <w:spacing w:before="20" w:after="20" w:line="240" w:lineRule="auto"/>
              <w:jc w:val="center"/>
              <w:rPr>
                <w:sz w:val="22"/>
                <w:szCs w:val="22"/>
                <w:lang w:val="es-ES"/>
              </w:rPr>
            </w:pPr>
            <w:r w:rsidRPr="00AC57D5">
              <w:rPr>
                <w:sz w:val="22"/>
                <w:szCs w:val="22"/>
                <w:lang w:val="es-ES"/>
              </w:rPr>
              <w:t>C1</w:t>
            </w:r>
          </w:p>
        </w:tc>
      </w:tr>
      <w:tr w:rsidR="00EC4B36" w:rsidRPr="00AC57D5" w14:paraId="75B95FA2" w14:textId="77777777" w:rsidTr="006B5A62">
        <w:trPr>
          <w:jc w:val="center"/>
        </w:trPr>
        <w:tc>
          <w:tcPr>
            <w:tcW w:w="5670" w:type="dxa"/>
            <w:tcBorders>
              <w:top w:val="nil"/>
              <w:left w:val="single" w:sz="4" w:space="0" w:color="auto"/>
              <w:bottom w:val="single" w:sz="4" w:space="0" w:color="auto"/>
              <w:right w:val="single" w:sz="4" w:space="0" w:color="auto"/>
            </w:tcBorders>
            <w:shd w:val="clear" w:color="auto" w:fill="auto"/>
            <w:noWrap/>
            <w:vAlign w:val="center"/>
            <w:hideMark/>
          </w:tcPr>
          <w:p w14:paraId="72EA2FC5" w14:textId="77777777" w:rsidR="00EC4B36" w:rsidRPr="00AC57D5" w:rsidRDefault="00EC4B36" w:rsidP="006B5A62">
            <w:pPr>
              <w:spacing w:before="20" w:after="20" w:line="240" w:lineRule="auto"/>
              <w:rPr>
                <w:sz w:val="22"/>
                <w:szCs w:val="22"/>
                <w:lang w:val="es-ES"/>
              </w:rPr>
            </w:pPr>
            <w:r w:rsidRPr="00AC57D5">
              <w:rPr>
                <w:sz w:val="22"/>
                <w:szCs w:val="22"/>
                <w:lang w:val="es-ES"/>
              </w:rPr>
              <w:t>Retiro Escombros</w:t>
            </w:r>
          </w:p>
        </w:tc>
        <w:tc>
          <w:tcPr>
            <w:tcW w:w="1701" w:type="dxa"/>
            <w:tcBorders>
              <w:top w:val="nil"/>
              <w:left w:val="nil"/>
              <w:bottom w:val="single" w:sz="4" w:space="0" w:color="auto"/>
              <w:right w:val="single" w:sz="4" w:space="0" w:color="auto"/>
            </w:tcBorders>
            <w:shd w:val="clear" w:color="auto" w:fill="auto"/>
            <w:noWrap/>
            <w:vAlign w:val="center"/>
            <w:hideMark/>
          </w:tcPr>
          <w:p w14:paraId="1D37836B" w14:textId="77777777" w:rsidR="00EC4B36" w:rsidRPr="00AC57D5" w:rsidRDefault="00EC4B36" w:rsidP="006B5A62">
            <w:pPr>
              <w:spacing w:before="20" w:after="20" w:line="240" w:lineRule="auto"/>
              <w:jc w:val="center"/>
              <w:rPr>
                <w:sz w:val="22"/>
                <w:szCs w:val="22"/>
                <w:lang w:val="es-ES"/>
              </w:rPr>
            </w:pPr>
            <w:r w:rsidRPr="00AC57D5">
              <w:rPr>
                <w:sz w:val="22"/>
                <w:szCs w:val="22"/>
                <w:lang w:val="es-ES"/>
              </w:rPr>
              <w:t>C6</w:t>
            </w:r>
          </w:p>
        </w:tc>
      </w:tr>
      <w:tr w:rsidR="00EC4B36" w:rsidRPr="00AC57D5" w14:paraId="6727C597" w14:textId="77777777" w:rsidTr="006B5A62">
        <w:trPr>
          <w:jc w:val="center"/>
        </w:trPr>
        <w:tc>
          <w:tcPr>
            <w:tcW w:w="5670" w:type="dxa"/>
            <w:tcBorders>
              <w:top w:val="nil"/>
              <w:left w:val="single" w:sz="4" w:space="0" w:color="auto"/>
              <w:bottom w:val="single" w:sz="4" w:space="0" w:color="auto"/>
              <w:right w:val="single" w:sz="4" w:space="0" w:color="auto"/>
            </w:tcBorders>
            <w:shd w:val="clear" w:color="auto" w:fill="auto"/>
            <w:noWrap/>
            <w:vAlign w:val="center"/>
            <w:hideMark/>
          </w:tcPr>
          <w:p w14:paraId="6396B9CB" w14:textId="77777777" w:rsidR="00EC4B36" w:rsidRPr="00AC57D5" w:rsidRDefault="00EC4B36" w:rsidP="006B5A62">
            <w:pPr>
              <w:spacing w:before="20" w:after="20" w:line="240" w:lineRule="auto"/>
              <w:rPr>
                <w:sz w:val="22"/>
                <w:szCs w:val="22"/>
                <w:lang w:val="es-ES"/>
              </w:rPr>
            </w:pPr>
            <w:r w:rsidRPr="00AC57D5">
              <w:rPr>
                <w:sz w:val="22"/>
                <w:szCs w:val="22"/>
                <w:lang w:val="es-ES"/>
              </w:rPr>
              <w:t>Montaje estructuras de torre</w:t>
            </w:r>
          </w:p>
        </w:tc>
        <w:tc>
          <w:tcPr>
            <w:tcW w:w="1701" w:type="dxa"/>
            <w:tcBorders>
              <w:top w:val="nil"/>
              <w:left w:val="nil"/>
              <w:bottom w:val="single" w:sz="4" w:space="0" w:color="auto"/>
              <w:right w:val="single" w:sz="4" w:space="0" w:color="auto"/>
            </w:tcBorders>
            <w:shd w:val="clear" w:color="auto" w:fill="auto"/>
            <w:noWrap/>
            <w:vAlign w:val="center"/>
            <w:hideMark/>
          </w:tcPr>
          <w:p w14:paraId="286288D3" w14:textId="77777777" w:rsidR="00EC4B36" w:rsidRPr="00AC57D5" w:rsidRDefault="00EC4B36" w:rsidP="006B5A62">
            <w:pPr>
              <w:spacing w:before="20" w:after="20" w:line="240" w:lineRule="auto"/>
              <w:jc w:val="center"/>
              <w:rPr>
                <w:sz w:val="22"/>
                <w:szCs w:val="22"/>
                <w:lang w:val="es-ES"/>
              </w:rPr>
            </w:pPr>
            <w:r w:rsidRPr="00AC57D5">
              <w:rPr>
                <w:sz w:val="22"/>
                <w:szCs w:val="22"/>
                <w:lang w:val="es-ES"/>
              </w:rPr>
              <w:t>C7</w:t>
            </w:r>
          </w:p>
        </w:tc>
      </w:tr>
      <w:tr w:rsidR="00EC4B36" w:rsidRPr="00AC57D5" w14:paraId="512C9544" w14:textId="77777777" w:rsidTr="006B5A62">
        <w:trPr>
          <w:jc w:val="center"/>
        </w:trPr>
        <w:tc>
          <w:tcPr>
            <w:tcW w:w="5670" w:type="dxa"/>
            <w:tcBorders>
              <w:top w:val="nil"/>
              <w:left w:val="single" w:sz="4" w:space="0" w:color="auto"/>
              <w:bottom w:val="single" w:sz="4" w:space="0" w:color="auto"/>
              <w:right w:val="single" w:sz="4" w:space="0" w:color="auto"/>
            </w:tcBorders>
            <w:shd w:val="clear" w:color="auto" w:fill="auto"/>
            <w:noWrap/>
            <w:vAlign w:val="center"/>
            <w:hideMark/>
          </w:tcPr>
          <w:p w14:paraId="7BD421DF" w14:textId="77777777" w:rsidR="00EC4B36" w:rsidRPr="00AC57D5" w:rsidRDefault="00EC4B36" w:rsidP="006B5A62">
            <w:pPr>
              <w:spacing w:before="20" w:after="20" w:line="240" w:lineRule="auto"/>
              <w:rPr>
                <w:sz w:val="22"/>
                <w:szCs w:val="22"/>
                <w:lang w:val="es-ES"/>
              </w:rPr>
            </w:pPr>
            <w:r w:rsidRPr="00AC57D5">
              <w:rPr>
                <w:sz w:val="22"/>
                <w:szCs w:val="22"/>
                <w:lang w:val="es-ES"/>
              </w:rPr>
              <w:t>Instalación cadena de aisladores y ferretería torres suspensión</w:t>
            </w:r>
          </w:p>
        </w:tc>
        <w:tc>
          <w:tcPr>
            <w:tcW w:w="1701" w:type="dxa"/>
            <w:tcBorders>
              <w:top w:val="nil"/>
              <w:left w:val="nil"/>
              <w:bottom w:val="single" w:sz="4" w:space="0" w:color="auto"/>
              <w:right w:val="single" w:sz="4" w:space="0" w:color="auto"/>
            </w:tcBorders>
            <w:shd w:val="clear" w:color="auto" w:fill="auto"/>
            <w:noWrap/>
            <w:vAlign w:val="center"/>
            <w:hideMark/>
          </w:tcPr>
          <w:p w14:paraId="1424570F" w14:textId="77777777" w:rsidR="00EC4B36" w:rsidRPr="00AC57D5" w:rsidRDefault="00EC4B36" w:rsidP="006B5A62">
            <w:pPr>
              <w:spacing w:before="20" w:after="20" w:line="240" w:lineRule="auto"/>
              <w:jc w:val="center"/>
              <w:rPr>
                <w:sz w:val="22"/>
                <w:szCs w:val="22"/>
                <w:lang w:val="es-ES"/>
              </w:rPr>
            </w:pPr>
            <w:r w:rsidRPr="00AC57D5">
              <w:rPr>
                <w:sz w:val="22"/>
                <w:szCs w:val="22"/>
                <w:lang w:val="es-ES"/>
              </w:rPr>
              <w:t>E6</w:t>
            </w:r>
          </w:p>
        </w:tc>
      </w:tr>
      <w:tr w:rsidR="00EC4B36" w:rsidRPr="00AC57D5" w14:paraId="147ADD1A" w14:textId="77777777" w:rsidTr="006B5A62">
        <w:trPr>
          <w:jc w:val="center"/>
        </w:trPr>
        <w:tc>
          <w:tcPr>
            <w:tcW w:w="5670" w:type="dxa"/>
            <w:tcBorders>
              <w:top w:val="nil"/>
              <w:left w:val="single" w:sz="4" w:space="0" w:color="auto"/>
              <w:bottom w:val="single" w:sz="4" w:space="0" w:color="auto"/>
              <w:right w:val="single" w:sz="4" w:space="0" w:color="auto"/>
            </w:tcBorders>
            <w:shd w:val="clear" w:color="auto" w:fill="auto"/>
            <w:noWrap/>
            <w:vAlign w:val="center"/>
            <w:hideMark/>
          </w:tcPr>
          <w:p w14:paraId="36674219" w14:textId="77777777" w:rsidR="00EC4B36" w:rsidRPr="00AC57D5" w:rsidRDefault="00EC4B36" w:rsidP="006B5A62">
            <w:pPr>
              <w:spacing w:before="20" w:after="20" w:line="240" w:lineRule="auto"/>
              <w:rPr>
                <w:sz w:val="22"/>
                <w:szCs w:val="22"/>
                <w:lang w:val="es-ES"/>
              </w:rPr>
            </w:pPr>
            <w:r w:rsidRPr="00AC57D5">
              <w:rPr>
                <w:sz w:val="22"/>
                <w:szCs w:val="22"/>
                <w:lang w:val="es-ES"/>
              </w:rPr>
              <w:t>Instalación cadena de aisladores y ferretería torres anclaje</w:t>
            </w:r>
          </w:p>
        </w:tc>
        <w:tc>
          <w:tcPr>
            <w:tcW w:w="1701" w:type="dxa"/>
            <w:tcBorders>
              <w:top w:val="nil"/>
              <w:left w:val="nil"/>
              <w:bottom w:val="single" w:sz="4" w:space="0" w:color="auto"/>
              <w:right w:val="single" w:sz="4" w:space="0" w:color="auto"/>
            </w:tcBorders>
            <w:shd w:val="clear" w:color="auto" w:fill="auto"/>
            <w:noWrap/>
            <w:vAlign w:val="center"/>
            <w:hideMark/>
          </w:tcPr>
          <w:p w14:paraId="325F7E3E" w14:textId="77777777" w:rsidR="00EC4B36" w:rsidRPr="00AC57D5" w:rsidRDefault="00EC4B36" w:rsidP="006B5A62">
            <w:pPr>
              <w:spacing w:before="20" w:after="20" w:line="240" w:lineRule="auto"/>
              <w:jc w:val="center"/>
              <w:rPr>
                <w:sz w:val="22"/>
                <w:szCs w:val="22"/>
                <w:lang w:val="es-ES"/>
              </w:rPr>
            </w:pPr>
            <w:r w:rsidRPr="00AC57D5">
              <w:rPr>
                <w:sz w:val="22"/>
                <w:szCs w:val="22"/>
                <w:lang w:val="es-ES"/>
              </w:rPr>
              <w:t>E6</w:t>
            </w:r>
          </w:p>
        </w:tc>
      </w:tr>
      <w:tr w:rsidR="00EC4B36" w:rsidRPr="00AC57D5" w14:paraId="02900388" w14:textId="77777777" w:rsidTr="006B5A62">
        <w:trPr>
          <w:jc w:val="center"/>
        </w:trPr>
        <w:tc>
          <w:tcPr>
            <w:tcW w:w="5670" w:type="dxa"/>
            <w:tcBorders>
              <w:top w:val="nil"/>
              <w:left w:val="single" w:sz="4" w:space="0" w:color="auto"/>
              <w:bottom w:val="single" w:sz="4" w:space="0" w:color="auto"/>
              <w:right w:val="single" w:sz="4" w:space="0" w:color="auto"/>
            </w:tcBorders>
            <w:shd w:val="clear" w:color="auto" w:fill="auto"/>
            <w:noWrap/>
            <w:vAlign w:val="center"/>
            <w:hideMark/>
          </w:tcPr>
          <w:p w14:paraId="4880FA59" w14:textId="77777777" w:rsidR="00EC4B36" w:rsidRPr="00AC57D5" w:rsidRDefault="00EC4B36" w:rsidP="006B5A62">
            <w:pPr>
              <w:spacing w:before="20" w:after="20" w:line="240" w:lineRule="auto"/>
              <w:rPr>
                <w:sz w:val="22"/>
                <w:szCs w:val="22"/>
                <w:lang w:val="es-ES"/>
              </w:rPr>
            </w:pPr>
            <w:r w:rsidRPr="00AC57D5">
              <w:rPr>
                <w:sz w:val="22"/>
                <w:szCs w:val="22"/>
                <w:lang w:val="es-ES"/>
              </w:rPr>
              <w:t>Empatecado Conductores</w:t>
            </w:r>
          </w:p>
        </w:tc>
        <w:tc>
          <w:tcPr>
            <w:tcW w:w="1701" w:type="dxa"/>
            <w:tcBorders>
              <w:top w:val="nil"/>
              <w:left w:val="nil"/>
              <w:bottom w:val="single" w:sz="4" w:space="0" w:color="auto"/>
              <w:right w:val="single" w:sz="4" w:space="0" w:color="auto"/>
            </w:tcBorders>
            <w:shd w:val="clear" w:color="auto" w:fill="auto"/>
            <w:noWrap/>
            <w:vAlign w:val="center"/>
            <w:hideMark/>
          </w:tcPr>
          <w:p w14:paraId="17110240" w14:textId="77777777" w:rsidR="00EC4B36" w:rsidRPr="00AC57D5" w:rsidRDefault="00EC4B36" w:rsidP="006B5A62">
            <w:pPr>
              <w:spacing w:before="20" w:after="20" w:line="240" w:lineRule="auto"/>
              <w:jc w:val="center"/>
              <w:rPr>
                <w:sz w:val="22"/>
                <w:szCs w:val="22"/>
                <w:lang w:val="es-ES"/>
              </w:rPr>
            </w:pPr>
            <w:r w:rsidRPr="00AC57D5">
              <w:rPr>
                <w:sz w:val="22"/>
                <w:szCs w:val="22"/>
                <w:lang w:val="es-ES"/>
              </w:rPr>
              <w:t>E7</w:t>
            </w:r>
          </w:p>
        </w:tc>
      </w:tr>
      <w:tr w:rsidR="00EC4B36" w:rsidRPr="00AC57D5" w14:paraId="4F37B6FE" w14:textId="77777777" w:rsidTr="006B5A62">
        <w:trPr>
          <w:jc w:val="center"/>
        </w:trPr>
        <w:tc>
          <w:tcPr>
            <w:tcW w:w="5670" w:type="dxa"/>
            <w:tcBorders>
              <w:top w:val="nil"/>
              <w:left w:val="single" w:sz="4" w:space="0" w:color="auto"/>
              <w:bottom w:val="single" w:sz="4" w:space="0" w:color="auto"/>
              <w:right w:val="single" w:sz="4" w:space="0" w:color="auto"/>
            </w:tcBorders>
            <w:shd w:val="clear" w:color="auto" w:fill="auto"/>
            <w:noWrap/>
            <w:vAlign w:val="center"/>
            <w:hideMark/>
          </w:tcPr>
          <w:p w14:paraId="69E4274F" w14:textId="77777777" w:rsidR="00EC4B36" w:rsidRPr="00AC57D5" w:rsidRDefault="00EC4B36" w:rsidP="006B5A62">
            <w:pPr>
              <w:spacing w:before="20" w:after="20" w:line="240" w:lineRule="auto"/>
              <w:rPr>
                <w:sz w:val="22"/>
                <w:szCs w:val="22"/>
                <w:lang w:val="es-ES"/>
              </w:rPr>
            </w:pPr>
            <w:r w:rsidRPr="00AC57D5">
              <w:rPr>
                <w:sz w:val="22"/>
                <w:szCs w:val="22"/>
                <w:lang w:val="es-ES"/>
              </w:rPr>
              <w:t>Tendido Conductores</w:t>
            </w:r>
          </w:p>
        </w:tc>
        <w:tc>
          <w:tcPr>
            <w:tcW w:w="1701" w:type="dxa"/>
            <w:tcBorders>
              <w:top w:val="nil"/>
              <w:left w:val="nil"/>
              <w:bottom w:val="single" w:sz="4" w:space="0" w:color="auto"/>
              <w:right w:val="single" w:sz="4" w:space="0" w:color="auto"/>
            </w:tcBorders>
            <w:shd w:val="clear" w:color="auto" w:fill="auto"/>
            <w:noWrap/>
            <w:vAlign w:val="center"/>
            <w:hideMark/>
          </w:tcPr>
          <w:p w14:paraId="70C4F6A9" w14:textId="77777777" w:rsidR="00EC4B36" w:rsidRPr="00AC57D5" w:rsidRDefault="00EC4B36" w:rsidP="006B5A62">
            <w:pPr>
              <w:spacing w:before="20" w:after="20" w:line="240" w:lineRule="auto"/>
              <w:jc w:val="center"/>
              <w:rPr>
                <w:sz w:val="22"/>
                <w:szCs w:val="22"/>
                <w:lang w:val="es-ES"/>
              </w:rPr>
            </w:pPr>
            <w:r w:rsidRPr="00AC57D5">
              <w:rPr>
                <w:sz w:val="22"/>
                <w:szCs w:val="22"/>
                <w:lang w:val="es-ES"/>
              </w:rPr>
              <w:t>E7</w:t>
            </w:r>
          </w:p>
        </w:tc>
      </w:tr>
      <w:tr w:rsidR="00EC4B36" w:rsidRPr="00AC57D5" w14:paraId="4DDB3414" w14:textId="77777777" w:rsidTr="006B5A62">
        <w:trPr>
          <w:jc w:val="center"/>
        </w:trPr>
        <w:tc>
          <w:tcPr>
            <w:tcW w:w="5670" w:type="dxa"/>
            <w:tcBorders>
              <w:top w:val="nil"/>
              <w:left w:val="single" w:sz="4" w:space="0" w:color="auto"/>
              <w:bottom w:val="single" w:sz="4" w:space="0" w:color="auto"/>
              <w:right w:val="single" w:sz="4" w:space="0" w:color="auto"/>
            </w:tcBorders>
            <w:shd w:val="clear" w:color="auto" w:fill="auto"/>
            <w:noWrap/>
            <w:vAlign w:val="center"/>
            <w:hideMark/>
          </w:tcPr>
          <w:p w14:paraId="27740305" w14:textId="77777777" w:rsidR="00EC4B36" w:rsidRPr="00AC57D5" w:rsidRDefault="00EC4B36" w:rsidP="006B5A62">
            <w:pPr>
              <w:spacing w:before="20" w:after="20" w:line="240" w:lineRule="auto"/>
              <w:rPr>
                <w:sz w:val="22"/>
                <w:szCs w:val="22"/>
                <w:lang w:val="es-ES"/>
              </w:rPr>
            </w:pPr>
            <w:r w:rsidRPr="00AC57D5">
              <w:rPr>
                <w:sz w:val="22"/>
                <w:szCs w:val="22"/>
                <w:lang w:val="es-ES"/>
              </w:rPr>
              <w:t>Templado Conductores</w:t>
            </w:r>
          </w:p>
        </w:tc>
        <w:tc>
          <w:tcPr>
            <w:tcW w:w="1701" w:type="dxa"/>
            <w:tcBorders>
              <w:top w:val="nil"/>
              <w:left w:val="nil"/>
              <w:bottom w:val="single" w:sz="4" w:space="0" w:color="auto"/>
              <w:right w:val="single" w:sz="4" w:space="0" w:color="auto"/>
            </w:tcBorders>
            <w:shd w:val="clear" w:color="auto" w:fill="auto"/>
            <w:noWrap/>
            <w:vAlign w:val="center"/>
            <w:hideMark/>
          </w:tcPr>
          <w:p w14:paraId="28A49B01" w14:textId="77777777" w:rsidR="00EC4B36" w:rsidRPr="00AC57D5" w:rsidRDefault="00EC4B36" w:rsidP="006B5A62">
            <w:pPr>
              <w:spacing w:before="20" w:after="20" w:line="240" w:lineRule="auto"/>
              <w:jc w:val="center"/>
              <w:rPr>
                <w:sz w:val="22"/>
                <w:szCs w:val="22"/>
                <w:lang w:val="es-ES"/>
              </w:rPr>
            </w:pPr>
            <w:r w:rsidRPr="00AC57D5">
              <w:rPr>
                <w:sz w:val="22"/>
                <w:szCs w:val="22"/>
                <w:lang w:val="es-ES"/>
              </w:rPr>
              <w:t>E7</w:t>
            </w:r>
          </w:p>
        </w:tc>
      </w:tr>
      <w:tr w:rsidR="00EC4B36" w:rsidRPr="00AC57D5" w14:paraId="3F48FE4A" w14:textId="77777777" w:rsidTr="006B5A62">
        <w:trPr>
          <w:jc w:val="center"/>
        </w:trPr>
        <w:tc>
          <w:tcPr>
            <w:tcW w:w="5670" w:type="dxa"/>
            <w:tcBorders>
              <w:top w:val="nil"/>
              <w:left w:val="single" w:sz="4" w:space="0" w:color="auto"/>
              <w:bottom w:val="single" w:sz="4" w:space="0" w:color="auto"/>
              <w:right w:val="single" w:sz="4" w:space="0" w:color="auto"/>
            </w:tcBorders>
            <w:shd w:val="clear" w:color="auto" w:fill="auto"/>
            <w:noWrap/>
            <w:vAlign w:val="center"/>
            <w:hideMark/>
          </w:tcPr>
          <w:p w14:paraId="6D69BE60" w14:textId="77777777" w:rsidR="00EC4B36" w:rsidRPr="00AC57D5" w:rsidRDefault="00EC4B36" w:rsidP="006B5A62">
            <w:pPr>
              <w:spacing w:before="20" w:after="20" w:line="240" w:lineRule="auto"/>
              <w:rPr>
                <w:sz w:val="22"/>
                <w:szCs w:val="22"/>
                <w:lang w:val="es-ES"/>
              </w:rPr>
            </w:pPr>
            <w:r w:rsidRPr="00AC57D5">
              <w:rPr>
                <w:sz w:val="22"/>
                <w:szCs w:val="22"/>
                <w:lang w:val="es-ES"/>
              </w:rPr>
              <w:t>Engrampado Torres Suspensión</w:t>
            </w:r>
          </w:p>
        </w:tc>
        <w:tc>
          <w:tcPr>
            <w:tcW w:w="1701" w:type="dxa"/>
            <w:tcBorders>
              <w:top w:val="nil"/>
              <w:left w:val="nil"/>
              <w:bottom w:val="single" w:sz="4" w:space="0" w:color="auto"/>
              <w:right w:val="single" w:sz="4" w:space="0" w:color="auto"/>
            </w:tcBorders>
            <w:shd w:val="clear" w:color="auto" w:fill="auto"/>
            <w:noWrap/>
            <w:vAlign w:val="center"/>
            <w:hideMark/>
          </w:tcPr>
          <w:p w14:paraId="0CB96449" w14:textId="77777777" w:rsidR="00EC4B36" w:rsidRPr="00AC57D5" w:rsidRDefault="00EC4B36" w:rsidP="006B5A62">
            <w:pPr>
              <w:spacing w:before="20" w:after="20" w:line="240" w:lineRule="auto"/>
              <w:jc w:val="center"/>
              <w:rPr>
                <w:sz w:val="22"/>
                <w:szCs w:val="22"/>
                <w:lang w:val="es-ES"/>
              </w:rPr>
            </w:pPr>
            <w:r w:rsidRPr="00AC57D5">
              <w:rPr>
                <w:sz w:val="22"/>
                <w:szCs w:val="22"/>
                <w:lang w:val="es-ES"/>
              </w:rPr>
              <w:t>E6</w:t>
            </w:r>
          </w:p>
        </w:tc>
      </w:tr>
      <w:tr w:rsidR="00EC4B36" w:rsidRPr="00AC57D5" w14:paraId="04909CB1" w14:textId="77777777" w:rsidTr="006B5A62">
        <w:trPr>
          <w:jc w:val="center"/>
        </w:trPr>
        <w:tc>
          <w:tcPr>
            <w:tcW w:w="5670" w:type="dxa"/>
            <w:tcBorders>
              <w:top w:val="nil"/>
              <w:left w:val="single" w:sz="4" w:space="0" w:color="auto"/>
              <w:bottom w:val="single" w:sz="4" w:space="0" w:color="auto"/>
              <w:right w:val="single" w:sz="4" w:space="0" w:color="auto"/>
            </w:tcBorders>
            <w:shd w:val="clear" w:color="auto" w:fill="auto"/>
            <w:noWrap/>
            <w:vAlign w:val="center"/>
            <w:hideMark/>
          </w:tcPr>
          <w:p w14:paraId="6E503871" w14:textId="77777777" w:rsidR="00EC4B36" w:rsidRPr="00AC57D5" w:rsidRDefault="00EC4B36" w:rsidP="006B5A62">
            <w:pPr>
              <w:spacing w:before="20" w:after="20" w:line="240" w:lineRule="auto"/>
              <w:rPr>
                <w:sz w:val="22"/>
                <w:szCs w:val="22"/>
                <w:lang w:val="es-ES"/>
              </w:rPr>
            </w:pPr>
            <w:r w:rsidRPr="00AC57D5">
              <w:rPr>
                <w:sz w:val="22"/>
                <w:szCs w:val="22"/>
                <w:lang w:val="es-ES"/>
              </w:rPr>
              <w:t>Engrampado Torres Anclaje</w:t>
            </w:r>
          </w:p>
        </w:tc>
        <w:tc>
          <w:tcPr>
            <w:tcW w:w="1701" w:type="dxa"/>
            <w:tcBorders>
              <w:top w:val="nil"/>
              <w:left w:val="nil"/>
              <w:bottom w:val="single" w:sz="4" w:space="0" w:color="auto"/>
              <w:right w:val="single" w:sz="4" w:space="0" w:color="auto"/>
            </w:tcBorders>
            <w:shd w:val="clear" w:color="auto" w:fill="auto"/>
            <w:noWrap/>
            <w:vAlign w:val="center"/>
            <w:hideMark/>
          </w:tcPr>
          <w:p w14:paraId="169245E8" w14:textId="77777777" w:rsidR="00EC4B36" w:rsidRPr="00AC57D5" w:rsidRDefault="00EC4B36" w:rsidP="006B5A62">
            <w:pPr>
              <w:spacing w:before="20" w:after="20" w:line="240" w:lineRule="auto"/>
              <w:jc w:val="center"/>
              <w:rPr>
                <w:sz w:val="22"/>
                <w:szCs w:val="22"/>
                <w:lang w:val="es-ES"/>
              </w:rPr>
            </w:pPr>
            <w:r w:rsidRPr="00AC57D5">
              <w:rPr>
                <w:sz w:val="22"/>
                <w:szCs w:val="22"/>
                <w:lang w:val="es-ES"/>
              </w:rPr>
              <w:t>E6</w:t>
            </w:r>
          </w:p>
        </w:tc>
      </w:tr>
      <w:tr w:rsidR="00EC4B36" w:rsidRPr="00AC57D5" w14:paraId="1508CD54" w14:textId="77777777" w:rsidTr="006B5A62">
        <w:trPr>
          <w:jc w:val="center"/>
        </w:trPr>
        <w:tc>
          <w:tcPr>
            <w:tcW w:w="5670" w:type="dxa"/>
            <w:tcBorders>
              <w:top w:val="nil"/>
              <w:left w:val="single" w:sz="4" w:space="0" w:color="auto"/>
              <w:bottom w:val="single" w:sz="4" w:space="0" w:color="auto"/>
              <w:right w:val="single" w:sz="4" w:space="0" w:color="auto"/>
            </w:tcBorders>
            <w:shd w:val="clear" w:color="auto" w:fill="auto"/>
            <w:noWrap/>
            <w:vAlign w:val="center"/>
            <w:hideMark/>
          </w:tcPr>
          <w:p w14:paraId="3AD7E9C0" w14:textId="77777777" w:rsidR="00EC4B36" w:rsidRPr="00AC57D5" w:rsidRDefault="00EC4B36" w:rsidP="006B5A62">
            <w:pPr>
              <w:spacing w:before="20" w:after="20" w:line="240" w:lineRule="auto"/>
              <w:rPr>
                <w:sz w:val="22"/>
                <w:szCs w:val="22"/>
                <w:lang w:val="es-ES"/>
              </w:rPr>
            </w:pPr>
            <w:r w:rsidRPr="00AC57D5">
              <w:rPr>
                <w:sz w:val="22"/>
                <w:szCs w:val="22"/>
                <w:lang w:val="es-ES"/>
              </w:rPr>
              <w:t>Inspección Técnica de Obras</w:t>
            </w:r>
          </w:p>
        </w:tc>
        <w:tc>
          <w:tcPr>
            <w:tcW w:w="1701" w:type="dxa"/>
            <w:tcBorders>
              <w:top w:val="nil"/>
              <w:left w:val="nil"/>
              <w:bottom w:val="single" w:sz="4" w:space="0" w:color="auto"/>
              <w:right w:val="single" w:sz="4" w:space="0" w:color="auto"/>
            </w:tcBorders>
            <w:shd w:val="clear" w:color="auto" w:fill="auto"/>
            <w:noWrap/>
            <w:vAlign w:val="center"/>
            <w:hideMark/>
          </w:tcPr>
          <w:p w14:paraId="082F2E1D" w14:textId="77777777" w:rsidR="00EC4B36" w:rsidRPr="00AC57D5" w:rsidRDefault="00EC4B36" w:rsidP="006B5A62">
            <w:pPr>
              <w:spacing w:before="20" w:after="20" w:line="240" w:lineRule="auto"/>
              <w:jc w:val="center"/>
              <w:rPr>
                <w:sz w:val="22"/>
                <w:szCs w:val="22"/>
                <w:lang w:val="es-ES"/>
              </w:rPr>
            </w:pPr>
            <w:r w:rsidRPr="00AC57D5">
              <w:rPr>
                <w:sz w:val="22"/>
                <w:szCs w:val="22"/>
                <w:lang w:val="es-ES"/>
              </w:rPr>
              <w:t>ITO</w:t>
            </w:r>
          </w:p>
        </w:tc>
      </w:tr>
      <w:tr w:rsidR="00EC4B36" w:rsidRPr="00AC57D5" w14:paraId="1567AC48" w14:textId="77777777" w:rsidTr="006B5A62">
        <w:trPr>
          <w:jc w:val="center"/>
        </w:trPr>
        <w:tc>
          <w:tcPr>
            <w:tcW w:w="5670" w:type="dxa"/>
            <w:tcBorders>
              <w:top w:val="nil"/>
              <w:left w:val="single" w:sz="4" w:space="0" w:color="auto"/>
              <w:bottom w:val="single" w:sz="4" w:space="0" w:color="auto"/>
              <w:right w:val="single" w:sz="4" w:space="0" w:color="auto"/>
            </w:tcBorders>
            <w:shd w:val="clear" w:color="auto" w:fill="auto"/>
            <w:noWrap/>
            <w:vAlign w:val="center"/>
            <w:hideMark/>
          </w:tcPr>
          <w:p w14:paraId="0DB9CB3D" w14:textId="77777777" w:rsidR="00EC4B36" w:rsidRPr="00AC57D5" w:rsidRDefault="00EC4B36" w:rsidP="006B5A62">
            <w:pPr>
              <w:spacing w:before="20" w:after="20" w:line="240" w:lineRule="auto"/>
              <w:rPr>
                <w:sz w:val="22"/>
                <w:szCs w:val="22"/>
                <w:lang w:val="es-ES"/>
              </w:rPr>
            </w:pPr>
            <w:r w:rsidRPr="00AC57D5">
              <w:rPr>
                <w:sz w:val="22"/>
                <w:szCs w:val="22"/>
                <w:lang w:val="es-ES"/>
              </w:rPr>
              <w:t>Pruebas y Puesta en Servicio</w:t>
            </w:r>
          </w:p>
        </w:tc>
        <w:tc>
          <w:tcPr>
            <w:tcW w:w="1701" w:type="dxa"/>
            <w:tcBorders>
              <w:top w:val="nil"/>
              <w:left w:val="nil"/>
              <w:bottom w:val="single" w:sz="4" w:space="0" w:color="auto"/>
              <w:right w:val="single" w:sz="4" w:space="0" w:color="auto"/>
            </w:tcBorders>
            <w:shd w:val="clear" w:color="auto" w:fill="auto"/>
            <w:noWrap/>
            <w:vAlign w:val="center"/>
            <w:hideMark/>
          </w:tcPr>
          <w:p w14:paraId="2BB68DB9" w14:textId="77777777" w:rsidR="00EC4B36" w:rsidRPr="00AC57D5" w:rsidRDefault="00EC4B36" w:rsidP="006B5A62">
            <w:pPr>
              <w:spacing w:before="20" w:after="20" w:line="240" w:lineRule="auto"/>
              <w:jc w:val="center"/>
              <w:rPr>
                <w:sz w:val="22"/>
                <w:szCs w:val="22"/>
                <w:lang w:val="es-ES"/>
              </w:rPr>
            </w:pPr>
          </w:p>
        </w:tc>
      </w:tr>
    </w:tbl>
    <w:p w14:paraId="4548F0DE" w14:textId="77777777" w:rsidR="00EC4B36" w:rsidRPr="00AC57D5" w:rsidRDefault="00EC4B36" w:rsidP="00EC4B36">
      <w:pPr>
        <w:spacing w:after="120" w:line="276" w:lineRule="auto"/>
        <w:rPr>
          <w:szCs w:val="22"/>
        </w:rPr>
      </w:pPr>
    </w:p>
    <w:p w14:paraId="1A4D3CA8" w14:textId="77777777" w:rsidR="00EC4B36" w:rsidRPr="00AC57D5" w:rsidRDefault="00EC4B36" w:rsidP="00EC4B36"/>
    <w:p w14:paraId="201CC1DD" w14:textId="77777777" w:rsidR="00EC4B36" w:rsidRDefault="00EC4B36" w:rsidP="00EC4B36">
      <w:r>
        <w:t>Considerando que existen diferencias de costos de montaje en Chile, dependiendo de la zona de ubicación, la altura sobre el nivel del mar y las condiciones climáticas, este Consultor se vio en la necesidad de resolver esta problemática, sujeto a las limitaciones que entrega la base de datos. La única solución que se pudo establecer fue crear diversos factores de ajustes de rendimientos, los cuales se detallan a continuación.</w:t>
      </w:r>
    </w:p>
    <w:p w14:paraId="0A46040B" w14:textId="77777777" w:rsidR="00EC4B36" w:rsidRPr="00AC57D5" w:rsidRDefault="00EC4B36" w:rsidP="00EC4B36">
      <w:pPr>
        <w:spacing w:line="276" w:lineRule="auto"/>
        <w:rPr>
          <w:szCs w:val="22"/>
        </w:rPr>
      </w:pPr>
      <w:r w:rsidRPr="00AC57D5">
        <w:rPr>
          <w:szCs w:val="22"/>
        </w:rPr>
        <w:t>Tomando como referencia la zona centro, el rendimiento de la zona sur es menor ya que la lluvia presente en los meses de invierno impide que se lleven a cabo ciertas labores. El consultor ha estimado, sobre la base de su experiencia en obras en la zona central y en la zona sur, que el rendimiento es un 90% comparado con el de la zona centro, es decir, el costo del montaje es un 11,11% superior. Ello significa en términos prácticos, que de 100 días laborables, en el sur se pierden 10 días de trabajo por lluvia.</w:t>
      </w:r>
    </w:p>
    <w:p w14:paraId="3B15DBC9" w14:textId="77777777" w:rsidR="00EC4B36" w:rsidRPr="00AC57D5" w:rsidRDefault="00EC4B36" w:rsidP="00EC4B36">
      <w:pPr>
        <w:spacing w:line="276" w:lineRule="auto"/>
        <w:rPr>
          <w:szCs w:val="22"/>
        </w:rPr>
      </w:pPr>
      <w:r w:rsidRPr="00AC57D5">
        <w:rPr>
          <w:szCs w:val="22"/>
        </w:rPr>
        <w:t>En el caso de la zona norte, la aridez propia del desierto, la fuerte radiación solar y las elevadas temperaturas también provocan un desmedro en el rendimiento de las cuadrillas de montaje. También existen fenómenos meteorológicos como el fuerte viento que provoca movimiento de tierra que también complica la ejecución de labores. Además, las distancias a zonas urbanas son mayores que en otras zonas del país, lo que eleva el costo y tiempo de transporte del personal y, dado que dicho ítem es considerado dentro de la jornada laboral, se cuentan con menos HH efectivas. El consultor ha estimado, sobre la base de su experiencia, que el rendimiento es un 85% con respecto a la zona centro, es decir, el costo del montaje es un 17,65% mayor. Ello se explica por la consideración que el tiempo de traslado al lugar de trabajo es mayor, habiéndose estimado dos horas en el viaje de ida y regreso de la jornada de trabajo, lo cual le resta 1 de 8,5 horas diarias, que equivale a un 11,8% de menor rendimiento. El 3,2% restante, que equivale a unos 16 minutos durante la jornada diaria, se explica por mayor tiempo en hidratación del trabajador.</w:t>
      </w:r>
    </w:p>
    <w:p w14:paraId="509D73ED" w14:textId="77777777" w:rsidR="00EC4B36" w:rsidRPr="00AC57D5" w:rsidRDefault="00EC4B36" w:rsidP="00EC4B36">
      <w:pPr>
        <w:spacing w:line="276" w:lineRule="auto"/>
        <w:rPr>
          <w:szCs w:val="22"/>
        </w:rPr>
      </w:pPr>
      <w:r w:rsidRPr="00AC57D5">
        <w:rPr>
          <w:szCs w:val="22"/>
        </w:rPr>
        <w:t>En el caso de la altura geográfica, el montaje presenta costos mayores debido, principalmente a dos aspectos. El primero es la dificultad para llegar a zonas más elevadas, lo que eleva los tiempos de transporte del personal. El segundo es la menor disponibilidad de oxígeno en la atmósfera que afecta el rendimiento físico de las personas, las que se sienten agotadas más fácilmente y, por lo tanto, el rendimiento del trabajo es menor.</w:t>
      </w:r>
    </w:p>
    <w:p w14:paraId="437536FF" w14:textId="77777777" w:rsidR="00EC4B36" w:rsidRPr="00AC57D5" w:rsidRDefault="00EC4B36" w:rsidP="00EC4B36">
      <w:pPr>
        <w:spacing w:line="276" w:lineRule="auto"/>
        <w:rPr>
          <w:szCs w:val="22"/>
        </w:rPr>
      </w:pPr>
      <w:r w:rsidRPr="00AC57D5">
        <w:rPr>
          <w:szCs w:val="22"/>
        </w:rPr>
        <w:t xml:space="preserve">Ante esto, el Consultor estimó sobre la base de su experiencia en múltiples obras a lo largo del país, en forma conservadora, que entre 0 msnm y 1.300 msnm el rendimiento no se ve afectado, que entre 1.300 msnm y 2.500 msnm el rendimiento es un 95% comparado con menor altura geográfica, es decir, el montaje tiene un costo 5,26% más alto, y, finalmente, sobre 2.500 msnm, el rendimiento es un 90% comparado con aquel realizado a baja altura geográfica, es decir, el costo </w:t>
      </w:r>
      <w:r w:rsidRPr="00AC57D5">
        <w:rPr>
          <w:szCs w:val="22"/>
        </w:rPr>
        <w:lastRenderedPageBreak/>
        <w:t>del montaje es un 11,11% superior. Los porcentajes indicados tienen relación con la mayor cantidad de interrupciones del trabajo en ejecución, por cansancio o sed y/o por la necesidad de detenerse para recuperar la respiración en forma normal.  Este último factor tiene mayor efecto en el rendimiento y por ello, en el costo de montaje, que en forma conservadora se estima en 50 minutos.</w:t>
      </w:r>
    </w:p>
    <w:p w14:paraId="02CB9DB2" w14:textId="77777777" w:rsidR="00EC4B36" w:rsidRPr="00AC57D5" w:rsidRDefault="00EC4B36" w:rsidP="00EC4B36">
      <w:pPr>
        <w:spacing w:line="276" w:lineRule="auto"/>
        <w:rPr>
          <w:szCs w:val="22"/>
        </w:rPr>
      </w:pPr>
      <w:r w:rsidRPr="00AC57D5">
        <w:rPr>
          <w:szCs w:val="22"/>
        </w:rPr>
        <w:t>Otro aspecto necesario de considerar es el rendimiento de las fundaciones y de las estructuras de acero en líneas de transmisión versus subestaciones. La base de datos no hace distinción alguna en el costo de montaje del acero y lo asume equivalente en cualquier instalación.</w:t>
      </w:r>
    </w:p>
    <w:p w14:paraId="586D6CF6" w14:textId="77777777" w:rsidR="00EC4B36" w:rsidRPr="00AC57D5" w:rsidRDefault="00EC4B36" w:rsidP="00EC4B36">
      <w:pPr>
        <w:spacing w:line="276" w:lineRule="auto"/>
        <w:rPr>
          <w:szCs w:val="22"/>
        </w:rPr>
      </w:pPr>
      <w:r w:rsidRPr="00AC57D5">
        <w:rPr>
          <w:szCs w:val="22"/>
        </w:rPr>
        <w:t>En una subestación, la construcción de estructuras altas es más rápida que la construcción de torres reticuladas de acero en líneas de transmisión, ya que en la primera todo el material se encuentra concentrado en una zona acotada y que no varía durante todo el tiempo de montaje, mientras que en el segundo caso se debe armar una estructura cada 350 metros o distancias mayores.</w:t>
      </w:r>
    </w:p>
    <w:p w14:paraId="78F9F527" w14:textId="77777777" w:rsidR="00EC4B36" w:rsidRPr="00AC57D5" w:rsidRDefault="00EC4B36" w:rsidP="00EC4B36">
      <w:pPr>
        <w:spacing w:line="276" w:lineRule="auto"/>
        <w:rPr>
          <w:szCs w:val="22"/>
        </w:rPr>
      </w:pPr>
      <w:r w:rsidRPr="00AC57D5">
        <w:rPr>
          <w:szCs w:val="22"/>
        </w:rPr>
        <w:t>En el caso de las fundaciones, la situación es similar. En una subestación las fundaciones de equipos, pilares, etc. se encuentran muy cercanas unas a otras durante todo el período de construcción, mientras que en las líneas de transmisión se realizan fundaciones lejanas unas de otra y que van cambiando de lugar con el avance de la construcción.</w:t>
      </w:r>
    </w:p>
    <w:p w14:paraId="283EDD91" w14:textId="77777777" w:rsidR="00EC4B36" w:rsidRPr="00AC57D5" w:rsidRDefault="00EC4B36" w:rsidP="00EC4B36">
      <w:pPr>
        <w:spacing w:line="276" w:lineRule="auto"/>
        <w:rPr>
          <w:szCs w:val="22"/>
        </w:rPr>
      </w:pPr>
      <w:r w:rsidRPr="00AC57D5">
        <w:rPr>
          <w:szCs w:val="22"/>
        </w:rPr>
        <w:t>Ante eso el consultor ha estimado que el montaje del acero y las fundaciones tiene un costo un 15% superior en una línea de transmisión respecto de una subestación, es decir, el rendimiento es un 87%, por el mayor tiempo y uso de recursos para una misma cantidad de material.</w:t>
      </w:r>
    </w:p>
    <w:p w14:paraId="0EC6DC05" w14:textId="77777777" w:rsidR="00EC4B36" w:rsidRPr="00AC57D5" w:rsidRDefault="00EC4B36" w:rsidP="00EC4B36">
      <w:pPr>
        <w:spacing w:line="276" w:lineRule="auto"/>
        <w:rPr>
          <w:szCs w:val="22"/>
        </w:rPr>
      </w:pPr>
      <w:r w:rsidRPr="00AC57D5">
        <w:rPr>
          <w:szCs w:val="22"/>
        </w:rPr>
        <w:t>Después de todo lo expuesto, el montaje de un elemento queda dado por</w:t>
      </w:r>
    </w:p>
    <w:p w14:paraId="7DF36535" w14:textId="77777777" w:rsidR="00EC4B36" w:rsidRPr="00AC57D5" w:rsidRDefault="00EC4B36" w:rsidP="00EC4B36">
      <w:pPr>
        <w:spacing w:line="276" w:lineRule="auto"/>
        <w:rPr>
          <w:szCs w:val="22"/>
        </w:rPr>
      </w:pPr>
      <m:oMathPara>
        <m:oMath>
          <m:r>
            <w:rPr>
              <w:rFonts w:ascii="Cambria Math" w:hAnsi="Cambria Math"/>
              <w:szCs w:val="22"/>
            </w:rPr>
            <m:t>Montaj</m:t>
          </m:r>
          <m:sSub>
            <m:sSubPr>
              <m:ctrlPr>
                <w:rPr>
                  <w:rFonts w:ascii="Cambria Math" w:hAnsi="Cambria Math"/>
                  <w:i/>
                  <w:szCs w:val="22"/>
                </w:rPr>
              </m:ctrlPr>
            </m:sSubPr>
            <m:e>
              <m:r>
                <w:rPr>
                  <w:rFonts w:ascii="Cambria Math" w:hAnsi="Cambria Math"/>
                  <w:szCs w:val="22"/>
                </w:rPr>
                <m:t>e</m:t>
              </m:r>
            </m:e>
            <m:sub>
              <m:r>
                <w:rPr>
                  <w:rFonts w:ascii="Cambria Math" w:hAnsi="Cambria Math"/>
                  <w:szCs w:val="22"/>
                </w:rPr>
                <m:t>i</m:t>
              </m:r>
            </m:sub>
          </m:sSub>
          <m:r>
            <w:rPr>
              <w:rFonts w:ascii="Cambria Math" w:hAnsi="Cambria Math"/>
              <w:szCs w:val="22"/>
            </w:rPr>
            <m:t>=</m:t>
          </m:r>
          <m:f>
            <m:fPr>
              <m:ctrlPr>
                <w:rPr>
                  <w:rFonts w:ascii="Cambria Math" w:hAnsi="Cambria Math"/>
                  <w:i/>
                  <w:szCs w:val="22"/>
                </w:rPr>
              </m:ctrlPr>
            </m:fPr>
            <m:num>
              <m:r>
                <w:rPr>
                  <w:rFonts w:ascii="Cambria Math" w:hAnsi="Cambria Math"/>
                  <w:szCs w:val="22"/>
                </w:rPr>
                <m:t>Montaj</m:t>
              </m:r>
              <m:sSub>
                <m:sSubPr>
                  <m:ctrlPr>
                    <w:rPr>
                      <w:rFonts w:ascii="Cambria Math" w:hAnsi="Cambria Math"/>
                      <w:i/>
                      <w:szCs w:val="22"/>
                    </w:rPr>
                  </m:ctrlPr>
                </m:sSubPr>
                <m:e>
                  <m:r>
                    <w:rPr>
                      <w:rFonts w:ascii="Cambria Math" w:hAnsi="Cambria Math"/>
                      <w:szCs w:val="22"/>
                    </w:rPr>
                    <m:t>e</m:t>
                  </m:r>
                </m:e>
                <m:sub>
                  <m:r>
                    <w:rPr>
                      <w:rFonts w:ascii="Cambria Math" w:hAnsi="Cambria Math"/>
                      <w:szCs w:val="22"/>
                    </w:rPr>
                    <m:t>normal i</m:t>
                  </m:r>
                </m:sub>
              </m:sSub>
            </m:num>
            <m:den>
              <m:sSub>
                <m:sSubPr>
                  <m:ctrlPr>
                    <w:rPr>
                      <w:rFonts w:ascii="Cambria Math" w:hAnsi="Cambria Math"/>
                      <w:i/>
                      <w:szCs w:val="22"/>
                    </w:rPr>
                  </m:ctrlPr>
                </m:sSubPr>
                <m:e>
                  <m:r>
                    <w:rPr>
                      <w:rFonts w:ascii="Cambria Math" w:hAnsi="Cambria Math"/>
                      <w:szCs w:val="22"/>
                    </w:rPr>
                    <m:t>ρ</m:t>
                  </m:r>
                </m:e>
                <m:sub>
                  <m:r>
                    <w:rPr>
                      <w:rFonts w:ascii="Cambria Math" w:hAnsi="Cambria Math"/>
                      <w:szCs w:val="22"/>
                    </w:rPr>
                    <m:t>zona</m:t>
                  </m:r>
                </m:sub>
              </m:sSub>
              <m:r>
                <w:rPr>
                  <w:rFonts w:ascii="Cambria Math" w:hAnsi="Cambria Math"/>
                  <w:szCs w:val="22"/>
                </w:rPr>
                <m:t>∙</m:t>
              </m:r>
              <m:sSub>
                <m:sSubPr>
                  <m:ctrlPr>
                    <w:rPr>
                      <w:rFonts w:ascii="Cambria Math" w:hAnsi="Cambria Math"/>
                      <w:i/>
                      <w:szCs w:val="22"/>
                    </w:rPr>
                  </m:ctrlPr>
                </m:sSubPr>
                <m:e>
                  <m:r>
                    <w:rPr>
                      <w:rFonts w:ascii="Cambria Math" w:hAnsi="Cambria Math"/>
                      <w:szCs w:val="22"/>
                    </w:rPr>
                    <m:t>ρ</m:t>
                  </m:r>
                </m:e>
                <m:sub>
                  <m:r>
                    <w:rPr>
                      <w:rFonts w:ascii="Cambria Math" w:hAnsi="Cambria Math"/>
                      <w:szCs w:val="22"/>
                    </w:rPr>
                    <m:t>altura</m:t>
                  </m:r>
                </m:sub>
              </m:sSub>
              <m:r>
                <w:rPr>
                  <w:rFonts w:ascii="Cambria Math" w:hAnsi="Cambria Math"/>
                  <w:szCs w:val="22"/>
                </w:rPr>
                <m:t>∙</m:t>
              </m:r>
              <m:sSub>
                <m:sSubPr>
                  <m:ctrlPr>
                    <w:rPr>
                      <w:rFonts w:ascii="Cambria Math" w:hAnsi="Cambria Math"/>
                      <w:i/>
                      <w:szCs w:val="22"/>
                    </w:rPr>
                  </m:ctrlPr>
                </m:sSubPr>
                <m:e>
                  <m:r>
                    <w:rPr>
                      <w:rFonts w:ascii="Cambria Math" w:hAnsi="Cambria Math"/>
                      <w:szCs w:val="22"/>
                    </w:rPr>
                    <m:t>ρ</m:t>
                  </m:r>
                </m:e>
                <m:sub>
                  <m:r>
                    <w:rPr>
                      <w:rFonts w:ascii="Cambria Math" w:hAnsi="Cambria Math"/>
                      <w:szCs w:val="22"/>
                    </w:rPr>
                    <m:t>LTx</m:t>
                  </m:r>
                </m:sub>
              </m:sSub>
            </m:den>
          </m:f>
        </m:oMath>
      </m:oMathPara>
    </w:p>
    <w:p w14:paraId="7D7EA7B3" w14:textId="77777777" w:rsidR="00EC4B36" w:rsidRPr="00AC57D5" w:rsidRDefault="0088072F" w:rsidP="00EC4B36">
      <w:pPr>
        <w:spacing w:line="276" w:lineRule="auto"/>
        <w:rPr>
          <w:szCs w:val="22"/>
        </w:rPr>
      </w:pPr>
      <m:oMath>
        <m:sSub>
          <m:sSubPr>
            <m:ctrlPr>
              <w:rPr>
                <w:rFonts w:ascii="Cambria Math" w:hAnsi="Cambria Math"/>
                <w:i/>
                <w:szCs w:val="22"/>
              </w:rPr>
            </m:ctrlPr>
          </m:sSubPr>
          <m:e>
            <m:r>
              <w:rPr>
                <w:rFonts w:ascii="Cambria Math" w:hAnsi="Cambria Math"/>
                <w:szCs w:val="22"/>
              </w:rPr>
              <m:t>ρ</m:t>
            </m:r>
          </m:e>
          <m:sub>
            <m:r>
              <w:rPr>
                <w:rFonts w:ascii="Cambria Math" w:hAnsi="Cambria Math"/>
                <w:szCs w:val="22"/>
              </w:rPr>
              <m:t>zona</m:t>
            </m:r>
          </m:sub>
        </m:sSub>
      </m:oMath>
      <w:r w:rsidR="00EC4B36" w:rsidRPr="00AC57D5">
        <w:rPr>
          <w:szCs w:val="22"/>
        </w:rPr>
        <w:t xml:space="preserve">: </w:t>
      </w:r>
      <w:proofErr w:type="gramStart"/>
      <w:r w:rsidR="00EC4B36" w:rsidRPr="00AC57D5">
        <w:rPr>
          <w:szCs w:val="22"/>
        </w:rPr>
        <w:t>factor</w:t>
      </w:r>
      <w:proofErr w:type="gramEnd"/>
      <w:r w:rsidR="00EC4B36" w:rsidRPr="00AC57D5">
        <w:rPr>
          <w:szCs w:val="22"/>
        </w:rPr>
        <w:t xml:space="preserve"> de rendimiento por zona geográfica;</w:t>
      </w:r>
    </w:p>
    <w:p w14:paraId="7EF46B32" w14:textId="77777777" w:rsidR="00EC4B36" w:rsidRPr="00AC57D5" w:rsidRDefault="0088072F" w:rsidP="00EC4B36">
      <w:pPr>
        <w:spacing w:line="276" w:lineRule="auto"/>
        <w:rPr>
          <w:szCs w:val="22"/>
        </w:rPr>
      </w:pPr>
      <m:oMath>
        <m:sSub>
          <m:sSubPr>
            <m:ctrlPr>
              <w:rPr>
                <w:rFonts w:ascii="Cambria Math" w:hAnsi="Cambria Math"/>
                <w:i/>
                <w:szCs w:val="22"/>
              </w:rPr>
            </m:ctrlPr>
          </m:sSubPr>
          <m:e>
            <m:r>
              <w:rPr>
                <w:rFonts w:ascii="Cambria Math" w:hAnsi="Cambria Math"/>
                <w:szCs w:val="22"/>
              </w:rPr>
              <m:t>ρ</m:t>
            </m:r>
          </m:e>
          <m:sub>
            <m:r>
              <w:rPr>
                <w:rFonts w:ascii="Cambria Math" w:hAnsi="Cambria Math"/>
                <w:szCs w:val="22"/>
              </w:rPr>
              <m:t>altura</m:t>
            </m:r>
          </m:sub>
        </m:sSub>
      </m:oMath>
      <w:r w:rsidR="00EC4B36" w:rsidRPr="00AC57D5">
        <w:rPr>
          <w:szCs w:val="22"/>
        </w:rPr>
        <w:t xml:space="preserve">: </w:t>
      </w:r>
      <w:proofErr w:type="gramStart"/>
      <w:r w:rsidR="00EC4B36" w:rsidRPr="00AC57D5">
        <w:rPr>
          <w:szCs w:val="22"/>
        </w:rPr>
        <w:t>factor</w:t>
      </w:r>
      <w:proofErr w:type="gramEnd"/>
      <w:r w:rsidR="00EC4B36" w:rsidRPr="00AC57D5">
        <w:rPr>
          <w:szCs w:val="22"/>
        </w:rPr>
        <w:t xml:space="preserve"> de rendimiento por altura geográfica;</w:t>
      </w:r>
    </w:p>
    <w:p w14:paraId="01C15009" w14:textId="77777777" w:rsidR="00EC4B36" w:rsidRPr="00AC57D5" w:rsidRDefault="0088072F" w:rsidP="00EC4B36">
      <w:pPr>
        <w:spacing w:line="276" w:lineRule="auto"/>
        <w:rPr>
          <w:szCs w:val="22"/>
        </w:rPr>
      </w:pPr>
      <m:oMath>
        <m:sSub>
          <m:sSubPr>
            <m:ctrlPr>
              <w:rPr>
                <w:rFonts w:ascii="Cambria Math" w:hAnsi="Cambria Math"/>
                <w:i/>
                <w:szCs w:val="22"/>
              </w:rPr>
            </m:ctrlPr>
          </m:sSubPr>
          <m:e>
            <m:r>
              <w:rPr>
                <w:rFonts w:ascii="Cambria Math" w:hAnsi="Cambria Math"/>
                <w:szCs w:val="22"/>
              </w:rPr>
              <m:t>ρ</m:t>
            </m:r>
          </m:e>
          <m:sub>
            <m:r>
              <w:rPr>
                <w:rFonts w:ascii="Cambria Math" w:hAnsi="Cambria Math"/>
                <w:szCs w:val="22"/>
              </w:rPr>
              <m:t>LTx</m:t>
            </m:r>
          </m:sub>
        </m:sSub>
      </m:oMath>
      <w:r w:rsidR="00EC4B36" w:rsidRPr="00AC57D5">
        <w:rPr>
          <w:szCs w:val="22"/>
        </w:rPr>
        <w:t xml:space="preserve">: </w:t>
      </w:r>
      <w:proofErr w:type="gramStart"/>
      <w:r w:rsidR="00EC4B36" w:rsidRPr="00AC57D5">
        <w:rPr>
          <w:szCs w:val="22"/>
        </w:rPr>
        <w:t>factor</w:t>
      </w:r>
      <w:proofErr w:type="gramEnd"/>
      <w:r w:rsidR="00EC4B36" w:rsidRPr="00AC57D5">
        <w:rPr>
          <w:szCs w:val="22"/>
        </w:rPr>
        <w:t xml:space="preserve"> de rendimiento fundaciones y acero en una línea de transmisión (solo aplica en estos).</w:t>
      </w:r>
    </w:p>
    <w:p w14:paraId="702807EA" w14:textId="77777777" w:rsidR="00EC4B36" w:rsidRPr="00AC57D5" w:rsidRDefault="00EC4B36" w:rsidP="00EC4B36">
      <w:pPr>
        <w:spacing w:line="276" w:lineRule="auto"/>
        <w:rPr>
          <w:rFonts w:eastAsia="Times New Roman"/>
          <w:szCs w:val="22"/>
        </w:rPr>
      </w:pPr>
      <w:r w:rsidRPr="00AC57D5">
        <w:rPr>
          <w:szCs w:val="22"/>
        </w:rPr>
        <w:t xml:space="preserve">En este último caso, el factor </w:t>
      </w:r>
      <m:oMath>
        <m:sSub>
          <m:sSubPr>
            <m:ctrlPr>
              <w:rPr>
                <w:rFonts w:ascii="Cambria Math" w:hAnsi="Cambria Math"/>
                <w:i/>
                <w:szCs w:val="22"/>
              </w:rPr>
            </m:ctrlPr>
          </m:sSubPr>
          <m:e>
            <m:r>
              <w:rPr>
                <w:rFonts w:ascii="Cambria Math" w:hAnsi="Cambria Math"/>
                <w:szCs w:val="22"/>
              </w:rPr>
              <m:t>ρ</m:t>
            </m:r>
          </m:e>
          <m:sub>
            <m:r>
              <w:rPr>
                <w:rFonts w:ascii="Cambria Math" w:hAnsi="Cambria Math"/>
                <w:szCs w:val="22"/>
              </w:rPr>
              <m:t>LTx</m:t>
            </m:r>
          </m:sub>
        </m:sSub>
      </m:oMath>
      <w:r w:rsidRPr="00AC57D5">
        <w:rPr>
          <w:rFonts w:eastAsia="Times New Roman"/>
          <w:szCs w:val="22"/>
        </w:rPr>
        <w:t xml:space="preserve"> toma el valor 1 en subestaciones y en los elementos distintos a estructuras de acero y fundaciones de una línea de transmisión. </w:t>
      </w:r>
    </w:p>
    <w:p w14:paraId="4AC48103" w14:textId="77777777" w:rsidR="00EC4B36" w:rsidRPr="00AC57D5" w:rsidRDefault="00EC4B36" w:rsidP="00EC4B36">
      <w:pPr>
        <w:spacing w:line="276" w:lineRule="auto"/>
        <w:rPr>
          <w:rFonts w:eastAsia="Times New Roman"/>
          <w:szCs w:val="22"/>
        </w:rPr>
      </w:pPr>
      <w:r w:rsidRPr="00AC57D5">
        <w:rPr>
          <w:rFonts w:eastAsia="Times New Roman"/>
          <w:szCs w:val="22"/>
        </w:rPr>
        <w:lastRenderedPageBreak/>
        <w:t xml:space="preserve">A modo de ejemplo, el montaje de la línea Chuquicamata 220 - &gt; Nueva Chuquicamata es afectado por factores </w:t>
      </w:r>
      <m:oMath>
        <m:sSub>
          <m:sSubPr>
            <m:ctrlPr>
              <w:rPr>
                <w:rFonts w:ascii="Cambria Math" w:hAnsi="Cambria Math"/>
                <w:i/>
                <w:szCs w:val="22"/>
              </w:rPr>
            </m:ctrlPr>
          </m:sSubPr>
          <m:e>
            <m:r>
              <w:rPr>
                <w:rFonts w:ascii="Cambria Math" w:hAnsi="Cambria Math"/>
                <w:szCs w:val="22"/>
              </w:rPr>
              <m:t>ρ</m:t>
            </m:r>
          </m:e>
          <m:sub>
            <m:r>
              <w:rPr>
                <w:rFonts w:ascii="Cambria Math" w:hAnsi="Cambria Math"/>
                <w:szCs w:val="22"/>
              </w:rPr>
              <m:t>zona</m:t>
            </m:r>
          </m:sub>
        </m:sSub>
        <m:r>
          <w:rPr>
            <w:rFonts w:ascii="Cambria Math" w:hAnsi="Cambria Math"/>
            <w:szCs w:val="22"/>
          </w:rPr>
          <m:t>=0,85</m:t>
        </m:r>
      </m:oMath>
      <w:r w:rsidRPr="00AC57D5">
        <w:rPr>
          <w:rFonts w:eastAsia="Times New Roman"/>
          <w:szCs w:val="22"/>
        </w:rPr>
        <w:t xml:space="preserve"> , </w:t>
      </w:r>
      <m:oMath>
        <m:sSub>
          <m:sSubPr>
            <m:ctrlPr>
              <w:rPr>
                <w:rFonts w:ascii="Cambria Math" w:hAnsi="Cambria Math"/>
                <w:i/>
                <w:szCs w:val="22"/>
              </w:rPr>
            </m:ctrlPr>
          </m:sSubPr>
          <m:e>
            <m:r>
              <w:rPr>
                <w:rFonts w:ascii="Cambria Math" w:hAnsi="Cambria Math"/>
                <w:szCs w:val="22"/>
              </w:rPr>
              <m:t>ρ</m:t>
            </m:r>
          </m:e>
          <m:sub>
            <m:r>
              <w:rPr>
                <w:rFonts w:ascii="Cambria Math" w:hAnsi="Cambria Math"/>
                <w:szCs w:val="22"/>
              </w:rPr>
              <m:t>altura</m:t>
            </m:r>
          </m:sub>
        </m:sSub>
        <m:r>
          <w:rPr>
            <w:rFonts w:ascii="Cambria Math" w:hAnsi="Cambria Math"/>
            <w:szCs w:val="22"/>
          </w:rPr>
          <m:t>=0,95</m:t>
        </m:r>
      </m:oMath>
      <w:r w:rsidRPr="00AC57D5">
        <w:rPr>
          <w:rFonts w:eastAsia="Times New Roman"/>
          <w:szCs w:val="22"/>
        </w:rPr>
        <w:t xml:space="preserve"> y </w:t>
      </w:r>
      <m:oMath>
        <m:sSub>
          <m:sSubPr>
            <m:ctrlPr>
              <w:rPr>
                <w:rFonts w:ascii="Cambria Math" w:hAnsi="Cambria Math"/>
                <w:i/>
                <w:szCs w:val="22"/>
              </w:rPr>
            </m:ctrlPr>
          </m:sSubPr>
          <m:e>
            <m:r>
              <w:rPr>
                <w:rFonts w:ascii="Cambria Math" w:hAnsi="Cambria Math"/>
                <w:szCs w:val="22"/>
              </w:rPr>
              <m:t>ρ</m:t>
            </m:r>
          </m:e>
          <m:sub>
            <m:r>
              <w:rPr>
                <w:rFonts w:ascii="Cambria Math" w:hAnsi="Cambria Math"/>
                <w:szCs w:val="22"/>
              </w:rPr>
              <m:t>LTx</m:t>
            </m:r>
          </m:sub>
        </m:sSub>
        <m:r>
          <w:rPr>
            <w:rFonts w:ascii="Cambria Math" w:hAnsi="Cambria Math"/>
            <w:szCs w:val="22"/>
          </w:rPr>
          <m:t>=0,87</m:t>
        </m:r>
      </m:oMath>
      <w:r w:rsidRPr="00AC57D5">
        <w:rPr>
          <w:rFonts w:eastAsia="Times New Roman"/>
          <w:szCs w:val="22"/>
        </w:rPr>
        <w:t xml:space="preserve">, mientras que la línea Alto Jahuel 220 -&gt; Buin 220 posee factores </w:t>
      </w:r>
      <m:oMath>
        <m:sSub>
          <m:sSubPr>
            <m:ctrlPr>
              <w:rPr>
                <w:rFonts w:ascii="Cambria Math" w:hAnsi="Cambria Math"/>
                <w:i/>
                <w:szCs w:val="22"/>
              </w:rPr>
            </m:ctrlPr>
          </m:sSubPr>
          <m:e>
            <m:r>
              <w:rPr>
                <w:rFonts w:ascii="Cambria Math" w:hAnsi="Cambria Math"/>
                <w:szCs w:val="22"/>
              </w:rPr>
              <m:t>ρ</m:t>
            </m:r>
          </m:e>
          <m:sub>
            <m:r>
              <w:rPr>
                <w:rFonts w:ascii="Cambria Math" w:hAnsi="Cambria Math"/>
                <w:szCs w:val="22"/>
              </w:rPr>
              <m:t>zona</m:t>
            </m:r>
          </m:sub>
        </m:sSub>
        <m:r>
          <w:rPr>
            <w:rFonts w:ascii="Cambria Math" w:hAnsi="Cambria Math"/>
            <w:szCs w:val="22"/>
          </w:rPr>
          <m:t>=1</m:t>
        </m:r>
      </m:oMath>
      <w:r w:rsidRPr="00AC57D5">
        <w:rPr>
          <w:rFonts w:eastAsia="Times New Roman"/>
          <w:szCs w:val="22"/>
        </w:rPr>
        <w:t xml:space="preserve"> , </w:t>
      </w:r>
      <m:oMath>
        <m:sSub>
          <m:sSubPr>
            <m:ctrlPr>
              <w:rPr>
                <w:rFonts w:ascii="Cambria Math" w:hAnsi="Cambria Math"/>
                <w:i/>
                <w:szCs w:val="22"/>
              </w:rPr>
            </m:ctrlPr>
          </m:sSubPr>
          <m:e>
            <m:r>
              <w:rPr>
                <w:rFonts w:ascii="Cambria Math" w:hAnsi="Cambria Math"/>
                <w:szCs w:val="22"/>
              </w:rPr>
              <m:t>ρ</m:t>
            </m:r>
          </m:e>
          <m:sub>
            <m:r>
              <w:rPr>
                <w:rFonts w:ascii="Cambria Math" w:hAnsi="Cambria Math"/>
                <w:szCs w:val="22"/>
              </w:rPr>
              <m:t>altura</m:t>
            </m:r>
          </m:sub>
        </m:sSub>
        <m:r>
          <w:rPr>
            <w:rFonts w:ascii="Cambria Math" w:hAnsi="Cambria Math"/>
            <w:szCs w:val="22"/>
          </w:rPr>
          <m:t>=1</m:t>
        </m:r>
      </m:oMath>
      <w:r w:rsidRPr="00AC57D5">
        <w:rPr>
          <w:rFonts w:eastAsia="Times New Roman"/>
          <w:szCs w:val="22"/>
        </w:rPr>
        <w:t xml:space="preserve"> y </w:t>
      </w:r>
      <m:oMath>
        <m:sSub>
          <m:sSubPr>
            <m:ctrlPr>
              <w:rPr>
                <w:rFonts w:ascii="Cambria Math" w:hAnsi="Cambria Math"/>
                <w:i/>
                <w:szCs w:val="22"/>
              </w:rPr>
            </m:ctrlPr>
          </m:sSubPr>
          <m:e>
            <m:r>
              <w:rPr>
                <w:rFonts w:ascii="Cambria Math" w:hAnsi="Cambria Math"/>
                <w:szCs w:val="22"/>
              </w:rPr>
              <m:t>ρ</m:t>
            </m:r>
          </m:e>
          <m:sub>
            <m:r>
              <w:rPr>
                <w:rFonts w:ascii="Cambria Math" w:hAnsi="Cambria Math"/>
                <w:szCs w:val="22"/>
              </w:rPr>
              <m:t>LTx</m:t>
            </m:r>
          </m:sub>
        </m:sSub>
        <m:r>
          <w:rPr>
            <w:rFonts w:ascii="Cambria Math" w:hAnsi="Cambria Math"/>
            <w:szCs w:val="22"/>
          </w:rPr>
          <m:t>=0,87</m:t>
        </m:r>
      </m:oMath>
      <w:r w:rsidRPr="00AC57D5">
        <w:rPr>
          <w:rFonts w:eastAsia="Times New Roman"/>
          <w:szCs w:val="22"/>
        </w:rPr>
        <w:t xml:space="preserve">. </w:t>
      </w:r>
    </w:p>
    <w:p w14:paraId="6F963B29" w14:textId="77777777" w:rsidR="00EC4B36" w:rsidRPr="00AC57D5" w:rsidRDefault="00EC4B36" w:rsidP="00EC4B36">
      <w:pPr>
        <w:spacing w:line="276" w:lineRule="auto"/>
        <w:rPr>
          <w:rFonts w:eastAsia="Times New Roman"/>
          <w:szCs w:val="22"/>
        </w:rPr>
      </w:pPr>
      <w:r w:rsidRPr="00AC57D5">
        <w:rPr>
          <w:rFonts w:eastAsia="Times New Roman"/>
          <w:szCs w:val="22"/>
        </w:rPr>
        <w:t xml:space="preserve">Por otro lado, la subestación Alto Jahuel tiene factores </w:t>
      </w:r>
      <m:oMath>
        <m:sSub>
          <m:sSubPr>
            <m:ctrlPr>
              <w:rPr>
                <w:rFonts w:ascii="Cambria Math" w:hAnsi="Cambria Math"/>
                <w:i/>
                <w:szCs w:val="22"/>
              </w:rPr>
            </m:ctrlPr>
          </m:sSubPr>
          <m:e>
            <m:r>
              <w:rPr>
                <w:rFonts w:ascii="Cambria Math" w:hAnsi="Cambria Math"/>
                <w:szCs w:val="22"/>
              </w:rPr>
              <m:t>ρ</m:t>
            </m:r>
          </m:e>
          <m:sub>
            <m:r>
              <w:rPr>
                <w:rFonts w:ascii="Cambria Math" w:hAnsi="Cambria Math"/>
                <w:szCs w:val="22"/>
              </w:rPr>
              <m:t>zona</m:t>
            </m:r>
          </m:sub>
        </m:sSub>
        <m:r>
          <w:rPr>
            <w:rFonts w:ascii="Cambria Math" w:hAnsi="Cambria Math"/>
            <w:szCs w:val="22"/>
          </w:rPr>
          <m:t>=1</m:t>
        </m:r>
      </m:oMath>
      <w:r w:rsidRPr="00AC57D5">
        <w:rPr>
          <w:rFonts w:eastAsia="Times New Roman"/>
          <w:szCs w:val="22"/>
        </w:rPr>
        <w:t xml:space="preserve"> , </w:t>
      </w:r>
      <m:oMath>
        <m:sSub>
          <m:sSubPr>
            <m:ctrlPr>
              <w:rPr>
                <w:rFonts w:ascii="Cambria Math" w:hAnsi="Cambria Math"/>
                <w:i/>
                <w:szCs w:val="22"/>
              </w:rPr>
            </m:ctrlPr>
          </m:sSubPr>
          <m:e>
            <m:r>
              <w:rPr>
                <w:rFonts w:ascii="Cambria Math" w:hAnsi="Cambria Math"/>
                <w:szCs w:val="22"/>
              </w:rPr>
              <m:t>ρ</m:t>
            </m:r>
          </m:e>
          <m:sub>
            <m:r>
              <w:rPr>
                <w:rFonts w:ascii="Cambria Math" w:hAnsi="Cambria Math"/>
                <w:szCs w:val="22"/>
              </w:rPr>
              <m:t>altura</m:t>
            </m:r>
          </m:sub>
        </m:sSub>
        <m:r>
          <w:rPr>
            <w:rFonts w:ascii="Cambria Math" w:hAnsi="Cambria Math"/>
            <w:szCs w:val="22"/>
          </w:rPr>
          <m:t>=1</m:t>
        </m:r>
      </m:oMath>
      <w:r w:rsidRPr="00AC57D5">
        <w:rPr>
          <w:rFonts w:eastAsia="Times New Roman"/>
          <w:szCs w:val="22"/>
        </w:rPr>
        <w:t xml:space="preserve"> y </w:t>
      </w:r>
      <m:oMath>
        <m:sSub>
          <m:sSubPr>
            <m:ctrlPr>
              <w:rPr>
                <w:rFonts w:ascii="Cambria Math" w:hAnsi="Cambria Math"/>
                <w:i/>
                <w:szCs w:val="22"/>
              </w:rPr>
            </m:ctrlPr>
          </m:sSubPr>
          <m:e>
            <m:r>
              <w:rPr>
                <w:rFonts w:ascii="Cambria Math" w:hAnsi="Cambria Math"/>
                <w:szCs w:val="22"/>
              </w:rPr>
              <m:t>ρ</m:t>
            </m:r>
          </m:e>
          <m:sub>
            <m:r>
              <w:rPr>
                <w:rFonts w:ascii="Cambria Math" w:hAnsi="Cambria Math"/>
                <w:szCs w:val="22"/>
              </w:rPr>
              <m:t>LTx</m:t>
            </m:r>
          </m:sub>
        </m:sSub>
        <m:r>
          <w:rPr>
            <w:rFonts w:ascii="Cambria Math" w:hAnsi="Cambria Math"/>
            <w:szCs w:val="22"/>
          </w:rPr>
          <m:t>=1</m:t>
        </m:r>
      </m:oMath>
      <w:r w:rsidRPr="00AC57D5">
        <w:rPr>
          <w:rFonts w:eastAsia="Times New Roman"/>
          <w:szCs w:val="22"/>
        </w:rPr>
        <w:t xml:space="preserve">, mientras que la subestación Calama Nueva tiene factores </w:t>
      </w:r>
      <m:oMath>
        <m:sSub>
          <m:sSubPr>
            <m:ctrlPr>
              <w:rPr>
                <w:rFonts w:ascii="Cambria Math" w:hAnsi="Cambria Math"/>
                <w:i/>
                <w:szCs w:val="22"/>
              </w:rPr>
            </m:ctrlPr>
          </m:sSubPr>
          <m:e>
            <m:r>
              <w:rPr>
                <w:rFonts w:ascii="Cambria Math" w:hAnsi="Cambria Math"/>
                <w:szCs w:val="22"/>
              </w:rPr>
              <m:t>ρ</m:t>
            </m:r>
          </m:e>
          <m:sub>
            <m:r>
              <w:rPr>
                <w:rFonts w:ascii="Cambria Math" w:hAnsi="Cambria Math"/>
                <w:szCs w:val="22"/>
              </w:rPr>
              <m:t>zona</m:t>
            </m:r>
          </m:sub>
        </m:sSub>
        <m:r>
          <w:rPr>
            <w:rFonts w:ascii="Cambria Math" w:hAnsi="Cambria Math"/>
            <w:szCs w:val="22"/>
          </w:rPr>
          <m:t>=0,85</m:t>
        </m:r>
      </m:oMath>
      <w:r w:rsidRPr="00AC57D5">
        <w:rPr>
          <w:rFonts w:eastAsia="Times New Roman"/>
          <w:szCs w:val="22"/>
        </w:rPr>
        <w:t xml:space="preserve"> , </w:t>
      </w:r>
      <m:oMath>
        <m:sSub>
          <m:sSubPr>
            <m:ctrlPr>
              <w:rPr>
                <w:rFonts w:ascii="Cambria Math" w:hAnsi="Cambria Math"/>
                <w:i/>
                <w:szCs w:val="22"/>
              </w:rPr>
            </m:ctrlPr>
          </m:sSubPr>
          <m:e>
            <m:r>
              <w:rPr>
                <w:rFonts w:ascii="Cambria Math" w:hAnsi="Cambria Math"/>
                <w:szCs w:val="22"/>
              </w:rPr>
              <m:t>ρ</m:t>
            </m:r>
          </m:e>
          <m:sub>
            <m:r>
              <w:rPr>
                <w:rFonts w:ascii="Cambria Math" w:hAnsi="Cambria Math"/>
                <w:szCs w:val="22"/>
              </w:rPr>
              <m:t>altura</m:t>
            </m:r>
          </m:sub>
        </m:sSub>
        <m:r>
          <w:rPr>
            <w:rFonts w:ascii="Cambria Math" w:hAnsi="Cambria Math"/>
            <w:szCs w:val="22"/>
          </w:rPr>
          <m:t>=0,95</m:t>
        </m:r>
      </m:oMath>
      <w:r w:rsidRPr="00AC57D5">
        <w:rPr>
          <w:rFonts w:eastAsia="Times New Roman"/>
          <w:szCs w:val="22"/>
        </w:rPr>
        <w:t xml:space="preserve"> y </w:t>
      </w:r>
      <m:oMath>
        <m:sSub>
          <m:sSubPr>
            <m:ctrlPr>
              <w:rPr>
                <w:rFonts w:ascii="Cambria Math" w:hAnsi="Cambria Math"/>
                <w:i/>
                <w:szCs w:val="22"/>
              </w:rPr>
            </m:ctrlPr>
          </m:sSubPr>
          <m:e>
            <m:r>
              <w:rPr>
                <w:rFonts w:ascii="Cambria Math" w:hAnsi="Cambria Math"/>
                <w:szCs w:val="22"/>
              </w:rPr>
              <m:t>ρ</m:t>
            </m:r>
          </m:e>
          <m:sub>
            <m:r>
              <w:rPr>
                <w:rFonts w:ascii="Cambria Math" w:hAnsi="Cambria Math"/>
                <w:szCs w:val="22"/>
              </w:rPr>
              <m:t>LTx</m:t>
            </m:r>
          </m:sub>
        </m:sSub>
        <m:r>
          <w:rPr>
            <w:rFonts w:ascii="Cambria Math" w:hAnsi="Cambria Math"/>
            <w:szCs w:val="22"/>
          </w:rPr>
          <m:t>=1</m:t>
        </m:r>
      </m:oMath>
    </w:p>
    <w:p w14:paraId="71688363" w14:textId="77777777" w:rsidR="00EC4B36" w:rsidRPr="00AC57D5" w:rsidRDefault="00EC4B36" w:rsidP="00EC4B36">
      <w:pPr>
        <w:spacing w:line="276" w:lineRule="auto"/>
        <w:rPr>
          <w:szCs w:val="22"/>
        </w:rPr>
      </w:pPr>
      <w:r w:rsidRPr="00AC57D5">
        <w:rPr>
          <w:szCs w:val="22"/>
        </w:rPr>
        <w:t xml:space="preserve">La clasificación de los diversos tramos de subestación y de transporte en términos de los factores de ajuste del montaje se pueden observar en el archivo adjunto </w:t>
      </w:r>
      <w:r w:rsidRPr="00AC57D5">
        <w:rPr>
          <w:i/>
          <w:szCs w:val="22"/>
        </w:rPr>
        <w:t>factores ajuste montaje.xlsx</w:t>
      </w:r>
      <w:r w:rsidRPr="00AC57D5">
        <w:rPr>
          <w:szCs w:val="22"/>
        </w:rPr>
        <w:t>.</w:t>
      </w:r>
    </w:p>
    <w:p w14:paraId="51855198" w14:textId="77777777" w:rsidR="00EC4B36" w:rsidRPr="00097D34" w:rsidRDefault="00EC4B36" w:rsidP="00EC4B36">
      <w:pPr>
        <w:spacing w:line="276" w:lineRule="auto"/>
        <w:rPr>
          <w:szCs w:val="22"/>
        </w:rPr>
      </w:pPr>
      <w:r w:rsidRPr="00097D34">
        <w:rPr>
          <w:szCs w:val="22"/>
        </w:rPr>
        <w:t xml:space="preserve">En la base de datos, los costos quedan ingresados en las mismas tablas de los precios, </w:t>
      </w:r>
      <w:r>
        <w:rPr>
          <w:szCs w:val="22"/>
        </w:rPr>
        <w:t>planilla “</w:t>
      </w:r>
      <w:r w:rsidRPr="00097D34">
        <w:rPr>
          <w:szCs w:val="22"/>
        </w:rPr>
        <w:t>Tabla Subida Precios Unitarios y Montaje_06MAY2020.xlsx</w:t>
      </w:r>
      <w:r>
        <w:rPr>
          <w:szCs w:val="22"/>
        </w:rPr>
        <w:t xml:space="preserve">” </w:t>
      </w:r>
      <w:r w:rsidRPr="00097D34">
        <w:rPr>
          <w:szCs w:val="22"/>
        </w:rPr>
        <w:t xml:space="preserve">donde se completaron las columnas </w:t>
      </w:r>
      <w:r w:rsidRPr="00097D34">
        <w:rPr>
          <w:i/>
          <w:szCs w:val="22"/>
        </w:rPr>
        <w:t>CantidadHH</w:t>
      </w:r>
      <w:r w:rsidRPr="00097D34">
        <w:rPr>
          <w:szCs w:val="22"/>
        </w:rPr>
        <w:t xml:space="preserve"> y </w:t>
      </w:r>
      <w:r w:rsidRPr="00097D34">
        <w:rPr>
          <w:i/>
          <w:szCs w:val="22"/>
        </w:rPr>
        <w:t>ValorHH</w:t>
      </w:r>
      <w:r w:rsidRPr="00097D34">
        <w:rPr>
          <w:szCs w:val="22"/>
        </w:rPr>
        <w:t>. A modo de ejemplo, se muestran los diez primeros registros de la tabla dbo.PreciosAccesoriosEstructuras.</w:t>
      </w:r>
    </w:p>
    <w:p w14:paraId="02980BF7" w14:textId="77777777" w:rsidR="00EC4B36" w:rsidRPr="00097D34" w:rsidRDefault="00EC4B36" w:rsidP="00EC4B36">
      <w:pPr>
        <w:spacing w:after="120" w:line="276" w:lineRule="auto"/>
        <w:jc w:val="center"/>
        <w:rPr>
          <w:b/>
          <w:bCs/>
          <w:i/>
          <w:iCs/>
          <w:sz w:val="22"/>
          <w:szCs w:val="22"/>
        </w:rPr>
      </w:pPr>
      <w:bookmarkStart w:id="86" w:name="_Toc39793635"/>
      <w:bookmarkStart w:id="87" w:name="_Toc39795241"/>
      <w:bookmarkStart w:id="88" w:name="_Toc39797921"/>
      <w:r w:rsidRPr="00097D34">
        <w:rPr>
          <w:b/>
          <w:bCs/>
          <w:i/>
          <w:iCs/>
          <w:sz w:val="22"/>
          <w:szCs w:val="22"/>
        </w:rPr>
        <w:t xml:space="preserve">Tabla Nº </w:t>
      </w:r>
      <w:bookmarkStart w:id="89" w:name="_Hlk34635839"/>
      <w:r w:rsidRPr="00097D34">
        <w:rPr>
          <w:b/>
          <w:bCs/>
          <w:i/>
          <w:iCs/>
          <w:sz w:val="22"/>
          <w:szCs w:val="22"/>
        </w:rPr>
        <w:fldChar w:fldCharType="begin"/>
      </w:r>
      <w:r w:rsidRPr="00097D34">
        <w:rPr>
          <w:b/>
          <w:bCs/>
          <w:i/>
          <w:iCs/>
          <w:sz w:val="22"/>
          <w:szCs w:val="22"/>
        </w:rPr>
        <w:instrText xml:space="preserve"> SEQ Tabla \* ARABIC </w:instrText>
      </w:r>
      <w:r w:rsidRPr="00097D34">
        <w:rPr>
          <w:b/>
          <w:bCs/>
          <w:i/>
          <w:iCs/>
          <w:sz w:val="22"/>
          <w:szCs w:val="22"/>
        </w:rPr>
        <w:fldChar w:fldCharType="separate"/>
      </w:r>
      <w:r w:rsidR="001F3E2E">
        <w:rPr>
          <w:b/>
          <w:bCs/>
          <w:i/>
          <w:iCs/>
          <w:noProof/>
          <w:sz w:val="22"/>
          <w:szCs w:val="22"/>
        </w:rPr>
        <w:t>11</w:t>
      </w:r>
      <w:r w:rsidRPr="00097D34">
        <w:rPr>
          <w:b/>
          <w:bCs/>
          <w:i/>
          <w:iCs/>
          <w:sz w:val="22"/>
          <w:szCs w:val="22"/>
        </w:rPr>
        <w:fldChar w:fldCharType="end"/>
      </w:r>
      <w:bookmarkEnd w:id="89"/>
      <w:r w:rsidRPr="00097D34">
        <w:rPr>
          <w:b/>
          <w:bCs/>
          <w:i/>
          <w:iCs/>
          <w:sz w:val="22"/>
          <w:szCs w:val="22"/>
        </w:rPr>
        <w:t>. Montaje Accesorios Estructuras</w:t>
      </w:r>
      <w:bookmarkEnd w:id="86"/>
      <w:bookmarkEnd w:id="87"/>
      <w:bookmarkEnd w:id="88"/>
    </w:p>
    <w:p w14:paraId="1E0FAABF" w14:textId="77777777" w:rsidR="00EC4B36" w:rsidRPr="00097D34" w:rsidRDefault="00EC4B36" w:rsidP="00EC4B36">
      <w:pPr>
        <w:spacing w:line="276" w:lineRule="auto"/>
        <w:rPr>
          <w:szCs w:val="22"/>
        </w:rPr>
      </w:pPr>
      <w:r w:rsidRPr="00097D34">
        <w:rPr>
          <w:noProof/>
          <w:szCs w:val="22"/>
          <w:lang w:eastAsia="es-CL"/>
        </w:rPr>
        <w:drawing>
          <wp:inline distT="0" distB="0" distL="0" distR="0" wp14:anchorId="7EDC9F85" wp14:editId="70E0B9C2">
            <wp:extent cx="5400040" cy="1513205"/>
            <wp:effectExtent l="0" t="0" r="0" b="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400040" cy="1513205"/>
                    </a:xfrm>
                    <a:prstGeom prst="rect">
                      <a:avLst/>
                    </a:prstGeom>
                  </pic:spPr>
                </pic:pic>
              </a:graphicData>
            </a:graphic>
          </wp:inline>
        </w:drawing>
      </w:r>
    </w:p>
    <w:p w14:paraId="5A1614B7" w14:textId="77777777" w:rsidR="00EC4B36" w:rsidRPr="00097D34" w:rsidRDefault="00EC4B36" w:rsidP="00EC4B36">
      <w:pPr>
        <w:spacing w:line="276" w:lineRule="auto"/>
        <w:rPr>
          <w:szCs w:val="22"/>
        </w:rPr>
      </w:pPr>
      <w:r w:rsidRPr="00097D34">
        <w:rPr>
          <w:szCs w:val="22"/>
        </w:rPr>
        <w:t>El montaje de cada uno de los elementos quedó almacenado en las siguientes tablas.</w:t>
      </w:r>
    </w:p>
    <w:p w14:paraId="1C258B39" w14:textId="77777777" w:rsidR="00EC4B36" w:rsidRPr="00097D34" w:rsidRDefault="00EC4B36" w:rsidP="00EC4B36">
      <w:pPr>
        <w:spacing w:after="120" w:line="276" w:lineRule="auto"/>
        <w:jc w:val="center"/>
        <w:rPr>
          <w:b/>
          <w:bCs/>
          <w:i/>
          <w:iCs/>
          <w:sz w:val="22"/>
          <w:szCs w:val="22"/>
        </w:rPr>
      </w:pPr>
      <w:bookmarkStart w:id="90" w:name="_Toc39793636"/>
      <w:bookmarkStart w:id="91" w:name="_Toc39795242"/>
      <w:bookmarkStart w:id="92" w:name="_Toc39797922"/>
      <w:r w:rsidRPr="00097D34">
        <w:rPr>
          <w:b/>
          <w:bCs/>
          <w:i/>
          <w:iCs/>
          <w:sz w:val="22"/>
          <w:szCs w:val="22"/>
        </w:rPr>
        <w:t xml:space="preserve">Tabla Nº </w:t>
      </w:r>
      <w:r w:rsidRPr="00097D34">
        <w:rPr>
          <w:b/>
          <w:bCs/>
          <w:i/>
          <w:iCs/>
          <w:sz w:val="22"/>
          <w:szCs w:val="22"/>
        </w:rPr>
        <w:fldChar w:fldCharType="begin"/>
      </w:r>
      <w:r w:rsidRPr="00097D34">
        <w:rPr>
          <w:b/>
          <w:bCs/>
          <w:i/>
          <w:iCs/>
          <w:sz w:val="22"/>
          <w:szCs w:val="22"/>
        </w:rPr>
        <w:instrText xml:space="preserve"> SEQ Tabla \* ARABIC </w:instrText>
      </w:r>
      <w:r w:rsidRPr="00097D34">
        <w:rPr>
          <w:b/>
          <w:bCs/>
          <w:i/>
          <w:iCs/>
          <w:sz w:val="22"/>
          <w:szCs w:val="22"/>
        </w:rPr>
        <w:fldChar w:fldCharType="separate"/>
      </w:r>
      <w:r w:rsidR="001F3E2E">
        <w:rPr>
          <w:b/>
          <w:bCs/>
          <w:i/>
          <w:iCs/>
          <w:noProof/>
          <w:sz w:val="22"/>
          <w:szCs w:val="22"/>
        </w:rPr>
        <w:t>12</w:t>
      </w:r>
      <w:r w:rsidRPr="00097D34">
        <w:rPr>
          <w:b/>
          <w:bCs/>
          <w:i/>
          <w:iCs/>
          <w:sz w:val="22"/>
          <w:szCs w:val="22"/>
        </w:rPr>
        <w:fldChar w:fldCharType="end"/>
      </w:r>
      <w:r w:rsidRPr="00097D34">
        <w:rPr>
          <w:b/>
          <w:bCs/>
          <w:i/>
          <w:iCs/>
          <w:sz w:val="22"/>
          <w:szCs w:val="22"/>
        </w:rPr>
        <w:t>. Tablas donde se encuentra el montaje por elemento</w:t>
      </w:r>
      <w:bookmarkEnd w:id="90"/>
      <w:bookmarkEnd w:id="91"/>
      <w:bookmarkEnd w:id="92"/>
    </w:p>
    <w:p w14:paraId="675ABBE8" w14:textId="77777777" w:rsidR="00EC4B36" w:rsidRPr="00097D34" w:rsidRDefault="00EC4B36" w:rsidP="00EC4B36">
      <w:pPr>
        <w:spacing w:line="276" w:lineRule="auto"/>
        <w:rPr>
          <w:szCs w:val="22"/>
        </w:rPr>
      </w:pPr>
      <w:r w:rsidRPr="00097D34">
        <w:rPr>
          <w:noProof/>
          <w:szCs w:val="22"/>
          <w:lang w:eastAsia="es-CL"/>
        </w:rPr>
        <w:drawing>
          <wp:inline distT="0" distB="0" distL="0" distR="0" wp14:anchorId="78433ED6" wp14:editId="46CE7F38">
            <wp:extent cx="2772000" cy="997569"/>
            <wp:effectExtent l="0" t="0" r="0" b="0"/>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772000" cy="997569"/>
                    </a:xfrm>
                    <a:prstGeom prst="rect">
                      <a:avLst/>
                    </a:prstGeom>
                  </pic:spPr>
                </pic:pic>
              </a:graphicData>
            </a:graphic>
          </wp:inline>
        </w:drawing>
      </w:r>
      <w:r w:rsidRPr="00097D34">
        <w:rPr>
          <w:noProof/>
          <w:szCs w:val="22"/>
          <w:lang w:eastAsia="es-CL"/>
        </w:rPr>
        <w:drawing>
          <wp:inline distT="0" distB="0" distL="0" distR="0" wp14:anchorId="7AF35B56" wp14:editId="6503E3D5">
            <wp:extent cx="2772000" cy="991256"/>
            <wp:effectExtent l="0" t="0" r="9525" b="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772000" cy="991256"/>
                    </a:xfrm>
                    <a:prstGeom prst="rect">
                      <a:avLst/>
                    </a:prstGeom>
                  </pic:spPr>
                </pic:pic>
              </a:graphicData>
            </a:graphic>
          </wp:inline>
        </w:drawing>
      </w:r>
      <w:r w:rsidRPr="00097D34">
        <w:rPr>
          <w:noProof/>
          <w:szCs w:val="22"/>
          <w:lang w:eastAsia="es-CL"/>
        </w:rPr>
        <w:drawing>
          <wp:inline distT="0" distB="0" distL="0" distR="0" wp14:anchorId="61484A4E" wp14:editId="2D5769B4">
            <wp:extent cx="2772000" cy="985600"/>
            <wp:effectExtent l="0" t="0" r="9525" b="508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772000" cy="985600"/>
                    </a:xfrm>
                    <a:prstGeom prst="rect">
                      <a:avLst/>
                    </a:prstGeom>
                  </pic:spPr>
                </pic:pic>
              </a:graphicData>
            </a:graphic>
          </wp:inline>
        </w:drawing>
      </w:r>
      <w:r w:rsidRPr="00097D34">
        <w:rPr>
          <w:noProof/>
          <w:szCs w:val="22"/>
          <w:lang w:eastAsia="es-CL"/>
        </w:rPr>
        <w:drawing>
          <wp:inline distT="0" distB="0" distL="0" distR="0" wp14:anchorId="0D7EF04A" wp14:editId="59D50ED0">
            <wp:extent cx="2772000" cy="996871"/>
            <wp:effectExtent l="0" t="0" r="0" b="0"/>
            <wp:docPr id="55" name="Imagen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2772000" cy="996871"/>
                    </a:xfrm>
                    <a:prstGeom prst="rect">
                      <a:avLst/>
                    </a:prstGeom>
                  </pic:spPr>
                </pic:pic>
              </a:graphicData>
            </a:graphic>
          </wp:inline>
        </w:drawing>
      </w:r>
      <w:r w:rsidRPr="00097D34">
        <w:rPr>
          <w:noProof/>
          <w:szCs w:val="22"/>
          <w:lang w:eastAsia="es-CL"/>
        </w:rPr>
        <w:lastRenderedPageBreak/>
        <w:drawing>
          <wp:inline distT="0" distB="0" distL="0" distR="0" wp14:anchorId="5DA629C9" wp14:editId="4A9DF742">
            <wp:extent cx="2772000" cy="994400"/>
            <wp:effectExtent l="0" t="0" r="0"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2772000" cy="994400"/>
                    </a:xfrm>
                    <a:prstGeom prst="rect">
                      <a:avLst/>
                    </a:prstGeom>
                  </pic:spPr>
                </pic:pic>
              </a:graphicData>
            </a:graphic>
          </wp:inline>
        </w:drawing>
      </w:r>
      <w:r w:rsidRPr="00097D34">
        <w:rPr>
          <w:noProof/>
          <w:szCs w:val="22"/>
          <w:lang w:eastAsia="es-CL"/>
        </w:rPr>
        <w:drawing>
          <wp:inline distT="0" distB="0" distL="0" distR="0" wp14:anchorId="292386C1" wp14:editId="52F5638B">
            <wp:extent cx="2772000" cy="991253"/>
            <wp:effectExtent l="0" t="0" r="9525" b="0"/>
            <wp:docPr id="56" name="Imagen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2772000" cy="991253"/>
                    </a:xfrm>
                    <a:prstGeom prst="rect">
                      <a:avLst/>
                    </a:prstGeom>
                  </pic:spPr>
                </pic:pic>
              </a:graphicData>
            </a:graphic>
          </wp:inline>
        </w:drawing>
      </w:r>
      <w:r w:rsidRPr="00097D34">
        <w:rPr>
          <w:noProof/>
          <w:szCs w:val="22"/>
          <w:lang w:eastAsia="es-CL"/>
        </w:rPr>
        <w:drawing>
          <wp:inline distT="0" distB="0" distL="0" distR="0" wp14:anchorId="2AF8A5A3" wp14:editId="1FF72566">
            <wp:extent cx="2772000" cy="988126"/>
            <wp:effectExtent l="0" t="0" r="9525" b="2540"/>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2772000" cy="988126"/>
                    </a:xfrm>
                    <a:prstGeom prst="rect">
                      <a:avLst/>
                    </a:prstGeom>
                  </pic:spPr>
                </pic:pic>
              </a:graphicData>
            </a:graphic>
          </wp:inline>
        </w:drawing>
      </w:r>
      <w:r w:rsidRPr="00097D34">
        <w:rPr>
          <w:noProof/>
          <w:szCs w:val="22"/>
          <w:lang w:eastAsia="es-CL"/>
        </w:rPr>
        <w:drawing>
          <wp:inline distT="0" distB="0" distL="0" distR="0" wp14:anchorId="676282F5" wp14:editId="4946E717">
            <wp:extent cx="2772000" cy="991253"/>
            <wp:effectExtent l="0" t="0" r="9525" b="0"/>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2772000" cy="991253"/>
                    </a:xfrm>
                    <a:prstGeom prst="rect">
                      <a:avLst/>
                    </a:prstGeom>
                  </pic:spPr>
                </pic:pic>
              </a:graphicData>
            </a:graphic>
          </wp:inline>
        </w:drawing>
      </w:r>
    </w:p>
    <w:p w14:paraId="1EE7A7F2" w14:textId="77777777" w:rsidR="00EC4B36" w:rsidRPr="00097D34" w:rsidRDefault="00EC4B36" w:rsidP="00EC4B36">
      <w:pPr>
        <w:spacing w:line="276" w:lineRule="auto"/>
        <w:rPr>
          <w:szCs w:val="22"/>
        </w:rPr>
      </w:pPr>
      <w:r w:rsidRPr="00097D34">
        <w:rPr>
          <w:szCs w:val="22"/>
        </w:rPr>
        <w:t xml:space="preserve">Las tablas de dbo.Precios.EIA, dbo.PreciosMitigacionesAmbientales, dbo.PreciosServidumbres y dbo.PreciosTerrenos no son utilizadas para </w:t>
      </w:r>
      <w:proofErr w:type="gramStart"/>
      <w:r w:rsidRPr="00097D34">
        <w:rPr>
          <w:szCs w:val="22"/>
        </w:rPr>
        <w:t>estos efecto</w:t>
      </w:r>
      <w:proofErr w:type="gramEnd"/>
      <w:r w:rsidRPr="00097D34">
        <w:rPr>
          <w:szCs w:val="22"/>
        </w:rPr>
        <w:t>, ya que es evidente que estos ítems no necesitan montaje. Las tablas como dbo.PreciosTendidosSubterraneos, dbo.PreciosTunelSubestacion, dbo.PreciosReconectadoresPanos, entre otras, no fueron utilizadas debido a que no existen registros dentro del inventario de lo calificado como parte del estudio del sistema de transmisión nacional.</w:t>
      </w:r>
    </w:p>
    <w:p w14:paraId="3822C1A3" w14:textId="77777777" w:rsidR="00EC4B36" w:rsidRDefault="00EC4B36" w:rsidP="00EC4B36">
      <w:pPr>
        <w:pStyle w:val="Ttulo3"/>
        <w:keepNext/>
      </w:pPr>
      <w:bookmarkStart w:id="93" w:name="_Toc38048420"/>
      <w:bookmarkStart w:id="94" w:name="_Toc39795089"/>
      <w:bookmarkStart w:id="95" w:name="_Toc39797769"/>
      <w:r>
        <w:t>Determinación de los recargos porcentuales</w:t>
      </w:r>
      <w:bookmarkEnd w:id="93"/>
      <w:bookmarkEnd w:id="94"/>
      <w:bookmarkEnd w:id="95"/>
    </w:p>
    <w:p w14:paraId="286B5213" w14:textId="77777777" w:rsidR="00EC4B36" w:rsidRDefault="00EC4B36" w:rsidP="00EC4B36">
      <w:r>
        <w:t>La metodología que se ha aplicado depende de cada tipo de recargo, que se explica caso a caso, dividiéndose en dos grandes grupos: líneas y subestaciones.</w:t>
      </w:r>
    </w:p>
    <w:p w14:paraId="38385DCC" w14:textId="77777777" w:rsidR="00EC4B36" w:rsidRDefault="00EC4B36" w:rsidP="00EC4B36">
      <w:r>
        <w:t>Las variables de definición, en el caso de las subestaciones son la cantidad de patios, niveles de tensión, configuración de barras, cantidad de paños por patio, transformadores de poder, equipos de compensación de reactivos y la distancia de la instalación a centros poblados o industriales desde donde se pueden obtener los materiales y servicios.</w:t>
      </w:r>
    </w:p>
    <w:p w14:paraId="65732C1B" w14:textId="77777777" w:rsidR="00EC4B36" w:rsidRPr="00783166" w:rsidRDefault="00EC4B36" w:rsidP="00EC4B36">
      <w:pPr>
        <w:pStyle w:val="Subttulo"/>
        <w:spacing w:after="120"/>
      </w:pPr>
      <w:bookmarkStart w:id="96" w:name="_Toc38047807"/>
      <w:bookmarkStart w:id="97" w:name="_Toc39795243"/>
      <w:bookmarkStart w:id="98" w:name="_Toc39797923"/>
      <w:r w:rsidRPr="00783166">
        <w:t xml:space="preserve">Tabla </w:t>
      </w:r>
      <w:fldSimple w:instr=" SEQ Tabla \* ARABIC ">
        <w:r w:rsidR="001F3E2E">
          <w:rPr>
            <w:noProof/>
          </w:rPr>
          <w:t>13</w:t>
        </w:r>
      </w:fldSimple>
      <w:r w:rsidRPr="00783166">
        <w:t xml:space="preserve">: </w:t>
      </w:r>
      <w:r w:rsidRPr="00013578">
        <w:t>Tipos de obras subestaciones</w:t>
      </w:r>
      <w:bookmarkEnd w:id="96"/>
      <w:bookmarkEnd w:id="97"/>
      <w:bookmarkEnd w:id="98"/>
    </w:p>
    <w:tbl>
      <w:tblPr>
        <w:tblW w:w="0" w:type="auto"/>
        <w:jc w:val="center"/>
        <w:tblLayout w:type="fixed"/>
        <w:tblCellMar>
          <w:left w:w="57" w:type="dxa"/>
          <w:right w:w="57" w:type="dxa"/>
        </w:tblCellMar>
        <w:tblLook w:val="04A0" w:firstRow="1" w:lastRow="0" w:firstColumn="1" w:lastColumn="0" w:noHBand="0" w:noVBand="1"/>
      </w:tblPr>
      <w:tblGrid>
        <w:gridCol w:w="851"/>
        <w:gridCol w:w="1418"/>
        <w:gridCol w:w="7371"/>
      </w:tblGrid>
      <w:tr w:rsidR="00EC4B36" w:rsidRPr="00691CF0" w14:paraId="1F6D088C" w14:textId="77777777" w:rsidTr="006B5A62">
        <w:trPr>
          <w:jc w:val="center"/>
        </w:trPr>
        <w:tc>
          <w:tcPr>
            <w:tcW w:w="85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E6FEF37" w14:textId="77777777" w:rsidR="00EC4B36" w:rsidRPr="00691CF0" w:rsidRDefault="00EC4B36" w:rsidP="006B5A62">
            <w:pPr>
              <w:spacing w:before="40" w:after="40" w:line="192" w:lineRule="auto"/>
              <w:jc w:val="center"/>
              <w:rPr>
                <w:rFonts w:eastAsia="Times New Roman" w:cs="Calibri"/>
                <w:color w:val="000000"/>
                <w:sz w:val="22"/>
                <w:szCs w:val="22"/>
                <w:lang w:eastAsia="es-CL"/>
              </w:rPr>
            </w:pPr>
            <w:r w:rsidRPr="00691CF0">
              <w:rPr>
                <w:rFonts w:eastAsia="Times New Roman" w:cs="Calibri"/>
                <w:color w:val="000000"/>
                <w:sz w:val="22"/>
                <w:szCs w:val="22"/>
                <w:lang w:eastAsia="es-CL"/>
              </w:rPr>
              <w:t>SSEE</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738B791" w14:textId="77777777" w:rsidR="00EC4B36" w:rsidRPr="00691CF0" w:rsidRDefault="00EC4B36" w:rsidP="006B5A62">
            <w:pPr>
              <w:spacing w:before="40" w:after="40" w:line="192" w:lineRule="auto"/>
              <w:jc w:val="center"/>
              <w:rPr>
                <w:rFonts w:eastAsia="Times New Roman" w:cs="Calibri"/>
                <w:color w:val="000000"/>
                <w:sz w:val="22"/>
                <w:szCs w:val="22"/>
                <w:lang w:eastAsia="es-CL"/>
              </w:rPr>
            </w:pPr>
            <w:r w:rsidRPr="00691CF0">
              <w:rPr>
                <w:rFonts w:eastAsia="Times New Roman" w:cs="Calibri"/>
                <w:color w:val="000000"/>
                <w:sz w:val="22"/>
                <w:szCs w:val="22"/>
                <w:lang w:eastAsia="es-CL"/>
              </w:rPr>
              <w:t>Tipo 1</w:t>
            </w:r>
          </w:p>
        </w:tc>
        <w:tc>
          <w:tcPr>
            <w:tcW w:w="7371" w:type="dxa"/>
            <w:tcBorders>
              <w:top w:val="single" w:sz="4" w:space="0" w:color="auto"/>
              <w:left w:val="single" w:sz="4" w:space="0" w:color="auto"/>
              <w:bottom w:val="single" w:sz="4" w:space="0" w:color="auto"/>
              <w:right w:val="single" w:sz="4" w:space="0" w:color="auto"/>
            </w:tcBorders>
          </w:tcPr>
          <w:p w14:paraId="55E7246B" w14:textId="77777777" w:rsidR="00EC4B36" w:rsidRPr="00691CF0" w:rsidRDefault="00EC4B36" w:rsidP="006B5A62">
            <w:pPr>
              <w:spacing w:before="40" w:after="40" w:line="192" w:lineRule="auto"/>
              <w:rPr>
                <w:rFonts w:eastAsia="Times New Roman" w:cs="Calibri"/>
                <w:color w:val="000000"/>
                <w:sz w:val="22"/>
                <w:szCs w:val="22"/>
                <w:lang w:eastAsia="es-CL"/>
              </w:rPr>
            </w:pPr>
            <w:r w:rsidRPr="00691CF0">
              <w:rPr>
                <w:rFonts w:eastAsia="Times New Roman" w:cs="Calibri"/>
                <w:color w:val="000000"/>
                <w:sz w:val="22"/>
                <w:szCs w:val="22"/>
                <w:lang w:eastAsia="es-CL"/>
              </w:rPr>
              <w:t>Subestaciones de tensión mayor 220 kV con un solo patio y hasta 7 paños nacionales</w:t>
            </w:r>
          </w:p>
        </w:tc>
      </w:tr>
      <w:tr w:rsidR="00EC4B36" w:rsidRPr="00691CF0" w14:paraId="2F30373B" w14:textId="77777777" w:rsidTr="006B5A62">
        <w:trPr>
          <w:jc w:val="center"/>
        </w:trPr>
        <w:tc>
          <w:tcPr>
            <w:tcW w:w="851" w:type="dxa"/>
            <w:vMerge/>
            <w:tcBorders>
              <w:top w:val="single" w:sz="4" w:space="0" w:color="auto"/>
              <w:left w:val="single" w:sz="4" w:space="0" w:color="auto"/>
              <w:bottom w:val="single" w:sz="4" w:space="0" w:color="auto"/>
              <w:right w:val="single" w:sz="4" w:space="0" w:color="auto"/>
            </w:tcBorders>
            <w:vAlign w:val="center"/>
            <w:hideMark/>
          </w:tcPr>
          <w:p w14:paraId="34ED9703" w14:textId="77777777" w:rsidR="00EC4B36" w:rsidRPr="00691CF0" w:rsidRDefault="00EC4B36" w:rsidP="006B5A62">
            <w:pPr>
              <w:spacing w:before="40" w:after="40" w:line="192" w:lineRule="auto"/>
              <w:jc w:val="left"/>
              <w:rPr>
                <w:rFonts w:eastAsia="Times New Roman" w:cs="Calibri"/>
                <w:color w:val="000000"/>
                <w:sz w:val="22"/>
                <w:szCs w:val="22"/>
                <w:lang w:eastAsia="es-CL"/>
              </w:rPr>
            </w:pP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9C711C1" w14:textId="77777777" w:rsidR="00EC4B36" w:rsidRPr="00691CF0" w:rsidRDefault="00EC4B36" w:rsidP="006B5A62">
            <w:pPr>
              <w:spacing w:before="40" w:after="40" w:line="192" w:lineRule="auto"/>
              <w:jc w:val="center"/>
              <w:rPr>
                <w:rFonts w:eastAsia="Times New Roman" w:cs="Calibri"/>
                <w:color w:val="000000"/>
                <w:sz w:val="22"/>
                <w:szCs w:val="22"/>
                <w:lang w:eastAsia="es-CL"/>
              </w:rPr>
            </w:pPr>
            <w:r w:rsidRPr="00691CF0">
              <w:rPr>
                <w:rFonts w:eastAsia="Times New Roman" w:cs="Calibri"/>
                <w:color w:val="000000"/>
                <w:sz w:val="22"/>
                <w:szCs w:val="22"/>
                <w:lang w:eastAsia="es-CL"/>
              </w:rPr>
              <w:t>Tipo 2</w:t>
            </w:r>
          </w:p>
        </w:tc>
        <w:tc>
          <w:tcPr>
            <w:tcW w:w="7371" w:type="dxa"/>
            <w:tcBorders>
              <w:top w:val="single" w:sz="4" w:space="0" w:color="auto"/>
              <w:left w:val="single" w:sz="4" w:space="0" w:color="auto"/>
              <w:bottom w:val="single" w:sz="4" w:space="0" w:color="auto"/>
              <w:right w:val="single" w:sz="4" w:space="0" w:color="auto"/>
            </w:tcBorders>
          </w:tcPr>
          <w:p w14:paraId="0500CD6B" w14:textId="77777777" w:rsidR="00EC4B36" w:rsidRPr="00691CF0" w:rsidRDefault="00EC4B36" w:rsidP="006B5A62">
            <w:pPr>
              <w:spacing w:before="40" w:after="40" w:line="192" w:lineRule="auto"/>
              <w:rPr>
                <w:rFonts w:eastAsia="Times New Roman" w:cs="Calibri"/>
                <w:color w:val="000000"/>
                <w:sz w:val="22"/>
                <w:szCs w:val="22"/>
                <w:lang w:eastAsia="es-CL"/>
              </w:rPr>
            </w:pPr>
            <w:r w:rsidRPr="00691CF0">
              <w:rPr>
                <w:rFonts w:eastAsia="Times New Roman" w:cs="Calibri"/>
                <w:color w:val="000000"/>
                <w:sz w:val="22"/>
                <w:szCs w:val="22"/>
                <w:lang w:eastAsia="es-CL"/>
              </w:rPr>
              <w:t>Subestaciones de tensión mayor 220 kV con un solo patio y más de 7 paños nacionales.</w:t>
            </w:r>
          </w:p>
          <w:p w14:paraId="0AD52D1C" w14:textId="77777777" w:rsidR="00EC4B36" w:rsidRPr="00691CF0" w:rsidRDefault="00EC4B36" w:rsidP="006B5A62">
            <w:pPr>
              <w:spacing w:before="40" w:after="40" w:line="192" w:lineRule="auto"/>
              <w:rPr>
                <w:rFonts w:eastAsia="Times New Roman" w:cs="Calibri"/>
                <w:color w:val="000000"/>
                <w:sz w:val="22"/>
                <w:szCs w:val="22"/>
                <w:lang w:eastAsia="es-CL"/>
              </w:rPr>
            </w:pPr>
            <w:r w:rsidRPr="00691CF0">
              <w:rPr>
                <w:rFonts w:eastAsia="Times New Roman" w:cs="Calibri"/>
                <w:color w:val="000000"/>
                <w:sz w:val="22"/>
                <w:szCs w:val="22"/>
                <w:lang w:eastAsia="es-CL"/>
              </w:rPr>
              <w:t>Subestaciones de tensión mayor 220 kV con dos patios.</w:t>
            </w:r>
          </w:p>
        </w:tc>
      </w:tr>
      <w:tr w:rsidR="00EC4B36" w:rsidRPr="00691CF0" w14:paraId="35A7B72B" w14:textId="77777777" w:rsidTr="006B5A62">
        <w:trPr>
          <w:jc w:val="center"/>
        </w:trPr>
        <w:tc>
          <w:tcPr>
            <w:tcW w:w="851" w:type="dxa"/>
            <w:vMerge/>
            <w:tcBorders>
              <w:top w:val="single" w:sz="4" w:space="0" w:color="auto"/>
              <w:left w:val="single" w:sz="4" w:space="0" w:color="auto"/>
              <w:bottom w:val="single" w:sz="4" w:space="0" w:color="auto"/>
              <w:right w:val="single" w:sz="4" w:space="0" w:color="auto"/>
            </w:tcBorders>
            <w:vAlign w:val="center"/>
            <w:hideMark/>
          </w:tcPr>
          <w:p w14:paraId="67C3A4C7" w14:textId="77777777" w:rsidR="00EC4B36" w:rsidRPr="00691CF0" w:rsidRDefault="00EC4B36" w:rsidP="006B5A62">
            <w:pPr>
              <w:spacing w:before="40" w:after="40" w:line="192" w:lineRule="auto"/>
              <w:jc w:val="left"/>
              <w:rPr>
                <w:rFonts w:eastAsia="Times New Roman" w:cs="Calibri"/>
                <w:color w:val="000000"/>
                <w:sz w:val="22"/>
                <w:szCs w:val="22"/>
                <w:lang w:eastAsia="es-CL"/>
              </w:rPr>
            </w:pP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7955808" w14:textId="77777777" w:rsidR="00EC4B36" w:rsidRPr="00691CF0" w:rsidRDefault="00EC4B36" w:rsidP="006B5A62">
            <w:pPr>
              <w:spacing w:before="40" w:after="40" w:line="192" w:lineRule="auto"/>
              <w:jc w:val="center"/>
              <w:rPr>
                <w:rFonts w:eastAsia="Times New Roman" w:cs="Calibri"/>
                <w:color w:val="000000"/>
                <w:sz w:val="22"/>
                <w:szCs w:val="22"/>
                <w:lang w:eastAsia="es-CL"/>
              </w:rPr>
            </w:pPr>
            <w:r w:rsidRPr="00691CF0">
              <w:rPr>
                <w:rFonts w:eastAsia="Times New Roman" w:cs="Calibri"/>
                <w:color w:val="000000"/>
                <w:sz w:val="22"/>
                <w:szCs w:val="22"/>
                <w:lang w:eastAsia="es-CL"/>
              </w:rPr>
              <w:t>Tipo 3</w:t>
            </w:r>
          </w:p>
        </w:tc>
        <w:tc>
          <w:tcPr>
            <w:tcW w:w="7371" w:type="dxa"/>
            <w:tcBorders>
              <w:top w:val="single" w:sz="4" w:space="0" w:color="auto"/>
              <w:left w:val="single" w:sz="4" w:space="0" w:color="auto"/>
              <w:bottom w:val="single" w:sz="4" w:space="0" w:color="auto"/>
              <w:right w:val="single" w:sz="4" w:space="0" w:color="auto"/>
            </w:tcBorders>
          </w:tcPr>
          <w:p w14:paraId="175F20C5" w14:textId="77777777" w:rsidR="00EC4B36" w:rsidRPr="00691CF0" w:rsidRDefault="00EC4B36" w:rsidP="006B5A62">
            <w:pPr>
              <w:spacing w:before="40" w:after="40" w:line="192" w:lineRule="auto"/>
              <w:rPr>
                <w:rFonts w:eastAsia="Times New Roman" w:cs="Calibri"/>
                <w:color w:val="000000"/>
                <w:sz w:val="22"/>
                <w:szCs w:val="22"/>
                <w:lang w:eastAsia="es-CL"/>
              </w:rPr>
            </w:pPr>
            <w:r w:rsidRPr="00691CF0">
              <w:rPr>
                <w:rFonts w:eastAsia="Times New Roman" w:cs="Calibri"/>
                <w:color w:val="000000"/>
                <w:sz w:val="22"/>
                <w:szCs w:val="22"/>
                <w:lang w:eastAsia="es-CL"/>
              </w:rPr>
              <w:t>Subestaciones de tensión mayor 220 kV con equipos CER.</w:t>
            </w:r>
          </w:p>
          <w:p w14:paraId="3778F4B1" w14:textId="77777777" w:rsidR="00EC4B36" w:rsidRPr="00691CF0" w:rsidRDefault="00EC4B36" w:rsidP="006B5A62">
            <w:pPr>
              <w:spacing w:before="40" w:after="40" w:line="192" w:lineRule="auto"/>
              <w:rPr>
                <w:rFonts w:eastAsia="Times New Roman" w:cs="Calibri"/>
                <w:color w:val="000000"/>
                <w:sz w:val="22"/>
                <w:szCs w:val="22"/>
                <w:lang w:eastAsia="es-CL"/>
              </w:rPr>
            </w:pPr>
            <w:r w:rsidRPr="00691CF0">
              <w:rPr>
                <w:rFonts w:eastAsia="Times New Roman" w:cs="Calibri"/>
                <w:color w:val="000000"/>
                <w:sz w:val="22"/>
                <w:szCs w:val="22"/>
                <w:lang w:eastAsia="es-CL"/>
              </w:rPr>
              <w:t>Subestaciones de tensión mayor 220 kV con tres patios.</w:t>
            </w:r>
          </w:p>
          <w:p w14:paraId="364FFCF3" w14:textId="77777777" w:rsidR="00EC4B36" w:rsidRPr="00691CF0" w:rsidRDefault="00EC4B36" w:rsidP="006B5A62">
            <w:pPr>
              <w:spacing w:before="40" w:after="40" w:line="192" w:lineRule="auto"/>
              <w:rPr>
                <w:rFonts w:eastAsia="Times New Roman" w:cs="Calibri"/>
                <w:color w:val="000000"/>
                <w:sz w:val="22"/>
                <w:szCs w:val="22"/>
                <w:lang w:eastAsia="es-CL"/>
              </w:rPr>
            </w:pPr>
            <w:r w:rsidRPr="00691CF0">
              <w:rPr>
                <w:rFonts w:eastAsia="Times New Roman" w:cs="Calibri"/>
                <w:color w:val="000000"/>
                <w:sz w:val="22"/>
                <w:szCs w:val="22"/>
                <w:lang w:eastAsia="es-CL"/>
              </w:rPr>
              <w:t>Subestaciones de tensión mayor 500 kV con menos de 30 paños nacionales.</w:t>
            </w:r>
          </w:p>
        </w:tc>
      </w:tr>
      <w:tr w:rsidR="00EC4B36" w:rsidRPr="00691CF0" w14:paraId="36992351" w14:textId="77777777" w:rsidTr="006B5A62">
        <w:trPr>
          <w:jc w:val="center"/>
        </w:trPr>
        <w:tc>
          <w:tcPr>
            <w:tcW w:w="851" w:type="dxa"/>
            <w:vMerge/>
            <w:tcBorders>
              <w:top w:val="single" w:sz="4" w:space="0" w:color="auto"/>
              <w:left w:val="single" w:sz="4" w:space="0" w:color="auto"/>
              <w:bottom w:val="single" w:sz="4" w:space="0" w:color="auto"/>
              <w:right w:val="single" w:sz="4" w:space="0" w:color="auto"/>
            </w:tcBorders>
            <w:vAlign w:val="center"/>
            <w:hideMark/>
          </w:tcPr>
          <w:p w14:paraId="7E2AABA2" w14:textId="77777777" w:rsidR="00EC4B36" w:rsidRPr="00691CF0" w:rsidRDefault="00EC4B36" w:rsidP="006B5A62">
            <w:pPr>
              <w:spacing w:before="40" w:after="40" w:line="192" w:lineRule="auto"/>
              <w:jc w:val="left"/>
              <w:rPr>
                <w:rFonts w:eastAsia="Times New Roman" w:cs="Calibri"/>
                <w:color w:val="000000"/>
                <w:sz w:val="22"/>
                <w:szCs w:val="22"/>
                <w:lang w:eastAsia="es-CL"/>
              </w:rPr>
            </w:pP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6075CD6" w14:textId="77777777" w:rsidR="00EC4B36" w:rsidRPr="00691CF0" w:rsidRDefault="00EC4B36" w:rsidP="006B5A62">
            <w:pPr>
              <w:spacing w:before="40" w:after="40" w:line="192" w:lineRule="auto"/>
              <w:jc w:val="center"/>
              <w:rPr>
                <w:rFonts w:eastAsia="Times New Roman" w:cs="Calibri"/>
                <w:color w:val="000000"/>
                <w:sz w:val="22"/>
                <w:szCs w:val="22"/>
                <w:lang w:eastAsia="es-CL"/>
              </w:rPr>
            </w:pPr>
            <w:r w:rsidRPr="00691CF0">
              <w:rPr>
                <w:rFonts w:eastAsia="Times New Roman" w:cs="Calibri"/>
                <w:color w:val="000000"/>
                <w:sz w:val="22"/>
                <w:szCs w:val="22"/>
                <w:lang w:eastAsia="es-CL"/>
              </w:rPr>
              <w:t>Tipo 4</w:t>
            </w:r>
          </w:p>
        </w:tc>
        <w:tc>
          <w:tcPr>
            <w:tcW w:w="7371" w:type="dxa"/>
            <w:tcBorders>
              <w:top w:val="single" w:sz="4" w:space="0" w:color="auto"/>
              <w:left w:val="single" w:sz="4" w:space="0" w:color="auto"/>
              <w:bottom w:val="single" w:sz="4" w:space="0" w:color="auto"/>
              <w:right w:val="single" w:sz="4" w:space="0" w:color="auto"/>
            </w:tcBorders>
          </w:tcPr>
          <w:p w14:paraId="238168AB" w14:textId="77777777" w:rsidR="00EC4B36" w:rsidRPr="00691CF0" w:rsidRDefault="00EC4B36" w:rsidP="006B5A62">
            <w:pPr>
              <w:spacing w:before="40" w:after="40" w:line="192" w:lineRule="auto"/>
              <w:rPr>
                <w:rFonts w:eastAsia="Times New Roman" w:cs="Calibri"/>
                <w:color w:val="000000"/>
                <w:sz w:val="22"/>
                <w:szCs w:val="22"/>
                <w:lang w:eastAsia="es-CL"/>
              </w:rPr>
            </w:pPr>
            <w:r w:rsidRPr="00691CF0">
              <w:rPr>
                <w:rFonts w:eastAsia="Times New Roman" w:cs="Calibri"/>
                <w:color w:val="000000"/>
                <w:sz w:val="22"/>
                <w:szCs w:val="22"/>
                <w:lang w:eastAsia="es-CL"/>
              </w:rPr>
              <w:t>Subestaciones de tensión mayor 500 kV con más de 30 paños nacionales.</w:t>
            </w:r>
          </w:p>
        </w:tc>
      </w:tr>
    </w:tbl>
    <w:p w14:paraId="2BECA0EF" w14:textId="77777777" w:rsidR="00EC4B36" w:rsidRDefault="00EC4B36" w:rsidP="00EC4B36">
      <w:pPr>
        <w:spacing w:after="0" w:line="240" w:lineRule="auto"/>
      </w:pPr>
    </w:p>
    <w:p w14:paraId="2FE6C7BE" w14:textId="77777777" w:rsidR="00EC4B36" w:rsidRDefault="00EC4B36" w:rsidP="00EC4B36">
      <w:r>
        <w:t xml:space="preserve">Esta agrupación se realizó de forma de poder representar los recargos lo más acorde a la realidad posible. A modo de ejemplo, cuando se construye una subestación, el personal administrativo de </w:t>
      </w:r>
      <w:r>
        <w:lastRenderedPageBreak/>
        <w:t xml:space="preserve">los gastos generales no se determina para cada paño, patio, transformador o equipo de compensación, sino que para la subestación </w:t>
      </w:r>
      <w:r w:rsidRPr="009261DB">
        <w:t>en su conjunto</w:t>
      </w:r>
      <w:r>
        <w:t xml:space="preserve"> (no se tiene un administrador de contrato o un jefe de ingeniería para cada instalación sino para toda la obra)</w:t>
      </w:r>
      <w:r w:rsidRPr="00DF26B4">
        <w:t>.</w:t>
      </w:r>
      <w:r>
        <w:t xml:space="preserve"> Algo similar ocurre en el caso de la ingeniería, donde los estudios eléctricos se realizan para toda la subestación y no por paño o transformador; de lo contrario, el costo se vería aumentado pues se pagarían dichos estudios en varias ocasiones. En el caso del bodegaje, el establecer una bodega (que se realiza en </w:t>
      </w:r>
      <w:r w:rsidRPr="00850862">
        <w:rPr>
          <w:i/>
        </w:rPr>
        <w:t>conteiners</w:t>
      </w:r>
      <w:r>
        <w:t>) por cada paño, equipo de compensación, transformador, etc. también vería aumentado su costo y las bodegas establecidas sirven a todas las instalaciones de la subestación.</w:t>
      </w:r>
    </w:p>
    <w:p w14:paraId="43899279" w14:textId="77777777" w:rsidR="00EC4B36" w:rsidRDefault="00EC4B36" w:rsidP="00EC4B36">
      <w:r>
        <w:t xml:space="preserve">En el caso de las líneas de transmisión, las variables de definición de proyectos representativos </w:t>
      </w:r>
      <w:proofErr w:type="gramStart"/>
      <w:r>
        <w:t>será</w:t>
      </w:r>
      <w:proofErr w:type="gramEnd"/>
      <w:r>
        <w:t xml:space="preserve"> la longitud </w:t>
      </w:r>
      <w:r w:rsidRPr="005C100C">
        <w:t>y la distancia de la instalación a centros poblados o industriales desde donde se pueden obtener los materiales y servicios</w:t>
      </w:r>
      <w:r>
        <w:t>. Se utilizarán 6 tipos de obras, que se indican en la siguiente tabla.</w:t>
      </w:r>
    </w:p>
    <w:p w14:paraId="0FC50C9E" w14:textId="77777777" w:rsidR="00EC4B36" w:rsidRPr="00783166" w:rsidRDefault="00EC4B36" w:rsidP="00EC4B36">
      <w:pPr>
        <w:pStyle w:val="Subttulo"/>
      </w:pPr>
      <w:bookmarkStart w:id="99" w:name="_Toc38047808"/>
      <w:bookmarkStart w:id="100" w:name="_Toc39795244"/>
      <w:bookmarkStart w:id="101" w:name="_Toc39797924"/>
      <w:r w:rsidRPr="00783166">
        <w:t xml:space="preserve">Tabla </w:t>
      </w:r>
      <w:fldSimple w:instr=" SEQ Tabla \* ARABIC ">
        <w:r w:rsidR="001F3E2E">
          <w:rPr>
            <w:noProof/>
          </w:rPr>
          <w:t>14</w:t>
        </w:r>
      </w:fldSimple>
      <w:r w:rsidRPr="00783166">
        <w:t xml:space="preserve">: </w:t>
      </w:r>
      <w:r w:rsidRPr="00013578">
        <w:t>Tipos de obras líneas de transmisión</w:t>
      </w:r>
      <w:bookmarkEnd w:id="99"/>
      <w:bookmarkEnd w:id="100"/>
      <w:bookmarkEnd w:id="101"/>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firstRow="1" w:lastRow="0" w:firstColumn="1" w:lastColumn="0" w:noHBand="0" w:noVBand="1"/>
      </w:tblPr>
      <w:tblGrid>
        <w:gridCol w:w="1701"/>
        <w:gridCol w:w="3402"/>
      </w:tblGrid>
      <w:tr w:rsidR="00EC4B36" w:rsidRPr="00804074" w14:paraId="14D23B0A" w14:textId="77777777" w:rsidTr="006B5A62">
        <w:trPr>
          <w:jc w:val="center"/>
        </w:trPr>
        <w:tc>
          <w:tcPr>
            <w:tcW w:w="1701" w:type="dxa"/>
            <w:vMerge w:val="restart"/>
            <w:shd w:val="clear" w:color="auto" w:fill="auto"/>
            <w:noWrap/>
            <w:vAlign w:val="center"/>
            <w:hideMark/>
          </w:tcPr>
          <w:p w14:paraId="1581C904" w14:textId="77777777" w:rsidR="00EC4B36" w:rsidRPr="00E747B2" w:rsidRDefault="00EC4B36" w:rsidP="006B5A62">
            <w:pPr>
              <w:spacing w:before="40" w:after="40" w:line="240" w:lineRule="auto"/>
              <w:jc w:val="center"/>
              <w:rPr>
                <w:rFonts w:eastAsia="Times New Roman" w:cs="Calibri"/>
                <w:color w:val="000000"/>
                <w:sz w:val="22"/>
                <w:szCs w:val="22"/>
                <w:lang w:eastAsia="es-CL"/>
              </w:rPr>
            </w:pPr>
            <w:r w:rsidRPr="00E747B2">
              <w:rPr>
                <w:rFonts w:eastAsia="Times New Roman" w:cs="Calibri"/>
                <w:color w:val="000000"/>
                <w:sz w:val="22"/>
                <w:szCs w:val="22"/>
                <w:lang w:eastAsia="es-CL"/>
              </w:rPr>
              <w:t>Líneas</w:t>
            </w:r>
          </w:p>
        </w:tc>
        <w:tc>
          <w:tcPr>
            <w:tcW w:w="3402" w:type="dxa"/>
            <w:shd w:val="clear" w:color="auto" w:fill="auto"/>
            <w:noWrap/>
            <w:vAlign w:val="center"/>
            <w:hideMark/>
          </w:tcPr>
          <w:p w14:paraId="2F095A19" w14:textId="77777777" w:rsidR="00EC4B36" w:rsidRPr="00E747B2" w:rsidRDefault="00EC4B36" w:rsidP="006B5A62">
            <w:pPr>
              <w:spacing w:before="40" w:after="40" w:line="240" w:lineRule="auto"/>
              <w:jc w:val="left"/>
              <w:rPr>
                <w:rFonts w:eastAsia="Times New Roman" w:cs="Calibri"/>
                <w:color w:val="000000"/>
                <w:sz w:val="22"/>
                <w:szCs w:val="22"/>
                <w:lang w:eastAsia="es-CL"/>
              </w:rPr>
            </w:pPr>
            <w:r w:rsidRPr="00E747B2">
              <w:rPr>
                <w:rFonts w:eastAsia="Times New Roman" w:cs="Calibri"/>
                <w:color w:val="000000"/>
                <w:sz w:val="22"/>
                <w:szCs w:val="22"/>
                <w:lang w:eastAsia="es-CL"/>
              </w:rPr>
              <w:t>Mayor a 250 km</w:t>
            </w:r>
          </w:p>
        </w:tc>
      </w:tr>
      <w:tr w:rsidR="00EC4B36" w:rsidRPr="00804074" w14:paraId="1E22A73A" w14:textId="77777777" w:rsidTr="006B5A62">
        <w:trPr>
          <w:jc w:val="center"/>
        </w:trPr>
        <w:tc>
          <w:tcPr>
            <w:tcW w:w="1701" w:type="dxa"/>
            <w:vMerge/>
            <w:vAlign w:val="center"/>
            <w:hideMark/>
          </w:tcPr>
          <w:p w14:paraId="602FACD2" w14:textId="77777777" w:rsidR="00EC4B36" w:rsidRPr="00E747B2" w:rsidRDefault="00EC4B36" w:rsidP="006B5A62">
            <w:pPr>
              <w:spacing w:before="40" w:after="40" w:line="240" w:lineRule="auto"/>
              <w:jc w:val="left"/>
              <w:rPr>
                <w:rFonts w:eastAsia="Times New Roman" w:cs="Calibri"/>
                <w:color w:val="000000"/>
                <w:sz w:val="22"/>
                <w:szCs w:val="22"/>
                <w:lang w:eastAsia="es-CL"/>
              </w:rPr>
            </w:pPr>
          </w:p>
        </w:tc>
        <w:tc>
          <w:tcPr>
            <w:tcW w:w="3402" w:type="dxa"/>
            <w:shd w:val="clear" w:color="auto" w:fill="auto"/>
            <w:noWrap/>
            <w:vAlign w:val="center"/>
            <w:hideMark/>
          </w:tcPr>
          <w:p w14:paraId="2005EB5A" w14:textId="77777777" w:rsidR="00EC4B36" w:rsidRPr="00E747B2" w:rsidRDefault="00EC4B36" w:rsidP="006B5A62">
            <w:pPr>
              <w:spacing w:before="40" w:after="40" w:line="240" w:lineRule="auto"/>
              <w:jc w:val="left"/>
              <w:rPr>
                <w:rFonts w:eastAsia="Times New Roman" w:cs="Calibri"/>
                <w:color w:val="000000"/>
                <w:sz w:val="22"/>
                <w:szCs w:val="22"/>
                <w:lang w:eastAsia="es-CL"/>
              </w:rPr>
            </w:pPr>
            <w:r w:rsidRPr="00E747B2">
              <w:rPr>
                <w:rFonts w:eastAsia="Times New Roman" w:cs="Calibri"/>
                <w:color w:val="000000"/>
                <w:sz w:val="22"/>
                <w:szCs w:val="22"/>
                <w:lang w:eastAsia="es-CL"/>
              </w:rPr>
              <w:t>Entre 100 km y 250 km</w:t>
            </w:r>
          </w:p>
        </w:tc>
      </w:tr>
      <w:tr w:rsidR="00EC4B36" w:rsidRPr="00804074" w14:paraId="20A8F88D" w14:textId="77777777" w:rsidTr="006B5A62">
        <w:trPr>
          <w:jc w:val="center"/>
        </w:trPr>
        <w:tc>
          <w:tcPr>
            <w:tcW w:w="1701" w:type="dxa"/>
            <w:vMerge/>
            <w:vAlign w:val="center"/>
            <w:hideMark/>
          </w:tcPr>
          <w:p w14:paraId="32761325" w14:textId="77777777" w:rsidR="00EC4B36" w:rsidRPr="00E747B2" w:rsidRDefault="00EC4B36" w:rsidP="006B5A62">
            <w:pPr>
              <w:spacing w:before="40" w:after="40" w:line="240" w:lineRule="auto"/>
              <w:jc w:val="left"/>
              <w:rPr>
                <w:rFonts w:eastAsia="Times New Roman" w:cs="Calibri"/>
                <w:color w:val="000000"/>
                <w:sz w:val="22"/>
                <w:szCs w:val="22"/>
                <w:lang w:eastAsia="es-CL"/>
              </w:rPr>
            </w:pPr>
          </w:p>
        </w:tc>
        <w:tc>
          <w:tcPr>
            <w:tcW w:w="3402" w:type="dxa"/>
            <w:shd w:val="clear" w:color="auto" w:fill="auto"/>
            <w:noWrap/>
            <w:vAlign w:val="center"/>
            <w:hideMark/>
          </w:tcPr>
          <w:p w14:paraId="76C93952" w14:textId="77777777" w:rsidR="00EC4B36" w:rsidRPr="00E747B2" w:rsidRDefault="00EC4B36" w:rsidP="006B5A62">
            <w:pPr>
              <w:spacing w:before="40" w:after="40" w:line="240" w:lineRule="auto"/>
              <w:jc w:val="left"/>
              <w:rPr>
                <w:rFonts w:eastAsia="Times New Roman" w:cs="Calibri"/>
                <w:color w:val="000000"/>
                <w:sz w:val="22"/>
                <w:szCs w:val="22"/>
                <w:lang w:eastAsia="es-CL"/>
              </w:rPr>
            </w:pPr>
            <w:r w:rsidRPr="00E747B2">
              <w:rPr>
                <w:rFonts w:eastAsia="Times New Roman" w:cs="Calibri"/>
                <w:color w:val="000000"/>
                <w:sz w:val="22"/>
                <w:szCs w:val="22"/>
                <w:lang w:eastAsia="es-CL"/>
              </w:rPr>
              <w:t>Entre 50 km y 100 km</w:t>
            </w:r>
          </w:p>
        </w:tc>
      </w:tr>
      <w:tr w:rsidR="00EC4B36" w:rsidRPr="00804074" w14:paraId="66AE1F03" w14:textId="77777777" w:rsidTr="006B5A62">
        <w:trPr>
          <w:jc w:val="center"/>
        </w:trPr>
        <w:tc>
          <w:tcPr>
            <w:tcW w:w="1701" w:type="dxa"/>
            <w:vMerge/>
            <w:vAlign w:val="center"/>
            <w:hideMark/>
          </w:tcPr>
          <w:p w14:paraId="0D53F325" w14:textId="77777777" w:rsidR="00EC4B36" w:rsidRPr="00E747B2" w:rsidRDefault="00EC4B36" w:rsidP="006B5A62">
            <w:pPr>
              <w:spacing w:before="40" w:after="40" w:line="240" w:lineRule="auto"/>
              <w:jc w:val="left"/>
              <w:rPr>
                <w:rFonts w:eastAsia="Times New Roman" w:cs="Calibri"/>
                <w:color w:val="000000"/>
                <w:sz w:val="22"/>
                <w:szCs w:val="22"/>
                <w:lang w:eastAsia="es-CL"/>
              </w:rPr>
            </w:pPr>
          </w:p>
        </w:tc>
        <w:tc>
          <w:tcPr>
            <w:tcW w:w="3402" w:type="dxa"/>
            <w:shd w:val="clear" w:color="auto" w:fill="auto"/>
            <w:noWrap/>
            <w:vAlign w:val="center"/>
            <w:hideMark/>
          </w:tcPr>
          <w:p w14:paraId="68A39593" w14:textId="77777777" w:rsidR="00EC4B36" w:rsidRPr="00E747B2" w:rsidRDefault="00EC4B36" w:rsidP="006B5A62">
            <w:pPr>
              <w:spacing w:before="40" w:after="40" w:line="240" w:lineRule="auto"/>
              <w:jc w:val="left"/>
              <w:rPr>
                <w:rFonts w:eastAsia="Times New Roman" w:cs="Calibri"/>
                <w:color w:val="000000"/>
                <w:sz w:val="22"/>
                <w:szCs w:val="22"/>
                <w:lang w:eastAsia="es-CL"/>
              </w:rPr>
            </w:pPr>
            <w:r w:rsidRPr="00E747B2">
              <w:rPr>
                <w:rFonts w:eastAsia="Times New Roman" w:cs="Calibri"/>
                <w:color w:val="000000"/>
                <w:sz w:val="22"/>
                <w:szCs w:val="22"/>
                <w:lang w:eastAsia="es-CL"/>
              </w:rPr>
              <w:t>Entre 25 y 50 km</w:t>
            </w:r>
          </w:p>
        </w:tc>
      </w:tr>
      <w:tr w:rsidR="00EC4B36" w:rsidRPr="00804074" w14:paraId="7CE604AC" w14:textId="77777777" w:rsidTr="006B5A62">
        <w:trPr>
          <w:jc w:val="center"/>
        </w:trPr>
        <w:tc>
          <w:tcPr>
            <w:tcW w:w="1701" w:type="dxa"/>
            <w:vMerge/>
            <w:vAlign w:val="center"/>
            <w:hideMark/>
          </w:tcPr>
          <w:p w14:paraId="40E8A489" w14:textId="77777777" w:rsidR="00EC4B36" w:rsidRPr="00E747B2" w:rsidRDefault="00EC4B36" w:rsidP="006B5A62">
            <w:pPr>
              <w:spacing w:before="40" w:after="40" w:line="240" w:lineRule="auto"/>
              <w:jc w:val="left"/>
              <w:rPr>
                <w:rFonts w:eastAsia="Times New Roman" w:cs="Calibri"/>
                <w:color w:val="000000"/>
                <w:sz w:val="22"/>
                <w:szCs w:val="22"/>
                <w:lang w:eastAsia="es-CL"/>
              </w:rPr>
            </w:pPr>
          </w:p>
        </w:tc>
        <w:tc>
          <w:tcPr>
            <w:tcW w:w="3402" w:type="dxa"/>
            <w:shd w:val="clear" w:color="auto" w:fill="auto"/>
            <w:noWrap/>
            <w:vAlign w:val="center"/>
            <w:hideMark/>
          </w:tcPr>
          <w:p w14:paraId="37FCEB92" w14:textId="77777777" w:rsidR="00EC4B36" w:rsidRPr="00E747B2" w:rsidRDefault="00EC4B36" w:rsidP="006B5A62">
            <w:pPr>
              <w:spacing w:before="40" w:after="40" w:line="240" w:lineRule="auto"/>
              <w:jc w:val="left"/>
              <w:rPr>
                <w:rFonts w:eastAsia="Times New Roman" w:cs="Calibri"/>
                <w:color w:val="000000"/>
                <w:sz w:val="22"/>
                <w:szCs w:val="22"/>
                <w:lang w:eastAsia="es-CL"/>
              </w:rPr>
            </w:pPr>
            <w:r w:rsidRPr="00E747B2">
              <w:rPr>
                <w:rFonts w:eastAsia="Times New Roman" w:cs="Calibri"/>
                <w:color w:val="000000"/>
                <w:sz w:val="22"/>
                <w:szCs w:val="22"/>
                <w:lang w:eastAsia="es-CL"/>
              </w:rPr>
              <w:t>Entre 5 y 25 km</w:t>
            </w:r>
          </w:p>
        </w:tc>
      </w:tr>
      <w:tr w:rsidR="00EC4B36" w:rsidRPr="00804074" w14:paraId="45FCBB7B" w14:textId="77777777" w:rsidTr="006B5A62">
        <w:trPr>
          <w:jc w:val="center"/>
        </w:trPr>
        <w:tc>
          <w:tcPr>
            <w:tcW w:w="1701" w:type="dxa"/>
            <w:vMerge/>
            <w:vAlign w:val="center"/>
            <w:hideMark/>
          </w:tcPr>
          <w:p w14:paraId="1F4E2303" w14:textId="77777777" w:rsidR="00EC4B36" w:rsidRPr="00E747B2" w:rsidRDefault="00EC4B36" w:rsidP="006B5A62">
            <w:pPr>
              <w:spacing w:before="40" w:after="40" w:line="240" w:lineRule="auto"/>
              <w:jc w:val="left"/>
              <w:rPr>
                <w:rFonts w:eastAsia="Times New Roman" w:cs="Calibri"/>
                <w:color w:val="000000"/>
                <w:sz w:val="22"/>
                <w:szCs w:val="22"/>
                <w:lang w:eastAsia="es-CL"/>
              </w:rPr>
            </w:pPr>
          </w:p>
        </w:tc>
        <w:tc>
          <w:tcPr>
            <w:tcW w:w="3402" w:type="dxa"/>
            <w:shd w:val="clear" w:color="auto" w:fill="auto"/>
            <w:noWrap/>
            <w:vAlign w:val="center"/>
            <w:hideMark/>
          </w:tcPr>
          <w:p w14:paraId="13A1EC8E" w14:textId="77777777" w:rsidR="00EC4B36" w:rsidRPr="00E747B2" w:rsidRDefault="00EC4B36" w:rsidP="006B5A62">
            <w:pPr>
              <w:spacing w:before="40" w:after="40" w:line="240" w:lineRule="auto"/>
              <w:jc w:val="left"/>
              <w:rPr>
                <w:rFonts w:eastAsia="Times New Roman" w:cs="Calibri"/>
                <w:color w:val="000000"/>
                <w:sz w:val="22"/>
                <w:szCs w:val="22"/>
                <w:lang w:eastAsia="es-CL"/>
              </w:rPr>
            </w:pPr>
            <w:r w:rsidRPr="00E747B2">
              <w:rPr>
                <w:rFonts w:eastAsia="Times New Roman" w:cs="Calibri"/>
                <w:color w:val="000000"/>
                <w:sz w:val="22"/>
                <w:szCs w:val="22"/>
                <w:lang w:eastAsia="es-CL"/>
              </w:rPr>
              <w:t>Entre 0 y 5 km</w:t>
            </w:r>
          </w:p>
        </w:tc>
      </w:tr>
    </w:tbl>
    <w:p w14:paraId="0BB14ADC" w14:textId="77777777" w:rsidR="00EC4B36" w:rsidRDefault="00EC4B36" w:rsidP="00EC4B36">
      <w:pPr>
        <w:spacing w:before="240"/>
      </w:pPr>
      <w:r>
        <w:t>Para estimar los costos correspondientes a los recargos establecidos en las Bases Técnicas del estudio, se considera que las obras de cada proyecto representativo y de cada tramo económico a valorizar, se ejecuta bajo la modalidad de un contrato EPC</w:t>
      </w:r>
      <w:r>
        <w:rPr>
          <w:rStyle w:val="Refdenotaalpie"/>
        </w:rPr>
        <w:footnoteReference w:id="17"/>
      </w:r>
      <w:r>
        <w:t>.</w:t>
      </w:r>
    </w:p>
    <w:p w14:paraId="2B917FFD" w14:textId="77777777" w:rsidR="00EC4B36" w:rsidRDefault="00EC4B36" w:rsidP="00EC4B36">
      <w:r w:rsidRPr="006F0E65">
        <w:t>El cálculo del V.I. por elemento se realiza calculando, en primer lugar, el producto del precio por la cantidad del elemento. Luego se agregan una serie de recargos porcentuales para reflejar los costos de flete, bodegaje, ingeniería, gastos generales e intereses intercalarios, junto con el recargo montaje, el cual se expresa en dólares.</w:t>
      </w:r>
    </w:p>
    <w:p w14:paraId="07E7CAE1" w14:textId="77777777" w:rsidR="00EC4B36" w:rsidRPr="008B114D" w:rsidRDefault="00EC4B36" w:rsidP="00EC4B36">
      <w:r w:rsidRPr="008B114D">
        <w:t>Para una completa comprensión del cálculo de cada recargo, el lector debe leer el Anexo VI_8 Recargos Porcentuales</w:t>
      </w:r>
      <w:r>
        <w:t>,</w:t>
      </w:r>
      <w:r w:rsidRPr="008B114D">
        <w:t xml:space="preserve"> donde se presenta en detalle la forma de determinar cada recargo. </w:t>
      </w:r>
    </w:p>
    <w:p w14:paraId="625ED587" w14:textId="77777777" w:rsidR="00EC4B36" w:rsidRDefault="00EC4B36" w:rsidP="00EC4B36">
      <w:pPr>
        <w:pStyle w:val="Ttulo4"/>
        <w:keepNext/>
      </w:pPr>
      <w:bookmarkStart w:id="102" w:name="_Toc38048421"/>
      <w:bookmarkStart w:id="103" w:name="_Toc39795090"/>
      <w:bookmarkStart w:id="104" w:name="_Toc39797770"/>
      <w:r>
        <w:lastRenderedPageBreak/>
        <w:t>Recargo por flete</w:t>
      </w:r>
      <w:bookmarkEnd w:id="102"/>
      <w:bookmarkEnd w:id="103"/>
      <w:bookmarkEnd w:id="104"/>
    </w:p>
    <w:p w14:paraId="6B329A4B" w14:textId="77777777" w:rsidR="00EC4B36" w:rsidRDefault="00EC4B36" w:rsidP="00EC4B36">
      <w:r>
        <w:t xml:space="preserve">Corresponde al costo asociado al traslado terrestre de equipos y materiales desde el puerto a la faena. </w:t>
      </w:r>
    </w:p>
    <w:p w14:paraId="0F5631ED" w14:textId="77777777" w:rsidR="00EC4B36" w:rsidRDefault="00EC4B36" w:rsidP="00EC4B36">
      <w:r>
        <w:t xml:space="preserve">Para la determinación de este costo se establecieron como puertos de abastecimiento los ubicados en las ciudades de Iquique, Antofagasta, Coquimbo, Valparaíso, Talcahuano y Puerto Montt. </w:t>
      </w:r>
    </w:p>
    <w:p w14:paraId="78C5FC2E" w14:textId="77777777" w:rsidR="00EC4B36" w:rsidRPr="000325E5" w:rsidRDefault="00EC4B36" w:rsidP="00EC4B36">
      <w:r>
        <w:t>En cuanto a los tipos de transporte, s</w:t>
      </w:r>
      <w:r w:rsidRPr="000325E5">
        <w:t xml:space="preserve">e utilizan </w:t>
      </w:r>
      <w:r>
        <w:t>dos</w:t>
      </w:r>
      <w:r w:rsidRPr="000325E5">
        <w:t xml:space="preserve"> tipos</w:t>
      </w:r>
      <w:r>
        <w:t xml:space="preserve"> con distintos costos, los cuales fueron obtenidos de las cotizaciones realizadas con motivo del presente estudio</w:t>
      </w:r>
      <w:r w:rsidRPr="000325E5">
        <w:t xml:space="preserve">: </w:t>
      </w:r>
    </w:p>
    <w:p w14:paraId="5E685B8F" w14:textId="77777777" w:rsidR="00EC4B36" w:rsidRPr="000325E5" w:rsidRDefault="00EC4B36" w:rsidP="00EC4B36">
      <w:pPr>
        <w:pStyle w:val="Prrafodelista"/>
        <w:numPr>
          <w:ilvl w:val="0"/>
          <w:numId w:val="46"/>
        </w:numPr>
        <w:spacing w:after="120"/>
        <w:ind w:left="567" w:hanging="567"/>
      </w:pPr>
      <w:r w:rsidRPr="000325E5">
        <w:t>Transporte a granel: 0</w:t>
      </w:r>
      <w:r>
        <w:t>,</w:t>
      </w:r>
      <w:r w:rsidRPr="000325E5">
        <w:t>2</w:t>
      </w:r>
      <w:r>
        <w:t>182</w:t>
      </w:r>
      <w:r w:rsidRPr="000325E5">
        <w:t xml:space="preserve"> </w:t>
      </w:r>
      <m:oMath>
        <m:d>
          <m:dPr>
            <m:begChr m:val="["/>
            <m:endChr m:val="]"/>
            <m:ctrlPr>
              <w:rPr>
                <w:rFonts w:ascii="Cambria Math" w:hAnsi="Cambria Math"/>
                <w:i/>
              </w:rPr>
            </m:ctrlPr>
          </m:dPr>
          <m:e>
            <m:f>
              <m:fPr>
                <m:ctrlPr>
                  <w:rPr>
                    <w:rFonts w:ascii="Cambria Math" w:hAnsi="Cambria Math"/>
                    <w:i/>
                  </w:rPr>
                </m:ctrlPr>
              </m:fPr>
              <m:num>
                <m:r>
                  <w:rPr>
                    <w:rFonts w:ascii="Cambria Math" w:hAnsi="Cambria Math"/>
                  </w:rPr>
                  <m:t>USD</m:t>
                </m:r>
              </m:num>
              <m:den>
                <m:r>
                  <w:rPr>
                    <w:rFonts w:ascii="Cambria Math" w:hAnsi="Cambria Math"/>
                  </w:rPr>
                  <m:t>ton∙km</m:t>
                </m:r>
              </m:den>
            </m:f>
          </m:e>
        </m:d>
      </m:oMath>
    </w:p>
    <w:p w14:paraId="648D5789" w14:textId="77777777" w:rsidR="00EC4B36" w:rsidRPr="00691CF0" w:rsidRDefault="00EC4B36" w:rsidP="00EC4B36">
      <w:pPr>
        <w:pStyle w:val="Prrafodelista"/>
        <w:numPr>
          <w:ilvl w:val="0"/>
          <w:numId w:val="46"/>
        </w:numPr>
        <w:ind w:left="567" w:hanging="567"/>
      </w:pPr>
      <w:r w:rsidRPr="000325E5">
        <w:t>Transporte especial: 1</w:t>
      </w:r>
      <w:r>
        <w:t>,2322</w:t>
      </w:r>
      <w:r w:rsidRPr="000325E5">
        <w:t xml:space="preserve"> </w:t>
      </w:r>
      <m:oMath>
        <m:d>
          <m:dPr>
            <m:begChr m:val="["/>
            <m:endChr m:val="]"/>
            <m:ctrlPr>
              <w:rPr>
                <w:rFonts w:ascii="Cambria Math" w:hAnsi="Cambria Math"/>
              </w:rPr>
            </m:ctrlPr>
          </m:dPr>
          <m:e>
            <m:f>
              <m:fPr>
                <m:ctrlPr>
                  <w:rPr>
                    <w:rFonts w:ascii="Cambria Math" w:hAnsi="Cambria Math"/>
                  </w:rPr>
                </m:ctrlPr>
              </m:fPr>
              <m:num>
                <m:r>
                  <w:rPr>
                    <w:rFonts w:ascii="Cambria Math" w:hAnsi="Cambria Math"/>
                  </w:rPr>
                  <m:t>USD</m:t>
                </m:r>
              </m:num>
              <m:den>
                <m:r>
                  <w:rPr>
                    <w:rFonts w:ascii="Cambria Math" w:hAnsi="Cambria Math"/>
                  </w:rPr>
                  <m:t>ton</m:t>
                </m:r>
                <m:r>
                  <m:rPr>
                    <m:sty m:val="p"/>
                  </m:rPr>
                  <w:rPr>
                    <w:rFonts w:ascii="Cambria Math" w:hAnsi="Cambria Math"/>
                  </w:rPr>
                  <m:t>∙</m:t>
                </m:r>
                <m:r>
                  <w:rPr>
                    <w:rFonts w:ascii="Cambria Math" w:hAnsi="Cambria Math"/>
                  </w:rPr>
                  <m:t>km</m:t>
                </m:r>
              </m:den>
            </m:f>
          </m:e>
        </m:d>
      </m:oMath>
    </w:p>
    <w:p w14:paraId="1D6413C4" w14:textId="77777777" w:rsidR="00EC4B36" w:rsidRDefault="00EC4B36" w:rsidP="00EC4B36">
      <w:r>
        <w:t xml:space="preserve">La determinación de estos valores se </w:t>
      </w:r>
      <w:proofErr w:type="gramStart"/>
      <w:r>
        <w:t>encuentran</w:t>
      </w:r>
      <w:proofErr w:type="gramEnd"/>
      <w:r>
        <w:t xml:space="preserve"> en el anexo VI_8.</w:t>
      </w:r>
    </w:p>
    <w:p w14:paraId="2356F662" w14:textId="77777777" w:rsidR="00EC4B36" w:rsidRDefault="00EC4B36" w:rsidP="00EC4B36">
      <w:r>
        <w:t xml:space="preserve">El </w:t>
      </w:r>
      <w:r w:rsidRPr="009261DB">
        <w:t>transporte a granel corresponde</w:t>
      </w:r>
      <w:r>
        <w:t xml:space="preserve"> a aquel que se puede realizar en condiciones normales con cualquier transportista ya que las características de masa y volumen a trasladar se pueden hacer sin ninguna adecuación especial. Por su </w:t>
      </w:r>
      <w:r w:rsidRPr="009261DB">
        <w:t>parte, el transporte especial es</w:t>
      </w:r>
      <w:r>
        <w:t xml:space="preserve"> aquel que se debe realizar con cuidados especiales por el peso y volumen del equipo, por ejemplo, un transformador de poder 500/220 kV, 250 MVA, que no puede ir confinado en un conteiner típico utilizado para el transporte. </w:t>
      </w:r>
    </w:p>
    <w:p w14:paraId="5A36DF92" w14:textId="77777777" w:rsidR="00EC4B36" w:rsidRDefault="00EC4B36" w:rsidP="00EC4B36">
      <w:r>
        <w:t>El costo de transporte cotizado no se ve afectado por momentos de mayor congestión, pues su costo</w:t>
      </w:r>
      <w:r w:rsidRPr="009261DB">
        <w:t xml:space="preserve"> no</w:t>
      </w:r>
      <w:r>
        <w:t xml:space="preserve"> depende del tiempo de desplazamiento, sino que depende del peso a transportar y de la distancia considerada. Así, se considera el </w:t>
      </w:r>
      <w:r w:rsidRPr="0028360E">
        <w:t>criterio de eficiencia en cuanto a distancias entre el punto de abastecimiento de los equipos y materiales hasta el lugar de destino y traslados, considerando que se realizan programadamente en momentos razonables, por lo que no se utiliza</w:t>
      </w:r>
      <w:r>
        <w:t>n</w:t>
      </w:r>
      <w:r w:rsidRPr="0028360E">
        <w:t xml:space="preserve"> los tiempos de desplazamiento en las horas de mayor congestión</w:t>
      </w:r>
      <w:r>
        <w:t xml:space="preserve">. Además, es </w:t>
      </w:r>
      <w:r w:rsidRPr="00F96F45">
        <w:t>evidente</w:t>
      </w:r>
      <w:r>
        <w:t xml:space="preserve"> que el transportista busca optimizar sus ingresos, por lo que busca horarios en que el transporte se realice con mayor facilidad, es decir, en instantes sin congestión. Para mayor claridad, el transporte de equipos especiales se realiza bajo autorización e incluso podría considerar escolta policial.</w:t>
      </w:r>
    </w:p>
    <w:p w14:paraId="062BD94E" w14:textId="77777777" w:rsidR="00EC4B36" w:rsidRDefault="00EC4B36" w:rsidP="00EC4B36">
      <w:r>
        <w:t xml:space="preserve">Para realizar el cálculo de este recargo no es posible ceñirse a las bases del estudio, las cuales poseen un error conceptual pues no es lo mismo transportar un paño de 500 kV entre Valparaíso y SE Alto Jahuel que transportar un paño de 500 kV entre Antofagasta y SE Cumbres, pues la distancia a recorrer es distinta, teniéndose un costo más elevado en el segundo caso. En las líneas de transmisión, ocurre algo similar, donde el costo del transporte depende de la distancia a recorrer entre el puerto de abastecimiento y la faena y no solo de la longitud de la línea. </w:t>
      </w:r>
    </w:p>
    <w:p w14:paraId="5B3C4313" w14:textId="77777777" w:rsidR="00EC4B36" w:rsidRPr="009261DB" w:rsidRDefault="00EC4B36" w:rsidP="00EC4B36">
      <w:r w:rsidRPr="009261DB">
        <w:lastRenderedPageBreak/>
        <w:t>De esta forma, el recargo por flete se calculó para cada una de las subestaciones y líneas que conforman el Sistema de Transmisión Nacional.</w:t>
      </w:r>
      <w:r>
        <w:t xml:space="preserve"> Así, el consultor calcula el recargo por flete para cada elemento (para cada interruptor, cada desconectador, cada kilogramo de acero, etc. contenidos en la base de datos), lo cual es más detallado que las familias señaladas, o de otra forma, se consideran subfamilias más específicas que las contenidas en las bases.</w:t>
      </w:r>
    </w:p>
    <w:p w14:paraId="31E62385" w14:textId="77777777" w:rsidR="00EC4B36" w:rsidRDefault="00EC4B36" w:rsidP="00EC4B36">
      <w:r>
        <w:t xml:space="preserve">Para los tramos de transporte de línea se determinó el puerto más cercano y se determinó la distancia puerto - punto de inicio y puerto - punto final gracias a la aplicación </w:t>
      </w:r>
      <w:r w:rsidRPr="00F96F45">
        <w:rPr>
          <w:i/>
        </w:rPr>
        <w:t>online Google Maps</w:t>
      </w:r>
      <w:r>
        <w:t xml:space="preserve"> Luego, la distancia considerada para el total de los elementos que conforman la línea de transmisión correspondió al promedio de estos dos valores, para así poder representar de forma adecuada el traslado de materiales a los distintos puntos a lo largo de la línea en que se realiza la obra.</w:t>
      </w:r>
    </w:p>
    <w:p w14:paraId="64ED6335" w14:textId="77777777" w:rsidR="00EC4B36" w:rsidRDefault="00EC4B36" w:rsidP="00EC4B36">
      <w:r>
        <w:t>Se calculó el costo del flete de los siguientes conjuntos de elementos de una línea de transmisión:</w:t>
      </w:r>
    </w:p>
    <w:p w14:paraId="0203C372" w14:textId="77777777" w:rsidR="00EC4B36" w:rsidRPr="0067128F" w:rsidRDefault="00EC4B36" w:rsidP="00EC4B36">
      <w:pPr>
        <w:pStyle w:val="Prrafodelista"/>
        <w:numPr>
          <w:ilvl w:val="0"/>
          <w:numId w:val="47"/>
        </w:numPr>
        <w:spacing w:after="120"/>
        <w:ind w:left="567" w:hanging="567"/>
      </w:pPr>
      <w:r w:rsidRPr="0067128F">
        <w:t>Conductores</w:t>
      </w:r>
    </w:p>
    <w:p w14:paraId="656DA210" w14:textId="77777777" w:rsidR="00EC4B36" w:rsidRPr="0067128F" w:rsidRDefault="00EC4B36" w:rsidP="00EC4B36">
      <w:pPr>
        <w:pStyle w:val="Prrafodelista"/>
        <w:numPr>
          <w:ilvl w:val="0"/>
          <w:numId w:val="47"/>
        </w:numPr>
        <w:spacing w:after="120"/>
        <w:ind w:left="567" w:hanging="567"/>
      </w:pPr>
      <w:r w:rsidRPr="0067128F">
        <w:t>Acero</w:t>
      </w:r>
    </w:p>
    <w:p w14:paraId="39EF1BC1" w14:textId="77777777" w:rsidR="00EC4B36" w:rsidRPr="0067128F" w:rsidRDefault="00EC4B36" w:rsidP="00EC4B36">
      <w:pPr>
        <w:pStyle w:val="Prrafodelista"/>
        <w:numPr>
          <w:ilvl w:val="0"/>
          <w:numId w:val="47"/>
        </w:numPr>
        <w:spacing w:after="120"/>
        <w:ind w:left="567" w:hanging="567"/>
      </w:pPr>
      <w:r w:rsidRPr="0067128F">
        <w:t>Aisladores</w:t>
      </w:r>
    </w:p>
    <w:p w14:paraId="250880B9" w14:textId="77777777" w:rsidR="00EC4B36" w:rsidRPr="0067128F" w:rsidRDefault="00EC4B36" w:rsidP="00EC4B36">
      <w:pPr>
        <w:pStyle w:val="Prrafodelista"/>
        <w:numPr>
          <w:ilvl w:val="0"/>
          <w:numId w:val="47"/>
        </w:numPr>
        <w:ind w:left="567" w:hanging="567"/>
      </w:pPr>
      <w:r w:rsidRPr="0067128F">
        <w:t>Amortiguadores</w:t>
      </w:r>
    </w:p>
    <w:p w14:paraId="523F093B" w14:textId="77777777" w:rsidR="00EC4B36" w:rsidRDefault="00EC4B36" w:rsidP="00EC4B36">
      <w:r>
        <w:t>Para cada tramo de subestación, tramos de transporte de transformación contenidos en ellos y paños de tramos de transporte, se determinó el puerto más cercano y se estableció la distancia entre el puerto y la subestación. A modo de ejemplo, las subestaciones ubicadas en la Región Metropolitana se asignaron al puerto de Valparaíso.</w:t>
      </w:r>
    </w:p>
    <w:p w14:paraId="5751F5F9" w14:textId="77777777" w:rsidR="00EC4B36" w:rsidRPr="000325E5" w:rsidRDefault="00EC4B36" w:rsidP="00EC4B36">
      <w:r w:rsidRPr="000325E5">
        <w:t xml:space="preserve">En </w:t>
      </w:r>
      <w:r>
        <w:t xml:space="preserve">estos casos </w:t>
      </w:r>
      <w:r w:rsidRPr="000325E5">
        <w:t>se hace la distinción de 2 tipos de transportes: a granel y especial. Est</w:t>
      </w:r>
      <w:r>
        <w:t>e</w:t>
      </w:r>
      <w:r w:rsidRPr="000325E5">
        <w:t xml:space="preserve"> último</w:t>
      </w:r>
      <w:r>
        <w:t xml:space="preserve"> es considerado</w:t>
      </w:r>
      <w:r w:rsidRPr="000325E5">
        <w:t xml:space="preserve"> debido a </w:t>
      </w:r>
      <w:r>
        <w:t>que</w:t>
      </w:r>
      <w:r w:rsidRPr="000325E5">
        <w:t xml:space="preserve"> ciertos equipos</w:t>
      </w:r>
      <w:r>
        <w:t>,</w:t>
      </w:r>
      <w:r w:rsidRPr="000325E5">
        <w:t xml:space="preserve"> por alguna condición</w:t>
      </w:r>
      <w:r>
        <w:t xml:space="preserve"> inherente a ellos</w:t>
      </w:r>
      <w:r w:rsidRPr="000325E5">
        <w:t xml:space="preserve"> (volumen, estructura, etc.)</w:t>
      </w:r>
      <w:r>
        <w:t>,</w:t>
      </w:r>
      <w:r w:rsidRPr="000325E5">
        <w:t xml:space="preserve"> </w:t>
      </w:r>
      <w:r>
        <w:t xml:space="preserve">necesitan </w:t>
      </w:r>
      <w:r w:rsidRPr="000325E5">
        <w:t>un</w:t>
      </w:r>
      <w:r>
        <w:t xml:space="preserve"> tipo de</w:t>
      </w:r>
      <w:r w:rsidRPr="000325E5">
        <w:t xml:space="preserve"> transporte que pueda soportarlo, </w:t>
      </w:r>
      <w:r>
        <w:t xml:space="preserve">presentándose </w:t>
      </w:r>
      <w:r w:rsidRPr="000325E5">
        <w:t>la necesidad de cotizar un transporte diferente y apropiado para realizar es</w:t>
      </w:r>
      <w:r>
        <w:t xml:space="preserve">te transporte especial, como ocurre en el caso de banco de transformadores, reactores de alta tensión, etc. Los equipos menores y otros materiales, se considera son transportados en condiciones comunes, normalmente en </w:t>
      </w:r>
      <w:r w:rsidRPr="001B0348">
        <w:rPr>
          <w:i/>
        </w:rPr>
        <w:t>containers</w:t>
      </w:r>
      <w:r>
        <w:t xml:space="preserve"> o cajones. </w:t>
      </w:r>
    </w:p>
    <w:p w14:paraId="7E562D9E" w14:textId="77777777" w:rsidR="00EC4B36" w:rsidRDefault="00EC4B36" w:rsidP="00EC4B36">
      <w:r>
        <w:t xml:space="preserve">Para el transporte a granel </w:t>
      </w:r>
      <w:r w:rsidRPr="008345A5">
        <w:t>se realiza una diferenciación por tensión de los equipos, entre las que se encuentran los siguientes niveles: 500 kV, 220 kV, 154 kV, 110 kV, 66 kV y media tensión (tensiones menores a 66 kV).</w:t>
      </w:r>
    </w:p>
    <w:p w14:paraId="4B20F046" w14:textId="77777777" w:rsidR="00EC4B36" w:rsidRDefault="00EC4B36" w:rsidP="00EC4B36">
      <w:r w:rsidRPr="000325E5">
        <w:t xml:space="preserve">Para establecer el peso total </w:t>
      </w:r>
      <w:r>
        <w:t>de los elementos a trasladar con este tipo de transporte</w:t>
      </w:r>
      <w:r w:rsidRPr="000325E5">
        <w:t xml:space="preserve">, primero se realiza la diferenciación de los </w:t>
      </w:r>
      <w:r>
        <w:t xml:space="preserve">equipos según su </w:t>
      </w:r>
      <w:r w:rsidRPr="000325E5">
        <w:t>nivel</w:t>
      </w:r>
      <w:r>
        <w:t xml:space="preserve"> de tensión</w:t>
      </w:r>
      <w:r w:rsidRPr="000325E5">
        <w:t xml:space="preserve"> y para cada</w:t>
      </w:r>
      <w:r>
        <w:t xml:space="preserve"> uno de ellos s</w:t>
      </w:r>
      <w:r w:rsidRPr="000325E5">
        <w:t xml:space="preserve">e </w:t>
      </w:r>
      <w:r w:rsidRPr="000325E5">
        <w:lastRenderedPageBreak/>
        <w:t xml:space="preserve">determinó </w:t>
      </w:r>
      <w:r>
        <w:t xml:space="preserve">su peso unitario a partir de diversos catálogos disponibles en la </w:t>
      </w:r>
      <w:r w:rsidRPr="00137966">
        <w:rPr>
          <w:i/>
        </w:rPr>
        <w:t>web</w:t>
      </w:r>
      <w:r>
        <w:t xml:space="preserve">. Luego, </w:t>
      </w:r>
      <w:r w:rsidRPr="000325E5">
        <w:t>el peso</w:t>
      </w:r>
      <w:r>
        <w:t xml:space="preserve"> a trasladar</w:t>
      </w:r>
      <w:r w:rsidRPr="000325E5">
        <w:t xml:space="preserve"> por subestación </w:t>
      </w:r>
      <w:r>
        <w:t xml:space="preserve">queda en función del inventario de equipos </w:t>
      </w:r>
      <w:r w:rsidRPr="000325E5">
        <w:t>declarados en la base. Los elementos en cuestión, considerados para e</w:t>
      </w:r>
      <w:r>
        <w:t>valuar este transporte son: condensadores estáticos, aisladores de pedestal, transformadores de corriente, transformadores de potencial, pararrayos, interruptores, desconectadores, trampas de ondas y condensadores de acoplamiento.</w:t>
      </w:r>
    </w:p>
    <w:p w14:paraId="49AE7A3B" w14:textId="77777777" w:rsidR="00EC4B36" w:rsidRDefault="00EC4B36" w:rsidP="00EC4B36">
      <w:r>
        <w:t>Sumado a estos elementos</w:t>
      </w:r>
      <w:r w:rsidRPr="000325E5">
        <w:t xml:space="preserve"> se agrega el peso del acero por subestación, </w:t>
      </w:r>
      <w:r>
        <w:t>que considera las estructuras altas, estructuras de equipos y enfierradura de fundaciones. El costo total de transporte de cada subestación queda determinado por la masa total a transportar por la distancia a puerto y por el costo del transporte a granel.</w:t>
      </w:r>
    </w:p>
    <w:p w14:paraId="45940A3E" w14:textId="77777777" w:rsidR="00EC4B36" w:rsidRDefault="00EC4B36" w:rsidP="00EC4B36">
      <w:r>
        <w:t xml:space="preserve">Para el transporte especial, se </w:t>
      </w:r>
      <w:r w:rsidRPr="008345A5">
        <w:t>determina el peso que se trasladaría este transporte, se diferenciaron 3 tipos de equipos eléctricos, detallados en la siguiente imagen, donde se observan: 3 tipos de transformadores, 6 tipos de reactores y 2 tipos de compensadores serie.</w:t>
      </w:r>
    </w:p>
    <w:p w14:paraId="5B59BA13" w14:textId="77777777" w:rsidR="00EC4B36" w:rsidRPr="008345A5" w:rsidRDefault="00EC4B36" w:rsidP="00EC4B36">
      <w:pPr>
        <w:pStyle w:val="Subttulo"/>
        <w:rPr>
          <w:i/>
        </w:rPr>
      </w:pPr>
      <w:bookmarkStart w:id="105" w:name="_Toc39795302"/>
      <w:bookmarkStart w:id="106" w:name="_Toc39797982"/>
      <w:r w:rsidRPr="008345A5">
        <w:t xml:space="preserve">Ilustración </w:t>
      </w:r>
      <w:fldSimple w:instr=" SEQ Ilustración \* ARABIC ">
        <w:r w:rsidR="001F3E2E">
          <w:rPr>
            <w:noProof/>
          </w:rPr>
          <w:t>1</w:t>
        </w:r>
      </w:fldSimple>
      <w:r w:rsidRPr="008345A5">
        <w:t>: Equipos que requieren transporte especial</w:t>
      </w:r>
      <w:bookmarkEnd w:id="105"/>
      <w:bookmarkEnd w:id="106"/>
    </w:p>
    <w:p w14:paraId="1C4444AB" w14:textId="77777777" w:rsidR="00EC4B36" w:rsidRDefault="00EC4B36" w:rsidP="00EC4B36">
      <w:pPr>
        <w:jc w:val="center"/>
      </w:pPr>
      <w:r w:rsidRPr="007933B1">
        <w:rPr>
          <w:noProof/>
          <w:lang w:eastAsia="es-CL"/>
        </w:rPr>
        <w:drawing>
          <wp:inline distT="0" distB="0" distL="0" distR="0" wp14:anchorId="401C4163" wp14:editId="17053940">
            <wp:extent cx="5613400" cy="802700"/>
            <wp:effectExtent l="0" t="0" r="635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613400" cy="802700"/>
                    </a:xfrm>
                    <a:prstGeom prst="rect">
                      <a:avLst/>
                    </a:prstGeom>
                    <a:noFill/>
                    <a:ln>
                      <a:noFill/>
                    </a:ln>
                  </pic:spPr>
                </pic:pic>
              </a:graphicData>
            </a:graphic>
          </wp:inline>
        </w:drawing>
      </w:r>
    </w:p>
    <w:p w14:paraId="020B1ED4" w14:textId="77777777" w:rsidR="00EC4B36" w:rsidRDefault="00EC4B36" w:rsidP="00EC4B36">
      <w:r w:rsidRPr="000325E5">
        <w:t>A</w:t>
      </w:r>
      <w:r>
        <w:t xml:space="preserve"> cada elemento tipo se le asignó</w:t>
      </w:r>
      <w:r w:rsidRPr="000325E5">
        <w:t xml:space="preserve"> un peso unitario</w:t>
      </w:r>
      <w:r>
        <w:t>, obtenido desde diversos planos que posee el consultor o de la información encontrada en el portal de Información Técnica del Coordinador,</w:t>
      </w:r>
      <w:r w:rsidRPr="000325E5">
        <w:t xml:space="preserve"> y se procedió a calcular el peso total multiplicando</w:t>
      </w:r>
      <w:r>
        <w:t xml:space="preserve"> dicho peso unitario</w:t>
      </w:r>
      <w:r w:rsidRPr="000325E5">
        <w:t xml:space="preserve"> por la cantidad de element</w:t>
      </w:r>
      <w:r>
        <w:t>os en cada subestación declarados</w:t>
      </w:r>
      <w:r w:rsidRPr="000325E5">
        <w:t xml:space="preserve"> en la base</w:t>
      </w:r>
      <w:r>
        <w:t xml:space="preserve"> de datos.</w:t>
      </w:r>
    </w:p>
    <w:p w14:paraId="7FAA6229" w14:textId="77777777" w:rsidR="00EC4B36" w:rsidRPr="00ED2937" w:rsidRDefault="00EC4B36" w:rsidP="00EC4B36">
      <w:pPr>
        <w:spacing w:before="240"/>
      </w:pPr>
      <w:r w:rsidRPr="00ED2937">
        <w:t>Finalmente, el recargo porcentual por flete se obtiene como el costo del transporte eficiente (suma de costo transporte a granel y transporte especial) sobre el costo de materiales obtenido desde la base de datos para cada una de las subestaciones y líneas de transmisión consideradas en este estudio.</w:t>
      </w:r>
    </w:p>
    <w:p w14:paraId="4684B31C" w14:textId="77777777" w:rsidR="00EC4B36" w:rsidRDefault="00EC4B36" w:rsidP="00EC4B36">
      <w:pPr>
        <w:pStyle w:val="Ttulo4"/>
        <w:keepNext/>
      </w:pPr>
      <w:bookmarkStart w:id="107" w:name="_Toc38048422"/>
      <w:bookmarkStart w:id="108" w:name="_Toc39795091"/>
      <w:bookmarkStart w:id="109" w:name="_Toc39797771"/>
      <w:r>
        <w:t>Recargo por bodega</w:t>
      </w:r>
      <w:bookmarkEnd w:id="107"/>
      <w:bookmarkEnd w:id="108"/>
      <w:bookmarkEnd w:id="109"/>
    </w:p>
    <w:p w14:paraId="6BD81F72" w14:textId="77777777" w:rsidR="00EC4B36" w:rsidRDefault="00EC4B36" w:rsidP="00EC4B36">
      <w:r w:rsidRPr="00EC5EBD">
        <w:t>El bodegaje es el costo</w:t>
      </w:r>
      <w:r>
        <w:t xml:space="preserve"> de almacenar diversos elementos en una faena, con tal de evitar que sean robados o que sufran daños por motivos ambientales. </w:t>
      </w:r>
    </w:p>
    <w:p w14:paraId="5D3B564B" w14:textId="77777777" w:rsidR="00EC4B36" w:rsidRDefault="00EC4B36" w:rsidP="00EC4B36">
      <w:r>
        <w:t xml:space="preserve">En este caso, también existen errores conceptuales en las bases del estudio, ya que las bodegas se arriendan para toda la faena y no por separado para paños, transformadores, instalaciones comunes y equipos de compensación. Cuando se construye una subestación, quien está a cargo de la obra dimensiona la cantidad de containers para el conjunto total de la obra y los elementos a </w:t>
      </w:r>
      <w:r>
        <w:lastRenderedPageBreak/>
        <w:t>almacenar son comunes para varios tipos de familias de recargos contenidas en las bases. De esta forma, se agruparon todas las instalaciones de una subestación para calcular el recargo de bodegaje.</w:t>
      </w:r>
    </w:p>
    <w:p w14:paraId="486A5B14" w14:textId="77777777" w:rsidR="00EC4B36" w:rsidRDefault="00EC4B36" w:rsidP="00EC4B36">
      <w:r>
        <w:t xml:space="preserve">El costo de bodega se determinó según el tipo de tramo, ya sea líneas de transmisión o subestaciones, incluidos los transformadores de poder. En ambos casos se consideraron </w:t>
      </w:r>
      <w:r w:rsidRPr="000377A1">
        <w:rPr>
          <w:i/>
        </w:rPr>
        <w:t>cont</w:t>
      </w:r>
      <w:r>
        <w:rPr>
          <w:i/>
        </w:rPr>
        <w:t>a</w:t>
      </w:r>
      <w:r w:rsidRPr="000377A1">
        <w:rPr>
          <w:i/>
        </w:rPr>
        <w:t>iners</w:t>
      </w:r>
      <w:r>
        <w:t xml:space="preserve"> de 40 pies con un costo de arriendo mensual de 168 dólares (4 UF), al que se le incluyó un recargo de un 20% para reflejar el costo del transporte de la bodega desde el punto de entrega del conteiner al punto de instalación de él, es decir, el lugar de faena, pues al cotizar un conteiner, el oferente indica el precio en el lugar de entrega y es de costo del arrendatario el transporte hasta el lugar donde necesitará que se instale la bodega. En específico, la cotización recibida señala “</w:t>
      </w:r>
      <w:r w:rsidRPr="006C0A50">
        <w:t>Valor por módulos puestos sobre camión en Planta</w:t>
      </w:r>
      <w:r>
        <w:t xml:space="preserve">” y no en faena o punto final. Esto no quiere decir que no se esté considerando la bodega en la propia faena. </w:t>
      </w:r>
    </w:p>
    <w:p w14:paraId="3334F452" w14:textId="77777777" w:rsidR="00EC4B36" w:rsidRDefault="00EC4B36" w:rsidP="00EC4B36">
      <w:r>
        <w:t xml:space="preserve">Tanto para subestaciones como líneas se ha considerado que los elementos mayores no son almacenados. En el primer caso, equipos como transformadores de poder, reactores, condensadores, interruptores, etc. son colocados en el terreno de la subestación, pues es evidente que </w:t>
      </w:r>
      <w:r w:rsidRPr="009261DB">
        <w:t xml:space="preserve">no </w:t>
      </w:r>
      <w:r>
        <w:t xml:space="preserve">pueden ser almacenados dentro de un conteiner. En el segundo caso, las estructuras y conductor son almacenados en las distintas bases que se conforman durante la construcción de la línea, quedando en el sueldo y no en una bodega. En ambos casos, los materiales civiles tampoco son almacenados dentro de un </w:t>
      </w:r>
      <w:r w:rsidRPr="00F86AAB">
        <w:rPr>
          <w:i/>
        </w:rPr>
        <w:t>container</w:t>
      </w:r>
      <w:r>
        <w:t xml:space="preserve">, sino que dejados en el terreno, tal como ocurre en obras civiles realizadas en la vía pública. </w:t>
      </w:r>
    </w:p>
    <w:p w14:paraId="118DB067" w14:textId="77777777" w:rsidR="00EC4B36" w:rsidRDefault="00EC4B36" w:rsidP="00EC4B36">
      <w:r>
        <w:t>Se considera que, tanto para líneas como subestaciones, las bodegas se encuentran en la faena durante todo el periodo de construcción, desde la instalación de la faena propiamente tal hasta la finalización de pruebas previas a la puesta en servicio definitiva. Esto es así pues en un comienzo se necesita almacenar elementos necesarios para fundaciones y canalizaciones (primera etapa de la construcción) y en el final se necesita almacenar elementos tales como conductores de baja tensión para control y protección hasta que todas las pruebas funcionen correctamente.</w:t>
      </w:r>
    </w:p>
    <w:p w14:paraId="03B52541" w14:textId="77777777" w:rsidR="00EC4B36" w:rsidRDefault="00EC4B36" w:rsidP="00EC4B36">
      <w:r>
        <w:t xml:space="preserve">Se estimó la cantidad de </w:t>
      </w:r>
      <w:r w:rsidRPr="0009455F">
        <w:rPr>
          <w:i/>
        </w:rPr>
        <w:t>cont</w:t>
      </w:r>
      <w:r>
        <w:rPr>
          <w:i/>
        </w:rPr>
        <w:t>a</w:t>
      </w:r>
      <w:r w:rsidRPr="0009455F">
        <w:rPr>
          <w:i/>
        </w:rPr>
        <w:t>iners</w:t>
      </w:r>
      <w:r>
        <w:t xml:space="preserve"> necesarios para las líneas de transmisión en función de su largo, tal como lo indican las bases. Además, se estableció la duración del periodo constructivo de ellas según las cartas Gantt desarrolladas para el cálculo de los intereses intercalarios (ver punto 5 del anexo). Se debe destacar que, a mayor largo de una línea de transmisión, se necesitan mayor cantidad de bodegas pues una línea de mayor longitud se construye desde diversos puntos.</w:t>
      </w:r>
    </w:p>
    <w:p w14:paraId="5762ED2D" w14:textId="77777777" w:rsidR="00EC4B36" w:rsidRPr="0009455F" w:rsidRDefault="00EC4B36" w:rsidP="00EC4B36">
      <w:r>
        <w:t xml:space="preserve">La estimación fue realizada comparando el área de cada conteiner con el área necesaria para almacenar distintos elementos en las distintas actividades que compone la construcción de una línea de transmisión o de una subestación. La duración del bodegaje se obtiene como la suma del tiempo de almacenamiento para cada actividad y la cantidad de conteiners para cada obra se </w:t>
      </w:r>
      <w:r>
        <w:lastRenderedPageBreak/>
        <w:t>obtiene como la mayor cantidad de conteiners calculado puesto que se asume que todos ellos se reciben y se entregan de una sola vez. Las actividades y elementos considerados para el bodegaje se observan en las hojas “Bodegaje por actividad LTx” y “Bodegaje por actividad SSEE” del archivo “Base bodegaje .xlsx”</w:t>
      </w:r>
    </w:p>
    <w:p w14:paraId="0931CAE4" w14:textId="77777777" w:rsidR="00EC4B36" w:rsidRPr="00783166" w:rsidRDefault="00EC4B36" w:rsidP="00EC4B36">
      <w:pPr>
        <w:pStyle w:val="Subttulo"/>
      </w:pPr>
      <w:bookmarkStart w:id="110" w:name="_Toc38047811"/>
      <w:bookmarkStart w:id="111" w:name="_Toc39795245"/>
      <w:bookmarkStart w:id="112" w:name="_Toc39797925"/>
      <w:r w:rsidRPr="00783166">
        <w:t xml:space="preserve">Tabla </w:t>
      </w:r>
      <w:fldSimple w:instr=" SEQ Tabla \* ARABIC ">
        <w:r w:rsidR="001F3E2E">
          <w:rPr>
            <w:noProof/>
          </w:rPr>
          <w:t>15</w:t>
        </w:r>
      </w:fldSimple>
      <w:r w:rsidRPr="00783166">
        <w:t xml:space="preserve">: </w:t>
      </w:r>
      <w:r w:rsidRPr="008345A5">
        <w:t>Costo bodega líneas de transmisión</w:t>
      </w:r>
      <w:bookmarkEnd w:id="110"/>
      <w:bookmarkEnd w:id="111"/>
      <w:bookmarkEnd w:id="112"/>
    </w:p>
    <w:tbl>
      <w:tblPr>
        <w:tblW w:w="0" w:type="auto"/>
        <w:jc w:val="center"/>
        <w:tblLayout w:type="fixed"/>
        <w:tblCellMar>
          <w:left w:w="57" w:type="dxa"/>
          <w:right w:w="57" w:type="dxa"/>
        </w:tblCellMar>
        <w:tblLook w:val="04A0" w:firstRow="1" w:lastRow="0" w:firstColumn="1" w:lastColumn="0" w:noHBand="0" w:noVBand="1"/>
      </w:tblPr>
      <w:tblGrid>
        <w:gridCol w:w="2835"/>
        <w:gridCol w:w="1134"/>
        <w:gridCol w:w="2268"/>
        <w:gridCol w:w="1435"/>
      </w:tblGrid>
      <w:tr w:rsidR="00EC4B36" w:rsidRPr="00691CF0" w14:paraId="7E1FE359" w14:textId="77777777" w:rsidTr="006B5A62">
        <w:trPr>
          <w:tblHeader/>
          <w:jc w:val="center"/>
        </w:trPr>
        <w:tc>
          <w:tcPr>
            <w:tcW w:w="2835" w:type="dxa"/>
            <w:tcBorders>
              <w:top w:val="single" w:sz="4" w:space="0" w:color="auto"/>
              <w:left w:val="single" w:sz="4" w:space="0" w:color="auto"/>
              <w:bottom w:val="single" w:sz="4" w:space="0" w:color="auto"/>
              <w:right w:val="single" w:sz="4" w:space="0" w:color="auto"/>
            </w:tcBorders>
            <w:shd w:val="clear" w:color="000000" w:fill="D9D9D9"/>
            <w:vAlign w:val="center"/>
            <w:hideMark/>
          </w:tcPr>
          <w:p w14:paraId="564143C0" w14:textId="77777777" w:rsidR="00EC4B36" w:rsidRPr="00691CF0" w:rsidRDefault="00EC4B36" w:rsidP="006B5A62">
            <w:pPr>
              <w:spacing w:before="40" w:after="40" w:line="240" w:lineRule="auto"/>
              <w:jc w:val="center"/>
              <w:rPr>
                <w:rFonts w:eastAsia="Times New Roman" w:cs="Calibri"/>
                <w:b/>
                <w:bCs/>
                <w:color w:val="000000"/>
                <w:sz w:val="22"/>
                <w:szCs w:val="22"/>
                <w:lang w:eastAsia="es-CL"/>
              </w:rPr>
            </w:pPr>
            <w:r w:rsidRPr="00691CF0">
              <w:rPr>
                <w:rFonts w:eastAsia="Times New Roman" w:cs="Calibri"/>
                <w:b/>
                <w:bCs/>
                <w:color w:val="000000"/>
                <w:sz w:val="22"/>
                <w:szCs w:val="22"/>
                <w:lang w:eastAsia="es-CL"/>
              </w:rPr>
              <w:t>Tipo</w:t>
            </w:r>
          </w:p>
        </w:tc>
        <w:tc>
          <w:tcPr>
            <w:tcW w:w="1134" w:type="dxa"/>
            <w:tcBorders>
              <w:top w:val="single" w:sz="4" w:space="0" w:color="auto"/>
              <w:left w:val="single" w:sz="4" w:space="0" w:color="auto"/>
              <w:bottom w:val="single" w:sz="4" w:space="0" w:color="auto"/>
              <w:right w:val="single" w:sz="4" w:space="0" w:color="auto"/>
            </w:tcBorders>
            <w:shd w:val="clear" w:color="000000" w:fill="D9D9D9"/>
            <w:vAlign w:val="center"/>
            <w:hideMark/>
          </w:tcPr>
          <w:p w14:paraId="20D0FC10" w14:textId="77777777" w:rsidR="00EC4B36" w:rsidRPr="00691CF0" w:rsidRDefault="00EC4B36" w:rsidP="006B5A62">
            <w:pPr>
              <w:spacing w:before="40" w:after="40" w:line="240" w:lineRule="auto"/>
              <w:jc w:val="center"/>
              <w:rPr>
                <w:rFonts w:eastAsia="Times New Roman" w:cs="Calibri"/>
                <w:b/>
                <w:bCs/>
                <w:color w:val="000000"/>
                <w:sz w:val="22"/>
                <w:szCs w:val="22"/>
                <w:lang w:eastAsia="es-CL"/>
              </w:rPr>
            </w:pPr>
            <w:r w:rsidRPr="00691CF0">
              <w:rPr>
                <w:rFonts w:eastAsia="Times New Roman" w:cs="Calibri"/>
                <w:b/>
                <w:bCs/>
                <w:color w:val="000000"/>
                <w:sz w:val="22"/>
                <w:szCs w:val="22"/>
                <w:lang w:eastAsia="es-CL"/>
              </w:rPr>
              <w:t>Cont</w:t>
            </w:r>
            <w:r>
              <w:rPr>
                <w:rFonts w:eastAsia="Times New Roman" w:cs="Calibri"/>
                <w:b/>
                <w:bCs/>
                <w:color w:val="000000"/>
                <w:sz w:val="22"/>
                <w:szCs w:val="22"/>
                <w:lang w:eastAsia="es-CL"/>
              </w:rPr>
              <w:t>a</w:t>
            </w:r>
            <w:r w:rsidRPr="00691CF0">
              <w:rPr>
                <w:rFonts w:eastAsia="Times New Roman" w:cs="Calibri"/>
                <w:b/>
                <w:bCs/>
                <w:color w:val="000000"/>
                <w:sz w:val="22"/>
                <w:szCs w:val="22"/>
                <w:lang w:eastAsia="es-CL"/>
              </w:rPr>
              <w:t xml:space="preserve">iners </w:t>
            </w:r>
          </w:p>
        </w:tc>
        <w:tc>
          <w:tcPr>
            <w:tcW w:w="2268" w:type="dxa"/>
            <w:tcBorders>
              <w:top w:val="single" w:sz="4" w:space="0" w:color="auto"/>
              <w:left w:val="single" w:sz="4" w:space="0" w:color="auto"/>
              <w:bottom w:val="single" w:sz="4" w:space="0" w:color="auto"/>
              <w:right w:val="single" w:sz="4" w:space="0" w:color="auto"/>
            </w:tcBorders>
            <w:shd w:val="clear" w:color="000000" w:fill="D9D9D9"/>
            <w:vAlign w:val="center"/>
            <w:hideMark/>
          </w:tcPr>
          <w:p w14:paraId="0C62A717" w14:textId="77777777" w:rsidR="00EC4B36" w:rsidRPr="00691CF0" w:rsidRDefault="00EC4B36" w:rsidP="006B5A62">
            <w:pPr>
              <w:spacing w:before="40" w:after="40" w:line="240" w:lineRule="auto"/>
              <w:jc w:val="center"/>
              <w:rPr>
                <w:rFonts w:eastAsia="Times New Roman" w:cs="Calibri"/>
                <w:b/>
                <w:bCs/>
                <w:color w:val="000000"/>
                <w:sz w:val="22"/>
                <w:szCs w:val="22"/>
                <w:lang w:eastAsia="es-CL"/>
              </w:rPr>
            </w:pPr>
            <w:r w:rsidRPr="00691CF0">
              <w:rPr>
                <w:rFonts w:eastAsia="Times New Roman" w:cs="Calibri"/>
                <w:b/>
                <w:bCs/>
                <w:color w:val="000000"/>
                <w:sz w:val="22"/>
                <w:szCs w:val="22"/>
                <w:lang w:eastAsia="es-CL"/>
              </w:rPr>
              <w:t xml:space="preserve"> Duración </w:t>
            </w:r>
            <w:r>
              <w:rPr>
                <w:rFonts w:eastAsia="Times New Roman" w:cs="Calibri"/>
                <w:b/>
                <w:bCs/>
                <w:color w:val="000000"/>
                <w:sz w:val="22"/>
                <w:szCs w:val="22"/>
                <w:lang w:eastAsia="es-CL"/>
              </w:rPr>
              <w:t>uso conteiners</w:t>
            </w:r>
            <w:r w:rsidRPr="00691CF0">
              <w:rPr>
                <w:rFonts w:eastAsia="Times New Roman" w:cs="Calibri"/>
                <w:b/>
                <w:bCs/>
                <w:color w:val="000000"/>
                <w:sz w:val="22"/>
                <w:szCs w:val="22"/>
                <w:lang w:eastAsia="es-CL"/>
              </w:rPr>
              <w:t xml:space="preserve"> </w:t>
            </w:r>
          </w:p>
        </w:tc>
        <w:tc>
          <w:tcPr>
            <w:tcW w:w="1435" w:type="dxa"/>
            <w:tcBorders>
              <w:top w:val="single" w:sz="4" w:space="0" w:color="auto"/>
              <w:left w:val="single" w:sz="4" w:space="0" w:color="auto"/>
              <w:bottom w:val="single" w:sz="4" w:space="0" w:color="auto"/>
              <w:right w:val="single" w:sz="4" w:space="0" w:color="auto"/>
            </w:tcBorders>
            <w:shd w:val="clear" w:color="000000" w:fill="D9D9D9"/>
            <w:vAlign w:val="center"/>
            <w:hideMark/>
          </w:tcPr>
          <w:p w14:paraId="3FB0D674" w14:textId="77777777" w:rsidR="00EC4B36" w:rsidRPr="00691CF0" w:rsidRDefault="00EC4B36" w:rsidP="006B5A62">
            <w:pPr>
              <w:spacing w:before="40" w:after="40" w:line="240" w:lineRule="auto"/>
              <w:jc w:val="center"/>
              <w:rPr>
                <w:rFonts w:eastAsia="Times New Roman" w:cs="Calibri"/>
                <w:b/>
                <w:bCs/>
                <w:color w:val="000000"/>
                <w:sz w:val="22"/>
                <w:szCs w:val="22"/>
                <w:lang w:eastAsia="es-CL"/>
              </w:rPr>
            </w:pPr>
            <w:r w:rsidRPr="00691CF0">
              <w:rPr>
                <w:rFonts w:eastAsia="Times New Roman" w:cs="Calibri"/>
                <w:b/>
                <w:bCs/>
                <w:color w:val="000000"/>
                <w:sz w:val="22"/>
                <w:szCs w:val="22"/>
                <w:lang w:eastAsia="es-CL"/>
              </w:rPr>
              <w:t xml:space="preserve"> Costo bodega</w:t>
            </w:r>
            <w:r w:rsidRPr="00691CF0">
              <w:rPr>
                <w:rFonts w:eastAsia="Times New Roman" w:cs="Calibri"/>
                <w:b/>
                <w:bCs/>
                <w:color w:val="000000"/>
                <w:sz w:val="22"/>
                <w:szCs w:val="22"/>
                <w:lang w:eastAsia="es-CL"/>
              </w:rPr>
              <w:br/>
              <w:t xml:space="preserve">USD </w:t>
            </w:r>
          </w:p>
        </w:tc>
      </w:tr>
      <w:tr w:rsidR="00EC4B36" w:rsidRPr="006310DC" w14:paraId="5781C8A1" w14:textId="77777777" w:rsidTr="006B5A62">
        <w:trPr>
          <w:jc w:val="center"/>
        </w:trPr>
        <w:tc>
          <w:tcPr>
            <w:tcW w:w="28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861CAEA" w14:textId="77777777" w:rsidR="00EC4B36" w:rsidRPr="006310DC" w:rsidRDefault="00EC4B36" w:rsidP="006B5A62">
            <w:pPr>
              <w:spacing w:before="40" w:after="40" w:line="240" w:lineRule="auto"/>
              <w:jc w:val="center"/>
              <w:rPr>
                <w:rFonts w:eastAsia="Times New Roman" w:cs="Calibri"/>
                <w:color w:val="000000"/>
                <w:sz w:val="22"/>
                <w:szCs w:val="22"/>
                <w:lang w:eastAsia="es-CL"/>
              </w:rPr>
            </w:pPr>
            <w:r w:rsidRPr="006310DC">
              <w:rPr>
                <w:rFonts w:eastAsia="Times New Roman" w:cs="Calibri"/>
                <w:color w:val="000000"/>
                <w:sz w:val="22"/>
                <w:szCs w:val="22"/>
                <w:lang w:eastAsia="es-CL"/>
              </w:rPr>
              <w:t>Entre 0 y 5 km</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14:paraId="4AB236F8" w14:textId="77777777" w:rsidR="00EC4B36" w:rsidRPr="006310DC" w:rsidRDefault="00EC4B36" w:rsidP="006B5A62">
            <w:pPr>
              <w:spacing w:before="40" w:after="40" w:line="240" w:lineRule="auto"/>
              <w:jc w:val="center"/>
              <w:rPr>
                <w:rFonts w:eastAsia="Times New Roman" w:cs="Calibri"/>
                <w:color w:val="000000"/>
                <w:sz w:val="22"/>
                <w:szCs w:val="22"/>
                <w:lang w:eastAsia="es-CL"/>
              </w:rPr>
            </w:pPr>
            <w:r w:rsidRPr="006310DC">
              <w:rPr>
                <w:rFonts w:eastAsia="Times New Roman" w:cs="Calibri"/>
                <w:color w:val="000000"/>
                <w:sz w:val="22"/>
                <w:szCs w:val="22"/>
                <w:lang w:eastAsia="es-CL"/>
              </w:rPr>
              <w:t>1</w:t>
            </w:r>
          </w:p>
        </w:tc>
        <w:tc>
          <w:tcPr>
            <w:tcW w:w="2268" w:type="dxa"/>
            <w:tcBorders>
              <w:top w:val="single" w:sz="4" w:space="0" w:color="auto"/>
              <w:left w:val="nil"/>
              <w:bottom w:val="single" w:sz="4" w:space="0" w:color="auto"/>
              <w:right w:val="single" w:sz="4" w:space="0" w:color="auto"/>
            </w:tcBorders>
            <w:shd w:val="clear" w:color="auto" w:fill="auto"/>
            <w:noWrap/>
            <w:vAlign w:val="bottom"/>
            <w:hideMark/>
          </w:tcPr>
          <w:p w14:paraId="31F39845" w14:textId="77777777" w:rsidR="00EC4B36" w:rsidRPr="0081645A" w:rsidRDefault="00EC4B36" w:rsidP="006B5A62">
            <w:pPr>
              <w:spacing w:before="40" w:after="40" w:line="240" w:lineRule="auto"/>
              <w:jc w:val="center"/>
              <w:rPr>
                <w:rFonts w:eastAsia="Times New Roman" w:cs="Calibri"/>
                <w:color w:val="000000"/>
                <w:sz w:val="22"/>
                <w:szCs w:val="22"/>
                <w:lang w:eastAsia="es-CL"/>
              </w:rPr>
            </w:pPr>
            <w:r w:rsidRPr="0081645A">
              <w:rPr>
                <w:rFonts w:cs="Calibri"/>
                <w:color w:val="000000"/>
                <w:sz w:val="22"/>
                <w:szCs w:val="22"/>
              </w:rPr>
              <w:t>6</w:t>
            </w:r>
          </w:p>
        </w:tc>
        <w:tc>
          <w:tcPr>
            <w:tcW w:w="1435" w:type="dxa"/>
            <w:tcBorders>
              <w:top w:val="single" w:sz="4" w:space="0" w:color="auto"/>
              <w:left w:val="nil"/>
              <w:bottom w:val="single" w:sz="4" w:space="0" w:color="auto"/>
              <w:right w:val="single" w:sz="4" w:space="0" w:color="auto"/>
            </w:tcBorders>
            <w:shd w:val="clear" w:color="auto" w:fill="auto"/>
            <w:noWrap/>
            <w:vAlign w:val="bottom"/>
            <w:hideMark/>
          </w:tcPr>
          <w:p w14:paraId="6925502D" w14:textId="77777777" w:rsidR="00EC4B36" w:rsidRPr="0081645A" w:rsidRDefault="00EC4B36" w:rsidP="006B5A62">
            <w:pPr>
              <w:spacing w:before="40" w:after="40" w:line="240" w:lineRule="auto"/>
              <w:jc w:val="right"/>
              <w:rPr>
                <w:rFonts w:eastAsia="Times New Roman" w:cs="Calibri"/>
                <w:color w:val="000000"/>
                <w:sz w:val="22"/>
                <w:szCs w:val="22"/>
                <w:lang w:eastAsia="es-CL"/>
              </w:rPr>
            </w:pPr>
            <w:r w:rsidRPr="0081645A">
              <w:rPr>
                <w:rFonts w:cs="Calibri"/>
                <w:color w:val="000000"/>
                <w:sz w:val="22"/>
                <w:szCs w:val="22"/>
              </w:rPr>
              <w:t xml:space="preserve">                1.213 </w:t>
            </w:r>
          </w:p>
        </w:tc>
      </w:tr>
      <w:tr w:rsidR="00EC4B36" w:rsidRPr="006310DC" w14:paraId="0D7F13EF" w14:textId="77777777" w:rsidTr="006B5A62">
        <w:trPr>
          <w:jc w:val="center"/>
        </w:trPr>
        <w:tc>
          <w:tcPr>
            <w:tcW w:w="2835" w:type="dxa"/>
            <w:tcBorders>
              <w:top w:val="nil"/>
              <w:left w:val="single" w:sz="4" w:space="0" w:color="auto"/>
              <w:bottom w:val="single" w:sz="4" w:space="0" w:color="auto"/>
              <w:right w:val="single" w:sz="4" w:space="0" w:color="auto"/>
            </w:tcBorders>
            <w:shd w:val="clear" w:color="auto" w:fill="auto"/>
            <w:noWrap/>
            <w:vAlign w:val="center"/>
            <w:hideMark/>
          </w:tcPr>
          <w:p w14:paraId="28FAB31D" w14:textId="77777777" w:rsidR="00EC4B36" w:rsidRPr="006310DC" w:rsidRDefault="00EC4B36" w:rsidP="006B5A62">
            <w:pPr>
              <w:spacing w:before="40" w:after="40" w:line="240" w:lineRule="auto"/>
              <w:jc w:val="center"/>
              <w:rPr>
                <w:rFonts w:eastAsia="Times New Roman" w:cs="Calibri"/>
                <w:color w:val="000000"/>
                <w:sz w:val="22"/>
                <w:szCs w:val="22"/>
                <w:lang w:eastAsia="es-CL"/>
              </w:rPr>
            </w:pPr>
            <w:r w:rsidRPr="006310DC">
              <w:rPr>
                <w:rFonts w:eastAsia="Times New Roman" w:cs="Calibri"/>
                <w:color w:val="000000"/>
                <w:sz w:val="22"/>
                <w:szCs w:val="22"/>
                <w:lang w:eastAsia="es-CL"/>
              </w:rPr>
              <w:t>Entre 5 y 25 km</w:t>
            </w:r>
          </w:p>
        </w:tc>
        <w:tc>
          <w:tcPr>
            <w:tcW w:w="1134" w:type="dxa"/>
            <w:tcBorders>
              <w:top w:val="nil"/>
              <w:left w:val="nil"/>
              <w:bottom w:val="single" w:sz="4" w:space="0" w:color="auto"/>
              <w:right w:val="single" w:sz="4" w:space="0" w:color="auto"/>
            </w:tcBorders>
            <w:shd w:val="clear" w:color="auto" w:fill="auto"/>
            <w:noWrap/>
            <w:vAlign w:val="center"/>
            <w:hideMark/>
          </w:tcPr>
          <w:p w14:paraId="34B62538" w14:textId="77777777" w:rsidR="00EC4B36" w:rsidRPr="006310DC" w:rsidRDefault="00EC4B36" w:rsidP="006B5A62">
            <w:pPr>
              <w:spacing w:before="40" w:after="40" w:line="240" w:lineRule="auto"/>
              <w:jc w:val="center"/>
              <w:rPr>
                <w:rFonts w:eastAsia="Times New Roman" w:cs="Calibri"/>
                <w:color w:val="000000"/>
                <w:sz w:val="22"/>
                <w:szCs w:val="22"/>
                <w:lang w:eastAsia="es-CL"/>
              </w:rPr>
            </w:pPr>
            <w:r w:rsidRPr="006310DC">
              <w:rPr>
                <w:rFonts w:eastAsia="Times New Roman" w:cs="Calibri"/>
                <w:color w:val="000000"/>
                <w:sz w:val="22"/>
                <w:szCs w:val="22"/>
                <w:lang w:eastAsia="es-CL"/>
              </w:rPr>
              <w:t>4</w:t>
            </w:r>
          </w:p>
        </w:tc>
        <w:tc>
          <w:tcPr>
            <w:tcW w:w="2268" w:type="dxa"/>
            <w:tcBorders>
              <w:top w:val="nil"/>
              <w:left w:val="nil"/>
              <w:bottom w:val="single" w:sz="4" w:space="0" w:color="auto"/>
              <w:right w:val="single" w:sz="4" w:space="0" w:color="auto"/>
            </w:tcBorders>
            <w:shd w:val="clear" w:color="auto" w:fill="auto"/>
            <w:noWrap/>
            <w:vAlign w:val="bottom"/>
            <w:hideMark/>
          </w:tcPr>
          <w:p w14:paraId="4ABEAC56" w14:textId="77777777" w:rsidR="00EC4B36" w:rsidRPr="0081645A" w:rsidRDefault="00EC4B36" w:rsidP="006B5A62">
            <w:pPr>
              <w:spacing w:before="40" w:after="40" w:line="240" w:lineRule="auto"/>
              <w:jc w:val="center"/>
              <w:rPr>
                <w:rFonts w:eastAsia="Times New Roman" w:cs="Calibri"/>
                <w:color w:val="000000"/>
                <w:sz w:val="22"/>
                <w:szCs w:val="22"/>
                <w:lang w:eastAsia="es-CL"/>
              </w:rPr>
            </w:pPr>
            <w:r w:rsidRPr="0081645A">
              <w:rPr>
                <w:rFonts w:cs="Calibri"/>
                <w:color w:val="000000"/>
                <w:sz w:val="22"/>
                <w:szCs w:val="22"/>
              </w:rPr>
              <w:t>11</w:t>
            </w:r>
          </w:p>
        </w:tc>
        <w:tc>
          <w:tcPr>
            <w:tcW w:w="1435" w:type="dxa"/>
            <w:tcBorders>
              <w:top w:val="nil"/>
              <w:left w:val="nil"/>
              <w:bottom w:val="single" w:sz="4" w:space="0" w:color="auto"/>
              <w:right w:val="single" w:sz="4" w:space="0" w:color="auto"/>
            </w:tcBorders>
            <w:shd w:val="clear" w:color="auto" w:fill="auto"/>
            <w:noWrap/>
            <w:vAlign w:val="bottom"/>
            <w:hideMark/>
          </w:tcPr>
          <w:p w14:paraId="0FE634AA" w14:textId="77777777" w:rsidR="00EC4B36" w:rsidRPr="0081645A" w:rsidRDefault="00EC4B36" w:rsidP="006B5A62">
            <w:pPr>
              <w:spacing w:before="40" w:after="40" w:line="240" w:lineRule="auto"/>
              <w:jc w:val="right"/>
              <w:rPr>
                <w:rFonts w:eastAsia="Times New Roman" w:cs="Calibri"/>
                <w:color w:val="000000"/>
                <w:sz w:val="22"/>
                <w:szCs w:val="22"/>
                <w:lang w:eastAsia="es-CL"/>
              </w:rPr>
            </w:pPr>
            <w:r w:rsidRPr="0081645A">
              <w:rPr>
                <w:rFonts w:cs="Calibri"/>
                <w:color w:val="000000"/>
                <w:sz w:val="22"/>
                <w:szCs w:val="22"/>
              </w:rPr>
              <w:t xml:space="preserve">                8.899 </w:t>
            </w:r>
          </w:p>
        </w:tc>
      </w:tr>
      <w:tr w:rsidR="00EC4B36" w:rsidRPr="006310DC" w14:paraId="4DD0622F" w14:textId="77777777" w:rsidTr="006B5A62">
        <w:trPr>
          <w:jc w:val="center"/>
        </w:trPr>
        <w:tc>
          <w:tcPr>
            <w:tcW w:w="2835" w:type="dxa"/>
            <w:tcBorders>
              <w:top w:val="nil"/>
              <w:left w:val="single" w:sz="4" w:space="0" w:color="auto"/>
              <w:bottom w:val="single" w:sz="4" w:space="0" w:color="auto"/>
              <w:right w:val="single" w:sz="4" w:space="0" w:color="auto"/>
            </w:tcBorders>
            <w:shd w:val="clear" w:color="auto" w:fill="auto"/>
            <w:noWrap/>
            <w:vAlign w:val="center"/>
            <w:hideMark/>
          </w:tcPr>
          <w:p w14:paraId="5F2C77D0" w14:textId="77777777" w:rsidR="00EC4B36" w:rsidRPr="006310DC" w:rsidRDefault="00EC4B36" w:rsidP="006B5A62">
            <w:pPr>
              <w:spacing w:before="40" w:after="40" w:line="240" w:lineRule="auto"/>
              <w:jc w:val="center"/>
              <w:rPr>
                <w:rFonts w:eastAsia="Times New Roman" w:cs="Calibri"/>
                <w:color w:val="000000"/>
                <w:sz w:val="22"/>
                <w:szCs w:val="22"/>
                <w:lang w:eastAsia="es-CL"/>
              </w:rPr>
            </w:pPr>
            <w:r w:rsidRPr="006310DC">
              <w:rPr>
                <w:rFonts w:eastAsia="Times New Roman" w:cs="Calibri"/>
                <w:color w:val="000000"/>
                <w:sz w:val="22"/>
                <w:szCs w:val="22"/>
                <w:lang w:eastAsia="es-CL"/>
              </w:rPr>
              <w:t>Entre 25 y 50 km</w:t>
            </w:r>
          </w:p>
        </w:tc>
        <w:tc>
          <w:tcPr>
            <w:tcW w:w="1134" w:type="dxa"/>
            <w:tcBorders>
              <w:top w:val="nil"/>
              <w:left w:val="nil"/>
              <w:bottom w:val="single" w:sz="4" w:space="0" w:color="auto"/>
              <w:right w:val="single" w:sz="4" w:space="0" w:color="auto"/>
            </w:tcBorders>
            <w:shd w:val="clear" w:color="auto" w:fill="auto"/>
            <w:noWrap/>
            <w:vAlign w:val="center"/>
            <w:hideMark/>
          </w:tcPr>
          <w:p w14:paraId="47FD450C" w14:textId="77777777" w:rsidR="00EC4B36" w:rsidRPr="006310DC" w:rsidRDefault="00EC4B36" w:rsidP="006B5A62">
            <w:pPr>
              <w:spacing w:before="40" w:after="40" w:line="240" w:lineRule="auto"/>
              <w:jc w:val="center"/>
              <w:rPr>
                <w:rFonts w:eastAsia="Times New Roman" w:cs="Calibri"/>
                <w:color w:val="000000"/>
                <w:sz w:val="22"/>
                <w:szCs w:val="22"/>
                <w:lang w:eastAsia="es-CL"/>
              </w:rPr>
            </w:pPr>
            <w:r w:rsidRPr="006310DC">
              <w:rPr>
                <w:rFonts w:eastAsia="Times New Roman" w:cs="Calibri"/>
                <w:color w:val="000000"/>
                <w:sz w:val="22"/>
                <w:szCs w:val="22"/>
                <w:lang w:eastAsia="es-CL"/>
              </w:rPr>
              <w:t>6</w:t>
            </w:r>
          </w:p>
        </w:tc>
        <w:tc>
          <w:tcPr>
            <w:tcW w:w="2268" w:type="dxa"/>
            <w:tcBorders>
              <w:top w:val="nil"/>
              <w:left w:val="nil"/>
              <w:bottom w:val="single" w:sz="4" w:space="0" w:color="auto"/>
              <w:right w:val="single" w:sz="4" w:space="0" w:color="auto"/>
            </w:tcBorders>
            <w:shd w:val="clear" w:color="auto" w:fill="auto"/>
            <w:noWrap/>
            <w:vAlign w:val="bottom"/>
            <w:hideMark/>
          </w:tcPr>
          <w:p w14:paraId="5A4EB912" w14:textId="77777777" w:rsidR="00EC4B36" w:rsidRPr="0081645A" w:rsidRDefault="00EC4B36" w:rsidP="006B5A62">
            <w:pPr>
              <w:spacing w:before="40" w:after="40" w:line="240" w:lineRule="auto"/>
              <w:jc w:val="center"/>
              <w:rPr>
                <w:rFonts w:eastAsia="Times New Roman" w:cs="Calibri"/>
                <w:color w:val="000000"/>
                <w:sz w:val="22"/>
                <w:szCs w:val="22"/>
                <w:lang w:eastAsia="es-CL"/>
              </w:rPr>
            </w:pPr>
            <w:r w:rsidRPr="0081645A">
              <w:rPr>
                <w:rFonts w:cs="Calibri"/>
                <w:color w:val="000000"/>
                <w:sz w:val="22"/>
                <w:szCs w:val="22"/>
              </w:rPr>
              <w:t>15</w:t>
            </w:r>
          </w:p>
        </w:tc>
        <w:tc>
          <w:tcPr>
            <w:tcW w:w="1435" w:type="dxa"/>
            <w:tcBorders>
              <w:top w:val="nil"/>
              <w:left w:val="nil"/>
              <w:bottom w:val="single" w:sz="4" w:space="0" w:color="auto"/>
              <w:right w:val="single" w:sz="4" w:space="0" w:color="auto"/>
            </w:tcBorders>
            <w:shd w:val="clear" w:color="auto" w:fill="auto"/>
            <w:noWrap/>
            <w:vAlign w:val="bottom"/>
            <w:hideMark/>
          </w:tcPr>
          <w:p w14:paraId="191ECDF8" w14:textId="77777777" w:rsidR="00EC4B36" w:rsidRPr="0081645A" w:rsidRDefault="00EC4B36" w:rsidP="006B5A62">
            <w:pPr>
              <w:spacing w:before="40" w:after="40" w:line="240" w:lineRule="auto"/>
              <w:jc w:val="right"/>
              <w:rPr>
                <w:rFonts w:eastAsia="Times New Roman" w:cs="Calibri"/>
                <w:color w:val="000000"/>
                <w:sz w:val="22"/>
                <w:szCs w:val="22"/>
                <w:lang w:eastAsia="es-CL"/>
              </w:rPr>
            </w:pPr>
            <w:r w:rsidRPr="0081645A">
              <w:rPr>
                <w:rFonts w:cs="Calibri"/>
                <w:color w:val="000000"/>
                <w:sz w:val="22"/>
                <w:szCs w:val="22"/>
              </w:rPr>
              <w:t xml:space="preserve">             18.202 </w:t>
            </w:r>
          </w:p>
        </w:tc>
      </w:tr>
      <w:tr w:rsidR="00EC4B36" w:rsidRPr="006310DC" w14:paraId="25F8B48A" w14:textId="77777777" w:rsidTr="006B5A62">
        <w:trPr>
          <w:jc w:val="center"/>
        </w:trPr>
        <w:tc>
          <w:tcPr>
            <w:tcW w:w="2835" w:type="dxa"/>
            <w:tcBorders>
              <w:top w:val="nil"/>
              <w:left w:val="single" w:sz="4" w:space="0" w:color="auto"/>
              <w:bottom w:val="single" w:sz="4" w:space="0" w:color="auto"/>
              <w:right w:val="single" w:sz="4" w:space="0" w:color="auto"/>
            </w:tcBorders>
            <w:shd w:val="clear" w:color="auto" w:fill="auto"/>
            <w:noWrap/>
            <w:vAlign w:val="center"/>
            <w:hideMark/>
          </w:tcPr>
          <w:p w14:paraId="4E537CAA" w14:textId="77777777" w:rsidR="00EC4B36" w:rsidRPr="006310DC" w:rsidRDefault="00EC4B36" w:rsidP="006B5A62">
            <w:pPr>
              <w:spacing w:before="40" w:after="40" w:line="240" w:lineRule="auto"/>
              <w:jc w:val="center"/>
              <w:rPr>
                <w:rFonts w:eastAsia="Times New Roman" w:cs="Calibri"/>
                <w:color w:val="000000"/>
                <w:sz w:val="22"/>
                <w:szCs w:val="22"/>
                <w:lang w:eastAsia="es-CL"/>
              </w:rPr>
            </w:pPr>
            <w:r w:rsidRPr="006310DC">
              <w:rPr>
                <w:rFonts w:eastAsia="Times New Roman" w:cs="Calibri"/>
                <w:color w:val="000000"/>
                <w:sz w:val="22"/>
                <w:szCs w:val="22"/>
                <w:lang w:eastAsia="es-CL"/>
              </w:rPr>
              <w:t>Entre 50 km y 100 km</w:t>
            </w:r>
          </w:p>
        </w:tc>
        <w:tc>
          <w:tcPr>
            <w:tcW w:w="1134" w:type="dxa"/>
            <w:tcBorders>
              <w:top w:val="nil"/>
              <w:left w:val="nil"/>
              <w:bottom w:val="single" w:sz="4" w:space="0" w:color="auto"/>
              <w:right w:val="single" w:sz="4" w:space="0" w:color="auto"/>
            </w:tcBorders>
            <w:shd w:val="clear" w:color="auto" w:fill="auto"/>
            <w:noWrap/>
            <w:vAlign w:val="center"/>
            <w:hideMark/>
          </w:tcPr>
          <w:p w14:paraId="73E26C8E" w14:textId="77777777" w:rsidR="00EC4B36" w:rsidRPr="006310DC" w:rsidRDefault="00EC4B36" w:rsidP="006B5A62">
            <w:pPr>
              <w:spacing w:before="40" w:after="40" w:line="240" w:lineRule="auto"/>
              <w:jc w:val="center"/>
              <w:rPr>
                <w:rFonts w:eastAsia="Times New Roman" w:cs="Calibri"/>
                <w:color w:val="000000"/>
                <w:sz w:val="22"/>
                <w:szCs w:val="22"/>
                <w:lang w:eastAsia="es-CL"/>
              </w:rPr>
            </w:pPr>
            <w:r>
              <w:rPr>
                <w:rFonts w:eastAsia="Times New Roman" w:cs="Calibri"/>
                <w:color w:val="000000"/>
                <w:sz w:val="22"/>
                <w:szCs w:val="22"/>
                <w:lang w:eastAsia="es-CL"/>
              </w:rPr>
              <w:t>10</w:t>
            </w:r>
          </w:p>
        </w:tc>
        <w:tc>
          <w:tcPr>
            <w:tcW w:w="2268" w:type="dxa"/>
            <w:tcBorders>
              <w:top w:val="nil"/>
              <w:left w:val="nil"/>
              <w:bottom w:val="single" w:sz="4" w:space="0" w:color="auto"/>
              <w:right w:val="single" w:sz="4" w:space="0" w:color="auto"/>
            </w:tcBorders>
            <w:shd w:val="clear" w:color="auto" w:fill="auto"/>
            <w:noWrap/>
            <w:vAlign w:val="bottom"/>
            <w:hideMark/>
          </w:tcPr>
          <w:p w14:paraId="506B8BE1" w14:textId="77777777" w:rsidR="00EC4B36" w:rsidRPr="0081645A" w:rsidRDefault="00EC4B36" w:rsidP="006B5A62">
            <w:pPr>
              <w:spacing w:before="40" w:after="40" w:line="240" w:lineRule="auto"/>
              <w:jc w:val="center"/>
              <w:rPr>
                <w:rFonts w:eastAsia="Times New Roman" w:cs="Calibri"/>
                <w:color w:val="000000"/>
                <w:sz w:val="22"/>
                <w:szCs w:val="22"/>
                <w:lang w:eastAsia="es-CL"/>
              </w:rPr>
            </w:pPr>
            <w:r w:rsidRPr="0081645A">
              <w:rPr>
                <w:rFonts w:cs="Calibri"/>
                <w:color w:val="000000"/>
                <w:sz w:val="22"/>
                <w:szCs w:val="22"/>
              </w:rPr>
              <w:t>19</w:t>
            </w:r>
          </w:p>
        </w:tc>
        <w:tc>
          <w:tcPr>
            <w:tcW w:w="1435" w:type="dxa"/>
            <w:tcBorders>
              <w:top w:val="nil"/>
              <w:left w:val="nil"/>
              <w:bottom w:val="single" w:sz="4" w:space="0" w:color="auto"/>
              <w:right w:val="single" w:sz="4" w:space="0" w:color="auto"/>
            </w:tcBorders>
            <w:shd w:val="clear" w:color="auto" w:fill="auto"/>
            <w:noWrap/>
            <w:vAlign w:val="bottom"/>
            <w:hideMark/>
          </w:tcPr>
          <w:p w14:paraId="48E2202A" w14:textId="77777777" w:rsidR="00EC4B36" w:rsidRPr="0081645A" w:rsidRDefault="00EC4B36" w:rsidP="006B5A62">
            <w:pPr>
              <w:spacing w:before="40" w:after="40" w:line="240" w:lineRule="auto"/>
              <w:jc w:val="right"/>
              <w:rPr>
                <w:rFonts w:eastAsia="Times New Roman" w:cs="Calibri"/>
                <w:color w:val="000000"/>
                <w:sz w:val="22"/>
                <w:szCs w:val="22"/>
                <w:lang w:eastAsia="es-CL"/>
              </w:rPr>
            </w:pPr>
            <w:r w:rsidRPr="0081645A">
              <w:rPr>
                <w:rFonts w:cs="Calibri"/>
                <w:color w:val="000000"/>
                <w:sz w:val="22"/>
                <w:szCs w:val="22"/>
              </w:rPr>
              <w:t xml:space="preserve">             38.427 </w:t>
            </w:r>
          </w:p>
        </w:tc>
      </w:tr>
      <w:tr w:rsidR="00EC4B36" w:rsidRPr="006310DC" w14:paraId="051F06D4" w14:textId="77777777" w:rsidTr="006B5A62">
        <w:trPr>
          <w:jc w:val="center"/>
        </w:trPr>
        <w:tc>
          <w:tcPr>
            <w:tcW w:w="2835" w:type="dxa"/>
            <w:tcBorders>
              <w:top w:val="nil"/>
              <w:left w:val="single" w:sz="4" w:space="0" w:color="auto"/>
              <w:bottom w:val="single" w:sz="4" w:space="0" w:color="auto"/>
              <w:right w:val="single" w:sz="4" w:space="0" w:color="auto"/>
            </w:tcBorders>
            <w:shd w:val="clear" w:color="auto" w:fill="auto"/>
            <w:noWrap/>
            <w:vAlign w:val="center"/>
            <w:hideMark/>
          </w:tcPr>
          <w:p w14:paraId="5132DE56" w14:textId="77777777" w:rsidR="00EC4B36" w:rsidRPr="006310DC" w:rsidRDefault="00EC4B36" w:rsidP="006B5A62">
            <w:pPr>
              <w:spacing w:before="40" w:after="40" w:line="240" w:lineRule="auto"/>
              <w:jc w:val="center"/>
              <w:rPr>
                <w:rFonts w:eastAsia="Times New Roman" w:cs="Calibri"/>
                <w:color w:val="000000"/>
                <w:sz w:val="22"/>
                <w:szCs w:val="22"/>
                <w:lang w:eastAsia="es-CL"/>
              </w:rPr>
            </w:pPr>
            <w:r w:rsidRPr="006310DC">
              <w:rPr>
                <w:rFonts w:eastAsia="Times New Roman" w:cs="Calibri"/>
                <w:color w:val="000000"/>
                <w:sz w:val="22"/>
                <w:szCs w:val="22"/>
                <w:lang w:eastAsia="es-CL"/>
              </w:rPr>
              <w:t>Entre 100 km y 250 km</w:t>
            </w:r>
          </w:p>
        </w:tc>
        <w:tc>
          <w:tcPr>
            <w:tcW w:w="1134" w:type="dxa"/>
            <w:tcBorders>
              <w:top w:val="nil"/>
              <w:left w:val="nil"/>
              <w:bottom w:val="single" w:sz="4" w:space="0" w:color="auto"/>
              <w:right w:val="single" w:sz="4" w:space="0" w:color="auto"/>
            </w:tcBorders>
            <w:shd w:val="clear" w:color="auto" w:fill="auto"/>
            <w:noWrap/>
            <w:vAlign w:val="center"/>
            <w:hideMark/>
          </w:tcPr>
          <w:p w14:paraId="278858AB" w14:textId="77777777" w:rsidR="00EC4B36" w:rsidRPr="006310DC" w:rsidRDefault="00EC4B36" w:rsidP="006B5A62">
            <w:pPr>
              <w:spacing w:before="40" w:after="40" w:line="240" w:lineRule="auto"/>
              <w:jc w:val="center"/>
              <w:rPr>
                <w:rFonts w:eastAsia="Times New Roman" w:cs="Calibri"/>
                <w:color w:val="000000"/>
                <w:sz w:val="22"/>
                <w:szCs w:val="22"/>
                <w:lang w:eastAsia="es-CL"/>
              </w:rPr>
            </w:pPr>
            <w:r>
              <w:rPr>
                <w:rFonts w:eastAsia="Times New Roman" w:cs="Calibri"/>
                <w:color w:val="000000"/>
                <w:sz w:val="22"/>
                <w:szCs w:val="22"/>
                <w:lang w:eastAsia="es-CL"/>
              </w:rPr>
              <w:t>14</w:t>
            </w:r>
          </w:p>
        </w:tc>
        <w:tc>
          <w:tcPr>
            <w:tcW w:w="2268" w:type="dxa"/>
            <w:tcBorders>
              <w:top w:val="nil"/>
              <w:left w:val="nil"/>
              <w:bottom w:val="single" w:sz="4" w:space="0" w:color="auto"/>
              <w:right w:val="single" w:sz="4" w:space="0" w:color="auto"/>
            </w:tcBorders>
            <w:shd w:val="clear" w:color="auto" w:fill="auto"/>
            <w:noWrap/>
            <w:vAlign w:val="bottom"/>
            <w:hideMark/>
          </w:tcPr>
          <w:p w14:paraId="34BE6047" w14:textId="77777777" w:rsidR="00EC4B36" w:rsidRPr="0081645A" w:rsidRDefault="00EC4B36" w:rsidP="006B5A62">
            <w:pPr>
              <w:spacing w:before="40" w:after="40" w:line="240" w:lineRule="auto"/>
              <w:jc w:val="center"/>
              <w:rPr>
                <w:rFonts w:eastAsia="Times New Roman" w:cs="Calibri"/>
                <w:color w:val="000000"/>
                <w:sz w:val="22"/>
                <w:szCs w:val="22"/>
                <w:lang w:eastAsia="es-CL"/>
              </w:rPr>
            </w:pPr>
            <w:r w:rsidRPr="0081645A">
              <w:rPr>
                <w:rFonts w:cs="Calibri"/>
                <w:color w:val="000000"/>
                <w:sz w:val="22"/>
                <w:szCs w:val="22"/>
              </w:rPr>
              <w:t>26</w:t>
            </w:r>
          </w:p>
        </w:tc>
        <w:tc>
          <w:tcPr>
            <w:tcW w:w="1435" w:type="dxa"/>
            <w:tcBorders>
              <w:top w:val="nil"/>
              <w:left w:val="nil"/>
              <w:bottom w:val="single" w:sz="4" w:space="0" w:color="auto"/>
              <w:right w:val="single" w:sz="4" w:space="0" w:color="auto"/>
            </w:tcBorders>
            <w:shd w:val="clear" w:color="auto" w:fill="auto"/>
            <w:noWrap/>
            <w:vAlign w:val="bottom"/>
            <w:hideMark/>
          </w:tcPr>
          <w:p w14:paraId="06805A90" w14:textId="77777777" w:rsidR="00EC4B36" w:rsidRPr="0081645A" w:rsidRDefault="00EC4B36" w:rsidP="006B5A62">
            <w:pPr>
              <w:spacing w:before="40" w:after="40" w:line="240" w:lineRule="auto"/>
              <w:jc w:val="right"/>
              <w:rPr>
                <w:rFonts w:eastAsia="Times New Roman" w:cs="Calibri"/>
                <w:color w:val="000000"/>
                <w:sz w:val="22"/>
                <w:szCs w:val="22"/>
                <w:lang w:eastAsia="es-CL"/>
              </w:rPr>
            </w:pPr>
            <w:r w:rsidRPr="0081645A">
              <w:rPr>
                <w:rFonts w:cs="Calibri"/>
                <w:color w:val="000000"/>
                <w:sz w:val="22"/>
                <w:szCs w:val="22"/>
              </w:rPr>
              <w:t xml:space="preserve">             73.619 </w:t>
            </w:r>
          </w:p>
        </w:tc>
      </w:tr>
      <w:tr w:rsidR="00EC4B36" w:rsidRPr="006310DC" w14:paraId="214706BC" w14:textId="77777777" w:rsidTr="006B5A62">
        <w:trPr>
          <w:jc w:val="center"/>
        </w:trPr>
        <w:tc>
          <w:tcPr>
            <w:tcW w:w="2835" w:type="dxa"/>
            <w:tcBorders>
              <w:top w:val="nil"/>
              <w:left w:val="single" w:sz="4" w:space="0" w:color="auto"/>
              <w:bottom w:val="single" w:sz="4" w:space="0" w:color="auto"/>
              <w:right w:val="single" w:sz="4" w:space="0" w:color="auto"/>
            </w:tcBorders>
            <w:shd w:val="clear" w:color="auto" w:fill="auto"/>
            <w:noWrap/>
            <w:vAlign w:val="center"/>
            <w:hideMark/>
          </w:tcPr>
          <w:p w14:paraId="1255B58E" w14:textId="77777777" w:rsidR="00EC4B36" w:rsidRPr="006310DC" w:rsidRDefault="00EC4B36" w:rsidP="006B5A62">
            <w:pPr>
              <w:spacing w:before="40" w:after="40" w:line="240" w:lineRule="auto"/>
              <w:jc w:val="center"/>
              <w:rPr>
                <w:rFonts w:eastAsia="Times New Roman" w:cs="Calibri"/>
                <w:color w:val="000000"/>
                <w:sz w:val="22"/>
                <w:szCs w:val="22"/>
                <w:lang w:eastAsia="es-CL"/>
              </w:rPr>
            </w:pPr>
            <w:r w:rsidRPr="006310DC">
              <w:rPr>
                <w:rFonts w:eastAsia="Times New Roman" w:cs="Calibri"/>
                <w:color w:val="000000"/>
                <w:sz w:val="22"/>
                <w:szCs w:val="22"/>
                <w:lang w:eastAsia="es-CL"/>
              </w:rPr>
              <w:t>Mayor a 250 km</w:t>
            </w:r>
          </w:p>
        </w:tc>
        <w:tc>
          <w:tcPr>
            <w:tcW w:w="1134" w:type="dxa"/>
            <w:tcBorders>
              <w:top w:val="nil"/>
              <w:left w:val="nil"/>
              <w:bottom w:val="single" w:sz="4" w:space="0" w:color="auto"/>
              <w:right w:val="single" w:sz="4" w:space="0" w:color="auto"/>
            </w:tcBorders>
            <w:shd w:val="clear" w:color="auto" w:fill="auto"/>
            <w:noWrap/>
            <w:vAlign w:val="center"/>
            <w:hideMark/>
          </w:tcPr>
          <w:p w14:paraId="7D22C773" w14:textId="77777777" w:rsidR="00EC4B36" w:rsidRPr="006310DC" w:rsidRDefault="00EC4B36" w:rsidP="006B5A62">
            <w:pPr>
              <w:spacing w:before="40" w:after="40" w:line="240" w:lineRule="auto"/>
              <w:jc w:val="center"/>
              <w:rPr>
                <w:rFonts w:eastAsia="Times New Roman" w:cs="Calibri"/>
                <w:color w:val="000000"/>
                <w:sz w:val="22"/>
                <w:szCs w:val="22"/>
                <w:lang w:eastAsia="es-CL"/>
              </w:rPr>
            </w:pPr>
            <w:r w:rsidRPr="006310DC">
              <w:rPr>
                <w:rFonts w:eastAsia="Times New Roman" w:cs="Calibri"/>
                <w:color w:val="000000"/>
                <w:sz w:val="22"/>
                <w:szCs w:val="22"/>
                <w:lang w:eastAsia="es-CL"/>
              </w:rPr>
              <w:t>24</w:t>
            </w:r>
          </w:p>
        </w:tc>
        <w:tc>
          <w:tcPr>
            <w:tcW w:w="2268" w:type="dxa"/>
            <w:tcBorders>
              <w:top w:val="nil"/>
              <w:left w:val="nil"/>
              <w:bottom w:val="single" w:sz="4" w:space="0" w:color="auto"/>
              <w:right w:val="single" w:sz="4" w:space="0" w:color="auto"/>
            </w:tcBorders>
            <w:shd w:val="clear" w:color="auto" w:fill="auto"/>
            <w:noWrap/>
            <w:vAlign w:val="bottom"/>
            <w:hideMark/>
          </w:tcPr>
          <w:p w14:paraId="3A4A6FD4" w14:textId="77777777" w:rsidR="00EC4B36" w:rsidRPr="0081645A" w:rsidRDefault="00EC4B36" w:rsidP="006B5A62">
            <w:pPr>
              <w:spacing w:before="40" w:after="40" w:line="240" w:lineRule="auto"/>
              <w:jc w:val="center"/>
              <w:rPr>
                <w:rFonts w:eastAsia="Times New Roman" w:cs="Calibri"/>
                <w:color w:val="000000"/>
                <w:sz w:val="22"/>
                <w:szCs w:val="22"/>
                <w:lang w:eastAsia="es-CL"/>
              </w:rPr>
            </w:pPr>
            <w:r w:rsidRPr="0081645A">
              <w:rPr>
                <w:rFonts w:cs="Calibri"/>
                <w:color w:val="000000"/>
                <w:sz w:val="22"/>
                <w:szCs w:val="22"/>
              </w:rPr>
              <w:t>32</w:t>
            </w:r>
          </w:p>
        </w:tc>
        <w:tc>
          <w:tcPr>
            <w:tcW w:w="1435" w:type="dxa"/>
            <w:tcBorders>
              <w:top w:val="nil"/>
              <w:left w:val="nil"/>
              <w:bottom w:val="single" w:sz="4" w:space="0" w:color="auto"/>
              <w:right w:val="single" w:sz="4" w:space="0" w:color="auto"/>
            </w:tcBorders>
            <w:shd w:val="clear" w:color="auto" w:fill="auto"/>
            <w:noWrap/>
            <w:vAlign w:val="bottom"/>
            <w:hideMark/>
          </w:tcPr>
          <w:p w14:paraId="54B0E4D1" w14:textId="77777777" w:rsidR="00EC4B36" w:rsidRPr="0081645A" w:rsidRDefault="00EC4B36" w:rsidP="006B5A62">
            <w:pPr>
              <w:spacing w:before="40" w:after="40" w:line="240" w:lineRule="auto"/>
              <w:jc w:val="right"/>
              <w:rPr>
                <w:rFonts w:eastAsia="Times New Roman" w:cs="Calibri"/>
                <w:color w:val="000000"/>
                <w:sz w:val="22"/>
                <w:szCs w:val="22"/>
                <w:lang w:eastAsia="es-CL"/>
              </w:rPr>
            </w:pPr>
            <w:r w:rsidRPr="0081645A">
              <w:rPr>
                <w:rFonts w:cs="Calibri"/>
                <w:color w:val="000000"/>
                <w:sz w:val="22"/>
                <w:szCs w:val="22"/>
              </w:rPr>
              <w:t xml:space="preserve">           155.327 </w:t>
            </w:r>
          </w:p>
        </w:tc>
      </w:tr>
    </w:tbl>
    <w:p w14:paraId="3CDA27D9" w14:textId="77777777" w:rsidR="00EC4B36" w:rsidRDefault="00EC4B36" w:rsidP="00EC4B36">
      <w:pPr>
        <w:spacing w:after="0"/>
      </w:pPr>
    </w:p>
    <w:p w14:paraId="18378999" w14:textId="77777777" w:rsidR="00EC4B36" w:rsidRDefault="00EC4B36" w:rsidP="00EC4B36">
      <w:r>
        <w:t>Los resultados para cada tramo de transporte se pueden apreciar en la hoja “Líneas” del archivo “Base bodegaje.xlsx” en el Anexo VI_8, donde el recargo porcentual se ha determinado como el costo eficiente de bodega sobre el costo de materiales de cada tramo de transporte de línea.</w:t>
      </w:r>
    </w:p>
    <w:p w14:paraId="25A67D4A" w14:textId="77777777" w:rsidR="00EC4B36" w:rsidRPr="009261DB" w:rsidRDefault="00EC4B36" w:rsidP="00EC4B36">
      <w:pPr>
        <w:pStyle w:val="Subttulo"/>
      </w:pPr>
      <w:bookmarkStart w:id="113" w:name="_Toc38047812"/>
      <w:bookmarkStart w:id="114" w:name="_Toc39795246"/>
      <w:bookmarkStart w:id="115" w:name="_Toc39797926"/>
      <w:r w:rsidRPr="009261DB">
        <w:t xml:space="preserve">Tabla </w:t>
      </w:r>
      <w:fldSimple w:instr=" SEQ Tabla \* ARABIC ">
        <w:r w:rsidR="001F3E2E">
          <w:rPr>
            <w:noProof/>
          </w:rPr>
          <w:t>16</w:t>
        </w:r>
      </w:fldSimple>
      <w:r w:rsidRPr="009261DB">
        <w:t>: Costo bodega subestaciones</w:t>
      </w:r>
      <w:bookmarkEnd w:id="113"/>
      <w:bookmarkEnd w:id="114"/>
      <w:bookmarkEnd w:id="115"/>
    </w:p>
    <w:tbl>
      <w:tblPr>
        <w:tblW w:w="0" w:type="auto"/>
        <w:jc w:val="center"/>
        <w:tblLayout w:type="fixed"/>
        <w:tblCellMar>
          <w:left w:w="57" w:type="dxa"/>
          <w:right w:w="57" w:type="dxa"/>
        </w:tblCellMar>
        <w:tblLook w:val="04A0" w:firstRow="1" w:lastRow="0" w:firstColumn="1" w:lastColumn="0" w:noHBand="0" w:noVBand="1"/>
      </w:tblPr>
      <w:tblGrid>
        <w:gridCol w:w="1134"/>
        <w:gridCol w:w="1134"/>
        <w:gridCol w:w="2268"/>
        <w:gridCol w:w="2268"/>
      </w:tblGrid>
      <w:tr w:rsidR="00EC4B36" w:rsidRPr="00941E5E" w14:paraId="32A8E3C8" w14:textId="77777777" w:rsidTr="006B5A62">
        <w:trPr>
          <w:tblHeader/>
          <w:jc w:val="center"/>
        </w:trPr>
        <w:tc>
          <w:tcPr>
            <w:tcW w:w="1134" w:type="dxa"/>
            <w:tcBorders>
              <w:top w:val="single" w:sz="4" w:space="0" w:color="auto"/>
              <w:left w:val="single" w:sz="4" w:space="0" w:color="auto"/>
              <w:bottom w:val="nil"/>
              <w:right w:val="single" w:sz="4" w:space="0" w:color="auto"/>
            </w:tcBorders>
            <w:shd w:val="clear" w:color="000000" w:fill="D9D9D9"/>
            <w:vAlign w:val="center"/>
            <w:hideMark/>
          </w:tcPr>
          <w:p w14:paraId="7F213707" w14:textId="77777777" w:rsidR="00EC4B36" w:rsidRPr="00941E5E" w:rsidRDefault="00EC4B36" w:rsidP="006B5A62">
            <w:pPr>
              <w:spacing w:before="40" w:after="40" w:line="240" w:lineRule="auto"/>
              <w:jc w:val="center"/>
              <w:rPr>
                <w:rFonts w:eastAsia="Times New Roman" w:cstheme="minorHAnsi"/>
                <w:b/>
                <w:bCs/>
                <w:color w:val="000000"/>
                <w:sz w:val="22"/>
                <w:szCs w:val="22"/>
                <w:lang w:eastAsia="es-CL"/>
              </w:rPr>
            </w:pPr>
            <w:r w:rsidRPr="00941E5E">
              <w:rPr>
                <w:rFonts w:eastAsia="Times New Roman" w:cstheme="minorHAnsi"/>
                <w:b/>
                <w:bCs/>
                <w:color w:val="000000"/>
                <w:sz w:val="22"/>
                <w:szCs w:val="22"/>
                <w:lang w:eastAsia="es-CL"/>
              </w:rPr>
              <w:t>Tipo SE</w:t>
            </w:r>
          </w:p>
        </w:tc>
        <w:tc>
          <w:tcPr>
            <w:tcW w:w="1134" w:type="dxa"/>
            <w:tcBorders>
              <w:top w:val="single" w:sz="4" w:space="0" w:color="auto"/>
              <w:left w:val="nil"/>
              <w:bottom w:val="nil"/>
              <w:right w:val="single" w:sz="4" w:space="0" w:color="auto"/>
            </w:tcBorders>
            <w:shd w:val="clear" w:color="000000" w:fill="D9D9D9"/>
            <w:vAlign w:val="center"/>
            <w:hideMark/>
          </w:tcPr>
          <w:p w14:paraId="3848FBC2" w14:textId="77777777" w:rsidR="00EC4B36" w:rsidRPr="00941E5E" w:rsidRDefault="00EC4B36" w:rsidP="006B5A62">
            <w:pPr>
              <w:spacing w:before="40" w:after="40" w:line="240" w:lineRule="auto"/>
              <w:jc w:val="center"/>
              <w:rPr>
                <w:rFonts w:eastAsia="Times New Roman" w:cstheme="minorHAnsi"/>
                <w:b/>
                <w:bCs/>
                <w:color w:val="000000"/>
                <w:sz w:val="22"/>
                <w:szCs w:val="22"/>
                <w:lang w:eastAsia="es-CL"/>
              </w:rPr>
            </w:pPr>
            <w:r w:rsidRPr="00941E5E">
              <w:rPr>
                <w:rFonts w:eastAsia="Times New Roman" w:cstheme="minorHAnsi"/>
                <w:b/>
                <w:bCs/>
                <w:color w:val="000000"/>
                <w:sz w:val="22"/>
                <w:szCs w:val="22"/>
                <w:lang w:eastAsia="es-CL"/>
              </w:rPr>
              <w:t xml:space="preserve">Conteiners </w:t>
            </w:r>
          </w:p>
        </w:tc>
        <w:tc>
          <w:tcPr>
            <w:tcW w:w="2268" w:type="dxa"/>
            <w:tcBorders>
              <w:top w:val="single" w:sz="4" w:space="0" w:color="auto"/>
              <w:left w:val="nil"/>
              <w:bottom w:val="nil"/>
              <w:right w:val="single" w:sz="4" w:space="0" w:color="auto"/>
            </w:tcBorders>
            <w:shd w:val="clear" w:color="000000" w:fill="D9D9D9"/>
            <w:vAlign w:val="center"/>
            <w:hideMark/>
          </w:tcPr>
          <w:p w14:paraId="62EF10D3" w14:textId="77777777" w:rsidR="00EC4B36" w:rsidRPr="00941E5E" w:rsidRDefault="00EC4B36" w:rsidP="006B5A62">
            <w:pPr>
              <w:spacing w:before="40" w:after="40" w:line="240" w:lineRule="auto"/>
              <w:jc w:val="center"/>
              <w:rPr>
                <w:rFonts w:eastAsia="Times New Roman" w:cstheme="minorHAnsi"/>
                <w:b/>
                <w:bCs/>
                <w:color w:val="000000"/>
                <w:sz w:val="22"/>
                <w:szCs w:val="22"/>
                <w:lang w:eastAsia="es-CL"/>
              </w:rPr>
            </w:pPr>
            <w:r w:rsidRPr="00941E5E">
              <w:rPr>
                <w:rFonts w:eastAsia="Times New Roman" w:cstheme="minorHAnsi"/>
                <w:b/>
                <w:bCs/>
                <w:color w:val="000000"/>
                <w:sz w:val="22"/>
                <w:szCs w:val="22"/>
                <w:lang w:eastAsia="es-CL"/>
              </w:rPr>
              <w:t xml:space="preserve"> </w:t>
            </w:r>
            <w:r w:rsidRPr="00691CF0">
              <w:rPr>
                <w:rFonts w:eastAsia="Times New Roman" w:cs="Calibri"/>
                <w:b/>
                <w:bCs/>
                <w:color w:val="000000"/>
                <w:sz w:val="22"/>
                <w:szCs w:val="22"/>
                <w:lang w:eastAsia="es-CL"/>
              </w:rPr>
              <w:t xml:space="preserve">Duración </w:t>
            </w:r>
            <w:r>
              <w:rPr>
                <w:rFonts w:eastAsia="Times New Roman" w:cs="Calibri"/>
                <w:b/>
                <w:bCs/>
                <w:color w:val="000000"/>
                <w:sz w:val="22"/>
                <w:szCs w:val="22"/>
                <w:lang w:eastAsia="es-CL"/>
              </w:rPr>
              <w:t>uso conteiners</w:t>
            </w:r>
          </w:p>
        </w:tc>
        <w:tc>
          <w:tcPr>
            <w:tcW w:w="2268" w:type="dxa"/>
            <w:tcBorders>
              <w:top w:val="single" w:sz="4" w:space="0" w:color="auto"/>
              <w:left w:val="nil"/>
              <w:bottom w:val="nil"/>
              <w:right w:val="single" w:sz="4" w:space="0" w:color="auto"/>
            </w:tcBorders>
            <w:shd w:val="clear" w:color="000000" w:fill="D9D9D9"/>
            <w:vAlign w:val="center"/>
            <w:hideMark/>
          </w:tcPr>
          <w:p w14:paraId="08655635" w14:textId="77777777" w:rsidR="00EC4B36" w:rsidRPr="00941E5E" w:rsidRDefault="00EC4B36" w:rsidP="006B5A62">
            <w:pPr>
              <w:spacing w:before="40" w:after="40" w:line="240" w:lineRule="auto"/>
              <w:jc w:val="center"/>
              <w:rPr>
                <w:rFonts w:eastAsia="Times New Roman" w:cstheme="minorHAnsi"/>
                <w:b/>
                <w:bCs/>
                <w:color w:val="000000"/>
                <w:sz w:val="22"/>
                <w:szCs w:val="22"/>
                <w:lang w:eastAsia="es-CL"/>
              </w:rPr>
            </w:pPr>
            <w:r w:rsidRPr="00941E5E">
              <w:rPr>
                <w:rFonts w:eastAsia="Times New Roman" w:cstheme="minorHAnsi"/>
                <w:b/>
                <w:bCs/>
                <w:color w:val="000000"/>
                <w:sz w:val="22"/>
                <w:szCs w:val="22"/>
                <w:lang w:eastAsia="es-CL"/>
              </w:rPr>
              <w:t xml:space="preserve"> Costo bodegaje</w:t>
            </w:r>
            <w:r w:rsidRPr="00941E5E">
              <w:rPr>
                <w:rFonts w:eastAsia="Times New Roman" w:cstheme="minorHAnsi"/>
                <w:b/>
                <w:bCs/>
                <w:color w:val="000000"/>
                <w:sz w:val="22"/>
                <w:szCs w:val="22"/>
                <w:lang w:eastAsia="es-CL"/>
              </w:rPr>
              <w:br/>
              <w:t xml:space="preserve">USD </w:t>
            </w:r>
          </w:p>
        </w:tc>
      </w:tr>
      <w:tr w:rsidR="00EC4B36" w:rsidRPr="00941E5E" w14:paraId="55E8D8D1" w14:textId="77777777" w:rsidTr="006B5A62">
        <w:trPr>
          <w:jc w:val="center"/>
        </w:trPr>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4372FCC" w14:textId="77777777" w:rsidR="00EC4B36" w:rsidRPr="00941E5E" w:rsidRDefault="00EC4B36" w:rsidP="006B5A62">
            <w:pPr>
              <w:spacing w:before="40" w:after="40" w:line="240" w:lineRule="auto"/>
              <w:jc w:val="center"/>
              <w:rPr>
                <w:rFonts w:eastAsia="Times New Roman" w:cs="Calibri"/>
                <w:color w:val="000000"/>
                <w:sz w:val="22"/>
                <w:szCs w:val="22"/>
                <w:lang w:eastAsia="es-CL"/>
              </w:rPr>
            </w:pPr>
            <w:r w:rsidRPr="00941E5E">
              <w:rPr>
                <w:rFonts w:eastAsia="Times New Roman" w:cs="Calibri"/>
                <w:color w:val="000000"/>
                <w:sz w:val="22"/>
                <w:szCs w:val="22"/>
                <w:lang w:eastAsia="es-CL"/>
              </w:rPr>
              <w:t>Tipo 1</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14:paraId="24316B2B" w14:textId="77777777" w:rsidR="00EC4B36" w:rsidRPr="00941E5E" w:rsidRDefault="00EC4B36" w:rsidP="006B5A62">
            <w:pPr>
              <w:spacing w:before="40" w:after="40" w:line="240" w:lineRule="auto"/>
              <w:jc w:val="center"/>
              <w:rPr>
                <w:rFonts w:eastAsia="Times New Roman" w:cs="Calibri"/>
                <w:color w:val="000000"/>
                <w:sz w:val="22"/>
                <w:szCs w:val="22"/>
                <w:lang w:eastAsia="es-CL"/>
              </w:rPr>
            </w:pPr>
            <w:r w:rsidRPr="00941E5E">
              <w:rPr>
                <w:rFonts w:eastAsia="Times New Roman" w:cs="Calibri"/>
                <w:color w:val="000000"/>
                <w:sz w:val="22"/>
                <w:szCs w:val="22"/>
                <w:lang w:eastAsia="es-CL"/>
              </w:rPr>
              <w:t>1</w:t>
            </w:r>
          </w:p>
        </w:tc>
        <w:tc>
          <w:tcPr>
            <w:tcW w:w="2268" w:type="dxa"/>
            <w:tcBorders>
              <w:top w:val="single" w:sz="4" w:space="0" w:color="auto"/>
              <w:left w:val="nil"/>
              <w:bottom w:val="single" w:sz="4" w:space="0" w:color="auto"/>
              <w:right w:val="single" w:sz="4" w:space="0" w:color="auto"/>
            </w:tcBorders>
            <w:shd w:val="clear" w:color="auto" w:fill="auto"/>
            <w:noWrap/>
            <w:vAlign w:val="center"/>
            <w:hideMark/>
          </w:tcPr>
          <w:p w14:paraId="16E92418" w14:textId="77777777" w:rsidR="00EC4B36" w:rsidRPr="00941E5E" w:rsidRDefault="00EC4B36" w:rsidP="006B5A62">
            <w:pPr>
              <w:spacing w:before="40" w:after="40" w:line="240" w:lineRule="auto"/>
              <w:jc w:val="center"/>
              <w:rPr>
                <w:rFonts w:eastAsia="Times New Roman" w:cs="Calibri"/>
                <w:color w:val="000000"/>
                <w:sz w:val="22"/>
                <w:szCs w:val="22"/>
                <w:lang w:eastAsia="es-CL"/>
              </w:rPr>
            </w:pPr>
            <w:r w:rsidRPr="00941E5E">
              <w:rPr>
                <w:rFonts w:eastAsia="Times New Roman" w:cs="Calibri"/>
                <w:color w:val="000000"/>
                <w:sz w:val="22"/>
                <w:szCs w:val="22"/>
                <w:lang w:eastAsia="es-CL"/>
              </w:rPr>
              <w:t>12</w:t>
            </w:r>
          </w:p>
        </w:tc>
        <w:tc>
          <w:tcPr>
            <w:tcW w:w="2268" w:type="dxa"/>
            <w:tcBorders>
              <w:top w:val="single" w:sz="4" w:space="0" w:color="auto"/>
              <w:left w:val="nil"/>
              <w:bottom w:val="single" w:sz="4" w:space="0" w:color="auto"/>
              <w:right w:val="single" w:sz="4" w:space="0" w:color="auto"/>
            </w:tcBorders>
            <w:shd w:val="clear" w:color="auto" w:fill="auto"/>
            <w:noWrap/>
            <w:hideMark/>
          </w:tcPr>
          <w:p w14:paraId="091A6D89" w14:textId="77777777" w:rsidR="00EC4B36" w:rsidRPr="006310DC" w:rsidRDefault="00EC4B36" w:rsidP="006B5A62">
            <w:pPr>
              <w:spacing w:before="40" w:after="40" w:line="240" w:lineRule="auto"/>
              <w:jc w:val="right"/>
              <w:rPr>
                <w:rFonts w:eastAsia="Times New Roman" w:cs="Calibri"/>
                <w:color w:val="000000"/>
                <w:sz w:val="22"/>
                <w:szCs w:val="22"/>
                <w:lang w:eastAsia="es-CL"/>
              </w:rPr>
            </w:pPr>
            <w:r w:rsidRPr="006310DC">
              <w:rPr>
                <w:sz w:val="22"/>
                <w:szCs w:val="22"/>
              </w:rPr>
              <w:t>2.427</w:t>
            </w:r>
          </w:p>
        </w:tc>
      </w:tr>
      <w:tr w:rsidR="00EC4B36" w:rsidRPr="00941E5E" w14:paraId="63F6A89F" w14:textId="77777777" w:rsidTr="006B5A62">
        <w:trPr>
          <w:jc w:val="center"/>
        </w:trPr>
        <w:tc>
          <w:tcPr>
            <w:tcW w:w="1134" w:type="dxa"/>
            <w:tcBorders>
              <w:top w:val="nil"/>
              <w:left w:val="single" w:sz="4" w:space="0" w:color="auto"/>
              <w:bottom w:val="single" w:sz="4" w:space="0" w:color="auto"/>
              <w:right w:val="single" w:sz="4" w:space="0" w:color="auto"/>
            </w:tcBorders>
            <w:shd w:val="clear" w:color="auto" w:fill="auto"/>
            <w:noWrap/>
            <w:vAlign w:val="center"/>
            <w:hideMark/>
          </w:tcPr>
          <w:p w14:paraId="60D29EAB" w14:textId="77777777" w:rsidR="00EC4B36" w:rsidRPr="00941E5E" w:rsidRDefault="00EC4B36" w:rsidP="006B5A62">
            <w:pPr>
              <w:spacing w:before="40" w:after="40" w:line="240" w:lineRule="auto"/>
              <w:jc w:val="center"/>
              <w:rPr>
                <w:rFonts w:eastAsia="Times New Roman" w:cs="Calibri"/>
                <w:color w:val="000000"/>
                <w:sz w:val="22"/>
                <w:szCs w:val="22"/>
                <w:lang w:eastAsia="es-CL"/>
              </w:rPr>
            </w:pPr>
            <w:r w:rsidRPr="00941E5E">
              <w:rPr>
                <w:rFonts w:eastAsia="Times New Roman" w:cs="Calibri"/>
                <w:color w:val="000000"/>
                <w:sz w:val="22"/>
                <w:szCs w:val="22"/>
                <w:lang w:eastAsia="es-CL"/>
              </w:rPr>
              <w:t>Tipo 2</w:t>
            </w:r>
          </w:p>
        </w:tc>
        <w:tc>
          <w:tcPr>
            <w:tcW w:w="1134" w:type="dxa"/>
            <w:tcBorders>
              <w:top w:val="nil"/>
              <w:left w:val="nil"/>
              <w:bottom w:val="single" w:sz="4" w:space="0" w:color="auto"/>
              <w:right w:val="single" w:sz="4" w:space="0" w:color="auto"/>
            </w:tcBorders>
            <w:shd w:val="clear" w:color="auto" w:fill="auto"/>
            <w:noWrap/>
            <w:vAlign w:val="center"/>
            <w:hideMark/>
          </w:tcPr>
          <w:p w14:paraId="0B1DF0AC" w14:textId="77777777" w:rsidR="00EC4B36" w:rsidRPr="00941E5E" w:rsidRDefault="00EC4B36" w:rsidP="006B5A62">
            <w:pPr>
              <w:spacing w:before="40" w:after="40" w:line="240" w:lineRule="auto"/>
              <w:jc w:val="center"/>
              <w:rPr>
                <w:rFonts w:eastAsia="Times New Roman" w:cs="Calibri"/>
                <w:color w:val="000000"/>
                <w:sz w:val="22"/>
                <w:szCs w:val="22"/>
                <w:lang w:eastAsia="es-CL"/>
              </w:rPr>
            </w:pPr>
            <w:r w:rsidRPr="00941E5E">
              <w:rPr>
                <w:rFonts w:eastAsia="Times New Roman" w:cs="Calibri"/>
                <w:color w:val="000000"/>
                <w:sz w:val="22"/>
                <w:szCs w:val="22"/>
                <w:lang w:eastAsia="es-CL"/>
              </w:rPr>
              <w:t>2</w:t>
            </w:r>
          </w:p>
        </w:tc>
        <w:tc>
          <w:tcPr>
            <w:tcW w:w="2268" w:type="dxa"/>
            <w:tcBorders>
              <w:top w:val="nil"/>
              <w:left w:val="nil"/>
              <w:bottom w:val="single" w:sz="4" w:space="0" w:color="auto"/>
              <w:right w:val="single" w:sz="4" w:space="0" w:color="auto"/>
            </w:tcBorders>
            <w:shd w:val="clear" w:color="auto" w:fill="auto"/>
            <w:noWrap/>
            <w:vAlign w:val="center"/>
            <w:hideMark/>
          </w:tcPr>
          <w:p w14:paraId="16A6B534" w14:textId="77777777" w:rsidR="00EC4B36" w:rsidRPr="00941E5E" w:rsidRDefault="00EC4B36" w:rsidP="006B5A62">
            <w:pPr>
              <w:spacing w:before="40" w:after="40" w:line="240" w:lineRule="auto"/>
              <w:jc w:val="center"/>
              <w:rPr>
                <w:rFonts w:eastAsia="Times New Roman" w:cs="Calibri"/>
                <w:color w:val="000000"/>
                <w:sz w:val="22"/>
                <w:szCs w:val="22"/>
                <w:lang w:eastAsia="es-CL"/>
              </w:rPr>
            </w:pPr>
            <w:r w:rsidRPr="00941E5E">
              <w:rPr>
                <w:rFonts w:eastAsia="Times New Roman" w:cs="Calibri"/>
                <w:color w:val="000000"/>
                <w:sz w:val="22"/>
                <w:szCs w:val="22"/>
                <w:lang w:eastAsia="es-CL"/>
              </w:rPr>
              <w:t>18</w:t>
            </w:r>
          </w:p>
        </w:tc>
        <w:tc>
          <w:tcPr>
            <w:tcW w:w="2268" w:type="dxa"/>
            <w:tcBorders>
              <w:top w:val="nil"/>
              <w:left w:val="nil"/>
              <w:bottom w:val="single" w:sz="4" w:space="0" w:color="auto"/>
              <w:right w:val="single" w:sz="4" w:space="0" w:color="auto"/>
            </w:tcBorders>
            <w:shd w:val="clear" w:color="auto" w:fill="auto"/>
            <w:noWrap/>
            <w:hideMark/>
          </w:tcPr>
          <w:p w14:paraId="148240A5" w14:textId="77777777" w:rsidR="00EC4B36" w:rsidRPr="006310DC" w:rsidRDefault="00EC4B36" w:rsidP="006B5A62">
            <w:pPr>
              <w:spacing w:before="40" w:after="40" w:line="240" w:lineRule="auto"/>
              <w:jc w:val="right"/>
              <w:rPr>
                <w:rFonts w:eastAsia="Times New Roman" w:cs="Calibri"/>
                <w:color w:val="000000"/>
                <w:sz w:val="22"/>
                <w:szCs w:val="22"/>
                <w:lang w:eastAsia="es-CL"/>
              </w:rPr>
            </w:pPr>
            <w:r w:rsidRPr="006310DC">
              <w:rPr>
                <w:sz w:val="22"/>
                <w:szCs w:val="22"/>
              </w:rPr>
              <w:t>7.281</w:t>
            </w:r>
          </w:p>
        </w:tc>
      </w:tr>
      <w:tr w:rsidR="00EC4B36" w:rsidRPr="00941E5E" w14:paraId="003E5B0E" w14:textId="77777777" w:rsidTr="006B5A62">
        <w:trPr>
          <w:jc w:val="center"/>
        </w:trPr>
        <w:tc>
          <w:tcPr>
            <w:tcW w:w="1134" w:type="dxa"/>
            <w:tcBorders>
              <w:top w:val="nil"/>
              <w:left w:val="single" w:sz="4" w:space="0" w:color="auto"/>
              <w:bottom w:val="single" w:sz="4" w:space="0" w:color="auto"/>
              <w:right w:val="single" w:sz="4" w:space="0" w:color="auto"/>
            </w:tcBorders>
            <w:shd w:val="clear" w:color="auto" w:fill="auto"/>
            <w:noWrap/>
            <w:vAlign w:val="center"/>
            <w:hideMark/>
          </w:tcPr>
          <w:p w14:paraId="08AFBBD3" w14:textId="77777777" w:rsidR="00EC4B36" w:rsidRPr="00941E5E" w:rsidRDefault="00EC4B36" w:rsidP="006B5A62">
            <w:pPr>
              <w:spacing w:before="40" w:after="40" w:line="240" w:lineRule="auto"/>
              <w:jc w:val="center"/>
              <w:rPr>
                <w:rFonts w:eastAsia="Times New Roman" w:cs="Calibri"/>
                <w:color w:val="000000"/>
                <w:sz w:val="22"/>
                <w:szCs w:val="22"/>
                <w:lang w:eastAsia="es-CL"/>
              </w:rPr>
            </w:pPr>
            <w:r w:rsidRPr="00941E5E">
              <w:rPr>
                <w:rFonts w:eastAsia="Times New Roman" w:cs="Calibri"/>
                <w:color w:val="000000"/>
                <w:sz w:val="22"/>
                <w:szCs w:val="22"/>
                <w:lang w:eastAsia="es-CL"/>
              </w:rPr>
              <w:t>Tipo 3</w:t>
            </w:r>
          </w:p>
        </w:tc>
        <w:tc>
          <w:tcPr>
            <w:tcW w:w="1134" w:type="dxa"/>
            <w:tcBorders>
              <w:top w:val="nil"/>
              <w:left w:val="nil"/>
              <w:bottom w:val="single" w:sz="4" w:space="0" w:color="auto"/>
              <w:right w:val="single" w:sz="4" w:space="0" w:color="auto"/>
            </w:tcBorders>
            <w:shd w:val="clear" w:color="auto" w:fill="auto"/>
            <w:noWrap/>
            <w:vAlign w:val="center"/>
            <w:hideMark/>
          </w:tcPr>
          <w:p w14:paraId="58C53BE2" w14:textId="77777777" w:rsidR="00EC4B36" w:rsidRPr="00941E5E" w:rsidRDefault="00EC4B36" w:rsidP="006B5A62">
            <w:pPr>
              <w:spacing w:before="40" w:after="40" w:line="240" w:lineRule="auto"/>
              <w:jc w:val="center"/>
              <w:rPr>
                <w:rFonts w:eastAsia="Times New Roman" w:cs="Calibri"/>
                <w:color w:val="000000"/>
                <w:sz w:val="22"/>
                <w:szCs w:val="22"/>
                <w:lang w:eastAsia="es-CL"/>
              </w:rPr>
            </w:pPr>
            <w:r w:rsidRPr="00941E5E">
              <w:rPr>
                <w:rFonts w:eastAsia="Times New Roman" w:cs="Calibri"/>
                <w:color w:val="000000"/>
                <w:sz w:val="22"/>
                <w:szCs w:val="22"/>
                <w:lang w:eastAsia="es-CL"/>
              </w:rPr>
              <w:t>4</w:t>
            </w:r>
          </w:p>
        </w:tc>
        <w:tc>
          <w:tcPr>
            <w:tcW w:w="2268" w:type="dxa"/>
            <w:tcBorders>
              <w:top w:val="nil"/>
              <w:left w:val="nil"/>
              <w:bottom w:val="single" w:sz="4" w:space="0" w:color="auto"/>
              <w:right w:val="single" w:sz="4" w:space="0" w:color="auto"/>
            </w:tcBorders>
            <w:shd w:val="clear" w:color="auto" w:fill="auto"/>
            <w:noWrap/>
            <w:vAlign w:val="center"/>
            <w:hideMark/>
          </w:tcPr>
          <w:p w14:paraId="219729B7" w14:textId="77777777" w:rsidR="00EC4B36" w:rsidRPr="00941E5E" w:rsidRDefault="00EC4B36" w:rsidP="006B5A62">
            <w:pPr>
              <w:spacing w:before="40" w:after="40" w:line="240" w:lineRule="auto"/>
              <w:jc w:val="center"/>
              <w:rPr>
                <w:rFonts w:eastAsia="Times New Roman" w:cs="Calibri"/>
                <w:color w:val="000000"/>
                <w:sz w:val="22"/>
                <w:szCs w:val="22"/>
                <w:lang w:eastAsia="es-CL"/>
              </w:rPr>
            </w:pPr>
            <w:r w:rsidRPr="00941E5E">
              <w:rPr>
                <w:rFonts w:eastAsia="Times New Roman" w:cs="Calibri"/>
                <w:color w:val="000000"/>
                <w:sz w:val="22"/>
                <w:szCs w:val="22"/>
                <w:lang w:eastAsia="es-CL"/>
              </w:rPr>
              <w:t>24</w:t>
            </w:r>
          </w:p>
        </w:tc>
        <w:tc>
          <w:tcPr>
            <w:tcW w:w="2268" w:type="dxa"/>
            <w:tcBorders>
              <w:top w:val="nil"/>
              <w:left w:val="nil"/>
              <w:bottom w:val="single" w:sz="4" w:space="0" w:color="auto"/>
              <w:right w:val="single" w:sz="4" w:space="0" w:color="auto"/>
            </w:tcBorders>
            <w:shd w:val="clear" w:color="auto" w:fill="auto"/>
            <w:noWrap/>
            <w:hideMark/>
          </w:tcPr>
          <w:p w14:paraId="3F281870" w14:textId="77777777" w:rsidR="00EC4B36" w:rsidRPr="006310DC" w:rsidRDefault="00EC4B36" w:rsidP="006B5A62">
            <w:pPr>
              <w:spacing w:before="40" w:after="40" w:line="240" w:lineRule="auto"/>
              <w:jc w:val="right"/>
              <w:rPr>
                <w:rFonts w:eastAsia="Times New Roman" w:cs="Calibri"/>
                <w:color w:val="000000"/>
                <w:sz w:val="22"/>
                <w:szCs w:val="22"/>
                <w:lang w:eastAsia="es-CL"/>
              </w:rPr>
            </w:pPr>
            <w:r w:rsidRPr="006310DC">
              <w:rPr>
                <w:sz w:val="22"/>
                <w:szCs w:val="22"/>
              </w:rPr>
              <w:t>19.416</w:t>
            </w:r>
          </w:p>
        </w:tc>
      </w:tr>
      <w:tr w:rsidR="00EC4B36" w:rsidRPr="00941E5E" w14:paraId="5FEE2756" w14:textId="77777777" w:rsidTr="006B5A62">
        <w:trPr>
          <w:jc w:val="center"/>
        </w:trPr>
        <w:tc>
          <w:tcPr>
            <w:tcW w:w="1134" w:type="dxa"/>
            <w:tcBorders>
              <w:top w:val="nil"/>
              <w:left w:val="single" w:sz="4" w:space="0" w:color="auto"/>
              <w:bottom w:val="single" w:sz="4" w:space="0" w:color="auto"/>
              <w:right w:val="single" w:sz="4" w:space="0" w:color="auto"/>
            </w:tcBorders>
            <w:shd w:val="clear" w:color="auto" w:fill="auto"/>
            <w:noWrap/>
            <w:vAlign w:val="center"/>
            <w:hideMark/>
          </w:tcPr>
          <w:p w14:paraId="7337DDCF" w14:textId="77777777" w:rsidR="00EC4B36" w:rsidRPr="00941E5E" w:rsidRDefault="00EC4B36" w:rsidP="006B5A62">
            <w:pPr>
              <w:spacing w:before="40" w:after="40" w:line="240" w:lineRule="auto"/>
              <w:jc w:val="center"/>
              <w:rPr>
                <w:rFonts w:eastAsia="Times New Roman" w:cs="Calibri"/>
                <w:color w:val="000000"/>
                <w:sz w:val="22"/>
                <w:szCs w:val="22"/>
                <w:lang w:eastAsia="es-CL"/>
              </w:rPr>
            </w:pPr>
            <w:r w:rsidRPr="00941E5E">
              <w:rPr>
                <w:rFonts w:eastAsia="Times New Roman" w:cs="Calibri"/>
                <w:color w:val="000000"/>
                <w:sz w:val="22"/>
                <w:szCs w:val="22"/>
                <w:lang w:eastAsia="es-CL"/>
              </w:rPr>
              <w:t>Tipo 4</w:t>
            </w:r>
          </w:p>
        </w:tc>
        <w:tc>
          <w:tcPr>
            <w:tcW w:w="1134" w:type="dxa"/>
            <w:tcBorders>
              <w:top w:val="nil"/>
              <w:left w:val="nil"/>
              <w:bottom w:val="single" w:sz="4" w:space="0" w:color="auto"/>
              <w:right w:val="single" w:sz="4" w:space="0" w:color="auto"/>
            </w:tcBorders>
            <w:shd w:val="clear" w:color="auto" w:fill="auto"/>
            <w:noWrap/>
            <w:vAlign w:val="center"/>
            <w:hideMark/>
          </w:tcPr>
          <w:p w14:paraId="4145311B" w14:textId="77777777" w:rsidR="00EC4B36" w:rsidRPr="00941E5E" w:rsidRDefault="00EC4B36" w:rsidP="006B5A62">
            <w:pPr>
              <w:spacing w:before="40" w:after="40" w:line="240" w:lineRule="auto"/>
              <w:jc w:val="center"/>
              <w:rPr>
                <w:rFonts w:eastAsia="Times New Roman" w:cs="Calibri"/>
                <w:color w:val="000000"/>
                <w:sz w:val="22"/>
                <w:szCs w:val="22"/>
                <w:lang w:eastAsia="es-CL"/>
              </w:rPr>
            </w:pPr>
            <w:r w:rsidRPr="00941E5E">
              <w:rPr>
                <w:rFonts w:eastAsia="Times New Roman" w:cs="Calibri"/>
                <w:color w:val="000000"/>
                <w:sz w:val="22"/>
                <w:szCs w:val="22"/>
                <w:lang w:eastAsia="es-CL"/>
              </w:rPr>
              <w:t>6</w:t>
            </w:r>
          </w:p>
        </w:tc>
        <w:tc>
          <w:tcPr>
            <w:tcW w:w="2268" w:type="dxa"/>
            <w:tcBorders>
              <w:top w:val="nil"/>
              <w:left w:val="nil"/>
              <w:bottom w:val="single" w:sz="4" w:space="0" w:color="auto"/>
              <w:right w:val="single" w:sz="4" w:space="0" w:color="auto"/>
            </w:tcBorders>
            <w:shd w:val="clear" w:color="auto" w:fill="auto"/>
            <w:noWrap/>
            <w:vAlign w:val="center"/>
            <w:hideMark/>
          </w:tcPr>
          <w:p w14:paraId="1679B80C" w14:textId="77777777" w:rsidR="00EC4B36" w:rsidRPr="00941E5E" w:rsidRDefault="00EC4B36" w:rsidP="006B5A62">
            <w:pPr>
              <w:spacing w:before="40" w:after="40" w:line="240" w:lineRule="auto"/>
              <w:jc w:val="center"/>
              <w:rPr>
                <w:rFonts w:eastAsia="Times New Roman" w:cs="Calibri"/>
                <w:color w:val="000000"/>
                <w:sz w:val="22"/>
                <w:szCs w:val="22"/>
                <w:lang w:eastAsia="es-CL"/>
              </w:rPr>
            </w:pPr>
            <w:r w:rsidRPr="00941E5E">
              <w:rPr>
                <w:rFonts w:eastAsia="Times New Roman" w:cs="Calibri"/>
                <w:color w:val="000000"/>
                <w:sz w:val="22"/>
                <w:szCs w:val="22"/>
                <w:lang w:eastAsia="es-CL"/>
              </w:rPr>
              <w:t>30</w:t>
            </w:r>
          </w:p>
        </w:tc>
        <w:tc>
          <w:tcPr>
            <w:tcW w:w="2268" w:type="dxa"/>
            <w:tcBorders>
              <w:top w:val="nil"/>
              <w:left w:val="nil"/>
              <w:bottom w:val="single" w:sz="4" w:space="0" w:color="auto"/>
              <w:right w:val="single" w:sz="4" w:space="0" w:color="auto"/>
            </w:tcBorders>
            <w:shd w:val="clear" w:color="auto" w:fill="auto"/>
            <w:noWrap/>
            <w:hideMark/>
          </w:tcPr>
          <w:p w14:paraId="569652AA" w14:textId="77777777" w:rsidR="00EC4B36" w:rsidRPr="006310DC" w:rsidRDefault="00EC4B36" w:rsidP="006B5A62">
            <w:pPr>
              <w:spacing w:before="40" w:after="40" w:line="240" w:lineRule="auto"/>
              <w:jc w:val="right"/>
              <w:rPr>
                <w:rFonts w:eastAsia="Times New Roman" w:cs="Calibri"/>
                <w:color w:val="000000"/>
                <w:sz w:val="22"/>
                <w:szCs w:val="22"/>
                <w:lang w:eastAsia="es-CL"/>
              </w:rPr>
            </w:pPr>
            <w:r w:rsidRPr="006310DC">
              <w:rPr>
                <w:sz w:val="22"/>
                <w:szCs w:val="22"/>
              </w:rPr>
              <w:t>36.405</w:t>
            </w:r>
          </w:p>
        </w:tc>
      </w:tr>
    </w:tbl>
    <w:p w14:paraId="4E67F771" w14:textId="77777777" w:rsidR="00EC4B36" w:rsidRPr="0073766F" w:rsidRDefault="00EC4B36" w:rsidP="00EC4B36">
      <w:pPr>
        <w:spacing w:after="120"/>
        <w:jc w:val="center"/>
        <w:rPr>
          <w:b/>
          <w:bCs/>
          <w:i/>
          <w:iCs/>
          <w:sz w:val="20"/>
          <w:szCs w:val="20"/>
        </w:rPr>
      </w:pPr>
    </w:p>
    <w:p w14:paraId="058C84CB" w14:textId="77777777" w:rsidR="00EC4B36" w:rsidRPr="002A4D63" w:rsidRDefault="00EC4B36" w:rsidP="00EC4B36">
      <w:pPr>
        <w:spacing w:after="120"/>
        <w:rPr>
          <w:b/>
          <w:bCs/>
          <w:sz w:val="20"/>
          <w:szCs w:val="20"/>
        </w:rPr>
      </w:pPr>
      <w:r w:rsidRPr="002A4D63">
        <w:t>Finalmente, el recargo porcentual se ha determinado como el costo eficiente de bodega sobre el costo de materiales obtenido desde la base de datos para cada una de las subestaciones y líneas de transmisión consideradas en este estudio.</w:t>
      </w:r>
    </w:p>
    <w:p w14:paraId="7ACF11F2" w14:textId="77777777" w:rsidR="00EC4B36" w:rsidRDefault="00EC4B36" w:rsidP="00EC4B36">
      <w:r>
        <w:t xml:space="preserve">Los resultados para cada subestación se pueden apreciar en la hoja “SSEE” del archivo “Base bodegaje.xlsx” donde el recargo porcentual se ha determinado como el costo eficiente de bodega sobre el costo de materiales de cada subestación. El costo de materiales se obtiene a través de las </w:t>
      </w:r>
      <w:r w:rsidRPr="00E61C4E">
        <w:rPr>
          <w:i/>
        </w:rPr>
        <w:t xml:space="preserve">querys </w:t>
      </w:r>
      <w:r>
        <w:t>“</w:t>
      </w:r>
      <w:r w:rsidRPr="00E61C4E">
        <w:t>TramoSubestacion CostoMateriales.sql</w:t>
      </w:r>
      <w:r>
        <w:t>” y “</w:t>
      </w:r>
      <w:r w:rsidRPr="00E61C4E">
        <w:t>TramoTransporte CostoMateriales.sql</w:t>
      </w:r>
      <w:r>
        <w:t>”.</w:t>
      </w:r>
    </w:p>
    <w:p w14:paraId="74F06593" w14:textId="77777777" w:rsidR="00EC4B36" w:rsidRDefault="00EC4B36" w:rsidP="00EC4B36">
      <w:pPr>
        <w:pStyle w:val="Ttulo4"/>
        <w:keepNext/>
      </w:pPr>
      <w:bookmarkStart w:id="116" w:name="_Toc38048423"/>
      <w:bookmarkStart w:id="117" w:name="_Toc39795092"/>
      <w:bookmarkStart w:id="118" w:name="_Toc39797772"/>
      <w:r>
        <w:lastRenderedPageBreak/>
        <w:t>Recargo por Ingeniería</w:t>
      </w:r>
      <w:bookmarkEnd w:id="116"/>
      <w:bookmarkEnd w:id="117"/>
      <w:bookmarkEnd w:id="118"/>
    </w:p>
    <w:p w14:paraId="4575B190" w14:textId="77777777" w:rsidR="00EC4B36" w:rsidRDefault="00EC4B36" w:rsidP="00EC4B36">
      <w:r>
        <w:t>El costo de ingeniería corresponde a todo aquel trabajo relacionado con los diversos estudios, elaboración de planos, memorias de cálculo, informes, etc. como así también la revisión de cada uno de ellos, entendiendo que actualmente toda la ingeniería es externalizada y las empresas propietarias deben contratar la revisión de ella como contraparte.</w:t>
      </w:r>
    </w:p>
    <w:p w14:paraId="4F29B036" w14:textId="77777777" w:rsidR="00EC4B36" w:rsidRDefault="00EC4B36" w:rsidP="00EC4B36">
      <w:r>
        <w:t xml:space="preserve">Para calcular el costo, se determinó la ingeniería para líneas de trasmisión y para subestaciones, con la naturaleza de los estudios a realizar en cada caso y el </w:t>
      </w:r>
      <w:r w:rsidRPr="00C16D41">
        <w:t>detalle</w:t>
      </w:r>
      <w:r>
        <w:t xml:space="preserve"> </w:t>
      </w:r>
      <w:r w:rsidRPr="00C16D41">
        <w:t>para cada una. En todas ellas se estableció el siguiente personal, definido en el estudio de remuneraciones PWC</w:t>
      </w:r>
      <w:r>
        <w:t xml:space="preserve"> que se describe en el punto 6.2.5.2 de este informe</w:t>
      </w:r>
      <w:r w:rsidRPr="00C16D41">
        <w:t xml:space="preserve">, que trabaja en los estudios de ingeniería: jefe de proyecto (código 09.01.003), jefe de especialidad eléctrica (código 09.04.003), jefe de especialidad civil (código 09.04.003), ingenieros especialistas (código 09.04.006), proyectistas (código 07.02.006), dibujantes (código 09.04.106) y administrativos (código 05.16.011). </w:t>
      </w:r>
      <w:r>
        <w:t>El costo de e</w:t>
      </w:r>
      <w:r w:rsidRPr="00C16D41">
        <w:t xml:space="preserve">ste personal, para referencia, se encuentran en la hoja “Renta Total” del archivo “2.- Estudio de Compensaciones_Resumen.xlsx” </w:t>
      </w:r>
      <w:r>
        <w:t xml:space="preserve">el que se halla en la carpeta </w:t>
      </w:r>
      <w:r w:rsidRPr="003D5E6E">
        <w:t xml:space="preserve">Anexos COMA\Anexo COMA_3 Modelo_rev1\EC\Datos </w:t>
      </w:r>
      <w:r>
        <w:t xml:space="preserve"> </w:t>
      </w:r>
      <w:r w:rsidRPr="00C16D41">
        <w:t>y en cada hoja de cálculo de costo de actividades de ingeniería del archivo “Base Ingeniería.xlsx</w:t>
      </w:r>
      <w:r>
        <w:t xml:space="preserve">, </w:t>
      </w:r>
      <w:r w:rsidRPr="00C16D41">
        <w:t xml:space="preserve">para evitar confusión, </w:t>
      </w:r>
      <w:r>
        <w:t>las cuales son</w:t>
      </w:r>
      <w:r w:rsidRPr="00C16D41">
        <w:t xml:space="preserve"> SSEE detalle, LTx detalle, SSEE básica, LTX básica, SSEE conceptual y LTx conceptual.</w:t>
      </w:r>
    </w:p>
    <w:p w14:paraId="0D59EBBA" w14:textId="77777777" w:rsidR="00EC4B36" w:rsidRDefault="00EC4B36" w:rsidP="00EC4B36">
      <w:r w:rsidRPr="00C16D41">
        <w:t>En estas mismas hojas se encuentra el costo de la hora de trabajo de cada persona, obtenido como la renta anual del Estudio de Compensaciones sobre 12 (un año tiene doce meses) y sobre las horas mensuales de trabajo, donde se consideró 9 horas diarias y 20,5 días de trabajo mensual (total de días hábiles de un año dividido 12).</w:t>
      </w:r>
    </w:p>
    <w:p w14:paraId="4DB4E575" w14:textId="77777777" w:rsidR="00EC4B36" w:rsidRDefault="00EC4B36" w:rsidP="00EC4B36">
      <w:r>
        <w:t xml:space="preserve">El cálculo en cada una de las ingenierías se hizo realizando un listado de actividades a realizar, bastante detallado. Para tener el listado completo de actividades a realizar en las diversas ingenierías, se basó en las ofertas que esta empresa de ingeniería y otras han realizado a empresas transmisoras para el desarrollo de proyectos. Por este motivo se consideran todos los planos que el Coordinador exige en Información Técnica. </w:t>
      </w:r>
    </w:p>
    <w:p w14:paraId="2FD39DC2" w14:textId="77777777" w:rsidR="00EC4B36" w:rsidRDefault="00EC4B36" w:rsidP="00EC4B36">
      <w:r>
        <w:t xml:space="preserve">Para cada una de las actividades indicadas se estableció la cantidad de horas de trabajo según el tipo de trabajador que dedicaría a cada una de esas actividades. Luego, se obtiene un subtotal multiplicando las horas-hombre por el costo de la hora de trabajo, obtenido desde el Estudio de Remuneraciones PWC. </w:t>
      </w:r>
    </w:p>
    <w:p w14:paraId="6457F6AA" w14:textId="77777777" w:rsidR="00EC4B36" w:rsidRDefault="00EC4B36" w:rsidP="00EC4B36">
      <w:r>
        <w:t xml:space="preserve">El costo final de las ingenierías fue multiplicado por un factor 1,82 para representar los costos de una oficina de ingeniería externa: arriendo y mantenimiento de oficinas, personal administrativo como secretarias y personal de aseo, </w:t>
      </w:r>
      <w:r w:rsidRPr="002B0E63">
        <w:t>equipamiento computacional</w:t>
      </w:r>
      <w:r>
        <w:t xml:space="preserve">, etc., materiales de escritorio, </w:t>
      </w:r>
      <w:r>
        <w:lastRenderedPageBreak/>
        <w:t>mobiliario, etc. Este valor se encuentra respaldado en la hoja “Costo mensual Empresa” del archivo “Base Ingeniería.xlsx”.</w:t>
      </w:r>
    </w:p>
    <w:p w14:paraId="1D9EB3C6" w14:textId="77777777" w:rsidR="00EC4B36" w:rsidRDefault="00EC4B36" w:rsidP="00EC4B36">
      <w:r w:rsidRPr="00C16D41">
        <w:t>El costo de la revisión se consideró un 10% del costo original de cada ingeniería pues se considera que la cantidad de HH de revisión de otra oficina de ingeniería que oficia de contraparte de la que realizó el trabajo original es solo un 10% y utiliza la misma estructura que ella. Este porcentaje es establecido en función de la experiencia del Consultor el cual ha revisado ingenierías, bases técnicas de licitación, etc.</w:t>
      </w:r>
    </w:p>
    <w:p w14:paraId="6C636880" w14:textId="77777777" w:rsidR="00EC4B36" w:rsidRDefault="00EC4B36" w:rsidP="00EC4B36">
      <w:r>
        <w:t>El costo de la ingeniería conceptual, básica e ingeniería de detalle se hicieron variables en función del largo de la línea, puesto que afecta el costo de la topografía, mecánica de suelos, planos de perfil longitudinal, etc. Se tomó como valor referencial una línea entre 50 km y 100 km, por lo que líneas más cortas presentan un factor de ajuste menor a 1 y líneas más largas presentan un factor de ajuste mayor a 1, tal como se aprecia a continuación.</w:t>
      </w:r>
    </w:p>
    <w:p w14:paraId="3CACF1D5" w14:textId="77777777" w:rsidR="00EC4B36" w:rsidRPr="00783166" w:rsidRDefault="00EC4B36" w:rsidP="00EC4B36">
      <w:pPr>
        <w:pStyle w:val="Subttulo"/>
      </w:pPr>
      <w:bookmarkStart w:id="119" w:name="_Toc38047813"/>
      <w:bookmarkStart w:id="120" w:name="_Toc39795247"/>
      <w:bookmarkStart w:id="121" w:name="_Toc39797927"/>
      <w:r w:rsidRPr="00783166">
        <w:t xml:space="preserve">Tabla </w:t>
      </w:r>
      <w:fldSimple w:instr=" SEQ Tabla \* ARABIC ">
        <w:r w:rsidR="001F3E2E">
          <w:rPr>
            <w:noProof/>
          </w:rPr>
          <w:t>17</w:t>
        </w:r>
      </w:fldSimple>
      <w:r w:rsidRPr="00783166">
        <w:t xml:space="preserve">: </w:t>
      </w:r>
      <w:r w:rsidRPr="00C16D41">
        <w:t>Ajuste cálculo ingeniería líneas de transmisión</w:t>
      </w:r>
      <w:bookmarkEnd w:id="119"/>
      <w:bookmarkEnd w:id="120"/>
      <w:bookmarkEnd w:id="121"/>
    </w:p>
    <w:tbl>
      <w:tblPr>
        <w:tblW w:w="453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firstRow="1" w:lastRow="0" w:firstColumn="1" w:lastColumn="0" w:noHBand="0" w:noVBand="1"/>
      </w:tblPr>
      <w:tblGrid>
        <w:gridCol w:w="2835"/>
        <w:gridCol w:w="1701"/>
      </w:tblGrid>
      <w:tr w:rsidR="00EC4B36" w:rsidRPr="003F0270" w14:paraId="16464FF0" w14:textId="77777777" w:rsidTr="006B5A62">
        <w:trPr>
          <w:trHeight w:val="20"/>
          <w:jc w:val="center"/>
        </w:trPr>
        <w:tc>
          <w:tcPr>
            <w:tcW w:w="2835" w:type="dxa"/>
            <w:shd w:val="clear" w:color="auto" w:fill="D9D9D9" w:themeFill="background1" w:themeFillShade="D9"/>
            <w:noWrap/>
            <w:vAlign w:val="center"/>
            <w:hideMark/>
          </w:tcPr>
          <w:p w14:paraId="51C65178" w14:textId="77777777" w:rsidR="00EC4B36" w:rsidRPr="003F0270" w:rsidRDefault="00EC4B36" w:rsidP="006B5A62">
            <w:pPr>
              <w:spacing w:before="40" w:after="40" w:line="240" w:lineRule="auto"/>
              <w:jc w:val="center"/>
              <w:rPr>
                <w:rFonts w:eastAsia="Times New Roman" w:cs="Arial"/>
                <w:b/>
                <w:bCs/>
                <w:color w:val="000000"/>
                <w:sz w:val="22"/>
                <w:szCs w:val="22"/>
                <w:lang w:eastAsia="es-CL"/>
              </w:rPr>
            </w:pPr>
            <w:r w:rsidRPr="003F0270">
              <w:rPr>
                <w:rFonts w:eastAsia="Times New Roman" w:cs="Arial"/>
                <w:b/>
                <w:bCs/>
                <w:color w:val="000000"/>
                <w:sz w:val="22"/>
                <w:szCs w:val="22"/>
                <w:lang w:eastAsia="es-CL"/>
              </w:rPr>
              <w:t>Largo</w:t>
            </w:r>
          </w:p>
        </w:tc>
        <w:tc>
          <w:tcPr>
            <w:tcW w:w="1701" w:type="dxa"/>
            <w:shd w:val="clear" w:color="auto" w:fill="D9D9D9" w:themeFill="background1" w:themeFillShade="D9"/>
            <w:noWrap/>
            <w:vAlign w:val="center"/>
            <w:hideMark/>
          </w:tcPr>
          <w:p w14:paraId="4030414F" w14:textId="77777777" w:rsidR="00EC4B36" w:rsidRPr="003F0270" w:rsidRDefault="00EC4B36" w:rsidP="006B5A62">
            <w:pPr>
              <w:spacing w:before="40" w:after="40" w:line="240" w:lineRule="auto"/>
              <w:jc w:val="center"/>
              <w:rPr>
                <w:rFonts w:eastAsia="Times New Roman" w:cs="Arial"/>
                <w:b/>
                <w:bCs/>
                <w:color w:val="000000"/>
                <w:sz w:val="22"/>
                <w:szCs w:val="22"/>
                <w:lang w:eastAsia="es-CL"/>
              </w:rPr>
            </w:pPr>
            <w:r w:rsidRPr="003F0270">
              <w:rPr>
                <w:rFonts w:eastAsia="Times New Roman" w:cs="Arial"/>
                <w:b/>
                <w:bCs/>
                <w:color w:val="000000"/>
                <w:sz w:val="22"/>
                <w:szCs w:val="22"/>
                <w:lang w:eastAsia="es-CL"/>
              </w:rPr>
              <w:t>Factor ajuste</w:t>
            </w:r>
          </w:p>
        </w:tc>
      </w:tr>
      <w:tr w:rsidR="00EC4B36" w:rsidRPr="003F0270" w14:paraId="7C6895C8" w14:textId="77777777" w:rsidTr="006B5A62">
        <w:trPr>
          <w:trHeight w:val="20"/>
          <w:jc w:val="center"/>
        </w:trPr>
        <w:tc>
          <w:tcPr>
            <w:tcW w:w="2835" w:type="dxa"/>
            <w:shd w:val="clear" w:color="auto" w:fill="auto"/>
            <w:noWrap/>
            <w:vAlign w:val="center"/>
            <w:hideMark/>
          </w:tcPr>
          <w:p w14:paraId="227574AB" w14:textId="77777777" w:rsidR="00EC4B36" w:rsidRPr="003F0270" w:rsidRDefault="00EC4B36" w:rsidP="006B5A62">
            <w:pPr>
              <w:spacing w:before="40" w:after="40" w:line="240" w:lineRule="auto"/>
              <w:jc w:val="center"/>
              <w:rPr>
                <w:rFonts w:eastAsia="Times New Roman"/>
                <w:color w:val="000000"/>
                <w:sz w:val="22"/>
                <w:szCs w:val="22"/>
                <w:lang w:eastAsia="es-CL"/>
              </w:rPr>
            </w:pPr>
            <w:r w:rsidRPr="003F0270">
              <w:rPr>
                <w:rFonts w:eastAsia="Times New Roman"/>
                <w:color w:val="000000"/>
                <w:sz w:val="22"/>
                <w:szCs w:val="22"/>
                <w:lang w:eastAsia="es-CL"/>
              </w:rPr>
              <w:t>Entre 0 y 5 km</w:t>
            </w:r>
          </w:p>
        </w:tc>
        <w:tc>
          <w:tcPr>
            <w:tcW w:w="1701" w:type="dxa"/>
            <w:shd w:val="clear" w:color="auto" w:fill="auto"/>
            <w:noWrap/>
            <w:vAlign w:val="bottom"/>
            <w:hideMark/>
          </w:tcPr>
          <w:p w14:paraId="0F098CBB" w14:textId="77777777" w:rsidR="00EC4B36" w:rsidRPr="00E747B2" w:rsidRDefault="00EC4B36" w:rsidP="006B5A62">
            <w:pPr>
              <w:spacing w:before="40" w:after="40" w:line="240" w:lineRule="auto"/>
              <w:jc w:val="center"/>
              <w:rPr>
                <w:rFonts w:eastAsia="Times New Roman"/>
                <w:color w:val="000000"/>
                <w:sz w:val="22"/>
                <w:szCs w:val="22"/>
                <w:lang w:eastAsia="es-CL"/>
              </w:rPr>
            </w:pPr>
            <w:r w:rsidRPr="00E747B2">
              <w:rPr>
                <w:rFonts w:eastAsia="Times New Roman"/>
                <w:color w:val="000000"/>
                <w:sz w:val="22"/>
                <w:szCs w:val="22"/>
                <w:lang w:eastAsia="es-CL"/>
              </w:rPr>
              <w:t>0,30</w:t>
            </w:r>
          </w:p>
        </w:tc>
      </w:tr>
      <w:tr w:rsidR="00EC4B36" w:rsidRPr="003F0270" w14:paraId="1AFD9F8A" w14:textId="77777777" w:rsidTr="006B5A62">
        <w:trPr>
          <w:trHeight w:val="20"/>
          <w:jc w:val="center"/>
        </w:trPr>
        <w:tc>
          <w:tcPr>
            <w:tcW w:w="2835" w:type="dxa"/>
            <w:shd w:val="clear" w:color="auto" w:fill="auto"/>
            <w:noWrap/>
            <w:vAlign w:val="center"/>
            <w:hideMark/>
          </w:tcPr>
          <w:p w14:paraId="53470E2B" w14:textId="77777777" w:rsidR="00EC4B36" w:rsidRPr="003F0270" w:rsidRDefault="00EC4B36" w:rsidP="006B5A62">
            <w:pPr>
              <w:spacing w:before="40" w:after="40" w:line="240" w:lineRule="auto"/>
              <w:jc w:val="center"/>
              <w:rPr>
                <w:rFonts w:eastAsia="Times New Roman"/>
                <w:color w:val="000000"/>
                <w:sz w:val="22"/>
                <w:szCs w:val="22"/>
                <w:lang w:eastAsia="es-CL"/>
              </w:rPr>
            </w:pPr>
            <w:r w:rsidRPr="003F0270">
              <w:rPr>
                <w:rFonts w:eastAsia="Times New Roman"/>
                <w:color w:val="000000"/>
                <w:sz w:val="22"/>
                <w:szCs w:val="22"/>
                <w:lang w:eastAsia="es-CL"/>
              </w:rPr>
              <w:t>Entre 5 y 25 km</w:t>
            </w:r>
          </w:p>
        </w:tc>
        <w:tc>
          <w:tcPr>
            <w:tcW w:w="1701" w:type="dxa"/>
            <w:shd w:val="clear" w:color="auto" w:fill="auto"/>
            <w:noWrap/>
            <w:vAlign w:val="bottom"/>
            <w:hideMark/>
          </w:tcPr>
          <w:p w14:paraId="67F772D7" w14:textId="77777777" w:rsidR="00EC4B36" w:rsidRPr="00E747B2" w:rsidRDefault="00EC4B36" w:rsidP="006B5A62">
            <w:pPr>
              <w:spacing w:before="40" w:after="40" w:line="240" w:lineRule="auto"/>
              <w:jc w:val="center"/>
              <w:rPr>
                <w:rFonts w:eastAsia="Times New Roman"/>
                <w:color w:val="000000"/>
                <w:sz w:val="22"/>
                <w:szCs w:val="22"/>
                <w:lang w:eastAsia="es-CL"/>
              </w:rPr>
            </w:pPr>
            <w:r w:rsidRPr="00E747B2">
              <w:rPr>
                <w:rFonts w:eastAsia="Times New Roman"/>
                <w:color w:val="000000"/>
                <w:sz w:val="22"/>
                <w:szCs w:val="22"/>
                <w:lang w:eastAsia="es-CL"/>
              </w:rPr>
              <w:t>0,40</w:t>
            </w:r>
          </w:p>
        </w:tc>
      </w:tr>
      <w:tr w:rsidR="00EC4B36" w:rsidRPr="003F0270" w14:paraId="050487A5" w14:textId="77777777" w:rsidTr="006B5A62">
        <w:trPr>
          <w:trHeight w:val="20"/>
          <w:jc w:val="center"/>
        </w:trPr>
        <w:tc>
          <w:tcPr>
            <w:tcW w:w="2835" w:type="dxa"/>
            <w:shd w:val="clear" w:color="auto" w:fill="auto"/>
            <w:noWrap/>
            <w:vAlign w:val="center"/>
            <w:hideMark/>
          </w:tcPr>
          <w:p w14:paraId="0EDE2729" w14:textId="77777777" w:rsidR="00EC4B36" w:rsidRPr="003F0270" w:rsidRDefault="00EC4B36" w:rsidP="006B5A62">
            <w:pPr>
              <w:spacing w:before="40" w:after="40" w:line="240" w:lineRule="auto"/>
              <w:jc w:val="center"/>
              <w:rPr>
                <w:rFonts w:eastAsia="Times New Roman"/>
                <w:color w:val="000000"/>
                <w:sz w:val="22"/>
                <w:szCs w:val="22"/>
                <w:lang w:eastAsia="es-CL"/>
              </w:rPr>
            </w:pPr>
            <w:r w:rsidRPr="003F0270">
              <w:rPr>
                <w:rFonts w:eastAsia="Times New Roman"/>
                <w:color w:val="000000"/>
                <w:sz w:val="22"/>
                <w:szCs w:val="22"/>
                <w:lang w:eastAsia="es-CL"/>
              </w:rPr>
              <w:t>Entre 25 y 50 km</w:t>
            </w:r>
          </w:p>
        </w:tc>
        <w:tc>
          <w:tcPr>
            <w:tcW w:w="1701" w:type="dxa"/>
            <w:shd w:val="clear" w:color="auto" w:fill="auto"/>
            <w:noWrap/>
            <w:vAlign w:val="bottom"/>
            <w:hideMark/>
          </w:tcPr>
          <w:p w14:paraId="7B9101F1" w14:textId="77777777" w:rsidR="00EC4B36" w:rsidRPr="00E747B2" w:rsidRDefault="00EC4B36" w:rsidP="006B5A62">
            <w:pPr>
              <w:spacing w:before="40" w:after="40" w:line="240" w:lineRule="auto"/>
              <w:jc w:val="center"/>
              <w:rPr>
                <w:rFonts w:eastAsia="Times New Roman"/>
                <w:color w:val="000000"/>
                <w:sz w:val="22"/>
                <w:szCs w:val="22"/>
                <w:lang w:eastAsia="es-CL"/>
              </w:rPr>
            </w:pPr>
            <w:r w:rsidRPr="00E747B2">
              <w:rPr>
                <w:rFonts w:eastAsia="Times New Roman"/>
                <w:color w:val="000000"/>
                <w:sz w:val="22"/>
                <w:szCs w:val="22"/>
                <w:lang w:eastAsia="es-CL"/>
              </w:rPr>
              <w:t>1,00</w:t>
            </w:r>
          </w:p>
        </w:tc>
      </w:tr>
      <w:tr w:rsidR="00EC4B36" w:rsidRPr="003F0270" w14:paraId="4DC9B623" w14:textId="77777777" w:rsidTr="006B5A62">
        <w:trPr>
          <w:trHeight w:val="20"/>
          <w:jc w:val="center"/>
        </w:trPr>
        <w:tc>
          <w:tcPr>
            <w:tcW w:w="2835" w:type="dxa"/>
            <w:shd w:val="clear" w:color="auto" w:fill="auto"/>
            <w:noWrap/>
            <w:vAlign w:val="center"/>
            <w:hideMark/>
          </w:tcPr>
          <w:p w14:paraId="19D4799E" w14:textId="77777777" w:rsidR="00EC4B36" w:rsidRPr="003F0270" w:rsidRDefault="00EC4B36" w:rsidP="006B5A62">
            <w:pPr>
              <w:spacing w:before="40" w:after="40" w:line="240" w:lineRule="auto"/>
              <w:jc w:val="center"/>
              <w:rPr>
                <w:rFonts w:eastAsia="Times New Roman"/>
                <w:color w:val="000000"/>
                <w:sz w:val="22"/>
                <w:szCs w:val="22"/>
                <w:lang w:eastAsia="es-CL"/>
              </w:rPr>
            </w:pPr>
            <w:r w:rsidRPr="003F0270">
              <w:rPr>
                <w:rFonts w:eastAsia="Times New Roman"/>
                <w:color w:val="000000"/>
                <w:sz w:val="22"/>
                <w:szCs w:val="22"/>
                <w:lang w:eastAsia="es-CL"/>
              </w:rPr>
              <w:t>Entre 50 km y 100 km</w:t>
            </w:r>
          </w:p>
        </w:tc>
        <w:tc>
          <w:tcPr>
            <w:tcW w:w="1701" w:type="dxa"/>
            <w:shd w:val="clear" w:color="auto" w:fill="auto"/>
            <w:noWrap/>
            <w:vAlign w:val="bottom"/>
            <w:hideMark/>
          </w:tcPr>
          <w:p w14:paraId="074A707A" w14:textId="77777777" w:rsidR="00EC4B36" w:rsidRPr="00E747B2" w:rsidRDefault="00EC4B36" w:rsidP="006B5A62">
            <w:pPr>
              <w:spacing w:before="40" w:after="40" w:line="240" w:lineRule="auto"/>
              <w:jc w:val="center"/>
              <w:rPr>
                <w:rFonts w:eastAsia="Times New Roman"/>
                <w:color w:val="000000"/>
                <w:sz w:val="22"/>
                <w:szCs w:val="22"/>
                <w:lang w:eastAsia="es-CL"/>
              </w:rPr>
            </w:pPr>
            <w:r w:rsidRPr="00E747B2">
              <w:rPr>
                <w:rFonts w:eastAsia="Times New Roman"/>
                <w:color w:val="000000"/>
                <w:sz w:val="22"/>
                <w:szCs w:val="22"/>
                <w:lang w:eastAsia="es-CL"/>
              </w:rPr>
              <w:t>1,50</w:t>
            </w:r>
          </w:p>
        </w:tc>
      </w:tr>
      <w:tr w:rsidR="00EC4B36" w:rsidRPr="003F0270" w14:paraId="599C3291" w14:textId="77777777" w:rsidTr="006B5A62">
        <w:trPr>
          <w:trHeight w:val="20"/>
          <w:jc w:val="center"/>
        </w:trPr>
        <w:tc>
          <w:tcPr>
            <w:tcW w:w="2835" w:type="dxa"/>
            <w:shd w:val="clear" w:color="auto" w:fill="auto"/>
            <w:noWrap/>
            <w:vAlign w:val="center"/>
            <w:hideMark/>
          </w:tcPr>
          <w:p w14:paraId="4E5D30EF" w14:textId="77777777" w:rsidR="00EC4B36" w:rsidRPr="003F0270" w:rsidRDefault="00EC4B36" w:rsidP="006B5A62">
            <w:pPr>
              <w:spacing w:before="40" w:after="40" w:line="240" w:lineRule="auto"/>
              <w:jc w:val="center"/>
              <w:rPr>
                <w:rFonts w:eastAsia="Times New Roman"/>
                <w:color w:val="000000"/>
                <w:sz w:val="22"/>
                <w:szCs w:val="22"/>
                <w:lang w:eastAsia="es-CL"/>
              </w:rPr>
            </w:pPr>
            <w:r w:rsidRPr="003F0270">
              <w:rPr>
                <w:rFonts w:eastAsia="Times New Roman"/>
                <w:color w:val="000000"/>
                <w:sz w:val="22"/>
                <w:szCs w:val="22"/>
                <w:lang w:eastAsia="es-CL"/>
              </w:rPr>
              <w:t>Entre 100 km y 250 km</w:t>
            </w:r>
          </w:p>
        </w:tc>
        <w:tc>
          <w:tcPr>
            <w:tcW w:w="1701" w:type="dxa"/>
            <w:shd w:val="clear" w:color="auto" w:fill="auto"/>
            <w:noWrap/>
            <w:vAlign w:val="bottom"/>
            <w:hideMark/>
          </w:tcPr>
          <w:p w14:paraId="682B20F5" w14:textId="77777777" w:rsidR="00EC4B36" w:rsidRPr="00E747B2" w:rsidRDefault="00EC4B36" w:rsidP="006B5A62">
            <w:pPr>
              <w:spacing w:before="40" w:after="40" w:line="240" w:lineRule="auto"/>
              <w:jc w:val="center"/>
              <w:rPr>
                <w:rFonts w:eastAsia="Times New Roman"/>
                <w:color w:val="000000"/>
                <w:sz w:val="22"/>
                <w:szCs w:val="22"/>
                <w:lang w:eastAsia="es-CL"/>
              </w:rPr>
            </w:pPr>
            <w:r w:rsidRPr="00E747B2">
              <w:rPr>
                <w:rFonts w:eastAsia="Times New Roman"/>
                <w:color w:val="000000"/>
                <w:sz w:val="22"/>
                <w:szCs w:val="22"/>
                <w:lang w:eastAsia="es-CL"/>
              </w:rPr>
              <w:t>2,50</w:t>
            </w:r>
          </w:p>
        </w:tc>
      </w:tr>
      <w:tr w:rsidR="00EC4B36" w:rsidRPr="003F0270" w14:paraId="4A46247B" w14:textId="77777777" w:rsidTr="006B5A62">
        <w:trPr>
          <w:trHeight w:val="20"/>
          <w:jc w:val="center"/>
        </w:trPr>
        <w:tc>
          <w:tcPr>
            <w:tcW w:w="2835" w:type="dxa"/>
            <w:shd w:val="clear" w:color="auto" w:fill="auto"/>
            <w:noWrap/>
            <w:vAlign w:val="center"/>
            <w:hideMark/>
          </w:tcPr>
          <w:p w14:paraId="584CBD2A" w14:textId="77777777" w:rsidR="00EC4B36" w:rsidRPr="003F0270" w:rsidRDefault="00EC4B36" w:rsidP="006B5A62">
            <w:pPr>
              <w:spacing w:before="40" w:after="40" w:line="240" w:lineRule="auto"/>
              <w:jc w:val="center"/>
              <w:rPr>
                <w:rFonts w:eastAsia="Times New Roman"/>
                <w:color w:val="000000"/>
                <w:sz w:val="22"/>
                <w:szCs w:val="22"/>
                <w:lang w:eastAsia="es-CL"/>
              </w:rPr>
            </w:pPr>
            <w:r w:rsidRPr="003F0270">
              <w:rPr>
                <w:rFonts w:eastAsia="Times New Roman"/>
                <w:color w:val="000000"/>
                <w:sz w:val="22"/>
                <w:szCs w:val="22"/>
                <w:lang w:eastAsia="es-CL"/>
              </w:rPr>
              <w:t>Mayor a 250 km</w:t>
            </w:r>
          </w:p>
        </w:tc>
        <w:tc>
          <w:tcPr>
            <w:tcW w:w="1701" w:type="dxa"/>
            <w:shd w:val="clear" w:color="auto" w:fill="auto"/>
            <w:noWrap/>
            <w:vAlign w:val="bottom"/>
            <w:hideMark/>
          </w:tcPr>
          <w:p w14:paraId="1301E1F5" w14:textId="77777777" w:rsidR="00EC4B36" w:rsidRPr="00E747B2" w:rsidRDefault="00EC4B36" w:rsidP="006B5A62">
            <w:pPr>
              <w:spacing w:before="40" w:after="40" w:line="240" w:lineRule="auto"/>
              <w:jc w:val="center"/>
              <w:rPr>
                <w:rFonts w:eastAsia="Times New Roman"/>
                <w:color w:val="000000"/>
                <w:sz w:val="22"/>
                <w:szCs w:val="22"/>
                <w:lang w:eastAsia="es-CL"/>
              </w:rPr>
            </w:pPr>
            <w:r w:rsidRPr="00E747B2">
              <w:rPr>
                <w:rFonts w:eastAsia="Times New Roman"/>
                <w:color w:val="000000"/>
                <w:sz w:val="22"/>
                <w:szCs w:val="22"/>
                <w:lang w:eastAsia="es-CL"/>
              </w:rPr>
              <w:t>3,50</w:t>
            </w:r>
          </w:p>
        </w:tc>
      </w:tr>
    </w:tbl>
    <w:p w14:paraId="7FF27086" w14:textId="77777777" w:rsidR="00EC4B36" w:rsidRDefault="00EC4B36" w:rsidP="00EC4B36">
      <w:pPr>
        <w:spacing w:after="0"/>
      </w:pPr>
    </w:p>
    <w:p w14:paraId="12D3CFD3" w14:textId="77777777" w:rsidR="00EC4B36" w:rsidRDefault="00EC4B36" w:rsidP="00EC4B36">
      <w:r>
        <w:t xml:space="preserve">En el caso de la ingeniería básica y de detalle, este factor de ajuste solo afecta a las actividades que efectivamente dependen del largo. De esta forma, actividades como la resistividad de terreno, batimetría, planos de cruces de caminos y servicios, etc. si son modificadas por el factor de ajuste, pero actividades como estudio de cortocircuito, determinación del conductor por fase y cable de guardia son constantes para todo tipo de línea. </w:t>
      </w:r>
    </w:p>
    <w:p w14:paraId="62D890F7" w14:textId="77777777" w:rsidR="00EC4B36" w:rsidRDefault="00EC4B36" w:rsidP="00EC4B36">
      <w:r>
        <w:t xml:space="preserve">El costo de la ingeniería de detalle se hizo, además, variable según la cantidad de tipo de estructuras, pues esto afecta a la cantidad de memorias de cálculo de estructuras y fundaciones a realizar, junto con la cantidad de planos relacionados. La cantidad de estructuras consideradas se encuentra en la celda “Q8” de la hoja “LTx detalle” del archivo “Base Ingeniería.xlsx”, las que también se encuentran en la columna “K” de la hoja “Líneas” del archivo “Base Ingeniería.xlsx”. Estos tipos de estructuras se obtuvieron al analizar las descripciones de las estructuras declaradas en cada línea de transmisión de la base de datos.  En ambas hojas, la cantidad base de horas-hombre, se muestra en el cuadro de actividades </w:t>
      </w:r>
      <w:proofErr w:type="gramStart"/>
      <w:r>
        <w:t>ubicados</w:t>
      </w:r>
      <w:proofErr w:type="gramEnd"/>
      <w:r>
        <w:t xml:space="preserve"> a la derecha, desde la columna S.</w:t>
      </w:r>
    </w:p>
    <w:p w14:paraId="293E403A" w14:textId="77777777" w:rsidR="00EC4B36" w:rsidRDefault="00EC4B36" w:rsidP="00EC4B36">
      <w:r>
        <w:lastRenderedPageBreak/>
        <w:t>El recargo máximo de ingeniería en tramos entre 0 a 5 km y entre 5 a 25 km, se estableció en un 12% con la finalidad de evitar porcentajes muy elevados debido a bajos valores de inversión. En tramos entre 25 a 50 km y entre 50 y 100 km se estableció un máximo de un 7% y en los tramos entre 100 y 250 km y mayores a 250 km se estableció un valor máximo de un 4%, porcentajes menores por el alto valor de inversión que presentan estos tramos, sin embargo, dichos umbrales que no se alcanzan en ningún caso.</w:t>
      </w:r>
    </w:p>
    <w:p w14:paraId="5432CB82" w14:textId="77777777" w:rsidR="00EC4B36" w:rsidRDefault="00EC4B36" w:rsidP="00EC4B36">
      <w:r>
        <w:t>En el caso de las subestaciones se agrupan las diversas familias para calcular el recargo por subestación ya que se presentan economías de escala, siendo mucho más eficiente realizar el desarrollo de ingeniería para una subestación completa que elemento por elemento. Por ejemplo, si se disgregara la ingeniería en las familias consideradas, los estudios eléctricos se pagarían más de una vez. Además, como ya se mencionó, este es un ejercicio tarifario, donde se considera que toda la subestación fue construida de una sola vez.</w:t>
      </w:r>
    </w:p>
    <w:p w14:paraId="3BB61D48" w14:textId="77777777" w:rsidR="00EC4B36" w:rsidRDefault="00EC4B36" w:rsidP="00EC4B36">
      <w:r>
        <w:t>El costo de ingeniería conceptual se hizo variable según la cantidad de patios, transformadores 500/220 kV y equipos CER para todas las subestaciones ya que cada uno de estos dos equipos requiere un patio más en la subestación donde se encuentren ubicados. En la hoja “SSEE conceptual” del archivo “Base Ingeniería.xlsx” se observan las actividades de la ingeniería conceptual de una subestación.</w:t>
      </w:r>
    </w:p>
    <w:p w14:paraId="548E31F1" w14:textId="77777777" w:rsidR="00EC4B36" w:rsidRDefault="00EC4B36" w:rsidP="00EC4B36">
      <w:r>
        <w:t>El costo de la ingeniería básica y de detalle se hace variable según las siguientes cantidades equipos: patios, paños, transformadores 500/220 kV, reactores 500 kV, transformadores AT/MT, banco de condensadores y reactores, Compensadores Estáticos de Reactivos y compensaciones serie. Esto se debe a que cada instalación requiere su respectiva especificación técnica, memoria de cálculo y planos para fundación, planos de disposición, planos de control en corriente continua y corriente alterna, etc. La cantidad de estos elementos para cada tramo de subestación se observa en la hoja “SSEE” del archivo “Base Ingeniería.xlsx”.</w:t>
      </w:r>
    </w:p>
    <w:p w14:paraId="6E1EBBC5" w14:textId="77777777" w:rsidR="00EC4B36" w:rsidRDefault="00EC4B36" w:rsidP="00EC4B36">
      <w:r>
        <w:t xml:space="preserve">En la hoja “SSEE básica” del archivo “Base Ingeniería.xlsx” se observan las actividades consideradas en la ingeniería básica de una subestación, contemplando paños, patios, instalaciones comunes, etc. En las celdas “P5:Q12” se muestran los factores que afectan a la ingeniería: cantidad de patios, paños, transformadores 500/220 kV, reactores 500 kV, transformadores AT/MT, número de BBCC y reactores, equipos CER y compensaciones serie para cada tramo de transporte, el cual se incluye en la celda “P3”. Los números ubicados en las celdas “Q5:Q12” multiplican la cantidad de horas-hombres correspondientes a ciertas actividades como, por ejemplo, la cantidad de transformadores 500/220 kV multiplica las horas-hombre de las especificaciones técnicas del transformador de poder 500/220 kV. Lo mismo ocurre en la hoja “SSEE detalle” del archivo “Base Ingeniería.xlsx” donde se encuentran las actividades consideradas en la ingeniería de detalle de </w:t>
      </w:r>
      <w:r>
        <w:lastRenderedPageBreak/>
        <w:t>una subestación. En ambas hojas, la cantidad unitaria de horas-hombre, se muestra en el cuadro de actividades ubicados a la derecha, desde la columna S.</w:t>
      </w:r>
    </w:p>
    <w:p w14:paraId="2C1670E0" w14:textId="77777777" w:rsidR="00EC4B36" w:rsidRDefault="00EC4B36" w:rsidP="00EC4B36">
      <w:r>
        <w:t>El recargo máximo de ingeniería en subestaciones se estableció en un 12% con la finalidad de evitar porcentajes muy elevados debido a bajos valores de inversión.</w:t>
      </w:r>
    </w:p>
    <w:p w14:paraId="73F50209" w14:textId="77777777" w:rsidR="00EC4B36" w:rsidRDefault="00EC4B36" w:rsidP="00EC4B36">
      <w:r>
        <w:t xml:space="preserve">Finalmente, el recargo de ingeniería corresponde a la suma de los 4 tipos de ingeniería (conceptual, básica, detalle y revisión) dividido en el subtotal de la subestación o línea, el cual considera costo de materiales, montaje, flete y bodegaje, que se obtiene a través de las </w:t>
      </w:r>
      <w:r w:rsidRPr="00E61C4E">
        <w:rPr>
          <w:i/>
        </w:rPr>
        <w:t xml:space="preserve">querys </w:t>
      </w:r>
      <w:r>
        <w:t>“</w:t>
      </w:r>
      <w:r w:rsidRPr="00E61C4E">
        <w:t>TramoSubestacion CostoMateriales.sql</w:t>
      </w:r>
      <w:r>
        <w:t>” y “</w:t>
      </w:r>
      <w:r w:rsidRPr="00E61C4E">
        <w:t>TramoTransporte CostoMateriales.sql</w:t>
      </w:r>
      <w:r>
        <w:t xml:space="preserve">”. </w:t>
      </w:r>
    </w:p>
    <w:p w14:paraId="195C0A1C" w14:textId="77777777" w:rsidR="00EC4B36" w:rsidRDefault="00EC4B36" w:rsidP="00EC4B36">
      <w:pPr>
        <w:pStyle w:val="Ttulo4"/>
        <w:keepNext/>
      </w:pPr>
      <w:bookmarkStart w:id="122" w:name="_Toc38048424"/>
      <w:bookmarkStart w:id="123" w:name="_Toc39795093"/>
      <w:bookmarkStart w:id="124" w:name="_Toc39797773"/>
      <w:r>
        <w:t>Recargo por gastos generales</w:t>
      </w:r>
      <w:bookmarkEnd w:id="122"/>
      <w:bookmarkEnd w:id="123"/>
      <w:bookmarkEnd w:id="124"/>
    </w:p>
    <w:p w14:paraId="7AFC8ACB" w14:textId="77777777" w:rsidR="00EC4B36" w:rsidRPr="00BC38C2" w:rsidRDefault="00EC4B36" w:rsidP="00EC4B36">
      <w:r w:rsidRPr="00BC38C2">
        <w:t>Los Gastos Generales son todos aquellos recursos de administración de una obra que se deben realizar para materializar un proyecto. Al tener definido el alcance y la forma de ejecutar la obra sabemos qué recursos serán requeridos en cuanto a personal (con sus especialidades) equipos e instalaciones.</w:t>
      </w:r>
    </w:p>
    <w:p w14:paraId="4565778B" w14:textId="77777777" w:rsidR="00EC4B36" w:rsidRPr="00BC38C2" w:rsidRDefault="00EC4B36" w:rsidP="00EC4B36">
      <w:r w:rsidRPr="00BC38C2">
        <w:t xml:space="preserve">Se considera dentro de los gastos generales tanto al personal administrativo como la instalación de faena y todo lo que ello conlleva: servicios de agua y suministro eléctrico, oficinas en conteiner, mobiliario de oficina, servicio de comunicación móvil, servicio de internet, elementos de protección personal, etc. También son considerados los seguros de obra, boletas de garantía, transporte de personal, alimentación, etc. </w:t>
      </w:r>
    </w:p>
    <w:p w14:paraId="60A7FB9E" w14:textId="77777777" w:rsidR="00EC4B36" w:rsidRPr="00BC38C2" w:rsidRDefault="00EC4B36" w:rsidP="00EC4B36">
      <w:r w:rsidRPr="00BC38C2">
        <w:t xml:space="preserve">Con el fin de valorizar los recursos para el desarrollo de obras se ha desarrollado un modelo para el cálculo de los gastos generales en obras de subestaciones y otro para el cálculo de los gastos generales de líneas de transmisión, considerando las exigencias legales existentes en Chile, las que define el mandante para este tipo de obras, el monto de la obra y el plazo necesario para ejecutarla. </w:t>
      </w:r>
    </w:p>
    <w:p w14:paraId="276CBA5C" w14:textId="77777777" w:rsidR="00EC4B36" w:rsidRPr="00BC38C2" w:rsidRDefault="00EC4B36" w:rsidP="00EC4B36">
      <w:r w:rsidRPr="00BC38C2">
        <w:t xml:space="preserve">Para cada tipo de obra se definió una estructura de personal eficiente que permita cumplir con todos los requerimientos de las leyes laborales, ambientales y experiencia exigida por el mandante y los recursos asociados. Adicionalmente, se consideró el traslado alimentación y estadía del recurso humano, para la ejecución de estas en el plazo asignado. </w:t>
      </w:r>
    </w:p>
    <w:p w14:paraId="11362CB9" w14:textId="77777777" w:rsidR="00EC4B36" w:rsidRPr="00BC38C2" w:rsidRDefault="00EC4B36" w:rsidP="00EC4B36">
      <w:r w:rsidRPr="00BC38C2">
        <w:t xml:space="preserve">Tanto en líneas como subestaciones se utilizaron 6 y 4 tipos de obras respectivamente, con los mismos plazos constructivos de las cartas Gantt de los intereses intercalarios. </w:t>
      </w:r>
    </w:p>
    <w:p w14:paraId="665E6BC1" w14:textId="77777777" w:rsidR="00EC4B36" w:rsidRPr="00BC38C2" w:rsidRDefault="00EC4B36" w:rsidP="00EC4B36">
      <w:r w:rsidRPr="00BC38C2">
        <w:t>El personal necesario para el desarrollo de una línea de transmisión y de una subestación es mayor mientras mayor sea la magnitud de la obra y esto, sumado al plazo constructivo produce que el costo del gasto general sea mayor.</w:t>
      </w:r>
    </w:p>
    <w:p w14:paraId="4F58ADF1" w14:textId="77777777" w:rsidR="00EC4B36" w:rsidRPr="00BC38C2" w:rsidRDefault="00EC4B36" w:rsidP="00EC4B36">
      <w:r w:rsidRPr="00BC38C2">
        <w:lastRenderedPageBreak/>
        <w:t>Los resultados para cada tipo de obras se muestran en las siguientes tablas.</w:t>
      </w:r>
    </w:p>
    <w:p w14:paraId="1815E6CC" w14:textId="77777777" w:rsidR="00EC4B36" w:rsidRPr="00BC38C2" w:rsidRDefault="00EC4B36" w:rsidP="00EC4B36">
      <w:pPr>
        <w:pStyle w:val="Subttulo"/>
      </w:pPr>
      <w:bookmarkStart w:id="125" w:name="_Toc37937988"/>
      <w:bookmarkStart w:id="126" w:name="_Toc38047814"/>
      <w:bookmarkStart w:id="127" w:name="_Toc39795248"/>
      <w:bookmarkStart w:id="128" w:name="_Toc39797928"/>
      <w:r>
        <w:t xml:space="preserve">Tabla </w:t>
      </w:r>
      <w:fldSimple w:instr=" SEQ Tabla \* ARABIC ">
        <w:r w:rsidR="001F3E2E">
          <w:rPr>
            <w:noProof/>
          </w:rPr>
          <w:t>18</w:t>
        </w:r>
      </w:fldSimple>
      <w:r>
        <w:rPr>
          <w:noProof/>
        </w:rPr>
        <w:t>:</w:t>
      </w:r>
      <w:r w:rsidRPr="00BC38C2">
        <w:t xml:space="preserve"> Gasto general para líneas de transmisión</w:t>
      </w:r>
      <w:bookmarkEnd w:id="125"/>
      <w:bookmarkEnd w:id="126"/>
      <w:bookmarkEnd w:id="127"/>
      <w:bookmarkEnd w:id="128"/>
    </w:p>
    <w:tbl>
      <w:tblPr>
        <w:tblW w:w="0" w:type="auto"/>
        <w:jc w:val="center"/>
        <w:tblLayout w:type="fixed"/>
        <w:tblCellMar>
          <w:left w:w="57" w:type="dxa"/>
          <w:right w:w="57" w:type="dxa"/>
        </w:tblCellMar>
        <w:tblLook w:val="04A0" w:firstRow="1" w:lastRow="0" w:firstColumn="1" w:lastColumn="0" w:noHBand="0" w:noVBand="1"/>
      </w:tblPr>
      <w:tblGrid>
        <w:gridCol w:w="1420"/>
        <w:gridCol w:w="2268"/>
        <w:gridCol w:w="1985"/>
        <w:gridCol w:w="1701"/>
      </w:tblGrid>
      <w:tr w:rsidR="00EC4B36" w:rsidRPr="00BC38C2" w14:paraId="45FF769C" w14:textId="77777777" w:rsidTr="006B5A62">
        <w:trPr>
          <w:tblHeader/>
          <w:jc w:val="center"/>
        </w:trPr>
        <w:tc>
          <w:tcPr>
            <w:tcW w:w="1420"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1B43D756" w14:textId="77777777" w:rsidR="00EC4B36" w:rsidRPr="00E747B2" w:rsidRDefault="00EC4B36" w:rsidP="006B5A62">
            <w:pPr>
              <w:spacing w:before="20" w:after="20" w:line="240" w:lineRule="auto"/>
              <w:jc w:val="center"/>
              <w:rPr>
                <w:rFonts w:eastAsia="Times New Roman" w:cs="Calibri"/>
                <w:b/>
                <w:bCs/>
                <w:color w:val="000000"/>
                <w:sz w:val="22"/>
                <w:szCs w:val="22"/>
                <w:lang w:eastAsia="es-CL"/>
              </w:rPr>
            </w:pPr>
            <w:r w:rsidRPr="00E747B2">
              <w:rPr>
                <w:rFonts w:eastAsia="Times New Roman" w:cs="Calibri"/>
                <w:b/>
                <w:bCs/>
                <w:color w:val="000000"/>
                <w:sz w:val="22"/>
                <w:szCs w:val="22"/>
                <w:lang w:eastAsia="es-CL"/>
              </w:rPr>
              <w:t>Tipo de obra</w:t>
            </w:r>
          </w:p>
        </w:tc>
        <w:tc>
          <w:tcPr>
            <w:tcW w:w="2268"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14A8ACB3" w14:textId="77777777" w:rsidR="00EC4B36" w:rsidRPr="00E747B2" w:rsidRDefault="00EC4B36" w:rsidP="006B5A62">
            <w:pPr>
              <w:spacing w:before="20" w:after="20" w:line="240" w:lineRule="auto"/>
              <w:jc w:val="center"/>
              <w:rPr>
                <w:rFonts w:eastAsia="Times New Roman" w:cs="Calibri"/>
                <w:b/>
                <w:bCs/>
                <w:color w:val="000000"/>
                <w:sz w:val="22"/>
                <w:szCs w:val="22"/>
                <w:lang w:eastAsia="es-CL"/>
              </w:rPr>
            </w:pPr>
            <w:r w:rsidRPr="00E747B2">
              <w:rPr>
                <w:rFonts w:eastAsia="Times New Roman" w:cs="Calibri"/>
                <w:b/>
                <w:bCs/>
                <w:color w:val="000000"/>
                <w:sz w:val="22"/>
                <w:szCs w:val="22"/>
                <w:lang w:eastAsia="es-CL"/>
              </w:rPr>
              <w:t>Familia</w:t>
            </w:r>
          </w:p>
        </w:tc>
        <w:tc>
          <w:tcPr>
            <w:tcW w:w="1985"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25F61A2F" w14:textId="77777777" w:rsidR="00EC4B36" w:rsidRPr="00E747B2" w:rsidRDefault="00EC4B36" w:rsidP="006B5A62">
            <w:pPr>
              <w:spacing w:before="20" w:after="20" w:line="240" w:lineRule="auto"/>
              <w:jc w:val="center"/>
              <w:rPr>
                <w:rFonts w:eastAsia="Times New Roman" w:cs="Calibri"/>
                <w:b/>
                <w:bCs/>
                <w:color w:val="000000"/>
                <w:sz w:val="22"/>
                <w:szCs w:val="22"/>
                <w:lang w:eastAsia="es-CL"/>
              </w:rPr>
            </w:pPr>
            <w:r w:rsidRPr="00E747B2">
              <w:rPr>
                <w:rFonts w:eastAsia="Times New Roman" w:cs="Calibri"/>
                <w:b/>
                <w:bCs/>
                <w:color w:val="000000"/>
                <w:sz w:val="22"/>
                <w:szCs w:val="22"/>
                <w:lang w:eastAsia="es-CL"/>
              </w:rPr>
              <w:t>Plazo constructivo (meses)</w:t>
            </w:r>
          </w:p>
        </w:tc>
        <w:tc>
          <w:tcPr>
            <w:tcW w:w="1701"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6D5737AA" w14:textId="77777777" w:rsidR="00EC4B36" w:rsidRPr="00E747B2" w:rsidRDefault="00EC4B36" w:rsidP="006B5A62">
            <w:pPr>
              <w:spacing w:before="20" w:after="20" w:line="240" w:lineRule="auto"/>
              <w:jc w:val="center"/>
              <w:rPr>
                <w:rFonts w:eastAsia="Times New Roman" w:cs="Calibri"/>
                <w:b/>
                <w:bCs/>
                <w:color w:val="000000"/>
                <w:sz w:val="22"/>
                <w:szCs w:val="22"/>
                <w:lang w:eastAsia="es-CL"/>
              </w:rPr>
            </w:pPr>
            <w:r w:rsidRPr="00E747B2">
              <w:rPr>
                <w:rFonts w:eastAsia="Times New Roman" w:cs="Calibri"/>
                <w:b/>
                <w:bCs/>
                <w:color w:val="000000"/>
                <w:sz w:val="22"/>
                <w:szCs w:val="22"/>
                <w:lang w:eastAsia="es-CL"/>
              </w:rPr>
              <w:t>Gasto General (USD)</w:t>
            </w:r>
          </w:p>
        </w:tc>
      </w:tr>
      <w:tr w:rsidR="00EC4B36" w:rsidRPr="00BC38C2" w14:paraId="79615C00" w14:textId="77777777" w:rsidTr="006B5A62">
        <w:trPr>
          <w:jc w:val="center"/>
        </w:trPr>
        <w:tc>
          <w:tcPr>
            <w:tcW w:w="142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4761044" w14:textId="77777777" w:rsidR="00EC4B36" w:rsidRPr="00E747B2" w:rsidRDefault="00EC4B36" w:rsidP="006B5A62">
            <w:pPr>
              <w:spacing w:before="20" w:after="20" w:line="240" w:lineRule="auto"/>
              <w:jc w:val="center"/>
              <w:rPr>
                <w:rFonts w:eastAsia="Times New Roman" w:cs="Calibri"/>
                <w:color w:val="000000"/>
                <w:sz w:val="22"/>
                <w:szCs w:val="22"/>
                <w:lang w:eastAsia="es-CL"/>
              </w:rPr>
            </w:pPr>
            <w:r w:rsidRPr="00E747B2">
              <w:rPr>
                <w:rFonts w:eastAsia="Times New Roman" w:cs="Calibri"/>
                <w:color w:val="000000"/>
                <w:sz w:val="22"/>
                <w:szCs w:val="22"/>
                <w:lang w:eastAsia="es-CL"/>
              </w:rPr>
              <w:t>Líneas</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05AF97C" w14:textId="77777777" w:rsidR="00EC4B36" w:rsidRPr="00E747B2" w:rsidRDefault="00EC4B36" w:rsidP="006B5A62">
            <w:pPr>
              <w:spacing w:before="20" w:after="20" w:line="240" w:lineRule="auto"/>
              <w:jc w:val="center"/>
              <w:rPr>
                <w:rFonts w:eastAsia="Times New Roman" w:cs="Calibri"/>
                <w:color w:val="000000"/>
                <w:sz w:val="22"/>
                <w:szCs w:val="22"/>
                <w:lang w:eastAsia="es-CL"/>
              </w:rPr>
            </w:pPr>
            <w:r w:rsidRPr="00E747B2">
              <w:rPr>
                <w:rFonts w:eastAsia="Times New Roman" w:cs="Calibri"/>
                <w:color w:val="000000"/>
                <w:sz w:val="22"/>
                <w:szCs w:val="22"/>
                <w:lang w:eastAsia="es-CL"/>
              </w:rPr>
              <w:t>Entre 0 y 5 km</w:t>
            </w:r>
          </w:p>
        </w:tc>
        <w:tc>
          <w:tcPr>
            <w:tcW w:w="19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D2202C1" w14:textId="77777777" w:rsidR="00EC4B36" w:rsidRPr="00E747B2" w:rsidRDefault="00EC4B36" w:rsidP="006B5A62">
            <w:pPr>
              <w:spacing w:before="20" w:after="20" w:line="240" w:lineRule="auto"/>
              <w:jc w:val="center"/>
              <w:rPr>
                <w:rFonts w:eastAsia="Times New Roman" w:cs="Calibri"/>
                <w:color w:val="000000"/>
                <w:sz w:val="22"/>
                <w:szCs w:val="22"/>
                <w:lang w:eastAsia="es-CL"/>
              </w:rPr>
            </w:pPr>
            <w:r w:rsidRPr="00E747B2">
              <w:rPr>
                <w:rFonts w:eastAsia="Times New Roman" w:cs="Calibri"/>
                <w:color w:val="000000"/>
                <w:sz w:val="22"/>
                <w:szCs w:val="22"/>
                <w:lang w:eastAsia="es-CL"/>
              </w:rPr>
              <w:t>6</w:t>
            </w:r>
          </w:p>
        </w:tc>
        <w:tc>
          <w:tcPr>
            <w:tcW w:w="17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CD097EE" w14:textId="77777777" w:rsidR="00EC4B36" w:rsidRPr="00E747B2" w:rsidRDefault="00EC4B36" w:rsidP="006B5A62">
            <w:pPr>
              <w:spacing w:before="20" w:after="20" w:line="240" w:lineRule="auto"/>
              <w:ind w:right="113"/>
              <w:jc w:val="right"/>
              <w:rPr>
                <w:rFonts w:eastAsia="Times New Roman" w:cs="Calibri"/>
                <w:color w:val="000000"/>
                <w:sz w:val="22"/>
                <w:szCs w:val="22"/>
                <w:lang w:eastAsia="es-CL"/>
              </w:rPr>
            </w:pPr>
            <w:r w:rsidRPr="00E747B2">
              <w:rPr>
                <w:rFonts w:cs="Calibri"/>
                <w:color w:val="000000"/>
                <w:sz w:val="22"/>
                <w:szCs w:val="22"/>
              </w:rPr>
              <w:t xml:space="preserve">         131.125 </w:t>
            </w:r>
          </w:p>
        </w:tc>
      </w:tr>
      <w:tr w:rsidR="00EC4B36" w:rsidRPr="00BC38C2" w14:paraId="20403B69" w14:textId="77777777" w:rsidTr="006B5A62">
        <w:trPr>
          <w:jc w:val="center"/>
        </w:trPr>
        <w:tc>
          <w:tcPr>
            <w:tcW w:w="1420" w:type="dxa"/>
            <w:vMerge/>
            <w:tcBorders>
              <w:top w:val="single" w:sz="4" w:space="0" w:color="auto"/>
              <w:left w:val="single" w:sz="4" w:space="0" w:color="auto"/>
              <w:bottom w:val="single" w:sz="4" w:space="0" w:color="auto"/>
              <w:right w:val="single" w:sz="4" w:space="0" w:color="auto"/>
            </w:tcBorders>
            <w:vAlign w:val="center"/>
            <w:hideMark/>
          </w:tcPr>
          <w:p w14:paraId="27136456" w14:textId="77777777" w:rsidR="00EC4B36" w:rsidRPr="00E747B2" w:rsidRDefault="00EC4B36" w:rsidP="006B5A62">
            <w:pPr>
              <w:spacing w:before="20" w:after="20" w:line="240" w:lineRule="auto"/>
              <w:jc w:val="center"/>
              <w:rPr>
                <w:rFonts w:eastAsia="Times New Roman" w:cs="Calibri"/>
                <w:color w:val="000000"/>
                <w:sz w:val="22"/>
                <w:szCs w:val="22"/>
                <w:lang w:eastAsia="es-CL"/>
              </w:rPr>
            </w:pP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DFD0625" w14:textId="77777777" w:rsidR="00EC4B36" w:rsidRPr="00E747B2" w:rsidRDefault="00EC4B36" w:rsidP="006B5A62">
            <w:pPr>
              <w:spacing w:before="20" w:after="20" w:line="240" w:lineRule="auto"/>
              <w:jc w:val="center"/>
              <w:rPr>
                <w:rFonts w:eastAsia="Times New Roman" w:cs="Calibri"/>
                <w:color w:val="000000"/>
                <w:sz w:val="22"/>
                <w:szCs w:val="22"/>
                <w:lang w:eastAsia="es-CL"/>
              </w:rPr>
            </w:pPr>
            <w:r w:rsidRPr="00E747B2">
              <w:rPr>
                <w:rFonts w:eastAsia="Times New Roman" w:cs="Calibri"/>
                <w:color w:val="000000"/>
                <w:sz w:val="22"/>
                <w:szCs w:val="22"/>
                <w:lang w:eastAsia="es-CL"/>
              </w:rPr>
              <w:t>Entre 5 y 25 km</w:t>
            </w:r>
          </w:p>
        </w:tc>
        <w:tc>
          <w:tcPr>
            <w:tcW w:w="19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EE1772E" w14:textId="77777777" w:rsidR="00EC4B36" w:rsidRPr="00E747B2" w:rsidRDefault="00EC4B36" w:rsidP="006B5A62">
            <w:pPr>
              <w:spacing w:before="20" w:after="20" w:line="240" w:lineRule="auto"/>
              <w:jc w:val="center"/>
              <w:rPr>
                <w:rFonts w:eastAsia="Times New Roman" w:cs="Calibri"/>
                <w:color w:val="000000"/>
                <w:sz w:val="22"/>
                <w:szCs w:val="22"/>
                <w:lang w:eastAsia="es-CL"/>
              </w:rPr>
            </w:pPr>
            <w:r w:rsidRPr="00E747B2">
              <w:rPr>
                <w:rFonts w:eastAsia="Times New Roman" w:cs="Calibri"/>
                <w:color w:val="000000"/>
                <w:sz w:val="22"/>
                <w:szCs w:val="22"/>
                <w:lang w:eastAsia="es-CL"/>
              </w:rPr>
              <w:t>12</w:t>
            </w:r>
          </w:p>
        </w:tc>
        <w:tc>
          <w:tcPr>
            <w:tcW w:w="17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AA61354" w14:textId="77777777" w:rsidR="00EC4B36" w:rsidRPr="00E747B2" w:rsidRDefault="00EC4B36" w:rsidP="006B5A62">
            <w:pPr>
              <w:spacing w:before="20" w:after="20" w:line="240" w:lineRule="auto"/>
              <w:ind w:right="113"/>
              <w:jc w:val="right"/>
              <w:rPr>
                <w:rFonts w:eastAsia="Times New Roman" w:cs="Calibri"/>
                <w:color w:val="000000"/>
                <w:sz w:val="22"/>
                <w:szCs w:val="22"/>
                <w:lang w:eastAsia="es-CL"/>
              </w:rPr>
            </w:pPr>
            <w:r w:rsidRPr="00E747B2">
              <w:rPr>
                <w:rFonts w:cs="Calibri"/>
                <w:color w:val="000000"/>
                <w:sz w:val="22"/>
                <w:szCs w:val="22"/>
              </w:rPr>
              <w:t xml:space="preserve">         311.070 </w:t>
            </w:r>
          </w:p>
        </w:tc>
      </w:tr>
      <w:tr w:rsidR="00EC4B36" w:rsidRPr="00BC38C2" w14:paraId="76F10C04" w14:textId="77777777" w:rsidTr="006B5A62">
        <w:trPr>
          <w:jc w:val="center"/>
        </w:trPr>
        <w:tc>
          <w:tcPr>
            <w:tcW w:w="1420" w:type="dxa"/>
            <w:vMerge/>
            <w:tcBorders>
              <w:top w:val="single" w:sz="4" w:space="0" w:color="auto"/>
              <w:left w:val="single" w:sz="4" w:space="0" w:color="auto"/>
              <w:bottom w:val="single" w:sz="4" w:space="0" w:color="auto"/>
              <w:right w:val="single" w:sz="4" w:space="0" w:color="auto"/>
            </w:tcBorders>
            <w:vAlign w:val="center"/>
            <w:hideMark/>
          </w:tcPr>
          <w:p w14:paraId="5B33DFF8" w14:textId="77777777" w:rsidR="00EC4B36" w:rsidRPr="00E747B2" w:rsidRDefault="00EC4B36" w:rsidP="006B5A62">
            <w:pPr>
              <w:spacing w:before="20" w:after="20" w:line="240" w:lineRule="auto"/>
              <w:jc w:val="center"/>
              <w:rPr>
                <w:rFonts w:eastAsia="Times New Roman" w:cs="Calibri"/>
                <w:color w:val="000000"/>
                <w:sz w:val="22"/>
                <w:szCs w:val="22"/>
                <w:lang w:eastAsia="es-CL"/>
              </w:rPr>
            </w:pP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024091A" w14:textId="77777777" w:rsidR="00EC4B36" w:rsidRPr="00E747B2" w:rsidRDefault="00EC4B36" w:rsidP="006B5A62">
            <w:pPr>
              <w:spacing w:before="20" w:after="20" w:line="240" w:lineRule="auto"/>
              <w:jc w:val="center"/>
              <w:rPr>
                <w:rFonts w:eastAsia="Times New Roman" w:cs="Calibri"/>
                <w:color w:val="000000"/>
                <w:sz w:val="22"/>
                <w:szCs w:val="22"/>
                <w:lang w:eastAsia="es-CL"/>
              </w:rPr>
            </w:pPr>
            <w:r w:rsidRPr="00E747B2">
              <w:rPr>
                <w:rFonts w:eastAsia="Times New Roman" w:cs="Calibri"/>
                <w:color w:val="000000"/>
                <w:sz w:val="22"/>
                <w:szCs w:val="22"/>
                <w:lang w:eastAsia="es-CL"/>
              </w:rPr>
              <w:t>Entre 25 y 50 km</w:t>
            </w:r>
          </w:p>
        </w:tc>
        <w:tc>
          <w:tcPr>
            <w:tcW w:w="19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17E2CBF" w14:textId="77777777" w:rsidR="00EC4B36" w:rsidRPr="00E747B2" w:rsidRDefault="00EC4B36" w:rsidP="006B5A62">
            <w:pPr>
              <w:spacing w:before="20" w:after="20" w:line="240" w:lineRule="auto"/>
              <w:jc w:val="center"/>
              <w:rPr>
                <w:rFonts w:eastAsia="Times New Roman" w:cs="Calibri"/>
                <w:color w:val="000000"/>
                <w:sz w:val="22"/>
                <w:szCs w:val="22"/>
                <w:lang w:eastAsia="es-CL"/>
              </w:rPr>
            </w:pPr>
            <w:r w:rsidRPr="00E747B2">
              <w:rPr>
                <w:rFonts w:eastAsia="Times New Roman" w:cs="Calibri"/>
                <w:color w:val="000000"/>
                <w:sz w:val="22"/>
                <w:szCs w:val="22"/>
                <w:lang w:eastAsia="es-CL"/>
              </w:rPr>
              <w:t>18</w:t>
            </w:r>
          </w:p>
        </w:tc>
        <w:tc>
          <w:tcPr>
            <w:tcW w:w="17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087706E" w14:textId="77777777" w:rsidR="00EC4B36" w:rsidRPr="00E747B2" w:rsidRDefault="00EC4B36" w:rsidP="006B5A62">
            <w:pPr>
              <w:spacing w:before="20" w:after="20" w:line="240" w:lineRule="auto"/>
              <w:ind w:right="113"/>
              <w:jc w:val="right"/>
              <w:rPr>
                <w:rFonts w:eastAsia="Times New Roman" w:cs="Calibri"/>
                <w:color w:val="000000"/>
                <w:sz w:val="22"/>
                <w:szCs w:val="22"/>
                <w:lang w:eastAsia="es-CL"/>
              </w:rPr>
            </w:pPr>
            <w:r w:rsidRPr="00E747B2">
              <w:rPr>
                <w:rFonts w:cs="Calibri"/>
                <w:color w:val="000000"/>
                <w:sz w:val="22"/>
                <w:szCs w:val="22"/>
              </w:rPr>
              <w:t xml:space="preserve">         630.151 </w:t>
            </w:r>
          </w:p>
        </w:tc>
      </w:tr>
      <w:tr w:rsidR="00EC4B36" w:rsidRPr="00BC38C2" w14:paraId="758AE14D" w14:textId="77777777" w:rsidTr="006B5A62">
        <w:trPr>
          <w:jc w:val="center"/>
        </w:trPr>
        <w:tc>
          <w:tcPr>
            <w:tcW w:w="1420" w:type="dxa"/>
            <w:vMerge/>
            <w:tcBorders>
              <w:top w:val="single" w:sz="4" w:space="0" w:color="auto"/>
              <w:left w:val="single" w:sz="4" w:space="0" w:color="auto"/>
              <w:bottom w:val="single" w:sz="4" w:space="0" w:color="auto"/>
              <w:right w:val="single" w:sz="4" w:space="0" w:color="auto"/>
            </w:tcBorders>
            <w:vAlign w:val="center"/>
            <w:hideMark/>
          </w:tcPr>
          <w:p w14:paraId="1866F06A" w14:textId="77777777" w:rsidR="00EC4B36" w:rsidRPr="00E747B2" w:rsidRDefault="00EC4B36" w:rsidP="006B5A62">
            <w:pPr>
              <w:spacing w:before="20" w:after="20" w:line="240" w:lineRule="auto"/>
              <w:jc w:val="center"/>
              <w:rPr>
                <w:rFonts w:eastAsia="Times New Roman" w:cs="Calibri"/>
                <w:color w:val="000000"/>
                <w:sz w:val="22"/>
                <w:szCs w:val="22"/>
                <w:lang w:eastAsia="es-CL"/>
              </w:rPr>
            </w:pP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021C8D5" w14:textId="77777777" w:rsidR="00EC4B36" w:rsidRPr="00E747B2" w:rsidRDefault="00EC4B36" w:rsidP="006B5A62">
            <w:pPr>
              <w:spacing w:before="20" w:after="20" w:line="240" w:lineRule="auto"/>
              <w:jc w:val="center"/>
              <w:rPr>
                <w:rFonts w:eastAsia="Times New Roman" w:cs="Calibri"/>
                <w:color w:val="000000"/>
                <w:sz w:val="22"/>
                <w:szCs w:val="22"/>
                <w:lang w:eastAsia="es-CL"/>
              </w:rPr>
            </w:pPr>
            <w:r w:rsidRPr="00E747B2">
              <w:rPr>
                <w:rFonts w:eastAsia="Times New Roman" w:cs="Calibri"/>
                <w:color w:val="000000"/>
                <w:sz w:val="22"/>
                <w:szCs w:val="22"/>
                <w:lang w:eastAsia="es-CL"/>
              </w:rPr>
              <w:t>Entre 50 km y 100 km</w:t>
            </w:r>
          </w:p>
        </w:tc>
        <w:tc>
          <w:tcPr>
            <w:tcW w:w="19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B22614D" w14:textId="77777777" w:rsidR="00EC4B36" w:rsidRPr="00E747B2" w:rsidRDefault="00EC4B36" w:rsidP="006B5A62">
            <w:pPr>
              <w:spacing w:before="20" w:after="20" w:line="240" w:lineRule="auto"/>
              <w:jc w:val="center"/>
              <w:rPr>
                <w:rFonts w:eastAsia="Times New Roman" w:cs="Calibri"/>
                <w:color w:val="000000"/>
                <w:sz w:val="22"/>
                <w:szCs w:val="22"/>
                <w:lang w:eastAsia="es-CL"/>
              </w:rPr>
            </w:pPr>
            <w:r w:rsidRPr="00E747B2">
              <w:rPr>
                <w:rFonts w:eastAsia="Times New Roman" w:cs="Calibri"/>
                <w:color w:val="000000"/>
                <w:sz w:val="22"/>
                <w:szCs w:val="22"/>
                <w:lang w:eastAsia="es-CL"/>
              </w:rPr>
              <w:t>24</w:t>
            </w:r>
          </w:p>
        </w:tc>
        <w:tc>
          <w:tcPr>
            <w:tcW w:w="17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0FBC395" w14:textId="77777777" w:rsidR="00EC4B36" w:rsidRPr="00E747B2" w:rsidRDefault="00EC4B36" w:rsidP="006B5A62">
            <w:pPr>
              <w:spacing w:before="20" w:after="20" w:line="240" w:lineRule="auto"/>
              <w:ind w:right="113"/>
              <w:jc w:val="right"/>
              <w:rPr>
                <w:rFonts w:eastAsia="Times New Roman" w:cs="Calibri"/>
                <w:color w:val="000000"/>
                <w:sz w:val="22"/>
                <w:szCs w:val="22"/>
                <w:lang w:eastAsia="es-CL"/>
              </w:rPr>
            </w:pPr>
            <w:r w:rsidRPr="00E747B2">
              <w:rPr>
                <w:rFonts w:cs="Calibri"/>
                <w:color w:val="000000"/>
                <w:sz w:val="22"/>
                <w:szCs w:val="22"/>
              </w:rPr>
              <w:t xml:space="preserve">      1.099.803 </w:t>
            </w:r>
          </w:p>
        </w:tc>
      </w:tr>
      <w:tr w:rsidR="00EC4B36" w:rsidRPr="00BC38C2" w14:paraId="6F67B105" w14:textId="77777777" w:rsidTr="006B5A62">
        <w:trPr>
          <w:jc w:val="center"/>
        </w:trPr>
        <w:tc>
          <w:tcPr>
            <w:tcW w:w="1420" w:type="dxa"/>
            <w:vMerge/>
            <w:tcBorders>
              <w:top w:val="single" w:sz="4" w:space="0" w:color="auto"/>
              <w:left w:val="single" w:sz="4" w:space="0" w:color="auto"/>
              <w:bottom w:val="single" w:sz="4" w:space="0" w:color="auto"/>
              <w:right w:val="single" w:sz="4" w:space="0" w:color="auto"/>
            </w:tcBorders>
            <w:vAlign w:val="center"/>
            <w:hideMark/>
          </w:tcPr>
          <w:p w14:paraId="6BF22D53" w14:textId="77777777" w:rsidR="00EC4B36" w:rsidRPr="00E747B2" w:rsidRDefault="00EC4B36" w:rsidP="006B5A62">
            <w:pPr>
              <w:spacing w:before="20" w:after="20" w:line="240" w:lineRule="auto"/>
              <w:jc w:val="center"/>
              <w:rPr>
                <w:rFonts w:eastAsia="Times New Roman" w:cs="Calibri"/>
                <w:color w:val="000000"/>
                <w:sz w:val="22"/>
                <w:szCs w:val="22"/>
                <w:lang w:eastAsia="es-CL"/>
              </w:rPr>
            </w:pP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4C1A7A3" w14:textId="77777777" w:rsidR="00EC4B36" w:rsidRPr="00E747B2" w:rsidRDefault="00EC4B36" w:rsidP="006B5A62">
            <w:pPr>
              <w:spacing w:before="20" w:after="20" w:line="240" w:lineRule="auto"/>
              <w:jc w:val="center"/>
              <w:rPr>
                <w:rFonts w:eastAsia="Times New Roman" w:cs="Calibri"/>
                <w:color w:val="000000"/>
                <w:sz w:val="22"/>
                <w:szCs w:val="22"/>
                <w:lang w:eastAsia="es-CL"/>
              </w:rPr>
            </w:pPr>
            <w:r w:rsidRPr="00E747B2">
              <w:rPr>
                <w:rFonts w:eastAsia="Times New Roman" w:cs="Calibri"/>
                <w:color w:val="000000"/>
                <w:sz w:val="22"/>
                <w:szCs w:val="22"/>
                <w:lang w:eastAsia="es-CL"/>
              </w:rPr>
              <w:t>Entre 100 km y 250 km</w:t>
            </w:r>
          </w:p>
        </w:tc>
        <w:tc>
          <w:tcPr>
            <w:tcW w:w="19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448F400" w14:textId="77777777" w:rsidR="00EC4B36" w:rsidRPr="00E747B2" w:rsidRDefault="00EC4B36" w:rsidP="006B5A62">
            <w:pPr>
              <w:spacing w:before="20" w:after="20" w:line="240" w:lineRule="auto"/>
              <w:jc w:val="center"/>
              <w:rPr>
                <w:rFonts w:eastAsia="Times New Roman" w:cs="Calibri"/>
                <w:color w:val="000000"/>
                <w:sz w:val="22"/>
                <w:szCs w:val="22"/>
                <w:lang w:eastAsia="es-CL"/>
              </w:rPr>
            </w:pPr>
            <w:r w:rsidRPr="00E747B2">
              <w:rPr>
                <w:rFonts w:eastAsia="Times New Roman" w:cs="Calibri"/>
                <w:color w:val="000000"/>
                <w:sz w:val="22"/>
                <w:szCs w:val="22"/>
                <w:lang w:eastAsia="es-CL"/>
              </w:rPr>
              <w:t>30</w:t>
            </w:r>
          </w:p>
        </w:tc>
        <w:tc>
          <w:tcPr>
            <w:tcW w:w="17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DC59166" w14:textId="77777777" w:rsidR="00EC4B36" w:rsidRPr="00E747B2" w:rsidRDefault="00EC4B36" w:rsidP="006B5A62">
            <w:pPr>
              <w:spacing w:before="20" w:after="20" w:line="240" w:lineRule="auto"/>
              <w:ind w:right="113"/>
              <w:jc w:val="right"/>
              <w:rPr>
                <w:rFonts w:eastAsia="Times New Roman" w:cs="Calibri"/>
                <w:color w:val="000000"/>
                <w:sz w:val="22"/>
                <w:szCs w:val="22"/>
                <w:lang w:eastAsia="es-CL"/>
              </w:rPr>
            </w:pPr>
            <w:r w:rsidRPr="00E747B2">
              <w:rPr>
                <w:rFonts w:cs="Calibri"/>
                <w:color w:val="000000"/>
                <w:sz w:val="22"/>
                <w:szCs w:val="22"/>
              </w:rPr>
              <w:t xml:space="preserve">      1.677.294 </w:t>
            </w:r>
          </w:p>
        </w:tc>
      </w:tr>
      <w:tr w:rsidR="00EC4B36" w:rsidRPr="00BC38C2" w14:paraId="197C5473" w14:textId="77777777" w:rsidTr="006B5A62">
        <w:trPr>
          <w:jc w:val="center"/>
        </w:trPr>
        <w:tc>
          <w:tcPr>
            <w:tcW w:w="1420" w:type="dxa"/>
            <w:vMerge/>
            <w:tcBorders>
              <w:top w:val="single" w:sz="4" w:space="0" w:color="auto"/>
              <w:left w:val="single" w:sz="4" w:space="0" w:color="auto"/>
              <w:bottom w:val="single" w:sz="4" w:space="0" w:color="auto"/>
              <w:right w:val="single" w:sz="4" w:space="0" w:color="auto"/>
            </w:tcBorders>
            <w:vAlign w:val="center"/>
            <w:hideMark/>
          </w:tcPr>
          <w:p w14:paraId="77FF0B24" w14:textId="77777777" w:rsidR="00EC4B36" w:rsidRPr="00E747B2" w:rsidRDefault="00EC4B36" w:rsidP="006B5A62">
            <w:pPr>
              <w:spacing w:before="20" w:after="20" w:line="240" w:lineRule="auto"/>
              <w:jc w:val="center"/>
              <w:rPr>
                <w:rFonts w:eastAsia="Times New Roman" w:cs="Calibri"/>
                <w:color w:val="000000"/>
                <w:sz w:val="22"/>
                <w:szCs w:val="22"/>
                <w:lang w:eastAsia="es-CL"/>
              </w:rPr>
            </w:pP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E5B6DBA" w14:textId="77777777" w:rsidR="00EC4B36" w:rsidRPr="00E747B2" w:rsidRDefault="00EC4B36" w:rsidP="006B5A62">
            <w:pPr>
              <w:spacing w:before="20" w:after="20" w:line="240" w:lineRule="auto"/>
              <w:jc w:val="center"/>
              <w:rPr>
                <w:rFonts w:eastAsia="Times New Roman" w:cs="Calibri"/>
                <w:color w:val="000000"/>
                <w:sz w:val="22"/>
                <w:szCs w:val="22"/>
                <w:lang w:eastAsia="es-CL"/>
              </w:rPr>
            </w:pPr>
            <w:r w:rsidRPr="00E747B2">
              <w:rPr>
                <w:rFonts w:eastAsia="Times New Roman" w:cs="Calibri"/>
                <w:color w:val="000000"/>
                <w:sz w:val="22"/>
                <w:szCs w:val="22"/>
                <w:lang w:eastAsia="es-CL"/>
              </w:rPr>
              <w:t>Mayor a 250 km</w:t>
            </w:r>
          </w:p>
        </w:tc>
        <w:tc>
          <w:tcPr>
            <w:tcW w:w="19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48D1F9B" w14:textId="77777777" w:rsidR="00EC4B36" w:rsidRPr="00E747B2" w:rsidRDefault="00EC4B36" w:rsidP="006B5A62">
            <w:pPr>
              <w:spacing w:before="20" w:after="20" w:line="240" w:lineRule="auto"/>
              <w:jc w:val="center"/>
              <w:rPr>
                <w:rFonts w:eastAsia="Times New Roman" w:cs="Calibri"/>
                <w:color w:val="000000"/>
                <w:sz w:val="22"/>
                <w:szCs w:val="22"/>
                <w:lang w:eastAsia="es-CL"/>
              </w:rPr>
            </w:pPr>
            <w:r w:rsidRPr="00E747B2">
              <w:rPr>
                <w:rFonts w:eastAsia="Times New Roman" w:cs="Calibri"/>
                <w:color w:val="000000"/>
                <w:sz w:val="22"/>
                <w:szCs w:val="22"/>
                <w:lang w:eastAsia="es-CL"/>
              </w:rPr>
              <w:t>36</w:t>
            </w:r>
          </w:p>
        </w:tc>
        <w:tc>
          <w:tcPr>
            <w:tcW w:w="17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5026F81" w14:textId="77777777" w:rsidR="00EC4B36" w:rsidRPr="00E747B2" w:rsidRDefault="00EC4B36" w:rsidP="006B5A62">
            <w:pPr>
              <w:spacing w:before="20" w:after="20" w:line="240" w:lineRule="auto"/>
              <w:ind w:right="113"/>
              <w:jc w:val="right"/>
              <w:rPr>
                <w:rFonts w:eastAsia="Times New Roman" w:cs="Calibri"/>
                <w:color w:val="000000"/>
                <w:sz w:val="22"/>
                <w:szCs w:val="22"/>
                <w:lang w:eastAsia="es-CL"/>
              </w:rPr>
            </w:pPr>
            <w:r w:rsidRPr="00E747B2">
              <w:rPr>
                <w:rFonts w:cs="Calibri"/>
                <w:color w:val="000000"/>
                <w:sz w:val="22"/>
                <w:szCs w:val="22"/>
              </w:rPr>
              <w:t xml:space="preserve">      2.491.730 </w:t>
            </w:r>
          </w:p>
        </w:tc>
      </w:tr>
    </w:tbl>
    <w:p w14:paraId="51C0762D" w14:textId="77777777" w:rsidR="00EC4B36" w:rsidRDefault="00EC4B36" w:rsidP="00EC4B36">
      <w:pPr>
        <w:spacing w:after="0"/>
      </w:pPr>
    </w:p>
    <w:p w14:paraId="5F82713D" w14:textId="77777777" w:rsidR="00EC4B36" w:rsidRPr="00BC38C2" w:rsidRDefault="00EC4B36" w:rsidP="00EC4B36">
      <w:pPr>
        <w:pStyle w:val="Subttulo"/>
      </w:pPr>
      <w:bookmarkStart w:id="129" w:name="_Toc37937985"/>
      <w:bookmarkStart w:id="130" w:name="_Toc38047815"/>
      <w:bookmarkStart w:id="131" w:name="_Toc39795249"/>
      <w:bookmarkStart w:id="132" w:name="_Toc39797929"/>
      <w:r w:rsidRPr="00BC38C2">
        <w:t xml:space="preserve">Tabla </w:t>
      </w:r>
      <w:fldSimple w:instr=" SEQ Tabla \* ARABIC ">
        <w:r w:rsidR="001F3E2E">
          <w:rPr>
            <w:noProof/>
          </w:rPr>
          <w:t>19</w:t>
        </w:r>
      </w:fldSimple>
      <w:r>
        <w:rPr>
          <w:noProof/>
        </w:rPr>
        <w:t>:</w:t>
      </w:r>
      <w:r w:rsidRPr="00BC38C2">
        <w:t xml:space="preserve"> Gasto general para subestaciones</w:t>
      </w:r>
      <w:bookmarkEnd w:id="129"/>
      <w:bookmarkEnd w:id="130"/>
      <w:bookmarkEnd w:id="131"/>
      <w:bookmarkEnd w:id="132"/>
    </w:p>
    <w:tbl>
      <w:tblPr>
        <w:tblW w:w="7371" w:type="dxa"/>
        <w:jc w:val="center"/>
        <w:tblLayout w:type="fixed"/>
        <w:tblCellMar>
          <w:left w:w="57" w:type="dxa"/>
          <w:right w:w="57" w:type="dxa"/>
        </w:tblCellMar>
        <w:tblLook w:val="04A0" w:firstRow="1" w:lastRow="0" w:firstColumn="1" w:lastColumn="0" w:noHBand="0" w:noVBand="1"/>
      </w:tblPr>
      <w:tblGrid>
        <w:gridCol w:w="1701"/>
        <w:gridCol w:w="1701"/>
        <w:gridCol w:w="2268"/>
        <w:gridCol w:w="1701"/>
      </w:tblGrid>
      <w:tr w:rsidR="00EC4B36" w:rsidRPr="006310DC" w14:paraId="72315FB0" w14:textId="77777777" w:rsidTr="006B5A62">
        <w:trPr>
          <w:jc w:val="center"/>
        </w:trPr>
        <w:tc>
          <w:tcPr>
            <w:tcW w:w="1701"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2A3F29A6" w14:textId="77777777" w:rsidR="00EC4B36" w:rsidRPr="006310DC" w:rsidRDefault="00EC4B36" w:rsidP="006B5A62">
            <w:pPr>
              <w:spacing w:before="20" w:after="20" w:line="240" w:lineRule="auto"/>
              <w:jc w:val="center"/>
              <w:rPr>
                <w:rFonts w:eastAsia="Times New Roman" w:cs="Calibri"/>
                <w:b/>
                <w:bCs/>
                <w:color w:val="000000"/>
                <w:sz w:val="22"/>
                <w:szCs w:val="22"/>
                <w:lang w:eastAsia="es-CL"/>
              </w:rPr>
            </w:pPr>
            <w:r w:rsidRPr="006310DC">
              <w:rPr>
                <w:rFonts w:eastAsia="Times New Roman" w:cs="Calibri"/>
                <w:b/>
                <w:bCs/>
                <w:color w:val="000000"/>
                <w:sz w:val="22"/>
                <w:szCs w:val="22"/>
                <w:lang w:eastAsia="es-CL"/>
              </w:rPr>
              <w:t>Tipo de obra</w:t>
            </w:r>
          </w:p>
        </w:tc>
        <w:tc>
          <w:tcPr>
            <w:tcW w:w="1701"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542D7BC7" w14:textId="77777777" w:rsidR="00EC4B36" w:rsidRPr="006310DC" w:rsidRDefault="00EC4B36" w:rsidP="006B5A62">
            <w:pPr>
              <w:spacing w:before="20" w:after="20" w:line="240" w:lineRule="auto"/>
              <w:jc w:val="center"/>
              <w:rPr>
                <w:rFonts w:eastAsia="Times New Roman" w:cs="Calibri"/>
                <w:b/>
                <w:bCs/>
                <w:color w:val="000000"/>
                <w:sz w:val="22"/>
                <w:szCs w:val="22"/>
                <w:lang w:eastAsia="es-CL"/>
              </w:rPr>
            </w:pPr>
            <w:r w:rsidRPr="006310DC">
              <w:rPr>
                <w:rFonts w:eastAsia="Times New Roman" w:cs="Calibri"/>
                <w:b/>
                <w:bCs/>
                <w:color w:val="000000"/>
                <w:sz w:val="22"/>
                <w:szCs w:val="22"/>
                <w:lang w:eastAsia="es-CL"/>
              </w:rPr>
              <w:t>Familia</w:t>
            </w:r>
          </w:p>
        </w:tc>
        <w:tc>
          <w:tcPr>
            <w:tcW w:w="2268"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6FF25D27" w14:textId="77777777" w:rsidR="00EC4B36" w:rsidRPr="006310DC" w:rsidRDefault="00EC4B36" w:rsidP="006B5A62">
            <w:pPr>
              <w:spacing w:before="20" w:after="20" w:line="240" w:lineRule="auto"/>
              <w:jc w:val="center"/>
              <w:rPr>
                <w:rFonts w:eastAsia="Times New Roman" w:cs="Calibri"/>
                <w:b/>
                <w:bCs/>
                <w:color w:val="000000"/>
                <w:sz w:val="22"/>
                <w:szCs w:val="22"/>
                <w:lang w:eastAsia="es-CL"/>
              </w:rPr>
            </w:pPr>
            <w:r w:rsidRPr="006310DC">
              <w:rPr>
                <w:rFonts w:eastAsia="Times New Roman" w:cs="Calibri"/>
                <w:b/>
                <w:bCs/>
                <w:color w:val="000000"/>
                <w:sz w:val="22"/>
                <w:szCs w:val="22"/>
                <w:lang w:eastAsia="es-CL"/>
              </w:rPr>
              <w:t xml:space="preserve">Plazo constructivo </w:t>
            </w:r>
          </w:p>
        </w:tc>
        <w:tc>
          <w:tcPr>
            <w:tcW w:w="1701"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3FEC9588" w14:textId="77777777" w:rsidR="00EC4B36" w:rsidRPr="006310DC" w:rsidRDefault="00EC4B36" w:rsidP="006B5A62">
            <w:pPr>
              <w:spacing w:before="20" w:after="20" w:line="240" w:lineRule="auto"/>
              <w:jc w:val="center"/>
              <w:rPr>
                <w:rFonts w:eastAsia="Times New Roman" w:cs="Calibri"/>
                <w:b/>
                <w:bCs/>
                <w:color w:val="000000"/>
                <w:sz w:val="22"/>
                <w:szCs w:val="22"/>
                <w:lang w:eastAsia="es-CL"/>
              </w:rPr>
            </w:pPr>
            <w:r w:rsidRPr="006310DC">
              <w:rPr>
                <w:rFonts w:eastAsia="Times New Roman" w:cs="Calibri"/>
                <w:b/>
                <w:bCs/>
                <w:color w:val="000000"/>
                <w:sz w:val="22"/>
                <w:szCs w:val="22"/>
                <w:lang w:eastAsia="es-CL"/>
              </w:rPr>
              <w:t>Gasto General</w:t>
            </w:r>
          </w:p>
        </w:tc>
      </w:tr>
      <w:tr w:rsidR="00EC4B36" w:rsidRPr="006310DC" w14:paraId="77450EEA" w14:textId="77777777" w:rsidTr="006B5A62">
        <w:trPr>
          <w:jc w:val="center"/>
        </w:trPr>
        <w:tc>
          <w:tcPr>
            <w:tcW w:w="170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B30E89B" w14:textId="77777777" w:rsidR="00EC4B36" w:rsidRPr="006310DC" w:rsidRDefault="00EC4B36" w:rsidP="006B5A62">
            <w:pPr>
              <w:spacing w:before="20" w:after="20" w:line="240" w:lineRule="auto"/>
              <w:jc w:val="center"/>
              <w:rPr>
                <w:rFonts w:eastAsia="Times New Roman" w:cs="Calibri"/>
                <w:color w:val="000000"/>
                <w:sz w:val="22"/>
                <w:szCs w:val="22"/>
                <w:lang w:eastAsia="es-CL"/>
              </w:rPr>
            </w:pPr>
            <w:r w:rsidRPr="006310DC">
              <w:rPr>
                <w:rFonts w:eastAsia="Times New Roman" w:cs="Calibri"/>
                <w:color w:val="000000"/>
                <w:sz w:val="22"/>
                <w:szCs w:val="22"/>
                <w:lang w:eastAsia="es-CL"/>
              </w:rPr>
              <w:t>SSEE</w:t>
            </w:r>
          </w:p>
        </w:tc>
        <w:tc>
          <w:tcPr>
            <w:tcW w:w="170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E58844F" w14:textId="77777777" w:rsidR="00EC4B36" w:rsidRPr="006310DC" w:rsidRDefault="00EC4B36" w:rsidP="006B5A62">
            <w:pPr>
              <w:spacing w:before="20" w:after="20" w:line="240" w:lineRule="auto"/>
              <w:jc w:val="center"/>
              <w:rPr>
                <w:rFonts w:eastAsia="Times New Roman" w:cs="Calibri"/>
                <w:color w:val="000000"/>
                <w:sz w:val="22"/>
                <w:szCs w:val="22"/>
                <w:lang w:eastAsia="es-CL"/>
              </w:rPr>
            </w:pPr>
            <w:r w:rsidRPr="006310DC">
              <w:rPr>
                <w:rFonts w:eastAsia="Times New Roman" w:cs="Calibri"/>
                <w:color w:val="000000"/>
                <w:sz w:val="22"/>
                <w:szCs w:val="22"/>
                <w:lang w:eastAsia="es-CL"/>
              </w:rPr>
              <w:t>Tipo 1</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4D8AA3C" w14:textId="77777777" w:rsidR="00EC4B36" w:rsidRPr="006310DC" w:rsidRDefault="00EC4B36" w:rsidP="006B5A62">
            <w:pPr>
              <w:spacing w:before="20" w:after="20" w:line="240" w:lineRule="auto"/>
              <w:jc w:val="center"/>
              <w:rPr>
                <w:rFonts w:eastAsia="Times New Roman" w:cs="Calibri"/>
                <w:color w:val="000000"/>
                <w:sz w:val="22"/>
                <w:szCs w:val="22"/>
                <w:lang w:eastAsia="es-CL"/>
              </w:rPr>
            </w:pPr>
            <w:r w:rsidRPr="006310DC">
              <w:rPr>
                <w:rFonts w:eastAsia="Times New Roman" w:cs="Calibri"/>
                <w:color w:val="000000"/>
                <w:sz w:val="22"/>
                <w:szCs w:val="22"/>
                <w:lang w:eastAsia="es-CL"/>
              </w:rPr>
              <w:t>12</w:t>
            </w:r>
          </w:p>
        </w:tc>
        <w:tc>
          <w:tcPr>
            <w:tcW w:w="17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70789F9" w14:textId="77777777" w:rsidR="00EC4B36" w:rsidRPr="00E747B2" w:rsidRDefault="00EC4B36" w:rsidP="006B5A62">
            <w:pPr>
              <w:spacing w:before="20" w:after="20" w:line="240" w:lineRule="auto"/>
              <w:ind w:right="113"/>
              <w:jc w:val="right"/>
              <w:rPr>
                <w:rFonts w:eastAsia="Times New Roman" w:cs="Calibri"/>
                <w:color w:val="000000"/>
                <w:sz w:val="22"/>
                <w:szCs w:val="22"/>
                <w:lang w:eastAsia="es-CL"/>
              </w:rPr>
            </w:pPr>
            <w:r w:rsidRPr="00E747B2">
              <w:rPr>
                <w:rFonts w:cs="Calibri"/>
                <w:color w:val="000000"/>
                <w:sz w:val="22"/>
                <w:szCs w:val="22"/>
              </w:rPr>
              <w:t xml:space="preserve">          247.012 </w:t>
            </w:r>
          </w:p>
        </w:tc>
      </w:tr>
      <w:tr w:rsidR="00EC4B36" w:rsidRPr="006310DC" w14:paraId="3C10C074" w14:textId="77777777" w:rsidTr="006B5A62">
        <w:trPr>
          <w:jc w:val="center"/>
        </w:trPr>
        <w:tc>
          <w:tcPr>
            <w:tcW w:w="1701" w:type="dxa"/>
            <w:vMerge/>
            <w:tcBorders>
              <w:top w:val="single" w:sz="4" w:space="0" w:color="auto"/>
              <w:left w:val="single" w:sz="4" w:space="0" w:color="auto"/>
              <w:bottom w:val="single" w:sz="4" w:space="0" w:color="auto"/>
              <w:right w:val="single" w:sz="4" w:space="0" w:color="auto"/>
            </w:tcBorders>
            <w:vAlign w:val="center"/>
            <w:hideMark/>
          </w:tcPr>
          <w:p w14:paraId="2F5A11C8" w14:textId="77777777" w:rsidR="00EC4B36" w:rsidRPr="006310DC" w:rsidRDefault="00EC4B36" w:rsidP="006B5A62">
            <w:pPr>
              <w:spacing w:before="20" w:after="20" w:line="240" w:lineRule="auto"/>
              <w:jc w:val="center"/>
              <w:rPr>
                <w:rFonts w:eastAsia="Times New Roman" w:cs="Calibri"/>
                <w:color w:val="000000"/>
                <w:sz w:val="22"/>
                <w:szCs w:val="22"/>
                <w:lang w:eastAsia="es-CL"/>
              </w:rPr>
            </w:pPr>
          </w:p>
        </w:tc>
        <w:tc>
          <w:tcPr>
            <w:tcW w:w="170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D68F95A" w14:textId="77777777" w:rsidR="00EC4B36" w:rsidRPr="006310DC" w:rsidRDefault="00EC4B36" w:rsidP="006B5A62">
            <w:pPr>
              <w:spacing w:before="20" w:after="20" w:line="240" w:lineRule="auto"/>
              <w:jc w:val="center"/>
              <w:rPr>
                <w:rFonts w:eastAsia="Times New Roman" w:cs="Calibri"/>
                <w:color w:val="000000"/>
                <w:sz w:val="22"/>
                <w:szCs w:val="22"/>
                <w:lang w:eastAsia="es-CL"/>
              </w:rPr>
            </w:pPr>
            <w:r w:rsidRPr="006310DC">
              <w:rPr>
                <w:rFonts w:eastAsia="Times New Roman" w:cs="Calibri"/>
                <w:color w:val="000000"/>
                <w:sz w:val="22"/>
                <w:szCs w:val="22"/>
                <w:lang w:eastAsia="es-CL"/>
              </w:rPr>
              <w:t>Tipo 2</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F32C76A" w14:textId="77777777" w:rsidR="00EC4B36" w:rsidRPr="006310DC" w:rsidRDefault="00EC4B36" w:rsidP="006B5A62">
            <w:pPr>
              <w:spacing w:before="20" w:after="20" w:line="240" w:lineRule="auto"/>
              <w:jc w:val="center"/>
              <w:rPr>
                <w:rFonts w:eastAsia="Times New Roman" w:cs="Calibri"/>
                <w:color w:val="000000"/>
                <w:sz w:val="22"/>
                <w:szCs w:val="22"/>
                <w:lang w:eastAsia="es-CL"/>
              </w:rPr>
            </w:pPr>
            <w:r w:rsidRPr="006310DC">
              <w:rPr>
                <w:rFonts w:eastAsia="Times New Roman" w:cs="Calibri"/>
                <w:color w:val="000000"/>
                <w:sz w:val="22"/>
                <w:szCs w:val="22"/>
                <w:lang w:eastAsia="es-CL"/>
              </w:rPr>
              <w:t>18</w:t>
            </w:r>
          </w:p>
        </w:tc>
        <w:tc>
          <w:tcPr>
            <w:tcW w:w="17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A18FF8E" w14:textId="77777777" w:rsidR="00EC4B36" w:rsidRPr="00E747B2" w:rsidRDefault="00EC4B36" w:rsidP="006B5A62">
            <w:pPr>
              <w:spacing w:before="20" w:after="20" w:line="240" w:lineRule="auto"/>
              <w:ind w:right="113"/>
              <w:jc w:val="right"/>
              <w:rPr>
                <w:rFonts w:eastAsia="Times New Roman" w:cs="Calibri"/>
                <w:color w:val="000000"/>
                <w:sz w:val="22"/>
                <w:szCs w:val="22"/>
                <w:lang w:eastAsia="es-CL"/>
              </w:rPr>
            </w:pPr>
            <w:r w:rsidRPr="00E747B2">
              <w:rPr>
                <w:rFonts w:cs="Calibri"/>
                <w:color w:val="000000"/>
                <w:sz w:val="22"/>
                <w:szCs w:val="22"/>
              </w:rPr>
              <w:t xml:space="preserve">          418.280 </w:t>
            </w:r>
          </w:p>
        </w:tc>
      </w:tr>
      <w:tr w:rsidR="00EC4B36" w:rsidRPr="006310DC" w14:paraId="7B0BFFDF" w14:textId="77777777" w:rsidTr="006B5A62">
        <w:trPr>
          <w:jc w:val="center"/>
        </w:trPr>
        <w:tc>
          <w:tcPr>
            <w:tcW w:w="1701" w:type="dxa"/>
            <w:vMerge/>
            <w:tcBorders>
              <w:top w:val="single" w:sz="4" w:space="0" w:color="auto"/>
              <w:left w:val="single" w:sz="4" w:space="0" w:color="auto"/>
              <w:bottom w:val="single" w:sz="4" w:space="0" w:color="auto"/>
              <w:right w:val="single" w:sz="4" w:space="0" w:color="auto"/>
            </w:tcBorders>
            <w:vAlign w:val="center"/>
            <w:hideMark/>
          </w:tcPr>
          <w:p w14:paraId="69B4021F" w14:textId="77777777" w:rsidR="00EC4B36" w:rsidRPr="006310DC" w:rsidRDefault="00EC4B36" w:rsidP="006B5A62">
            <w:pPr>
              <w:spacing w:before="20" w:after="20" w:line="240" w:lineRule="auto"/>
              <w:jc w:val="center"/>
              <w:rPr>
                <w:rFonts w:eastAsia="Times New Roman" w:cs="Calibri"/>
                <w:color w:val="000000"/>
                <w:sz w:val="22"/>
                <w:szCs w:val="22"/>
                <w:lang w:eastAsia="es-CL"/>
              </w:rPr>
            </w:pPr>
          </w:p>
        </w:tc>
        <w:tc>
          <w:tcPr>
            <w:tcW w:w="170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9C25340" w14:textId="77777777" w:rsidR="00EC4B36" w:rsidRPr="006310DC" w:rsidRDefault="00EC4B36" w:rsidP="006B5A62">
            <w:pPr>
              <w:spacing w:before="20" w:after="20" w:line="240" w:lineRule="auto"/>
              <w:jc w:val="center"/>
              <w:rPr>
                <w:rFonts w:eastAsia="Times New Roman" w:cs="Calibri"/>
                <w:color w:val="000000"/>
                <w:sz w:val="22"/>
                <w:szCs w:val="22"/>
                <w:lang w:eastAsia="es-CL"/>
              </w:rPr>
            </w:pPr>
            <w:r w:rsidRPr="006310DC">
              <w:rPr>
                <w:rFonts w:eastAsia="Times New Roman" w:cs="Calibri"/>
                <w:color w:val="000000"/>
                <w:sz w:val="22"/>
                <w:szCs w:val="22"/>
                <w:lang w:eastAsia="es-CL"/>
              </w:rPr>
              <w:t>Tipo 3</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F009EFB" w14:textId="77777777" w:rsidR="00EC4B36" w:rsidRPr="006310DC" w:rsidRDefault="00EC4B36" w:rsidP="006B5A62">
            <w:pPr>
              <w:spacing w:before="20" w:after="20" w:line="240" w:lineRule="auto"/>
              <w:jc w:val="center"/>
              <w:rPr>
                <w:rFonts w:eastAsia="Times New Roman" w:cs="Calibri"/>
                <w:color w:val="000000"/>
                <w:sz w:val="22"/>
                <w:szCs w:val="22"/>
                <w:lang w:eastAsia="es-CL"/>
              </w:rPr>
            </w:pPr>
            <w:r w:rsidRPr="006310DC">
              <w:rPr>
                <w:rFonts w:eastAsia="Times New Roman" w:cs="Calibri"/>
                <w:color w:val="000000"/>
                <w:sz w:val="22"/>
                <w:szCs w:val="22"/>
                <w:lang w:eastAsia="es-CL"/>
              </w:rPr>
              <w:t>24</w:t>
            </w:r>
          </w:p>
        </w:tc>
        <w:tc>
          <w:tcPr>
            <w:tcW w:w="17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5DFF022" w14:textId="77777777" w:rsidR="00EC4B36" w:rsidRPr="00E747B2" w:rsidRDefault="00EC4B36" w:rsidP="006B5A62">
            <w:pPr>
              <w:spacing w:before="20" w:after="20" w:line="240" w:lineRule="auto"/>
              <w:ind w:right="113"/>
              <w:jc w:val="right"/>
              <w:rPr>
                <w:rFonts w:eastAsia="Times New Roman" w:cs="Calibri"/>
                <w:color w:val="000000"/>
                <w:sz w:val="22"/>
                <w:szCs w:val="22"/>
                <w:lang w:eastAsia="es-CL"/>
              </w:rPr>
            </w:pPr>
            <w:r w:rsidRPr="00E747B2">
              <w:rPr>
                <w:rFonts w:cs="Calibri"/>
                <w:color w:val="000000"/>
                <w:sz w:val="22"/>
                <w:szCs w:val="22"/>
              </w:rPr>
              <w:t xml:space="preserve">          852.545 </w:t>
            </w:r>
          </w:p>
        </w:tc>
      </w:tr>
      <w:tr w:rsidR="00EC4B36" w:rsidRPr="006310DC" w14:paraId="580DE538" w14:textId="77777777" w:rsidTr="006B5A62">
        <w:trPr>
          <w:jc w:val="center"/>
        </w:trPr>
        <w:tc>
          <w:tcPr>
            <w:tcW w:w="1701" w:type="dxa"/>
            <w:vMerge/>
            <w:tcBorders>
              <w:top w:val="single" w:sz="4" w:space="0" w:color="auto"/>
              <w:left w:val="single" w:sz="4" w:space="0" w:color="auto"/>
              <w:bottom w:val="single" w:sz="4" w:space="0" w:color="auto"/>
              <w:right w:val="single" w:sz="4" w:space="0" w:color="auto"/>
            </w:tcBorders>
            <w:vAlign w:val="center"/>
            <w:hideMark/>
          </w:tcPr>
          <w:p w14:paraId="1663FEB5" w14:textId="77777777" w:rsidR="00EC4B36" w:rsidRPr="006310DC" w:rsidRDefault="00EC4B36" w:rsidP="006B5A62">
            <w:pPr>
              <w:spacing w:before="20" w:after="20" w:line="240" w:lineRule="auto"/>
              <w:jc w:val="center"/>
              <w:rPr>
                <w:rFonts w:eastAsia="Times New Roman" w:cs="Calibri"/>
                <w:color w:val="000000"/>
                <w:sz w:val="22"/>
                <w:szCs w:val="22"/>
                <w:lang w:eastAsia="es-CL"/>
              </w:rPr>
            </w:pPr>
          </w:p>
        </w:tc>
        <w:tc>
          <w:tcPr>
            <w:tcW w:w="170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52F206D" w14:textId="77777777" w:rsidR="00EC4B36" w:rsidRPr="006310DC" w:rsidRDefault="00EC4B36" w:rsidP="006B5A62">
            <w:pPr>
              <w:spacing w:before="20" w:after="20" w:line="240" w:lineRule="auto"/>
              <w:jc w:val="center"/>
              <w:rPr>
                <w:rFonts w:eastAsia="Times New Roman" w:cs="Calibri"/>
                <w:color w:val="000000"/>
                <w:sz w:val="22"/>
                <w:szCs w:val="22"/>
                <w:lang w:eastAsia="es-CL"/>
              </w:rPr>
            </w:pPr>
            <w:r w:rsidRPr="006310DC">
              <w:rPr>
                <w:rFonts w:eastAsia="Times New Roman" w:cs="Calibri"/>
                <w:color w:val="000000"/>
                <w:sz w:val="22"/>
                <w:szCs w:val="22"/>
                <w:lang w:eastAsia="es-CL"/>
              </w:rPr>
              <w:t>Tipo 4</w:t>
            </w:r>
          </w:p>
        </w:tc>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BFBB1B1" w14:textId="77777777" w:rsidR="00EC4B36" w:rsidRPr="006310DC" w:rsidRDefault="00EC4B36" w:rsidP="006B5A62">
            <w:pPr>
              <w:spacing w:before="20" w:after="20" w:line="240" w:lineRule="auto"/>
              <w:jc w:val="center"/>
              <w:rPr>
                <w:rFonts w:eastAsia="Times New Roman" w:cs="Calibri"/>
                <w:color w:val="000000"/>
                <w:sz w:val="22"/>
                <w:szCs w:val="22"/>
                <w:lang w:eastAsia="es-CL"/>
              </w:rPr>
            </w:pPr>
            <w:r w:rsidRPr="006310DC">
              <w:rPr>
                <w:rFonts w:eastAsia="Times New Roman" w:cs="Calibri"/>
                <w:color w:val="000000"/>
                <w:sz w:val="22"/>
                <w:szCs w:val="22"/>
                <w:lang w:eastAsia="es-CL"/>
              </w:rPr>
              <w:t>30</w:t>
            </w:r>
          </w:p>
        </w:tc>
        <w:tc>
          <w:tcPr>
            <w:tcW w:w="17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1DCA0B4" w14:textId="77777777" w:rsidR="00EC4B36" w:rsidRPr="00E747B2" w:rsidRDefault="00EC4B36" w:rsidP="006B5A62">
            <w:pPr>
              <w:spacing w:before="20" w:after="20" w:line="240" w:lineRule="auto"/>
              <w:ind w:right="113"/>
              <w:jc w:val="right"/>
              <w:rPr>
                <w:rFonts w:eastAsia="Times New Roman" w:cs="Calibri"/>
                <w:color w:val="000000"/>
                <w:sz w:val="22"/>
                <w:szCs w:val="22"/>
                <w:lang w:eastAsia="es-CL"/>
              </w:rPr>
            </w:pPr>
            <w:r w:rsidRPr="00E747B2">
              <w:rPr>
                <w:rFonts w:cs="Calibri"/>
                <w:color w:val="000000"/>
                <w:sz w:val="22"/>
                <w:szCs w:val="22"/>
              </w:rPr>
              <w:t xml:space="preserve">       1.165.369 </w:t>
            </w:r>
          </w:p>
        </w:tc>
      </w:tr>
    </w:tbl>
    <w:p w14:paraId="281F684B" w14:textId="77777777" w:rsidR="00EC4B36" w:rsidRDefault="00EC4B36" w:rsidP="00EC4B36">
      <w:pPr>
        <w:spacing w:after="0"/>
      </w:pPr>
    </w:p>
    <w:p w14:paraId="57F0BBA5" w14:textId="77777777" w:rsidR="00EC4B36" w:rsidRPr="00BC38C2" w:rsidRDefault="00EC4B36" w:rsidP="00EC4B36">
      <w:r w:rsidRPr="00BC38C2">
        <w:t xml:space="preserve">Finalmente, el recargo porcentual de gastos generales se obtiene como el cociente </w:t>
      </w:r>
      <w:r w:rsidRPr="00BC38C2">
        <w:rPr>
          <w:rFonts w:cstheme="minorHAnsi"/>
          <w:color w:val="000000"/>
        </w:rPr>
        <w:t>entre los costos eficientes de gastos generales y el costo total de instalaciones de transmisión incluidos costos de adquisición, fletes, bodegaje y montaje.</w:t>
      </w:r>
    </w:p>
    <w:p w14:paraId="495B7DD6" w14:textId="77777777" w:rsidR="00EC4B36" w:rsidRPr="00BC38C2" w:rsidRDefault="00EC4B36" w:rsidP="00EC4B36">
      <w:pPr>
        <w:pStyle w:val="Ttulo4"/>
        <w:keepNext/>
      </w:pPr>
      <w:bookmarkStart w:id="133" w:name="_Toc34687183"/>
      <w:bookmarkStart w:id="134" w:name="_Toc38048425"/>
      <w:bookmarkStart w:id="135" w:name="_Toc39795094"/>
      <w:bookmarkStart w:id="136" w:name="_Toc39797774"/>
      <w:r w:rsidRPr="00BC38C2">
        <w:t>Intereses intercalarios</w:t>
      </w:r>
      <w:bookmarkEnd w:id="133"/>
      <w:bookmarkEnd w:id="134"/>
      <w:bookmarkEnd w:id="135"/>
      <w:bookmarkEnd w:id="136"/>
      <w:r w:rsidRPr="00BC38C2">
        <w:t xml:space="preserve"> </w:t>
      </w:r>
    </w:p>
    <w:p w14:paraId="55F74CDD" w14:textId="77777777" w:rsidR="00EC4B36" w:rsidRPr="00BC38C2" w:rsidRDefault="00EC4B36" w:rsidP="00EC4B36">
      <w:r w:rsidRPr="00BC38C2">
        <w:t>Los intereses intercalarios representan el costo financiero de una obra, lo cual se relaciona con el capital previo que necesita una empresa para ejecutar una obra ya que debe financiar el estudio de impacto ambiental, las diversas ingenierías, las órdenes de compra, la inspección técnica de obra, etc. En todos estos casos, el propietario debe hacer pagos previos a la fecha de puesta en servicio, instante en que comienza a recibir la correspondiente remuneración por la obra.</w:t>
      </w:r>
    </w:p>
    <w:p w14:paraId="0B4C9720" w14:textId="77777777" w:rsidR="00EC4B36" w:rsidRPr="00BC38C2" w:rsidRDefault="00EC4B36" w:rsidP="00EC4B36">
      <w:r w:rsidRPr="00BC38C2">
        <w:t xml:space="preserve">Para determinar este recargo porcentual se consideró una tasa financiera de un 3,13% anual, obtenido desde la Superintendencia de Bancos e Instituciones Financieras al día 31 de diciembre </w:t>
      </w:r>
      <w:r w:rsidRPr="00BC38C2">
        <w:lastRenderedPageBreak/>
        <w:t>de 2017 y que corresponde a la tasa de interés corriente para operaciones expresadas en moneda extranjera y de un monto superior a las 2.000 unidades de fomento.</w:t>
      </w:r>
      <w:r w:rsidRPr="00BC38C2">
        <w:rPr>
          <w:vertAlign w:val="superscript"/>
        </w:rPr>
        <w:footnoteReference w:id="18"/>
      </w:r>
    </w:p>
    <w:p w14:paraId="144E5C20" w14:textId="77777777" w:rsidR="00EC4B36" w:rsidRPr="00BC38C2" w:rsidRDefault="00EC4B36" w:rsidP="00EC4B36">
      <w:r w:rsidRPr="00BC38C2">
        <w:t xml:space="preserve">Para determinar el flujo de desembolsos se realizaron diversas cartas Gantt tanto para líneas como para subestaciones, indicando las diversas actividades desde que es licitada una obra hasta su puesta en servicio. Los costos de estas actividades se representaron en términos porcentuales del costo total de la obra. </w:t>
      </w:r>
    </w:p>
    <w:p w14:paraId="1D3105A1" w14:textId="77777777" w:rsidR="00EC4B36" w:rsidRPr="00BC38C2" w:rsidRDefault="00EC4B36" w:rsidP="00EC4B36">
      <w:r w:rsidRPr="00BC38C2">
        <w:t xml:space="preserve">Luego, para cada etapa del estudio se creó un cuadro de pagos, también en términos porcentuales, con un pago del 30% al inicio de la actividad y un pago del 70% un mes después de finalizada la actividad. </w:t>
      </w:r>
    </w:p>
    <w:p w14:paraId="7CB1A855" w14:textId="77777777" w:rsidR="00EC4B36" w:rsidRPr="00BC38C2" w:rsidRDefault="00EC4B36" w:rsidP="00EC4B36">
      <w:r w:rsidRPr="00BC38C2">
        <w:t xml:space="preserve">Los proyectos considerados son los 4 ya mencionados para las subestaciones y 6 para líneas de transmisión. Para cada uno de estos 10 tipos de obra se estableció su carta Gantt basado en los proyectos que el Consultor ha desarrollado a como asesor de la Comisión Nacional de Energía en los Planes de Expansión del Sistema de Transmisión de los últimos años. Claramente, el Consultor utilizó su experiencia para ajustar las cartas Gantt y ajustarlas a los requerimientos que representen de mejor forma los 10 tipos de obras. </w:t>
      </w:r>
      <w:r>
        <w:t>Las cartas Gantt en las que se basó el consultor se encuentran en la carpeta “Anexos VI/</w:t>
      </w:r>
      <w:r w:rsidRPr="00172C91">
        <w:t xml:space="preserve"> 08-Anexo_VI_8-Recargos Porcentuales</w:t>
      </w:r>
      <w:r>
        <w:t>/</w:t>
      </w:r>
      <w:r w:rsidRPr="00172C91">
        <w:t xml:space="preserve"> 1-Archivos</w:t>
      </w:r>
      <w:r>
        <w:t>/Respaldo Intereses Intercalarios”.</w:t>
      </w:r>
    </w:p>
    <w:p w14:paraId="4693C395" w14:textId="77777777" w:rsidR="00EC4B36" w:rsidRPr="00BC38C2" w:rsidRDefault="00EC4B36" w:rsidP="00EC4B36">
      <w:r w:rsidRPr="00BC38C2">
        <w:t>Teniendo el plazo de la obra, la tasa de interés y los porcentajes de pago, se determinó el costo del pago porcentual en valor presente para cada mes de la obra. Finalmente, el interés intercalario es la suma de dichos porcentajes, cuyos resultados por tipo de obra se muestran a continuación.</w:t>
      </w:r>
    </w:p>
    <w:p w14:paraId="2DC30AF7" w14:textId="77777777" w:rsidR="00EC4B36" w:rsidRDefault="00EC4B36" w:rsidP="00EC4B36">
      <w:pPr>
        <w:pStyle w:val="Subttulo"/>
      </w:pPr>
      <w:bookmarkStart w:id="137" w:name="_Toc37937989"/>
      <w:bookmarkStart w:id="138" w:name="_Toc38047816"/>
      <w:bookmarkStart w:id="139" w:name="_Toc39795250"/>
      <w:bookmarkStart w:id="140" w:name="_Toc39797930"/>
      <w:r w:rsidRPr="00BC38C2">
        <w:t xml:space="preserve">Tabla </w:t>
      </w:r>
      <w:fldSimple w:instr=" SEQ Tabla \* ARABIC ">
        <w:r w:rsidR="001F3E2E">
          <w:rPr>
            <w:noProof/>
          </w:rPr>
          <w:t>20</w:t>
        </w:r>
      </w:fldSimple>
      <w:r>
        <w:rPr>
          <w:noProof/>
        </w:rPr>
        <w:t>:</w:t>
      </w:r>
      <w:r w:rsidRPr="00BC38C2">
        <w:t xml:space="preserve"> Resultados interés intercalario</w:t>
      </w:r>
      <w:bookmarkEnd w:id="137"/>
      <w:bookmarkEnd w:id="138"/>
      <w:bookmarkEnd w:id="139"/>
      <w:bookmarkEnd w:id="140"/>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firstRow="1" w:lastRow="0" w:firstColumn="1" w:lastColumn="0" w:noHBand="0" w:noVBand="1"/>
      </w:tblPr>
      <w:tblGrid>
        <w:gridCol w:w="1418"/>
        <w:gridCol w:w="2835"/>
        <w:gridCol w:w="1985"/>
      </w:tblGrid>
      <w:tr w:rsidR="00EC4B36" w:rsidRPr="006310DC" w14:paraId="571F24AA" w14:textId="77777777" w:rsidTr="006B5A62">
        <w:trPr>
          <w:tblHeader/>
          <w:jc w:val="center"/>
        </w:trPr>
        <w:tc>
          <w:tcPr>
            <w:tcW w:w="4253" w:type="dxa"/>
            <w:gridSpan w:val="2"/>
            <w:shd w:val="clear" w:color="auto" w:fill="D9D9D9" w:themeFill="background1" w:themeFillShade="D9"/>
            <w:noWrap/>
            <w:vAlign w:val="bottom"/>
            <w:hideMark/>
          </w:tcPr>
          <w:p w14:paraId="2E88656C" w14:textId="77777777" w:rsidR="00EC4B36" w:rsidRPr="006310DC" w:rsidRDefault="00EC4B36" w:rsidP="006B5A62">
            <w:pPr>
              <w:spacing w:before="20" w:after="20" w:line="240" w:lineRule="auto"/>
              <w:jc w:val="center"/>
              <w:rPr>
                <w:rFonts w:eastAsia="Times New Roman" w:cs="Calibri"/>
                <w:b/>
                <w:color w:val="000000"/>
                <w:sz w:val="22"/>
                <w:szCs w:val="22"/>
                <w:lang w:eastAsia="es-CL"/>
              </w:rPr>
            </w:pPr>
            <w:r w:rsidRPr="006310DC">
              <w:rPr>
                <w:rFonts w:eastAsia="Times New Roman" w:cs="Calibri"/>
                <w:b/>
                <w:color w:val="000000"/>
                <w:sz w:val="22"/>
                <w:szCs w:val="22"/>
                <w:lang w:eastAsia="es-CL"/>
              </w:rPr>
              <w:t>Instalación</w:t>
            </w:r>
          </w:p>
        </w:tc>
        <w:tc>
          <w:tcPr>
            <w:tcW w:w="1985" w:type="dxa"/>
            <w:shd w:val="clear" w:color="auto" w:fill="D9D9D9" w:themeFill="background1" w:themeFillShade="D9"/>
            <w:noWrap/>
            <w:vAlign w:val="bottom"/>
            <w:hideMark/>
          </w:tcPr>
          <w:p w14:paraId="41A7A2D9" w14:textId="77777777" w:rsidR="00EC4B36" w:rsidRPr="006310DC" w:rsidRDefault="00EC4B36" w:rsidP="006B5A62">
            <w:pPr>
              <w:spacing w:before="20" w:after="20" w:line="240" w:lineRule="auto"/>
              <w:jc w:val="center"/>
              <w:rPr>
                <w:rFonts w:eastAsia="Times New Roman" w:cs="Calibri"/>
                <w:b/>
                <w:color w:val="000000"/>
                <w:sz w:val="22"/>
                <w:szCs w:val="22"/>
                <w:lang w:eastAsia="es-CL"/>
              </w:rPr>
            </w:pPr>
            <w:r w:rsidRPr="006310DC">
              <w:rPr>
                <w:rFonts w:eastAsia="Times New Roman" w:cs="Calibri"/>
                <w:b/>
                <w:color w:val="000000"/>
                <w:sz w:val="22"/>
                <w:szCs w:val="22"/>
                <w:lang w:eastAsia="es-CL"/>
              </w:rPr>
              <w:t>Interés intercalario</w:t>
            </w:r>
          </w:p>
        </w:tc>
      </w:tr>
      <w:tr w:rsidR="00EC4B36" w:rsidRPr="006310DC" w14:paraId="725E27AC" w14:textId="77777777" w:rsidTr="006B5A62">
        <w:trPr>
          <w:jc w:val="center"/>
        </w:trPr>
        <w:tc>
          <w:tcPr>
            <w:tcW w:w="1418" w:type="dxa"/>
            <w:vMerge w:val="restart"/>
            <w:shd w:val="clear" w:color="auto" w:fill="auto"/>
            <w:noWrap/>
            <w:vAlign w:val="center"/>
            <w:hideMark/>
          </w:tcPr>
          <w:p w14:paraId="60CE72AF" w14:textId="77777777" w:rsidR="00EC4B36" w:rsidRPr="006310DC" w:rsidRDefault="00EC4B36" w:rsidP="006B5A62">
            <w:pPr>
              <w:spacing w:before="20" w:after="20" w:line="240" w:lineRule="auto"/>
              <w:jc w:val="center"/>
              <w:rPr>
                <w:rFonts w:eastAsia="Times New Roman" w:cs="Calibri"/>
                <w:color w:val="000000"/>
                <w:sz w:val="22"/>
                <w:szCs w:val="22"/>
                <w:lang w:eastAsia="es-CL"/>
              </w:rPr>
            </w:pPr>
            <w:r w:rsidRPr="006310DC">
              <w:rPr>
                <w:rFonts w:eastAsia="Times New Roman" w:cs="Calibri"/>
                <w:color w:val="000000"/>
                <w:sz w:val="22"/>
                <w:szCs w:val="22"/>
                <w:lang w:eastAsia="es-CL"/>
              </w:rPr>
              <w:t>Líneas</w:t>
            </w:r>
          </w:p>
        </w:tc>
        <w:tc>
          <w:tcPr>
            <w:tcW w:w="2835" w:type="dxa"/>
            <w:shd w:val="clear" w:color="auto" w:fill="auto"/>
            <w:noWrap/>
            <w:vAlign w:val="bottom"/>
            <w:hideMark/>
          </w:tcPr>
          <w:p w14:paraId="6B12971D" w14:textId="77777777" w:rsidR="00EC4B36" w:rsidRPr="006310DC" w:rsidRDefault="00EC4B36" w:rsidP="006B5A62">
            <w:pPr>
              <w:spacing w:before="20" w:after="20" w:line="240" w:lineRule="auto"/>
              <w:jc w:val="left"/>
              <w:rPr>
                <w:rFonts w:eastAsia="Times New Roman" w:cs="Calibri"/>
                <w:color w:val="000000"/>
                <w:sz w:val="22"/>
                <w:szCs w:val="22"/>
                <w:lang w:eastAsia="es-CL"/>
              </w:rPr>
            </w:pPr>
            <w:r w:rsidRPr="006310DC">
              <w:rPr>
                <w:rFonts w:eastAsia="Times New Roman" w:cs="Calibri"/>
                <w:color w:val="000000"/>
                <w:sz w:val="22"/>
                <w:szCs w:val="22"/>
                <w:lang w:eastAsia="es-CL"/>
              </w:rPr>
              <w:t>Mayor a 250 km</w:t>
            </w:r>
          </w:p>
        </w:tc>
        <w:tc>
          <w:tcPr>
            <w:tcW w:w="1985" w:type="dxa"/>
            <w:shd w:val="clear" w:color="auto" w:fill="auto"/>
            <w:noWrap/>
            <w:vAlign w:val="bottom"/>
            <w:hideMark/>
          </w:tcPr>
          <w:p w14:paraId="433C10D2" w14:textId="77777777" w:rsidR="00EC4B36" w:rsidRPr="00A101BE" w:rsidRDefault="00EC4B36" w:rsidP="006B5A62">
            <w:pPr>
              <w:spacing w:before="20" w:after="20" w:line="240" w:lineRule="auto"/>
              <w:jc w:val="center"/>
              <w:rPr>
                <w:rFonts w:eastAsia="Times New Roman" w:cs="Calibri"/>
                <w:color w:val="000000"/>
                <w:sz w:val="22"/>
                <w:szCs w:val="22"/>
                <w:lang w:eastAsia="es-CL"/>
              </w:rPr>
            </w:pPr>
            <w:r w:rsidRPr="00A101BE">
              <w:rPr>
                <w:rFonts w:eastAsia="Times New Roman" w:cs="Calibri"/>
                <w:color w:val="000000"/>
                <w:sz w:val="22"/>
                <w:szCs w:val="22"/>
                <w:lang w:eastAsia="es-CL"/>
              </w:rPr>
              <w:t>6,67%</w:t>
            </w:r>
          </w:p>
        </w:tc>
      </w:tr>
      <w:tr w:rsidR="00EC4B36" w:rsidRPr="006310DC" w14:paraId="3607B3F2" w14:textId="77777777" w:rsidTr="006B5A62">
        <w:trPr>
          <w:jc w:val="center"/>
        </w:trPr>
        <w:tc>
          <w:tcPr>
            <w:tcW w:w="1418" w:type="dxa"/>
            <w:vMerge/>
            <w:vAlign w:val="center"/>
            <w:hideMark/>
          </w:tcPr>
          <w:p w14:paraId="2124D418" w14:textId="77777777" w:rsidR="00EC4B36" w:rsidRPr="006310DC" w:rsidRDefault="00EC4B36" w:rsidP="006B5A62">
            <w:pPr>
              <w:spacing w:before="20" w:after="20" w:line="240" w:lineRule="auto"/>
              <w:jc w:val="left"/>
              <w:rPr>
                <w:rFonts w:eastAsia="Times New Roman" w:cs="Calibri"/>
                <w:color w:val="000000"/>
                <w:sz w:val="22"/>
                <w:szCs w:val="22"/>
                <w:lang w:eastAsia="es-CL"/>
              </w:rPr>
            </w:pPr>
          </w:p>
        </w:tc>
        <w:tc>
          <w:tcPr>
            <w:tcW w:w="2835" w:type="dxa"/>
            <w:shd w:val="clear" w:color="auto" w:fill="auto"/>
            <w:noWrap/>
            <w:vAlign w:val="bottom"/>
            <w:hideMark/>
          </w:tcPr>
          <w:p w14:paraId="1CE951B2" w14:textId="77777777" w:rsidR="00EC4B36" w:rsidRPr="006310DC" w:rsidRDefault="00EC4B36" w:rsidP="006B5A62">
            <w:pPr>
              <w:spacing w:before="20" w:after="20" w:line="240" w:lineRule="auto"/>
              <w:jc w:val="left"/>
              <w:rPr>
                <w:rFonts w:eastAsia="Times New Roman" w:cs="Calibri"/>
                <w:color w:val="000000"/>
                <w:sz w:val="22"/>
                <w:szCs w:val="22"/>
                <w:lang w:eastAsia="es-CL"/>
              </w:rPr>
            </w:pPr>
            <w:r w:rsidRPr="006310DC">
              <w:rPr>
                <w:rFonts w:eastAsia="Times New Roman" w:cs="Calibri"/>
                <w:color w:val="000000"/>
                <w:sz w:val="22"/>
                <w:szCs w:val="22"/>
                <w:lang w:eastAsia="es-CL"/>
              </w:rPr>
              <w:t>Entre 100 km y 250 km</w:t>
            </w:r>
          </w:p>
        </w:tc>
        <w:tc>
          <w:tcPr>
            <w:tcW w:w="1985" w:type="dxa"/>
            <w:shd w:val="clear" w:color="auto" w:fill="auto"/>
            <w:noWrap/>
            <w:vAlign w:val="bottom"/>
            <w:hideMark/>
          </w:tcPr>
          <w:p w14:paraId="3DEFDD40" w14:textId="77777777" w:rsidR="00EC4B36" w:rsidRPr="00A101BE" w:rsidRDefault="00EC4B36" w:rsidP="006B5A62">
            <w:pPr>
              <w:spacing w:before="20" w:after="20" w:line="240" w:lineRule="auto"/>
              <w:jc w:val="center"/>
              <w:rPr>
                <w:rFonts w:eastAsia="Times New Roman" w:cs="Calibri"/>
                <w:color w:val="000000"/>
                <w:sz w:val="22"/>
                <w:szCs w:val="22"/>
                <w:lang w:eastAsia="es-CL"/>
              </w:rPr>
            </w:pPr>
            <w:r w:rsidRPr="00A101BE">
              <w:rPr>
                <w:rFonts w:eastAsia="Times New Roman" w:cs="Calibri"/>
                <w:color w:val="000000"/>
                <w:sz w:val="22"/>
                <w:szCs w:val="22"/>
                <w:lang w:eastAsia="es-CL"/>
              </w:rPr>
              <w:t>5,60%</w:t>
            </w:r>
          </w:p>
        </w:tc>
      </w:tr>
      <w:tr w:rsidR="00EC4B36" w:rsidRPr="006310DC" w14:paraId="2F5D8038" w14:textId="77777777" w:rsidTr="006B5A62">
        <w:trPr>
          <w:jc w:val="center"/>
        </w:trPr>
        <w:tc>
          <w:tcPr>
            <w:tcW w:w="1418" w:type="dxa"/>
            <w:vMerge/>
            <w:vAlign w:val="center"/>
            <w:hideMark/>
          </w:tcPr>
          <w:p w14:paraId="608F20A1" w14:textId="77777777" w:rsidR="00EC4B36" w:rsidRPr="006310DC" w:rsidRDefault="00EC4B36" w:rsidP="006B5A62">
            <w:pPr>
              <w:spacing w:before="20" w:after="20" w:line="240" w:lineRule="auto"/>
              <w:jc w:val="left"/>
              <w:rPr>
                <w:rFonts w:eastAsia="Times New Roman" w:cs="Calibri"/>
                <w:color w:val="000000"/>
                <w:sz w:val="22"/>
                <w:szCs w:val="22"/>
                <w:lang w:eastAsia="es-CL"/>
              </w:rPr>
            </w:pPr>
          </w:p>
        </w:tc>
        <w:tc>
          <w:tcPr>
            <w:tcW w:w="2835" w:type="dxa"/>
            <w:shd w:val="clear" w:color="auto" w:fill="auto"/>
            <w:noWrap/>
            <w:vAlign w:val="bottom"/>
            <w:hideMark/>
          </w:tcPr>
          <w:p w14:paraId="6DE3B8E5" w14:textId="77777777" w:rsidR="00EC4B36" w:rsidRPr="006310DC" w:rsidRDefault="00EC4B36" w:rsidP="006B5A62">
            <w:pPr>
              <w:spacing w:before="20" w:after="20" w:line="240" w:lineRule="auto"/>
              <w:jc w:val="left"/>
              <w:rPr>
                <w:rFonts w:eastAsia="Times New Roman" w:cs="Calibri"/>
                <w:color w:val="000000"/>
                <w:sz w:val="22"/>
                <w:szCs w:val="22"/>
                <w:lang w:eastAsia="es-CL"/>
              </w:rPr>
            </w:pPr>
            <w:r w:rsidRPr="006310DC">
              <w:rPr>
                <w:rFonts w:eastAsia="Times New Roman" w:cs="Calibri"/>
                <w:color w:val="000000"/>
                <w:sz w:val="22"/>
                <w:szCs w:val="22"/>
                <w:lang w:eastAsia="es-CL"/>
              </w:rPr>
              <w:t>Entre 50 km y 100 km</w:t>
            </w:r>
          </w:p>
        </w:tc>
        <w:tc>
          <w:tcPr>
            <w:tcW w:w="1985" w:type="dxa"/>
            <w:shd w:val="clear" w:color="auto" w:fill="auto"/>
            <w:noWrap/>
            <w:vAlign w:val="bottom"/>
            <w:hideMark/>
          </w:tcPr>
          <w:p w14:paraId="5439256C" w14:textId="77777777" w:rsidR="00EC4B36" w:rsidRPr="00A101BE" w:rsidRDefault="00EC4B36" w:rsidP="006B5A62">
            <w:pPr>
              <w:spacing w:before="20" w:after="20" w:line="240" w:lineRule="auto"/>
              <w:jc w:val="center"/>
              <w:rPr>
                <w:rFonts w:eastAsia="Times New Roman" w:cs="Calibri"/>
                <w:color w:val="000000"/>
                <w:sz w:val="22"/>
                <w:szCs w:val="22"/>
                <w:lang w:eastAsia="es-CL"/>
              </w:rPr>
            </w:pPr>
            <w:r w:rsidRPr="00A101BE">
              <w:rPr>
                <w:rFonts w:eastAsia="Times New Roman" w:cs="Calibri"/>
                <w:color w:val="000000"/>
                <w:sz w:val="22"/>
                <w:szCs w:val="22"/>
                <w:lang w:eastAsia="es-CL"/>
              </w:rPr>
              <w:t>4,27%</w:t>
            </w:r>
          </w:p>
        </w:tc>
      </w:tr>
      <w:tr w:rsidR="00EC4B36" w:rsidRPr="006310DC" w14:paraId="1B279978" w14:textId="77777777" w:rsidTr="006B5A62">
        <w:trPr>
          <w:jc w:val="center"/>
        </w:trPr>
        <w:tc>
          <w:tcPr>
            <w:tcW w:w="1418" w:type="dxa"/>
            <w:vMerge/>
            <w:vAlign w:val="center"/>
            <w:hideMark/>
          </w:tcPr>
          <w:p w14:paraId="310CB1F8" w14:textId="77777777" w:rsidR="00EC4B36" w:rsidRPr="006310DC" w:rsidRDefault="00EC4B36" w:rsidP="006B5A62">
            <w:pPr>
              <w:spacing w:before="20" w:after="20" w:line="240" w:lineRule="auto"/>
              <w:jc w:val="left"/>
              <w:rPr>
                <w:rFonts w:eastAsia="Times New Roman" w:cs="Calibri"/>
                <w:color w:val="000000"/>
                <w:sz w:val="22"/>
                <w:szCs w:val="22"/>
                <w:lang w:eastAsia="es-CL"/>
              </w:rPr>
            </w:pPr>
          </w:p>
        </w:tc>
        <w:tc>
          <w:tcPr>
            <w:tcW w:w="2835" w:type="dxa"/>
            <w:shd w:val="clear" w:color="auto" w:fill="auto"/>
            <w:noWrap/>
            <w:vAlign w:val="bottom"/>
            <w:hideMark/>
          </w:tcPr>
          <w:p w14:paraId="4F1457D3" w14:textId="77777777" w:rsidR="00EC4B36" w:rsidRPr="006310DC" w:rsidRDefault="00EC4B36" w:rsidP="006B5A62">
            <w:pPr>
              <w:spacing w:before="20" w:after="20" w:line="240" w:lineRule="auto"/>
              <w:jc w:val="left"/>
              <w:rPr>
                <w:rFonts w:eastAsia="Times New Roman" w:cs="Calibri"/>
                <w:color w:val="000000"/>
                <w:sz w:val="22"/>
                <w:szCs w:val="22"/>
                <w:lang w:eastAsia="es-CL"/>
              </w:rPr>
            </w:pPr>
            <w:r w:rsidRPr="006310DC">
              <w:rPr>
                <w:rFonts w:eastAsia="Times New Roman" w:cs="Calibri"/>
                <w:color w:val="000000"/>
                <w:sz w:val="22"/>
                <w:szCs w:val="22"/>
                <w:lang w:eastAsia="es-CL"/>
              </w:rPr>
              <w:t>Entre 25 y 50 km</w:t>
            </w:r>
          </w:p>
        </w:tc>
        <w:tc>
          <w:tcPr>
            <w:tcW w:w="1985" w:type="dxa"/>
            <w:shd w:val="clear" w:color="auto" w:fill="auto"/>
            <w:noWrap/>
            <w:vAlign w:val="bottom"/>
            <w:hideMark/>
          </w:tcPr>
          <w:p w14:paraId="5A7A2699" w14:textId="77777777" w:rsidR="00EC4B36" w:rsidRPr="00A101BE" w:rsidRDefault="00EC4B36" w:rsidP="006B5A62">
            <w:pPr>
              <w:spacing w:before="20" w:after="20" w:line="240" w:lineRule="auto"/>
              <w:jc w:val="center"/>
              <w:rPr>
                <w:rFonts w:eastAsia="Times New Roman" w:cs="Calibri"/>
                <w:color w:val="000000"/>
                <w:sz w:val="22"/>
                <w:szCs w:val="22"/>
                <w:lang w:eastAsia="es-CL"/>
              </w:rPr>
            </w:pPr>
            <w:r w:rsidRPr="00A101BE">
              <w:rPr>
                <w:rFonts w:eastAsia="Times New Roman" w:cs="Calibri"/>
                <w:color w:val="000000"/>
                <w:sz w:val="22"/>
                <w:szCs w:val="22"/>
                <w:lang w:eastAsia="es-CL"/>
              </w:rPr>
              <w:t>3,18%</w:t>
            </w:r>
          </w:p>
        </w:tc>
      </w:tr>
      <w:tr w:rsidR="00EC4B36" w:rsidRPr="006310DC" w14:paraId="22312DCC" w14:textId="77777777" w:rsidTr="006B5A62">
        <w:trPr>
          <w:jc w:val="center"/>
        </w:trPr>
        <w:tc>
          <w:tcPr>
            <w:tcW w:w="1418" w:type="dxa"/>
            <w:vMerge/>
            <w:vAlign w:val="center"/>
            <w:hideMark/>
          </w:tcPr>
          <w:p w14:paraId="59375AEC" w14:textId="77777777" w:rsidR="00EC4B36" w:rsidRPr="006310DC" w:rsidRDefault="00EC4B36" w:rsidP="006B5A62">
            <w:pPr>
              <w:spacing w:before="20" w:after="20" w:line="240" w:lineRule="auto"/>
              <w:jc w:val="left"/>
              <w:rPr>
                <w:rFonts w:eastAsia="Times New Roman" w:cs="Calibri"/>
                <w:color w:val="000000"/>
                <w:sz w:val="22"/>
                <w:szCs w:val="22"/>
                <w:lang w:eastAsia="es-CL"/>
              </w:rPr>
            </w:pPr>
          </w:p>
        </w:tc>
        <w:tc>
          <w:tcPr>
            <w:tcW w:w="2835" w:type="dxa"/>
            <w:shd w:val="clear" w:color="auto" w:fill="auto"/>
            <w:noWrap/>
            <w:vAlign w:val="bottom"/>
            <w:hideMark/>
          </w:tcPr>
          <w:p w14:paraId="3BA7F0C4" w14:textId="77777777" w:rsidR="00EC4B36" w:rsidRPr="006310DC" w:rsidRDefault="00EC4B36" w:rsidP="006B5A62">
            <w:pPr>
              <w:spacing w:before="20" w:after="20" w:line="240" w:lineRule="auto"/>
              <w:jc w:val="left"/>
              <w:rPr>
                <w:rFonts w:eastAsia="Times New Roman" w:cs="Calibri"/>
                <w:color w:val="000000"/>
                <w:sz w:val="22"/>
                <w:szCs w:val="22"/>
                <w:lang w:eastAsia="es-CL"/>
              </w:rPr>
            </w:pPr>
            <w:r w:rsidRPr="006310DC">
              <w:rPr>
                <w:rFonts w:eastAsia="Times New Roman" w:cs="Calibri"/>
                <w:color w:val="000000"/>
                <w:sz w:val="22"/>
                <w:szCs w:val="22"/>
                <w:lang w:eastAsia="es-CL"/>
              </w:rPr>
              <w:t>Entre 5 y 25 km</w:t>
            </w:r>
          </w:p>
        </w:tc>
        <w:tc>
          <w:tcPr>
            <w:tcW w:w="1985" w:type="dxa"/>
            <w:shd w:val="clear" w:color="auto" w:fill="auto"/>
            <w:noWrap/>
            <w:vAlign w:val="bottom"/>
            <w:hideMark/>
          </w:tcPr>
          <w:p w14:paraId="34CC71A9" w14:textId="77777777" w:rsidR="00EC4B36" w:rsidRPr="00A101BE" w:rsidRDefault="00EC4B36" w:rsidP="006B5A62">
            <w:pPr>
              <w:spacing w:before="20" w:after="20" w:line="240" w:lineRule="auto"/>
              <w:jc w:val="center"/>
              <w:rPr>
                <w:rFonts w:eastAsia="Times New Roman" w:cs="Calibri"/>
                <w:color w:val="000000"/>
                <w:sz w:val="22"/>
                <w:szCs w:val="22"/>
                <w:lang w:eastAsia="es-CL"/>
              </w:rPr>
            </w:pPr>
            <w:r w:rsidRPr="00A101BE">
              <w:rPr>
                <w:rFonts w:eastAsia="Times New Roman" w:cs="Calibri"/>
                <w:color w:val="000000"/>
                <w:sz w:val="22"/>
                <w:szCs w:val="22"/>
                <w:lang w:eastAsia="es-CL"/>
              </w:rPr>
              <w:t>2,81%</w:t>
            </w:r>
          </w:p>
        </w:tc>
      </w:tr>
      <w:tr w:rsidR="00EC4B36" w:rsidRPr="006310DC" w14:paraId="1227566F" w14:textId="77777777" w:rsidTr="006B5A62">
        <w:trPr>
          <w:jc w:val="center"/>
        </w:trPr>
        <w:tc>
          <w:tcPr>
            <w:tcW w:w="1418" w:type="dxa"/>
            <w:vMerge/>
            <w:vAlign w:val="center"/>
            <w:hideMark/>
          </w:tcPr>
          <w:p w14:paraId="53B6B6F0" w14:textId="77777777" w:rsidR="00EC4B36" w:rsidRPr="006310DC" w:rsidRDefault="00EC4B36" w:rsidP="006B5A62">
            <w:pPr>
              <w:spacing w:before="20" w:after="20" w:line="240" w:lineRule="auto"/>
              <w:jc w:val="left"/>
              <w:rPr>
                <w:rFonts w:eastAsia="Times New Roman" w:cs="Calibri"/>
                <w:color w:val="000000"/>
                <w:sz w:val="22"/>
                <w:szCs w:val="22"/>
                <w:lang w:eastAsia="es-CL"/>
              </w:rPr>
            </w:pPr>
          </w:p>
        </w:tc>
        <w:tc>
          <w:tcPr>
            <w:tcW w:w="2835" w:type="dxa"/>
            <w:shd w:val="clear" w:color="auto" w:fill="auto"/>
            <w:noWrap/>
            <w:vAlign w:val="bottom"/>
            <w:hideMark/>
          </w:tcPr>
          <w:p w14:paraId="2394E823" w14:textId="77777777" w:rsidR="00EC4B36" w:rsidRPr="006310DC" w:rsidRDefault="00EC4B36" w:rsidP="006B5A62">
            <w:pPr>
              <w:spacing w:before="20" w:after="20" w:line="240" w:lineRule="auto"/>
              <w:jc w:val="left"/>
              <w:rPr>
                <w:rFonts w:eastAsia="Times New Roman" w:cs="Calibri"/>
                <w:color w:val="000000"/>
                <w:sz w:val="22"/>
                <w:szCs w:val="22"/>
                <w:lang w:eastAsia="es-CL"/>
              </w:rPr>
            </w:pPr>
            <w:r w:rsidRPr="006310DC">
              <w:rPr>
                <w:rFonts w:eastAsia="Times New Roman" w:cs="Calibri"/>
                <w:color w:val="000000"/>
                <w:sz w:val="22"/>
                <w:szCs w:val="22"/>
                <w:lang w:eastAsia="es-CL"/>
              </w:rPr>
              <w:t>Entre 0 y 5 km</w:t>
            </w:r>
          </w:p>
        </w:tc>
        <w:tc>
          <w:tcPr>
            <w:tcW w:w="1985" w:type="dxa"/>
            <w:shd w:val="clear" w:color="auto" w:fill="auto"/>
            <w:noWrap/>
            <w:vAlign w:val="bottom"/>
            <w:hideMark/>
          </w:tcPr>
          <w:p w14:paraId="229A3D1D" w14:textId="77777777" w:rsidR="00EC4B36" w:rsidRPr="00A101BE" w:rsidRDefault="00EC4B36" w:rsidP="006B5A62">
            <w:pPr>
              <w:spacing w:before="20" w:after="20" w:line="240" w:lineRule="auto"/>
              <w:jc w:val="center"/>
              <w:rPr>
                <w:rFonts w:eastAsia="Times New Roman" w:cs="Calibri"/>
                <w:color w:val="000000"/>
                <w:sz w:val="22"/>
                <w:szCs w:val="22"/>
                <w:lang w:eastAsia="es-CL"/>
              </w:rPr>
            </w:pPr>
            <w:r w:rsidRPr="00A101BE">
              <w:rPr>
                <w:rFonts w:eastAsia="Times New Roman" w:cs="Calibri"/>
                <w:color w:val="000000"/>
                <w:sz w:val="22"/>
                <w:szCs w:val="22"/>
                <w:lang w:eastAsia="es-CL"/>
              </w:rPr>
              <w:t>0,88%</w:t>
            </w:r>
          </w:p>
        </w:tc>
      </w:tr>
      <w:tr w:rsidR="00EC4B36" w:rsidRPr="006310DC" w14:paraId="2EC201B8" w14:textId="77777777" w:rsidTr="006B5A62">
        <w:trPr>
          <w:jc w:val="center"/>
        </w:trPr>
        <w:tc>
          <w:tcPr>
            <w:tcW w:w="1418" w:type="dxa"/>
            <w:vMerge w:val="restart"/>
            <w:shd w:val="clear" w:color="auto" w:fill="auto"/>
            <w:noWrap/>
            <w:vAlign w:val="center"/>
            <w:hideMark/>
          </w:tcPr>
          <w:p w14:paraId="0A2B8C16" w14:textId="77777777" w:rsidR="00EC4B36" w:rsidRPr="006310DC" w:rsidRDefault="00EC4B36" w:rsidP="006B5A62">
            <w:pPr>
              <w:spacing w:before="20" w:after="20" w:line="240" w:lineRule="auto"/>
              <w:jc w:val="center"/>
              <w:rPr>
                <w:rFonts w:eastAsia="Times New Roman" w:cs="Calibri"/>
                <w:color w:val="000000"/>
                <w:sz w:val="22"/>
                <w:szCs w:val="22"/>
                <w:lang w:eastAsia="es-CL"/>
              </w:rPr>
            </w:pPr>
            <w:r w:rsidRPr="006310DC">
              <w:rPr>
                <w:rFonts w:eastAsia="Times New Roman" w:cs="Calibri"/>
                <w:color w:val="000000"/>
                <w:sz w:val="22"/>
                <w:szCs w:val="22"/>
                <w:lang w:eastAsia="es-CL"/>
              </w:rPr>
              <w:t>SSEE</w:t>
            </w:r>
          </w:p>
        </w:tc>
        <w:tc>
          <w:tcPr>
            <w:tcW w:w="2835" w:type="dxa"/>
            <w:shd w:val="clear" w:color="auto" w:fill="auto"/>
            <w:noWrap/>
            <w:vAlign w:val="bottom"/>
            <w:hideMark/>
          </w:tcPr>
          <w:p w14:paraId="43A9DE77" w14:textId="77777777" w:rsidR="00EC4B36" w:rsidRPr="006310DC" w:rsidRDefault="00EC4B36" w:rsidP="006B5A62">
            <w:pPr>
              <w:spacing w:before="20" w:after="20" w:line="240" w:lineRule="auto"/>
              <w:jc w:val="left"/>
              <w:rPr>
                <w:rFonts w:eastAsia="Times New Roman" w:cs="Calibri"/>
                <w:color w:val="000000"/>
                <w:sz w:val="22"/>
                <w:szCs w:val="22"/>
                <w:lang w:eastAsia="es-CL"/>
              </w:rPr>
            </w:pPr>
            <w:r w:rsidRPr="006310DC">
              <w:rPr>
                <w:rFonts w:eastAsia="Times New Roman" w:cs="Calibri"/>
                <w:color w:val="000000"/>
                <w:sz w:val="22"/>
                <w:szCs w:val="22"/>
                <w:lang w:eastAsia="es-CL"/>
              </w:rPr>
              <w:t>Tipo 1</w:t>
            </w:r>
          </w:p>
        </w:tc>
        <w:tc>
          <w:tcPr>
            <w:tcW w:w="1985" w:type="dxa"/>
            <w:shd w:val="clear" w:color="auto" w:fill="auto"/>
            <w:noWrap/>
            <w:vAlign w:val="bottom"/>
            <w:hideMark/>
          </w:tcPr>
          <w:p w14:paraId="66C85717" w14:textId="77777777" w:rsidR="00EC4B36" w:rsidRPr="00A101BE" w:rsidRDefault="00EC4B36" w:rsidP="006B5A62">
            <w:pPr>
              <w:spacing w:before="20" w:after="20" w:line="240" w:lineRule="auto"/>
              <w:jc w:val="center"/>
              <w:rPr>
                <w:rFonts w:eastAsia="Times New Roman" w:cs="Calibri"/>
                <w:color w:val="000000"/>
                <w:sz w:val="22"/>
                <w:szCs w:val="22"/>
                <w:lang w:eastAsia="es-CL"/>
              </w:rPr>
            </w:pPr>
            <w:r w:rsidRPr="00A101BE">
              <w:rPr>
                <w:rFonts w:eastAsia="Times New Roman" w:cs="Calibri"/>
                <w:color w:val="000000"/>
                <w:sz w:val="22"/>
                <w:szCs w:val="22"/>
                <w:lang w:eastAsia="es-CL"/>
              </w:rPr>
              <w:t>1,90%</w:t>
            </w:r>
          </w:p>
        </w:tc>
      </w:tr>
      <w:tr w:rsidR="00EC4B36" w:rsidRPr="006310DC" w14:paraId="2A50FD25" w14:textId="77777777" w:rsidTr="006B5A62">
        <w:trPr>
          <w:jc w:val="center"/>
        </w:trPr>
        <w:tc>
          <w:tcPr>
            <w:tcW w:w="1418" w:type="dxa"/>
            <w:vMerge/>
            <w:vAlign w:val="center"/>
            <w:hideMark/>
          </w:tcPr>
          <w:p w14:paraId="63C8CD0D" w14:textId="77777777" w:rsidR="00EC4B36" w:rsidRPr="006310DC" w:rsidRDefault="00EC4B36" w:rsidP="006B5A62">
            <w:pPr>
              <w:spacing w:before="20" w:after="20" w:line="240" w:lineRule="auto"/>
              <w:jc w:val="left"/>
              <w:rPr>
                <w:rFonts w:eastAsia="Times New Roman" w:cs="Calibri"/>
                <w:color w:val="000000"/>
                <w:sz w:val="22"/>
                <w:szCs w:val="22"/>
                <w:lang w:eastAsia="es-CL"/>
              </w:rPr>
            </w:pPr>
          </w:p>
        </w:tc>
        <w:tc>
          <w:tcPr>
            <w:tcW w:w="2835" w:type="dxa"/>
            <w:shd w:val="clear" w:color="auto" w:fill="auto"/>
            <w:noWrap/>
            <w:vAlign w:val="bottom"/>
            <w:hideMark/>
          </w:tcPr>
          <w:p w14:paraId="296F6A6E" w14:textId="77777777" w:rsidR="00EC4B36" w:rsidRPr="006310DC" w:rsidRDefault="00EC4B36" w:rsidP="006B5A62">
            <w:pPr>
              <w:spacing w:before="20" w:after="20" w:line="240" w:lineRule="auto"/>
              <w:jc w:val="left"/>
              <w:rPr>
                <w:rFonts w:eastAsia="Times New Roman" w:cs="Calibri"/>
                <w:color w:val="000000"/>
                <w:sz w:val="22"/>
                <w:szCs w:val="22"/>
                <w:lang w:eastAsia="es-CL"/>
              </w:rPr>
            </w:pPr>
            <w:r w:rsidRPr="006310DC">
              <w:rPr>
                <w:rFonts w:eastAsia="Times New Roman" w:cs="Calibri"/>
                <w:color w:val="000000"/>
                <w:sz w:val="22"/>
                <w:szCs w:val="22"/>
                <w:lang w:eastAsia="es-CL"/>
              </w:rPr>
              <w:t>Tipo 2</w:t>
            </w:r>
          </w:p>
        </w:tc>
        <w:tc>
          <w:tcPr>
            <w:tcW w:w="1985" w:type="dxa"/>
            <w:shd w:val="clear" w:color="auto" w:fill="auto"/>
            <w:noWrap/>
            <w:vAlign w:val="bottom"/>
            <w:hideMark/>
          </w:tcPr>
          <w:p w14:paraId="3252B75B" w14:textId="77777777" w:rsidR="00EC4B36" w:rsidRPr="00A101BE" w:rsidRDefault="00EC4B36" w:rsidP="006B5A62">
            <w:pPr>
              <w:spacing w:before="20" w:after="20" w:line="240" w:lineRule="auto"/>
              <w:jc w:val="center"/>
              <w:rPr>
                <w:rFonts w:eastAsia="Times New Roman" w:cs="Calibri"/>
                <w:color w:val="000000"/>
                <w:sz w:val="22"/>
                <w:szCs w:val="22"/>
                <w:lang w:eastAsia="es-CL"/>
              </w:rPr>
            </w:pPr>
            <w:r w:rsidRPr="00A101BE">
              <w:rPr>
                <w:rFonts w:eastAsia="Times New Roman" w:cs="Calibri"/>
                <w:color w:val="000000"/>
                <w:sz w:val="22"/>
                <w:szCs w:val="22"/>
                <w:lang w:eastAsia="es-CL"/>
              </w:rPr>
              <w:t>2,96%</w:t>
            </w:r>
          </w:p>
        </w:tc>
      </w:tr>
      <w:tr w:rsidR="00EC4B36" w:rsidRPr="006310DC" w14:paraId="0FE72CF1" w14:textId="77777777" w:rsidTr="006B5A62">
        <w:trPr>
          <w:jc w:val="center"/>
        </w:trPr>
        <w:tc>
          <w:tcPr>
            <w:tcW w:w="1418" w:type="dxa"/>
            <w:vMerge/>
            <w:vAlign w:val="center"/>
            <w:hideMark/>
          </w:tcPr>
          <w:p w14:paraId="000C3B2E" w14:textId="77777777" w:rsidR="00EC4B36" w:rsidRPr="006310DC" w:rsidRDefault="00EC4B36" w:rsidP="006B5A62">
            <w:pPr>
              <w:spacing w:before="20" w:after="20" w:line="240" w:lineRule="auto"/>
              <w:jc w:val="left"/>
              <w:rPr>
                <w:rFonts w:eastAsia="Times New Roman" w:cs="Calibri"/>
                <w:color w:val="000000"/>
                <w:sz w:val="22"/>
                <w:szCs w:val="22"/>
                <w:lang w:eastAsia="es-CL"/>
              </w:rPr>
            </w:pPr>
          </w:p>
        </w:tc>
        <w:tc>
          <w:tcPr>
            <w:tcW w:w="2835" w:type="dxa"/>
            <w:shd w:val="clear" w:color="auto" w:fill="auto"/>
            <w:noWrap/>
            <w:vAlign w:val="bottom"/>
            <w:hideMark/>
          </w:tcPr>
          <w:p w14:paraId="7046F2CE" w14:textId="77777777" w:rsidR="00EC4B36" w:rsidRPr="006310DC" w:rsidRDefault="00EC4B36" w:rsidP="006B5A62">
            <w:pPr>
              <w:spacing w:before="20" w:after="20" w:line="240" w:lineRule="auto"/>
              <w:jc w:val="left"/>
              <w:rPr>
                <w:rFonts w:eastAsia="Times New Roman" w:cs="Calibri"/>
                <w:color w:val="000000"/>
                <w:sz w:val="22"/>
                <w:szCs w:val="22"/>
                <w:lang w:eastAsia="es-CL"/>
              </w:rPr>
            </w:pPr>
            <w:r w:rsidRPr="006310DC">
              <w:rPr>
                <w:rFonts w:eastAsia="Times New Roman" w:cs="Calibri"/>
                <w:color w:val="000000"/>
                <w:sz w:val="22"/>
                <w:szCs w:val="22"/>
                <w:lang w:eastAsia="es-CL"/>
              </w:rPr>
              <w:t>Tipo 3</w:t>
            </w:r>
          </w:p>
        </w:tc>
        <w:tc>
          <w:tcPr>
            <w:tcW w:w="1985" w:type="dxa"/>
            <w:shd w:val="clear" w:color="auto" w:fill="auto"/>
            <w:noWrap/>
            <w:vAlign w:val="bottom"/>
            <w:hideMark/>
          </w:tcPr>
          <w:p w14:paraId="6CDDB149" w14:textId="77777777" w:rsidR="00EC4B36" w:rsidRPr="00A101BE" w:rsidRDefault="00EC4B36" w:rsidP="006B5A62">
            <w:pPr>
              <w:spacing w:before="20" w:after="20" w:line="240" w:lineRule="auto"/>
              <w:jc w:val="center"/>
              <w:rPr>
                <w:rFonts w:eastAsia="Times New Roman" w:cs="Calibri"/>
                <w:color w:val="000000"/>
                <w:sz w:val="22"/>
                <w:szCs w:val="22"/>
                <w:lang w:eastAsia="es-CL"/>
              </w:rPr>
            </w:pPr>
            <w:r w:rsidRPr="00A101BE">
              <w:rPr>
                <w:rFonts w:eastAsia="Times New Roman" w:cs="Calibri"/>
                <w:color w:val="000000"/>
                <w:sz w:val="22"/>
                <w:szCs w:val="22"/>
                <w:lang w:eastAsia="es-CL"/>
              </w:rPr>
              <w:t>4,03%</w:t>
            </w:r>
          </w:p>
        </w:tc>
      </w:tr>
      <w:tr w:rsidR="00EC4B36" w:rsidRPr="006310DC" w14:paraId="4822FF48" w14:textId="77777777" w:rsidTr="006B5A62">
        <w:trPr>
          <w:jc w:val="center"/>
        </w:trPr>
        <w:tc>
          <w:tcPr>
            <w:tcW w:w="1418" w:type="dxa"/>
            <w:vMerge/>
            <w:vAlign w:val="center"/>
            <w:hideMark/>
          </w:tcPr>
          <w:p w14:paraId="32B3D0ED" w14:textId="77777777" w:rsidR="00EC4B36" w:rsidRPr="006310DC" w:rsidRDefault="00EC4B36" w:rsidP="006B5A62">
            <w:pPr>
              <w:spacing w:before="20" w:after="20" w:line="240" w:lineRule="auto"/>
              <w:jc w:val="left"/>
              <w:rPr>
                <w:rFonts w:eastAsia="Times New Roman" w:cs="Calibri"/>
                <w:color w:val="000000"/>
                <w:sz w:val="22"/>
                <w:szCs w:val="22"/>
                <w:lang w:eastAsia="es-CL"/>
              </w:rPr>
            </w:pPr>
          </w:p>
        </w:tc>
        <w:tc>
          <w:tcPr>
            <w:tcW w:w="2835" w:type="dxa"/>
            <w:shd w:val="clear" w:color="auto" w:fill="auto"/>
            <w:noWrap/>
            <w:vAlign w:val="bottom"/>
            <w:hideMark/>
          </w:tcPr>
          <w:p w14:paraId="3762D07E" w14:textId="77777777" w:rsidR="00EC4B36" w:rsidRPr="006310DC" w:rsidRDefault="00EC4B36" w:rsidP="006B5A62">
            <w:pPr>
              <w:spacing w:before="20" w:after="20" w:line="240" w:lineRule="auto"/>
              <w:jc w:val="left"/>
              <w:rPr>
                <w:rFonts w:eastAsia="Times New Roman" w:cs="Calibri"/>
                <w:color w:val="000000"/>
                <w:sz w:val="22"/>
                <w:szCs w:val="22"/>
                <w:lang w:eastAsia="es-CL"/>
              </w:rPr>
            </w:pPr>
            <w:r w:rsidRPr="006310DC">
              <w:rPr>
                <w:rFonts w:eastAsia="Times New Roman" w:cs="Calibri"/>
                <w:color w:val="000000"/>
                <w:sz w:val="22"/>
                <w:szCs w:val="22"/>
                <w:lang w:eastAsia="es-CL"/>
              </w:rPr>
              <w:t>Tipo 4</w:t>
            </w:r>
          </w:p>
        </w:tc>
        <w:tc>
          <w:tcPr>
            <w:tcW w:w="1985" w:type="dxa"/>
            <w:shd w:val="clear" w:color="auto" w:fill="auto"/>
            <w:noWrap/>
            <w:vAlign w:val="bottom"/>
            <w:hideMark/>
          </w:tcPr>
          <w:p w14:paraId="64E534AF" w14:textId="77777777" w:rsidR="00EC4B36" w:rsidRPr="00A101BE" w:rsidRDefault="00EC4B36" w:rsidP="006B5A62">
            <w:pPr>
              <w:spacing w:before="20" w:after="20" w:line="240" w:lineRule="auto"/>
              <w:jc w:val="center"/>
              <w:rPr>
                <w:rFonts w:eastAsia="Times New Roman" w:cs="Calibri"/>
                <w:color w:val="000000"/>
                <w:sz w:val="22"/>
                <w:szCs w:val="22"/>
                <w:lang w:eastAsia="es-CL"/>
              </w:rPr>
            </w:pPr>
            <w:r w:rsidRPr="00A101BE">
              <w:rPr>
                <w:rFonts w:eastAsia="Times New Roman" w:cs="Calibri"/>
                <w:color w:val="000000"/>
                <w:sz w:val="22"/>
                <w:szCs w:val="22"/>
                <w:lang w:eastAsia="es-CL"/>
              </w:rPr>
              <w:t>5,25%</w:t>
            </w:r>
          </w:p>
        </w:tc>
      </w:tr>
    </w:tbl>
    <w:p w14:paraId="01A8419B" w14:textId="77777777" w:rsidR="00EC4B36" w:rsidRDefault="00EC4B36" w:rsidP="00EC4B36">
      <w:pPr>
        <w:spacing w:after="0"/>
      </w:pPr>
    </w:p>
    <w:p w14:paraId="2EE97F9F" w14:textId="77777777" w:rsidR="00EC4B36" w:rsidRDefault="00EC4B36" w:rsidP="00EC4B36">
      <w:pPr>
        <w:pStyle w:val="Ttulo3"/>
        <w:keepNext/>
      </w:pPr>
      <w:bookmarkStart w:id="141" w:name="_Toc38048426"/>
      <w:bookmarkStart w:id="142" w:name="_Toc39795095"/>
      <w:bookmarkStart w:id="143" w:name="_Toc39797775"/>
      <w:r>
        <w:t>Proceso de cálculo del V.I.</w:t>
      </w:r>
      <w:bookmarkEnd w:id="141"/>
      <w:bookmarkEnd w:id="142"/>
      <w:bookmarkEnd w:id="143"/>
    </w:p>
    <w:p w14:paraId="4ED1C5F6" w14:textId="77777777" w:rsidR="00EC4B36" w:rsidRDefault="00EC4B36" w:rsidP="00EC4B36">
      <w:r>
        <w:t>La información contenida en la base de datos consiste fundamentalmente en el inventario de las instalaciones, las cuales incluyen todas las correspondientes a los sistemas de transmisión del país, independiente de su calificación.</w:t>
      </w:r>
    </w:p>
    <w:p w14:paraId="60A4537B" w14:textId="77777777" w:rsidR="00EC4B36" w:rsidRDefault="00EC4B36" w:rsidP="00EC4B36">
      <w:r>
        <w:t xml:space="preserve">Por ello, previo a la ejecución de un proceso de cálculo del V.I. fue necesario identificar y asociar las instalaciones que corresponden a la calificación de instalaciones del STN, de acuerdo con lo establecido en la Resolución Nº 244 de la Comisión Nacional de Energía, del 9 de abril de 2019. Esta actividad se describe en el </w:t>
      </w:r>
      <w:r w:rsidRPr="003E79B4">
        <w:t>Anexo VI_3-Calific Instalaciones</w:t>
      </w:r>
      <w:r>
        <w:t>.</w:t>
      </w:r>
    </w:p>
    <w:p w14:paraId="1B238781" w14:textId="77777777" w:rsidR="00EC4B36" w:rsidRDefault="00EC4B36" w:rsidP="00EC4B36">
      <w:r>
        <w:t>Una vez realizada la calificación de instalaciones en la base datos, l</w:t>
      </w:r>
      <w:r w:rsidRPr="007615C0">
        <w:t>as principales tareas para determinar el V</w:t>
      </w:r>
      <w:r>
        <w:t>.</w:t>
      </w:r>
      <w:r w:rsidRPr="007615C0">
        <w:t>I</w:t>
      </w:r>
      <w:r>
        <w:t>.</w:t>
      </w:r>
      <w:r w:rsidRPr="007615C0">
        <w:t xml:space="preserve"> de los elementos </w:t>
      </w:r>
      <w:r>
        <w:t xml:space="preserve">correspondientes al STN </w:t>
      </w:r>
      <w:r w:rsidRPr="007615C0">
        <w:t>de la base de datos</w:t>
      </w:r>
      <w:r>
        <w:t>, se muestran en forma gráfica en el diagrama siguiente:</w:t>
      </w:r>
    </w:p>
    <w:p w14:paraId="3D120FF8" w14:textId="77777777" w:rsidR="00EC4B36" w:rsidRPr="008345A5" w:rsidRDefault="00EC4B36" w:rsidP="00EC4B36">
      <w:pPr>
        <w:pStyle w:val="Subttulo"/>
        <w:rPr>
          <w:i/>
        </w:rPr>
      </w:pPr>
      <w:bookmarkStart w:id="144" w:name="_Toc39795303"/>
      <w:bookmarkStart w:id="145" w:name="_Toc39797983"/>
      <w:r w:rsidRPr="008345A5">
        <w:t xml:space="preserve">Ilustración </w:t>
      </w:r>
      <w:fldSimple w:instr=" SEQ Ilustración \* ARABIC ">
        <w:r w:rsidR="001F3E2E">
          <w:rPr>
            <w:noProof/>
          </w:rPr>
          <w:t>2</w:t>
        </w:r>
      </w:fldSimple>
      <w:r>
        <w:t>: Esquema del proceso de cálculo del V.I.</w:t>
      </w:r>
      <w:bookmarkEnd w:id="144"/>
      <w:bookmarkEnd w:id="145"/>
    </w:p>
    <w:p w14:paraId="78FB6818" w14:textId="77777777" w:rsidR="00EC4B36" w:rsidRDefault="00EC4B36" w:rsidP="00EC4B36">
      <w:pPr>
        <w:spacing w:after="120"/>
        <w:jc w:val="center"/>
      </w:pPr>
      <w:bookmarkStart w:id="146" w:name="_GoBack"/>
      <w:r>
        <w:rPr>
          <w:noProof/>
          <w:lang w:eastAsia="es-CL"/>
        </w:rPr>
        <w:lastRenderedPageBreak/>
        <w:drawing>
          <wp:inline distT="0" distB="0" distL="0" distR="0" wp14:anchorId="3E720E43" wp14:editId="3899FB27">
            <wp:extent cx="4597200" cy="5792400"/>
            <wp:effectExtent l="0" t="0" r="0" b="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597200" cy="5792400"/>
                    </a:xfrm>
                    <a:prstGeom prst="rect">
                      <a:avLst/>
                    </a:prstGeom>
                    <a:noFill/>
                  </pic:spPr>
                </pic:pic>
              </a:graphicData>
            </a:graphic>
          </wp:inline>
        </w:drawing>
      </w:r>
      <w:bookmarkEnd w:id="146"/>
    </w:p>
    <w:p w14:paraId="5FD55A1A" w14:textId="77777777" w:rsidR="00EC4B36" w:rsidRDefault="00EC4B36" w:rsidP="00EC4B36"/>
    <w:p w14:paraId="16EE7B2D" w14:textId="77777777" w:rsidR="00EC4B36" w:rsidRDefault="00EC4B36" w:rsidP="00EC4B36">
      <w:r>
        <w:t>A continuación se describe las tareas del proceso de cálculo del V.I.</w:t>
      </w:r>
    </w:p>
    <w:p w14:paraId="55F83E1F" w14:textId="77777777" w:rsidR="00EC4B36" w:rsidRDefault="00EC4B36" w:rsidP="00EC4B36">
      <w:pPr>
        <w:pStyle w:val="Prrafodelista"/>
        <w:numPr>
          <w:ilvl w:val="0"/>
          <w:numId w:val="48"/>
        </w:numPr>
        <w:spacing w:after="160"/>
        <w:ind w:left="567" w:hanging="567"/>
      </w:pPr>
      <w:r w:rsidRPr="007615C0">
        <w:t>Identifica</w:t>
      </w:r>
      <w:r>
        <w:t>ción de</w:t>
      </w:r>
      <w:r w:rsidRPr="007615C0">
        <w:t xml:space="preserve"> los elementos </w:t>
      </w:r>
      <w:r>
        <w:t xml:space="preserve">existentes en la base de datos </w:t>
      </w:r>
      <w:r w:rsidRPr="007615C0">
        <w:t xml:space="preserve">que forman parte de otros elementos hasta la definición de Tramo. Estos elementos </w:t>
      </w:r>
      <w:r>
        <w:t xml:space="preserve">los denominamos como </w:t>
      </w:r>
      <w:r w:rsidRPr="007615C0">
        <w:t xml:space="preserve">“básicos” y contienen </w:t>
      </w:r>
      <w:r>
        <w:t>todos los elementos presentes en la base de datos que se identifican como pertenecientes a los tramos de subestación o de transporte que corresponde valorizar.</w:t>
      </w:r>
    </w:p>
    <w:p w14:paraId="2F73FDC2" w14:textId="77777777" w:rsidR="00EC4B36" w:rsidRDefault="00EC4B36" w:rsidP="00EC4B36">
      <w:pPr>
        <w:pStyle w:val="Prrafodelista"/>
        <w:numPr>
          <w:ilvl w:val="0"/>
          <w:numId w:val="48"/>
        </w:numPr>
        <w:spacing w:after="160"/>
        <w:ind w:left="567" w:hanging="567"/>
      </w:pPr>
      <w:r>
        <w:lastRenderedPageBreak/>
        <w:t xml:space="preserve">Incorporación a la base de datos del precio unitario y las HH y valor de HH de montaje, correspondiente a cada uno de los elementos calificados como perteneciente a alguno de los tramos del STN que corresponde valorizar. Los valores incorporados se calculan separadamente, como se describe en el </w:t>
      </w:r>
      <w:r w:rsidRPr="00E1434B">
        <w:t>Anexo VI_6-Estudio Precios</w:t>
      </w:r>
      <w:r>
        <w:t xml:space="preserve"> y el </w:t>
      </w:r>
      <w:r w:rsidRPr="00E1434B">
        <w:t>Anexo VI_7-Costos de Montaje</w:t>
      </w:r>
      <w:r>
        <w:t>, respectivamente.</w:t>
      </w:r>
    </w:p>
    <w:p w14:paraId="0FDAD4CB" w14:textId="77777777" w:rsidR="00EC4B36" w:rsidRPr="007615C0" w:rsidRDefault="00EC4B36" w:rsidP="00EC4B36">
      <w:pPr>
        <w:pStyle w:val="Prrafodelista"/>
        <w:numPr>
          <w:ilvl w:val="0"/>
          <w:numId w:val="48"/>
        </w:numPr>
        <w:spacing w:after="160"/>
        <w:ind w:left="567" w:hanging="567"/>
      </w:pPr>
      <w:r>
        <w:t xml:space="preserve">Cálculo dentro de la base de datos del costo unitario (Cu) más montaje (Mo) de la expresión matemática que define </w:t>
      </w:r>
      <w:r w:rsidRPr="007615C0">
        <w:t>el V</w:t>
      </w:r>
      <w:r>
        <w:t>.I., para c</w:t>
      </w:r>
      <w:r w:rsidRPr="007615C0">
        <w:t>ada uno de los elementos “básicos” que conforman los elementos agregados.</w:t>
      </w:r>
    </w:p>
    <w:p w14:paraId="59223700" w14:textId="77777777" w:rsidR="00EC4B36" w:rsidRDefault="00EC4B36" w:rsidP="00EC4B36">
      <w:pPr>
        <w:pStyle w:val="Prrafodelista"/>
        <w:numPr>
          <w:ilvl w:val="0"/>
          <w:numId w:val="48"/>
        </w:numPr>
        <w:spacing w:after="160"/>
        <w:ind w:left="567" w:hanging="567"/>
      </w:pPr>
      <w:r>
        <w:t>Almacenamiento en la base de datos del resultado del cálculo del punto anterior en una tabla creada para tal efecto.</w:t>
      </w:r>
    </w:p>
    <w:p w14:paraId="10A4F13D" w14:textId="77777777" w:rsidR="00EC4B36" w:rsidRDefault="00EC4B36" w:rsidP="00EC4B36">
      <w:pPr>
        <w:pStyle w:val="Prrafodelista"/>
        <w:numPr>
          <w:ilvl w:val="0"/>
          <w:numId w:val="48"/>
        </w:numPr>
        <w:spacing w:after="160"/>
        <w:ind w:left="567" w:hanging="567"/>
      </w:pPr>
      <w:r>
        <w:t>Extracción del resultado en una planilla de cálculo Excel del resultado anterior, para completar el cálculo de los recargos flete y bodegaje (Fl y B, respectivamente), calculados separadamente de la base de datos y cuyo resultado es un porcentaje obtenido con el cociente del valor en dólares para el recargo y el V.I. correspondiente al tramo, para todos los tramos de subestaciones y de transporte que se debe valorizar.</w:t>
      </w:r>
    </w:p>
    <w:p w14:paraId="22C77CC4" w14:textId="77777777" w:rsidR="00EC4B36" w:rsidRDefault="00EC4B36" w:rsidP="00EC4B36">
      <w:pPr>
        <w:pStyle w:val="Prrafodelista"/>
        <w:numPr>
          <w:ilvl w:val="0"/>
          <w:numId w:val="48"/>
        </w:numPr>
        <w:spacing w:after="0"/>
        <w:ind w:left="567" w:hanging="567"/>
      </w:pPr>
      <w:bookmarkStart w:id="147" w:name="_Hlk37888863"/>
      <w:r>
        <w:t>Incorporación a la base de datos de los resultados de los recargos flete y bodegaje resultantes del estudio correspondiente, que junto al resultado anterior y mediante una operación matemática determina el valor:</w:t>
      </w:r>
    </w:p>
    <w:p w14:paraId="5A0A293E" w14:textId="77777777" w:rsidR="00EC4B36" w:rsidRDefault="00EC4B36" w:rsidP="00EC4B36">
      <w:pPr>
        <w:pStyle w:val="Prrafodelista"/>
        <w:numPr>
          <w:ilvl w:val="0"/>
          <w:numId w:val="0"/>
        </w:numPr>
        <w:spacing w:after="160"/>
        <w:ind w:left="720"/>
      </w:pPr>
      <m:oMathPara>
        <m:oMath>
          <m:r>
            <w:rPr>
              <w:rFonts w:ascii="Cambria Math" w:hAnsi="Cambria Math"/>
            </w:rPr>
            <m:t>Cu∙</m:t>
          </m:r>
          <m:d>
            <m:dPr>
              <m:ctrlPr>
                <w:rPr>
                  <w:rFonts w:ascii="Cambria Math" w:hAnsi="Cambria Math"/>
                  <w:i/>
                </w:rPr>
              </m:ctrlPr>
            </m:dPr>
            <m:e>
              <m:r>
                <w:rPr>
                  <w:rFonts w:ascii="Cambria Math" w:hAnsi="Cambria Math"/>
                </w:rPr>
                <m:t>1+Fl+B</m:t>
              </m:r>
            </m:e>
          </m:d>
          <m:r>
            <w:rPr>
              <w:rFonts w:ascii="Cambria Math" w:hAnsi="Cambria Math"/>
            </w:rPr>
            <m:t>+Mo</m:t>
          </m:r>
        </m:oMath>
      </m:oMathPara>
    </w:p>
    <w:bookmarkEnd w:id="147"/>
    <w:p w14:paraId="52DD18A6" w14:textId="77777777" w:rsidR="00EC4B36" w:rsidRDefault="00EC4B36" w:rsidP="00EC4B36">
      <w:pPr>
        <w:pStyle w:val="Prrafodelista"/>
        <w:numPr>
          <w:ilvl w:val="0"/>
          <w:numId w:val="48"/>
        </w:numPr>
        <w:spacing w:after="160"/>
        <w:ind w:left="567" w:hanging="567"/>
      </w:pPr>
      <w:r>
        <w:t>Extracción del resultado en una planilla de cálculo Excel del resultado anterior, para completar el cálculo de los recargos ingeniería y gastos generales (Ing y Gg, respectivamente), calculados separadamente de la base de datos y cuyo resultado es un porcentaje obtenido con el cociente del valor en dólares para el recargo y el V.I. correspondiente al tramo, para todos los tramos de subestaciones y de transporte que se debe valorizar.</w:t>
      </w:r>
    </w:p>
    <w:p w14:paraId="07076C14" w14:textId="77777777" w:rsidR="00EC4B36" w:rsidRDefault="00EC4B36" w:rsidP="00EC4B36">
      <w:pPr>
        <w:pStyle w:val="Prrafodelista"/>
        <w:numPr>
          <w:ilvl w:val="0"/>
          <w:numId w:val="48"/>
        </w:numPr>
        <w:spacing w:after="160"/>
        <w:ind w:left="567" w:hanging="567"/>
      </w:pPr>
      <w:r>
        <w:t>Incorporación a la base de datos de los resultados del estudio de los recargos Ing y Gg, que junto al resultado anterior y mediante una operación matemática determina el valor de:</w:t>
      </w:r>
    </w:p>
    <w:p w14:paraId="42C9F197" w14:textId="77777777" w:rsidR="00EC4B36" w:rsidRDefault="0088072F" w:rsidP="00EC4B36">
      <w:pPr>
        <w:pStyle w:val="Prrafodelista"/>
        <w:numPr>
          <w:ilvl w:val="0"/>
          <w:numId w:val="0"/>
        </w:numPr>
        <w:ind w:left="720"/>
      </w:pPr>
      <m:oMathPara>
        <m:oMath>
          <m:d>
            <m:dPr>
              <m:begChr m:val="["/>
              <m:endChr m:val="]"/>
              <m:ctrlPr>
                <w:rPr>
                  <w:rFonts w:ascii="Cambria Math" w:hAnsi="Cambria Math"/>
                  <w:i/>
                </w:rPr>
              </m:ctrlPr>
            </m:dPr>
            <m:e>
              <m:r>
                <w:rPr>
                  <w:rFonts w:ascii="Cambria Math" w:hAnsi="Cambria Math"/>
                </w:rPr>
                <m:t>Cu∙</m:t>
              </m:r>
              <m:d>
                <m:dPr>
                  <m:ctrlPr>
                    <w:rPr>
                      <w:rFonts w:ascii="Cambria Math" w:hAnsi="Cambria Math"/>
                      <w:i/>
                    </w:rPr>
                  </m:ctrlPr>
                </m:dPr>
                <m:e>
                  <m:r>
                    <w:rPr>
                      <w:rFonts w:ascii="Cambria Math" w:hAnsi="Cambria Math"/>
                    </w:rPr>
                    <m:t>1+F</m:t>
                  </m:r>
                  <m:r>
                    <w:rPr>
                      <w:rFonts w:ascii="Cambria Math" w:hAnsi="Cambria Math"/>
                    </w:rPr>
                    <m:t>l+B</m:t>
                  </m:r>
                </m:e>
              </m:d>
              <m:r>
                <w:rPr>
                  <w:rFonts w:ascii="Cambria Math" w:hAnsi="Cambria Math"/>
                </w:rPr>
                <m:t>+Mo</m:t>
              </m:r>
            </m:e>
          </m:d>
          <m:r>
            <w:rPr>
              <w:rFonts w:ascii="Cambria Math" w:hAnsi="Cambria Math"/>
            </w:rPr>
            <m:t>∙(1+Ing+Gg)</m:t>
          </m:r>
        </m:oMath>
      </m:oMathPara>
    </w:p>
    <w:p w14:paraId="5845FBC8" w14:textId="77777777" w:rsidR="00EC4B36" w:rsidRDefault="00EC4B36" w:rsidP="00EC4B36">
      <w:pPr>
        <w:pStyle w:val="Prrafodelista"/>
        <w:numPr>
          <w:ilvl w:val="0"/>
          <w:numId w:val="48"/>
        </w:numPr>
        <w:spacing w:after="0"/>
        <w:ind w:left="567" w:hanging="567"/>
      </w:pPr>
      <w:r>
        <w:t>Incorporación a la base de datos de los resultados del estudio de los intereses intercalarios (Int), que junto al resultado anterior y mediante una operación matemática determina el valor de:</w:t>
      </w:r>
    </w:p>
    <w:p w14:paraId="0FD8FDE7" w14:textId="77777777" w:rsidR="00EC4B36" w:rsidRPr="006F774C" w:rsidRDefault="0088072F" w:rsidP="00EC4B36">
      <w:pPr>
        <w:pStyle w:val="Prrafodelista"/>
        <w:numPr>
          <w:ilvl w:val="0"/>
          <w:numId w:val="0"/>
        </w:numPr>
        <w:ind w:left="720"/>
        <w:rPr>
          <w:i/>
        </w:rPr>
      </w:pPr>
      <m:oMathPara>
        <m:oMath>
          <m:d>
            <m:dPr>
              <m:begChr m:val="["/>
              <m:endChr m:val="]"/>
              <m:ctrlPr>
                <w:rPr>
                  <w:rFonts w:ascii="Cambria Math" w:hAnsi="Cambria Math"/>
                  <w:i/>
                </w:rPr>
              </m:ctrlPr>
            </m:dPr>
            <m:e>
              <m:r>
                <w:rPr>
                  <w:rFonts w:ascii="Cambria Math" w:hAnsi="Cambria Math"/>
                </w:rPr>
                <m:t>Cu∙</m:t>
              </m:r>
              <m:d>
                <m:dPr>
                  <m:ctrlPr>
                    <w:rPr>
                      <w:rFonts w:ascii="Cambria Math" w:hAnsi="Cambria Math"/>
                      <w:i/>
                    </w:rPr>
                  </m:ctrlPr>
                </m:dPr>
                <m:e>
                  <m:r>
                    <w:rPr>
                      <w:rFonts w:ascii="Cambria Math" w:hAnsi="Cambria Math"/>
                    </w:rPr>
                    <m:t>1+Fl+B</m:t>
                  </m:r>
                </m:e>
              </m:d>
              <m:r>
                <w:rPr>
                  <w:rFonts w:ascii="Cambria Math" w:hAnsi="Cambria Math"/>
                </w:rPr>
                <m:t>+Mo</m:t>
              </m:r>
            </m:e>
          </m:d>
          <m:r>
            <w:rPr>
              <w:rFonts w:ascii="Cambria Math" w:hAnsi="Cambria Math"/>
            </w:rPr>
            <m:t>∙</m:t>
          </m:r>
          <m:d>
            <m:dPr>
              <m:ctrlPr>
                <w:rPr>
                  <w:rFonts w:ascii="Cambria Math" w:hAnsi="Cambria Math"/>
                  <w:i/>
                </w:rPr>
              </m:ctrlPr>
            </m:dPr>
            <m:e>
              <m:r>
                <w:rPr>
                  <w:rFonts w:ascii="Cambria Math" w:hAnsi="Cambria Math"/>
                </w:rPr>
                <m:t>1+Ing+Gg</m:t>
              </m:r>
            </m:e>
          </m:d>
          <m:r>
            <w:rPr>
              <w:rFonts w:ascii="Cambria Math" w:hAnsi="Cambria Math"/>
            </w:rPr>
            <m:t>∙(1+Int)</m:t>
          </m:r>
        </m:oMath>
      </m:oMathPara>
    </w:p>
    <w:p w14:paraId="12913D05" w14:textId="77777777" w:rsidR="00EC4B36" w:rsidRDefault="00EC4B36" w:rsidP="00EC4B36">
      <w:pPr>
        <w:pStyle w:val="Prrafodelista"/>
        <w:numPr>
          <w:ilvl w:val="0"/>
          <w:numId w:val="48"/>
        </w:numPr>
        <w:spacing w:after="160"/>
        <w:ind w:left="567" w:hanging="567"/>
      </w:pPr>
      <w:r>
        <w:lastRenderedPageBreak/>
        <w:t>Del estudio de C.O.M.A. se obtiene la fracción de Bienes Intangibles (BI) y Costos de Explotación (CE) que corresponde asignar a las instalaciones, incorporando dicha fracción a la base de datos y se prorratea en cada uno de los elementos de las instalaciones que se valorizan, en proporción al V.I. de cada uno de ellos.</w:t>
      </w:r>
    </w:p>
    <w:p w14:paraId="68DEA1D6" w14:textId="77777777" w:rsidR="00EC4B36" w:rsidRDefault="00EC4B36" w:rsidP="00EC4B36">
      <w:pPr>
        <w:pStyle w:val="Prrafodelista"/>
        <w:numPr>
          <w:ilvl w:val="0"/>
          <w:numId w:val="48"/>
        </w:numPr>
        <w:ind w:left="567" w:hanging="567"/>
      </w:pPr>
      <w:r>
        <w:t>El proceso descrito finaliza con la obtención del V.I. por tramo y por propietario.</w:t>
      </w:r>
    </w:p>
    <w:p w14:paraId="3FF37159" w14:textId="77777777" w:rsidR="00EC4B36" w:rsidRDefault="00EC4B36" w:rsidP="00EC4B36">
      <w:pPr>
        <w:pStyle w:val="Ttulo3"/>
        <w:keepNext/>
      </w:pPr>
      <w:bookmarkStart w:id="148" w:name="_Toc39795096"/>
      <w:bookmarkStart w:id="149" w:name="_Toc39797776"/>
      <w:r>
        <w:t>Determinación de derechos relacionados con el uso de suelo y medioambiente</w:t>
      </w:r>
      <w:bookmarkEnd w:id="148"/>
      <w:bookmarkEnd w:id="149"/>
    </w:p>
    <w:p w14:paraId="79503EAB" w14:textId="77777777" w:rsidR="00EC4B36" w:rsidRDefault="00EC4B36" w:rsidP="00EC4B36">
      <w:pPr>
        <w:pStyle w:val="Ttulo4"/>
        <w:keepNext/>
      </w:pPr>
      <w:bookmarkStart w:id="150" w:name="_Toc39795097"/>
      <w:bookmarkStart w:id="151" w:name="_Toc39797777"/>
      <w:r>
        <w:t>Derechos relacionados con el uso de suelo</w:t>
      </w:r>
      <w:bookmarkEnd w:id="150"/>
      <w:bookmarkEnd w:id="151"/>
    </w:p>
    <w:p w14:paraId="16811013" w14:textId="77777777" w:rsidR="00EC4B36" w:rsidRPr="000B1AE2" w:rsidRDefault="00EC4B36" w:rsidP="00EC4B36">
      <w:r w:rsidRPr="000B1AE2">
        <w:t>Los derechos relacionados con el uso del suelo, tales como los referidos a adquisición de terrenos, su uso y goce, servidumbres voluntarias o forzosas, entre otros,</w:t>
      </w:r>
      <w:r>
        <w:t xml:space="preserve"> a considerar en la valorización de las instalaciones del STN,</w:t>
      </w:r>
      <w:r w:rsidRPr="000B1AE2">
        <w:t xml:space="preserve"> </w:t>
      </w:r>
      <w:r>
        <w:t>están perfectamente definidos en las siguientes disposiciones del</w:t>
      </w:r>
      <w:r w:rsidRPr="000B1AE2">
        <w:t xml:space="preserve"> artícul</w:t>
      </w:r>
      <w:r>
        <w:t>o</w:t>
      </w:r>
      <w:r w:rsidRPr="000B1AE2">
        <w:t xml:space="preserve"> vigesimosegundo</w:t>
      </w:r>
      <w:r>
        <w:t xml:space="preserve"> transitorio</w:t>
      </w:r>
      <w:r w:rsidRPr="000B1AE2">
        <w:t xml:space="preserve"> de</w:t>
      </w:r>
      <w:r>
        <w:t xml:space="preserve"> la LGSE, introducido por</w:t>
      </w:r>
      <w:r w:rsidRPr="000B1AE2">
        <w:t xml:space="preserve"> la Ley N° 20.936</w:t>
      </w:r>
      <w:r>
        <w:t>:</w:t>
      </w:r>
    </w:p>
    <w:p w14:paraId="7052563B" w14:textId="77777777" w:rsidR="00EC4B36" w:rsidRPr="006F774C" w:rsidRDefault="00EC4B36" w:rsidP="00EC4B36">
      <w:pPr>
        <w:pStyle w:val="Listanumerada"/>
        <w:numPr>
          <w:ilvl w:val="0"/>
          <w:numId w:val="11"/>
        </w:numPr>
        <w:spacing w:after="200"/>
        <w:ind w:left="567" w:hanging="567"/>
      </w:pPr>
      <w:r w:rsidRPr="006F774C">
        <w:t>Respecto a aquellas instalaciones de transmisión troncal existentes al 13 de marzo de 2004, se considerará el valor que por este concepto se encuentre incorporado en la valorización de las instalaciones, empleada por la Dirección de Peajes del respectivo CDEC en sus informes vigentes al 6 de mayo de 2002;</w:t>
      </w:r>
    </w:p>
    <w:p w14:paraId="21C31184" w14:textId="77777777" w:rsidR="00EC4B36" w:rsidRPr="006F774C" w:rsidRDefault="00EC4B36" w:rsidP="00EC4B36">
      <w:pPr>
        <w:pStyle w:val="Listanumerada"/>
        <w:numPr>
          <w:ilvl w:val="0"/>
          <w:numId w:val="11"/>
        </w:numPr>
        <w:spacing w:after="200"/>
        <w:ind w:left="567" w:hanging="567"/>
      </w:pPr>
      <w:r w:rsidRPr="006F774C">
        <w:t>Respecto a aquellas instalaciones de transmisión troncal que entraron en operación hasta el 31 de diciembre de 2013, no comprendidas en el literal anterior, se considerará el valor asignado en el Informe Técnico Definitivo para la Determinación del Valor Anual y Expansión del Sistema de Transmisión Troncal Cuadrienio 2016 – 2019, aprobado por resolución exenta N° 616, de 24 de noviembre de 2015, de la Comisión Nacional de Energía, que sirvió de base a la dictación del Decreto N° 23 T, del Ministerio de Energía, promulgado el año 2015 y publicado el año 2016, que fija instalaciones del sistema de transmisión troncal, el área de influencia común, el valor anual de transmisión por tramo y sus componentes con sus fórmulas de indexación para el cuadrienio 2016 - 2019.</w:t>
      </w:r>
    </w:p>
    <w:p w14:paraId="5383C700" w14:textId="77777777" w:rsidR="00EC4B36" w:rsidRPr="006F774C" w:rsidRDefault="00EC4B36" w:rsidP="00EC4B36">
      <w:pPr>
        <w:pStyle w:val="Listanumerada"/>
        <w:numPr>
          <w:ilvl w:val="0"/>
          <w:numId w:val="11"/>
        </w:numPr>
        <w:spacing w:after="200"/>
        <w:ind w:left="567" w:hanging="567"/>
      </w:pPr>
      <w:r w:rsidRPr="006F774C">
        <w:t>Respecto a aquellas instalaciones de transmisión nacional, que entraron en operación a contar del 1 de enero de 2014, se valorizarán de acuerdo a lo dispuesto en el inciso quinto del artículo 103° que señala que sin perjuicio de lo anterior, respecto de los derechos relacionados con el uso de suelo, los gastos y las indemnizaciones pagadas para el establecimiento de las servidumbres utilizadas, para efectos de incluirlos en el V.I. respectivo se considerará el valor efectivamente pagado, indexado de acuerdo a la variación que experimente el Índice de Precios al Consumidor.</w:t>
      </w:r>
    </w:p>
    <w:p w14:paraId="017620DF" w14:textId="77777777" w:rsidR="00EC4B36" w:rsidRDefault="00EC4B36" w:rsidP="00EC4B36">
      <w:pPr>
        <w:rPr>
          <w:lang w:eastAsia="es-CL"/>
        </w:rPr>
      </w:pPr>
      <w:r w:rsidRPr="000B1AE2">
        <w:rPr>
          <w:lang w:eastAsia="es-CL"/>
        </w:rPr>
        <w:lastRenderedPageBreak/>
        <w:t xml:space="preserve">El procedimiento a desarrollar </w:t>
      </w:r>
      <w:r>
        <w:rPr>
          <w:lang w:eastAsia="es-CL"/>
        </w:rPr>
        <w:t>consiste en obtener los valores declarados en la Base de Datos por los propietarios de las instalaciones que hacen uso de terrenos y servidumbres, verificar el nivel de precios con que están declarados y actualizarlos según IPC al 31 de diciembre de 2017</w:t>
      </w:r>
      <w:r w:rsidRPr="000B1AE2">
        <w:rPr>
          <w:lang w:eastAsia="es-CL"/>
        </w:rPr>
        <w:t>.</w:t>
      </w:r>
    </w:p>
    <w:p w14:paraId="2BD7C4A2" w14:textId="77777777" w:rsidR="00EC4B36" w:rsidRDefault="00EC4B36" w:rsidP="00EC4B36">
      <w:r>
        <w:t>Los valores resultantes se muestran en el punto 7.2 de este informe y fueron incorporados en la determinación del V.I. de las instalaciones.</w:t>
      </w:r>
    </w:p>
    <w:p w14:paraId="0F9F487B" w14:textId="77777777" w:rsidR="00EC4B36" w:rsidRDefault="00EC4B36" w:rsidP="00EC4B36">
      <w:pPr>
        <w:pStyle w:val="Ttulo4"/>
        <w:keepNext/>
      </w:pPr>
      <w:bookmarkStart w:id="152" w:name="_Toc39795098"/>
      <w:bookmarkStart w:id="153" w:name="_Toc39797778"/>
      <w:r>
        <w:t>Derechos relacionados con medioambiente</w:t>
      </w:r>
      <w:bookmarkEnd w:id="152"/>
      <w:bookmarkEnd w:id="153"/>
    </w:p>
    <w:p w14:paraId="6CAC5C8D" w14:textId="77777777" w:rsidR="00EC4B36" w:rsidRDefault="00EC4B36" w:rsidP="00EC4B36">
      <w:r>
        <w:t xml:space="preserve">En materia de costos relacionados con medioambiente el Consultor revisó la metodología y criterios que se aplicaron en la valorización de instalaciones realizada en los ETT de los años 2006 y 2010, y lo ha considerado apropiado para aplicar en el presente estudio de valorización. El criterio consiste en reconocer los costos asociados a medioambiente para las obras construidas con posterioridad a la entrada en vigencia de la Ley de Bases del Medio Ambiente, para las que efectivamente el propietario ha debido soportarlos. </w:t>
      </w:r>
    </w:p>
    <w:p w14:paraId="2B6788D2" w14:textId="77777777" w:rsidR="00EC4B36" w:rsidRDefault="00EC4B36" w:rsidP="00EC4B36">
      <w:r>
        <w:t xml:space="preserve">Los argumentos para sustentar el criterio son: </w:t>
      </w:r>
    </w:p>
    <w:p w14:paraId="3DF89843" w14:textId="77777777" w:rsidR="00EC4B36" w:rsidRPr="006F774C" w:rsidRDefault="00EC4B36" w:rsidP="00EC4B36">
      <w:pPr>
        <w:pStyle w:val="Prrafodelista"/>
        <w:ind w:left="567" w:hanging="567"/>
      </w:pPr>
      <w:r w:rsidRPr="006F774C">
        <w:t xml:space="preserve">Coherencia con el tratamiento que la ley otorga a los derechos relacionados con el uso del suelo, que es lo más asimilable al tema ambiental: se reconocen los costos efectivamente incurridos, no gozando el propietario de la plusvalía de la escasez de los terrenos. </w:t>
      </w:r>
    </w:p>
    <w:p w14:paraId="04F6101F" w14:textId="77777777" w:rsidR="00EC4B36" w:rsidRPr="006F774C" w:rsidRDefault="00EC4B36" w:rsidP="00EC4B36">
      <w:pPr>
        <w:pStyle w:val="Prrafodelista"/>
        <w:ind w:left="567" w:hanging="567"/>
      </w:pPr>
      <w:r w:rsidRPr="006F774C">
        <w:t xml:space="preserve">Coherencia con que el hecho que la ley y las bases establecen calcular el VI de las instalaciones con el dimensionamiento de lo que existe instalado, sin optimización alguna. </w:t>
      </w:r>
    </w:p>
    <w:p w14:paraId="6ED51734" w14:textId="77777777" w:rsidR="00EC4B36" w:rsidRPr="006F774C" w:rsidRDefault="00EC4B36" w:rsidP="00EC4B36">
      <w:pPr>
        <w:pStyle w:val="Prrafodelista"/>
        <w:ind w:left="567" w:hanging="567"/>
      </w:pPr>
      <w:r w:rsidRPr="006F774C">
        <w:t xml:space="preserve">El criterio permite que a futuro las autoridades ambientales o el legislador puedan imponer exigencias, gravámenes o nuevas regulaciones sobre las futuras instalaciones, sin que deban soportar el costo de que ello signifique elevar los valores de VI de la totalidad de las instalaciones previamente existentes, con el consecuente impacto en la valorización de la transmisión y las consiguientes tarifas. </w:t>
      </w:r>
    </w:p>
    <w:p w14:paraId="7FE80A97" w14:textId="77777777" w:rsidR="00EC4B36" w:rsidRPr="006F774C" w:rsidRDefault="00EC4B36" w:rsidP="00EC4B36">
      <w:pPr>
        <w:pStyle w:val="Prrafodelista"/>
        <w:ind w:left="567" w:hanging="567"/>
      </w:pPr>
      <w:r w:rsidRPr="006F774C">
        <w:t>Por otra parte, resultaría arbitrario inventar costos de tramitación y mitigación ambiental para obras de transmisión sobre las cuales no existe ninguna certeza de que ellas hubieran sido ambientalmente factibles de implementar en su versión actual.</w:t>
      </w:r>
    </w:p>
    <w:p w14:paraId="03EB47DB" w14:textId="77777777" w:rsidR="00EC4B36" w:rsidRPr="0070692B" w:rsidRDefault="00EC4B36" w:rsidP="00EC4B36">
      <w:pPr>
        <w:rPr>
          <w:lang w:val="es-ES"/>
        </w:rPr>
      </w:pPr>
      <w:r>
        <w:t>La aplicación de esta metodologí</w:t>
      </w:r>
      <w:r w:rsidRPr="0070692B">
        <w:t>a consiste entonces en reconocer los costos asociados a medio ambiente que han sido declarados por lo</w:t>
      </w:r>
      <w:r>
        <w:t>s</w:t>
      </w:r>
      <w:r w:rsidRPr="0070692B">
        <w:t xml:space="preserve"> propietarios en la Base de Datos y actualizarlos según IPC al 31 de diciembre de 2017</w:t>
      </w:r>
      <w:r w:rsidRPr="0070692B">
        <w:rPr>
          <w:lang w:val="es-ES"/>
        </w:rPr>
        <w:t>.</w:t>
      </w:r>
    </w:p>
    <w:p w14:paraId="65211211" w14:textId="436D2122" w:rsidR="00F43502" w:rsidRPr="0070692B" w:rsidRDefault="00EC4B36" w:rsidP="00EC4B36">
      <w:r w:rsidRPr="0070692B">
        <w:t xml:space="preserve">Los valores resultantes se muestran </w:t>
      </w:r>
      <w:r>
        <w:t>en el punto 7.2 de este informe</w:t>
      </w:r>
      <w:r w:rsidRPr="0070692B">
        <w:t xml:space="preserve"> y fueron incorporados en la determinación del V.I. de las instalaciones</w:t>
      </w:r>
      <w:r>
        <w:t>.</w:t>
      </w:r>
    </w:p>
    <w:p w14:paraId="0016F454" w14:textId="134FECF6" w:rsidR="00003F6D" w:rsidRPr="006F774C" w:rsidRDefault="00003F6D" w:rsidP="006F774C">
      <w:pPr>
        <w:pStyle w:val="Ttulo2"/>
      </w:pPr>
      <w:bookmarkStart w:id="154" w:name="_Toc39797779"/>
      <w:r w:rsidRPr="006F774C">
        <w:lastRenderedPageBreak/>
        <w:t>Metodología aplicada a la determinación del C.O.M.A.</w:t>
      </w:r>
      <w:bookmarkEnd w:id="154"/>
    </w:p>
    <w:p w14:paraId="0BA7E5C1" w14:textId="77777777" w:rsidR="0079428C" w:rsidRPr="00F465C5" w:rsidRDefault="0079428C" w:rsidP="0070692B">
      <w:pPr>
        <w:pStyle w:val="Ttulo3"/>
      </w:pPr>
      <w:bookmarkStart w:id="155" w:name="_Toc21077625"/>
      <w:bookmarkStart w:id="156" w:name="_Toc32389947"/>
      <w:bookmarkStart w:id="157" w:name="_Toc34398089"/>
      <w:bookmarkStart w:id="158" w:name="_Toc39797780"/>
      <w:r w:rsidRPr="00F465C5">
        <w:t>Introducción</w:t>
      </w:r>
      <w:bookmarkEnd w:id="155"/>
      <w:bookmarkEnd w:id="156"/>
      <w:bookmarkEnd w:id="157"/>
      <w:bookmarkEnd w:id="158"/>
    </w:p>
    <w:p w14:paraId="4325C92C" w14:textId="2DBF2187" w:rsidR="0079428C" w:rsidRPr="00B06D23" w:rsidRDefault="0079428C" w:rsidP="0070692B">
      <w:pPr>
        <w:rPr>
          <w:lang w:val="es-ES"/>
        </w:rPr>
      </w:pPr>
      <w:r w:rsidRPr="00B06D23">
        <w:rPr>
          <w:lang w:val="es-ES"/>
        </w:rPr>
        <w:t>El objetivo de esta sección es presentar la metodología y criterios para determinar el C</w:t>
      </w:r>
      <w:r w:rsidR="006F774C">
        <w:rPr>
          <w:lang w:val="es-ES"/>
        </w:rPr>
        <w:t>.</w:t>
      </w:r>
      <w:r w:rsidRPr="00B06D23">
        <w:rPr>
          <w:lang w:val="es-ES"/>
        </w:rPr>
        <w:t>O</w:t>
      </w:r>
      <w:r w:rsidR="006F774C">
        <w:rPr>
          <w:lang w:val="es-ES"/>
        </w:rPr>
        <w:t>.</w:t>
      </w:r>
      <w:r w:rsidRPr="00B06D23">
        <w:rPr>
          <w:lang w:val="es-ES"/>
        </w:rPr>
        <w:t>M</w:t>
      </w:r>
      <w:r w:rsidR="006F774C">
        <w:rPr>
          <w:lang w:val="es-ES"/>
        </w:rPr>
        <w:t>.</w:t>
      </w:r>
      <w:r w:rsidRPr="00B06D23">
        <w:rPr>
          <w:lang w:val="es-ES"/>
        </w:rPr>
        <w:t>A</w:t>
      </w:r>
      <w:r w:rsidR="006F774C">
        <w:rPr>
          <w:lang w:val="es-ES"/>
        </w:rPr>
        <w:t>.</w:t>
      </w:r>
      <w:r w:rsidRPr="00B06D23">
        <w:rPr>
          <w:lang w:val="es-ES"/>
        </w:rPr>
        <w:t>, compuesto por los costos anuales de operación, mantenimiento y administración de una única empresa eficiente y que opera las instalaciones del sistema de transmisión nacional bajo los estándares establecidos en la normativa vigente, excluyendo las instalaciones que fueron construidas bajo la modalidad de obras nuevas.</w:t>
      </w:r>
    </w:p>
    <w:p w14:paraId="1BA37CFD" w14:textId="77777777" w:rsidR="0079428C" w:rsidRPr="00B06D23" w:rsidRDefault="0079428C" w:rsidP="0070692B">
      <w:pPr>
        <w:rPr>
          <w:lang w:val="es-ES"/>
        </w:rPr>
      </w:pPr>
      <w:r w:rsidRPr="00B06D23">
        <w:rPr>
          <w:lang w:val="es-ES"/>
        </w:rPr>
        <w:t xml:space="preserve">Dicha empresa contempla todos los procesos y actividades necesarios para prestar el servicio de transmisión de energía eléctrica, que comprende la operación y el mantenimiento (O&amp;M) de las instalaciones que integran la infraestructura, y las actividades de dirección y administración inherentes a toda empresa. </w:t>
      </w:r>
    </w:p>
    <w:p w14:paraId="69FEBBAB" w14:textId="78FE2F9D" w:rsidR="0079428C" w:rsidRDefault="0079428C" w:rsidP="0070692B">
      <w:pPr>
        <w:rPr>
          <w:lang w:val="es-ES"/>
        </w:rPr>
      </w:pPr>
      <w:r w:rsidRPr="00B06D23">
        <w:rPr>
          <w:lang w:val="es-ES"/>
        </w:rPr>
        <w:t xml:space="preserve">La aplicación de la metodología considera el reconocimiento de los componentes de costo que se indican en la </w:t>
      </w:r>
      <w:r w:rsidR="006F774C">
        <w:rPr>
          <w:lang w:val="es-ES"/>
        </w:rPr>
        <w:t>ilustración</w:t>
      </w:r>
      <w:r w:rsidRPr="00B06D23">
        <w:rPr>
          <w:lang w:val="es-ES"/>
        </w:rPr>
        <w:t xml:space="preserve"> siguiente:</w:t>
      </w:r>
    </w:p>
    <w:p w14:paraId="7EFED8E7" w14:textId="6C1E9CE9" w:rsidR="006F774C" w:rsidRPr="00B06D23" w:rsidRDefault="006F774C" w:rsidP="006F774C">
      <w:pPr>
        <w:pStyle w:val="Subttulo"/>
        <w:rPr>
          <w:lang w:val="es-ES"/>
        </w:rPr>
      </w:pPr>
      <w:bookmarkStart w:id="159" w:name="_Toc39797984"/>
      <w:r>
        <w:t xml:space="preserve">Ilustración </w:t>
      </w:r>
      <w:fldSimple w:instr=" SEQ Ilustración \* ARABIC ">
        <w:r w:rsidR="001F3E2E">
          <w:rPr>
            <w:noProof/>
          </w:rPr>
          <w:t>3</w:t>
        </w:r>
      </w:fldSimple>
      <w:r>
        <w:t>: Componentes de costo</w:t>
      </w:r>
      <w:bookmarkEnd w:id="159"/>
    </w:p>
    <w:p w14:paraId="6C726D14" w14:textId="77777777" w:rsidR="0079428C" w:rsidRPr="00B06D23" w:rsidRDefault="0079428C" w:rsidP="00273FE4">
      <w:pPr>
        <w:numPr>
          <w:ilvl w:val="0"/>
          <w:numId w:val="7"/>
        </w:numPr>
        <w:spacing w:line="259" w:lineRule="auto"/>
        <w:ind w:left="360" w:hanging="360"/>
        <w:jc w:val="center"/>
        <w:rPr>
          <w:lang w:val="es-ES"/>
        </w:rPr>
      </w:pPr>
      <w:r w:rsidRPr="00B06D23">
        <w:rPr>
          <w:noProof/>
          <w:lang w:eastAsia="es-CL"/>
        </w:rPr>
        <w:drawing>
          <wp:inline distT="0" distB="0" distL="0" distR="0" wp14:anchorId="0A8EFC11" wp14:editId="2A68E0A2">
            <wp:extent cx="5953125" cy="2809875"/>
            <wp:effectExtent l="0" t="0" r="0" b="0"/>
            <wp:docPr id="51" name="Imagen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26"/>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53125" cy="2809875"/>
                    </a:xfrm>
                    <a:prstGeom prst="rect">
                      <a:avLst/>
                    </a:prstGeom>
                    <a:noFill/>
                    <a:ln>
                      <a:noFill/>
                    </a:ln>
                  </pic:spPr>
                </pic:pic>
              </a:graphicData>
            </a:graphic>
          </wp:inline>
        </w:drawing>
      </w:r>
    </w:p>
    <w:p w14:paraId="50B33855" w14:textId="3298CBD3" w:rsidR="00885D75" w:rsidRPr="00195524" w:rsidRDefault="00885D75" w:rsidP="0070692B">
      <w:pPr>
        <w:rPr>
          <w:lang w:val="es-ES"/>
        </w:rPr>
      </w:pPr>
      <w:r w:rsidRPr="00195524">
        <w:rPr>
          <w:lang w:val="es-ES"/>
        </w:rPr>
        <w:t xml:space="preserve">Los dos grandes macroprocesos que se desarrollan en la empresa modelo </w:t>
      </w:r>
      <w:r w:rsidR="001A6E11" w:rsidRPr="00195524">
        <w:rPr>
          <w:lang w:val="es-ES"/>
        </w:rPr>
        <w:t xml:space="preserve">(en adelante EM) </w:t>
      </w:r>
      <w:r w:rsidRPr="00195524">
        <w:rPr>
          <w:lang w:val="es-ES"/>
        </w:rPr>
        <w:t>son: Operación y Mantenimiento y Dirección, Administración y Finanzas. Dentro de cada macroproceso se identifican las actividades mostradas en la tabla cuyos componentes de costo integran el C.O.M.A</w:t>
      </w:r>
      <w:r w:rsidR="006F774C">
        <w:rPr>
          <w:lang w:val="es-ES"/>
        </w:rPr>
        <w:t>.</w:t>
      </w:r>
      <w:r w:rsidRPr="00195524">
        <w:rPr>
          <w:lang w:val="es-ES"/>
        </w:rPr>
        <w:t xml:space="preserve"> de la </w:t>
      </w:r>
      <w:r w:rsidR="001A6E11" w:rsidRPr="00195524">
        <w:rPr>
          <w:lang w:val="es-ES"/>
        </w:rPr>
        <w:t>EM</w:t>
      </w:r>
      <w:r w:rsidRPr="00195524">
        <w:rPr>
          <w:lang w:val="es-ES"/>
        </w:rPr>
        <w:t>.</w:t>
      </w:r>
    </w:p>
    <w:p w14:paraId="0684FF35" w14:textId="72B0F0B1" w:rsidR="00885D75" w:rsidRPr="00195524" w:rsidRDefault="00885D75" w:rsidP="0070692B">
      <w:pPr>
        <w:rPr>
          <w:lang w:val="es-ES"/>
        </w:rPr>
      </w:pPr>
      <w:r w:rsidRPr="00195524">
        <w:rPr>
          <w:lang w:val="es-ES"/>
        </w:rPr>
        <w:t xml:space="preserve">El macroproceso de O&amp;M contiene </w:t>
      </w:r>
      <w:r w:rsidR="00BA2EDF" w:rsidRPr="00195524">
        <w:rPr>
          <w:lang w:val="es-ES"/>
        </w:rPr>
        <w:t>las siguientes actividades</w:t>
      </w:r>
      <w:r w:rsidRPr="00195524">
        <w:rPr>
          <w:lang w:val="es-ES"/>
        </w:rPr>
        <w:t>:</w:t>
      </w:r>
    </w:p>
    <w:p w14:paraId="373F3E11" w14:textId="77777777" w:rsidR="00885D75" w:rsidRPr="0061035A" w:rsidRDefault="00885D75" w:rsidP="00273FE4">
      <w:pPr>
        <w:pStyle w:val="Listanumerada"/>
        <w:numPr>
          <w:ilvl w:val="0"/>
          <w:numId w:val="14"/>
        </w:numPr>
        <w:spacing w:after="200"/>
        <w:ind w:left="567" w:hanging="567"/>
      </w:pPr>
      <w:r w:rsidRPr="0061035A">
        <w:lastRenderedPageBreak/>
        <w:t>La planificación técnica y normas: son los procesos de ingeniería de mantenimiento para definir los planes de mantenimiento de líneas, equipos de subestaciones y equipamiento de control y comunicaciones.</w:t>
      </w:r>
    </w:p>
    <w:p w14:paraId="103CD34B" w14:textId="3CD8FD9D" w:rsidR="00885D75" w:rsidRPr="0061035A" w:rsidRDefault="00885D75" w:rsidP="00273FE4">
      <w:pPr>
        <w:pStyle w:val="Listanumerada"/>
        <w:numPr>
          <w:ilvl w:val="0"/>
          <w:numId w:val="14"/>
        </w:numPr>
        <w:spacing w:after="200"/>
        <w:ind w:left="567" w:hanging="567"/>
      </w:pPr>
      <w:r w:rsidRPr="0061035A">
        <w:t>Explotación (O&amp;M): son los procesos de operación y supervisión directa sobre las cuadrillas de trabajos en terreno ya sea propias o contratadas</w:t>
      </w:r>
      <w:r w:rsidR="00BE6005" w:rsidRPr="0061035A">
        <w:t xml:space="preserve"> con terceros</w:t>
      </w:r>
      <w:r w:rsidRPr="0061035A">
        <w:t>.</w:t>
      </w:r>
    </w:p>
    <w:p w14:paraId="088291CE" w14:textId="16930BD1" w:rsidR="00885D75" w:rsidRPr="0061035A" w:rsidRDefault="00885D75" w:rsidP="00273FE4">
      <w:pPr>
        <w:pStyle w:val="Listanumerada"/>
        <w:numPr>
          <w:ilvl w:val="0"/>
          <w:numId w:val="14"/>
        </w:numPr>
        <w:spacing w:after="200"/>
        <w:ind w:left="567" w:hanging="567"/>
      </w:pPr>
      <w:r w:rsidRPr="0061035A">
        <w:t>O&amp;M de terreno</w:t>
      </w:r>
      <w:r w:rsidR="00BE6005" w:rsidRPr="0061035A">
        <w:t>:</w:t>
      </w:r>
      <w:r w:rsidRPr="0061035A">
        <w:t xml:space="preserve"> se refiere a las actividades de mantenimiento desarrolladas por las cuadrillas que realizan intervenciones de operación y/o mantenimiento programado o no programado en las instalaciones de la </w:t>
      </w:r>
      <w:r w:rsidR="001A6E11" w:rsidRPr="0061035A">
        <w:t>EM</w:t>
      </w:r>
      <w:r w:rsidRPr="0061035A">
        <w:t>.</w:t>
      </w:r>
    </w:p>
    <w:p w14:paraId="14205019" w14:textId="56540C58" w:rsidR="00885D75" w:rsidRPr="00195524" w:rsidRDefault="00885D75" w:rsidP="0070692B">
      <w:pPr>
        <w:rPr>
          <w:lang w:val="es-ES"/>
        </w:rPr>
      </w:pPr>
      <w:r w:rsidRPr="00195524">
        <w:rPr>
          <w:lang w:val="es-ES"/>
        </w:rPr>
        <w:t xml:space="preserve">El macroproceso de Dirección, Administración y Finanzas contiene </w:t>
      </w:r>
      <w:r w:rsidR="00BA2EDF" w:rsidRPr="00195524">
        <w:rPr>
          <w:lang w:val="es-ES"/>
        </w:rPr>
        <w:t>las</w:t>
      </w:r>
      <w:r w:rsidRPr="00195524">
        <w:rPr>
          <w:lang w:val="es-ES"/>
        </w:rPr>
        <w:t xml:space="preserve"> actividades de apoyo y gestión administrativa que se muestran en la tabla. </w:t>
      </w:r>
    </w:p>
    <w:p w14:paraId="36AD94C4" w14:textId="7F178459" w:rsidR="00885D75" w:rsidRPr="00195524" w:rsidRDefault="00885D75" w:rsidP="0070692B">
      <w:pPr>
        <w:rPr>
          <w:lang w:val="es-ES"/>
        </w:rPr>
      </w:pPr>
      <w:r w:rsidRPr="00195524">
        <w:rPr>
          <w:lang w:val="es-ES"/>
        </w:rPr>
        <w:t xml:space="preserve">En el capítulo siguiente se presenta el detalle de las actividades que comprende cada proceso y que requiere desarrollar la </w:t>
      </w:r>
      <w:r w:rsidR="001A6E11" w:rsidRPr="00195524">
        <w:rPr>
          <w:lang w:val="es-ES"/>
        </w:rPr>
        <w:t>EM</w:t>
      </w:r>
      <w:r w:rsidRPr="00195524">
        <w:rPr>
          <w:lang w:val="es-ES"/>
        </w:rPr>
        <w:t xml:space="preserve"> para cada uno de los macroprocesos considerados.</w:t>
      </w:r>
    </w:p>
    <w:p w14:paraId="368E8897" w14:textId="77777777" w:rsidR="0079428C" w:rsidRPr="00195524" w:rsidRDefault="0079428C" w:rsidP="0070692B">
      <w:pPr>
        <w:rPr>
          <w:lang w:val="es-ES"/>
        </w:rPr>
      </w:pPr>
      <w:r w:rsidRPr="00195524">
        <w:rPr>
          <w:lang w:val="es-ES"/>
        </w:rPr>
        <w:t>Para el cálculo de los componentes de costos arriba indicados se analizan los siguientes puntos:</w:t>
      </w:r>
    </w:p>
    <w:p w14:paraId="151AE2B3" w14:textId="77777777" w:rsidR="0079428C" w:rsidRPr="00195524" w:rsidRDefault="0079428C" w:rsidP="00273FE4">
      <w:pPr>
        <w:pStyle w:val="Prrafodelista"/>
        <w:numPr>
          <w:ilvl w:val="0"/>
          <w:numId w:val="72"/>
        </w:numPr>
        <w:ind w:left="567" w:hanging="567"/>
        <w:rPr>
          <w:lang w:val="es-ES"/>
        </w:rPr>
      </w:pPr>
      <w:r w:rsidRPr="00195524">
        <w:rPr>
          <w:lang w:val="es-ES"/>
        </w:rPr>
        <w:t xml:space="preserve">Identificación de los objetivos y procesos básicos de una empresa de Transmisión. </w:t>
      </w:r>
    </w:p>
    <w:p w14:paraId="43779856" w14:textId="77777777" w:rsidR="0079428C" w:rsidRPr="00195524" w:rsidRDefault="0079428C" w:rsidP="00273FE4">
      <w:pPr>
        <w:pStyle w:val="Prrafodelista"/>
        <w:numPr>
          <w:ilvl w:val="0"/>
          <w:numId w:val="72"/>
        </w:numPr>
        <w:ind w:left="567" w:hanging="567"/>
        <w:rPr>
          <w:lang w:val="es-ES"/>
        </w:rPr>
      </w:pPr>
      <w:r w:rsidRPr="00195524">
        <w:rPr>
          <w:lang w:val="es-ES"/>
        </w:rPr>
        <w:t xml:space="preserve">Análisis de las instalaciones involucradas y la cobertura territorial de la empresa. </w:t>
      </w:r>
    </w:p>
    <w:p w14:paraId="5E1BF4A1" w14:textId="77777777" w:rsidR="0079428C" w:rsidRPr="00195524" w:rsidRDefault="0079428C" w:rsidP="00273FE4">
      <w:pPr>
        <w:pStyle w:val="Prrafodelista"/>
        <w:numPr>
          <w:ilvl w:val="0"/>
          <w:numId w:val="72"/>
        </w:numPr>
        <w:ind w:left="567" w:hanging="567"/>
        <w:rPr>
          <w:lang w:val="es-ES"/>
        </w:rPr>
      </w:pPr>
      <w:r w:rsidRPr="00195524">
        <w:rPr>
          <w:lang w:val="es-ES"/>
        </w:rPr>
        <w:t>Definición de la organización general de los recursos requeridos para el cumplimiento de los objetivos especificados.</w:t>
      </w:r>
    </w:p>
    <w:p w14:paraId="7184B913" w14:textId="77777777" w:rsidR="0079428C" w:rsidRPr="00B06D23" w:rsidRDefault="0079428C" w:rsidP="00273FE4">
      <w:pPr>
        <w:pStyle w:val="Prrafodelista"/>
        <w:numPr>
          <w:ilvl w:val="0"/>
          <w:numId w:val="72"/>
        </w:numPr>
        <w:ind w:left="567" w:hanging="567"/>
        <w:rPr>
          <w:lang w:val="es-ES"/>
        </w:rPr>
      </w:pPr>
      <w:r w:rsidRPr="00B06D23">
        <w:rPr>
          <w:lang w:val="es-ES"/>
        </w:rPr>
        <w:t xml:space="preserve">Dimensionamiento de los recursos requeridos. </w:t>
      </w:r>
    </w:p>
    <w:p w14:paraId="0BBD0006" w14:textId="77777777" w:rsidR="0079428C" w:rsidRPr="00B06D23" w:rsidRDefault="0079428C" w:rsidP="00273FE4">
      <w:pPr>
        <w:pStyle w:val="Prrafodelista"/>
        <w:numPr>
          <w:ilvl w:val="0"/>
          <w:numId w:val="72"/>
        </w:numPr>
        <w:ind w:left="567" w:hanging="567"/>
        <w:rPr>
          <w:lang w:val="es-ES"/>
        </w:rPr>
      </w:pPr>
      <w:r w:rsidRPr="00B06D23">
        <w:rPr>
          <w:lang w:val="es-ES"/>
        </w:rPr>
        <w:t>Valorización de los recursos.</w:t>
      </w:r>
    </w:p>
    <w:p w14:paraId="6CB68BDE" w14:textId="77777777" w:rsidR="0079428C" w:rsidRPr="00B06D23" w:rsidRDefault="0079428C" w:rsidP="00273FE4">
      <w:pPr>
        <w:pStyle w:val="Prrafodelista"/>
        <w:numPr>
          <w:ilvl w:val="0"/>
          <w:numId w:val="72"/>
        </w:numPr>
        <w:ind w:left="567" w:hanging="567"/>
        <w:rPr>
          <w:lang w:val="es-ES"/>
        </w:rPr>
      </w:pPr>
      <w:r w:rsidRPr="00B06D23">
        <w:rPr>
          <w:lang w:val="es-ES"/>
        </w:rPr>
        <w:t>Cálculo de los costos de operación, mantención y administración.</w:t>
      </w:r>
    </w:p>
    <w:p w14:paraId="3220AB80" w14:textId="77777777" w:rsidR="0079428C" w:rsidRPr="00B06D23" w:rsidRDefault="0079428C" w:rsidP="00273FE4">
      <w:pPr>
        <w:pStyle w:val="Prrafodelista"/>
        <w:numPr>
          <w:ilvl w:val="0"/>
          <w:numId w:val="72"/>
        </w:numPr>
        <w:ind w:left="567" w:hanging="567"/>
        <w:rPr>
          <w:lang w:val="es-ES"/>
        </w:rPr>
      </w:pPr>
      <w:r w:rsidRPr="00B06D23">
        <w:rPr>
          <w:lang w:val="es-ES"/>
        </w:rPr>
        <w:t>Cálculo de los bienes muebles e inmuebles.</w:t>
      </w:r>
    </w:p>
    <w:p w14:paraId="2A601E0D" w14:textId="77777777" w:rsidR="0079428C" w:rsidRPr="00B06D23" w:rsidRDefault="0079428C" w:rsidP="00273FE4">
      <w:pPr>
        <w:pStyle w:val="Prrafodelista"/>
        <w:numPr>
          <w:ilvl w:val="0"/>
          <w:numId w:val="72"/>
        </w:numPr>
        <w:ind w:left="567" w:hanging="567"/>
        <w:rPr>
          <w:lang w:val="es-ES"/>
        </w:rPr>
      </w:pPr>
      <w:r w:rsidRPr="00B06D23">
        <w:rPr>
          <w:lang w:val="es-ES"/>
        </w:rPr>
        <w:t xml:space="preserve">Cálculo de los Bienes Intangibles y el Capital de Explotación. </w:t>
      </w:r>
    </w:p>
    <w:p w14:paraId="446D9650" w14:textId="4428E442" w:rsidR="0079428C" w:rsidRPr="00B06D23" w:rsidRDefault="0079428C" w:rsidP="0070692B">
      <w:pPr>
        <w:rPr>
          <w:lang w:val="es-ES"/>
        </w:rPr>
      </w:pPr>
      <w:r w:rsidRPr="00B06D23">
        <w:rPr>
          <w:lang w:val="es-ES"/>
        </w:rPr>
        <w:t xml:space="preserve">La determinación del </w:t>
      </w:r>
      <w:r w:rsidR="005A6F95">
        <w:rPr>
          <w:lang w:val="es-ES"/>
        </w:rPr>
        <w:t>C.O.M.A.</w:t>
      </w:r>
      <w:r w:rsidRPr="00B06D23">
        <w:rPr>
          <w:lang w:val="es-ES"/>
        </w:rPr>
        <w:t xml:space="preserve"> requiere un conocimiento de las particularidades en la cual se encuentran instalados los activos que son objeto de operación y mantenimiento.</w:t>
      </w:r>
    </w:p>
    <w:p w14:paraId="3B2C60BE" w14:textId="77777777" w:rsidR="0079428C" w:rsidRPr="00B06D23" w:rsidRDefault="0079428C" w:rsidP="0070692B">
      <w:pPr>
        <w:rPr>
          <w:lang w:val="es-ES"/>
        </w:rPr>
      </w:pPr>
      <w:r w:rsidRPr="00B06D23">
        <w:rPr>
          <w:lang w:val="es-ES"/>
        </w:rPr>
        <w:t>Estas particularidades constituyen el contexto operacional en el que se van a desarrollar las actividades de operación y mantenimiento y se pueden clasificar de la siguiente forma:</w:t>
      </w:r>
    </w:p>
    <w:p w14:paraId="30881F28" w14:textId="77777777" w:rsidR="0079428C" w:rsidRPr="0061035A" w:rsidRDefault="0079428C" w:rsidP="00273FE4">
      <w:pPr>
        <w:pStyle w:val="Listanumerada"/>
        <w:numPr>
          <w:ilvl w:val="0"/>
          <w:numId w:val="15"/>
        </w:numPr>
        <w:spacing w:after="200"/>
        <w:ind w:left="567" w:hanging="567"/>
      </w:pPr>
      <w:r w:rsidRPr="0061035A">
        <w:lastRenderedPageBreak/>
        <w:t>La dispersión de los activos que son objeto de operación y mantenimiento que configuran las distancias de traslado desde los centros operativos regionales hasta el lugar donde se encuentran emplazados los activos.</w:t>
      </w:r>
    </w:p>
    <w:p w14:paraId="71201BF8" w14:textId="77777777" w:rsidR="0079428C" w:rsidRPr="0061035A" w:rsidRDefault="0079428C" w:rsidP="00273FE4">
      <w:pPr>
        <w:pStyle w:val="Listanumerada"/>
        <w:numPr>
          <w:ilvl w:val="0"/>
          <w:numId w:val="15"/>
        </w:numPr>
        <w:spacing w:after="200"/>
        <w:ind w:left="567" w:hanging="567"/>
      </w:pPr>
      <w:r w:rsidRPr="0061035A">
        <w:t>La geografía en la que se encuentran instalados dichos activos que condicionan el medio en el que se deberán desplazar el personal de terreno para atender los activos.</w:t>
      </w:r>
    </w:p>
    <w:p w14:paraId="77DDDC25" w14:textId="77777777" w:rsidR="0079428C" w:rsidRPr="0061035A" w:rsidRDefault="0079428C" w:rsidP="00273FE4">
      <w:pPr>
        <w:pStyle w:val="Listanumerada"/>
        <w:numPr>
          <w:ilvl w:val="0"/>
          <w:numId w:val="15"/>
        </w:numPr>
        <w:spacing w:after="200"/>
        <w:ind w:left="567" w:hanging="567"/>
      </w:pPr>
      <w:r w:rsidRPr="0061035A">
        <w:t>La geografía del terreno en la que se encuentran instalados los activos que implican accesos a las instalaciones con diferente grado de complejidad en función de la traza de las líneas, superficie de los caminos, laderas empinadas, accesos por caminos a pie, etc. Este punto se tendrá en cuenta en los tiempos de traslado según la geografía del terreno.</w:t>
      </w:r>
    </w:p>
    <w:p w14:paraId="15537CBE" w14:textId="77777777" w:rsidR="0079428C" w:rsidRPr="0061035A" w:rsidRDefault="0079428C" w:rsidP="00273FE4">
      <w:pPr>
        <w:pStyle w:val="Listanumerada"/>
        <w:numPr>
          <w:ilvl w:val="0"/>
          <w:numId w:val="15"/>
        </w:numPr>
        <w:spacing w:after="200"/>
        <w:ind w:left="567" w:hanging="567"/>
      </w:pPr>
      <w:r w:rsidRPr="0061035A">
        <w:t xml:space="preserve">Contaminación del medio (salina, polvo, excremento de pájaros, etc.): que implica planes especiales de mantenimiento tales como lavado de aisladores y pintado de estructuras de acero galvanizado en líneas y subestaciones. </w:t>
      </w:r>
    </w:p>
    <w:p w14:paraId="3EE53DE5" w14:textId="77777777" w:rsidR="0079428C" w:rsidRPr="0061035A" w:rsidRDefault="0079428C" w:rsidP="00273FE4">
      <w:pPr>
        <w:pStyle w:val="Listanumerada"/>
        <w:numPr>
          <w:ilvl w:val="0"/>
          <w:numId w:val="15"/>
        </w:numPr>
        <w:spacing w:after="200"/>
        <w:ind w:left="567" w:hanging="567"/>
      </w:pPr>
      <w:r w:rsidRPr="0061035A">
        <w:t>Presencia de aves que causan fallas en líneas eléctricas.</w:t>
      </w:r>
    </w:p>
    <w:p w14:paraId="4176C80D" w14:textId="4E374941" w:rsidR="009A3413" w:rsidRPr="0061035A" w:rsidRDefault="009A3413" w:rsidP="00273FE4">
      <w:pPr>
        <w:pStyle w:val="Listanumerada"/>
        <w:numPr>
          <w:ilvl w:val="0"/>
          <w:numId w:val="15"/>
        </w:numPr>
        <w:spacing w:after="200"/>
        <w:ind w:left="567" w:hanging="567"/>
      </w:pPr>
      <w:r w:rsidRPr="0061035A">
        <w:t>Las normas, requisitos y exigencias que emanen de la normativa ambiental vigente (Ley 19.300 sobre Bases Generales del Medio Ambiente, Ley N° 20.283 sobre Recuperación del Bosque Nativo y Fomento Forestal, normativa de arqueología y paleontología).</w:t>
      </w:r>
    </w:p>
    <w:p w14:paraId="1DD23181" w14:textId="77777777" w:rsidR="0079428C" w:rsidRPr="00195524" w:rsidRDefault="0079428C" w:rsidP="0079428C">
      <w:pPr>
        <w:rPr>
          <w:lang w:val="es-ES"/>
        </w:rPr>
      </w:pPr>
      <w:r w:rsidRPr="00B06D23">
        <w:rPr>
          <w:lang w:val="es-ES"/>
        </w:rPr>
        <w:t xml:space="preserve">Sobre la base del conocimiento del contexto operacional, las instalaciones, y las normas técnicas, legales, laborales, y de medio ambiente que son de cumplimiento obligatorio se realiza el dimensionamiento que permite calcular los recursos requeridos, los cuales luego son valorizados a </w:t>
      </w:r>
      <w:r w:rsidRPr="00195524">
        <w:rPr>
          <w:lang w:val="es-ES"/>
        </w:rPr>
        <w:t>precios de mercado.</w:t>
      </w:r>
    </w:p>
    <w:p w14:paraId="627DF5F9" w14:textId="1FA67969" w:rsidR="009A3413" w:rsidRPr="00195524" w:rsidRDefault="009A3413" w:rsidP="009A3413">
      <w:pPr>
        <w:rPr>
          <w:lang w:val="es-ES"/>
        </w:rPr>
      </w:pPr>
      <w:r w:rsidRPr="00195524">
        <w:rPr>
          <w:lang w:val="es-ES"/>
        </w:rPr>
        <w:t xml:space="preserve">Los antecedentes utilizados para identificar las particularidades de cada instalación fueron: </w:t>
      </w:r>
    </w:p>
    <w:p w14:paraId="15522D2C" w14:textId="75F022EB" w:rsidR="009A3413" w:rsidRPr="0061035A" w:rsidRDefault="009A3413" w:rsidP="00273FE4">
      <w:pPr>
        <w:pStyle w:val="Listanumerada"/>
        <w:numPr>
          <w:ilvl w:val="0"/>
          <w:numId w:val="16"/>
        </w:numPr>
        <w:spacing w:after="200"/>
        <w:ind w:left="567" w:hanging="567"/>
      </w:pPr>
      <w:r w:rsidRPr="0061035A">
        <w:t>Información reportada</w:t>
      </w:r>
      <w:r w:rsidR="00BA2EDF" w:rsidRPr="0061035A">
        <w:t xml:space="preserve"> </w:t>
      </w:r>
      <w:r w:rsidRPr="0061035A">
        <w:t>por la empr</w:t>
      </w:r>
      <w:r w:rsidR="00CC73C8" w:rsidRPr="0061035A">
        <w:t xml:space="preserve">esa (contaminación, poda, </w:t>
      </w:r>
      <w:r w:rsidR="00F86AAB" w:rsidRPr="0061035A">
        <w:t>etc.</w:t>
      </w:r>
      <w:r w:rsidR="00CC73C8" w:rsidRPr="0061035A">
        <w:t>).</w:t>
      </w:r>
    </w:p>
    <w:p w14:paraId="0C9BB10D" w14:textId="1CDB42B2" w:rsidR="009A3413" w:rsidRPr="0061035A" w:rsidRDefault="009A3413" w:rsidP="00273FE4">
      <w:pPr>
        <w:pStyle w:val="Listanumerada"/>
        <w:numPr>
          <w:ilvl w:val="0"/>
          <w:numId w:val="16"/>
        </w:numPr>
        <w:spacing w:after="200"/>
        <w:ind w:left="567" w:hanging="567"/>
      </w:pPr>
      <w:r w:rsidRPr="0061035A">
        <w:t>La ubicación geográfica de los activos y las distancias involucradas para el desplazamiento de las cuadrillas obtenidas</w:t>
      </w:r>
      <w:r w:rsidR="00335606" w:rsidRPr="0061035A">
        <w:t xml:space="preserve"> principalmente</w:t>
      </w:r>
      <w:r w:rsidRPr="0061035A">
        <w:t xml:space="preserve"> de </w:t>
      </w:r>
      <w:r w:rsidRPr="00F86AAB">
        <w:rPr>
          <w:i/>
        </w:rPr>
        <w:t>Google Earth</w:t>
      </w:r>
      <w:r w:rsidR="00335606" w:rsidRPr="0061035A">
        <w:t>.</w:t>
      </w:r>
    </w:p>
    <w:p w14:paraId="4BE3FED0" w14:textId="371503BD" w:rsidR="009A3413" w:rsidRPr="0061035A" w:rsidRDefault="009A3413" w:rsidP="00273FE4">
      <w:pPr>
        <w:pStyle w:val="Listanumerada"/>
        <w:numPr>
          <w:ilvl w:val="0"/>
          <w:numId w:val="16"/>
        </w:numPr>
        <w:spacing w:after="200"/>
        <w:ind w:left="567" w:hanging="567"/>
      </w:pPr>
      <w:r w:rsidRPr="0061035A">
        <w:t>L</w:t>
      </w:r>
      <w:r w:rsidR="00CC73C8" w:rsidRPr="0061035A">
        <w:t>a</w:t>
      </w:r>
      <w:r w:rsidRPr="0061035A">
        <w:t>s características técnicas de las instalaciones (nivel de tensión, tipo constructivo, k</w:t>
      </w:r>
      <w:r w:rsidR="00CC73C8" w:rsidRPr="0061035A">
        <w:t>ilómetros</w:t>
      </w:r>
      <w:r w:rsidRPr="0061035A">
        <w:t xml:space="preserve"> de línea, tipo y cantidad de estructuras, cantidad de ternas por línea, etc</w:t>
      </w:r>
      <w:r w:rsidR="00335606" w:rsidRPr="0061035A">
        <w:t>.</w:t>
      </w:r>
      <w:r w:rsidRPr="0061035A">
        <w:t>) obtenido de la base de datos, y esquemas eléctricos disponibles</w:t>
      </w:r>
      <w:r w:rsidR="00335606" w:rsidRPr="0061035A">
        <w:t>.</w:t>
      </w:r>
    </w:p>
    <w:p w14:paraId="04B34928" w14:textId="7C72D1C2" w:rsidR="009A3413" w:rsidRPr="00195524" w:rsidRDefault="009A3413" w:rsidP="009A3413">
      <w:pPr>
        <w:rPr>
          <w:lang w:val="es-ES"/>
        </w:rPr>
      </w:pPr>
      <w:r w:rsidRPr="00195524">
        <w:rPr>
          <w:lang w:val="es-ES"/>
        </w:rPr>
        <w:t>Sobre la base de las características técnicas de las instalaciones, y el impacto del contexto operacional caracterizado por la información señalada</w:t>
      </w:r>
      <w:r w:rsidR="00335606" w:rsidRPr="00195524">
        <w:rPr>
          <w:lang w:val="es-ES"/>
        </w:rPr>
        <w:t>,</w:t>
      </w:r>
      <w:r w:rsidRPr="00195524">
        <w:rPr>
          <w:lang w:val="es-ES"/>
        </w:rPr>
        <w:t xml:space="preserve"> se dimensionaron los planes de mantenimiento y los recursos requeridos para la atención de fallas de la </w:t>
      </w:r>
      <w:r w:rsidR="001A6E11" w:rsidRPr="00195524">
        <w:rPr>
          <w:lang w:val="es-ES"/>
        </w:rPr>
        <w:t>EM</w:t>
      </w:r>
      <w:r w:rsidRPr="00195524">
        <w:rPr>
          <w:lang w:val="es-ES"/>
        </w:rPr>
        <w:t xml:space="preserve">. Luego se calcularon </w:t>
      </w:r>
      <w:r w:rsidRPr="00195524">
        <w:rPr>
          <w:lang w:val="es-ES"/>
        </w:rPr>
        <w:lastRenderedPageBreak/>
        <w:t>los recursos físicos (mano de obra, vehículos, equipamiento, y materiales) requeridos para ejecutar el mantenimiento programado y no programado.</w:t>
      </w:r>
    </w:p>
    <w:p w14:paraId="23C1E4C7" w14:textId="77777777" w:rsidR="0079428C" w:rsidRPr="00B06D23" w:rsidRDefault="0079428C" w:rsidP="0079428C">
      <w:pPr>
        <w:rPr>
          <w:lang w:val="es-ES"/>
        </w:rPr>
      </w:pPr>
      <w:r w:rsidRPr="00B06D23">
        <w:rPr>
          <w:lang w:val="es-ES"/>
        </w:rPr>
        <w:t>El proceso general seguido para el diseño y dimensionamiento de la empresa de Transmisión que presta el servicio mediante las instalaciones pertenecientes al sistema de transmisión nacional, considera los siguientes puntos:</w:t>
      </w:r>
    </w:p>
    <w:p w14:paraId="607261A2" w14:textId="67D24038" w:rsidR="0079428C" w:rsidRPr="00B06D23" w:rsidRDefault="0079428C" w:rsidP="00273FE4">
      <w:pPr>
        <w:pStyle w:val="Prrafodelista"/>
        <w:numPr>
          <w:ilvl w:val="0"/>
          <w:numId w:val="49"/>
        </w:numPr>
        <w:ind w:left="567" w:hanging="567"/>
        <w:rPr>
          <w:lang w:val="es-ES"/>
        </w:rPr>
      </w:pPr>
      <w:r w:rsidRPr="00B06D23">
        <w:rPr>
          <w:lang w:val="es-ES"/>
        </w:rPr>
        <w:t xml:space="preserve">Análisis y caracterización del contexto operacional con impacto en las actividades del </w:t>
      </w:r>
      <w:r w:rsidR="005A6F95">
        <w:rPr>
          <w:lang w:val="es-ES"/>
        </w:rPr>
        <w:t>C.O.M.A.</w:t>
      </w:r>
    </w:p>
    <w:p w14:paraId="1F187EA9" w14:textId="1F863F4B" w:rsidR="0079428C" w:rsidRPr="00B06D23" w:rsidRDefault="0079428C" w:rsidP="00273FE4">
      <w:pPr>
        <w:pStyle w:val="Prrafodelista"/>
        <w:numPr>
          <w:ilvl w:val="0"/>
          <w:numId w:val="49"/>
        </w:numPr>
        <w:ind w:left="567" w:hanging="567"/>
        <w:rPr>
          <w:lang w:val="es-ES"/>
        </w:rPr>
      </w:pPr>
      <w:r w:rsidRPr="00B06D23">
        <w:rPr>
          <w:lang w:val="es-ES"/>
        </w:rPr>
        <w:t xml:space="preserve">Diseño y dimensionamiento de la estructura organizacional de la </w:t>
      </w:r>
      <w:r w:rsidR="001A6E11">
        <w:rPr>
          <w:lang w:val="es-ES"/>
        </w:rPr>
        <w:t>EM</w:t>
      </w:r>
      <w:r w:rsidRPr="00B06D23">
        <w:rPr>
          <w:lang w:val="es-ES"/>
        </w:rPr>
        <w:t xml:space="preserve"> de Transmisión.</w:t>
      </w:r>
    </w:p>
    <w:p w14:paraId="09BFE813" w14:textId="77777777" w:rsidR="0079428C" w:rsidRPr="00B06D23" w:rsidRDefault="0079428C" w:rsidP="00273FE4">
      <w:pPr>
        <w:pStyle w:val="Prrafodelista"/>
        <w:numPr>
          <w:ilvl w:val="0"/>
          <w:numId w:val="49"/>
        </w:numPr>
        <w:ind w:left="567" w:hanging="567"/>
        <w:rPr>
          <w:lang w:val="es-ES"/>
        </w:rPr>
      </w:pPr>
      <w:r w:rsidRPr="00B06D23">
        <w:rPr>
          <w:lang w:val="es-ES"/>
        </w:rPr>
        <w:t>Estudio de remuneraciones.</w:t>
      </w:r>
    </w:p>
    <w:p w14:paraId="2236C9BE" w14:textId="77777777" w:rsidR="0079428C" w:rsidRPr="00B06D23" w:rsidRDefault="0079428C" w:rsidP="00273FE4">
      <w:pPr>
        <w:pStyle w:val="Prrafodelista"/>
        <w:numPr>
          <w:ilvl w:val="0"/>
          <w:numId w:val="49"/>
        </w:numPr>
        <w:ind w:left="567" w:hanging="567"/>
        <w:rPr>
          <w:lang w:val="es-ES"/>
        </w:rPr>
      </w:pPr>
      <w:r w:rsidRPr="00B06D23">
        <w:rPr>
          <w:lang w:val="es-ES"/>
        </w:rPr>
        <w:t>Análisis de tercerización de actividades.</w:t>
      </w:r>
    </w:p>
    <w:p w14:paraId="2AE63147" w14:textId="53784976" w:rsidR="0079428C" w:rsidRPr="00B06D23" w:rsidRDefault="0079428C" w:rsidP="00273FE4">
      <w:pPr>
        <w:pStyle w:val="Prrafodelista"/>
        <w:numPr>
          <w:ilvl w:val="0"/>
          <w:numId w:val="49"/>
        </w:numPr>
        <w:ind w:left="567" w:hanging="567"/>
        <w:rPr>
          <w:lang w:val="es-ES"/>
        </w:rPr>
      </w:pPr>
      <w:r w:rsidRPr="00B06D23">
        <w:rPr>
          <w:lang w:val="es-ES"/>
        </w:rPr>
        <w:t>Diseño y dimensionamiento de las actividades de operación y mantenimiento en terreno</w:t>
      </w:r>
      <w:r w:rsidR="002E6FD1">
        <w:rPr>
          <w:lang w:val="es-ES"/>
        </w:rPr>
        <w:t>.</w:t>
      </w:r>
    </w:p>
    <w:p w14:paraId="5BFD2D8F" w14:textId="48A7126D" w:rsidR="0079428C" w:rsidRPr="00B06D23" w:rsidRDefault="0079428C" w:rsidP="00273FE4">
      <w:pPr>
        <w:pStyle w:val="Prrafodelista"/>
        <w:numPr>
          <w:ilvl w:val="0"/>
          <w:numId w:val="49"/>
        </w:numPr>
        <w:ind w:left="567" w:hanging="567"/>
        <w:rPr>
          <w:lang w:val="es-ES"/>
        </w:rPr>
      </w:pPr>
      <w:r w:rsidRPr="00B06D23">
        <w:rPr>
          <w:lang w:val="es-ES"/>
        </w:rPr>
        <w:t>Costos de los recursos requeridos de la estructura organizacional</w:t>
      </w:r>
      <w:r w:rsidR="002E6FD1">
        <w:rPr>
          <w:lang w:val="es-ES"/>
        </w:rPr>
        <w:t>.</w:t>
      </w:r>
    </w:p>
    <w:p w14:paraId="1AC9ACB4" w14:textId="4C7AC247" w:rsidR="0079428C" w:rsidRPr="00B06D23" w:rsidRDefault="0079428C" w:rsidP="00273FE4">
      <w:pPr>
        <w:pStyle w:val="Prrafodelista"/>
        <w:numPr>
          <w:ilvl w:val="0"/>
          <w:numId w:val="49"/>
        </w:numPr>
        <w:ind w:left="567" w:hanging="567"/>
        <w:rPr>
          <w:lang w:val="es-ES"/>
        </w:rPr>
      </w:pPr>
      <w:r w:rsidRPr="00B06D23">
        <w:rPr>
          <w:lang w:val="es-ES"/>
        </w:rPr>
        <w:t>Costos de los recursos requeridos de las actividades de operación y mantenimiento en terreno</w:t>
      </w:r>
      <w:r w:rsidR="002E6FD1">
        <w:rPr>
          <w:lang w:val="es-ES"/>
        </w:rPr>
        <w:t>.</w:t>
      </w:r>
    </w:p>
    <w:p w14:paraId="45F3427E" w14:textId="77777777" w:rsidR="0079428C" w:rsidRPr="00B06D23" w:rsidRDefault="0079428C" w:rsidP="00273FE4">
      <w:pPr>
        <w:pStyle w:val="Prrafodelista"/>
        <w:numPr>
          <w:ilvl w:val="0"/>
          <w:numId w:val="49"/>
        </w:numPr>
        <w:ind w:left="567" w:hanging="567"/>
        <w:rPr>
          <w:lang w:val="es-ES"/>
        </w:rPr>
      </w:pPr>
      <w:r w:rsidRPr="00B06D23">
        <w:rPr>
          <w:lang w:val="es-ES"/>
        </w:rPr>
        <w:t>Costos generales y otros servicios.</w:t>
      </w:r>
    </w:p>
    <w:p w14:paraId="204AB218" w14:textId="77777777" w:rsidR="0079428C" w:rsidRPr="00B06D23" w:rsidRDefault="0079428C" w:rsidP="00273FE4">
      <w:pPr>
        <w:pStyle w:val="Prrafodelista"/>
        <w:numPr>
          <w:ilvl w:val="0"/>
          <w:numId w:val="49"/>
        </w:numPr>
        <w:ind w:left="567" w:hanging="567"/>
        <w:rPr>
          <w:lang w:val="es-ES"/>
        </w:rPr>
      </w:pPr>
      <w:r w:rsidRPr="00B06D23">
        <w:rPr>
          <w:lang w:val="es-ES"/>
        </w:rPr>
        <w:t>Antecedentes de actividades de O&amp;M presentada por las empresas transmisoras.</w:t>
      </w:r>
    </w:p>
    <w:p w14:paraId="6C9EFFC8" w14:textId="135B7006" w:rsidR="0079428C" w:rsidRPr="00B06D23" w:rsidRDefault="0079428C" w:rsidP="00273FE4">
      <w:pPr>
        <w:pStyle w:val="Prrafodelista"/>
        <w:numPr>
          <w:ilvl w:val="0"/>
          <w:numId w:val="49"/>
        </w:numPr>
        <w:ind w:left="567" w:hanging="567"/>
        <w:rPr>
          <w:lang w:val="es-ES"/>
        </w:rPr>
      </w:pPr>
      <w:r w:rsidRPr="00B06D23">
        <w:rPr>
          <w:lang w:val="es-ES"/>
        </w:rPr>
        <w:t xml:space="preserve">Presentación de los resultados del </w:t>
      </w:r>
      <w:r w:rsidR="005A6F95">
        <w:rPr>
          <w:lang w:val="es-ES"/>
        </w:rPr>
        <w:t>C.O.M.A.</w:t>
      </w:r>
    </w:p>
    <w:p w14:paraId="2AC79D49" w14:textId="57F5D2A9" w:rsidR="0079428C" w:rsidRPr="00B06D23" w:rsidRDefault="0079428C" w:rsidP="0079428C">
      <w:pPr>
        <w:rPr>
          <w:lang w:val="es-ES"/>
        </w:rPr>
      </w:pPr>
      <w:r w:rsidRPr="00B06D23">
        <w:rPr>
          <w:lang w:val="es-ES"/>
        </w:rPr>
        <w:t xml:space="preserve">En el punto siguiente se presenta el desarrollo de la metodología para el cálculo del </w:t>
      </w:r>
      <w:r w:rsidR="005A6F95">
        <w:rPr>
          <w:lang w:val="es-ES"/>
        </w:rPr>
        <w:t>C.O.M.A.</w:t>
      </w:r>
    </w:p>
    <w:p w14:paraId="46E9B649" w14:textId="284C1DC0" w:rsidR="0079428C" w:rsidRPr="00F465C5" w:rsidRDefault="0079428C" w:rsidP="0079428C">
      <w:pPr>
        <w:pStyle w:val="Ttulo3"/>
      </w:pPr>
      <w:bookmarkStart w:id="160" w:name="_Toc21077626"/>
      <w:bookmarkStart w:id="161" w:name="_Toc32389948"/>
      <w:bookmarkStart w:id="162" w:name="_Toc34398090"/>
      <w:bookmarkStart w:id="163" w:name="_Toc39797781"/>
      <w:r w:rsidRPr="00F465C5">
        <w:t>Etapas de la Metodología para el cálculo del C</w:t>
      </w:r>
      <w:r w:rsidR="0061035A">
        <w:t>.</w:t>
      </w:r>
      <w:r w:rsidRPr="00F465C5">
        <w:t>O</w:t>
      </w:r>
      <w:r w:rsidR="0061035A">
        <w:t>.</w:t>
      </w:r>
      <w:r w:rsidRPr="00F465C5">
        <w:t>M</w:t>
      </w:r>
      <w:r w:rsidR="0061035A">
        <w:t>.</w:t>
      </w:r>
      <w:r w:rsidRPr="00F465C5">
        <w:t>A</w:t>
      </w:r>
      <w:bookmarkEnd w:id="160"/>
      <w:bookmarkEnd w:id="161"/>
      <w:bookmarkEnd w:id="162"/>
      <w:r w:rsidR="0061035A">
        <w:t>.</w:t>
      </w:r>
      <w:bookmarkEnd w:id="163"/>
    </w:p>
    <w:p w14:paraId="0F02F447" w14:textId="16DD90F0" w:rsidR="0079428C" w:rsidRDefault="0079428C" w:rsidP="0079428C">
      <w:pPr>
        <w:rPr>
          <w:lang w:val="es-ES"/>
        </w:rPr>
      </w:pPr>
      <w:r w:rsidRPr="00B06D23">
        <w:rPr>
          <w:lang w:val="es-ES"/>
        </w:rPr>
        <w:t>El desarrollo de la metodología se puede sintetizar en el siguiente diagrama de flujo:</w:t>
      </w:r>
    </w:p>
    <w:p w14:paraId="394F6747" w14:textId="77777777" w:rsidR="008D637B" w:rsidRDefault="008D637B">
      <w:pPr>
        <w:spacing w:after="0" w:line="240" w:lineRule="auto"/>
        <w:jc w:val="left"/>
        <w:rPr>
          <w:b/>
          <w:iCs/>
          <w:sz w:val="22"/>
          <w:szCs w:val="20"/>
        </w:rPr>
      </w:pPr>
      <w:r>
        <w:br w:type="page"/>
      </w:r>
    </w:p>
    <w:p w14:paraId="2BD0098C" w14:textId="485328C2" w:rsidR="0061035A" w:rsidRPr="00B06D23" w:rsidRDefault="0061035A" w:rsidP="0061035A">
      <w:pPr>
        <w:pStyle w:val="Subttulo"/>
        <w:rPr>
          <w:lang w:val="es-ES"/>
        </w:rPr>
      </w:pPr>
      <w:bookmarkStart w:id="164" w:name="_Toc39797985"/>
      <w:r>
        <w:lastRenderedPageBreak/>
        <w:t xml:space="preserve">Ilustración </w:t>
      </w:r>
      <w:fldSimple w:instr=" SEQ Ilustración \* ARABIC ">
        <w:r w:rsidR="001F3E2E">
          <w:rPr>
            <w:noProof/>
          </w:rPr>
          <w:t>4</w:t>
        </w:r>
      </w:fldSimple>
      <w:r>
        <w:t>: Flujograma diseño de empresa modelo</w:t>
      </w:r>
      <w:bookmarkEnd w:id="164"/>
    </w:p>
    <w:p w14:paraId="7F61EE87" w14:textId="77777777" w:rsidR="0079428C" w:rsidRPr="00B06D23" w:rsidRDefault="0079428C" w:rsidP="0079428C">
      <w:pPr>
        <w:jc w:val="center"/>
        <w:rPr>
          <w:lang w:val="es-ES"/>
        </w:rPr>
      </w:pPr>
      <w:r w:rsidRPr="00B06D23">
        <w:rPr>
          <w:noProof/>
          <w:lang w:eastAsia="es-CL"/>
        </w:rPr>
        <w:drawing>
          <wp:inline distT="0" distB="0" distL="0" distR="0" wp14:anchorId="147E7322" wp14:editId="1101991F">
            <wp:extent cx="5144400" cy="3484800"/>
            <wp:effectExtent l="19050" t="19050" r="18415" b="20955"/>
            <wp:docPr id="52"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6"/>
                    <pic:cNvPicPr>
                      <a:picLocks noChangeAspect="1" noChangeArrowheads="1"/>
                    </pic:cNvPicPr>
                  </pic:nvPicPr>
                  <pic:blipFill>
                    <a:blip r:embed="rId24" cstate="print">
                      <a:extLst>
                        <a:ext uri="{28A0092B-C50C-407E-A947-70E740481C1C}">
                          <a14:useLocalDpi xmlns:a14="http://schemas.microsoft.com/office/drawing/2010/main" val="0"/>
                        </a:ext>
                      </a:extLst>
                    </a:blip>
                    <a:srcRect r="2019"/>
                    <a:stretch>
                      <a:fillRect/>
                    </a:stretch>
                  </pic:blipFill>
                  <pic:spPr bwMode="auto">
                    <a:xfrm>
                      <a:off x="0" y="0"/>
                      <a:ext cx="5144400" cy="3484800"/>
                    </a:xfrm>
                    <a:prstGeom prst="rect">
                      <a:avLst/>
                    </a:prstGeom>
                    <a:noFill/>
                    <a:ln w="9525" cmpd="sng">
                      <a:solidFill>
                        <a:srgbClr val="000000"/>
                      </a:solidFill>
                      <a:miter lim="800000"/>
                      <a:headEnd/>
                      <a:tailEnd/>
                    </a:ln>
                    <a:effectLst/>
                  </pic:spPr>
                </pic:pic>
              </a:graphicData>
            </a:graphic>
          </wp:inline>
        </w:drawing>
      </w:r>
    </w:p>
    <w:p w14:paraId="6B08ADB9" w14:textId="77777777" w:rsidR="0079428C" w:rsidRPr="00B06D23" w:rsidRDefault="0079428C" w:rsidP="0079428C">
      <w:pPr>
        <w:rPr>
          <w:lang w:val="es-ES"/>
        </w:rPr>
      </w:pPr>
      <w:r w:rsidRPr="00B06D23">
        <w:rPr>
          <w:lang w:val="es-ES"/>
        </w:rPr>
        <w:t>Las etapas de la metodología son:</w:t>
      </w:r>
    </w:p>
    <w:p w14:paraId="46FD75A3" w14:textId="60E0754C" w:rsidR="0079428C" w:rsidRPr="0061035A" w:rsidRDefault="0079428C" w:rsidP="00273FE4">
      <w:pPr>
        <w:pStyle w:val="Listanumerada"/>
        <w:numPr>
          <w:ilvl w:val="0"/>
          <w:numId w:val="17"/>
        </w:numPr>
        <w:spacing w:after="200"/>
        <w:ind w:left="567" w:hanging="567"/>
      </w:pPr>
      <w:r w:rsidRPr="0061035A">
        <w:t xml:space="preserve">Dimensionamiento de la organización de la </w:t>
      </w:r>
      <w:r w:rsidR="001A6E11" w:rsidRPr="0061035A">
        <w:t>EM</w:t>
      </w:r>
      <w:r w:rsidRPr="0061035A">
        <w:t>: para definir los recursos humanos de plantilla para la gestión de la administración, operación y mantenimiento.</w:t>
      </w:r>
    </w:p>
    <w:p w14:paraId="0496C98E" w14:textId="77777777" w:rsidR="0079428C" w:rsidRPr="0061035A" w:rsidRDefault="0079428C" w:rsidP="00273FE4">
      <w:pPr>
        <w:pStyle w:val="Listanumerada"/>
        <w:numPr>
          <w:ilvl w:val="0"/>
          <w:numId w:val="17"/>
        </w:numPr>
        <w:spacing w:after="200"/>
        <w:ind w:left="567" w:hanging="567"/>
      </w:pPr>
      <w:r w:rsidRPr="0061035A">
        <w:t>Diseño y dimensionamiento de las actividades de operación y mantenimiento en terreno: para definir los recursos para las actividades de operación y mantenimiento en terreno.</w:t>
      </w:r>
    </w:p>
    <w:p w14:paraId="27BF102C" w14:textId="77777777" w:rsidR="0079428C" w:rsidRPr="0061035A" w:rsidRDefault="0079428C" w:rsidP="00273FE4">
      <w:pPr>
        <w:pStyle w:val="Listanumerada"/>
        <w:numPr>
          <w:ilvl w:val="0"/>
          <w:numId w:val="17"/>
        </w:numPr>
        <w:spacing w:after="200"/>
        <w:ind w:left="567" w:hanging="567"/>
      </w:pPr>
      <w:r w:rsidRPr="0061035A">
        <w:t>Valorización de los recursos diseñados en los puntos a) y b).</w:t>
      </w:r>
    </w:p>
    <w:p w14:paraId="67DC3BAD" w14:textId="3768E448" w:rsidR="0079428C" w:rsidRPr="000A73E6" w:rsidRDefault="0079428C" w:rsidP="0079428C">
      <w:pPr>
        <w:rPr>
          <w:lang w:val="es-ES"/>
        </w:rPr>
      </w:pPr>
      <w:r w:rsidRPr="000A73E6">
        <w:rPr>
          <w:lang w:val="es-ES"/>
        </w:rPr>
        <w:t>A continuación, se presenta la</w:t>
      </w:r>
      <w:r w:rsidR="003C6F7B" w:rsidRPr="000A73E6">
        <w:rPr>
          <w:lang w:val="es-ES"/>
        </w:rPr>
        <w:t xml:space="preserve"> metodología que se desarrolla</w:t>
      </w:r>
      <w:r w:rsidRPr="000A73E6">
        <w:rPr>
          <w:lang w:val="es-ES"/>
        </w:rPr>
        <w:t xml:space="preserve"> en cada etapa del proceso de diseño de la </w:t>
      </w:r>
      <w:r w:rsidR="001A6E11" w:rsidRPr="000A73E6">
        <w:rPr>
          <w:lang w:val="es-ES"/>
        </w:rPr>
        <w:t>EM</w:t>
      </w:r>
      <w:r w:rsidRPr="000A73E6">
        <w:rPr>
          <w:lang w:val="es-ES"/>
        </w:rPr>
        <w:t xml:space="preserve"> y cálculo del </w:t>
      </w:r>
      <w:r w:rsidR="005A6F95">
        <w:rPr>
          <w:lang w:val="es-ES"/>
        </w:rPr>
        <w:t>C.O.M.A.</w:t>
      </w:r>
    </w:p>
    <w:p w14:paraId="06EA57EF" w14:textId="03EBE5CE" w:rsidR="0079428C" w:rsidRPr="005A6F95" w:rsidRDefault="0079428C" w:rsidP="005A6F95">
      <w:pPr>
        <w:pStyle w:val="Ttulo3"/>
      </w:pPr>
      <w:bookmarkStart w:id="165" w:name="_Toc32389949"/>
      <w:bookmarkStart w:id="166" w:name="_Toc34398091"/>
      <w:bookmarkStart w:id="167" w:name="_Toc39797782"/>
      <w:r w:rsidRPr="005A6F95">
        <w:t xml:space="preserve">Diseño y dimensionamiento de la organización de la </w:t>
      </w:r>
      <w:r w:rsidR="001A6E11" w:rsidRPr="005A6F95">
        <w:t>EM</w:t>
      </w:r>
      <w:r w:rsidRPr="005A6F95">
        <w:t xml:space="preserve"> eficiente</w:t>
      </w:r>
      <w:bookmarkEnd w:id="165"/>
      <w:bookmarkEnd w:id="166"/>
      <w:bookmarkEnd w:id="167"/>
    </w:p>
    <w:p w14:paraId="673C1781" w14:textId="6F0E01D6" w:rsidR="0079428C" w:rsidRPr="000A73E6" w:rsidRDefault="0079428C" w:rsidP="0079428C">
      <w:pPr>
        <w:rPr>
          <w:lang w:val="es-ES"/>
        </w:rPr>
      </w:pPr>
      <w:r w:rsidRPr="000A73E6">
        <w:rPr>
          <w:lang w:val="es-ES"/>
        </w:rPr>
        <w:t>La red de la EM está conformada por Líneas de Alta Tensión, Subestaciones, puntos de transformación, puntos de Conexión, sistemas de comunicaciones, equipos de protecciones y control y elementos de maniobras, mediciones, compensación, servicios auxiliares, etc., los cuales son necesarios para cumplir con su cometido.</w:t>
      </w:r>
    </w:p>
    <w:p w14:paraId="43CA26D6" w14:textId="26DC7059" w:rsidR="00943EAF" w:rsidRPr="000A73E6" w:rsidRDefault="00943EAF" w:rsidP="00943EAF">
      <w:pPr>
        <w:rPr>
          <w:lang w:val="es-ES"/>
        </w:rPr>
      </w:pPr>
      <w:r w:rsidRPr="000A73E6">
        <w:rPr>
          <w:lang w:val="es-ES"/>
        </w:rPr>
        <w:lastRenderedPageBreak/>
        <w:t xml:space="preserve">Todas las actividades de la EM </w:t>
      </w:r>
      <w:r w:rsidR="007307E2" w:rsidRPr="000A73E6">
        <w:rPr>
          <w:lang w:val="es-ES"/>
        </w:rPr>
        <w:t>son</w:t>
      </w:r>
      <w:r w:rsidRPr="000A73E6">
        <w:rPr>
          <w:lang w:val="es-ES"/>
        </w:rPr>
        <w:t xml:space="preserve"> realizadas de manera de prestar el servicio público de Transmisión de electricidad, con un nivel de calidad satisfactorio acorde con los parámetros </w:t>
      </w:r>
      <w:r w:rsidR="00E17F4D" w:rsidRPr="000A73E6">
        <w:rPr>
          <w:lang w:val="es-ES"/>
        </w:rPr>
        <w:t xml:space="preserve">fijados en </w:t>
      </w:r>
      <w:r w:rsidRPr="000A73E6">
        <w:rPr>
          <w:lang w:val="es-ES"/>
        </w:rPr>
        <w:t>la NTSyCS</w:t>
      </w:r>
      <w:r w:rsidR="00E17F4D" w:rsidRPr="000A73E6">
        <w:rPr>
          <w:rStyle w:val="Refdenotaalpie"/>
          <w:lang w:val="es-ES"/>
        </w:rPr>
        <w:footnoteReference w:id="19"/>
      </w:r>
      <w:r w:rsidRPr="000A73E6">
        <w:rPr>
          <w:lang w:val="es-ES"/>
        </w:rPr>
        <w:t xml:space="preserve"> (Titulo 5-12  “Estándares de Calidad de Suministro en instalaciones de generación y transmisión”, donde establecen los </w:t>
      </w:r>
      <w:r w:rsidR="00BA2EDF" w:rsidRPr="000A73E6">
        <w:rPr>
          <w:lang w:val="es-ES"/>
        </w:rPr>
        <w:t>límites</w:t>
      </w:r>
      <w:r w:rsidRPr="000A73E6">
        <w:rPr>
          <w:lang w:val="es-ES"/>
        </w:rPr>
        <w:t xml:space="preserve"> para </w:t>
      </w:r>
      <w:r w:rsidR="00BA2EDF" w:rsidRPr="000A73E6">
        <w:rPr>
          <w:lang w:val="es-ES"/>
        </w:rPr>
        <w:t>indisponibilidad</w:t>
      </w:r>
      <w:r w:rsidRPr="000A73E6">
        <w:rPr>
          <w:lang w:val="es-ES"/>
        </w:rPr>
        <w:t xml:space="preserve"> programada y forzada para instalaciones de transmisión).</w:t>
      </w:r>
    </w:p>
    <w:p w14:paraId="1152B4EE" w14:textId="61B55922" w:rsidR="00514033" w:rsidRDefault="00514033" w:rsidP="00514033">
      <w:pPr>
        <w:rPr>
          <w:lang w:val="es-ES"/>
        </w:rPr>
      </w:pPr>
      <w:r w:rsidRPr="000A73E6">
        <w:rPr>
          <w:lang w:val="es-ES"/>
        </w:rPr>
        <w:t xml:space="preserve">Las ventajas respecto a las economías de escala que incorpora la </w:t>
      </w:r>
      <w:r w:rsidR="001A6E11" w:rsidRPr="000A73E6">
        <w:rPr>
          <w:lang w:val="es-ES"/>
        </w:rPr>
        <w:t>EM</w:t>
      </w:r>
      <w:r w:rsidRPr="000A73E6">
        <w:rPr>
          <w:lang w:val="es-ES"/>
        </w:rPr>
        <w:t xml:space="preserve"> en </w:t>
      </w:r>
      <w:r w:rsidR="000A0337" w:rsidRPr="000A73E6">
        <w:rPr>
          <w:lang w:val="es-ES"/>
        </w:rPr>
        <w:t>los aspectos de a</w:t>
      </w:r>
      <w:r w:rsidRPr="000A73E6">
        <w:rPr>
          <w:lang w:val="es-ES"/>
        </w:rPr>
        <w:t xml:space="preserve">dministración, operación y mantenimiento consideradas en el </w:t>
      </w:r>
      <w:r w:rsidR="005A6F95">
        <w:rPr>
          <w:lang w:val="es-ES"/>
        </w:rPr>
        <w:t>C.O.M.A.</w:t>
      </w:r>
      <w:r w:rsidRPr="000A73E6">
        <w:rPr>
          <w:lang w:val="es-ES"/>
        </w:rPr>
        <w:t xml:space="preserve">, es inherente al diseño mismo de una </w:t>
      </w:r>
      <w:r w:rsidR="001A6E11" w:rsidRPr="000A73E6">
        <w:rPr>
          <w:lang w:val="es-ES"/>
        </w:rPr>
        <w:t>EM</w:t>
      </w:r>
      <w:r w:rsidRPr="000A73E6">
        <w:rPr>
          <w:lang w:val="es-ES"/>
        </w:rPr>
        <w:t xml:space="preserve"> eficiente que con una única estructura organizacional atiende la totalidad de los activos que </w:t>
      </w:r>
      <w:r w:rsidR="00BA2EDF" w:rsidRPr="000A73E6">
        <w:rPr>
          <w:lang w:val="es-ES"/>
        </w:rPr>
        <w:t>pertenecen</w:t>
      </w:r>
      <w:r w:rsidRPr="000A73E6">
        <w:rPr>
          <w:lang w:val="es-ES"/>
        </w:rPr>
        <w:t xml:space="preserve"> a diferentes empresas de transportistas y conforman el sistema de transmisión nacional.</w:t>
      </w:r>
      <w:r>
        <w:rPr>
          <w:lang w:val="es-ES"/>
        </w:rPr>
        <w:t xml:space="preserve"> </w:t>
      </w:r>
    </w:p>
    <w:p w14:paraId="774F6B77" w14:textId="680007B9" w:rsidR="00FF4022" w:rsidRDefault="00FF4022" w:rsidP="00106534">
      <w:pPr>
        <w:rPr>
          <w:lang w:val="es-ES"/>
        </w:rPr>
      </w:pPr>
      <w:r w:rsidRPr="006107A8">
        <w:rPr>
          <w:lang w:val="es-ES"/>
        </w:rPr>
        <w:t xml:space="preserve">En el “Anexo COMA_9_Economías de escala” se explican los criterios que se utilizaron para regoger las economías de escala que se presentan </w:t>
      </w:r>
      <w:r w:rsidR="00106534" w:rsidRPr="006107A8">
        <w:rPr>
          <w:lang w:val="es-ES"/>
        </w:rPr>
        <w:t xml:space="preserve">en </w:t>
      </w:r>
      <w:r w:rsidRPr="006107A8">
        <w:rPr>
          <w:lang w:val="es-ES"/>
        </w:rPr>
        <w:t>el diseño de la EM en aspectos asociados a la administración, mantención y operación</w:t>
      </w:r>
      <w:r w:rsidR="00106534" w:rsidRPr="006107A8">
        <w:rPr>
          <w:lang w:val="es-ES"/>
        </w:rPr>
        <w:t>,</w:t>
      </w:r>
      <w:r w:rsidRPr="006107A8">
        <w:rPr>
          <w:lang w:val="es-ES"/>
        </w:rPr>
        <w:t xml:space="preserve"> asi como tambi</w:t>
      </w:r>
      <w:r w:rsidR="00106534" w:rsidRPr="006107A8">
        <w:rPr>
          <w:lang w:val="es-ES"/>
        </w:rPr>
        <w:t>é</w:t>
      </w:r>
      <w:r w:rsidRPr="006107A8">
        <w:rPr>
          <w:lang w:val="es-ES"/>
        </w:rPr>
        <w:t>n los descuentos en compras por volumen.</w:t>
      </w:r>
    </w:p>
    <w:p w14:paraId="55FCF4B3" w14:textId="1FD12B1A" w:rsidR="0079428C" w:rsidRPr="00B06D23" w:rsidRDefault="0079428C" w:rsidP="0079428C">
      <w:pPr>
        <w:rPr>
          <w:lang w:val="es-ES"/>
        </w:rPr>
      </w:pPr>
      <w:r w:rsidRPr="00B06D23">
        <w:rPr>
          <w:lang w:val="es-ES"/>
        </w:rPr>
        <w:t xml:space="preserve">Esa provisión eficiente del servicio requiere el funcionamiento armónico de una estructura </w:t>
      </w:r>
      <w:r w:rsidR="007307E2">
        <w:rPr>
          <w:lang w:val="es-ES"/>
        </w:rPr>
        <w:t>organizacional</w:t>
      </w:r>
      <w:r w:rsidRPr="00B06D23">
        <w:rPr>
          <w:lang w:val="es-ES"/>
        </w:rPr>
        <w:t xml:space="preserve"> adecuadamente diseñada e implementada, contemplando la adaptación de los recursos y costos asignados al desempeño de cada proceso y actividad.</w:t>
      </w:r>
    </w:p>
    <w:p w14:paraId="64446B04" w14:textId="77777777" w:rsidR="0079428C" w:rsidRPr="00B06D23" w:rsidRDefault="0079428C" w:rsidP="0079428C">
      <w:pPr>
        <w:rPr>
          <w:lang w:val="es-ES"/>
        </w:rPr>
      </w:pPr>
      <w:r w:rsidRPr="00B06D23">
        <w:rPr>
          <w:lang w:val="es-ES"/>
        </w:rPr>
        <w:t>Se analizan detalladamente los principales procesos, subprocesos, actividades y funciones que debe desarrollar la EM a los efectos del dimensionamiento de la dotación de personal optimizado.</w:t>
      </w:r>
    </w:p>
    <w:p w14:paraId="2FCA5930" w14:textId="77777777" w:rsidR="0079428C" w:rsidRPr="00B06D23" w:rsidRDefault="0079428C" w:rsidP="0079428C">
      <w:pPr>
        <w:rPr>
          <w:lang w:val="es-ES"/>
        </w:rPr>
      </w:pPr>
      <w:bookmarkStart w:id="168" w:name="_Toc149716332"/>
      <w:r w:rsidRPr="00B06D23">
        <w:rPr>
          <w:lang w:val="es-ES"/>
        </w:rPr>
        <w:t xml:space="preserve">Los mismos son calculados para las áreas que intervienen en los procesos de </w:t>
      </w:r>
      <w:bookmarkEnd w:id="168"/>
      <w:r w:rsidRPr="00B06D23">
        <w:rPr>
          <w:lang w:val="es-ES"/>
        </w:rPr>
        <w:t>Dirección, estrategia y control, Legales, Relaciones institucionales, Recursos humanos, Planificación económica y control de gestión, Administración y finanzas, Comercial y regulación, Planificación técnica y normas, Explotación (operación y mantenimiento).</w:t>
      </w:r>
    </w:p>
    <w:p w14:paraId="00CC4D06" w14:textId="77777777" w:rsidR="0079428C" w:rsidRPr="00B06D23" w:rsidRDefault="0079428C" w:rsidP="0079428C">
      <w:pPr>
        <w:rPr>
          <w:lang w:val="es-ES"/>
        </w:rPr>
      </w:pPr>
      <w:bookmarkStart w:id="169" w:name="_Toc149716333"/>
      <w:r w:rsidRPr="00B06D23">
        <w:rPr>
          <w:lang w:val="es-ES"/>
        </w:rPr>
        <w:t xml:space="preserve">Sobre la base de la cantidad de activos que componen el sistema de Transmisión, la dispersión geográfica de las instalaciones, y las políticas de tercerización eficientes adoptadas </w:t>
      </w:r>
      <w:bookmarkEnd w:id="169"/>
      <w:r w:rsidRPr="00B06D23">
        <w:rPr>
          <w:lang w:val="es-ES"/>
        </w:rPr>
        <w:t>en el modelo, se definen:</w:t>
      </w:r>
    </w:p>
    <w:p w14:paraId="38B396B4" w14:textId="34A6B515" w:rsidR="0079428C" w:rsidRPr="00B06D23" w:rsidRDefault="0079428C" w:rsidP="00273FE4">
      <w:pPr>
        <w:pStyle w:val="Prrafodelista"/>
        <w:numPr>
          <w:ilvl w:val="0"/>
          <w:numId w:val="50"/>
        </w:numPr>
        <w:ind w:left="567" w:hanging="567"/>
        <w:rPr>
          <w:lang w:val="es-ES"/>
        </w:rPr>
      </w:pPr>
      <w:bookmarkStart w:id="170" w:name="_Toc149716334"/>
      <w:r w:rsidRPr="00B06D23">
        <w:rPr>
          <w:lang w:val="es-ES"/>
        </w:rPr>
        <w:t xml:space="preserve">Los procesos y subprocesos. </w:t>
      </w:r>
      <w:r w:rsidR="00F86AAB" w:rsidRPr="00B06D23">
        <w:rPr>
          <w:lang w:val="es-ES"/>
        </w:rPr>
        <w:t>Ej.</w:t>
      </w:r>
      <w:r w:rsidRPr="00B06D23">
        <w:rPr>
          <w:lang w:val="es-ES"/>
        </w:rPr>
        <w:t>: Proceso Administración y Finanzas, subproceso Abastecimiento.</w:t>
      </w:r>
    </w:p>
    <w:p w14:paraId="5CA941B8" w14:textId="7D0A7C3F" w:rsidR="0079428C" w:rsidRPr="00B06D23" w:rsidRDefault="0079428C" w:rsidP="00273FE4">
      <w:pPr>
        <w:pStyle w:val="Prrafodelista"/>
        <w:numPr>
          <w:ilvl w:val="0"/>
          <w:numId w:val="50"/>
        </w:numPr>
        <w:ind w:left="567" w:hanging="567"/>
        <w:rPr>
          <w:lang w:val="es-ES"/>
        </w:rPr>
      </w:pPr>
      <w:r w:rsidRPr="00B06D23">
        <w:rPr>
          <w:lang w:val="es-ES"/>
        </w:rPr>
        <w:lastRenderedPageBreak/>
        <w:t>Las tareas i</w:t>
      </w:r>
      <w:r w:rsidR="007A3254">
        <w:rPr>
          <w:lang w:val="es-ES"/>
        </w:rPr>
        <w:t xml:space="preserve">nherentes a cada subproceso. </w:t>
      </w:r>
      <w:r w:rsidR="00F86AAB">
        <w:rPr>
          <w:lang w:val="es-ES"/>
        </w:rPr>
        <w:t>Ej.</w:t>
      </w:r>
      <w:r w:rsidR="007A3254">
        <w:rPr>
          <w:lang w:val="es-ES"/>
        </w:rPr>
        <w:t>:</w:t>
      </w:r>
      <w:r w:rsidRPr="00B06D23">
        <w:rPr>
          <w:lang w:val="es-ES"/>
        </w:rPr>
        <w:t xml:space="preserve"> Abastecimiento con tareas que se refieren a la gestión de compra, aprovisionamiento y logística (almacenes, transporte) de los productos y servicios necesarios para el funcionamiento de la EM.</w:t>
      </w:r>
    </w:p>
    <w:p w14:paraId="644B1C57" w14:textId="77777777" w:rsidR="0079428C" w:rsidRPr="00B06D23" w:rsidRDefault="0079428C" w:rsidP="00273FE4">
      <w:pPr>
        <w:pStyle w:val="Prrafodelista"/>
        <w:numPr>
          <w:ilvl w:val="0"/>
          <w:numId w:val="50"/>
        </w:numPr>
        <w:ind w:left="567" w:hanging="567"/>
        <w:rPr>
          <w:lang w:val="es-ES"/>
        </w:rPr>
      </w:pPr>
      <w:r w:rsidRPr="00B06D23">
        <w:rPr>
          <w:lang w:val="es-ES"/>
        </w:rPr>
        <w:t>La definición de los cargos (descripción, función y responsabilidad) y cantidad de personas por cargo para realizar las tareas indicadas en el punto anterior.</w:t>
      </w:r>
    </w:p>
    <w:p w14:paraId="308B100C" w14:textId="1F534B78" w:rsidR="0079428C" w:rsidRPr="00B06D23" w:rsidRDefault="0079428C" w:rsidP="00273FE4">
      <w:pPr>
        <w:pStyle w:val="Prrafodelista"/>
        <w:numPr>
          <w:ilvl w:val="0"/>
          <w:numId w:val="50"/>
        </w:numPr>
        <w:ind w:left="567" w:hanging="567"/>
        <w:rPr>
          <w:lang w:val="es-ES"/>
        </w:rPr>
      </w:pPr>
      <w:r w:rsidRPr="00B06D23">
        <w:rPr>
          <w:lang w:val="es-ES"/>
        </w:rPr>
        <w:t xml:space="preserve">La estructura </w:t>
      </w:r>
      <w:r w:rsidR="007307E2">
        <w:rPr>
          <w:lang w:val="es-ES"/>
        </w:rPr>
        <w:t>organizacional</w:t>
      </w:r>
      <w:r w:rsidRPr="00B06D23">
        <w:rPr>
          <w:lang w:val="es-ES"/>
        </w:rPr>
        <w:t xml:space="preserve"> </w:t>
      </w:r>
      <w:bookmarkEnd w:id="170"/>
      <w:r w:rsidRPr="00B06D23">
        <w:rPr>
          <w:lang w:val="es-ES"/>
        </w:rPr>
        <w:t>del personal definido en el punto anterior (organigrama)</w:t>
      </w:r>
      <w:r w:rsidR="007A3254">
        <w:rPr>
          <w:lang w:val="es-ES"/>
        </w:rPr>
        <w:t>.</w:t>
      </w:r>
    </w:p>
    <w:p w14:paraId="61F3590D" w14:textId="77777777" w:rsidR="0079428C" w:rsidRPr="00B06D23" w:rsidRDefault="0079428C" w:rsidP="00273FE4">
      <w:pPr>
        <w:pStyle w:val="Prrafodelista"/>
        <w:numPr>
          <w:ilvl w:val="0"/>
          <w:numId w:val="50"/>
        </w:numPr>
        <w:ind w:left="567" w:hanging="567"/>
        <w:rPr>
          <w:lang w:val="es-ES"/>
        </w:rPr>
      </w:pPr>
      <w:bookmarkStart w:id="171" w:name="_Toc149716335"/>
      <w:r w:rsidRPr="00B06D23">
        <w:rPr>
          <w:lang w:val="es-ES"/>
        </w:rPr>
        <w:t>Infraestructura requerida por el personal para desempeñar sus funciones en forma eficiente: edificios, vehículos, mobiliario, equipos de comunicación, equipos y sistemas informáticos, etc.</w:t>
      </w:r>
      <w:bookmarkEnd w:id="171"/>
    </w:p>
    <w:p w14:paraId="4FAC2682" w14:textId="77777777" w:rsidR="0079428C" w:rsidRPr="00B06D23" w:rsidRDefault="0079428C" w:rsidP="00273FE4">
      <w:pPr>
        <w:pStyle w:val="Prrafodelista"/>
        <w:numPr>
          <w:ilvl w:val="0"/>
          <w:numId w:val="50"/>
        </w:numPr>
        <w:ind w:left="567" w:hanging="567"/>
        <w:rPr>
          <w:lang w:val="es-ES"/>
        </w:rPr>
      </w:pPr>
      <w:bookmarkStart w:id="172" w:name="_Toc149716336"/>
      <w:r w:rsidRPr="00B06D23">
        <w:rPr>
          <w:lang w:val="es-ES"/>
        </w:rPr>
        <w:t>Insumos y servicios requeridos: papelería, aseo y limpieza, capacitación, servicios externos (agua, electricidad, vigilancia), viáticos, insumos computacionales, contribuciones, asesorías, gastos del directorio, etc.</w:t>
      </w:r>
      <w:bookmarkEnd w:id="172"/>
    </w:p>
    <w:p w14:paraId="1A4E1A74" w14:textId="32EECD68" w:rsidR="0079428C" w:rsidRPr="00B06D23" w:rsidRDefault="0079428C" w:rsidP="0079428C">
      <w:pPr>
        <w:rPr>
          <w:lang w:val="es-ES"/>
        </w:rPr>
      </w:pPr>
      <w:r w:rsidRPr="00B06D23">
        <w:rPr>
          <w:lang w:val="es-ES"/>
        </w:rPr>
        <w:t xml:space="preserve">Sin ser taxativo se enumeran </w:t>
      </w:r>
      <w:r w:rsidR="007A3254">
        <w:rPr>
          <w:lang w:val="es-ES"/>
        </w:rPr>
        <w:t xml:space="preserve">a continuación </w:t>
      </w:r>
      <w:r w:rsidRPr="00B06D23">
        <w:rPr>
          <w:lang w:val="es-ES"/>
        </w:rPr>
        <w:t xml:space="preserve">los principales procesos y subprocesos que debe desarrollar la </w:t>
      </w:r>
      <w:r w:rsidR="001A6E11">
        <w:rPr>
          <w:lang w:val="es-ES"/>
        </w:rPr>
        <w:t>EM</w:t>
      </w:r>
      <w:r w:rsidR="007A3254">
        <w:rPr>
          <w:lang w:val="es-ES"/>
        </w:rPr>
        <w:t xml:space="preserve"> eficiente.</w:t>
      </w:r>
    </w:p>
    <w:p w14:paraId="415983B8" w14:textId="77777777" w:rsidR="0079428C" w:rsidRPr="006F5B6D" w:rsidRDefault="0079428C" w:rsidP="0079428C">
      <w:pPr>
        <w:pStyle w:val="Ttulo4"/>
      </w:pPr>
      <w:bookmarkStart w:id="173" w:name="_Toc32389950"/>
      <w:bookmarkStart w:id="174" w:name="_Toc34398092"/>
      <w:bookmarkStart w:id="175" w:name="_Toc39797783"/>
      <w:r w:rsidRPr="006F5B6D">
        <w:t>Proceso: dirección, estrategia y control</w:t>
      </w:r>
      <w:bookmarkEnd w:id="173"/>
      <w:bookmarkEnd w:id="174"/>
      <w:bookmarkEnd w:id="175"/>
    </w:p>
    <w:p w14:paraId="221F10CC" w14:textId="77777777" w:rsidR="0079428C" w:rsidRPr="00B06D23" w:rsidRDefault="0079428C" w:rsidP="0079428C">
      <w:pPr>
        <w:rPr>
          <w:lang w:val="es-ES"/>
        </w:rPr>
      </w:pPr>
      <w:r w:rsidRPr="00B06D23">
        <w:rPr>
          <w:lang w:val="es-ES"/>
        </w:rPr>
        <w:t>Este proceso incluye los siguientes subprocesos:</w:t>
      </w:r>
    </w:p>
    <w:p w14:paraId="1CD42B9E" w14:textId="77777777" w:rsidR="0079428C" w:rsidRPr="00B06D23" w:rsidRDefault="0079428C" w:rsidP="00273FE4">
      <w:pPr>
        <w:pStyle w:val="Prrafodelista"/>
        <w:numPr>
          <w:ilvl w:val="0"/>
          <w:numId w:val="50"/>
        </w:numPr>
        <w:ind w:left="567" w:hanging="567"/>
        <w:rPr>
          <w:lang w:val="es-ES"/>
        </w:rPr>
      </w:pPr>
      <w:r w:rsidRPr="00B06D23">
        <w:rPr>
          <w:lang w:val="es-ES"/>
        </w:rPr>
        <w:t xml:space="preserve">Dirección y Gerenciamiento General, que incluye la representación de la empresa, elaboración y seguimiento de las estrategias globales, establecimiento de las medidas correctivas tendientes a que la gestión esté orientada a lograr los objetivos establecidos, y la estrategia de las relaciones institucionales. </w:t>
      </w:r>
    </w:p>
    <w:p w14:paraId="129A0725" w14:textId="3D365837" w:rsidR="0079428C" w:rsidRPr="00B06D23" w:rsidRDefault="0079428C" w:rsidP="00273FE4">
      <w:pPr>
        <w:pStyle w:val="Prrafodelista"/>
        <w:numPr>
          <w:ilvl w:val="0"/>
          <w:numId w:val="50"/>
        </w:numPr>
        <w:ind w:left="567" w:hanging="567"/>
        <w:rPr>
          <w:lang w:val="es-ES"/>
        </w:rPr>
      </w:pPr>
      <w:r w:rsidRPr="00B06D23">
        <w:rPr>
          <w:lang w:val="es-ES"/>
        </w:rPr>
        <w:t>Planifica</w:t>
      </w:r>
      <w:r w:rsidR="007A3254">
        <w:rPr>
          <w:lang w:val="es-ES"/>
        </w:rPr>
        <w:t>ción E</w:t>
      </w:r>
      <w:r w:rsidRPr="00B06D23">
        <w:rPr>
          <w:lang w:val="es-ES"/>
        </w:rPr>
        <w:t>conómica y Control de Gestión, referidas al seguimiento y control del desempeño de la gestión global de la empresa tanto en aspectos económicos como en parámetros de gestión, elaboración de los reportes de gestión para la dirección y reportes de comunicación institucional. Planificación y ejecución de auditorías internas.</w:t>
      </w:r>
    </w:p>
    <w:p w14:paraId="3A10D981" w14:textId="77777777" w:rsidR="0079428C" w:rsidRPr="00B06D23" w:rsidRDefault="0079428C" w:rsidP="00273FE4">
      <w:pPr>
        <w:pStyle w:val="Prrafodelista"/>
        <w:numPr>
          <w:ilvl w:val="0"/>
          <w:numId w:val="50"/>
        </w:numPr>
        <w:ind w:left="567" w:hanging="567"/>
        <w:rPr>
          <w:lang w:val="es-ES"/>
        </w:rPr>
      </w:pPr>
      <w:r w:rsidRPr="00B06D23">
        <w:rPr>
          <w:lang w:val="es-ES"/>
        </w:rPr>
        <w:t>Asesoramiento Legal, que incluye el asesoramiento en materia de contratos y conflictos, en asuntos de tipo laboral, accidentes, etc.</w:t>
      </w:r>
    </w:p>
    <w:p w14:paraId="3374F325" w14:textId="09D3B734" w:rsidR="0079428C" w:rsidRPr="00B06D23" w:rsidRDefault="007A3254" w:rsidP="00273FE4">
      <w:pPr>
        <w:pStyle w:val="Prrafodelista"/>
        <w:numPr>
          <w:ilvl w:val="0"/>
          <w:numId w:val="50"/>
        </w:numPr>
        <w:ind w:left="567" w:hanging="567"/>
        <w:rPr>
          <w:lang w:val="es-ES"/>
        </w:rPr>
      </w:pPr>
      <w:r>
        <w:rPr>
          <w:lang w:val="es-ES"/>
        </w:rPr>
        <w:t>Relaciones I</w:t>
      </w:r>
      <w:r w:rsidR="0079428C" w:rsidRPr="00B06D23">
        <w:rPr>
          <w:lang w:val="es-ES"/>
        </w:rPr>
        <w:t>nstitucionales: desarrollo y administración de las relaciones con los medios, relaciones con la comunidad, y entes gubernamentales.</w:t>
      </w:r>
    </w:p>
    <w:p w14:paraId="1CE2B731" w14:textId="490BBC08" w:rsidR="00514033" w:rsidRPr="000A73E6" w:rsidRDefault="00514033" w:rsidP="00273FE4">
      <w:pPr>
        <w:pStyle w:val="Prrafodelista"/>
        <w:numPr>
          <w:ilvl w:val="0"/>
          <w:numId w:val="50"/>
        </w:numPr>
        <w:ind w:left="567" w:hanging="567"/>
        <w:rPr>
          <w:lang w:val="es-ES"/>
        </w:rPr>
      </w:pPr>
      <w:r w:rsidRPr="000A73E6">
        <w:rPr>
          <w:lang w:val="es-ES"/>
        </w:rPr>
        <w:t xml:space="preserve">Recursos Humanos, higiene y seguridad: incluyen el reclutamiento, la capacitación y la administración de los integrantes permanentes y eventuales (si corresponde) de la </w:t>
      </w:r>
      <w:r w:rsidRPr="000A73E6">
        <w:rPr>
          <w:lang w:val="es-ES"/>
        </w:rPr>
        <w:lastRenderedPageBreak/>
        <w:t xml:space="preserve">organización, liquidación de sueldos, liquidación de aportes a la seguridad social y otros. Actividades de relaciones laborales (relación con sindicatos). Gestión del plan de higiene y seguridad para el cumplimiento de la normativa vigente (Ley 16.744, referida a Seguridad de las </w:t>
      </w:r>
      <w:r w:rsidR="00F86AAB" w:rsidRPr="000A73E6">
        <w:rPr>
          <w:lang w:val="es-ES"/>
        </w:rPr>
        <w:t>Personas)</w:t>
      </w:r>
      <w:r w:rsidRPr="000A73E6">
        <w:rPr>
          <w:lang w:val="es-ES"/>
        </w:rPr>
        <w:t>. Manejo del plan de protección patrimonial.</w:t>
      </w:r>
    </w:p>
    <w:p w14:paraId="34F2EF5E" w14:textId="77777777" w:rsidR="0079428C" w:rsidRPr="000A73E6" w:rsidRDefault="0079428C" w:rsidP="00273FE4">
      <w:pPr>
        <w:pStyle w:val="Prrafodelista"/>
        <w:numPr>
          <w:ilvl w:val="0"/>
          <w:numId w:val="50"/>
        </w:numPr>
        <w:ind w:left="567" w:hanging="567"/>
        <w:rPr>
          <w:lang w:val="es-ES"/>
        </w:rPr>
      </w:pPr>
      <w:r w:rsidRPr="000A73E6">
        <w:rPr>
          <w:lang w:val="es-ES"/>
        </w:rPr>
        <w:t>Auditoría: incluye auditorías internas y externas.</w:t>
      </w:r>
    </w:p>
    <w:p w14:paraId="66D5B14D" w14:textId="77777777" w:rsidR="0079428C" w:rsidRPr="000A73E6" w:rsidRDefault="0079428C" w:rsidP="0079428C">
      <w:pPr>
        <w:pStyle w:val="Ttulo4"/>
      </w:pPr>
      <w:bookmarkStart w:id="176" w:name="_Toc71611010"/>
      <w:bookmarkStart w:id="177" w:name="_Toc71898567"/>
      <w:bookmarkStart w:id="178" w:name="_Toc72820968"/>
      <w:bookmarkStart w:id="179" w:name="_Toc32389951"/>
      <w:bookmarkStart w:id="180" w:name="_Toc34398093"/>
      <w:bookmarkStart w:id="181" w:name="_Toc39797784"/>
      <w:r w:rsidRPr="000A73E6">
        <w:t>Proceso: administración y finanzas</w:t>
      </w:r>
      <w:bookmarkEnd w:id="176"/>
      <w:bookmarkEnd w:id="177"/>
      <w:bookmarkEnd w:id="178"/>
      <w:bookmarkEnd w:id="179"/>
      <w:bookmarkEnd w:id="180"/>
      <w:bookmarkEnd w:id="181"/>
    </w:p>
    <w:p w14:paraId="2EFFD41B" w14:textId="77777777" w:rsidR="0079428C" w:rsidRPr="000A73E6" w:rsidRDefault="0079428C" w:rsidP="0079428C">
      <w:pPr>
        <w:rPr>
          <w:lang w:val="es-ES"/>
        </w:rPr>
      </w:pPr>
      <w:r w:rsidRPr="000A73E6">
        <w:rPr>
          <w:lang w:val="es-ES"/>
        </w:rPr>
        <w:t>Este proceso incluye los siguientes subprocesos:</w:t>
      </w:r>
    </w:p>
    <w:p w14:paraId="2778D053" w14:textId="77777777" w:rsidR="0079428C" w:rsidRPr="000A73E6" w:rsidRDefault="0079428C" w:rsidP="00273FE4">
      <w:pPr>
        <w:pStyle w:val="Prrafodelista"/>
        <w:numPr>
          <w:ilvl w:val="0"/>
          <w:numId w:val="50"/>
        </w:numPr>
        <w:ind w:left="567" w:hanging="567"/>
        <w:rPr>
          <w:lang w:val="es-ES"/>
        </w:rPr>
      </w:pPr>
      <w:r w:rsidRPr="000A73E6">
        <w:rPr>
          <w:lang w:val="es-ES"/>
        </w:rPr>
        <w:t>Contabilidad y Finanzas, se refieren a la gestión financiera y contable de corto y largo plazo, incluyendo, entre otros, la actividad de registro y cierres contables, la planificación y obtención de los recursos financieros, control del endeudamiento de la empresa, pagos a proveedores, pagos de sueldos, liquidación y pago de impuestos.</w:t>
      </w:r>
    </w:p>
    <w:p w14:paraId="60DCC2B0" w14:textId="77777777" w:rsidR="0079428C" w:rsidRPr="000A73E6" w:rsidRDefault="0079428C" w:rsidP="00273FE4">
      <w:pPr>
        <w:pStyle w:val="Prrafodelista"/>
        <w:numPr>
          <w:ilvl w:val="0"/>
          <w:numId w:val="50"/>
        </w:numPr>
        <w:ind w:left="567" w:hanging="567"/>
        <w:rPr>
          <w:lang w:val="es-ES"/>
        </w:rPr>
      </w:pPr>
      <w:r w:rsidRPr="000A73E6">
        <w:rPr>
          <w:lang w:val="es-ES"/>
        </w:rPr>
        <w:t>Abastecimiento, se refieren a la gestión de procesos de compra, aprovisionamiento y logística (almacenes, transporte) de los productos y servicios necesarios para el funcionamiento de la EM.</w:t>
      </w:r>
    </w:p>
    <w:p w14:paraId="1025BF2B" w14:textId="77777777" w:rsidR="0079428C" w:rsidRPr="000A73E6" w:rsidRDefault="0079428C" w:rsidP="00273FE4">
      <w:pPr>
        <w:pStyle w:val="Prrafodelista"/>
        <w:numPr>
          <w:ilvl w:val="0"/>
          <w:numId w:val="50"/>
        </w:numPr>
        <w:ind w:left="567" w:hanging="567"/>
        <w:rPr>
          <w:lang w:val="es-ES"/>
        </w:rPr>
      </w:pPr>
      <w:r w:rsidRPr="000A73E6">
        <w:rPr>
          <w:lang w:val="es-ES"/>
        </w:rPr>
        <w:t xml:space="preserve">Sistemas Informáticos, se refieren al soporte y administración de los sistemas informáticos corporativos y de las bases de datos, administración del hardware, redes y equipos de comunicaciones, gestión de la seguridad informática, mantenimiento de los computadores centrales, soporte técnico a los usuarios, </w:t>
      </w:r>
    </w:p>
    <w:p w14:paraId="1323974F" w14:textId="77777777" w:rsidR="0079428C" w:rsidRPr="000A73E6" w:rsidRDefault="0079428C" w:rsidP="00273FE4">
      <w:pPr>
        <w:pStyle w:val="Prrafodelista"/>
        <w:numPr>
          <w:ilvl w:val="0"/>
          <w:numId w:val="50"/>
        </w:numPr>
        <w:ind w:left="567" w:hanging="567"/>
        <w:rPr>
          <w:lang w:val="es-ES"/>
        </w:rPr>
      </w:pPr>
      <w:r w:rsidRPr="000A73E6">
        <w:rPr>
          <w:lang w:val="es-ES"/>
        </w:rPr>
        <w:t>Servicios generales: desarrollar y administrar programas para el manejo documental, servicios de mensajería, fax, servicios de comunicaciones y el servicio de vigilancia.</w:t>
      </w:r>
    </w:p>
    <w:p w14:paraId="57707E80" w14:textId="77777777" w:rsidR="0079428C" w:rsidRPr="000A73E6" w:rsidRDefault="0079428C" w:rsidP="0079428C">
      <w:pPr>
        <w:pStyle w:val="Ttulo4"/>
      </w:pPr>
      <w:bookmarkStart w:id="182" w:name="_Toc32389952"/>
      <w:bookmarkStart w:id="183" w:name="_Toc34398094"/>
      <w:bookmarkStart w:id="184" w:name="_Toc39797785"/>
      <w:bookmarkStart w:id="185" w:name="_Toc71611011"/>
      <w:bookmarkStart w:id="186" w:name="_Toc71898568"/>
      <w:bookmarkStart w:id="187" w:name="_Toc72820969"/>
      <w:r w:rsidRPr="000A73E6">
        <w:t>Proceso: comercial y regulación</w:t>
      </w:r>
      <w:bookmarkEnd w:id="182"/>
      <w:bookmarkEnd w:id="183"/>
      <w:bookmarkEnd w:id="184"/>
    </w:p>
    <w:p w14:paraId="11B1D54F" w14:textId="77777777" w:rsidR="0079428C" w:rsidRPr="000A73E6" w:rsidRDefault="0079428C" w:rsidP="0079428C">
      <w:pPr>
        <w:rPr>
          <w:lang w:val="es-ES"/>
        </w:rPr>
      </w:pPr>
      <w:r w:rsidRPr="000A73E6">
        <w:rPr>
          <w:lang w:val="es-ES"/>
        </w:rPr>
        <w:t>Este proceso incluye los siguientes subprocesos:</w:t>
      </w:r>
    </w:p>
    <w:p w14:paraId="6E51053F" w14:textId="7A72E5CC" w:rsidR="0079428C" w:rsidRPr="000A73E6" w:rsidRDefault="00580CE8" w:rsidP="00273FE4">
      <w:pPr>
        <w:pStyle w:val="Prrafodelista"/>
        <w:numPr>
          <w:ilvl w:val="0"/>
          <w:numId w:val="50"/>
        </w:numPr>
        <w:ind w:left="567" w:hanging="567"/>
        <w:rPr>
          <w:lang w:val="es-ES"/>
        </w:rPr>
      </w:pPr>
      <w:r w:rsidRPr="000A73E6">
        <w:rPr>
          <w:lang w:val="es-ES"/>
        </w:rPr>
        <w:t>Gestión Comercial: facturación, recaudación, verificación de las sanciones impuestas por la autoridad competente. Gestión de relacionamiento comercial por acuerdos de conexión. Análisis de informes del CEN y la CNE</w:t>
      </w:r>
      <w:r w:rsidR="0079428C" w:rsidRPr="000A73E6">
        <w:rPr>
          <w:lang w:val="es-ES"/>
        </w:rPr>
        <w:t>.</w:t>
      </w:r>
    </w:p>
    <w:p w14:paraId="35434204" w14:textId="77777777" w:rsidR="0079428C" w:rsidRPr="00B06D23" w:rsidRDefault="0079428C" w:rsidP="00273FE4">
      <w:pPr>
        <w:pStyle w:val="Prrafodelista"/>
        <w:numPr>
          <w:ilvl w:val="0"/>
          <w:numId w:val="50"/>
        </w:numPr>
        <w:ind w:left="567" w:hanging="567"/>
        <w:rPr>
          <w:lang w:val="es-ES"/>
        </w:rPr>
      </w:pPr>
      <w:r w:rsidRPr="00B06D23">
        <w:rPr>
          <w:lang w:val="es-ES"/>
        </w:rPr>
        <w:t>Gestión de regulación: respuesta a los reclamos de los clientes y a la autoridad regulatoria, gestión tarifaria. Análisis de la nueva normativa sectorial. Participación en procesos de revisión de la norma técnica y de consulta ciudadana. Análisis y observación de informes del CEN, la CNE y otros organismos de supervisión y control.</w:t>
      </w:r>
    </w:p>
    <w:p w14:paraId="70485E4E" w14:textId="77777777" w:rsidR="0079428C" w:rsidRPr="00B06D23" w:rsidRDefault="0079428C" w:rsidP="00273FE4">
      <w:pPr>
        <w:pStyle w:val="Prrafodelista"/>
        <w:numPr>
          <w:ilvl w:val="0"/>
          <w:numId w:val="50"/>
        </w:numPr>
        <w:ind w:left="567" w:hanging="567"/>
        <w:rPr>
          <w:lang w:val="es-ES"/>
        </w:rPr>
      </w:pPr>
      <w:r w:rsidRPr="00B06D23">
        <w:rPr>
          <w:lang w:val="es-ES"/>
        </w:rPr>
        <w:lastRenderedPageBreak/>
        <w:t>Gestión comercial de labores de ampliación: corresponde a las gestiones comerciales vinculadas a la ampliación de las instalaciones.</w:t>
      </w:r>
    </w:p>
    <w:p w14:paraId="2356C1C9" w14:textId="77777777" w:rsidR="0079428C" w:rsidRPr="006F5B6D" w:rsidRDefault="0079428C" w:rsidP="0079428C">
      <w:pPr>
        <w:pStyle w:val="Ttulo4"/>
      </w:pPr>
      <w:bookmarkStart w:id="188" w:name="_Toc32389953"/>
      <w:bookmarkStart w:id="189" w:name="_Toc34398095"/>
      <w:bookmarkStart w:id="190" w:name="_Toc39797786"/>
      <w:r w:rsidRPr="006F5B6D">
        <w:t>Proceso: planificación técnica y normas</w:t>
      </w:r>
      <w:bookmarkEnd w:id="188"/>
      <w:bookmarkEnd w:id="189"/>
      <w:bookmarkEnd w:id="190"/>
    </w:p>
    <w:p w14:paraId="525501C7" w14:textId="77777777" w:rsidR="0079428C" w:rsidRPr="00B06D23" w:rsidRDefault="0079428C" w:rsidP="0079428C">
      <w:pPr>
        <w:rPr>
          <w:lang w:val="es-ES"/>
        </w:rPr>
      </w:pPr>
      <w:r w:rsidRPr="00B06D23">
        <w:rPr>
          <w:lang w:val="es-ES"/>
        </w:rPr>
        <w:t>Este proceso incluye los siguientes subprocesos:</w:t>
      </w:r>
    </w:p>
    <w:p w14:paraId="22320D41" w14:textId="77777777" w:rsidR="0079428C" w:rsidRPr="00B06D23" w:rsidRDefault="0079428C" w:rsidP="00273FE4">
      <w:pPr>
        <w:pStyle w:val="Prrafodelista"/>
        <w:numPr>
          <w:ilvl w:val="0"/>
          <w:numId w:val="50"/>
        </w:numPr>
        <w:ind w:left="567" w:hanging="567"/>
        <w:rPr>
          <w:lang w:val="es-ES"/>
        </w:rPr>
      </w:pPr>
      <w:r w:rsidRPr="00B06D23">
        <w:rPr>
          <w:lang w:val="es-ES"/>
        </w:rPr>
        <w:t>Gestión de información técnica de activos: administración y actualización de la información técnica de líneas, estaciones, incluyendo el sistema georreferenciado.</w:t>
      </w:r>
    </w:p>
    <w:p w14:paraId="753347E8" w14:textId="55D42739" w:rsidR="0079428C" w:rsidRPr="00B06D23" w:rsidRDefault="0079428C" w:rsidP="00273FE4">
      <w:pPr>
        <w:pStyle w:val="Prrafodelista"/>
        <w:numPr>
          <w:ilvl w:val="0"/>
          <w:numId w:val="50"/>
        </w:numPr>
        <w:ind w:left="567" w:hanging="567"/>
        <w:rPr>
          <w:lang w:val="es-ES"/>
        </w:rPr>
      </w:pPr>
      <w:r w:rsidRPr="00B06D23">
        <w:rPr>
          <w:lang w:val="es-ES"/>
        </w:rPr>
        <w:t>Planificación técnica y normas: análisis de planificación de la red, y gestión de normas técnicas y ampliaciones. Gestión del plan ambiental: de la empresa para el cumplimiento de la normativa</w:t>
      </w:r>
      <w:r w:rsidR="003C6F7B">
        <w:rPr>
          <w:lang w:val="es-ES"/>
        </w:rPr>
        <w:t xml:space="preserve"> vigente</w:t>
      </w:r>
      <w:r w:rsidRPr="00B06D23">
        <w:rPr>
          <w:lang w:val="es-ES"/>
        </w:rPr>
        <w:t>.</w:t>
      </w:r>
    </w:p>
    <w:p w14:paraId="4B5A928E" w14:textId="77777777" w:rsidR="0079428C" w:rsidRPr="006F5B6D" w:rsidRDefault="0079428C" w:rsidP="0079428C">
      <w:pPr>
        <w:pStyle w:val="Ttulo4"/>
      </w:pPr>
      <w:bookmarkStart w:id="191" w:name="_Toc32389954"/>
      <w:bookmarkStart w:id="192" w:name="_Toc34398096"/>
      <w:bookmarkStart w:id="193" w:name="_Toc39797787"/>
      <w:bookmarkEnd w:id="185"/>
      <w:bookmarkEnd w:id="186"/>
      <w:bookmarkEnd w:id="187"/>
      <w:r w:rsidRPr="006F5B6D">
        <w:t>Proceso: explotación</w:t>
      </w:r>
      <w:bookmarkEnd w:id="191"/>
      <w:bookmarkEnd w:id="192"/>
      <w:bookmarkEnd w:id="193"/>
    </w:p>
    <w:p w14:paraId="6CB5346A" w14:textId="77777777" w:rsidR="0079428C" w:rsidRPr="00B06D23" w:rsidRDefault="0079428C" w:rsidP="0079428C">
      <w:pPr>
        <w:rPr>
          <w:lang w:val="es-ES"/>
        </w:rPr>
      </w:pPr>
      <w:r w:rsidRPr="00B06D23">
        <w:rPr>
          <w:lang w:val="es-ES"/>
        </w:rPr>
        <w:t>Este proceso incluye los siguientes subprocesos:</w:t>
      </w:r>
    </w:p>
    <w:p w14:paraId="7EA8B6BF" w14:textId="77777777" w:rsidR="0079428C" w:rsidRPr="00B06D23" w:rsidRDefault="0079428C" w:rsidP="00273FE4">
      <w:pPr>
        <w:pStyle w:val="Prrafodelista"/>
        <w:numPr>
          <w:ilvl w:val="0"/>
          <w:numId w:val="50"/>
        </w:numPr>
        <w:ind w:left="567" w:hanging="567"/>
        <w:rPr>
          <w:lang w:val="es-ES"/>
        </w:rPr>
      </w:pPr>
      <w:r w:rsidRPr="00B06D23">
        <w:rPr>
          <w:lang w:val="es-ES"/>
        </w:rPr>
        <w:t>Operación, que incluye la operación de las instalaciones, con la participación de operadores en campo, supervisores y centros de control. También incluye el planeamiento de la operación y la coordinación de la operación con los agentes del mercado. Manejo del centro de control.</w:t>
      </w:r>
    </w:p>
    <w:p w14:paraId="2977C17D" w14:textId="77777777" w:rsidR="0079428C" w:rsidRPr="000A73E6" w:rsidRDefault="0079428C" w:rsidP="00273FE4">
      <w:pPr>
        <w:pStyle w:val="Prrafodelista"/>
        <w:numPr>
          <w:ilvl w:val="0"/>
          <w:numId w:val="50"/>
        </w:numPr>
        <w:ind w:left="567" w:hanging="567"/>
        <w:rPr>
          <w:lang w:val="es-ES"/>
        </w:rPr>
      </w:pPr>
      <w:r w:rsidRPr="00B06D23">
        <w:rPr>
          <w:lang w:val="es-ES"/>
        </w:rPr>
        <w:t xml:space="preserve">Mantenimiento, ejecutar el mantenimiento preventivo, predictivo y correctivo, efectuar el control de gestión de la actividad de mantenimiento a través de estadísticas de fallas de líneas y </w:t>
      </w:r>
      <w:r w:rsidRPr="000A73E6">
        <w:rPr>
          <w:lang w:val="es-ES"/>
        </w:rPr>
        <w:t>subestaciones.</w:t>
      </w:r>
    </w:p>
    <w:p w14:paraId="2E1012D3" w14:textId="7EC53983" w:rsidR="000807DA" w:rsidRPr="000A73E6" w:rsidRDefault="000807DA" w:rsidP="00273FE4">
      <w:pPr>
        <w:pStyle w:val="Prrafodelista"/>
        <w:numPr>
          <w:ilvl w:val="0"/>
          <w:numId w:val="50"/>
        </w:numPr>
        <w:ind w:left="567" w:hanging="567"/>
        <w:rPr>
          <w:lang w:val="es-ES"/>
        </w:rPr>
      </w:pPr>
      <w:r w:rsidRPr="000A73E6">
        <w:rPr>
          <w:lang w:val="es-ES"/>
        </w:rPr>
        <w:t>Ingeniería de la Explotación, referida a la planificación de las actividades de OyM, control y supervisión de las mismas, manejo de los sistemas de apoyo, previsiones de materiales y herramientas, seguimiento de calidad de servicio. Se consideran dentro de esta gerencia las labores de ampliación de contenido técnico. Este subproceso incluye las actividades de planificación, programación, operación, estudios y control tanto de operación como de mantenimiento.</w:t>
      </w:r>
    </w:p>
    <w:p w14:paraId="18CA459F" w14:textId="46917BC3" w:rsidR="0079428C" w:rsidRPr="00B06D23" w:rsidRDefault="0079428C" w:rsidP="00273FE4">
      <w:pPr>
        <w:pStyle w:val="Prrafodelista"/>
        <w:numPr>
          <w:ilvl w:val="0"/>
          <w:numId w:val="50"/>
        </w:numPr>
        <w:ind w:left="567" w:hanging="567"/>
        <w:rPr>
          <w:lang w:val="es-ES"/>
        </w:rPr>
      </w:pPr>
      <w:r w:rsidRPr="00B06D23">
        <w:rPr>
          <w:lang w:val="es-ES"/>
        </w:rPr>
        <w:t xml:space="preserve">Medio ambiente: define y controla que se cumplan las políticas de medio ambiente de la </w:t>
      </w:r>
      <w:r w:rsidR="001A6E11">
        <w:rPr>
          <w:lang w:val="es-ES"/>
        </w:rPr>
        <w:t>EM</w:t>
      </w:r>
      <w:r w:rsidRPr="00B06D23">
        <w:rPr>
          <w:lang w:val="es-ES"/>
        </w:rPr>
        <w:t xml:space="preserve"> interactuando con el resto de las áreas operativas.</w:t>
      </w:r>
    </w:p>
    <w:p w14:paraId="22DD9C23" w14:textId="4BDC50A0" w:rsidR="0079428C" w:rsidRPr="00B06D23" w:rsidRDefault="0079428C" w:rsidP="00273FE4">
      <w:pPr>
        <w:pStyle w:val="Prrafodelista"/>
        <w:numPr>
          <w:ilvl w:val="0"/>
          <w:numId w:val="50"/>
        </w:numPr>
        <w:ind w:left="567" w:hanging="567"/>
        <w:rPr>
          <w:lang w:val="es-ES"/>
        </w:rPr>
      </w:pPr>
      <w:r w:rsidRPr="00B06D23">
        <w:rPr>
          <w:lang w:val="es-ES"/>
        </w:rPr>
        <w:t xml:space="preserve">Prevención de riesgos: define y controla las políticas de prevención de riesgos de la </w:t>
      </w:r>
      <w:r w:rsidR="001A6E11">
        <w:rPr>
          <w:lang w:val="es-ES"/>
        </w:rPr>
        <w:t>EM</w:t>
      </w:r>
      <w:r w:rsidRPr="00B06D23">
        <w:rPr>
          <w:lang w:val="es-ES"/>
        </w:rPr>
        <w:t xml:space="preserve"> interactuando con el resto de las áreas operativas.</w:t>
      </w:r>
    </w:p>
    <w:p w14:paraId="2ABBA71C" w14:textId="5A85EAFE" w:rsidR="0079428C" w:rsidRDefault="0079428C" w:rsidP="00373F06">
      <w:pPr>
        <w:rPr>
          <w:lang w:val="es-ES"/>
        </w:rPr>
      </w:pPr>
      <w:r w:rsidRPr="00B06D23">
        <w:rPr>
          <w:lang w:val="es-ES"/>
        </w:rPr>
        <w:t>Sobre la base del análisis se determina:</w:t>
      </w:r>
    </w:p>
    <w:p w14:paraId="7C06A014" w14:textId="7AD7099A" w:rsidR="0079428C" w:rsidRPr="00B06D23" w:rsidRDefault="0079428C" w:rsidP="00273FE4">
      <w:pPr>
        <w:pStyle w:val="Prrafodelista"/>
        <w:numPr>
          <w:ilvl w:val="0"/>
          <w:numId w:val="50"/>
        </w:numPr>
        <w:ind w:left="567" w:hanging="567"/>
        <w:rPr>
          <w:lang w:val="es-ES"/>
        </w:rPr>
      </w:pPr>
      <w:r w:rsidRPr="00B06D23">
        <w:rPr>
          <w:lang w:val="es-ES"/>
        </w:rPr>
        <w:lastRenderedPageBreak/>
        <w:t>La estructura organizacional</w:t>
      </w:r>
      <w:r w:rsidR="007C0809">
        <w:rPr>
          <w:lang w:val="es-ES"/>
        </w:rPr>
        <w:t>.</w:t>
      </w:r>
    </w:p>
    <w:p w14:paraId="25382756" w14:textId="269858C6" w:rsidR="0079428C" w:rsidRPr="00B06D23" w:rsidRDefault="0079428C" w:rsidP="00273FE4">
      <w:pPr>
        <w:pStyle w:val="Prrafodelista"/>
        <w:numPr>
          <w:ilvl w:val="0"/>
          <w:numId w:val="50"/>
        </w:numPr>
        <w:ind w:left="567" w:hanging="567"/>
        <w:rPr>
          <w:lang w:val="es-ES"/>
        </w:rPr>
      </w:pPr>
      <w:r w:rsidRPr="00B06D23">
        <w:rPr>
          <w:lang w:val="es-ES"/>
        </w:rPr>
        <w:t>La dotación eficiente de personal</w:t>
      </w:r>
      <w:r w:rsidR="007C0809">
        <w:rPr>
          <w:lang w:val="es-ES"/>
        </w:rPr>
        <w:t>.</w:t>
      </w:r>
    </w:p>
    <w:p w14:paraId="7649E2AF" w14:textId="4EA11854" w:rsidR="0079428C" w:rsidRPr="00B06D23" w:rsidRDefault="0079428C" w:rsidP="00273FE4">
      <w:pPr>
        <w:pStyle w:val="Prrafodelista"/>
        <w:numPr>
          <w:ilvl w:val="0"/>
          <w:numId w:val="50"/>
        </w:numPr>
        <w:ind w:left="567" w:hanging="567"/>
        <w:rPr>
          <w:lang w:val="es-ES"/>
        </w:rPr>
      </w:pPr>
      <w:r w:rsidRPr="00B06D23">
        <w:rPr>
          <w:lang w:val="es-ES"/>
        </w:rPr>
        <w:t>El organigrama</w:t>
      </w:r>
      <w:r w:rsidR="007C0809">
        <w:rPr>
          <w:lang w:val="es-ES"/>
        </w:rPr>
        <w:t xml:space="preserve"> de la empresa.</w:t>
      </w:r>
    </w:p>
    <w:p w14:paraId="0B8A489E" w14:textId="28E5B2EB" w:rsidR="0079428C" w:rsidRPr="00B06D23" w:rsidRDefault="0079428C" w:rsidP="00273FE4">
      <w:pPr>
        <w:pStyle w:val="Prrafodelista"/>
        <w:numPr>
          <w:ilvl w:val="0"/>
          <w:numId w:val="50"/>
        </w:numPr>
        <w:ind w:left="567" w:hanging="567"/>
        <w:rPr>
          <w:lang w:val="es-ES"/>
        </w:rPr>
      </w:pPr>
      <w:r w:rsidRPr="00B06D23">
        <w:rPr>
          <w:lang w:val="es-ES"/>
        </w:rPr>
        <w:t xml:space="preserve">La definición de las funciones de cada gerencia, </w:t>
      </w:r>
      <w:r w:rsidR="00F86AAB" w:rsidRPr="00B06D23">
        <w:rPr>
          <w:lang w:val="es-ES"/>
        </w:rPr>
        <w:t>subgerencia, departamento</w:t>
      </w:r>
      <w:r w:rsidRPr="00B06D23">
        <w:rPr>
          <w:lang w:val="es-ES"/>
        </w:rPr>
        <w:t>, y sección de cada área de la empresa.</w:t>
      </w:r>
    </w:p>
    <w:p w14:paraId="53107E62" w14:textId="246AB8A7" w:rsidR="0079428C" w:rsidRPr="00B06D23" w:rsidRDefault="0079428C" w:rsidP="00273FE4">
      <w:pPr>
        <w:pStyle w:val="Prrafodelista"/>
        <w:numPr>
          <w:ilvl w:val="0"/>
          <w:numId w:val="50"/>
        </w:numPr>
        <w:ind w:left="567" w:hanging="567"/>
        <w:rPr>
          <w:lang w:val="es-ES"/>
        </w:rPr>
      </w:pPr>
      <w:r w:rsidRPr="00B06D23">
        <w:rPr>
          <w:lang w:val="es-ES"/>
        </w:rPr>
        <w:t xml:space="preserve">Las tareas y responsabilidades de cada uno de los cargos que conforman la </w:t>
      </w:r>
      <w:r w:rsidR="002E6FD1">
        <w:rPr>
          <w:lang w:val="es-ES"/>
        </w:rPr>
        <w:t>organización de la empresa</w:t>
      </w:r>
      <w:r w:rsidRPr="00B06D23">
        <w:rPr>
          <w:lang w:val="es-ES"/>
        </w:rPr>
        <w:t>.</w:t>
      </w:r>
    </w:p>
    <w:p w14:paraId="3ACD5D27" w14:textId="77777777" w:rsidR="0079428C" w:rsidRPr="00B06D23" w:rsidRDefault="0079428C" w:rsidP="00273FE4">
      <w:pPr>
        <w:pStyle w:val="Prrafodelista"/>
        <w:numPr>
          <w:ilvl w:val="0"/>
          <w:numId w:val="50"/>
        </w:numPr>
        <w:ind w:left="567" w:hanging="567"/>
        <w:rPr>
          <w:lang w:val="es-ES"/>
        </w:rPr>
      </w:pPr>
      <w:r w:rsidRPr="00B06D23">
        <w:rPr>
          <w:lang w:val="es-ES"/>
        </w:rPr>
        <w:t>Análisis de tercerización de actividades.</w:t>
      </w:r>
    </w:p>
    <w:p w14:paraId="737B7C0E" w14:textId="152F2BE1" w:rsidR="0079428C" w:rsidRPr="00B06D23" w:rsidRDefault="0079428C" w:rsidP="00273FE4">
      <w:pPr>
        <w:pStyle w:val="Prrafodelista"/>
        <w:numPr>
          <w:ilvl w:val="0"/>
          <w:numId w:val="50"/>
        </w:numPr>
        <w:ind w:left="567" w:hanging="567"/>
        <w:rPr>
          <w:lang w:val="es-ES"/>
        </w:rPr>
      </w:pPr>
      <w:r w:rsidRPr="00B06D23">
        <w:rPr>
          <w:lang w:val="es-ES"/>
        </w:rPr>
        <w:t>Descripción de las tareas desarrolladas por el personal propio</w:t>
      </w:r>
      <w:r w:rsidR="007C0809">
        <w:rPr>
          <w:lang w:val="es-ES"/>
        </w:rPr>
        <w:t>.</w:t>
      </w:r>
    </w:p>
    <w:p w14:paraId="63530B96" w14:textId="4DB316A7" w:rsidR="0079428C" w:rsidRPr="00B06D23" w:rsidRDefault="0079428C" w:rsidP="00273FE4">
      <w:pPr>
        <w:pStyle w:val="Prrafodelista"/>
        <w:numPr>
          <w:ilvl w:val="0"/>
          <w:numId w:val="50"/>
        </w:numPr>
        <w:ind w:left="567" w:hanging="567"/>
        <w:rPr>
          <w:lang w:val="es-ES"/>
        </w:rPr>
      </w:pPr>
      <w:r w:rsidRPr="00B06D23">
        <w:rPr>
          <w:lang w:val="es-ES"/>
        </w:rPr>
        <w:t>Descripción de las tareas desarrolladas por el personal contratista</w:t>
      </w:r>
      <w:r w:rsidR="007C0809">
        <w:rPr>
          <w:lang w:val="es-ES"/>
        </w:rPr>
        <w:t>.</w:t>
      </w:r>
    </w:p>
    <w:p w14:paraId="03F065EB" w14:textId="77777777" w:rsidR="0079428C" w:rsidRPr="00B06D23" w:rsidRDefault="0079428C" w:rsidP="00273FE4">
      <w:pPr>
        <w:pStyle w:val="Prrafodelista"/>
        <w:numPr>
          <w:ilvl w:val="0"/>
          <w:numId w:val="50"/>
        </w:numPr>
        <w:ind w:left="567" w:hanging="567"/>
        <w:rPr>
          <w:lang w:val="es-ES"/>
        </w:rPr>
      </w:pPr>
      <w:r w:rsidRPr="00B06D23">
        <w:rPr>
          <w:lang w:val="es-ES"/>
        </w:rPr>
        <w:t>El desglose de las tareas anuales, y dedicación de tiempo.</w:t>
      </w:r>
    </w:p>
    <w:p w14:paraId="3882957B" w14:textId="5D786855" w:rsidR="0079428C" w:rsidRPr="00B06D23" w:rsidRDefault="0079428C" w:rsidP="0079428C">
      <w:pPr>
        <w:rPr>
          <w:lang w:val="es-ES"/>
        </w:rPr>
      </w:pPr>
      <w:r w:rsidRPr="00B06D23">
        <w:rPr>
          <w:lang w:val="es-ES"/>
        </w:rPr>
        <w:t xml:space="preserve">La organización y cantidad del personal de plantilla es </w:t>
      </w:r>
      <w:r w:rsidR="007C0809">
        <w:rPr>
          <w:lang w:val="es-ES"/>
        </w:rPr>
        <w:t>elaborada</w:t>
      </w:r>
      <w:r w:rsidRPr="00B06D23">
        <w:rPr>
          <w:lang w:val="es-ES"/>
        </w:rPr>
        <w:t xml:space="preserve"> teniendo en cuenta la escala de la empresa de transmisión nacional, la cantidad de cuadrillas, el despliegue territorial y la experiencia en diseño de organizaciones de empresas de transmisión del sector eléctrico chileno y otras empresas de la región.</w:t>
      </w:r>
    </w:p>
    <w:p w14:paraId="04AD5080" w14:textId="305B9E70" w:rsidR="0079428C" w:rsidRPr="00B06D23" w:rsidRDefault="0079428C" w:rsidP="0079428C">
      <w:pPr>
        <w:rPr>
          <w:lang w:val="es-ES"/>
        </w:rPr>
      </w:pPr>
      <w:r w:rsidRPr="00B06D23">
        <w:rPr>
          <w:lang w:val="es-ES"/>
        </w:rPr>
        <w:t xml:space="preserve">Para el dimensionamiento de la organización se </w:t>
      </w:r>
      <w:r w:rsidR="00BA2EDF" w:rsidRPr="007C0809">
        <w:rPr>
          <w:lang w:val="es-ES"/>
        </w:rPr>
        <w:t>consideraron</w:t>
      </w:r>
      <w:r w:rsidRPr="00B06D23">
        <w:rPr>
          <w:lang w:val="es-ES"/>
        </w:rPr>
        <w:t xml:space="preserve"> zonas para la administración de las tareas operativas. </w:t>
      </w:r>
    </w:p>
    <w:p w14:paraId="02002D9B" w14:textId="5E9E9B74" w:rsidR="0079428C" w:rsidRPr="00B06D23" w:rsidRDefault="009D12B8" w:rsidP="0079428C">
      <w:pPr>
        <w:rPr>
          <w:lang w:val="es-ES"/>
        </w:rPr>
      </w:pPr>
      <w:r w:rsidRPr="005A1E5C">
        <w:rPr>
          <w:lang w:val="es-ES"/>
        </w:rPr>
        <w:t>Dichas zonas se definieron en función de la cobertura geográfica de subestaciones y líneas de transmisión.</w:t>
      </w:r>
      <w:r w:rsidRPr="00B06D23">
        <w:rPr>
          <w:lang w:val="es-ES"/>
        </w:rPr>
        <w:t xml:space="preserve"> </w:t>
      </w:r>
      <w:r w:rsidR="0079428C" w:rsidRPr="00B06D23">
        <w:rPr>
          <w:lang w:val="es-ES"/>
        </w:rPr>
        <w:t>En cada zona se consideraron las Sedes Técnicas desde donde parte el contratista con sus cuadrillas de terreno para las intervenciones de mantenimiento preventivo y a demanda requerido por las instalaciones.</w:t>
      </w:r>
    </w:p>
    <w:p w14:paraId="5BE2577E" w14:textId="0D83D122" w:rsidR="0079428C" w:rsidRPr="00B06D23" w:rsidRDefault="0079428C" w:rsidP="0079428C">
      <w:pPr>
        <w:rPr>
          <w:lang w:val="es-ES"/>
        </w:rPr>
      </w:pPr>
      <w:r w:rsidRPr="00B06D23">
        <w:rPr>
          <w:lang w:val="es-ES"/>
        </w:rPr>
        <w:t xml:space="preserve">Por otra </w:t>
      </w:r>
      <w:r w:rsidR="00F86AAB" w:rsidRPr="00B06D23">
        <w:rPr>
          <w:lang w:val="es-ES"/>
        </w:rPr>
        <w:t>parte,</w:t>
      </w:r>
      <w:r w:rsidRPr="00B06D23">
        <w:rPr>
          <w:lang w:val="es-ES"/>
        </w:rPr>
        <w:t xml:space="preserve"> se dimensionaron las oficinas regionales y sus sedes operativas donde se asienta el personal operativo de cada unidad regional cuya función es la supervisión y control de las cuadrillas de terreno.</w:t>
      </w:r>
    </w:p>
    <w:p w14:paraId="154361DB" w14:textId="77777777" w:rsidR="0079428C" w:rsidRPr="00B06D23" w:rsidRDefault="0079428C" w:rsidP="0079428C">
      <w:pPr>
        <w:rPr>
          <w:lang w:val="es-ES"/>
        </w:rPr>
      </w:pPr>
      <w:r w:rsidRPr="00B06D23">
        <w:rPr>
          <w:lang w:val="es-ES"/>
        </w:rPr>
        <w:t xml:space="preserve">La estructura organizacional adoptada para el área de explotación es la de Especialidad Centralizada y Ejecución Descentralizada. En ella se mantienen la centralización de la especialización, con su beneficio de unidad de mando en toda el área de operaciones, con una ejecución descentralizada de la misma. </w:t>
      </w:r>
    </w:p>
    <w:p w14:paraId="550DDA4F" w14:textId="2BD2F743" w:rsidR="0079428C" w:rsidRPr="00B06D23" w:rsidRDefault="0079428C" w:rsidP="0079428C">
      <w:pPr>
        <w:rPr>
          <w:lang w:val="es-ES"/>
        </w:rPr>
      </w:pPr>
      <w:r w:rsidRPr="00B06D23">
        <w:rPr>
          <w:lang w:val="es-ES"/>
        </w:rPr>
        <w:lastRenderedPageBreak/>
        <w:t>La ejecución descentralizada se justifica debido a la dispersión de los activos que implica grandes distancias de traslado</w:t>
      </w:r>
      <w:r w:rsidR="00DC354F">
        <w:rPr>
          <w:lang w:val="es-ES"/>
        </w:rPr>
        <w:t>,</w:t>
      </w:r>
      <w:r w:rsidRPr="00B06D23">
        <w:rPr>
          <w:lang w:val="es-ES"/>
        </w:rPr>
        <w:t xml:space="preserve"> por lo que se requiere</w:t>
      </w:r>
      <w:r w:rsidR="00F86AAB">
        <w:rPr>
          <w:lang w:val="es-ES"/>
        </w:rPr>
        <w:t xml:space="preserve"> regionalizar las funciones de </w:t>
      </w:r>
      <w:r w:rsidRPr="00B06D23">
        <w:rPr>
          <w:lang w:val="es-ES"/>
        </w:rPr>
        <w:t>OyM para mantener los tiempos de respuesta acordes con los requerimientos de calidad de servicio que la empresa debe cumplir considerando la ubicación de los activos instalados</w:t>
      </w:r>
      <w:r w:rsidR="00DC354F">
        <w:rPr>
          <w:lang w:val="es-ES"/>
        </w:rPr>
        <w:t>.</w:t>
      </w:r>
    </w:p>
    <w:p w14:paraId="0F7CFB0B" w14:textId="7AE61BF6" w:rsidR="0079428C" w:rsidRPr="00B06D23" w:rsidRDefault="0079428C" w:rsidP="0079428C">
      <w:pPr>
        <w:rPr>
          <w:lang w:val="es-ES"/>
        </w:rPr>
      </w:pPr>
      <w:r w:rsidRPr="00B06D23">
        <w:rPr>
          <w:lang w:val="es-ES"/>
        </w:rPr>
        <w:t>La descentralización se logra mediante la cr</w:t>
      </w:r>
      <w:r w:rsidR="003C5C69">
        <w:rPr>
          <w:lang w:val="es-ES"/>
        </w:rPr>
        <w:t>e</w:t>
      </w:r>
      <w:r w:rsidRPr="00B06D23">
        <w:rPr>
          <w:lang w:val="es-ES"/>
        </w:rPr>
        <w:t xml:space="preserve">ación de 4 unidades territoriales regionales (Norte, Centro, Centro Sur y </w:t>
      </w:r>
      <w:r w:rsidR="00F86AAB" w:rsidRPr="00B06D23">
        <w:rPr>
          <w:lang w:val="es-ES"/>
        </w:rPr>
        <w:t>Sur) con</w:t>
      </w:r>
      <w:r w:rsidRPr="00B06D23">
        <w:rPr>
          <w:lang w:val="es-ES"/>
        </w:rPr>
        <w:t xml:space="preserve"> funciones de operación, mantenimiento, y administración que dan cobertura geográfica para la atención de las instalaciones del sistema </w:t>
      </w:r>
      <w:r w:rsidR="002D03BC">
        <w:rPr>
          <w:lang w:val="es-ES"/>
        </w:rPr>
        <w:t>eléctrico nacional</w:t>
      </w:r>
      <w:r w:rsidRPr="00B06D23">
        <w:rPr>
          <w:lang w:val="es-ES"/>
        </w:rPr>
        <w:t>.</w:t>
      </w:r>
    </w:p>
    <w:p w14:paraId="48B78F84" w14:textId="7083A0F1" w:rsidR="0079428C" w:rsidRPr="00B06D23" w:rsidRDefault="009D12B8" w:rsidP="0079428C">
      <w:pPr>
        <w:rPr>
          <w:lang w:val="es-ES"/>
        </w:rPr>
      </w:pPr>
      <w:r w:rsidRPr="005A1E5C">
        <w:rPr>
          <w:lang w:val="es-ES"/>
        </w:rPr>
        <w:t xml:space="preserve">En el </w:t>
      </w:r>
      <w:r w:rsidR="00AD24BF">
        <w:rPr>
          <w:lang w:val="es-ES"/>
        </w:rPr>
        <w:t>“</w:t>
      </w:r>
      <w:r w:rsidRPr="005A1E5C">
        <w:rPr>
          <w:lang w:val="es-ES"/>
        </w:rPr>
        <w:t xml:space="preserve">Anexo </w:t>
      </w:r>
      <w:r w:rsidR="00AD24BF">
        <w:rPr>
          <w:lang w:val="es-ES"/>
        </w:rPr>
        <w:t>COMA</w:t>
      </w:r>
      <w:r w:rsidRPr="005A1E5C">
        <w:rPr>
          <w:lang w:val="es-ES"/>
        </w:rPr>
        <w:t>_1_</w:t>
      </w:r>
      <w:r w:rsidR="002E6FD1">
        <w:rPr>
          <w:lang w:val="es-ES"/>
        </w:rPr>
        <w:t>Organización de la Empresa</w:t>
      </w:r>
      <w:r w:rsidR="00AD24BF">
        <w:rPr>
          <w:lang w:val="es-ES"/>
        </w:rPr>
        <w:t>”</w:t>
      </w:r>
      <w:r w:rsidR="0079428C" w:rsidRPr="00B06D23">
        <w:rPr>
          <w:lang w:val="es-ES"/>
        </w:rPr>
        <w:t xml:space="preserve"> se presenta el desarrollo del diseño organizacional de la </w:t>
      </w:r>
      <w:r w:rsidR="001A6E11">
        <w:rPr>
          <w:lang w:val="es-ES"/>
        </w:rPr>
        <w:t>EM</w:t>
      </w:r>
      <w:r w:rsidR="0079428C" w:rsidRPr="00B06D23">
        <w:rPr>
          <w:lang w:val="es-ES"/>
        </w:rPr>
        <w:t xml:space="preserve"> para atender las instalaciones y las áreas de apoyo.</w:t>
      </w:r>
    </w:p>
    <w:p w14:paraId="19901744" w14:textId="1C36B6E7" w:rsidR="00FF4022" w:rsidRDefault="0079428C" w:rsidP="00106534">
      <w:pPr>
        <w:rPr>
          <w:lang w:val="es-ES"/>
        </w:rPr>
      </w:pPr>
      <w:r w:rsidRPr="00B06D23">
        <w:rPr>
          <w:lang w:val="es-ES"/>
        </w:rPr>
        <w:t>En el Anexo citado se presenta el desarrollo detallado de</w:t>
      </w:r>
      <w:r w:rsidR="002E6FD1">
        <w:rPr>
          <w:lang w:val="es-ES"/>
        </w:rPr>
        <w:t xml:space="preserve"> la</w:t>
      </w:r>
      <w:r w:rsidRPr="00B06D23">
        <w:rPr>
          <w:lang w:val="es-ES"/>
        </w:rPr>
        <w:t xml:space="preserve"> </w:t>
      </w:r>
      <w:r w:rsidR="002E6FD1">
        <w:rPr>
          <w:lang w:val="es-ES"/>
        </w:rPr>
        <w:t>organización de la empresa</w:t>
      </w:r>
      <w:r w:rsidRPr="00B06D23">
        <w:rPr>
          <w:lang w:val="es-ES"/>
        </w:rPr>
        <w:t>, la cantidad de puestos, función y responsabilidades de cada uno para cada una de las áreas de la EM.</w:t>
      </w:r>
      <w:r w:rsidR="00106534">
        <w:rPr>
          <w:lang w:val="es-ES"/>
        </w:rPr>
        <w:t xml:space="preserve"> </w:t>
      </w:r>
      <w:r w:rsidR="00106534" w:rsidRPr="001D3BB9">
        <w:rPr>
          <w:lang w:val="es-ES"/>
        </w:rPr>
        <w:t xml:space="preserve">Adicionalmente, se presenta en este anexo </w:t>
      </w:r>
      <w:bookmarkStart w:id="194" w:name="_Toc389807373"/>
      <w:bookmarkStart w:id="195" w:name="_Toc391381234"/>
      <w:bookmarkStart w:id="196" w:name="_Toc392764065"/>
      <w:bookmarkStart w:id="197" w:name="_Toc393791192"/>
      <w:bookmarkStart w:id="198" w:name="_Toc396735425"/>
      <w:bookmarkStart w:id="199" w:name="_Toc397926159"/>
      <w:bookmarkStart w:id="200" w:name="_Toc404945293"/>
      <w:bookmarkStart w:id="201" w:name="_Toc32389955"/>
      <w:bookmarkStart w:id="202" w:name="_Toc34398097"/>
      <w:r w:rsidR="00FF4022" w:rsidRPr="001D3BB9">
        <w:rPr>
          <w:lang w:val="es-ES"/>
        </w:rPr>
        <w:t>un Apéndice donde se detalla la dedicación de tiempo de los cargos en consistencia con la caracterización por nivel jerárquico de cargos definida en las bases técnicas.</w:t>
      </w:r>
    </w:p>
    <w:p w14:paraId="399D1D18" w14:textId="56AEE37B" w:rsidR="00A613B6" w:rsidRPr="00B06D23" w:rsidRDefault="00A613B6" w:rsidP="00A613B6">
      <w:pPr>
        <w:rPr>
          <w:lang w:val="es-ES"/>
        </w:rPr>
      </w:pPr>
      <w:r w:rsidRPr="00DC354F">
        <w:rPr>
          <w:lang w:val="es-ES"/>
        </w:rPr>
        <w:t xml:space="preserve">El dimensionamiento </w:t>
      </w:r>
      <w:r w:rsidR="00700743" w:rsidRPr="00DC354F">
        <w:rPr>
          <w:lang w:val="es-ES"/>
        </w:rPr>
        <w:t xml:space="preserve">conceptual </w:t>
      </w:r>
      <w:r w:rsidRPr="00DC354F">
        <w:rPr>
          <w:lang w:val="es-ES"/>
        </w:rPr>
        <w:t>de la estructura or</w:t>
      </w:r>
      <w:r w:rsidR="00DC354F" w:rsidRPr="00DC354F">
        <w:rPr>
          <w:lang w:val="es-ES"/>
        </w:rPr>
        <w:t xml:space="preserve">ganizacional </w:t>
      </w:r>
      <w:r w:rsidR="00F86AAB" w:rsidRPr="00DC354F">
        <w:rPr>
          <w:lang w:val="es-ES"/>
        </w:rPr>
        <w:t>fue</w:t>
      </w:r>
      <w:r w:rsidR="00DC354F" w:rsidRPr="00DC354F">
        <w:rPr>
          <w:lang w:val="es-ES"/>
        </w:rPr>
        <w:t xml:space="preserve"> contrastado</w:t>
      </w:r>
      <w:r w:rsidRPr="00DC354F">
        <w:rPr>
          <w:lang w:val="es-ES"/>
        </w:rPr>
        <w:t xml:space="preserve"> con la estructura presentada y aprobada en el estudio del año 2013 (Estudio de Transmisión Tronca</w:t>
      </w:r>
      <w:r w:rsidR="00700743" w:rsidRPr="00DC354F">
        <w:rPr>
          <w:lang w:val="es-ES"/>
        </w:rPr>
        <w:t>l para el Cuadrienio 2016-2019)</w:t>
      </w:r>
      <w:r w:rsidR="00DC354F" w:rsidRPr="00DC354F">
        <w:rPr>
          <w:lang w:val="es-ES"/>
        </w:rPr>
        <w:t xml:space="preserve">, </w:t>
      </w:r>
      <w:r w:rsidR="00700743" w:rsidRPr="00DC354F">
        <w:rPr>
          <w:lang w:val="es-ES"/>
        </w:rPr>
        <w:t xml:space="preserve">considerando </w:t>
      </w:r>
      <w:r w:rsidR="00F86AAB" w:rsidRPr="00DC354F">
        <w:rPr>
          <w:lang w:val="es-ES"/>
        </w:rPr>
        <w:t>las diferencias</w:t>
      </w:r>
      <w:r w:rsidR="00700743" w:rsidRPr="00DC354F">
        <w:rPr>
          <w:lang w:val="es-ES"/>
        </w:rPr>
        <w:t xml:space="preserve"> de instalaciones y metodológicas entre ambos estudios.</w:t>
      </w:r>
    </w:p>
    <w:p w14:paraId="0221E107" w14:textId="77777777" w:rsidR="0079428C" w:rsidRPr="005A6F95" w:rsidRDefault="0079428C" w:rsidP="005A6F95">
      <w:pPr>
        <w:pStyle w:val="Ttulo3"/>
      </w:pPr>
      <w:bookmarkStart w:id="203" w:name="_Toc39797788"/>
      <w:r w:rsidRPr="005A6F95">
        <w:t>Diseño y dimensionamiento de las actividades de operación y mantenimiento en terreno</w:t>
      </w:r>
      <w:bookmarkEnd w:id="194"/>
      <w:bookmarkEnd w:id="195"/>
      <w:bookmarkEnd w:id="196"/>
      <w:bookmarkEnd w:id="197"/>
      <w:bookmarkEnd w:id="198"/>
      <w:bookmarkEnd w:id="199"/>
      <w:bookmarkEnd w:id="200"/>
      <w:bookmarkEnd w:id="201"/>
      <w:bookmarkEnd w:id="202"/>
      <w:bookmarkEnd w:id="203"/>
    </w:p>
    <w:p w14:paraId="68C27D2B" w14:textId="3F13394C" w:rsidR="0079428C" w:rsidRPr="00B06D23" w:rsidRDefault="0079428C" w:rsidP="0079428C">
      <w:pPr>
        <w:rPr>
          <w:lang w:val="es-ES"/>
        </w:rPr>
      </w:pPr>
      <w:bookmarkStart w:id="204" w:name="_Toc149716337"/>
      <w:r w:rsidRPr="00B06D23">
        <w:rPr>
          <w:lang w:val="es-ES"/>
        </w:rPr>
        <w:t xml:space="preserve">Los principales </w:t>
      </w:r>
      <w:r w:rsidR="00F86AAB" w:rsidRPr="00BB0639">
        <w:rPr>
          <w:lang w:val="es-ES"/>
        </w:rPr>
        <w:t>procesos y</w:t>
      </w:r>
      <w:r w:rsidRPr="00BB0639">
        <w:rPr>
          <w:lang w:val="es-ES"/>
        </w:rPr>
        <w:t xml:space="preserve"> </w:t>
      </w:r>
      <w:r w:rsidR="00BA2EDF" w:rsidRPr="00BB0639">
        <w:rPr>
          <w:lang w:val="es-ES"/>
        </w:rPr>
        <w:t>subprocesos</w:t>
      </w:r>
      <w:r w:rsidRPr="00BB0639">
        <w:rPr>
          <w:lang w:val="es-ES"/>
        </w:rPr>
        <w:t xml:space="preserve"> de terreno son los de</w:t>
      </w:r>
      <w:bookmarkEnd w:id="204"/>
      <w:r w:rsidRPr="00BB0639">
        <w:rPr>
          <w:lang w:val="es-ES"/>
        </w:rPr>
        <w:t xml:space="preserve"> explotación que se realizan sobre los activos y que son necesarios para cumplir con los estándares de calidad de servicio definidos en la norma técnica y que fueron especificados en el </w:t>
      </w:r>
      <w:r w:rsidR="00BA2EDF" w:rsidRPr="00BB0639">
        <w:rPr>
          <w:lang w:val="es-ES"/>
        </w:rPr>
        <w:t>capítulo</w:t>
      </w:r>
      <w:r w:rsidRPr="00BB0639">
        <w:rPr>
          <w:lang w:val="es-ES"/>
        </w:rPr>
        <w:t xml:space="preserve"> anterior.</w:t>
      </w:r>
    </w:p>
    <w:p w14:paraId="0848BA3C" w14:textId="77777777" w:rsidR="0079428C" w:rsidRPr="00C543D6" w:rsidRDefault="0079428C" w:rsidP="0079428C">
      <w:pPr>
        <w:rPr>
          <w:lang w:val="es-ES"/>
        </w:rPr>
      </w:pPr>
      <w:r w:rsidRPr="00C543D6">
        <w:rPr>
          <w:lang w:val="es-ES"/>
        </w:rPr>
        <w:t>Para calcular los recursos se requieren identificar las tareas que comprenden estos subprocesos para cada UC (unidad constructiva).</w:t>
      </w:r>
    </w:p>
    <w:p w14:paraId="7BABEBC5" w14:textId="3B047323" w:rsidR="002630FE" w:rsidRPr="00C543D6" w:rsidRDefault="002630FE" w:rsidP="002630FE">
      <w:r w:rsidRPr="00C543D6">
        <w:t xml:space="preserve">La UC se define como </w:t>
      </w:r>
      <w:r w:rsidR="00335606" w:rsidRPr="00C543D6">
        <w:t>un</w:t>
      </w:r>
      <w:r w:rsidRPr="00C543D6">
        <w:t xml:space="preserve"> conjunto de </w:t>
      </w:r>
      <w:r w:rsidR="00335606" w:rsidRPr="00C543D6">
        <w:t>componentes</w:t>
      </w:r>
      <w:r w:rsidRPr="00C543D6">
        <w:t xml:space="preserve"> dispuestos de una forma preestablecida </w:t>
      </w:r>
      <w:r w:rsidR="00335606" w:rsidRPr="00C543D6">
        <w:t xml:space="preserve">y que representan una unidad funcional específica y que son atendidas en simultáneo desde el punto de vista de </w:t>
      </w:r>
      <w:r w:rsidRPr="00C543D6">
        <w:t>la operación y mantenimiento.</w:t>
      </w:r>
    </w:p>
    <w:p w14:paraId="728AA075" w14:textId="613B0835" w:rsidR="002630FE" w:rsidRPr="00C543D6" w:rsidRDefault="002630FE" w:rsidP="002630FE">
      <w:pPr>
        <w:rPr>
          <w:lang w:val="es-ES"/>
        </w:rPr>
      </w:pPr>
      <w:r w:rsidRPr="00C543D6">
        <w:rPr>
          <w:lang w:val="es-ES"/>
        </w:rPr>
        <w:t xml:space="preserve">Las principales UC son: líneas, paños, transformadores de </w:t>
      </w:r>
      <w:r w:rsidR="00F86AAB" w:rsidRPr="00C543D6">
        <w:rPr>
          <w:lang w:val="es-ES"/>
        </w:rPr>
        <w:t>potencia, equipos</w:t>
      </w:r>
      <w:r w:rsidRPr="00C543D6">
        <w:rPr>
          <w:lang w:val="es-ES"/>
        </w:rPr>
        <w:t xml:space="preserve"> de compensación (reactores, capacitores, CER, STATCOM), infraestructura de comunicación, etc.</w:t>
      </w:r>
    </w:p>
    <w:p w14:paraId="207EA682" w14:textId="791AADBD" w:rsidR="002630FE" w:rsidRPr="00C543D6" w:rsidRDefault="002630FE" w:rsidP="002630FE">
      <w:pPr>
        <w:rPr>
          <w:lang w:val="es-ES"/>
        </w:rPr>
      </w:pPr>
      <w:r w:rsidRPr="00C543D6">
        <w:rPr>
          <w:lang w:val="es-ES"/>
        </w:rPr>
        <w:lastRenderedPageBreak/>
        <w:t>A los efectos de identificar las tareas de cada UC se definen sus componentes, que son las unidades funcionales objeto de mantenimiento.</w:t>
      </w:r>
      <w:r w:rsidR="00BA0C46" w:rsidRPr="00C543D6">
        <w:rPr>
          <w:lang w:val="es-ES"/>
        </w:rPr>
        <w:t xml:space="preserve"> </w:t>
      </w:r>
      <w:r w:rsidRPr="00C543D6">
        <w:rPr>
          <w:lang w:val="es-ES"/>
        </w:rPr>
        <w:t xml:space="preserve">Por ejemplo, los componentes de la UC denominada paño son los interruptores, desconectadores, transformadores de corriente, protecciones, etc. </w:t>
      </w:r>
    </w:p>
    <w:p w14:paraId="35C691E8" w14:textId="63FB3A66" w:rsidR="002630FE" w:rsidRPr="00B06D23" w:rsidRDefault="002630FE" w:rsidP="002630FE">
      <w:pPr>
        <w:rPr>
          <w:lang w:val="es-ES"/>
        </w:rPr>
      </w:pPr>
      <w:r w:rsidRPr="00C543D6">
        <w:rPr>
          <w:lang w:val="es-ES"/>
        </w:rPr>
        <w:t>En el caso de la UC denominada línea aérea de transmisión</w:t>
      </w:r>
      <w:r w:rsidR="00655C27" w:rsidRPr="00C543D6">
        <w:rPr>
          <w:lang w:val="es-ES"/>
        </w:rPr>
        <w:t>,</w:t>
      </w:r>
      <w:r w:rsidRPr="00C543D6">
        <w:rPr>
          <w:lang w:val="es-ES"/>
        </w:rPr>
        <w:t xml:space="preserve"> está conformada por l</w:t>
      </w:r>
      <w:r w:rsidR="00655C27" w:rsidRPr="00C543D6">
        <w:rPr>
          <w:lang w:val="es-ES"/>
        </w:rPr>
        <w:t>o</w:t>
      </w:r>
      <w:r w:rsidRPr="00C543D6">
        <w:rPr>
          <w:lang w:val="es-ES"/>
        </w:rPr>
        <w:t>s siguientes componentes: conductores, aisladores de retención, aisladores de suspensión, estructuras, grapas y herrajes, etc</w:t>
      </w:r>
      <w:r w:rsidR="00655C27" w:rsidRPr="00C543D6">
        <w:rPr>
          <w:lang w:val="es-ES"/>
        </w:rPr>
        <w:t>.,</w:t>
      </w:r>
      <w:r w:rsidRPr="00C543D6">
        <w:rPr>
          <w:lang w:val="es-ES"/>
        </w:rPr>
        <w:t xml:space="preserve"> y para cada una de estas unidades se definen las tareas que integran los subprocesos mencionados.</w:t>
      </w:r>
    </w:p>
    <w:p w14:paraId="70F012B1" w14:textId="77777777" w:rsidR="0079428C" w:rsidRPr="00B06D23" w:rsidRDefault="0079428C" w:rsidP="0079428C">
      <w:pPr>
        <w:rPr>
          <w:lang w:val="es-ES"/>
        </w:rPr>
      </w:pPr>
      <w:r w:rsidRPr="00B06D23">
        <w:rPr>
          <w:lang w:val="es-ES"/>
        </w:rPr>
        <w:t>La definición de las tareas de cada componente funcional depende de sus:</w:t>
      </w:r>
    </w:p>
    <w:p w14:paraId="450A1453" w14:textId="77777777" w:rsidR="0079428C" w:rsidRPr="005A6F95" w:rsidRDefault="0079428C" w:rsidP="00273FE4">
      <w:pPr>
        <w:pStyle w:val="Listanumerada"/>
        <w:numPr>
          <w:ilvl w:val="0"/>
          <w:numId w:val="18"/>
        </w:numPr>
        <w:spacing w:after="200"/>
        <w:ind w:left="567" w:hanging="567"/>
        <w:rPr>
          <w:lang w:val="es-ES"/>
        </w:rPr>
      </w:pPr>
      <w:r w:rsidRPr="005A6F95">
        <w:rPr>
          <w:lang w:val="es-ES"/>
        </w:rPr>
        <w:t xml:space="preserve">Factores de dimensionamiento: tales como capacidad nominal, nivel de tensión, etc. </w:t>
      </w:r>
    </w:p>
    <w:p w14:paraId="2EBA9017" w14:textId="77777777" w:rsidR="0079428C" w:rsidRPr="005A6F95" w:rsidRDefault="0079428C" w:rsidP="00273FE4">
      <w:pPr>
        <w:pStyle w:val="Listanumerada"/>
        <w:numPr>
          <w:ilvl w:val="0"/>
          <w:numId w:val="18"/>
        </w:numPr>
        <w:spacing w:after="200"/>
        <w:ind w:left="567" w:hanging="567"/>
        <w:rPr>
          <w:lang w:val="es-ES"/>
        </w:rPr>
      </w:pPr>
      <w:r w:rsidRPr="005A6F95">
        <w:rPr>
          <w:lang w:val="es-ES"/>
        </w:rPr>
        <w:t>Factores técnicos: como el tipo constructivo, y las acciones tales como envejecimiento, corrosión, fatiga de materiales, etc.</w:t>
      </w:r>
    </w:p>
    <w:p w14:paraId="46369753" w14:textId="77777777" w:rsidR="0079428C" w:rsidRPr="005A6F95" w:rsidRDefault="0079428C" w:rsidP="00273FE4">
      <w:pPr>
        <w:pStyle w:val="Listanumerada"/>
        <w:numPr>
          <w:ilvl w:val="0"/>
          <w:numId w:val="18"/>
        </w:numPr>
        <w:spacing w:after="200"/>
        <w:ind w:left="567" w:hanging="567"/>
        <w:rPr>
          <w:lang w:val="es-ES"/>
        </w:rPr>
      </w:pPr>
      <w:r w:rsidRPr="005A6F95">
        <w:rPr>
          <w:lang w:val="es-ES"/>
        </w:rPr>
        <w:t xml:space="preserve">Factores del contexto operacional: nivel descargas atmosféricas, vegetación, acción de pájaros, contaminación salina, industrial, etc. </w:t>
      </w:r>
    </w:p>
    <w:p w14:paraId="3758243E" w14:textId="6C205FDB" w:rsidR="0079428C" w:rsidRPr="00B06D23" w:rsidRDefault="002327DF" w:rsidP="0079428C">
      <w:pPr>
        <w:rPr>
          <w:lang w:val="es-ES"/>
        </w:rPr>
      </w:pPr>
      <w:r w:rsidRPr="005A1E5C">
        <w:rPr>
          <w:lang w:val="es-ES"/>
        </w:rPr>
        <w:t>Los factores técnicos fueron tenidos en cuenta en la definición de las tareas y frecuencias de mantenimiento,</w:t>
      </w:r>
      <w:r>
        <w:rPr>
          <w:lang w:val="es-ES"/>
        </w:rPr>
        <w:t xml:space="preserve"> y</w:t>
      </w:r>
      <w:r w:rsidR="0079428C" w:rsidRPr="00B06D23">
        <w:rPr>
          <w:lang w:val="es-ES"/>
        </w:rPr>
        <w:t xml:space="preserve"> según el tipo de UC, su tecnología y considerando antecedentes regulatorios en la materia. Por ejemplo, para el mantenimiento de interruptores se consideró si es pequeño volumen de aceite o SF6 u otra tecnología y se determinaron las tareas, frecuencias y costos asociados a cada tipo constructivo.</w:t>
      </w:r>
    </w:p>
    <w:p w14:paraId="4B73373D" w14:textId="234E45A5" w:rsidR="0079428C" w:rsidRPr="00B06D23" w:rsidRDefault="0079428C" w:rsidP="0079428C">
      <w:pPr>
        <w:rPr>
          <w:lang w:val="es-ES"/>
        </w:rPr>
      </w:pPr>
      <w:r w:rsidRPr="00B06D23">
        <w:rPr>
          <w:lang w:val="es-ES"/>
        </w:rPr>
        <w:t xml:space="preserve">Los factores del contexto operacional (variables ambientales o de terceros) con impacto en el </w:t>
      </w:r>
      <w:r w:rsidR="005A6F95">
        <w:rPr>
          <w:lang w:val="es-ES"/>
        </w:rPr>
        <w:t>C.O.M.A.</w:t>
      </w:r>
      <w:r w:rsidRPr="00B06D23">
        <w:rPr>
          <w:lang w:val="es-ES"/>
        </w:rPr>
        <w:t xml:space="preserve"> fueron considerados definiendo las tareas de mantenimiento preventivo o correctivo requeridas para evitar y/o corregir los efectos que dichas variables provocan en los activos y calculando los costos pertinentes. </w:t>
      </w:r>
    </w:p>
    <w:p w14:paraId="1E1AFB66" w14:textId="77777777" w:rsidR="0079428C" w:rsidRPr="00B06D23" w:rsidRDefault="0079428C" w:rsidP="0079428C">
      <w:pPr>
        <w:rPr>
          <w:lang w:val="es-ES"/>
        </w:rPr>
      </w:pPr>
      <w:r w:rsidRPr="00B06D23">
        <w:rPr>
          <w:lang w:val="es-ES"/>
        </w:rPr>
        <w:t>Por ejemplo, en el caso de contaminación salina se determinaron las instalaciones que por este motivo deben ser sometidas a lavado de aisladores, su frecuencia de ejecución, y se calcularon los costos pertinentes de esta actividad considerando el costo de mano de obra, materiales y equipos que su ejecución eficiente demande.</w:t>
      </w:r>
    </w:p>
    <w:p w14:paraId="0C2B4289" w14:textId="2D2DA99C" w:rsidR="0079428C" w:rsidRPr="00B06D23" w:rsidRDefault="0079428C" w:rsidP="0079428C">
      <w:pPr>
        <w:rPr>
          <w:lang w:val="es-ES"/>
        </w:rPr>
      </w:pPr>
      <w:r w:rsidRPr="00B06D23">
        <w:rPr>
          <w:lang w:val="es-ES"/>
        </w:rPr>
        <w:t>Con respecto a las restric</w:t>
      </w:r>
      <w:r w:rsidR="00655C27">
        <w:rPr>
          <w:lang w:val="es-ES"/>
        </w:rPr>
        <w:t xml:space="preserve">ciones geográficas se consideraron </w:t>
      </w:r>
      <w:r w:rsidRPr="00B06D23">
        <w:rPr>
          <w:lang w:val="es-ES"/>
        </w:rPr>
        <w:t>los tiempos de traslado para llegar a los activos (y retorno) para realizar los mantenimientos preventivos o de emergencia, considerando la ubicación de las Sedes Técnicas de donde parte el contratista, y el emplazamiento donde se deben realizar las tareas de mantenimiento. Adicionalmente se consideró el tiempo de traslado entre tareas en caso de mantenimientos programados.</w:t>
      </w:r>
    </w:p>
    <w:p w14:paraId="72A44A5F" w14:textId="77777777" w:rsidR="0079428C" w:rsidRPr="00B06D23" w:rsidRDefault="0079428C" w:rsidP="0079428C">
      <w:pPr>
        <w:rPr>
          <w:lang w:val="es-ES"/>
        </w:rPr>
      </w:pPr>
      <w:r w:rsidRPr="00B06D23">
        <w:rPr>
          <w:lang w:val="es-ES"/>
        </w:rPr>
        <w:lastRenderedPageBreak/>
        <w:t>Para calcular los recursos físicos se definieron para cada tarea el personal que integra la cuadrilla con la capacitación y herramientas adecuadas, los vehículos requeridos, los materiales y el tiempo total para ejecutar la tarea incluyendo el tiempo de traslado desde su sede técnica y el tiempo de traslado entre tareas para tareas programadas.</w:t>
      </w:r>
    </w:p>
    <w:p w14:paraId="23C61F17" w14:textId="77777777" w:rsidR="0079428C" w:rsidRPr="00B06D23" w:rsidRDefault="0079428C" w:rsidP="0079428C">
      <w:pPr>
        <w:rPr>
          <w:lang w:val="es-ES"/>
        </w:rPr>
      </w:pPr>
      <w:r w:rsidRPr="00B06D23">
        <w:rPr>
          <w:lang w:val="es-ES"/>
        </w:rPr>
        <w:t>Sobre la base de los estándares eficientes de ejecución de tareas y su frecuencia anual, se calcularon los recursos físicos (personal, materiales, herramientas y vehículos) por tarea para cada UC de la EM.</w:t>
      </w:r>
    </w:p>
    <w:p w14:paraId="02A38382" w14:textId="7ABE14B2" w:rsidR="0079428C" w:rsidRPr="00B06D23" w:rsidRDefault="0079428C" w:rsidP="0079428C">
      <w:pPr>
        <w:rPr>
          <w:lang w:val="es-ES"/>
        </w:rPr>
      </w:pPr>
      <w:bookmarkStart w:id="205" w:name="_Toc149716232"/>
      <w:r w:rsidRPr="00B06D23">
        <w:rPr>
          <w:lang w:val="es-ES"/>
        </w:rPr>
        <w:t>Luego</w:t>
      </w:r>
      <w:r w:rsidR="005A3ABE">
        <w:rPr>
          <w:lang w:val="es-ES"/>
        </w:rPr>
        <w:t>,</w:t>
      </w:r>
      <w:r w:rsidRPr="00B06D23">
        <w:rPr>
          <w:lang w:val="es-ES"/>
        </w:rPr>
        <w:t xml:space="preserve"> considerando el tipo y cantidad de las instalaciones del sistema eléctrico se realizó el dimensionamiento de los recursos requeridos para la operación y mantenimiento de las instalaciones estableciendo las actividades (cantidad y características), requerimientos de recursos humanos, instalaciones asociadas, equipamiento, mat</w:t>
      </w:r>
      <w:r w:rsidR="005A3ABE">
        <w:rPr>
          <w:lang w:val="es-ES"/>
        </w:rPr>
        <w:t>eriales y repuestos, que permite</w:t>
      </w:r>
      <w:r w:rsidRPr="00B06D23">
        <w:rPr>
          <w:lang w:val="es-ES"/>
        </w:rPr>
        <w:t>n desarrollar las labores en forma óptima y eficiente.</w:t>
      </w:r>
    </w:p>
    <w:p w14:paraId="55F8D702" w14:textId="33C70F86" w:rsidR="0079428C" w:rsidRDefault="0079428C" w:rsidP="0079428C">
      <w:pPr>
        <w:rPr>
          <w:lang w:val="es-ES"/>
        </w:rPr>
      </w:pPr>
      <w:r w:rsidRPr="00B06D23">
        <w:rPr>
          <w:lang w:val="es-ES"/>
        </w:rPr>
        <w:t>El cálculo de los recursos físicos requeridos se realiza mediante estándares eficientes de productividad y adaptados a la realidad de la empresa.</w:t>
      </w:r>
      <w:bookmarkEnd w:id="205"/>
      <w:r w:rsidRPr="00B06D23">
        <w:rPr>
          <w:lang w:val="es-ES"/>
        </w:rPr>
        <w:t xml:space="preserve"> Por ejemplo, para el cálculo de los procesos de OyM se desarrollaron los siguientes pasos:</w:t>
      </w:r>
    </w:p>
    <w:p w14:paraId="76AB5E72" w14:textId="77777777" w:rsidR="00373F06" w:rsidRPr="00B06D23" w:rsidRDefault="00373F06" w:rsidP="0079428C">
      <w:pPr>
        <w:rPr>
          <w:lang w:val="es-ES"/>
        </w:rPr>
      </w:pPr>
    </w:p>
    <w:p w14:paraId="465D5E31" w14:textId="7938C7D0" w:rsidR="0079428C" w:rsidRPr="00B06D23" w:rsidRDefault="0079428C" w:rsidP="00273FE4">
      <w:pPr>
        <w:pStyle w:val="Prrafodelista"/>
        <w:numPr>
          <w:ilvl w:val="0"/>
          <w:numId w:val="51"/>
        </w:numPr>
        <w:ind w:left="567" w:hanging="567"/>
        <w:rPr>
          <w:lang w:val="es-ES"/>
        </w:rPr>
      </w:pPr>
      <w:bookmarkStart w:id="206" w:name="_Toc149716237"/>
      <w:r w:rsidRPr="00B06D23">
        <w:rPr>
          <w:lang w:val="es-ES"/>
        </w:rPr>
        <w:t>Identificar para cada UC los principales componentes objeto de mantenimiento</w:t>
      </w:r>
      <w:r w:rsidR="005A3ABE">
        <w:rPr>
          <w:lang w:val="es-ES"/>
        </w:rPr>
        <w:t>.</w:t>
      </w:r>
    </w:p>
    <w:p w14:paraId="06F34EF4" w14:textId="4A5C8B86" w:rsidR="0079428C" w:rsidRPr="00B06D23" w:rsidRDefault="0079428C" w:rsidP="00273FE4">
      <w:pPr>
        <w:pStyle w:val="Prrafodelista"/>
        <w:numPr>
          <w:ilvl w:val="0"/>
          <w:numId w:val="51"/>
        </w:numPr>
        <w:ind w:left="567" w:hanging="567"/>
        <w:rPr>
          <w:lang w:val="es-ES"/>
        </w:rPr>
      </w:pPr>
      <w:r w:rsidRPr="00B06D23">
        <w:rPr>
          <w:lang w:val="es-ES"/>
        </w:rPr>
        <w:t>Identificar cada actividad de operación y mantenimiento para cada componente (</w:t>
      </w:r>
      <w:r w:rsidR="00F86AAB" w:rsidRPr="00B06D23">
        <w:rPr>
          <w:lang w:val="es-ES"/>
        </w:rPr>
        <w:t>Ej.</w:t>
      </w:r>
      <w:r w:rsidRPr="00B06D23">
        <w:rPr>
          <w:lang w:val="es-ES"/>
        </w:rPr>
        <w:t>: mantenimiento a demanda por fallas, correctivo programado e inspecciones)</w:t>
      </w:r>
      <w:bookmarkEnd w:id="206"/>
      <w:r w:rsidRPr="00B06D23">
        <w:rPr>
          <w:lang w:val="es-ES"/>
        </w:rPr>
        <w:t>.</w:t>
      </w:r>
    </w:p>
    <w:p w14:paraId="3F288F41" w14:textId="6890684D" w:rsidR="0079428C" w:rsidRPr="00B06D23" w:rsidRDefault="0079428C" w:rsidP="00273FE4">
      <w:pPr>
        <w:pStyle w:val="Prrafodelista"/>
        <w:numPr>
          <w:ilvl w:val="0"/>
          <w:numId w:val="51"/>
        </w:numPr>
        <w:ind w:left="567" w:hanging="567"/>
        <w:rPr>
          <w:lang w:val="es-ES"/>
        </w:rPr>
      </w:pPr>
      <w:bookmarkStart w:id="207" w:name="_Toc149716238"/>
      <w:r w:rsidRPr="00B06D23">
        <w:rPr>
          <w:lang w:val="es-ES"/>
        </w:rPr>
        <w:t xml:space="preserve">Asignar </w:t>
      </w:r>
      <w:r w:rsidR="005A3ABE">
        <w:rPr>
          <w:lang w:val="es-ES"/>
        </w:rPr>
        <w:t xml:space="preserve">frecuencias de ocurrencia </w:t>
      </w:r>
      <w:r w:rsidRPr="00B06D23">
        <w:rPr>
          <w:lang w:val="es-ES"/>
        </w:rPr>
        <w:t xml:space="preserve">a cada evento de OyM </w:t>
      </w:r>
      <w:r w:rsidR="005A3ABE">
        <w:rPr>
          <w:lang w:val="es-ES"/>
        </w:rPr>
        <w:t>(</w:t>
      </w:r>
      <w:r w:rsidR="00F86AAB" w:rsidRPr="00B06D23">
        <w:rPr>
          <w:lang w:val="es-ES"/>
        </w:rPr>
        <w:t>Ej.</w:t>
      </w:r>
      <w:r w:rsidRPr="00B06D23">
        <w:rPr>
          <w:lang w:val="es-ES"/>
        </w:rPr>
        <w:t>: una frecuencia de ocurrencia en caso de fallas o una frecuencia de ejecución en caso preventivo y un tiempo de resolución</w:t>
      </w:r>
      <w:bookmarkEnd w:id="207"/>
      <w:r w:rsidR="005A3ABE">
        <w:rPr>
          <w:lang w:val="es-ES"/>
        </w:rPr>
        <w:t>)</w:t>
      </w:r>
      <w:r w:rsidRPr="00B06D23">
        <w:rPr>
          <w:lang w:val="es-ES"/>
        </w:rPr>
        <w:t>.</w:t>
      </w:r>
    </w:p>
    <w:p w14:paraId="120C7553" w14:textId="77777777" w:rsidR="0079428C" w:rsidRPr="00B06D23" w:rsidRDefault="0079428C" w:rsidP="00273FE4">
      <w:pPr>
        <w:pStyle w:val="Prrafodelista"/>
        <w:numPr>
          <w:ilvl w:val="0"/>
          <w:numId w:val="51"/>
        </w:numPr>
        <w:ind w:left="567" w:hanging="567"/>
        <w:rPr>
          <w:lang w:val="es-ES"/>
        </w:rPr>
      </w:pPr>
      <w:bookmarkStart w:id="208" w:name="_Toc149716239"/>
      <w:r w:rsidRPr="00B06D23">
        <w:rPr>
          <w:lang w:val="es-ES"/>
        </w:rPr>
        <w:t>De acuerdo a la característica de cada evento de OyM se asignan para su resolución una “cuadrilla tipo” predefinida en cantidad de operarios y calificación, y los materiales y recursos requeridos.</w:t>
      </w:r>
      <w:bookmarkEnd w:id="208"/>
    </w:p>
    <w:p w14:paraId="02FDBA49" w14:textId="4D7A90D7" w:rsidR="0079428C" w:rsidRPr="00B06D23" w:rsidRDefault="0079428C" w:rsidP="00273FE4">
      <w:pPr>
        <w:pStyle w:val="Prrafodelista"/>
        <w:numPr>
          <w:ilvl w:val="0"/>
          <w:numId w:val="51"/>
        </w:numPr>
        <w:ind w:left="567" w:hanging="567"/>
        <w:rPr>
          <w:lang w:val="es-ES"/>
        </w:rPr>
      </w:pPr>
      <w:bookmarkStart w:id="209" w:name="_Toc149716240"/>
      <w:r w:rsidRPr="00B06D23">
        <w:rPr>
          <w:lang w:val="es-ES"/>
        </w:rPr>
        <w:t>Con la frecuencia de ocurrencia de cada evento, la duración de la intervención de la cuadrilla</w:t>
      </w:r>
      <w:r w:rsidR="007C416E">
        <w:rPr>
          <w:lang w:val="es-ES"/>
        </w:rPr>
        <w:t>,</w:t>
      </w:r>
      <w:r w:rsidRPr="00B06D23">
        <w:rPr>
          <w:lang w:val="es-ES"/>
        </w:rPr>
        <w:t xml:space="preserve"> más los tiempos de desplazamiento, se calcula la cantidad de personal, materiales e insumos para cada tarea de OyM</w:t>
      </w:r>
      <w:bookmarkEnd w:id="209"/>
      <w:r w:rsidRPr="00B06D23">
        <w:rPr>
          <w:lang w:val="es-ES"/>
        </w:rPr>
        <w:t>.</w:t>
      </w:r>
    </w:p>
    <w:p w14:paraId="5AE040C9" w14:textId="7653B080" w:rsidR="0079428C" w:rsidRPr="00B06D23" w:rsidRDefault="0079428C" w:rsidP="0079428C">
      <w:pPr>
        <w:spacing w:line="259" w:lineRule="auto"/>
        <w:rPr>
          <w:lang w:val="es-ES"/>
        </w:rPr>
      </w:pPr>
      <w:bookmarkStart w:id="210" w:name="_Toc149716241"/>
      <w:r w:rsidRPr="00B06D23">
        <w:rPr>
          <w:lang w:val="es-ES"/>
        </w:rPr>
        <w:t>Los costos de las cuadrillas de mantenimiento para cada tipo de ta</w:t>
      </w:r>
      <w:r w:rsidR="00BA2EDF">
        <w:rPr>
          <w:lang w:val="es-ES"/>
        </w:rPr>
        <w:t xml:space="preserve">rea estarán </w:t>
      </w:r>
      <w:r w:rsidR="00BA2EDF" w:rsidRPr="007C416E">
        <w:rPr>
          <w:lang w:val="es-ES"/>
        </w:rPr>
        <w:t>conformado</w:t>
      </w:r>
      <w:r w:rsidRPr="007C416E">
        <w:rPr>
          <w:lang w:val="es-ES"/>
        </w:rPr>
        <w:t>s</w:t>
      </w:r>
      <w:r w:rsidRPr="00B06D23">
        <w:rPr>
          <w:lang w:val="es-ES"/>
        </w:rPr>
        <w:t xml:space="preserve"> por la cantidad y nivel del personal que constituye la mano de obra, las herramientas de la cuadrilla, los elementos de seguridad y los vehículos requeridos para la ejecución de la tarea.</w:t>
      </w:r>
    </w:p>
    <w:p w14:paraId="682236B0" w14:textId="03A723D7" w:rsidR="0079428C" w:rsidRPr="00B06D23" w:rsidRDefault="0079428C" w:rsidP="0079428C">
      <w:pPr>
        <w:rPr>
          <w:lang w:val="es-ES"/>
        </w:rPr>
      </w:pPr>
      <w:r w:rsidRPr="00B06D23">
        <w:rPr>
          <w:lang w:val="es-ES"/>
        </w:rPr>
        <w:lastRenderedPageBreak/>
        <w:t>Sobre la base de la definición de la cuadrilla, y sus costos asociados, el tiempo de ejecución y desplazamiento, más los materiales requeridos para la ejecución de la tarea</w:t>
      </w:r>
      <w:r w:rsidR="007C416E">
        <w:rPr>
          <w:lang w:val="es-ES"/>
        </w:rPr>
        <w:t>,</w:t>
      </w:r>
      <w:r w:rsidRPr="00B06D23">
        <w:rPr>
          <w:lang w:val="es-ES"/>
        </w:rPr>
        <w:t xml:space="preserve"> se determinó el costo de la misma. Con el costo de la tarea, y la cantidad de veces que se realiza la tarea por año se determinó el costo total de la tarea para las instalaciones de la empresa. </w:t>
      </w:r>
    </w:p>
    <w:p w14:paraId="0398DC5A" w14:textId="77777777" w:rsidR="0079428C" w:rsidRPr="00B06D23" w:rsidRDefault="0079428C" w:rsidP="0079428C">
      <w:pPr>
        <w:rPr>
          <w:lang w:val="es-ES"/>
        </w:rPr>
      </w:pPr>
      <w:r w:rsidRPr="00B06D23">
        <w:rPr>
          <w:lang w:val="es-ES"/>
        </w:rPr>
        <w:t xml:space="preserve">Para cada tarea los tiempos de ejecución de las tareas y las frecuencias de ocurrencia tienen en cuenta: </w:t>
      </w:r>
    </w:p>
    <w:p w14:paraId="1A4A1714" w14:textId="77777777" w:rsidR="0079428C" w:rsidRPr="00B06D23" w:rsidRDefault="0079428C" w:rsidP="00273FE4">
      <w:pPr>
        <w:pStyle w:val="Prrafodelista"/>
        <w:numPr>
          <w:ilvl w:val="0"/>
          <w:numId w:val="51"/>
        </w:numPr>
        <w:ind w:left="567" w:hanging="567"/>
        <w:rPr>
          <w:lang w:val="es-ES"/>
        </w:rPr>
      </w:pPr>
      <w:r w:rsidRPr="00B06D23">
        <w:rPr>
          <w:lang w:val="es-ES"/>
        </w:rPr>
        <w:t xml:space="preserve">Aspectos específicos de cada tarea (“reglas del arte”), que incluyen la calidad de la ejecución, la importancia y tipo de la instalación, normas de seguridad, etc. </w:t>
      </w:r>
    </w:p>
    <w:p w14:paraId="27641E74" w14:textId="77777777" w:rsidR="0079428C" w:rsidRPr="00B06D23" w:rsidRDefault="0079428C" w:rsidP="00273FE4">
      <w:pPr>
        <w:pStyle w:val="Prrafodelista"/>
        <w:numPr>
          <w:ilvl w:val="0"/>
          <w:numId w:val="51"/>
        </w:numPr>
        <w:ind w:left="567" w:hanging="567"/>
        <w:rPr>
          <w:lang w:val="es-ES"/>
        </w:rPr>
      </w:pPr>
      <w:r w:rsidRPr="00B06D23">
        <w:rPr>
          <w:lang w:val="es-ES"/>
        </w:rPr>
        <w:t xml:space="preserve">Características de diseño y construcción de las instalaciones. </w:t>
      </w:r>
    </w:p>
    <w:p w14:paraId="46F106DB" w14:textId="77777777" w:rsidR="0079428C" w:rsidRPr="00B06D23" w:rsidRDefault="0079428C" w:rsidP="00273FE4">
      <w:pPr>
        <w:pStyle w:val="Prrafodelista"/>
        <w:numPr>
          <w:ilvl w:val="0"/>
          <w:numId w:val="51"/>
        </w:numPr>
        <w:ind w:left="567" w:hanging="567"/>
        <w:rPr>
          <w:lang w:val="es-ES"/>
        </w:rPr>
      </w:pPr>
      <w:r w:rsidRPr="00B06D23">
        <w:rPr>
          <w:lang w:val="es-ES"/>
        </w:rPr>
        <w:t>Antecedentes regulatorios en la materia.</w:t>
      </w:r>
    </w:p>
    <w:p w14:paraId="27A0DAAC" w14:textId="77777777" w:rsidR="0079428C" w:rsidRPr="00B06D23" w:rsidRDefault="0079428C" w:rsidP="00273FE4">
      <w:pPr>
        <w:pStyle w:val="Prrafodelista"/>
        <w:numPr>
          <w:ilvl w:val="0"/>
          <w:numId w:val="51"/>
        </w:numPr>
        <w:ind w:left="567" w:hanging="567"/>
        <w:rPr>
          <w:lang w:val="es-ES"/>
        </w:rPr>
      </w:pPr>
      <w:r w:rsidRPr="00B06D23">
        <w:rPr>
          <w:lang w:val="es-ES"/>
        </w:rPr>
        <w:t>Antecedentes presentados por las empresas.</w:t>
      </w:r>
    </w:p>
    <w:p w14:paraId="60F1CD87" w14:textId="77777777" w:rsidR="0079428C" w:rsidRPr="00B06D23" w:rsidRDefault="0079428C" w:rsidP="00273FE4">
      <w:pPr>
        <w:pStyle w:val="Prrafodelista"/>
        <w:numPr>
          <w:ilvl w:val="0"/>
          <w:numId w:val="51"/>
        </w:numPr>
        <w:ind w:left="567" w:hanging="567"/>
        <w:rPr>
          <w:lang w:val="es-ES"/>
        </w:rPr>
      </w:pPr>
      <w:r w:rsidRPr="00B06D23">
        <w:rPr>
          <w:lang w:val="es-ES"/>
        </w:rPr>
        <w:t>Criticidad del activo.</w:t>
      </w:r>
    </w:p>
    <w:p w14:paraId="3766941A" w14:textId="77777777" w:rsidR="0079428C" w:rsidRPr="00B06D23" w:rsidRDefault="0079428C" w:rsidP="00273FE4">
      <w:pPr>
        <w:pStyle w:val="Prrafodelista"/>
        <w:numPr>
          <w:ilvl w:val="0"/>
          <w:numId w:val="51"/>
        </w:numPr>
        <w:ind w:left="567" w:hanging="567"/>
        <w:rPr>
          <w:lang w:val="es-ES"/>
        </w:rPr>
      </w:pPr>
      <w:r w:rsidRPr="00B06D23">
        <w:rPr>
          <w:lang w:val="es-ES"/>
        </w:rPr>
        <w:t>Niveles de calidad exigidos por la norma técnica.</w:t>
      </w:r>
    </w:p>
    <w:p w14:paraId="754C7E09" w14:textId="77777777" w:rsidR="0079428C" w:rsidRDefault="0079428C" w:rsidP="0079428C">
      <w:pPr>
        <w:rPr>
          <w:lang w:val="es-ES"/>
        </w:rPr>
      </w:pPr>
      <w:r w:rsidRPr="00B06D23">
        <w:rPr>
          <w:lang w:val="es-ES"/>
        </w:rPr>
        <w:t xml:space="preserve">Los rendimientos y frecuencias utilizados son los de instalaciones típicas correctamente diseñadas y en buen estado, independientemente del estado de conservación actual de las instalaciones de la transportista. </w:t>
      </w:r>
    </w:p>
    <w:p w14:paraId="6054B94E" w14:textId="6CDF5211" w:rsidR="00BB5AA1" w:rsidRPr="00C93697" w:rsidRDefault="00335606" w:rsidP="00BB5AA1">
      <w:pPr>
        <w:rPr>
          <w:lang w:val="es-ES"/>
        </w:rPr>
      </w:pPr>
      <w:r w:rsidRPr="00C543D6">
        <w:rPr>
          <w:lang w:val="es-ES"/>
        </w:rPr>
        <w:t>L</w:t>
      </w:r>
      <w:r w:rsidR="00BB5AA1" w:rsidRPr="00C543D6">
        <w:rPr>
          <w:lang w:val="es-ES"/>
        </w:rPr>
        <w:t xml:space="preserve">as frecuencias de </w:t>
      </w:r>
      <w:r w:rsidRPr="00C543D6">
        <w:rPr>
          <w:lang w:val="es-ES"/>
        </w:rPr>
        <w:t xml:space="preserve">mantenimiento correctivo (no programable) utilizadas para el cálculo de este componente del </w:t>
      </w:r>
      <w:r w:rsidR="005A6F95">
        <w:rPr>
          <w:lang w:val="es-ES"/>
        </w:rPr>
        <w:t>C.O.M.A.</w:t>
      </w:r>
      <w:r w:rsidRPr="00C543D6">
        <w:rPr>
          <w:lang w:val="es-ES"/>
        </w:rPr>
        <w:t xml:space="preserve"> son producto de los planes de </w:t>
      </w:r>
      <w:r w:rsidR="00F86AAB" w:rsidRPr="00C543D6">
        <w:rPr>
          <w:lang w:val="es-ES"/>
        </w:rPr>
        <w:t>mantenimiento</w:t>
      </w:r>
      <w:r w:rsidR="00BB5AA1" w:rsidRPr="00C543D6">
        <w:rPr>
          <w:lang w:val="es-ES"/>
        </w:rPr>
        <w:t xml:space="preserve"> preventivo considerados</w:t>
      </w:r>
      <w:r w:rsidRPr="00C543D6">
        <w:rPr>
          <w:lang w:val="es-ES"/>
        </w:rPr>
        <w:t xml:space="preserve"> en el estudio, los cuales están diseñados de modo que permiten cumplir con la</w:t>
      </w:r>
      <w:r w:rsidR="00BB5AA1" w:rsidRPr="00C543D6">
        <w:rPr>
          <w:lang w:val="es-ES"/>
        </w:rPr>
        <w:t xml:space="preserve"> norma técnica de calidad.</w:t>
      </w:r>
    </w:p>
    <w:p w14:paraId="128C223F" w14:textId="77777777" w:rsidR="0079428C" w:rsidRPr="00B06D23" w:rsidRDefault="0079428C" w:rsidP="0079428C">
      <w:pPr>
        <w:rPr>
          <w:lang w:val="es-ES"/>
        </w:rPr>
      </w:pPr>
      <w:r w:rsidRPr="00B06D23">
        <w:rPr>
          <w:lang w:val="es-ES"/>
        </w:rPr>
        <w:t xml:space="preserve">Finalmente, la suma de los recursos físicos requeridos para todas las categorías de instalaciones será el </w:t>
      </w:r>
      <w:bookmarkEnd w:id="210"/>
      <w:r w:rsidRPr="00B06D23">
        <w:rPr>
          <w:lang w:val="es-ES"/>
        </w:rPr>
        <w:t xml:space="preserve">total de recursos de OyM requeridos por la transmisora. </w:t>
      </w:r>
    </w:p>
    <w:p w14:paraId="250A91D9" w14:textId="77777777" w:rsidR="0079428C" w:rsidRPr="00B06D23" w:rsidRDefault="0079428C" w:rsidP="0079428C">
      <w:pPr>
        <w:rPr>
          <w:lang w:val="es-ES"/>
        </w:rPr>
      </w:pPr>
      <w:r w:rsidRPr="00B06D23">
        <w:rPr>
          <w:lang w:val="es-ES"/>
        </w:rPr>
        <w:t xml:space="preserve">Los costos “por intervención” se obtienen considerando: </w:t>
      </w:r>
    </w:p>
    <w:p w14:paraId="2189E5D6" w14:textId="6D55625A" w:rsidR="0079428C" w:rsidRPr="00B06D23" w:rsidRDefault="0079428C" w:rsidP="00273FE4">
      <w:pPr>
        <w:pStyle w:val="Prrafodelista"/>
        <w:numPr>
          <w:ilvl w:val="0"/>
          <w:numId w:val="51"/>
        </w:numPr>
        <w:ind w:left="567" w:hanging="567"/>
        <w:rPr>
          <w:lang w:val="es-ES"/>
        </w:rPr>
      </w:pPr>
      <w:r w:rsidRPr="00B06D23">
        <w:rPr>
          <w:lang w:val="es-ES"/>
        </w:rPr>
        <w:t>El costo del personal, vehículos, materiales y herramientas de la brigada</w:t>
      </w:r>
      <w:r w:rsidR="007C416E">
        <w:rPr>
          <w:lang w:val="es-ES"/>
        </w:rPr>
        <w:t>.</w:t>
      </w:r>
    </w:p>
    <w:p w14:paraId="4242F877" w14:textId="61D3C4B7" w:rsidR="0079428C" w:rsidRPr="00B06D23" w:rsidRDefault="0079428C" w:rsidP="00273FE4">
      <w:pPr>
        <w:pStyle w:val="Prrafodelista"/>
        <w:numPr>
          <w:ilvl w:val="0"/>
          <w:numId w:val="51"/>
        </w:numPr>
        <w:ind w:left="567" w:hanging="567"/>
        <w:rPr>
          <w:lang w:val="es-ES"/>
        </w:rPr>
      </w:pPr>
      <w:r w:rsidRPr="00B06D23">
        <w:rPr>
          <w:lang w:val="es-ES"/>
        </w:rPr>
        <w:t>La frecuencia con que se realiza la tarea</w:t>
      </w:r>
      <w:r w:rsidR="007C416E">
        <w:rPr>
          <w:lang w:val="es-ES"/>
        </w:rPr>
        <w:t>.</w:t>
      </w:r>
    </w:p>
    <w:p w14:paraId="1E42D023" w14:textId="5639EBE8" w:rsidR="0079428C" w:rsidRPr="00B06D23" w:rsidRDefault="0079428C" w:rsidP="00273FE4">
      <w:pPr>
        <w:pStyle w:val="Prrafodelista"/>
        <w:numPr>
          <w:ilvl w:val="0"/>
          <w:numId w:val="51"/>
        </w:numPr>
        <w:ind w:left="567" w:hanging="567"/>
        <w:rPr>
          <w:lang w:val="es-ES"/>
        </w:rPr>
      </w:pPr>
      <w:r w:rsidRPr="00B06D23">
        <w:rPr>
          <w:lang w:val="es-ES"/>
        </w:rPr>
        <w:t>La cantidad de elementos de la instalación sobre los que se va a realizar la tarea</w:t>
      </w:r>
      <w:r w:rsidR="007C416E">
        <w:rPr>
          <w:lang w:val="es-ES"/>
        </w:rPr>
        <w:t>.</w:t>
      </w:r>
    </w:p>
    <w:p w14:paraId="04379F91" w14:textId="10C4546C" w:rsidR="0079428C" w:rsidRPr="00B06D23" w:rsidRDefault="007C416E" w:rsidP="00273FE4">
      <w:pPr>
        <w:pStyle w:val="Prrafodelista"/>
        <w:numPr>
          <w:ilvl w:val="0"/>
          <w:numId w:val="51"/>
        </w:numPr>
        <w:ind w:left="567" w:hanging="567"/>
        <w:rPr>
          <w:lang w:val="es-ES"/>
        </w:rPr>
      </w:pPr>
      <w:r>
        <w:rPr>
          <w:lang w:val="es-ES"/>
        </w:rPr>
        <w:t>L</w:t>
      </w:r>
      <w:r w:rsidR="0079428C" w:rsidRPr="00B06D23">
        <w:rPr>
          <w:lang w:val="es-ES"/>
        </w:rPr>
        <w:t>os tiempos medios eficientes de ejecución</w:t>
      </w:r>
      <w:r>
        <w:rPr>
          <w:lang w:val="es-ES"/>
        </w:rPr>
        <w:t>.</w:t>
      </w:r>
    </w:p>
    <w:p w14:paraId="64F130C6" w14:textId="08BE8DCD" w:rsidR="0079428C" w:rsidRPr="00B06D23" w:rsidRDefault="0079428C" w:rsidP="00273FE4">
      <w:pPr>
        <w:pStyle w:val="Prrafodelista"/>
        <w:numPr>
          <w:ilvl w:val="0"/>
          <w:numId w:val="51"/>
        </w:numPr>
        <w:ind w:left="567" w:hanging="567"/>
        <w:rPr>
          <w:lang w:val="es-ES"/>
        </w:rPr>
      </w:pPr>
      <w:r w:rsidRPr="00B06D23">
        <w:rPr>
          <w:lang w:val="es-ES"/>
        </w:rPr>
        <w:t>Los materiales que pueda requerir la actividad</w:t>
      </w:r>
      <w:r w:rsidR="007C416E">
        <w:rPr>
          <w:lang w:val="es-ES"/>
        </w:rPr>
        <w:t>.</w:t>
      </w:r>
    </w:p>
    <w:p w14:paraId="13E9177D" w14:textId="293B9F36" w:rsidR="0079428C" w:rsidRPr="00B06D23" w:rsidRDefault="0079428C" w:rsidP="00273FE4">
      <w:pPr>
        <w:pStyle w:val="Prrafodelista"/>
        <w:numPr>
          <w:ilvl w:val="0"/>
          <w:numId w:val="51"/>
        </w:numPr>
        <w:ind w:left="567" w:hanging="567"/>
        <w:rPr>
          <w:lang w:val="es-ES"/>
        </w:rPr>
      </w:pPr>
      <w:r w:rsidRPr="00B06D23">
        <w:rPr>
          <w:lang w:val="es-ES"/>
        </w:rPr>
        <w:lastRenderedPageBreak/>
        <w:t>Los tiempos de traslado</w:t>
      </w:r>
      <w:r w:rsidR="007C416E">
        <w:rPr>
          <w:lang w:val="es-ES"/>
        </w:rPr>
        <w:t>.</w:t>
      </w:r>
    </w:p>
    <w:p w14:paraId="7036DE0A" w14:textId="2BE873AA" w:rsidR="0079428C" w:rsidRPr="00B06D23" w:rsidRDefault="0079428C" w:rsidP="0079428C">
      <w:pPr>
        <w:rPr>
          <w:lang w:val="es-ES"/>
        </w:rPr>
      </w:pPr>
      <w:r w:rsidRPr="00B06D23">
        <w:rPr>
          <w:lang w:val="es-ES"/>
        </w:rPr>
        <w:t xml:space="preserve">Para las áreas que requieran </w:t>
      </w:r>
      <w:r w:rsidR="00BA2EDF">
        <w:rPr>
          <w:lang w:val="es-ES"/>
        </w:rPr>
        <w:t xml:space="preserve">cobertura de atención las </w:t>
      </w:r>
      <w:r w:rsidR="00BA2EDF" w:rsidRPr="00AE2BB8">
        <w:rPr>
          <w:lang w:val="es-ES"/>
        </w:rPr>
        <w:t>24 h</w:t>
      </w:r>
      <w:r w:rsidR="00AE2BB8" w:rsidRPr="00AE2BB8">
        <w:rPr>
          <w:lang w:val="es-ES"/>
        </w:rPr>
        <w:t>oras</w:t>
      </w:r>
      <w:r w:rsidRPr="00B06D23">
        <w:rPr>
          <w:lang w:val="es-ES"/>
        </w:rPr>
        <w:t xml:space="preserve"> </w:t>
      </w:r>
      <w:r w:rsidR="00AE2BB8">
        <w:rPr>
          <w:lang w:val="es-ES"/>
        </w:rPr>
        <w:t xml:space="preserve">y </w:t>
      </w:r>
      <w:r w:rsidRPr="00B06D23">
        <w:rPr>
          <w:lang w:val="es-ES"/>
        </w:rPr>
        <w:t>los 365 días del año</w:t>
      </w:r>
      <w:r w:rsidR="00AE2BB8">
        <w:rPr>
          <w:lang w:val="es-ES"/>
        </w:rPr>
        <w:t>,</w:t>
      </w:r>
      <w:r w:rsidRPr="00B06D23">
        <w:rPr>
          <w:lang w:val="es-ES"/>
        </w:rPr>
        <w:t xml:space="preserve"> se consideró la cantidad de equipos de trabajo necesarios para dar la cobertura indicada de manera que permita cumplir con los días de franco, vacaciones, ausencia por enfermedad cumpliendo con la ley laboral vigente en Chile.</w:t>
      </w:r>
    </w:p>
    <w:p w14:paraId="03F1185A" w14:textId="77777777" w:rsidR="0079428C" w:rsidRPr="00B06D23" w:rsidRDefault="0079428C" w:rsidP="0079428C">
      <w:pPr>
        <w:rPr>
          <w:lang w:val="es-ES"/>
        </w:rPr>
      </w:pPr>
      <w:r w:rsidRPr="00B06D23">
        <w:rPr>
          <w:lang w:val="es-ES"/>
        </w:rPr>
        <w:t>En el caso de las subestaciones y sobre la base del tipo de telemando de las subestaciones (total, parcial o sin telemando), la distancia a los centros operativos y su importancia estratégica, se determinó la cantidad de personal operativo requerido para cubrir los turnos para la operación local de las subestaciones en lo referido a apoyo para maniobras manuales o de emergencia y control y vigilancia de las instalaciones.</w:t>
      </w:r>
    </w:p>
    <w:p w14:paraId="533FEBC4" w14:textId="26ECCBA0" w:rsidR="0079428C" w:rsidRPr="00B06D23" w:rsidRDefault="0079428C" w:rsidP="0079428C">
      <w:pPr>
        <w:rPr>
          <w:lang w:val="es-ES"/>
        </w:rPr>
      </w:pPr>
      <w:r w:rsidRPr="00AE2BB8">
        <w:rPr>
          <w:lang w:val="es-ES"/>
        </w:rPr>
        <w:t xml:space="preserve">Para el Centro Nacional de Operación de Transmisión (CNOT) y Centros de </w:t>
      </w:r>
      <w:r w:rsidR="00BA2EDF" w:rsidRPr="00AE2BB8">
        <w:rPr>
          <w:lang w:val="es-ES"/>
        </w:rPr>
        <w:t>Operación</w:t>
      </w:r>
      <w:r w:rsidR="009B341C" w:rsidRPr="00AE2BB8">
        <w:rPr>
          <w:lang w:val="es-ES"/>
        </w:rPr>
        <w:t xml:space="preserve"> Regional (COZ) se consideraron</w:t>
      </w:r>
      <w:r w:rsidRPr="00AE2BB8">
        <w:rPr>
          <w:lang w:val="es-ES"/>
        </w:rPr>
        <w:t xml:space="preserve"> los equipos de trabajo </w:t>
      </w:r>
      <w:r w:rsidR="00BA2EDF" w:rsidRPr="00AE2BB8">
        <w:rPr>
          <w:lang w:val="es-ES"/>
        </w:rPr>
        <w:t>requeridos para cubrir las 24 h</w:t>
      </w:r>
      <w:r w:rsidR="00AE2BB8" w:rsidRPr="00AE2BB8">
        <w:rPr>
          <w:lang w:val="es-ES"/>
        </w:rPr>
        <w:t>oras</w:t>
      </w:r>
      <w:r w:rsidRPr="00AE2BB8">
        <w:rPr>
          <w:lang w:val="es-ES"/>
        </w:rPr>
        <w:t xml:space="preserve"> los 365 días del año.</w:t>
      </w:r>
    </w:p>
    <w:p w14:paraId="002FC99C" w14:textId="008E0F26" w:rsidR="00C4162A" w:rsidRPr="00B06D23" w:rsidRDefault="0079428C" w:rsidP="0079428C">
      <w:pPr>
        <w:rPr>
          <w:lang w:val="es-ES"/>
        </w:rPr>
      </w:pPr>
      <w:r w:rsidRPr="00B06D23">
        <w:rPr>
          <w:lang w:val="es-ES"/>
        </w:rPr>
        <w:t>Para el resto de las áreas operativas que requieran atención de emergencia se consideró la implementación de un sist</w:t>
      </w:r>
      <w:r w:rsidR="00C4162A">
        <w:rPr>
          <w:lang w:val="es-ES"/>
        </w:rPr>
        <w:t xml:space="preserve">ema de guardias pasivas. </w:t>
      </w:r>
    </w:p>
    <w:p w14:paraId="23722E2D" w14:textId="77777777" w:rsidR="0079428C" w:rsidRPr="00B06D23" w:rsidRDefault="0079428C" w:rsidP="0079428C">
      <w:pPr>
        <w:rPr>
          <w:lang w:val="es-ES"/>
        </w:rPr>
      </w:pPr>
      <w:r w:rsidRPr="00B06D23">
        <w:rPr>
          <w:lang w:val="es-ES"/>
        </w:rPr>
        <w:t>La metodología específica de valorización se describe en el siguiente punto.</w:t>
      </w:r>
    </w:p>
    <w:p w14:paraId="6E622E31" w14:textId="77777777" w:rsidR="0079428C" w:rsidRPr="006F5B6D" w:rsidRDefault="0079428C" w:rsidP="0079428C">
      <w:pPr>
        <w:pStyle w:val="Ttulo4"/>
      </w:pPr>
      <w:bookmarkStart w:id="211" w:name="_Toc34398098"/>
      <w:bookmarkStart w:id="212" w:name="_Toc39797789"/>
      <w:r w:rsidRPr="006F5B6D">
        <w:t>Definición de las cuadrillas de terreno</w:t>
      </w:r>
      <w:bookmarkEnd w:id="211"/>
      <w:bookmarkEnd w:id="212"/>
    </w:p>
    <w:p w14:paraId="4792F055" w14:textId="13C32DDA" w:rsidR="0079428C" w:rsidRPr="00B06D23" w:rsidRDefault="0079428C" w:rsidP="0079428C">
      <w:pPr>
        <w:rPr>
          <w:lang w:val="es-ES"/>
        </w:rPr>
      </w:pPr>
      <w:r w:rsidRPr="00B06D23">
        <w:rPr>
          <w:lang w:val="es-ES"/>
        </w:rPr>
        <w:t xml:space="preserve">Las instalaciones del sistema </w:t>
      </w:r>
      <w:r w:rsidR="002D03BC">
        <w:rPr>
          <w:lang w:val="es-ES"/>
        </w:rPr>
        <w:t>eléctrico nacional</w:t>
      </w:r>
      <w:r w:rsidRPr="00B06D23">
        <w:rPr>
          <w:lang w:val="es-ES"/>
        </w:rPr>
        <w:t xml:space="preserve"> requieren diferente tipo de tareas de operación y mantenimiento que son ejecutadas por las cuadrillas que operan en terreno.</w:t>
      </w:r>
    </w:p>
    <w:p w14:paraId="6B1AC152" w14:textId="4211B18B" w:rsidR="0079428C" w:rsidRPr="00B06D23" w:rsidRDefault="0079428C" w:rsidP="0079428C">
      <w:pPr>
        <w:rPr>
          <w:lang w:val="es-ES"/>
        </w:rPr>
      </w:pPr>
      <w:r w:rsidRPr="00B06D23">
        <w:rPr>
          <w:lang w:val="es-ES"/>
        </w:rPr>
        <w:t xml:space="preserve">En función del tipo de tarea se </w:t>
      </w:r>
      <w:r w:rsidR="00F86AAB" w:rsidRPr="00B06D23">
        <w:rPr>
          <w:lang w:val="es-ES"/>
        </w:rPr>
        <w:t>han definido</w:t>
      </w:r>
      <w:r w:rsidRPr="00B06D23">
        <w:rPr>
          <w:lang w:val="es-ES"/>
        </w:rPr>
        <w:t xml:space="preserve"> diferentes tipos de cuadrilla en la que cada una tiene asignado:</w:t>
      </w:r>
    </w:p>
    <w:p w14:paraId="7C775BD3" w14:textId="77777777" w:rsidR="0079428C" w:rsidRPr="005A6F95" w:rsidRDefault="0079428C" w:rsidP="00273FE4">
      <w:pPr>
        <w:pStyle w:val="Listanumerada"/>
        <w:numPr>
          <w:ilvl w:val="0"/>
          <w:numId w:val="24"/>
        </w:numPr>
        <w:spacing w:after="200"/>
        <w:ind w:left="567" w:hanging="567"/>
        <w:rPr>
          <w:lang w:val="es-ES"/>
        </w:rPr>
      </w:pPr>
      <w:r w:rsidRPr="005A6F95">
        <w:rPr>
          <w:lang w:val="es-ES"/>
        </w:rPr>
        <w:t>Personal y categoría</w:t>
      </w:r>
    </w:p>
    <w:p w14:paraId="0A0AA35E" w14:textId="51BBB167" w:rsidR="0079428C" w:rsidRPr="005A6F95" w:rsidRDefault="00BA2EDF" w:rsidP="00273FE4">
      <w:pPr>
        <w:pStyle w:val="Listanumerada"/>
        <w:numPr>
          <w:ilvl w:val="0"/>
          <w:numId w:val="24"/>
        </w:numPr>
        <w:spacing w:after="200"/>
        <w:ind w:left="567" w:hanging="567"/>
        <w:rPr>
          <w:lang w:val="es-ES"/>
        </w:rPr>
      </w:pPr>
      <w:r w:rsidRPr="005A6F95">
        <w:rPr>
          <w:lang w:val="es-ES"/>
        </w:rPr>
        <w:t>Vehículos</w:t>
      </w:r>
    </w:p>
    <w:p w14:paraId="552A0E69" w14:textId="77777777" w:rsidR="0079428C" w:rsidRPr="005A6F95" w:rsidRDefault="0079428C" w:rsidP="00273FE4">
      <w:pPr>
        <w:pStyle w:val="Listanumerada"/>
        <w:numPr>
          <w:ilvl w:val="0"/>
          <w:numId w:val="24"/>
        </w:numPr>
        <w:spacing w:after="200"/>
        <w:ind w:left="567" w:hanging="567"/>
        <w:rPr>
          <w:lang w:val="es-ES"/>
        </w:rPr>
      </w:pPr>
      <w:r w:rsidRPr="005A6F95">
        <w:rPr>
          <w:lang w:val="es-ES"/>
        </w:rPr>
        <w:t>Herramientas y elementos de seguridad personal de los operarios de las cuadrillas.</w:t>
      </w:r>
    </w:p>
    <w:p w14:paraId="4977B400" w14:textId="77777777" w:rsidR="0079428C" w:rsidRPr="00B06D23" w:rsidRDefault="0079428C" w:rsidP="0079428C">
      <w:pPr>
        <w:rPr>
          <w:lang w:val="es-ES"/>
        </w:rPr>
      </w:pPr>
      <w:r w:rsidRPr="00B06D23">
        <w:rPr>
          <w:lang w:val="es-ES"/>
        </w:rPr>
        <w:t>Las cuadrillas consideradas para la ejecución de tareas son las indicadas a continuación y que dependen de las tareas a realizar.</w:t>
      </w:r>
    </w:p>
    <w:p w14:paraId="3335E409" w14:textId="6568E3C1" w:rsidR="0079428C" w:rsidRDefault="0079428C" w:rsidP="0079428C">
      <w:pPr>
        <w:rPr>
          <w:lang w:val="es-ES"/>
        </w:rPr>
      </w:pPr>
      <w:r w:rsidRPr="00B06D23">
        <w:rPr>
          <w:lang w:val="es-ES"/>
        </w:rPr>
        <w:t>En el cuadro siguiente se muestra el código de cuadrilla, los tipos de tarea que realiza, la cantidad de operarios por categoría, el kit de herramientas asignados a la cuadrilla y el kit de elementos de seguridad personal por operario.</w:t>
      </w:r>
      <w:r w:rsidR="005A6F95">
        <w:rPr>
          <w:lang w:val="es-ES"/>
        </w:rPr>
        <w:t xml:space="preserve"> </w:t>
      </w:r>
      <w:r w:rsidRPr="00B06D23">
        <w:rPr>
          <w:lang w:val="es-ES"/>
        </w:rPr>
        <w:t xml:space="preserve">Los operarios integrantes de las cuadrillas (O1 a O6) pueden estar </w:t>
      </w:r>
      <w:r w:rsidRPr="00B06D23">
        <w:rPr>
          <w:lang w:val="es-ES"/>
        </w:rPr>
        <w:lastRenderedPageBreak/>
        <w:t>constituidos por personal propio o personal tercerizado según los resultados del análisis de tercerización.</w:t>
      </w:r>
    </w:p>
    <w:p w14:paraId="73E84EB7" w14:textId="487F4EA1" w:rsidR="00C66F16" w:rsidRPr="00BC38C2" w:rsidRDefault="00C66F16" w:rsidP="00C66F16">
      <w:pPr>
        <w:pStyle w:val="Subttulo"/>
      </w:pPr>
      <w:bookmarkStart w:id="213" w:name="_Toc39797931"/>
      <w:r w:rsidRPr="00BC38C2">
        <w:t xml:space="preserve">Tabla </w:t>
      </w:r>
      <w:fldSimple w:instr=" SEQ Tabla \* ARABIC ">
        <w:r w:rsidR="001F3E2E">
          <w:rPr>
            <w:noProof/>
          </w:rPr>
          <w:t>21</w:t>
        </w:r>
      </w:fldSimple>
      <w:r w:rsidR="00066916">
        <w:rPr>
          <w:noProof/>
        </w:rPr>
        <w:t>:</w:t>
      </w:r>
      <w:r w:rsidRPr="00BC38C2">
        <w:t xml:space="preserve"> </w:t>
      </w:r>
      <w:r>
        <w:t>Cuadrillas de terreno</w:t>
      </w:r>
      <w:bookmarkEnd w:id="213"/>
    </w:p>
    <w:p w14:paraId="3579FD38" w14:textId="77777777" w:rsidR="0079428C" w:rsidRPr="00B06D23" w:rsidRDefault="0079428C" w:rsidP="0079428C">
      <w:pPr>
        <w:rPr>
          <w:lang w:val="es-ES"/>
        </w:rPr>
      </w:pPr>
      <w:r w:rsidRPr="00B06D23">
        <w:rPr>
          <w:noProof/>
          <w:lang w:eastAsia="es-CL"/>
        </w:rPr>
        <w:drawing>
          <wp:inline distT="0" distB="0" distL="0" distR="0" wp14:anchorId="537066A3" wp14:editId="1A1E525C">
            <wp:extent cx="6153150" cy="1757502"/>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6153150" cy="1757502"/>
                    </a:xfrm>
                    <a:prstGeom prst="rect">
                      <a:avLst/>
                    </a:prstGeom>
                    <a:noFill/>
                    <a:ln>
                      <a:noFill/>
                    </a:ln>
                  </pic:spPr>
                </pic:pic>
              </a:graphicData>
            </a:graphic>
          </wp:inline>
        </w:drawing>
      </w:r>
    </w:p>
    <w:p w14:paraId="23F41FEB" w14:textId="6D1C08B3" w:rsidR="0079428C" w:rsidRDefault="0079428C" w:rsidP="0079428C">
      <w:pPr>
        <w:rPr>
          <w:lang w:val="es-ES"/>
        </w:rPr>
      </w:pPr>
      <w:r w:rsidRPr="00B06D23">
        <w:rPr>
          <w:lang w:val="es-ES"/>
        </w:rPr>
        <w:t>Los integrantes de la cuadrilla señalados en el cuadro anterior son:</w:t>
      </w:r>
    </w:p>
    <w:p w14:paraId="7C87B85A" w14:textId="77777777" w:rsidR="00484B50" w:rsidRDefault="00484B50">
      <w:pPr>
        <w:spacing w:after="0" w:line="240" w:lineRule="auto"/>
        <w:jc w:val="left"/>
        <w:rPr>
          <w:b/>
          <w:iCs/>
          <w:sz w:val="22"/>
          <w:szCs w:val="20"/>
        </w:rPr>
      </w:pPr>
      <w:r>
        <w:br w:type="page"/>
      </w:r>
    </w:p>
    <w:p w14:paraId="7BE72357" w14:textId="36733367" w:rsidR="00C66F16" w:rsidRPr="00BC38C2" w:rsidRDefault="00C66F16" w:rsidP="00C66F16">
      <w:pPr>
        <w:pStyle w:val="Subttulo"/>
      </w:pPr>
      <w:bookmarkStart w:id="214" w:name="_Toc39797932"/>
      <w:r w:rsidRPr="00BC38C2">
        <w:lastRenderedPageBreak/>
        <w:t xml:space="preserve">Tabla </w:t>
      </w:r>
      <w:fldSimple w:instr=" SEQ Tabla \* ARABIC ">
        <w:r w:rsidR="001F3E2E">
          <w:rPr>
            <w:noProof/>
          </w:rPr>
          <w:t>22</w:t>
        </w:r>
      </w:fldSimple>
      <w:r w:rsidR="00066916">
        <w:rPr>
          <w:noProof/>
        </w:rPr>
        <w:t>:</w:t>
      </w:r>
      <w:r w:rsidRPr="00BC38C2">
        <w:t xml:space="preserve"> </w:t>
      </w:r>
      <w:r>
        <w:t>Integrantes cuadrillas de terreno</w:t>
      </w:r>
      <w:bookmarkEnd w:id="214"/>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firstRow="1" w:lastRow="0" w:firstColumn="1" w:lastColumn="0" w:noHBand="0" w:noVBand="1"/>
      </w:tblPr>
      <w:tblGrid>
        <w:gridCol w:w="851"/>
        <w:gridCol w:w="3686"/>
        <w:gridCol w:w="5103"/>
      </w:tblGrid>
      <w:tr w:rsidR="0079428C" w:rsidRPr="00B06D23" w14:paraId="18DA9A47" w14:textId="77777777" w:rsidTr="007805A4">
        <w:trPr>
          <w:tblHeader/>
          <w:jc w:val="center"/>
        </w:trPr>
        <w:tc>
          <w:tcPr>
            <w:tcW w:w="851" w:type="dxa"/>
            <w:shd w:val="clear" w:color="auto" w:fill="D9D9D9" w:themeFill="background1" w:themeFillShade="D9"/>
            <w:noWrap/>
            <w:vAlign w:val="center"/>
            <w:hideMark/>
          </w:tcPr>
          <w:p w14:paraId="6779344A" w14:textId="77777777" w:rsidR="0079428C" w:rsidRPr="00C66F16" w:rsidRDefault="0079428C" w:rsidP="007805A4">
            <w:pPr>
              <w:spacing w:before="40" w:after="40" w:line="240" w:lineRule="auto"/>
              <w:jc w:val="center"/>
              <w:rPr>
                <w:rFonts w:eastAsia="Times New Roman" w:cs="Calibri"/>
                <w:b/>
                <w:bCs/>
                <w:sz w:val="20"/>
                <w:szCs w:val="20"/>
                <w:lang w:val="es-ES" w:eastAsia="es-AR"/>
              </w:rPr>
            </w:pPr>
            <w:r w:rsidRPr="00C66F16">
              <w:rPr>
                <w:rFonts w:eastAsia="Times New Roman" w:cs="Calibri"/>
                <w:b/>
                <w:bCs/>
                <w:sz w:val="20"/>
                <w:szCs w:val="20"/>
                <w:lang w:val="es-ES" w:eastAsia="es-AR"/>
              </w:rPr>
              <w:t>Código</w:t>
            </w:r>
          </w:p>
        </w:tc>
        <w:tc>
          <w:tcPr>
            <w:tcW w:w="3686" w:type="dxa"/>
            <w:shd w:val="clear" w:color="auto" w:fill="D9D9D9" w:themeFill="background1" w:themeFillShade="D9"/>
            <w:noWrap/>
            <w:vAlign w:val="center"/>
            <w:hideMark/>
          </w:tcPr>
          <w:p w14:paraId="2FD7E462" w14:textId="77744EA8" w:rsidR="0079428C" w:rsidRPr="00C66F16" w:rsidRDefault="0079428C" w:rsidP="007805A4">
            <w:pPr>
              <w:spacing w:before="40" w:after="40" w:line="240" w:lineRule="auto"/>
              <w:jc w:val="center"/>
              <w:rPr>
                <w:rFonts w:eastAsia="Times New Roman" w:cs="Calibri"/>
                <w:b/>
                <w:bCs/>
                <w:sz w:val="20"/>
                <w:szCs w:val="20"/>
                <w:lang w:val="es-ES" w:eastAsia="es-AR"/>
              </w:rPr>
            </w:pPr>
            <w:r w:rsidRPr="00C66F16">
              <w:rPr>
                <w:rFonts w:eastAsia="Times New Roman" w:cs="Calibri"/>
                <w:b/>
                <w:bCs/>
                <w:sz w:val="20"/>
                <w:szCs w:val="20"/>
                <w:lang w:val="es-ES" w:eastAsia="es-AR"/>
              </w:rPr>
              <w:t xml:space="preserve">Puesto </w:t>
            </w:r>
            <w:r w:rsidR="00BA2EDF" w:rsidRPr="00C66F16">
              <w:rPr>
                <w:rFonts w:eastAsia="Times New Roman" w:cs="Calibri"/>
                <w:b/>
                <w:bCs/>
                <w:sz w:val="20"/>
                <w:szCs w:val="20"/>
                <w:lang w:val="es-ES" w:eastAsia="es-AR"/>
              </w:rPr>
              <w:t>Líneas</w:t>
            </w:r>
          </w:p>
        </w:tc>
        <w:tc>
          <w:tcPr>
            <w:tcW w:w="5103" w:type="dxa"/>
            <w:shd w:val="clear" w:color="auto" w:fill="D9D9D9" w:themeFill="background1" w:themeFillShade="D9"/>
            <w:noWrap/>
            <w:vAlign w:val="center"/>
            <w:hideMark/>
          </w:tcPr>
          <w:p w14:paraId="086153DA" w14:textId="77777777" w:rsidR="0079428C" w:rsidRPr="00C66F16" w:rsidRDefault="0079428C" w:rsidP="007805A4">
            <w:pPr>
              <w:spacing w:before="40" w:after="40" w:line="240" w:lineRule="auto"/>
              <w:jc w:val="center"/>
              <w:rPr>
                <w:rFonts w:eastAsia="Times New Roman" w:cs="Calibri"/>
                <w:b/>
                <w:bCs/>
                <w:sz w:val="20"/>
                <w:szCs w:val="20"/>
                <w:lang w:val="es-ES" w:eastAsia="es-AR"/>
              </w:rPr>
            </w:pPr>
            <w:r w:rsidRPr="00C66F16">
              <w:rPr>
                <w:rFonts w:eastAsia="Times New Roman" w:cs="Calibri"/>
                <w:b/>
                <w:bCs/>
                <w:sz w:val="20"/>
                <w:szCs w:val="20"/>
                <w:lang w:val="es-ES" w:eastAsia="es-AR"/>
              </w:rPr>
              <w:t>Puesto Estaciones</w:t>
            </w:r>
          </w:p>
        </w:tc>
      </w:tr>
      <w:tr w:rsidR="0079428C" w:rsidRPr="00B06D23" w14:paraId="20CAFE99" w14:textId="77777777" w:rsidTr="007805A4">
        <w:trPr>
          <w:jc w:val="center"/>
        </w:trPr>
        <w:tc>
          <w:tcPr>
            <w:tcW w:w="851" w:type="dxa"/>
            <w:shd w:val="clear" w:color="auto" w:fill="auto"/>
            <w:noWrap/>
            <w:vAlign w:val="center"/>
            <w:hideMark/>
          </w:tcPr>
          <w:p w14:paraId="155D6598" w14:textId="77777777" w:rsidR="0079428C" w:rsidRPr="00C66F16" w:rsidRDefault="0079428C" w:rsidP="007805A4">
            <w:pPr>
              <w:spacing w:before="40" w:after="40" w:line="240" w:lineRule="auto"/>
              <w:jc w:val="center"/>
              <w:rPr>
                <w:rFonts w:eastAsia="Times New Roman" w:cs="Calibri"/>
                <w:sz w:val="20"/>
                <w:szCs w:val="20"/>
                <w:lang w:val="es-ES" w:eastAsia="es-AR"/>
              </w:rPr>
            </w:pPr>
            <w:r w:rsidRPr="00C66F16">
              <w:rPr>
                <w:rFonts w:eastAsia="Times New Roman" w:cs="Calibri"/>
                <w:sz w:val="20"/>
                <w:szCs w:val="20"/>
                <w:lang w:val="es-ES" w:eastAsia="es-AR"/>
              </w:rPr>
              <w:t>O1</w:t>
            </w:r>
          </w:p>
        </w:tc>
        <w:tc>
          <w:tcPr>
            <w:tcW w:w="3686" w:type="dxa"/>
            <w:shd w:val="clear" w:color="auto" w:fill="auto"/>
            <w:noWrap/>
            <w:vAlign w:val="center"/>
            <w:hideMark/>
          </w:tcPr>
          <w:p w14:paraId="3B0F3CDB" w14:textId="77777777" w:rsidR="0079428C" w:rsidRPr="00C66F16" w:rsidRDefault="0079428C" w:rsidP="007805A4">
            <w:pPr>
              <w:spacing w:before="40" w:after="40" w:line="240" w:lineRule="auto"/>
              <w:jc w:val="left"/>
              <w:rPr>
                <w:rFonts w:eastAsia="Times New Roman" w:cs="Calibri"/>
                <w:sz w:val="20"/>
                <w:szCs w:val="20"/>
                <w:lang w:val="es-ES" w:eastAsia="es-AR"/>
              </w:rPr>
            </w:pPr>
            <w:r w:rsidRPr="00C66F16">
              <w:rPr>
                <w:rFonts w:eastAsia="Times New Roman" w:cs="Calibri"/>
                <w:sz w:val="20"/>
                <w:szCs w:val="20"/>
                <w:lang w:val="es-ES" w:eastAsia="es-AR"/>
              </w:rPr>
              <w:t>Jefe de Cuadrilla Líneas</w:t>
            </w:r>
          </w:p>
        </w:tc>
        <w:tc>
          <w:tcPr>
            <w:tcW w:w="5103" w:type="dxa"/>
            <w:shd w:val="clear" w:color="auto" w:fill="auto"/>
            <w:noWrap/>
            <w:vAlign w:val="center"/>
            <w:hideMark/>
          </w:tcPr>
          <w:p w14:paraId="529E5FB8" w14:textId="77777777" w:rsidR="0079428C" w:rsidRPr="00C66F16" w:rsidRDefault="0079428C" w:rsidP="007805A4">
            <w:pPr>
              <w:spacing w:before="40" w:after="40" w:line="240" w:lineRule="auto"/>
              <w:jc w:val="left"/>
              <w:rPr>
                <w:rFonts w:eastAsia="Times New Roman" w:cs="Calibri"/>
                <w:sz w:val="20"/>
                <w:szCs w:val="20"/>
                <w:lang w:val="es-ES" w:eastAsia="es-AR"/>
              </w:rPr>
            </w:pPr>
            <w:r w:rsidRPr="00C66F16">
              <w:rPr>
                <w:rFonts w:eastAsia="Times New Roman" w:cs="Calibri"/>
                <w:sz w:val="20"/>
                <w:szCs w:val="20"/>
                <w:lang w:val="es-ES" w:eastAsia="es-AR"/>
              </w:rPr>
              <w:t>Jefe de Cuadrilla Estaciones</w:t>
            </w:r>
          </w:p>
        </w:tc>
      </w:tr>
      <w:tr w:rsidR="0079428C" w:rsidRPr="00B06D23" w14:paraId="68D8CFFF" w14:textId="77777777" w:rsidTr="007805A4">
        <w:trPr>
          <w:jc w:val="center"/>
        </w:trPr>
        <w:tc>
          <w:tcPr>
            <w:tcW w:w="851" w:type="dxa"/>
            <w:shd w:val="clear" w:color="auto" w:fill="auto"/>
            <w:noWrap/>
            <w:vAlign w:val="center"/>
            <w:hideMark/>
          </w:tcPr>
          <w:p w14:paraId="2695E483" w14:textId="77777777" w:rsidR="0079428C" w:rsidRPr="00C66F16" w:rsidRDefault="0079428C" w:rsidP="007805A4">
            <w:pPr>
              <w:spacing w:before="40" w:after="40" w:line="240" w:lineRule="auto"/>
              <w:jc w:val="center"/>
              <w:rPr>
                <w:rFonts w:eastAsia="Times New Roman" w:cs="Calibri"/>
                <w:sz w:val="20"/>
                <w:szCs w:val="20"/>
                <w:lang w:val="es-ES" w:eastAsia="es-AR"/>
              </w:rPr>
            </w:pPr>
            <w:r w:rsidRPr="00C66F16">
              <w:rPr>
                <w:rFonts w:eastAsia="Times New Roman" w:cs="Calibri"/>
                <w:sz w:val="20"/>
                <w:szCs w:val="20"/>
                <w:lang w:val="es-ES" w:eastAsia="es-AR"/>
              </w:rPr>
              <w:t>O2</w:t>
            </w:r>
          </w:p>
        </w:tc>
        <w:tc>
          <w:tcPr>
            <w:tcW w:w="3686" w:type="dxa"/>
            <w:shd w:val="clear" w:color="auto" w:fill="auto"/>
            <w:noWrap/>
            <w:vAlign w:val="center"/>
            <w:hideMark/>
          </w:tcPr>
          <w:p w14:paraId="5F6C4084" w14:textId="77777777" w:rsidR="0079428C" w:rsidRPr="00C66F16" w:rsidRDefault="0079428C" w:rsidP="007805A4">
            <w:pPr>
              <w:spacing w:before="40" w:after="40" w:line="240" w:lineRule="auto"/>
              <w:jc w:val="left"/>
              <w:rPr>
                <w:rFonts w:eastAsia="Times New Roman" w:cs="Calibri"/>
                <w:sz w:val="20"/>
                <w:szCs w:val="20"/>
                <w:lang w:val="es-ES" w:eastAsia="es-AR"/>
              </w:rPr>
            </w:pPr>
            <w:r w:rsidRPr="00C66F16">
              <w:rPr>
                <w:rFonts w:eastAsia="Times New Roman" w:cs="Calibri"/>
                <w:sz w:val="20"/>
                <w:szCs w:val="20"/>
                <w:lang w:val="es-ES" w:eastAsia="es-AR"/>
              </w:rPr>
              <w:t>Liniero principal</w:t>
            </w:r>
          </w:p>
        </w:tc>
        <w:tc>
          <w:tcPr>
            <w:tcW w:w="5103" w:type="dxa"/>
            <w:shd w:val="clear" w:color="auto" w:fill="auto"/>
            <w:noWrap/>
            <w:vAlign w:val="center"/>
            <w:hideMark/>
          </w:tcPr>
          <w:p w14:paraId="56F3FA5E" w14:textId="77777777" w:rsidR="0079428C" w:rsidRPr="00C66F16" w:rsidRDefault="0079428C" w:rsidP="007805A4">
            <w:pPr>
              <w:spacing w:before="40" w:after="40" w:line="240" w:lineRule="auto"/>
              <w:jc w:val="left"/>
              <w:rPr>
                <w:rFonts w:eastAsia="Times New Roman" w:cs="Calibri"/>
                <w:sz w:val="20"/>
                <w:szCs w:val="20"/>
                <w:lang w:val="es-ES" w:eastAsia="es-AR"/>
              </w:rPr>
            </w:pPr>
            <w:r w:rsidRPr="00C66F16">
              <w:rPr>
                <w:rFonts w:eastAsia="Times New Roman" w:cs="Calibri"/>
                <w:sz w:val="20"/>
                <w:szCs w:val="20"/>
                <w:lang w:val="es-ES" w:eastAsia="es-AR"/>
              </w:rPr>
              <w:t xml:space="preserve">Técnico principal de subestación </w:t>
            </w:r>
          </w:p>
        </w:tc>
      </w:tr>
      <w:tr w:rsidR="0079428C" w:rsidRPr="00B06D23" w14:paraId="3CF4CB40" w14:textId="77777777" w:rsidTr="007805A4">
        <w:trPr>
          <w:jc w:val="center"/>
        </w:trPr>
        <w:tc>
          <w:tcPr>
            <w:tcW w:w="851" w:type="dxa"/>
            <w:shd w:val="clear" w:color="auto" w:fill="auto"/>
            <w:noWrap/>
            <w:vAlign w:val="center"/>
            <w:hideMark/>
          </w:tcPr>
          <w:p w14:paraId="60B06065" w14:textId="77777777" w:rsidR="0079428C" w:rsidRPr="00C66F16" w:rsidRDefault="0079428C" w:rsidP="007805A4">
            <w:pPr>
              <w:spacing w:before="40" w:after="40" w:line="240" w:lineRule="auto"/>
              <w:jc w:val="center"/>
              <w:rPr>
                <w:rFonts w:eastAsia="Times New Roman" w:cs="Calibri"/>
                <w:sz w:val="20"/>
                <w:szCs w:val="20"/>
                <w:lang w:val="es-ES" w:eastAsia="es-AR"/>
              </w:rPr>
            </w:pPr>
            <w:r w:rsidRPr="00C66F16">
              <w:rPr>
                <w:rFonts w:eastAsia="Times New Roman" w:cs="Calibri"/>
                <w:sz w:val="20"/>
                <w:szCs w:val="20"/>
                <w:lang w:val="es-ES" w:eastAsia="es-AR"/>
              </w:rPr>
              <w:t>O3</w:t>
            </w:r>
          </w:p>
        </w:tc>
        <w:tc>
          <w:tcPr>
            <w:tcW w:w="3686" w:type="dxa"/>
            <w:shd w:val="clear" w:color="auto" w:fill="auto"/>
            <w:noWrap/>
            <w:vAlign w:val="center"/>
            <w:hideMark/>
          </w:tcPr>
          <w:p w14:paraId="696EFF12" w14:textId="77777777" w:rsidR="0079428C" w:rsidRPr="00C66F16" w:rsidRDefault="0079428C" w:rsidP="007805A4">
            <w:pPr>
              <w:spacing w:before="40" w:after="40" w:line="240" w:lineRule="auto"/>
              <w:jc w:val="left"/>
              <w:rPr>
                <w:rFonts w:eastAsia="Times New Roman" w:cs="Calibri"/>
                <w:sz w:val="20"/>
                <w:szCs w:val="20"/>
                <w:lang w:val="es-ES" w:eastAsia="es-AR"/>
              </w:rPr>
            </w:pPr>
            <w:r w:rsidRPr="00C66F16">
              <w:rPr>
                <w:rFonts w:eastAsia="Times New Roman" w:cs="Calibri"/>
                <w:sz w:val="20"/>
                <w:szCs w:val="20"/>
                <w:lang w:val="es-ES" w:eastAsia="es-AR"/>
              </w:rPr>
              <w:t>Liniero Auxiliar</w:t>
            </w:r>
          </w:p>
        </w:tc>
        <w:tc>
          <w:tcPr>
            <w:tcW w:w="5103" w:type="dxa"/>
            <w:shd w:val="clear" w:color="auto" w:fill="auto"/>
            <w:noWrap/>
            <w:vAlign w:val="center"/>
            <w:hideMark/>
          </w:tcPr>
          <w:p w14:paraId="623C4375" w14:textId="77777777" w:rsidR="0079428C" w:rsidRPr="00C66F16" w:rsidRDefault="0079428C" w:rsidP="007805A4">
            <w:pPr>
              <w:spacing w:before="40" w:after="40" w:line="240" w:lineRule="auto"/>
              <w:jc w:val="left"/>
              <w:rPr>
                <w:rFonts w:eastAsia="Times New Roman" w:cs="Calibri"/>
                <w:sz w:val="20"/>
                <w:szCs w:val="20"/>
                <w:lang w:val="es-ES" w:eastAsia="es-AR"/>
              </w:rPr>
            </w:pPr>
            <w:r w:rsidRPr="00C66F16">
              <w:rPr>
                <w:rFonts w:eastAsia="Times New Roman" w:cs="Calibri"/>
                <w:sz w:val="20"/>
                <w:szCs w:val="20"/>
                <w:lang w:val="es-ES" w:eastAsia="es-AR"/>
              </w:rPr>
              <w:t>Técnico auxiliar de subestación</w:t>
            </w:r>
          </w:p>
        </w:tc>
      </w:tr>
      <w:tr w:rsidR="0079428C" w:rsidRPr="00B06D23" w14:paraId="21DB18BC" w14:textId="77777777" w:rsidTr="007805A4">
        <w:trPr>
          <w:jc w:val="center"/>
        </w:trPr>
        <w:tc>
          <w:tcPr>
            <w:tcW w:w="851" w:type="dxa"/>
            <w:shd w:val="clear" w:color="auto" w:fill="auto"/>
            <w:noWrap/>
            <w:vAlign w:val="center"/>
            <w:hideMark/>
          </w:tcPr>
          <w:p w14:paraId="162637BC" w14:textId="77777777" w:rsidR="0079428C" w:rsidRPr="00C66F16" w:rsidRDefault="0079428C" w:rsidP="007805A4">
            <w:pPr>
              <w:spacing w:before="40" w:after="40" w:line="240" w:lineRule="auto"/>
              <w:jc w:val="center"/>
              <w:rPr>
                <w:rFonts w:eastAsia="Times New Roman" w:cs="Calibri"/>
                <w:sz w:val="20"/>
                <w:szCs w:val="20"/>
                <w:lang w:val="es-ES" w:eastAsia="es-AR"/>
              </w:rPr>
            </w:pPr>
            <w:r w:rsidRPr="00C66F16">
              <w:rPr>
                <w:rFonts w:eastAsia="Times New Roman" w:cs="Calibri"/>
                <w:sz w:val="20"/>
                <w:szCs w:val="20"/>
                <w:lang w:val="es-ES" w:eastAsia="es-AR"/>
              </w:rPr>
              <w:t>O4</w:t>
            </w:r>
          </w:p>
        </w:tc>
        <w:tc>
          <w:tcPr>
            <w:tcW w:w="3686" w:type="dxa"/>
            <w:shd w:val="clear" w:color="auto" w:fill="auto"/>
            <w:noWrap/>
            <w:vAlign w:val="center"/>
            <w:hideMark/>
          </w:tcPr>
          <w:p w14:paraId="5334E6D6" w14:textId="77777777" w:rsidR="0079428C" w:rsidRPr="00C66F16" w:rsidRDefault="0079428C" w:rsidP="007805A4">
            <w:pPr>
              <w:spacing w:before="40" w:after="40" w:line="240" w:lineRule="auto"/>
              <w:jc w:val="left"/>
              <w:rPr>
                <w:rFonts w:eastAsia="Times New Roman" w:cs="Calibri"/>
                <w:sz w:val="20"/>
                <w:szCs w:val="20"/>
                <w:lang w:val="es-ES" w:eastAsia="es-AR"/>
              </w:rPr>
            </w:pPr>
            <w:r w:rsidRPr="00C66F16">
              <w:rPr>
                <w:rFonts w:eastAsia="Times New Roman" w:cs="Calibri"/>
                <w:sz w:val="20"/>
                <w:szCs w:val="20"/>
                <w:lang w:val="es-ES" w:eastAsia="es-AR"/>
              </w:rPr>
              <w:t>Ayudante Líneas</w:t>
            </w:r>
          </w:p>
        </w:tc>
        <w:tc>
          <w:tcPr>
            <w:tcW w:w="5103" w:type="dxa"/>
            <w:shd w:val="clear" w:color="auto" w:fill="auto"/>
            <w:noWrap/>
            <w:vAlign w:val="center"/>
            <w:hideMark/>
          </w:tcPr>
          <w:p w14:paraId="2F887AC8" w14:textId="77777777" w:rsidR="0079428C" w:rsidRPr="00C66F16" w:rsidRDefault="0079428C" w:rsidP="007805A4">
            <w:pPr>
              <w:spacing w:before="40" w:after="40" w:line="240" w:lineRule="auto"/>
              <w:jc w:val="left"/>
              <w:rPr>
                <w:rFonts w:eastAsia="Times New Roman" w:cs="Calibri"/>
                <w:sz w:val="20"/>
                <w:szCs w:val="20"/>
                <w:lang w:val="es-ES" w:eastAsia="es-AR"/>
              </w:rPr>
            </w:pPr>
            <w:r w:rsidRPr="00C66F16">
              <w:rPr>
                <w:rFonts w:eastAsia="Times New Roman" w:cs="Calibri"/>
                <w:sz w:val="20"/>
                <w:szCs w:val="20"/>
                <w:lang w:val="es-ES" w:eastAsia="es-AR"/>
              </w:rPr>
              <w:t>Ayudante Estaciones</w:t>
            </w:r>
          </w:p>
        </w:tc>
      </w:tr>
      <w:tr w:rsidR="0079428C" w:rsidRPr="00B06D23" w14:paraId="16A81E74" w14:textId="77777777" w:rsidTr="007805A4">
        <w:trPr>
          <w:jc w:val="center"/>
        </w:trPr>
        <w:tc>
          <w:tcPr>
            <w:tcW w:w="851" w:type="dxa"/>
            <w:shd w:val="clear" w:color="auto" w:fill="auto"/>
            <w:noWrap/>
            <w:vAlign w:val="center"/>
            <w:hideMark/>
          </w:tcPr>
          <w:p w14:paraId="6D50A21C" w14:textId="77777777" w:rsidR="0079428C" w:rsidRPr="00C66F16" w:rsidRDefault="0079428C" w:rsidP="007805A4">
            <w:pPr>
              <w:spacing w:before="40" w:after="40" w:line="240" w:lineRule="auto"/>
              <w:jc w:val="center"/>
              <w:rPr>
                <w:rFonts w:eastAsia="Times New Roman" w:cs="Calibri"/>
                <w:sz w:val="20"/>
                <w:szCs w:val="20"/>
                <w:lang w:val="es-ES" w:eastAsia="es-AR"/>
              </w:rPr>
            </w:pPr>
            <w:r w:rsidRPr="00C66F16">
              <w:rPr>
                <w:rFonts w:eastAsia="Times New Roman" w:cs="Calibri"/>
                <w:sz w:val="20"/>
                <w:szCs w:val="20"/>
                <w:lang w:val="es-ES" w:eastAsia="es-AR"/>
              </w:rPr>
              <w:t>O5</w:t>
            </w:r>
          </w:p>
        </w:tc>
        <w:tc>
          <w:tcPr>
            <w:tcW w:w="3686" w:type="dxa"/>
            <w:shd w:val="clear" w:color="auto" w:fill="auto"/>
            <w:noWrap/>
            <w:vAlign w:val="center"/>
            <w:hideMark/>
          </w:tcPr>
          <w:p w14:paraId="496806C1" w14:textId="7E1054F4" w:rsidR="0079428C" w:rsidRPr="00C66F16" w:rsidRDefault="0079428C" w:rsidP="007805A4">
            <w:pPr>
              <w:spacing w:before="40" w:after="40" w:line="240" w:lineRule="auto"/>
              <w:jc w:val="left"/>
              <w:rPr>
                <w:rFonts w:eastAsia="Times New Roman" w:cs="Calibri"/>
                <w:sz w:val="20"/>
                <w:szCs w:val="20"/>
                <w:lang w:val="es-ES" w:eastAsia="es-AR"/>
              </w:rPr>
            </w:pPr>
            <w:r w:rsidRPr="00C66F16">
              <w:rPr>
                <w:rFonts w:eastAsia="Times New Roman" w:cs="Calibri"/>
                <w:sz w:val="20"/>
                <w:szCs w:val="20"/>
                <w:lang w:val="es-ES" w:eastAsia="es-AR"/>
              </w:rPr>
              <w:t xml:space="preserve">Operador de vehículos especiales </w:t>
            </w:r>
            <w:r w:rsidR="00BA2EDF" w:rsidRPr="00C66F16">
              <w:rPr>
                <w:rFonts w:eastAsia="Times New Roman" w:cs="Calibri"/>
                <w:sz w:val="20"/>
                <w:szCs w:val="20"/>
                <w:lang w:val="es-ES" w:eastAsia="es-AR"/>
              </w:rPr>
              <w:t>Líneas</w:t>
            </w:r>
          </w:p>
        </w:tc>
        <w:tc>
          <w:tcPr>
            <w:tcW w:w="5103" w:type="dxa"/>
            <w:shd w:val="clear" w:color="auto" w:fill="auto"/>
            <w:noWrap/>
            <w:vAlign w:val="center"/>
            <w:hideMark/>
          </w:tcPr>
          <w:p w14:paraId="36D7FA3F" w14:textId="77777777" w:rsidR="0079428C" w:rsidRPr="00C66F16" w:rsidRDefault="0079428C" w:rsidP="007805A4">
            <w:pPr>
              <w:spacing w:before="40" w:after="40" w:line="240" w:lineRule="auto"/>
              <w:jc w:val="left"/>
              <w:rPr>
                <w:rFonts w:eastAsia="Times New Roman" w:cs="Calibri"/>
                <w:sz w:val="20"/>
                <w:szCs w:val="20"/>
                <w:lang w:val="es-ES" w:eastAsia="es-AR"/>
              </w:rPr>
            </w:pPr>
            <w:r w:rsidRPr="00C66F16">
              <w:rPr>
                <w:rFonts w:eastAsia="Times New Roman" w:cs="Calibri"/>
                <w:sz w:val="20"/>
                <w:szCs w:val="20"/>
                <w:lang w:val="es-ES" w:eastAsia="es-AR"/>
              </w:rPr>
              <w:t>Operador de vehículos especiales Estaciones</w:t>
            </w:r>
          </w:p>
        </w:tc>
      </w:tr>
      <w:tr w:rsidR="0079428C" w:rsidRPr="00B06D23" w14:paraId="3FD5F209" w14:textId="77777777" w:rsidTr="007805A4">
        <w:trPr>
          <w:jc w:val="center"/>
        </w:trPr>
        <w:tc>
          <w:tcPr>
            <w:tcW w:w="851" w:type="dxa"/>
            <w:shd w:val="clear" w:color="auto" w:fill="auto"/>
            <w:noWrap/>
            <w:vAlign w:val="center"/>
            <w:hideMark/>
          </w:tcPr>
          <w:p w14:paraId="4AA4FA44" w14:textId="77777777" w:rsidR="0079428C" w:rsidRPr="00C66F16" w:rsidRDefault="0079428C" w:rsidP="007805A4">
            <w:pPr>
              <w:spacing w:before="40" w:after="40" w:line="240" w:lineRule="auto"/>
              <w:jc w:val="center"/>
              <w:rPr>
                <w:rFonts w:eastAsia="Times New Roman" w:cs="Calibri"/>
                <w:sz w:val="20"/>
                <w:szCs w:val="20"/>
                <w:lang w:val="es-ES" w:eastAsia="es-AR"/>
              </w:rPr>
            </w:pPr>
            <w:r w:rsidRPr="00C66F16">
              <w:rPr>
                <w:rFonts w:eastAsia="Times New Roman" w:cs="Calibri"/>
                <w:sz w:val="20"/>
                <w:szCs w:val="20"/>
                <w:lang w:val="es-ES" w:eastAsia="es-AR"/>
              </w:rPr>
              <w:t>O6</w:t>
            </w:r>
          </w:p>
        </w:tc>
        <w:tc>
          <w:tcPr>
            <w:tcW w:w="3686" w:type="dxa"/>
            <w:shd w:val="clear" w:color="auto" w:fill="auto"/>
            <w:noWrap/>
            <w:vAlign w:val="center"/>
            <w:hideMark/>
          </w:tcPr>
          <w:p w14:paraId="3621F066" w14:textId="77777777" w:rsidR="0079428C" w:rsidRPr="00C66F16" w:rsidRDefault="0079428C" w:rsidP="007805A4">
            <w:pPr>
              <w:spacing w:before="40" w:after="40" w:line="240" w:lineRule="auto"/>
              <w:jc w:val="left"/>
              <w:rPr>
                <w:rFonts w:eastAsia="Times New Roman" w:cs="Calibri"/>
                <w:sz w:val="20"/>
                <w:szCs w:val="20"/>
                <w:lang w:val="es-ES" w:eastAsia="es-AR"/>
              </w:rPr>
            </w:pPr>
            <w:r w:rsidRPr="00C66F16">
              <w:rPr>
                <w:rFonts w:eastAsia="Times New Roman" w:cs="Calibri"/>
                <w:sz w:val="20"/>
                <w:szCs w:val="20"/>
                <w:lang w:val="es-ES" w:eastAsia="es-AR"/>
              </w:rPr>
              <w:t> </w:t>
            </w:r>
          </w:p>
        </w:tc>
        <w:tc>
          <w:tcPr>
            <w:tcW w:w="5103" w:type="dxa"/>
            <w:shd w:val="clear" w:color="auto" w:fill="auto"/>
            <w:noWrap/>
            <w:vAlign w:val="center"/>
            <w:hideMark/>
          </w:tcPr>
          <w:p w14:paraId="4F104FE5" w14:textId="77777777" w:rsidR="0079428C" w:rsidRPr="00C66F16" w:rsidRDefault="0079428C" w:rsidP="007805A4">
            <w:pPr>
              <w:spacing w:before="40" w:after="40" w:line="240" w:lineRule="auto"/>
              <w:jc w:val="left"/>
              <w:rPr>
                <w:rFonts w:eastAsia="Times New Roman" w:cs="Calibri"/>
                <w:sz w:val="20"/>
                <w:szCs w:val="20"/>
                <w:lang w:val="es-ES" w:eastAsia="es-AR"/>
              </w:rPr>
            </w:pPr>
            <w:r w:rsidRPr="00C66F16">
              <w:rPr>
                <w:rFonts w:eastAsia="Times New Roman" w:cs="Calibri"/>
                <w:sz w:val="20"/>
                <w:szCs w:val="20"/>
                <w:lang w:val="es-ES" w:eastAsia="es-AR"/>
              </w:rPr>
              <w:t>Técnico de comunicaciones, control y protecciones</w:t>
            </w:r>
          </w:p>
        </w:tc>
      </w:tr>
    </w:tbl>
    <w:p w14:paraId="2F2CE44D" w14:textId="77777777" w:rsidR="00D71779" w:rsidRDefault="00D71779" w:rsidP="00484B50">
      <w:pPr>
        <w:spacing w:after="0"/>
        <w:rPr>
          <w:lang w:val="es-ES"/>
        </w:rPr>
      </w:pPr>
    </w:p>
    <w:p w14:paraId="0DB3280D" w14:textId="3063E633" w:rsidR="0079428C" w:rsidRPr="00950755" w:rsidRDefault="0079428C" w:rsidP="0079428C">
      <w:pPr>
        <w:rPr>
          <w:lang w:val="es-ES"/>
        </w:rPr>
      </w:pPr>
      <w:r w:rsidRPr="00B06D23">
        <w:rPr>
          <w:lang w:val="es-ES"/>
        </w:rPr>
        <w:t xml:space="preserve">Como se verá más adelante en el </w:t>
      </w:r>
      <w:r w:rsidRPr="00950755">
        <w:rPr>
          <w:lang w:val="es-ES"/>
        </w:rPr>
        <w:t>capítulo de “</w:t>
      </w:r>
      <w:r w:rsidR="00BA2EDF" w:rsidRPr="00950755">
        <w:rPr>
          <w:lang w:val="es-ES"/>
        </w:rPr>
        <w:t>Análisis</w:t>
      </w:r>
      <w:r w:rsidRPr="00950755">
        <w:rPr>
          <w:lang w:val="es-ES"/>
        </w:rPr>
        <w:t xml:space="preserve"> de tercerización de actividades” la cuadrilla CMREL, </w:t>
      </w:r>
      <w:r w:rsidR="00BA2EDF" w:rsidRPr="00950755">
        <w:rPr>
          <w:lang w:val="es-ES"/>
        </w:rPr>
        <w:t>está</w:t>
      </w:r>
      <w:r w:rsidRPr="00950755">
        <w:rPr>
          <w:lang w:val="es-ES"/>
        </w:rPr>
        <w:t xml:space="preserve"> integrada por personal propio. </w:t>
      </w:r>
    </w:p>
    <w:p w14:paraId="2D1439F7" w14:textId="5751A398" w:rsidR="0079428C" w:rsidRPr="00B06D23" w:rsidRDefault="0079428C" w:rsidP="0079428C">
      <w:pPr>
        <w:rPr>
          <w:lang w:val="es-ES"/>
        </w:rPr>
      </w:pPr>
      <w:r w:rsidRPr="00950755">
        <w:rPr>
          <w:lang w:val="es-ES"/>
        </w:rPr>
        <w:t>En el capítulo de remuneraciones se definen los puestos de la encuesta PWC para cada puesto de</w:t>
      </w:r>
      <w:r w:rsidR="00950755" w:rsidRPr="00950755">
        <w:rPr>
          <w:lang w:val="es-ES"/>
        </w:rPr>
        <w:t xml:space="preserve"> </w:t>
      </w:r>
      <w:r w:rsidRPr="00950755">
        <w:rPr>
          <w:lang w:val="es-ES"/>
        </w:rPr>
        <w:t xml:space="preserve">cuadrilla y la conveniencia de su </w:t>
      </w:r>
      <w:r w:rsidR="00BA2EDF" w:rsidRPr="00950755">
        <w:rPr>
          <w:lang w:val="es-ES"/>
        </w:rPr>
        <w:t>tercerización</w:t>
      </w:r>
      <w:r w:rsidRPr="00950755">
        <w:rPr>
          <w:lang w:val="es-ES"/>
        </w:rPr>
        <w:t>.</w:t>
      </w:r>
    </w:p>
    <w:p w14:paraId="7C0077E4" w14:textId="433844C4" w:rsidR="0079428C" w:rsidRDefault="0079428C" w:rsidP="0079428C">
      <w:pPr>
        <w:rPr>
          <w:lang w:val="es-ES"/>
        </w:rPr>
      </w:pPr>
      <w:r w:rsidRPr="00B06D23">
        <w:rPr>
          <w:lang w:val="es-ES"/>
        </w:rPr>
        <w:t>Los vehículos de la cuadrilla señalados en el cuadro anterior son:</w:t>
      </w:r>
    </w:p>
    <w:p w14:paraId="1EED739E" w14:textId="796CA738" w:rsidR="00C66F16" w:rsidRPr="00BC38C2" w:rsidRDefault="00C66F16" w:rsidP="00C66F16">
      <w:pPr>
        <w:pStyle w:val="Subttulo"/>
      </w:pPr>
      <w:bookmarkStart w:id="215" w:name="_Toc39797933"/>
      <w:r w:rsidRPr="00BC38C2">
        <w:t xml:space="preserve">Tabla </w:t>
      </w:r>
      <w:fldSimple w:instr=" SEQ Tabla \* ARABIC ">
        <w:r w:rsidR="001F3E2E">
          <w:rPr>
            <w:noProof/>
          </w:rPr>
          <w:t>23</w:t>
        </w:r>
      </w:fldSimple>
      <w:r w:rsidR="00066916">
        <w:rPr>
          <w:noProof/>
        </w:rPr>
        <w:t>:</w:t>
      </w:r>
      <w:r w:rsidRPr="00BC38C2">
        <w:t xml:space="preserve"> </w:t>
      </w:r>
      <w:r>
        <w:t>Vehículos cuadrillas de terreno</w:t>
      </w:r>
      <w:bookmarkEnd w:id="215"/>
    </w:p>
    <w:tbl>
      <w:tblPr>
        <w:tblW w:w="4130" w:type="dxa"/>
        <w:jc w:val="center"/>
        <w:tblLayout w:type="fixed"/>
        <w:tblCellMar>
          <w:left w:w="57" w:type="dxa"/>
          <w:right w:w="57" w:type="dxa"/>
        </w:tblCellMar>
        <w:tblLook w:val="04A0" w:firstRow="1" w:lastRow="0" w:firstColumn="1" w:lastColumn="0" w:noHBand="0" w:noVBand="1"/>
      </w:tblPr>
      <w:tblGrid>
        <w:gridCol w:w="933"/>
        <w:gridCol w:w="3197"/>
      </w:tblGrid>
      <w:tr w:rsidR="0079428C" w:rsidRPr="007805A4" w14:paraId="44EE6002" w14:textId="77777777" w:rsidTr="007805A4">
        <w:trPr>
          <w:trHeight w:val="20"/>
          <w:tblHeader/>
          <w:jc w:val="center"/>
        </w:trPr>
        <w:tc>
          <w:tcPr>
            <w:tcW w:w="1134"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39046AC0" w14:textId="77777777" w:rsidR="0079428C" w:rsidRPr="007805A4" w:rsidRDefault="0079428C" w:rsidP="007805A4">
            <w:pPr>
              <w:spacing w:before="40" w:after="40" w:line="240" w:lineRule="auto"/>
              <w:jc w:val="center"/>
              <w:rPr>
                <w:rFonts w:eastAsia="Times New Roman" w:cs="Calibri"/>
                <w:b/>
                <w:bCs/>
                <w:sz w:val="22"/>
                <w:szCs w:val="22"/>
                <w:lang w:val="es-ES" w:eastAsia="es-AR"/>
              </w:rPr>
            </w:pPr>
            <w:r w:rsidRPr="007805A4">
              <w:rPr>
                <w:rFonts w:eastAsia="Times New Roman" w:cs="Calibri"/>
                <w:b/>
                <w:bCs/>
                <w:sz w:val="22"/>
                <w:szCs w:val="22"/>
                <w:lang w:val="es-ES" w:eastAsia="es-AR"/>
              </w:rPr>
              <w:t>Código</w:t>
            </w:r>
          </w:p>
        </w:tc>
        <w:tc>
          <w:tcPr>
            <w:tcW w:w="3969"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79802A94" w14:textId="77777777" w:rsidR="0079428C" w:rsidRPr="007805A4" w:rsidRDefault="0079428C" w:rsidP="007805A4">
            <w:pPr>
              <w:spacing w:before="40" w:after="40" w:line="240" w:lineRule="auto"/>
              <w:jc w:val="center"/>
              <w:rPr>
                <w:rFonts w:eastAsia="Times New Roman" w:cs="Calibri"/>
                <w:b/>
                <w:bCs/>
                <w:sz w:val="22"/>
                <w:szCs w:val="22"/>
                <w:lang w:val="es-ES" w:eastAsia="es-AR"/>
              </w:rPr>
            </w:pPr>
            <w:r w:rsidRPr="007805A4">
              <w:rPr>
                <w:rFonts w:eastAsia="Times New Roman" w:cs="Calibri"/>
                <w:b/>
                <w:bCs/>
                <w:sz w:val="22"/>
                <w:szCs w:val="22"/>
                <w:lang w:val="es-ES" w:eastAsia="es-AR"/>
              </w:rPr>
              <w:t>Tipo de Vehículo</w:t>
            </w:r>
          </w:p>
        </w:tc>
      </w:tr>
      <w:tr w:rsidR="0079428C" w:rsidRPr="007805A4" w14:paraId="7DC54408" w14:textId="77777777" w:rsidTr="007805A4">
        <w:trPr>
          <w:trHeight w:val="20"/>
          <w:jc w:val="center"/>
        </w:trPr>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7E60A77" w14:textId="77777777" w:rsidR="0079428C" w:rsidRPr="007805A4" w:rsidRDefault="0079428C" w:rsidP="007805A4">
            <w:pPr>
              <w:spacing w:before="40" w:after="40" w:line="240" w:lineRule="auto"/>
              <w:jc w:val="center"/>
              <w:rPr>
                <w:rFonts w:eastAsia="Times New Roman" w:cs="Calibri"/>
                <w:sz w:val="22"/>
                <w:szCs w:val="22"/>
                <w:lang w:val="es-ES" w:eastAsia="es-AR"/>
              </w:rPr>
            </w:pPr>
            <w:r w:rsidRPr="007805A4">
              <w:rPr>
                <w:rFonts w:eastAsia="Times New Roman" w:cs="Calibri"/>
                <w:sz w:val="22"/>
                <w:szCs w:val="22"/>
                <w:lang w:val="es-ES" w:eastAsia="es-AR"/>
              </w:rPr>
              <w:t>V1</w:t>
            </w:r>
          </w:p>
        </w:tc>
        <w:tc>
          <w:tcPr>
            <w:tcW w:w="396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F2C33A0" w14:textId="77777777" w:rsidR="0079428C" w:rsidRPr="007805A4" w:rsidRDefault="0079428C" w:rsidP="007805A4">
            <w:pPr>
              <w:spacing w:before="40" w:after="40" w:line="240" w:lineRule="auto"/>
              <w:jc w:val="left"/>
              <w:rPr>
                <w:rFonts w:eastAsia="Times New Roman" w:cs="Calibri"/>
                <w:sz w:val="22"/>
                <w:szCs w:val="22"/>
                <w:lang w:val="es-ES" w:eastAsia="es-AR"/>
              </w:rPr>
            </w:pPr>
            <w:r w:rsidRPr="007805A4">
              <w:rPr>
                <w:rFonts w:eastAsia="Times New Roman" w:cs="Calibri"/>
                <w:sz w:val="22"/>
                <w:szCs w:val="22"/>
                <w:lang w:val="es-ES" w:eastAsia="es-AR"/>
              </w:rPr>
              <w:t>Camioneta doble cabina 4x4</w:t>
            </w:r>
          </w:p>
        </w:tc>
      </w:tr>
      <w:tr w:rsidR="0079428C" w:rsidRPr="007805A4" w14:paraId="16761C61" w14:textId="77777777" w:rsidTr="007805A4">
        <w:trPr>
          <w:trHeight w:val="20"/>
          <w:jc w:val="center"/>
        </w:trPr>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3CFEEFB" w14:textId="77777777" w:rsidR="0079428C" w:rsidRPr="007805A4" w:rsidRDefault="0079428C" w:rsidP="007805A4">
            <w:pPr>
              <w:spacing w:before="40" w:after="40" w:line="240" w:lineRule="auto"/>
              <w:jc w:val="center"/>
              <w:rPr>
                <w:rFonts w:eastAsia="Times New Roman" w:cs="Calibri"/>
                <w:sz w:val="22"/>
                <w:szCs w:val="22"/>
                <w:lang w:val="es-ES" w:eastAsia="es-AR"/>
              </w:rPr>
            </w:pPr>
            <w:r w:rsidRPr="007805A4">
              <w:rPr>
                <w:rFonts w:eastAsia="Times New Roman" w:cs="Calibri"/>
                <w:sz w:val="22"/>
                <w:szCs w:val="22"/>
                <w:lang w:val="es-ES" w:eastAsia="es-AR"/>
              </w:rPr>
              <w:t>V2</w:t>
            </w:r>
          </w:p>
        </w:tc>
        <w:tc>
          <w:tcPr>
            <w:tcW w:w="396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B0FC144" w14:textId="77777777" w:rsidR="0079428C" w:rsidRPr="007805A4" w:rsidRDefault="0079428C" w:rsidP="007805A4">
            <w:pPr>
              <w:spacing w:before="40" w:after="40" w:line="240" w:lineRule="auto"/>
              <w:jc w:val="left"/>
              <w:rPr>
                <w:rFonts w:eastAsia="Times New Roman" w:cs="Calibri"/>
                <w:sz w:val="22"/>
                <w:szCs w:val="22"/>
                <w:lang w:val="es-ES" w:eastAsia="es-AR"/>
              </w:rPr>
            </w:pPr>
            <w:r w:rsidRPr="007805A4">
              <w:rPr>
                <w:rFonts w:eastAsia="Times New Roman" w:cs="Calibri"/>
                <w:sz w:val="22"/>
                <w:szCs w:val="22"/>
                <w:lang w:val="es-ES" w:eastAsia="es-AR"/>
              </w:rPr>
              <w:t>Camión 6 t</w:t>
            </w:r>
          </w:p>
        </w:tc>
      </w:tr>
      <w:tr w:rsidR="0079428C" w:rsidRPr="007805A4" w14:paraId="4586EB1A" w14:textId="77777777" w:rsidTr="007805A4">
        <w:trPr>
          <w:trHeight w:val="20"/>
          <w:jc w:val="center"/>
        </w:trPr>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C2B8470" w14:textId="77777777" w:rsidR="0079428C" w:rsidRPr="007805A4" w:rsidRDefault="0079428C" w:rsidP="007805A4">
            <w:pPr>
              <w:spacing w:before="40" w:after="40" w:line="240" w:lineRule="auto"/>
              <w:jc w:val="center"/>
              <w:rPr>
                <w:rFonts w:eastAsia="Times New Roman" w:cs="Calibri"/>
                <w:sz w:val="22"/>
                <w:szCs w:val="22"/>
                <w:lang w:val="es-ES" w:eastAsia="es-AR"/>
              </w:rPr>
            </w:pPr>
            <w:r w:rsidRPr="007805A4">
              <w:rPr>
                <w:rFonts w:eastAsia="Times New Roman" w:cs="Calibri"/>
                <w:sz w:val="22"/>
                <w:szCs w:val="22"/>
                <w:lang w:val="es-ES" w:eastAsia="es-AR"/>
              </w:rPr>
              <w:t>V3</w:t>
            </w:r>
          </w:p>
        </w:tc>
        <w:tc>
          <w:tcPr>
            <w:tcW w:w="396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C84964D" w14:textId="77777777" w:rsidR="0079428C" w:rsidRPr="007805A4" w:rsidRDefault="0079428C" w:rsidP="007805A4">
            <w:pPr>
              <w:spacing w:before="40" w:after="40" w:line="240" w:lineRule="auto"/>
              <w:jc w:val="left"/>
              <w:rPr>
                <w:rFonts w:eastAsia="Times New Roman" w:cs="Calibri"/>
                <w:sz w:val="22"/>
                <w:szCs w:val="22"/>
                <w:lang w:val="es-ES" w:eastAsia="es-AR"/>
              </w:rPr>
            </w:pPr>
            <w:r w:rsidRPr="007805A4">
              <w:rPr>
                <w:rFonts w:eastAsia="Times New Roman" w:cs="Calibri"/>
                <w:sz w:val="22"/>
                <w:szCs w:val="22"/>
                <w:lang w:val="es-ES" w:eastAsia="es-AR"/>
              </w:rPr>
              <w:t>Camión para lavado de aisladores</w:t>
            </w:r>
          </w:p>
        </w:tc>
      </w:tr>
      <w:tr w:rsidR="0079428C" w:rsidRPr="007805A4" w14:paraId="09A0FDCF" w14:textId="77777777" w:rsidTr="007805A4">
        <w:trPr>
          <w:trHeight w:val="20"/>
          <w:jc w:val="center"/>
        </w:trPr>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3F62A32" w14:textId="77777777" w:rsidR="0079428C" w:rsidRPr="007805A4" w:rsidRDefault="0079428C" w:rsidP="007805A4">
            <w:pPr>
              <w:spacing w:before="40" w:after="40" w:line="240" w:lineRule="auto"/>
              <w:jc w:val="center"/>
              <w:rPr>
                <w:rFonts w:eastAsia="Times New Roman" w:cs="Calibri"/>
                <w:sz w:val="22"/>
                <w:szCs w:val="22"/>
                <w:lang w:val="es-ES" w:eastAsia="es-AR"/>
              </w:rPr>
            </w:pPr>
            <w:r w:rsidRPr="007805A4">
              <w:rPr>
                <w:rFonts w:eastAsia="Times New Roman" w:cs="Calibri"/>
                <w:sz w:val="22"/>
                <w:szCs w:val="22"/>
                <w:lang w:val="es-ES" w:eastAsia="es-AR"/>
              </w:rPr>
              <w:t>V4</w:t>
            </w:r>
          </w:p>
        </w:tc>
        <w:tc>
          <w:tcPr>
            <w:tcW w:w="396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5BDB3A0" w14:textId="77777777" w:rsidR="0079428C" w:rsidRPr="007805A4" w:rsidRDefault="0079428C" w:rsidP="007805A4">
            <w:pPr>
              <w:spacing w:before="40" w:after="40" w:line="240" w:lineRule="auto"/>
              <w:jc w:val="left"/>
              <w:rPr>
                <w:rFonts w:eastAsia="Times New Roman" w:cs="Calibri"/>
                <w:sz w:val="22"/>
                <w:szCs w:val="22"/>
                <w:lang w:val="es-ES" w:eastAsia="es-AR"/>
              </w:rPr>
            </w:pPr>
            <w:r w:rsidRPr="007805A4">
              <w:rPr>
                <w:rFonts w:eastAsia="Times New Roman" w:cs="Calibri"/>
                <w:sz w:val="22"/>
                <w:szCs w:val="22"/>
                <w:lang w:val="es-ES" w:eastAsia="es-AR"/>
              </w:rPr>
              <w:t>Camión canasta (brazo aislado)</w:t>
            </w:r>
          </w:p>
        </w:tc>
      </w:tr>
      <w:tr w:rsidR="0079428C" w:rsidRPr="007805A4" w14:paraId="3C9528B6" w14:textId="77777777" w:rsidTr="007805A4">
        <w:trPr>
          <w:trHeight w:val="20"/>
          <w:jc w:val="center"/>
        </w:trPr>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035AB45" w14:textId="77777777" w:rsidR="0079428C" w:rsidRPr="007805A4" w:rsidRDefault="0079428C" w:rsidP="007805A4">
            <w:pPr>
              <w:spacing w:before="40" w:after="40" w:line="240" w:lineRule="auto"/>
              <w:jc w:val="center"/>
              <w:rPr>
                <w:rFonts w:eastAsia="Times New Roman" w:cs="Calibri"/>
                <w:sz w:val="22"/>
                <w:szCs w:val="22"/>
                <w:lang w:val="es-ES" w:eastAsia="es-AR"/>
              </w:rPr>
            </w:pPr>
            <w:r w:rsidRPr="007805A4">
              <w:rPr>
                <w:rFonts w:eastAsia="Times New Roman" w:cs="Calibri"/>
                <w:sz w:val="22"/>
                <w:szCs w:val="22"/>
                <w:lang w:val="es-ES" w:eastAsia="es-AR"/>
              </w:rPr>
              <w:t>V5</w:t>
            </w:r>
          </w:p>
        </w:tc>
        <w:tc>
          <w:tcPr>
            <w:tcW w:w="396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5F82AF8" w14:textId="77777777" w:rsidR="0079428C" w:rsidRPr="007805A4" w:rsidRDefault="0079428C" w:rsidP="007805A4">
            <w:pPr>
              <w:spacing w:before="40" w:after="40" w:line="240" w:lineRule="auto"/>
              <w:jc w:val="left"/>
              <w:rPr>
                <w:rFonts w:eastAsia="Times New Roman" w:cs="Calibri"/>
                <w:sz w:val="22"/>
                <w:szCs w:val="22"/>
                <w:lang w:val="es-ES" w:eastAsia="es-AR"/>
              </w:rPr>
            </w:pPr>
            <w:r w:rsidRPr="007805A4">
              <w:rPr>
                <w:rFonts w:eastAsia="Times New Roman" w:cs="Calibri"/>
                <w:sz w:val="22"/>
                <w:szCs w:val="22"/>
                <w:lang w:val="es-ES" w:eastAsia="es-AR"/>
              </w:rPr>
              <w:t>Camión con grúa de 6 t</w:t>
            </w:r>
          </w:p>
        </w:tc>
      </w:tr>
      <w:tr w:rsidR="0079428C" w:rsidRPr="007805A4" w14:paraId="2A448D33" w14:textId="77777777" w:rsidTr="007805A4">
        <w:trPr>
          <w:trHeight w:val="20"/>
          <w:jc w:val="center"/>
        </w:trPr>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147B452" w14:textId="77777777" w:rsidR="0079428C" w:rsidRPr="007805A4" w:rsidRDefault="0079428C" w:rsidP="007805A4">
            <w:pPr>
              <w:spacing w:before="40" w:after="40" w:line="240" w:lineRule="auto"/>
              <w:jc w:val="center"/>
              <w:rPr>
                <w:rFonts w:eastAsia="Times New Roman" w:cs="Calibri"/>
                <w:sz w:val="22"/>
                <w:szCs w:val="22"/>
                <w:lang w:val="es-ES" w:eastAsia="es-AR"/>
              </w:rPr>
            </w:pPr>
            <w:r w:rsidRPr="007805A4">
              <w:rPr>
                <w:rFonts w:eastAsia="Times New Roman" w:cs="Calibri"/>
                <w:sz w:val="22"/>
                <w:szCs w:val="22"/>
                <w:lang w:val="es-ES" w:eastAsia="es-AR"/>
              </w:rPr>
              <w:t>V6</w:t>
            </w:r>
          </w:p>
        </w:tc>
        <w:tc>
          <w:tcPr>
            <w:tcW w:w="396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6DD7E55" w14:textId="77777777" w:rsidR="0079428C" w:rsidRPr="007805A4" w:rsidRDefault="0079428C" w:rsidP="007805A4">
            <w:pPr>
              <w:spacing w:before="40" w:after="40" w:line="240" w:lineRule="auto"/>
              <w:jc w:val="left"/>
              <w:rPr>
                <w:rFonts w:eastAsia="Times New Roman" w:cs="Calibri"/>
                <w:i/>
                <w:sz w:val="22"/>
                <w:szCs w:val="22"/>
                <w:lang w:val="es-ES" w:eastAsia="es-AR"/>
              </w:rPr>
            </w:pPr>
            <w:r w:rsidRPr="007805A4">
              <w:rPr>
                <w:rFonts w:eastAsia="Times New Roman" w:cs="Calibri"/>
                <w:i/>
                <w:sz w:val="22"/>
                <w:szCs w:val="22"/>
                <w:lang w:val="es-ES" w:eastAsia="es-AR"/>
              </w:rPr>
              <w:t>Bulldozer</w:t>
            </w:r>
          </w:p>
        </w:tc>
      </w:tr>
      <w:tr w:rsidR="0079428C" w:rsidRPr="007805A4" w14:paraId="5006522A" w14:textId="77777777" w:rsidTr="007805A4">
        <w:trPr>
          <w:trHeight w:val="20"/>
          <w:jc w:val="center"/>
        </w:trPr>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2E99CFE" w14:textId="77777777" w:rsidR="0079428C" w:rsidRPr="007805A4" w:rsidRDefault="0079428C" w:rsidP="007805A4">
            <w:pPr>
              <w:spacing w:before="40" w:after="40" w:line="240" w:lineRule="auto"/>
              <w:jc w:val="center"/>
              <w:rPr>
                <w:rFonts w:eastAsia="Times New Roman" w:cs="Calibri"/>
                <w:sz w:val="22"/>
                <w:szCs w:val="22"/>
                <w:lang w:val="es-ES" w:eastAsia="es-AR"/>
              </w:rPr>
            </w:pPr>
            <w:r w:rsidRPr="007805A4">
              <w:rPr>
                <w:rFonts w:eastAsia="Times New Roman" w:cs="Calibri"/>
                <w:sz w:val="22"/>
                <w:szCs w:val="22"/>
                <w:lang w:val="es-ES" w:eastAsia="es-AR"/>
              </w:rPr>
              <w:t>V7</w:t>
            </w:r>
          </w:p>
        </w:tc>
        <w:tc>
          <w:tcPr>
            <w:tcW w:w="396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7389057" w14:textId="712E9FF3" w:rsidR="0079428C" w:rsidRPr="007805A4" w:rsidRDefault="00C66F16" w:rsidP="007805A4">
            <w:pPr>
              <w:spacing w:before="40" w:after="40" w:line="240" w:lineRule="auto"/>
              <w:jc w:val="left"/>
              <w:rPr>
                <w:rFonts w:eastAsia="Times New Roman" w:cs="Calibri"/>
                <w:sz w:val="22"/>
                <w:szCs w:val="22"/>
                <w:lang w:val="es-ES" w:eastAsia="es-AR"/>
              </w:rPr>
            </w:pPr>
            <w:r w:rsidRPr="007805A4">
              <w:rPr>
                <w:rFonts w:eastAsia="Times New Roman" w:cs="Calibri"/>
                <w:sz w:val="22"/>
                <w:szCs w:val="22"/>
                <w:lang w:val="es-ES" w:eastAsia="es-AR"/>
              </w:rPr>
              <w:t>Camión a</w:t>
            </w:r>
            <w:r w:rsidR="0079428C" w:rsidRPr="007805A4">
              <w:rPr>
                <w:rFonts w:eastAsia="Times New Roman" w:cs="Calibri"/>
                <w:sz w:val="22"/>
                <w:szCs w:val="22"/>
                <w:lang w:val="es-ES" w:eastAsia="es-AR"/>
              </w:rPr>
              <w:t>ljibe</w:t>
            </w:r>
          </w:p>
        </w:tc>
      </w:tr>
    </w:tbl>
    <w:p w14:paraId="1D8AF924" w14:textId="77777777" w:rsidR="0079428C" w:rsidRPr="00B06D23" w:rsidRDefault="0079428C" w:rsidP="007805A4">
      <w:pPr>
        <w:spacing w:after="0"/>
        <w:rPr>
          <w:lang w:val="es-ES"/>
        </w:rPr>
      </w:pPr>
    </w:p>
    <w:p w14:paraId="7784926C" w14:textId="2F118F6D" w:rsidR="0079428C" w:rsidRDefault="0079428C" w:rsidP="0079428C">
      <w:pPr>
        <w:rPr>
          <w:lang w:val="es-ES"/>
        </w:rPr>
      </w:pPr>
      <w:r w:rsidRPr="00B06D23">
        <w:rPr>
          <w:lang w:val="es-ES"/>
        </w:rPr>
        <w:t xml:space="preserve">En el capítulo de valorización de servicios tercerizados se definen los </w:t>
      </w:r>
      <w:r w:rsidRPr="00950755">
        <w:rPr>
          <w:lang w:val="es-ES"/>
        </w:rPr>
        <w:t xml:space="preserve">costos por </w:t>
      </w:r>
      <w:r w:rsidR="00BA2EDF" w:rsidRPr="00950755">
        <w:rPr>
          <w:lang w:val="es-ES"/>
        </w:rPr>
        <w:t>tipos</w:t>
      </w:r>
      <w:r w:rsidRPr="00950755">
        <w:rPr>
          <w:lang w:val="es-ES"/>
        </w:rPr>
        <w:t xml:space="preserve"> de vehículo y la conveniencia de arriendo vs compra.</w:t>
      </w:r>
    </w:p>
    <w:p w14:paraId="33F229DA" w14:textId="77777777" w:rsidR="0079428C" w:rsidRPr="00B06D23" w:rsidRDefault="0079428C" w:rsidP="0079428C">
      <w:pPr>
        <w:rPr>
          <w:lang w:val="es-ES"/>
        </w:rPr>
      </w:pPr>
      <w:r w:rsidRPr="00B06D23">
        <w:rPr>
          <w:lang w:val="es-ES"/>
        </w:rPr>
        <w:t>Los KIT de herramientas y seguridad personal se detallan en el capítulo de BM&amp;I. En el capítulo de BM&amp;I se definen las herramientas y elementos de seguridad de personal de cada cuadrilla.</w:t>
      </w:r>
    </w:p>
    <w:p w14:paraId="6C3C6A55" w14:textId="6D09950C" w:rsidR="0079428C" w:rsidRDefault="0079428C" w:rsidP="0079428C">
      <w:pPr>
        <w:rPr>
          <w:lang w:val="es-ES"/>
        </w:rPr>
      </w:pPr>
      <w:r w:rsidRPr="00B06D23">
        <w:rPr>
          <w:lang w:val="es-ES"/>
        </w:rPr>
        <w:t xml:space="preserve">En el </w:t>
      </w:r>
      <w:r w:rsidR="00AD24BF">
        <w:rPr>
          <w:lang w:val="es-ES"/>
        </w:rPr>
        <w:t>“</w:t>
      </w:r>
      <w:r w:rsidRPr="00B06D23">
        <w:rPr>
          <w:lang w:val="es-ES"/>
        </w:rPr>
        <w:t xml:space="preserve">Anexo </w:t>
      </w:r>
      <w:r w:rsidR="00AD24BF">
        <w:rPr>
          <w:lang w:val="es-ES"/>
        </w:rPr>
        <w:t>COMA</w:t>
      </w:r>
      <w:r w:rsidRPr="00B06D23">
        <w:rPr>
          <w:lang w:val="es-ES"/>
        </w:rPr>
        <w:t>_3 Modelo/Datos/ Costo Cuadrillas Tercerizadas</w:t>
      </w:r>
      <w:r w:rsidR="00AD24BF">
        <w:rPr>
          <w:lang w:val="es-ES"/>
        </w:rPr>
        <w:t>”</w:t>
      </w:r>
      <w:r w:rsidRPr="00B06D23">
        <w:rPr>
          <w:lang w:val="es-ES"/>
        </w:rPr>
        <w:t xml:space="preserve"> se encuentra el detalle del armado de las cuadrillas tercerizadas.</w:t>
      </w:r>
    </w:p>
    <w:p w14:paraId="23A7CBFF" w14:textId="77777777" w:rsidR="00484B50" w:rsidRPr="002D4A53" w:rsidRDefault="00484B50" w:rsidP="0079428C">
      <w:pPr>
        <w:rPr>
          <w:lang w:val="es-ES"/>
        </w:rPr>
      </w:pPr>
    </w:p>
    <w:p w14:paraId="64C82C6C" w14:textId="77777777" w:rsidR="0079428C" w:rsidRPr="00AC5990" w:rsidRDefault="0079428C" w:rsidP="0079428C">
      <w:pPr>
        <w:pStyle w:val="Ttulo4"/>
      </w:pPr>
      <w:bookmarkStart w:id="216" w:name="_Toc34398099"/>
      <w:bookmarkStart w:id="217" w:name="_Ref34639145"/>
      <w:bookmarkStart w:id="218" w:name="_Toc39797790"/>
      <w:r w:rsidRPr="00AC5990">
        <w:lastRenderedPageBreak/>
        <w:t>Tratamiento de las distancias recorridas para las faenas de OyM</w:t>
      </w:r>
      <w:bookmarkEnd w:id="216"/>
      <w:bookmarkEnd w:id="217"/>
      <w:bookmarkEnd w:id="218"/>
    </w:p>
    <w:p w14:paraId="26C13585" w14:textId="2C3E40AE" w:rsidR="00F64D04" w:rsidRPr="00BA7ACD" w:rsidRDefault="00F64D04" w:rsidP="00F64D04">
      <w:pPr>
        <w:rPr>
          <w:lang w:val="es-ES"/>
        </w:rPr>
      </w:pPr>
      <w:r w:rsidRPr="00BA7ACD">
        <w:rPr>
          <w:lang w:val="es-ES"/>
        </w:rPr>
        <w:t xml:space="preserve">El objetivo es, para cada tarea, calcular un tiempo asociado al traslado. El tiempo total anual requerido para esa tarea, que impacta en los costos de mano de obra de cada una, se calcula como suma del tiempo anual de ejecución y del tiempo de desplazamiento asociado. </w:t>
      </w:r>
    </w:p>
    <w:p w14:paraId="5D2F08B4" w14:textId="77777777" w:rsidR="00F64D04" w:rsidRPr="00BA7ACD" w:rsidRDefault="00F64D04" w:rsidP="00F64D04">
      <w:pPr>
        <w:rPr>
          <w:lang w:val="es-ES"/>
        </w:rPr>
      </w:pPr>
      <w:r w:rsidRPr="00BA7ACD">
        <w:rPr>
          <w:lang w:val="es-ES"/>
        </w:rPr>
        <w:t>Los tiempos de desplazamiento, son los tiempos que las cuadrillas demoran es desplazarse desde su centro operativo hasta el lugar donde se encuentran las instalaciones objeto de mantenimiento y en al caso de líneas el tiempo requerido para desplazarse entre tareas. Al primero se lo denominó tiempo de aproximación y al segundo tiempo entre tareas y son calculados de manera independiente.</w:t>
      </w:r>
    </w:p>
    <w:p w14:paraId="706DD5FA" w14:textId="420F0593" w:rsidR="00F64D04" w:rsidRPr="00AC5990" w:rsidRDefault="00F64D04" w:rsidP="00F64D04">
      <w:pPr>
        <w:rPr>
          <w:lang w:val="es-ES"/>
        </w:rPr>
      </w:pPr>
      <w:r w:rsidRPr="00BA7ACD">
        <w:rPr>
          <w:lang w:val="es-ES"/>
        </w:rPr>
        <w:t>El tiempo de traslado depende de las distancias que deben ser recorridas y que tienen un alto impacto en los tiempos totales requeridos por las cuadrillas, teniendo en cuenta la dispersión de los activos. Por este motivo y para dar el peso adecuado se consideró que las cuadrillas parten desde el centro operativo correspondi</w:t>
      </w:r>
      <w:r w:rsidR="006B745F" w:rsidRPr="00BA7ACD">
        <w:rPr>
          <w:lang w:val="es-ES"/>
        </w:rPr>
        <w:t>ente y en principio se trasladan</w:t>
      </w:r>
      <w:r w:rsidRPr="00BA7ACD">
        <w:rPr>
          <w:lang w:val="es-ES"/>
        </w:rPr>
        <w:t xml:space="preserve"> hasta la sub estación (SE) cabecera de línea o la SE donde se deben ejecutar las actividades de O&amp;M de acuerdo al módulo de que se trate (para </w:t>
      </w:r>
      <w:r w:rsidR="00BA2EDF" w:rsidRPr="00BA7ACD">
        <w:rPr>
          <w:lang w:val="es-ES"/>
        </w:rPr>
        <w:t>más</w:t>
      </w:r>
      <w:r w:rsidRPr="00BA7ACD">
        <w:rPr>
          <w:lang w:val="es-ES"/>
        </w:rPr>
        <w:t xml:space="preserve"> detalle ver </w:t>
      </w:r>
      <w:r w:rsidRPr="00BA7ACD">
        <w:rPr>
          <w:b/>
          <w:bCs/>
          <w:lang w:val="es-ES"/>
        </w:rPr>
        <w:fldChar w:fldCharType="begin"/>
      </w:r>
      <w:r w:rsidRPr="00BA7ACD">
        <w:rPr>
          <w:lang w:val="es-ES"/>
        </w:rPr>
        <w:instrText xml:space="preserve"> REF _Ref34639054 \r \h </w:instrText>
      </w:r>
      <w:r w:rsidR="00AC5990" w:rsidRPr="00BA7ACD">
        <w:rPr>
          <w:b/>
          <w:bCs/>
          <w:lang w:val="es-ES"/>
        </w:rPr>
        <w:instrText xml:space="preserve"> \* MERGEFORMAT </w:instrText>
      </w:r>
      <w:r w:rsidRPr="00BA7ACD">
        <w:rPr>
          <w:b/>
          <w:bCs/>
          <w:lang w:val="es-ES"/>
        </w:rPr>
      </w:r>
      <w:r w:rsidRPr="00BA7ACD">
        <w:rPr>
          <w:b/>
          <w:bCs/>
          <w:lang w:val="es-ES"/>
        </w:rPr>
        <w:fldChar w:fldCharType="separate"/>
      </w:r>
      <w:r w:rsidR="001F3E2E">
        <w:rPr>
          <w:lang w:val="es-ES"/>
        </w:rPr>
        <w:t>6.2.14.2</w:t>
      </w:r>
      <w:r w:rsidRPr="00BA7ACD">
        <w:rPr>
          <w:b/>
          <w:bCs/>
          <w:lang w:val="es-ES"/>
        </w:rPr>
        <w:fldChar w:fldCharType="end"/>
      </w:r>
      <w:r w:rsidRPr="00BA7ACD">
        <w:rPr>
          <w:lang w:val="es-ES"/>
        </w:rPr>
        <w:t>). En el caso de líneas, a dicha distancia se adiciona otra correspondiente a la distancia entre la SE y el punto medio del tramo asignado a dicha subestación.</w:t>
      </w:r>
    </w:p>
    <w:p w14:paraId="38889F8C" w14:textId="610F6CB8" w:rsidR="00C66F16" w:rsidRPr="00B06D23" w:rsidRDefault="00C66F16" w:rsidP="00C66F16">
      <w:pPr>
        <w:pStyle w:val="Subttulo"/>
        <w:rPr>
          <w:lang w:val="es-ES"/>
        </w:rPr>
      </w:pPr>
      <w:bookmarkStart w:id="219" w:name="_Toc39797986"/>
      <w:r>
        <w:t xml:space="preserve">Ilustración </w:t>
      </w:r>
      <w:fldSimple w:instr=" SEQ Ilustración \* ARABIC ">
        <w:r w:rsidR="001F3E2E">
          <w:rPr>
            <w:noProof/>
          </w:rPr>
          <w:t>5</w:t>
        </w:r>
      </w:fldSimple>
      <w:r>
        <w:t xml:space="preserve">: Desplazamiento cuadrillas </w:t>
      </w:r>
      <w:r w:rsidR="00575034">
        <w:t>hacia</w:t>
      </w:r>
      <w:r>
        <w:t xml:space="preserve"> líneas de transmisión</w:t>
      </w:r>
      <w:bookmarkEnd w:id="219"/>
    </w:p>
    <w:p w14:paraId="3F6DC83D" w14:textId="77777777" w:rsidR="00F64D04" w:rsidRPr="00AC5990" w:rsidRDefault="00F64D04" w:rsidP="00F64D04">
      <w:pPr>
        <w:rPr>
          <w:lang w:val="es-ES"/>
        </w:rPr>
      </w:pPr>
      <w:r w:rsidRPr="00AC5990">
        <w:rPr>
          <w:noProof/>
          <w:lang w:eastAsia="es-CL"/>
        </w:rPr>
        <mc:AlternateContent>
          <mc:Choice Requires="wpg">
            <w:drawing>
              <wp:inline distT="0" distB="0" distL="0" distR="0" wp14:anchorId="484EF181" wp14:editId="1793B423">
                <wp:extent cx="6301344" cy="2381061"/>
                <wp:effectExtent l="0" t="0" r="4445" b="635"/>
                <wp:docPr id="84" name="Grupo 84"/>
                <wp:cNvGraphicFramePr/>
                <a:graphic xmlns:a="http://schemas.openxmlformats.org/drawingml/2006/main">
                  <a:graphicData uri="http://schemas.microsoft.com/office/word/2010/wordprocessingGroup">
                    <wpg:wgp>
                      <wpg:cNvGrpSpPr/>
                      <wpg:grpSpPr>
                        <a:xfrm>
                          <a:off x="0" y="0"/>
                          <a:ext cx="6301344" cy="2381061"/>
                          <a:chOff x="0" y="0"/>
                          <a:chExt cx="6301344" cy="2381061"/>
                        </a:xfrm>
                      </wpg:grpSpPr>
                      <wps:wsp>
                        <wps:cNvPr id="24" name="Cuadro de texto 24"/>
                        <wps:cNvSpPr txBox="1"/>
                        <wps:spPr>
                          <a:xfrm>
                            <a:off x="0" y="0"/>
                            <a:ext cx="1013988" cy="398352"/>
                          </a:xfrm>
                          <a:prstGeom prst="rect">
                            <a:avLst/>
                          </a:prstGeom>
                          <a:noFill/>
                          <a:ln w="6350">
                            <a:noFill/>
                          </a:ln>
                        </wps:spPr>
                        <wps:txbx>
                          <w:txbxContent>
                            <w:p w14:paraId="3914EC49" w14:textId="77777777" w:rsidR="006107A8" w:rsidRPr="00505378" w:rsidRDefault="006107A8" w:rsidP="00F64D04">
                              <w:pPr>
                                <w:spacing w:after="0" w:line="240" w:lineRule="auto"/>
                                <w:jc w:val="center"/>
                                <w:rPr>
                                  <w:sz w:val="20"/>
                                  <w:szCs w:val="20"/>
                                  <w:lang w:val="es-AR"/>
                                </w:rPr>
                              </w:pPr>
                              <w:r w:rsidRPr="00505378">
                                <w:rPr>
                                  <w:sz w:val="20"/>
                                  <w:szCs w:val="20"/>
                                  <w:lang w:val="es-AR"/>
                                </w:rPr>
                                <w:t>Centro Operativo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5" name="Cuadro de texto 25"/>
                        <wps:cNvSpPr txBox="1"/>
                        <wps:spPr>
                          <a:xfrm>
                            <a:off x="2290526" y="0"/>
                            <a:ext cx="1013988" cy="398352"/>
                          </a:xfrm>
                          <a:prstGeom prst="rect">
                            <a:avLst/>
                          </a:prstGeom>
                          <a:noFill/>
                          <a:ln w="6350">
                            <a:noFill/>
                          </a:ln>
                        </wps:spPr>
                        <wps:txbx>
                          <w:txbxContent>
                            <w:p w14:paraId="50BADC3C" w14:textId="77777777" w:rsidR="006107A8" w:rsidRPr="00505378" w:rsidRDefault="006107A8" w:rsidP="00F64D04">
                              <w:pPr>
                                <w:spacing w:after="0" w:line="240" w:lineRule="auto"/>
                                <w:jc w:val="center"/>
                                <w:rPr>
                                  <w:sz w:val="20"/>
                                  <w:szCs w:val="20"/>
                                  <w:lang w:val="es-AR"/>
                                </w:rPr>
                              </w:pPr>
                              <w:r>
                                <w:rPr>
                                  <w:sz w:val="20"/>
                                  <w:szCs w:val="20"/>
                                  <w:lang w:val="es-AR"/>
                                </w:rPr>
                                <w:t>Subestación Cabecera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6" name="Cuadro de texto 26"/>
                        <wps:cNvSpPr txBox="1"/>
                        <wps:spPr>
                          <a:xfrm>
                            <a:off x="3223033" y="190123"/>
                            <a:ext cx="1565275" cy="280035"/>
                          </a:xfrm>
                          <a:prstGeom prst="rect">
                            <a:avLst/>
                          </a:prstGeom>
                          <a:noFill/>
                          <a:ln w="6350">
                            <a:noFill/>
                          </a:ln>
                        </wps:spPr>
                        <wps:txbx>
                          <w:txbxContent>
                            <w:p w14:paraId="2A801D21" w14:textId="77777777" w:rsidR="006107A8" w:rsidRPr="00505378" w:rsidRDefault="006107A8" w:rsidP="00F64D04">
                              <w:pPr>
                                <w:spacing w:after="0" w:line="240" w:lineRule="auto"/>
                                <w:jc w:val="center"/>
                                <w:rPr>
                                  <w:sz w:val="20"/>
                                  <w:szCs w:val="20"/>
                                  <w:lang w:val="es-AR"/>
                                </w:rPr>
                              </w:pPr>
                              <w:r>
                                <w:rPr>
                                  <w:sz w:val="20"/>
                                  <w:szCs w:val="20"/>
                                  <w:lang w:val="es-AR"/>
                                </w:rPr>
                                <w:t>Tramo de Línea asignado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7" name="Elipse 27"/>
                        <wps:cNvSpPr/>
                        <wps:spPr>
                          <a:xfrm>
                            <a:off x="452673" y="525101"/>
                            <a:ext cx="172016" cy="181069"/>
                          </a:xfrm>
                          <a:prstGeom prst="ellipse">
                            <a:avLst/>
                          </a:prstGeom>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8" name="Rectángulo: biselado 28"/>
                        <wps:cNvSpPr/>
                        <wps:spPr>
                          <a:xfrm>
                            <a:off x="2643612" y="398352"/>
                            <a:ext cx="253497" cy="262456"/>
                          </a:xfrm>
                          <a:prstGeom prst="bevel">
                            <a:avLst/>
                          </a:prstGeom>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 name="Conector recto 29"/>
                        <wps:cNvCnPr/>
                        <wps:spPr>
                          <a:xfrm>
                            <a:off x="2897109" y="525101"/>
                            <a:ext cx="3386128" cy="0"/>
                          </a:xfrm>
                          <a:prstGeom prst="line">
                            <a:avLst/>
                          </a:prstGeom>
                        </wps:spPr>
                        <wps:style>
                          <a:lnRef idx="1">
                            <a:schemeClr val="accent1"/>
                          </a:lnRef>
                          <a:fillRef idx="0">
                            <a:schemeClr val="accent1"/>
                          </a:fillRef>
                          <a:effectRef idx="0">
                            <a:schemeClr val="accent1"/>
                          </a:effectRef>
                          <a:fontRef idx="minor">
                            <a:schemeClr val="tx1"/>
                          </a:fontRef>
                        </wps:style>
                        <wps:bodyPr/>
                      </wps:wsp>
                      <wps:wsp>
                        <wps:cNvPr id="30" name="Forma libre: forma 30"/>
                        <wps:cNvSpPr/>
                        <wps:spPr>
                          <a:xfrm>
                            <a:off x="570368" y="760491"/>
                            <a:ext cx="2235835" cy="579120"/>
                          </a:xfrm>
                          <a:custGeom>
                            <a:avLst/>
                            <a:gdLst>
                              <a:gd name="connsiteX0" fmla="*/ 0 w 2236216"/>
                              <a:gd name="connsiteY0" fmla="*/ 9054 h 579422"/>
                              <a:gd name="connsiteX1" fmla="*/ 9053 w 2236216"/>
                              <a:gd name="connsiteY1" fmla="*/ 63374 h 579422"/>
                              <a:gd name="connsiteX2" fmla="*/ 54321 w 2236216"/>
                              <a:gd name="connsiteY2" fmla="*/ 108642 h 579422"/>
                              <a:gd name="connsiteX3" fmla="*/ 81481 w 2236216"/>
                              <a:gd name="connsiteY3" fmla="*/ 117695 h 579422"/>
                              <a:gd name="connsiteX4" fmla="*/ 108642 w 2236216"/>
                              <a:gd name="connsiteY4" fmla="*/ 144856 h 579422"/>
                              <a:gd name="connsiteX5" fmla="*/ 199176 w 2236216"/>
                              <a:gd name="connsiteY5" fmla="*/ 117695 h 579422"/>
                              <a:gd name="connsiteX6" fmla="*/ 217283 w 2236216"/>
                              <a:gd name="connsiteY6" fmla="*/ 90535 h 579422"/>
                              <a:gd name="connsiteX7" fmla="*/ 244444 w 2236216"/>
                              <a:gd name="connsiteY7" fmla="*/ 72428 h 579422"/>
                              <a:gd name="connsiteX8" fmla="*/ 280657 w 2236216"/>
                              <a:gd name="connsiteY8" fmla="*/ 45267 h 579422"/>
                              <a:gd name="connsiteX9" fmla="*/ 362139 w 2236216"/>
                              <a:gd name="connsiteY9" fmla="*/ 54321 h 579422"/>
                              <a:gd name="connsiteX10" fmla="*/ 416459 w 2236216"/>
                              <a:gd name="connsiteY10" fmla="*/ 99588 h 579422"/>
                              <a:gd name="connsiteX11" fmla="*/ 443620 w 2236216"/>
                              <a:gd name="connsiteY11" fmla="*/ 190123 h 579422"/>
                              <a:gd name="connsiteX12" fmla="*/ 461727 w 2236216"/>
                              <a:gd name="connsiteY12" fmla="*/ 244444 h 579422"/>
                              <a:gd name="connsiteX13" fmla="*/ 506994 w 2236216"/>
                              <a:gd name="connsiteY13" fmla="*/ 298764 h 579422"/>
                              <a:gd name="connsiteX14" fmla="*/ 588475 w 2236216"/>
                              <a:gd name="connsiteY14" fmla="*/ 289711 h 579422"/>
                              <a:gd name="connsiteX15" fmla="*/ 615636 w 2236216"/>
                              <a:gd name="connsiteY15" fmla="*/ 271604 h 579422"/>
                              <a:gd name="connsiteX16" fmla="*/ 642796 w 2236216"/>
                              <a:gd name="connsiteY16" fmla="*/ 262551 h 579422"/>
                              <a:gd name="connsiteX17" fmla="*/ 669956 w 2236216"/>
                              <a:gd name="connsiteY17" fmla="*/ 244444 h 579422"/>
                              <a:gd name="connsiteX18" fmla="*/ 697117 w 2236216"/>
                              <a:gd name="connsiteY18" fmla="*/ 217283 h 579422"/>
                              <a:gd name="connsiteX19" fmla="*/ 742384 w 2236216"/>
                              <a:gd name="connsiteY19" fmla="*/ 235390 h 579422"/>
                              <a:gd name="connsiteX20" fmla="*/ 751438 w 2236216"/>
                              <a:gd name="connsiteY20" fmla="*/ 271604 h 579422"/>
                              <a:gd name="connsiteX21" fmla="*/ 769545 w 2236216"/>
                              <a:gd name="connsiteY21" fmla="*/ 298764 h 579422"/>
                              <a:gd name="connsiteX22" fmla="*/ 787651 w 2236216"/>
                              <a:gd name="connsiteY22" fmla="*/ 461727 h 579422"/>
                              <a:gd name="connsiteX23" fmla="*/ 796705 w 2236216"/>
                              <a:gd name="connsiteY23" fmla="*/ 497941 h 579422"/>
                              <a:gd name="connsiteX24" fmla="*/ 814812 w 2236216"/>
                              <a:gd name="connsiteY24" fmla="*/ 525101 h 579422"/>
                              <a:gd name="connsiteX25" fmla="*/ 896293 w 2236216"/>
                              <a:gd name="connsiteY25" fmla="*/ 570368 h 579422"/>
                              <a:gd name="connsiteX26" fmla="*/ 959667 w 2236216"/>
                              <a:gd name="connsiteY26" fmla="*/ 579422 h 579422"/>
                              <a:gd name="connsiteX27" fmla="*/ 1149790 w 2236216"/>
                              <a:gd name="connsiteY27" fmla="*/ 570368 h 579422"/>
                              <a:gd name="connsiteX28" fmla="*/ 1204111 w 2236216"/>
                              <a:gd name="connsiteY28" fmla="*/ 516048 h 579422"/>
                              <a:gd name="connsiteX29" fmla="*/ 1213164 w 2236216"/>
                              <a:gd name="connsiteY29" fmla="*/ 488887 h 579422"/>
                              <a:gd name="connsiteX30" fmla="*/ 1231271 w 2236216"/>
                              <a:gd name="connsiteY30" fmla="*/ 452673 h 579422"/>
                              <a:gd name="connsiteX31" fmla="*/ 1240325 w 2236216"/>
                              <a:gd name="connsiteY31" fmla="*/ 389299 h 579422"/>
                              <a:gd name="connsiteX32" fmla="*/ 1249378 w 2236216"/>
                              <a:gd name="connsiteY32" fmla="*/ 244444 h 579422"/>
                              <a:gd name="connsiteX33" fmla="*/ 1258432 w 2236216"/>
                              <a:gd name="connsiteY33" fmla="*/ 199176 h 579422"/>
                              <a:gd name="connsiteX34" fmla="*/ 1276539 w 2236216"/>
                              <a:gd name="connsiteY34" fmla="*/ 172016 h 579422"/>
                              <a:gd name="connsiteX35" fmla="*/ 1430448 w 2236216"/>
                              <a:gd name="connsiteY35" fmla="*/ 199176 h 579422"/>
                              <a:gd name="connsiteX36" fmla="*/ 1457608 w 2236216"/>
                              <a:gd name="connsiteY36" fmla="*/ 235390 h 579422"/>
                              <a:gd name="connsiteX37" fmla="*/ 1511929 w 2236216"/>
                              <a:gd name="connsiteY37" fmla="*/ 289711 h 579422"/>
                              <a:gd name="connsiteX38" fmla="*/ 1575303 w 2236216"/>
                              <a:gd name="connsiteY38" fmla="*/ 334978 h 579422"/>
                              <a:gd name="connsiteX39" fmla="*/ 1602463 w 2236216"/>
                              <a:gd name="connsiteY39" fmla="*/ 344032 h 579422"/>
                              <a:gd name="connsiteX40" fmla="*/ 1729212 w 2236216"/>
                              <a:gd name="connsiteY40" fmla="*/ 334978 h 579422"/>
                              <a:gd name="connsiteX41" fmla="*/ 1783533 w 2236216"/>
                              <a:gd name="connsiteY41" fmla="*/ 280658 h 579422"/>
                              <a:gd name="connsiteX42" fmla="*/ 1874067 w 2236216"/>
                              <a:gd name="connsiteY42" fmla="*/ 289711 h 579422"/>
                              <a:gd name="connsiteX43" fmla="*/ 1901228 w 2236216"/>
                              <a:gd name="connsiteY43" fmla="*/ 298764 h 579422"/>
                              <a:gd name="connsiteX44" fmla="*/ 1937442 w 2236216"/>
                              <a:gd name="connsiteY44" fmla="*/ 307818 h 579422"/>
                              <a:gd name="connsiteX45" fmla="*/ 1964602 w 2236216"/>
                              <a:gd name="connsiteY45" fmla="*/ 325925 h 579422"/>
                              <a:gd name="connsiteX46" fmla="*/ 2118511 w 2236216"/>
                              <a:gd name="connsiteY46" fmla="*/ 344032 h 579422"/>
                              <a:gd name="connsiteX47" fmla="*/ 2190939 w 2236216"/>
                              <a:gd name="connsiteY47" fmla="*/ 344032 h 579422"/>
                              <a:gd name="connsiteX48" fmla="*/ 2227152 w 2236216"/>
                              <a:gd name="connsiteY48" fmla="*/ 289711 h 579422"/>
                              <a:gd name="connsiteX49" fmla="*/ 2236206 w 2236216"/>
                              <a:gd name="connsiteY49" fmla="*/ 0 h 579422"/>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Lst>
                            <a:rect l="l" t="t" r="r" b="b"/>
                            <a:pathLst>
                              <a:path w="2236216" h="579422">
                                <a:moveTo>
                                  <a:pt x="0" y="9054"/>
                                </a:moveTo>
                                <a:cubicBezTo>
                                  <a:pt x="3018" y="27161"/>
                                  <a:pt x="3248" y="45960"/>
                                  <a:pt x="9053" y="63374"/>
                                </a:cubicBezTo>
                                <a:cubicBezTo>
                                  <a:pt x="16296" y="85103"/>
                                  <a:pt x="35006" y="98985"/>
                                  <a:pt x="54321" y="108642"/>
                                </a:cubicBezTo>
                                <a:cubicBezTo>
                                  <a:pt x="62857" y="112910"/>
                                  <a:pt x="72428" y="114677"/>
                                  <a:pt x="81481" y="117695"/>
                                </a:cubicBezTo>
                                <a:cubicBezTo>
                                  <a:pt x="90535" y="126749"/>
                                  <a:pt x="96087" y="142345"/>
                                  <a:pt x="108642" y="144856"/>
                                </a:cubicBezTo>
                                <a:cubicBezTo>
                                  <a:pt x="153455" y="153819"/>
                                  <a:pt x="169218" y="137668"/>
                                  <a:pt x="199176" y="117695"/>
                                </a:cubicBezTo>
                                <a:cubicBezTo>
                                  <a:pt x="205212" y="108642"/>
                                  <a:pt x="209589" y="98229"/>
                                  <a:pt x="217283" y="90535"/>
                                </a:cubicBezTo>
                                <a:cubicBezTo>
                                  <a:pt x="224977" y="82841"/>
                                  <a:pt x="235590" y="78753"/>
                                  <a:pt x="244444" y="72428"/>
                                </a:cubicBezTo>
                                <a:cubicBezTo>
                                  <a:pt x="256722" y="63658"/>
                                  <a:pt x="268586" y="54321"/>
                                  <a:pt x="280657" y="45267"/>
                                </a:cubicBezTo>
                                <a:cubicBezTo>
                                  <a:pt x="307818" y="48285"/>
                                  <a:pt x="335627" y="47693"/>
                                  <a:pt x="362139" y="54321"/>
                                </a:cubicBezTo>
                                <a:cubicBezTo>
                                  <a:pt x="378944" y="58522"/>
                                  <a:pt x="406325" y="89454"/>
                                  <a:pt x="416459" y="99588"/>
                                </a:cubicBezTo>
                                <a:cubicBezTo>
                                  <a:pt x="430143" y="154321"/>
                                  <a:pt x="421577" y="123994"/>
                                  <a:pt x="443620" y="190123"/>
                                </a:cubicBezTo>
                                <a:cubicBezTo>
                                  <a:pt x="443621" y="190127"/>
                                  <a:pt x="461725" y="244441"/>
                                  <a:pt x="461727" y="244444"/>
                                </a:cubicBezTo>
                                <a:cubicBezTo>
                                  <a:pt x="486936" y="282257"/>
                                  <a:pt x="472140" y="263910"/>
                                  <a:pt x="506994" y="298764"/>
                                </a:cubicBezTo>
                                <a:cubicBezTo>
                                  <a:pt x="534154" y="295746"/>
                                  <a:pt x="561963" y="296339"/>
                                  <a:pt x="588475" y="289711"/>
                                </a:cubicBezTo>
                                <a:cubicBezTo>
                                  <a:pt x="599031" y="287072"/>
                                  <a:pt x="605904" y="276470"/>
                                  <a:pt x="615636" y="271604"/>
                                </a:cubicBezTo>
                                <a:cubicBezTo>
                                  <a:pt x="624172" y="267336"/>
                                  <a:pt x="633743" y="265569"/>
                                  <a:pt x="642796" y="262551"/>
                                </a:cubicBezTo>
                                <a:cubicBezTo>
                                  <a:pt x="651849" y="256515"/>
                                  <a:pt x="661597" y="251410"/>
                                  <a:pt x="669956" y="244444"/>
                                </a:cubicBezTo>
                                <a:cubicBezTo>
                                  <a:pt x="679792" y="236247"/>
                                  <a:pt x="684412" y="218871"/>
                                  <a:pt x="697117" y="217283"/>
                                </a:cubicBezTo>
                                <a:cubicBezTo>
                                  <a:pt x="713243" y="215267"/>
                                  <a:pt x="727295" y="229354"/>
                                  <a:pt x="742384" y="235390"/>
                                </a:cubicBezTo>
                                <a:cubicBezTo>
                                  <a:pt x="745402" y="247461"/>
                                  <a:pt x="746536" y="260167"/>
                                  <a:pt x="751438" y="271604"/>
                                </a:cubicBezTo>
                                <a:cubicBezTo>
                                  <a:pt x="755724" y="281605"/>
                                  <a:pt x="766418" y="288342"/>
                                  <a:pt x="769545" y="298764"/>
                                </a:cubicBezTo>
                                <a:cubicBezTo>
                                  <a:pt x="777104" y="323961"/>
                                  <a:pt x="786363" y="452067"/>
                                  <a:pt x="787651" y="461727"/>
                                </a:cubicBezTo>
                                <a:cubicBezTo>
                                  <a:pt x="789296" y="474061"/>
                                  <a:pt x="791803" y="486504"/>
                                  <a:pt x="796705" y="497941"/>
                                </a:cubicBezTo>
                                <a:cubicBezTo>
                                  <a:pt x="800991" y="507942"/>
                                  <a:pt x="806623" y="517936"/>
                                  <a:pt x="814812" y="525101"/>
                                </a:cubicBezTo>
                                <a:cubicBezTo>
                                  <a:pt x="836325" y="543925"/>
                                  <a:pt x="866356" y="564381"/>
                                  <a:pt x="896293" y="570368"/>
                                </a:cubicBezTo>
                                <a:cubicBezTo>
                                  <a:pt x="917218" y="574553"/>
                                  <a:pt x="938542" y="576404"/>
                                  <a:pt x="959667" y="579422"/>
                                </a:cubicBezTo>
                                <a:lnTo>
                                  <a:pt x="1149790" y="570368"/>
                                </a:lnTo>
                                <a:cubicBezTo>
                                  <a:pt x="1174577" y="563942"/>
                                  <a:pt x="1204111" y="516048"/>
                                  <a:pt x="1204111" y="516048"/>
                                </a:cubicBezTo>
                                <a:cubicBezTo>
                                  <a:pt x="1207129" y="506994"/>
                                  <a:pt x="1209405" y="497659"/>
                                  <a:pt x="1213164" y="488887"/>
                                </a:cubicBezTo>
                                <a:cubicBezTo>
                                  <a:pt x="1218480" y="476482"/>
                                  <a:pt x="1227720" y="465694"/>
                                  <a:pt x="1231271" y="452673"/>
                                </a:cubicBezTo>
                                <a:cubicBezTo>
                                  <a:pt x="1236886" y="432086"/>
                                  <a:pt x="1237307" y="410424"/>
                                  <a:pt x="1240325" y="389299"/>
                                </a:cubicBezTo>
                                <a:cubicBezTo>
                                  <a:pt x="1243343" y="341014"/>
                                  <a:pt x="1244791" y="292605"/>
                                  <a:pt x="1249378" y="244444"/>
                                </a:cubicBezTo>
                                <a:cubicBezTo>
                                  <a:pt x="1250837" y="229125"/>
                                  <a:pt x="1253029" y="213584"/>
                                  <a:pt x="1258432" y="199176"/>
                                </a:cubicBezTo>
                                <a:cubicBezTo>
                                  <a:pt x="1262253" y="188988"/>
                                  <a:pt x="1270503" y="181069"/>
                                  <a:pt x="1276539" y="172016"/>
                                </a:cubicBezTo>
                                <a:cubicBezTo>
                                  <a:pt x="1326935" y="175616"/>
                                  <a:pt x="1390446" y="159174"/>
                                  <a:pt x="1430448" y="199176"/>
                                </a:cubicBezTo>
                                <a:cubicBezTo>
                                  <a:pt x="1441118" y="209846"/>
                                  <a:pt x="1447514" y="224174"/>
                                  <a:pt x="1457608" y="235390"/>
                                </a:cubicBezTo>
                                <a:cubicBezTo>
                                  <a:pt x="1474738" y="254424"/>
                                  <a:pt x="1511929" y="289711"/>
                                  <a:pt x="1511929" y="289711"/>
                                </a:cubicBezTo>
                                <a:cubicBezTo>
                                  <a:pt x="1527018" y="334978"/>
                                  <a:pt x="1511929" y="313853"/>
                                  <a:pt x="1575303" y="334978"/>
                                </a:cubicBezTo>
                                <a:lnTo>
                                  <a:pt x="1602463" y="344032"/>
                                </a:lnTo>
                                <a:cubicBezTo>
                                  <a:pt x="1644713" y="341014"/>
                                  <a:pt x="1689233" y="348971"/>
                                  <a:pt x="1729212" y="334978"/>
                                </a:cubicBezTo>
                                <a:cubicBezTo>
                                  <a:pt x="1753381" y="326519"/>
                                  <a:pt x="1783533" y="280658"/>
                                  <a:pt x="1783533" y="280658"/>
                                </a:cubicBezTo>
                                <a:cubicBezTo>
                                  <a:pt x="1813711" y="283676"/>
                                  <a:pt x="1844091" y="285100"/>
                                  <a:pt x="1874067" y="289711"/>
                                </a:cubicBezTo>
                                <a:cubicBezTo>
                                  <a:pt x="1883499" y="291162"/>
                                  <a:pt x="1892052" y="296142"/>
                                  <a:pt x="1901228" y="298764"/>
                                </a:cubicBezTo>
                                <a:cubicBezTo>
                                  <a:pt x="1913192" y="302182"/>
                                  <a:pt x="1925371" y="304800"/>
                                  <a:pt x="1937442" y="307818"/>
                                </a:cubicBezTo>
                                <a:cubicBezTo>
                                  <a:pt x="1946495" y="313854"/>
                                  <a:pt x="1954601" y="321639"/>
                                  <a:pt x="1964602" y="325925"/>
                                </a:cubicBezTo>
                                <a:cubicBezTo>
                                  <a:pt x="2001211" y="341615"/>
                                  <a:pt x="2107873" y="343214"/>
                                  <a:pt x="2118511" y="344032"/>
                                </a:cubicBezTo>
                                <a:cubicBezTo>
                                  <a:pt x="2139970" y="349396"/>
                                  <a:pt x="2169480" y="362809"/>
                                  <a:pt x="2190939" y="344032"/>
                                </a:cubicBezTo>
                                <a:cubicBezTo>
                                  <a:pt x="2207316" y="329702"/>
                                  <a:pt x="2227152" y="289711"/>
                                  <a:pt x="2227152" y="289711"/>
                                </a:cubicBezTo>
                                <a:cubicBezTo>
                                  <a:pt x="2236902" y="36227"/>
                                  <a:pt x="2236206" y="132842"/>
                                  <a:pt x="2236206" y="0"/>
                                </a:cubicBezTo>
                              </a:path>
                            </a:pathLst>
                          </a:custGeom>
                        </wps:spPr>
                        <wps:style>
                          <a:lnRef idx="3">
                            <a:schemeClr val="accent6"/>
                          </a:lnRef>
                          <a:fillRef idx="0">
                            <a:schemeClr val="accent6"/>
                          </a:fillRef>
                          <a:effectRef idx="2">
                            <a:schemeClr val="accent6"/>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1" name="Conector recto 31"/>
                        <wps:cNvCnPr/>
                        <wps:spPr>
                          <a:xfrm>
                            <a:off x="2806574" y="760491"/>
                            <a:ext cx="1656715" cy="0"/>
                          </a:xfrm>
                          <a:prstGeom prst="line">
                            <a:avLst/>
                          </a:prstGeom>
                        </wps:spPr>
                        <wps:style>
                          <a:lnRef idx="3">
                            <a:schemeClr val="accent6"/>
                          </a:lnRef>
                          <a:fillRef idx="0">
                            <a:schemeClr val="accent6"/>
                          </a:fillRef>
                          <a:effectRef idx="2">
                            <a:schemeClr val="accent6"/>
                          </a:effectRef>
                          <a:fontRef idx="minor">
                            <a:schemeClr val="tx1"/>
                          </a:fontRef>
                        </wps:style>
                        <wps:bodyPr/>
                      </wps:wsp>
                      <wps:wsp>
                        <wps:cNvPr id="32" name="Triángulo isósceles 32"/>
                        <wps:cNvSpPr/>
                        <wps:spPr>
                          <a:xfrm>
                            <a:off x="4464301" y="462670"/>
                            <a:ext cx="108641" cy="135802"/>
                          </a:xfrm>
                          <a:prstGeom prst="triangl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76" name="Grupo 76"/>
                        <wpg:cNvGrpSpPr/>
                        <wpg:grpSpPr>
                          <a:xfrm>
                            <a:off x="2916159" y="552261"/>
                            <a:ext cx="3385185" cy="198120"/>
                            <a:chOff x="0" y="0"/>
                            <a:chExt cx="3385449" cy="198611"/>
                          </a:xfrm>
                        </wpg:grpSpPr>
                        <wps:wsp>
                          <wps:cNvPr id="38" name="Forma libre: forma 38"/>
                          <wps:cNvSpPr/>
                          <wps:spPr>
                            <a:xfrm rot="21368137">
                              <a:off x="0" y="0"/>
                              <a:ext cx="135802" cy="172036"/>
                            </a:xfrm>
                            <a:custGeom>
                              <a:avLst/>
                              <a:gdLst>
                                <a:gd name="connsiteX0" fmla="*/ 0 w 135802"/>
                                <a:gd name="connsiteY0" fmla="*/ 0 h 172036"/>
                                <a:gd name="connsiteX1" fmla="*/ 45267 w 135802"/>
                                <a:gd name="connsiteY1" fmla="*/ 172016 h 172036"/>
                                <a:gd name="connsiteX2" fmla="*/ 135802 w 135802"/>
                                <a:gd name="connsiteY2" fmla="*/ 9054 h 172036"/>
                              </a:gdLst>
                              <a:ahLst/>
                              <a:cxnLst>
                                <a:cxn ang="0">
                                  <a:pos x="connsiteX0" y="connsiteY0"/>
                                </a:cxn>
                                <a:cxn ang="0">
                                  <a:pos x="connsiteX1" y="connsiteY1"/>
                                </a:cxn>
                                <a:cxn ang="0">
                                  <a:pos x="connsiteX2" y="connsiteY2"/>
                                </a:cxn>
                              </a:cxnLst>
                              <a:rect l="l" t="t" r="r" b="b"/>
                              <a:pathLst>
                                <a:path w="135802" h="172036">
                                  <a:moveTo>
                                    <a:pt x="0" y="0"/>
                                  </a:moveTo>
                                  <a:cubicBezTo>
                                    <a:pt x="11316" y="85253"/>
                                    <a:pt x="22633" y="170507"/>
                                    <a:pt x="45267" y="172016"/>
                                  </a:cubicBezTo>
                                  <a:cubicBezTo>
                                    <a:pt x="67901" y="173525"/>
                                    <a:pt x="101851" y="91289"/>
                                    <a:pt x="135802" y="9054"/>
                                  </a:cubicBezTo>
                                </a:path>
                              </a:pathLst>
                            </a:custGeom>
                          </wps:spPr>
                          <wps:style>
                            <a:lnRef idx="3">
                              <a:schemeClr val="accent2"/>
                            </a:lnRef>
                            <a:fillRef idx="0">
                              <a:schemeClr val="accent2"/>
                            </a:fillRef>
                            <a:effectRef idx="2">
                              <a:schemeClr val="accent2"/>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9" name="Forma libre: forma 39"/>
                          <wps:cNvSpPr/>
                          <wps:spPr>
                            <a:xfrm rot="21368137">
                              <a:off x="153909" y="0"/>
                              <a:ext cx="135802" cy="172036"/>
                            </a:xfrm>
                            <a:custGeom>
                              <a:avLst/>
                              <a:gdLst>
                                <a:gd name="connsiteX0" fmla="*/ 0 w 135802"/>
                                <a:gd name="connsiteY0" fmla="*/ 0 h 172036"/>
                                <a:gd name="connsiteX1" fmla="*/ 45267 w 135802"/>
                                <a:gd name="connsiteY1" fmla="*/ 172016 h 172036"/>
                                <a:gd name="connsiteX2" fmla="*/ 135802 w 135802"/>
                                <a:gd name="connsiteY2" fmla="*/ 9054 h 172036"/>
                              </a:gdLst>
                              <a:ahLst/>
                              <a:cxnLst>
                                <a:cxn ang="0">
                                  <a:pos x="connsiteX0" y="connsiteY0"/>
                                </a:cxn>
                                <a:cxn ang="0">
                                  <a:pos x="connsiteX1" y="connsiteY1"/>
                                </a:cxn>
                                <a:cxn ang="0">
                                  <a:pos x="connsiteX2" y="connsiteY2"/>
                                </a:cxn>
                              </a:cxnLst>
                              <a:rect l="l" t="t" r="r" b="b"/>
                              <a:pathLst>
                                <a:path w="135802" h="172036">
                                  <a:moveTo>
                                    <a:pt x="0" y="0"/>
                                  </a:moveTo>
                                  <a:cubicBezTo>
                                    <a:pt x="11316" y="85253"/>
                                    <a:pt x="22633" y="170507"/>
                                    <a:pt x="45267" y="172016"/>
                                  </a:cubicBezTo>
                                  <a:cubicBezTo>
                                    <a:pt x="67901" y="173525"/>
                                    <a:pt x="101851" y="91289"/>
                                    <a:pt x="135802" y="9054"/>
                                  </a:cubicBezTo>
                                </a:path>
                              </a:pathLst>
                            </a:custGeom>
                          </wps:spPr>
                          <wps:style>
                            <a:lnRef idx="3">
                              <a:schemeClr val="accent2"/>
                            </a:lnRef>
                            <a:fillRef idx="0">
                              <a:schemeClr val="accent2"/>
                            </a:fillRef>
                            <a:effectRef idx="2">
                              <a:schemeClr val="accent2"/>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0" name="Forma libre: forma 40"/>
                          <wps:cNvSpPr/>
                          <wps:spPr>
                            <a:xfrm rot="21368137">
                              <a:off x="316871" y="0"/>
                              <a:ext cx="135802" cy="172036"/>
                            </a:xfrm>
                            <a:custGeom>
                              <a:avLst/>
                              <a:gdLst>
                                <a:gd name="connsiteX0" fmla="*/ 0 w 135802"/>
                                <a:gd name="connsiteY0" fmla="*/ 0 h 172036"/>
                                <a:gd name="connsiteX1" fmla="*/ 45267 w 135802"/>
                                <a:gd name="connsiteY1" fmla="*/ 172016 h 172036"/>
                                <a:gd name="connsiteX2" fmla="*/ 135802 w 135802"/>
                                <a:gd name="connsiteY2" fmla="*/ 9054 h 172036"/>
                              </a:gdLst>
                              <a:ahLst/>
                              <a:cxnLst>
                                <a:cxn ang="0">
                                  <a:pos x="connsiteX0" y="connsiteY0"/>
                                </a:cxn>
                                <a:cxn ang="0">
                                  <a:pos x="connsiteX1" y="connsiteY1"/>
                                </a:cxn>
                                <a:cxn ang="0">
                                  <a:pos x="connsiteX2" y="connsiteY2"/>
                                </a:cxn>
                              </a:cxnLst>
                              <a:rect l="l" t="t" r="r" b="b"/>
                              <a:pathLst>
                                <a:path w="135802" h="172036">
                                  <a:moveTo>
                                    <a:pt x="0" y="0"/>
                                  </a:moveTo>
                                  <a:cubicBezTo>
                                    <a:pt x="11316" y="85253"/>
                                    <a:pt x="22633" y="170507"/>
                                    <a:pt x="45267" y="172016"/>
                                  </a:cubicBezTo>
                                  <a:cubicBezTo>
                                    <a:pt x="67901" y="173525"/>
                                    <a:pt x="101851" y="91289"/>
                                    <a:pt x="135802" y="9054"/>
                                  </a:cubicBezTo>
                                </a:path>
                              </a:pathLst>
                            </a:custGeom>
                          </wps:spPr>
                          <wps:style>
                            <a:lnRef idx="3">
                              <a:schemeClr val="accent2"/>
                            </a:lnRef>
                            <a:fillRef idx="0">
                              <a:schemeClr val="accent2"/>
                            </a:fillRef>
                            <a:effectRef idx="2">
                              <a:schemeClr val="accent2"/>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1" name="Forma libre: forma 41"/>
                          <wps:cNvSpPr/>
                          <wps:spPr>
                            <a:xfrm rot="21368137">
                              <a:off x="470780" y="0"/>
                              <a:ext cx="135255" cy="171450"/>
                            </a:xfrm>
                            <a:custGeom>
                              <a:avLst/>
                              <a:gdLst>
                                <a:gd name="connsiteX0" fmla="*/ 0 w 135802"/>
                                <a:gd name="connsiteY0" fmla="*/ 0 h 172036"/>
                                <a:gd name="connsiteX1" fmla="*/ 45267 w 135802"/>
                                <a:gd name="connsiteY1" fmla="*/ 172016 h 172036"/>
                                <a:gd name="connsiteX2" fmla="*/ 135802 w 135802"/>
                                <a:gd name="connsiteY2" fmla="*/ 9054 h 172036"/>
                              </a:gdLst>
                              <a:ahLst/>
                              <a:cxnLst>
                                <a:cxn ang="0">
                                  <a:pos x="connsiteX0" y="connsiteY0"/>
                                </a:cxn>
                                <a:cxn ang="0">
                                  <a:pos x="connsiteX1" y="connsiteY1"/>
                                </a:cxn>
                                <a:cxn ang="0">
                                  <a:pos x="connsiteX2" y="connsiteY2"/>
                                </a:cxn>
                              </a:cxnLst>
                              <a:rect l="l" t="t" r="r" b="b"/>
                              <a:pathLst>
                                <a:path w="135802" h="172036">
                                  <a:moveTo>
                                    <a:pt x="0" y="0"/>
                                  </a:moveTo>
                                  <a:cubicBezTo>
                                    <a:pt x="11316" y="85253"/>
                                    <a:pt x="22633" y="170507"/>
                                    <a:pt x="45267" y="172016"/>
                                  </a:cubicBezTo>
                                  <a:cubicBezTo>
                                    <a:pt x="67901" y="173525"/>
                                    <a:pt x="101851" y="91289"/>
                                    <a:pt x="135802" y="9054"/>
                                  </a:cubicBezTo>
                                </a:path>
                              </a:pathLst>
                            </a:custGeom>
                          </wps:spPr>
                          <wps:style>
                            <a:lnRef idx="3">
                              <a:schemeClr val="accent2"/>
                            </a:lnRef>
                            <a:fillRef idx="0">
                              <a:schemeClr val="accent2"/>
                            </a:fillRef>
                            <a:effectRef idx="2">
                              <a:schemeClr val="accent2"/>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2" name="Forma libre: forma 42"/>
                          <wps:cNvSpPr/>
                          <wps:spPr>
                            <a:xfrm rot="21368137">
                              <a:off x="624689" y="0"/>
                              <a:ext cx="135802" cy="172036"/>
                            </a:xfrm>
                            <a:custGeom>
                              <a:avLst/>
                              <a:gdLst>
                                <a:gd name="connsiteX0" fmla="*/ 0 w 135802"/>
                                <a:gd name="connsiteY0" fmla="*/ 0 h 172036"/>
                                <a:gd name="connsiteX1" fmla="*/ 45267 w 135802"/>
                                <a:gd name="connsiteY1" fmla="*/ 172016 h 172036"/>
                                <a:gd name="connsiteX2" fmla="*/ 135802 w 135802"/>
                                <a:gd name="connsiteY2" fmla="*/ 9054 h 172036"/>
                              </a:gdLst>
                              <a:ahLst/>
                              <a:cxnLst>
                                <a:cxn ang="0">
                                  <a:pos x="connsiteX0" y="connsiteY0"/>
                                </a:cxn>
                                <a:cxn ang="0">
                                  <a:pos x="connsiteX1" y="connsiteY1"/>
                                </a:cxn>
                                <a:cxn ang="0">
                                  <a:pos x="connsiteX2" y="connsiteY2"/>
                                </a:cxn>
                              </a:cxnLst>
                              <a:rect l="l" t="t" r="r" b="b"/>
                              <a:pathLst>
                                <a:path w="135802" h="172036">
                                  <a:moveTo>
                                    <a:pt x="0" y="0"/>
                                  </a:moveTo>
                                  <a:cubicBezTo>
                                    <a:pt x="11316" y="85253"/>
                                    <a:pt x="22633" y="170507"/>
                                    <a:pt x="45267" y="172016"/>
                                  </a:cubicBezTo>
                                  <a:cubicBezTo>
                                    <a:pt x="67901" y="173525"/>
                                    <a:pt x="101851" y="91289"/>
                                    <a:pt x="135802" y="9054"/>
                                  </a:cubicBezTo>
                                </a:path>
                              </a:pathLst>
                            </a:custGeom>
                          </wps:spPr>
                          <wps:style>
                            <a:lnRef idx="3">
                              <a:schemeClr val="accent2"/>
                            </a:lnRef>
                            <a:fillRef idx="0">
                              <a:schemeClr val="accent2"/>
                            </a:fillRef>
                            <a:effectRef idx="2">
                              <a:schemeClr val="accent2"/>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3" name="Forma libre: forma 43"/>
                          <wps:cNvSpPr/>
                          <wps:spPr>
                            <a:xfrm rot="21368137">
                              <a:off x="778598" y="0"/>
                              <a:ext cx="135255" cy="171450"/>
                            </a:xfrm>
                            <a:custGeom>
                              <a:avLst/>
                              <a:gdLst>
                                <a:gd name="connsiteX0" fmla="*/ 0 w 135802"/>
                                <a:gd name="connsiteY0" fmla="*/ 0 h 172036"/>
                                <a:gd name="connsiteX1" fmla="*/ 45267 w 135802"/>
                                <a:gd name="connsiteY1" fmla="*/ 172016 h 172036"/>
                                <a:gd name="connsiteX2" fmla="*/ 135802 w 135802"/>
                                <a:gd name="connsiteY2" fmla="*/ 9054 h 172036"/>
                              </a:gdLst>
                              <a:ahLst/>
                              <a:cxnLst>
                                <a:cxn ang="0">
                                  <a:pos x="connsiteX0" y="connsiteY0"/>
                                </a:cxn>
                                <a:cxn ang="0">
                                  <a:pos x="connsiteX1" y="connsiteY1"/>
                                </a:cxn>
                                <a:cxn ang="0">
                                  <a:pos x="connsiteX2" y="connsiteY2"/>
                                </a:cxn>
                              </a:cxnLst>
                              <a:rect l="l" t="t" r="r" b="b"/>
                              <a:pathLst>
                                <a:path w="135802" h="172036">
                                  <a:moveTo>
                                    <a:pt x="0" y="0"/>
                                  </a:moveTo>
                                  <a:cubicBezTo>
                                    <a:pt x="11316" y="85253"/>
                                    <a:pt x="22633" y="170507"/>
                                    <a:pt x="45267" y="172016"/>
                                  </a:cubicBezTo>
                                  <a:cubicBezTo>
                                    <a:pt x="67901" y="173525"/>
                                    <a:pt x="101851" y="91289"/>
                                    <a:pt x="135802" y="9054"/>
                                  </a:cubicBezTo>
                                </a:path>
                              </a:pathLst>
                            </a:custGeom>
                          </wps:spPr>
                          <wps:style>
                            <a:lnRef idx="3">
                              <a:schemeClr val="accent2"/>
                            </a:lnRef>
                            <a:fillRef idx="0">
                              <a:schemeClr val="accent2"/>
                            </a:fillRef>
                            <a:effectRef idx="2">
                              <a:schemeClr val="accent2"/>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4" name="Forma libre: forma 44"/>
                          <wps:cNvSpPr/>
                          <wps:spPr>
                            <a:xfrm rot="21368137">
                              <a:off x="932507" y="9054"/>
                              <a:ext cx="135255" cy="171450"/>
                            </a:xfrm>
                            <a:custGeom>
                              <a:avLst/>
                              <a:gdLst>
                                <a:gd name="connsiteX0" fmla="*/ 0 w 135802"/>
                                <a:gd name="connsiteY0" fmla="*/ 0 h 172036"/>
                                <a:gd name="connsiteX1" fmla="*/ 45267 w 135802"/>
                                <a:gd name="connsiteY1" fmla="*/ 172016 h 172036"/>
                                <a:gd name="connsiteX2" fmla="*/ 135802 w 135802"/>
                                <a:gd name="connsiteY2" fmla="*/ 9054 h 172036"/>
                              </a:gdLst>
                              <a:ahLst/>
                              <a:cxnLst>
                                <a:cxn ang="0">
                                  <a:pos x="connsiteX0" y="connsiteY0"/>
                                </a:cxn>
                                <a:cxn ang="0">
                                  <a:pos x="connsiteX1" y="connsiteY1"/>
                                </a:cxn>
                                <a:cxn ang="0">
                                  <a:pos x="connsiteX2" y="connsiteY2"/>
                                </a:cxn>
                              </a:cxnLst>
                              <a:rect l="l" t="t" r="r" b="b"/>
                              <a:pathLst>
                                <a:path w="135802" h="172036">
                                  <a:moveTo>
                                    <a:pt x="0" y="0"/>
                                  </a:moveTo>
                                  <a:cubicBezTo>
                                    <a:pt x="11316" y="85253"/>
                                    <a:pt x="22633" y="170507"/>
                                    <a:pt x="45267" y="172016"/>
                                  </a:cubicBezTo>
                                  <a:cubicBezTo>
                                    <a:pt x="67901" y="173525"/>
                                    <a:pt x="101851" y="91289"/>
                                    <a:pt x="135802" y="9054"/>
                                  </a:cubicBezTo>
                                </a:path>
                              </a:pathLst>
                            </a:custGeom>
                          </wps:spPr>
                          <wps:style>
                            <a:lnRef idx="3">
                              <a:schemeClr val="accent2"/>
                            </a:lnRef>
                            <a:fillRef idx="0">
                              <a:schemeClr val="accent2"/>
                            </a:fillRef>
                            <a:effectRef idx="2">
                              <a:schemeClr val="accent2"/>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5" name="Forma libre: forma 45"/>
                          <wps:cNvSpPr/>
                          <wps:spPr>
                            <a:xfrm rot="21368137">
                              <a:off x="1095469" y="0"/>
                              <a:ext cx="135255" cy="171450"/>
                            </a:xfrm>
                            <a:custGeom>
                              <a:avLst/>
                              <a:gdLst>
                                <a:gd name="connsiteX0" fmla="*/ 0 w 135802"/>
                                <a:gd name="connsiteY0" fmla="*/ 0 h 172036"/>
                                <a:gd name="connsiteX1" fmla="*/ 45267 w 135802"/>
                                <a:gd name="connsiteY1" fmla="*/ 172016 h 172036"/>
                                <a:gd name="connsiteX2" fmla="*/ 135802 w 135802"/>
                                <a:gd name="connsiteY2" fmla="*/ 9054 h 172036"/>
                              </a:gdLst>
                              <a:ahLst/>
                              <a:cxnLst>
                                <a:cxn ang="0">
                                  <a:pos x="connsiteX0" y="connsiteY0"/>
                                </a:cxn>
                                <a:cxn ang="0">
                                  <a:pos x="connsiteX1" y="connsiteY1"/>
                                </a:cxn>
                                <a:cxn ang="0">
                                  <a:pos x="connsiteX2" y="connsiteY2"/>
                                </a:cxn>
                              </a:cxnLst>
                              <a:rect l="l" t="t" r="r" b="b"/>
                              <a:pathLst>
                                <a:path w="135802" h="172036">
                                  <a:moveTo>
                                    <a:pt x="0" y="0"/>
                                  </a:moveTo>
                                  <a:cubicBezTo>
                                    <a:pt x="11316" y="85253"/>
                                    <a:pt x="22633" y="170507"/>
                                    <a:pt x="45267" y="172016"/>
                                  </a:cubicBezTo>
                                  <a:cubicBezTo>
                                    <a:pt x="67901" y="173525"/>
                                    <a:pt x="101851" y="91289"/>
                                    <a:pt x="135802" y="9054"/>
                                  </a:cubicBezTo>
                                </a:path>
                              </a:pathLst>
                            </a:custGeom>
                          </wps:spPr>
                          <wps:style>
                            <a:lnRef idx="3">
                              <a:schemeClr val="accent2"/>
                            </a:lnRef>
                            <a:fillRef idx="0">
                              <a:schemeClr val="accent2"/>
                            </a:fillRef>
                            <a:effectRef idx="2">
                              <a:schemeClr val="accent2"/>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6" name="Forma libre: forma 46"/>
                          <wps:cNvSpPr/>
                          <wps:spPr>
                            <a:xfrm rot="21368137">
                              <a:off x="1231271" y="9054"/>
                              <a:ext cx="135255" cy="171450"/>
                            </a:xfrm>
                            <a:custGeom>
                              <a:avLst/>
                              <a:gdLst>
                                <a:gd name="connsiteX0" fmla="*/ 0 w 135802"/>
                                <a:gd name="connsiteY0" fmla="*/ 0 h 172036"/>
                                <a:gd name="connsiteX1" fmla="*/ 45267 w 135802"/>
                                <a:gd name="connsiteY1" fmla="*/ 172016 h 172036"/>
                                <a:gd name="connsiteX2" fmla="*/ 135802 w 135802"/>
                                <a:gd name="connsiteY2" fmla="*/ 9054 h 172036"/>
                              </a:gdLst>
                              <a:ahLst/>
                              <a:cxnLst>
                                <a:cxn ang="0">
                                  <a:pos x="connsiteX0" y="connsiteY0"/>
                                </a:cxn>
                                <a:cxn ang="0">
                                  <a:pos x="connsiteX1" y="connsiteY1"/>
                                </a:cxn>
                                <a:cxn ang="0">
                                  <a:pos x="connsiteX2" y="connsiteY2"/>
                                </a:cxn>
                              </a:cxnLst>
                              <a:rect l="l" t="t" r="r" b="b"/>
                              <a:pathLst>
                                <a:path w="135802" h="172036">
                                  <a:moveTo>
                                    <a:pt x="0" y="0"/>
                                  </a:moveTo>
                                  <a:cubicBezTo>
                                    <a:pt x="11316" y="85253"/>
                                    <a:pt x="22633" y="170507"/>
                                    <a:pt x="45267" y="172016"/>
                                  </a:cubicBezTo>
                                  <a:cubicBezTo>
                                    <a:pt x="67901" y="173525"/>
                                    <a:pt x="101851" y="91289"/>
                                    <a:pt x="135802" y="9054"/>
                                  </a:cubicBezTo>
                                </a:path>
                              </a:pathLst>
                            </a:custGeom>
                          </wps:spPr>
                          <wps:style>
                            <a:lnRef idx="3">
                              <a:schemeClr val="accent2"/>
                            </a:lnRef>
                            <a:fillRef idx="0">
                              <a:schemeClr val="accent2"/>
                            </a:fillRef>
                            <a:effectRef idx="2">
                              <a:schemeClr val="accent2"/>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7" name="Forma libre: forma 47"/>
                          <wps:cNvSpPr/>
                          <wps:spPr>
                            <a:xfrm rot="21368137">
                              <a:off x="1385180" y="9054"/>
                              <a:ext cx="135255" cy="171450"/>
                            </a:xfrm>
                            <a:custGeom>
                              <a:avLst/>
                              <a:gdLst>
                                <a:gd name="connsiteX0" fmla="*/ 0 w 135802"/>
                                <a:gd name="connsiteY0" fmla="*/ 0 h 172036"/>
                                <a:gd name="connsiteX1" fmla="*/ 45267 w 135802"/>
                                <a:gd name="connsiteY1" fmla="*/ 172016 h 172036"/>
                                <a:gd name="connsiteX2" fmla="*/ 135802 w 135802"/>
                                <a:gd name="connsiteY2" fmla="*/ 9054 h 172036"/>
                              </a:gdLst>
                              <a:ahLst/>
                              <a:cxnLst>
                                <a:cxn ang="0">
                                  <a:pos x="connsiteX0" y="connsiteY0"/>
                                </a:cxn>
                                <a:cxn ang="0">
                                  <a:pos x="connsiteX1" y="connsiteY1"/>
                                </a:cxn>
                                <a:cxn ang="0">
                                  <a:pos x="connsiteX2" y="connsiteY2"/>
                                </a:cxn>
                              </a:cxnLst>
                              <a:rect l="l" t="t" r="r" b="b"/>
                              <a:pathLst>
                                <a:path w="135802" h="172036">
                                  <a:moveTo>
                                    <a:pt x="0" y="0"/>
                                  </a:moveTo>
                                  <a:cubicBezTo>
                                    <a:pt x="11316" y="85253"/>
                                    <a:pt x="22633" y="170507"/>
                                    <a:pt x="45267" y="172016"/>
                                  </a:cubicBezTo>
                                  <a:cubicBezTo>
                                    <a:pt x="67901" y="173525"/>
                                    <a:pt x="101851" y="91289"/>
                                    <a:pt x="135802" y="9054"/>
                                  </a:cubicBezTo>
                                </a:path>
                              </a:pathLst>
                            </a:custGeom>
                          </wps:spPr>
                          <wps:style>
                            <a:lnRef idx="3">
                              <a:schemeClr val="accent2"/>
                            </a:lnRef>
                            <a:fillRef idx="0">
                              <a:schemeClr val="accent2"/>
                            </a:fillRef>
                            <a:effectRef idx="2">
                              <a:schemeClr val="accent2"/>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8" name="Forma libre: forma 48"/>
                          <wps:cNvSpPr/>
                          <wps:spPr>
                            <a:xfrm rot="21368137">
                              <a:off x="1548142" y="18107"/>
                              <a:ext cx="135255" cy="171450"/>
                            </a:xfrm>
                            <a:custGeom>
                              <a:avLst/>
                              <a:gdLst>
                                <a:gd name="connsiteX0" fmla="*/ 0 w 135802"/>
                                <a:gd name="connsiteY0" fmla="*/ 0 h 172036"/>
                                <a:gd name="connsiteX1" fmla="*/ 45267 w 135802"/>
                                <a:gd name="connsiteY1" fmla="*/ 172016 h 172036"/>
                                <a:gd name="connsiteX2" fmla="*/ 135802 w 135802"/>
                                <a:gd name="connsiteY2" fmla="*/ 9054 h 172036"/>
                              </a:gdLst>
                              <a:ahLst/>
                              <a:cxnLst>
                                <a:cxn ang="0">
                                  <a:pos x="connsiteX0" y="connsiteY0"/>
                                </a:cxn>
                                <a:cxn ang="0">
                                  <a:pos x="connsiteX1" y="connsiteY1"/>
                                </a:cxn>
                                <a:cxn ang="0">
                                  <a:pos x="connsiteX2" y="connsiteY2"/>
                                </a:cxn>
                              </a:cxnLst>
                              <a:rect l="l" t="t" r="r" b="b"/>
                              <a:pathLst>
                                <a:path w="135802" h="172036">
                                  <a:moveTo>
                                    <a:pt x="0" y="0"/>
                                  </a:moveTo>
                                  <a:cubicBezTo>
                                    <a:pt x="11316" y="85253"/>
                                    <a:pt x="22633" y="170507"/>
                                    <a:pt x="45267" y="172016"/>
                                  </a:cubicBezTo>
                                  <a:cubicBezTo>
                                    <a:pt x="67901" y="173525"/>
                                    <a:pt x="101851" y="91289"/>
                                    <a:pt x="135802" y="9054"/>
                                  </a:cubicBezTo>
                                </a:path>
                              </a:pathLst>
                            </a:custGeom>
                          </wps:spPr>
                          <wps:style>
                            <a:lnRef idx="3">
                              <a:schemeClr val="accent2"/>
                            </a:lnRef>
                            <a:fillRef idx="0">
                              <a:schemeClr val="accent2"/>
                            </a:fillRef>
                            <a:effectRef idx="2">
                              <a:schemeClr val="accent2"/>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4" name="Forma libre: forma 54"/>
                          <wps:cNvSpPr/>
                          <wps:spPr>
                            <a:xfrm rot="21368137">
                              <a:off x="1702051" y="9054"/>
                              <a:ext cx="135255" cy="171450"/>
                            </a:xfrm>
                            <a:custGeom>
                              <a:avLst/>
                              <a:gdLst>
                                <a:gd name="connsiteX0" fmla="*/ 0 w 135802"/>
                                <a:gd name="connsiteY0" fmla="*/ 0 h 172036"/>
                                <a:gd name="connsiteX1" fmla="*/ 45267 w 135802"/>
                                <a:gd name="connsiteY1" fmla="*/ 172016 h 172036"/>
                                <a:gd name="connsiteX2" fmla="*/ 135802 w 135802"/>
                                <a:gd name="connsiteY2" fmla="*/ 9054 h 172036"/>
                              </a:gdLst>
                              <a:ahLst/>
                              <a:cxnLst>
                                <a:cxn ang="0">
                                  <a:pos x="connsiteX0" y="connsiteY0"/>
                                </a:cxn>
                                <a:cxn ang="0">
                                  <a:pos x="connsiteX1" y="connsiteY1"/>
                                </a:cxn>
                                <a:cxn ang="0">
                                  <a:pos x="connsiteX2" y="connsiteY2"/>
                                </a:cxn>
                              </a:cxnLst>
                              <a:rect l="l" t="t" r="r" b="b"/>
                              <a:pathLst>
                                <a:path w="135802" h="172036">
                                  <a:moveTo>
                                    <a:pt x="0" y="0"/>
                                  </a:moveTo>
                                  <a:cubicBezTo>
                                    <a:pt x="11316" y="85253"/>
                                    <a:pt x="22633" y="170507"/>
                                    <a:pt x="45267" y="172016"/>
                                  </a:cubicBezTo>
                                  <a:cubicBezTo>
                                    <a:pt x="67901" y="173525"/>
                                    <a:pt x="101851" y="91289"/>
                                    <a:pt x="135802" y="9054"/>
                                  </a:cubicBezTo>
                                </a:path>
                              </a:pathLst>
                            </a:custGeom>
                          </wps:spPr>
                          <wps:style>
                            <a:lnRef idx="3">
                              <a:schemeClr val="accent2"/>
                            </a:lnRef>
                            <a:fillRef idx="0">
                              <a:schemeClr val="accent2"/>
                            </a:fillRef>
                            <a:effectRef idx="2">
                              <a:schemeClr val="accent2"/>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4" name="Forma libre: forma 64"/>
                          <wps:cNvSpPr/>
                          <wps:spPr>
                            <a:xfrm rot="21368137">
                              <a:off x="1855960" y="18107"/>
                              <a:ext cx="135255" cy="171450"/>
                            </a:xfrm>
                            <a:custGeom>
                              <a:avLst/>
                              <a:gdLst>
                                <a:gd name="connsiteX0" fmla="*/ 0 w 135802"/>
                                <a:gd name="connsiteY0" fmla="*/ 0 h 172036"/>
                                <a:gd name="connsiteX1" fmla="*/ 45267 w 135802"/>
                                <a:gd name="connsiteY1" fmla="*/ 172016 h 172036"/>
                                <a:gd name="connsiteX2" fmla="*/ 135802 w 135802"/>
                                <a:gd name="connsiteY2" fmla="*/ 9054 h 172036"/>
                              </a:gdLst>
                              <a:ahLst/>
                              <a:cxnLst>
                                <a:cxn ang="0">
                                  <a:pos x="connsiteX0" y="connsiteY0"/>
                                </a:cxn>
                                <a:cxn ang="0">
                                  <a:pos x="connsiteX1" y="connsiteY1"/>
                                </a:cxn>
                                <a:cxn ang="0">
                                  <a:pos x="connsiteX2" y="connsiteY2"/>
                                </a:cxn>
                              </a:cxnLst>
                              <a:rect l="l" t="t" r="r" b="b"/>
                              <a:pathLst>
                                <a:path w="135802" h="172036">
                                  <a:moveTo>
                                    <a:pt x="0" y="0"/>
                                  </a:moveTo>
                                  <a:cubicBezTo>
                                    <a:pt x="11316" y="85253"/>
                                    <a:pt x="22633" y="170507"/>
                                    <a:pt x="45267" y="172016"/>
                                  </a:cubicBezTo>
                                  <a:cubicBezTo>
                                    <a:pt x="67901" y="173525"/>
                                    <a:pt x="101851" y="91289"/>
                                    <a:pt x="135802" y="9054"/>
                                  </a:cubicBezTo>
                                </a:path>
                              </a:pathLst>
                            </a:custGeom>
                          </wps:spPr>
                          <wps:style>
                            <a:lnRef idx="3">
                              <a:schemeClr val="accent2"/>
                            </a:lnRef>
                            <a:fillRef idx="0">
                              <a:schemeClr val="accent2"/>
                            </a:fillRef>
                            <a:effectRef idx="2">
                              <a:schemeClr val="accent2"/>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5" name="Forma libre: forma 65"/>
                          <wps:cNvSpPr/>
                          <wps:spPr>
                            <a:xfrm rot="21368137">
                              <a:off x="2009869" y="9054"/>
                              <a:ext cx="135255" cy="171450"/>
                            </a:xfrm>
                            <a:custGeom>
                              <a:avLst/>
                              <a:gdLst>
                                <a:gd name="connsiteX0" fmla="*/ 0 w 135802"/>
                                <a:gd name="connsiteY0" fmla="*/ 0 h 172036"/>
                                <a:gd name="connsiteX1" fmla="*/ 45267 w 135802"/>
                                <a:gd name="connsiteY1" fmla="*/ 172016 h 172036"/>
                                <a:gd name="connsiteX2" fmla="*/ 135802 w 135802"/>
                                <a:gd name="connsiteY2" fmla="*/ 9054 h 172036"/>
                              </a:gdLst>
                              <a:ahLst/>
                              <a:cxnLst>
                                <a:cxn ang="0">
                                  <a:pos x="connsiteX0" y="connsiteY0"/>
                                </a:cxn>
                                <a:cxn ang="0">
                                  <a:pos x="connsiteX1" y="connsiteY1"/>
                                </a:cxn>
                                <a:cxn ang="0">
                                  <a:pos x="connsiteX2" y="connsiteY2"/>
                                </a:cxn>
                              </a:cxnLst>
                              <a:rect l="l" t="t" r="r" b="b"/>
                              <a:pathLst>
                                <a:path w="135802" h="172036">
                                  <a:moveTo>
                                    <a:pt x="0" y="0"/>
                                  </a:moveTo>
                                  <a:cubicBezTo>
                                    <a:pt x="11316" y="85253"/>
                                    <a:pt x="22633" y="170507"/>
                                    <a:pt x="45267" y="172016"/>
                                  </a:cubicBezTo>
                                  <a:cubicBezTo>
                                    <a:pt x="67901" y="173525"/>
                                    <a:pt x="101851" y="91289"/>
                                    <a:pt x="135802" y="9054"/>
                                  </a:cubicBezTo>
                                </a:path>
                              </a:pathLst>
                            </a:custGeom>
                          </wps:spPr>
                          <wps:style>
                            <a:lnRef idx="3">
                              <a:schemeClr val="accent2"/>
                            </a:lnRef>
                            <a:fillRef idx="0">
                              <a:schemeClr val="accent2"/>
                            </a:fillRef>
                            <a:effectRef idx="2">
                              <a:schemeClr val="accent2"/>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6" name="Forma libre: forma 66"/>
                          <wps:cNvSpPr/>
                          <wps:spPr>
                            <a:xfrm rot="21368137">
                              <a:off x="2172831" y="18107"/>
                              <a:ext cx="135255" cy="171450"/>
                            </a:xfrm>
                            <a:custGeom>
                              <a:avLst/>
                              <a:gdLst>
                                <a:gd name="connsiteX0" fmla="*/ 0 w 135802"/>
                                <a:gd name="connsiteY0" fmla="*/ 0 h 172036"/>
                                <a:gd name="connsiteX1" fmla="*/ 45267 w 135802"/>
                                <a:gd name="connsiteY1" fmla="*/ 172016 h 172036"/>
                                <a:gd name="connsiteX2" fmla="*/ 135802 w 135802"/>
                                <a:gd name="connsiteY2" fmla="*/ 9054 h 172036"/>
                              </a:gdLst>
                              <a:ahLst/>
                              <a:cxnLst>
                                <a:cxn ang="0">
                                  <a:pos x="connsiteX0" y="connsiteY0"/>
                                </a:cxn>
                                <a:cxn ang="0">
                                  <a:pos x="connsiteX1" y="connsiteY1"/>
                                </a:cxn>
                                <a:cxn ang="0">
                                  <a:pos x="connsiteX2" y="connsiteY2"/>
                                </a:cxn>
                              </a:cxnLst>
                              <a:rect l="l" t="t" r="r" b="b"/>
                              <a:pathLst>
                                <a:path w="135802" h="172036">
                                  <a:moveTo>
                                    <a:pt x="0" y="0"/>
                                  </a:moveTo>
                                  <a:cubicBezTo>
                                    <a:pt x="11316" y="85253"/>
                                    <a:pt x="22633" y="170507"/>
                                    <a:pt x="45267" y="172016"/>
                                  </a:cubicBezTo>
                                  <a:cubicBezTo>
                                    <a:pt x="67901" y="173525"/>
                                    <a:pt x="101851" y="91289"/>
                                    <a:pt x="135802" y="9054"/>
                                  </a:cubicBezTo>
                                </a:path>
                              </a:pathLst>
                            </a:custGeom>
                          </wps:spPr>
                          <wps:style>
                            <a:lnRef idx="3">
                              <a:schemeClr val="accent2"/>
                            </a:lnRef>
                            <a:fillRef idx="0">
                              <a:schemeClr val="accent2"/>
                            </a:fillRef>
                            <a:effectRef idx="2">
                              <a:schemeClr val="accent2"/>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7" name="Forma libre: forma 67"/>
                          <wps:cNvSpPr/>
                          <wps:spPr>
                            <a:xfrm rot="21368137">
                              <a:off x="2326740" y="9054"/>
                              <a:ext cx="135255" cy="171450"/>
                            </a:xfrm>
                            <a:custGeom>
                              <a:avLst/>
                              <a:gdLst>
                                <a:gd name="connsiteX0" fmla="*/ 0 w 135802"/>
                                <a:gd name="connsiteY0" fmla="*/ 0 h 172036"/>
                                <a:gd name="connsiteX1" fmla="*/ 45267 w 135802"/>
                                <a:gd name="connsiteY1" fmla="*/ 172016 h 172036"/>
                                <a:gd name="connsiteX2" fmla="*/ 135802 w 135802"/>
                                <a:gd name="connsiteY2" fmla="*/ 9054 h 172036"/>
                              </a:gdLst>
                              <a:ahLst/>
                              <a:cxnLst>
                                <a:cxn ang="0">
                                  <a:pos x="connsiteX0" y="connsiteY0"/>
                                </a:cxn>
                                <a:cxn ang="0">
                                  <a:pos x="connsiteX1" y="connsiteY1"/>
                                </a:cxn>
                                <a:cxn ang="0">
                                  <a:pos x="connsiteX2" y="connsiteY2"/>
                                </a:cxn>
                              </a:cxnLst>
                              <a:rect l="l" t="t" r="r" b="b"/>
                              <a:pathLst>
                                <a:path w="135802" h="172036">
                                  <a:moveTo>
                                    <a:pt x="0" y="0"/>
                                  </a:moveTo>
                                  <a:cubicBezTo>
                                    <a:pt x="11316" y="85253"/>
                                    <a:pt x="22633" y="170507"/>
                                    <a:pt x="45267" y="172016"/>
                                  </a:cubicBezTo>
                                  <a:cubicBezTo>
                                    <a:pt x="67901" y="173525"/>
                                    <a:pt x="101851" y="91289"/>
                                    <a:pt x="135802" y="9054"/>
                                  </a:cubicBezTo>
                                </a:path>
                              </a:pathLst>
                            </a:custGeom>
                          </wps:spPr>
                          <wps:style>
                            <a:lnRef idx="3">
                              <a:schemeClr val="accent2"/>
                            </a:lnRef>
                            <a:fillRef idx="0">
                              <a:schemeClr val="accent2"/>
                            </a:fillRef>
                            <a:effectRef idx="2">
                              <a:schemeClr val="accent2"/>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8" name="Forma libre: forma 68"/>
                          <wps:cNvSpPr/>
                          <wps:spPr>
                            <a:xfrm rot="21368137">
                              <a:off x="2471596" y="27161"/>
                              <a:ext cx="135255" cy="171450"/>
                            </a:xfrm>
                            <a:custGeom>
                              <a:avLst/>
                              <a:gdLst>
                                <a:gd name="connsiteX0" fmla="*/ 0 w 135802"/>
                                <a:gd name="connsiteY0" fmla="*/ 0 h 172036"/>
                                <a:gd name="connsiteX1" fmla="*/ 45267 w 135802"/>
                                <a:gd name="connsiteY1" fmla="*/ 172016 h 172036"/>
                                <a:gd name="connsiteX2" fmla="*/ 135802 w 135802"/>
                                <a:gd name="connsiteY2" fmla="*/ 9054 h 172036"/>
                              </a:gdLst>
                              <a:ahLst/>
                              <a:cxnLst>
                                <a:cxn ang="0">
                                  <a:pos x="connsiteX0" y="connsiteY0"/>
                                </a:cxn>
                                <a:cxn ang="0">
                                  <a:pos x="connsiteX1" y="connsiteY1"/>
                                </a:cxn>
                                <a:cxn ang="0">
                                  <a:pos x="connsiteX2" y="connsiteY2"/>
                                </a:cxn>
                              </a:cxnLst>
                              <a:rect l="l" t="t" r="r" b="b"/>
                              <a:pathLst>
                                <a:path w="135802" h="172036">
                                  <a:moveTo>
                                    <a:pt x="0" y="0"/>
                                  </a:moveTo>
                                  <a:cubicBezTo>
                                    <a:pt x="11316" y="85253"/>
                                    <a:pt x="22633" y="170507"/>
                                    <a:pt x="45267" y="172016"/>
                                  </a:cubicBezTo>
                                  <a:cubicBezTo>
                                    <a:pt x="67901" y="173525"/>
                                    <a:pt x="101851" y="91289"/>
                                    <a:pt x="135802" y="9054"/>
                                  </a:cubicBezTo>
                                </a:path>
                              </a:pathLst>
                            </a:custGeom>
                          </wps:spPr>
                          <wps:style>
                            <a:lnRef idx="3">
                              <a:schemeClr val="accent2"/>
                            </a:lnRef>
                            <a:fillRef idx="0">
                              <a:schemeClr val="accent2"/>
                            </a:fillRef>
                            <a:effectRef idx="2">
                              <a:schemeClr val="accent2"/>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9" name="Forma libre: forma 69"/>
                          <wps:cNvSpPr/>
                          <wps:spPr>
                            <a:xfrm rot="21368137">
                              <a:off x="2625505" y="18107"/>
                              <a:ext cx="135255" cy="171450"/>
                            </a:xfrm>
                            <a:custGeom>
                              <a:avLst/>
                              <a:gdLst>
                                <a:gd name="connsiteX0" fmla="*/ 0 w 135802"/>
                                <a:gd name="connsiteY0" fmla="*/ 0 h 172036"/>
                                <a:gd name="connsiteX1" fmla="*/ 45267 w 135802"/>
                                <a:gd name="connsiteY1" fmla="*/ 172016 h 172036"/>
                                <a:gd name="connsiteX2" fmla="*/ 135802 w 135802"/>
                                <a:gd name="connsiteY2" fmla="*/ 9054 h 172036"/>
                              </a:gdLst>
                              <a:ahLst/>
                              <a:cxnLst>
                                <a:cxn ang="0">
                                  <a:pos x="connsiteX0" y="connsiteY0"/>
                                </a:cxn>
                                <a:cxn ang="0">
                                  <a:pos x="connsiteX1" y="connsiteY1"/>
                                </a:cxn>
                                <a:cxn ang="0">
                                  <a:pos x="connsiteX2" y="connsiteY2"/>
                                </a:cxn>
                              </a:cxnLst>
                              <a:rect l="l" t="t" r="r" b="b"/>
                              <a:pathLst>
                                <a:path w="135802" h="172036">
                                  <a:moveTo>
                                    <a:pt x="0" y="0"/>
                                  </a:moveTo>
                                  <a:cubicBezTo>
                                    <a:pt x="11316" y="85253"/>
                                    <a:pt x="22633" y="170507"/>
                                    <a:pt x="45267" y="172016"/>
                                  </a:cubicBezTo>
                                  <a:cubicBezTo>
                                    <a:pt x="67901" y="173525"/>
                                    <a:pt x="101851" y="91289"/>
                                    <a:pt x="135802" y="9054"/>
                                  </a:cubicBezTo>
                                </a:path>
                              </a:pathLst>
                            </a:custGeom>
                          </wps:spPr>
                          <wps:style>
                            <a:lnRef idx="3">
                              <a:schemeClr val="accent2"/>
                            </a:lnRef>
                            <a:fillRef idx="0">
                              <a:schemeClr val="accent2"/>
                            </a:fillRef>
                            <a:effectRef idx="2">
                              <a:schemeClr val="accent2"/>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0" name="Forma libre: forma 70"/>
                          <wps:cNvSpPr/>
                          <wps:spPr>
                            <a:xfrm rot="21368137">
                              <a:off x="2788467" y="27161"/>
                              <a:ext cx="135255" cy="171450"/>
                            </a:xfrm>
                            <a:custGeom>
                              <a:avLst/>
                              <a:gdLst>
                                <a:gd name="connsiteX0" fmla="*/ 0 w 135802"/>
                                <a:gd name="connsiteY0" fmla="*/ 0 h 172036"/>
                                <a:gd name="connsiteX1" fmla="*/ 45267 w 135802"/>
                                <a:gd name="connsiteY1" fmla="*/ 172016 h 172036"/>
                                <a:gd name="connsiteX2" fmla="*/ 135802 w 135802"/>
                                <a:gd name="connsiteY2" fmla="*/ 9054 h 172036"/>
                              </a:gdLst>
                              <a:ahLst/>
                              <a:cxnLst>
                                <a:cxn ang="0">
                                  <a:pos x="connsiteX0" y="connsiteY0"/>
                                </a:cxn>
                                <a:cxn ang="0">
                                  <a:pos x="connsiteX1" y="connsiteY1"/>
                                </a:cxn>
                                <a:cxn ang="0">
                                  <a:pos x="connsiteX2" y="connsiteY2"/>
                                </a:cxn>
                              </a:cxnLst>
                              <a:rect l="l" t="t" r="r" b="b"/>
                              <a:pathLst>
                                <a:path w="135802" h="172036">
                                  <a:moveTo>
                                    <a:pt x="0" y="0"/>
                                  </a:moveTo>
                                  <a:cubicBezTo>
                                    <a:pt x="11316" y="85253"/>
                                    <a:pt x="22633" y="170507"/>
                                    <a:pt x="45267" y="172016"/>
                                  </a:cubicBezTo>
                                  <a:cubicBezTo>
                                    <a:pt x="67901" y="173525"/>
                                    <a:pt x="101851" y="91289"/>
                                    <a:pt x="135802" y="9054"/>
                                  </a:cubicBezTo>
                                </a:path>
                              </a:pathLst>
                            </a:custGeom>
                          </wps:spPr>
                          <wps:style>
                            <a:lnRef idx="3">
                              <a:schemeClr val="accent2"/>
                            </a:lnRef>
                            <a:fillRef idx="0">
                              <a:schemeClr val="accent2"/>
                            </a:fillRef>
                            <a:effectRef idx="2">
                              <a:schemeClr val="accent2"/>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1" name="Forma libre: forma 71"/>
                          <wps:cNvSpPr/>
                          <wps:spPr>
                            <a:xfrm rot="21368137">
                              <a:off x="2942376" y="18107"/>
                              <a:ext cx="135255" cy="171450"/>
                            </a:xfrm>
                            <a:custGeom>
                              <a:avLst/>
                              <a:gdLst>
                                <a:gd name="connsiteX0" fmla="*/ 0 w 135802"/>
                                <a:gd name="connsiteY0" fmla="*/ 0 h 172036"/>
                                <a:gd name="connsiteX1" fmla="*/ 45267 w 135802"/>
                                <a:gd name="connsiteY1" fmla="*/ 172016 h 172036"/>
                                <a:gd name="connsiteX2" fmla="*/ 135802 w 135802"/>
                                <a:gd name="connsiteY2" fmla="*/ 9054 h 172036"/>
                              </a:gdLst>
                              <a:ahLst/>
                              <a:cxnLst>
                                <a:cxn ang="0">
                                  <a:pos x="connsiteX0" y="connsiteY0"/>
                                </a:cxn>
                                <a:cxn ang="0">
                                  <a:pos x="connsiteX1" y="connsiteY1"/>
                                </a:cxn>
                                <a:cxn ang="0">
                                  <a:pos x="connsiteX2" y="connsiteY2"/>
                                </a:cxn>
                              </a:cxnLst>
                              <a:rect l="l" t="t" r="r" b="b"/>
                              <a:pathLst>
                                <a:path w="135802" h="172036">
                                  <a:moveTo>
                                    <a:pt x="0" y="0"/>
                                  </a:moveTo>
                                  <a:cubicBezTo>
                                    <a:pt x="11316" y="85253"/>
                                    <a:pt x="22633" y="170507"/>
                                    <a:pt x="45267" y="172016"/>
                                  </a:cubicBezTo>
                                  <a:cubicBezTo>
                                    <a:pt x="67901" y="173525"/>
                                    <a:pt x="101851" y="91289"/>
                                    <a:pt x="135802" y="9054"/>
                                  </a:cubicBezTo>
                                </a:path>
                              </a:pathLst>
                            </a:custGeom>
                          </wps:spPr>
                          <wps:style>
                            <a:lnRef idx="3">
                              <a:schemeClr val="accent2"/>
                            </a:lnRef>
                            <a:fillRef idx="0">
                              <a:schemeClr val="accent2"/>
                            </a:fillRef>
                            <a:effectRef idx="2">
                              <a:schemeClr val="accent2"/>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2" name="Forma libre: forma 72"/>
                          <wps:cNvSpPr/>
                          <wps:spPr>
                            <a:xfrm rot="21368137">
                              <a:off x="3096285" y="27161"/>
                              <a:ext cx="135255" cy="171450"/>
                            </a:xfrm>
                            <a:custGeom>
                              <a:avLst/>
                              <a:gdLst>
                                <a:gd name="connsiteX0" fmla="*/ 0 w 135802"/>
                                <a:gd name="connsiteY0" fmla="*/ 0 h 172036"/>
                                <a:gd name="connsiteX1" fmla="*/ 45267 w 135802"/>
                                <a:gd name="connsiteY1" fmla="*/ 172016 h 172036"/>
                                <a:gd name="connsiteX2" fmla="*/ 135802 w 135802"/>
                                <a:gd name="connsiteY2" fmla="*/ 9054 h 172036"/>
                              </a:gdLst>
                              <a:ahLst/>
                              <a:cxnLst>
                                <a:cxn ang="0">
                                  <a:pos x="connsiteX0" y="connsiteY0"/>
                                </a:cxn>
                                <a:cxn ang="0">
                                  <a:pos x="connsiteX1" y="connsiteY1"/>
                                </a:cxn>
                                <a:cxn ang="0">
                                  <a:pos x="connsiteX2" y="connsiteY2"/>
                                </a:cxn>
                              </a:cxnLst>
                              <a:rect l="l" t="t" r="r" b="b"/>
                              <a:pathLst>
                                <a:path w="135802" h="172036">
                                  <a:moveTo>
                                    <a:pt x="0" y="0"/>
                                  </a:moveTo>
                                  <a:cubicBezTo>
                                    <a:pt x="11316" y="85253"/>
                                    <a:pt x="22633" y="170507"/>
                                    <a:pt x="45267" y="172016"/>
                                  </a:cubicBezTo>
                                  <a:cubicBezTo>
                                    <a:pt x="67901" y="173525"/>
                                    <a:pt x="101851" y="91289"/>
                                    <a:pt x="135802" y="9054"/>
                                  </a:cubicBezTo>
                                </a:path>
                              </a:pathLst>
                            </a:custGeom>
                          </wps:spPr>
                          <wps:style>
                            <a:lnRef idx="3">
                              <a:schemeClr val="accent2"/>
                            </a:lnRef>
                            <a:fillRef idx="0">
                              <a:schemeClr val="accent2"/>
                            </a:fillRef>
                            <a:effectRef idx="2">
                              <a:schemeClr val="accent2"/>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3" name="Forma libre: forma 73"/>
                          <wps:cNvSpPr/>
                          <wps:spPr>
                            <a:xfrm rot="21368137">
                              <a:off x="3250194" y="18107"/>
                              <a:ext cx="135255" cy="171450"/>
                            </a:xfrm>
                            <a:custGeom>
                              <a:avLst/>
                              <a:gdLst>
                                <a:gd name="connsiteX0" fmla="*/ 0 w 135802"/>
                                <a:gd name="connsiteY0" fmla="*/ 0 h 172036"/>
                                <a:gd name="connsiteX1" fmla="*/ 45267 w 135802"/>
                                <a:gd name="connsiteY1" fmla="*/ 172016 h 172036"/>
                                <a:gd name="connsiteX2" fmla="*/ 135802 w 135802"/>
                                <a:gd name="connsiteY2" fmla="*/ 9054 h 172036"/>
                              </a:gdLst>
                              <a:ahLst/>
                              <a:cxnLst>
                                <a:cxn ang="0">
                                  <a:pos x="connsiteX0" y="connsiteY0"/>
                                </a:cxn>
                                <a:cxn ang="0">
                                  <a:pos x="connsiteX1" y="connsiteY1"/>
                                </a:cxn>
                                <a:cxn ang="0">
                                  <a:pos x="connsiteX2" y="connsiteY2"/>
                                </a:cxn>
                              </a:cxnLst>
                              <a:rect l="l" t="t" r="r" b="b"/>
                              <a:pathLst>
                                <a:path w="135802" h="172036">
                                  <a:moveTo>
                                    <a:pt x="0" y="0"/>
                                  </a:moveTo>
                                  <a:cubicBezTo>
                                    <a:pt x="11316" y="85253"/>
                                    <a:pt x="22633" y="170507"/>
                                    <a:pt x="45267" y="172016"/>
                                  </a:cubicBezTo>
                                  <a:cubicBezTo>
                                    <a:pt x="67901" y="173525"/>
                                    <a:pt x="101851" y="91289"/>
                                    <a:pt x="135802" y="9054"/>
                                  </a:cubicBezTo>
                                </a:path>
                              </a:pathLst>
                            </a:custGeom>
                          </wps:spPr>
                          <wps:style>
                            <a:lnRef idx="3">
                              <a:schemeClr val="accent2"/>
                            </a:lnRef>
                            <a:fillRef idx="0">
                              <a:schemeClr val="accent2"/>
                            </a:fillRef>
                            <a:effectRef idx="2">
                              <a:schemeClr val="accent2"/>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83" name="Grupo 83"/>
                        <wpg:cNvGrpSpPr/>
                        <wpg:grpSpPr>
                          <a:xfrm>
                            <a:off x="1186004" y="1702051"/>
                            <a:ext cx="2439349" cy="679010"/>
                            <a:chOff x="0" y="0"/>
                            <a:chExt cx="2439349" cy="679010"/>
                          </a:xfrm>
                        </wpg:grpSpPr>
                        <wps:wsp>
                          <wps:cNvPr id="33" name="Cuadro de texto 33"/>
                          <wps:cNvSpPr txBox="1"/>
                          <wps:spPr>
                            <a:xfrm>
                              <a:off x="298764" y="0"/>
                              <a:ext cx="1565722" cy="235390"/>
                            </a:xfrm>
                            <a:prstGeom prst="rect">
                              <a:avLst/>
                            </a:prstGeom>
                            <a:noFill/>
                            <a:ln w="6350">
                              <a:noFill/>
                            </a:ln>
                          </wps:spPr>
                          <wps:txbx>
                            <w:txbxContent>
                              <w:p w14:paraId="2BCADA6E" w14:textId="77777777" w:rsidR="006107A8" w:rsidRPr="00505378" w:rsidRDefault="006107A8" w:rsidP="00F64D04">
                                <w:pPr>
                                  <w:spacing w:after="0" w:line="240" w:lineRule="auto"/>
                                  <w:jc w:val="left"/>
                                  <w:rPr>
                                    <w:sz w:val="20"/>
                                    <w:szCs w:val="20"/>
                                    <w:lang w:val="es-AR"/>
                                  </w:rPr>
                                </w:pPr>
                                <w:r>
                                  <w:rPr>
                                    <w:sz w:val="20"/>
                                    <w:szCs w:val="20"/>
                                    <w:lang w:val="es-AR"/>
                                  </w:rPr>
                                  <w:t>Punto medio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7" name="Triángulo isósceles 77"/>
                          <wps:cNvSpPr/>
                          <wps:spPr>
                            <a:xfrm>
                              <a:off x="91477" y="28104"/>
                              <a:ext cx="108641" cy="135802"/>
                            </a:xfrm>
                            <a:prstGeom prst="triangl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9" name="Forma libre: forma 79"/>
                          <wps:cNvSpPr/>
                          <wps:spPr>
                            <a:xfrm rot="21368137">
                              <a:off x="82424" y="226337"/>
                              <a:ext cx="134620" cy="170815"/>
                            </a:xfrm>
                            <a:custGeom>
                              <a:avLst/>
                              <a:gdLst>
                                <a:gd name="connsiteX0" fmla="*/ 0 w 135802"/>
                                <a:gd name="connsiteY0" fmla="*/ 0 h 172036"/>
                                <a:gd name="connsiteX1" fmla="*/ 45267 w 135802"/>
                                <a:gd name="connsiteY1" fmla="*/ 172016 h 172036"/>
                                <a:gd name="connsiteX2" fmla="*/ 135802 w 135802"/>
                                <a:gd name="connsiteY2" fmla="*/ 9054 h 172036"/>
                              </a:gdLst>
                              <a:ahLst/>
                              <a:cxnLst>
                                <a:cxn ang="0">
                                  <a:pos x="connsiteX0" y="connsiteY0"/>
                                </a:cxn>
                                <a:cxn ang="0">
                                  <a:pos x="connsiteX1" y="connsiteY1"/>
                                </a:cxn>
                                <a:cxn ang="0">
                                  <a:pos x="connsiteX2" y="connsiteY2"/>
                                </a:cxn>
                              </a:cxnLst>
                              <a:rect l="l" t="t" r="r" b="b"/>
                              <a:pathLst>
                                <a:path w="135802" h="172036">
                                  <a:moveTo>
                                    <a:pt x="0" y="0"/>
                                  </a:moveTo>
                                  <a:cubicBezTo>
                                    <a:pt x="11316" y="85253"/>
                                    <a:pt x="22633" y="170507"/>
                                    <a:pt x="45267" y="172016"/>
                                  </a:cubicBezTo>
                                  <a:cubicBezTo>
                                    <a:pt x="67901" y="173525"/>
                                    <a:pt x="101851" y="91289"/>
                                    <a:pt x="135802" y="9054"/>
                                  </a:cubicBezTo>
                                </a:path>
                              </a:pathLst>
                            </a:custGeom>
                          </wps:spPr>
                          <wps:style>
                            <a:lnRef idx="3">
                              <a:schemeClr val="accent2"/>
                            </a:lnRef>
                            <a:fillRef idx="0">
                              <a:schemeClr val="accent2"/>
                            </a:fillRef>
                            <a:effectRef idx="2">
                              <a:schemeClr val="accent2"/>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0" name="Cuadro de texto 80"/>
                          <wps:cNvSpPr txBox="1"/>
                          <wps:spPr>
                            <a:xfrm>
                              <a:off x="298764" y="208230"/>
                              <a:ext cx="2140585" cy="280657"/>
                            </a:xfrm>
                            <a:prstGeom prst="rect">
                              <a:avLst/>
                            </a:prstGeom>
                            <a:noFill/>
                            <a:ln w="6350">
                              <a:noFill/>
                            </a:ln>
                          </wps:spPr>
                          <wps:txbx>
                            <w:txbxContent>
                              <w:p w14:paraId="195B2426" w14:textId="77777777" w:rsidR="006107A8" w:rsidRPr="00505378" w:rsidRDefault="006107A8" w:rsidP="00F64D04">
                                <w:pPr>
                                  <w:spacing w:after="0" w:line="240" w:lineRule="auto"/>
                                  <w:jc w:val="left"/>
                                  <w:rPr>
                                    <w:sz w:val="20"/>
                                    <w:szCs w:val="20"/>
                                    <w:lang w:val="es-AR"/>
                                  </w:rPr>
                                </w:pPr>
                                <w:r>
                                  <w:rPr>
                                    <w:sz w:val="20"/>
                                    <w:szCs w:val="20"/>
                                    <w:lang w:val="es-AR"/>
                                  </w:rPr>
                                  <w:t>Desplazamiento entre tareas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1" name="Conector recto 81"/>
                          <wps:cNvCnPr/>
                          <wps:spPr>
                            <a:xfrm>
                              <a:off x="0" y="534155"/>
                              <a:ext cx="266700" cy="0"/>
                            </a:xfrm>
                            <a:prstGeom prst="line">
                              <a:avLst/>
                            </a:prstGeom>
                          </wps:spPr>
                          <wps:style>
                            <a:lnRef idx="3">
                              <a:schemeClr val="accent6"/>
                            </a:lnRef>
                            <a:fillRef idx="0">
                              <a:schemeClr val="accent6"/>
                            </a:fillRef>
                            <a:effectRef idx="2">
                              <a:schemeClr val="accent6"/>
                            </a:effectRef>
                            <a:fontRef idx="minor">
                              <a:schemeClr val="tx1"/>
                            </a:fontRef>
                          </wps:style>
                          <wps:bodyPr/>
                        </wps:wsp>
                        <wps:wsp>
                          <wps:cNvPr id="82" name="Cuadro de texto 82"/>
                          <wps:cNvSpPr txBox="1"/>
                          <wps:spPr>
                            <a:xfrm>
                              <a:off x="298764" y="398353"/>
                              <a:ext cx="2140585" cy="280657"/>
                            </a:xfrm>
                            <a:prstGeom prst="rect">
                              <a:avLst/>
                            </a:prstGeom>
                            <a:noFill/>
                            <a:ln w="6350">
                              <a:noFill/>
                            </a:ln>
                          </wps:spPr>
                          <wps:txbx>
                            <w:txbxContent>
                              <w:p w14:paraId="3C7CB315" w14:textId="77777777" w:rsidR="006107A8" w:rsidRPr="00505378" w:rsidRDefault="006107A8" w:rsidP="00F64D04">
                                <w:pPr>
                                  <w:spacing w:after="0" w:line="240" w:lineRule="auto"/>
                                  <w:jc w:val="left"/>
                                  <w:rPr>
                                    <w:sz w:val="20"/>
                                    <w:szCs w:val="20"/>
                                    <w:lang w:val="es-AR"/>
                                  </w:rPr>
                                </w:pPr>
                                <w:r>
                                  <w:rPr>
                                    <w:sz w:val="20"/>
                                    <w:szCs w:val="20"/>
                                    <w:lang w:val="es-AR"/>
                                  </w:rPr>
                                  <w:t>Desplazamiento de aproximación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wgp>
                  </a:graphicData>
                </a:graphic>
              </wp:inline>
            </w:drawing>
          </mc:Choice>
          <mc:Fallback>
            <w:pict>
              <v:group id="Grupo 84" o:spid="_x0000_s1026" style="width:496.15pt;height:187.5pt;mso-position-horizontal-relative:char;mso-position-vertical-relative:line" coordsize="63013,238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iisbaBkAAK4IAQAOAAAAZHJzL2Uyb0RvYy54bWzsXd1u3MaSvl9g34GYywU2Jpv/QpQDR0mM&#10;BYzEiL1IcklTHGmA0XAOh7LkvM15hvMIebH9qqub003NiM3R2hHszoUzVLO6+qf+u7r47T/ub9bB&#10;h6bbrdrN+SL6JlwEzaZuL1ebq/PF/7776b+LRbDrq81ltW43zfniY7Nb/OO7//yPb++2Z41or9v1&#10;ZdMF6GSzO7vbni+u+3579uLFrr5ubqrdN+222aBx2XY3VY/H7urFZVfdofeb9QsRhtmLu7a73HZt&#10;3ex2+OsP3Lj4Tva/XDZ1/8tyuWv6YH2+wNh6+W8n/31P/7747tvq7KqrtterWg2jOmEUN9VqA6RD&#10;Vz9UfRXcdqsHXd2s6q7dtcv+m7q9edEul6u6kXPAbKJwNJtXXXu7lXO5Oru72g7LhKUdrdPJ3dY/&#10;f3jTBavL80WRLIJNdYM9etXdbtsAz1icu+3VGd551W3fbt906g9X/ETzvV92N/R/zCS4l8v6cVjW&#10;5r4Pavwxi8MoTtB9jTYRF1GYRbzw9TV25wFcff3jBOQLjfgFjW8Yzt0WRLTbr9Puaev09rraNnL5&#10;d7QGap3EsE4Xt9Vl1waXTdBjqm2AFrlA8m1arqC//77FAsjZ0uB2+KPrqkVYtLIA+9Cq4VecCup+&#10;mHp1tu12/aumvQnox/miA7FLGqw+vN71/Kp+hZBu2p9W6zX+Xp2tN8Ed7UsaSoChBZ2vN8CxHyv9&#10;6u/f36uJvW8vP2JeXcuMtNvWP62A/HW1699UHTgHPAZp0P+Cf5brFkha9WsRXLfdn4f+Tu9jo9C6&#10;CO7AieeL3T9vq65ZBOv/2WALyyhJiHXlQ5LmAg+d2fLebNnc3ly0YPYIcmdby5/0fr/WP5dde/Mb&#10;hMZLwoqmalMD9/mi1z8vepYPEDp18/KlfAnMuq3615u325q6pjWkpX13/1vVbdX6ExH83Gqiqc5G&#10;28Dv8ka8vO3b5UruES0wr6padxAwsd3noORUc/wDSk5PpGQhyjAV2SJ4KAWeFz1LkTfwpSfrL4ms&#10;QX6syB6QdXYiWcdCxGEcS7KOyjASMXVUnWkNF6VZKnKwk9RwRRjGkoH+JlktaVsqi71w8SL7yxDZ&#10;uabtH9er7a4JRD4iaaWoj1gaCYRzznScihQieUTHUK4R2IfIOCI7raT242TcrOUoHrM6yJ4wbI/D&#10;Fsau/7hu6L315tdmCfqF0SRkr9IRaC7WXfChglav6rrZ9KyAd9cVTC/55zTEf2qoA4QcuOyQel7C&#10;9hn6Vh2Qk/Gwb56xel9yufQjBmC2mQY09sAYuNEQEnO76Qfgm9Wm7Q7NbI1ZKcz8vjbDeGm+cE6u&#10;++7rM79g27Oe+hWW+1//2lzdrtuz4P1q16yrS7gTBREEbTycj8H7OupEiCyJs0hIHbV3F/Y6SqRx&#10;UkJ8SBWViSSVyvA4b79vPjRrz9mDyPGcfZJb9VVydqk5+wJBr7pv4THT/wIh9ali6YuNCqgcZ+mi&#10;zKMQnUEdH1LXcVyA41WIQOs/HZHRrr/yTterDcUyHrilFEDQqkZGJ2h0h/Sxg848rGwd9OXnVrb9&#10;vaOyJaanBfl8TnmMkARrhZ8o6BmsV++75iyQEdAAjXNUQpqHcQbyAPnkWZiUI2sPTk2KsBKrhDQv&#10;I0RWWMppGqpvOcJk0g1inJeIL9Gfri7VUOt2s9mt+uZ3DH55s0Yc6L9eBGFwFwBFJmBRotsDr/9h&#10;vo7AQRJcBxhHIqTzcgDgd0R1hv4BEE+jMCGyOM6ncUCFDjjSJBbRNBITJAqLLBGTM4ERPmApoqRw&#10;wGKCRFGelekkFsQqByxqYJObYsEkSZFmk2hAQ3s0ZYmxTa+ZBeM2G3gmAxoR5aJw2H8Thihmes1g&#10;I+2xJPTf9GRMmFwkophcMrDlHksRZmk+jcWEkZ7cJBbojgELcWJcTmMxYZj+J7nS5OMkypLUAU1k&#10;ApVlWkyvWWQycwJzVzjIGAuIgzeTy0Zm9LBuSQZSc9gdC0gw4UyunMnTKfzt0oHYIhNIlEWeTQu1&#10;yORqrHWSp9OUYAEJMkai6aUz+TpDYCx2kAWRCSTyCMpqGpHJ2ZC4eemCyAQSmUhThxmZzJ1hiyAQ&#10;J4VoZAK5EoPJ3xmttgvVmUBKKE5SncnieYIjOReqM4FgOcRlOLlHdFQz8FGeRklcTC+dBeRIDMKU&#10;DKQZEwfytoAc+QimiTEjsB4IaJIYLCAlTqb2CCFmA1GZ5aHLjEwgePtlMk3edJ457JG0RITDjEwg&#10;dk2micFk8qLMROmgvoUJxPbsNCKTycu0zDIHPqJDq2EZ2AidRmQyeRTRgjsoJIRsTUxkok9jMrkc&#10;dnoSQRRP050JlZJUdcBksnkEiwHq3AGTCZUU+C+fnBN5OsOK40glAq9PY7KgOJw9jcmUDpFIwlg4&#10;MFNsQsVFKcpyGpMpHoCpjHMHiRebUI7Kgk6jjNVLC3gqDqtnQbGlPiWJYpPXsUkZRL8DJgtKnitM&#10;r57J7FAWIbwPB0wWlOOcTG6PkFSQhS6YTChHFRib3B6lUQQ6cpiTCeVoecUmt0dpnuLI0gGTCRVT&#10;iHhaRsQmt0OsiCRzwWRCIR8IXDhJEZT4safyXJQicqByC8pxTonJ7VGOuEjsMCcLSpAbN716icnt&#10;UZEnoYt+sqAcKSKxuR3n1nBMJ7WGBeVoFlF2136fIPUShECmMZlQcZgXkcPq2dyeJSA/B0wmFKR/&#10;CQUwJfcSi9ujqADzOmAyoVyp3OJ2+Kili4RNTChXTCa3CwGNm7qsngXl5gcmJrfLMGDo4DZZULZ/&#10;gZOqIfBYXXOGW3VW329UMBK/kMuF1EiON2/bHSUWmpFJhEH1IyKPHOkEFIUmJ4AhG0xgHTx2Awa7&#10;m8A6i88NGBxsAsu8E6yEGzDYywSW6YnOwOAYE1gntLhhBhOYwPqo0Q0YdG0CywwH52GDVE1geYbq&#10;DAyaNYF19oPbsCmgZULjeRaNjYlsHpWpk9+BwPE8C/uI0BBjmgU+IjVEjmaBj4gN8aBZ4CNy4wMH&#10;512nWI21cfMoLhqRHJ5nDX5EdNE8qqNoiTl4PM/BTjEQC3we1VFkwwKfR3UU5LDA51EdhS4s8HlU&#10;R7EFC3we1ak014Hj8Dxr5UdUx5lczkRLx77W4OdRHU6ibfB5VEdeuImdDyadB0+utQU+j+rIX7bA&#10;51GdSuQcNg7PczaO/GEL+zyqowNXC3we1cUjWYfnWYMfUR3c01ngI6qDzzkLfER1cCTngJNfZy4d&#10;nmeBj6gOztss8BHVwSObBT6SdXCzZoGPqA4e1yzwEdUl86iOfCFr5edRHbkqFvg8qktGVIfnWXMf&#10;UR2cDAOchZZyIihNh66KreVVsR4XR3CvZhHgqth7gsGtj6on30P/pGs0OschuEaWDmcvUPMNbr68&#10;a+WL/f6KE2U5KOz7F+rb96v6++ZP83XcmeJZ0wmIJFQglx3FQq0HjlkzyQG6hc635ULLRAc9Savz&#10;Q6gihOJ5f+HihpIsdY+4IRRyU1mUhaQZ3SSPhiU2TixwRpeJImV6iCJRspWsO5Vn59xplGS5JBPd&#10;Js8mVBsd8TgjlMf+DIjsZ9593SlWsFCDwTkYc4VuU/MiysUVJORBOGOMkGuZMsfhZ8Em3dBthigW&#10;720U5xkSdJiy5OZGMn55yiwFLt4oJ2C/IRqnCHHAzmxQFrikY6LkQ0OJkldKMcck3QjEt7FFtD6F&#10;KFiaDgjjNC1ZXOcFQpEWQnk2LuF4v50RplmuLE4cK6fWwomsSAsmVaZMY1FlYI4HKk8MnPeRY1Jy&#10;pAmmaNF/HKcZHeVg9gnI0Zohp1rItmEwJGcmlxTHBSXF0tBpWqSYqzELxAkRuZJteInFiF5uTrqQ&#10;bTKVwnmGCLIj0C4Bo2GoQ68CYWTFHSJGboI1HJl/wZDDlRinScrMDdbFMh/D4nJ5PMqzlCchlujj&#10;s1OJk49J3OdZYIuYPAQYAALIXNlcRMq2EFk8EkmclcE4Za6FM04IAaypgkxz6FADZ5pFZcYLD+kb&#10;syWkF54TNBhShtvccZZlqKxrUeRhblFQFoIn1YCQNJJbyoNzNRinzMBwxolkcmTIMCRul7BFqqci&#10;VZGaZ5amfKNkaJRpGwqSkjHccaZRQcFCMIrA5SsOGAzdYi6U6i4bo8RWMZzBwY0siLArTnSb5Tjg&#10;VfMEh8OoMfYzK5JEiV9I9yK36JaTORinzFtznmceQd2r5UOsNrNwIi1JQA/KeeI03RYJnNfBjTJb&#10;wx0nhEuo5pmAbK2p4DnVjJThspA9IJniwTjn0VCe4mKvIs0CR0qWqIWSTLQ1VBQxG956sznbg3HO&#10;4888R3Y144wh3kbzLKBieOGhM3BEY242VBpoTuJUIsmVhiDftbGFpR0uwrNlhxTcAvYX7WdSZCnG&#10;ZhAY8puQA8KNMrPDeT9xHxFWhYRMQzJQzW5xZpWpMEwa5SQjDZycDsKQw3UxJ14psHhKWUGt4LjF&#10;6jbD1XOlq3FrpbAIjDNDGCfnL7uuLfJOtWEFaZvaRkcZFymdoZFmheyz15aTRFSjzj9+MM/1xjTQ&#10;Vb7Hw4Hq12xtzzuMlC4cNrNoQmrcaC9UYgd3KdM1zFU73PpglAfRijCHrc0dyyzDUcdlsietLLXM&#10;Q5UDImE5s4NgHdFCSBdsBcJGgglloxW5vMxP5J5BM1jkrhJCGC3fWnRHi5QaZQsiKwL52DbaOIdd&#10;xx2D/7lqg5YmKjtEtnLOx4zZJjhrZvaF5oddZaNNEvC37BjH2CMJp1JFuHWeVopEGhaUZUDaDv6U&#10;zWp4jEO180jmQZqIPSiZNyJhlefhvsgZzCieLfQdVaoA6H4ZIauUKNtfJDVaKYmE0fKVU2e0sYAh&#10;x2IwymFE2XuLpMRExSpgAoDZrEFxRslJs4VyxwkwL3JYFrYtB++Qkhu5lYyhEVqZXsKt8zRxBB2R&#10;U14H7W2KM3W7Y84m4dbBTBwW+WCrG9/iMrsOP3D6hLWMRsdxBLFquT4q8UQOag/7AK0Wkkoscg4J&#10;A8nMEEIIIP3aQaGWYdkpFxqLc4DfMmhaFemNE1odaw6cSjI1yoNo4c2SypJoBcwAW1py5ohs5XwQ&#10;G63MKxm1Plicg2gLBAsol51IAdo1twkf1meopQtFcSzTXiWZKFhKLFbLayOyn9TOkL1VKkO7jBAq&#10;suaDNUbYgTuGAWWbFtK5U+cUnEfijrZE4qGytSG/opHmgD2BxZBokSQG+8YaFKefqFZKKpmBNskS&#10;ZVFL0rb5DWnFMHm5Y9xqsn02uHOUi6JaKcPEGS0KWUHLqo7hytvejIiQGaMu7UO/wFU1Zws4Skxh&#10;tCbr2LtpP/He0nWQEk4gMxByTiySwgRLrbzh7RS4h2gIeMFZKiehhTGCrFK1UBiARVIqKUW2cpqT&#10;hZZTVkatTgxEYdpS7w90l2XQqwQV2S88rsImZLNVktoIIR4pLiwl1hAglu/o63OjikqH7lfGh6oC&#10;cL0DuS/ob/b9Sg14/H7lI1UWNPAJxQyc71d+kWVJvsYrzxRzUkV37CvPaIDYmHHlma7CsSl16M5q&#10;BEcBSWt8Z1Xzor6u+v995fmrZEkyvD7zlWcoTaadd91K1cEIVru//r2rm3WzC3Dcvyeh6UIYcAAo&#10;qi1leZIhZKasg6FYE13QRbMscgOPiPUPxOsRMuq7FfIK10+7Pf+InPXVbJCyScX6vphSgs9OAaga&#10;mUM5T1XKEj6EYjwu+ck+xcySnwg5ULhdsluKIysdRtXsBmcJsXolsaOyUFUGcBo2UfyTABOK8UtG&#10;LVHqQrstzKiQUp+79ie54seLM0g/Q2m6I2KK7R0Y3hm5c9Lie6xyKgVsyGSVK4BACUdnDVH15AIN&#10;CoO07B+Uc7DqM1A2NgKsagxTxRn4evpd8Hj/kML7WwMyEDSJBKuxB5HLg5z8x7GYIJR/YeHAYn55&#10;aeWYFHKWn5DTogkPKS1qz4+ntGgr7PF8lohuEkohgXNtO2QEmaECNRFFDS3HjM/ryUOlcewTeydP&#10;0nFYp2yAKEfpXOv8AbFZyCQ5GMRLkRchyV8FPBTLASPRCjXRahr48PhJvT1p7QDJbG9PA57k7Wlg&#10;7+3NrBv87JT9Z6gcTLH743pQ8tOpehD5Urj/JHlzbLd7ZagWXWcu/25qNhbZXhmiDNUfWpjJizte&#10;GS68MiTzZVBtkwVmNf0MEAS+dKrj6kOfqqL+xddSRp8yB48qQ76icKoyhMlMmWRk/nplOOV+emWo&#10;ijBiIUAw2kjwynB0s8IrQ68McVD+6b8o8zV6hnSwclwZmmeBsyOkyFfPVTLhQ2WI5HEdJkU5Hx2S&#10;0ic6Pkwqi6T4MKlXhl4ZaufOh0nNj6h96s+rfZXKEJb4cWUo6fBUzxDXj5Dg6j1DOhOyzvMOHUx6&#10;z9B7hvYZ3viJz/68Z+g9Q+8ZQiV9iu/m0s2o48pQ3iE5VRnmeZGWfEvGe4Y+TOpYHdGHSQdf0Exv&#10;0ffHvDL0ytArw0+lDHHD4bgylFlnpyrDEvfu1fVmncC2/wgkIoA+UlrdNPvjMZ9Do7/d5vWh14f2&#10;d5Z9pPSft1XXLIK1j5QG9zfrDVJLP5FziNO74/pQJm+fqg/xAVVc2z4WKvXa0GtDeQ1n/L0Arw29&#10;NvTacHHddn8ugruu2p4vdl4byovs+Bj0J9aGw73MA9+A5tJDJ2tD/s6aPDj07qE/O5SX25y+geMV&#10;oleIXiF6hfjxTffZK4TQ9wOOu4fywvDJClGWJ+AiWF4heoXoFaK/gK8u/fsL+Mt1e7cIyAf85UPT&#10;0dP5Ap81kb8WAX70yBTxHuLfoBAfK0TDn8c5WSGmCcp+s7VPpXtVOQ5dzsefIF4qU0RfsPMniP4E&#10;cVQixqeXLrhyqT9B9DHTzxMzpQ/tHHURuY7TyRoRJYpDXS9K1YTyKTWPFIKD8eBrtKEODVkG/iY+&#10;fzTFp5jWdbPpvUL0CvHzKMTsMYWIxsmSysdrlaJ6ovz0qCzL6F1EHzT1QVMdJuGLhL5qKcqlrdbr&#10;X5sl11oLZY7Vrr5ubpoLf4rog6Z/xyli9liSKRqfoBHxBR8UKOckU3+K6BWiV4heIfpTROu00J8i&#10;3v9WdVu6VLppX9727XLVU3F5ikq+by//FoX4WJ5pJr//dWrMVKBcf6E+RO5PEX2RGv6Kgk80Hb6Q&#10;611E7yL6vJpnpxEfSzTNnpRoKvDl6pzKzhpflvGniP4UERoBn6lA0fwrKvJO5qG/iui/9HSvicHH&#10;TH2i6d/pIj6WaJo96YuHIsGHfPHNcVKIIsdHJClg4jWi14heI/pTxA2ODkka+FNEf/XimQVNccp3&#10;NNEUR4BPOUXMUI4mxCklNKIPmvqgqQ+a+q8B64RRfxnRX0Y823a7/t2zO0bMH/sAIhqfohHzokgQ&#10;d/U+YsDfP/ffupDhUnINfNQUQUJ/jOh9RH+M+NyOEembvUd9RDQ+RSOWiYhzjpp6H9H7iN5H9D6i&#10;9xHtwjQ+1fT5+Yi4Cn1cI0oCPjXVNA7LTBQcNfXniF4jeo3oNaLXiF4jvt7J+xXIp3ueUdPHvoeY&#10;P+l7iPQFqKjE/X9/juijpjLaQPXJ/OULBI19Zo3PrPFFTWdrRNxSvDq76rZvcX9x9LP++cObDlUe&#10;zhfFoNFedbfbNsCzDHReneGdVwT8plN/kF1RIfHq7H7Z3dD/2+UywIFGFBVZGCrdpQqvAWifFyqS&#10;uIwTJOHU0G7yI6Xqm7/19S/cBd+xGP76430f1Oj5CCBEIw9hP0caGHmjn/xDH/GwYhe31WXXBpdN&#10;0KPSahugxQ4SB/399y2tj/77Dqt5YP1EWeRU+geLM/4WcpqluYAfTgsn4jQu5QvD/NlQetW0NwHR&#10;x/mia+peXkioPli2FL1CmDftT6jxITdnvQlw2TeLU77BMLSg8/UGDhmtJg+YfvX37+8lxQyT5Auw&#10;XHEI27fb1j+tMIbX1a5/U3UVzUWWGz5UhviZR3v6Be521BjkRd/JeSzbrm5evpS/6/ZmW/WvN2+3&#10;NW0treqeN9U2EEH83L69rrbNod14hvkAwyWqd93qr39trm7XbbDa/fXvXd2sm12QO9yjopVQEqGM&#10;EkDIDADUmpKFq/bSIAqLLMFpC9E0ShMXofb8tFih5TRouu9WuGmzPriSTNcjWt31H9cNjUYm4HA1&#10;GyH34eDNDN7D3XUFTv5Qrc8XaYj/iGfBCgOEfDqc0aM6OFQpR1tyKieWBtUsl2BSlzI7GniAIPBl&#10;u9kD36w2bXdoZuteA6v3NUPz0hBHf8H8W/fd18fBj+W45k/KcS1EIlg9CZHF8YPq4kkmIOslO+dh&#10;EcmqPIaKqm+ZnYl6tVqqzq4uoaDoT1cPinOjs6EWaRjcBXshceDtP+y3r2XSTSwLIRx4+3fInaFv&#10;mYgx2b8J4V1TLVa8a0q0611T75p613Rv/hJPPJdKOQUUAx9fjh01tDzZURNhIeKRtyaiJEzpVFN6&#10;a0UI301ZkUcs20/vrQ01Y79ga+/r89aKIVftot3AmWi7gEgJ4Rupnsm6R/jmYqNiN9qP11GTwU0D&#10;h8AHS+MkSqXRtvfRRJbl8IEkJWtX6AgRr1ebp7lm8SEHhr9FIc04GZCYebdQAx73ux5xCDXwCX5X&#10;f68NpAm/i7xL2ifEqz5T4KoY0jkeyMNxLscJgau4LBCeInFnENHzk4dDxVAvDz9P9GofoZUEf3V2&#10;dwWCB0tf4fvU16v6h6qvzGf51lkj2ut2fdl03/2fAAAAAP//AwBQSwMEFAAGAAgAAAAhAPA/Effd&#10;AAAABQEAAA8AAABkcnMvZG93bnJldi54bWxMj0FrwkAQhe+F/odlCt7qJgbbmmYjIrYnEaqF0tuY&#10;HZNgdjZk1yT++269tJeBx3u89022HE0jeupcbVlBPI1AEBdW11wq+Dy8Pb6AcB5ZY2OZFFzJwTK/&#10;v8sw1XbgD+r3vhShhF2KCirv21RKV1Rk0E1tSxy8k+0M+iC7UuoOh1BuGjmLoidpsOawUGFL64qK&#10;8/5iFLwPOKySeNNvz6f19fsw331tY1Jq8jCuXkF4Gv1fGH7xAzrkgeloL6ydaBSER/ztBm+xmCUg&#10;jgqS53kEMs/kf/r8BwAA//8DAFBLAQItABQABgAIAAAAIQC2gziS/gAAAOEBAAATAAAAAAAAAAAA&#10;AAAAAAAAAABbQ29udGVudF9UeXBlc10ueG1sUEsBAi0AFAAGAAgAAAAhADj9If/WAAAAlAEAAAsA&#10;AAAAAAAAAAAAAAAALwEAAF9yZWxzLy5yZWxzUEsBAi0AFAAGAAgAAAAhANyKKxtoGQAArggBAA4A&#10;AAAAAAAAAAAAAAAALgIAAGRycy9lMm9Eb2MueG1sUEsBAi0AFAAGAAgAAAAhAPA/EffdAAAABQEA&#10;AA8AAAAAAAAAAAAAAAAAwhsAAGRycy9kb3ducmV2LnhtbFBLBQYAAAAABAAEAPMAAADMHAAAAAA=&#10;">
                <v:shapetype id="_x0000_t202" coordsize="21600,21600" o:spt="202" path="m,l,21600r21600,l21600,xe">
                  <v:stroke joinstyle="miter"/>
                  <v:path gradientshapeok="t" o:connecttype="rect"/>
                </v:shapetype>
                <v:shape id="Cuadro de texto 24" o:spid="_x0000_s1027" type="#_x0000_t202" style="position:absolute;width:10139;height:39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UDWMcUA&#10;AADbAAAADwAAAGRycy9kb3ducmV2LnhtbESPT4vCMBTE7wv7HcJb8LamFhXpGkUKsiJ68M/F29vm&#10;2Rabl24TtfrpjSB4HGbmN8x42ppKXKhxpWUFvW4EgjizuuRcwX43/x6BcB5ZY2WZFNzIwXTy+THG&#10;RNsrb+iy9bkIEHYJKii8rxMpXVaQQde1NXHwjrYx6INscqkbvAa4qWQcRUNpsOSwUGBNaUHZaXs2&#10;CpbpfI2bv9iM7lX6uzrO6v/9YaBU56ud/YDw1Pp3+NVeaAVxH55fwg+Qk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QNYxxQAAANsAAAAPAAAAAAAAAAAAAAAAAJgCAABkcnMv&#10;ZG93bnJldi54bWxQSwUGAAAAAAQABAD1AAAAigMAAAAA&#10;" filled="f" stroked="f" strokeweight=".5pt">
                  <v:textbox>
                    <w:txbxContent>
                      <w:p w14:paraId="3914EC49" w14:textId="77777777" w:rsidR="006107A8" w:rsidRPr="00505378" w:rsidRDefault="006107A8" w:rsidP="00F64D04">
                        <w:pPr>
                          <w:spacing w:after="0" w:line="240" w:lineRule="auto"/>
                          <w:jc w:val="center"/>
                          <w:rPr>
                            <w:sz w:val="20"/>
                            <w:szCs w:val="20"/>
                            <w:lang w:val="es-AR"/>
                          </w:rPr>
                        </w:pPr>
                        <w:r w:rsidRPr="00505378">
                          <w:rPr>
                            <w:sz w:val="20"/>
                            <w:szCs w:val="20"/>
                            <w:lang w:val="es-AR"/>
                          </w:rPr>
                          <w:t>Centro Operativo</w:t>
                        </w:r>
                      </w:p>
                    </w:txbxContent>
                  </v:textbox>
                </v:shape>
                <v:shape id="Cuadro de texto 25" o:spid="_x0000_s1028" type="#_x0000_t202" style="position:absolute;left:22905;width:10140;height:39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gxzqsUA&#10;AADbAAAADwAAAGRycy9kb3ducmV2LnhtbESPQWvCQBSE70L/w/IK3szGgCJpVpGAtEh70Hrp7TX7&#10;TILZt2l2m6T99a4geBxm5hsm24ymET11rrasYB7FIIgLq2suFZw+d7MVCOeRNTaWScEfOdisnyYZ&#10;ptoOfKD+6EsRIOxSVFB536ZSuqIigy6yLXHwzrYz6IPsSqk7HALcNDKJ46U0WHNYqLClvKLicvw1&#10;Cvb57gMP34lZ/Tf56/t52/6cvhZKTZ/H7QsIT6N/hO/tN60gWcDtS/gBcn0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DHOqxQAAANsAAAAPAAAAAAAAAAAAAAAAAJgCAABkcnMv&#10;ZG93bnJldi54bWxQSwUGAAAAAAQABAD1AAAAigMAAAAA&#10;" filled="f" stroked="f" strokeweight=".5pt">
                  <v:textbox>
                    <w:txbxContent>
                      <w:p w14:paraId="50BADC3C" w14:textId="77777777" w:rsidR="006107A8" w:rsidRPr="00505378" w:rsidRDefault="006107A8" w:rsidP="00F64D04">
                        <w:pPr>
                          <w:spacing w:after="0" w:line="240" w:lineRule="auto"/>
                          <w:jc w:val="center"/>
                          <w:rPr>
                            <w:sz w:val="20"/>
                            <w:szCs w:val="20"/>
                            <w:lang w:val="es-AR"/>
                          </w:rPr>
                        </w:pPr>
                        <w:r>
                          <w:rPr>
                            <w:sz w:val="20"/>
                            <w:szCs w:val="20"/>
                            <w:lang w:val="es-AR"/>
                          </w:rPr>
                          <w:t>Subestación Cabecera</w:t>
                        </w:r>
                      </w:p>
                    </w:txbxContent>
                  </v:textbox>
                </v:shape>
                <v:shape id="Cuadro de texto 26" o:spid="_x0000_s1029" type="#_x0000_t202" style="position:absolute;left:32230;top:1901;width:15653;height:28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7t3cYA&#10;AADbAAAADwAAAGRycy9kb3ducmV2LnhtbESPQWvCQBSE74X+h+UVems2BiqSZg0hIJVSD9pcenvN&#10;PpNg9m2aXTXtr3cFweMwM98wWT6ZXpxodJ1lBbMoBkFcW91xo6D6Wr0sQDiPrLG3TAr+yEG+fHzI&#10;MNX2zFs67XwjAoRdigpa74dUSle3ZNBFdiAO3t6OBn2QYyP1iOcAN71M4nguDXYcFlocqGypPuyO&#10;RsFHudrg9icxi/++fP/cF8Nv9f2q1PPTVLyB8DT5e/jWXmsFyRyuX8IPkMs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7t3cYAAADbAAAADwAAAAAAAAAAAAAAAACYAgAAZHJz&#10;L2Rvd25yZXYueG1sUEsFBgAAAAAEAAQA9QAAAIsDAAAAAA==&#10;" filled="f" stroked="f" strokeweight=".5pt">
                  <v:textbox>
                    <w:txbxContent>
                      <w:p w14:paraId="2A801D21" w14:textId="77777777" w:rsidR="006107A8" w:rsidRPr="00505378" w:rsidRDefault="006107A8" w:rsidP="00F64D04">
                        <w:pPr>
                          <w:spacing w:after="0" w:line="240" w:lineRule="auto"/>
                          <w:jc w:val="center"/>
                          <w:rPr>
                            <w:sz w:val="20"/>
                            <w:szCs w:val="20"/>
                            <w:lang w:val="es-AR"/>
                          </w:rPr>
                        </w:pPr>
                        <w:r>
                          <w:rPr>
                            <w:sz w:val="20"/>
                            <w:szCs w:val="20"/>
                            <w:lang w:val="es-AR"/>
                          </w:rPr>
                          <w:t>Tramo de Línea asignado</w:t>
                        </w:r>
                      </w:p>
                    </w:txbxContent>
                  </v:textbox>
                </v:shape>
                <v:oval id="Elipse 27" o:spid="_x0000_s1030" style="position:absolute;left:4526;top:5251;width:1720;height:181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7K1sMA&#10;AADbAAAADwAAAGRycy9kb3ducmV2LnhtbESPQWsCMRSE70L/Q3iFXkSzCrVlu1lZBMFDsWqL58fm&#10;dTd087JNoq7/vikIHoeZ+YYploPtxJl8MI4VzKYZCOLaacONgq/P9eQVRIjIGjvHpOBKAZblw6jA&#10;XLsL7+l8iI1IEA45Kmhj7HMpQ92SxTB1PXHyvp23GJP0jdQeLwluOznPsoW0aDgttNjTqqX653Cy&#10;CsZeVoPfPstfto35eN9YU+2OSj09DtUbiEhDvIdv7Y1WMH+B/y/pB8jy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Z7K1sMAAADbAAAADwAAAAAAAAAAAAAAAACYAgAAZHJzL2Rv&#10;d25yZXYueG1sUEsFBgAAAAAEAAQA9QAAAIgDAAAAAA==&#10;" fillcolor="#4472c4 [3204]" stroked="f" strokeweight="1pt">
                  <v:stroke joinstyle="miter"/>
                </v:oval>
                <v:shapetype id="_x0000_t84" coordsize="21600,21600" o:spt="84" adj="2700" path="m,l,21600r21600,l21600,xem@0@0nfl@0@2@1@2@1@0xem,nfl@0@0em,21600nfl@0@2em21600,21600nfl@1@2em21600,nfl@1@0e">
                  <v:stroke joinstyle="miter"/>
                  <v:formulas>
                    <v:f eqn="val #0"/>
                    <v:f eqn="sum width 0 #0"/>
                    <v:f eqn="sum height 0 #0"/>
                    <v:f eqn="prod width 1 2"/>
                    <v:f eqn="prod height 1 2"/>
                    <v:f eqn="prod #0 1 2"/>
                    <v:f eqn="prod #0 3 2"/>
                    <v:f eqn="sum @1 @5 0"/>
                    <v:f eqn="sum @2 @5 0"/>
                  </v:formulas>
                  <v:path o:extrusionok="f" limo="10800,10800" o:connecttype="custom" o:connectlocs="0,@4;@0,@4;@3,21600;@3,@2;21600,@4;@1,@4;@3,0;@3,@0" textboxrect="@0,@0,@1,@2"/>
                  <v:handles>
                    <v:h position="#0,topLeft" switch="" xrange="0,10800"/>
                  </v:handles>
                  <o:complex v:ext="view"/>
                </v:shapetype>
                <v:shape id="Rectángulo: biselado 28" o:spid="_x0000_s1031" type="#_x0000_t84" style="position:absolute;left:26436;top:3983;width:2535;height:262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SA6j8IA&#10;AADbAAAADwAAAGRycy9kb3ducmV2LnhtbERPXWvCMBR9F/Yfwh34Ippahko1yhgI4kTQTfTxrrlr&#10;q81NSTKt/355EHw8nO/ZojW1uJLzlWUFw0ECgji3uuJCwffXsj8B4QOyxtoyKbiTh8X8pTPDTNsb&#10;7+i6D4WIIewzVFCG0GRS+rwkg35gG+LI/VpnMEToCqkd3mK4qWWaJCNpsOLYUGJDHyXll/2fUdCY&#10;+zjZuM3xZ3c6H94+0227WveU6r6271MQgdrwFD/cK60gjWPjl/gD5Pw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ZIDqPwgAAANsAAAAPAAAAAAAAAAAAAAAAAJgCAABkcnMvZG93&#10;bnJldi54bWxQSwUGAAAAAAQABAD1AAAAhwMAAAAA&#10;" fillcolor="#4472c4 [3204]" stroked="f" strokeweight="1pt"/>
                <v:line id="Conector recto 29" o:spid="_x0000_s1032" style="position:absolute;visibility:visible;mso-wrap-style:square" from="28971,5251" to="62832,52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AvjFcQAAADbAAAADwAAAGRycy9kb3ducmV2LnhtbESPQWvCQBSE74L/YXmCt2ZTBWtjNlIK&#10;iqdC1R68PbLPbGz2bZrdJum/7xYKHoeZ+YbJt6NtRE+drx0reExSEMSl0zVXCs6n3cMahA/IGhvH&#10;pOCHPGyL6STHTLuB36k/hkpECPsMFZgQ2kxKXxqy6BPXEkfv6jqLIcqukrrDIcJtIxdpupIWa44L&#10;Blt6NVR+Hr+tgi8sd2QvH/s+HUy/XF3bt6fbRan5bHzZgAg0hnv4v33QChbP8Pcl/gBZ/A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MC+MVxAAAANsAAAAPAAAAAAAAAAAA&#10;AAAAAKECAABkcnMvZG93bnJldi54bWxQSwUGAAAAAAQABAD5AAAAkgMAAAAA&#10;" strokecolor="#4472c4 [3204]" strokeweight=".5pt">
                  <v:stroke joinstyle="miter"/>
                </v:line>
                <v:shape id="Forma libre: forma 30" o:spid="_x0000_s1033" style="position:absolute;left:5703;top:7604;width:22359;height:5792;visibility:visible;mso-wrap-style:square;v-text-anchor:middle" coordsize="2236216,5794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VkqtL8A&#10;AADbAAAADwAAAGRycy9kb3ducmV2LnhtbERPy4rCMBTdC/5DuAPuNB1FkY5RRlHwtbEzs78016ZM&#10;c1ObqPXvzUJweTjv2aK1lbhR40vHCj4HCQji3OmSCwW/P5v+FIQPyBorx6TgQR4W825nhql2dz7R&#10;LQuFiCHsU1RgQqhTKX1uyKIfuJo4cmfXWAwRNoXUDd5juK3kMEkm0mLJscFgTStD+X92tQoOy9Xl&#10;b7w3a3/eHoJps/GRTzuleh/t9xeIQG14i1/urVYwiuvjl/gD5PwJ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RWSq0vwAAANsAAAAPAAAAAAAAAAAAAAAAAJgCAABkcnMvZG93bnJl&#10;di54bWxQSwUGAAAAAAQABAD1AAAAhAMAAAAA&#10;" path="m,9054c3018,27161,3248,45960,9053,63374v7243,21729,25953,35611,45268,45268c62857,112910,72428,114677,81481,117695v9054,9054,14606,24650,27161,27161c153455,153819,169218,137668,199176,117695v6036,-9053,10413,-19466,18107,-27160c224977,82841,235590,78753,244444,72428v12278,-8770,24142,-18107,36213,-27161c307818,48285,335627,47693,362139,54321v16805,4201,44186,35133,54320,45267c430143,154321,421577,123994,443620,190123v1,4,18105,54318,18107,54321c486936,282257,472140,263910,506994,298764v27160,-3018,54969,-2425,81481,-9053c599031,287072,605904,276470,615636,271604v8536,-4268,18107,-6035,27160,-9053c651849,256515,661597,251410,669956,244444v9836,-8197,14456,-25573,27161,-27161c713243,215267,727295,229354,742384,235390v3018,12071,4152,24777,9054,36214c755724,281605,766418,288342,769545,298764v7559,25197,16818,153303,18106,162963c789296,474061,791803,486504,796705,497941v4286,10001,9918,19995,18107,27160c836325,543925,866356,564381,896293,570368v20925,4185,42249,6036,63374,9054l1149790,570368v24787,-6426,54321,-54320,54321,-54320c1207129,506994,1209405,497659,1213164,488887v5316,-12405,14556,-23193,18107,-36214c1236886,432086,1237307,410424,1240325,389299v3018,-48285,4466,-96694,9053,-144855c1250837,229125,1253029,213584,1258432,199176v3821,-10188,12071,-18107,18107,-27160c1326935,175616,1390446,159174,1430448,199176v10670,10670,17066,24998,27160,36214c1474738,254424,1511929,289711,1511929,289711v15089,45267,,24142,63374,45267l1602463,344032v42250,-3018,86770,4939,126749,-9054c1753381,326519,1783533,280658,1783533,280658v30178,3018,60558,4442,90534,9053c1883499,291162,1892052,296142,1901228,298764v11964,3418,24143,6036,36214,9054c1946495,313854,1954601,321639,1964602,325925v36609,15690,143271,17289,153909,18107c2139970,349396,2169480,362809,2190939,344032v16377,-14330,36213,-54321,36213,-54321c2236902,36227,2236206,132842,2236206,e" filled="f" strokecolor="#70ad47 [3209]" strokeweight="1.5pt">
                  <v:stroke joinstyle="miter"/>
                  <v:path arrowok="t" o:connecttype="custom" o:connectlocs="0,9049;9051,63341;54312,108585;81467,117634;108623,144780;199142,117634;217246,90488;244402,72390;280609,45243;362077,54293;416388,99536;443544,190024;461648,244317;506908,298608;588375,289560;615531,271462;642686,262414;669842,244317;696998,217170;742258,235267;751310,271462;769414,298608;787517,461486;796569,497681;814673,524827;896140,570071;959503,579120;1149594,570071;1203906,515779;1212957,488632;1231061,452437;1240114,389096;1249165,244317;1258218,199072;1276322,171926;1430204,199072;1457360,235267;1511671,289560;1575035,334803;1602190,343853;1728917,334803;1783229,280512;1873748,289560;1900904,298608;1937112,307658;1964267,325755;2118150,343853;2190566,343853;2226773,289560;2235825,0" o:connectangles="0,0,0,0,0,0,0,0,0,0,0,0,0,0,0,0,0,0,0,0,0,0,0,0,0,0,0,0,0,0,0,0,0,0,0,0,0,0,0,0,0,0,0,0,0,0,0,0,0,0"/>
                </v:shape>
                <v:line id="Conector recto 31" o:spid="_x0000_s1034" style="position:absolute;visibility:visible;mso-wrap-style:square" from="28065,7604" to="44632,76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y87McQAAADbAAAADwAAAGRycy9kb3ducmV2LnhtbESPwWrDMBBE74H+g9hAbokct4TajWJK&#10;SCGXHuoW0+NibW0Ta2Uk2XH+PioUehxm5g2zL2bTi4mc7ywr2G4SEMS11R03Cr4+39bPIHxA1thb&#10;JgU38lAcHhZ7zLW98gdNZWhEhLDPUUEbwpBL6euWDPqNHYij92OdwRCla6R2eI1w08s0SXbSYMdx&#10;ocWBji3Vl3I0CtL3MR125VM1n1yY/HeXZVhppVbL+fUFRKA5/If/2met4HELv1/iD5CHO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vLzsxxAAAANsAAAAPAAAAAAAAAAAA&#10;AAAAAKECAABkcnMvZG93bnJldi54bWxQSwUGAAAAAAQABAD5AAAAkgMAAAAA&#10;" strokecolor="#70ad47 [3209]" strokeweight="1.5pt">
                  <v:stroke joinstyle="miter"/>
                </v:line>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Triángulo isósceles 32" o:spid="_x0000_s1035" type="#_x0000_t5" style="position:absolute;left:44643;top:4626;width:1086;height:13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s8yVcQA&#10;AADbAAAADwAAAGRycy9kb3ducmV2LnhtbESPQYvCMBSE74L/ITzBm6a6rLhdo4iuqyCCuiteH82z&#10;LTYvpYla/70RBI/DzHzDjCa1KcSVKpdbVtDrRiCIE6tzThX8/y06QxDOI2ssLJOCOzmYjJuNEcba&#10;3nhH171PRYCwi1FB5n0ZS+mSjAy6ri2Jg3eylUEfZJVKXeEtwE0h+1E0kAZzDgsZljTLKDnvL0ZB&#10;yT+95efvYrvezA9fh6OdnerhXal2q55+g/BU+3f41V5pBR99eH4JP0CO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bPMlXEAAAA2wAAAA8AAAAAAAAAAAAAAAAAmAIAAGRycy9k&#10;b3ducmV2LnhtbFBLBQYAAAAABAAEAPUAAACJAwAAAAA=&#10;" fillcolor="#4472c4 [3204]" strokecolor="#1f3763 [1604]" strokeweight="1pt"/>
                <v:group id="Grupo 76" o:spid="_x0000_s1036" style="position:absolute;left:29161;top:5522;width:33852;height:1981" coordsize="33854,19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EcaVcUAAADbAAAADwAAAGRycy9kb3ducmV2LnhtbESPT2vCQBTE74V+h+UV&#10;ejObtGglZhWRtvQQBLUg3h7ZZxLMvg3Zbf58e7dQ6HGYmd8w2WY0jeipc7VlBUkUgyAurK65VPB9&#10;+pgtQTiPrLGxTAomcrBZPz5kmGo78IH6oy9FgLBLUUHlfZtK6YqKDLrItsTBu9rOoA+yK6XucAhw&#10;08iXOF5IgzWHhQpb2lVU3I4/RsHngMP2NXnv89t1N11O8/05T0ip56dxuwLhafT/4b/2l1bwtoDf&#10;L+EHyP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BHGlXFAAAA2wAA&#10;AA8AAAAAAAAAAAAAAAAAqgIAAGRycy9kb3ducmV2LnhtbFBLBQYAAAAABAAEAPoAAACcAwAAAAA=&#10;">
                  <v:shape id="Forma libre: forma 38" o:spid="_x0000_s1037" style="position:absolute;width:1358;height:1720;rotation:-253256fd;visibility:visible;mso-wrap-style:square;v-text-anchor:middle" coordsize="135802,1720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orgL8A&#10;AADbAAAADwAAAGRycy9kb3ducmV2LnhtbERPy4rCMBTdC/5DuIK7MXVkRq1GcQRB3fn4gEtzbavN&#10;TW2iRr9+shBcHs57Og+mEndqXGlZQb+XgCDOrC45V3A8rL5GIJxH1lhZJgVPcjCftVtTTLV98I7u&#10;e5+LGMIuRQWF93UqpcsKMuh6tiaO3Mk2Bn2ETS51g48Ybir5nSS/0mDJsaHAmpYFZZf9zSg4bV9j&#10;fPJ1c/kbbvnndQ12fA5KdTthMQHhKfiP+O1eawWDODZ+iT9Azv4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9eiuAvwAAANsAAAAPAAAAAAAAAAAAAAAAAJgCAABkcnMvZG93bnJl&#10;di54bWxQSwUGAAAAAAQABAD1AAAAhAMAAAAA&#10;" path="m,c11316,85253,22633,170507,45267,172016,67901,173525,101851,91289,135802,9054e" filled="f" strokecolor="#ed7d31 [3205]" strokeweight="1.5pt">
                    <v:stroke joinstyle="miter"/>
                    <v:path arrowok="t" o:connecttype="custom" o:connectlocs="0,0;45267,172016;135802,9054" o:connectangles="0,0,0"/>
                  </v:shape>
                  <v:shape id="Forma libre: forma 39" o:spid="_x0000_s1038" style="position:absolute;left:1539;width:1358;height:1720;rotation:-253256fd;visibility:visible;mso-wrap-style:square;v-text-anchor:middle" coordsize="135802,1720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aOG8QA&#10;AADbAAAADwAAAGRycy9kb3ducmV2LnhtbESPwW7CMBBE70j9B2srcStOi2hJwEQFCYlya9oPWMVL&#10;khKvk9iA4evrSpU4jmbmjWaZB9OKMw2usazgeZKAIC6tbrhS8P21fZqDcB5ZY2uZFFzJQb56GC0x&#10;0/bCn3QufCUihF2GCmrvu0xKV9Zk0E1sRxy9gx0M+iiHSuoBLxFuWvmSJK/SYMNxocaONjWVx+Jk&#10;FBz2txSv3H8c1297nt36YNOfoNT4MbwvQHgK/h7+b++0gmkKf1/iD5Cr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I2jhvEAAAA2wAAAA8AAAAAAAAAAAAAAAAAmAIAAGRycy9k&#10;b3ducmV2LnhtbFBLBQYAAAAABAAEAPUAAACJAwAAAAA=&#10;" path="m,c11316,85253,22633,170507,45267,172016,67901,173525,101851,91289,135802,9054e" filled="f" strokecolor="#ed7d31 [3205]" strokeweight="1.5pt">
                    <v:stroke joinstyle="miter"/>
                    <v:path arrowok="t" o:connecttype="custom" o:connectlocs="0,0;45267,172016;135802,9054" o:connectangles="0,0,0"/>
                  </v:shape>
                  <v:shape id="Forma libre: forma 40" o:spid="_x0000_s1039" style="position:absolute;left:3168;width:1358;height:1720;rotation:-253256fd;visibility:visible;mso-wrap-style:square;v-text-anchor:middle" coordsize="135802,1720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pU+78A&#10;AADbAAAADwAAAGRycy9kb3ducmV2LnhtbERPy4rCMBTdC/5DuIK7MXVwRq1GcQRB3fn4gEtzbavN&#10;TW2iRr9+shBcHs57Og+mEndqXGlZQb+XgCDOrC45V3A8rL5GIJxH1lhZJgVPcjCftVtTTLV98I7u&#10;e5+LGMIuRQWF93UqpcsKMuh6tiaO3Mk2Bn2ETS51g48Ybir5nSS/0mDJsaHAmpYFZZf9zSg4bV9j&#10;fPJ1c/kbbvnndQ12fA5KdTthMQHhKfiP+O1eawWDuD5+iT9Azv4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bClT7vwAAANsAAAAPAAAAAAAAAAAAAAAAAJgCAABkcnMvZG93bnJl&#10;di54bWxQSwUGAAAAAAQABAD1AAAAhAMAAAAA&#10;" path="m,c11316,85253,22633,170507,45267,172016,67901,173525,101851,91289,135802,9054e" filled="f" strokecolor="#ed7d31 [3205]" strokeweight="1.5pt">
                    <v:stroke joinstyle="miter"/>
                    <v:path arrowok="t" o:connecttype="custom" o:connectlocs="0,0;45267,172016;135802,9054" o:connectangles="0,0,0"/>
                  </v:shape>
                  <v:shape id="Forma libre: forma 41" o:spid="_x0000_s1040" style="position:absolute;left:4707;width:1353;height:1714;rotation:-253256fd;visibility:visible;mso-wrap-style:square;v-text-anchor:middle" coordsize="135802,1720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EbxYMIA&#10;AADbAAAADwAAAGRycy9kb3ducmV2LnhtbESP3YrCMBSE7xd8h3CEvdNUWf+qUXRhwfXOnwc4NMe2&#10;2pzUJmr06TeCsJfDzHzDzBbBVOJGjSstK+h1ExDEmdUl5woO+5/OGITzyBory6TgQQ4W89bHDFNt&#10;77yl287nIkLYpaig8L5OpXRZQQZd19bE0TvaxqCPssmlbvAe4aaS/SQZSoMlx4UCa/ouKDvvrkbB&#10;cfOc4IMvv+fVaMOD5yXYySko9dkOyykIT8H/h9/ttVbw1YPXl/gD5Pw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0RvFgwgAAANsAAAAPAAAAAAAAAAAAAAAAAJgCAABkcnMvZG93&#10;bnJldi54bWxQSwUGAAAAAAQABAD1AAAAhwMAAAAA&#10;" path="m,c11316,85253,22633,170507,45267,172016,67901,173525,101851,91289,135802,9054e" filled="f" strokecolor="#ed7d31 [3205]" strokeweight="1.5pt">
                    <v:stroke joinstyle="miter"/>
                    <v:path arrowok="t" o:connecttype="custom" o:connectlocs="0,0;45085,171430;135255,9023" o:connectangles="0,0,0"/>
                  </v:shape>
                  <v:shape id="Forma libre: forma 42" o:spid="_x0000_s1041" style="position:absolute;left:6246;width:1358;height:1720;rotation:-253256fd;visibility:visible;mso-wrap-style:square;v-text-anchor:middle" coordsize="135802,1720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RvF8IA&#10;AADbAAAADwAAAGRycy9kb3ducmV2LnhtbESP3YrCMBSE7xd8h3CEvVtTxd9qFFdYUO/8eYBDc2yr&#10;zUltshp9eiMs7OUwM98ws0UwlbhR40rLCrqdBARxZnXJuYLj4edrDMJ5ZI2VZVLwIAeLeetjhqm2&#10;d97Rbe9zESHsUlRQeF+nUrqsIIOuY2vi6J1sY9BH2eRSN3iPcFPJXpIMpcGS40KBNa0Kyi77X6Pg&#10;tH1O8MHXzeV7tOXB8xrs5ByU+myH5RSEp+D/w3/ttVbQ78H7S/wBcv4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ElG8XwgAAANsAAAAPAAAAAAAAAAAAAAAAAJgCAABkcnMvZG93&#10;bnJldi54bWxQSwUGAAAAAAQABAD1AAAAhwMAAAAA&#10;" path="m,c11316,85253,22633,170507,45267,172016,67901,173525,101851,91289,135802,9054e" filled="f" strokecolor="#ed7d31 [3205]" strokeweight="1.5pt">
                    <v:stroke joinstyle="miter"/>
                    <v:path arrowok="t" o:connecttype="custom" o:connectlocs="0,0;45267,172016;135802,9054" o:connectangles="0,0,0"/>
                  </v:shape>
                  <v:shape id="Forma libre: forma 43" o:spid="_x0000_s1042" style="position:absolute;left:7785;width:1353;height:1714;rotation:-253256fd;visibility:visible;mso-wrap-style:square;v-text-anchor:middle" coordsize="135802,1720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9jKjMQA&#10;AADbAAAADwAAAGRycy9kb3ducmV2LnhtbESPzW7CMBCE75V4B2uReisOtKWQxqAWqRLlRsoDrOLN&#10;T4nXITZgeHpcCanH0cx8o8mWwbTiRL1rLCsYjxIQxIXVDVcKdj9fTzMQziNrbC2Tggs5WC4GDxmm&#10;2p55S6fcVyJC2KWooPa+S6V0RU0G3ch2xNErbW/QR9lXUvd4jnDTykmSTKXBhuNCjR2tair2+dEo&#10;KDfXOV748L3/fNvw6/UQ7Pw3KPU4DB/vIDwF/x++t9dawcsz/H2JP0Aub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vYyozEAAAA2wAAAA8AAAAAAAAAAAAAAAAAmAIAAGRycy9k&#10;b3ducmV2LnhtbFBLBQYAAAAABAAEAPUAAACJAwAAAAA=&#10;" path="m,c11316,85253,22633,170507,45267,172016,67901,173525,101851,91289,135802,9054e" filled="f" strokecolor="#ed7d31 [3205]" strokeweight="1.5pt">
                    <v:stroke joinstyle="miter"/>
                    <v:path arrowok="t" o:connecttype="custom" o:connectlocs="0,0;45085,171430;135255,9023" o:connectangles="0,0,0"/>
                  </v:shape>
                  <v:shape id="Forma libre: forma 44" o:spid="_x0000_s1043" style="position:absolute;left:9325;top:90;width:1352;height:1715;rotation:-253256fd;visibility:visible;mso-wrap-style:square;v-text-anchor:middle" coordsize="135802,1720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DFS+MIA&#10;AADbAAAADwAAAGRycy9kb3ducmV2LnhtbESP0YrCMBRE34X9h3AF39ZUUVerUdYFQX3T9QMuzbWt&#10;Nje1yWr0642w4OMwM2eY2SKYSlypcaVlBb1uAoI4s7rkXMHhd/U5BuE8ssbKMim4k4PF/KM1w1Tb&#10;G+/ouve5iBB2KSoovK9TKV1WkEHXtTVx9I62MeijbHKpG7xFuKlkP0lG0mDJcaHAmn4Kys77P6Pg&#10;uH1M8M6XzXn5teXh4xLs5BSU6rTD9xSEp+Df4f/2WisYDOD1Jf4AOX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kMVL4wgAAANsAAAAPAAAAAAAAAAAAAAAAAJgCAABkcnMvZG93&#10;bnJldi54bWxQSwUGAAAAAAQABAD1AAAAhwMAAAAA&#10;" path="m,c11316,85253,22633,170507,45267,172016,67901,173525,101851,91289,135802,9054e" filled="f" strokecolor="#ed7d31 [3205]" strokeweight="1.5pt">
                    <v:stroke joinstyle="miter"/>
                    <v:path arrowok="t" o:connecttype="custom" o:connectlocs="0,0;45085,171430;135255,9023" o:connectangles="0,0,0"/>
                  </v:shape>
                  <v:shape id="Forma libre: forma 45" o:spid="_x0000_s1044" style="position:absolute;left:10954;width:1353;height:1714;rotation:-253256fd;visibility:visible;mso-wrap-style:square;v-text-anchor:middle" coordsize="135802,1720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333Y8QA&#10;AADbAAAADwAAAGRycy9kb3ducmV2LnhtbESPwW7CMBBE75X6D9ZW4lacImhLwESlEhJwg/YDVvGS&#10;BOJ1ErvE4etxpUo9jmbmjWaZBVOLK3WusqzgZZyAIM6trrhQ8P21eX4H4TyyxtoyKRjIQbZ6fFhi&#10;qm3PB7oefSEihF2KCkrvm1RKl5dk0I1tQxy9k+0M+ii7QuoO+wg3tZwkyas0WHFcKLGhz5Lyy/HH&#10;KDjtb3McuN1d1m97nt3aYOfnoNToKXwsQHgK/j/8195qBdMZ/H6JP0C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t992PEAAAA2wAAAA8AAAAAAAAAAAAAAAAAmAIAAGRycy9k&#10;b3ducmV2LnhtbFBLBQYAAAAABAAEAPUAAACJAwAAAAA=&#10;" path="m,c11316,85253,22633,170507,45267,172016,67901,173525,101851,91289,135802,9054e" filled="f" strokecolor="#ed7d31 [3205]" strokeweight="1.5pt">
                    <v:stroke joinstyle="miter"/>
                    <v:path arrowok="t" o:connecttype="custom" o:connectlocs="0,0;45085,171430;135255,9023" o:connectangles="0,0,0"/>
                  </v:shape>
                  <v:shape id="Forma libre: forma 46" o:spid="_x0000_s1045" style="position:absolute;left:12312;top:90;width:1353;height:1715;rotation:-253256fd;visibility:visible;mso-wrap-style:square;v-text-anchor:middle" coordsize="135802,1720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69pFMQA&#10;AADbAAAADwAAAGRycy9kb3ducmV2LnhtbESPwW7CMBBE75X4B2sr9VacVi2UgIMoUqXCDegHrOIl&#10;CYnXITbE4etrpEo9jmbmjWaxDKYRV+pcZVnByzgBQZxbXXGh4Ofw9fwBwnlkjY1lUjCQg2U2elhg&#10;qm3PO7rufSEihF2KCkrv21RKl5dk0I1tSxy9o+0M+ii7QuoO+wg3jXxNkok0WHFcKLGldUl5vb8Y&#10;BcftbYYDnzf153TL77dzsLNTUOrpMazmIDwF/x/+a39rBW8TuH+JP0Bm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uvaRTEAAAA2wAAAA8AAAAAAAAAAAAAAAAAmAIAAGRycy9k&#10;b3ducmV2LnhtbFBLBQYAAAAABAAEAPUAAACJAwAAAAA=&#10;" path="m,c11316,85253,22633,170507,45267,172016,67901,173525,101851,91289,135802,9054e" filled="f" strokecolor="#ed7d31 [3205]" strokeweight="1.5pt">
                    <v:stroke joinstyle="miter"/>
                    <v:path arrowok="t" o:connecttype="custom" o:connectlocs="0,0;45085,171430;135255,9023" o:connectangles="0,0,0"/>
                  </v:shape>
                  <v:shape id="Forma libre: forma 47" o:spid="_x0000_s1046" style="position:absolute;left:13851;top:90;width:1353;height:1715;rotation:-253256fd;visibility:visible;mso-wrap-style:square;v-text-anchor:middle" coordsize="135802,1720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OPMj8QA&#10;AADbAAAADwAAAGRycy9kb3ducmV2LnhtbESPwW7CMBBE75X6D9ZW4lacIgolYKJSCYlyK+0HrOIl&#10;CcTrJHaJw9fXlZA4jmbmjWaVBVOLC3WusqzgZZyAIM6trrhQ8PO9fX4D4TyyxtoyKRjIQbZ+fFhh&#10;qm3PX3Q5+EJECLsUFZTeN6mULi/JoBvbhjh6R9sZ9FF2hdQd9hFuajlJkpk0WHFcKLGhj5Ly8+HX&#10;KDjurwscuP08b+Z7fr22wS5OQanRU3hfgvAU/D18a++0gukc/r/EHyD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TjzI/EAAAA2wAAAA8AAAAAAAAAAAAAAAAAmAIAAGRycy9k&#10;b3ducmV2LnhtbFBLBQYAAAAABAAEAPUAAACJAwAAAAA=&#10;" path="m,c11316,85253,22633,170507,45267,172016,67901,173525,101851,91289,135802,9054e" filled="f" strokecolor="#ed7d31 [3205]" strokeweight="1.5pt">
                    <v:stroke joinstyle="miter"/>
                    <v:path arrowok="t" o:connecttype="custom" o:connectlocs="0,0;45085,171430;135255,9023" o:connectangles="0,0,0"/>
                  </v:shape>
                  <v:shape id="Forma libre: forma 48" o:spid="_x0000_s1047" style="position:absolute;left:15481;top:181;width:1352;height:1714;rotation:-253256fd;visibility:visible;mso-wrap-style:square;v-text-anchor:middle" coordsize="135802,1720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xY/b8A&#10;AADbAAAADwAAAGRycy9kb3ducmV2LnhtbERPy4rCMBTdC/5DuIK7MXVwRq1GcQRB3fn4gEtzbavN&#10;TW2iRr9+shBcHs57Og+mEndqXGlZQb+XgCDOrC45V3A8rL5GIJxH1lhZJgVPcjCftVtTTLV98I7u&#10;e5+LGMIuRQWF93UqpcsKMuh6tiaO3Mk2Bn2ETS51g48Ybir5nSS/0mDJsaHAmpYFZZf9zSg4bV9j&#10;fPJ1c/kbbvnndQ12fA5KdTthMQHhKfiP+O1eawWDODZ+iT9Azv4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lfFj9vwAAANsAAAAPAAAAAAAAAAAAAAAAAJgCAABkcnMvZG93bnJl&#10;di54bWxQSwUGAAAAAAQABAD1AAAAhAMAAAAA&#10;" path="m,c11316,85253,22633,170507,45267,172016,67901,173525,101851,91289,135802,9054e" filled="f" strokecolor="#ed7d31 [3205]" strokeweight="1.5pt">
                    <v:stroke joinstyle="miter"/>
                    <v:path arrowok="t" o:connecttype="custom" o:connectlocs="0,0;45085,171430;135255,9023" o:connectangles="0,0,0"/>
                  </v:shape>
                  <v:shape id="Forma libre: forma 54" o:spid="_x0000_s1048" style="position:absolute;left:17020;top:90;width:1353;height:1715;rotation:-253256fd;visibility:visible;mso-wrap-style:square;v-text-anchor:middle" coordsize="135802,1720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jEJcQA&#10;AADbAAAADwAAAGRycy9kb3ducmV2LnhtbESPwW7CMBBE75X6D9ZW4lacImhLwESlEhJwg/YDVvGS&#10;BOJ1ErvE4etxpUo9jmbmjWaZBVOLK3WusqzgZZyAIM6trrhQ8P21eX4H4TyyxtoyKRjIQbZ6fFhi&#10;qm3PB7oefSEihF2KCkrvm1RKl5dk0I1tQxy9k+0M+ii7QuoO+wg3tZwkyas0WHFcKLGhz5Lyy/HH&#10;KDjtb3McuN1d1m97nt3aYOfnoNToKXwsQHgK/j/8195qBbMp/H6JP0C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HoxCXEAAAA2wAAAA8AAAAAAAAAAAAAAAAAmAIAAGRycy9k&#10;b3ducmV2LnhtbFBLBQYAAAAABAAEAPUAAACJAwAAAAA=&#10;" path="m,c11316,85253,22633,170507,45267,172016,67901,173525,101851,91289,135802,9054e" filled="f" strokecolor="#ed7d31 [3205]" strokeweight="1.5pt">
                    <v:stroke joinstyle="miter"/>
                    <v:path arrowok="t" o:connecttype="custom" o:connectlocs="0,0;45085,171430;135255,9023" o:connectangles="0,0,0"/>
                  </v:shape>
                  <v:shape id="Forma libre: forma 64" o:spid="_x0000_s1049" style="position:absolute;left:18559;top:181;width:1353;height:1714;rotation:-253256fd;visibility:visible;mso-wrap-style:square;v-text-anchor:middle" coordsize="135802,1720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4QOmMQA&#10;AADbAAAADwAAAGRycy9kb3ducmV2LnhtbESPwW7CMBBE75X4B2sr9VacVi2UgIMoUqXCDegHrOIl&#10;CYnXITbE4etrpEo9jmbmjWaxDKYRV+pcZVnByzgBQZxbXXGh4Ofw9fwBwnlkjY1lUjCQg2U2elhg&#10;qm3PO7rufSEihF2KCkrv21RKl5dk0I1tSxy9o+0M+ii7QuoO+wg3jXxNkok0WHFcKLGldUl5vb8Y&#10;BcftbYYDnzf153TL77dzsLNTUOrpMazmIDwF/x/+a39rBZM3uH+JP0Bm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EDpjEAAAA2wAAAA8AAAAAAAAAAAAAAAAAmAIAAGRycy9k&#10;b3ducmV2LnhtbFBLBQYAAAAABAAEAPUAAACJAwAAAAA=&#10;" path="m,c11316,85253,22633,170507,45267,172016,67901,173525,101851,91289,135802,9054e" filled="f" strokecolor="#ed7d31 [3205]" strokeweight="1.5pt">
                    <v:stroke joinstyle="miter"/>
                    <v:path arrowok="t" o:connecttype="custom" o:connectlocs="0,0;45085,171430;135255,9023" o:connectangles="0,0,0"/>
                  </v:shape>
                  <v:shape id="Forma libre: forma 65" o:spid="_x0000_s1050" style="position:absolute;left:20098;top:90;width:1353;height:1715;rotation:-253256fd;visibility:visible;mso-wrap-style:square;v-text-anchor:middle" coordsize="135802,1720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irA8MA&#10;AADbAAAADwAAAGRycy9kb3ducmV2LnhtbESP0WrCQBRE3wX/YblC33RjQavRVdpCofWt6gdcstck&#10;mr2bZLdmk6/vFgo+DjNzhtnug6nEnVpXWlYwnyUgiDOrS84VnE8f0xUI55E1VpZJQU8O9rvxaIup&#10;th1/0/3ocxEh7FJUUHhfp1K6rCCDbmZr4uhdbGvQR9nmUrfYRbip5HOSLKXBkuNCgTW9F5Tdjj9G&#10;weUwrLHn5uv29nLgxdAEu74GpZ4m4XUDwlPwj/B/+1MrWC7g70v8AXL3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MirA8MAAADbAAAADwAAAAAAAAAAAAAAAACYAgAAZHJzL2Rv&#10;d25yZXYueG1sUEsFBgAAAAAEAAQA9QAAAIgDAAAAAA==&#10;" path="m,c11316,85253,22633,170507,45267,172016,67901,173525,101851,91289,135802,9054e" filled="f" strokecolor="#ed7d31 [3205]" strokeweight="1.5pt">
                    <v:stroke joinstyle="miter"/>
                    <v:path arrowok="t" o:connecttype="custom" o:connectlocs="0,0;45085,171430;135255,9023" o:connectangles="0,0,0"/>
                  </v:shape>
                  <v:shape id="Forma libre: forma 66" o:spid="_x0000_s1051" style="position:absolute;left:21728;top:181;width:1352;height:1714;rotation:-253256fd;visibility:visible;mso-wrap-style:square;v-text-anchor:middle" coordsize="135802,1720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Bo1dMIA&#10;AADbAAAADwAAAGRycy9kb3ducmV2LnhtbESP3YrCMBSE7wXfIRxh7zR1YatWo7jCwq53/jzAoTm2&#10;1eakNlGjT78RBC+HmfmGmS2CqcWVWldZVjAcJCCIc6srLhTsdz/9MQjnkTXWlknBnRws5t3ODDNt&#10;b7yh69YXIkLYZaig9L7JpHR5SQbdwDbE0TvY1qCPsi2kbvEW4aaWn0mSSoMVx4USG1qVlJ+2F6Pg&#10;sH5M8M7nv9P3aM1fj3Owk2NQ6qMXllMQnoJ/h1/tX60gTeH5Jf4AOf8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wGjV0wgAAANsAAAAPAAAAAAAAAAAAAAAAAJgCAABkcnMvZG93&#10;bnJldi54bWxQSwUGAAAAAAQABAD1AAAAhwMAAAAA&#10;" path="m,c11316,85253,22633,170507,45267,172016,67901,173525,101851,91289,135802,9054e" filled="f" strokecolor="#ed7d31 [3205]" strokeweight="1.5pt">
                    <v:stroke joinstyle="miter"/>
                    <v:path arrowok="t" o:connecttype="custom" o:connectlocs="0,0;45085,171430;135255,9023" o:connectangles="0,0,0"/>
                  </v:shape>
                  <v:shape id="Forma libre: forma 67" o:spid="_x0000_s1052" style="position:absolute;left:23267;top:90;width:1352;height:1715;rotation:-253256fd;visibility:visible;mso-wrap-style:square;v-text-anchor:middle" coordsize="135802,1720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1aQ78MA&#10;AADbAAAADwAAAGRycy9kb3ducmV2LnhtbESP0WrCQBRE3wv+w3KFvtWNhUZNXUULhdY3tR9wyV6T&#10;aPZukt3qJl/fLQg+DjNzhlmug6nFlTpXWVYwnSQgiHOrKy4U/Bw/X+YgnEfWWFsmBT05WK9GT0vM&#10;tL3xnq4HX4gIYZehgtL7JpPS5SUZdBPbEEfvZDuDPsqukLrDW4SbWr4mSSoNVhwXSmzoo6T8cvg1&#10;Ck67YYE9t9+X7WzHb0Mb7OIclHoeh807CE/BP8L39pdWkM7g/0v8AXL1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1aQ78MAAADbAAAADwAAAAAAAAAAAAAAAACYAgAAZHJzL2Rv&#10;d25yZXYueG1sUEsFBgAAAAAEAAQA9QAAAIgDAAAAAA==&#10;" path="m,c11316,85253,22633,170507,45267,172016,67901,173525,101851,91289,135802,9054e" filled="f" strokecolor="#ed7d31 [3205]" strokeweight="1.5pt">
                    <v:stroke joinstyle="miter"/>
                    <v:path arrowok="t" o:connecttype="custom" o:connectlocs="0,0;45085,171430;135255,9023" o:connectangles="0,0,0"/>
                  </v:shape>
                  <v:shape id="Forma libre: forma 68" o:spid="_x0000_s1053" style="position:absolute;left:24715;top:271;width:1353;height:1715;rotation:-253256fd;visibility:visible;mso-wrap-style:square;v-text-anchor:middle" coordsize="135802,1720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skEnb8A&#10;AADbAAAADwAAAGRycy9kb3ducmV2LnhtbERPy4rCMBTdC/5DuAOz03QEX51GUUEY3fn4gEtzbTtt&#10;bmoTNfr1ZjEwy8N5Z8tgGnGnzlWWFXwNExDEudUVFwrOp+1gBsJ5ZI2NZVLwJAfLRb+XYartgw90&#10;P/pCxBB2KSoovW9TKV1ekkE3tC1x5C62M+gj7AqpO3zEcNPIUZJMpMGKY0OJLW1KyuvjzSi47F9z&#10;fPJ1V6+nex6/rsHOf4NSnx9h9Q3CU/D/4j/3j1YwiWPjl/gD5OIN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uyQSdvwAAANsAAAAPAAAAAAAAAAAAAAAAAJgCAABkcnMvZG93bnJl&#10;di54bWxQSwUGAAAAAAQABAD1AAAAhAMAAAAA&#10;" path="m,c11316,85253,22633,170507,45267,172016,67901,173525,101851,91289,135802,9054e" filled="f" strokecolor="#ed7d31 [3205]" strokeweight="1.5pt">
                    <v:stroke joinstyle="miter"/>
                    <v:path arrowok="t" o:connecttype="custom" o:connectlocs="0,0;45085,171430;135255,9023" o:connectangles="0,0,0"/>
                  </v:shape>
                  <v:shape id="Forma libre: forma 69" o:spid="_x0000_s1054" style="position:absolute;left:26255;top:181;width:1352;height:1714;rotation:-253256fd;visibility:visible;mso-wrap-style:square;v-text-anchor:middle" coordsize="135802,1720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WhBsQA&#10;AADbAAAADwAAAGRycy9kb3ducmV2LnhtbESP0WrCQBRE3wX/YblC33RjoamJrmILhda3Wj/gkr0m&#10;0ezdJLvVTb6+Wyj0cZiZM8xmF0wjbtS72rKC5SIBQVxYXXOp4PT1Nl+BcB5ZY2OZFAzkYLedTjaY&#10;a3vnT7odfSkihF2OCirv21xKV1Rk0C1sSxy9s+0N+ij7Uuoe7xFuGvmYJKk0WHNcqLCl14qK6/Hb&#10;KDgfxgwH7j6uL88Hfhq7YLNLUOphFvZrEJ6C/w//td+1gjSD3y/xB8jt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GFoQbEAAAA2wAAAA8AAAAAAAAAAAAAAAAAmAIAAGRycy9k&#10;b3ducmV2LnhtbFBLBQYAAAAABAAEAPUAAACJAwAAAAA=&#10;" path="m,c11316,85253,22633,170507,45267,172016,67901,173525,101851,91289,135802,9054e" filled="f" strokecolor="#ed7d31 [3205]" strokeweight="1.5pt">
                    <v:stroke joinstyle="miter"/>
                    <v:path arrowok="t" o:connecttype="custom" o:connectlocs="0,0;45085,171430;135255,9023" o:connectangles="0,0,0"/>
                  </v:shape>
                  <v:shape id="Forma libre: forma 70" o:spid="_x0000_s1055" style="position:absolute;left:27884;top:271;width:1353;height:1715;rotation:-253256fd;visibility:visible;mso-wrap-style:square;v-text-anchor:middle" coordsize="135802,1720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WaeRr8A&#10;AADbAAAADwAAAGRycy9kb3ducmV2LnhtbERPy4rCMBTdD/gP4QqzG1MHfNVGcQRhdDfqB1yaa1vb&#10;3NQmavTrzUKY5eG8s2UwjbhR5yrLCoaDBARxbnXFhYLjYfM1BeE8ssbGMil4kIPloveRYartnf/o&#10;tveFiCHsUlRQet+mUrq8JINuYFviyJ1sZ9BH2BVSd3iP4aaR30kylgYrjg0ltrQuKa/3V6PgtHvO&#10;8MGXbf0z2fHoeQl2dg5KffbDag7CU/D/4rf7VyuYxPXxS/wBcvE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VZp5GvwAAANsAAAAPAAAAAAAAAAAAAAAAAJgCAABkcnMvZG93bnJl&#10;di54bWxQSwUGAAAAAAQABAD1AAAAhAMAAAAA&#10;" path="m,c11316,85253,22633,170507,45267,172016,67901,173525,101851,91289,135802,9054e" filled="f" strokecolor="#ed7d31 [3205]" strokeweight="1.5pt">
                    <v:stroke joinstyle="miter"/>
                    <v:path arrowok="t" o:connecttype="custom" o:connectlocs="0,0;45085,171430;135255,9023" o:connectangles="0,0,0"/>
                  </v:shape>
                  <v:shape id="Forma libre: forma 71" o:spid="_x0000_s1056" style="position:absolute;left:29423;top:181;width:1353;height:1714;rotation:-253256fd;visibility:visible;mso-wrap-style:square;v-text-anchor:middle" coordsize="135802,1720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o73cQA&#10;AADbAAAADwAAAGRycy9kb3ducmV2LnhtbESP3WoCMRSE7wu+QzhC77rZLdSf1Si2UKjeVX2Aw+bs&#10;j25OdjepRp++KRS8HGbmG2a5DqYVFxpcY1lBlqQgiAurG64UHA+fLzMQziNrbC2Tghs5WK9GT0vM&#10;tb3yN132vhIRwi5HBbX3XS6lK2oy6BLbEUevtINBH+VQST3gNcJNK1/TdCINNhwXauzoo6bivP8x&#10;CsrdfY437rfn9+mO3+59sPNTUOp5HDYLEJ6Cf4T/219awTSDvy/xB8jV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oqO93EAAAA2wAAAA8AAAAAAAAAAAAAAAAAmAIAAGRycy9k&#10;b3ducmV2LnhtbFBLBQYAAAAABAAEAPUAAACJAwAAAAA=&#10;" path="m,c11316,85253,22633,170507,45267,172016,67901,173525,101851,91289,135802,9054e" filled="f" strokecolor="#ed7d31 [3205]" strokeweight="1.5pt">
                    <v:stroke joinstyle="miter"/>
                    <v:path arrowok="t" o:connecttype="custom" o:connectlocs="0,0;45085,171430;135255,9023" o:connectangles="0,0,0"/>
                  </v:shape>
                  <v:shape id="Forma libre: forma 72" o:spid="_x0000_s1057" style="position:absolute;left:30962;top:271;width:1353;height:1715;rotation:-253256fd;visibility:visible;mso-wrap-style:square;v-text-anchor:middle" coordsize="135802,1720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vilqsMA&#10;AADbAAAADwAAAGRycy9kb3ducmV2LnhtbESP0WrCQBRE3wv+w3KFvtWNgVaNrqKFQutb1Q+4ZK9J&#10;NHs3yW51k6/vFgo+DjNzhlltgqnFjTpXWVYwnSQgiHOrKy4UnI4fL3MQziNrrC2Tgp4cbNajpxVm&#10;2t75m24HX4gIYZehgtL7JpPS5SUZdBPbEEfvbDuDPsqukLrDe4SbWqZJ8iYNVhwXSmzovaT8evgx&#10;Cs77YYE9t1/X3WzPr0Mb7OISlHoeh+0ShKfgH+H/9qdWMEvh70v8AXL9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vilqsMAAADbAAAADwAAAAAAAAAAAAAAAACYAgAAZHJzL2Rv&#10;d25yZXYueG1sUEsFBgAAAAAEAAQA9QAAAIgDAAAAAA==&#10;" path="m,c11316,85253,22633,170507,45267,172016,67901,173525,101851,91289,135802,9054e" filled="f" strokecolor="#ed7d31 [3205]" strokeweight="1.5pt">
                    <v:stroke joinstyle="miter"/>
                    <v:path arrowok="t" o:connecttype="custom" o:connectlocs="0,0;45085,171430;135255,9023" o:connectangles="0,0,0"/>
                  </v:shape>
                  <v:shape id="Forma libre: forma 73" o:spid="_x0000_s1058" style="position:absolute;left:32501;top:181;width:1353;height:1714;rotation:-253256fd;visibility:visible;mso-wrap-style:square;v-text-anchor:middle" coordsize="135802,1720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QAMcQA&#10;AADbAAAADwAAAGRycy9kb3ducmV2LnhtbESPwW7CMBBE75X6D9ZW4lacggolYKJSCYlyK+0HrOIl&#10;CcTrJHaJw9fXlZA4jmbmjWaVBVOLC3WusqzgZZyAIM6trrhQ8PO9fX4D4TyyxtoyKRjIQbZ+fFhh&#10;qm3PX3Q5+EJECLsUFZTeN6mULi/JoBvbhjh6R9sZ9FF2hdQd9hFuajlJkpk0WHFcKLGhj5Ly8+HX&#10;KDjurwscuP08b+Z7fr22wS5OQanRU3hfgvAU/D18a++0gvkU/r/EHyD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W0ADHEAAAA2wAAAA8AAAAAAAAAAAAAAAAAmAIAAGRycy9k&#10;b3ducmV2LnhtbFBLBQYAAAAABAAEAPUAAACJAwAAAAA=&#10;" path="m,c11316,85253,22633,170507,45267,172016,67901,173525,101851,91289,135802,9054e" filled="f" strokecolor="#ed7d31 [3205]" strokeweight="1.5pt">
                    <v:stroke joinstyle="miter"/>
                    <v:path arrowok="t" o:connecttype="custom" o:connectlocs="0,0;45085,171430;135255,9023" o:connectangles="0,0,0"/>
                  </v:shape>
                </v:group>
                <v:group id="Grupo 83" o:spid="_x0000_s1059" style="position:absolute;left:11860;top:17020;width:24393;height:6790" coordsize="24393,679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eXJ6sQAAADbAAAADwAAAGRycy9kb3ducmV2LnhtbESPQYvCMBSE78L+h/AW&#10;vGlaZUW6RhFZxYMsWAXx9miebbF5KU1s67/fLAgeh5n5hlmselOJlhpXWlYQjyMQxJnVJecKzqft&#10;aA7CeWSNlWVS8CQHq+XHYIGJth0fqU19LgKEXYIKCu/rREqXFWTQjW1NHLybbQz6IJtc6ga7ADeV&#10;nETRTBosOSwUWNOmoOyePoyCXYfdehr/tIf7bfO8nr5+L4eYlBp+9utvEJ56/w6/2nutYD6F/y/h&#10;B8jl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9eXJ6sQAAADbAAAA&#10;DwAAAAAAAAAAAAAAAACqAgAAZHJzL2Rvd25yZXYueG1sUEsFBgAAAAAEAAQA+gAAAJsDAAAAAA==&#10;">
                  <v:shape id="Cuadro de texto 33" o:spid="_x0000_s1060" type="#_x0000_t202" style="position:absolute;left:2987;width:15657;height:23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3DYmMUA&#10;AADbAAAADwAAAGRycy9kb3ducmV2LnhtbESPT4vCMBTE74LfITxhb5qqKKUaRQrisujBP5e9vW2e&#10;bbF5qU3U7n76jSB4HGbmN8x82ZpK3KlxpWUFw0EEgjizuuRcwem47scgnEfWWFkmBb/kYLnoduaY&#10;aPvgPd0PPhcBwi5BBYX3dSKlywoy6Aa2Jg7e2TYGfZBNLnWDjwA3lRxF0VQaLDksFFhTWlB2OdyM&#10;gq90vcP9z8jEf1W62Z5X9fX0PVHqo9euZiA8tf4dfrU/tYLxGJ5fwg+Qi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cNiYxQAAANsAAAAPAAAAAAAAAAAAAAAAAJgCAABkcnMv&#10;ZG93bnJldi54bWxQSwUGAAAAAAQABAD1AAAAigMAAAAA&#10;" filled="f" stroked="f" strokeweight=".5pt">
                    <v:textbox>
                      <w:txbxContent>
                        <w:p w14:paraId="2BCADA6E" w14:textId="77777777" w:rsidR="006107A8" w:rsidRPr="00505378" w:rsidRDefault="006107A8" w:rsidP="00F64D04">
                          <w:pPr>
                            <w:spacing w:after="0" w:line="240" w:lineRule="auto"/>
                            <w:jc w:val="left"/>
                            <w:rPr>
                              <w:sz w:val="20"/>
                              <w:szCs w:val="20"/>
                              <w:lang w:val="es-AR"/>
                            </w:rPr>
                          </w:pPr>
                          <w:r>
                            <w:rPr>
                              <w:sz w:val="20"/>
                              <w:szCs w:val="20"/>
                              <w:lang w:val="es-AR"/>
                            </w:rPr>
                            <w:t>Punto medio</w:t>
                          </w:r>
                        </w:p>
                      </w:txbxContent>
                    </v:textbox>
                  </v:shape>
                  <v:shape id="Triángulo isósceles 77" o:spid="_x0000_s1061" type="#_x0000_t5" style="position:absolute;left:914;top:281;width:1087;height:13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NIoDcQA&#10;AADbAAAADwAAAGRycy9kb3ducmV2LnhtbESP3YrCMBSE7wXfIRzBO01dcHW7Rln8W0EEdVe8PTTH&#10;tticlCZqfXsjCF4OM/MNM5rUphBXqlxuWUGvG4EgTqzOOVXw/7foDEE4j6yxsEwK7uRgMm42Rhhr&#10;e+MdXfc+FQHCLkYFmfdlLKVLMjLourYkDt7JVgZ9kFUqdYW3ADeF/IiiT2kw57CQYUnTjJLz/mIU&#10;lDzv/faXi+16Mzt8HY52eqqHd6XarfrnG4Sn2r/Dr/ZKKxgM4Pkl/AA5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DSKA3EAAAA2wAAAA8AAAAAAAAAAAAAAAAAmAIAAGRycy9k&#10;b3ducmV2LnhtbFBLBQYAAAAABAAEAPUAAACJAwAAAAA=&#10;" fillcolor="#4472c4 [3204]" strokecolor="#1f3763 [1604]" strokeweight="1pt"/>
                  <v:shape id="Forma libre: forma 79" o:spid="_x0000_s1062" style="position:absolute;left:824;top:2263;width:1346;height:1708;rotation:-253256fd;visibility:visible;mso-wrap-style:square;v-text-anchor:middle" coordsize="135802,1720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Fw328QA&#10;AADbAAAADwAAAGRycy9kb3ducmV2LnhtbESP0WrCQBRE3wv+w3ILfaubFqomdROsUKi+1foBl+w1&#10;Sc3ejdnVbPx6Vyj0cZiZM8yyCKYVF+pdY1nByzQBQVxa3XClYP/z+bwA4TyyxtYyKRjJQZFPHpaY&#10;aTvwN112vhIRwi5DBbX3XSalK2sy6Ka2I47ewfYGfZR9JXWPQ4SbVr4myUwabDgu1NjRuqbyuDsb&#10;BYftNcWRT5vjx3zLb9dTsOlvUOrpMazeQXgK/j/81/7SCuYp3L/EHyDz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RcN9vEAAAA2wAAAA8AAAAAAAAAAAAAAAAAmAIAAGRycy9k&#10;b3ducmV2LnhtbFBLBQYAAAAABAAEAPUAAACJAwAAAAA=&#10;" path="m,c11316,85253,22633,170507,45267,172016,67901,173525,101851,91289,135802,9054e" filled="f" strokecolor="#ed7d31 [3205]" strokeweight="1.5pt">
                    <v:stroke joinstyle="miter"/>
                    <v:path arrowok="t" o:connecttype="custom" o:connectlocs="0,0;44873,170795;134620,8990" o:connectangles="0,0,0"/>
                  </v:shape>
                  <v:shape id="Cuadro de texto 80" o:spid="_x0000_s1063" type="#_x0000_t202" style="position:absolute;left:2987;top:2082;width:21406;height:280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B2PCMMA&#10;AADbAAAADwAAAGRycy9kb3ducmV2LnhtbERPy2qDQBTdF/IPww1014wRWsRkFBGkpbSLPDbZ3Tg3&#10;KnHuGGdqbL++syh0eTjvbT6bXkw0us6ygvUqAkFcW91xo+B4qJ4SEM4ja+wtk4JvcpBni4ctptre&#10;eUfT3jcihLBLUUHr/ZBK6eqWDLqVHYgDd7GjQR/g2Eg94j2Em17GUfQiDXYcGlocqGypvu6/jIL3&#10;svrE3Tk2yU9fvn5ciuF2PD0r9biciw0IT7P/F/+537SCJKwPX8IPkNk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B2PCMMAAADbAAAADwAAAAAAAAAAAAAAAACYAgAAZHJzL2Rv&#10;d25yZXYueG1sUEsFBgAAAAAEAAQA9QAAAIgDAAAAAA==&#10;" filled="f" stroked="f" strokeweight=".5pt">
                    <v:textbox>
                      <w:txbxContent>
                        <w:p w14:paraId="195B2426" w14:textId="77777777" w:rsidR="006107A8" w:rsidRPr="00505378" w:rsidRDefault="006107A8" w:rsidP="00F64D04">
                          <w:pPr>
                            <w:spacing w:after="0" w:line="240" w:lineRule="auto"/>
                            <w:jc w:val="left"/>
                            <w:rPr>
                              <w:sz w:val="20"/>
                              <w:szCs w:val="20"/>
                              <w:lang w:val="es-AR"/>
                            </w:rPr>
                          </w:pPr>
                          <w:r>
                            <w:rPr>
                              <w:sz w:val="20"/>
                              <w:szCs w:val="20"/>
                              <w:lang w:val="es-AR"/>
                            </w:rPr>
                            <w:t>Desplazamiento entre tareas</w:t>
                          </w:r>
                        </w:p>
                      </w:txbxContent>
                    </v:textbox>
                  </v:shape>
                  <v:line id="Conector recto 81" o:spid="_x0000_s1064" style="position:absolute;visibility:visible;mso-wrap-style:square" from="0,5341" to="2667,534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JDy1sMAAADbAAAADwAAAGRycy9kb3ducmV2LnhtbESPwWrDMBBE74H+g9hCb7EcU4ztRgmh&#10;tNBLDnWDyXGxtraJtTKS4rh/XwUKPQ4z84bZ7hczipmcHywr2CQpCOLW6oE7Baev93UBwgdkjaNl&#10;UvBDHva7h9UWK21v/ElzHToRIewrVNCHMFVS+rYngz6xE3H0vq0zGKJ0ndQObxFuRpmlaS4NDhwX&#10;epzotaf2Ul+Ngux4zaa8fm6WNxdmfx7KEhut1NPjcngBEWgJ/+G/9odWUGzg/iX+ALn7B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yQ8tbDAAAA2wAAAA8AAAAAAAAAAAAA&#10;AAAAoQIAAGRycy9kb3ducmV2LnhtbFBLBQYAAAAABAAEAPkAAACRAwAAAAA=&#10;" strokecolor="#70ad47 [3209]" strokeweight="1.5pt">
                    <v:stroke joinstyle="miter"/>
                  </v:line>
                  <v:shape id="Cuadro de texto 82" o:spid="_x0000_s1065" type="#_x0000_t202" style="position:absolute;left:2987;top:3983;width:21406;height:280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4O05MQA&#10;AADbAAAADwAAAGRycy9kb3ducmV2LnhtbESPT4vCMBTE78J+h/AWvGm6BaV0jSIFURY9+Oeyt2fz&#10;bIvNS7fJavXTG0HwOMzMb5jJrDO1uFDrKssKvoYRCOLc6ooLBYf9YpCAcB5ZY22ZFNzIwWz60Ztg&#10;qu2Vt3TZ+UIECLsUFZTeN6mULi/JoBvahjh4J9sa9EG2hdQtXgPc1DKOorE0WHFYKLGhrKT8vPs3&#10;Cn6yxQa3x9gk9zpbrk/z5u/wO1Kq/9nNv0F46vw7/GqvtIIkhueX8APk9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ODtOTEAAAA2wAAAA8AAAAAAAAAAAAAAAAAmAIAAGRycy9k&#10;b3ducmV2LnhtbFBLBQYAAAAABAAEAPUAAACJAwAAAAA=&#10;" filled="f" stroked="f" strokeweight=".5pt">
                    <v:textbox>
                      <w:txbxContent>
                        <w:p w14:paraId="3C7CB315" w14:textId="77777777" w:rsidR="006107A8" w:rsidRPr="00505378" w:rsidRDefault="006107A8" w:rsidP="00F64D04">
                          <w:pPr>
                            <w:spacing w:after="0" w:line="240" w:lineRule="auto"/>
                            <w:jc w:val="left"/>
                            <w:rPr>
                              <w:sz w:val="20"/>
                              <w:szCs w:val="20"/>
                              <w:lang w:val="es-AR"/>
                            </w:rPr>
                          </w:pPr>
                          <w:r>
                            <w:rPr>
                              <w:sz w:val="20"/>
                              <w:szCs w:val="20"/>
                              <w:lang w:val="es-AR"/>
                            </w:rPr>
                            <w:t>Desplazamiento de aproximación</w:t>
                          </w:r>
                        </w:p>
                      </w:txbxContent>
                    </v:textbox>
                  </v:shape>
                </v:group>
                <w10:anchorlock/>
              </v:group>
            </w:pict>
          </mc:Fallback>
        </mc:AlternateContent>
      </w:r>
    </w:p>
    <w:p w14:paraId="624AF3CA" w14:textId="77777777" w:rsidR="00484B50" w:rsidRDefault="00484B50">
      <w:pPr>
        <w:spacing w:after="0" w:line="240" w:lineRule="auto"/>
        <w:jc w:val="left"/>
        <w:rPr>
          <w:b/>
          <w:iCs/>
          <w:sz w:val="22"/>
          <w:szCs w:val="20"/>
        </w:rPr>
      </w:pPr>
      <w:r>
        <w:br w:type="page"/>
      </w:r>
    </w:p>
    <w:p w14:paraId="799E4048" w14:textId="7749B8FF" w:rsidR="00C66F16" w:rsidRPr="00B06D23" w:rsidRDefault="00C66F16" w:rsidP="00C66F16">
      <w:pPr>
        <w:pStyle w:val="Subttulo"/>
        <w:rPr>
          <w:lang w:val="es-ES"/>
        </w:rPr>
      </w:pPr>
      <w:bookmarkStart w:id="220" w:name="_Toc39797987"/>
      <w:r>
        <w:lastRenderedPageBreak/>
        <w:t xml:space="preserve">Ilustración </w:t>
      </w:r>
      <w:fldSimple w:instr=" SEQ Ilustración \* ARABIC ">
        <w:r w:rsidR="001F3E2E">
          <w:rPr>
            <w:noProof/>
          </w:rPr>
          <w:t>6</w:t>
        </w:r>
      </w:fldSimple>
      <w:r>
        <w:t xml:space="preserve">: </w:t>
      </w:r>
      <w:r w:rsidR="00575034">
        <w:t>Desplazamiento cuadrillas hacia subestaciones</w:t>
      </w:r>
      <w:bookmarkEnd w:id="220"/>
    </w:p>
    <w:p w14:paraId="446ED664" w14:textId="3079672B" w:rsidR="00F64D04" w:rsidRPr="00AC5990" w:rsidRDefault="00F64D04" w:rsidP="00575034">
      <w:pPr>
        <w:jc w:val="center"/>
        <w:rPr>
          <w:lang w:val="es-ES"/>
        </w:rPr>
      </w:pPr>
      <w:r w:rsidRPr="00AC5990">
        <w:rPr>
          <w:b/>
          <w:bCs/>
          <w:noProof/>
          <w:lang w:eastAsia="es-CL"/>
        </w:rPr>
        <mc:AlternateContent>
          <mc:Choice Requires="wpg">
            <w:drawing>
              <wp:inline distT="0" distB="0" distL="0" distR="0" wp14:anchorId="19DDE621" wp14:editId="70D25208">
                <wp:extent cx="3304054" cy="1339360"/>
                <wp:effectExtent l="0" t="0" r="0" b="32385"/>
                <wp:docPr id="85" name="Grupo 85"/>
                <wp:cNvGraphicFramePr/>
                <a:graphic xmlns:a="http://schemas.openxmlformats.org/drawingml/2006/main">
                  <a:graphicData uri="http://schemas.microsoft.com/office/word/2010/wordprocessingGroup">
                    <wpg:wgp>
                      <wpg:cNvGrpSpPr/>
                      <wpg:grpSpPr>
                        <a:xfrm>
                          <a:off x="0" y="0"/>
                          <a:ext cx="3304054" cy="1339360"/>
                          <a:chOff x="0" y="0"/>
                          <a:chExt cx="3304179" cy="1339611"/>
                        </a:xfrm>
                      </wpg:grpSpPr>
                      <wps:wsp>
                        <wps:cNvPr id="86" name="Cuadro de texto 86"/>
                        <wps:cNvSpPr txBox="1"/>
                        <wps:spPr>
                          <a:xfrm>
                            <a:off x="0" y="0"/>
                            <a:ext cx="1013988" cy="398352"/>
                          </a:xfrm>
                          <a:prstGeom prst="rect">
                            <a:avLst/>
                          </a:prstGeom>
                          <a:noFill/>
                          <a:ln w="6350">
                            <a:noFill/>
                          </a:ln>
                        </wps:spPr>
                        <wps:txbx>
                          <w:txbxContent>
                            <w:p w14:paraId="6C75E8A4" w14:textId="77777777" w:rsidR="006107A8" w:rsidRPr="00505378" w:rsidRDefault="006107A8" w:rsidP="00F64D04">
                              <w:pPr>
                                <w:spacing w:after="0" w:line="240" w:lineRule="auto"/>
                                <w:jc w:val="center"/>
                                <w:rPr>
                                  <w:sz w:val="20"/>
                                  <w:szCs w:val="20"/>
                                  <w:lang w:val="es-AR"/>
                                </w:rPr>
                              </w:pPr>
                              <w:r w:rsidRPr="00505378">
                                <w:rPr>
                                  <w:sz w:val="20"/>
                                  <w:szCs w:val="20"/>
                                  <w:lang w:val="es-AR"/>
                                </w:rPr>
                                <w:t>Centro Operativo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7" name="Cuadro de texto 87"/>
                        <wps:cNvSpPr txBox="1"/>
                        <wps:spPr>
                          <a:xfrm>
                            <a:off x="2290191" y="72442"/>
                            <a:ext cx="1013988" cy="325866"/>
                          </a:xfrm>
                          <a:prstGeom prst="rect">
                            <a:avLst/>
                          </a:prstGeom>
                          <a:noFill/>
                          <a:ln w="6350">
                            <a:noFill/>
                          </a:ln>
                        </wps:spPr>
                        <wps:txbx>
                          <w:txbxContent>
                            <w:p w14:paraId="55BB3937" w14:textId="77777777" w:rsidR="006107A8" w:rsidRPr="00505378" w:rsidRDefault="006107A8" w:rsidP="00F64D04">
                              <w:pPr>
                                <w:spacing w:after="0" w:line="240" w:lineRule="auto"/>
                                <w:jc w:val="center"/>
                                <w:rPr>
                                  <w:sz w:val="20"/>
                                  <w:szCs w:val="20"/>
                                  <w:lang w:val="es-AR"/>
                                </w:rPr>
                              </w:pPr>
                              <w:r>
                                <w:rPr>
                                  <w:sz w:val="20"/>
                                  <w:szCs w:val="20"/>
                                  <w:lang w:val="es-AR"/>
                                </w:rPr>
                                <w:t xml:space="preserve">Subestación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9" name="Elipse 89"/>
                        <wps:cNvSpPr/>
                        <wps:spPr>
                          <a:xfrm>
                            <a:off x="452673" y="525101"/>
                            <a:ext cx="172016" cy="181069"/>
                          </a:xfrm>
                          <a:prstGeom prst="ellipse">
                            <a:avLst/>
                          </a:prstGeom>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0" name="Rectángulo: biselado 90"/>
                        <wps:cNvSpPr/>
                        <wps:spPr>
                          <a:xfrm>
                            <a:off x="2643612" y="398352"/>
                            <a:ext cx="253497" cy="262456"/>
                          </a:xfrm>
                          <a:prstGeom prst="bevel">
                            <a:avLst/>
                          </a:prstGeom>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2" name="Forma libre: forma 92"/>
                        <wps:cNvSpPr/>
                        <wps:spPr>
                          <a:xfrm>
                            <a:off x="570368" y="760491"/>
                            <a:ext cx="2235835" cy="579120"/>
                          </a:xfrm>
                          <a:custGeom>
                            <a:avLst/>
                            <a:gdLst>
                              <a:gd name="connsiteX0" fmla="*/ 0 w 2236216"/>
                              <a:gd name="connsiteY0" fmla="*/ 9054 h 579422"/>
                              <a:gd name="connsiteX1" fmla="*/ 9053 w 2236216"/>
                              <a:gd name="connsiteY1" fmla="*/ 63374 h 579422"/>
                              <a:gd name="connsiteX2" fmla="*/ 54321 w 2236216"/>
                              <a:gd name="connsiteY2" fmla="*/ 108642 h 579422"/>
                              <a:gd name="connsiteX3" fmla="*/ 81481 w 2236216"/>
                              <a:gd name="connsiteY3" fmla="*/ 117695 h 579422"/>
                              <a:gd name="connsiteX4" fmla="*/ 108642 w 2236216"/>
                              <a:gd name="connsiteY4" fmla="*/ 144856 h 579422"/>
                              <a:gd name="connsiteX5" fmla="*/ 199176 w 2236216"/>
                              <a:gd name="connsiteY5" fmla="*/ 117695 h 579422"/>
                              <a:gd name="connsiteX6" fmla="*/ 217283 w 2236216"/>
                              <a:gd name="connsiteY6" fmla="*/ 90535 h 579422"/>
                              <a:gd name="connsiteX7" fmla="*/ 244444 w 2236216"/>
                              <a:gd name="connsiteY7" fmla="*/ 72428 h 579422"/>
                              <a:gd name="connsiteX8" fmla="*/ 280657 w 2236216"/>
                              <a:gd name="connsiteY8" fmla="*/ 45267 h 579422"/>
                              <a:gd name="connsiteX9" fmla="*/ 362139 w 2236216"/>
                              <a:gd name="connsiteY9" fmla="*/ 54321 h 579422"/>
                              <a:gd name="connsiteX10" fmla="*/ 416459 w 2236216"/>
                              <a:gd name="connsiteY10" fmla="*/ 99588 h 579422"/>
                              <a:gd name="connsiteX11" fmla="*/ 443620 w 2236216"/>
                              <a:gd name="connsiteY11" fmla="*/ 190123 h 579422"/>
                              <a:gd name="connsiteX12" fmla="*/ 461727 w 2236216"/>
                              <a:gd name="connsiteY12" fmla="*/ 244444 h 579422"/>
                              <a:gd name="connsiteX13" fmla="*/ 506994 w 2236216"/>
                              <a:gd name="connsiteY13" fmla="*/ 298764 h 579422"/>
                              <a:gd name="connsiteX14" fmla="*/ 588475 w 2236216"/>
                              <a:gd name="connsiteY14" fmla="*/ 289711 h 579422"/>
                              <a:gd name="connsiteX15" fmla="*/ 615636 w 2236216"/>
                              <a:gd name="connsiteY15" fmla="*/ 271604 h 579422"/>
                              <a:gd name="connsiteX16" fmla="*/ 642796 w 2236216"/>
                              <a:gd name="connsiteY16" fmla="*/ 262551 h 579422"/>
                              <a:gd name="connsiteX17" fmla="*/ 669956 w 2236216"/>
                              <a:gd name="connsiteY17" fmla="*/ 244444 h 579422"/>
                              <a:gd name="connsiteX18" fmla="*/ 697117 w 2236216"/>
                              <a:gd name="connsiteY18" fmla="*/ 217283 h 579422"/>
                              <a:gd name="connsiteX19" fmla="*/ 742384 w 2236216"/>
                              <a:gd name="connsiteY19" fmla="*/ 235390 h 579422"/>
                              <a:gd name="connsiteX20" fmla="*/ 751438 w 2236216"/>
                              <a:gd name="connsiteY20" fmla="*/ 271604 h 579422"/>
                              <a:gd name="connsiteX21" fmla="*/ 769545 w 2236216"/>
                              <a:gd name="connsiteY21" fmla="*/ 298764 h 579422"/>
                              <a:gd name="connsiteX22" fmla="*/ 787651 w 2236216"/>
                              <a:gd name="connsiteY22" fmla="*/ 461727 h 579422"/>
                              <a:gd name="connsiteX23" fmla="*/ 796705 w 2236216"/>
                              <a:gd name="connsiteY23" fmla="*/ 497941 h 579422"/>
                              <a:gd name="connsiteX24" fmla="*/ 814812 w 2236216"/>
                              <a:gd name="connsiteY24" fmla="*/ 525101 h 579422"/>
                              <a:gd name="connsiteX25" fmla="*/ 896293 w 2236216"/>
                              <a:gd name="connsiteY25" fmla="*/ 570368 h 579422"/>
                              <a:gd name="connsiteX26" fmla="*/ 959667 w 2236216"/>
                              <a:gd name="connsiteY26" fmla="*/ 579422 h 579422"/>
                              <a:gd name="connsiteX27" fmla="*/ 1149790 w 2236216"/>
                              <a:gd name="connsiteY27" fmla="*/ 570368 h 579422"/>
                              <a:gd name="connsiteX28" fmla="*/ 1204111 w 2236216"/>
                              <a:gd name="connsiteY28" fmla="*/ 516048 h 579422"/>
                              <a:gd name="connsiteX29" fmla="*/ 1213164 w 2236216"/>
                              <a:gd name="connsiteY29" fmla="*/ 488887 h 579422"/>
                              <a:gd name="connsiteX30" fmla="*/ 1231271 w 2236216"/>
                              <a:gd name="connsiteY30" fmla="*/ 452673 h 579422"/>
                              <a:gd name="connsiteX31" fmla="*/ 1240325 w 2236216"/>
                              <a:gd name="connsiteY31" fmla="*/ 389299 h 579422"/>
                              <a:gd name="connsiteX32" fmla="*/ 1249378 w 2236216"/>
                              <a:gd name="connsiteY32" fmla="*/ 244444 h 579422"/>
                              <a:gd name="connsiteX33" fmla="*/ 1258432 w 2236216"/>
                              <a:gd name="connsiteY33" fmla="*/ 199176 h 579422"/>
                              <a:gd name="connsiteX34" fmla="*/ 1276539 w 2236216"/>
                              <a:gd name="connsiteY34" fmla="*/ 172016 h 579422"/>
                              <a:gd name="connsiteX35" fmla="*/ 1430448 w 2236216"/>
                              <a:gd name="connsiteY35" fmla="*/ 199176 h 579422"/>
                              <a:gd name="connsiteX36" fmla="*/ 1457608 w 2236216"/>
                              <a:gd name="connsiteY36" fmla="*/ 235390 h 579422"/>
                              <a:gd name="connsiteX37" fmla="*/ 1511929 w 2236216"/>
                              <a:gd name="connsiteY37" fmla="*/ 289711 h 579422"/>
                              <a:gd name="connsiteX38" fmla="*/ 1575303 w 2236216"/>
                              <a:gd name="connsiteY38" fmla="*/ 334978 h 579422"/>
                              <a:gd name="connsiteX39" fmla="*/ 1602463 w 2236216"/>
                              <a:gd name="connsiteY39" fmla="*/ 344032 h 579422"/>
                              <a:gd name="connsiteX40" fmla="*/ 1729212 w 2236216"/>
                              <a:gd name="connsiteY40" fmla="*/ 334978 h 579422"/>
                              <a:gd name="connsiteX41" fmla="*/ 1783533 w 2236216"/>
                              <a:gd name="connsiteY41" fmla="*/ 280658 h 579422"/>
                              <a:gd name="connsiteX42" fmla="*/ 1874067 w 2236216"/>
                              <a:gd name="connsiteY42" fmla="*/ 289711 h 579422"/>
                              <a:gd name="connsiteX43" fmla="*/ 1901228 w 2236216"/>
                              <a:gd name="connsiteY43" fmla="*/ 298764 h 579422"/>
                              <a:gd name="connsiteX44" fmla="*/ 1937442 w 2236216"/>
                              <a:gd name="connsiteY44" fmla="*/ 307818 h 579422"/>
                              <a:gd name="connsiteX45" fmla="*/ 1964602 w 2236216"/>
                              <a:gd name="connsiteY45" fmla="*/ 325925 h 579422"/>
                              <a:gd name="connsiteX46" fmla="*/ 2118511 w 2236216"/>
                              <a:gd name="connsiteY46" fmla="*/ 344032 h 579422"/>
                              <a:gd name="connsiteX47" fmla="*/ 2190939 w 2236216"/>
                              <a:gd name="connsiteY47" fmla="*/ 344032 h 579422"/>
                              <a:gd name="connsiteX48" fmla="*/ 2227152 w 2236216"/>
                              <a:gd name="connsiteY48" fmla="*/ 289711 h 579422"/>
                              <a:gd name="connsiteX49" fmla="*/ 2236206 w 2236216"/>
                              <a:gd name="connsiteY49" fmla="*/ 0 h 579422"/>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Lst>
                            <a:rect l="l" t="t" r="r" b="b"/>
                            <a:pathLst>
                              <a:path w="2236216" h="579422">
                                <a:moveTo>
                                  <a:pt x="0" y="9054"/>
                                </a:moveTo>
                                <a:cubicBezTo>
                                  <a:pt x="3018" y="27161"/>
                                  <a:pt x="3248" y="45960"/>
                                  <a:pt x="9053" y="63374"/>
                                </a:cubicBezTo>
                                <a:cubicBezTo>
                                  <a:pt x="16296" y="85103"/>
                                  <a:pt x="35006" y="98985"/>
                                  <a:pt x="54321" y="108642"/>
                                </a:cubicBezTo>
                                <a:cubicBezTo>
                                  <a:pt x="62857" y="112910"/>
                                  <a:pt x="72428" y="114677"/>
                                  <a:pt x="81481" y="117695"/>
                                </a:cubicBezTo>
                                <a:cubicBezTo>
                                  <a:pt x="90535" y="126749"/>
                                  <a:pt x="96087" y="142345"/>
                                  <a:pt x="108642" y="144856"/>
                                </a:cubicBezTo>
                                <a:cubicBezTo>
                                  <a:pt x="153455" y="153819"/>
                                  <a:pt x="169218" y="137668"/>
                                  <a:pt x="199176" y="117695"/>
                                </a:cubicBezTo>
                                <a:cubicBezTo>
                                  <a:pt x="205212" y="108642"/>
                                  <a:pt x="209589" y="98229"/>
                                  <a:pt x="217283" y="90535"/>
                                </a:cubicBezTo>
                                <a:cubicBezTo>
                                  <a:pt x="224977" y="82841"/>
                                  <a:pt x="235590" y="78753"/>
                                  <a:pt x="244444" y="72428"/>
                                </a:cubicBezTo>
                                <a:cubicBezTo>
                                  <a:pt x="256722" y="63658"/>
                                  <a:pt x="268586" y="54321"/>
                                  <a:pt x="280657" y="45267"/>
                                </a:cubicBezTo>
                                <a:cubicBezTo>
                                  <a:pt x="307818" y="48285"/>
                                  <a:pt x="335627" y="47693"/>
                                  <a:pt x="362139" y="54321"/>
                                </a:cubicBezTo>
                                <a:cubicBezTo>
                                  <a:pt x="378944" y="58522"/>
                                  <a:pt x="406325" y="89454"/>
                                  <a:pt x="416459" y="99588"/>
                                </a:cubicBezTo>
                                <a:cubicBezTo>
                                  <a:pt x="430143" y="154321"/>
                                  <a:pt x="421577" y="123994"/>
                                  <a:pt x="443620" y="190123"/>
                                </a:cubicBezTo>
                                <a:cubicBezTo>
                                  <a:pt x="443621" y="190127"/>
                                  <a:pt x="461725" y="244441"/>
                                  <a:pt x="461727" y="244444"/>
                                </a:cubicBezTo>
                                <a:cubicBezTo>
                                  <a:pt x="486936" y="282257"/>
                                  <a:pt x="472140" y="263910"/>
                                  <a:pt x="506994" y="298764"/>
                                </a:cubicBezTo>
                                <a:cubicBezTo>
                                  <a:pt x="534154" y="295746"/>
                                  <a:pt x="561963" y="296339"/>
                                  <a:pt x="588475" y="289711"/>
                                </a:cubicBezTo>
                                <a:cubicBezTo>
                                  <a:pt x="599031" y="287072"/>
                                  <a:pt x="605904" y="276470"/>
                                  <a:pt x="615636" y="271604"/>
                                </a:cubicBezTo>
                                <a:cubicBezTo>
                                  <a:pt x="624172" y="267336"/>
                                  <a:pt x="633743" y="265569"/>
                                  <a:pt x="642796" y="262551"/>
                                </a:cubicBezTo>
                                <a:cubicBezTo>
                                  <a:pt x="651849" y="256515"/>
                                  <a:pt x="661597" y="251410"/>
                                  <a:pt x="669956" y="244444"/>
                                </a:cubicBezTo>
                                <a:cubicBezTo>
                                  <a:pt x="679792" y="236247"/>
                                  <a:pt x="684412" y="218871"/>
                                  <a:pt x="697117" y="217283"/>
                                </a:cubicBezTo>
                                <a:cubicBezTo>
                                  <a:pt x="713243" y="215267"/>
                                  <a:pt x="727295" y="229354"/>
                                  <a:pt x="742384" y="235390"/>
                                </a:cubicBezTo>
                                <a:cubicBezTo>
                                  <a:pt x="745402" y="247461"/>
                                  <a:pt x="746536" y="260167"/>
                                  <a:pt x="751438" y="271604"/>
                                </a:cubicBezTo>
                                <a:cubicBezTo>
                                  <a:pt x="755724" y="281605"/>
                                  <a:pt x="766418" y="288342"/>
                                  <a:pt x="769545" y="298764"/>
                                </a:cubicBezTo>
                                <a:cubicBezTo>
                                  <a:pt x="777104" y="323961"/>
                                  <a:pt x="786363" y="452067"/>
                                  <a:pt x="787651" y="461727"/>
                                </a:cubicBezTo>
                                <a:cubicBezTo>
                                  <a:pt x="789296" y="474061"/>
                                  <a:pt x="791803" y="486504"/>
                                  <a:pt x="796705" y="497941"/>
                                </a:cubicBezTo>
                                <a:cubicBezTo>
                                  <a:pt x="800991" y="507942"/>
                                  <a:pt x="806623" y="517936"/>
                                  <a:pt x="814812" y="525101"/>
                                </a:cubicBezTo>
                                <a:cubicBezTo>
                                  <a:pt x="836325" y="543925"/>
                                  <a:pt x="866356" y="564381"/>
                                  <a:pt x="896293" y="570368"/>
                                </a:cubicBezTo>
                                <a:cubicBezTo>
                                  <a:pt x="917218" y="574553"/>
                                  <a:pt x="938542" y="576404"/>
                                  <a:pt x="959667" y="579422"/>
                                </a:cubicBezTo>
                                <a:lnTo>
                                  <a:pt x="1149790" y="570368"/>
                                </a:lnTo>
                                <a:cubicBezTo>
                                  <a:pt x="1174577" y="563942"/>
                                  <a:pt x="1204111" y="516048"/>
                                  <a:pt x="1204111" y="516048"/>
                                </a:cubicBezTo>
                                <a:cubicBezTo>
                                  <a:pt x="1207129" y="506994"/>
                                  <a:pt x="1209405" y="497659"/>
                                  <a:pt x="1213164" y="488887"/>
                                </a:cubicBezTo>
                                <a:cubicBezTo>
                                  <a:pt x="1218480" y="476482"/>
                                  <a:pt x="1227720" y="465694"/>
                                  <a:pt x="1231271" y="452673"/>
                                </a:cubicBezTo>
                                <a:cubicBezTo>
                                  <a:pt x="1236886" y="432086"/>
                                  <a:pt x="1237307" y="410424"/>
                                  <a:pt x="1240325" y="389299"/>
                                </a:cubicBezTo>
                                <a:cubicBezTo>
                                  <a:pt x="1243343" y="341014"/>
                                  <a:pt x="1244791" y="292605"/>
                                  <a:pt x="1249378" y="244444"/>
                                </a:cubicBezTo>
                                <a:cubicBezTo>
                                  <a:pt x="1250837" y="229125"/>
                                  <a:pt x="1253029" y="213584"/>
                                  <a:pt x="1258432" y="199176"/>
                                </a:cubicBezTo>
                                <a:cubicBezTo>
                                  <a:pt x="1262253" y="188988"/>
                                  <a:pt x="1270503" y="181069"/>
                                  <a:pt x="1276539" y="172016"/>
                                </a:cubicBezTo>
                                <a:cubicBezTo>
                                  <a:pt x="1326935" y="175616"/>
                                  <a:pt x="1390446" y="159174"/>
                                  <a:pt x="1430448" y="199176"/>
                                </a:cubicBezTo>
                                <a:cubicBezTo>
                                  <a:pt x="1441118" y="209846"/>
                                  <a:pt x="1447514" y="224174"/>
                                  <a:pt x="1457608" y="235390"/>
                                </a:cubicBezTo>
                                <a:cubicBezTo>
                                  <a:pt x="1474738" y="254424"/>
                                  <a:pt x="1511929" y="289711"/>
                                  <a:pt x="1511929" y="289711"/>
                                </a:cubicBezTo>
                                <a:cubicBezTo>
                                  <a:pt x="1527018" y="334978"/>
                                  <a:pt x="1511929" y="313853"/>
                                  <a:pt x="1575303" y="334978"/>
                                </a:cubicBezTo>
                                <a:lnTo>
                                  <a:pt x="1602463" y="344032"/>
                                </a:lnTo>
                                <a:cubicBezTo>
                                  <a:pt x="1644713" y="341014"/>
                                  <a:pt x="1689233" y="348971"/>
                                  <a:pt x="1729212" y="334978"/>
                                </a:cubicBezTo>
                                <a:cubicBezTo>
                                  <a:pt x="1753381" y="326519"/>
                                  <a:pt x="1783533" y="280658"/>
                                  <a:pt x="1783533" y="280658"/>
                                </a:cubicBezTo>
                                <a:cubicBezTo>
                                  <a:pt x="1813711" y="283676"/>
                                  <a:pt x="1844091" y="285100"/>
                                  <a:pt x="1874067" y="289711"/>
                                </a:cubicBezTo>
                                <a:cubicBezTo>
                                  <a:pt x="1883499" y="291162"/>
                                  <a:pt x="1892052" y="296142"/>
                                  <a:pt x="1901228" y="298764"/>
                                </a:cubicBezTo>
                                <a:cubicBezTo>
                                  <a:pt x="1913192" y="302182"/>
                                  <a:pt x="1925371" y="304800"/>
                                  <a:pt x="1937442" y="307818"/>
                                </a:cubicBezTo>
                                <a:cubicBezTo>
                                  <a:pt x="1946495" y="313854"/>
                                  <a:pt x="1954601" y="321639"/>
                                  <a:pt x="1964602" y="325925"/>
                                </a:cubicBezTo>
                                <a:cubicBezTo>
                                  <a:pt x="2001211" y="341615"/>
                                  <a:pt x="2107873" y="343214"/>
                                  <a:pt x="2118511" y="344032"/>
                                </a:cubicBezTo>
                                <a:cubicBezTo>
                                  <a:pt x="2139970" y="349396"/>
                                  <a:pt x="2169480" y="362809"/>
                                  <a:pt x="2190939" y="344032"/>
                                </a:cubicBezTo>
                                <a:cubicBezTo>
                                  <a:pt x="2207316" y="329702"/>
                                  <a:pt x="2227152" y="289711"/>
                                  <a:pt x="2227152" y="289711"/>
                                </a:cubicBezTo>
                                <a:cubicBezTo>
                                  <a:pt x="2236902" y="36227"/>
                                  <a:pt x="2236206" y="132842"/>
                                  <a:pt x="2236206" y="0"/>
                                </a:cubicBezTo>
                              </a:path>
                            </a:pathLst>
                          </a:custGeom>
                        </wps:spPr>
                        <wps:style>
                          <a:lnRef idx="3">
                            <a:schemeClr val="accent6"/>
                          </a:lnRef>
                          <a:fillRef idx="0">
                            <a:schemeClr val="accent6"/>
                          </a:fillRef>
                          <a:effectRef idx="2">
                            <a:schemeClr val="accent6"/>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inline>
            </w:drawing>
          </mc:Choice>
          <mc:Fallback>
            <w:pict>
              <v:group id="Grupo 85" o:spid="_x0000_s1066" style="width:260.15pt;height:105.45pt;mso-position-horizontal-relative:char;mso-position-vertical-relative:line" coordsize="33041,133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C8dXcg8AAMtKAAAOAAAAZHJzL2Uyb0RvYy54bWzsXFFv5LYRfi/Q/yDsY4HGIkVSlBFfcLn0&#10;DgWCJEhSJH2U11p7gd3VViufffk3/S39Y/2GQ8mkvBdRLtAAyd2Db7XUxyGH3wyH5HA//+Jxv8ve&#10;N91p2x6uVuKzfJU1h3V7sz3cXq3+8ePbv9pVdurrw029aw/N1epDc1p98erPf/r84XjZyPau3d00&#10;XYZKDqfLh+PV6q7vj5cXF6f1XbOvT5+1x+aAwk3b7esej93txU1XP6D2/e5C5rm5eGi7m2PXrpvT&#10;Cd9+xYWrV67+zaZZ999uNqemz3ZXK7Std3879/ea/l68+ry+vO3q49127ZtRv6AV+3p7gNCxqq/q&#10;vs7uu+2zqvbbddee2k3/2brdX7SbzXbduD6gNyKf9OZd194fXV9uLx9uj6OaoNqJnl5c7fqb9991&#10;2fbmamX1KjvUe4zRu+7+2GZ4hnIejreXeOddd/zh+F3nv7jlJ+rv46bb0//oSfbo1PphVGvz2Gdr&#10;fFkUucq1WmVrlImiqArjFb++w+g8w63v/hYgRVk9IY0Q1KqLQfAFtW9szsMRJDo96en0v+nph7v6&#10;2Dj1n0gHg57MoKc39/VN12Y3Tdajq9CYYY25t0ldWf/4ZQsFuDZT4074MlVrIhdFZWE+pDV8KrSM&#10;ul5fHrtT/65p9xl9uFp1ILvjYP3+61PPWhpeIaGH9u12t8P39eXukD1crUyhcwcYS6DX3QHqfWor&#10;feofrx8dRcb+Xbc3H9C9rmV7Oh3Xb7dow9f1qf+u7mBAMDU4hf5b/NnsWshq/adVdtd2v5z7nt7H&#10;eKF0lT3AIK9Wp3/d112zynZ/P2AkK6EUWbB7ULqUeOjCkuuw5HC/f9PC5gXcz3HtPtL7/W74uOna&#10;/U/wHa9JKorqwxqyr1b98PFNz24CvmfdvH7tXoLNHuv+68MPxzVVTaokDf/4+FPdHf0wEBe+aQfu&#10;1JeT0eB3eTxe3/ftZuuGivTMWvXqB4/J+v4fhC4/SujyhYSWsspFBd2DuqVUyjG3vhwcQkxtqa1x&#10;zBqt+jeg9tjTT9T+PVEbUwfPaX/bbY+nJrPVhNFuRvuoY1ZamrJwNNZSg7aEDngMJyQwHbh5zYrc&#10;uNo/TuNm51rxa06a3G/gqs875FP/YdfQe7vD980GrhlzjHS1uripebPrsvc1vF+9XjeHnh3V6a7G&#10;TOW+1jn++clkRLhZ1VVINW8wVYx1+wooJnteN080/n2nHRd2jWCeYkYxccMY3AwIJ7k99CN4vz20&#10;3bme7dArL5nfH2YtVs2TO/1dTlLrvvvDTVMVJmm25e8R6Pzn34fb+117mV1vT82uvmkzlIMQNPCI&#10;1cZg9aOmLY0qjJDOtp+iqyfblrpQFWZGsm1ppNIzU9R1877ZfbLs0eV8suwXhZ9/SMuGFbJlv6V1&#10;frbbXnfNZeYW/VnlYsdks9ZlXhgsmijwNLlCDAoiBlYtC42VFJu1LiuBVQQzdVjIru95UUWoIXTH&#10;sv4GSyr66vbGN3XdHg6nbd/8DLe02e+w5vnLRZZnD5mUhZGICpzcZ6//M3y9wqo4u8vQDiV9iPwM&#10;8DOi6LF+AIp5ESHCFEU5LwMDMMrQqpBiXkgIEbk1Ss72BIHUKMUKZROkhBAhSlPpWSnYZxil+IbN&#10;DkqEUcpqMysGHHoSU1Vo27zOIkxabxBdjmKkKKVNGP8QQ4yZ1xnmuScpiv7NdybEYI0n7azKYJZP&#10;UmxudDkvJcS4aHxWCkL+UQpZYlHNSwkxzP9ZqwztWAmjdIIYEYKqStt5nWG/66k7CiGLTPAxEUhg&#10;KS6LWbVRKDTqTRlQLWF0IhDW+UScWc2FNq2xZqoSyCZCkKxsaRIEhVYNXatSzzNBhCBpq1KI+R6F&#10;dm2ENkWCLxAhSJYCk9W8oNCy4XHLKkVQCEIkq3VCj0LjNhgiOMRZJypCUCoZQvs2pO0U1oUg7xRn&#10;WReaeKlkYVNYF4IQORRVPjtGtC052lGphSrsvOoiUCIZZOgZaGZUCfSOQIl2hNAk6BFMDwSaJUME&#10;8u5kboxkaOTgdpmn9CgEYcVWqXl6y9DIXSQiE3oUgng3aJ4MoZHbysgqYfqWIYjj2XlBoZFXujIm&#10;wY5kCOIgdF5QaORCkMITJiQZolK7FFo54nQl4IrneReiNHnV+TlWhmYuEDFgOk+QFKKUxb9yVntF&#10;6BwwKwvY+rykCMVbkvOSQu8gpMoLmWBMRYgqbCWral5S6B4gqSrKBI9XhKjEyaIITV3g2AArlQTt&#10;RSiO1Oc8URHaOgbJwPUnSIpQbm94XnuhsWOyyLH6SJAUoRL7FFq7wAGayVMkhajEKbAIrV1oIcCj&#10;hD6FqMTIqwitXehSF3mCg41QBW3zzfuIIrR2uBWpTIqkEFXg/BKEneMeHXKOAQTC8EqKBJZHqMQ+&#10;qdDaRYl9kSKhTxFK0jJuXns4AAz6ZEuVp8xPESqRESq2dix9sDCdnTUiVGJYpCJrh9fDMWeCpBBV&#10;5KUVCdqLrd0o0C9BUoiC968wAcxyL7J2ISyMN0FSiEpleWTtWKNWKR5WhahUSaGPkBIzrk7RXoRK&#10;Wweq0NrdNmCesGyKUPH6Aqd/48ZjfcdJHfXl+vHgNyPxCXkLyAbiM7Zje6JcmnBnEtugwyN2Hnmn&#10;EyjayZwBwzeE4OG0LQ0Mcw/BQ+JKGhgWHIKLRc2GeYVgtQgMiwnBLgEKY5DWbBhBCB6Oi9LA4HUI&#10;dtkIyZJB1RBsF/UZnA3Bwwl2WrNpQytE43kRx6YkW8Yyf3o3EhzPi6RPiIY9pkXwCdWwc7QIPiEb&#10;9oMWwSd04wOHZMrQXk00cMsYJyaUw/Oixk9IJ5axjnZLwsbjeYl02gOJ4MtYRzsbEXwZ62iTI4Iv&#10;Yx1tXUTwZayjvYUIvox1tGMQwZd5OdoGiODLWCcnrMPzonGfsA7L/iVwWoWHjcfzIviEdVhqL4JP&#10;WIf18yL4hHVYSi+CT1iH9fEi+IR1OIBdBJ+wrljGOlqORgO3jHW0Wozgy1hHC8cIvox1tK4L4Xhe&#10;ojparEXwZayjFVgEX8Y6WlZF8GWsoxVWBF/GOjVhHZ4XqW7COrWMdbRUiRq/jHVqwjo8L2r8hHVY&#10;ZARwDhP8IoLSxul2xM7djuiRJI1U8lWG2xHXhEEubt3T2mP4SJnjQ45Ddne18tkLVLxHlvePrXux&#10;f8rqpywHL/3phfX99Xb9ZfNL+HqR+7iCTkAcUSHcVVRIrw8csw53B7iEzredol2iw9DJqPJzogS2&#10;4nl8scTNHS1HWciO5KLKVnwJYihyR8NOGicWJIsz0mrmgxCy4ih5qNSdnXOlQpnS0WQoc2cTvoyO&#10;eJIFumN/BiKDlUd/qBQatL4xOAdjqxjKfL+IuUi3Rx5EskSBfDnNFoePlkO6sVqDXSxmtChKgwQd&#10;ZpYbXOH2L1/SS5lrbI4x0qWghNXKHAfsbAaVRUJ6VOYyKRyQNeWNY5Y3EvvbGCLSj5UW3jXoB3ZH&#10;NSUpoqy02IqMytzZOJdRrgSVkRXOC9Sm9BEnjpV1pDhpLFLnXaXMzLAxLr/ClbkTg2SBvCfFQHTR&#10;UW4YxqLQxsdwCnSMesipFnFjknqI44LKe3ptNfoa9AL7hNi5cpXiJXYjQ2M46cKVuVSK5B5ikx0b&#10;7Q4onulNSWwje+uQBXIToua4/AtGuqyKdJmE5LnY5WNEVu6OR7mX7iQkYhWfnTqZfEySLtNiiJge&#10;EgYABxRqtpTCxxbSFBOXxFkZLNPlWiTLhBOATj1SlzxnDiOmjagMKx7eF/fAwgZxggYj3XZbusyq&#10;yungCnYnbZmXEYNMDpv0DULSSOnCp6FBnKvBSJeBkSwTCcFwIYzEDQGOSMdqKefO99NozbcCxkKX&#10;tuGRlIyRLlMLS5uF1E+NQ/jINA36QunKrlCoeIrhDA4uZEeU6n5MiQNe308wGEFNwCFjlfLuF97d&#10;lhFvOZmDZbK3TZVZCkz3Xn3YqzWRTKQlScyDrp84TY9dAud1cKHL1kjWbQnnkvt+KtA26gqe9WBI&#10;Bhc+4ga5FA+WuYxDpcYlNk9NiyOlaDwxSaohGrK2GG5QcdDD2R4sc5l9lmUpvDkUcG+TflpMMax4&#10;zBk4ogkHG1MaOOdkepeUPJ50jsx+CKrNJzIrYRF/0XgqazTaFhCMc0C40GV2JI+nzXNEFQ6pc0qv&#10;DavF1Gj8NozG7dLYeDkdhJHjlZ+kicxCeX6ywrSC45ZIpsFtSz9X4+aBjQjGmSEsk/OXU3WLvNMh&#10;sIK31XHQURVW+xUcTntVrFtOEvEyh/zjZ/3cHcIA3ed7PG/o8FoczzBZkdKFw2Z2TUiNm4yFT+zg&#10;Kl26Rqi186XPWnlWrMxLxNpcscsynFRc4U6yK0VEZ3Q0F/kcEC51mR2ETRQLJ205CkSMpGzEPJxG&#10;lu7iKtHdYGaI6O4TQlgs3zxLF4usdx8LIisCwXDc26JEXMcVw/7hdQIr89khrpRzPhb0VuGsmc0X&#10;Mz/iqknFCin2rmIcY088nE8V4dJlsxJyP3Lrt3UQ2eMxFos0AD/ySOZBmsiklPJGnFi/8khXskEY&#10;xb3FfEeXsyM1Il/NuzIxXgYcpn2fRMJi+dpgsthCIpBjrooSQVQ8tkhKVIizyIMiBICxRY3ijJIX&#10;9RaTO06AHRRrKRvHclgdUnIjl1IwNBHr0ku4dNlMLDBHlH7PTWqcqccVczYJVzyGiaOSz5am2a2W&#10;5bD9wOkTkRqDigsBtxotfXziiWvUE/aZ2MFJerfIOSQMcpkhJBCg4bWzTs1A7ZQLjcE+Y28GMy0l&#10;SblS0k7UB04lmWvlWbFYzdKU5SqWCANib8mZI66U80FisS6vZFL6TDlnxVpsFlAuO/qDiw+mjImP&#10;6DMfvAvt4kShveAkE4+lxGKv3lhQ/ORHhuKtygfalcBWUdQf6BjbDlwxAqg4tHCLO39OwXkk6WIr&#10;JB76WBv+S0xmDsQTUIYTiyQxxDdRozj9xJdSUskCscooH1E7asf2hrRihLxcMW41xWs2LOcoF8WX&#10;UoZJslj8dgtmWV8xlvLxakYKZMb4i9eYX7BUDXsLHCWmsNjQdOLRjJ94bOk6SIVFIJsIck4iSqGD&#10;1TB5Y7Vj84jnkrNUXiQWwQiySr2i0ICIUj4pxZVymlPUW05ZmZQmGRBt01bD+GDuigJ6n6Di6sWK&#10;y8ZEDkvHI4dgtwryaV/Yeaxxg9g1arg+N/kRkXN31otzN7v5zrobF9R3/kL6r9wpH4Afv5D+Kzfl&#10;B/ALLqT3j4OH2Xy6kI6EJLq++Zv9bor7WSD8YpKjp/91J/pJpvAZn8PfoHr1XwAAAP//AwBQSwME&#10;FAAGAAgAAAAhAKl/tRXdAAAABQEAAA8AAABkcnMvZG93bnJldi54bWxMj0FLw0AQhe+C/2EZwZvd&#10;TUrFxmxKKeqpCLaC9DbNTpPQ7GzIbpP037t60cvA4z3e+yZfTbYVA/W+cawhmSkQxKUzDVcaPvev&#10;D08gfEA22DomDVfysCpub3LMjBv5g4ZdqEQsYZ+hhjqELpPSlzVZ9DPXEUfv5HqLIcq+kqbHMZbb&#10;VqZKPUqLDceFGjva1FSedxer4W3EcT1PXobt+bS5HvaL969tQlrf303rZxCBpvAXhh/8iA5FZDq6&#10;CxsvWg3xkfB7o7dI1RzEUUOaqCXIIpf/6YtvAAAA//8DAFBLAQItABQABgAIAAAAIQC2gziS/gAA&#10;AOEBAAATAAAAAAAAAAAAAAAAAAAAAABbQ29udGVudF9UeXBlc10ueG1sUEsBAi0AFAAGAAgAAAAh&#10;ADj9If/WAAAAlAEAAAsAAAAAAAAAAAAAAAAALwEAAF9yZWxzLy5yZWxzUEsBAi0AFAAGAAgAAAAh&#10;ACcLx1dyDwAAy0oAAA4AAAAAAAAAAAAAAAAALgIAAGRycy9lMm9Eb2MueG1sUEsBAi0AFAAGAAgA&#10;AAAhAKl/tRXdAAAABQEAAA8AAAAAAAAAAAAAAAAAzBEAAGRycy9kb3ducmV2LnhtbFBLBQYAAAAA&#10;BAAEAPMAAADWEgAAAAA=&#10;">
                <v:shape id="Cuadro de texto 86" o:spid="_x0000_s1067" type="#_x0000_t202" style="position:absolute;width:10139;height:39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Liy58YA&#10;AADbAAAADwAAAGRycy9kb3ducmV2LnhtbESPQWvCQBSE70L/w/IK3sxGoRLSrCIBaSn2oM2lt9fs&#10;Mwlm36bZbZL213cFweMwM98w2XYyrRiod41lBcsoBkFcWt1wpaD42C8SEM4ja2wtk4JfcrDdPMwy&#10;TLUd+UjDyVciQNilqKD2vkuldGVNBl1kO+LgnW1v0AfZV1L3OAa4aeUqjtfSYMNhocaO8prKy+nH&#10;KHjL9+94/FqZ5K/NXw7nXfddfD4pNX+cds8gPE3+Hr61X7WCZA3XL+EHyM0/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Liy58YAAADbAAAADwAAAAAAAAAAAAAAAACYAgAAZHJz&#10;L2Rvd25yZXYueG1sUEsFBgAAAAAEAAQA9QAAAIsDAAAAAA==&#10;" filled="f" stroked="f" strokeweight=".5pt">
                  <v:textbox>
                    <w:txbxContent>
                      <w:p w14:paraId="6C75E8A4" w14:textId="77777777" w:rsidR="006107A8" w:rsidRPr="00505378" w:rsidRDefault="006107A8" w:rsidP="00F64D04">
                        <w:pPr>
                          <w:spacing w:after="0" w:line="240" w:lineRule="auto"/>
                          <w:jc w:val="center"/>
                          <w:rPr>
                            <w:sz w:val="20"/>
                            <w:szCs w:val="20"/>
                            <w:lang w:val="es-AR"/>
                          </w:rPr>
                        </w:pPr>
                        <w:r w:rsidRPr="00505378">
                          <w:rPr>
                            <w:sz w:val="20"/>
                            <w:szCs w:val="20"/>
                            <w:lang w:val="es-AR"/>
                          </w:rPr>
                          <w:t>Centro Operativo</w:t>
                        </w:r>
                      </w:p>
                    </w:txbxContent>
                  </v:textbox>
                </v:shape>
                <v:shape id="Cuadro de texto 87" o:spid="_x0000_s1068" type="#_x0000_t202" style="position:absolute;left:22901;top:724;width:10140;height:32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QXfMYA&#10;AADbAAAADwAAAGRycy9kb3ducmV2LnhtbESPQWvCQBSE7wX/w/KE3upGoTWkrhICwVLag9GLt9fs&#10;Mwlm38bs1qT99d2C4HGYmW+Y1WY0rbhS7xrLCuazCARxaXXDlYLDPn+KQTiPrLG1TAp+yMFmPXlY&#10;YaLtwDu6Fr4SAcIuQQW1910ipStrMuhmtiMO3sn2Bn2QfSV1j0OAm1YuouhFGmw4LNTYUVZTeS6+&#10;jYL3LP/E3dfCxL9ttv04pd3lcHxW6nE6pq8gPI3+Hr6137SCeAn/X8IPkO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QXfMYAAADbAAAADwAAAAAAAAAAAAAAAACYAgAAZHJz&#10;L2Rvd25yZXYueG1sUEsFBgAAAAAEAAQA9QAAAIsDAAAAAA==&#10;" filled="f" stroked="f" strokeweight=".5pt">
                  <v:textbox>
                    <w:txbxContent>
                      <w:p w14:paraId="55BB3937" w14:textId="77777777" w:rsidR="006107A8" w:rsidRPr="00505378" w:rsidRDefault="006107A8" w:rsidP="00F64D04">
                        <w:pPr>
                          <w:spacing w:after="0" w:line="240" w:lineRule="auto"/>
                          <w:jc w:val="center"/>
                          <w:rPr>
                            <w:sz w:val="20"/>
                            <w:szCs w:val="20"/>
                            <w:lang w:val="es-AR"/>
                          </w:rPr>
                        </w:pPr>
                        <w:r>
                          <w:rPr>
                            <w:sz w:val="20"/>
                            <w:szCs w:val="20"/>
                            <w:lang w:val="es-AR"/>
                          </w:rPr>
                          <w:t xml:space="preserve">Subestación </w:t>
                        </w:r>
                      </w:p>
                    </w:txbxContent>
                  </v:textbox>
                </v:shape>
                <v:oval id="Elipse 89" o:spid="_x0000_s1069" style="position:absolute;left:4526;top:5251;width:1720;height:181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ukBcMA&#10;AADbAAAADwAAAGRycy9kb3ducmV2LnhtbESPQWsCMRSE74L/ITyhF9FsCxa7blaWQsFDsVWL58fm&#10;uRvcvKxJqtt/3xQKHoeZ+YYp1oPtxJV8MI4VPM4zEMS104YbBV+Ht9kSRIjIGjvHpOCHAqzL8ajA&#10;XLsb7+i6j41IEA45Kmhj7HMpQ92SxTB3PXHyTs5bjEn6RmqPtwS3nXzKsmdp0XBaaLGn15bq8/7b&#10;Kph6WQ1+u5AXto35eN9YU30elXqYDNUKRKQh3sP/7Y1WsHyBvy/pB8jy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SukBcMAAADbAAAADwAAAAAAAAAAAAAAAACYAgAAZHJzL2Rv&#10;d25yZXYueG1sUEsFBgAAAAAEAAQA9QAAAIgDAAAAAA==&#10;" fillcolor="#4472c4 [3204]" stroked="f" strokeweight="1pt">
                  <v:stroke joinstyle="miter"/>
                </v:oval>
                <v:shape id="Rectángulo: biselado 90" o:spid="_x0000_s1070" type="#_x0000_t84" style="position:absolute;left:26436;top:3983;width:2535;height:262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On/bsMA&#10;AADbAAAADwAAAGRycy9kb3ducmV2LnhtbERPW2vCMBR+H+w/hDPwZWi6MtR1xjIGA3EieGM+Hpuz&#10;tltzUpKo9d+bB8HHj+8+yTvTiBM5X1tW8DJIQBAXVtdcKthuvvpjED4ga2wsk4ILecinjw8TzLQ9&#10;84pO61CKGMI+QwVVCG0mpS8qMugHtiWO3K91BkOErpTa4TmGm0amSTKUBmuODRW29FlR8b8+GgWt&#10;uYyShVv8HFb7v93rd7rsZvNnpXpP3cc7iEBduItv7plW8BbXxy/xB8jpF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On/bsMAAADbAAAADwAAAAAAAAAAAAAAAACYAgAAZHJzL2Rv&#10;d25yZXYueG1sUEsFBgAAAAAEAAQA9QAAAIgDAAAAAA==&#10;" fillcolor="#4472c4 [3204]" stroked="f" strokeweight="1pt"/>
                <v:shape id="Forma libre: forma 92" o:spid="_x0000_s1071" style="position:absolute;left:5703;top:7604;width:22359;height:5792;visibility:visible;mso-wrap-style:square;v-text-anchor:middle" coordsize="2236216,5794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KFOYsQA&#10;AADbAAAADwAAAGRycy9kb3ducmV2LnhtbESPQWvCQBSE74X+h+UVvOmmgtJGN2Klgq29JOr9kX3J&#10;BrNv0+xW47/vFoQeh5n5hlmuBtuKC/W+cazgeZKAIC6dbrhWcDxsxy8gfEDW2DomBTfysMoeH5aY&#10;anflnC5FqEWEsE9RgQmhS6X0pSGLfuI64uhVrrcYouxrqXu8Rrht5TRJ5tJiw3HBYEcbQ+W5+LEK&#10;9m+b79Ps07z7arcPZihmX5x/KDV6GtYLEIGG8B++t3dawesU/r7EHyCz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ihTmLEAAAA2wAAAA8AAAAAAAAAAAAAAAAAmAIAAGRycy9k&#10;b3ducmV2LnhtbFBLBQYAAAAABAAEAPUAAACJAwAAAAA=&#10;" path="m,9054c3018,27161,3248,45960,9053,63374v7243,21729,25953,35611,45268,45268c62857,112910,72428,114677,81481,117695v9054,9054,14606,24650,27161,27161c153455,153819,169218,137668,199176,117695v6036,-9053,10413,-19466,18107,-27160c224977,82841,235590,78753,244444,72428v12278,-8770,24142,-18107,36213,-27161c307818,48285,335627,47693,362139,54321v16805,4201,44186,35133,54320,45267c430143,154321,421577,123994,443620,190123v1,4,18105,54318,18107,54321c486936,282257,472140,263910,506994,298764v27160,-3018,54969,-2425,81481,-9053c599031,287072,605904,276470,615636,271604v8536,-4268,18107,-6035,27160,-9053c651849,256515,661597,251410,669956,244444v9836,-8197,14456,-25573,27161,-27161c713243,215267,727295,229354,742384,235390v3018,12071,4152,24777,9054,36214c755724,281605,766418,288342,769545,298764v7559,25197,16818,153303,18106,162963c789296,474061,791803,486504,796705,497941v4286,10001,9918,19995,18107,27160c836325,543925,866356,564381,896293,570368v20925,4185,42249,6036,63374,9054l1149790,570368v24787,-6426,54321,-54320,54321,-54320c1207129,506994,1209405,497659,1213164,488887v5316,-12405,14556,-23193,18107,-36214c1236886,432086,1237307,410424,1240325,389299v3018,-48285,4466,-96694,9053,-144855c1250837,229125,1253029,213584,1258432,199176v3821,-10188,12071,-18107,18107,-27160c1326935,175616,1390446,159174,1430448,199176v10670,10670,17066,24998,27160,36214c1474738,254424,1511929,289711,1511929,289711v15089,45267,,24142,63374,45267l1602463,344032v42250,-3018,86770,4939,126749,-9054c1753381,326519,1783533,280658,1783533,280658v30178,3018,60558,4442,90534,9053c1883499,291162,1892052,296142,1901228,298764v11964,3418,24143,6036,36214,9054c1946495,313854,1954601,321639,1964602,325925v36609,15690,143271,17289,153909,18107c2139970,349396,2169480,362809,2190939,344032v16377,-14330,36213,-54321,36213,-54321c2236902,36227,2236206,132842,2236206,e" filled="f" strokecolor="#70ad47 [3209]" strokeweight="1.5pt">
                  <v:stroke joinstyle="miter"/>
                  <v:path arrowok="t" o:connecttype="custom" o:connectlocs="0,9049;9051,63341;54312,108585;81467,117634;108623,144780;199142,117634;217246,90488;244402,72390;280609,45243;362077,54293;416388,99536;443544,190024;461648,244317;506908,298608;588375,289560;615531,271462;642686,262414;669842,244317;696998,217170;742258,235267;751310,271462;769414,298608;787517,461486;796569,497681;814673,524827;896140,570071;959503,579120;1149594,570071;1203906,515779;1212957,488632;1231061,452437;1240114,389096;1249165,244317;1258218,199072;1276322,171926;1430204,199072;1457360,235267;1511671,289560;1575035,334803;1602190,343853;1728917,334803;1783229,280512;1873748,289560;1900904,298608;1937112,307658;1964267,325755;2118150,343853;2190566,343853;2226773,289560;2235825,0" o:connectangles="0,0,0,0,0,0,0,0,0,0,0,0,0,0,0,0,0,0,0,0,0,0,0,0,0,0,0,0,0,0,0,0,0,0,0,0,0,0,0,0,0,0,0,0,0,0,0,0,0,0"/>
                </v:shape>
                <w10:anchorlock/>
              </v:group>
            </w:pict>
          </mc:Fallback>
        </mc:AlternateContent>
      </w:r>
    </w:p>
    <w:p w14:paraId="55508B46" w14:textId="22AFF5C8" w:rsidR="00F64D04" w:rsidRPr="00AC5990" w:rsidRDefault="00F64D04" w:rsidP="00F64D04">
      <w:pPr>
        <w:rPr>
          <w:lang w:val="es-ES"/>
        </w:rPr>
      </w:pPr>
      <w:r w:rsidRPr="00BA7ACD">
        <w:rPr>
          <w:lang w:val="es-ES"/>
        </w:rPr>
        <w:t xml:space="preserve">Para determinar las distancias recorridas se consideran las tareas programables, y las tareas no programables, en virtud que las primeras es posible organizar su ejecución agrupadas de modo de aprovechar tiempos de aproximación y las segundas no lo permiten. En el caso de las tareas programables las mismas se planifican en misiones las cuales están definidas por la cantidad de veces máxima que una determinada cuadrilla debe salir a campo a realizar tareas (por </w:t>
      </w:r>
      <w:r w:rsidR="00F86AAB" w:rsidRPr="00BA7ACD">
        <w:rPr>
          <w:lang w:val="es-ES"/>
        </w:rPr>
        <w:t>ejemplo,</w:t>
      </w:r>
      <w:r w:rsidRPr="00BA7ACD">
        <w:rPr>
          <w:lang w:val="es-ES"/>
        </w:rPr>
        <w:t xml:space="preserve"> si una determinada in</w:t>
      </w:r>
      <w:r w:rsidR="00BA2EDF" w:rsidRPr="00BA7ACD">
        <w:rPr>
          <w:lang w:val="es-ES"/>
        </w:rPr>
        <w:t>specc</w:t>
      </w:r>
      <w:r w:rsidRPr="00BA7ACD">
        <w:rPr>
          <w:lang w:val="es-ES"/>
        </w:rPr>
        <w:t>ión requiere ser realizada dos veces al año, se consideran dos misiones), luego cada misión se organiza en jornadas semanales (cinco días) con pernocte. En el caso que el tiempo de aproximación exceda las 3 horas se consideran jornadas de dos semanas (diez días).</w:t>
      </w:r>
    </w:p>
    <w:p w14:paraId="0DFBCD81" w14:textId="065A64BF" w:rsidR="00F64D04" w:rsidRPr="00AC5990" w:rsidRDefault="00F64D04" w:rsidP="00F64D04">
      <w:pPr>
        <w:rPr>
          <w:lang w:val="es-ES"/>
        </w:rPr>
      </w:pPr>
      <w:r w:rsidRPr="00AC5990">
        <w:rPr>
          <w:lang w:val="es-ES"/>
        </w:rPr>
        <w:t xml:space="preserve">Para las primeras, se considera el desplazamiento de la cuadrilla hasta el lugar de inicio de </w:t>
      </w:r>
      <w:r w:rsidR="00F86AAB" w:rsidRPr="00AC5990">
        <w:rPr>
          <w:lang w:val="es-ES"/>
        </w:rPr>
        <w:t>la faena</w:t>
      </w:r>
      <w:r w:rsidRPr="00AC5990">
        <w:rPr>
          <w:lang w:val="es-ES"/>
        </w:rPr>
        <w:t xml:space="preserve"> y luego las distancias recorridas para la ejecución de cada una de las tareas.</w:t>
      </w:r>
    </w:p>
    <w:p w14:paraId="100795DF" w14:textId="77777777" w:rsidR="00F64D04" w:rsidRPr="00AC5990" w:rsidRDefault="00F64D04" w:rsidP="00F64D04">
      <w:pPr>
        <w:rPr>
          <w:lang w:val="es-ES"/>
        </w:rPr>
      </w:pPr>
      <w:r w:rsidRPr="00AC5990">
        <w:rPr>
          <w:lang w:val="es-ES"/>
        </w:rPr>
        <w:t>La metodología para el cálculo de las distancias para tareas de mantenimiento programables hasta el lugar de inicio de la faena se desarrolló en los siguientes pasos:</w:t>
      </w:r>
    </w:p>
    <w:p w14:paraId="0E0D54D8" w14:textId="4DFBFCFA" w:rsidR="00F64D04" w:rsidRPr="00BA7ACD" w:rsidRDefault="00F64D04" w:rsidP="00273FE4">
      <w:pPr>
        <w:pStyle w:val="Listanumerada"/>
        <w:numPr>
          <w:ilvl w:val="0"/>
          <w:numId w:val="22"/>
        </w:numPr>
        <w:spacing w:after="200"/>
        <w:ind w:left="567" w:hanging="567"/>
        <w:rPr>
          <w:lang w:val="es-ES"/>
        </w:rPr>
      </w:pPr>
      <w:r w:rsidRPr="00AC5990">
        <w:rPr>
          <w:lang w:val="es-ES"/>
        </w:rPr>
        <w:t>Se fijaron los centros operativos (CO) del contratista sobre la base de la info</w:t>
      </w:r>
      <w:r w:rsidR="00BA2EDF">
        <w:rPr>
          <w:lang w:val="es-ES"/>
        </w:rPr>
        <w:t xml:space="preserve">rmación enviada </w:t>
      </w:r>
      <w:r w:rsidR="00BA2EDF" w:rsidRPr="00BA7ACD">
        <w:rPr>
          <w:lang w:val="es-ES"/>
        </w:rPr>
        <w:t>por las empresas</w:t>
      </w:r>
      <w:r w:rsidRPr="00BA7ACD">
        <w:rPr>
          <w:lang w:val="es-ES"/>
        </w:rPr>
        <w:t xml:space="preserve"> y cercana a centros urbanos.</w:t>
      </w:r>
    </w:p>
    <w:p w14:paraId="307CAB3A" w14:textId="77777777" w:rsidR="00F64D04" w:rsidRPr="00BA7ACD" w:rsidRDefault="00F64D04" w:rsidP="00273FE4">
      <w:pPr>
        <w:pStyle w:val="Listanumerada"/>
        <w:numPr>
          <w:ilvl w:val="0"/>
          <w:numId w:val="22"/>
        </w:numPr>
        <w:spacing w:after="200"/>
        <w:ind w:left="567" w:hanging="567"/>
        <w:rPr>
          <w:lang w:val="es-ES"/>
        </w:rPr>
      </w:pPr>
      <w:r w:rsidRPr="00BA7ACD">
        <w:rPr>
          <w:lang w:val="es-ES"/>
        </w:rPr>
        <w:t>Se asoció cada subestación al CO más cercano.</w:t>
      </w:r>
    </w:p>
    <w:p w14:paraId="39C191DC" w14:textId="441F1400" w:rsidR="00F64D04" w:rsidRPr="00BA7ACD" w:rsidRDefault="00F64D04" w:rsidP="00273FE4">
      <w:pPr>
        <w:pStyle w:val="Listanumerada"/>
        <w:numPr>
          <w:ilvl w:val="0"/>
          <w:numId w:val="22"/>
        </w:numPr>
        <w:spacing w:after="200"/>
        <w:ind w:left="567" w:hanging="567"/>
        <w:rPr>
          <w:lang w:val="es-ES"/>
        </w:rPr>
      </w:pPr>
      <w:r w:rsidRPr="00BA7ACD">
        <w:rPr>
          <w:lang w:val="es-ES"/>
        </w:rPr>
        <w:t>La distancia recorrida se calcula de la siguiente forma:</w:t>
      </w:r>
    </w:p>
    <w:p w14:paraId="52056AD4" w14:textId="77777777" w:rsidR="00F64D04" w:rsidRPr="00BA7ACD" w:rsidRDefault="00F64D04" w:rsidP="00273FE4">
      <w:pPr>
        <w:pStyle w:val="Prrafodelista"/>
        <w:numPr>
          <w:ilvl w:val="1"/>
          <w:numId w:val="8"/>
        </w:numPr>
        <w:ind w:left="1134" w:hanging="567"/>
        <w:rPr>
          <w:lang w:val="es-ES"/>
        </w:rPr>
      </w:pPr>
      <w:r w:rsidRPr="00BA7ACD">
        <w:rPr>
          <w:lang w:val="es-ES"/>
        </w:rPr>
        <w:t>Subestaciones: distancia recorrida del CO a la subestación.</w:t>
      </w:r>
    </w:p>
    <w:p w14:paraId="34E032EA" w14:textId="3FC707D0" w:rsidR="00F64D04" w:rsidRPr="00BA7ACD" w:rsidRDefault="00F64D04" w:rsidP="00273FE4">
      <w:pPr>
        <w:pStyle w:val="Prrafodelista"/>
        <w:numPr>
          <w:ilvl w:val="1"/>
          <w:numId w:val="8"/>
        </w:numPr>
        <w:ind w:left="1134" w:hanging="567"/>
        <w:rPr>
          <w:lang w:val="es-ES"/>
        </w:rPr>
      </w:pPr>
      <w:r w:rsidRPr="00BA7ACD">
        <w:rPr>
          <w:lang w:val="es-ES"/>
        </w:rPr>
        <w:t xml:space="preserve">Líneas: distancia recorrida desde el CO asignado a la subestación </w:t>
      </w:r>
      <w:r w:rsidR="00BA2EDF" w:rsidRPr="00BA7ACD">
        <w:rPr>
          <w:lang w:val="es-ES"/>
        </w:rPr>
        <w:t>más</w:t>
      </w:r>
      <w:r w:rsidRPr="00BA7ACD">
        <w:rPr>
          <w:lang w:val="es-ES"/>
        </w:rPr>
        <w:t xml:space="preserve"> distancia a la mitad del tramo de línea asignado.</w:t>
      </w:r>
    </w:p>
    <w:p w14:paraId="180E0411" w14:textId="77777777" w:rsidR="00F64D04" w:rsidRPr="00BA7ACD" w:rsidRDefault="00F64D04" w:rsidP="00F64D04">
      <w:pPr>
        <w:rPr>
          <w:lang w:val="es-ES"/>
        </w:rPr>
      </w:pPr>
      <w:r w:rsidRPr="00BA7ACD">
        <w:rPr>
          <w:lang w:val="es-ES"/>
        </w:rPr>
        <w:t>Para el cálculo de las distancias recorridas se asume lo siguiente en el caso de las líneas:</w:t>
      </w:r>
    </w:p>
    <w:p w14:paraId="6CBEB778" w14:textId="3DAC8395" w:rsidR="00F64D04" w:rsidRPr="00C66F16" w:rsidRDefault="00F64D04" w:rsidP="00273FE4">
      <w:pPr>
        <w:pStyle w:val="Listanumerada"/>
        <w:numPr>
          <w:ilvl w:val="0"/>
          <w:numId w:val="23"/>
        </w:numPr>
        <w:spacing w:after="200"/>
        <w:ind w:left="567" w:hanging="567"/>
      </w:pPr>
      <w:r w:rsidRPr="00C66F16">
        <w:t xml:space="preserve">Si ambas SE cabecera están asignadas al mismo CO el 100% de la línea se atienen desde la SE </w:t>
      </w:r>
      <w:r w:rsidR="00BA2EDF" w:rsidRPr="00C66F16">
        <w:t>más</w:t>
      </w:r>
      <w:r w:rsidRPr="00C66F16">
        <w:t xml:space="preserve"> cercana al CO.</w:t>
      </w:r>
    </w:p>
    <w:p w14:paraId="6B9178BE" w14:textId="5309C5B3" w:rsidR="00F64D04" w:rsidRPr="00C66F16" w:rsidRDefault="00F64D04" w:rsidP="00273FE4">
      <w:pPr>
        <w:pStyle w:val="Listanumerada"/>
        <w:numPr>
          <w:ilvl w:val="0"/>
          <w:numId w:val="23"/>
        </w:numPr>
        <w:spacing w:after="200"/>
        <w:ind w:left="567" w:hanging="567"/>
      </w:pPr>
      <w:r w:rsidRPr="00C66F16">
        <w:lastRenderedPageBreak/>
        <w:t xml:space="preserve">Si las SE están asignadas a CO distintos se </w:t>
      </w:r>
      <w:r w:rsidR="00BA2EDF" w:rsidRPr="00C66F16">
        <w:t>atiende</w:t>
      </w:r>
      <w:r w:rsidR="00F86AAB">
        <w:t xml:space="preserve"> cada semi</w:t>
      </w:r>
      <w:r w:rsidRPr="00C66F16">
        <w:t xml:space="preserve">tramo desde el CO correspondiente a cada SE. </w:t>
      </w:r>
    </w:p>
    <w:p w14:paraId="46D1FE7E" w14:textId="3A776558" w:rsidR="00F64D04" w:rsidRPr="00AC5990" w:rsidRDefault="00F64D04" w:rsidP="00F64D04">
      <w:pPr>
        <w:rPr>
          <w:lang w:val="es-ES"/>
        </w:rPr>
      </w:pPr>
      <w:r w:rsidRPr="00AC5990">
        <w:rPr>
          <w:lang w:val="es-ES"/>
        </w:rPr>
        <w:t>Se asume que en los trabajos programados</w:t>
      </w:r>
      <w:r w:rsidR="00F86AAB">
        <w:rPr>
          <w:lang w:val="es-ES"/>
        </w:rPr>
        <w:t>,</w:t>
      </w:r>
      <w:r w:rsidRPr="00AC5990">
        <w:rPr>
          <w:lang w:val="es-ES"/>
        </w:rPr>
        <w:t xml:space="preserve"> la cuadrilla se queda en el lugar de trabajo hasta un máximo de dos semanas, luego de lo cual retorna a su CO. Durante la semana laboral la cuadrilla no regresa a su CO y se aloja en un lugar cercano a la realización de la faena.</w:t>
      </w:r>
    </w:p>
    <w:p w14:paraId="011D1027" w14:textId="77777777" w:rsidR="00F64D04" w:rsidRPr="00AC5990" w:rsidRDefault="00F64D04" w:rsidP="00F64D04">
      <w:pPr>
        <w:rPr>
          <w:lang w:val="es-ES"/>
        </w:rPr>
      </w:pPr>
      <w:r w:rsidRPr="00AC5990">
        <w:rPr>
          <w:lang w:val="es-ES"/>
        </w:rPr>
        <w:t>Luego resulta necesario calcular la cantidad de desplazamientos anuales de aproximación que realiza cada cuadrilla, esto se hace a partir de la siguiente metodología.</w:t>
      </w:r>
    </w:p>
    <w:p w14:paraId="53015C9E" w14:textId="1280C9CE" w:rsidR="00F64D04" w:rsidRPr="00AC5990" w:rsidRDefault="00F64D04" w:rsidP="00F64D04">
      <w:pPr>
        <w:rPr>
          <w:lang w:val="es-ES"/>
        </w:rPr>
      </w:pPr>
      <w:r w:rsidRPr="00AC5990">
        <w:rPr>
          <w:lang w:val="es-ES"/>
        </w:rPr>
        <w:t xml:space="preserve">En función del volumen de horas de mantenimiento programables se </w:t>
      </w:r>
      <w:r w:rsidR="008D4432" w:rsidRPr="00AC5990">
        <w:rPr>
          <w:lang w:val="es-ES"/>
        </w:rPr>
        <w:t>determina la</w:t>
      </w:r>
      <w:r w:rsidRPr="00AC5990">
        <w:rPr>
          <w:lang w:val="es-ES"/>
        </w:rPr>
        <w:t xml:space="preserve"> cantidad de viajes necesarios de la cuadrilla para lo cual se utiliza la siguiente fórmula:</w:t>
      </w:r>
    </w:p>
    <w:p w14:paraId="764AF8EE" w14:textId="77777777" w:rsidR="00F64D04" w:rsidRPr="00AC5990" w:rsidRDefault="00F64D04" w:rsidP="00F64D04">
      <w:pPr>
        <w:rPr>
          <w:lang w:val="es-ES"/>
        </w:rPr>
      </w:pPr>
      <m:oMathPara>
        <m:oMath>
          <m:r>
            <w:rPr>
              <w:rFonts w:ascii="Cambria Math" w:hAnsi="Cambria Math"/>
              <w:lang w:val="es-ES"/>
            </w:rPr>
            <m:t xml:space="preserve"># Viajes= </m:t>
          </m:r>
          <m:f>
            <m:fPr>
              <m:ctrlPr>
                <w:rPr>
                  <w:rFonts w:ascii="Cambria Math" w:hAnsi="Cambria Math"/>
                  <w:i/>
                  <w:lang w:val="es-ES"/>
                </w:rPr>
              </m:ctrlPr>
            </m:fPr>
            <m:num>
              <m:r>
                <w:rPr>
                  <w:rFonts w:ascii="Cambria Math" w:hAnsi="Cambria Math"/>
                  <w:lang w:val="es-ES"/>
                </w:rPr>
                <m:t>Hs programables</m:t>
              </m:r>
            </m:num>
            <m:den>
              <m:r>
                <w:rPr>
                  <w:rFonts w:ascii="Cambria Math" w:hAnsi="Cambria Math"/>
                  <w:lang w:val="es-ES"/>
                </w:rPr>
                <m:t>8*40-(# Viajes*Tiempo Viaje+Tiempo Desplazamiento Tareas)</m:t>
              </m:r>
            </m:den>
          </m:f>
        </m:oMath>
      </m:oMathPara>
    </w:p>
    <w:p w14:paraId="353CBE78" w14:textId="448A201D" w:rsidR="00F64D04" w:rsidRPr="00AC5990" w:rsidRDefault="00F64D04" w:rsidP="00F64D04">
      <w:pPr>
        <w:rPr>
          <w:lang w:val="es-ES"/>
        </w:rPr>
      </w:pPr>
      <w:r w:rsidRPr="00BF652D">
        <w:rPr>
          <w:lang w:val="es-ES"/>
        </w:rPr>
        <w:t xml:space="preserve">Como se observa en la fórmula la cantidad de viajes requeridos se incrementa dado que el tiempo mismo de </w:t>
      </w:r>
      <w:r w:rsidR="00BA2EDF" w:rsidRPr="00BF652D">
        <w:rPr>
          <w:lang w:val="es-ES"/>
        </w:rPr>
        <w:t>aproximación</w:t>
      </w:r>
      <w:r w:rsidRPr="00BF652D">
        <w:rPr>
          <w:lang w:val="es-ES"/>
        </w:rPr>
        <w:t xml:space="preserve"> y el tiempo de desplazamiento entre tareas </w:t>
      </w:r>
      <w:proofErr w:type="gramStart"/>
      <w:r w:rsidRPr="00BF652D">
        <w:rPr>
          <w:lang w:val="es-ES"/>
        </w:rPr>
        <w:t>reduce</w:t>
      </w:r>
      <w:proofErr w:type="gramEnd"/>
      <w:r w:rsidRPr="00BF652D">
        <w:rPr>
          <w:lang w:val="es-ES"/>
        </w:rPr>
        <w:t xml:space="preserve"> el tiempo neto para la ejecución de las tareas programables. Para determinar la cantidad de viajes se requiere realizar una </w:t>
      </w:r>
      <w:r w:rsidR="00BA2EDF" w:rsidRPr="00BF652D">
        <w:rPr>
          <w:lang w:val="es-ES"/>
        </w:rPr>
        <w:t>interacción</w:t>
      </w:r>
      <w:r w:rsidRPr="00BF652D">
        <w:rPr>
          <w:lang w:val="es-ES"/>
        </w:rPr>
        <w:t>, que según los ejercicios realizados rápidamente converge.</w:t>
      </w:r>
    </w:p>
    <w:p w14:paraId="7663CCBE" w14:textId="2D0DAE23" w:rsidR="00F64D04" w:rsidRPr="00AC5990" w:rsidRDefault="00F64D04" w:rsidP="00F64D04">
      <w:pPr>
        <w:rPr>
          <w:lang w:val="es-ES"/>
        </w:rPr>
      </w:pPr>
      <w:r w:rsidRPr="00AC5990">
        <w:rPr>
          <w:lang w:val="es-ES"/>
        </w:rPr>
        <w:t>Luego</w:t>
      </w:r>
      <w:r w:rsidR="00BF652D">
        <w:rPr>
          <w:lang w:val="es-ES"/>
        </w:rPr>
        <w:t>,</w:t>
      </w:r>
      <w:r w:rsidRPr="00AC5990">
        <w:rPr>
          <w:lang w:val="es-ES"/>
        </w:rPr>
        <w:t xml:space="preserve"> multiplicando la cantidad de traslados que realiza la cuadrilla, por el tiempo de traslado, se obtiene el tiempo anual que la cuadrilla invierte en traslados de ida y vuelta. El tiempo de traslado entre actividades total se determina multiplicando el tiempo de traslado entre intervenciones por la cantidad de intervenciones anuales.</w:t>
      </w:r>
    </w:p>
    <w:p w14:paraId="6DB29C57" w14:textId="77777777" w:rsidR="00F64D04" w:rsidRPr="00AC5990" w:rsidRDefault="00F64D04" w:rsidP="00F64D04">
      <w:pPr>
        <w:rPr>
          <w:lang w:val="es-ES"/>
        </w:rPr>
      </w:pPr>
      <w:r w:rsidRPr="00AC5990">
        <w:rPr>
          <w:lang w:val="es-ES"/>
        </w:rPr>
        <w:t xml:space="preserve">Finalmente, se adiciona el tiempo de traslado entre intervenciones considerado para las actividades programables que se realizan en líneas, dado que en estas actividades la cuadrilla se desplaza de una torre a la otra caminando o entre zona privada o en lugar donde no resulta sencillo transitar. </w:t>
      </w:r>
    </w:p>
    <w:p w14:paraId="7824B79A" w14:textId="77777777" w:rsidR="00F64D04" w:rsidRPr="00AC5990" w:rsidRDefault="00F64D04" w:rsidP="00F64D04">
      <w:pPr>
        <w:rPr>
          <w:lang w:val="es-ES"/>
        </w:rPr>
      </w:pPr>
      <w:r w:rsidRPr="00AC5990">
        <w:rPr>
          <w:lang w:val="es-ES"/>
        </w:rPr>
        <w:t>Para tareas de mantenimiento no programables, tal el caso de fallas, se considera que la cuadrilla realiza un viaje al punto de la faena por cada evento de mantenimiento.</w:t>
      </w:r>
    </w:p>
    <w:p w14:paraId="33A494D8" w14:textId="1F31F7CC" w:rsidR="00F64D04" w:rsidRPr="00AC5990" w:rsidRDefault="00F64D04" w:rsidP="00F64D04">
      <w:pPr>
        <w:rPr>
          <w:lang w:val="es-ES"/>
        </w:rPr>
      </w:pPr>
      <w:r w:rsidRPr="00AC5990">
        <w:rPr>
          <w:lang w:val="es-ES"/>
        </w:rPr>
        <w:t xml:space="preserve">Respecto de las velocidades de traslado, debido a que </w:t>
      </w:r>
      <w:r w:rsidR="008D4432" w:rsidRPr="00AC5990">
        <w:rPr>
          <w:lang w:val="es-ES"/>
        </w:rPr>
        <w:t>la misma</w:t>
      </w:r>
      <w:r w:rsidRPr="00AC5990">
        <w:rPr>
          <w:lang w:val="es-ES"/>
        </w:rPr>
        <w:t xml:space="preserve"> depende de la geografía donde se encuentran las instalaciones y al estado de los caminos se ha considerado una velocidad media de traslado por tipo de terreno.</w:t>
      </w:r>
    </w:p>
    <w:p w14:paraId="4BEEECB9" w14:textId="69A6C435" w:rsidR="00F64D04" w:rsidRPr="00AC5990" w:rsidRDefault="00F64D04" w:rsidP="00F64D04">
      <w:pPr>
        <w:rPr>
          <w:lang w:val="es-ES"/>
        </w:rPr>
      </w:pPr>
      <w:r w:rsidRPr="00AC5990">
        <w:rPr>
          <w:lang w:val="es-ES"/>
        </w:rPr>
        <w:t xml:space="preserve">Las distancias recorridas y velocidades medias desde el CO hasta la SE fueron extraídas de </w:t>
      </w:r>
      <w:r w:rsidRPr="00575034">
        <w:rPr>
          <w:i/>
          <w:lang w:val="es-ES"/>
        </w:rPr>
        <w:t>Google Earth</w:t>
      </w:r>
      <w:r w:rsidRPr="00AC5990">
        <w:rPr>
          <w:lang w:val="es-ES"/>
        </w:rPr>
        <w:t>.</w:t>
      </w:r>
    </w:p>
    <w:p w14:paraId="27FC4F46" w14:textId="77777777" w:rsidR="00F64D04" w:rsidRPr="00AC5990" w:rsidRDefault="00F64D04" w:rsidP="00F64D04">
      <w:pPr>
        <w:rPr>
          <w:lang w:val="es-ES"/>
        </w:rPr>
      </w:pPr>
      <w:r w:rsidRPr="00AC5990">
        <w:rPr>
          <w:lang w:val="es-ES"/>
        </w:rPr>
        <w:lastRenderedPageBreak/>
        <w:t>Dependiendo de la actividad que se realice, los tiempos de traslado que se consideran son diferentes, a saber:</w:t>
      </w:r>
    </w:p>
    <w:p w14:paraId="1579F0A5" w14:textId="77777777" w:rsidR="00F64D04" w:rsidRPr="005A6F95" w:rsidRDefault="00F64D04" w:rsidP="00273FE4">
      <w:pPr>
        <w:pStyle w:val="Prrafodelista"/>
        <w:numPr>
          <w:ilvl w:val="0"/>
          <w:numId w:val="52"/>
        </w:numPr>
        <w:ind w:left="567" w:hanging="567"/>
      </w:pPr>
      <w:r w:rsidRPr="005A6F95">
        <w:t>Actividades no programadas: generalmente son tareas que se realiza cuando hay fallas, se determina un tiempo de traslado para cada actividad realizada.</w:t>
      </w:r>
    </w:p>
    <w:p w14:paraId="0211B6F9" w14:textId="748CD04C" w:rsidR="00F64D04" w:rsidRPr="005A6F95" w:rsidRDefault="00F64D04" w:rsidP="00273FE4">
      <w:pPr>
        <w:pStyle w:val="Prrafodelista"/>
        <w:numPr>
          <w:ilvl w:val="0"/>
          <w:numId w:val="52"/>
        </w:numPr>
        <w:ind w:left="567" w:hanging="567"/>
      </w:pPr>
      <w:r w:rsidRPr="005A6F95">
        <w:t xml:space="preserve">Actividades relacionadas con </w:t>
      </w:r>
      <w:r w:rsidR="008D4432" w:rsidRPr="005A6F95">
        <w:t>líneas:</w:t>
      </w:r>
      <w:r w:rsidRPr="005A6F95">
        <w:t xml:space="preserve"> en este caso, además del tiempo de traslado al inicio y fin del día, hay que tener en cuenta el tiempo de traslado entre las diferentes intervenciones, los que también tienen una velocidad media asociada.</w:t>
      </w:r>
    </w:p>
    <w:p w14:paraId="32F2532F" w14:textId="7CA51770" w:rsidR="0079428C" w:rsidRDefault="00F64D04" w:rsidP="00F64D04">
      <w:pPr>
        <w:rPr>
          <w:lang w:val="es-ES"/>
        </w:rPr>
      </w:pPr>
      <w:r w:rsidRPr="00AC5990">
        <w:rPr>
          <w:lang w:val="es-ES"/>
        </w:rPr>
        <w:t>Los tiempos de traslado se calcularon como el cociente entre la distancia media de traslado y la velocidad media de traslado.</w:t>
      </w:r>
    </w:p>
    <w:p w14:paraId="45313D1B" w14:textId="5E5F6C48" w:rsidR="00435B73" w:rsidRPr="00B239E7" w:rsidRDefault="00435B73" w:rsidP="00F64D04">
      <w:pPr>
        <w:rPr>
          <w:lang w:val="es-ES"/>
        </w:rPr>
      </w:pPr>
      <w:r w:rsidRPr="001D3BB9">
        <w:rPr>
          <w:lang w:val="es-ES"/>
        </w:rPr>
        <w:t xml:space="preserve">En el “Anexo COMA_10_Descripción de tareas” se presenta la descripción de tareas de OyM para líneas y </w:t>
      </w:r>
      <w:r w:rsidR="00106534" w:rsidRPr="001D3BB9">
        <w:rPr>
          <w:lang w:val="es-ES"/>
        </w:rPr>
        <w:t>sub</w:t>
      </w:r>
      <w:r w:rsidRPr="001D3BB9">
        <w:rPr>
          <w:lang w:val="es-ES"/>
        </w:rPr>
        <w:t>estaciones.</w:t>
      </w:r>
    </w:p>
    <w:p w14:paraId="156E0C84" w14:textId="77777777" w:rsidR="0079428C" w:rsidRPr="00B239E7" w:rsidRDefault="0079428C" w:rsidP="0079428C">
      <w:pPr>
        <w:pStyle w:val="Ttulo3"/>
      </w:pPr>
      <w:bookmarkStart w:id="221" w:name="_Toc32392158"/>
      <w:bookmarkStart w:id="222" w:name="_Toc34398100"/>
      <w:bookmarkStart w:id="223" w:name="_Ref38031734"/>
      <w:bookmarkStart w:id="224" w:name="_Toc39797791"/>
      <w:r w:rsidRPr="00B239E7">
        <w:t>Remuneraciones</w:t>
      </w:r>
      <w:bookmarkEnd w:id="221"/>
      <w:bookmarkEnd w:id="222"/>
      <w:bookmarkEnd w:id="223"/>
      <w:bookmarkEnd w:id="224"/>
    </w:p>
    <w:p w14:paraId="39E2E0A5" w14:textId="77777777" w:rsidR="0079428C" w:rsidRPr="00B239E7" w:rsidRDefault="0079428C" w:rsidP="0079428C">
      <w:pPr>
        <w:pStyle w:val="Ttulo4"/>
      </w:pPr>
      <w:bookmarkStart w:id="225" w:name="_Toc32392159"/>
      <w:bookmarkStart w:id="226" w:name="_Toc34398101"/>
      <w:bookmarkStart w:id="227" w:name="_Toc39797792"/>
      <w:r w:rsidRPr="00B239E7">
        <w:t>Introducción</w:t>
      </w:r>
      <w:bookmarkEnd w:id="225"/>
      <w:bookmarkEnd w:id="226"/>
      <w:bookmarkEnd w:id="227"/>
    </w:p>
    <w:p w14:paraId="4FD0F8BA" w14:textId="237BA1F7" w:rsidR="003416F1" w:rsidRPr="00B239E7" w:rsidRDefault="003416F1" w:rsidP="003416F1">
      <w:r w:rsidRPr="00B239E7">
        <w:t>Los costos de remuneraciones constituyen una de las partidas más importantes de los costos de explotación de las empresas transmisoras de electricidad. Los valores unitarios para los diferentes cargos incluidos en la estructura organizacional de la EM son determinados, tal como lo señalan las Bases Técnicas, a partir de un Estudio de Remuneraciones del Mercado Laboral Chileno.</w:t>
      </w:r>
    </w:p>
    <w:p w14:paraId="1EE2C8CC" w14:textId="77777777" w:rsidR="003416F1" w:rsidRPr="00B239E7" w:rsidRDefault="003416F1" w:rsidP="003416F1">
      <w:r w:rsidRPr="00B239E7">
        <w:t>El universo de categorías de personal que se defina debe resultar suficiente para que englobe la totalidad de las características de los recursos humanos necesarios para poder llevar a cabo todos los procesos y actividades en forma eficaz y eficiente. Los valores adoptados deben corresponder al costo total anual de la empresa, es decir, deben incluir todos los costos que genera cada empleado.</w:t>
      </w:r>
    </w:p>
    <w:p w14:paraId="7D3DE9AF" w14:textId="77777777" w:rsidR="003416F1" w:rsidRPr="00B239E7" w:rsidRDefault="003416F1" w:rsidP="003416F1">
      <w:r w:rsidRPr="00B239E7">
        <w:t xml:space="preserve">Para el efecto, se utiliza un Estudio de Remuneraciones desarrollado por una empresa especializada. Dicho estudio contiene un análisis sobre remuneraciones, beneficios adicionales y algunas prácticas habituales para los recursos humanos, que se desarrolla sobre una muestra de empresas representativas del mercado de Chile. </w:t>
      </w:r>
    </w:p>
    <w:p w14:paraId="4B3AEBE3" w14:textId="77777777" w:rsidR="003416F1" w:rsidRPr="00B239E7" w:rsidRDefault="003416F1" w:rsidP="003416F1">
      <w:pPr>
        <w:pStyle w:val="Ttulo4"/>
      </w:pPr>
      <w:bookmarkStart w:id="228" w:name="_Toc27147826"/>
      <w:bookmarkStart w:id="229" w:name="_Toc39797793"/>
      <w:r w:rsidRPr="00B239E7">
        <w:t>Metodología y Fuentes de Información</w:t>
      </w:r>
      <w:bookmarkEnd w:id="228"/>
      <w:bookmarkEnd w:id="229"/>
    </w:p>
    <w:p w14:paraId="2E78537C" w14:textId="43CFA82E" w:rsidR="003416F1" w:rsidRPr="00B239E7" w:rsidRDefault="003416F1" w:rsidP="003416F1">
      <w:r w:rsidRPr="00B239E7">
        <w:t xml:space="preserve">En el contexto del análisis de las remuneraciones de mercado para la determinación de los costos de personal en </w:t>
      </w:r>
      <w:r w:rsidR="00106BC9">
        <w:t xml:space="preserve">el </w:t>
      </w:r>
      <w:r w:rsidR="005A6F95">
        <w:t>C.O.M.A.</w:t>
      </w:r>
      <w:r w:rsidRPr="00B239E7">
        <w:t>, el Consorcio ha tenido en consideración la metodología que establecen las bases técnicas en el segundo párrafo del punto 3.6.2.4, que se transcribe a continuación:</w:t>
      </w:r>
    </w:p>
    <w:p w14:paraId="592784BA" w14:textId="03FDDAA0" w:rsidR="003416F1" w:rsidRPr="005A6F95" w:rsidRDefault="003416F1" w:rsidP="005A6F95">
      <w:pPr>
        <w:rPr>
          <w:i/>
        </w:rPr>
      </w:pPr>
      <w:r w:rsidRPr="005A6F95">
        <w:rPr>
          <w:i/>
        </w:rPr>
        <w:lastRenderedPageBreak/>
        <w:t>“Para determinar las rentas de mercado asociadas a cada cargo, el consultor realizará un proceso de homologación debidamente fundado, buscando el mejor ajuste entre las características de los cargos con la información disponible en los estudios de remuneraciones. El estadígrafo a utilizar para el personal propio será el percentil 50% y para el personal tercerizado (contratistas) se deberá emplear como estadígrafo el percentil 25%.</w:t>
      </w:r>
      <w:r w:rsidR="00A5246F" w:rsidRPr="005A6F95">
        <w:rPr>
          <w:i/>
        </w:rPr>
        <w:t xml:space="preserve"> No </w:t>
      </w:r>
      <w:r w:rsidR="008D4432" w:rsidRPr="005A6F95">
        <w:rPr>
          <w:i/>
        </w:rPr>
        <w:t>obstante,</w:t>
      </w:r>
      <w:r w:rsidR="00A5246F" w:rsidRPr="005A6F95">
        <w:rPr>
          <w:i/>
        </w:rPr>
        <w:t xml:space="preserve"> lo anterior, para determinar los costos de personal tercerizado, </w:t>
      </w:r>
      <w:r w:rsidR="008D4432" w:rsidRPr="005A6F95">
        <w:rPr>
          <w:i/>
        </w:rPr>
        <w:t>el consultor podrá considerar un estudio de remuneraciones de mercado realizado por empresas</w:t>
      </w:r>
      <w:r w:rsidR="00A5246F" w:rsidRPr="005A6F95">
        <w:rPr>
          <w:i/>
        </w:rPr>
        <w:t xml:space="preserve"> especialistas del rubro, cuya muestra corresponda exclusivamente a empresas que ejecutan labores externalizadas por otras empresas, en cuyo caso el </w:t>
      </w:r>
      <w:r w:rsidR="008D4432" w:rsidRPr="005A6F95">
        <w:rPr>
          <w:i/>
        </w:rPr>
        <w:t>estadígrafo a</w:t>
      </w:r>
      <w:r w:rsidR="00A5246F" w:rsidRPr="005A6F95">
        <w:rPr>
          <w:i/>
        </w:rPr>
        <w:t xml:space="preserve"> utilizar será el percentil 50%.</w:t>
      </w:r>
      <w:r w:rsidRPr="005A6F95">
        <w:rPr>
          <w:i/>
        </w:rPr>
        <w:t xml:space="preserve">” </w:t>
      </w:r>
    </w:p>
    <w:p w14:paraId="5C1BB4C0" w14:textId="30F1598C" w:rsidR="003416F1" w:rsidRPr="00B239E7" w:rsidRDefault="003416F1" w:rsidP="003416F1">
      <w:r w:rsidRPr="00D00894">
        <w:t xml:space="preserve">Al efecto, </w:t>
      </w:r>
      <w:r w:rsidR="0059006B" w:rsidRPr="00D00894">
        <w:t xml:space="preserve">para determinar los costos de personal propio y tercerizado de la EM, </w:t>
      </w:r>
      <w:r w:rsidRPr="00D00894">
        <w:t>el</w:t>
      </w:r>
      <w:r w:rsidRPr="00B239E7">
        <w:t xml:space="preserve"> Consorcio adquirió el Estudio de Compensaciones eSIREM, de la firma especializada PricewaterhouseCoopers (en adelante </w:t>
      </w:r>
      <w:r w:rsidR="00093F81">
        <w:t xml:space="preserve">PWC o </w:t>
      </w:r>
      <w:r w:rsidR="008D4432">
        <w:t>encuesta</w:t>
      </w:r>
      <w:r w:rsidR="00093F81">
        <w:t xml:space="preserve"> PWC</w:t>
      </w:r>
      <w:r w:rsidRPr="00B239E7">
        <w:t xml:space="preserve">), emitido en 2019, el que considera una muestra general de 79 empresas de distintos rubros y tamaños, las que se señalan en el </w:t>
      </w:r>
      <w:r w:rsidR="00AD24BF">
        <w:t>“</w:t>
      </w:r>
      <w:r w:rsidRPr="00B239E7">
        <w:t>Anexo</w:t>
      </w:r>
      <w:r w:rsidR="003B00B2" w:rsidRPr="00B239E7">
        <w:t xml:space="preserve"> </w:t>
      </w:r>
      <w:r w:rsidR="00AD24BF">
        <w:t>COMA</w:t>
      </w:r>
      <w:r w:rsidR="003B00B2" w:rsidRPr="00B239E7">
        <w:t>_3_ Modelo</w:t>
      </w:r>
      <w:r w:rsidR="00AD24BF">
        <w:t>”</w:t>
      </w:r>
      <w:r w:rsidRPr="00B239E7">
        <w:t xml:space="preserve">. Dado que la </w:t>
      </w:r>
      <w:r w:rsidR="00093F81">
        <w:t>encuesta PWC</w:t>
      </w:r>
      <w:r w:rsidRPr="00B239E7">
        <w:t xml:space="preserve"> es vigente a Agosto de 2018, se referencian las rentas a diciembre de 2017 </w:t>
      </w:r>
      <w:r w:rsidRPr="0026643B">
        <w:t xml:space="preserve">utilizando </w:t>
      </w:r>
      <w:r w:rsidR="00D71779" w:rsidRPr="0026643B">
        <w:t>los deflactores</w:t>
      </w:r>
      <w:r w:rsidRPr="0026643B">
        <w:t xml:space="preserve"> </w:t>
      </w:r>
      <w:r w:rsidR="00D71779" w:rsidRPr="0026643B">
        <w:t xml:space="preserve">que </w:t>
      </w:r>
      <w:r w:rsidRPr="0026643B">
        <w:t>se señala</w:t>
      </w:r>
      <w:r w:rsidR="00742CE0" w:rsidRPr="0026643B">
        <w:t>n</w:t>
      </w:r>
      <w:r w:rsidRPr="0026643B">
        <w:t xml:space="preserve"> en</w:t>
      </w:r>
      <w:r w:rsidR="00742CE0" w:rsidRPr="0026643B">
        <w:t xml:space="preserve"> </w:t>
      </w:r>
      <w:r w:rsidR="0026643B">
        <w:fldChar w:fldCharType="begin"/>
      </w:r>
      <w:r w:rsidR="0026643B">
        <w:instrText xml:space="preserve"> REF _Ref38020607 \r \h </w:instrText>
      </w:r>
      <w:r w:rsidR="0026643B">
        <w:fldChar w:fldCharType="separate"/>
      </w:r>
      <w:r w:rsidR="001F3E2E">
        <w:t>11.2.2</w:t>
      </w:r>
      <w:r w:rsidR="0026643B">
        <w:fldChar w:fldCharType="end"/>
      </w:r>
      <w:r w:rsidRPr="0026643B">
        <w:t>.</w:t>
      </w:r>
    </w:p>
    <w:p w14:paraId="2DF21A25" w14:textId="6C3396BB" w:rsidR="003416F1" w:rsidRPr="00B239E7" w:rsidRDefault="003416F1" w:rsidP="003416F1">
      <w:r w:rsidRPr="00B239E7">
        <w:t xml:space="preserve">En relación a la elección de la encuesta indicada, se señala que el Consultor tiene experiencia en la utilización de la misma en varios estudios de valorización de empresas modelo (un Estudio de Transmisión Troncal, tres estudios de Valor Agregado de Distribución y dos estudios de Subtransmisión). En una oportunidad utilizó la encuesta Ernest and Young (E&amp;Y), con resultados también satisfactorios. Sin embargo, la última versión de la encuesta E&amp;Y, de marzo de 2018 -el año 2019 no se efectuó- sólo contó con 36 empresas, y no considera empresas eléctricas ni empresas de tecnologías equivalentes, por lo que claramente esta encuesta no compite con la de </w:t>
      </w:r>
      <w:r w:rsidR="00093F81">
        <w:t>PWC</w:t>
      </w:r>
      <w:r w:rsidRPr="00B239E7">
        <w:t xml:space="preserve"> a los efectos del presente estudio. El Consultor no conoce de otras alternativas de encuestas de remuneraciones que se hayan venido realizando periódicamente, del prestigio y categoría de las encuestas </w:t>
      </w:r>
      <w:r w:rsidR="00093F81">
        <w:t>PWC</w:t>
      </w:r>
      <w:r w:rsidRPr="00B239E7">
        <w:t xml:space="preserve"> y E&amp;Y.</w:t>
      </w:r>
    </w:p>
    <w:p w14:paraId="3BE1C29A" w14:textId="0AE63FC3" w:rsidR="003416F1" w:rsidRPr="00B239E7" w:rsidRDefault="003416F1" w:rsidP="003416F1">
      <w:r w:rsidRPr="00B239E7">
        <w:t xml:space="preserve">Asimismo, el Consultor desestimó el trabajar con más de una encuesta ya que no considera conceptualmente consistente mezclar los resultados de más de una encuesta para obtener las remuneraciones de los diferentes profesionales y personal de la </w:t>
      </w:r>
      <w:r w:rsidR="001A6E11" w:rsidRPr="00B239E7">
        <w:t>EM</w:t>
      </w:r>
      <w:r w:rsidRPr="00B239E7">
        <w:t xml:space="preserve"> debido a las diferencias metodológicas entre ellas.</w:t>
      </w:r>
    </w:p>
    <w:p w14:paraId="5EF35A85" w14:textId="03BA48DD" w:rsidR="003416F1" w:rsidRPr="00B239E7" w:rsidRDefault="003416F1" w:rsidP="003416F1">
      <w:r w:rsidRPr="00B239E7">
        <w:t xml:space="preserve">De la muestra que completa 79 empresas, el Consorcio solicitó a </w:t>
      </w:r>
      <w:r w:rsidR="00093F81">
        <w:t>PWC</w:t>
      </w:r>
      <w:r w:rsidRPr="00B239E7">
        <w:t xml:space="preserve"> filtrar las remuneraciones para un subconjunto conformado por 17</w:t>
      </w:r>
      <w:r w:rsidRPr="00B239E7">
        <w:rPr>
          <w:rStyle w:val="Refdenotaalpie"/>
        </w:rPr>
        <w:footnoteReference w:id="20"/>
      </w:r>
      <w:r w:rsidRPr="00B239E7">
        <w:t xml:space="preserve"> empresas del área más tecnológica, incluyendo </w:t>
      </w:r>
      <w:r w:rsidRPr="00B239E7">
        <w:lastRenderedPageBreak/>
        <w:t>eléctricas, telecomunicaciones, agua potable y del sector minero. De las remuneraciones que figuran en esta muestra, y para los cargos homologados, el Consorcio utilizó el estadígrafo 50% para el personal propio de la empresa y el estadígrafo 25% para el personal tercerizado, de acuerdo a lo indicado en las bases del estudio. La muestra utilizada es la siguiente:</w:t>
      </w:r>
    </w:p>
    <w:p w14:paraId="7476DA4C" w14:textId="19445BFD" w:rsidR="00575034" w:rsidRPr="00BC38C2" w:rsidRDefault="00575034" w:rsidP="00484B50">
      <w:pPr>
        <w:pStyle w:val="Subttulo"/>
        <w:spacing w:after="120"/>
      </w:pPr>
      <w:bookmarkStart w:id="230" w:name="_Toc39797934"/>
      <w:r w:rsidRPr="00BC38C2">
        <w:t xml:space="preserve">Tabla </w:t>
      </w:r>
      <w:fldSimple w:instr=" SEQ Tabla \* ARABIC ">
        <w:r w:rsidR="001F3E2E">
          <w:rPr>
            <w:noProof/>
          </w:rPr>
          <w:t>24</w:t>
        </w:r>
      </w:fldSimple>
      <w:r w:rsidR="00066916">
        <w:rPr>
          <w:noProof/>
        </w:rPr>
        <w:t>:</w:t>
      </w:r>
      <w:r w:rsidRPr="00BC38C2">
        <w:t xml:space="preserve"> </w:t>
      </w:r>
      <w:r>
        <w:t>Muestra empresas tecnológicas</w:t>
      </w:r>
      <w:bookmarkEnd w:id="230"/>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firstRow="1" w:lastRow="0" w:firstColumn="1" w:lastColumn="0" w:noHBand="0" w:noVBand="1"/>
      </w:tblPr>
      <w:tblGrid>
        <w:gridCol w:w="1418"/>
        <w:gridCol w:w="5387"/>
        <w:gridCol w:w="2835"/>
      </w:tblGrid>
      <w:tr w:rsidR="003416F1" w:rsidRPr="00484B50" w14:paraId="1856BF9F" w14:textId="77777777" w:rsidTr="00F91D3C">
        <w:trPr>
          <w:tblHeader/>
          <w:jc w:val="center"/>
        </w:trPr>
        <w:tc>
          <w:tcPr>
            <w:tcW w:w="1418" w:type="dxa"/>
            <w:shd w:val="clear" w:color="auto" w:fill="D0CECE"/>
            <w:noWrap/>
            <w:vAlign w:val="center"/>
          </w:tcPr>
          <w:p w14:paraId="09D463A6" w14:textId="77777777" w:rsidR="003416F1" w:rsidRPr="00484B50" w:rsidRDefault="003416F1" w:rsidP="00F91D3C">
            <w:pPr>
              <w:spacing w:before="40" w:after="40" w:line="240" w:lineRule="auto"/>
              <w:jc w:val="center"/>
              <w:rPr>
                <w:rFonts w:asciiTheme="minorHAnsi" w:hAnsiTheme="minorHAnsi" w:cstheme="minorHAnsi"/>
                <w:b/>
                <w:bCs/>
                <w:sz w:val="20"/>
                <w:szCs w:val="20"/>
              </w:rPr>
            </w:pPr>
            <w:r w:rsidRPr="00484B50">
              <w:rPr>
                <w:rFonts w:asciiTheme="minorHAnsi" w:hAnsiTheme="minorHAnsi" w:cstheme="minorHAnsi"/>
                <w:b/>
                <w:bCs/>
                <w:sz w:val="20"/>
                <w:szCs w:val="20"/>
              </w:rPr>
              <w:t>Tamaño</w:t>
            </w:r>
          </w:p>
        </w:tc>
        <w:tc>
          <w:tcPr>
            <w:tcW w:w="5387" w:type="dxa"/>
            <w:shd w:val="clear" w:color="auto" w:fill="D0CECE"/>
            <w:noWrap/>
            <w:vAlign w:val="center"/>
          </w:tcPr>
          <w:p w14:paraId="33FF9F89" w14:textId="77777777" w:rsidR="003416F1" w:rsidRPr="00484B50" w:rsidRDefault="003416F1" w:rsidP="00F91D3C">
            <w:pPr>
              <w:spacing w:before="40" w:after="40" w:line="240" w:lineRule="auto"/>
              <w:jc w:val="center"/>
              <w:rPr>
                <w:rFonts w:asciiTheme="minorHAnsi" w:hAnsiTheme="minorHAnsi" w:cstheme="minorHAnsi"/>
                <w:b/>
                <w:bCs/>
                <w:sz w:val="20"/>
                <w:szCs w:val="20"/>
              </w:rPr>
            </w:pPr>
            <w:r w:rsidRPr="00484B50">
              <w:rPr>
                <w:rFonts w:asciiTheme="minorHAnsi" w:hAnsiTheme="minorHAnsi" w:cstheme="minorHAnsi"/>
                <w:b/>
                <w:bCs/>
                <w:sz w:val="20"/>
                <w:szCs w:val="20"/>
              </w:rPr>
              <w:t>Nombre Empresa</w:t>
            </w:r>
          </w:p>
        </w:tc>
        <w:tc>
          <w:tcPr>
            <w:tcW w:w="2835" w:type="dxa"/>
            <w:shd w:val="clear" w:color="auto" w:fill="D0CECE"/>
            <w:noWrap/>
            <w:vAlign w:val="center"/>
          </w:tcPr>
          <w:p w14:paraId="70982881" w14:textId="77777777" w:rsidR="003416F1" w:rsidRPr="00484B50" w:rsidRDefault="003416F1" w:rsidP="00F91D3C">
            <w:pPr>
              <w:spacing w:before="40" w:after="40" w:line="240" w:lineRule="auto"/>
              <w:jc w:val="center"/>
              <w:rPr>
                <w:rFonts w:asciiTheme="minorHAnsi" w:hAnsiTheme="minorHAnsi" w:cstheme="minorHAnsi"/>
                <w:b/>
                <w:bCs/>
                <w:sz w:val="20"/>
                <w:szCs w:val="20"/>
              </w:rPr>
            </w:pPr>
            <w:r w:rsidRPr="00484B50">
              <w:rPr>
                <w:rFonts w:asciiTheme="minorHAnsi" w:hAnsiTheme="minorHAnsi" w:cstheme="minorHAnsi"/>
                <w:b/>
                <w:bCs/>
                <w:sz w:val="20"/>
                <w:szCs w:val="20"/>
              </w:rPr>
              <w:t>Industria</w:t>
            </w:r>
          </w:p>
        </w:tc>
      </w:tr>
      <w:tr w:rsidR="003416F1" w:rsidRPr="00484B50" w14:paraId="0E7EA0F8" w14:textId="77777777" w:rsidTr="00F91D3C">
        <w:trPr>
          <w:jc w:val="center"/>
        </w:trPr>
        <w:tc>
          <w:tcPr>
            <w:tcW w:w="1418" w:type="dxa"/>
            <w:shd w:val="clear" w:color="auto" w:fill="auto"/>
            <w:noWrap/>
            <w:vAlign w:val="center"/>
          </w:tcPr>
          <w:p w14:paraId="5301F9D2" w14:textId="77777777" w:rsidR="003416F1" w:rsidRPr="00484B50" w:rsidRDefault="003416F1" w:rsidP="00F91D3C">
            <w:pPr>
              <w:spacing w:before="40" w:after="40" w:line="240" w:lineRule="auto"/>
              <w:rPr>
                <w:rFonts w:asciiTheme="minorHAnsi" w:hAnsiTheme="minorHAnsi" w:cstheme="minorHAnsi"/>
                <w:sz w:val="20"/>
                <w:szCs w:val="20"/>
              </w:rPr>
            </w:pPr>
            <w:r w:rsidRPr="00484B50">
              <w:rPr>
                <w:rFonts w:asciiTheme="minorHAnsi" w:hAnsiTheme="minorHAnsi" w:cstheme="minorHAnsi"/>
                <w:sz w:val="20"/>
                <w:szCs w:val="20"/>
              </w:rPr>
              <w:t>Grandes</w:t>
            </w:r>
          </w:p>
        </w:tc>
        <w:tc>
          <w:tcPr>
            <w:tcW w:w="5387" w:type="dxa"/>
            <w:shd w:val="clear" w:color="auto" w:fill="auto"/>
            <w:noWrap/>
            <w:vAlign w:val="center"/>
          </w:tcPr>
          <w:p w14:paraId="0DD9DCF0" w14:textId="77777777" w:rsidR="003416F1" w:rsidRPr="00484B50" w:rsidRDefault="003416F1" w:rsidP="00F91D3C">
            <w:pPr>
              <w:spacing w:before="40" w:after="40" w:line="240" w:lineRule="auto"/>
              <w:rPr>
                <w:rFonts w:asciiTheme="minorHAnsi" w:hAnsiTheme="minorHAnsi" w:cstheme="minorHAnsi"/>
                <w:sz w:val="20"/>
                <w:szCs w:val="20"/>
              </w:rPr>
            </w:pPr>
            <w:r w:rsidRPr="00484B50">
              <w:rPr>
                <w:rFonts w:asciiTheme="minorHAnsi" w:hAnsiTheme="minorHAnsi" w:cstheme="minorHAnsi"/>
                <w:sz w:val="20"/>
                <w:szCs w:val="20"/>
              </w:rPr>
              <w:t>Colbún S.A.</w:t>
            </w:r>
          </w:p>
        </w:tc>
        <w:tc>
          <w:tcPr>
            <w:tcW w:w="2835" w:type="dxa"/>
            <w:shd w:val="clear" w:color="auto" w:fill="auto"/>
            <w:noWrap/>
            <w:vAlign w:val="center"/>
          </w:tcPr>
          <w:p w14:paraId="79FD8906" w14:textId="77777777" w:rsidR="003416F1" w:rsidRPr="00484B50" w:rsidRDefault="003416F1" w:rsidP="00F91D3C">
            <w:pPr>
              <w:spacing w:before="40" w:after="40" w:line="240" w:lineRule="auto"/>
              <w:rPr>
                <w:rFonts w:asciiTheme="minorHAnsi" w:hAnsiTheme="minorHAnsi" w:cstheme="minorHAnsi"/>
                <w:sz w:val="20"/>
                <w:szCs w:val="20"/>
              </w:rPr>
            </w:pPr>
            <w:r w:rsidRPr="00484B50">
              <w:rPr>
                <w:rFonts w:asciiTheme="minorHAnsi" w:hAnsiTheme="minorHAnsi" w:cstheme="minorHAnsi"/>
                <w:sz w:val="20"/>
                <w:szCs w:val="20"/>
              </w:rPr>
              <w:t>Energía</w:t>
            </w:r>
          </w:p>
        </w:tc>
      </w:tr>
      <w:tr w:rsidR="003416F1" w:rsidRPr="00484B50" w14:paraId="209DB76B" w14:textId="77777777" w:rsidTr="00F91D3C">
        <w:trPr>
          <w:jc w:val="center"/>
        </w:trPr>
        <w:tc>
          <w:tcPr>
            <w:tcW w:w="1418" w:type="dxa"/>
            <w:shd w:val="clear" w:color="auto" w:fill="auto"/>
            <w:noWrap/>
            <w:vAlign w:val="center"/>
          </w:tcPr>
          <w:p w14:paraId="2AF21240" w14:textId="77777777" w:rsidR="003416F1" w:rsidRPr="00484B50" w:rsidRDefault="003416F1" w:rsidP="00F91D3C">
            <w:pPr>
              <w:spacing w:before="40" w:after="40" w:line="240" w:lineRule="auto"/>
              <w:rPr>
                <w:rFonts w:asciiTheme="minorHAnsi" w:hAnsiTheme="minorHAnsi" w:cstheme="minorHAnsi"/>
                <w:sz w:val="20"/>
                <w:szCs w:val="20"/>
              </w:rPr>
            </w:pPr>
            <w:r w:rsidRPr="00484B50">
              <w:rPr>
                <w:rFonts w:asciiTheme="minorHAnsi" w:hAnsiTheme="minorHAnsi" w:cstheme="minorHAnsi"/>
                <w:sz w:val="20"/>
                <w:szCs w:val="20"/>
              </w:rPr>
              <w:t>Grandes</w:t>
            </w:r>
          </w:p>
        </w:tc>
        <w:tc>
          <w:tcPr>
            <w:tcW w:w="5387" w:type="dxa"/>
            <w:shd w:val="clear" w:color="auto" w:fill="auto"/>
            <w:noWrap/>
            <w:vAlign w:val="center"/>
          </w:tcPr>
          <w:p w14:paraId="23B2F805" w14:textId="535DF40A" w:rsidR="003416F1" w:rsidRPr="00484B50" w:rsidRDefault="003416F1" w:rsidP="00F91D3C">
            <w:pPr>
              <w:spacing w:before="40" w:after="40" w:line="240" w:lineRule="auto"/>
              <w:rPr>
                <w:rFonts w:asciiTheme="minorHAnsi" w:hAnsiTheme="minorHAnsi" w:cstheme="minorHAnsi"/>
                <w:sz w:val="20"/>
                <w:szCs w:val="20"/>
              </w:rPr>
            </w:pPr>
            <w:r w:rsidRPr="00484B50">
              <w:rPr>
                <w:rFonts w:asciiTheme="minorHAnsi" w:hAnsiTheme="minorHAnsi" w:cstheme="minorHAnsi"/>
                <w:sz w:val="20"/>
                <w:szCs w:val="20"/>
              </w:rPr>
              <w:t>Enap Refinería Bío</w:t>
            </w:r>
          </w:p>
        </w:tc>
        <w:tc>
          <w:tcPr>
            <w:tcW w:w="2835" w:type="dxa"/>
            <w:shd w:val="clear" w:color="auto" w:fill="auto"/>
            <w:noWrap/>
            <w:vAlign w:val="center"/>
          </w:tcPr>
          <w:p w14:paraId="23E19855" w14:textId="77777777" w:rsidR="003416F1" w:rsidRPr="00484B50" w:rsidRDefault="003416F1" w:rsidP="00F91D3C">
            <w:pPr>
              <w:spacing w:before="40" w:after="40" w:line="240" w:lineRule="auto"/>
              <w:rPr>
                <w:rFonts w:asciiTheme="minorHAnsi" w:hAnsiTheme="minorHAnsi" w:cstheme="minorHAnsi"/>
                <w:sz w:val="20"/>
                <w:szCs w:val="20"/>
              </w:rPr>
            </w:pPr>
            <w:r w:rsidRPr="00484B50">
              <w:rPr>
                <w:rFonts w:asciiTheme="minorHAnsi" w:hAnsiTheme="minorHAnsi" w:cstheme="minorHAnsi"/>
                <w:sz w:val="20"/>
                <w:szCs w:val="20"/>
              </w:rPr>
              <w:t>Energía</w:t>
            </w:r>
          </w:p>
        </w:tc>
      </w:tr>
      <w:tr w:rsidR="003416F1" w:rsidRPr="00484B50" w14:paraId="24F07729" w14:textId="77777777" w:rsidTr="00F91D3C">
        <w:trPr>
          <w:jc w:val="center"/>
        </w:trPr>
        <w:tc>
          <w:tcPr>
            <w:tcW w:w="1418" w:type="dxa"/>
            <w:shd w:val="clear" w:color="auto" w:fill="auto"/>
            <w:noWrap/>
            <w:vAlign w:val="center"/>
          </w:tcPr>
          <w:p w14:paraId="5D9242BC" w14:textId="77777777" w:rsidR="003416F1" w:rsidRPr="00484B50" w:rsidRDefault="003416F1" w:rsidP="00F91D3C">
            <w:pPr>
              <w:spacing w:before="40" w:after="40" w:line="240" w:lineRule="auto"/>
              <w:rPr>
                <w:rFonts w:asciiTheme="minorHAnsi" w:hAnsiTheme="minorHAnsi" w:cstheme="minorHAnsi"/>
                <w:sz w:val="20"/>
                <w:szCs w:val="20"/>
              </w:rPr>
            </w:pPr>
            <w:r w:rsidRPr="00484B50">
              <w:rPr>
                <w:rFonts w:asciiTheme="minorHAnsi" w:hAnsiTheme="minorHAnsi" w:cstheme="minorHAnsi"/>
                <w:sz w:val="20"/>
                <w:szCs w:val="20"/>
              </w:rPr>
              <w:t>Grandes</w:t>
            </w:r>
          </w:p>
        </w:tc>
        <w:tc>
          <w:tcPr>
            <w:tcW w:w="5387" w:type="dxa"/>
            <w:shd w:val="clear" w:color="auto" w:fill="auto"/>
            <w:noWrap/>
            <w:vAlign w:val="center"/>
          </w:tcPr>
          <w:p w14:paraId="4F170F59" w14:textId="77777777" w:rsidR="003416F1" w:rsidRPr="00484B50" w:rsidRDefault="003416F1" w:rsidP="00F91D3C">
            <w:pPr>
              <w:spacing w:before="40" w:after="40" w:line="240" w:lineRule="auto"/>
              <w:rPr>
                <w:rFonts w:asciiTheme="minorHAnsi" w:hAnsiTheme="minorHAnsi" w:cstheme="minorHAnsi"/>
                <w:sz w:val="20"/>
                <w:szCs w:val="20"/>
              </w:rPr>
            </w:pPr>
            <w:r w:rsidRPr="00484B50">
              <w:rPr>
                <w:rFonts w:asciiTheme="minorHAnsi" w:hAnsiTheme="minorHAnsi" w:cstheme="minorHAnsi"/>
                <w:sz w:val="20"/>
                <w:szCs w:val="20"/>
              </w:rPr>
              <w:t>Enap Refinerías Aconcagua</w:t>
            </w:r>
          </w:p>
        </w:tc>
        <w:tc>
          <w:tcPr>
            <w:tcW w:w="2835" w:type="dxa"/>
            <w:shd w:val="clear" w:color="auto" w:fill="auto"/>
            <w:noWrap/>
            <w:vAlign w:val="center"/>
          </w:tcPr>
          <w:p w14:paraId="42B49622" w14:textId="77777777" w:rsidR="003416F1" w:rsidRPr="00484B50" w:rsidRDefault="003416F1" w:rsidP="00F91D3C">
            <w:pPr>
              <w:spacing w:before="40" w:after="40" w:line="240" w:lineRule="auto"/>
              <w:rPr>
                <w:rFonts w:asciiTheme="minorHAnsi" w:hAnsiTheme="minorHAnsi" w:cstheme="minorHAnsi"/>
                <w:sz w:val="20"/>
                <w:szCs w:val="20"/>
              </w:rPr>
            </w:pPr>
            <w:r w:rsidRPr="00484B50">
              <w:rPr>
                <w:rFonts w:asciiTheme="minorHAnsi" w:hAnsiTheme="minorHAnsi" w:cstheme="minorHAnsi"/>
                <w:sz w:val="20"/>
                <w:szCs w:val="20"/>
              </w:rPr>
              <w:t>Energía</w:t>
            </w:r>
          </w:p>
        </w:tc>
      </w:tr>
      <w:tr w:rsidR="003416F1" w:rsidRPr="00484B50" w14:paraId="24D1DB05" w14:textId="77777777" w:rsidTr="00F91D3C">
        <w:trPr>
          <w:jc w:val="center"/>
        </w:trPr>
        <w:tc>
          <w:tcPr>
            <w:tcW w:w="1418" w:type="dxa"/>
            <w:shd w:val="clear" w:color="auto" w:fill="auto"/>
            <w:noWrap/>
            <w:vAlign w:val="center"/>
          </w:tcPr>
          <w:p w14:paraId="38182D72" w14:textId="77777777" w:rsidR="003416F1" w:rsidRPr="00484B50" w:rsidRDefault="003416F1" w:rsidP="00F91D3C">
            <w:pPr>
              <w:spacing w:before="40" w:after="40" w:line="240" w:lineRule="auto"/>
              <w:rPr>
                <w:rFonts w:asciiTheme="minorHAnsi" w:hAnsiTheme="minorHAnsi" w:cstheme="minorHAnsi"/>
                <w:sz w:val="20"/>
                <w:szCs w:val="20"/>
              </w:rPr>
            </w:pPr>
            <w:r w:rsidRPr="00484B50">
              <w:rPr>
                <w:rFonts w:asciiTheme="minorHAnsi" w:hAnsiTheme="minorHAnsi" w:cstheme="minorHAnsi"/>
                <w:sz w:val="20"/>
                <w:szCs w:val="20"/>
              </w:rPr>
              <w:t>Grandes</w:t>
            </w:r>
          </w:p>
        </w:tc>
        <w:tc>
          <w:tcPr>
            <w:tcW w:w="5387" w:type="dxa"/>
            <w:shd w:val="clear" w:color="auto" w:fill="auto"/>
            <w:noWrap/>
            <w:vAlign w:val="center"/>
          </w:tcPr>
          <w:p w14:paraId="1294482E" w14:textId="77777777" w:rsidR="003416F1" w:rsidRPr="00484B50" w:rsidRDefault="003416F1" w:rsidP="00F91D3C">
            <w:pPr>
              <w:spacing w:before="40" w:after="40" w:line="240" w:lineRule="auto"/>
              <w:rPr>
                <w:rFonts w:asciiTheme="minorHAnsi" w:hAnsiTheme="minorHAnsi" w:cstheme="minorHAnsi"/>
                <w:sz w:val="20"/>
                <w:szCs w:val="20"/>
              </w:rPr>
            </w:pPr>
            <w:r w:rsidRPr="00484B50">
              <w:rPr>
                <w:rFonts w:asciiTheme="minorHAnsi" w:hAnsiTheme="minorHAnsi" w:cstheme="minorHAnsi"/>
                <w:sz w:val="20"/>
                <w:szCs w:val="20"/>
              </w:rPr>
              <w:t>Codelco - División El Teniente</w:t>
            </w:r>
          </w:p>
        </w:tc>
        <w:tc>
          <w:tcPr>
            <w:tcW w:w="2835" w:type="dxa"/>
            <w:shd w:val="clear" w:color="auto" w:fill="auto"/>
            <w:noWrap/>
            <w:vAlign w:val="center"/>
          </w:tcPr>
          <w:p w14:paraId="5DA1D76A" w14:textId="77777777" w:rsidR="003416F1" w:rsidRPr="00484B50" w:rsidRDefault="003416F1" w:rsidP="00F91D3C">
            <w:pPr>
              <w:spacing w:before="40" w:after="40" w:line="240" w:lineRule="auto"/>
              <w:rPr>
                <w:rFonts w:asciiTheme="minorHAnsi" w:hAnsiTheme="minorHAnsi" w:cstheme="minorHAnsi"/>
                <w:sz w:val="20"/>
                <w:szCs w:val="20"/>
              </w:rPr>
            </w:pPr>
            <w:r w:rsidRPr="00484B50">
              <w:rPr>
                <w:rFonts w:asciiTheme="minorHAnsi" w:hAnsiTheme="minorHAnsi" w:cstheme="minorHAnsi"/>
                <w:sz w:val="20"/>
                <w:szCs w:val="20"/>
              </w:rPr>
              <w:t>Minería</w:t>
            </w:r>
          </w:p>
        </w:tc>
      </w:tr>
      <w:tr w:rsidR="003416F1" w:rsidRPr="00484B50" w14:paraId="51B32670" w14:textId="77777777" w:rsidTr="00F91D3C">
        <w:trPr>
          <w:jc w:val="center"/>
        </w:trPr>
        <w:tc>
          <w:tcPr>
            <w:tcW w:w="1418" w:type="dxa"/>
            <w:shd w:val="clear" w:color="auto" w:fill="auto"/>
            <w:noWrap/>
            <w:vAlign w:val="center"/>
          </w:tcPr>
          <w:p w14:paraId="21CC1CAB" w14:textId="77777777" w:rsidR="003416F1" w:rsidRPr="00484B50" w:rsidRDefault="003416F1" w:rsidP="00F91D3C">
            <w:pPr>
              <w:spacing w:before="40" w:after="40" w:line="240" w:lineRule="auto"/>
              <w:rPr>
                <w:rFonts w:asciiTheme="minorHAnsi" w:hAnsiTheme="minorHAnsi" w:cstheme="minorHAnsi"/>
                <w:sz w:val="20"/>
                <w:szCs w:val="20"/>
              </w:rPr>
            </w:pPr>
            <w:r w:rsidRPr="00484B50">
              <w:rPr>
                <w:rFonts w:asciiTheme="minorHAnsi" w:hAnsiTheme="minorHAnsi" w:cstheme="minorHAnsi"/>
                <w:sz w:val="20"/>
                <w:szCs w:val="20"/>
              </w:rPr>
              <w:t>Grandes</w:t>
            </w:r>
          </w:p>
        </w:tc>
        <w:tc>
          <w:tcPr>
            <w:tcW w:w="5387" w:type="dxa"/>
            <w:shd w:val="clear" w:color="auto" w:fill="auto"/>
            <w:noWrap/>
            <w:vAlign w:val="center"/>
          </w:tcPr>
          <w:p w14:paraId="2E749B66" w14:textId="77777777" w:rsidR="003416F1" w:rsidRPr="00484B50" w:rsidRDefault="003416F1" w:rsidP="00F91D3C">
            <w:pPr>
              <w:spacing w:before="40" w:after="40" w:line="240" w:lineRule="auto"/>
              <w:rPr>
                <w:rFonts w:asciiTheme="minorHAnsi" w:hAnsiTheme="minorHAnsi" w:cstheme="minorHAnsi"/>
                <w:sz w:val="20"/>
                <w:szCs w:val="20"/>
              </w:rPr>
            </w:pPr>
            <w:r w:rsidRPr="00484B50">
              <w:rPr>
                <w:rFonts w:asciiTheme="minorHAnsi" w:hAnsiTheme="minorHAnsi" w:cstheme="minorHAnsi"/>
                <w:sz w:val="20"/>
                <w:szCs w:val="20"/>
              </w:rPr>
              <w:t>Compañía Contractual Minera Candelaria</w:t>
            </w:r>
          </w:p>
        </w:tc>
        <w:tc>
          <w:tcPr>
            <w:tcW w:w="2835" w:type="dxa"/>
            <w:shd w:val="clear" w:color="auto" w:fill="auto"/>
            <w:noWrap/>
            <w:vAlign w:val="center"/>
          </w:tcPr>
          <w:p w14:paraId="4A7A5246" w14:textId="77777777" w:rsidR="003416F1" w:rsidRPr="00484B50" w:rsidRDefault="003416F1" w:rsidP="00F91D3C">
            <w:pPr>
              <w:spacing w:before="40" w:after="40" w:line="240" w:lineRule="auto"/>
              <w:rPr>
                <w:rFonts w:asciiTheme="minorHAnsi" w:hAnsiTheme="minorHAnsi" w:cstheme="minorHAnsi"/>
                <w:sz w:val="20"/>
                <w:szCs w:val="20"/>
              </w:rPr>
            </w:pPr>
            <w:r w:rsidRPr="00484B50">
              <w:rPr>
                <w:rFonts w:asciiTheme="minorHAnsi" w:hAnsiTheme="minorHAnsi" w:cstheme="minorHAnsi"/>
                <w:sz w:val="20"/>
                <w:szCs w:val="20"/>
              </w:rPr>
              <w:t>Minería</w:t>
            </w:r>
          </w:p>
        </w:tc>
      </w:tr>
      <w:tr w:rsidR="003416F1" w:rsidRPr="00484B50" w14:paraId="726F477D" w14:textId="77777777" w:rsidTr="00F91D3C">
        <w:trPr>
          <w:jc w:val="center"/>
        </w:trPr>
        <w:tc>
          <w:tcPr>
            <w:tcW w:w="1418" w:type="dxa"/>
            <w:shd w:val="clear" w:color="auto" w:fill="auto"/>
            <w:noWrap/>
            <w:vAlign w:val="center"/>
          </w:tcPr>
          <w:p w14:paraId="60D67CD0" w14:textId="77777777" w:rsidR="003416F1" w:rsidRPr="00484B50" w:rsidRDefault="003416F1" w:rsidP="00F91D3C">
            <w:pPr>
              <w:spacing w:before="40" w:after="40" w:line="240" w:lineRule="auto"/>
              <w:rPr>
                <w:rFonts w:asciiTheme="minorHAnsi" w:hAnsiTheme="minorHAnsi" w:cstheme="minorHAnsi"/>
                <w:sz w:val="20"/>
                <w:szCs w:val="20"/>
              </w:rPr>
            </w:pPr>
            <w:r w:rsidRPr="00484B50">
              <w:rPr>
                <w:rFonts w:asciiTheme="minorHAnsi" w:hAnsiTheme="minorHAnsi" w:cstheme="minorHAnsi"/>
                <w:sz w:val="20"/>
                <w:szCs w:val="20"/>
              </w:rPr>
              <w:t>Grandes</w:t>
            </w:r>
          </w:p>
        </w:tc>
        <w:tc>
          <w:tcPr>
            <w:tcW w:w="5387" w:type="dxa"/>
            <w:shd w:val="clear" w:color="auto" w:fill="auto"/>
            <w:noWrap/>
            <w:vAlign w:val="center"/>
          </w:tcPr>
          <w:p w14:paraId="1F7F2782" w14:textId="77777777" w:rsidR="003416F1" w:rsidRPr="00484B50" w:rsidRDefault="003416F1" w:rsidP="00F91D3C">
            <w:pPr>
              <w:spacing w:before="40" w:after="40" w:line="240" w:lineRule="auto"/>
              <w:rPr>
                <w:rFonts w:asciiTheme="minorHAnsi" w:hAnsiTheme="minorHAnsi" w:cstheme="minorHAnsi"/>
                <w:sz w:val="20"/>
                <w:szCs w:val="20"/>
              </w:rPr>
            </w:pPr>
            <w:r w:rsidRPr="00484B50">
              <w:rPr>
                <w:rFonts w:asciiTheme="minorHAnsi" w:hAnsiTheme="minorHAnsi" w:cstheme="minorHAnsi"/>
                <w:sz w:val="20"/>
                <w:szCs w:val="20"/>
              </w:rPr>
              <w:t>Aguas Andinas S.A.</w:t>
            </w:r>
          </w:p>
        </w:tc>
        <w:tc>
          <w:tcPr>
            <w:tcW w:w="2835" w:type="dxa"/>
            <w:shd w:val="clear" w:color="auto" w:fill="auto"/>
            <w:noWrap/>
            <w:vAlign w:val="center"/>
          </w:tcPr>
          <w:p w14:paraId="6C1B67F0" w14:textId="77777777" w:rsidR="003416F1" w:rsidRPr="00484B50" w:rsidRDefault="003416F1" w:rsidP="00F91D3C">
            <w:pPr>
              <w:spacing w:before="40" w:after="40" w:line="240" w:lineRule="auto"/>
              <w:rPr>
                <w:rFonts w:asciiTheme="minorHAnsi" w:hAnsiTheme="minorHAnsi" w:cstheme="minorHAnsi"/>
                <w:sz w:val="20"/>
                <w:szCs w:val="20"/>
              </w:rPr>
            </w:pPr>
            <w:r w:rsidRPr="00484B50">
              <w:rPr>
                <w:rFonts w:asciiTheme="minorHAnsi" w:hAnsiTheme="minorHAnsi" w:cstheme="minorHAnsi"/>
                <w:sz w:val="20"/>
                <w:szCs w:val="20"/>
              </w:rPr>
              <w:t>Servicios</w:t>
            </w:r>
          </w:p>
        </w:tc>
      </w:tr>
      <w:tr w:rsidR="003416F1" w:rsidRPr="00484B50" w14:paraId="5F1242C2" w14:textId="77777777" w:rsidTr="00F91D3C">
        <w:trPr>
          <w:jc w:val="center"/>
        </w:trPr>
        <w:tc>
          <w:tcPr>
            <w:tcW w:w="1418" w:type="dxa"/>
            <w:shd w:val="clear" w:color="auto" w:fill="auto"/>
            <w:noWrap/>
            <w:vAlign w:val="center"/>
          </w:tcPr>
          <w:p w14:paraId="3216766E" w14:textId="77777777" w:rsidR="003416F1" w:rsidRPr="00484B50" w:rsidRDefault="003416F1" w:rsidP="00F91D3C">
            <w:pPr>
              <w:spacing w:before="40" w:after="40" w:line="240" w:lineRule="auto"/>
              <w:rPr>
                <w:rFonts w:asciiTheme="minorHAnsi" w:hAnsiTheme="minorHAnsi" w:cstheme="minorHAnsi"/>
                <w:sz w:val="20"/>
                <w:szCs w:val="20"/>
              </w:rPr>
            </w:pPr>
            <w:r w:rsidRPr="00484B50">
              <w:rPr>
                <w:rFonts w:asciiTheme="minorHAnsi" w:hAnsiTheme="minorHAnsi" w:cstheme="minorHAnsi"/>
                <w:sz w:val="20"/>
                <w:szCs w:val="20"/>
              </w:rPr>
              <w:t>Grandes</w:t>
            </w:r>
          </w:p>
        </w:tc>
        <w:tc>
          <w:tcPr>
            <w:tcW w:w="5387" w:type="dxa"/>
            <w:shd w:val="clear" w:color="auto" w:fill="auto"/>
            <w:noWrap/>
            <w:vAlign w:val="center"/>
          </w:tcPr>
          <w:p w14:paraId="22CA22B8" w14:textId="77777777" w:rsidR="003416F1" w:rsidRPr="00484B50" w:rsidRDefault="003416F1" w:rsidP="00F91D3C">
            <w:pPr>
              <w:spacing w:before="40" w:after="40" w:line="240" w:lineRule="auto"/>
              <w:rPr>
                <w:rFonts w:asciiTheme="minorHAnsi" w:hAnsiTheme="minorHAnsi" w:cstheme="minorHAnsi"/>
                <w:sz w:val="20"/>
                <w:szCs w:val="20"/>
              </w:rPr>
            </w:pPr>
            <w:r w:rsidRPr="00484B50">
              <w:rPr>
                <w:rFonts w:asciiTheme="minorHAnsi" w:hAnsiTheme="minorHAnsi" w:cstheme="minorHAnsi"/>
                <w:sz w:val="20"/>
                <w:szCs w:val="20"/>
              </w:rPr>
              <w:t>Chilquinta Energía S.A.</w:t>
            </w:r>
          </w:p>
        </w:tc>
        <w:tc>
          <w:tcPr>
            <w:tcW w:w="2835" w:type="dxa"/>
            <w:shd w:val="clear" w:color="auto" w:fill="auto"/>
            <w:noWrap/>
            <w:vAlign w:val="center"/>
          </w:tcPr>
          <w:p w14:paraId="3FA2AEA2" w14:textId="77777777" w:rsidR="003416F1" w:rsidRPr="00484B50" w:rsidRDefault="003416F1" w:rsidP="00F91D3C">
            <w:pPr>
              <w:spacing w:before="40" w:after="40" w:line="240" w:lineRule="auto"/>
              <w:rPr>
                <w:rFonts w:asciiTheme="minorHAnsi" w:hAnsiTheme="minorHAnsi" w:cstheme="minorHAnsi"/>
                <w:sz w:val="20"/>
                <w:szCs w:val="20"/>
              </w:rPr>
            </w:pPr>
            <w:r w:rsidRPr="00484B50">
              <w:rPr>
                <w:rFonts w:asciiTheme="minorHAnsi" w:hAnsiTheme="minorHAnsi" w:cstheme="minorHAnsi"/>
                <w:sz w:val="20"/>
                <w:szCs w:val="20"/>
              </w:rPr>
              <w:t>Servicios</w:t>
            </w:r>
          </w:p>
        </w:tc>
      </w:tr>
      <w:tr w:rsidR="003416F1" w:rsidRPr="00484B50" w14:paraId="02AE840E" w14:textId="77777777" w:rsidTr="00F91D3C">
        <w:trPr>
          <w:jc w:val="center"/>
        </w:trPr>
        <w:tc>
          <w:tcPr>
            <w:tcW w:w="1418" w:type="dxa"/>
            <w:shd w:val="clear" w:color="auto" w:fill="auto"/>
            <w:noWrap/>
            <w:vAlign w:val="center"/>
          </w:tcPr>
          <w:p w14:paraId="5A97F85F" w14:textId="77777777" w:rsidR="003416F1" w:rsidRPr="00484B50" w:rsidRDefault="003416F1" w:rsidP="00F91D3C">
            <w:pPr>
              <w:spacing w:before="40" w:after="40" w:line="240" w:lineRule="auto"/>
              <w:rPr>
                <w:rFonts w:asciiTheme="minorHAnsi" w:hAnsiTheme="minorHAnsi" w:cstheme="minorHAnsi"/>
                <w:sz w:val="20"/>
                <w:szCs w:val="20"/>
              </w:rPr>
            </w:pPr>
            <w:r w:rsidRPr="00484B50">
              <w:rPr>
                <w:rFonts w:asciiTheme="minorHAnsi" w:hAnsiTheme="minorHAnsi" w:cstheme="minorHAnsi"/>
                <w:sz w:val="20"/>
                <w:szCs w:val="20"/>
              </w:rPr>
              <w:t>Grandes</w:t>
            </w:r>
          </w:p>
        </w:tc>
        <w:tc>
          <w:tcPr>
            <w:tcW w:w="5387" w:type="dxa"/>
            <w:shd w:val="clear" w:color="auto" w:fill="auto"/>
            <w:noWrap/>
            <w:vAlign w:val="center"/>
          </w:tcPr>
          <w:p w14:paraId="132043EF" w14:textId="77777777" w:rsidR="003416F1" w:rsidRPr="00484B50" w:rsidRDefault="003416F1" w:rsidP="00F91D3C">
            <w:pPr>
              <w:spacing w:before="40" w:after="40" w:line="240" w:lineRule="auto"/>
              <w:rPr>
                <w:rFonts w:asciiTheme="minorHAnsi" w:hAnsiTheme="minorHAnsi" w:cstheme="minorHAnsi"/>
                <w:sz w:val="20"/>
                <w:szCs w:val="20"/>
              </w:rPr>
            </w:pPr>
            <w:r w:rsidRPr="00484B50">
              <w:rPr>
                <w:rFonts w:asciiTheme="minorHAnsi" w:hAnsiTheme="minorHAnsi" w:cstheme="minorHAnsi"/>
                <w:sz w:val="20"/>
                <w:szCs w:val="20"/>
              </w:rPr>
              <w:t>Interexport Integración S.A</w:t>
            </w:r>
          </w:p>
        </w:tc>
        <w:tc>
          <w:tcPr>
            <w:tcW w:w="2835" w:type="dxa"/>
            <w:shd w:val="clear" w:color="auto" w:fill="auto"/>
            <w:noWrap/>
            <w:vAlign w:val="center"/>
          </w:tcPr>
          <w:p w14:paraId="57DADF1F" w14:textId="77777777" w:rsidR="003416F1" w:rsidRPr="00484B50" w:rsidRDefault="003416F1" w:rsidP="00F91D3C">
            <w:pPr>
              <w:spacing w:before="40" w:after="40" w:line="240" w:lineRule="auto"/>
              <w:rPr>
                <w:rFonts w:asciiTheme="minorHAnsi" w:hAnsiTheme="minorHAnsi" w:cstheme="minorHAnsi"/>
                <w:sz w:val="20"/>
                <w:szCs w:val="20"/>
              </w:rPr>
            </w:pPr>
            <w:r w:rsidRPr="00484B50">
              <w:rPr>
                <w:rFonts w:asciiTheme="minorHAnsi" w:hAnsiTheme="minorHAnsi" w:cstheme="minorHAnsi"/>
                <w:sz w:val="20"/>
                <w:szCs w:val="20"/>
              </w:rPr>
              <w:t>Telecomunicaciones y Medios</w:t>
            </w:r>
          </w:p>
        </w:tc>
      </w:tr>
      <w:tr w:rsidR="003416F1" w:rsidRPr="00484B50" w14:paraId="772D53D0" w14:textId="77777777" w:rsidTr="00F91D3C">
        <w:trPr>
          <w:jc w:val="center"/>
        </w:trPr>
        <w:tc>
          <w:tcPr>
            <w:tcW w:w="1418" w:type="dxa"/>
            <w:shd w:val="clear" w:color="auto" w:fill="auto"/>
            <w:noWrap/>
            <w:vAlign w:val="center"/>
          </w:tcPr>
          <w:p w14:paraId="7C0CADC0" w14:textId="77777777" w:rsidR="003416F1" w:rsidRPr="00484B50" w:rsidRDefault="003416F1" w:rsidP="00F91D3C">
            <w:pPr>
              <w:spacing w:before="40" w:after="40" w:line="240" w:lineRule="auto"/>
              <w:rPr>
                <w:rFonts w:asciiTheme="minorHAnsi" w:hAnsiTheme="minorHAnsi" w:cstheme="minorHAnsi"/>
                <w:sz w:val="20"/>
                <w:szCs w:val="20"/>
              </w:rPr>
            </w:pPr>
            <w:r w:rsidRPr="00484B50">
              <w:rPr>
                <w:rFonts w:asciiTheme="minorHAnsi" w:hAnsiTheme="minorHAnsi" w:cstheme="minorHAnsi"/>
                <w:sz w:val="20"/>
                <w:szCs w:val="20"/>
              </w:rPr>
              <w:t>Grandes</w:t>
            </w:r>
          </w:p>
        </w:tc>
        <w:tc>
          <w:tcPr>
            <w:tcW w:w="5387" w:type="dxa"/>
            <w:shd w:val="clear" w:color="auto" w:fill="auto"/>
            <w:noWrap/>
            <w:vAlign w:val="center"/>
          </w:tcPr>
          <w:p w14:paraId="0D72A673" w14:textId="77777777" w:rsidR="003416F1" w:rsidRPr="00484B50" w:rsidRDefault="003416F1" w:rsidP="00F91D3C">
            <w:pPr>
              <w:spacing w:before="40" w:after="40" w:line="240" w:lineRule="auto"/>
              <w:rPr>
                <w:rFonts w:asciiTheme="minorHAnsi" w:hAnsiTheme="minorHAnsi" w:cstheme="minorHAnsi"/>
                <w:sz w:val="20"/>
                <w:szCs w:val="20"/>
              </w:rPr>
            </w:pPr>
            <w:r w:rsidRPr="00484B50">
              <w:rPr>
                <w:rFonts w:asciiTheme="minorHAnsi" w:hAnsiTheme="minorHAnsi" w:cstheme="minorHAnsi"/>
                <w:sz w:val="20"/>
                <w:szCs w:val="20"/>
              </w:rPr>
              <w:t>Interexport Telecomunicaciones Y Servicios S.A</w:t>
            </w:r>
          </w:p>
        </w:tc>
        <w:tc>
          <w:tcPr>
            <w:tcW w:w="2835" w:type="dxa"/>
            <w:shd w:val="clear" w:color="auto" w:fill="auto"/>
            <w:noWrap/>
            <w:vAlign w:val="center"/>
          </w:tcPr>
          <w:p w14:paraId="02685263" w14:textId="77777777" w:rsidR="003416F1" w:rsidRPr="00484B50" w:rsidRDefault="003416F1" w:rsidP="00F91D3C">
            <w:pPr>
              <w:spacing w:before="40" w:after="40" w:line="240" w:lineRule="auto"/>
              <w:rPr>
                <w:rFonts w:asciiTheme="minorHAnsi" w:hAnsiTheme="minorHAnsi" w:cstheme="minorHAnsi"/>
                <w:sz w:val="20"/>
                <w:szCs w:val="20"/>
              </w:rPr>
            </w:pPr>
            <w:r w:rsidRPr="00484B50">
              <w:rPr>
                <w:rFonts w:asciiTheme="minorHAnsi" w:hAnsiTheme="minorHAnsi" w:cstheme="minorHAnsi"/>
                <w:sz w:val="20"/>
                <w:szCs w:val="20"/>
              </w:rPr>
              <w:t>Telecomunicaciones y Medios</w:t>
            </w:r>
          </w:p>
        </w:tc>
      </w:tr>
      <w:tr w:rsidR="003416F1" w:rsidRPr="00484B50" w14:paraId="471D163B" w14:textId="77777777" w:rsidTr="00F91D3C">
        <w:trPr>
          <w:jc w:val="center"/>
        </w:trPr>
        <w:tc>
          <w:tcPr>
            <w:tcW w:w="1418" w:type="dxa"/>
            <w:shd w:val="clear" w:color="auto" w:fill="auto"/>
            <w:noWrap/>
            <w:vAlign w:val="center"/>
          </w:tcPr>
          <w:p w14:paraId="20F54715" w14:textId="77777777" w:rsidR="003416F1" w:rsidRPr="00484B50" w:rsidRDefault="003416F1" w:rsidP="00F91D3C">
            <w:pPr>
              <w:spacing w:before="40" w:after="40" w:line="240" w:lineRule="auto"/>
              <w:rPr>
                <w:rFonts w:asciiTheme="minorHAnsi" w:hAnsiTheme="minorHAnsi" w:cstheme="minorHAnsi"/>
                <w:sz w:val="20"/>
                <w:szCs w:val="20"/>
              </w:rPr>
            </w:pPr>
            <w:r w:rsidRPr="00484B50">
              <w:rPr>
                <w:rFonts w:asciiTheme="minorHAnsi" w:hAnsiTheme="minorHAnsi" w:cstheme="minorHAnsi"/>
                <w:sz w:val="20"/>
                <w:szCs w:val="20"/>
              </w:rPr>
              <w:t>Grandes</w:t>
            </w:r>
          </w:p>
        </w:tc>
        <w:tc>
          <w:tcPr>
            <w:tcW w:w="5387" w:type="dxa"/>
            <w:shd w:val="clear" w:color="auto" w:fill="auto"/>
            <w:noWrap/>
            <w:vAlign w:val="center"/>
          </w:tcPr>
          <w:p w14:paraId="7CB4A60D" w14:textId="77777777" w:rsidR="003416F1" w:rsidRPr="00484B50" w:rsidRDefault="003416F1" w:rsidP="00F91D3C">
            <w:pPr>
              <w:spacing w:before="40" w:after="40" w:line="240" w:lineRule="auto"/>
              <w:rPr>
                <w:rFonts w:asciiTheme="minorHAnsi" w:hAnsiTheme="minorHAnsi" w:cstheme="minorHAnsi"/>
                <w:sz w:val="20"/>
                <w:szCs w:val="20"/>
              </w:rPr>
            </w:pPr>
            <w:r w:rsidRPr="00484B50">
              <w:rPr>
                <w:rFonts w:asciiTheme="minorHAnsi" w:hAnsiTheme="minorHAnsi" w:cstheme="minorHAnsi"/>
                <w:sz w:val="20"/>
                <w:szCs w:val="20"/>
              </w:rPr>
              <w:t>Vtr Comunicaciones Spa</w:t>
            </w:r>
          </w:p>
        </w:tc>
        <w:tc>
          <w:tcPr>
            <w:tcW w:w="2835" w:type="dxa"/>
            <w:shd w:val="clear" w:color="auto" w:fill="auto"/>
            <w:noWrap/>
            <w:vAlign w:val="center"/>
          </w:tcPr>
          <w:p w14:paraId="39532E1E" w14:textId="77777777" w:rsidR="003416F1" w:rsidRPr="00484B50" w:rsidRDefault="003416F1" w:rsidP="00F91D3C">
            <w:pPr>
              <w:spacing w:before="40" w:after="40" w:line="240" w:lineRule="auto"/>
              <w:rPr>
                <w:rFonts w:asciiTheme="minorHAnsi" w:hAnsiTheme="minorHAnsi" w:cstheme="minorHAnsi"/>
                <w:sz w:val="20"/>
                <w:szCs w:val="20"/>
              </w:rPr>
            </w:pPr>
            <w:r w:rsidRPr="00484B50">
              <w:rPr>
                <w:rFonts w:asciiTheme="minorHAnsi" w:hAnsiTheme="minorHAnsi" w:cstheme="minorHAnsi"/>
                <w:sz w:val="20"/>
                <w:szCs w:val="20"/>
              </w:rPr>
              <w:t>Telecomunicaciones y Medios</w:t>
            </w:r>
          </w:p>
        </w:tc>
      </w:tr>
      <w:tr w:rsidR="003416F1" w:rsidRPr="00484B50" w14:paraId="64EF82E5" w14:textId="77777777" w:rsidTr="00F91D3C">
        <w:trPr>
          <w:jc w:val="center"/>
        </w:trPr>
        <w:tc>
          <w:tcPr>
            <w:tcW w:w="1418" w:type="dxa"/>
            <w:shd w:val="clear" w:color="auto" w:fill="auto"/>
            <w:noWrap/>
            <w:vAlign w:val="center"/>
          </w:tcPr>
          <w:p w14:paraId="41EAAD66" w14:textId="77777777" w:rsidR="003416F1" w:rsidRPr="00484B50" w:rsidRDefault="003416F1" w:rsidP="00F91D3C">
            <w:pPr>
              <w:spacing w:before="40" w:after="40" w:line="240" w:lineRule="auto"/>
              <w:rPr>
                <w:rFonts w:asciiTheme="minorHAnsi" w:hAnsiTheme="minorHAnsi" w:cstheme="minorHAnsi"/>
                <w:sz w:val="20"/>
                <w:szCs w:val="20"/>
              </w:rPr>
            </w:pPr>
            <w:r w:rsidRPr="00484B50">
              <w:rPr>
                <w:rFonts w:asciiTheme="minorHAnsi" w:hAnsiTheme="minorHAnsi" w:cstheme="minorHAnsi"/>
                <w:sz w:val="20"/>
                <w:szCs w:val="20"/>
              </w:rPr>
              <w:t>Grandes</w:t>
            </w:r>
          </w:p>
        </w:tc>
        <w:tc>
          <w:tcPr>
            <w:tcW w:w="5387" w:type="dxa"/>
            <w:shd w:val="clear" w:color="auto" w:fill="auto"/>
            <w:noWrap/>
            <w:vAlign w:val="center"/>
          </w:tcPr>
          <w:p w14:paraId="630B0555" w14:textId="77777777" w:rsidR="003416F1" w:rsidRPr="00484B50" w:rsidRDefault="003416F1" w:rsidP="00F91D3C">
            <w:pPr>
              <w:spacing w:before="40" w:after="40" w:line="240" w:lineRule="auto"/>
              <w:rPr>
                <w:rFonts w:asciiTheme="minorHAnsi" w:hAnsiTheme="minorHAnsi" w:cstheme="minorHAnsi"/>
                <w:sz w:val="20"/>
                <w:szCs w:val="20"/>
              </w:rPr>
            </w:pPr>
            <w:r w:rsidRPr="00484B50">
              <w:rPr>
                <w:rFonts w:asciiTheme="minorHAnsi" w:hAnsiTheme="minorHAnsi" w:cstheme="minorHAnsi"/>
                <w:sz w:val="20"/>
                <w:szCs w:val="20"/>
              </w:rPr>
              <w:t>Salinas Y Fabres S.A.</w:t>
            </w:r>
          </w:p>
        </w:tc>
        <w:tc>
          <w:tcPr>
            <w:tcW w:w="2835" w:type="dxa"/>
            <w:shd w:val="clear" w:color="auto" w:fill="auto"/>
            <w:noWrap/>
            <w:vAlign w:val="center"/>
          </w:tcPr>
          <w:p w14:paraId="38D88192" w14:textId="77777777" w:rsidR="003416F1" w:rsidRPr="00484B50" w:rsidRDefault="003416F1" w:rsidP="00F91D3C">
            <w:pPr>
              <w:spacing w:before="40" w:after="40" w:line="240" w:lineRule="auto"/>
              <w:rPr>
                <w:rFonts w:asciiTheme="minorHAnsi" w:hAnsiTheme="minorHAnsi" w:cstheme="minorHAnsi"/>
                <w:sz w:val="20"/>
                <w:szCs w:val="20"/>
              </w:rPr>
            </w:pPr>
            <w:r w:rsidRPr="00484B50">
              <w:rPr>
                <w:rFonts w:asciiTheme="minorHAnsi" w:hAnsiTheme="minorHAnsi" w:cstheme="minorHAnsi"/>
                <w:sz w:val="20"/>
                <w:szCs w:val="20"/>
              </w:rPr>
              <w:t>Vehículos y Maquinarias</w:t>
            </w:r>
          </w:p>
        </w:tc>
      </w:tr>
      <w:tr w:rsidR="003416F1" w:rsidRPr="00484B50" w14:paraId="32BF4512" w14:textId="77777777" w:rsidTr="00F91D3C">
        <w:trPr>
          <w:jc w:val="center"/>
        </w:trPr>
        <w:tc>
          <w:tcPr>
            <w:tcW w:w="1418" w:type="dxa"/>
            <w:shd w:val="clear" w:color="auto" w:fill="auto"/>
            <w:noWrap/>
            <w:vAlign w:val="center"/>
          </w:tcPr>
          <w:p w14:paraId="537D889F" w14:textId="77777777" w:rsidR="003416F1" w:rsidRPr="00484B50" w:rsidRDefault="003416F1" w:rsidP="00F91D3C">
            <w:pPr>
              <w:spacing w:before="40" w:after="40" w:line="240" w:lineRule="auto"/>
              <w:rPr>
                <w:rFonts w:asciiTheme="minorHAnsi" w:hAnsiTheme="minorHAnsi" w:cstheme="minorHAnsi"/>
                <w:sz w:val="20"/>
                <w:szCs w:val="20"/>
              </w:rPr>
            </w:pPr>
            <w:r w:rsidRPr="00484B50">
              <w:rPr>
                <w:rFonts w:asciiTheme="minorHAnsi" w:hAnsiTheme="minorHAnsi" w:cstheme="minorHAnsi"/>
                <w:sz w:val="20"/>
                <w:szCs w:val="20"/>
              </w:rPr>
              <w:t>Medianas</w:t>
            </w:r>
          </w:p>
        </w:tc>
        <w:tc>
          <w:tcPr>
            <w:tcW w:w="5387" w:type="dxa"/>
            <w:shd w:val="clear" w:color="auto" w:fill="auto"/>
            <w:noWrap/>
            <w:vAlign w:val="center"/>
          </w:tcPr>
          <w:p w14:paraId="11EF1827" w14:textId="77777777" w:rsidR="003416F1" w:rsidRPr="00484B50" w:rsidRDefault="003416F1" w:rsidP="00F91D3C">
            <w:pPr>
              <w:spacing w:before="40" w:after="40" w:line="240" w:lineRule="auto"/>
              <w:rPr>
                <w:rFonts w:asciiTheme="minorHAnsi" w:hAnsiTheme="minorHAnsi" w:cstheme="minorHAnsi"/>
                <w:sz w:val="20"/>
                <w:szCs w:val="20"/>
              </w:rPr>
            </w:pPr>
            <w:r w:rsidRPr="00484B50">
              <w:rPr>
                <w:rFonts w:asciiTheme="minorHAnsi" w:hAnsiTheme="minorHAnsi" w:cstheme="minorHAnsi"/>
                <w:sz w:val="20"/>
                <w:szCs w:val="20"/>
              </w:rPr>
              <w:t>Transelec S.A.</w:t>
            </w:r>
          </w:p>
        </w:tc>
        <w:tc>
          <w:tcPr>
            <w:tcW w:w="2835" w:type="dxa"/>
            <w:shd w:val="clear" w:color="auto" w:fill="auto"/>
            <w:noWrap/>
            <w:vAlign w:val="center"/>
          </w:tcPr>
          <w:p w14:paraId="1C7E4239" w14:textId="77777777" w:rsidR="003416F1" w:rsidRPr="00484B50" w:rsidRDefault="003416F1" w:rsidP="00F91D3C">
            <w:pPr>
              <w:spacing w:before="40" w:after="40" w:line="240" w:lineRule="auto"/>
              <w:rPr>
                <w:rFonts w:asciiTheme="minorHAnsi" w:hAnsiTheme="minorHAnsi" w:cstheme="minorHAnsi"/>
                <w:sz w:val="20"/>
                <w:szCs w:val="20"/>
              </w:rPr>
            </w:pPr>
            <w:r w:rsidRPr="00484B50">
              <w:rPr>
                <w:rFonts w:asciiTheme="minorHAnsi" w:hAnsiTheme="minorHAnsi" w:cstheme="minorHAnsi"/>
                <w:sz w:val="20"/>
                <w:szCs w:val="20"/>
              </w:rPr>
              <w:t>Energía</w:t>
            </w:r>
          </w:p>
        </w:tc>
      </w:tr>
      <w:tr w:rsidR="003416F1" w:rsidRPr="00484B50" w14:paraId="777FA967" w14:textId="77777777" w:rsidTr="00F91D3C">
        <w:trPr>
          <w:jc w:val="center"/>
        </w:trPr>
        <w:tc>
          <w:tcPr>
            <w:tcW w:w="1418" w:type="dxa"/>
            <w:shd w:val="clear" w:color="auto" w:fill="auto"/>
            <w:noWrap/>
            <w:vAlign w:val="center"/>
          </w:tcPr>
          <w:p w14:paraId="6EC99E80" w14:textId="77777777" w:rsidR="003416F1" w:rsidRPr="00484B50" w:rsidRDefault="003416F1" w:rsidP="00F91D3C">
            <w:pPr>
              <w:spacing w:before="40" w:after="40" w:line="240" w:lineRule="auto"/>
              <w:rPr>
                <w:rFonts w:asciiTheme="minorHAnsi" w:hAnsiTheme="minorHAnsi" w:cstheme="minorHAnsi"/>
                <w:sz w:val="20"/>
                <w:szCs w:val="20"/>
              </w:rPr>
            </w:pPr>
            <w:r w:rsidRPr="00484B50">
              <w:rPr>
                <w:rFonts w:asciiTheme="minorHAnsi" w:hAnsiTheme="minorHAnsi" w:cstheme="minorHAnsi"/>
                <w:sz w:val="20"/>
                <w:szCs w:val="20"/>
              </w:rPr>
              <w:t>Medianas</w:t>
            </w:r>
          </w:p>
        </w:tc>
        <w:tc>
          <w:tcPr>
            <w:tcW w:w="5387" w:type="dxa"/>
            <w:shd w:val="clear" w:color="auto" w:fill="auto"/>
            <w:noWrap/>
            <w:vAlign w:val="center"/>
          </w:tcPr>
          <w:p w14:paraId="47D281F8" w14:textId="77777777" w:rsidR="003416F1" w:rsidRPr="00484B50" w:rsidRDefault="003416F1" w:rsidP="00F91D3C">
            <w:pPr>
              <w:spacing w:before="40" w:after="40" w:line="240" w:lineRule="auto"/>
              <w:rPr>
                <w:rFonts w:asciiTheme="minorHAnsi" w:hAnsiTheme="minorHAnsi" w:cstheme="minorHAnsi"/>
                <w:sz w:val="20"/>
                <w:szCs w:val="20"/>
              </w:rPr>
            </w:pPr>
            <w:r w:rsidRPr="00484B50">
              <w:rPr>
                <w:rFonts w:asciiTheme="minorHAnsi" w:hAnsiTheme="minorHAnsi" w:cstheme="minorHAnsi"/>
                <w:sz w:val="20"/>
                <w:szCs w:val="20"/>
              </w:rPr>
              <w:t>Hidroeléctrica Ñuble Spa</w:t>
            </w:r>
          </w:p>
        </w:tc>
        <w:tc>
          <w:tcPr>
            <w:tcW w:w="2835" w:type="dxa"/>
            <w:shd w:val="clear" w:color="auto" w:fill="auto"/>
            <w:noWrap/>
            <w:vAlign w:val="center"/>
          </w:tcPr>
          <w:p w14:paraId="71D0EF77" w14:textId="77777777" w:rsidR="003416F1" w:rsidRPr="00484B50" w:rsidRDefault="003416F1" w:rsidP="00F91D3C">
            <w:pPr>
              <w:spacing w:before="40" w:after="40" w:line="240" w:lineRule="auto"/>
              <w:rPr>
                <w:rFonts w:asciiTheme="minorHAnsi" w:hAnsiTheme="minorHAnsi" w:cstheme="minorHAnsi"/>
                <w:sz w:val="20"/>
                <w:szCs w:val="20"/>
              </w:rPr>
            </w:pPr>
            <w:r w:rsidRPr="00484B50">
              <w:rPr>
                <w:rFonts w:asciiTheme="minorHAnsi" w:hAnsiTheme="minorHAnsi" w:cstheme="minorHAnsi"/>
                <w:sz w:val="20"/>
                <w:szCs w:val="20"/>
              </w:rPr>
              <w:t>Energía</w:t>
            </w:r>
          </w:p>
        </w:tc>
      </w:tr>
      <w:tr w:rsidR="003416F1" w:rsidRPr="00484B50" w14:paraId="7E25B3E0" w14:textId="77777777" w:rsidTr="00F91D3C">
        <w:trPr>
          <w:jc w:val="center"/>
        </w:trPr>
        <w:tc>
          <w:tcPr>
            <w:tcW w:w="1418" w:type="dxa"/>
            <w:shd w:val="clear" w:color="auto" w:fill="auto"/>
            <w:noWrap/>
            <w:vAlign w:val="center"/>
          </w:tcPr>
          <w:p w14:paraId="7792DA50" w14:textId="77777777" w:rsidR="003416F1" w:rsidRPr="00484B50" w:rsidRDefault="003416F1" w:rsidP="00F91D3C">
            <w:pPr>
              <w:spacing w:before="40" w:after="40" w:line="240" w:lineRule="auto"/>
              <w:rPr>
                <w:rFonts w:asciiTheme="minorHAnsi" w:hAnsiTheme="minorHAnsi" w:cstheme="minorHAnsi"/>
                <w:sz w:val="20"/>
                <w:szCs w:val="20"/>
              </w:rPr>
            </w:pPr>
            <w:r w:rsidRPr="00484B50">
              <w:rPr>
                <w:rFonts w:asciiTheme="minorHAnsi" w:hAnsiTheme="minorHAnsi" w:cstheme="minorHAnsi"/>
                <w:sz w:val="20"/>
                <w:szCs w:val="20"/>
              </w:rPr>
              <w:t>Medianas</w:t>
            </w:r>
          </w:p>
        </w:tc>
        <w:tc>
          <w:tcPr>
            <w:tcW w:w="5387" w:type="dxa"/>
            <w:shd w:val="clear" w:color="auto" w:fill="auto"/>
            <w:noWrap/>
            <w:vAlign w:val="center"/>
          </w:tcPr>
          <w:p w14:paraId="57CE1FAE" w14:textId="77777777" w:rsidR="003416F1" w:rsidRPr="00484B50" w:rsidRDefault="003416F1" w:rsidP="00F91D3C">
            <w:pPr>
              <w:spacing w:before="40" w:after="40" w:line="240" w:lineRule="auto"/>
              <w:rPr>
                <w:rFonts w:asciiTheme="minorHAnsi" w:hAnsiTheme="minorHAnsi" w:cstheme="minorHAnsi"/>
                <w:sz w:val="20"/>
                <w:szCs w:val="20"/>
              </w:rPr>
            </w:pPr>
            <w:r w:rsidRPr="00484B50">
              <w:rPr>
                <w:rFonts w:asciiTheme="minorHAnsi" w:hAnsiTheme="minorHAnsi" w:cstheme="minorHAnsi"/>
                <w:sz w:val="20"/>
                <w:szCs w:val="20"/>
              </w:rPr>
              <w:t>Interchile S.A.</w:t>
            </w:r>
          </w:p>
        </w:tc>
        <w:tc>
          <w:tcPr>
            <w:tcW w:w="2835" w:type="dxa"/>
            <w:shd w:val="clear" w:color="auto" w:fill="auto"/>
            <w:noWrap/>
            <w:vAlign w:val="center"/>
          </w:tcPr>
          <w:p w14:paraId="19A2305A" w14:textId="77777777" w:rsidR="003416F1" w:rsidRPr="00484B50" w:rsidRDefault="003416F1" w:rsidP="00F91D3C">
            <w:pPr>
              <w:spacing w:before="40" w:after="40" w:line="240" w:lineRule="auto"/>
              <w:rPr>
                <w:rFonts w:asciiTheme="minorHAnsi" w:hAnsiTheme="minorHAnsi" w:cstheme="minorHAnsi"/>
                <w:sz w:val="20"/>
                <w:szCs w:val="20"/>
              </w:rPr>
            </w:pPr>
            <w:r w:rsidRPr="00484B50">
              <w:rPr>
                <w:rFonts w:asciiTheme="minorHAnsi" w:hAnsiTheme="minorHAnsi" w:cstheme="minorHAnsi"/>
                <w:sz w:val="20"/>
                <w:szCs w:val="20"/>
              </w:rPr>
              <w:t>Energía</w:t>
            </w:r>
          </w:p>
        </w:tc>
      </w:tr>
      <w:tr w:rsidR="003416F1" w:rsidRPr="00484B50" w14:paraId="3981728F" w14:textId="77777777" w:rsidTr="00F91D3C">
        <w:trPr>
          <w:jc w:val="center"/>
        </w:trPr>
        <w:tc>
          <w:tcPr>
            <w:tcW w:w="1418" w:type="dxa"/>
            <w:shd w:val="clear" w:color="auto" w:fill="auto"/>
            <w:noWrap/>
            <w:vAlign w:val="center"/>
          </w:tcPr>
          <w:p w14:paraId="077287A6" w14:textId="77777777" w:rsidR="003416F1" w:rsidRPr="00484B50" w:rsidRDefault="003416F1" w:rsidP="00F91D3C">
            <w:pPr>
              <w:spacing w:before="40" w:after="40" w:line="240" w:lineRule="auto"/>
              <w:rPr>
                <w:rFonts w:asciiTheme="minorHAnsi" w:hAnsiTheme="minorHAnsi" w:cstheme="minorHAnsi"/>
                <w:sz w:val="20"/>
                <w:szCs w:val="20"/>
              </w:rPr>
            </w:pPr>
            <w:r w:rsidRPr="00484B50">
              <w:rPr>
                <w:rFonts w:asciiTheme="minorHAnsi" w:hAnsiTheme="minorHAnsi" w:cstheme="minorHAnsi"/>
                <w:sz w:val="20"/>
                <w:szCs w:val="20"/>
              </w:rPr>
              <w:t>Medianas</w:t>
            </w:r>
          </w:p>
        </w:tc>
        <w:tc>
          <w:tcPr>
            <w:tcW w:w="5387" w:type="dxa"/>
            <w:shd w:val="clear" w:color="auto" w:fill="auto"/>
            <w:noWrap/>
            <w:vAlign w:val="center"/>
          </w:tcPr>
          <w:p w14:paraId="4FCA94BD" w14:textId="77777777" w:rsidR="003416F1" w:rsidRPr="00484B50" w:rsidRDefault="003416F1" w:rsidP="00F91D3C">
            <w:pPr>
              <w:spacing w:before="40" w:after="40" w:line="240" w:lineRule="auto"/>
              <w:rPr>
                <w:rFonts w:asciiTheme="minorHAnsi" w:hAnsiTheme="minorHAnsi" w:cstheme="minorHAnsi"/>
                <w:sz w:val="20"/>
                <w:szCs w:val="20"/>
              </w:rPr>
            </w:pPr>
            <w:r w:rsidRPr="00484B50">
              <w:rPr>
                <w:rFonts w:asciiTheme="minorHAnsi" w:hAnsiTheme="minorHAnsi" w:cstheme="minorHAnsi"/>
                <w:sz w:val="20"/>
                <w:szCs w:val="20"/>
              </w:rPr>
              <w:t>Tecnored S.A.</w:t>
            </w:r>
          </w:p>
        </w:tc>
        <w:tc>
          <w:tcPr>
            <w:tcW w:w="2835" w:type="dxa"/>
            <w:shd w:val="clear" w:color="auto" w:fill="auto"/>
            <w:noWrap/>
            <w:vAlign w:val="center"/>
          </w:tcPr>
          <w:p w14:paraId="29B901A9" w14:textId="77777777" w:rsidR="003416F1" w:rsidRPr="00484B50" w:rsidRDefault="003416F1" w:rsidP="00F91D3C">
            <w:pPr>
              <w:spacing w:before="40" w:after="40" w:line="240" w:lineRule="auto"/>
              <w:rPr>
                <w:rFonts w:asciiTheme="minorHAnsi" w:hAnsiTheme="minorHAnsi" w:cstheme="minorHAnsi"/>
                <w:sz w:val="20"/>
                <w:szCs w:val="20"/>
              </w:rPr>
            </w:pPr>
            <w:r w:rsidRPr="00484B50">
              <w:rPr>
                <w:rFonts w:asciiTheme="minorHAnsi" w:hAnsiTheme="minorHAnsi" w:cstheme="minorHAnsi"/>
                <w:sz w:val="20"/>
                <w:szCs w:val="20"/>
              </w:rPr>
              <w:t>Servicios</w:t>
            </w:r>
          </w:p>
        </w:tc>
      </w:tr>
      <w:tr w:rsidR="003416F1" w:rsidRPr="00484B50" w14:paraId="08AA7515" w14:textId="77777777" w:rsidTr="00F91D3C">
        <w:trPr>
          <w:jc w:val="center"/>
        </w:trPr>
        <w:tc>
          <w:tcPr>
            <w:tcW w:w="1418" w:type="dxa"/>
            <w:shd w:val="clear" w:color="auto" w:fill="auto"/>
            <w:noWrap/>
            <w:vAlign w:val="center"/>
          </w:tcPr>
          <w:p w14:paraId="36149A56" w14:textId="77777777" w:rsidR="003416F1" w:rsidRPr="00484B50" w:rsidRDefault="003416F1" w:rsidP="00F91D3C">
            <w:pPr>
              <w:spacing w:before="40" w:after="40" w:line="240" w:lineRule="auto"/>
              <w:rPr>
                <w:rFonts w:asciiTheme="minorHAnsi" w:hAnsiTheme="minorHAnsi" w:cstheme="minorHAnsi"/>
                <w:sz w:val="20"/>
                <w:szCs w:val="20"/>
              </w:rPr>
            </w:pPr>
            <w:r w:rsidRPr="00484B50">
              <w:rPr>
                <w:rFonts w:asciiTheme="minorHAnsi" w:hAnsiTheme="minorHAnsi" w:cstheme="minorHAnsi"/>
                <w:sz w:val="20"/>
                <w:szCs w:val="20"/>
              </w:rPr>
              <w:t>Medianas</w:t>
            </w:r>
          </w:p>
        </w:tc>
        <w:tc>
          <w:tcPr>
            <w:tcW w:w="5387" w:type="dxa"/>
            <w:shd w:val="clear" w:color="auto" w:fill="auto"/>
            <w:noWrap/>
            <w:vAlign w:val="center"/>
          </w:tcPr>
          <w:p w14:paraId="4F71AC88" w14:textId="77777777" w:rsidR="003416F1" w:rsidRPr="00484B50" w:rsidRDefault="003416F1" w:rsidP="00F91D3C">
            <w:pPr>
              <w:spacing w:before="40" w:after="40" w:line="240" w:lineRule="auto"/>
              <w:rPr>
                <w:rFonts w:asciiTheme="minorHAnsi" w:hAnsiTheme="minorHAnsi" w:cstheme="minorHAnsi"/>
                <w:sz w:val="20"/>
                <w:szCs w:val="20"/>
              </w:rPr>
            </w:pPr>
            <w:r w:rsidRPr="00484B50">
              <w:rPr>
                <w:rFonts w:asciiTheme="minorHAnsi" w:hAnsiTheme="minorHAnsi" w:cstheme="minorHAnsi"/>
                <w:sz w:val="20"/>
                <w:szCs w:val="20"/>
              </w:rPr>
              <w:t>Engie Services</w:t>
            </w:r>
          </w:p>
        </w:tc>
        <w:tc>
          <w:tcPr>
            <w:tcW w:w="2835" w:type="dxa"/>
            <w:shd w:val="clear" w:color="auto" w:fill="auto"/>
            <w:noWrap/>
            <w:vAlign w:val="center"/>
          </w:tcPr>
          <w:p w14:paraId="56F4CEB2" w14:textId="77777777" w:rsidR="003416F1" w:rsidRPr="00484B50" w:rsidRDefault="003416F1" w:rsidP="00F91D3C">
            <w:pPr>
              <w:spacing w:before="40" w:after="40" w:line="240" w:lineRule="auto"/>
              <w:rPr>
                <w:rFonts w:asciiTheme="minorHAnsi" w:hAnsiTheme="minorHAnsi" w:cstheme="minorHAnsi"/>
                <w:sz w:val="20"/>
                <w:szCs w:val="20"/>
              </w:rPr>
            </w:pPr>
            <w:r w:rsidRPr="00484B50">
              <w:rPr>
                <w:rFonts w:asciiTheme="minorHAnsi" w:hAnsiTheme="minorHAnsi" w:cstheme="minorHAnsi"/>
                <w:sz w:val="20"/>
                <w:szCs w:val="20"/>
              </w:rPr>
              <w:t>Servicios</w:t>
            </w:r>
          </w:p>
        </w:tc>
      </w:tr>
      <w:tr w:rsidR="003416F1" w:rsidRPr="00484B50" w14:paraId="2555AC0C" w14:textId="77777777" w:rsidTr="00F91D3C">
        <w:trPr>
          <w:jc w:val="center"/>
        </w:trPr>
        <w:tc>
          <w:tcPr>
            <w:tcW w:w="1418" w:type="dxa"/>
            <w:shd w:val="clear" w:color="auto" w:fill="auto"/>
            <w:noWrap/>
            <w:vAlign w:val="center"/>
          </w:tcPr>
          <w:p w14:paraId="0E5A681F" w14:textId="77777777" w:rsidR="003416F1" w:rsidRPr="00484B50" w:rsidRDefault="003416F1" w:rsidP="00F91D3C">
            <w:pPr>
              <w:spacing w:before="40" w:after="40" w:line="240" w:lineRule="auto"/>
              <w:rPr>
                <w:rFonts w:asciiTheme="minorHAnsi" w:hAnsiTheme="minorHAnsi" w:cstheme="minorHAnsi"/>
                <w:sz w:val="20"/>
                <w:szCs w:val="20"/>
              </w:rPr>
            </w:pPr>
            <w:r w:rsidRPr="00484B50">
              <w:rPr>
                <w:rFonts w:asciiTheme="minorHAnsi" w:hAnsiTheme="minorHAnsi" w:cstheme="minorHAnsi"/>
                <w:sz w:val="20"/>
                <w:szCs w:val="20"/>
              </w:rPr>
              <w:t>Medianas</w:t>
            </w:r>
          </w:p>
        </w:tc>
        <w:tc>
          <w:tcPr>
            <w:tcW w:w="5387" w:type="dxa"/>
            <w:shd w:val="clear" w:color="auto" w:fill="auto"/>
            <w:noWrap/>
            <w:vAlign w:val="center"/>
          </w:tcPr>
          <w:p w14:paraId="3D59174C" w14:textId="77777777" w:rsidR="003416F1" w:rsidRPr="00484B50" w:rsidRDefault="003416F1" w:rsidP="00F91D3C">
            <w:pPr>
              <w:spacing w:before="40" w:after="40" w:line="240" w:lineRule="auto"/>
              <w:rPr>
                <w:rFonts w:asciiTheme="minorHAnsi" w:hAnsiTheme="minorHAnsi" w:cstheme="minorHAnsi"/>
                <w:sz w:val="20"/>
                <w:szCs w:val="20"/>
              </w:rPr>
            </w:pPr>
            <w:r w:rsidRPr="00484B50">
              <w:rPr>
                <w:rFonts w:asciiTheme="minorHAnsi" w:hAnsiTheme="minorHAnsi" w:cstheme="minorHAnsi"/>
                <w:sz w:val="20"/>
                <w:szCs w:val="20"/>
              </w:rPr>
              <w:t>Tecnet S.A.</w:t>
            </w:r>
          </w:p>
        </w:tc>
        <w:tc>
          <w:tcPr>
            <w:tcW w:w="2835" w:type="dxa"/>
            <w:shd w:val="clear" w:color="auto" w:fill="auto"/>
            <w:noWrap/>
            <w:vAlign w:val="center"/>
          </w:tcPr>
          <w:p w14:paraId="1DDF94A1" w14:textId="77777777" w:rsidR="003416F1" w:rsidRPr="00484B50" w:rsidRDefault="003416F1" w:rsidP="00F91D3C">
            <w:pPr>
              <w:spacing w:before="40" w:after="40" w:line="240" w:lineRule="auto"/>
              <w:rPr>
                <w:rFonts w:asciiTheme="minorHAnsi" w:hAnsiTheme="minorHAnsi" w:cstheme="minorHAnsi"/>
                <w:sz w:val="20"/>
                <w:szCs w:val="20"/>
              </w:rPr>
            </w:pPr>
            <w:r w:rsidRPr="00484B50">
              <w:rPr>
                <w:rFonts w:asciiTheme="minorHAnsi" w:hAnsiTheme="minorHAnsi" w:cstheme="minorHAnsi"/>
                <w:sz w:val="20"/>
                <w:szCs w:val="20"/>
              </w:rPr>
              <w:t>Energía</w:t>
            </w:r>
          </w:p>
        </w:tc>
      </w:tr>
    </w:tbl>
    <w:p w14:paraId="7D3A1380" w14:textId="77777777" w:rsidR="003416F1" w:rsidRPr="00B239E7" w:rsidRDefault="003416F1" w:rsidP="003416F1">
      <w:pPr>
        <w:spacing w:after="0"/>
      </w:pPr>
    </w:p>
    <w:p w14:paraId="380B21C4" w14:textId="77777777" w:rsidR="003416F1" w:rsidRPr="00B239E7" w:rsidRDefault="003416F1" w:rsidP="003416F1">
      <w:pPr>
        <w:pStyle w:val="Ttulo4"/>
      </w:pPr>
      <w:bookmarkStart w:id="231" w:name="_Toc27147827"/>
      <w:bookmarkStart w:id="232" w:name="_Toc39797794"/>
      <w:r w:rsidRPr="00B239E7">
        <w:t>Fundamentación de la Muestra Propuesta</w:t>
      </w:r>
      <w:r w:rsidRPr="00B239E7">
        <w:rPr>
          <w:rStyle w:val="Refdenotaalpie"/>
        </w:rPr>
        <w:footnoteReference w:id="21"/>
      </w:r>
      <w:bookmarkEnd w:id="231"/>
      <w:bookmarkEnd w:id="232"/>
    </w:p>
    <w:p w14:paraId="1E1B373E" w14:textId="57351864" w:rsidR="003416F1" w:rsidRPr="00B239E7" w:rsidRDefault="003416F1" w:rsidP="003416F1">
      <w:r w:rsidRPr="00B239E7">
        <w:t xml:space="preserve">La muestra de 79 empresas consideradas en la </w:t>
      </w:r>
      <w:r w:rsidR="00093F81">
        <w:t>encuesta PWC</w:t>
      </w:r>
      <w:r w:rsidRPr="00B239E7">
        <w:t xml:space="preserve"> incluye empresas de tamaños grande, medio grande, mediano y pequeño</w:t>
      </w:r>
      <w:r w:rsidRPr="00B239E7">
        <w:rPr>
          <w:rStyle w:val="Refdenotaalpie"/>
        </w:rPr>
        <w:footnoteReference w:id="22"/>
      </w:r>
      <w:r w:rsidRPr="00B239E7">
        <w:t xml:space="preserve">. Para el análisis de remuneraciones de una empresa </w:t>
      </w:r>
      <w:r w:rsidRPr="00B239E7">
        <w:lastRenderedPageBreak/>
        <w:t>que atiende la operación, mantenimiento y administración del sistema de transmisión nacional, el Consorcio consideró adecuado seleccionar empresas similares a eléctricas de tamaños grande, medio grande y medianas.</w:t>
      </w:r>
    </w:p>
    <w:p w14:paraId="1523139A" w14:textId="25B39A0C" w:rsidR="003416F1" w:rsidRPr="00B239E7" w:rsidRDefault="003416F1" w:rsidP="003416F1">
      <w:r w:rsidRPr="00B239E7">
        <w:t xml:space="preserve">En efecto, a juicio del Consultor, la </w:t>
      </w:r>
      <w:r w:rsidR="001A6E11" w:rsidRPr="00B239E7">
        <w:t>EM</w:t>
      </w:r>
      <w:r w:rsidRPr="00B239E7">
        <w:t xml:space="preserve"> que atiende el STN debe ser en principio una empresa grande según la definición de tamaño que hace </w:t>
      </w:r>
      <w:r w:rsidR="00093F81">
        <w:t>PWC</w:t>
      </w:r>
      <w:r w:rsidRPr="00B239E7">
        <w:t xml:space="preserve"> (ventas anuales por sobre los USD 250.000.000). Sin embargo, la encuesta de </w:t>
      </w:r>
      <w:r w:rsidR="00093F81">
        <w:t>PWC</w:t>
      </w:r>
      <w:r w:rsidRPr="00B239E7">
        <w:t xml:space="preserve"> tiene entre las empresas grandes sólo a dos empresas del rubro energía, a saber, Chilquinta y Colbún. Para incrementar el tamaño de la muestra -que debe ser superior a diez según lo exige </w:t>
      </w:r>
      <w:r w:rsidR="00093F81">
        <w:t>PWC</w:t>
      </w:r>
      <w:r w:rsidRPr="00B239E7">
        <w:t xml:space="preserve">- se incluyeron empresas grandes de otros servicios como telecomunicaciones (3 empresas), servicios sanitarios (1 empresa), de maquinarias y equipos (1 empresa) y empresas del sector petróleo (2 empresas) con lo que se completa una muestra de 9 empresas grandes. </w:t>
      </w:r>
    </w:p>
    <w:p w14:paraId="7DB3B8C2" w14:textId="77777777" w:rsidR="003416F1" w:rsidRPr="00B239E7" w:rsidRDefault="003416F1" w:rsidP="003416F1">
      <w:r w:rsidRPr="00B239E7">
        <w:t>Para incrementar la presencia de empresas de energía eléctrica se consideró necesario también incluir empresas medianas, lo que se logra al incorporar a la muestra a las empresas Transelec, Interchile e Hidroeléctrica Ñuble SPA, completando un total de 12 empresas.</w:t>
      </w:r>
    </w:p>
    <w:p w14:paraId="72C3E50E" w14:textId="7599FD58" w:rsidR="003416F1" w:rsidRPr="00B239E7" w:rsidRDefault="003416F1" w:rsidP="003416F1">
      <w:r w:rsidRPr="00B239E7">
        <w:t>Originalmente se pensó en adicionar a la muestra anterior 2 empresas mineras grandes y dos medio grandes, con lo que se llegó a 16 empresas. La inclusión de empresas mineras obedecía al hecho de que éstas, al poseer sistemas eléctricos de transmisión y distribución industrial, compiten por profesionales y operarios en el mismo mercado laboral que las empresas eléctricas.</w:t>
      </w:r>
    </w:p>
    <w:p w14:paraId="60375095" w14:textId="77777777" w:rsidR="003416F1" w:rsidRPr="00B239E7" w:rsidRDefault="003416F1" w:rsidP="003416F1">
      <w:r w:rsidRPr="00B239E7">
        <w:t>Respecto de esta selección, y mediante comunicación del 27 de septiembre, el Comité manifestó su inquietud respecto a, por una parte, la consideración de sólo 16 empresas en la muestra, y por otra, la elevada presencia de empresas mineras (25% del total).</w:t>
      </w:r>
    </w:p>
    <w:p w14:paraId="451B3FC4" w14:textId="77777777" w:rsidR="003416F1" w:rsidRPr="00B239E7" w:rsidRDefault="003416F1" w:rsidP="003416F1">
      <w:r w:rsidRPr="00B239E7">
        <w:t>Frente a esta observación el Consultor optó por reducir la presencia de empresas mineras, limitándola a las dos mineras grandes, y por incorporar tres empresas medianas más del rubro servicios y energía, completando una muestra de 17 empresas.</w:t>
      </w:r>
    </w:p>
    <w:p w14:paraId="416A21A9" w14:textId="77777777" w:rsidR="003416F1" w:rsidRPr="00B239E7" w:rsidRDefault="003416F1" w:rsidP="003416F1">
      <w:r w:rsidRPr="00B239E7">
        <w:t>Finalmente, se señala que no se considera o incorpora empresas del rubro ingeniería, construcción e inmobiliaria por estimarse más asociado al sector construcción de edificios y casas, esto es, alejado del segmento más tecnológico de transmisión eléctrica. Las demás empresas asociadas al rubro eléctrico eran empresas pequeñas, que no se consideró pertinente mezclar con las empresas medianas y grandes.</w:t>
      </w:r>
    </w:p>
    <w:p w14:paraId="1F9A39F9" w14:textId="628A4280" w:rsidR="003416F1" w:rsidRPr="00B239E7" w:rsidRDefault="003416F1" w:rsidP="003416F1">
      <w:pPr>
        <w:pStyle w:val="Ttulo4"/>
      </w:pPr>
      <w:bookmarkStart w:id="233" w:name="_Toc39797795"/>
      <w:r w:rsidRPr="00B239E7">
        <w:t xml:space="preserve">Costos de personal </w:t>
      </w:r>
      <w:r w:rsidR="001A6E11" w:rsidRPr="00B239E7">
        <w:t>de la EM</w:t>
      </w:r>
      <w:bookmarkEnd w:id="233"/>
    </w:p>
    <w:p w14:paraId="7AAEB64F" w14:textId="6B72F8E1" w:rsidR="003416F1" w:rsidRPr="00B239E7" w:rsidRDefault="003416F1" w:rsidP="003416F1">
      <w:r w:rsidRPr="00B239E7">
        <w:t xml:space="preserve">El costo total empresa por concepto de compensaciones del personal de la </w:t>
      </w:r>
      <w:r w:rsidR="001A6E11" w:rsidRPr="00B239E7">
        <w:t>EM</w:t>
      </w:r>
      <w:r w:rsidRPr="00B239E7">
        <w:t xml:space="preserve"> se compone de tres elementos:</w:t>
      </w:r>
    </w:p>
    <w:p w14:paraId="1B94DF06" w14:textId="77777777" w:rsidR="003416F1" w:rsidRPr="00B239E7" w:rsidRDefault="003416F1" w:rsidP="00273FE4">
      <w:pPr>
        <w:pStyle w:val="Listanumerada"/>
        <w:numPr>
          <w:ilvl w:val="0"/>
          <w:numId w:val="19"/>
        </w:numPr>
        <w:spacing w:after="200"/>
        <w:ind w:left="567" w:hanging="567"/>
      </w:pPr>
      <w:r w:rsidRPr="00B239E7">
        <w:lastRenderedPageBreak/>
        <w:t>Remuneración Bruta, la que se define como la suma de componentes fijos garantizados y componentes variables o no garantizados.</w:t>
      </w:r>
    </w:p>
    <w:p w14:paraId="393CB96E" w14:textId="77777777" w:rsidR="003416F1" w:rsidRPr="00B239E7" w:rsidRDefault="003416F1" w:rsidP="00273FE4">
      <w:pPr>
        <w:pStyle w:val="Listanumerada"/>
        <w:numPr>
          <w:ilvl w:val="0"/>
          <w:numId w:val="19"/>
        </w:numPr>
        <w:spacing w:after="200"/>
        <w:ind w:left="567" w:hanging="567"/>
      </w:pPr>
      <w:r w:rsidRPr="00B239E7">
        <w:t>Obligaciones legales.</w:t>
      </w:r>
    </w:p>
    <w:p w14:paraId="69A2790A" w14:textId="77777777" w:rsidR="003416F1" w:rsidRPr="00B239E7" w:rsidRDefault="003416F1" w:rsidP="00273FE4">
      <w:pPr>
        <w:pStyle w:val="Listanumerada"/>
        <w:numPr>
          <w:ilvl w:val="0"/>
          <w:numId w:val="19"/>
        </w:numPr>
        <w:spacing w:after="200"/>
        <w:ind w:left="567" w:hanging="567"/>
      </w:pPr>
      <w:r w:rsidRPr="00B239E7">
        <w:t>Beneficios adicionales a la remuneración bruta.</w:t>
      </w:r>
    </w:p>
    <w:p w14:paraId="2F99082A" w14:textId="02C276F6" w:rsidR="004B26A6" w:rsidRDefault="004B26A6" w:rsidP="004B26A6">
      <w:r w:rsidRPr="00D00894">
        <w:t>Estos tres componentes son otorgados al personal propio de la EM. Sin emba</w:t>
      </w:r>
      <w:r w:rsidR="00D00894" w:rsidRPr="00D00894">
        <w:t xml:space="preserve">rgo, el personal tercerizado, </w:t>
      </w:r>
      <w:r w:rsidRPr="00D00894">
        <w:t>de acuerdo a lo que establecen las bases técnicas en el capítulo 3.6.2.4 (“</w:t>
      </w:r>
      <w:r w:rsidRPr="00D00894">
        <w:rPr>
          <w:i/>
        </w:rPr>
        <w:t>...en caso que el consultor  determine las remuneraciones del personal tercerizado  considerando  un  estudio  de  remuneraciones  de  mercado  realizado  por  empresas especialistas del rubro, cuya muestra corresponda exclusivamente a empresas que ejecutan labores externalizadas por otras empresas, podrá incluir en el costo de remuneraciones beneficios adicionales...</w:t>
      </w:r>
      <w:r w:rsidRPr="00D00894">
        <w:t xml:space="preserve">”), </w:t>
      </w:r>
      <w:r w:rsidR="00E8232C" w:rsidRPr="00D00894">
        <w:t xml:space="preserve">recibe los componente I y II, y </w:t>
      </w:r>
      <w:r w:rsidRPr="00D00894">
        <w:t>no recibe beneficios adicionales. En efecto, el Consultor adquirió una única encuesta para determinar las remuneraciones tanto de personal propio como de personal tercerizado, como se indica más arriba.</w:t>
      </w:r>
    </w:p>
    <w:p w14:paraId="190A6ACC" w14:textId="77777777" w:rsidR="003416F1" w:rsidRPr="00B239E7" w:rsidRDefault="003416F1" w:rsidP="003416F1">
      <w:r w:rsidRPr="00B239E7">
        <w:t>A continuación se describen cada uno de ellos.</w:t>
      </w:r>
    </w:p>
    <w:p w14:paraId="3FAFD8BE" w14:textId="77777777" w:rsidR="003416F1" w:rsidRPr="005A6F95" w:rsidRDefault="003416F1" w:rsidP="005A6F95">
      <w:pPr>
        <w:pStyle w:val="Ttulo5"/>
      </w:pPr>
      <w:r w:rsidRPr="005A6F95">
        <w:t>Remuneración Bruta</w:t>
      </w:r>
    </w:p>
    <w:p w14:paraId="581AD98C" w14:textId="77777777" w:rsidR="003416F1" w:rsidRPr="00B239E7" w:rsidRDefault="003416F1" w:rsidP="003416F1">
      <w:r w:rsidRPr="00B239E7">
        <w:t>La remuneración bruta se compone de componentes fijos y componentes variables, todos mensualizados y pagados en dinero a los trabajadores o colaboradores:</w:t>
      </w:r>
    </w:p>
    <w:p w14:paraId="1918B89D" w14:textId="77777777" w:rsidR="003416F1" w:rsidRPr="00B239E7" w:rsidRDefault="003416F1" w:rsidP="005A6F95">
      <w:pPr>
        <w:rPr>
          <w:b/>
          <w:color w:val="000000"/>
          <w:u w:val="single"/>
        </w:rPr>
      </w:pPr>
      <w:r w:rsidRPr="00B239E7">
        <w:rPr>
          <w:b/>
          <w:color w:val="000000"/>
          <w:u w:val="single"/>
        </w:rPr>
        <w:t>Componentes Fijos:</w:t>
      </w:r>
    </w:p>
    <w:p w14:paraId="646F0FF6" w14:textId="77777777" w:rsidR="003416F1" w:rsidRPr="005A6F95" w:rsidRDefault="003416F1" w:rsidP="00273FE4">
      <w:pPr>
        <w:pStyle w:val="Prrafodelista"/>
        <w:numPr>
          <w:ilvl w:val="0"/>
          <w:numId w:val="53"/>
        </w:numPr>
        <w:ind w:left="567" w:hanging="567"/>
      </w:pPr>
      <w:r w:rsidRPr="005A6F95">
        <w:rPr>
          <w:b/>
        </w:rPr>
        <w:t>Sueldo Base</w:t>
      </w:r>
      <w:r w:rsidRPr="005A6F95">
        <w:t>: Corresponde al sueldo contractual mensual recibido por el colaborador, antes de descuentos previsionales e impuestos.</w:t>
      </w:r>
    </w:p>
    <w:p w14:paraId="13C441A9" w14:textId="77777777" w:rsidR="003416F1" w:rsidRPr="005A6F95" w:rsidRDefault="003416F1" w:rsidP="00273FE4">
      <w:pPr>
        <w:pStyle w:val="Prrafodelista"/>
        <w:numPr>
          <w:ilvl w:val="0"/>
          <w:numId w:val="53"/>
        </w:numPr>
        <w:ind w:left="567" w:hanging="567"/>
      </w:pPr>
      <w:r w:rsidRPr="005A6F95">
        <w:rPr>
          <w:b/>
        </w:rPr>
        <w:t>Gratificación Legal</w:t>
      </w:r>
      <w:r w:rsidRPr="005A6F95">
        <w:t xml:space="preserve">: Corresponde a la parte de las utilidades con que el empleador beneficia el sueldo del colaborador. En efecto, de conformidad con lo dispuesto en el artículo 47 del Código del Trabajo, los empleadores que obtienen utilidades líquidas en su giro tienen la obligación de gratificar anualmente a sus colaboradores, sea por la modalidad del señalado artículo 47, es decir, en proporción no inferior al 30% de dichas utilidades o por la vía del artículo 50, esto es, pagando al colaborador el 25% de lo devengado en el respectivo ejercicio comercial por concepto de remuneraciones mensuales con un límite de 4.75 ingresos mínimos mensuales. </w:t>
      </w:r>
    </w:p>
    <w:p w14:paraId="6B17BC72" w14:textId="77777777" w:rsidR="003416F1" w:rsidRPr="005A6F95" w:rsidRDefault="003416F1" w:rsidP="00273FE4">
      <w:pPr>
        <w:pStyle w:val="Prrafodelista"/>
        <w:numPr>
          <w:ilvl w:val="0"/>
          <w:numId w:val="53"/>
        </w:numPr>
        <w:ind w:left="567" w:hanging="567"/>
      </w:pPr>
      <w:r w:rsidRPr="005A6F95">
        <w:rPr>
          <w:b/>
        </w:rPr>
        <w:t>Asignación de Zona</w:t>
      </w:r>
      <w:r w:rsidRPr="005A6F95">
        <w:t xml:space="preserve">: Corresponde a la suma de dinero percibida por el colaborador, por cumplir funciones en alguna región específica. </w:t>
      </w:r>
    </w:p>
    <w:p w14:paraId="08A54945" w14:textId="77777777" w:rsidR="003416F1" w:rsidRPr="005A6F95" w:rsidRDefault="003416F1" w:rsidP="00273FE4">
      <w:pPr>
        <w:pStyle w:val="Prrafodelista"/>
        <w:numPr>
          <w:ilvl w:val="0"/>
          <w:numId w:val="53"/>
        </w:numPr>
        <w:ind w:left="567" w:hanging="567"/>
      </w:pPr>
      <w:r w:rsidRPr="005A6F95">
        <w:rPr>
          <w:b/>
        </w:rPr>
        <w:lastRenderedPageBreak/>
        <w:t>Aguinaldo Navidad</w:t>
      </w:r>
      <w:r w:rsidRPr="005A6F95">
        <w:t xml:space="preserve">: Es la asignación en dinero entregada al colaborador en el mes de diciembre, por concepto de Navidad. </w:t>
      </w:r>
    </w:p>
    <w:p w14:paraId="47F88640" w14:textId="77777777" w:rsidR="003416F1" w:rsidRPr="005A6F95" w:rsidRDefault="003416F1" w:rsidP="00273FE4">
      <w:pPr>
        <w:pStyle w:val="Prrafodelista"/>
        <w:numPr>
          <w:ilvl w:val="0"/>
          <w:numId w:val="53"/>
        </w:numPr>
        <w:ind w:left="567" w:hanging="567"/>
      </w:pPr>
      <w:r w:rsidRPr="005A6F95">
        <w:rPr>
          <w:b/>
        </w:rPr>
        <w:t>Aguinaldo Fiestas Patrias</w:t>
      </w:r>
      <w:r w:rsidRPr="005A6F95">
        <w:t xml:space="preserve">: Es la asignación en dinero entregada al colaborador en el mes de septiembre, por concepto de Fiestas Patrias. </w:t>
      </w:r>
    </w:p>
    <w:p w14:paraId="24432935" w14:textId="77777777" w:rsidR="003416F1" w:rsidRPr="005A6F95" w:rsidRDefault="003416F1" w:rsidP="00273FE4">
      <w:pPr>
        <w:pStyle w:val="Prrafodelista"/>
        <w:numPr>
          <w:ilvl w:val="0"/>
          <w:numId w:val="53"/>
        </w:numPr>
        <w:ind w:left="567" w:hanging="567"/>
      </w:pPr>
      <w:r w:rsidRPr="005A6F95">
        <w:rPr>
          <w:b/>
        </w:rPr>
        <w:t>Bono de Vacaciones</w:t>
      </w:r>
      <w:r w:rsidRPr="005A6F95">
        <w:t xml:space="preserve">: Es la asignación en dinero entregada al colaborador, por concepto de Vacaciones. </w:t>
      </w:r>
    </w:p>
    <w:p w14:paraId="3F909592" w14:textId="77777777" w:rsidR="003416F1" w:rsidRPr="005A6F95" w:rsidRDefault="003416F1" w:rsidP="00273FE4">
      <w:pPr>
        <w:pStyle w:val="Prrafodelista"/>
        <w:numPr>
          <w:ilvl w:val="0"/>
          <w:numId w:val="53"/>
        </w:numPr>
        <w:ind w:left="567" w:hanging="567"/>
      </w:pPr>
      <w:r w:rsidRPr="005A6F95">
        <w:rPr>
          <w:b/>
        </w:rPr>
        <w:t>Asignación de Colación</w:t>
      </w:r>
      <w:r w:rsidRPr="005A6F95">
        <w:t xml:space="preserve">: Es la asignación en dinero percibida por el concepto de colación, excluyendo vales de almuerzo y valor de casino, ya que se consideran como un beneficio. </w:t>
      </w:r>
    </w:p>
    <w:p w14:paraId="28C6C82C" w14:textId="77777777" w:rsidR="003416F1" w:rsidRPr="005A6F95" w:rsidRDefault="003416F1" w:rsidP="00273FE4">
      <w:pPr>
        <w:pStyle w:val="Prrafodelista"/>
        <w:numPr>
          <w:ilvl w:val="0"/>
          <w:numId w:val="53"/>
        </w:numPr>
        <w:ind w:left="567" w:hanging="567"/>
      </w:pPr>
      <w:r w:rsidRPr="005A6F95">
        <w:rPr>
          <w:b/>
        </w:rPr>
        <w:t>Asignación de Movilización</w:t>
      </w:r>
      <w:r w:rsidRPr="005A6F95">
        <w:t>: Es la asignación en dinero percibida por el cargo por concepto de movilización.</w:t>
      </w:r>
    </w:p>
    <w:p w14:paraId="6CFA1A6C" w14:textId="77777777" w:rsidR="003416F1" w:rsidRPr="005A6F95" w:rsidRDefault="003416F1" w:rsidP="00273FE4">
      <w:pPr>
        <w:pStyle w:val="Prrafodelista"/>
        <w:numPr>
          <w:ilvl w:val="0"/>
          <w:numId w:val="53"/>
        </w:numPr>
        <w:ind w:left="567" w:hanging="567"/>
      </w:pPr>
      <w:r w:rsidRPr="005A6F95">
        <w:rPr>
          <w:b/>
        </w:rPr>
        <w:t>Otros Fijos Imponibles</w:t>
      </w:r>
      <w:r w:rsidRPr="005A6F95">
        <w:t xml:space="preserve">: Corresponde a las restantes sumas en dinero que percibe el cargo bajo cualquier otro concepto y que son imponibles y tributables. </w:t>
      </w:r>
    </w:p>
    <w:p w14:paraId="51D4844A" w14:textId="77777777" w:rsidR="003416F1" w:rsidRPr="005A6F95" w:rsidRDefault="003416F1" w:rsidP="00273FE4">
      <w:pPr>
        <w:pStyle w:val="Prrafodelista"/>
        <w:numPr>
          <w:ilvl w:val="0"/>
          <w:numId w:val="53"/>
        </w:numPr>
        <w:ind w:left="567" w:hanging="567"/>
      </w:pPr>
      <w:r w:rsidRPr="005A6F95">
        <w:rPr>
          <w:b/>
        </w:rPr>
        <w:t>Gratificación Convencional (Garantizada)</w:t>
      </w:r>
      <w:r w:rsidRPr="005A6F95">
        <w:t xml:space="preserve">: Corresponde a la gratificación acordada entre empleador y colaborador, la cual debe ser pagada aun cuando la empresa no haya obtenido utilidades líquidas. </w:t>
      </w:r>
    </w:p>
    <w:p w14:paraId="60E3E9D1" w14:textId="77777777" w:rsidR="003416F1" w:rsidRPr="005A6F95" w:rsidRDefault="003416F1" w:rsidP="00273FE4">
      <w:pPr>
        <w:pStyle w:val="Prrafodelista"/>
        <w:numPr>
          <w:ilvl w:val="0"/>
          <w:numId w:val="53"/>
        </w:numPr>
        <w:ind w:left="567" w:hanging="567"/>
      </w:pPr>
      <w:r w:rsidRPr="005A6F95">
        <w:rPr>
          <w:b/>
        </w:rPr>
        <w:t>Otros Fijos no Imponibles</w:t>
      </w:r>
      <w:r w:rsidRPr="005A6F95">
        <w:t>: Corresponde a las restantes sumas en dinero que percibe el cargo bajo cualquier otro concepto.</w:t>
      </w:r>
    </w:p>
    <w:p w14:paraId="228DD616" w14:textId="77777777" w:rsidR="003416F1" w:rsidRPr="00B239E7" w:rsidRDefault="003416F1" w:rsidP="005A6F95">
      <w:pPr>
        <w:rPr>
          <w:b/>
          <w:color w:val="000000"/>
          <w:u w:val="single"/>
        </w:rPr>
      </w:pPr>
      <w:r w:rsidRPr="00B239E7">
        <w:rPr>
          <w:b/>
          <w:color w:val="000000"/>
          <w:u w:val="single"/>
        </w:rPr>
        <w:t>Componentes Variables:</w:t>
      </w:r>
    </w:p>
    <w:p w14:paraId="365AD7B2" w14:textId="77777777" w:rsidR="003416F1" w:rsidRPr="005A6F95" w:rsidRDefault="003416F1" w:rsidP="00273FE4">
      <w:pPr>
        <w:pStyle w:val="Prrafodelista"/>
        <w:numPr>
          <w:ilvl w:val="0"/>
          <w:numId w:val="54"/>
        </w:numPr>
        <w:ind w:left="567" w:hanging="567"/>
      </w:pPr>
      <w:r w:rsidRPr="005A6F95">
        <w:rPr>
          <w:b/>
        </w:rPr>
        <w:t>Bono Gestión Real Pagado</w:t>
      </w:r>
      <w:r w:rsidRPr="005A6F95">
        <w:t xml:space="preserve">: Es el incentivo de gestión efectivamente pagado en base a cumplimiento de metas. </w:t>
      </w:r>
    </w:p>
    <w:p w14:paraId="56118900" w14:textId="77777777" w:rsidR="003416F1" w:rsidRPr="005A6F95" w:rsidRDefault="003416F1" w:rsidP="00273FE4">
      <w:pPr>
        <w:pStyle w:val="Prrafodelista"/>
        <w:numPr>
          <w:ilvl w:val="0"/>
          <w:numId w:val="54"/>
        </w:numPr>
        <w:ind w:left="567" w:hanging="567"/>
      </w:pPr>
      <w:r w:rsidRPr="005A6F95">
        <w:rPr>
          <w:b/>
        </w:rPr>
        <w:t>Gratificación No Garantizada</w:t>
      </w:r>
      <w:r w:rsidRPr="005A6F95">
        <w:t xml:space="preserve">: Corresponde a la gratificación acordada entre empleador y colaborador, la cual está sujeta a la eventualidad de que la empresa obtenga utilidades líquidas en el respectivo ejercicio comercial. </w:t>
      </w:r>
    </w:p>
    <w:p w14:paraId="79C1ADD2" w14:textId="77777777" w:rsidR="003416F1" w:rsidRPr="005A6F95" w:rsidRDefault="003416F1" w:rsidP="00273FE4">
      <w:pPr>
        <w:pStyle w:val="Prrafodelista"/>
        <w:numPr>
          <w:ilvl w:val="0"/>
          <w:numId w:val="54"/>
        </w:numPr>
        <w:ind w:left="567" w:hanging="567"/>
      </w:pPr>
      <w:r w:rsidRPr="005A6F95">
        <w:rPr>
          <w:b/>
        </w:rPr>
        <w:t>Bonos e Incentivos de Producción</w:t>
      </w:r>
      <w:r w:rsidRPr="005A6F95">
        <w:t xml:space="preserve">: Corresponde a la asignación en dinero percibida por el colaborador como incentivo a la productividad. </w:t>
      </w:r>
    </w:p>
    <w:p w14:paraId="163655EA" w14:textId="77777777" w:rsidR="003416F1" w:rsidRPr="005A6F95" w:rsidRDefault="003416F1" w:rsidP="00273FE4">
      <w:pPr>
        <w:pStyle w:val="Prrafodelista"/>
        <w:numPr>
          <w:ilvl w:val="0"/>
          <w:numId w:val="54"/>
        </w:numPr>
        <w:ind w:left="567" w:hanging="567"/>
      </w:pPr>
      <w:r w:rsidRPr="005A6F95">
        <w:rPr>
          <w:b/>
        </w:rPr>
        <w:t>Comisiones e Incentivos por Venta</w:t>
      </w:r>
      <w:r w:rsidRPr="005A6F95">
        <w:t xml:space="preserve">: Es la asignación en dinero recibida por el colaborador como incentivo a las ventas. </w:t>
      </w:r>
    </w:p>
    <w:p w14:paraId="3D8AB8F7" w14:textId="26F58777" w:rsidR="003416F1" w:rsidRPr="005A6F95" w:rsidRDefault="003416F1" w:rsidP="00273FE4">
      <w:pPr>
        <w:pStyle w:val="Prrafodelista"/>
        <w:numPr>
          <w:ilvl w:val="0"/>
          <w:numId w:val="54"/>
        </w:numPr>
        <w:ind w:left="567" w:hanging="567"/>
      </w:pPr>
      <w:r w:rsidRPr="005A6F95">
        <w:rPr>
          <w:b/>
        </w:rPr>
        <w:t>Otros Variables</w:t>
      </w:r>
      <w:r w:rsidRPr="005A6F95">
        <w:t xml:space="preserve">: Corresponde a otros conceptos variables entregados a los colaboradores </w:t>
      </w:r>
      <w:r w:rsidR="008D4432" w:rsidRPr="005A6F95">
        <w:t>no descrito</w:t>
      </w:r>
      <w:r w:rsidRPr="005A6F95">
        <w:t xml:space="preserve"> anteriormente.</w:t>
      </w:r>
    </w:p>
    <w:p w14:paraId="2ACA58E2" w14:textId="33453F45" w:rsidR="00804A2F" w:rsidRPr="00804A2F" w:rsidRDefault="00804A2F" w:rsidP="005A6F95">
      <w:pPr>
        <w:spacing w:after="160" w:line="259" w:lineRule="auto"/>
        <w:rPr>
          <w:color w:val="000000"/>
        </w:rPr>
      </w:pPr>
      <w:r>
        <w:rPr>
          <w:color w:val="000000"/>
        </w:rPr>
        <w:lastRenderedPageBreak/>
        <w:t xml:space="preserve">Cabe destacar que, según información recibida de </w:t>
      </w:r>
      <w:r w:rsidR="00093F81">
        <w:rPr>
          <w:color w:val="000000"/>
        </w:rPr>
        <w:t>PWC</w:t>
      </w:r>
      <w:r>
        <w:rPr>
          <w:color w:val="000000"/>
        </w:rPr>
        <w:t xml:space="preserve">, todos </w:t>
      </w:r>
      <w:r w:rsidRPr="00804A2F">
        <w:rPr>
          <w:color w:val="000000"/>
        </w:rPr>
        <w:t xml:space="preserve">los haberes que no se encuentran detallados dentro de los componentes de </w:t>
      </w:r>
      <w:r>
        <w:rPr>
          <w:color w:val="000000"/>
        </w:rPr>
        <w:t>remuneración descritos</w:t>
      </w:r>
      <w:r w:rsidRPr="00804A2F">
        <w:rPr>
          <w:color w:val="000000"/>
        </w:rPr>
        <w:t xml:space="preserve">, se encuentran en categoría </w:t>
      </w:r>
      <w:r>
        <w:rPr>
          <w:color w:val="000000"/>
        </w:rPr>
        <w:t>“</w:t>
      </w:r>
      <w:r w:rsidRPr="00804A2F">
        <w:rPr>
          <w:color w:val="000000"/>
        </w:rPr>
        <w:t>otros</w:t>
      </w:r>
      <w:r>
        <w:rPr>
          <w:color w:val="000000"/>
        </w:rPr>
        <w:t>”</w:t>
      </w:r>
      <w:r w:rsidRPr="00804A2F">
        <w:rPr>
          <w:color w:val="000000"/>
        </w:rPr>
        <w:t>, ya sean fijos o variables</w:t>
      </w:r>
      <w:r>
        <w:rPr>
          <w:color w:val="000000"/>
        </w:rPr>
        <w:t>, como renta bruta mensualizada. Es el caso por ejemplo de</w:t>
      </w:r>
      <w:r w:rsidRPr="00804A2F">
        <w:rPr>
          <w:color w:val="000000"/>
        </w:rPr>
        <w:t xml:space="preserve"> </w:t>
      </w:r>
      <w:r>
        <w:rPr>
          <w:color w:val="000000"/>
        </w:rPr>
        <w:t xml:space="preserve">los </w:t>
      </w:r>
      <w:r w:rsidRPr="00804A2F">
        <w:rPr>
          <w:color w:val="000000"/>
        </w:rPr>
        <w:t>recargos que pueda tener un operador del Centro de Control</w:t>
      </w:r>
      <w:r>
        <w:rPr>
          <w:color w:val="000000"/>
        </w:rPr>
        <w:t xml:space="preserve"> </w:t>
      </w:r>
      <w:r w:rsidRPr="00804A2F">
        <w:rPr>
          <w:color w:val="000000"/>
        </w:rPr>
        <w:t>por turnos rotativos</w:t>
      </w:r>
      <w:r>
        <w:rPr>
          <w:color w:val="000000"/>
        </w:rPr>
        <w:t>.</w:t>
      </w:r>
    </w:p>
    <w:p w14:paraId="0DE6B619" w14:textId="77777777" w:rsidR="003416F1" w:rsidRPr="00B239E7" w:rsidRDefault="003416F1" w:rsidP="005A6F95">
      <w:pPr>
        <w:pStyle w:val="Ttulo5"/>
      </w:pPr>
      <w:r w:rsidRPr="00B239E7">
        <w:t>Obligaciones Legales</w:t>
      </w:r>
    </w:p>
    <w:p w14:paraId="66E492CE" w14:textId="77777777" w:rsidR="003416F1" w:rsidRPr="00B239E7" w:rsidRDefault="003416F1" w:rsidP="003416F1">
      <w:r w:rsidRPr="00B239E7">
        <w:t xml:space="preserve">Corresponden a obligaciones contempladas en la legislación chilena: seguro de cesantía, seguro de accidentes del trabajo y seguro de invalidez y sobrevivencia: </w:t>
      </w:r>
    </w:p>
    <w:p w14:paraId="69E0CBBD" w14:textId="4A3F2AB8" w:rsidR="003416F1" w:rsidRPr="00B239E7" w:rsidRDefault="003416F1" w:rsidP="00273FE4">
      <w:pPr>
        <w:pStyle w:val="Prrafodelista"/>
        <w:numPr>
          <w:ilvl w:val="0"/>
          <w:numId w:val="55"/>
        </w:numPr>
        <w:ind w:left="567" w:hanging="567"/>
      </w:pPr>
      <w:r w:rsidRPr="005A6F95">
        <w:rPr>
          <w:b/>
        </w:rPr>
        <w:t>Seguro de cesantía</w:t>
      </w:r>
      <w:r w:rsidRPr="00B239E7">
        <w:rPr>
          <w:b/>
          <w:u w:val="single"/>
        </w:rPr>
        <w:t>:</w:t>
      </w:r>
      <w:r w:rsidRPr="00B239E7">
        <w:rPr>
          <w:b/>
        </w:rPr>
        <w:t xml:space="preserve"> </w:t>
      </w:r>
      <w:r w:rsidR="005A6F95">
        <w:t>Corresponde al 2,</w:t>
      </w:r>
      <w:r w:rsidRPr="00B239E7">
        <w:t>4% de la remuneración bruta imponible mensual con tope de 1</w:t>
      </w:r>
      <w:r w:rsidR="005A6F95">
        <w:t>20,3 UF, y que complementa el 0,</w:t>
      </w:r>
      <w:r w:rsidRPr="00B239E7">
        <w:t>6% que paga el trabajador (cotización total para el seguro de cesantía: 3.0%).</w:t>
      </w:r>
    </w:p>
    <w:p w14:paraId="6FF508DE" w14:textId="153F83B7" w:rsidR="003416F1" w:rsidRPr="00B239E7" w:rsidRDefault="003416F1" w:rsidP="00273FE4">
      <w:pPr>
        <w:pStyle w:val="Prrafodelista"/>
        <w:numPr>
          <w:ilvl w:val="0"/>
          <w:numId w:val="55"/>
        </w:numPr>
        <w:ind w:left="567" w:hanging="567"/>
      </w:pPr>
      <w:r w:rsidRPr="005A6F95">
        <w:rPr>
          <w:b/>
        </w:rPr>
        <w:t>Seguro contra accidentes del trabajo</w:t>
      </w:r>
      <w:r w:rsidRPr="00B239E7">
        <w:rPr>
          <w:b/>
          <w:u w:val="single"/>
        </w:rPr>
        <w:t>:</w:t>
      </w:r>
      <w:r w:rsidR="005A6F95">
        <w:t xml:space="preserve"> Corresponde al 0,</w:t>
      </w:r>
      <w:r w:rsidRPr="00B239E7">
        <w:t>95% de la remuneración bruta i</w:t>
      </w:r>
      <w:r w:rsidR="005A6F95">
        <w:t>mponible mensual con tope de 80,</w:t>
      </w:r>
      <w:r w:rsidRPr="00B239E7">
        <w:t>2 UF.</w:t>
      </w:r>
    </w:p>
    <w:p w14:paraId="26622C7A" w14:textId="7D0D66D4" w:rsidR="003416F1" w:rsidRPr="00B239E7" w:rsidRDefault="003416F1" w:rsidP="00273FE4">
      <w:pPr>
        <w:pStyle w:val="Prrafodelista"/>
        <w:numPr>
          <w:ilvl w:val="0"/>
          <w:numId w:val="55"/>
        </w:numPr>
        <w:ind w:left="567" w:hanging="567"/>
      </w:pPr>
      <w:r w:rsidRPr="005A6F95">
        <w:rPr>
          <w:b/>
        </w:rPr>
        <w:t>Seguro de invalidez y sobrevivencia</w:t>
      </w:r>
      <w:r w:rsidRPr="00B239E7">
        <w:rPr>
          <w:b/>
          <w:u w:val="single"/>
        </w:rPr>
        <w:t>:</w:t>
      </w:r>
      <w:r w:rsidR="005A6F95">
        <w:t xml:space="preserve"> Corresponde al 1,</w:t>
      </w:r>
      <w:r w:rsidRPr="00B239E7">
        <w:t>53% de la remuneración bruta imponible mensual con tope de 80.2 UF.</w:t>
      </w:r>
    </w:p>
    <w:p w14:paraId="1F5119AA" w14:textId="511BAED7" w:rsidR="003416F1" w:rsidRPr="00B239E7" w:rsidRDefault="005A6F95" w:rsidP="003416F1">
      <w:pPr>
        <w:rPr>
          <w:color w:val="000000"/>
        </w:rPr>
      </w:pPr>
      <w:r>
        <w:rPr>
          <w:color w:val="000000"/>
        </w:rPr>
        <w:t>Salvo el 0,</w:t>
      </w:r>
      <w:r w:rsidR="003416F1" w:rsidRPr="00B239E7">
        <w:rPr>
          <w:color w:val="000000"/>
        </w:rPr>
        <w:t xml:space="preserve">6% que paga el trabajador por concepto de seguro de cesantía, estos componentes no están considerados en la remuneración bruta, pero forman parte del costo laboral en que debe incurrir la </w:t>
      </w:r>
      <w:r w:rsidR="001A6E11" w:rsidRPr="00B239E7">
        <w:rPr>
          <w:color w:val="000000"/>
        </w:rPr>
        <w:t>EM</w:t>
      </w:r>
      <w:r w:rsidR="003416F1" w:rsidRPr="00B239E7">
        <w:rPr>
          <w:color w:val="000000"/>
        </w:rPr>
        <w:t xml:space="preserve">. </w:t>
      </w:r>
    </w:p>
    <w:p w14:paraId="05526454" w14:textId="4000F0F1" w:rsidR="003416F1" w:rsidRPr="00B239E7" w:rsidRDefault="003416F1" w:rsidP="005A6F95">
      <w:pPr>
        <w:pStyle w:val="Ttulo5"/>
      </w:pPr>
      <w:r w:rsidRPr="00B239E7">
        <w:t>Beneficios Adicionales</w:t>
      </w:r>
    </w:p>
    <w:p w14:paraId="44DFAEA0" w14:textId="2AA38A8D" w:rsidR="003416F1" w:rsidRPr="00B239E7" w:rsidRDefault="003416F1" w:rsidP="003416F1">
      <w:r w:rsidRPr="00B239E7">
        <w:t xml:space="preserve">Los beneficios adicionales corresponden a componentes no incluidos en la remuneración bruta y que pueden ser valorizados como costo empresa. Los beneficios adicionales considerados en la </w:t>
      </w:r>
      <w:r w:rsidR="00093F81">
        <w:t>encuesta PWC</w:t>
      </w:r>
      <w:r w:rsidRPr="00B239E7">
        <w:t xml:space="preserve"> son los siguientes:</w:t>
      </w:r>
    </w:p>
    <w:p w14:paraId="543B0E3C" w14:textId="77777777" w:rsidR="003416F1" w:rsidRPr="00C66F16" w:rsidRDefault="003416F1" w:rsidP="00273FE4">
      <w:pPr>
        <w:pStyle w:val="Prrafodelista"/>
        <w:numPr>
          <w:ilvl w:val="0"/>
          <w:numId w:val="56"/>
        </w:numPr>
        <w:spacing w:after="120"/>
        <w:ind w:left="567" w:hanging="567"/>
      </w:pPr>
      <w:r w:rsidRPr="00C66F16">
        <w:t>Asignación de celular</w:t>
      </w:r>
    </w:p>
    <w:p w14:paraId="789DF307" w14:textId="77777777" w:rsidR="003416F1" w:rsidRPr="00C66F16" w:rsidRDefault="003416F1" w:rsidP="00273FE4">
      <w:pPr>
        <w:pStyle w:val="Prrafodelista"/>
        <w:numPr>
          <w:ilvl w:val="0"/>
          <w:numId w:val="56"/>
        </w:numPr>
        <w:spacing w:after="120"/>
        <w:ind w:left="567" w:hanging="567"/>
      </w:pPr>
      <w:r w:rsidRPr="00C66F16">
        <w:t>Bono/Regalo por Años de Servicios</w:t>
      </w:r>
    </w:p>
    <w:p w14:paraId="5E814E93" w14:textId="77777777" w:rsidR="003416F1" w:rsidRPr="00C66F16" w:rsidRDefault="003416F1" w:rsidP="00273FE4">
      <w:pPr>
        <w:pStyle w:val="Prrafodelista"/>
        <w:numPr>
          <w:ilvl w:val="0"/>
          <w:numId w:val="56"/>
        </w:numPr>
        <w:spacing w:after="120"/>
        <w:ind w:left="567" w:hanging="567"/>
      </w:pPr>
      <w:r w:rsidRPr="00C66F16">
        <w:t>Plan complementario de salud</w:t>
      </w:r>
    </w:p>
    <w:p w14:paraId="21B04122" w14:textId="77777777" w:rsidR="003416F1" w:rsidRPr="00C66F16" w:rsidRDefault="003416F1" w:rsidP="00273FE4">
      <w:pPr>
        <w:pStyle w:val="Prrafodelista"/>
        <w:numPr>
          <w:ilvl w:val="0"/>
          <w:numId w:val="56"/>
        </w:numPr>
        <w:spacing w:after="120"/>
        <w:ind w:left="567" w:hanging="567"/>
      </w:pPr>
      <w:r w:rsidRPr="00C66F16">
        <w:t>Licencias médicas</w:t>
      </w:r>
    </w:p>
    <w:p w14:paraId="01BF8621" w14:textId="77777777" w:rsidR="003416F1" w:rsidRPr="00C66F16" w:rsidRDefault="003416F1" w:rsidP="00273FE4">
      <w:pPr>
        <w:pStyle w:val="Prrafodelista"/>
        <w:numPr>
          <w:ilvl w:val="0"/>
          <w:numId w:val="56"/>
        </w:numPr>
        <w:spacing w:after="120"/>
        <w:ind w:left="567" w:hanging="567"/>
      </w:pPr>
      <w:r w:rsidRPr="00C66F16">
        <w:t>Seguro de Vida</w:t>
      </w:r>
    </w:p>
    <w:p w14:paraId="2B894C1F" w14:textId="77777777" w:rsidR="003416F1" w:rsidRPr="00C66F16" w:rsidRDefault="003416F1" w:rsidP="00273FE4">
      <w:pPr>
        <w:pStyle w:val="Prrafodelista"/>
        <w:numPr>
          <w:ilvl w:val="0"/>
          <w:numId w:val="56"/>
        </w:numPr>
        <w:spacing w:after="120"/>
        <w:ind w:left="567" w:hanging="567"/>
      </w:pPr>
      <w:r w:rsidRPr="00C66F16">
        <w:t>Bono por nacimiento de un hijo</w:t>
      </w:r>
    </w:p>
    <w:p w14:paraId="4D3A1A94" w14:textId="52579C83" w:rsidR="003416F1" w:rsidRPr="00C66F16" w:rsidRDefault="004C4981" w:rsidP="00273FE4">
      <w:pPr>
        <w:pStyle w:val="Prrafodelista"/>
        <w:numPr>
          <w:ilvl w:val="0"/>
          <w:numId w:val="56"/>
        </w:numPr>
        <w:spacing w:after="120"/>
        <w:ind w:left="567" w:hanging="567"/>
      </w:pPr>
      <w:r w:rsidRPr="00C66F16">
        <w:t>Vale colación</w:t>
      </w:r>
    </w:p>
    <w:p w14:paraId="491A7E06" w14:textId="2C637430" w:rsidR="003416F1" w:rsidRPr="00C66F16" w:rsidRDefault="003416F1" w:rsidP="00273FE4">
      <w:pPr>
        <w:pStyle w:val="Prrafodelista"/>
        <w:numPr>
          <w:ilvl w:val="0"/>
          <w:numId w:val="56"/>
        </w:numPr>
        <w:spacing w:after="120"/>
        <w:ind w:left="567" w:hanging="567"/>
      </w:pPr>
      <w:r w:rsidRPr="00C66F16">
        <w:t>Sala cuna</w:t>
      </w:r>
    </w:p>
    <w:p w14:paraId="1861995A" w14:textId="3F755450" w:rsidR="003416F1" w:rsidRPr="00C66F16" w:rsidRDefault="003416F1" w:rsidP="00273FE4">
      <w:pPr>
        <w:pStyle w:val="Prrafodelista"/>
        <w:numPr>
          <w:ilvl w:val="0"/>
          <w:numId w:val="56"/>
        </w:numPr>
        <w:spacing w:after="120"/>
        <w:ind w:left="567" w:hanging="567"/>
      </w:pPr>
      <w:r w:rsidRPr="00C66F16">
        <w:lastRenderedPageBreak/>
        <w:t>Bono escolar</w:t>
      </w:r>
    </w:p>
    <w:p w14:paraId="7344DE1F" w14:textId="7E4C8759" w:rsidR="003416F1" w:rsidRPr="00C66F16" w:rsidRDefault="004C4981" w:rsidP="00273FE4">
      <w:pPr>
        <w:pStyle w:val="Prrafodelista"/>
        <w:numPr>
          <w:ilvl w:val="0"/>
          <w:numId w:val="56"/>
        </w:numPr>
        <w:ind w:left="567" w:hanging="567"/>
      </w:pPr>
      <w:r w:rsidRPr="00C66F16">
        <w:t>Matrimonio</w:t>
      </w:r>
    </w:p>
    <w:p w14:paraId="44672705" w14:textId="3A49880C" w:rsidR="00E8232C" w:rsidRPr="00B239E7" w:rsidRDefault="00E8232C" w:rsidP="005A6F95">
      <w:pPr>
        <w:pStyle w:val="Ttulo5"/>
      </w:pPr>
      <w:r>
        <w:t>Costo empresa</w:t>
      </w:r>
    </w:p>
    <w:p w14:paraId="340A2F97" w14:textId="445BC6C3" w:rsidR="003416F1" w:rsidRPr="00B239E7" w:rsidRDefault="00E3404E" w:rsidP="003416F1">
      <w:r>
        <w:t>A</w:t>
      </w:r>
      <w:r w:rsidR="003416F1" w:rsidRPr="00B239E7">
        <w:t xml:space="preserve"> los efectos de determinar el costo total empresa por concepto de compensaciones del personal de la </w:t>
      </w:r>
      <w:r w:rsidR="001A6E11" w:rsidRPr="00B239E7">
        <w:t>EM</w:t>
      </w:r>
      <w:r w:rsidR="003416F1" w:rsidRPr="00B239E7">
        <w:t xml:space="preserve">, el consultor ha considerado toda la información disponible en el </w:t>
      </w:r>
      <w:r w:rsidR="00484B50">
        <w:t>E</w:t>
      </w:r>
      <w:r w:rsidR="003416F1" w:rsidRPr="00B239E7">
        <w:t xml:space="preserve">studio de </w:t>
      </w:r>
      <w:r w:rsidR="00484B50">
        <w:t>C</w:t>
      </w:r>
      <w:r w:rsidR="003416F1" w:rsidRPr="00B239E7">
        <w:t>ompensaciones eSIREM, referente tanto a los componentes de la remuneración bruta como a los beneficios adicionales a la misma</w:t>
      </w:r>
      <w:r w:rsidRPr="00D00894">
        <w:t>. En el caso del personal propio de la EM, c</w:t>
      </w:r>
      <w:r w:rsidR="003416F1" w:rsidRPr="00D00894">
        <w:t xml:space="preserve">omo criterio general de inclusión </w:t>
      </w:r>
      <w:r w:rsidR="004C4981" w:rsidRPr="00D00894">
        <w:t xml:space="preserve">de </w:t>
      </w:r>
      <w:r w:rsidRPr="00D00894">
        <w:t xml:space="preserve">componentes de remuneración bruta y de beneficios adicionales, </w:t>
      </w:r>
      <w:r w:rsidR="003416F1" w:rsidRPr="00D00894">
        <w:t xml:space="preserve">se consideraron aquellos que son entregados por al menos un 50% de las empresas de la </w:t>
      </w:r>
      <w:r w:rsidR="00093F81">
        <w:t>encuesta PWC</w:t>
      </w:r>
      <w:r w:rsidR="003416F1" w:rsidRPr="00D00894">
        <w:t xml:space="preserve">. </w:t>
      </w:r>
      <w:r w:rsidRPr="00D00894">
        <w:t xml:space="preserve">En el caso del personal tercerizado </w:t>
      </w:r>
      <w:r w:rsidR="004C4981" w:rsidRPr="00D00894">
        <w:t>se ha aplicado</w:t>
      </w:r>
      <w:r w:rsidRPr="00D00894">
        <w:t xml:space="preserve"> el mismo criterio, pero sólo sobre la remuneración bruta, pues su compensación no considera beneficios adicionales.</w:t>
      </w:r>
      <w:r>
        <w:t xml:space="preserve"> </w:t>
      </w:r>
    </w:p>
    <w:p w14:paraId="05D09617" w14:textId="2E166762" w:rsidR="003416F1" w:rsidRPr="00B239E7" w:rsidRDefault="003416F1" w:rsidP="003416F1">
      <w:r w:rsidRPr="00B239E7">
        <w:t xml:space="preserve">De esta manera, del total de componentes de la remuneración bruta y de los beneficios adicionales mencionados más arriba, </w:t>
      </w:r>
      <w:r w:rsidR="004C4981">
        <w:t>no se</w:t>
      </w:r>
      <w:r w:rsidRPr="00B239E7">
        <w:t xml:space="preserve"> considera</w:t>
      </w:r>
      <w:r w:rsidR="004C4981">
        <w:t>n</w:t>
      </w:r>
      <w:r w:rsidRPr="00B239E7">
        <w:t xml:space="preserve"> los siguientes, por no cumplir con el criterio establecido</w:t>
      </w:r>
      <w:r w:rsidR="004C4981">
        <w:t xml:space="preserve"> de 50%</w:t>
      </w:r>
      <w:r w:rsidRPr="00B239E7">
        <w:t>:</w:t>
      </w:r>
    </w:p>
    <w:p w14:paraId="2E1AA8DA" w14:textId="77777777" w:rsidR="003416F1" w:rsidRPr="004D5418" w:rsidRDefault="003416F1" w:rsidP="00273FE4">
      <w:pPr>
        <w:pStyle w:val="Prrafodelista"/>
        <w:numPr>
          <w:ilvl w:val="0"/>
          <w:numId w:val="56"/>
        </w:numPr>
        <w:spacing w:after="120"/>
        <w:ind w:left="567" w:hanging="567"/>
      </w:pPr>
      <w:r w:rsidRPr="004D5418">
        <w:t>Gratificación convencional garantizada</w:t>
      </w:r>
    </w:p>
    <w:p w14:paraId="4FCC8B63" w14:textId="77777777" w:rsidR="003416F1" w:rsidRPr="004D5418" w:rsidRDefault="003416F1" w:rsidP="00273FE4">
      <w:pPr>
        <w:pStyle w:val="Prrafodelista"/>
        <w:numPr>
          <w:ilvl w:val="0"/>
          <w:numId w:val="56"/>
        </w:numPr>
        <w:spacing w:after="120"/>
        <w:ind w:left="567" w:hanging="567"/>
      </w:pPr>
      <w:r w:rsidRPr="004D5418">
        <w:t>Gratificación convencional no garantizada</w:t>
      </w:r>
    </w:p>
    <w:p w14:paraId="750C26C9" w14:textId="77777777" w:rsidR="003416F1" w:rsidRPr="004D5418" w:rsidRDefault="003416F1" w:rsidP="00273FE4">
      <w:pPr>
        <w:pStyle w:val="Prrafodelista"/>
        <w:numPr>
          <w:ilvl w:val="0"/>
          <w:numId w:val="56"/>
        </w:numPr>
        <w:spacing w:after="120"/>
        <w:ind w:left="567" w:hanging="567"/>
      </w:pPr>
      <w:r w:rsidRPr="004D5418">
        <w:t>Bono de vacaciones</w:t>
      </w:r>
    </w:p>
    <w:p w14:paraId="6E38D458" w14:textId="77777777" w:rsidR="003416F1" w:rsidRPr="004D5418" w:rsidRDefault="003416F1" w:rsidP="00273FE4">
      <w:pPr>
        <w:pStyle w:val="Prrafodelista"/>
        <w:numPr>
          <w:ilvl w:val="0"/>
          <w:numId w:val="56"/>
        </w:numPr>
        <w:spacing w:after="120"/>
        <w:ind w:left="567" w:hanging="567"/>
      </w:pPr>
      <w:r w:rsidRPr="004D5418">
        <w:t>Asignación de zona</w:t>
      </w:r>
    </w:p>
    <w:p w14:paraId="15372065" w14:textId="77777777" w:rsidR="003416F1" w:rsidRPr="004D5418" w:rsidRDefault="003416F1" w:rsidP="00273FE4">
      <w:pPr>
        <w:pStyle w:val="Prrafodelista"/>
        <w:numPr>
          <w:ilvl w:val="0"/>
          <w:numId w:val="56"/>
        </w:numPr>
        <w:spacing w:after="120"/>
        <w:ind w:left="567" w:hanging="567"/>
      </w:pPr>
      <w:r w:rsidRPr="004D5418">
        <w:t>Vale colación</w:t>
      </w:r>
    </w:p>
    <w:p w14:paraId="7EE26FDF" w14:textId="77777777" w:rsidR="003416F1" w:rsidRPr="004D5418" w:rsidRDefault="003416F1" w:rsidP="00273FE4">
      <w:pPr>
        <w:pStyle w:val="Prrafodelista"/>
        <w:numPr>
          <w:ilvl w:val="0"/>
          <w:numId w:val="56"/>
        </w:numPr>
        <w:spacing w:after="120"/>
        <w:ind w:left="567" w:hanging="567"/>
      </w:pPr>
      <w:r w:rsidRPr="004D5418">
        <w:t>Sala cuna</w:t>
      </w:r>
    </w:p>
    <w:p w14:paraId="4FEAAC28" w14:textId="77777777" w:rsidR="003416F1" w:rsidRPr="004D5418" w:rsidRDefault="003416F1" w:rsidP="00273FE4">
      <w:pPr>
        <w:pStyle w:val="Prrafodelista"/>
        <w:numPr>
          <w:ilvl w:val="0"/>
          <w:numId w:val="56"/>
        </w:numPr>
        <w:spacing w:after="120"/>
        <w:ind w:left="567" w:hanging="567"/>
      </w:pPr>
      <w:r w:rsidRPr="004D5418">
        <w:t>Bono escolar</w:t>
      </w:r>
    </w:p>
    <w:p w14:paraId="78DB54F7" w14:textId="77777777" w:rsidR="003416F1" w:rsidRPr="004D5418" w:rsidRDefault="003416F1" w:rsidP="00273FE4">
      <w:pPr>
        <w:pStyle w:val="Prrafodelista"/>
        <w:numPr>
          <w:ilvl w:val="0"/>
          <w:numId w:val="56"/>
        </w:numPr>
        <w:ind w:left="567" w:hanging="567"/>
      </w:pPr>
      <w:r w:rsidRPr="004D5418">
        <w:t>Matrimonio</w:t>
      </w:r>
    </w:p>
    <w:p w14:paraId="11579127" w14:textId="39DD9BBE" w:rsidR="0079428C" w:rsidRDefault="0079428C" w:rsidP="0079428C">
      <w:pPr>
        <w:rPr>
          <w:lang w:val="es-ES"/>
        </w:rPr>
      </w:pPr>
      <w:r w:rsidRPr="00B239E7">
        <w:rPr>
          <w:lang w:val="es-ES"/>
        </w:rPr>
        <w:t xml:space="preserve">En el </w:t>
      </w:r>
      <w:r w:rsidR="00AD24BF">
        <w:rPr>
          <w:lang w:val="es-ES"/>
        </w:rPr>
        <w:t>“</w:t>
      </w:r>
      <w:r w:rsidRPr="00B239E7">
        <w:rPr>
          <w:lang w:val="es-ES"/>
        </w:rPr>
        <w:t>Anex</w:t>
      </w:r>
      <w:r w:rsidR="00750A0D" w:rsidRPr="00B239E7">
        <w:rPr>
          <w:lang w:val="es-ES"/>
        </w:rPr>
        <w:t xml:space="preserve">o </w:t>
      </w:r>
      <w:r w:rsidR="00AD24BF">
        <w:rPr>
          <w:lang w:val="es-ES"/>
        </w:rPr>
        <w:t>COMA</w:t>
      </w:r>
      <w:r w:rsidR="00750A0D" w:rsidRPr="00B239E7">
        <w:rPr>
          <w:lang w:val="es-ES"/>
        </w:rPr>
        <w:t>_3/Datos/ ModeloSTN2019</w:t>
      </w:r>
      <w:r w:rsidR="00AD24BF">
        <w:rPr>
          <w:lang w:val="es-ES"/>
        </w:rPr>
        <w:t>”</w:t>
      </w:r>
      <w:r w:rsidR="00750A0D" w:rsidRPr="00B239E7">
        <w:rPr>
          <w:lang w:val="es-ES"/>
        </w:rPr>
        <w:t xml:space="preserve"> </w:t>
      </w:r>
      <w:r w:rsidRPr="00B239E7">
        <w:rPr>
          <w:lang w:val="es-ES"/>
        </w:rPr>
        <w:t>se presenta</w:t>
      </w:r>
      <w:r w:rsidR="00750A0D" w:rsidRPr="00B239E7">
        <w:rPr>
          <w:lang w:val="es-ES"/>
        </w:rPr>
        <w:t xml:space="preserve"> el modelo de cálculo del costo de remuneraciones de la </w:t>
      </w:r>
      <w:r w:rsidR="001A6E11" w:rsidRPr="00B239E7">
        <w:rPr>
          <w:lang w:val="es-ES"/>
        </w:rPr>
        <w:t>EM</w:t>
      </w:r>
      <w:r w:rsidRPr="00B239E7">
        <w:rPr>
          <w:lang w:val="es-ES"/>
        </w:rPr>
        <w:t>.</w:t>
      </w:r>
    </w:p>
    <w:p w14:paraId="67683DBD" w14:textId="77777777" w:rsidR="0079428C" w:rsidRPr="006D750B" w:rsidRDefault="0079428C" w:rsidP="0079428C">
      <w:pPr>
        <w:pStyle w:val="Ttulo4"/>
      </w:pPr>
      <w:bookmarkStart w:id="234" w:name="_Toc32392165"/>
      <w:bookmarkStart w:id="235" w:name="_Toc34398107"/>
      <w:bookmarkStart w:id="236" w:name="_Toc39797796"/>
      <w:r w:rsidRPr="006D750B">
        <w:t>Homologación de cargos</w:t>
      </w:r>
      <w:bookmarkEnd w:id="234"/>
      <w:bookmarkEnd w:id="235"/>
      <w:bookmarkEnd w:id="236"/>
    </w:p>
    <w:p w14:paraId="25155AD2" w14:textId="77777777" w:rsidR="0079428C" w:rsidRPr="00B06D23" w:rsidRDefault="0079428C" w:rsidP="0079428C">
      <w:pPr>
        <w:rPr>
          <w:lang w:val="es-ES"/>
        </w:rPr>
      </w:pPr>
      <w:r w:rsidRPr="00B06D23">
        <w:rPr>
          <w:lang w:val="es-ES"/>
        </w:rPr>
        <w:t>La homologación tiene por objetivo identificar para cada cargo de la EM el cargo de la encuesta de remuneraciones.</w:t>
      </w:r>
    </w:p>
    <w:p w14:paraId="3F49F7FD" w14:textId="77777777" w:rsidR="0079428C" w:rsidRPr="00B06D23" w:rsidRDefault="0079428C" w:rsidP="0079428C">
      <w:pPr>
        <w:rPr>
          <w:lang w:val="es-ES"/>
        </w:rPr>
      </w:pPr>
      <w:r w:rsidRPr="00B06D23">
        <w:rPr>
          <w:lang w:val="es-ES"/>
        </w:rPr>
        <w:t>La homologación de cargos se define luego del diseño de la estructura organizacional de la EM, las áreas funcionales y áreas de trabajo, los cargos para cada una de las áreas y la definición de las tareas y responsabilidades de cada puesto de dicha organización de la EM.</w:t>
      </w:r>
    </w:p>
    <w:p w14:paraId="13BB8C9D" w14:textId="77777777" w:rsidR="0079428C" w:rsidRPr="00B06D23" w:rsidRDefault="0079428C" w:rsidP="0079428C">
      <w:pPr>
        <w:rPr>
          <w:lang w:val="es-ES"/>
        </w:rPr>
      </w:pPr>
      <w:r w:rsidRPr="00B06D23">
        <w:rPr>
          <w:lang w:val="es-ES"/>
        </w:rPr>
        <w:lastRenderedPageBreak/>
        <w:t>Luego se definen los cargos del Estudio de Remuneraciones que se ajustan a los cargos definidos para la EM.</w:t>
      </w:r>
    </w:p>
    <w:p w14:paraId="1D0E2580" w14:textId="77777777" w:rsidR="0079428C" w:rsidRPr="00B06D23" w:rsidRDefault="0079428C" w:rsidP="0079428C">
      <w:pPr>
        <w:rPr>
          <w:lang w:val="es-ES"/>
        </w:rPr>
      </w:pPr>
      <w:r w:rsidRPr="00B06D23">
        <w:rPr>
          <w:lang w:val="es-ES"/>
        </w:rPr>
        <w:t xml:space="preserve">El cargo de la encuesta PWC se determina a partir del perfil del cargo factible de realizar las actividades definidas para el cargo en la EM, analizando los cargos homólogos existentes en las empresas reales de la Muestra seleccionada. </w:t>
      </w:r>
    </w:p>
    <w:p w14:paraId="42C15766" w14:textId="77777777" w:rsidR="0079428C" w:rsidRPr="00B06D23" w:rsidRDefault="0079428C" w:rsidP="0079428C">
      <w:pPr>
        <w:rPr>
          <w:lang w:val="es-ES"/>
        </w:rPr>
      </w:pPr>
      <w:r w:rsidRPr="00B06D23">
        <w:rPr>
          <w:lang w:val="es-ES"/>
        </w:rPr>
        <w:t>Para la homologación de cada cargo se consideran los siguientes criterios:</w:t>
      </w:r>
    </w:p>
    <w:p w14:paraId="0E42AADE" w14:textId="77777777" w:rsidR="0079428C" w:rsidRPr="004D5418" w:rsidRDefault="0079428C" w:rsidP="00273FE4">
      <w:pPr>
        <w:pStyle w:val="Listanumerada"/>
        <w:numPr>
          <w:ilvl w:val="0"/>
          <w:numId w:val="20"/>
        </w:numPr>
        <w:spacing w:after="200"/>
        <w:ind w:left="567" w:hanging="567"/>
        <w:rPr>
          <w:lang w:val="es-ES"/>
        </w:rPr>
      </w:pPr>
      <w:r w:rsidRPr="004D5418">
        <w:rPr>
          <w:lang w:val="es-ES"/>
        </w:rPr>
        <w:t>el organigrama de la EM y su estructura jerárquica, para verificar la razonabilidad del posicionamiento del cargo seleccionado en la estructura organizacional de la EM.</w:t>
      </w:r>
    </w:p>
    <w:p w14:paraId="2EA1ACB7" w14:textId="77777777" w:rsidR="0079428C" w:rsidRPr="004D5418" w:rsidRDefault="0079428C" w:rsidP="00273FE4">
      <w:pPr>
        <w:pStyle w:val="Listanumerada"/>
        <w:numPr>
          <w:ilvl w:val="0"/>
          <w:numId w:val="20"/>
        </w:numPr>
        <w:spacing w:after="200"/>
        <w:ind w:left="567" w:hanging="567"/>
        <w:rPr>
          <w:lang w:val="es-ES"/>
        </w:rPr>
      </w:pPr>
      <w:r w:rsidRPr="004D5418">
        <w:rPr>
          <w:lang w:val="es-ES"/>
        </w:rPr>
        <w:t>las funciones de cada área de la EM y la correspondencia con las funciones del cargo de la encuesta.</w:t>
      </w:r>
    </w:p>
    <w:p w14:paraId="0B6BA673" w14:textId="77777777" w:rsidR="0079428C" w:rsidRPr="004D5418" w:rsidRDefault="0079428C" w:rsidP="00273FE4">
      <w:pPr>
        <w:pStyle w:val="Listanumerada"/>
        <w:numPr>
          <w:ilvl w:val="0"/>
          <w:numId w:val="20"/>
        </w:numPr>
        <w:spacing w:after="200"/>
        <w:ind w:left="567" w:hanging="567"/>
        <w:rPr>
          <w:lang w:val="es-ES"/>
        </w:rPr>
      </w:pPr>
      <w:r w:rsidRPr="004D5418">
        <w:rPr>
          <w:lang w:val="es-ES"/>
        </w:rPr>
        <w:t>la posición del cargo respecto de sus jefes directos y sus subordinados para verificar que no haya solapamiento salarial entre el subordinado y su jefe inmediato.</w:t>
      </w:r>
    </w:p>
    <w:p w14:paraId="3BDD4592" w14:textId="57F54748" w:rsidR="0079428C" w:rsidRPr="004D5418" w:rsidRDefault="0079428C" w:rsidP="00273FE4">
      <w:pPr>
        <w:pStyle w:val="Listanumerada"/>
        <w:numPr>
          <w:ilvl w:val="0"/>
          <w:numId w:val="20"/>
        </w:numPr>
        <w:spacing w:after="200"/>
        <w:ind w:left="567" w:hanging="567"/>
        <w:rPr>
          <w:lang w:val="es-ES"/>
        </w:rPr>
      </w:pPr>
      <w:r w:rsidRPr="004D5418">
        <w:rPr>
          <w:lang w:val="es-ES"/>
        </w:rPr>
        <w:t xml:space="preserve">el nivel de capacitación, la experiencia </w:t>
      </w:r>
      <w:r w:rsidR="00BA2EDF" w:rsidRPr="004D5418">
        <w:rPr>
          <w:lang w:val="es-ES"/>
        </w:rPr>
        <w:t>requerida</w:t>
      </w:r>
      <w:r w:rsidRPr="004D5418">
        <w:rPr>
          <w:lang w:val="es-ES"/>
        </w:rPr>
        <w:t xml:space="preserve"> para cada cargo y su grado de responsabilidad. </w:t>
      </w:r>
    </w:p>
    <w:p w14:paraId="32C2C9EE" w14:textId="26E6F85D" w:rsidR="0079428C" w:rsidRPr="00B06D23" w:rsidRDefault="0079428C" w:rsidP="0079428C">
      <w:pPr>
        <w:rPr>
          <w:lang w:val="es-ES"/>
        </w:rPr>
      </w:pPr>
      <w:r w:rsidRPr="00B06D23">
        <w:rPr>
          <w:lang w:val="es-ES"/>
        </w:rPr>
        <w:t xml:space="preserve">Los cargos escogidos y sus correspondientes remuneraciones deben otorgar diferenciaciones de jerarquía o niveles, acorde a las realidades de los cargos de la empresa y también deben ofrecer coherencia entre posiciones semejantes, aunque de diferentes áreas funcionales. Es decir, se debe conformar una </w:t>
      </w:r>
      <w:r w:rsidR="001A6E11">
        <w:rPr>
          <w:lang w:val="es-ES"/>
        </w:rPr>
        <w:t>EM</w:t>
      </w:r>
      <w:r w:rsidRPr="00B06D23">
        <w:rPr>
          <w:lang w:val="es-ES"/>
        </w:rPr>
        <w:t xml:space="preserve"> con coherencia de remuneraciones tanto en el plano vertical de la organización como en los planos transversales.</w:t>
      </w:r>
    </w:p>
    <w:p w14:paraId="75C98BC5" w14:textId="77777777" w:rsidR="0079428C" w:rsidRPr="00B06D23" w:rsidRDefault="0079428C" w:rsidP="0079428C">
      <w:pPr>
        <w:rPr>
          <w:lang w:val="es-ES"/>
        </w:rPr>
      </w:pPr>
      <w:r w:rsidRPr="00B06D23">
        <w:rPr>
          <w:lang w:val="es-ES"/>
        </w:rPr>
        <w:t>A partir de los criterios señalados se realiza la homologación de cargos mediante los siguientes pasos:</w:t>
      </w:r>
    </w:p>
    <w:p w14:paraId="5003FC60" w14:textId="77777777" w:rsidR="0079428C" w:rsidRPr="00B06D23" w:rsidRDefault="0079428C" w:rsidP="00273FE4">
      <w:pPr>
        <w:pStyle w:val="Prrafodelista"/>
        <w:numPr>
          <w:ilvl w:val="0"/>
          <w:numId w:val="57"/>
        </w:numPr>
        <w:ind w:left="567" w:hanging="567"/>
        <w:rPr>
          <w:lang w:val="es-ES"/>
        </w:rPr>
      </w:pPr>
      <w:r w:rsidRPr="00B06D23">
        <w:rPr>
          <w:lang w:val="es-ES"/>
        </w:rPr>
        <w:t>Identificación de las funciones y responsabilidades asociadas a cada cargo de la EM.</w:t>
      </w:r>
    </w:p>
    <w:p w14:paraId="43F5D9CC" w14:textId="77777777" w:rsidR="0079428C" w:rsidRPr="00B06D23" w:rsidRDefault="0079428C" w:rsidP="00273FE4">
      <w:pPr>
        <w:pStyle w:val="Prrafodelista"/>
        <w:numPr>
          <w:ilvl w:val="0"/>
          <w:numId w:val="57"/>
        </w:numPr>
        <w:ind w:left="567" w:hanging="567"/>
        <w:rPr>
          <w:lang w:val="es-ES"/>
        </w:rPr>
      </w:pPr>
      <w:r w:rsidRPr="00B06D23">
        <w:rPr>
          <w:lang w:val="es-ES"/>
        </w:rPr>
        <w:t>Identificación del cargo representativo en la encuesta considerando la definición del punto anterior.</w:t>
      </w:r>
    </w:p>
    <w:p w14:paraId="49B148AA" w14:textId="77777777" w:rsidR="0079428C" w:rsidRPr="00B06D23" w:rsidRDefault="0079428C" w:rsidP="00273FE4">
      <w:pPr>
        <w:pStyle w:val="Prrafodelista"/>
        <w:numPr>
          <w:ilvl w:val="0"/>
          <w:numId w:val="57"/>
        </w:numPr>
        <w:ind w:left="567" w:hanging="567"/>
        <w:rPr>
          <w:lang w:val="es-ES"/>
        </w:rPr>
      </w:pPr>
      <w:r w:rsidRPr="00B06D23">
        <w:rPr>
          <w:lang w:val="es-ES"/>
        </w:rPr>
        <w:t>Determinación de la remuneración asignada al cargo.</w:t>
      </w:r>
    </w:p>
    <w:p w14:paraId="313D8EA1" w14:textId="77777777" w:rsidR="0079428C" w:rsidRPr="006D750B" w:rsidRDefault="0079428C" w:rsidP="0079428C">
      <w:pPr>
        <w:pStyle w:val="Ttulo4"/>
      </w:pPr>
      <w:bookmarkStart w:id="237" w:name="_Toc34398108"/>
      <w:bookmarkStart w:id="238" w:name="_Toc39797797"/>
      <w:r w:rsidRPr="006D750B">
        <w:t>Régimen de horas extras y guardias pasiva</w:t>
      </w:r>
      <w:bookmarkEnd w:id="237"/>
      <w:bookmarkEnd w:id="238"/>
    </w:p>
    <w:p w14:paraId="21958D68" w14:textId="0C844507" w:rsidR="0079428C" w:rsidRPr="00B06D23" w:rsidRDefault="0079428C" w:rsidP="0079428C">
      <w:pPr>
        <w:rPr>
          <w:rFonts w:cs="Arial"/>
          <w:szCs w:val="22"/>
          <w:lang w:val="es-ES"/>
        </w:rPr>
      </w:pPr>
      <w:r w:rsidRPr="00B06D23">
        <w:rPr>
          <w:rFonts w:cs="Arial"/>
          <w:szCs w:val="22"/>
          <w:lang w:val="es-ES"/>
        </w:rPr>
        <w:t xml:space="preserve">En una empresa de servicios como la EM de transmisión </w:t>
      </w:r>
      <w:r w:rsidR="00787145">
        <w:rPr>
          <w:rFonts w:cs="Arial"/>
          <w:szCs w:val="22"/>
          <w:lang w:val="es-ES"/>
        </w:rPr>
        <w:t>nacional</w:t>
      </w:r>
      <w:r w:rsidRPr="00B06D23">
        <w:rPr>
          <w:rFonts w:cs="Arial"/>
          <w:szCs w:val="22"/>
          <w:lang w:val="es-ES"/>
        </w:rPr>
        <w:t>, existen eventos imprevistos tales como la atención de emergencias por fallas que requieren tareas de mantenimiento y operación para lo cual se requiere una mayor carga de trabajo que excede el horario habitual del personal de plantilla.</w:t>
      </w:r>
    </w:p>
    <w:p w14:paraId="015E9D3C" w14:textId="04F2F6A3" w:rsidR="0079428C" w:rsidRPr="00B06D23" w:rsidRDefault="0079428C" w:rsidP="0079428C">
      <w:pPr>
        <w:rPr>
          <w:rFonts w:cs="Arial"/>
          <w:szCs w:val="22"/>
          <w:lang w:val="es-ES"/>
        </w:rPr>
      </w:pPr>
      <w:r w:rsidRPr="00B06D23">
        <w:rPr>
          <w:rFonts w:cs="Arial"/>
          <w:szCs w:val="22"/>
          <w:lang w:val="es-ES"/>
        </w:rPr>
        <w:lastRenderedPageBreak/>
        <w:t xml:space="preserve">Dado que no resulta conveniente dimensionar la plantilla de la </w:t>
      </w:r>
      <w:r w:rsidR="001A6E11">
        <w:rPr>
          <w:rFonts w:cs="Arial"/>
          <w:szCs w:val="22"/>
          <w:lang w:val="es-ES"/>
        </w:rPr>
        <w:t>EM</w:t>
      </w:r>
      <w:r w:rsidRPr="00B06D23">
        <w:rPr>
          <w:rFonts w:cs="Arial"/>
          <w:szCs w:val="22"/>
          <w:lang w:val="es-ES"/>
        </w:rPr>
        <w:t xml:space="preserve"> para situaciones de emergencia, porque implicaría tener una estructura sobredimensionada, es que se prevé para los puestos operativos que intervienen en dichos eventos la posibilidad de reforzar las tareas mediante la realización de horas extras.</w:t>
      </w:r>
    </w:p>
    <w:p w14:paraId="25C2C118" w14:textId="709ED15A" w:rsidR="0079428C" w:rsidRPr="00B06D23" w:rsidRDefault="0079428C" w:rsidP="0079428C">
      <w:pPr>
        <w:rPr>
          <w:rFonts w:cs="Arial"/>
          <w:szCs w:val="22"/>
          <w:lang w:val="es-ES"/>
        </w:rPr>
      </w:pPr>
      <w:r w:rsidRPr="00B06D23">
        <w:rPr>
          <w:rFonts w:cs="Arial"/>
          <w:szCs w:val="22"/>
          <w:lang w:val="es-ES"/>
        </w:rPr>
        <w:t>Por otra parte</w:t>
      </w:r>
      <w:r w:rsidR="008D4432">
        <w:rPr>
          <w:rFonts w:cs="Arial"/>
          <w:szCs w:val="22"/>
          <w:lang w:val="es-ES"/>
        </w:rPr>
        <w:t>,</w:t>
      </w:r>
      <w:r w:rsidRPr="00B06D23">
        <w:rPr>
          <w:rFonts w:cs="Arial"/>
          <w:szCs w:val="22"/>
          <w:lang w:val="es-ES"/>
        </w:rPr>
        <w:t xml:space="preserve"> en una empresa de servicios se requiere que ciertos puestos operativos que cumplen horario de oficina realicen un sistema de </w:t>
      </w:r>
      <w:r w:rsidR="008D4432">
        <w:rPr>
          <w:rFonts w:cs="Arial"/>
          <w:szCs w:val="22"/>
          <w:lang w:val="es-ES"/>
        </w:rPr>
        <w:t xml:space="preserve">guardias pasivas, para atender </w:t>
      </w:r>
      <w:r w:rsidRPr="00B06D23">
        <w:rPr>
          <w:rFonts w:cs="Arial"/>
          <w:szCs w:val="22"/>
          <w:lang w:val="es-ES"/>
        </w:rPr>
        <w:t xml:space="preserve">emergencias y/o situaciones especiales los días de semana o fines de semana. </w:t>
      </w:r>
    </w:p>
    <w:p w14:paraId="3B767556" w14:textId="00535563" w:rsidR="0079428C" w:rsidRPr="00B06D23" w:rsidRDefault="0079428C" w:rsidP="0079428C">
      <w:pPr>
        <w:rPr>
          <w:rFonts w:cs="Arial"/>
          <w:szCs w:val="22"/>
          <w:lang w:val="es-ES"/>
        </w:rPr>
      </w:pPr>
      <w:r w:rsidRPr="00B06D23">
        <w:rPr>
          <w:rFonts w:cs="Arial"/>
          <w:szCs w:val="22"/>
          <w:lang w:val="es-ES"/>
        </w:rPr>
        <w:t>Mediante este sistema</w:t>
      </w:r>
      <w:r w:rsidR="008D4432">
        <w:rPr>
          <w:rFonts w:cs="Arial"/>
          <w:szCs w:val="22"/>
          <w:lang w:val="es-ES"/>
        </w:rPr>
        <w:t>,</w:t>
      </w:r>
      <w:r w:rsidRPr="00B06D23">
        <w:rPr>
          <w:rFonts w:cs="Arial"/>
          <w:szCs w:val="22"/>
          <w:lang w:val="es-ES"/>
        </w:rPr>
        <w:t xml:space="preserve"> el personal cumple su horario de oficina y se retira del lugar de trabajo pero queda a disposición de la empresa en caso que se requiera su presencia física o mediante comunicaciones.</w:t>
      </w:r>
    </w:p>
    <w:p w14:paraId="4A802B63" w14:textId="4FA7DDCE" w:rsidR="0079428C" w:rsidRPr="00B06D23" w:rsidRDefault="0079428C" w:rsidP="0079428C">
      <w:pPr>
        <w:rPr>
          <w:rFonts w:cs="Arial"/>
          <w:szCs w:val="22"/>
          <w:lang w:val="es-ES"/>
        </w:rPr>
      </w:pPr>
      <w:r w:rsidRPr="00B06D23">
        <w:rPr>
          <w:rFonts w:cs="Arial"/>
          <w:szCs w:val="22"/>
          <w:lang w:val="es-ES"/>
        </w:rPr>
        <w:t>Este servicio de gua</w:t>
      </w:r>
      <w:r w:rsidR="00BA2EDF">
        <w:rPr>
          <w:rFonts w:cs="Arial"/>
          <w:szCs w:val="22"/>
          <w:lang w:val="es-ES"/>
        </w:rPr>
        <w:t xml:space="preserve">rdia pasiva debe ser </w:t>
      </w:r>
      <w:r w:rsidR="00BA2EDF" w:rsidRPr="00816BBF">
        <w:rPr>
          <w:rFonts w:cs="Arial"/>
          <w:szCs w:val="22"/>
          <w:lang w:val="es-ES"/>
        </w:rPr>
        <w:t>remunerado</w:t>
      </w:r>
      <w:r w:rsidRPr="00B06D23">
        <w:rPr>
          <w:rFonts w:cs="Arial"/>
          <w:szCs w:val="22"/>
          <w:lang w:val="es-ES"/>
        </w:rPr>
        <w:t xml:space="preserve"> como “bonificación por guardia” tal como se describe a continuación.</w:t>
      </w:r>
    </w:p>
    <w:p w14:paraId="320D4D88" w14:textId="56283AAB" w:rsidR="0079428C" w:rsidRPr="00B06D23" w:rsidRDefault="0079428C" w:rsidP="0079428C">
      <w:pPr>
        <w:rPr>
          <w:lang w:val="es-ES"/>
        </w:rPr>
      </w:pPr>
      <w:r w:rsidRPr="008136E7">
        <w:rPr>
          <w:rFonts w:cs="Arial"/>
          <w:szCs w:val="22"/>
          <w:lang w:val="es-ES"/>
        </w:rPr>
        <w:t>Bonificación por guardia:</w:t>
      </w:r>
      <w:r w:rsidR="00270F72" w:rsidRPr="008136E7">
        <w:rPr>
          <w:rFonts w:cs="Arial"/>
          <w:szCs w:val="22"/>
          <w:lang w:val="es-ES"/>
        </w:rPr>
        <w:t xml:space="preserve"> este cargo tiene en cuenta </w:t>
      </w:r>
      <w:r w:rsidRPr="008136E7">
        <w:rPr>
          <w:lang w:val="es-ES"/>
        </w:rPr>
        <w:t xml:space="preserve">un sistema de guardias llamados “Turnos de Permanencia”, que son realizados por mandos medios y técnicos de mantenimiento (Inspectores, Ingenieros con funciones de supervisión de cuadrillas de terreno, técnicos de mantenimiento de protecciones y control) y puestos de </w:t>
      </w:r>
      <w:r w:rsidR="00BA2EDF" w:rsidRPr="008136E7">
        <w:rPr>
          <w:lang w:val="es-ES"/>
        </w:rPr>
        <w:t>operación clave (Jefe de Centro</w:t>
      </w:r>
      <w:r w:rsidRPr="008136E7">
        <w:rPr>
          <w:lang w:val="es-ES"/>
        </w:rPr>
        <w:t xml:space="preserve"> de Control y asistente, Supervisores de operación, operadores)  quienes tienen la responsabilidad de atender las diversas situaciones que se puedan presentar, tanto de emergencia como de la rutina diaria, durante cada fin de semana o días festivo.</w:t>
      </w:r>
    </w:p>
    <w:p w14:paraId="436428B5" w14:textId="77777777" w:rsidR="0079428C" w:rsidRPr="00B06D23" w:rsidRDefault="0079428C" w:rsidP="0079428C">
      <w:pPr>
        <w:rPr>
          <w:lang w:val="es-ES"/>
        </w:rPr>
      </w:pPr>
      <w:r w:rsidRPr="00B06D23">
        <w:rPr>
          <w:lang w:val="es-ES"/>
        </w:rPr>
        <w:t>Por este servicio se le solicita al personal estar disponible en caso de que se presente una situación operativa que requiera una decisión que por la responsabilidad no pueda ser tomada por el contratista o personal de guardia que se encuentra activa en ese momento.</w:t>
      </w:r>
    </w:p>
    <w:p w14:paraId="747A7A79" w14:textId="5189D677" w:rsidR="0079428C" w:rsidRPr="00B06D23" w:rsidRDefault="0079428C" w:rsidP="0079428C">
      <w:pPr>
        <w:rPr>
          <w:lang w:val="es-ES"/>
        </w:rPr>
      </w:pPr>
      <w:r w:rsidRPr="00B06D23">
        <w:rPr>
          <w:lang w:val="es-ES"/>
        </w:rPr>
        <w:t xml:space="preserve">Este tipo de servicio también se requiere a los operadores y técnicos del personal de plantilla, que cumplen horario de oficina o turnos rotativos para que en casos de emergencia y fuera de su horario de trabajo tengan la disponibilidad para trabajar y reforzar </w:t>
      </w:r>
      <w:r w:rsidR="008D4432" w:rsidRPr="00B06D23">
        <w:rPr>
          <w:lang w:val="es-ES"/>
        </w:rPr>
        <w:t>la plantilla activa</w:t>
      </w:r>
      <w:r w:rsidRPr="00B06D23">
        <w:rPr>
          <w:lang w:val="es-ES"/>
        </w:rPr>
        <w:t>.</w:t>
      </w:r>
    </w:p>
    <w:p w14:paraId="19B9622E" w14:textId="0D77F59B" w:rsidR="0079428C" w:rsidRPr="00B06D23" w:rsidRDefault="0079428C" w:rsidP="0079428C">
      <w:pPr>
        <w:rPr>
          <w:lang w:val="es-ES"/>
        </w:rPr>
      </w:pPr>
      <w:r w:rsidRPr="00B06D23">
        <w:rPr>
          <w:lang w:val="es-ES"/>
        </w:rPr>
        <w:t>De esta manera el personal de mandos medios (del centro de control o jefaturas regionales</w:t>
      </w:r>
      <w:r w:rsidR="008D4432" w:rsidRPr="00B06D23">
        <w:rPr>
          <w:lang w:val="es-ES"/>
        </w:rPr>
        <w:t>),</w:t>
      </w:r>
      <w:r w:rsidRPr="00B06D23">
        <w:rPr>
          <w:lang w:val="es-ES"/>
        </w:rPr>
        <w:t xml:space="preserve"> y los operadores y técnicos del personal de plantilla en forma rotativa se turnan con sus colegas de nivel jerárquico similar para cumplir este régimen de guardias. Cuando son convocados en su guardia pueden tomar la decisión mediante una comunicación telefónica (caso de los mandos </w:t>
      </w:r>
      <w:r w:rsidR="008D4432" w:rsidRPr="00B06D23">
        <w:rPr>
          <w:lang w:val="es-ES"/>
        </w:rPr>
        <w:t>medios) o</w:t>
      </w:r>
      <w:r w:rsidRPr="00B06D23">
        <w:rPr>
          <w:lang w:val="es-ES"/>
        </w:rPr>
        <w:t xml:space="preserve"> bien tener que desplazarse hasta el </w:t>
      </w:r>
      <w:r w:rsidR="008D4432" w:rsidRPr="00B06D23">
        <w:rPr>
          <w:lang w:val="es-ES"/>
        </w:rPr>
        <w:t>lugar donde</w:t>
      </w:r>
      <w:r w:rsidRPr="00B06D23">
        <w:rPr>
          <w:lang w:val="es-ES"/>
        </w:rPr>
        <w:t xml:space="preserve"> sea requerido (caso de operadores y técnicos).</w:t>
      </w:r>
    </w:p>
    <w:p w14:paraId="77F839AD" w14:textId="2B5BB417" w:rsidR="0079428C" w:rsidRPr="00B06D23" w:rsidRDefault="0079428C" w:rsidP="0079428C">
      <w:pPr>
        <w:rPr>
          <w:lang w:val="es-ES"/>
        </w:rPr>
      </w:pPr>
      <w:r w:rsidRPr="00B06D23">
        <w:rPr>
          <w:lang w:val="es-ES"/>
        </w:rPr>
        <w:t>El costo total de estas “</w:t>
      </w:r>
      <w:r w:rsidR="008D4432" w:rsidRPr="00B06D23">
        <w:rPr>
          <w:lang w:val="es-ES"/>
        </w:rPr>
        <w:t>guardias” y</w:t>
      </w:r>
      <w:r w:rsidRPr="00B06D23">
        <w:rPr>
          <w:lang w:val="es-ES"/>
        </w:rPr>
        <w:t xml:space="preserve"> las horas “extras” se calculó como un porcentaje sobre costo laboral de la remuneración base, tal como se muestra en </w:t>
      </w:r>
      <w:r w:rsidR="00AD24BF">
        <w:rPr>
          <w:lang w:val="es-ES"/>
        </w:rPr>
        <w:t>“</w:t>
      </w:r>
      <w:r w:rsidRPr="00B06D23">
        <w:rPr>
          <w:lang w:val="es-ES"/>
        </w:rPr>
        <w:t xml:space="preserve">Anexo </w:t>
      </w:r>
      <w:r w:rsidR="00AD24BF">
        <w:rPr>
          <w:lang w:val="es-ES"/>
        </w:rPr>
        <w:t>C</w:t>
      </w:r>
      <w:r w:rsidR="005A6F95">
        <w:rPr>
          <w:lang w:val="es-ES"/>
        </w:rPr>
        <w:t>OMA</w:t>
      </w:r>
      <w:r w:rsidRPr="00B06D23">
        <w:rPr>
          <w:lang w:val="es-ES"/>
        </w:rPr>
        <w:t>_3 Modelo/Datos/ Horas Extras y Guardia Pasiva”, parte integrante de la documentación digital adjunta a este informe.</w:t>
      </w:r>
    </w:p>
    <w:p w14:paraId="08C9A02E" w14:textId="2CD108F9" w:rsidR="0079428C" w:rsidRPr="00B06D23" w:rsidRDefault="0079428C" w:rsidP="0079428C">
      <w:pPr>
        <w:rPr>
          <w:lang w:val="es-ES"/>
        </w:rPr>
      </w:pPr>
      <w:r w:rsidRPr="008136E7">
        <w:rPr>
          <w:lang w:val="es-ES"/>
        </w:rPr>
        <w:lastRenderedPageBreak/>
        <w:t xml:space="preserve">Este sobre costo laboral impacta en el costo empresario de los cargos señalados de la EM en un </w:t>
      </w:r>
      <w:r w:rsidR="008D4432" w:rsidRPr="008136E7">
        <w:rPr>
          <w:lang w:val="es-ES"/>
        </w:rPr>
        <w:t>porcentaje como</w:t>
      </w:r>
      <w:r w:rsidRPr="008136E7">
        <w:rPr>
          <w:lang w:val="es-ES"/>
        </w:rPr>
        <w:t xml:space="preserve"> se puede ver en </w:t>
      </w:r>
      <w:r w:rsidR="00AD24BF">
        <w:rPr>
          <w:lang w:val="es-ES"/>
        </w:rPr>
        <w:t>“</w:t>
      </w:r>
      <w:r w:rsidRPr="008136E7">
        <w:rPr>
          <w:lang w:val="es-ES"/>
        </w:rPr>
        <w:t xml:space="preserve">Anexo </w:t>
      </w:r>
      <w:r w:rsidR="00AD24BF">
        <w:rPr>
          <w:lang w:val="es-ES"/>
        </w:rPr>
        <w:t>COMA</w:t>
      </w:r>
      <w:r w:rsidRPr="008136E7">
        <w:rPr>
          <w:lang w:val="es-ES"/>
        </w:rPr>
        <w:t xml:space="preserve">_3 Modelo/Datos/ModeloSTN2019/ </w:t>
      </w:r>
      <w:r w:rsidR="00E43C4E" w:rsidRPr="008136E7">
        <w:rPr>
          <w:lang w:val="es-ES"/>
        </w:rPr>
        <w:t>2.- Estudio de Compensaciones_Resumen_Simulacion</w:t>
      </w:r>
      <w:r w:rsidR="00AD24BF">
        <w:rPr>
          <w:lang w:val="es-ES"/>
        </w:rPr>
        <w:t>”</w:t>
      </w:r>
      <w:r w:rsidR="00E43C4E" w:rsidRPr="008136E7">
        <w:rPr>
          <w:lang w:val="es-ES"/>
        </w:rPr>
        <w:t>.</w:t>
      </w:r>
    </w:p>
    <w:p w14:paraId="3A12C1C7" w14:textId="0FE5101E" w:rsidR="0079428C" w:rsidRDefault="0079428C" w:rsidP="0079428C">
      <w:pPr>
        <w:rPr>
          <w:rFonts w:cs="Arial"/>
          <w:szCs w:val="22"/>
          <w:lang w:val="es-ES"/>
        </w:rPr>
      </w:pPr>
      <w:r w:rsidRPr="00B06D23">
        <w:rPr>
          <w:rFonts w:cs="Arial"/>
          <w:szCs w:val="22"/>
          <w:lang w:val="es-ES"/>
        </w:rPr>
        <w:t xml:space="preserve">De esta forma, habiéndose realizado la homologación de cargos de la </w:t>
      </w:r>
      <w:r w:rsidR="001A6E11">
        <w:rPr>
          <w:rFonts w:cs="Arial"/>
          <w:szCs w:val="22"/>
          <w:lang w:val="es-ES"/>
        </w:rPr>
        <w:t>EM</w:t>
      </w:r>
      <w:r w:rsidRPr="00B06D23">
        <w:rPr>
          <w:rFonts w:cs="Arial"/>
          <w:szCs w:val="22"/>
          <w:lang w:val="es-ES"/>
        </w:rPr>
        <w:t xml:space="preserve"> a partir de la Encuesta PWC, y asignado costos a cada cargo de la organización que resultan de esa homologación, se ha obtenido el costo de Remuneraciones Brutas de la </w:t>
      </w:r>
      <w:r w:rsidR="001A6E11">
        <w:rPr>
          <w:rFonts w:cs="Arial"/>
          <w:szCs w:val="22"/>
          <w:lang w:val="es-ES"/>
        </w:rPr>
        <w:t>EM</w:t>
      </w:r>
      <w:r w:rsidRPr="00B06D23">
        <w:rPr>
          <w:rFonts w:cs="Arial"/>
          <w:szCs w:val="22"/>
          <w:lang w:val="es-ES"/>
        </w:rPr>
        <w:t xml:space="preserve"> a la que se suma el costo por las horas extras y la Bonificación por guardia descrita para los puestos operativos </w:t>
      </w:r>
      <w:r w:rsidR="00CC73C8">
        <w:rPr>
          <w:rFonts w:cs="Arial"/>
          <w:szCs w:val="22"/>
          <w:lang w:val="es-ES"/>
        </w:rPr>
        <w:t>descrito</w:t>
      </w:r>
      <w:r w:rsidRPr="00B06D23">
        <w:rPr>
          <w:rFonts w:cs="Arial"/>
          <w:szCs w:val="22"/>
          <w:lang w:val="es-ES"/>
        </w:rPr>
        <w:t xml:space="preserve">s. </w:t>
      </w:r>
    </w:p>
    <w:p w14:paraId="7CA0CA8D" w14:textId="77777777" w:rsidR="0079428C" w:rsidRPr="00575034" w:rsidRDefault="0079428C" w:rsidP="00575034">
      <w:pPr>
        <w:pStyle w:val="Ttulo3"/>
      </w:pPr>
      <w:bookmarkStart w:id="239" w:name="_Toc34398109"/>
      <w:bookmarkStart w:id="240" w:name="_Toc39797798"/>
      <w:r w:rsidRPr="00575034">
        <w:t>Costos de rotación del personal</w:t>
      </w:r>
      <w:bookmarkEnd w:id="239"/>
      <w:bookmarkEnd w:id="240"/>
    </w:p>
    <w:p w14:paraId="3F878C91" w14:textId="5093FF7B" w:rsidR="0079428C" w:rsidRPr="00B06D23" w:rsidRDefault="0079428C" w:rsidP="0079428C">
      <w:pPr>
        <w:rPr>
          <w:lang w:val="es-ES"/>
        </w:rPr>
      </w:pPr>
      <w:r w:rsidRPr="00B06D23">
        <w:rPr>
          <w:lang w:val="es-ES"/>
        </w:rPr>
        <w:t xml:space="preserve">En todas las empresas existe un porcentaje de la plantilla que está sometido a rotación natural debido a migraciones del personal a otras empresas y/o desvinculaciones que requieren </w:t>
      </w:r>
      <w:r w:rsidR="00BA2EDF" w:rsidRPr="00D46168">
        <w:rPr>
          <w:lang w:val="es-ES"/>
        </w:rPr>
        <w:t>indemnización</w:t>
      </w:r>
      <w:r w:rsidRPr="00D46168">
        <w:rPr>
          <w:lang w:val="es-ES"/>
        </w:rPr>
        <w:t>.</w:t>
      </w:r>
    </w:p>
    <w:p w14:paraId="7792C70D" w14:textId="0A76B59C" w:rsidR="002D45E6" w:rsidRPr="00B06D23" w:rsidRDefault="002D45E6" w:rsidP="002D45E6">
      <w:pPr>
        <w:rPr>
          <w:lang w:val="es-ES"/>
        </w:rPr>
      </w:pPr>
      <w:r w:rsidRPr="00C543D6">
        <w:rPr>
          <w:lang w:val="es-ES"/>
        </w:rPr>
        <w:t>Se ha considerado un costo asociado a la rotación del personal que se estima del 2% del total de la plantilla, y de la cual se requiere indemnización al 50% del personal desvinculado. Los porcentajes señalados surgen de los antecedentes del estudio de transmisión troncal 2013. Dichos porcentajes se consideran adecuados dado que se está considerando una rotación natural del 2% considerando que los niveles salariales están ajustados a los perfiles de la EM y valores de mercado.</w:t>
      </w:r>
    </w:p>
    <w:p w14:paraId="00268CFE" w14:textId="77777777" w:rsidR="0079428C" w:rsidRPr="00B06D23" w:rsidRDefault="0079428C" w:rsidP="0079428C">
      <w:pPr>
        <w:rPr>
          <w:lang w:val="es-ES"/>
        </w:rPr>
      </w:pPr>
      <w:r w:rsidRPr="00B06D23">
        <w:rPr>
          <w:lang w:val="es-ES"/>
        </w:rPr>
        <w:t>El costo de las indemnizaciones se ha considerado calculando una antigüedad promedio de 5 años y un tope de salario de 90 UF/mes.</w:t>
      </w:r>
    </w:p>
    <w:p w14:paraId="61FB975B" w14:textId="279B4611" w:rsidR="0079428C" w:rsidRDefault="0079428C" w:rsidP="0079428C">
      <w:pPr>
        <w:rPr>
          <w:lang w:val="es-ES"/>
        </w:rPr>
      </w:pPr>
      <w:r w:rsidRPr="00B06D23">
        <w:rPr>
          <w:lang w:val="es-ES"/>
        </w:rPr>
        <w:t xml:space="preserve">Adicionalmente se ha considerado un costo de </w:t>
      </w:r>
      <w:r w:rsidR="00BA2EDF" w:rsidRPr="008B181D">
        <w:rPr>
          <w:lang w:val="es-ES"/>
        </w:rPr>
        <w:t>incorporación</w:t>
      </w:r>
      <w:r w:rsidRPr="00B06D23">
        <w:rPr>
          <w:lang w:val="es-ES"/>
        </w:rPr>
        <w:t xml:space="preserve"> de personal equivalente al 2% de la plantilla con un costo unitario de incorporación igual a una remuneración mensual sin considerar los beneficios.</w:t>
      </w:r>
    </w:p>
    <w:p w14:paraId="0BEA68E9" w14:textId="77777777" w:rsidR="0079428C" w:rsidRPr="00F465C5" w:rsidRDefault="0079428C" w:rsidP="0079428C">
      <w:pPr>
        <w:pStyle w:val="Ttulo3"/>
      </w:pPr>
      <w:bookmarkStart w:id="241" w:name="_Toc34398110"/>
      <w:bookmarkStart w:id="242" w:name="_Toc39797799"/>
      <w:r w:rsidRPr="00F465C5">
        <w:t>Análisis de tercerización de actividades</w:t>
      </w:r>
      <w:bookmarkEnd w:id="241"/>
      <w:bookmarkEnd w:id="242"/>
    </w:p>
    <w:p w14:paraId="3AC77542" w14:textId="77777777" w:rsidR="0079428C" w:rsidRPr="00B06D23" w:rsidRDefault="0079428C" w:rsidP="0079428C">
      <w:pPr>
        <w:rPr>
          <w:lang w:val="es-ES"/>
        </w:rPr>
      </w:pPr>
      <w:r w:rsidRPr="00B06D23">
        <w:rPr>
          <w:lang w:val="es-ES"/>
        </w:rPr>
        <w:t xml:space="preserve">Se realiza un análisis sobre la conveniencia de tercerizar algunas de las actividades operativas de la EM, contemplando las mejores prácticas de empresas de transmisión en la región. </w:t>
      </w:r>
    </w:p>
    <w:p w14:paraId="10EA2AD0" w14:textId="77777777" w:rsidR="0079428C" w:rsidRPr="00B06D23" w:rsidRDefault="0079428C" w:rsidP="0079428C">
      <w:pPr>
        <w:rPr>
          <w:lang w:val="es-ES"/>
        </w:rPr>
      </w:pPr>
      <w:r w:rsidRPr="00B06D23">
        <w:rPr>
          <w:lang w:val="es-ES"/>
        </w:rPr>
        <w:t>Este análisis se realiza sobre aquellas actividades de operación y mantenimiento que son susceptibles de tercerizar en base al análisis de la importancia estratégica de las tareas. Para definir la importancia estratégica se tienen en cuenta aspectos tales como la confiabilidad operativa, la seguridad de los trabajadores, el control y supervisión del sistema, el nivel de calidad y especialización de los contratistas presentes en el mercado.</w:t>
      </w:r>
    </w:p>
    <w:p w14:paraId="02792C22" w14:textId="77777777" w:rsidR="0079428C" w:rsidRPr="00B06D23" w:rsidRDefault="0079428C" w:rsidP="0079428C">
      <w:pPr>
        <w:rPr>
          <w:lang w:val="es-ES"/>
        </w:rPr>
      </w:pPr>
      <w:r w:rsidRPr="00B06D23">
        <w:rPr>
          <w:lang w:val="es-ES"/>
        </w:rPr>
        <w:t>Para definir los aspectos mencionados se tendrán en cuenta las prácticas usuales en materia de tercerización de las empresas contratistas y los antecedentes regulatorios en la materia.</w:t>
      </w:r>
    </w:p>
    <w:p w14:paraId="7D9EBB29" w14:textId="77777777" w:rsidR="0079428C" w:rsidRPr="00B06D23" w:rsidRDefault="0079428C" w:rsidP="0079428C">
      <w:pPr>
        <w:rPr>
          <w:lang w:val="es-ES"/>
        </w:rPr>
      </w:pPr>
      <w:r w:rsidRPr="00B06D23">
        <w:rPr>
          <w:lang w:val="es-ES"/>
        </w:rPr>
        <w:lastRenderedPageBreak/>
        <w:t>En particular se consideraron los siguientes criterios para identificar las actividades sujetas a tercerización: niveles de especialización requeridos y la posibilidad de conseguirlos en el mercado de contratistas, el volumen de las tareas a realizar considerando que en caso de tareas que se realizan en forma esporádica no conviene tener sobredimensionado la estructura de la empresa sino contratar cuando sea necesario, la confidencialidad de la información que se maneja que puede requerir no sea accesible a personal de terceros de la empresa, la criticidad de los equipos que son objeto de operación y mantenimiento y que por razones de confiabilidad operativa resulta conveniente que sean desarrollados por personal propio y conocido de la propia empresa.</w:t>
      </w:r>
    </w:p>
    <w:p w14:paraId="4D7F178C" w14:textId="5C4D9F94" w:rsidR="0079428C" w:rsidRDefault="0079428C" w:rsidP="0079428C">
      <w:pPr>
        <w:rPr>
          <w:lang w:val="es-ES"/>
        </w:rPr>
      </w:pPr>
      <w:r w:rsidRPr="00B06D23">
        <w:rPr>
          <w:lang w:val="es-ES"/>
        </w:rPr>
        <w:t xml:space="preserve">Sobre la base de los criterios anteriores se identifican las áreas operativas de la empresa y los cargos que son posibles de tercerizar y se analiza la factibilidad de la tercerización teniendo en cuenta la experiencia de la industria y de las empresas especializadas de </w:t>
      </w:r>
      <w:r w:rsidRPr="008D4432">
        <w:rPr>
          <w:i/>
          <w:lang w:val="es-ES"/>
        </w:rPr>
        <w:t>outsourcing</w:t>
      </w:r>
      <w:r w:rsidRPr="00B06D23">
        <w:rPr>
          <w:lang w:val="es-ES"/>
        </w:rPr>
        <w:t xml:space="preserve"> de manera de minimizar los costos operativos en que debe incurrir la EM.</w:t>
      </w:r>
    </w:p>
    <w:p w14:paraId="1FB725CF" w14:textId="77777777" w:rsidR="0079428C" w:rsidRPr="00FD055F" w:rsidRDefault="0079428C" w:rsidP="0079428C">
      <w:pPr>
        <w:pStyle w:val="Ttulo4"/>
      </w:pPr>
      <w:bookmarkStart w:id="243" w:name="_Toc34398111"/>
      <w:bookmarkStart w:id="244" w:name="_Toc39797800"/>
      <w:r w:rsidRPr="00FD055F">
        <w:t>Análisis de la importancia estratégica</w:t>
      </w:r>
      <w:bookmarkEnd w:id="243"/>
      <w:bookmarkEnd w:id="244"/>
    </w:p>
    <w:p w14:paraId="503248C5" w14:textId="77777777" w:rsidR="0079428C" w:rsidRPr="00B06D23" w:rsidRDefault="0079428C" w:rsidP="0079428C">
      <w:pPr>
        <w:rPr>
          <w:lang w:val="es-ES"/>
        </w:rPr>
      </w:pPr>
      <w:r w:rsidRPr="00B06D23">
        <w:rPr>
          <w:lang w:val="es-ES"/>
        </w:rPr>
        <w:t>Antes de valorizar la estructura de una organización eficiente se requiere definir las políticas de tercerización óptimas ya que el personal tercerizado no forma parte de la estructura de personal propia de la empresa y solamente se debe incluir en esa estructura propia el personal para realizar las especificaciones técnicas, la coordinación y el control de los contratistas. En efecto, una empresa eficiente que realice la tercerización de actividades debe contar con las especificaciones técnicas para exigir al contratista una calidad de ejecución de los trabajos acorde a los niveles de confiabilidad requeridos, y disponer de una contraparte en el personal propio para coordinar y controlar adecuadamente la ejecución de esos trabajos.</w:t>
      </w:r>
    </w:p>
    <w:p w14:paraId="341E8DDA" w14:textId="000BC30D" w:rsidR="0079428C" w:rsidRPr="00B06D23" w:rsidRDefault="0079428C" w:rsidP="0079428C">
      <w:pPr>
        <w:rPr>
          <w:lang w:val="es-ES"/>
        </w:rPr>
      </w:pPr>
      <w:r w:rsidRPr="00B06D23">
        <w:rPr>
          <w:lang w:val="es-ES"/>
        </w:rPr>
        <w:t xml:space="preserve">Las tareas factibles de tercerizar son aquellas vinculadas con </w:t>
      </w:r>
      <w:r w:rsidR="008D4432" w:rsidRPr="00B06D23">
        <w:rPr>
          <w:lang w:val="es-ES"/>
        </w:rPr>
        <w:t>los trabajos</w:t>
      </w:r>
      <w:r w:rsidRPr="00B06D23">
        <w:rPr>
          <w:lang w:val="es-ES"/>
        </w:rPr>
        <w:t xml:space="preserve"> de terreno relacionados a las tareas de mantenimiento excepto las tareas de supervisión, análisis y evaluación para la toma de decisiones que son estratégicas para la calidad y confiabilidad del sistema, y para las cual se requieren perfiles de formación y experiencia específicos que es posible lograr con el personal de plantilla debido a su permanencia y capacitación continua.</w:t>
      </w:r>
    </w:p>
    <w:p w14:paraId="1334A756" w14:textId="46FD93F7" w:rsidR="0079428C" w:rsidRPr="00B06D23" w:rsidRDefault="0079428C" w:rsidP="0079428C">
      <w:pPr>
        <w:rPr>
          <w:lang w:val="es-ES"/>
        </w:rPr>
      </w:pPr>
      <w:r w:rsidRPr="00B06D23">
        <w:rPr>
          <w:lang w:val="es-ES"/>
        </w:rPr>
        <w:t xml:space="preserve">Por lo señalado no se consideran tercerizadas las áreas de operación centralizada, </w:t>
      </w:r>
      <w:r w:rsidR="008D4432" w:rsidRPr="00B06D23">
        <w:rPr>
          <w:lang w:val="es-ES"/>
        </w:rPr>
        <w:t>operación y</w:t>
      </w:r>
      <w:r w:rsidRPr="00B06D23">
        <w:rPr>
          <w:lang w:val="es-ES"/>
        </w:rPr>
        <w:t xml:space="preserve"> coordinación regional, debido a que son trabajos de una alta especialización y una pieza vital para el servicio por lo que la </w:t>
      </w:r>
      <w:r w:rsidR="001A6E11">
        <w:rPr>
          <w:lang w:val="es-ES"/>
        </w:rPr>
        <w:t>EM</w:t>
      </w:r>
      <w:r w:rsidRPr="00B06D23">
        <w:rPr>
          <w:lang w:val="es-ES"/>
        </w:rPr>
        <w:t xml:space="preserve"> está en la obligación de dirigir el trabajo y emitir órdenes directas y precisas para la ejecución de estas labores.</w:t>
      </w:r>
    </w:p>
    <w:p w14:paraId="66043820" w14:textId="5E079846" w:rsidR="0079428C" w:rsidRPr="00B06D23" w:rsidRDefault="0079428C" w:rsidP="0079428C">
      <w:pPr>
        <w:rPr>
          <w:lang w:val="es-ES"/>
        </w:rPr>
      </w:pPr>
      <w:r w:rsidRPr="00B06D23">
        <w:rPr>
          <w:lang w:val="es-ES"/>
        </w:rPr>
        <w:t xml:space="preserve">Tampoco se consideran tercerizadas las tareas de mantenimiento de sistemas de comunicaciones, protecciones y control dado su importancia estratégica, el </w:t>
      </w:r>
      <w:r w:rsidR="008D4432" w:rsidRPr="00B06D23">
        <w:rPr>
          <w:lang w:val="es-ES"/>
        </w:rPr>
        <w:t>impacto en</w:t>
      </w:r>
      <w:r w:rsidRPr="00B06D23">
        <w:rPr>
          <w:lang w:val="es-ES"/>
        </w:rPr>
        <w:t xml:space="preserve"> el sistema en caso de fallas y un alto nivel de formación y capacitación específica.</w:t>
      </w:r>
    </w:p>
    <w:p w14:paraId="4AEA1212" w14:textId="77777777" w:rsidR="0079428C" w:rsidRPr="00B06D23" w:rsidRDefault="0079428C" w:rsidP="0079428C">
      <w:pPr>
        <w:rPr>
          <w:lang w:val="es-ES"/>
        </w:rPr>
      </w:pPr>
      <w:r w:rsidRPr="00B06D23">
        <w:rPr>
          <w:lang w:val="es-ES"/>
        </w:rPr>
        <w:lastRenderedPageBreak/>
        <w:t>Los motivos específicos para la no tercerización de las tareas antes indicadas se presentan a continuación:</w:t>
      </w:r>
    </w:p>
    <w:p w14:paraId="10C40C57" w14:textId="77777777" w:rsidR="0079428C" w:rsidRPr="00B06D23" w:rsidRDefault="0079428C" w:rsidP="00575034">
      <w:pPr>
        <w:pStyle w:val="Ttulo5"/>
        <w:rPr>
          <w:lang w:val="es-ES"/>
        </w:rPr>
      </w:pPr>
      <w:r w:rsidRPr="00B06D23">
        <w:rPr>
          <w:lang w:val="es-ES"/>
        </w:rPr>
        <w:t>Operación Centralizada y Coordinación Regional.</w:t>
      </w:r>
    </w:p>
    <w:p w14:paraId="4C1A2A3D" w14:textId="77777777" w:rsidR="0079428C" w:rsidRPr="00B06D23" w:rsidRDefault="0079428C" w:rsidP="0079428C">
      <w:pPr>
        <w:rPr>
          <w:lang w:val="es-ES"/>
        </w:rPr>
      </w:pPr>
      <w:r w:rsidRPr="00B06D23">
        <w:rPr>
          <w:lang w:val="es-ES"/>
        </w:rPr>
        <w:t>Para mantener la seguridad de los trabajadores y que sus operaciones garanticen la seguridad de terceros, así como un nivel de calidad de servicio adecuado, la empresa debe contar con personal propio para cumplir con esta parte del proceso.</w:t>
      </w:r>
    </w:p>
    <w:p w14:paraId="22D34EB0" w14:textId="0380AD0F" w:rsidR="0079428C" w:rsidRPr="00B06D23" w:rsidRDefault="0079428C" w:rsidP="0079428C">
      <w:pPr>
        <w:rPr>
          <w:lang w:val="es-ES"/>
        </w:rPr>
      </w:pPr>
      <w:r w:rsidRPr="00B06D23">
        <w:rPr>
          <w:lang w:val="es-ES"/>
        </w:rPr>
        <w:t xml:space="preserve">Se debe considerar además </w:t>
      </w:r>
      <w:r w:rsidR="008D4432" w:rsidRPr="00B06D23">
        <w:rPr>
          <w:lang w:val="es-ES"/>
        </w:rPr>
        <w:t>que,</w:t>
      </w:r>
      <w:r w:rsidRPr="00B06D23">
        <w:rPr>
          <w:lang w:val="es-ES"/>
        </w:rPr>
        <w:t xml:space="preserve"> al ser un proceso crítico en la empresa, es necesario garantizar la seguridad de los trabajadores mediante la formación (capacitación) del personal que realiza las maniobras desde el Centro de Control.</w:t>
      </w:r>
    </w:p>
    <w:p w14:paraId="1F7E7854" w14:textId="721D7207" w:rsidR="0079428C" w:rsidRPr="00B06D23" w:rsidRDefault="0079428C" w:rsidP="0079428C">
      <w:pPr>
        <w:rPr>
          <w:lang w:val="es-ES"/>
        </w:rPr>
      </w:pPr>
      <w:r w:rsidRPr="00B06D23">
        <w:rPr>
          <w:lang w:val="es-ES"/>
        </w:rPr>
        <w:t>Solo las tareas de terreno vinculadas a la operación se han considerado tercerizadas dado las ventajas que presentan los contratistas especialmente en situaciones de emergencia debido a que pueden ser convocadas a demanda, y a su despliegue territorial. Dentro de este tipo se consideran por ejemplo la confirmación visual en caso de apertura de seccionadores desde el centro de control o la apertura manual cuando no está motorizado o el relevamiento de algún tipo de información en situaciones de emergencia en combinación con las cuadrillas de mantenimiento. No obstante lo anterior</w:t>
      </w:r>
      <w:r w:rsidR="008D4432">
        <w:rPr>
          <w:lang w:val="es-ES"/>
        </w:rPr>
        <w:t>,</w:t>
      </w:r>
      <w:r w:rsidRPr="00B06D23">
        <w:rPr>
          <w:lang w:val="es-ES"/>
        </w:rPr>
        <w:t xml:space="preserve"> estas tareas son coordinadas y supervisadas por el personal propio del centro de control principal y regional y apoyadas por el personal operativo y de supervisión de las unidades regionales.</w:t>
      </w:r>
    </w:p>
    <w:p w14:paraId="51DADF71" w14:textId="77777777" w:rsidR="0079428C" w:rsidRPr="00B06D23" w:rsidRDefault="0079428C" w:rsidP="00575034">
      <w:pPr>
        <w:pStyle w:val="Ttulo5"/>
        <w:rPr>
          <w:lang w:val="es-ES"/>
        </w:rPr>
      </w:pPr>
      <w:r w:rsidRPr="00B06D23">
        <w:rPr>
          <w:lang w:val="es-ES"/>
        </w:rPr>
        <w:t xml:space="preserve">Mantenimiento de protecciones, comunicaciones y control. </w:t>
      </w:r>
    </w:p>
    <w:p w14:paraId="54BAE357" w14:textId="77777777" w:rsidR="0079428C" w:rsidRPr="00B06D23" w:rsidRDefault="0079428C" w:rsidP="0079428C">
      <w:pPr>
        <w:rPr>
          <w:lang w:val="es-ES"/>
        </w:rPr>
      </w:pPr>
      <w:r w:rsidRPr="00B06D23">
        <w:rPr>
          <w:lang w:val="es-ES"/>
        </w:rPr>
        <w:t>Dentro de este rubro se consideran la Inspección y reparación de protecciones, telecomunicaciones y SCADA.</w:t>
      </w:r>
    </w:p>
    <w:p w14:paraId="20B07306" w14:textId="718FBD44" w:rsidR="0079428C" w:rsidRPr="00B06D23" w:rsidRDefault="0079428C" w:rsidP="0079428C">
      <w:pPr>
        <w:rPr>
          <w:lang w:val="es-ES"/>
        </w:rPr>
      </w:pPr>
      <w:r w:rsidRPr="00B06D23">
        <w:rPr>
          <w:lang w:val="es-ES"/>
        </w:rPr>
        <w:t>Este tipo de tareas que exige una alta especialización y actualización de conocimiento tiene un amplio espectro de marcas de equipamiento por lo cual resultaría complejo atomizar el universo de contratistas</w:t>
      </w:r>
      <w:r w:rsidR="008D4432">
        <w:rPr>
          <w:lang w:val="es-ES"/>
        </w:rPr>
        <w:t>,</w:t>
      </w:r>
      <w:r w:rsidRPr="00B06D23">
        <w:rPr>
          <w:lang w:val="es-ES"/>
        </w:rPr>
        <w:t xml:space="preserve"> razón </w:t>
      </w:r>
      <w:r w:rsidR="008D4432">
        <w:rPr>
          <w:lang w:val="es-ES"/>
        </w:rPr>
        <w:t xml:space="preserve">por la cual se decide realizar </w:t>
      </w:r>
      <w:r w:rsidRPr="00B06D23">
        <w:rPr>
          <w:lang w:val="es-ES"/>
        </w:rPr>
        <w:t>con personal propio.</w:t>
      </w:r>
    </w:p>
    <w:p w14:paraId="2C396EAB" w14:textId="0ADBCAE1" w:rsidR="0079428C" w:rsidRPr="00B06D23" w:rsidRDefault="0079428C" w:rsidP="0079428C">
      <w:pPr>
        <w:rPr>
          <w:lang w:val="es-ES"/>
        </w:rPr>
      </w:pPr>
      <w:r w:rsidRPr="00B06D23">
        <w:rPr>
          <w:lang w:val="es-ES"/>
        </w:rPr>
        <w:t xml:space="preserve">Estas labores realizadas por personal </w:t>
      </w:r>
      <w:r w:rsidRPr="00A943FF">
        <w:rPr>
          <w:lang w:val="es-ES"/>
        </w:rPr>
        <w:t>propio permite</w:t>
      </w:r>
      <w:r w:rsidR="00BA2EDF" w:rsidRPr="00A943FF">
        <w:rPr>
          <w:lang w:val="es-ES"/>
        </w:rPr>
        <w:t>n</w:t>
      </w:r>
      <w:r w:rsidRPr="00A943FF">
        <w:rPr>
          <w:lang w:val="es-ES"/>
        </w:rPr>
        <w:t xml:space="preserve"> asegurar</w:t>
      </w:r>
      <w:r w:rsidRPr="00B06D23">
        <w:rPr>
          <w:lang w:val="es-ES"/>
        </w:rPr>
        <w:t xml:space="preserve"> y monitorear que su capacitación esté acorde con los últimos adelantos tecnológicos y medidas de seguridad necesarias, logrando la disminución de tiempos y evitando posibles accidentes </w:t>
      </w:r>
    </w:p>
    <w:p w14:paraId="32576685" w14:textId="6DE3302F" w:rsidR="0079428C" w:rsidRPr="00B06D23" w:rsidRDefault="0079428C" w:rsidP="0079428C">
      <w:pPr>
        <w:rPr>
          <w:lang w:val="es-ES"/>
        </w:rPr>
      </w:pPr>
      <w:r w:rsidRPr="00B06D23">
        <w:rPr>
          <w:lang w:val="es-ES"/>
        </w:rPr>
        <w:t xml:space="preserve">De otro lado, el contar con personal propio para estas labores hace que se cohesione la lealtad del trabajador hacia la empresa logrando de </w:t>
      </w:r>
      <w:r w:rsidR="008D4432" w:rsidRPr="00B06D23">
        <w:rPr>
          <w:lang w:val="es-ES"/>
        </w:rPr>
        <w:t>esta forma</w:t>
      </w:r>
      <w:r w:rsidRPr="00B06D23">
        <w:rPr>
          <w:lang w:val="es-ES"/>
        </w:rPr>
        <w:t xml:space="preserve"> una correcta gestión empresarial, al coincidir y alinearse los </w:t>
      </w:r>
      <w:r w:rsidR="008D4432" w:rsidRPr="00B06D23">
        <w:rPr>
          <w:lang w:val="es-ES"/>
        </w:rPr>
        <w:t>trabajadores a</w:t>
      </w:r>
      <w:r w:rsidRPr="00B06D23">
        <w:rPr>
          <w:lang w:val="es-ES"/>
        </w:rPr>
        <w:t xml:space="preserve"> la cultura, valores y objetivos lo que permite obtener los estándares de confiabilidad y calidad requeridos.</w:t>
      </w:r>
    </w:p>
    <w:p w14:paraId="5E04D255" w14:textId="77777777" w:rsidR="0079428C" w:rsidRPr="00FD055F" w:rsidRDefault="0079428C" w:rsidP="0079428C">
      <w:pPr>
        <w:pStyle w:val="Ttulo4"/>
      </w:pPr>
      <w:bookmarkStart w:id="245" w:name="_Toc34398112"/>
      <w:bookmarkStart w:id="246" w:name="_Toc39797801"/>
      <w:r w:rsidRPr="00FD055F">
        <w:t>Análisis de la conveniencia económica</w:t>
      </w:r>
      <w:bookmarkEnd w:id="245"/>
      <w:bookmarkEnd w:id="246"/>
    </w:p>
    <w:p w14:paraId="7A05F4CC" w14:textId="77777777" w:rsidR="0079428C" w:rsidRPr="00B06D23" w:rsidRDefault="0079428C" w:rsidP="0079428C">
      <w:pPr>
        <w:rPr>
          <w:lang w:val="es-ES"/>
        </w:rPr>
      </w:pPr>
      <w:r w:rsidRPr="00B06D23">
        <w:rPr>
          <w:lang w:val="es-ES"/>
        </w:rPr>
        <w:lastRenderedPageBreak/>
        <w:t>Este análisis se realiza sobre aquellas actividades de operación y mantenimiento que son susceptibles de tercerizar en base al análisis de importancia estratégica.</w:t>
      </w:r>
    </w:p>
    <w:p w14:paraId="518D21DB" w14:textId="77777777" w:rsidR="0079428C" w:rsidRPr="00B06D23" w:rsidRDefault="0079428C" w:rsidP="0079428C">
      <w:pPr>
        <w:rPr>
          <w:lang w:val="es-ES"/>
        </w:rPr>
      </w:pPr>
      <w:r w:rsidRPr="00B06D23">
        <w:rPr>
          <w:lang w:val="es-ES"/>
        </w:rPr>
        <w:t>Para realizar el análisis de conveniencia económica se deben comparar los costos operacionales de mano de obra de los cargos que integran las cuadrillas de actividades de terreno que podrían realizar las tareas tercerizadas versus los costos para dichos cargos conformadas por personal propio.</w:t>
      </w:r>
    </w:p>
    <w:p w14:paraId="2E58B031" w14:textId="77777777" w:rsidR="0079428C" w:rsidRPr="00B06D23" w:rsidRDefault="0079428C" w:rsidP="0079428C">
      <w:pPr>
        <w:rPr>
          <w:lang w:val="es-ES"/>
        </w:rPr>
      </w:pPr>
      <w:r w:rsidRPr="00B06D23">
        <w:rPr>
          <w:lang w:val="es-ES"/>
        </w:rPr>
        <w:t>Para este análisis se siguen las siguientes etapas:</w:t>
      </w:r>
    </w:p>
    <w:p w14:paraId="1B6C1547" w14:textId="72204E25" w:rsidR="0079428C" w:rsidRPr="008E7F79" w:rsidRDefault="0079428C" w:rsidP="00273FE4">
      <w:pPr>
        <w:pStyle w:val="Listanumerada"/>
        <w:numPr>
          <w:ilvl w:val="0"/>
          <w:numId w:val="21"/>
        </w:numPr>
        <w:spacing w:after="200"/>
        <w:ind w:left="567" w:hanging="567"/>
        <w:rPr>
          <w:lang w:val="es-ES"/>
        </w:rPr>
      </w:pPr>
      <w:r w:rsidRPr="008E7F79">
        <w:rPr>
          <w:lang w:val="es-ES"/>
        </w:rPr>
        <w:t xml:space="preserve">Definición de los tipos de contratistas que utilizará la </w:t>
      </w:r>
      <w:r w:rsidR="001A6E11" w:rsidRPr="008E7F79">
        <w:rPr>
          <w:lang w:val="es-ES"/>
        </w:rPr>
        <w:t>EM</w:t>
      </w:r>
      <w:r w:rsidR="00093F81" w:rsidRPr="008E7F79">
        <w:rPr>
          <w:lang w:val="es-ES"/>
        </w:rPr>
        <w:t>.</w:t>
      </w:r>
    </w:p>
    <w:p w14:paraId="1C791797" w14:textId="77777777" w:rsidR="0079428C" w:rsidRPr="008E7F79" w:rsidRDefault="0079428C" w:rsidP="00273FE4">
      <w:pPr>
        <w:pStyle w:val="Listanumerada"/>
        <w:numPr>
          <w:ilvl w:val="0"/>
          <w:numId w:val="21"/>
        </w:numPr>
        <w:spacing w:after="200"/>
        <w:ind w:left="567" w:hanging="567"/>
        <w:rPr>
          <w:lang w:val="es-ES"/>
        </w:rPr>
      </w:pPr>
      <w:r w:rsidRPr="008E7F79">
        <w:rPr>
          <w:lang w:val="es-ES"/>
        </w:rPr>
        <w:t>Homologación de los puestos de terreno susceptibles de tercerizar en los puestos disponibles en la encuesta.</w:t>
      </w:r>
    </w:p>
    <w:p w14:paraId="6C8ACAAD" w14:textId="77777777" w:rsidR="0079428C" w:rsidRPr="008E7F79" w:rsidRDefault="0079428C" w:rsidP="00273FE4">
      <w:pPr>
        <w:pStyle w:val="Listanumerada"/>
        <w:numPr>
          <w:ilvl w:val="0"/>
          <w:numId w:val="21"/>
        </w:numPr>
        <w:spacing w:after="200"/>
        <w:ind w:left="567" w:hanging="567"/>
        <w:rPr>
          <w:lang w:val="es-ES"/>
        </w:rPr>
      </w:pPr>
      <w:r w:rsidRPr="008E7F79">
        <w:rPr>
          <w:lang w:val="es-ES"/>
        </w:rPr>
        <w:t>Comparar el costo laboral de la mano de obra propia versus la tercerizadas. En ambos casos se debe considerar las rentas de mercado de la encuesta y las obligaciones legales y adicionalmente incluir el costo de administración y utilidades eficientes del contratista para el caso de las tercerizadas.</w:t>
      </w:r>
    </w:p>
    <w:p w14:paraId="238E5259" w14:textId="77777777" w:rsidR="0079428C" w:rsidRPr="00B06D23" w:rsidRDefault="0079428C" w:rsidP="0079428C">
      <w:pPr>
        <w:rPr>
          <w:lang w:val="es-ES"/>
        </w:rPr>
      </w:pPr>
      <w:r w:rsidRPr="00B06D23">
        <w:rPr>
          <w:lang w:val="es-ES"/>
        </w:rPr>
        <w:t>Las tareas realizadas por este personal están relacionadas al mantenimiento de líneas y subestaciones algunas de ellas realizadas con tensión que requiere personal de alta calificación y experiencia dado los riesgos involucrados y el impacto que podrían tener en el sistema eléctrico eventuales errores de ejecución por este motivo se considera el Electricista II con el apoyo del Técnico de Mantención I y II que colaboran y apoyan al primero. La supervisión y coordinación del trabajo de la cuadrilla con la empresa principal y la interlocución con la contraparte está a cargo del Jefe de la cuadrilla.</w:t>
      </w:r>
    </w:p>
    <w:p w14:paraId="25F9F1C8" w14:textId="26E70BFC" w:rsidR="0079428C" w:rsidRDefault="00575034" w:rsidP="0079428C">
      <w:pPr>
        <w:rPr>
          <w:lang w:val="es-ES"/>
        </w:rPr>
      </w:pPr>
      <w:r>
        <w:rPr>
          <w:lang w:val="es-ES"/>
        </w:rPr>
        <w:t xml:space="preserve">Para Contratista, </w:t>
      </w:r>
      <w:r w:rsidR="0079428C" w:rsidRPr="00B06D23">
        <w:rPr>
          <w:lang w:val="es-ES"/>
        </w:rPr>
        <w:t>se seleccionaron los siguientes cargos para las cuadrillas de contratista:</w:t>
      </w:r>
    </w:p>
    <w:p w14:paraId="3447DC63" w14:textId="099214B5" w:rsidR="00575034" w:rsidRPr="00BC38C2" w:rsidRDefault="00575034" w:rsidP="00575034">
      <w:pPr>
        <w:pStyle w:val="Subttulo"/>
      </w:pPr>
      <w:bookmarkStart w:id="247" w:name="_Toc39797935"/>
      <w:r w:rsidRPr="00BC38C2">
        <w:t xml:space="preserve">Tabla </w:t>
      </w:r>
      <w:fldSimple w:instr=" SEQ Tabla \* ARABIC ">
        <w:r w:rsidR="001F3E2E">
          <w:rPr>
            <w:noProof/>
          </w:rPr>
          <w:t>25</w:t>
        </w:r>
      </w:fldSimple>
      <w:r w:rsidRPr="00BC38C2">
        <w:t xml:space="preserve"> </w:t>
      </w:r>
      <w:r>
        <w:t>Cuadrillas de contratista</w:t>
      </w:r>
      <w:bookmarkEnd w:id="247"/>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firstRow="1" w:lastRow="0" w:firstColumn="1" w:lastColumn="0" w:noHBand="0" w:noVBand="1"/>
      </w:tblPr>
      <w:tblGrid>
        <w:gridCol w:w="2835"/>
        <w:gridCol w:w="3686"/>
        <w:gridCol w:w="3119"/>
      </w:tblGrid>
      <w:tr w:rsidR="0079428C" w:rsidRPr="00484B50" w14:paraId="4A3312D5" w14:textId="77777777" w:rsidTr="00220906">
        <w:trPr>
          <w:jc w:val="center"/>
        </w:trPr>
        <w:tc>
          <w:tcPr>
            <w:tcW w:w="2835" w:type="dxa"/>
            <w:shd w:val="clear" w:color="auto" w:fill="D9D9D9" w:themeFill="background1" w:themeFillShade="D9"/>
            <w:noWrap/>
            <w:vAlign w:val="center"/>
          </w:tcPr>
          <w:p w14:paraId="00BD4A25" w14:textId="77777777" w:rsidR="0079428C" w:rsidRPr="00484B50" w:rsidRDefault="0079428C" w:rsidP="00220906">
            <w:pPr>
              <w:spacing w:before="40" w:after="40" w:line="240" w:lineRule="auto"/>
              <w:jc w:val="center"/>
              <w:rPr>
                <w:rFonts w:cs="Calibri"/>
                <w:b/>
                <w:sz w:val="20"/>
                <w:szCs w:val="20"/>
                <w:lang w:val="es-ES" w:eastAsia="es-AR"/>
              </w:rPr>
            </w:pPr>
            <w:r w:rsidRPr="00484B50">
              <w:rPr>
                <w:rFonts w:cs="Calibri"/>
                <w:b/>
                <w:sz w:val="20"/>
                <w:szCs w:val="20"/>
                <w:lang w:val="es-ES" w:eastAsia="es-AR"/>
              </w:rPr>
              <w:t>Puesto EM - Líneas</w:t>
            </w:r>
          </w:p>
        </w:tc>
        <w:tc>
          <w:tcPr>
            <w:tcW w:w="3686" w:type="dxa"/>
            <w:shd w:val="clear" w:color="auto" w:fill="D9D9D9" w:themeFill="background1" w:themeFillShade="D9"/>
            <w:noWrap/>
            <w:vAlign w:val="center"/>
          </w:tcPr>
          <w:p w14:paraId="78D221AA" w14:textId="77777777" w:rsidR="0079428C" w:rsidRPr="00484B50" w:rsidRDefault="0079428C" w:rsidP="00220906">
            <w:pPr>
              <w:spacing w:before="40" w:after="40" w:line="240" w:lineRule="auto"/>
              <w:jc w:val="center"/>
              <w:rPr>
                <w:rFonts w:cs="Calibri"/>
                <w:b/>
                <w:sz w:val="20"/>
                <w:szCs w:val="20"/>
                <w:lang w:val="es-ES" w:eastAsia="es-AR"/>
              </w:rPr>
            </w:pPr>
            <w:r w:rsidRPr="00484B50">
              <w:rPr>
                <w:rFonts w:cs="Calibri"/>
                <w:b/>
                <w:sz w:val="20"/>
                <w:szCs w:val="20"/>
                <w:lang w:val="es-ES" w:eastAsia="es-AR"/>
              </w:rPr>
              <w:t>Puesto EM – Estaciones</w:t>
            </w:r>
          </w:p>
        </w:tc>
        <w:tc>
          <w:tcPr>
            <w:tcW w:w="3119" w:type="dxa"/>
            <w:shd w:val="clear" w:color="auto" w:fill="D9D9D9" w:themeFill="background1" w:themeFillShade="D9"/>
            <w:noWrap/>
            <w:vAlign w:val="center"/>
          </w:tcPr>
          <w:p w14:paraId="306267C1" w14:textId="77777777" w:rsidR="0079428C" w:rsidRPr="00484B50" w:rsidRDefault="0079428C" w:rsidP="00220906">
            <w:pPr>
              <w:spacing w:before="40" w:after="40" w:line="240" w:lineRule="auto"/>
              <w:jc w:val="center"/>
              <w:rPr>
                <w:rFonts w:cs="Calibri"/>
                <w:b/>
                <w:sz w:val="20"/>
                <w:szCs w:val="20"/>
                <w:lang w:val="es-ES" w:eastAsia="es-AR"/>
              </w:rPr>
            </w:pPr>
            <w:r w:rsidRPr="00484B50">
              <w:rPr>
                <w:rFonts w:cs="Calibri"/>
                <w:b/>
                <w:sz w:val="20"/>
                <w:szCs w:val="20"/>
                <w:lang w:val="es-ES" w:eastAsia="es-AR"/>
              </w:rPr>
              <w:t>Cargo PWC</w:t>
            </w:r>
          </w:p>
        </w:tc>
      </w:tr>
      <w:tr w:rsidR="0079428C" w:rsidRPr="00484B50" w14:paraId="5CBF3F91" w14:textId="77777777" w:rsidTr="00220906">
        <w:trPr>
          <w:jc w:val="center"/>
        </w:trPr>
        <w:tc>
          <w:tcPr>
            <w:tcW w:w="2835" w:type="dxa"/>
            <w:shd w:val="clear" w:color="auto" w:fill="auto"/>
            <w:noWrap/>
            <w:vAlign w:val="center"/>
            <w:hideMark/>
          </w:tcPr>
          <w:p w14:paraId="2466464E" w14:textId="77777777" w:rsidR="0079428C" w:rsidRPr="00484B50" w:rsidRDefault="0079428C" w:rsidP="00220906">
            <w:pPr>
              <w:spacing w:before="40" w:after="40" w:line="240" w:lineRule="auto"/>
              <w:jc w:val="left"/>
              <w:rPr>
                <w:rFonts w:cs="Calibri"/>
                <w:sz w:val="20"/>
                <w:szCs w:val="20"/>
                <w:lang w:val="es-ES" w:eastAsia="es-AR"/>
              </w:rPr>
            </w:pPr>
            <w:r w:rsidRPr="00484B50">
              <w:rPr>
                <w:rFonts w:cs="Calibri"/>
                <w:sz w:val="20"/>
                <w:szCs w:val="20"/>
                <w:lang w:val="es-ES" w:eastAsia="es-AR"/>
              </w:rPr>
              <w:t>Jefe de Cuadrilla Líneas</w:t>
            </w:r>
          </w:p>
        </w:tc>
        <w:tc>
          <w:tcPr>
            <w:tcW w:w="3686" w:type="dxa"/>
            <w:shd w:val="clear" w:color="auto" w:fill="auto"/>
            <w:noWrap/>
            <w:vAlign w:val="center"/>
            <w:hideMark/>
          </w:tcPr>
          <w:p w14:paraId="02A3D869" w14:textId="77777777" w:rsidR="0079428C" w:rsidRPr="00484B50" w:rsidRDefault="0079428C" w:rsidP="00220906">
            <w:pPr>
              <w:spacing w:before="40" w:after="40" w:line="240" w:lineRule="auto"/>
              <w:jc w:val="left"/>
              <w:rPr>
                <w:rFonts w:cs="Calibri"/>
                <w:sz w:val="20"/>
                <w:szCs w:val="20"/>
                <w:lang w:val="es-ES" w:eastAsia="es-AR"/>
              </w:rPr>
            </w:pPr>
            <w:r w:rsidRPr="00484B50">
              <w:rPr>
                <w:rFonts w:cs="Calibri"/>
                <w:sz w:val="20"/>
                <w:szCs w:val="20"/>
                <w:lang w:val="es-ES" w:eastAsia="es-AR"/>
              </w:rPr>
              <w:t>Jefe de Cuadrilla Estaciones</w:t>
            </w:r>
          </w:p>
        </w:tc>
        <w:tc>
          <w:tcPr>
            <w:tcW w:w="3119" w:type="dxa"/>
            <w:shd w:val="clear" w:color="auto" w:fill="auto"/>
            <w:noWrap/>
            <w:vAlign w:val="center"/>
            <w:hideMark/>
          </w:tcPr>
          <w:p w14:paraId="62B1DEDA" w14:textId="77777777" w:rsidR="0079428C" w:rsidRPr="00484B50" w:rsidRDefault="0079428C" w:rsidP="00220906">
            <w:pPr>
              <w:spacing w:before="40" w:after="40" w:line="240" w:lineRule="auto"/>
              <w:jc w:val="left"/>
              <w:rPr>
                <w:rFonts w:cs="Calibri"/>
                <w:sz w:val="20"/>
                <w:szCs w:val="20"/>
                <w:lang w:val="es-ES" w:eastAsia="es-AR"/>
              </w:rPr>
            </w:pPr>
            <w:r w:rsidRPr="00484B50">
              <w:rPr>
                <w:rFonts w:cs="Calibri"/>
                <w:sz w:val="20"/>
                <w:szCs w:val="20"/>
                <w:lang w:val="es-ES" w:eastAsia="es-AR"/>
              </w:rPr>
              <w:t>Supervisor de Mantención Terreno</w:t>
            </w:r>
          </w:p>
        </w:tc>
      </w:tr>
      <w:tr w:rsidR="0079428C" w:rsidRPr="00484B50" w14:paraId="0D01C167" w14:textId="77777777" w:rsidTr="00220906">
        <w:trPr>
          <w:jc w:val="center"/>
        </w:trPr>
        <w:tc>
          <w:tcPr>
            <w:tcW w:w="2835" w:type="dxa"/>
            <w:shd w:val="clear" w:color="auto" w:fill="auto"/>
            <w:noWrap/>
            <w:vAlign w:val="center"/>
            <w:hideMark/>
          </w:tcPr>
          <w:p w14:paraId="2FF67D83" w14:textId="77777777" w:rsidR="0079428C" w:rsidRPr="00484B50" w:rsidRDefault="0079428C" w:rsidP="00220906">
            <w:pPr>
              <w:spacing w:before="40" w:after="40" w:line="240" w:lineRule="auto"/>
              <w:jc w:val="left"/>
              <w:rPr>
                <w:rFonts w:cs="Calibri"/>
                <w:sz w:val="20"/>
                <w:szCs w:val="20"/>
                <w:lang w:val="es-ES" w:eastAsia="es-AR"/>
              </w:rPr>
            </w:pPr>
            <w:r w:rsidRPr="00484B50">
              <w:rPr>
                <w:rFonts w:cs="Calibri"/>
                <w:sz w:val="20"/>
                <w:szCs w:val="20"/>
                <w:lang w:val="es-ES" w:eastAsia="es-AR"/>
              </w:rPr>
              <w:t>Liniero principal</w:t>
            </w:r>
          </w:p>
        </w:tc>
        <w:tc>
          <w:tcPr>
            <w:tcW w:w="3686" w:type="dxa"/>
            <w:shd w:val="clear" w:color="auto" w:fill="auto"/>
            <w:noWrap/>
            <w:vAlign w:val="center"/>
            <w:hideMark/>
          </w:tcPr>
          <w:p w14:paraId="1E39CA48" w14:textId="77777777" w:rsidR="0079428C" w:rsidRPr="00484B50" w:rsidRDefault="0079428C" w:rsidP="00220906">
            <w:pPr>
              <w:spacing w:before="40" w:after="40" w:line="240" w:lineRule="auto"/>
              <w:jc w:val="left"/>
              <w:rPr>
                <w:rFonts w:cs="Calibri"/>
                <w:sz w:val="20"/>
                <w:szCs w:val="20"/>
                <w:lang w:val="es-ES" w:eastAsia="es-AR"/>
              </w:rPr>
            </w:pPr>
            <w:r w:rsidRPr="00484B50">
              <w:rPr>
                <w:rFonts w:cs="Calibri"/>
                <w:sz w:val="20"/>
                <w:szCs w:val="20"/>
                <w:lang w:val="es-ES" w:eastAsia="es-AR"/>
              </w:rPr>
              <w:t xml:space="preserve">Técnico principal de subestación </w:t>
            </w:r>
          </w:p>
        </w:tc>
        <w:tc>
          <w:tcPr>
            <w:tcW w:w="3119" w:type="dxa"/>
            <w:shd w:val="clear" w:color="auto" w:fill="auto"/>
            <w:noWrap/>
            <w:vAlign w:val="center"/>
            <w:hideMark/>
          </w:tcPr>
          <w:p w14:paraId="2A11EEC5" w14:textId="77777777" w:rsidR="0079428C" w:rsidRPr="00484B50" w:rsidRDefault="0079428C" w:rsidP="00220906">
            <w:pPr>
              <w:spacing w:before="40" w:after="40" w:line="240" w:lineRule="auto"/>
              <w:jc w:val="left"/>
              <w:rPr>
                <w:rFonts w:cs="Calibri"/>
                <w:sz w:val="20"/>
                <w:szCs w:val="20"/>
                <w:lang w:val="es-ES" w:eastAsia="es-AR"/>
              </w:rPr>
            </w:pPr>
            <w:r w:rsidRPr="00484B50">
              <w:rPr>
                <w:rFonts w:cs="Calibri"/>
                <w:sz w:val="20"/>
                <w:szCs w:val="20"/>
                <w:lang w:val="es-ES" w:eastAsia="es-AR"/>
              </w:rPr>
              <w:t>Electricista II</w:t>
            </w:r>
          </w:p>
        </w:tc>
      </w:tr>
      <w:tr w:rsidR="0079428C" w:rsidRPr="00484B50" w14:paraId="32EFC115" w14:textId="77777777" w:rsidTr="00220906">
        <w:trPr>
          <w:jc w:val="center"/>
        </w:trPr>
        <w:tc>
          <w:tcPr>
            <w:tcW w:w="2835" w:type="dxa"/>
            <w:shd w:val="clear" w:color="auto" w:fill="auto"/>
            <w:noWrap/>
            <w:vAlign w:val="center"/>
            <w:hideMark/>
          </w:tcPr>
          <w:p w14:paraId="17654AFC" w14:textId="77777777" w:rsidR="0079428C" w:rsidRPr="00484B50" w:rsidRDefault="0079428C" w:rsidP="00220906">
            <w:pPr>
              <w:spacing w:before="40" w:after="40" w:line="240" w:lineRule="auto"/>
              <w:jc w:val="left"/>
              <w:rPr>
                <w:rFonts w:cs="Calibri"/>
                <w:sz w:val="20"/>
                <w:szCs w:val="20"/>
                <w:lang w:val="es-ES" w:eastAsia="es-AR"/>
              </w:rPr>
            </w:pPr>
            <w:r w:rsidRPr="00484B50">
              <w:rPr>
                <w:rFonts w:cs="Calibri"/>
                <w:sz w:val="20"/>
                <w:szCs w:val="20"/>
                <w:lang w:val="es-ES" w:eastAsia="es-AR"/>
              </w:rPr>
              <w:t>Liniero Auxiliar</w:t>
            </w:r>
          </w:p>
        </w:tc>
        <w:tc>
          <w:tcPr>
            <w:tcW w:w="3686" w:type="dxa"/>
            <w:shd w:val="clear" w:color="auto" w:fill="auto"/>
            <w:noWrap/>
            <w:vAlign w:val="center"/>
            <w:hideMark/>
          </w:tcPr>
          <w:p w14:paraId="23FA72BA" w14:textId="77777777" w:rsidR="0079428C" w:rsidRPr="00484B50" w:rsidRDefault="0079428C" w:rsidP="00220906">
            <w:pPr>
              <w:spacing w:before="40" w:after="40" w:line="240" w:lineRule="auto"/>
              <w:jc w:val="left"/>
              <w:rPr>
                <w:rFonts w:cs="Calibri"/>
                <w:sz w:val="20"/>
                <w:szCs w:val="20"/>
                <w:lang w:val="es-ES" w:eastAsia="es-AR"/>
              </w:rPr>
            </w:pPr>
            <w:r w:rsidRPr="00484B50">
              <w:rPr>
                <w:rFonts w:cs="Calibri"/>
                <w:sz w:val="20"/>
                <w:szCs w:val="20"/>
                <w:lang w:val="es-ES" w:eastAsia="es-AR"/>
              </w:rPr>
              <w:t>Técnico auxiliar de subestación</w:t>
            </w:r>
          </w:p>
        </w:tc>
        <w:tc>
          <w:tcPr>
            <w:tcW w:w="3119" w:type="dxa"/>
            <w:shd w:val="clear" w:color="auto" w:fill="auto"/>
            <w:noWrap/>
            <w:vAlign w:val="center"/>
            <w:hideMark/>
          </w:tcPr>
          <w:p w14:paraId="5A10007E" w14:textId="77777777" w:rsidR="0079428C" w:rsidRPr="00484B50" w:rsidRDefault="0079428C" w:rsidP="00220906">
            <w:pPr>
              <w:spacing w:before="40" w:after="40" w:line="240" w:lineRule="auto"/>
              <w:jc w:val="left"/>
              <w:rPr>
                <w:rFonts w:cs="Calibri"/>
                <w:sz w:val="20"/>
                <w:szCs w:val="20"/>
                <w:lang w:val="es-ES" w:eastAsia="es-AR"/>
              </w:rPr>
            </w:pPr>
            <w:r w:rsidRPr="00484B50">
              <w:rPr>
                <w:rFonts w:cs="Calibri"/>
                <w:sz w:val="20"/>
                <w:szCs w:val="20"/>
                <w:lang w:val="es-ES" w:eastAsia="es-AR"/>
              </w:rPr>
              <w:t>Técnico Mantención I</w:t>
            </w:r>
          </w:p>
        </w:tc>
      </w:tr>
      <w:tr w:rsidR="0079428C" w:rsidRPr="00484B50" w14:paraId="08860ED0" w14:textId="77777777" w:rsidTr="00220906">
        <w:trPr>
          <w:jc w:val="center"/>
        </w:trPr>
        <w:tc>
          <w:tcPr>
            <w:tcW w:w="2835" w:type="dxa"/>
            <w:shd w:val="clear" w:color="auto" w:fill="auto"/>
            <w:noWrap/>
            <w:vAlign w:val="center"/>
            <w:hideMark/>
          </w:tcPr>
          <w:p w14:paraId="32CF1E44" w14:textId="77777777" w:rsidR="0079428C" w:rsidRPr="00484B50" w:rsidRDefault="0079428C" w:rsidP="00220906">
            <w:pPr>
              <w:spacing w:before="40" w:after="40" w:line="240" w:lineRule="auto"/>
              <w:jc w:val="left"/>
              <w:rPr>
                <w:rFonts w:cs="Calibri"/>
                <w:sz w:val="20"/>
                <w:szCs w:val="20"/>
                <w:lang w:val="es-ES" w:eastAsia="es-AR"/>
              </w:rPr>
            </w:pPr>
            <w:r w:rsidRPr="00484B50">
              <w:rPr>
                <w:rFonts w:cs="Calibri"/>
                <w:sz w:val="20"/>
                <w:szCs w:val="20"/>
                <w:lang w:val="es-ES" w:eastAsia="es-AR"/>
              </w:rPr>
              <w:t>Ayudante Líneas</w:t>
            </w:r>
          </w:p>
        </w:tc>
        <w:tc>
          <w:tcPr>
            <w:tcW w:w="3686" w:type="dxa"/>
            <w:shd w:val="clear" w:color="auto" w:fill="auto"/>
            <w:noWrap/>
            <w:vAlign w:val="center"/>
            <w:hideMark/>
          </w:tcPr>
          <w:p w14:paraId="4EC8F629" w14:textId="77777777" w:rsidR="0079428C" w:rsidRPr="00484B50" w:rsidRDefault="0079428C" w:rsidP="00220906">
            <w:pPr>
              <w:spacing w:before="40" w:after="40" w:line="240" w:lineRule="auto"/>
              <w:jc w:val="left"/>
              <w:rPr>
                <w:rFonts w:cs="Calibri"/>
                <w:sz w:val="20"/>
                <w:szCs w:val="20"/>
                <w:lang w:val="es-ES" w:eastAsia="es-AR"/>
              </w:rPr>
            </w:pPr>
            <w:r w:rsidRPr="00484B50">
              <w:rPr>
                <w:rFonts w:cs="Calibri"/>
                <w:sz w:val="20"/>
                <w:szCs w:val="20"/>
                <w:lang w:val="es-ES" w:eastAsia="es-AR"/>
              </w:rPr>
              <w:t>Ayudante Estaciones</w:t>
            </w:r>
          </w:p>
        </w:tc>
        <w:tc>
          <w:tcPr>
            <w:tcW w:w="3119" w:type="dxa"/>
            <w:shd w:val="clear" w:color="auto" w:fill="auto"/>
            <w:noWrap/>
            <w:vAlign w:val="center"/>
            <w:hideMark/>
          </w:tcPr>
          <w:p w14:paraId="0E986C79" w14:textId="77777777" w:rsidR="0079428C" w:rsidRPr="00484B50" w:rsidRDefault="0079428C" w:rsidP="00220906">
            <w:pPr>
              <w:spacing w:before="40" w:after="40" w:line="240" w:lineRule="auto"/>
              <w:jc w:val="left"/>
              <w:rPr>
                <w:rFonts w:cs="Calibri"/>
                <w:sz w:val="20"/>
                <w:szCs w:val="20"/>
                <w:lang w:val="es-ES" w:eastAsia="es-AR"/>
              </w:rPr>
            </w:pPr>
            <w:r w:rsidRPr="00484B50">
              <w:rPr>
                <w:rFonts w:cs="Calibri"/>
                <w:sz w:val="20"/>
                <w:szCs w:val="20"/>
                <w:lang w:val="es-ES" w:eastAsia="es-AR"/>
              </w:rPr>
              <w:t>Técnico Mantención Terreno II</w:t>
            </w:r>
          </w:p>
        </w:tc>
      </w:tr>
      <w:tr w:rsidR="0079428C" w:rsidRPr="00484B50" w14:paraId="6C2EC167" w14:textId="77777777" w:rsidTr="00220906">
        <w:trPr>
          <w:jc w:val="center"/>
        </w:trPr>
        <w:tc>
          <w:tcPr>
            <w:tcW w:w="2835" w:type="dxa"/>
            <w:shd w:val="clear" w:color="auto" w:fill="auto"/>
            <w:noWrap/>
            <w:vAlign w:val="center"/>
            <w:hideMark/>
          </w:tcPr>
          <w:p w14:paraId="19F30586" w14:textId="5D62815A" w:rsidR="0079428C" w:rsidRPr="00484B50" w:rsidRDefault="0079428C" w:rsidP="00220906">
            <w:pPr>
              <w:spacing w:before="40" w:after="40" w:line="240" w:lineRule="auto"/>
              <w:jc w:val="left"/>
              <w:rPr>
                <w:rFonts w:cs="Calibri"/>
                <w:sz w:val="20"/>
                <w:szCs w:val="20"/>
                <w:lang w:val="es-ES" w:eastAsia="es-AR"/>
              </w:rPr>
            </w:pPr>
            <w:r w:rsidRPr="00484B50">
              <w:rPr>
                <w:rFonts w:cs="Calibri"/>
                <w:sz w:val="20"/>
                <w:szCs w:val="20"/>
                <w:lang w:val="es-ES" w:eastAsia="es-AR"/>
              </w:rPr>
              <w:t xml:space="preserve">Operador de vehículos especiales </w:t>
            </w:r>
            <w:r w:rsidR="00BA2EDF" w:rsidRPr="00484B50">
              <w:rPr>
                <w:rFonts w:cs="Calibri"/>
                <w:sz w:val="20"/>
                <w:szCs w:val="20"/>
                <w:lang w:val="es-ES" w:eastAsia="es-AR"/>
              </w:rPr>
              <w:t>Líneas</w:t>
            </w:r>
          </w:p>
        </w:tc>
        <w:tc>
          <w:tcPr>
            <w:tcW w:w="3686" w:type="dxa"/>
            <w:shd w:val="clear" w:color="auto" w:fill="auto"/>
            <w:noWrap/>
            <w:vAlign w:val="center"/>
            <w:hideMark/>
          </w:tcPr>
          <w:p w14:paraId="1B27B5DB" w14:textId="77777777" w:rsidR="0079428C" w:rsidRPr="00484B50" w:rsidRDefault="0079428C" w:rsidP="00220906">
            <w:pPr>
              <w:spacing w:before="40" w:after="40" w:line="240" w:lineRule="auto"/>
              <w:jc w:val="left"/>
              <w:rPr>
                <w:rFonts w:cs="Calibri"/>
                <w:sz w:val="20"/>
                <w:szCs w:val="20"/>
                <w:lang w:val="es-ES" w:eastAsia="es-AR"/>
              </w:rPr>
            </w:pPr>
            <w:r w:rsidRPr="00484B50">
              <w:rPr>
                <w:rFonts w:cs="Calibri"/>
                <w:sz w:val="20"/>
                <w:szCs w:val="20"/>
                <w:lang w:val="es-ES" w:eastAsia="es-AR"/>
              </w:rPr>
              <w:t>Operador de vehículos especiales Estaciones</w:t>
            </w:r>
          </w:p>
        </w:tc>
        <w:tc>
          <w:tcPr>
            <w:tcW w:w="3119" w:type="dxa"/>
            <w:shd w:val="clear" w:color="auto" w:fill="auto"/>
            <w:noWrap/>
            <w:vAlign w:val="center"/>
            <w:hideMark/>
          </w:tcPr>
          <w:p w14:paraId="5D7853AB" w14:textId="77777777" w:rsidR="0079428C" w:rsidRPr="00484B50" w:rsidRDefault="0079428C" w:rsidP="00220906">
            <w:pPr>
              <w:spacing w:before="40" w:after="40" w:line="240" w:lineRule="auto"/>
              <w:jc w:val="left"/>
              <w:rPr>
                <w:rFonts w:cs="Calibri"/>
                <w:sz w:val="20"/>
                <w:szCs w:val="20"/>
                <w:lang w:val="es-ES" w:eastAsia="es-AR"/>
              </w:rPr>
            </w:pPr>
            <w:r w:rsidRPr="00484B50">
              <w:rPr>
                <w:rFonts w:cs="Calibri"/>
                <w:sz w:val="20"/>
                <w:szCs w:val="20"/>
                <w:lang w:val="es-ES" w:eastAsia="es-AR"/>
              </w:rPr>
              <w:t>Operador II</w:t>
            </w:r>
          </w:p>
        </w:tc>
      </w:tr>
      <w:tr w:rsidR="0079428C" w:rsidRPr="00484B50" w14:paraId="18331B71" w14:textId="77777777" w:rsidTr="00220906">
        <w:trPr>
          <w:jc w:val="center"/>
        </w:trPr>
        <w:tc>
          <w:tcPr>
            <w:tcW w:w="2835" w:type="dxa"/>
            <w:shd w:val="clear" w:color="auto" w:fill="auto"/>
            <w:noWrap/>
            <w:vAlign w:val="center"/>
            <w:hideMark/>
          </w:tcPr>
          <w:p w14:paraId="58BE770A" w14:textId="77777777" w:rsidR="0079428C" w:rsidRPr="00484B50" w:rsidRDefault="0079428C" w:rsidP="00220906">
            <w:pPr>
              <w:spacing w:before="40" w:after="40" w:line="240" w:lineRule="auto"/>
              <w:jc w:val="left"/>
              <w:rPr>
                <w:rFonts w:cs="Calibri"/>
                <w:sz w:val="20"/>
                <w:szCs w:val="20"/>
                <w:lang w:val="es-ES" w:eastAsia="es-AR"/>
              </w:rPr>
            </w:pPr>
            <w:r w:rsidRPr="00484B50">
              <w:rPr>
                <w:rFonts w:cs="Calibri"/>
                <w:sz w:val="20"/>
                <w:szCs w:val="20"/>
                <w:lang w:val="es-ES" w:eastAsia="es-AR"/>
              </w:rPr>
              <w:t> </w:t>
            </w:r>
          </w:p>
        </w:tc>
        <w:tc>
          <w:tcPr>
            <w:tcW w:w="3686" w:type="dxa"/>
            <w:shd w:val="clear" w:color="auto" w:fill="auto"/>
            <w:noWrap/>
            <w:vAlign w:val="center"/>
            <w:hideMark/>
          </w:tcPr>
          <w:p w14:paraId="1DE9A6C2" w14:textId="77777777" w:rsidR="0079428C" w:rsidRPr="00484B50" w:rsidRDefault="0079428C" w:rsidP="00220906">
            <w:pPr>
              <w:spacing w:before="40" w:after="40" w:line="240" w:lineRule="auto"/>
              <w:jc w:val="left"/>
              <w:rPr>
                <w:rFonts w:cs="Calibri"/>
                <w:sz w:val="20"/>
                <w:szCs w:val="20"/>
                <w:lang w:val="es-ES" w:eastAsia="es-AR"/>
              </w:rPr>
            </w:pPr>
            <w:r w:rsidRPr="00484B50">
              <w:rPr>
                <w:rFonts w:cs="Calibri"/>
                <w:sz w:val="20"/>
                <w:szCs w:val="20"/>
                <w:lang w:val="es-ES" w:eastAsia="es-AR"/>
              </w:rPr>
              <w:t>Técnico de comunicaciones, control y protecciones</w:t>
            </w:r>
          </w:p>
        </w:tc>
        <w:tc>
          <w:tcPr>
            <w:tcW w:w="3119" w:type="dxa"/>
            <w:shd w:val="clear" w:color="auto" w:fill="auto"/>
            <w:noWrap/>
            <w:vAlign w:val="center"/>
            <w:hideMark/>
          </w:tcPr>
          <w:p w14:paraId="033B6234" w14:textId="5D4E92B1" w:rsidR="0079428C" w:rsidRPr="00484B50" w:rsidRDefault="0079428C" w:rsidP="00220906">
            <w:pPr>
              <w:spacing w:before="40" w:after="40" w:line="240" w:lineRule="auto"/>
              <w:jc w:val="left"/>
              <w:rPr>
                <w:rFonts w:cs="Calibri"/>
                <w:sz w:val="20"/>
                <w:szCs w:val="20"/>
                <w:lang w:val="es-ES" w:eastAsia="es-AR"/>
              </w:rPr>
            </w:pPr>
            <w:r w:rsidRPr="00484B50">
              <w:rPr>
                <w:rFonts w:cs="Calibri"/>
                <w:sz w:val="20"/>
                <w:szCs w:val="20"/>
                <w:lang w:val="es-ES" w:eastAsia="es-AR"/>
              </w:rPr>
              <w:t>Instrumentista I</w:t>
            </w:r>
          </w:p>
        </w:tc>
      </w:tr>
    </w:tbl>
    <w:p w14:paraId="7BB07A84" w14:textId="77777777" w:rsidR="0079428C" w:rsidRPr="00B06D23" w:rsidRDefault="0079428C" w:rsidP="00220906">
      <w:pPr>
        <w:spacing w:after="0"/>
        <w:rPr>
          <w:rFonts w:cs="Arial"/>
          <w:lang w:val="es-ES"/>
        </w:rPr>
      </w:pPr>
    </w:p>
    <w:p w14:paraId="3C592133" w14:textId="431E488C" w:rsidR="0079428C" w:rsidRPr="00B06D23" w:rsidRDefault="0079428C" w:rsidP="0079428C">
      <w:pPr>
        <w:rPr>
          <w:rFonts w:cs="Calibri"/>
          <w:szCs w:val="22"/>
          <w:lang w:val="es-ES" w:eastAsia="es-AR"/>
        </w:rPr>
      </w:pPr>
      <w:r w:rsidRPr="00B06D23">
        <w:rPr>
          <w:rFonts w:cs="Calibri"/>
          <w:szCs w:val="22"/>
          <w:lang w:val="es-ES" w:eastAsia="es-AR"/>
        </w:rPr>
        <w:lastRenderedPageBreak/>
        <w:t xml:space="preserve">En el </w:t>
      </w:r>
      <w:r w:rsidR="00AD24BF">
        <w:rPr>
          <w:rFonts w:cs="Calibri"/>
          <w:szCs w:val="22"/>
          <w:lang w:val="es-ES" w:eastAsia="es-AR"/>
        </w:rPr>
        <w:t>“</w:t>
      </w:r>
      <w:r w:rsidRPr="00B06D23">
        <w:rPr>
          <w:rFonts w:cs="Calibri"/>
          <w:szCs w:val="22"/>
          <w:lang w:val="es-ES" w:eastAsia="es-AR"/>
        </w:rPr>
        <w:t xml:space="preserve">Anexo </w:t>
      </w:r>
      <w:r w:rsidR="00AD24BF">
        <w:rPr>
          <w:rFonts w:cs="Calibri"/>
          <w:szCs w:val="22"/>
          <w:lang w:val="es-ES" w:eastAsia="es-AR"/>
        </w:rPr>
        <w:t>COM</w:t>
      </w:r>
      <w:r w:rsidR="005A6F95">
        <w:rPr>
          <w:rFonts w:cs="Calibri"/>
          <w:szCs w:val="22"/>
          <w:lang w:val="es-ES" w:eastAsia="es-AR"/>
        </w:rPr>
        <w:t>A</w:t>
      </w:r>
      <w:r w:rsidRPr="00B06D23">
        <w:rPr>
          <w:rFonts w:cs="Calibri"/>
          <w:szCs w:val="22"/>
          <w:lang w:val="es-ES" w:eastAsia="es-AR"/>
        </w:rPr>
        <w:t xml:space="preserve">_1_Organización </w:t>
      </w:r>
      <w:r w:rsidR="002E6FD1">
        <w:rPr>
          <w:rFonts w:cs="Calibri"/>
          <w:szCs w:val="22"/>
          <w:lang w:val="es-ES" w:eastAsia="es-AR"/>
        </w:rPr>
        <w:t>de la Empresa</w:t>
      </w:r>
      <w:r w:rsidR="00AD24BF">
        <w:rPr>
          <w:rFonts w:cs="Calibri"/>
          <w:szCs w:val="22"/>
          <w:lang w:val="es-ES" w:eastAsia="es-AR"/>
        </w:rPr>
        <w:t>”</w:t>
      </w:r>
      <w:r w:rsidR="00DC2D29">
        <w:rPr>
          <w:rFonts w:cs="Calibri"/>
          <w:szCs w:val="22"/>
          <w:lang w:val="es-ES" w:eastAsia="es-AR"/>
        </w:rPr>
        <w:t>, se encuentran descri</w:t>
      </w:r>
      <w:r w:rsidRPr="00B06D23">
        <w:rPr>
          <w:rFonts w:cs="Calibri"/>
          <w:szCs w:val="22"/>
          <w:lang w:val="es-ES" w:eastAsia="es-AR"/>
        </w:rPr>
        <w:t xml:space="preserve">tas las funciones y responsabilidades de los puestos de cuadrillas de terreno de la </w:t>
      </w:r>
      <w:r w:rsidR="001A6E11">
        <w:rPr>
          <w:rFonts w:cs="Calibri"/>
          <w:szCs w:val="22"/>
          <w:lang w:val="es-ES" w:eastAsia="es-AR"/>
        </w:rPr>
        <w:t>EM</w:t>
      </w:r>
      <w:r w:rsidRPr="00B06D23">
        <w:rPr>
          <w:rFonts w:cs="Calibri"/>
          <w:szCs w:val="22"/>
          <w:lang w:val="es-ES" w:eastAsia="es-AR"/>
        </w:rPr>
        <w:t>.</w:t>
      </w:r>
    </w:p>
    <w:p w14:paraId="425B761F" w14:textId="0B291E20" w:rsidR="0079428C" w:rsidRPr="00B06D23" w:rsidRDefault="0079428C" w:rsidP="0079428C">
      <w:pPr>
        <w:rPr>
          <w:rFonts w:cs="Calibri"/>
          <w:szCs w:val="22"/>
          <w:lang w:val="es-ES" w:eastAsia="es-AR"/>
        </w:rPr>
      </w:pPr>
      <w:r w:rsidRPr="00B06D23">
        <w:rPr>
          <w:rFonts w:cs="Calibri"/>
          <w:szCs w:val="22"/>
          <w:lang w:val="es-ES" w:eastAsia="es-AR"/>
        </w:rPr>
        <w:t xml:space="preserve">A </w:t>
      </w:r>
      <w:r w:rsidR="008D4432" w:rsidRPr="00B06D23">
        <w:rPr>
          <w:rFonts w:cs="Calibri"/>
          <w:szCs w:val="22"/>
          <w:lang w:val="es-ES" w:eastAsia="es-AR"/>
        </w:rPr>
        <w:t>continuación,</w:t>
      </w:r>
      <w:r w:rsidRPr="00B06D23">
        <w:rPr>
          <w:rFonts w:cs="Calibri"/>
          <w:szCs w:val="22"/>
          <w:lang w:val="es-ES" w:eastAsia="es-AR"/>
        </w:rPr>
        <w:t xml:space="preserve"> se describen las funciones y responsabilidades de los puestos homologados de la encuesta PWC para cada uno de los cargos de cuadrillas de terreno de la EM:</w:t>
      </w:r>
    </w:p>
    <w:p w14:paraId="49CF5FDF" w14:textId="77777777" w:rsidR="0079428C" w:rsidRPr="00B06D23" w:rsidRDefault="0079428C" w:rsidP="00273FE4">
      <w:pPr>
        <w:pStyle w:val="Prrafodelista"/>
        <w:numPr>
          <w:ilvl w:val="0"/>
          <w:numId w:val="58"/>
        </w:numPr>
        <w:ind w:left="567" w:hanging="567"/>
        <w:rPr>
          <w:lang w:val="es-ES" w:eastAsia="es-AR"/>
        </w:rPr>
      </w:pPr>
      <w:r w:rsidRPr="00D25C2D">
        <w:rPr>
          <w:u w:val="single"/>
          <w:lang w:val="es-ES" w:eastAsia="es-AR"/>
        </w:rPr>
        <w:t>Supervisor de Mantención Terreno</w:t>
      </w:r>
      <w:r w:rsidRPr="00B06D23">
        <w:rPr>
          <w:lang w:val="es-ES" w:eastAsia="es-AR"/>
        </w:rPr>
        <w:t>: Encargado de supervisar a los trabajadores asignados para la mantención y reparación de equipos controlando el cumplimiento de las tareas asignadas y las normas de calidad establecidas.</w:t>
      </w:r>
    </w:p>
    <w:p w14:paraId="339DDB55" w14:textId="77777777" w:rsidR="0079428C" w:rsidRPr="00B06D23" w:rsidRDefault="0079428C" w:rsidP="00273FE4">
      <w:pPr>
        <w:pStyle w:val="Prrafodelista"/>
        <w:numPr>
          <w:ilvl w:val="0"/>
          <w:numId w:val="58"/>
        </w:numPr>
        <w:ind w:left="567" w:hanging="567"/>
        <w:rPr>
          <w:lang w:val="es-ES" w:eastAsia="es-AR"/>
        </w:rPr>
      </w:pPr>
      <w:r w:rsidRPr="00D25C2D">
        <w:rPr>
          <w:u w:val="single"/>
          <w:lang w:val="es-ES" w:eastAsia="es-AR"/>
        </w:rPr>
        <w:t>Electricista II</w:t>
      </w:r>
      <w:r w:rsidRPr="00B06D23">
        <w:rPr>
          <w:lang w:val="es-ES" w:eastAsia="es-AR"/>
        </w:rPr>
        <w:t>: Desmonta, repara y monta diferentes tipos de equipos eléctricos. Instala y conecta conductores, descubre los desperfectos con ayuda de instrumentos y repara o reemplaza las piezas rotas o gastadas. Interpreta diagramas, catálogos y planos. Posee una alta calificación técnica. Se diferencia del Electricista I por realizar funciones de naturaleza menos compleja, pero colaborando con él en trabajos de mayor envergadura.</w:t>
      </w:r>
    </w:p>
    <w:p w14:paraId="49F4263E" w14:textId="77777777" w:rsidR="0079428C" w:rsidRPr="00B06D23" w:rsidRDefault="0079428C" w:rsidP="00273FE4">
      <w:pPr>
        <w:pStyle w:val="Prrafodelista"/>
        <w:numPr>
          <w:ilvl w:val="0"/>
          <w:numId w:val="58"/>
        </w:numPr>
        <w:ind w:left="567" w:hanging="567"/>
        <w:rPr>
          <w:lang w:val="es-ES" w:eastAsia="es-AR"/>
        </w:rPr>
      </w:pPr>
      <w:r w:rsidRPr="00D25C2D">
        <w:rPr>
          <w:u w:val="single"/>
          <w:lang w:val="es-ES" w:eastAsia="es-AR"/>
        </w:rPr>
        <w:t>Técnico Mantención I</w:t>
      </w:r>
      <w:r w:rsidRPr="00B06D23">
        <w:rPr>
          <w:lang w:val="es-ES" w:eastAsia="es-AR"/>
        </w:rPr>
        <w:t>: Realiza el montaje y mantenimiento de instalaciones mecánicas y equipos accesorios. Interpreta diagramas, catálogos y planos. Maneja los materiales, herramientas y equipos relacionados con su área de trabajo. Ejecuta servicios generales de mecánica de mantenimiento industrial y reparaciones.</w:t>
      </w:r>
    </w:p>
    <w:p w14:paraId="366BF49C" w14:textId="77777777" w:rsidR="0079428C" w:rsidRPr="00B06D23" w:rsidRDefault="0079428C" w:rsidP="00273FE4">
      <w:pPr>
        <w:pStyle w:val="Prrafodelista"/>
        <w:numPr>
          <w:ilvl w:val="0"/>
          <w:numId w:val="58"/>
        </w:numPr>
        <w:ind w:left="567" w:hanging="567"/>
        <w:rPr>
          <w:lang w:val="es-ES" w:eastAsia="es-AR"/>
        </w:rPr>
      </w:pPr>
      <w:r w:rsidRPr="00D25C2D">
        <w:rPr>
          <w:u w:val="single"/>
          <w:lang w:val="es-ES" w:eastAsia="es-AR"/>
        </w:rPr>
        <w:t>Técnico Mantención Terreno II</w:t>
      </w:r>
      <w:r w:rsidRPr="00B06D23">
        <w:rPr>
          <w:lang w:val="es-ES" w:eastAsia="es-AR"/>
        </w:rPr>
        <w:t>: Realiza trabajos de mantención y reparación de equipos complejos y otros. Investiga y detecta fallas solucionando, en general, problemas de menor complejidad que aquellos que enfrentan los cargos de ingeniería de mantención. Se diferencia del Técnico de Mantención Terreno I, por tener menor experiencia, desarrollar trabajos más simples y rutinarios y por tener una supervisión frecuente en el desarrollo de su trabajo.</w:t>
      </w:r>
    </w:p>
    <w:p w14:paraId="6693E793" w14:textId="77777777" w:rsidR="0079428C" w:rsidRPr="00B06D23" w:rsidRDefault="0079428C" w:rsidP="00273FE4">
      <w:pPr>
        <w:pStyle w:val="Prrafodelista"/>
        <w:numPr>
          <w:ilvl w:val="0"/>
          <w:numId w:val="58"/>
        </w:numPr>
        <w:ind w:left="567" w:hanging="567"/>
        <w:rPr>
          <w:lang w:val="es-ES" w:eastAsia="es-AR"/>
        </w:rPr>
      </w:pPr>
      <w:r w:rsidRPr="005A051D">
        <w:rPr>
          <w:u w:val="single"/>
          <w:lang w:val="es-ES" w:eastAsia="es-AR"/>
        </w:rPr>
        <w:t>Operador II</w:t>
      </w:r>
      <w:r w:rsidRPr="00B06D23">
        <w:rPr>
          <w:lang w:val="es-ES" w:eastAsia="es-AR"/>
        </w:rPr>
        <w:t>: Trabajador altamente especializado en la operación de maquinarias, equipos o sistemas secundarios del área productiva. Se diferencia del Operador I por poseer menos experiencia y conocimientos de los equipos que opera. Generalmente debe recibir capacitación específica para la realización de sus funciones.</w:t>
      </w:r>
    </w:p>
    <w:p w14:paraId="5327E99D" w14:textId="77777777" w:rsidR="0079428C" w:rsidRPr="00B06D23" w:rsidRDefault="0079428C" w:rsidP="00273FE4">
      <w:pPr>
        <w:pStyle w:val="Prrafodelista"/>
        <w:numPr>
          <w:ilvl w:val="0"/>
          <w:numId w:val="58"/>
        </w:numPr>
        <w:ind w:left="567" w:hanging="567"/>
        <w:rPr>
          <w:lang w:val="es-ES" w:eastAsia="es-AR"/>
        </w:rPr>
      </w:pPr>
      <w:r w:rsidRPr="005A051D">
        <w:rPr>
          <w:u w:val="single"/>
          <w:lang w:val="es-ES" w:eastAsia="es-AR"/>
        </w:rPr>
        <w:t>Instrumentista I</w:t>
      </w:r>
      <w:r w:rsidRPr="00B06D23">
        <w:rPr>
          <w:lang w:val="es-ES" w:eastAsia="es-AR"/>
        </w:rPr>
        <w:t>: Realiza rutinas de mantención preventiva de equipos atendiendo urgencias. Calibra instrumentos y mantiene registros. Lee e interpreta planos para la mantención y reparación de sistemas, instrumentos y equipos electrónicos</w:t>
      </w:r>
    </w:p>
    <w:p w14:paraId="3D3A0580" w14:textId="7866231F" w:rsidR="0079428C" w:rsidRPr="00B06D23" w:rsidRDefault="008D4432" w:rsidP="0079428C">
      <w:pPr>
        <w:rPr>
          <w:rFonts w:cs="Arial"/>
          <w:lang w:val="es-ES"/>
        </w:rPr>
      </w:pPr>
      <w:r w:rsidRPr="00B06D23">
        <w:rPr>
          <w:rFonts w:cs="Arial"/>
          <w:lang w:val="es-ES"/>
        </w:rPr>
        <w:t>Finalmente,</w:t>
      </w:r>
      <w:r w:rsidR="0079428C" w:rsidRPr="00B06D23">
        <w:rPr>
          <w:rFonts w:cs="Arial"/>
          <w:lang w:val="es-ES"/>
        </w:rPr>
        <w:t xml:space="preserve"> para obtener el costo del personal tercerizado a los costos de remuneraciones determinados se </w:t>
      </w:r>
      <w:proofErr w:type="gramStart"/>
      <w:r w:rsidR="0079428C" w:rsidRPr="00B06D23">
        <w:rPr>
          <w:rFonts w:cs="Arial"/>
          <w:lang w:val="es-ES"/>
        </w:rPr>
        <w:t>les</w:t>
      </w:r>
      <w:proofErr w:type="gramEnd"/>
      <w:r w:rsidR="0079428C" w:rsidRPr="00B06D23">
        <w:rPr>
          <w:rFonts w:cs="Arial"/>
          <w:lang w:val="es-ES"/>
        </w:rPr>
        <w:t xml:space="preserve"> incluyen los costos asociados directamente a la mano de obra en los que incurre el con</w:t>
      </w:r>
      <w:r w:rsidR="005A051D">
        <w:rPr>
          <w:rFonts w:cs="Arial"/>
          <w:lang w:val="es-ES"/>
        </w:rPr>
        <w:t>tratista (obligaciones legales</w:t>
      </w:r>
      <w:r w:rsidR="0079428C" w:rsidRPr="00B06D23">
        <w:rPr>
          <w:rFonts w:cs="Arial"/>
          <w:lang w:val="es-ES"/>
        </w:rPr>
        <w:t>) más un costo administrativo y utilidades eficientes representativas del mercado de personal tercerizado.</w:t>
      </w:r>
    </w:p>
    <w:p w14:paraId="75F1D4B1" w14:textId="5E89C45A" w:rsidR="0079428C" w:rsidRDefault="0079428C" w:rsidP="0079428C">
      <w:pPr>
        <w:rPr>
          <w:rFonts w:cs="Arial"/>
          <w:lang w:val="es-ES"/>
        </w:rPr>
      </w:pPr>
      <w:r w:rsidRPr="00B06D23">
        <w:rPr>
          <w:rFonts w:cs="Arial"/>
          <w:lang w:val="es-ES"/>
        </w:rPr>
        <w:lastRenderedPageBreak/>
        <w:t>El costo de administración y utilidades se determinan como el fijado por la CNE en el estudio troncal del año 2013 y que fuera homologado por el Panel de Expertos:</w:t>
      </w:r>
    </w:p>
    <w:p w14:paraId="5979784B" w14:textId="77777777" w:rsidR="0079428C" w:rsidRPr="0020781A" w:rsidRDefault="0079428C" w:rsidP="00273FE4">
      <w:pPr>
        <w:pStyle w:val="Prrafodelista"/>
        <w:numPr>
          <w:ilvl w:val="0"/>
          <w:numId w:val="59"/>
        </w:numPr>
        <w:ind w:left="567" w:hanging="567"/>
      </w:pPr>
      <w:r w:rsidRPr="0020781A">
        <w:t>Costos de administración: 9,35% del costo laboral</w:t>
      </w:r>
    </w:p>
    <w:p w14:paraId="2408C7F7" w14:textId="77777777" w:rsidR="0079428C" w:rsidRPr="0020781A" w:rsidRDefault="0079428C" w:rsidP="00273FE4">
      <w:pPr>
        <w:pStyle w:val="Prrafodelista"/>
        <w:numPr>
          <w:ilvl w:val="0"/>
          <w:numId w:val="59"/>
        </w:numPr>
        <w:ind w:left="567" w:hanging="567"/>
      </w:pPr>
      <w:r w:rsidRPr="0020781A">
        <w:t>Utilidad: 4,4% sobre la suma del costo laboral más costo de administración.</w:t>
      </w:r>
    </w:p>
    <w:p w14:paraId="7FEC05B9" w14:textId="77777777" w:rsidR="0079428C" w:rsidRPr="00B06D23" w:rsidRDefault="0079428C" w:rsidP="0079428C">
      <w:pPr>
        <w:rPr>
          <w:rFonts w:cs="Arial"/>
          <w:lang w:val="es-ES"/>
        </w:rPr>
      </w:pPr>
      <w:r w:rsidRPr="00B06D23">
        <w:rPr>
          <w:rFonts w:cs="Arial"/>
          <w:lang w:val="es-ES"/>
        </w:rPr>
        <w:t>En el cuadro siguiente se presenta la comparación de los costos de las remuneraciones de los cargos de terreno para las alternativas de personal propio y tercerizado.</w:t>
      </w:r>
    </w:p>
    <w:p w14:paraId="1CA496DA" w14:textId="39D17E82" w:rsidR="0079428C" w:rsidRDefault="0079428C" w:rsidP="0079428C">
      <w:pPr>
        <w:rPr>
          <w:rFonts w:cs="Arial"/>
          <w:lang w:val="es-ES"/>
        </w:rPr>
      </w:pPr>
      <w:r w:rsidRPr="00B06D23">
        <w:rPr>
          <w:rFonts w:cs="Arial"/>
          <w:lang w:val="es-ES"/>
        </w:rPr>
        <w:t xml:space="preserve">De acuerdo a las bases técnicas se ha considerado P25 y P50 para personal tercerizado y personal propio </w:t>
      </w:r>
      <w:r w:rsidRPr="00DB4855">
        <w:rPr>
          <w:rFonts w:cs="Arial"/>
          <w:lang w:val="es-ES"/>
        </w:rPr>
        <w:t>respectivamente, ambos tomados de la encuesta especial.</w:t>
      </w:r>
    </w:p>
    <w:p w14:paraId="736BEAE8" w14:textId="6AD206FA" w:rsidR="00575034" w:rsidRPr="00BC38C2" w:rsidRDefault="00575034" w:rsidP="00575034">
      <w:pPr>
        <w:pStyle w:val="Subttulo"/>
      </w:pPr>
      <w:bookmarkStart w:id="248" w:name="_Toc39797936"/>
      <w:r w:rsidRPr="00BC38C2">
        <w:t xml:space="preserve">Tabla </w:t>
      </w:r>
      <w:fldSimple w:instr=" SEQ Tabla \* ARABIC ">
        <w:r w:rsidR="001F3E2E">
          <w:rPr>
            <w:noProof/>
          </w:rPr>
          <w:t>26</w:t>
        </w:r>
      </w:fldSimple>
      <w:r w:rsidR="00066916">
        <w:rPr>
          <w:noProof/>
        </w:rPr>
        <w:t>:</w:t>
      </w:r>
      <w:r w:rsidRPr="00BC38C2">
        <w:t xml:space="preserve"> </w:t>
      </w:r>
      <w:r>
        <w:t>Costo personal terciarizado y propio</w:t>
      </w:r>
      <w:bookmarkEnd w:id="248"/>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firstRow="1" w:lastRow="0" w:firstColumn="1" w:lastColumn="0" w:noHBand="0" w:noVBand="1"/>
      </w:tblPr>
      <w:tblGrid>
        <w:gridCol w:w="3402"/>
        <w:gridCol w:w="1985"/>
        <w:gridCol w:w="1984"/>
        <w:gridCol w:w="1985"/>
      </w:tblGrid>
      <w:tr w:rsidR="0079428C" w:rsidRPr="00484B50" w14:paraId="26E4D069" w14:textId="77777777" w:rsidTr="00220906">
        <w:trPr>
          <w:tblHeader/>
          <w:jc w:val="center"/>
        </w:trPr>
        <w:tc>
          <w:tcPr>
            <w:tcW w:w="3402" w:type="dxa"/>
            <w:shd w:val="clear" w:color="auto" w:fill="D9D9D9" w:themeFill="background1" w:themeFillShade="D9"/>
            <w:noWrap/>
            <w:vAlign w:val="center"/>
            <w:hideMark/>
          </w:tcPr>
          <w:p w14:paraId="03D36334" w14:textId="77777777" w:rsidR="0079428C" w:rsidRPr="00484B50" w:rsidRDefault="0079428C" w:rsidP="00220906">
            <w:pPr>
              <w:spacing w:before="40" w:after="40" w:line="240" w:lineRule="auto"/>
              <w:jc w:val="left"/>
              <w:rPr>
                <w:rFonts w:cs="Calibri"/>
                <w:b/>
                <w:bCs/>
                <w:sz w:val="20"/>
                <w:szCs w:val="20"/>
                <w:lang w:val="es-ES" w:eastAsia="es-AR"/>
              </w:rPr>
            </w:pPr>
            <w:r w:rsidRPr="00484B50">
              <w:rPr>
                <w:rFonts w:cs="Calibri"/>
                <w:b/>
                <w:bCs/>
                <w:sz w:val="20"/>
                <w:szCs w:val="20"/>
                <w:lang w:val="es-ES" w:eastAsia="es-AR"/>
              </w:rPr>
              <w:t>Puesto PWC</w:t>
            </w:r>
          </w:p>
        </w:tc>
        <w:tc>
          <w:tcPr>
            <w:tcW w:w="1985" w:type="dxa"/>
            <w:shd w:val="clear" w:color="auto" w:fill="D9D9D9" w:themeFill="background1" w:themeFillShade="D9"/>
            <w:noWrap/>
            <w:vAlign w:val="center"/>
            <w:hideMark/>
          </w:tcPr>
          <w:p w14:paraId="5F9184E0" w14:textId="7FE4F26F" w:rsidR="0079428C" w:rsidRPr="00484B50" w:rsidRDefault="0079428C" w:rsidP="00220906">
            <w:pPr>
              <w:spacing w:before="40" w:after="40" w:line="240" w:lineRule="auto"/>
              <w:jc w:val="center"/>
              <w:rPr>
                <w:rFonts w:cs="Calibri"/>
                <w:b/>
                <w:bCs/>
                <w:sz w:val="20"/>
                <w:szCs w:val="20"/>
                <w:lang w:val="es-ES" w:eastAsia="es-AR"/>
              </w:rPr>
            </w:pPr>
            <w:r w:rsidRPr="00484B50">
              <w:rPr>
                <w:rFonts w:cs="Calibri"/>
                <w:b/>
                <w:bCs/>
                <w:sz w:val="20"/>
                <w:szCs w:val="20"/>
                <w:lang w:val="es-ES" w:eastAsia="es-AR"/>
              </w:rPr>
              <w:t>Costo Tercerizado (USD/año)</w:t>
            </w:r>
            <w:r w:rsidR="0053312F" w:rsidRPr="00484B50">
              <w:rPr>
                <w:rFonts w:cs="Calibri"/>
                <w:b/>
                <w:bCs/>
                <w:sz w:val="20"/>
                <w:szCs w:val="20"/>
                <w:lang w:val="es-ES" w:eastAsia="es-AR"/>
              </w:rPr>
              <w:t>(*)</w:t>
            </w:r>
          </w:p>
        </w:tc>
        <w:tc>
          <w:tcPr>
            <w:tcW w:w="1984" w:type="dxa"/>
            <w:shd w:val="clear" w:color="auto" w:fill="D9D9D9" w:themeFill="background1" w:themeFillShade="D9"/>
            <w:noWrap/>
            <w:vAlign w:val="center"/>
            <w:hideMark/>
          </w:tcPr>
          <w:p w14:paraId="6CA36E0C" w14:textId="77777777" w:rsidR="0079428C" w:rsidRPr="00484B50" w:rsidRDefault="0079428C" w:rsidP="00220906">
            <w:pPr>
              <w:spacing w:before="40" w:after="40" w:line="240" w:lineRule="auto"/>
              <w:jc w:val="center"/>
              <w:rPr>
                <w:rFonts w:cs="Calibri"/>
                <w:b/>
                <w:bCs/>
                <w:sz w:val="20"/>
                <w:szCs w:val="20"/>
                <w:lang w:val="es-ES" w:eastAsia="es-AR"/>
              </w:rPr>
            </w:pPr>
            <w:r w:rsidRPr="00484B50">
              <w:rPr>
                <w:rFonts w:cs="Calibri"/>
                <w:b/>
                <w:bCs/>
                <w:sz w:val="20"/>
                <w:szCs w:val="20"/>
                <w:lang w:val="es-ES" w:eastAsia="es-AR"/>
              </w:rPr>
              <w:t>Costo Personal Ppio (USD/año)</w:t>
            </w:r>
          </w:p>
        </w:tc>
        <w:tc>
          <w:tcPr>
            <w:tcW w:w="1985" w:type="dxa"/>
            <w:shd w:val="clear" w:color="auto" w:fill="D9D9D9" w:themeFill="background1" w:themeFillShade="D9"/>
            <w:noWrap/>
            <w:vAlign w:val="center"/>
            <w:hideMark/>
          </w:tcPr>
          <w:p w14:paraId="54C1B90B" w14:textId="77777777" w:rsidR="0079428C" w:rsidRPr="00484B50" w:rsidRDefault="0079428C" w:rsidP="00220906">
            <w:pPr>
              <w:spacing w:before="40" w:after="40" w:line="240" w:lineRule="auto"/>
              <w:jc w:val="center"/>
              <w:rPr>
                <w:rFonts w:cs="Calibri"/>
                <w:b/>
                <w:bCs/>
                <w:sz w:val="20"/>
                <w:szCs w:val="20"/>
                <w:lang w:val="es-ES" w:eastAsia="es-AR"/>
              </w:rPr>
            </w:pPr>
            <w:r w:rsidRPr="00484B50">
              <w:rPr>
                <w:rFonts w:cs="Calibri"/>
                <w:b/>
                <w:bCs/>
                <w:sz w:val="20"/>
                <w:szCs w:val="20"/>
                <w:lang w:val="es-ES" w:eastAsia="es-AR"/>
              </w:rPr>
              <w:t>Dif Ter/Ppio</w:t>
            </w:r>
          </w:p>
        </w:tc>
      </w:tr>
      <w:tr w:rsidR="007D7A77" w:rsidRPr="00484B50" w14:paraId="2658B4B2" w14:textId="77777777" w:rsidTr="00220906">
        <w:trPr>
          <w:jc w:val="center"/>
        </w:trPr>
        <w:tc>
          <w:tcPr>
            <w:tcW w:w="3402" w:type="dxa"/>
            <w:shd w:val="clear" w:color="auto" w:fill="auto"/>
            <w:noWrap/>
            <w:vAlign w:val="center"/>
            <w:hideMark/>
          </w:tcPr>
          <w:p w14:paraId="331C17D3" w14:textId="77777777" w:rsidR="007D7A77" w:rsidRPr="00484B50" w:rsidRDefault="007D7A77" w:rsidP="00220906">
            <w:pPr>
              <w:spacing w:before="40" w:after="40" w:line="240" w:lineRule="auto"/>
              <w:jc w:val="left"/>
              <w:rPr>
                <w:rFonts w:cs="Calibri"/>
                <w:sz w:val="20"/>
                <w:szCs w:val="20"/>
                <w:lang w:val="es-ES" w:eastAsia="es-AR"/>
              </w:rPr>
            </w:pPr>
            <w:r w:rsidRPr="00484B50">
              <w:rPr>
                <w:rFonts w:cs="Calibri"/>
                <w:sz w:val="20"/>
                <w:szCs w:val="20"/>
                <w:lang w:val="es-ES" w:eastAsia="es-AR"/>
              </w:rPr>
              <w:t>Supervisor de Mantención Terreno</w:t>
            </w:r>
          </w:p>
        </w:tc>
        <w:tc>
          <w:tcPr>
            <w:tcW w:w="1985" w:type="dxa"/>
            <w:shd w:val="clear" w:color="auto" w:fill="auto"/>
            <w:noWrap/>
            <w:vAlign w:val="center"/>
            <w:hideMark/>
          </w:tcPr>
          <w:p w14:paraId="57CABEA9" w14:textId="4A88A56D" w:rsidR="007D7A77" w:rsidRPr="00484B50" w:rsidRDefault="007D7A77" w:rsidP="00220906">
            <w:pPr>
              <w:spacing w:before="40" w:after="40" w:line="240" w:lineRule="auto"/>
              <w:jc w:val="center"/>
              <w:rPr>
                <w:rFonts w:cs="Calibri"/>
                <w:sz w:val="20"/>
                <w:szCs w:val="20"/>
                <w:lang w:val="es-ES" w:eastAsia="es-AR"/>
              </w:rPr>
            </w:pPr>
            <w:r w:rsidRPr="00484B50">
              <w:rPr>
                <w:rFonts w:cs="Calibri"/>
                <w:color w:val="000000"/>
                <w:sz w:val="20"/>
                <w:szCs w:val="20"/>
              </w:rPr>
              <w:t>23.753</w:t>
            </w:r>
          </w:p>
        </w:tc>
        <w:tc>
          <w:tcPr>
            <w:tcW w:w="1984" w:type="dxa"/>
            <w:shd w:val="clear" w:color="auto" w:fill="auto"/>
            <w:noWrap/>
            <w:vAlign w:val="center"/>
            <w:hideMark/>
          </w:tcPr>
          <w:p w14:paraId="18013E67" w14:textId="4C89F1D3" w:rsidR="007D7A77" w:rsidRPr="00484B50" w:rsidRDefault="007D7A77" w:rsidP="00220906">
            <w:pPr>
              <w:spacing w:before="40" w:after="40" w:line="240" w:lineRule="auto"/>
              <w:jc w:val="center"/>
              <w:rPr>
                <w:rFonts w:cs="Calibri"/>
                <w:sz w:val="20"/>
                <w:szCs w:val="20"/>
                <w:lang w:val="es-ES" w:eastAsia="es-AR"/>
              </w:rPr>
            </w:pPr>
            <w:r w:rsidRPr="00484B50">
              <w:rPr>
                <w:rFonts w:cs="Calibri"/>
                <w:color w:val="000000"/>
                <w:sz w:val="20"/>
                <w:szCs w:val="20"/>
              </w:rPr>
              <w:t>26.715</w:t>
            </w:r>
          </w:p>
        </w:tc>
        <w:tc>
          <w:tcPr>
            <w:tcW w:w="1985" w:type="dxa"/>
            <w:shd w:val="clear" w:color="auto" w:fill="auto"/>
            <w:noWrap/>
            <w:vAlign w:val="center"/>
            <w:hideMark/>
          </w:tcPr>
          <w:p w14:paraId="02C3A334" w14:textId="77EB3471" w:rsidR="007D7A77" w:rsidRPr="00484B50" w:rsidRDefault="007D7A77" w:rsidP="00220906">
            <w:pPr>
              <w:spacing w:before="40" w:after="40" w:line="240" w:lineRule="auto"/>
              <w:jc w:val="center"/>
              <w:rPr>
                <w:rFonts w:cs="Calibri"/>
                <w:sz w:val="20"/>
                <w:szCs w:val="20"/>
                <w:lang w:val="es-ES" w:eastAsia="es-AR"/>
              </w:rPr>
            </w:pPr>
            <w:r w:rsidRPr="00484B50">
              <w:rPr>
                <w:rFonts w:cs="Calibri"/>
                <w:color w:val="000000"/>
                <w:sz w:val="20"/>
                <w:szCs w:val="20"/>
              </w:rPr>
              <w:t>-11%</w:t>
            </w:r>
          </w:p>
        </w:tc>
      </w:tr>
      <w:tr w:rsidR="007D7A77" w:rsidRPr="00484B50" w14:paraId="0F7CB91F" w14:textId="77777777" w:rsidTr="00220906">
        <w:trPr>
          <w:jc w:val="center"/>
        </w:trPr>
        <w:tc>
          <w:tcPr>
            <w:tcW w:w="3402" w:type="dxa"/>
            <w:shd w:val="clear" w:color="auto" w:fill="auto"/>
            <w:noWrap/>
            <w:vAlign w:val="center"/>
            <w:hideMark/>
          </w:tcPr>
          <w:p w14:paraId="3418C9FD" w14:textId="77777777" w:rsidR="007D7A77" w:rsidRPr="00484B50" w:rsidRDefault="007D7A77" w:rsidP="00220906">
            <w:pPr>
              <w:spacing w:before="40" w:after="40" w:line="240" w:lineRule="auto"/>
              <w:jc w:val="left"/>
              <w:rPr>
                <w:rFonts w:cs="Calibri"/>
                <w:sz w:val="20"/>
                <w:szCs w:val="20"/>
                <w:lang w:val="es-ES" w:eastAsia="es-AR"/>
              </w:rPr>
            </w:pPr>
            <w:r w:rsidRPr="00484B50">
              <w:rPr>
                <w:rFonts w:cs="Calibri"/>
                <w:sz w:val="20"/>
                <w:szCs w:val="20"/>
                <w:lang w:val="es-ES" w:eastAsia="es-AR"/>
              </w:rPr>
              <w:t>Electricista II</w:t>
            </w:r>
          </w:p>
        </w:tc>
        <w:tc>
          <w:tcPr>
            <w:tcW w:w="1985" w:type="dxa"/>
            <w:shd w:val="clear" w:color="auto" w:fill="auto"/>
            <w:noWrap/>
            <w:vAlign w:val="center"/>
            <w:hideMark/>
          </w:tcPr>
          <w:p w14:paraId="3609B7AB" w14:textId="51BD0B2B" w:rsidR="007D7A77" w:rsidRPr="00484B50" w:rsidRDefault="007D7A77" w:rsidP="00220906">
            <w:pPr>
              <w:spacing w:before="40" w:after="40" w:line="240" w:lineRule="auto"/>
              <w:jc w:val="center"/>
              <w:rPr>
                <w:rFonts w:cs="Calibri"/>
                <w:sz w:val="20"/>
                <w:szCs w:val="20"/>
                <w:lang w:val="es-ES" w:eastAsia="es-AR"/>
              </w:rPr>
            </w:pPr>
            <w:r w:rsidRPr="00484B50">
              <w:rPr>
                <w:rFonts w:cs="Calibri"/>
                <w:color w:val="000000"/>
                <w:sz w:val="20"/>
                <w:szCs w:val="20"/>
              </w:rPr>
              <w:t>14.013</w:t>
            </w:r>
          </w:p>
        </w:tc>
        <w:tc>
          <w:tcPr>
            <w:tcW w:w="1984" w:type="dxa"/>
            <w:shd w:val="clear" w:color="auto" w:fill="auto"/>
            <w:noWrap/>
            <w:vAlign w:val="center"/>
            <w:hideMark/>
          </w:tcPr>
          <w:p w14:paraId="2DD7DCE9" w14:textId="451C7C84" w:rsidR="007D7A77" w:rsidRPr="00484B50" w:rsidRDefault="007D7A77" w:rsidP="00220906">
            <w:pPr>
              <w:spacing w:before="40" w:after="40" w:line="240" w:lineRule="auto"/>
              <w:jc w:val="center"/>
              <w:rPr>
                <w:rFonts w:cs="Calibri"/>
                <w:sz w:val="20"/>
                <w:szCs w:val="20"/>
                <w:lang w:val="es-ES" w:eastAsia="es-AR"/>
              </w:rPr>
            </w:pPr>
            <w:r w:rsidRPr="00484B50">
              <w:rPr>
                <w:rFonts w:cs="Calibri"/>
                <w:color w:val="000000"/>
                <w:sz w:val="20"/>
                <w:szCs w:val="20"/>
              </w:rPr>
              <w:t>14.925</w:t>
            </w:r>
          </w:p>
        </w:tc>
        <w:tc>
          <w:tcPr>
            <w:tcW w:w="1985" w:type="dxa"/>
            <w:shd w:val="clear" w:color="auto" w:fill="auto"/>
            <w:noWrap/>
            <w:vAlign w:val="center"/>
            <w:hideMark/>
          </w:tcPr>
          <w:p w14:paraId="4D429C8D" w14:textId="7C445B9A" w:rsidR="007D7A77" w:rsidRPr="00484B50" w:rsidRDefault="007D7A77" w:rsidP="00220906">
            <w:pPr>
              <w:spacing w:before="40" w:after="40" w:line="240" w:lineRule="auto"/>
              <w:jc w:val="center"/>
              <w:rPr>
                <w:rFonts w:cs="Calibri"/>
                <w:sz w:val="20"/>
                <w:szCs w:val="20"/>
                <w:lang w:val="es-ES" w:eastAsia="es-AR"/>
              </w:rPr>
            </w:pPr>
            <w:r w:rsidRPr="00484B50">
              <w:rPr>
                <w:rFonts w:cs="Calibri"/>
                <w:color w:val="000000"/>
                <w:sz w:val="20"/>
                <w:szCs w:val="20"/>
              </w:rPr>
              <w:t>-6%</w:t>
            </w:r>
          </w:p>
        </w:tc>
      </w:tr>
      <w:tr w:rsidR="007D7A77" w:rsidRPr="00484B50" w14:paraId="03975B46" w14:textId="77777777" w:rsidTr="00220906">
        <w:trPr>
          <w:jc w:val="center"/>
        </w:trPr>
        <w:tc>
          <w:tcPr>
            <w:tcW w:w="3402" w:type="dxa"/>
            <w:shd w:val="clear" w:color="auto" w:fill="auto"/>
            <w:noWrap/>
            <w:vAlign w:val="center"/>
            <w:hideMark/>
          </w:tcPr>
          <w:p w14:paraId="3ED6A351" w14:textId="77777777" w:rsidR="007D7A77" w:rsidRPr="00484B50" w:rsidRDefault="007D7A77" w:rsidP="00220906">
            <w:pPr>
              <w:spacing w:before="40" w:after="40" w:line="240" w:lineRule="auto"/>
              <w:jc w:val="left"/>
              <w:rPr>
                <w:rFonts w:cs="Calibri"/>
                <w:sz w:val="20"/>
                <w:szCs w:val="20"/>
                <w:lang w:val="es-ES" w:eastAsia="es-AR"/>
              </w:rPr>
            </w:pPr>
            <w:r w:rsidRPr="00484B50">
              <w:rPr>
                <w:rFonts w:cs="Calibri"/>
                <w:sz w:val="20"/>
                <w:szCs w:val="20"/>
                <w:lang w:val="es-ES" w:eastAsia="es-AR"/>
              </w:rPr>
              <w:t>Técnico Mantención I</w:t>
            </w:r>
          </w:p>
        </w:tc>
        <w:tc>
          <w:tcPr>
            <w:tcW w:w="1985" w:type="dxa"/>
            <w:shd w:val="clear" w:color="auto" w:fill="auto"/>
            <w:noWrap/>
            <w:vAlign w:val="center"/>
            <w:hideMark/>
          </w:tcPr>
          <w:p w14:paraId="4B443816" w14:textId="1F2AFB85" w:rsidR="007D7A77" w:rsidRPr="00484B50" w:rsidRDefault="007D7A77" w:rsidP="00220906">
            <w:pPr>
              <w:spacing w:before="40" w:after="40" w:line="240" w:lineRule="auto"/>
              <w:jc w:val="center"/>
              <w:rPr>
                <w:rFonts w:cs="Calibri"/>
                <w:sz w:val="20"/>
                <w:szCs w:val="20"/>
                <w:lang w:val="es-ES" w:eastAsia="es-AR"/>
              </w:rPr>
            </w:pPr>
            <w:r w:rsidRPr="00484B50">
              <w:rPr>
                <w:rFonts w:cs="Calibri"/>
                <w:color w:val="000000"/>
                <w:sz w:val="20"/>
                <w:szCs w:val="20"/>
              </w:rPr>
              <w:t>13.377</w:t>
            </w:r>
          </w:p>
        </w:tc>
        <w:tc>
          <w:tcPr>
            <w:tcW w:w="1984" w:type="dxa"/>
            <w:shd w:val="clear" w:color="auto" w:fill="auto"/>
            <w:noWrap/>
            <w:vAlign w:val="center"/>
            <w:hideMark/>
          </w:tcPr>
          <w:p w14:paraId="13287FC8" w14:textId="4AAE62BD" w:rsidR="007D7A77" w:rsidRPr="00484B50" w:rsidRDefault="007D7A77" w:rsidP="00220906">
            <w:pPr>
              <w:spacing w:before="40" w:after="40" w:line="240" w:lineRule="auto"/>
              <w:jc w:val="center"/>
              <w:rPr>
                <w:rFonts w:cs="Calibri"/>
                <w:sz w:val="20"/>
                <w:szCs w:val="20"/>
                <w:lang w:val="es-ES" w:eastAsia="es-AR"/>
              </w:rPr>
            </w:pPr>
            <w:r w:rsidRPr="00484B50">
              <w:rPr>
                <w:rFonts w:cs="Calibri"/>
                <w:color w:val="000000"/>
                <w:sz w:val="20"/>
                <w:szCs w:val="20"/>
              </w:rPr>
              <w:t>18.661</w:t>
            </w:r>
          </w:p>
        </w:tc>
        <w:tc>
          <w:tcPr>
            <w:tcW w:w="1985" w:type="dxa"/>
            <w:shd w:val="clear" w:color="auto" w:fill="auto"/>
            <w:noWrap/>
            <w:vAlign w:val="center"/>
            <w:hideMark/>
          </w:tcPr>
          <w:p w14:paraId="13BAE2B1" w14:textId="409E535D" w:rsidR="007D7A77" w:rsidRPr="00484B50" w:rsidRDefault="007D7A77" w:rsidP="00220906">
            <w:pPr>
              <w:spacing w:before="40" w:after="40" w:line="240" w:lineRule="auto"/>
              <w:jc w:val="center"/>
              <w:rPr>
                <w:rFonts w:cs="Calibri"/>
                <w:sz w:val="20"/>
                <w:szCs w:val="20"/>
                <w:lang w:val="es-ES" w:eastAsia="es-AR"/>
              </w:rPr>
            </w:pPr>
            <w:r w:rsidRPr="00484B50">
              <w:rPr>
                <w:rFonts w:cs="Calibri"/>
                <w:color w:val="000000"/>
                <w:sz w:val="20"/>
                <w:szCs w:val="20"/>
              </w:rPr>
              <w:t>-28%</w:t>
            </w:r>
          </w:p>
        </w:tc>
      </w:tr>
      <w:tr w:rsidR="007D7A77" w:rsidRPr="00484B50" w14:paraId="122ECAE2" w14:textId="77777777" w:rsidTr="00220906">
        <w:trPr>
          <w:jc w:val="center"/>
        </w:trPr>
        <w:tc>
          <w:tcPr>
            <w:tcW w:w="3402" w:type="dxa"/>
            <w:shd w:val="clear" w:color="auto" w:fill="auto"/>
            <w:noWrap/>
            <w:vAlign w:val="center"/>
            <w:hideMark/>
          </w:tcPr>
          <w:p w14:paraId="60953E08" w14:textId="77777777" w:rsidR="007D7A77" w:rsidRPr="00484B50" w:rsidRDefault="007D7A77" w:rsidP="00220906">
            <w:pPr>
              <w:spacing w:before="40" w:after="40" w:line="240" w:lineRule="auto"/>
              <w:jc w:val="left"/>
              <w:rPr>
                <w:rFonts w:cs="Calibri"/>
                <w:sz w:val="20"/>
                <w:szCs w:val="20"/>
                <w:lang w:val="es-ES" w:eastAsia="es-AR"/>
              </w:rPr>
            </w:pPr>
            <w:r w:rsidRPr="00484B50">
              <w:rPr>
                <w:rFonts w:cs="Calibri"/>
                <w:sz w:val="20"/>
                <w:szCs w:val="20"/>
                <w:lang w:val="es-ES" w:eastAsia="es-AR"/>
              </w:rPr>
              <w:t>Técnico Mantención Terreno II</w:t>
            </w:r>
          </w:p>
        </w:tc>
        <w:tc>
          <w:tcPr>
            <w:tcW w:w="1985" w:type="dxa"/>
            <w:shd w:val="clear" w:color="auto" w:fill="auto"/>
            <w:noWrap/>
            <w:vAlign w:val="center"/>
            <w:hideMark/>
          </w:tcPr>
          <w:p w14:paraId="58799C2F" w14:textId="17FB4A7B" w:rsidR="007D7A77" w:rsidRPr="00484B50" w:rsidRDefault="007D7A77" w:rsidP="00220906">
            <w:pPr>
              <w:spacing w:before="40" w:after="40" w:line="240" w:lineRule="auto"/>
              <w:jc w:val="center"/>
              <w:rPr>
                <w:rFonts w:cs="Calibri"/>
                <w:sz w:val="20"/>
                <w:szCs w:val="20"/>
                <w:lang w:val="es-ES" w:eastAsia="es-AR"/>
              </w:rPr>
            </w:pPr>
            <w:r w:rsidRPr="00484B50">
              <w:rPr>
                <w:rFonts w:cs="Calibri"/>
                <w:color w:val="000000"/>
                <w:sz w:val="20"/>
                <w:szCs w:val="20"/>
              </w:rPr>
              <w:t>10.874</w:t>
            </w:r>
          </w:p>
        </w:tc>
        <w:tc>
          <w:tcPr>
            <w:tcW w:w="1984" w:type="dxa"/>
            <w:shd w:val="clear" w:color="auto" w:fill="auto"/>
            <w:noWrap/>
            <w:vAlign w:val="center"/>
            <w:hideMark/>
          </w:tcPr>
          <w:p w14:paraId="4C69AAC3" w14:textId="26519411" w:rsidR="007D7A77" w:rsidRPr="00484B50" w:rsidRDefault="007D7A77" w:rsidP="00220906">
            <w:pPr>
              <w:spacing w:before="40" w:after="40" w:line="240" w:lineRule="auto"/>
              <w:jc w:val="center"/>
              <w:rPr>
                <w:rFonts w:cs="Calibri"/>
                <w:sz w:val="20"/>
                <w:szCs w:val="20"/>
                <w:lang w:val="es-ES" w:eastAsia="es-AR"/>
              </w:rPr>
            </w:pPr>
            <w:r w:rsidRPr="00484B50">
              <w:rPr>
                <w:rFonts w:cs="Calibri"/>
                <w:color w:val="000000"/>
                <w:sz w:val="20"/>
                <w:szCs w:val="20"/>
              </w:rPr>
              <w:t>14.194</w:t>
            </w:r>
          </w:p>
        </w:tc>
        <w:tc>
          <w:tcPr>
            <w:tcW w:w="1985" w:type="dxa"/>
            <w:shd w:val="clear" w:color="auto" w:fill="auto"/>
            <w:noWrap/>
            <w:vAlign w:val="center"/>
            <w:hideMark/>
          </w:tcPr>
          <w:p w14:paraId="0CC8E611" w14:textId="7AC1D67E" w:rsidR="007D7A77" w:rsidRPr="00484B50" w:rsidRDefault="007D7A77" w:rsidP="00220906">
            <w:pPr>
              <w:spacing w:before="40" w:after="40" w:line="240" w:lineRule="auto"/>
              <w:jc w:val="center"/>
              <w:rPr>
                <w:rFonts w:cs="Calibri"/>
                <w:sz w:val="20"/>
                <w:szCs w:val="20"/>
                <w:lang w:val="es-ES" w:eastAsia="es-AR"/>
              </w:rPr>
            </w:pPr>
            <w:r w:rsidRPr="00484B50">
              <w:rPr>
                <w:rFonts w:cs="Calibri"/>
                <w:color w:val="000000"/>
                <w:sz w:val="20"/>
                <w:szCs w:val="20"/>
              </w:rPr>
              <w:t>-23%</w:t>
            </w:r>
          </w:p>
        </w:tc>
      </w:tr>
      <w:tr w:rsidR="007D7A77" w:rsidRPr="00484B50" w14:paraId="497430F1" w14:textId="77777777" w:rsidTr="00220906">
        <w:trPr>
          <w:jc w:val="center"/>
        </w:trPr>
        <w:tc>
          <w:tcPr>
            <w:tcW w:w="3402" w:type="dxa"/>
            <w:shd w:val="clear" w:color="auto" w:fill="auto"/>
            <w:noWrap/>
            <w:vAlign w:val="center"/>
            <w:hideMark/>
          </w:tcPr>
          <w:p w14:paraId="2829F620" w14:textId="77777777" w:rsidR="007D7A77" w:rsidRPr="00484B50" w:rsidRDefault="007D7A77" w:rsidP="00220906">
            <w:pPr>
              <w:spacing w:before="40" w:after="40" w:line="240" w:lineRule="auto"/>
              <w:jc w:val="left"/>
              <w:rPr>
                <w:rFonts w:cs="Calibri"/>
                <w:sz w:val="20"/>
                <w:szCs w:val="20"/>
                <w:lang w:val="es-ES" w:eastAsia="es-AR"/>
              </w:rPr>
            </w:pPr>
            <w:r w:rsidRPr="00484B50">
              <w:rPr>
                <w:rFonts w:cs="Calibri"/>
                <w:sz w:val="20"/>
                <w:szCs w:val="20"/>
                <w:lang w:val="es-ES" w:eastAsia="es-AR"/>
              </w:rPr>
              <w:t>Operador II</w:t>
            </w:r>
          </w:p>
        </w:tc>
        <w:tc>
          <w:tcPr>
            <w:tcW w:w="1985" w:type="dxa"/>
            <w:shd w:val="clear" w:color="auto" w:fill="auto"/>
            <w:noWrap/>
            <w:vAlign w:val="center"/>
            <w:hideMark/>
          </w:tcPr>
          <w:p w14:paraId="6CD4020A" w14:textId="710FDBAE" w:rsidR="007D7A77" w:rsidRPr="00484B50" w:rsidRDefault="007D7A77" w:rsidP="00220906">
            <w:pPr>
              <w:spacing w:before="40" w:after="40" w:line="240" w:lineRule="auto"/>
              <w:jc w:val="center"/>
              <w:rPr>
                <w:rFonts w:cs="Calibri"/>
                <w:sz w:val="20"/>
                <w:szCs w:val="20"/>
                <w:lang w:val="es-ES" w:eastAsia="es-AR"/>
              </w:rPr>
            </w:pPr>
            <w:r w:rsidRPr="00484B50">
              <w:rPr>
                <w:rFonts w:cs="Calibri"/>
                <w:color w:val="000000"/>
                <w:sz w:val="20"/>
                <w:szCs w:val="20"/>
              </w:rPr>
              <w:t>13.849</w:t>
            </w:r>
          </w:p>
        </w:tc>
        <w:tc>
          <w:tcPr>
            <w:tcW w:w="1984" w:type="dxa"/>
            <w:shd w:val="clear" w:color="auto" w:fill="auto"/>
            <w:noWrap/>
            <w:vAlign w:val="center"/>
            <w:hideMark/>
          </w:tcPr>
          <w:p w14:paraId="1C5F205D" w14:textId="224E64C2" w:rsidR="007D7A77" w:rsidRPr="00484B50" w:rsidRDefault="007D7A77" w:rsidP="00220906">
            <w:pPr>
              <w:spacing w:before="40" w:after="40" w:line="240" w:lineRule="auto"/>
              <w:jc w:val="center"/>
              <w:rPr>
                <w:rFonts w:cs="Calibri"/>
                <w:sz w:val="20"/>
                <w:szCs w:val="20"/>
                <w:lang w:val="es-ES" w:eastAsia="es-AR"/>
              </w:rPr>
            </w:pPr>
            <w:r w:rsidRPr="00484B50">
              <w:rPr>
                <w:rFonts w:cs="Calibri"/>
                <w:color w:val="000000"/>
                <w:sz w:val="20"/>
                <w:szCs w:val="20"/>
              </w:rPr>
              <w:t>19.746</w:t>
            </w:r>
          </w:p>
        </w:tc>
        <w:tc>
          <w:tcPr>
            <w:tcW w:w="1985" w:type="dxa"/>
            <w:shd w:val="clear" w:color="auto" w:fill="auto"/>
            <w:noWrap/>
            <w:vAlign w:val="center"/>
            <w:hideMark/>
          </w:tcPr>
          <w:p w14:paraId="08694477" w14:textId="55F7C70A" w:rsidR="007D7A77" w:rsidRPr="00484B50" w:rsidRDefault="007D7A77" w:rsidP="00220906">
            <w:pPr>
              <w:spacing w:before="40" w:after="40" w:line="240" w:lineRule="auto"/>
              <w:jc w:val="center"/>
              <w:rPr>
                <w:rFonts w:cs="Calibri"/>
                <w:sz w:val="20"/>
                <w:szCs w:val="20"/>
                <w:lang w:val="es-ES" w:eastAsia="es-AR"/>
              </w:rPr>
            </w:pPr>
            <w:r w:rsidRPr="00484B50">
              <w:rPr>
                <w:rFonts w:cs="Calibri"/>
                <w:color w:val="000000"/>
                <w:sz w:val="20"/>
                <w:szCs w:val="20"/>
              </w:rPr>
              <w:t>-30%</w:t>
            </w:r>
          </w:p>
        </w:tc>
      </w:tr>
      <w:tr w:rsidR="007D7A77" w:rsidRPr="00484B50" w14:paraId="0BDC0C43" w14:textId="77777777" w:rsidTr="00220906">
        <w:trPr>
          <w:jc w:val="center"/>
        </w:trPr>
        <w:tc>
          <w:tcPr>
            <w:tcW w:w="3402" w:type="dxa"/>
            <w:shd w:val="clear" w:color="auto" w:fill="auto"/>
            <w:noWrap/>
            <w:vAlign w:val="center"/>
            <w:hideMark/>
          </w:tcPr>
          <w:p w14:paraId="098671BC" w14:textId="77777777" w:rsidR="007D7A77" w:rsidRPr="00484B50" w:rsidRDefault="007D7A77" w:rsidP="00220906">
            <w:pPr>
              <w:spacing w:before="40" w:after="40" w:line="240" w:lineRule="auto"/>
              <w:jc w:val="left"/>
              <w:rPr>
                <w:rFonts w:cs="Calibri"/>
                <w:sz w:val="20"/>
                <w:szCs w:val="20"/>
                <w:lang w:val="es-ES" w:eastAsia="es-AR"/>
              </w:rPr>
            </w:pPr>
            <w:r w:rsidRPr="00484B50">
              <w:rPr>
                <w:rFonts w:cs="Calibri"/>
                <w:sz w:val="20"/>
                <w:szCs w:val="20"/>
                <w:lang w:val="es-ES" w:eastAsia="es-AR"/>
              </w:rPr>
              <w:t>Instrumentista I</w:t>
            </w:r>
          </w:p>
        </w:tc>
        <w:tc>
          <w:tcPr>
            <w:tcW w:w="1985" w:type="dxa"/>
            <w:shd w:val="clear" w:color="auto" w:fill="auto"/>
            <w:noWrap/>
            <w:vAlign w:val="center"/>
            <w:hideMark/>
          </w:tcPr>
          <w:p w14:paraId="05C5E728" w14:textId="1CF01E48" w:rsidR="007D7A77" w:rsidRPr="00484B50" w:rsidRDefault="007D7A77" w:rsidP="00220906">
            <w:pPr>
              <w:spacing w:before="40" w:after="40" w:line="240" w:lineRule="auto"/>
              <w:jc w:val="center"/>
              <w:rPr>
                <w:rFonts w:cs="Calibri"/>
                <w:sz w:val="20"/>
                <w:szCs w:val="20"/>
                <w:lang w:val="es-ES" w:eastAsia="es-AR"/>
              </w:rPr>
            </w:pPr>
            <w:r w:rsidRPr="00484B50">
              <w:rPr>
                <w:rFonts w:cs="Calibri"/>
                <w:color w:val="000000"/>
                <w:sz w:val="20"/>
                <w:szCs w:val="20"/>
              </w:rPr>
              <w:t>-</w:t>
            </w:r>
          </w:p>
        </w:tc>
        <w:tc>
          <w:tcPr>
            <w:tcW w:w="1984" w:type="dxa"/>
            <w:shd w:val="clear" w:color="auto" w:fill="auto"/>
            <w:noWrap/>
            <w:vAlign w:val="center"/>
            <w:hideMark/>
          </w:tcPr>
          <w:p w14:paraId="1441A34E" w14:textId="537286C9" w:rsidR="007D7A77" w:rsidRPr="00484B50" w:rsidRDefault="007D7A77" w:rsidP="00220906">
            <w:pPr>
              <w:spacing w:before="40" w:after="40" w:line="240" w:lineRule="auto"/>
              <w:jc w:val="center"/>
              <w:rPr>
                <w:rFonts w:cs="Calibri"/>
                <w:sz w:val="20"/>
                <w:szCs w:val="20"/>
                <w:lang w:val="es-ES" w:eastAsia="es-AR"/>
              </w:rPr>
            </w:pPr>
            <w:r w:rsidRPr="00484B50">
              <w:rPr>
                <w:rFonts w:cs="Calibri"/>
                <w:color w:val="000000"/>
                <w:sz w:val="20"/>
                <w:szCs w:val="20"/>
              </w:rPr>
              <w:t>24.190</w:t>
            </w:r>
          </w:p>
        </w:tc>
        <w:tc>
          <w:tcPr>
            <w:tcW w:w="1985" w:type="dxa"/>
            <w:shd w:val="clear" w:color="auto" w:fill="auto"/>
            <w:noWrap/>
            <w:vAlign w:val="center"/>
            <w:hideMark/>
          </w:tcPr>
          <w:p w14:paraId="35229C89" w14:textId="38A876B7" w:rsidR="007D7A77" w:rsidRPr="00484B50" w:rsidRDefault="007D7A77" w:rsidP="00220906">
            <w:pPr>
              <w:spacing w:before="40" w:after="40" w:line="240" w:lineRule="auto"/>
              <w:jc w:val="center"/>
              <w:rPr>
                <w:rFonts w:cs="Calibri"/>
                <w:sz w:val="20"/>
                <w:szCs w:val="20"/>
                <w:lang w:val="es-ES" w:eastAsia="es-AR"/>
              </w:rPr>
            </w:pPr>
          </w:p>
        </w:tc>
      </w:tr>
    </w:tbl>
    <w:p w14:paraId="13CF2DAD" w14:textId="270946F1" w:rsidR="0079428C" w:rsidRPr="008D4432" w:rsidRDefault="0053312F" w:rsidP="00220906">
      <w:pPr>
        <w:rPr>
          <w:sz w:val="20"/>
          <w:szCs w:val="20"/>
          <w:lang w:val="es-ES"/>
        </w:rPr>
      </w:pPr>
      <w:r w:rsidRPr="008D4432">
        <w:rPr>
          <w:sz w:val="20"/>
          <w:szCs w:val="20"/>
          <w:lang w:val="es-ES"/>
        </w:rPr>
        <w:t>(*) Incluye costo de administración y util</w:t>
      </w:r>
      <w:r w:rsidR="00BA2EDF" w:rsidRPr="008D4432">
        <w:rPr>
          <w:sz w:val="20"/>
          <w:szCs w:val="20"/>
          <w:lang w:val="es-ES"/>
        </w:rPr>
        <w:t>i</w:t>
      </w:r>
      <w:r w:rsidRPr="008D4432">
        <w:rPr>
          <w:sz w:val="20"/>
          <w:szCs w:val="20"/>
          <w:lang w:val="es-ES"/>
        </w:rPr>
        <w:t xml:space="preserve">dades del contratista. </w:t>
      </w:r>
    </w:p>
    <w:p w14:paraId="0E17F654" w14:textId="71771065" w:rsidR="0079428C" w:rsidRPr="00B06D23" w:rsidRDefault="0079428C" w:rsidP="0079428C">
      <w:pPr>
        <w:rPr>
          <w:lang w:val="es-ES"/>
        </w:rPr>
      </w:pPr>
      <w:r w:rsidRPr="00B06D23">
        <w:rPr>
          <w:lang w:val="es-ES"/>
        </w:rPr>
        <w:t xml:space="preserve">No se compara el instrumentista dado que </w:t>
      </w:r>
      <w:r w:rsidR="008D4432" w:rsidRPr="00B06D23">
        <w:rPr>
          <w:lang w:val="es-ES"/>
        </w:rPr>
        <w:t>estas tareas</w:t>
      </w:r>
      <w:r w:rsidRPr="00B06D23">
        <w:rPr>
          <w:lang w:val="es-ES"/>
        </w:rPr>
        <w:t xml:space="preserve"> que son realizadas por personal propio como se explicó en análisis estratégico de tercerización y requieren un gran nivel de especialización debido a su complejidad, cantidad de marcas y tipos de equipos involucrados </w:t>
      </w:r>
      <w:r w:rsidR="00BA2EDF">
        <w:rPr>
          <w:lang w:val="es-ES"/>
        </w:rPr>
        <w:t xml:space="preserve">y la permanente </w:t>
      </w:r>
      <w:r w:rsidR="00BA2EDF" w:rsidRPr="00A943FF">
        <w:rPr>
          <w:lang w:val="es-ES"/>
        </w:rPr>
        <w:t>evolución de la</w:t>
      </w:r>
      <w:r w:rsidRPr="00A943FF">
        <w:rPr>
          <w:lang w:val="es-ES"/>
        </w:rPr>
        <w:t xml:space="preserve"> tecnología</w:t>
      </w:r>
      <w:r w:rsidRPr="00B06D23">
        <w:rPr>
          <w:lang w:val="es-ES"/>
        </w:rPr>
        <w:t>.</w:t>
      </w:r>
    </w:p>
    <w:p w14:paraId="4851BBFF" w14:textId="77777777" w:rsidR="0079428C" w:rsidRPr="00B06D23" w:rsidRDefault="0079428C" w:rsidP="0079428C">
      <w:pPr>
        <w:rPr>
          <w:lang w:val="es-ES"/>
        </w:rPr>
      </w:pPr>
      <w:r w:rsidRPr="00B06D23">
        <w:rPr>
          <w:lang w:val="es-ES"/>
        </w:rPr>
        <w:t>Es evidente que los cargos en los cuales el valor de la mano de obra tercerizada es inferior al costo del mismo cargo en la empresa, son directamente contratados con terceros. Sin embargo, existen cargos en los cuales el costo de tercerización puede ser superior al costo empresa, pero las empresas igualmente optan por tercerizar, aun cuando la diferencia de costos se ubique en un rango entre 5% y 10%.</w:t>
      </w:r>
    </w:p>
    <w:p w14:paraId="02A60A6B" w14:textId="77777777" w:rsidR="0079428C" w:rsidRPr="00B06D23" w:rsidRDefault="0079428C" w:rsidP="0079428C">
      <w:pPr>
        <w:rPr>
          <w:lang w:val="es-ES"/>
        </w:rPr>
      </w:pPr>
      <w:r w:rsidRPr="00B06D23">
        <w:rPr>
          <w:lang w:val="es-ES"/>
        </w:rPr>
        <w:t xml:space="preserve">Las empresas tercerizan su mano de obra aún con estos porcentajes, debido a que evalúan que existen beneficios asociados, que compensan los mayores costos. Estos beneficios incluyen elementos cuantitativos y cualitativos tales como: i) se eliminan los costos laborales asociados a las ausencias y se cuenta con un reemplazo ágil del trabajador en caso de ausencias o enfermedad; ii) se reducen los gastos en áreas de apoyo y gastos generales.; iii) se eliminan las ineficiencias de las </w:t>
      </w:r>
      <w:r w:rsidRPr="00B06D23">
        <w:rPr>
          <w:lang w:val="es-ES"/>
        </w:rPr>
        <w:lastRenderedPageBreak/>
        <w:t>holguras dado que se paga solo la mano de obra demandada lo que evita tener personal ocioso cuando el mismo no es requerido especialmente en las tareas con picos de trabajo iv) se ha constatado en la práctica de las empresas que es más fácil supervisar y controlar un cargo de outsourcing que un empleado propio; v) se disminuyen considerablemente los costos de supervisión y esta se hace más eficiente.</w:t>
      </w:r>
    </w:p>
    <w:p w14:paraId="705A2B47" w14:textId="0324E484" w:rsidR="00553F5D" w:rsidRPr="00C543D6" w:rsidRDefault="00553F5D" w:rsidP="00553F5D">
      <w:pPr>
        <w:pStyle w:val="Ttulo3"/>
      </w:pPr>
      <w:bookmarkStart w:id="249" w:name="_Toc36796918"/>
      <w:bookmarkStart w:id="250" w:name="_Toc39797802"/>
      <w:bookmarkStart w:id="251" w:name="_Toc32389956"/>
      <w:bookmarkStart w:id="252" w:name="_Toc34398113"/>
      <w:r w:rsidRPr="00C543D6">
        <w:t xml:space="preserve">Otras actividades de administración sujetas a </w:t>
      </w:r>
      <w:r w:rsidR="008D4432" w:rsidRPr="00C543D6">
        <w:t>tercerización</w:t>
      </w:r>
      <w:r w:rsidRPr="00C543D6">
        <w:t>.</w:t>
      </w:r>
      <w:bookmarkEnd w:id="249"/>
      <w:bookmarkEnd w:id="250"/>
    </w:p>
    <w:p w14:paraId="573BCF67" w14:textId="0721D6CD" w:rsidR="00553F5D" w:rsidRPr="00C543D6" w:rsidRDefault="00553F5D" w:rsidP="00553F5D">
      <w:r w:rsidRPr="00C543D6">
        <w:t>Como es práctica usual en las empresas</w:t>
      </w:r>
      <w:r w:rsidR="00A943FF" w:rsidRPr="00C543D6">
        <w:t>,</w:t>
      </w:r>
      <w:r w:rsidRPr="00C543D6">
        <w:t xml:space="preserve"> resulta conveniente tercerizar las actividades que requieren habilidades, equipamientos y experiencia específica que no son parte del negocio de transmisión. Dentro de estas actividades se encuentra la vigilancia presencial y las tareas de aseo y limpieza de edificios que son considerados como servicios proporcionados por empresas contratistas.</w:t>
      </w:r>
    </w:p>
    <w:p w14:paraId="246AE991" w14:textId="11BBE4A2" w:rsidR="00553F5D" w:rsidRDefault="00553F5D" w:rsidP="00543900">
      <w:r w:rsidRPr="00C543D6">
        <w:t>Ex</w:t>
      </w:r>
      <w:r w:rsidR="00A943FF" w:rsidRPr="00C543D6">
        <w:t xml:space="preserve">isten otros servicios, como </w:t>
      </w:r>
      <w:r w:rsidRPr="00C543D6">
        <w:t>las asesorías, que no son requeridos en forma continua por lo que resulta eficiente contratarlos solo cuando son requeridos a los efectos de evitar cargar a la EM con los costos de recursos de mano de obra que serían de baja utilización en la EM en caso de ser parte de su estructura organizacional.</w:t>
      </w:r>
    </w:p>
    <w:p w14:paraId="36EA6A1D" w14:textId="77777777" w:rsidR="0079428C" w:rsidRPr="00F465C5" w:rsidRDefault="0079428C" w:rsidP="0079428C">
      <w:pPr>
        <w:pStyle w:val="Ttulo3"/>
      </w:pPr>
      <w:bookmarkStart w:id="253" w:name="_Toc39797803"/>
      <w:r w:rsidRPr="00F465C5">
        <w:t>Valorización de los recursos a precios de mercado</w:t>
      </w:r>
      <w:bookmarkEnd w:id="251"/>
      <w:bookmarkEnd w:id="252"/>
      <w:bookmarkEnd w:id="253"/>
    </w:p>
    <w:p w14:paraId="59F599B3" w14:textId="77777777" w:rsidR="0079428C" w:rsidRPr="00B06D23" w:rsidRDefault="0079428C" w:rsidP="0079428C">
      <w:pPr>
        <w:rPr>
          <w:lang w:val="es-ES"/>
        </w:rPr>
      </w:pPr>
      <w:r w:rsidRPr="00B06D23">
        <w:rPr>
          <w:lang w:val="es-ES"/>
        </w:rPr>
        <w:t>Los recursos físicos de mano de obra, materiales, insumos y servicios calculados en la etapa anterior se valorizan a precios de mercado.</w:t>
      </w:r>
    </w:p>
    <w:p w14:paraId="3E165D97" w14:textId="77777777" w:rsidR="0079428C" w:rsidRPr="00B06D23" w:rsidRDefault="0079428C" w:rsidP="0079428C">
      <w:pPr>
        <w:rPr>
          <w:lang w:val="es-ES"/>
        </w:rPr>
      </w:pPr>
      <w:bookmarkStart w:id="254" w:name="_Toc149716234"/>
      <w:r w:rsidRPr="00B06D23">
        <w:rPr>
          <w:lang w:val="es-ES"/>
        </w:rPr>
        <w:t xml:space="preserve">Los costos unitarios utilizados para la valorización </w:t>
      </w:r>
      <w:bookmarkEnd w:id="254"/>
      <w:r w:rsidRPr="00B06D23">
        <w:rPr>
          <w:lang w:val="es-ES"/>
        </w:rPr>
        <w:t>fueron:</w:t>
      </w:r>
    </w:p>
    <w:p w14:paraId="7B114377" w14:textId="4B0B0B37" w:rsidR="0079428C" w:rsidRPr="00B06D23" w:rsidRDefault="0079428C" w:rsidP="00273FE4">
      <w:pPr>
        <w:pStyle w:val="Prrafodelista"/>
        <w:numPr>
          <w:ilvl w:val="0"/>
          <w:numId w:val="60"/>
        </w:numPr>
        <w:ind w:left="567" w:hanging="567"/>
        <w:rPr>
          <w:lang w:val="es-ES"/>
        </w:rPr>
      </w:pPr>
      <w:r w:rsidRPr="00B06D23">
        <w:rPr>
          <w:lang w:val="es-ES"/>
        </w:rPr>
        <w:t xml:space="preserve">Mano de obra: según resultados de la encuesta remuneraciones y análisis de tercerización que se </w:t>
      </w:r>
      <w:r w:rsidR="008D4432" w:rsidRPr="00B06D23">
        <w:rPr>
          <w:lang w:val="es-ES"/>
        </w:rPr>
        <w:t>desarrolló</w:t>
      </w:r>
      <w:r w:rsidRPr="00B06D23">
        <w:rPr>
          <w:lang w:val="es-ES"/>
        </w:rPr>
        <w:t xml:space="preserve"> en el informe.</w:t>
      </w:r>
    </w:p>
    <w:p w14:paraId="605635B9" w14:textId="08FB92B8" w:rsidR="0079428C" w:rsidRPr="005B395F" w:rsidRDefault="0079428C" w:rsidP="00273FE4">
      <w:pPr>
        <w:pStyle w:val="Prrafodelista"/>
        <w:numPr>
          <w:ilvl w:val="0"/>
          <w:numId w:val="60"/>
        </w:numPr>
        <w:ind w:left="567" w:hanging="567"/>
        <w:rPr>
          <w:lang w:val="es-ES"/>
        </w:rPr>
      </w:pPr>
      <w:r w:rsidRPr="005B395F">
        <w:rPr>
          <w:lang w:val="es-ES"/>
        </w:rPr>
        <w:t xml:space="preserve">Equipos y herramientas de trabajo, y vehículos: según </w:t>
      </w:r>
      <w:r w:rsidR="008D4432" w:rsidRPr="005B395F">
        <w:rPr>
          <w:lang w:val="es-ES"/>
        </w:rPr>
        <w:t>cotizaciones que</w:t>
      </w:r>
      <w:r w:rsidRPr="005B395F">
        <w:rPr>
          <w:lang w:val="es-ES"/>
        </w:rPr>
        <w:t xml:space="preserve"> surgen de relevamiento de mercado y antecedentes regulatorios.</w:t>
      </w:r>
    </w:p>
    <w:p w14:paraId="795A864B" w14:textId="3230BB72" w:rsidR="00D6567C" w:rsidRPr="005B395F" w:rsidRDefault="00D6567C" w:rsidP="00273FE4">
      <w:pPr>
        <w:pStyle w:val="Prrafodelista"/>
        <w:numPr>
          <w:ilvl w:val="0"/>
          <w:numId w:val="60"/>
        </w:numPr>
        <w:ind w:left="567" w:hanging="567"/>
        <w:rPr>
          <w:lang w:val="es-ES"/>
        </w:rPr>
      </w:pPr>
      <w:r w:rsidRPr="005B395F">
        <w:rPr>
          <w:lang w:val="es-ES"/>
        </w:rPr>
        <w:t>Repuestos y materiales: costos unitarios consistentes con los diseños constructivos de los componentes de las instalaciones y precios de mercado. Los precios de mercado de los materiales han considerado el volumen de las adquisiciones para OyM y descuentos por economías de escala según la experiencia del Consultor.</w:t>
      </w:r>
    </w:p>
    <w:p w14:paraId="543A8D57" w14:textId="51CC9F87" w:rsidR="0079428C" w:rsidRDefault="0079428C" w:rsidP="0079428C">
      <w:pPr>
        <w:rPr>
          <w:lang w:val="es-ES"/>
        </w:rPr>
      </w:pPr>
      <w:r w:rsidRPr="00B06D23">
        <w:rPr>
          <w:lang w:val="es-ES"/>
        </w:rPr>
        <w:t>Los costos de los recursos modelados, se han valorizan según costos de mercado, considerando su valor al 31 de diciembre de 2017 y posteriormente su equivalencia en dólares, utilizando para ello el valor promedio mensual del dólar observado publicado por el Banco Central para el mes de diciembre de 2017.</w:t>
      </w:r>
    </w:p>
    <w:p w14:paraId="654D14CD" w14:textId="77777777" w:rsidR="0079428C" w:rsidRPr="00FD055F" w:rsidRDefault="0079428C" w:rsidP="0079428C">
      <w:pPr>
        <w:pStyle w:val="Ttulo4"/>
      </w:pPr>
      <w:bookmarkStart w:id="255" w:name="_Toc391381236"/>
      <w:bookmarkStart w:id="256" w:name="_Toc392764067"/>
      <w:bookmarkStart w:id="257" w:name="_Toc397926161"/>
      <w:bookmarkStart w:id="258" w:name="_Toc404945295"/>
      <w:bookmarkStart w:id="259" w:name="_Toc34398114"/>
      <w:bookmarkStart w:id="260" w:name="_Toc39797804"/>
      <w:r w:rsidRPr="00FD055F">
        <w:lastRenderedPageBreak/>
        <w:t>Personal propio</w:t>
      </w:r>
      <w:bookmarkEnd w:id="255"/>
      <w:bookmarkEnd w:id="256"/>
      <w:bookmarkEnd w:id="257"/>
      <w:bookmarkEnd w:id="258"/>
      <w:bookmarkEnd w:id="259"/>
      <w:bookmarkEnd w:id="260"/>
    </w:p>
    <w:p w14:paraId="5923E047" w14:textId="677FAF0C" w:rsidR="0079428C" w:rsidRDefault="0079428C" w:rsidP="0079428C">
      <w:pPr>
        <w:rPr>
          <w:lang w:val="es-ES"/>
        </w:rPr>
      </w:pPr>
      <w:r w:rsidRPr="00B06D23">
        <w:rPr>
          <w:lang w:val="es-ES"/>
        </w:rPr>
        <w:t>Los costos unitarios de las remuneraciones del personal de la empresa, se obtienen a partir del procesamiento de una encuesta de remuneraciones, donde se realiza un proceso de homologación de cada uno de los cargos modelados con los cargos encuestados. La metodología específica se desarrolla en el punto</w:t>
      </w:r>
      <w:r w:rsidR="00473E57">
        <w:rPr>
          <w:lang w:val="es-ES"/>
        </w:rPr>
        <w:t xml:space="preserve"> </w:t>
      </w:r>
      <w:r w:rsidR="00473E57">
        <w:rPr>
          <w:lang w:val="es-ES"/>
        </w:rPr>
        <w:fldChar w:fldCharType="begin"/>
      </w:r>
      <w:r w:rsidR="00473E57">
        <w:rPr>
          <w:lang w:val="es-ES"/>
        </w:rPr>
        <w:instrText xml:space="preserve"> REF _Ref38031734 \r \h </w:instrText>
      </w:r>
      <w:r w:rsidR="00473E57">
        <w:rPr>
          <w:lang w:val="es-ES"/>
        </w:rPr>
      </w:r>
      <w:r w:rsidR="00473E57">
        <w:rPr>
          <w:lang w:val="es-ES"/>
        </w:rPr>
        <w:fldChar w:fldCharType="separate"/>
      </w:r>
      <w:r w:rsidR="001F3E2E">
        <w:rPr>
          <w:lang w:val="es-ES"/>
        </w:rPr>
        <w:t>6.2.5</w:t>
      </w:r>
      <w:r w:rsidR="00473E57">
        <w:rPr>
          <w:lang w:val="es-ES"/>
        </w:rPr>
        <w:fldChar w:fldCharType="end"/>
      </w:r>
      <w:r w:rsidRPr="00B06D23">
        <w:rPr>
          <w:lang w:val="es-ES"/>
        </w:rPr>
        <w:t>.</w:t>
      </w:r>
    </w:p>
    <w:p w14:paraId="505FDB89" w14:textId="77777777" w:rsidR="0079428C" w:rsidRPr="00FD055F" w:rsidRDefault="0079428C" w:rsidP="0079428C">
      <w:pPr>
        <w:pStyle w:val="Ttulo4"/>
      </w:pPr>
      <w:bookmarkStart w:id="261" w:name="_Toc391381237"/>
      <w:bookmarkStart w:id="262" w:name="_Toc392764068"/>
      <w:bookmarkStart w:id="263" w:name="_Toc397926162"/>
      <w:bookmarkStart w:id="264" w:name="_Toc404945296"/>
      <w:bookmarkStart w:id="265" w:name="_Toc34398115"/>
      <w:bookmarkStart w:id="266" w:name="_Toc39797805"/>
      <w:r w:rsidRPr="00FD055F">
        <w:t>Servicios de operación y mantenimiento tercerizados</w:t>
      </w:r>
      <w:bookmarkEnd w:id="261"/>
      <w:bookmarkEnd w:id="262"/>
      <w:bookmarkEnd w:id="263"/>
      <w:bookmarkEnd w:id="264"/>
      <w:bookmarkEnd w:id="265"/>
      <w:bookmarkEnd w:id="266"/>
    </w:p>
    <w:p w14:paraId="0875E526" w14:textId="7CB4AEA3" w:rsidR="0079428C" w:rsidRPr="00B06D23" w:rsidRDefault="0079428C" w:rsidP="0079428C">
      <w:pPr>
        <w:rPr>
          <w:lang w:val="es-ES"/>
        </w:rPr>
      </w:pPr>
      <w:r w:rsidRPr="00B06D23">
        <w:rPr>
          <w:lang w:val="es-ES"/>
        </w:rPr>
        <w:t xml:space="preserve">Las tareas susceptibles de tercerizar se valorizan con los </w:t>
      </w:r>
      <w:r w:rsidRPr="008725EC">
        <w:rPr>
          <w:lang w:val="es-ES"/>
        </w:rPr>
        <w:t>costos de un contratista eficiente en la medida que resulte económicamente conveniente la ejecuc</w:t>
      </w:r>
      <w:r w:rsidR="004C15D6" w:rsidRPr="008725EC">
        <w:rPr>
          <w:lang w:val="es-ES"/>
        </w:rPr>
        <w:t>ión tercerizada. Este análisis s</w:t>
      </w:r>
      <w:r w:rsidRPr="008725EC">
        <w:rPr>
          <w:lang w:val="es-ES"/>
        </w:rPr>
        <w:t>e presentó en el capítulo de “</w:t>
      </w:r>
      <w:r w:rsidR="00BA2EDF" w:rsidRPr="008725EC">
        <w:rPr>
          <w:lang w:val="es-ES"/>
        </w:rPr>
        <w:t>Análisis</w:t>
      </w:r>
      <w:r w:rsidRPr="008725EC">
        <w:rPr>
          <w:lang w:val="es-ES"/>
        </w:rPr>
        <w:t xml:space="preserve"> de </w:t>
      </w:r>
      <w:r w:rsidR="008D4432" w:rsidRPr="008725EC">
        <w:rPr>
          <w:lang w:val="es-ES"/>
        </w:rPr>
        <w:t>tercerización</w:t>
      </w:r>
      <w:r w:rsidRPr="008725EC">
        <w:rPr>
          <w:lang w:val="es-ES"/>
        </w:rPr>
        <w:t xml:space="preserve"> de actividades”</w:t>
      </w:r>
      <w:r w:rsidRPr="00B06D23">
        <w:rPr>
          <w:lang w:val="es-ES"/>
        </w:rPr>
        <w:t xml:space="preserve"> </w:t>
      </w:r>
    </w:p>
    <w:p w14:paraId="2DE49622" w14:textId="77777777" w:rsidR="0079428C" w:rsidRPr="00B06D23" w:rsidRDefault="0079428C" w:rsidP="0079428C">
      <w:pPr>
        <w:rPr>
          <w:lang w:val="es-ES"/>
        </w:rPr>
      </w:pPr>
      <w:r w:rsidRPr="00B06D23">
        <w:rPr>
          <w:lang w:val="es-ES"/>
        </w:rPr>
        <w:t>Estos servicios vinculados a las tareas de operación y mantenimiento en terreno que se consideran tercerizadas se valorizan considerando el cálculo de un contratista eficiente a partir de los costos de personal obtenidos de la encuesta de remuneraciones con la consideración de un margen para cubrir costos administrativos y utilidades del contratista.</w:t>
      </w:r>
    </w:p>
    <w:p w14:paraId="35605A16" w14:textId="77777777" w:rsidR="0079428C" w:rsidRPr="00B06D23" w:rsidRDefault="0079428C" w:rsidP="0079428C">
      <w:pPr>
        <w:rPr>
          <w:lang w:val="es-ES"/>
        </w:rPr>
      </w:pPr>
      <w:r w:rsidRPr="00B06D23">
        <w:rPr>
          <w:lang w:val="es-ES"/>
        </w:rPr>
        <w:t>Adicionalmente se han considerado como parte del costo del contratista los costos de los vehículos, equipos y herramientas obtenidos de cotizaciones del mercado habitual de proveedores.</w:t>
      </w:r>
    </w:p>
    <w:p w14:paraId="4C6CDFA0" w14:textId="77777777" w:rsidR="0079428C" w:rsidRPr="00B06D23" w:rsidRDefault="0079428C" w:rsidP="0079428C">
      <w:pPr>
        <w:rPr>
          <w:lang w:val="es-ES"/>
        </w:rPr>
      </w:pPr>
      <w:r w:rsidRPr="00B06D23">
        <w:rPr>
          <w:lang w:val="es-ES"/>
        </w:rPr>
        <w:t>Para los vehículos se consideran dos componentes de costo:</w:t>
      </w:r>
    </w:p>
    <w:p w14:paraId="07CBCA9B" w14:textId="5861D1E0" w:rsidR="0079428C" w:rsidRPr="00803EF2" w:rsidRDefault="0079428C" w:rsidP="00273FE4">
      <w:pPr>
        <w:pStyle w:val="Prrafodelista"/>
        <w:numPr>
          <w:ilvl w:val="0"/>
          <w:numId w:val="61"/>
        </w:numPr>
        <w:ind w:left="567" w:hanging="567"/>
        <w:rPr>
          <w:lang w:val="es-ES"/>
        </w:rPr>
      </w:pPr>
      <w:r w:rsidRPr="00B06D23">
        <w:rPr>
          <w:lang w:val="es-ES"/>
        </w:rPr>
        <w:t xml:space="preserve">Costo fijo: costo </w:t>
      </w:r>
      <w:r w:rsidRPr="00803EF2">
        <w:rPr>
          <w:lang w:val="es-ES"/>
        </w:rPr>
        <w:t xml:space="preserve">de alquiler anual del vehículo o costo de compra en caso de tratarse de un </w:t>
      </w:r>
      <w:r w:rsidR="00BA2EDF" w:rsidRPr="00803EF2">
        <w:rPr>
          <w:lang w:val="es-ES"/>
        </w:rPr>
        <w:t>vehículo</w:t>
      </w:r>
      <w:r w:rsidRPr="00803EF2">
        <w:rPr>
          <w:lang w:val="es-ES"/>
        </w:rPr>
        <w:t xml:space="preserve"> propio. En este </w:t>
      </w:r>
      <w:r w:rsidR="00BA2EDF" w:rsidRPr="00803EF2">
        <w:rPr>
          <w:lang w:val="es-ES"/>
        </w:rPr>
        <w:t>último</w:t>
      </w:r>
      <w:r w:rsidRPr="00803EF2">
        <w:rPr>
          <w:lang w:val="es-ES"/>
        </w:rPr>
        <w:t xml:space="preserve"> caso se valoriza con fines comparativos con la anualidad del costo de capital más los costos fijos (permisos, revisión técnica, gestión del parque de vehículos, mantenimiento, </w:t>
      </w:r>
      <w:r w:rsidR="00BA2EDF" w:rsidRPr="00803EF2">
        <w:rPr>
          <w:lang w:val="es-ES"/>
        </w:rPr>
        <w:t>vehículo</w:t>
      </w:r>
      <w:r w:rsidRPr="00803EF2">
        <w:rPr>
          <w:lang w:val="es-ES"/>
        </w:rPr>
        <w:t xml:space="preserve"> sustituto, mantenimiento, </w:t>
      </w:r>
      <w:r w:rsidR="008D4432" w:rsidRPr="00803EF2">
        <w:rPr>
          <w:lang w:val="es-ES"/>
        </w:rPr>
        <w:t>etc.</w:t>
      </w:r>
      <w:r w:rsidRPr="00803EF2">
        <w:rPr>
          <w:lang w:val="es-ES"/>
        </w:rPr>
        <w:t>).</w:t>
      </w:r>
    </w:p>
    <w:p w14:paraId="302848BE" w14:textId="0ADDB5D2" w:rsidR="0079428C" w:rsidRPr="00803EF2" w:rsidRDefault="0079428C" w:rsidP="00273FE4">
      <w:pPr>
        <w:pStyle w:val="Prrafodelista"/>
        <w:numPr>
          <w:ilvl w:val="0"/>
          <w:numId w:val="61"/>
        </w:numPr>
        <w:ind w:left="567" w:hanging="567"/>
        <w:rPr>
          <w:lang w:val="es-ES"/>
        </w:rPr>
      </w:pPr>
      <w:r w:rsidRPr="00803EF2">
        <w:rPr>
          <w:lang w:val="es-ES"/>
        </w:rPr>
        <w:t>Costo variable: que es el combustible asociado a la cantidad de k</w:t>
      </w:r>
      <w:r w:rsidR="00204436">
        <w:rPr>
          <w:lang w:val="es-ES"/>
        </w:rPr>
        <w:t>ilómetros</w:t>
      </w:r>
      <w:r w:rsidRPr="00803EF2">
        <w:rPr>
          <w:lang w:val="es-ES"/>
        </w:rPr>
        <w:t xml:space="preserve"> recorridos teniendo en cuenta el costo de combustible y el rendimiento de consumo del vehículo, </w:t>
      </w:r>
      <w:r w:rsidR="00BA2EDF" w:rsidRPr="00803EF2">
        <w:rPr>
          <w:lang w:val="es-ES"/>
        </w:rPr>
        <w:t>más</w:t>
      </w:r>
      <w:r w:rsidRPr="00803EF2">
        <w:rPr>
          <w:lang w:val="es-ES"/>
        </w:rPr>
        <w:t xml:space="preserve"> los costos de peajes.</w:t>
      </w:r>
    </w:p>
    <w:p w14:paraId="147B6FDA" w14:textId="77777777" w:rsidR="0079428C" w:rsidRPr="00B06D23" w:rsidRDefault="0079428C" w:rsidP="0079428C">
      <w:pPr>
        <w:rPr>
          <w:lang w:val="es-ES"/>
        </w:rPr>
      </w:pPr>
      <w:r w:rsidRPr="00B06D23">
        <w:rPr>
          <w:lang w:val="es-ES"/>
        </w:rPr>
        <w:t>Se efectuó el análisis de la conveniencia entre alquiler vs compra que se presenta en el capítulo de BM&amp;I.</w:t>
      </w:r>
    </w:p>
    <w:p w14:paraId="5E7EB4F7" w14:textId="6616A0B7" w:rsidR="0079428C" w:rsidRPr="00B06D23" w:rsidRDefault="0079428C" w:rsidP="0079428C">
      <w:pPr>
        <w:rPr>
          <w:lang w:val="es-ES"/>
        </w:rPr>
      </w:pPr>
      <w:r w:rsidRPr="00803EF2">
        <w:rPr>
          <w:lang w:val="es-ES"/>
        </w:rPr>
        <w:t xml:space="preserve">Los costos de herramientas y equipos de las cuadrillas tercerizadas se han definido en </w:t>
      </w:r>
      <w:r w:rsidR="00BA2EDF" w:rsidRPr="00803EF2">
        <w:rPr>
          <w:lang w:val="es-ES"/>
        </w:rPr>
        <w:t>función</w:t>
      </w:r>
      <w:r w:rsidRPr="00803EF2">
        <w:rPr>
          <w:lang w:val="es-ES"/>
        </w:rPr>
        <w:t xml:space="preserve"> del tipo de tarea que realiza cada Cuadrilla.</w:t>
      </w:r>
      <w:r w:rsidRPr="00B06D23">
        <w:rPr>
          <w:lang w:val="es-ES"/>
        </w:rPr>
        <w:t xml:space="preserve"> </w:t>
      </w:r>
    </w:p>
    <w:p w14:paraId="3DF15F77" w14:textId="77777777" w:rsidR="0079428C" w:rsidRPr="00B06D23" w:rsidRDefault="0079428C" w:rsidP="0079428C">
      <w:pPr>
        <w:rPr>
          <w:lang w:val="es-ES"/>
        </w:rPr>
      </w:pPr>
      <w:r w:rsidRPr="00B06D23">
        <w:rPr>
          <w:lang w:val="es-ES"/>
        </w:rPr>
        <w:t>Adicionalmente se considera los elementos de seguridad personal que debe llevar cada operario que integra la cuadrilla.</w:t>
      </w:r>
    </w:p>
    <w:p w14:paraId="6FE83C1B" w14:textId="2C348C5C" w:rsidR="0079428C" w:rsidRPr="00B06D23" w:rsidRDefault="0079428C" w:rsidP="0079428C">
      <w:pPr>
        <w:rPr>
          <w:lang w:val="es-ES"/>
        </w:rPr>
      </w:pPr>
      <w:r w:rsidRPr="00B06D23">
        <w:rPr>
          <w:lang w:val="es-ES"/>
        </w:rPr>
        <w:lastRenderedPageBreak/>
        <w:t>El  KIT</w:t>
      </w:r>
      <w:r w:rsidRPr="00B06D23">
        <w:rPr>
          <w:rStyle w:val="Refdenotaalpie"/>
          <w:lang w:val="es-ES"/>
        </w:rPr>
        <w:footnoteReference w:id="23"/>
      </w:r>
      <w:r w:rsidRPr="00B06D23">
        <w:rPr>
          <w:lang w:val="es-ES"/>
        </w:rPr>
        <w:t xml:space="preserve"> de herramientas (KITH) y elementos de seguridad (KITS)  del operario que integra cada cuadrilla se presenta en el </w:t>
      </w:r>
      <w:proofErr w:type="gramStart"/>
      <w:r w:rsidR="00204436">
        <w:rPr>
          <w:lang w:val="es-ES"/>
        </w:rPr>
        <w:t>“</w:t>
      </w:r>
      <w:r w:rsidRPr="00B06D23">
        <w:rPr>
          <w:lang w:val="es-ES"/>
        </w:rPr>
        <w:t xml:space="preserve"> Anexo</w:t>
      </w:r>
      <w:proofErr w:type="gramEnd"/>
      <w:r w:rsidRPr="00B06D23">
        <w:rPr>
          <w:lang w:val="es-ES"/>
        </w:rPr>
        <w:t xml:space="preserve"> </w:t>
      </w:r>
      <w:r w:rsidR="00AD24BF">
        <w:rPr>
          <w:lang w:val="es-ES"/>
        </w:rPr>
        <w:t>C</w:t>
      </w:r>
      <w:r w:rsidR="005A6F95">
        <w:rPr>
          <w:lang w:val="es-ES"/>
        </w:rPr>
        <w:t>OMA</w:t>
      </w:r>
      <w:r w:rsidRPr="00B06D23">
        <w:rPr>
          <w:lang w:val="es-ES"/>
        </w:rPr>
        <w:t>_3 Modelo/Datos/Herramientas Cuadrillas</w:t>
      </w:r>
      <w:r w:rsidR="00204436">
        <w:rPr>
          <w:lang w:val="es-ES"/>
        </w:rPr>
        <w:t>”.</w:t>
      </w:r>
    </w:p>
    <w:p w14:paraId="3B56DCE2" w14:textId="77777777" w:rsidR="0079428C" w:rsidRPr="00B06D23" w:rsidRDefault="0079428C" w:rsidP="0079428C">
      <w:pPr>
        <w:rPr>
          <w:lang w:val="es-ES"/>
        </w:rPr>
      </w:pPr>
      <w:r w:rsidRPr="00B06D23">
        <w:rPr>
          <w:lang w:val="es-ES"/>
        </w:rPr>
        <w:t>Sobre la base de los costos señalados se calcula un costo anual de cuadrilla como la suma de los costos de personal tercerizado, vehículos, y el costo de las herramientas anualizado.</w:t>
      </w:r>
    </w:p>
    <w:p w14:paraId="0E64945C" w14:textId="4C3E28E0" w:rsidR="0079428C" w:rsidRDefault="0079428C" w:rsidP="0079428C">
      <w:pPr>
        <w:rPr>
          <w:lang w:val="es-ES"/>
        </w:rPr>
      </w:pPr>
      <w:r w:rsidRPr="00B06D23">
        <w:rPr>
          <w:lang w:val="es-ES"/>
        </w:rPr>
        <w:t>Los costos de las cuadrilla</w:t>
      </w:r>
      <w:r w:rsidR="00204436">
        <w:rPr>
          <w:lang w:val="es-ES"/>
        </w:rPr>
        <w:t>s tercerizadas que resultan son las siguientes.</w:t>
      </w:r>
    </w:p>
    <w:p w14:paraId="5B007309" w14:textId="1C1455C8" w:rsidR="00575034" w:rsidRPr="00BC38C2" w:rsidRDefault="00575034" w:rsidP="00575034">
      <w:pPr>
        <w:pStyle w:val="Subttulo"/>
      </w:pPr>
      <w:bookmarkStart w:id="267" w:name="_Toc39797937"/>
      <w:r w:rsidRPr="00BC38C2">
        <w:t xml:space="preserve">Tabla </w:t>
      </w:r>
      <w:fldSimple w:instr=" SEQ Tabla \* ARABIC ">
        <w:r w:rsidR="001F3E2E">
          <w:rPr>
            <w:noProof/>
          </w:rPr>
          <w:t>27</w:t>
        </w:r>
      </w:fldSimple>
      <w:r w:rsidR="00066916">
        <w:rPr>
          <w:noProof/>
        </w:rPr>
        <w:t>:</w:t>
      </w:r>
      <w:r w:rsidRPr="00BC38C2">
        <w:t xml:space="preserve"> </w:t>
      </w:r>
      <w:r>
        <w:t xml:space="preserve">Costo </w:t>
      </w:r>
      <w:r w:rsidR="00204436">
        <w:t>cuadrillas externalizadas</w:t>
      </w:r>
      <w:bookmarkEnd w:id="267"/>
    </w:p>
    <w:tbl>
      <w:tblPr>
        <w:tblW w:w="0" w:type="auto"/>
        <w:jc w:val="center"/>
        <w:tblLayout w:type="fixed"/>
        <w:tblCellMar>
          <w:left w:w="57" w:type="dxa"/>
          <w:right w:w="57" w:type="dxa"/>
        </w:tblCellMar>
        <w:tblLook w:val="04A0" w:firstRow="1" w:lastRow="0" w:firstColumn="1" w:lastColumn="0" w:noHBand="0" w:noVBand="1"/>
      </w:tblPr>
      <w:tblGrid>
        <w:gridCol w:w="1134"/>
        <w:gridCol w:w="1701"/>
        <w:gridCol w:w="1134"/>
        <w:gridCol w:w="1134"/>
        <w:gridCol w:w="1134"/>
        <w:gridCol w:w="1134"/>
        <w:gridCol w:w="1134"/>
        <w:gridCol w:w="1134"/>
      </w:tblGrid>
      <w:tr w:rsidR="00204436" w:rsidRPr="00B16204" w14:paraId="6EEB7A51" w14:textId="77777777" w:rsidTr="00B16204">
        <w:trPr>
          <w:jc w:val="center"/>
        </w:trPr>
        <w:tc>
          <w:tcPr>
            <w:tcW w:w="1134"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6E0CDFF6" w14:textId="01C27413" w:rsidR="00904BDA" w:rsidRPr="00B16204" w:rsidRDefault="00204436" w:rsidP="00204436">
            <w:pPr>
              <w:spacing w:after="0" w:line="240" w:lineRule="auto"/>
              <w:jc w:val="center"/>
              <w:rPr>
                <w:rFonts w:eastAsia="Times New Roman" w:cstheme="minorHAnsi"/>
                <w:b/>
                <w:bCs/>
                <w:color w:val="000000"/>
                <w:spacing w:val="-12"/>
                <w:sz w:val="20"/>
                <w:szCs w:val="20"/>
                <w:lang w:val="es-AR" w:eastAsia="es-AR"/>
              </w:rPr>
            </w:pPr>
            <w:r w:rsidRPr="00B16204">
              <w:rPr>
                <w:rFonts w:eastAsia="Times New Roman" w:cstheme="minorHAnsi"/>
                <w:b/>
                <w:bCs/>
                <w:color w:val="000000"/>
                <w:spacing w:val="-12"/>
                <w:sz w:val="20"/>
                <w:szCs w:val="20"/>
                <w:lang w:val="es-AR" w:eastAsia="es-AR"/>
              </w:rPr>
              <w:t>Código cuadrilla</w:t>
            </w:r>
          </w:p>
        </w:tc>
        <w:tc>
          <w:tcPr>
            <w:tcW w:w="1701"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7EF8DCF8" w14:textId="330B6465" w:rsidR="00904BDA" w:rsidRPr="00B16204" w:rsidRDefault="00204436" w:rsidP="00204436">
            <w:pPr>
              <w:spacing w:after="0" w:line="240" w:lineRule="auto"/>
              <w:jc w:val="center"/>
              <w:rPr>
                <w:rFonts w:eastAsia="Times New Roman" w:cstheme="minorHAnsi"/>
                <w:b/>
                <w:bCs/>
                <w:color w:val="000000"/>
                <w:spacing w:val="-12"/>
                <w:sz w:val="20"/>
                <w:szCs w:val="20"/>
                <w:lang w:val="es-AR" w:eastAsia="es-AR"/>
              </w:rPr>
            </w:pPr>
            <w:r w:rsidRPr="00B16204">
              <w:rPr>
                <w:rFonts w:eastAsia="Times New Roman" w:cstheme="minorHAnsi"/>
                <w:b/>
                <w:bCs/>
                <w:color w:val="000000"/>
                <w:spacing w:val="-12"/>
                <w:sz w:val="20"/>
                <w:szCs w:val="20"/>
                <w:lang w:val="es-AR" w:eastAsia="es-AR"/>
              </w:rPr>
              <w:t>Descripción</w:t>
            </w:r>
          </w:p>
        </w:tc>
        <w:tc>
          <w:tcPr>
            <w:tcW w:w="1134"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1C0BFC1F" w14:textId="77777777" w:rsidR="00904BDA" w:rsidRPr="00B16204" w:rsidRDefault="00904BDA" w:rsidP="00204436">
            <w:pPr>
              <w:spacing w:after="0" w:line="240" w:lineRule="auto"/>
              <w:jc w:val="center"/>
              <w:rPr>
                <w:rFonts w:eastAsia="Times New Roman" w:cstheme="minorHAnsi"/>
                <w:b/>
                <w:bCs/>
                <w:color w:val="000000"/>
                <w:spacing w:val="-12"/>
                <w:sz w:val="20"/>
                <w:szCs w:val="20"/>
                <w:lang w:val="es-AR" w:eastAsia="es-AR"/>
              </w:rPr>
            </w:pPr>
            <w:r w:rsidRPr="00B16204">
              <w:rPr>
                <w:rFonts w:eastAsia="Times New Roman" w:cstheme="minorHAnsi"/>
                <w:b/>
                <w:bCs/>
                <w:color w:val="000000"/>
                <w:spacing w:val="-12"/>
                <w:sz w:val="20"/>
                <w:szCs w:val="20"/>
                <w:lang w:val="es-AR" w:eastAsia="es-AR"/>
              </w:rPr>
              <w:t>Costo Personal</w:t>
            </w:r>
          </w:p>
          <w:p w14:paraId="2C4218FF" w14:textId="0F688282" w:rsidR="00204436" w:rsidRPr="00B16204" w:rsidRDefault="00204436" w:rsidP="00204436">
            <w:pPr>
              <w:spacing w:after="0" w:line="240" w:lineRule="auto"/>
              <w:jc w:val="center"/>
              <w:rPr>
                <w:rFonts w:eastAsia="Times New Roman" w:cstheme="minorHAnsi"/>
                <w:b/>
                <w:bCs/>
                <w:color w:val="000000"/>
                <w:spacing w:val="-12"/>
                <w:sz w:val="20"/>
                <w:szCs w:val="20"/>
                <w:lang w:val="es-AR" w:eastAsia="es-AR"/>
              </w:rPr>
            </w:pPr>
            <w:r w:rsidRPr="00B16204">
              <w:rPr>
                <w:rFonts w:eastAsia="Times New Roman" w:cstheme="minorHAnsi"/>
                <w:b/>
                <w:bCs/>
                <w:color w:val="000000"/>
                <w:spacing w:val="-12"/>
                <w:sz w:val="20"/>
                <w:szCs w:val="20"/>
                <w:lang w:val="es-AR" w:eastAsia="es-AR"/>
              </w:rPr>
              <w:t>USD/año</w:t>
            </w:r>
          </w:p>
        </w:tc>
        <w:tc>
          <w:tcPr>
            <w:tcW w:w="1134"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43DA169C" w14:textId="411C06E8" w:rsidR="00904BDA" w:rsidRPr="00B16204" w:rsidRDefault="00904BDA" w:rsidP="00204436">
            <w:pPr>
              <w:spacing w:after="0" w:line="240" w:lineRule="auto"/>
              <w:jc w:val="center"/>
              <w:rPr>
                <w:rFonts w:eastAsia="Times New Roman" w:cstheme="minorHAnsi"/>
                <w:b/>
                <w:bCs/>
                <w:color w:val="000000"/>
                <w:spacing w:val="-12"/>
                <w:sz w:val="20"/>
                <w:szCs w:val="20"/>
                <w:lang w:val="es-AR" w:eastAsia="es-AR"/>
              </w:rPr>
            </w:pPr>
            <w:r w:rsidRPr="00B16204">
              <w:rPr>
                <w:rFonts w:eastAsia="Times New Roman" w:cstheme="minorHAnsi"/>
                <w:b/>
                <w:bCs/>
                <w:color w:val="000000"/>
                <w:spacing w:val="-12"/>
                <w:sz w:val="20"/>
                <w:szCs w:val="20"/>
                <w:lang w:val="es-AR" w:eastAsia="es-AR"/>
              </w:rPr>
              <w:t xml:space="preserve">Costo </w:t>
            </w:r>
            <w:r w:rsidR="008D4432" w:rsidRPr="00B16204">
              <w:rPr>
                <w:rFonts w:eastAsia="Times New Roman" w:cstheme="minorHAnsi"/>
                <w:b/>
                <w:bCs/>
                <w:color w:val="000000"/>
                <w:spacing w:val="-12"/>
                <w:sz w:val="20"/>
                <w:szCs w:val="20"/>
                <w:lang w:val="es-AR" w:eastAsia="es-AR"/>
              </w:rPr>
              <w:t>Vehículos</w:t>
            </w:r>
          </w:p>
          <w:p w14:paraId="7EC5AEB2" w14:textId="64C2472B" w:rsidR="00204436" w:rsidRPr="00B16204" w:rsidRDefault="00204436" w:rsidP="00204436">
            <w:pPr>
              <w:spacing w:after="0" w:line="240" w:lineRule="auto"/>
              <w:jc w:val="center"/>
              <w:rPr>
                <w:rFonts w:eastAsia="Times New Roman" w:cstheme="minorHAnsi"/>
                <w:b/>
                <w:bCs/>
                <w:color w:val="000000"/>
                <w:spacing w:val="-12"/>
                <w:sz w:val="20"/>
                <w:szCs w:val="20"/>
                <w:lang w:val="es-AR" w:eastAsia="es-AR"/>
              </w:rPr>
            </w:pPr>
            <w:r w:rsidRPr="00B16204">
              <w:rPr>
                <w:rFonts w:eastAsia="Times New Roman" w:cstheme="minorHAnsi"/>
                <w:b/>
                <w:bCs/>
                <w:color w:val="000000"/>
                <w:spacing w:val="-12"/>
                <w:sz w:val="20"/>
                <w:szCs w:val="20"/>
                <w:lang w:val="es-AR" w:eastAsia="es-AR"/>
              </w:rPr>
              <w:t>USD/año</w:t>
            </w:r>
          </w:p>
        </w:tc>
        <w:tc>
          <w:tcPr>
            <w:tcW w:w="1134"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45E54BF6" w14:textId="77777777" w:rsidR="00904BDA" w:rsidRPr="00B16204" w:rsidRDefault="00904BDA" w:rsidP="00204436">
            <w:pPr>
              <w:spacing w:after="0" w:line="240" w:lineRule="auto"/>
              <w:jc w:val="center"/>
              <w:rPr>
                <w:rFonts w:eastAsia="Times New Roman" w:cstheme="minorHAnsi"/>
                <w:b/>
                <w:bCs/>
                <w:color w:val="000000"/>
                <w:spacing w:val="-12"/>
                <w:sz w:val="20"/>
                <w:szCs w:val="20"/>
                <w:lang w:val="es-AR" w:eastAsia="es-AR"/>
              </w:rPr>
            </w:pPr>
            <w:r w:rsidRPr="00B16204">
              <w:rPr>
                <w:rFonts w:eastAsia="Times New Roman" w:cstheme="minorHAnsi"/>
                <w:b/>
                <w:bCs/>
                <w:color w:val="000000"/>
                <w:spacing w:val="-12"/>
                <w:sz w:val="20"/>
                <w:szCs w:val="20"/>
                <w:lang w:val="es-AR" w:eastAsia="es-AR"/>
              </w:rPr>
              <w:t>Costo Herramientas</w:t>
            </w:r>
          </w:p>
          <w:p w14:paraId="00CBEE7C" w14:textId="0C059AD9" w:rsidR="00204436" w:rsidRPr="00B16204" w:rsidRDefault="00204436" w:rsidP="00204436">
            <w:pPr>
              <w:spacing w:after="0" w:line="240" w:lineRule="auto"/>
              <w:jc w:val="center"/>
              <w:rPr>
                <w:rFonts w:eastAsia="Times New Roman" w:cstheme="minorHAnsi"/>
                <w:b/>
                <w:bCs/>
                <w:color w:val="000000"/>
                <w:spacing w:val="-12"/>
                <w:sz w:val="20"/>
                <w:szCs w:val="20"/>
                <w:lang w:val="es-AR" w:eastAsia="es-AR"/>
              </w:rPr>
            </w:pPr>
            <w:r w:rsidRPr="00B16204">
              <w:rPr>
                <w:rFonts w:eastAsia="Times New Roman" w:cstheme="minorHAnsi"/>
                <w:b/>
                <w:bCs/>
                <w:color w:val="000000"/>
                <w:spacing w:val="-12"/>
                <w:sz w:val="20"/>
                <w:szCs w:val="20"/>
                <w:lang w:val="es-AR" w:eastAsia="es-AR"/>
              </w:rPr>
              <w:t>USD/año</w:t>
            </w:r>
          </w:p>
        </w:tc>
        <w:tc>
          <w:tcPr>
            <w:tcW w:w="1134"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7ECDB460" w14:textId="77777777" w:rsidR="00904BDA" w:rsidRPr="00B16204" w:rsidRDefault="00904BDA" w:rsidP="00204436">
            <w:pPr>
              <w:spacing w:after="0" w:line="240" w:lineRule="auto"/>
              <w:jc w:val="center"/>
              <w:rPr>
                <w:rFonts w:eastAsia="Times New Roman" w:cstheme="minorHAnsi"/>
                <w:b/>
                <w:bCs/>
                <w:color w:val="000000"/>
                <w:spacing w:val="-12"/>
                <w:sz w:val="20"/>
                <w:szCs w:val="20"/>
                <w:lang w:val="es-AR" w:eastAsia="es-AR"/>
              </w:rPr>
            </w:pPr>
            <w:r w:rsidRPr="00B16204">
              <w:rPr>
                <w:rFonts w:eastAsia="Times New Roman" w:cstheme="minorHAnsi"/>
                <w:b/>
                <w:bCs/>
                <w:color w:val="000000"/>
                <w:spacing w:val="-12"/>
                <w:sz w:val="20"/>
                <w:szCs w:val="20"/>
                <w:lang w:val="es-AR" w:eastAsia="es-AR"/>
              </w:rPr>
              <w:t>Costo Cuadrilla</w:t>
            </w:r>
          </w:p>
          <w:p w14:paraId="2A88BC47" w14:textId="1F75AE83" w:rsidR="00204436" w:rsidRPr="00B16204" w:rsidRDefault="00204436" w:rsidP="00204436">
            <w:pPr>
              <w:spacing w:after="0" w:line="240" w:lineRule="auto"/>
              <w:jc w:val="center"/>
              <w:rPr>
                <w:rFonts w:eastAsia="Times New Roman" w:cstheme="minorHAnsi"/>
                <w:b/>
                <w:bCs/>
                <w:color w:val="000000"/>
                <w:spacing w:val="-12"/>
                <w:sz w:val="20"/>
                <w:szCs w:val="20"/>
                <w:lang w:val="es-AR" w:eastAsia="es-AR"/>
              </w:rPr>
            </w:pPr>
            <w:r w:rsidRPr="00B16204">
              <w:rPr>
                <w:rFonts w:eastAsia="Times New Roman" w:cstheme="minorHAnsi"/>
                <w:b/>
                <w:bCs/>
                <w:color w:val="000000"/>
                <w:spacing w:val="-12"/>
                <w:sz w:val="20"/>
                <w:szCs w:val="20"/>
                <w:lang w:val="es-AR" w:eastAsia="es-AR"/>
              </w:rPr>
              <w:t>USD/año</w:t>
            </w:r>
          </w:p>
        </w:tc>
        <w:tc>
          <w:tcPr>
            <w:tcW w:w="1134"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25AB7AEA" w14:textId="77777777" w:rsidR="00904BDA" w:rsidRPr="00B16204" w:rsidRDefault="00904BDA" w:rsidP="00204436">
            <w:pPr>
              <w:spacing w:after="0" w:line="240" w:lineRule="auto"/>
              <w:jc w:val="center"/>
              <w:rPr>
                <w:rFonts w:eastAsia="Times New Roman" w:cstheme="minorHAnsi"/>
                <w:b/>
                <w:bCs/>
                <w:color w:val="000000"/>
                <w:spacing w:val="-12"/>
                <w:sz w:val="20"/>
                <w:szCs w:val="20"/>
                <w:lang w:val="es-AR" w:eastAsia="es-AR"/>
              </w:rPr>
            </w:pPr>
            <w:r w:rsidRPr="00B16204">
              <w:rPr>
                <w:rFonts w:eastAsia="Times New Roman" w:cstheme="minorHAnsi"/>
                <w:b/>
                <w:bCs/>
                <w:color w:val="000000"/>
                <w:spacing w:val="-12"/>
                <w:sz w:val="20"/>
                <w:szCs w:val="20"/>
                <w:lang w:val="es-AR" w:eastAsia="es-AR"/>
              </w:rPr>
              <w:t>Pernocte</w:t>
            </w:r>
          </w:p>
          <w:p w14:paraId="5AABB03B" w14:textId="1B0EE22B" w:rsidR="00204436" w:rsidRPr="00B16204" w:rsidRDefault="00204436" w:rsidP="00204436">
            <w:pPr>
              <w:spacing w:after="0" w:line="240" w:lineRule="auto"/>
              <w:jc w:val="center"/>
              <w:rPr>
                <w:rFonts w:eastAsia="Times New Roman" w:cstheme="minorHAnsi"/>
                <w:b/>
                <w:bCs/>
                <w:color w:val="000000"/>
                <w:spacing w:val="-12"/>
                <w:sz w:val="20"/>
                <w:szCs w:val="20"/>
                <w:lang w:val="es-AR" w:eastAsia="es-AR"/>
              </w:rPr>
            </w:pPr>
            <w:r w:rsidRPr="00B16204">
              <w:rPr>
                <w:rFonts w:eastAsia="Times New Roman" w:cstheme="minorHAnsi"/>
                <w:b/>
                <w:bCs/>
                <w:color w:val="000000"/>
                <w:spacing w:val="-12"/>
                <w:sz w:val="20"/>
                <w:szCs w:val="20"/>
                <w:lang w:val="es-AR" w:eastAsia="es-AR"/>
              </w:rPr>
              <w:t>USD/noche</w:t>
            </w:r>
          </w:p>
        </w:tc>
        <w:tc>
          <w:tcPr>
            <w:tcW w:w="1134"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56A36F5B" w14:textId="77777777" w:rsidR="00904BDA" w:rsidRPr="00B16204" w:rsidRDefault="00904BDA" w:rsidP="00204436">
            <w:pPr>
              <w:spacing w:after="0" w:line="240" w:lineRule="auto"/>
              <w:jc w:val="center"/>
              <w:rPr>
                <w:rFonts w:eastAsia="Times New Roman" w:cstheme="minorHAnsi"/>
                <w:b/>
                <w:bCs/>
                <w:color w:val="000000"/>
                <w:spacing w:val="-12"/>
                <w:sz w:val="20"/>
                <w:szCs w:val="20"/>
                <w:lang w:val="es-AR" w:eastAsia="es-AR"/>
              </w:rPr>
            </w:pPr>
            <w:r w:rsidRPr="00B16204">
              <w:rPr>
                <w:rFonts w:eastAsia="Times New Roman" w:cstheme="minorHAnsi"/>
                <w:b/>
                <w:bCs/>
                <w:color w:val="000000"/>
                <w:spacing w:val="-12"/>
                <w:sz w:val="20"/>
                <w:szCs w:val="20"/>
                <w:lang w:val="es-AR" w:eastAsia="es-AR"/>
              </w:rPr>
              <w:t>Costo Combustible/Peajes</w:t>
            </w:r>
          </w:p>
          <w:p w14:paraId="0794B4DF" w14:textId="6C069DBB" w:rsidR="00204436" w:rsidRPr="00B16204" w:rsidRDefault="00204436" w:rsidP="00204436">
            <w:pPr>
              <w:spacing w:after="0" w:line="240" w:lineRule="auto"/>
              <w:jc w:val="center"/>
              <w:rPr>
                <w:rFonts w:eastAsia="Times New Roman" w:cstheme="minorHAnsi"/>
                <w:b/>
                <w:bCs/>
                <w:color w:val="000000"/>
                <w:spacing w:val="-12"/>
                <w:sz w:val="20"/>
                <w:szCs w:val="20"/>
                <w:lang w:val="es-AR" w:eastAsia="es-AR"/>
              </w:rPr>
            </w:pPr>
            <w:r w:rsidRPr="00B16204">
              <w:rPr>
                <w:rFonts w:eastAsia="Times New Roman" w:cstheme="minorHAnsi"/>
                <w:b/>
                <w:bCs/>
                <w:color w:val="000000"/>
                <w:spacing w:val="-12"/>
                <w:sz w:val="20"/>
                <w:szCs w:val="20"/>
                <w:lang w:val="es-AR" w:eastAsia="es-AR"/>
              </w:rPr>
              <w:t>USD/km</w:t>
            </w:r>
          </w:p>
        </w:tc>
      </w:tr>
      <w:tr w:rsidR="00204436" w:rsidRPr="00B16204" w14:paraId="253AE6B3" w14:textId="77777777" w:rsidTr="00B16204">
        <w:trPr>
          <w:jc w:val="center"/>
        </w:trPr>
        <w:tc>
          <w:tcPr>
            <w:tcW w:w="1134" w:type="dxa"/>
            <w:tcBorders>
              <w:top w:val="nil"/>
              <w:left w:val="single" w:sz="4" w:space="0" w:color="auto"/>
              <w:bottom w:val="single" w:sz="4" w:space="0" w:color="auto"/>
              <w:right w:val="single" w:sz="4" w:space="0" w:color="auto"/>
            </w:tcBorders>
            <w:shd w:val="clear" w:color="auto" w:fill="auto"/>
            <w:noWrap/>
            <w:vAlign w:val="center"/>
            <w:hideMark/>
          </w:tcPr>
          <w:p w14:paraId="1D71FE16" w14:textId="77777777" w:rsidR="00904BDA" w:rsidRPr="00B16204" w:rsidRDefault="00904BDA" w:rsidP="00B16204">
            <w:pPr>
              <w:spacing w:after="0" w:line="192" w:lineRule="auto"/>
              <w:jc w:val="left"/>
              <w:rPr>
                <w:rFonts w:eastAsia="Times New Roman" w:cstheme="minorHAnsi"/>
                <w:b/>
                <w:bCs/>
                <w:color w:val="000000"/>
                <w:sz w:val="20"/>
                <w:szCs w:val="20"/>
                <w:lang w:val="es-AR" w:eastAsia="es-AR"/>
              </w:rPr>
            </w:pPr>
            <w:r w:rsidRPr="00B16204">
              <w:rPr>
                <w:rFonts w:eastAsia="Times New Roman" w:cstheme="minorHAnsi"/>
                <w:b/>
                <w:bCs/>
                <w:color w:val="000000"/>
                <w:sz w:val="20"/>
                <w:szCs w:val="20"/>
                <w:lang w:val="es-AR" w:eastAsia="es-AR"/>
              </w:rPr>
              <w:t>CMINP</w:t>
            </w:r>
          </w:p>
        </w:tc>
        <w:tc>
          <w:tcPr>
            <w:tcW w:w="1701" w:type="dxa"/>
            <w:tcBorders>
              <w:top w:val="nil"/>
              <w:left w:val="nil"/>
              <w:bottom w:val="single" w:sz="4" w:space="0" w:color="auto"/>
              <w:right w:val="single" w:sz="4" w:space="0" w:color="auto"/>
            </w:tcBorders>
            <w:shd w:val="clear" w:color="000000" w:fill="FFFFFF"/>
            <w:noWrap/>
            <w:vAlign w:val="center"/>
            <w:hideMark/>
          </w:tcPr>
          <w:p w14:paraId="392D416C" w14:textId="77777777" w:rsidR="00904BDA" w:rsidRPr="00B16204" w:rsidRDefault="00904BDA" w:rsidP="00B16204">
            <w:pPr>
              <w:spacing w:after="0" w:line="192" w:lineRule="auto"/>
              <w:jc w:val="left"/>
              <w:rPr>
                <w:rFonts w:eastAsia="Times New Roman" w:cstheme="minorHAnsi"/>
                <w:color w:val="000000"/>
                <w:sz w:val="20"/>
                <w:szCs w:val="20"/>
                <w:lang w:val="es-AR" w:eastAsia="es-AR"/>
              </w:rPr>
            </w:pPr>
            <w:r w:rsidRPr="00B16204">
              <w:rPr>
                <w:rFonts w:eastAsia="Times New Roman" w:cstheme="minorHAnsi"/>
                <w:color w:val="000000"/>
                <w:sz w:val="20"/>
                <w:szCs w:val="20"/>
                <w:lang w:val="es-AR" w:eastAsia="es-AR"/>
              </w:rPr>
              <w:t>Inspección pedestre de Líneas Aéreas</w:t>
            </w:r>
          </w:p>
        </w:tc>
        <w:tc>
          <w:tcPr>
            <w:tcW w:w="1134" w:type="dxa"/>
            <w:tcBorders>
              <w:top w:val="nil"/>
              <w:left w:val="nil"/>
              <w:bottom w:val="single" w:sz="4" w:space="0" w:color="auto"/>
              <w:right w:val="single" w:sz="4" w:space="0" w:color="auto"/>
            </w:tcBorders>
            <w:shd w:val="clear" w:color="auto" w:fill="auto"/>
            <w:noWrap/>
            <w:vAlign w:val="center"/>
            <w:hideMark/>
          </w:tcPr>
          <w:p w14:paraId="1833A540" w14:textId="77777777" w:rsidR="00904BDA" w:rsidRPr="00B16204" w:rsidRDefault="00904BDA" w:rsidP="00B16204">
            <w:pPr>
              <w:spacing w:after="0" w:line="192" w:lineRule="auto"/>
              <w:jc w:val="right"/>
              <w:rPr>
                <w:rFonts w:eastAsia="Times New Roman" w:cstheme="minorHAnsi"/>
                <w:color w:val="000000"/>
                <w:sz w:val="20"/>
                <w:szCs w:val="20"/>
                <w:lang w:val="es-AR" w:eastAsia="es-AR"/>
              </w:rPr>
            </w:pPr>
            <w:r w:rsidRPr="00B16204">
              <w:rPr>
                <w:rFonts w:eastAsia="Times New Roman" w:cstheme="minorHAnsi"/>
                <w:color w:val="000000"/>
                <w:sz w:val="20"/>
                <w:szCs w:val="20"/>
                <w:lang w:val="es-AR" w:eastAsia="es-AR"/>
              </w:rPr>
              <w:t>51.144</w:t>
            </w:r>
          </w:p>
        </w:tc>
        <w:tc>
          <w:tcPr>
            <w:tcW w:w="1134" w:type="dxa"/>
            <w:tcBorders>
              <w:top w:val="nil"/>
              <w:left w:val="nil"/>
              <w:bottom w:val="single" w:sz="4" w:space="0" w:color="auto"/>
              <w:right w:val="single" w:sz="4" w:space="0" w:color="auto"/>
            </w:tcBorders>
            <w:shd w:val="clear" w:color="auto" w:fill="auto"/>
            <w:noWrap/>
            <w:vAlign w:val="center"/>
            <w:hideMark/>
          </w:tcPr>
          <w:p w14:paraId="10575A00" w14:textId="77777777" w:rsidR="00904BDA" w:rsidRPr="00B16204" w:rsidRDefault="00904BDA" w:rsidP="00B16204">
            <w:pPr>
              <w:spacing w:after="0" w:line="192" w:lineRule="auto"/>
              <w:jc w:val="right"/>
              <w:rPr>
                <w:rFonts w:eastAsia="Times New Roman" w:cstheme="minorHAnsi"/>
                <w:color w:val="000000"/>
                <w:sz w:val="20"/>
                <w:szCs w:val="20"/>
                <w:lang w:val="es-AR" w:eastAsia="es-AR"/>
              </w:rPr>
            </w:pPr>
            <w:r w:rsidRPr="00B16204">
              <w:rPr>
                <w:rFonts w:eastAsia="Times New Roman" w:cstheme="minorHAnsi"/>
                <w:color w:val="000000"/>
                <w:sz w:val="20"/>
                <w:szCs w:val="20"/>
                <w:lang w:val="es-AR" w:eastAsia="es-AR"/>
              </w:rPr>
              <w:t>11.070</w:t>
            </w:r>
          </w:p>
        </w:tc>
        <w:tc>
          <w:tcPr>
            <w:tcW w:w="1134" w:type="dxa"/>
            <w:tcBorders>
              <w:top w:val="nil"/>
              <w:left w:val="nil"/>
              <w:bottom w:val="single" w:sz="4" w:space="0" w:color="auto"/>
              <w:right w:val="single" w:sz="4" w:space="0" w:color="auto"/>
            </w:tcBorders>
            <w:shd w:val="clear" w:color="auto" w:fill="auto"/>
            <w:noWrap/>
            <w:vAlign w:val="center"/>
            <w:hideMark/>
          </w:tcPr>
          <w:p w14:paraId="02246C00" w14:textId="77777777" w:rsidR="00904BDA" w:rsidRPr="00B16204" w:rsidRDefault="00904BDA" w:rsidP="00B16204">
            <w:pPr>
              <w:spacing w:after="0" w:line="192" w:lineRule="auto"/>
              <w:jc w:val="right"/>
              <w:rPr>
                <w:rFonts w:eastAsia="Times New Roman" w:cstheme="minorHAnsi"/>
                <w:color w:val="000000"/>
                <w:sz w:val="20"/>
                <w:szCs w:val="20"/>
                <w:lang w:val="es-AR" w:eastAsia="es-AR"/>
              </w:rPr>
            </w:pPr>
            <w:r w:rsidRPr="00B16204">
              <w:rPr>
                <w:rFonts w:eastAsia="Times New Roman" w:cstheme="minorHAnsi"/>
                <w:color w:val="000000"/>
                <w:sz w:val="20"/>
                <w:szCs w:val="20"/>
                <w:lang w:val="es-AR" w:eastAsia="es-AR"/>
              </w:rPr>
              <w:t>13.370</w:t>
            </w:r>
          </w:p>
        </w:tc>
        <w:tc>
          <w:tcPr>
            <w:tcW w:w="1134" w:type="dxa"/>
            <w:tcBorders>
              <w:top w:val="nil"/>
              <w:left w:val="nil"/>
              <w:bottom w:val="single" w:sz="4" w:space="0" w:color="auto"/>
              <w:right w:val="single" w:sz="4" w:space="0" w:color="auto"/>
            </w:tcBorders>
            <w:shd w:val="clear" w:color="auto" w:fill="auto"/>
            <w:noWrap/>
            <w:vAlign w:val="center"/>
            <w:hideMark/>
          </w:tcPr>
          <w:p w14:paraId="4A4FDFBE" w14:textId="77777777" w:rsidR="00904BDA" w:rsidRPr="00B16204" w:rsidRDefault="00904BDA" w:rsidP="00B16204">
            <w:pPr>
              <w:spacing w:after="0" w:line="192" w:lineRule="auto"/>
              <w:jc w:val="right"/>
              <w:rPr>
                <w:rFonts w:eastAsia="Times New Roman" w:cstheme="minorHAnsi"/>
                <w:color w:val="000000"/>
                <w:sz w:val="20"/>
                <w:szCs w:val="20"/>
                <w:lang w:val="es-AR" w:eastAsia="es-AR"/>
              </w:rPr>
            </w:pPr>
            <w:r w:rsidRPr="00B16204">
              <w:rPr>
                <w:rFonts w:eastAsia="Times New Roman" w:cstheme="minorHAnsi"/>
                <w:color w:val="000000"/>
                <w:sz w:val="20"/>
                <w:szCs w:val="20"/>
                <w:lang w:val="es-AR" w:eastAsia="es-AR"/>
              </w:rPr>
              <w:t>75.584</w:t>
            </w:r>
          </w:p>
        </w:tc>
        <w:tc>
          <w:tcPr>
            <w:tcW w:w="1134" w:type="dxa"/>
            <w:tcBorders>
              <w:top w:val="nil"/>
              <w:left w:val="nil"/>
              <w:bottom w:val="single" w:sz="4" w:space="0" w:color="auto"/>
              <w:right w:val="single" w:sz="4" w:space="0" w:color="auto"/>
            </w:tcBorders>
            <w:shd w:val="clear" w:color="auto" w:fill="auto"/>
            <w:noWrap/>
            <w:vAlign w:val="center"/>
            <w:hideMark/>
          </w:tcPr>
          <w:p w14:paraId="75474826" w14:textId="77777777" w:rsidR="00904BDA" w:rsidRPr="00B16204" w:rsidRDefault="00904BDA" w:rsidP="00B16204">
            <w:pPr>
              <w:spacing w:after="0" w:line="192" w:lineRule="auto"/>
              <w:jc w:val="right"/>
              <w:rPr>
                <w:rFonts w:eastAsia="Times New Roman" w:cstheme="minorHAnsi"/>
                <w:color w:val="000000"/>
                <w:sz w:val="20"/>
                <w:szCs w:val="20"/>
                <w:lang w:val="es-AR" w:eastAsia="es-AR"/>
              </w:rPr>
            </w:pPr>
            <w:r w:rsidRPr="00B16204">
              <w:rPr>
                <w:rFonts w:eastAsia="Times New Roman" w:cstheme="minorHAnsi"/>
                <w:color w:val="000000"/>
                <w:sz w:val="20"/>
                <w:szCs w:val="20"/>
                <w:lang w:val="es-AR" w:eastAsia="es-AR"/>
              </w:rPr>
              <w:t>238</w:t>
            </w:r>
          </w:p>
        </w:tc>
        <w:tc>
          <w:tcPr>
            <w:tcW w:w="1134" w:type="dxa"/>
            <w:tcBorders>
              <w:top w:val="nil"/>
              <w:left w:val="nil"/>
              <w:bottom w:val="single" w:sz="4" w:space="0" w:color="auto"/>
              <w:right w:val="single" w:sz="4" w:space="0" w:color="auto"/>
            </w:tcBorders>
            <w:shd w:val="clear" w:color="auto" w:fill="auto"/>
            <w:noWrap/>
            <w:vAlign w:val="center"/>
            <w:hideMark/>
          </w:tcPr>
          <w:p w14:paraId="4AA7DFA0" w14:textId="77777777" w:rsidR="00904BDA" w:rsidRPr="00B16204" w:rsidRDefault="00904BDA" w:rsidP="00B16204">
            <w:pPr>
              <w:spacing w:after="0" w:line="192" w:lineRule="auto"/>
              <w:jc w:val="right"/>
              <w:rPr>
                <w:rFonts w:eastAsia="Times New Roman" w:cstheme="minorHAnsi"/>
                <w:color w:val="000000"/>
                <w:sz w:val="20"/>
                <w:szCs w:val="20"/>
                <w:lang w:val="es-AR" w:eastAsia="es-AR"/>
              </w:rPr>
            </w:pPr>
            <w:r w:rsidRPr="00B16204">
              <w:rPr>
                <w:rFonts w:eastAsia="Times New Roman" w:cstheme="minorHAnsi"/>
                <w:color w:val="000000"/>
                <w:sz w:val="20"/>
                <w:szCs w:val="20"/>
                <w:lang w:val="es-AR" w:eastAsia="es-AR"/>
              </w:rPr>
              <w:t>0,15</w:t>
            </w:r>
          </w:p>
        </w:tc>
      </w:tr>
      <w:tr w:rsidR="00204436" w:rsidRPr="00B16204" w14:paraId="3147867D" w14:textId="77777777" w:rsidTr="00B16204">
        <w:trPr>
          <w:jc w:val="center"/>
        </w:trPr>
        <w:tc>
          <w:tcPr>
            <w:tcW w:w="1134" w:type="dxa"/>
            <w:tcBorders>
              <w:top w:val="nil"/>
              <w:left w:val="single" w:sz="4" w:space="0" w:color="auto"/>
              <w:bottom w:val="single" w:sz="4" w:space="0" w:color="auto"/>
              <w:right w:val="single" w:sz="4" w:space="0" w:color="auto"/>
            </w:tcBorders>
            <w:shd w:val="clear" w:color="auto" w:fill="auto"/>
            <w:noWrap/>
            <w:vAlign w:val="center"/>
            <w:hideMark/>
          </w:tcPr>
          <w:p w14:paraId="5FB1383E" w14:textId="77777777" w:rsidR="00904BDA" w:rsidRPr="00B16204" w:rsidRDefault="00904BDA" w:rsidP="00B16204">
            <w:pPr>
              <w:spacing w:after="0" w:line="192" w:lineRule="auto"/>
              <w:jc w:val="left"/>
              <w:rPr>
                <w:rFonts w:eastAsia="Times New Roman" w:cstheme="minorHAnsi"/>
                <w:b/>
                <w:bCs/>
                <w:color w:val="000000"/>
                <w:sz w:val="20"/>
                <w:szCs w:val="20"/>
                <w:lang w:val="es-AR" w:eastAsia="es-AR"/>
              </w:rPr>
            </w:pPr>
            <w:r w:rsidRPr="00B16204">
              <w:rPr>
                <w:rFonts w:eastAsia="Times New Roman" w:cstheme="minorHAnsi"/>
                <w:b/>
                <w:bCs/>
                <w:color w:val="000000"/>
                <w:sz w:val="20"/>
                <w:szCs w:val="20"/>
                <w:lang w:val="es-AR" w:eastAsia="es-AR"/>
              </w:rPr>
              <w:t>CMLVA</w:t>
            </w:r>
          </w:p>
        </w:tc>
        <w:tc>
          <w:tcPr>
            <w:tcW w:w="1701" w:type="dxa"/>
            <w:tcBorders>
              <w:top w:val="nil"/>
              <w:left w:val="nil"/>
              <w:bottom w:val="single" w:sz="4" w:space="0" w:color="auto"/>
              <w:right w:val="single" w:sz="4" w:space="0" w:color="auto"/>
            </w:tcBorders>
            <w:shd w:val="clear" w:color="000000" w:fill="FFFFFF"/>
            <w:noWrap/>
            <w:vAlign w:val="center"/>
            <w:hideMark/>
          </w:tcPr>
          <w:p w14:paraId="2CC78CD9" w14:textId="77777777" w:rsidR="00904BDA" w:rsidRPr="00B16204" w:rsidRDefault="00904BDA" w:rsidP="00B16204">
            <w:pPr>
              <w:spacing w:after="0" w:line="192" w:lineRule="auto"/>
              <w:jc w:val="left"/>
              <w:rPr>
                <w:rFonts w:eastAsia="Times New Roman" w:cstheme="minorHAnsi"/>
                <w:color w:val="000000"/>
                <w:sz w:val="20"/>
                <w:szCs w:val="20"/>
                <w:lang w:val="es-AR" w:eastAsia="es-AR"/>
              </w:rPr>
            </w:pPr>
            <w:r w:rsidRPr="00B16204">
              <w:rPr>
                <w:rFonts w:eastAsia="Times New Roman" w:cstheme="minorHAnsi"/>
                <w:color w:val="000000"/>
                <w:sz w:val="20"/>
                <w:szCs w:val="20"/>
                <w:lang w:val="es-AR" w:eastAsia="es-AR"/>
              </w:rPr>
              <w:t>Lavado de aisladores con tensión</w:t>
            </w:r>
          </w:p>
        </w:tc>
        <w:tc>
          <w:tcPr>
            <w:tcW w:w="1134" w:type="dxa"/>
            <w:tcBorders>
              <w:top w:val="nil"/>
              <w:left w:val="nil"/>
              <w:bottom w:val="single" w:sz="4" w:space="0" w:color="auto"/>
              <w:right w:val="single" w:sz="4" w:space="0" w:color="auto"/>
            </w:tcBorders>
            <w:shd w:val="clear" w:color="auto" w:fill="auto"/>
            <w:noWrap/>
            <w:vAlign w:val="center"/>
            <w:hideMark/>
          </w:tcPr>
          <w:p w14:paraId="7E733100" w14:textId="77777777" w:rsidR="00904BDA" w:rsidRPr="00B16204" w:rsidRDefault="00904BDA" w:rsidP="00B16204">
            <w:pPr>
              <w:spacing w:after="0" w:line="192" w:lineRule="auto"/>
              <w:jc w:val="right"/>
              <w:rPr>
                <w:rFonts w:eastAsia="Times New Roman" w:cstheme="minorHAnsi"/>
                <w:color w:val="000000"/>
                <w:sz w:val="20"/>
                <w:szCs w:val="20"/>
                <w:lang w:val="es-AR" w:eastAsia="es-AR"/>
              </w:rPr>
            </w:pPr>
            <w:r w:rsidRPr="00B16204">
              <w:rPr>
                <w:rFonts w:eastAsia="Times New Roman" w:cstheme="minorHAnsi"/>
                <w:color w:val="000000"/>
                <w:sz w:val="20"/>
                <w:szCs w:val="20"/>
                <w:lang w:val="es-AR" w:eastAsia="es-AR"/>
              </w:rPr>
              <w:t>64.993</w:t>
            </w:r>
          </w:p>
        </w:tc>
        <w:tc>
          <w:tcPr>
            <w:tcW w:w="1134" w:type="dxa"/>
            <w:tcBorders>
              <w:top w:val="nil"/>
              <w:left w:val="nil"/>
              <w:bottom w:val="single" w:sz="4" w:space="0" w:color="auto"/>
              <w:right w:val="single" w:sz="4" w:space="0" w:color="auto"/>
            </w:tcBorders>
            <w:shd w:val="clear" w:color="auto" w:fill="auto"/>
            <w:noWrap/>
            <w:vAlign w:val="center"/>
            <w:hideMark/>
          </w:tcPr>
          <w:p w14:paraId="242BDAD7" w14:textId="77777777" w:rsidR="00904BDA" w:rsidRPr="00B16204" w:rsidRDefault="00904BDA" w:rsidP="00B16204">
            <w:pPr>
              <w:spacing w:after="0" w:line="192" w:lineRule="auto"/>
              <w:jc w:val="right"/>
              <w:rPr>
                <w:rFonts w:eastAsia="Times New Roman" w:cstheme="minorHAnsi"/>
                <w:color w:val="000000"/>
                <w:sz w:val="20"/>
                <w:szCs w:val="20"/>
                <w:lang w:val="es-AR" w:eastAsia="es-AR"/>
              </w:rPr>
            </w:pPr>
            <w:r w:rsidRPr="00B16204">
              <w:rPr>
                <w:rFonts w:eastAsia="Times New Roman" w:cstheme="minorHAnsi"/>
                <w:color w:val="000000"/>
                <w:sz w:val="20"/>
                <w:szCs w:val="20"/>
                <w:lang w:val="es-AR" w:eastAsia="es-AR"/>
              </w:rPr>
              <w:t>152.046</w:t>
            </w:r>
          </w:p>
        </w:tc>
        <w:tc>
          <w:tcPr>
            <w:tcW w:w="1134" w:type="dxa"/>
            <w:tcBorders>
              <w:top w:val="nil"/>
              <w:left w:val="nil"/>
              <w:bottom w:val="single" w:sz="4" w:space="0" w:color="auto"/>
              <w:right w:val="single" w:sz="4" w:space="0" w:color="auto"/>
            </w:tcBorders>
            <w:shd w:val="clear" w:color="auto" w:fill="auto"/>
            <w:noWrap/>
            <w:vAlign w:val="center"/>
            <w:hideMark/>
          </w:tcPr>
          <w:p w14:paraId="41773E1A" w14:textId="77777777" w:rsidR="00904BDA" w:rsidRPr="00B16204" w:rsidRDefault="00904BDA" w:rsidP="00B16204">
            <w:pPr>
              <w:spacing w:after="0" w:line="192" w:lineRule="auto"/>
              <w:jc w:val="right"/>
              <w:rPr>
                <w:rFonts w:eastAsia="Times New Roman" w:cstheme="minorHAnsi"/>
                <w:color w:val="000000"/>
                <w:sz w:val="20"/>
                <w:szCs w:val="20"/>
                <w:lang w:val="es-AR" w:eastAsia="es-AR"/>
              </w:rPr>
            </w:pPr>
            <w:r w:rsidRPr="00B16204">
              <w:rPr>
                <w:rFonts w:eastAsia="Times New Roman" w:cstheme="minorHAnsi"/>
                <w:color w:val="000000"/>
                <w:sz w:val="20"/>
                <w:szCs w:val="20"/>
                <w:lang w:val="es-AR" w:eastAsia="es-AR"/>
              </w:rPr>
              <w:t>1.219</w:t>
            </w:r>
          </w:p>
        </w:tc>
        <w:tc>
          <w:tcPr>
            <w:tcW w:w="1134" w:type="dxa"/>
            <w:tcBorders>
              <w:top w:val="nil"/>
              <w:left w:val="nil"/>
              <w:bottom w:val="single" w:sz="4" w:space="0" w:color="auto"/>
              <w:right w:val="single" w:sz="4" w:space="0" w:color="auto"/>
            </w:tcBorders>
            <w:shd w:val="clear" w:color="auto" w:fill="auto"/>
            <w:noWrap/>
            <w:vAlign w:val="center"/>
            <w:hideMark/>
          </w:tcPr>
          <w:p w14:paraId="169636AD" w14:textId="77777777" w:rsidR="00904BDA" w:rsidRPr="00B16204" w:rsidRDefault="00904BDA" w:rsidP="00B16204">
            <w:pPr>
              <w:spacing w:after="0" w:line="192" w:lineRule="auto"/>
              <w:jc w:val="right"/>
              <w:rPr>
                <w:rFonts w:eastAsia="Times New Roman" w:cstheme="minorHAnsi"/>
                <w:color w:val="000000"/>
                <w:sz w:val="20"/>
                <w:szCs w:val="20"/>
                <w:lang w:val="es-AR" w:eastAsia="es-AR"/>
              </w:rPr>
            </w:pPr>
            <w:r w:rsidRPr="00B16204">
              <w:rPr>
                <w:rFonts w:eastAsia="Times New Roman" w:cstheme="minorHAnsi"/>
                <w:color w:val="000000"/>
                <w:sz w:val="20"/>
                <w:szCs w:val="20"/>
                <w:lang w:val="es-AR" w:eastAsia="es-AR"/>
              </w:rPr>
              <w:t>218.257</w:t>
            </w:r>
          </w:p>
        </w:tc>
        <w:tc>
          <w:tcPr>
            <w:tcW w:w="1134" w:type="dxa"/>
            <w:tcBorders>
              <w:top w:val="nil"/>
              <w:left w:val="nil"/>
              <w:bottom w:val="single" w:sz="4" w:space="0" w:color="auto"/>
              <w:right w:val="single" w:sz="4" w:space="0" w:color="auto"/>
            </w:tcBorders>
            <w:shd w:val="clear" w:color="auto" w:fill="auto"/>
            <w:noWrap/>
            <w:vAlign w:val="center"/>
            <w:hideMark/>
          </w:tcPr>
          <w:p w14:paraId="1BBC4C6A" w14:textId="77777777" w:rsidR="00904BDA" w:rsidRPr="00B16204" w:rsidRDefault="00904BDA" w:rsidP="00B16204">
            <w:pPr>
              <w:spacing w:after="0" w:line="192" w:lineRule="auto"/>
              <w:jc w:val="right"/>
              <w:rPr>
                <w:rFonts w:eastAsia="Times New Roman" w:cstheme="minorHAnsi"/>
                <w:color w:val="000000"/>
                <w:sz w:val="20"/>
                <w:szCs w:val="20"/>
                <w:lang w:val="es-AR" w:eastAsia="es-AR"/>
              </w:rPr>
            </w:pPr>
            <w:r w:rsidRPr="00B16204">
              <w:rPr>
                <w:rFonts w:eastAsia="Times New Roman" w:cstheme="minorHAnsi"/>
                <w:color w:val="000000"/>
                <w:sz w:val="20"/>
                <w:szCs w:val="20"/>
                <w:lang w:val="es-AR" w:eastAsia="es-AR"/>
              </w:rPr>
              <w:t>317</w:t>
            </w:r>
          </w:p>
        </w:tc>
        <w:tc>
          <w:tcPr>
            <w:tcW w:w="1134" w:type="dxa"/>
            <w:tcBorders>
              <w:top w:val="nil"/>
              <w:left w:val="nil"/>
              <w:bottom w:val="single" w:sz="4" w:space="0" w:color="auto"/>
              <w:right w:val="single" w:sz="4" w:space="0" w:color="auto"/>
            </w:tcBorders>
            <w:shd w:val="clear" w:color="auto" w:fill="auto"/>
            <w:noWrap/>
            <w:vAlign w:val="center"/>
            <w:hideMark/>
          </w:tcPr>
          <w:p w14:paraId="21CC2F83" w14:textId="77777777" w:rsidR="00904BDA" w:rsidRPr="00B16204" w:rsidRDefault="00904BDA" w:rsidP="00B16204">
            <w:pPr>
              <w:spacing w:after="0" w:line="192" w:lineRule="auto"/>
              <w:jc w:val="right"/>
              <w:rPr>
                <w:rFonts w:eastAsia="Times New Roman" w:cstheme="minorHAnsi"/>
                <w:color w:val="000000"/>
                <w:sz w:val="20"/>
                <w:szCs w:val="20"/>
                <w:lang w:val="es-AR" w:eastAsia="es-AR"/>
              </w:rPr>
            </w:pPr>
            <w:r w:rsidRPr="00B16204">
              <w:rPr>
                <w:rFonts w:eastAsia="Times New Roman" w:cstheme="minorHAnsi"/>
                <w:color w:val="000000"/>
                <w:sz w:val="20"/>
                <w:szCs w:val="20"/>
                <w:lang w:val="es-AR" w:eastAsia="es-AR"/>
              </w:rPr>
              <w:t>0,31</w:t>
            </w:r>
          </w:p>
        </w:tc>
      </w:tr>
      <w:tr w:rsidR="00204436" w:rsidRPr="00B16204" w14:paraId="50D785FE" w14:textId="77777777" w:rsidTr="00B16204">
        <w:trPr>
          <w:jc w:val="center"/>
        </w:trPr>
        <w:tc>
          <w:tcPr>
            <w:tcW w:w="1134" w:type="dxa"/>
            <w:tcBorders>
              <w:top w:val="nil"/>
              <w:left w:val="single" w:sz="4" w:space="0" w:color="auto"/>
              <w:bottom w:val="single" w:sz="4" w:space="0" w:color="auto"/>
              <w:right w:val="single" w:sz="4" w:space="0" w:color="auto"/>
            </w:tcBorders>
            <w:shd w:val="clear" w:color="auto" w:fill="auto"/>
            <w:noWrap/>
            <w:vAlign w:val="center"/>
            <w:hideMark/>
          </w:tcPr>
          <w:p w14:paraId="1FFF3158" w14:textId="77777777" w:rsidR="00904BDA" w:rsidRPr="00B16204" w:rsidRDefault="00904BDA" w:rsidP="00B16204">
            <w:pPr>
              <w:spacing w:after="0" w:line="192" w:lineRule="auto"/>
              <w:jc w:val="left"/>
              <w:rPr>
                <w:rFonts w:eastAsia="Times New Roman" w:cstheme="minorHAnsi"/>
                <w:b/>
                <w:bCs/>
                <w:color w:val="000000"/>
                <w:sz w:val="20"/>
                <w:szCs w:val="20"/>
                <w:lang w:val="es-AR" w:eastAsia="es-AR"/>
              </w:rPr>
            </w:pPr>
            <w:r w:rsidRPr="00B16204">
              <w:rPr>
                <w:rFonts w:eastAsia="Times New Roman" w:cstheme="minorHAnsi"/>
                <w:b/>
                <w:bCs/>
                <w:color w:val="000000"/>
                <w:sz w:val="20"/>
                <w:szCs w:val="20"/>
                <w:lang w:val="es-AR" w:eastAsia="es-AR"/>
              </w:rPr>
              <w:t>CMTCT</w:t>
            </w:r>
          </w:p>
        </w:tc>
        <w:tc>
          <w:tcPr>
            <w:tcW w:w="1701" w:type="dxa"/>
            <w:tcBorders>
              <w:top w:val="nil"/>
              <w:left w:val="nil"/>
              <w:bottom w:val="single" w:sz="4" w:space="0" w:color="auto"/>
              <w:right w:val="single" w:sz="4" w:space="0" w:color="auto"/>
            </w:tcBorders>
            <w:shd w:val="clear" w:color="000000" w:fill="FFFFFF"/>
            <w:noWrap/>
            <w:vAlign w:val="center"/>
            <w:hideMark/>
          </w:tcPr>
          <w:p w14:paraId="1C14BED5" w14:textId="77777777" w:rsidR="00904BDA" w:rsidRPr="00B16204" w:rsidRDefault="00904BDA" w:rsidP="00B16204">
            <w:pPr>
              <w:spacing w:after="0" w:line="192" w:lineRule="auto"/>
              <w:jc w:val="left"/>
              <w:rPr>
                <w:rFonts w:eastAsia="Times New Roman" w:cstheme="minorHAnsi"/>
                <w:color w:val="000000"/>
                <w:sz w:val="20"/>
                <w:szCs w:val="20"/>
                <w:lang w:val="es-AR" w:eastAsia="es-AR"/>
              </w:rPr>
            </w:pPr>
            <w:r w:rsidRPr="00B16204">
              <w:rPr>
                <w:rFonts w:eastAsia="Times New Roman" w:cstheme="minorHAnsi"/>
                <w:color w:val="000000"/>
                <w:sz w:val="20"/>
                <w:szCs w:val="20"/>
                <w:lang w:val="es-AR" w:eastAsia="es-AR"/>
              </w:rPr>
              <w:t>Trabajos con Tensión</w:t>
            </w:r>
          </w:p>
        </w:tc>
        <w:tc>
          <w:tcPr>
            <w:tcW w:w="1134" w:type="dxa"/>
            <w:tcBorders>
              <w:top w:val="nil"/>
              <w:left w:val="nil"/>
              <w:bottom w:val="single" w:sz="4" w:space="0" w:color="auto"/>
              <w:right w:val="single" w:sz="4" w:space="0" w:color="auto"/>
            </w:tcBorders>
            <w:shd w:val="clear" w:color="auto" w:fill="auto"/>
            <w:noWrap/>
            <w:vAlign w:val="center"/>
            <w:hideMark/>
          </w:tcPr>
          <w:p w14:paraId="62E9BE41" w14:textId="77777777" w:rsidR="00904BDA" w:rsidRPr="00B16204" w:rsidRDefault="00904BDA" w:rsidP="00B16204">
            <w:pPr>
              <w:spacing w:after="0" w:line="192" w:lineRule="auto"/>
              <w:jc w:val="right"/>
              <w:rPr>
                <w:rFonts w:eastAsia="Times New Roman" w:cstheme="minorHAnsi"/>
                <w:color w:val="000000"/>
                <w:sz w:val="20"/>
                <w:szCs w:val="20"/>
                <w:lang w:val="es-AR" w:eastAsia="es-AR"/>
              </w:rPr>
            </w:pPr>
            <w:r w:rsidRPr="00B16204">
              <w:rPr>
                <w:rFonts w:eastAsia="Times New Roman" w:cstheme="minorHAnsi"/>
                <w:color w:val="000000"/>
                <w:sz w:val="20"/>
                <w:szCs w:val="20"/>
                <w:lang w:val="es-AR" w:eastAsia="es-AR"/>
              </w:rPr>
              <w:t>92.383</w:t>
            </w:r>
          </w:p>
        </w:tc>
        <w:tc>
          <w:tcPr>
            <w:tcW w:w="1134" w:type="dxa"/>
            <w:tcBorders>
              <w:top w:val="nil"/>
              <w:left w:val="nil"/>
              <w:bottom w:val="single" w:sz="4" w:space="0" w:color="auto"/>
              <w:right w:val="single" w:sz="4" w:space="0" w:color="auto"/>
            </w:tcBorders>
            <w:shd w:val="clear" w:color="auto" w:fill="auto"/>
            <w:noWrap/>
            <w:vAlign w:val="center"/>
            <w:hideMark/>
          </w:tcPr>
          <w:p w14:paraId="3C34AB64" w14:textId="77777777" w:rsidR="00904BDA" w:rsidRPr="00B16204" w:rsidRDefault="00904BDA" w:rsidP="00B16204">
            <w:pPr>
              <w:spacing w:after="0" w:line="192" w:lineRule="auto"/>
              <w:jc w:val="right"/>
              <w:rPr>
                <w:rFonts w:eastAsia="Times New Roman" w:cstheme="minorHAnsi"/>
                <w:color w:val="000000"/>
                <w:sz w:val="20"/>
                <w:szCs w:val="20"/>
                <w:lang w:val="es-AR" w:eastAsia="es-AR"/>
              </w:rPr>
            </w:pPr>
            <w:r w:rsidRPr="00B16204">
              <w:rPr>
                <w:rFonts w:eastAsia="Times New Roman" w:cstheme="minorHAnsi"/>
                <w:color w:val="000000"/>
                <w:sz w:val="20"/>
                <w:szCs w:val="20"/>
                <w:lang w:val="es-AR" w:eastAsia="es-AR"/>
              </w:rPr>
              <w:t>47.766</w:t>
            </w:r>
          </w:p>
        </w:tc>
        <w:tc>
          <w:tcPr>
            <w:tcW w:w="1134" w:type="dxa"/>
            <w:tcBorders>
              <w:top w:val="nil"/>
              <w:left w:val="nil"/>
              <w:bottom w:val="single" w:sz="4" w:space="0" w:color="auto"/>
              <w:right w:val="single" w:sz="4" w:space="0" w:color="auto"/>
            </w:tcBorders>
            <w:shd w:val="clear" w:color="auto" w:fill="auto"/>
            <w:noWrap/>
            <w:vAlign w:val="center"/>
            <w:hideMark/>
          </w:tcPr>
          <w:p w14:paraId="4B9FE4C2" w14:textId="77777777" w:rsidR="00904BDA" w:rsidRPr="00B16204" w:rsidRDefault="00904BDA" w:rsidP="00B16204">
            <w:pPr>
              <w:spacing w:after="0" w:line="192" w:lineRule="auto"/>
              <w:jc w:val="right"/>
              <w:rPr>
                <w:rFonts w:eastAsia="Times New Roman" w:cstheme="minorHAnsi"/>
                <w:color w:val="000000"/>
                <w:sz w:val="20"/>
                <w:szCs w:val="20"/>
                <w:lang w:val="es-AR" w:eastAsia="es-AR"/>
              </w:rPr>
            </w:pPr>
            <w:r w:rsidRPr="00B16204">
              <w:rPr>
                <w:rFonts w:eastAsia="Times New Roman" w:cstheme="minorHAnsi"/>
                <w:color w:val="000000"/>
                <w:sz w:val="20"/>
                <w:szCs w:val="20"/>
                <w:lang w:val="es-AR" w:eastAsia="es-AR"/>
              </w:rPr>
              <w:t>11.147</w:t>
            </w:r>
          </w:p>
        </w:tc>
        <w:tc>
          <w:tcPr>
            <w:tcW w:w="1134" w:type="dxa"/>
            <w:tcBorders>
              <w:top w:val="nil"/>
              <w:left w:val="nil"/>
              <w:bottom w:val="single" w:sz="4" w:space="0" w:color="auto"/>
              <w:right w:val="single" w:sz="4" w:space="0" w:color="auto"/>
            </w:tcBorders>
            <w:shd w:val="clear" w:color="auto" w:fill="auto"/>
            <w:noWrap/>
            <w:vAlign w:val="center"/>
            <w:hideMark/>
          </w:tcPr>
          <w:p w14:paraId="5017C09D" w14:textId="77777777" w:rsidR="00904BDA" w:rsidRPr="00B16204" w:rsidRDefault="00904BDA" w:rsidP="00B16204">
            <w:pPr>
              <w:spacing w:after="0" w:line="192" w:lineRule="auto"/>
              <w:jc w:val="right"/>
              <w:rPr>
                <w:rFonts w:eastAsia="Times New Roman" w:cstheme="minorHAnsi"/>
                <w:color w:val="000000"/>
                <w:sz w:val="20"/>
                <w:szCs w:val="20"/>
                <w:lang w:val="es-AR" w:eastAsia="es-AR"/>
              </w:rPr>
            </w:pPr>
            <w:r w:rsidRPr="00B16204">
              <w:rPr>
                <w:rFonts w:eastAsia="Times New Roman" w:cstheme="minorHAnsi"/>
                <w:color w:val="000000"/>
                <w:sz w:val="20"/>
                <w:szCs w:val="20"/>
                <w:lang w:val="es-AR" w:eastAsia="es-AR"/>
              </w:rPr>
              <w:t>151.296</w:t>
            </w:r>
          </w:p>
        </w:tc>
        <w:tc>
          <w:tcPr>
            <w:tcW w:w="1134" w:type="dxa"/>
            <w:tcBorders>
              <w:top w:val="nil"/>
              <w:left w:val="nil"/>
              <w:bottom w:val="single" w:sz="4" w:space="0" w:color="auto"/>
              <w:right w:val="single" w:sz="4" w:space="0" w:color="auto"/>
            </w:tcBorders>
            <w:shd w:val="clear" w:color="auto" w:fill="auto"/>
            <w:noWrap/>
            <w:vAlign w:val="center"/>
            <w:hideMark/>
          </w:tcPr>
          <w:p w14:paraId="3A453495" w14:textId="77777777" w:rsidR="00904BDA" w:rsidRPr="00B16204" w:rsidRDefault="00904BDA" w:rsidP="00B16204">
            <w:pPr>
              <w:spacing w:after="0" w:line="192" w:lineRule="auto"/>
              <w:jc w:val="right"/>
              <w:rPr>
                <w:rFonts w:eastAsia="Times New Roman" w:cstheme="minorHAnsi"/>
                <w:color w:val="000000"/>
                <w:sz w:val="20"/>
                <w:szCs w:val="20"/>
                <w:lang w:val="es-AR" w:eastAsia="es-AR"/>
              </w:rPr>
            </w:pPr>
            <w:r w:rsidRPr="00B16204">
              <w:rPr>
                <w:rFonts w:eastAsia="Times New Roman" w:cstheme="minorHAnsi"/>
                <w:color w:val="000000"/>
                <w:sz w:val="20"/>
                <w:szCs w:val="20"/>
                <w:lang w:val="es-AR" w:eastAsia="es-AR"/>
              </w:rPr>
              <w:t>476</w:t>
            </w:r>
          </w:p>
        </w:tc>
        <w:tc>
          <w:tcPr>
            <w:tcW w:w="1134" w:type="dxa"/>
            <w:tcBorders>
              <w:top w:val="nil"/>
              <w:left w:val="nil"/>
              <w:bottom w:val="single" w:sz="4" w:space="0" w:color="auto"/>
              <w:right w:val="single" w:sz="4" w:space="0" w:color="auto"/>
            </w:tcBorders>
            <w:shd w:val="clear" w:color="auto" w:fill="auto"/>
            <w:noWrap/>
            <w:vAlign w:val="center"/>
            <w:hideMark/>
          </w:tcPr>
          <w:p w14:paraId="0BFF010A" w14:textId="77777777" w:rsidR="00904BDA" w:rsidRPr="00B16204" w:rsidRDefault="00904BDA" w:rsidP="00B16204">
            <w:pPr>
              <w:spacing w:after="0" w:line="192" w:lineRule="auto"/>
              <w:jc w:val="right"/>
              <w:rPr>
                <w:rFonts w:eastAsia="Times New Roman" w:cstheme="minorHAnsi"/>
                <w:color w:val="000000"/>
                <w:sz w:val="20"/>
                <w:szCs w:val="20"/>
                <w:lang w:val="es-AR" w:eastAsia="es-AR"/>
              </w:rPr>
            </w:pPr>
            <w:r w:rsidRPr="00B16204">
              <w:rPr>
                <w:rFonts w:eastAsia="Times New Roman" w:cstheme="minorHAnsi"/>
                <w:color w:val="000000"/>
                <w:sz w:val="20"/>
                <w:szCs w:val="20"/>
                <w:lang w:val="es-AR" w:eastAsia="es-AR"/>
              </w:rPr>
              <w:t>0,31</w:t>
            </w:r>
          </w:p>
        </w:tc>
      </w:tr>
      <w:tr w:rsidR="00204436" w:rsidRPr="00B16204" w14:paraId="3E3E5E1D" w14:textId="77777777" w:rsidTr="00B16204">
        <w:trPr>
          <w:jc w:val="center"/>
        </w:trPr>
        <w:tc>
          <w:tcPr>
            <w:tcW w:w="1134" w:type="dxa"/>
            <w:tcBorders>
              <w:top w:val="nil"/>
              <w:left w:val="single" w:sz="4" w:space="0" w:color="auto"/>
              <w:bottom w:val="single" w:sz="4" w:space="0" w:color="auto"/>
              <w:right w:val="single" w:sz="4" w:space="0" w:color="auto"/>
            </w:tcBorders>
            <w:shd w:val="clear" w:color="auto" w:fill="auto"/>
            <w:noWrap/>
            <w:vAlign w:val="center"/>
            <w:hideMark/>
          </w:tcPr>
          <w:p w14:paraId="773C454D" w14:textId="77777777" w:rsidR="00904BDA" w:rsidRPr="00B16204" w:rsidRDefault="00904BDA" w:rsidP="00B16204">
            <w:pPr>
              <w:spacing w:after="0" w:line="192" w:lineRule="auto"/>
              <w:jc w:val="left"/>
              <w:rPr>
                <w:rFonts w:eastAsia="Times New Roman" w:cstheme="minorHAnsi"/>
                <w:b/>
                <w:bCs/>
                <w:color w:val="000000"/>
                <w:sz w:val="20"/>
                <w:szCs w:val="20"/>
                <w:lang w:val="es-AR" w:eastAsia="es-AR"/>
              </w:rPr>
            </w:pPr>
            <w:r w:rsidRPr="00B16204">
              <w:rPr>
                <w:rFonts w:eastAsia="Times New Roman" w:cstheme="minorHAnsi"/>
                <w:b/>
                <w:bCs/>
                <w:color w:val="000000"/>
                <w:sz w:val="20"/>
                <w:szCs w:val="20"/>
                <w:lang w:val="es-AR" w:eastAsia="es-AR"/>
              </w:rPr>
              <w:t>CMPOR</w:t>
            </w:r>
          </w:p>
        </w:tc>
        <w:tc>
          <w:tcPr>
            <w:tcW w:w="1701" w:type="dxa"/>
            <w:tcBorders>
              <w:top w:val="nil"/>
              <w:left w:val="nil"/>
              <w:bottom w:val="single" w:sz="4" w:space="0" w:color="auto"/>
              <w:right w:val="single" w:sz="4" w:space="0" w:color="auto"/>
            </w:tcBorders>
            <w:shd w:val="clear" w:color="000000" w:fill="FFFFFF"/>
            <w:noWrap/>
            <w:vAlign w:val="center"/>
            <w:hideMark/>
          </w:tcPr>
          <w:p w14:paraId="5E3B879E" w14:textId="77777777" w:rsidR="00904BDA" w:rsidRPr="00B16204" w:rsidRDefault="00904BDA" w:rsidP="00B16204">
            <w:pPr>
              <w:spacing w:after="0" w:line="192" w:lineRule="auto"/>
              <w:jc w:val="left"/>
              <w:rPr>
                <w:rFonts w:eastAsia="Times New Roman" w:cstheme="minorHAnsi"/>
                <w:color w:val="000000"/>
                <w:sz w:val="20"/>
                <w:szCs w:val="20"/>
                <w:lang w:val="es-AR" w:eastAsia="es-AR"/>
              </w:rPr>
            </w:pPr>
            <w:r w:rsidRPr="00B16204">
              <w:rPr>
                <w:rFonts w:eastAsia="Times New Roman" w:cstheme="minorHAnsi"/>
                <w:color w:val="000000"/>
                <w:sz w:val="20"/>
                <w:szCs w:val="20"/>
                <w:lang w:val="es-AR" w:eastAsia="es-AR"/>
              </w:rPr>
              <w:t>Poda y Roce</w:t>
            </w:r>
          </w:p>
        </w:tc>
        <w:tc>
          <w:tcPr>
            <w:tcW w:w="1134" w:type="dxa"/>
            <w:tcBorders>
              <w:top w:val="nil"/>
              <w:left w:val="nil"/>
              <w:bottom w:val="single" w:sz="4" w:space="0" w:color="auto"/>
              <w:right w:val="single" w:sz="4" w:space="0" w:color="auto"/>
            </w:tcBorders>
            <w:shd w:val="clear" w:color="auto" w:fill="auto"/>
            <w:noWrap/>
            <w:vAlign w:val="center"/>
            <w:hideMark/>
          </w:tcPr>
          <w:p w14:paraId="2CCEA0C6" w14:textId="77777777" w:rsidR="00904BDA" w:rsidRPr="00B16204" w:rsidRDefault="00904BDA" w:rsidP="00B16204">
            <w:pPr>
              <w:spacing w:after="0" w:line="192" w:lineRule="auto"/>
              <w:jc w:val="right"/>
              <w:rPr>
                <w:rFonts w:eastAsia="Times New Roman" w:cstheme="minorHAnsi"/>
                <w:color w:val="000000"/>
                <w:sz w:val="20"/>
                <w:szCs w:val="20"/>
                <w:lang w:val="es-AR" w:eastAsia="es-AR"/>
              </w:rPr>
            </w:pPr>
            <w:r w:rsidRPr="00B16204">
              <w:rPr>
                <w:rFonts w:eastAsia="Times New Roman" w:cstheme="minorHAnsi"/>
                <w:color w:val="000000"/>
                <w:sz w:val="20"/>
                <w:szCs w:val="20"/>
                <w:lang w:val="es-AR" w:eastAsia="es-AR"/>
              </w:rPr>
              <w:t>84.072</w:t>
            </w:r>
          </w:p>
        </w:tc>
        <w:tc>
          <w:tcPr>
            <w:tcW w:w="1134" w:type="dxa"/>
            <w:tcBorders>
              <w:top w:val="nil"/>
              <w:left w:val="nil"/>
              <w:bottom w:val="single" w:sz="4" w:space="0" w:color="auto"/>
              <w:right w:val="single" w:sz="4" w:space="0" w:color="auto"/>
            </w:tcBorders>
            <w:shd w:val="clear" w:color="auto" w:fill="auto"/>
            <w:noWrap/>
            <w:vAlign w:val="center"/>
            <w:hideMark/>
          </w:tcPr>
          <w:p w14:paraId="0DFAA6BF" w14:textId="77777777" w:rsidR="00904BDA" w:rsidRPr="00B16204" w:rsidRDefault="00904BDA" w:rsidP="00B16204">
            <w:pPr>
              <w:spacing w:after="0" w:line="192" w:lineRule="auto"/>
              <w:jc w:val="right"/>
              <w:rPr>
                <w:rFonts w:eastAsia="Times New Roman" w:cstheme="minorHAnsi"/>
                <w:color w:val="000000"/>
                <w:sz w:val="20"/>
                <w:szCs w:val="20"/>
                <w:lang w:val="es-AR" w:eastAsia="es-AR"/>
              </w:rPr>
            </w:pPr>
            <w:r w:rsidRPr="00B16204">
              <w:rPr>
                <w:rFonts w:eastAsia="Times New Roman" w:cstheme="minorHAnsi"/>
                <w:color w:val="000000"/>
                <w:sz w:val="20"/>
                <w:szCs w:val="20"/>
                <w:lang w:val="es-AR" w:eastAsia="es-AR"/>
              </w:rPr>
              <w:t>77.112</w:t>
            </w:r>
          </w:p>
        </w:tc>
        <w:tc>
          <w:tcPr>
            <w:tcW w:w="1134" w:type="dxa"/>
            <w:tcBorders>
              <w:top w:val="nil"/>
              <w:left w:val="nil"/>
              <w:bottom w:val="single" w:sz="4" w:space="0" w:color="auto"/>
              <w:right w:val="single" w:sz="4" w:space="0" w:color="auto"/>
            </w:tcBorders>
            <w:shd w:val="clear" w:color="auto" w:fill="auto"/>
            <w:noWrap/>
            <w:vAlign w:val="center"/>
            <w:hideMark/>
          </w:tcPr>
          <w:p w14:paraId="63DBA68E" w14:textId="77777777" w:rsidR="00904BDA" w:rsidRPr="00B16204" w:rsidRDefault="00904BDA" w:rsidP="00B16204">
            <w:pPr>
              <w:spacing w:after="0" w:line="192" w:lineRule="auto"/>
              <w:jc w:val="right"/>
              <w:rPr>
                <w:rFonts w:eastAsia="Times New Roman" w:cstheme="minorHAnsi"/>
                <w:color w:val="000000"/>
                <w:sz w:val="20"/>
                <w:szCs w:val="20"/>
                <w:lang w:val="es-AR" w:eastAsia="es-AR"/>
              </w:rPr>
            </w:pPr>
            <w:r w:rsidRPr="00B16204">
              <w:rPr>
                <w:rFonts w:eastAsia="Times New Roman" w:cstheme="minorHAnsi"/>
                <w:color w:val="000000"/>
                <w:sz w:val="20"/>
                <w:szCs w:val="20"/>
                <w:lang w:val="es-AR" w:eastAsia="es-AR"/>
              </w:rPr>
              <w:t>2.222</w:t>
            </w:r>
          </w:p>
        </w:tc>
        <w:tc>
          <w:tcPr>
            <w:tcW w:w="1134" w:type="dxa"/>
            <w:tcBorders>
              <w:top w:val="nil"/>
              <w:left w:val="nil"/>
              <w:bottom w:val="single" w:sz="4" w:space="0" w:color="auto"/>
              <w:right w:val="single" w:sz="4" w:space="0" w:color="auto"/>
            </w:tcBorders>
            <w:shd w:val="clear" w:color="auto" w:fill="auto"/>
            <w:noWrap/>
            <w:vAlign w:val="center"/>
            <w:hideMark/>
          </w:tcPr>
          <w:p w14:paraId="7C918620" w14:textId="77777777" w:rsidR="00904BDA" w:rsidRPr="00B16204" w:rsidRDefault="00904BDA" w:rsidP="00B16204">
            <w:pPr>
              <w:spacing w:after="0" w:line="192" w:lineRule="auto"/>
              <w:jc w:val="right"/>
              <w:rPr>
                <w:rFonts w:eastAsia="Times New Roman" w:cstheme="minorHAnsi"/>
                <w:color w:val="000000"/>
                <w:sz w:val="20"/>
                <w:szCs w:val="20"/>
                <w:lang w:val="es-AR" w:eastAsia="es-AR"/>
              </w:rPr>
            </w:pPr>
            <w:r w:rsidRPr="00B16204">
              <w:rPr>
                <w:rFonts w:eastAsia="Times New Roman" w:cstheme="minorHAnsi"/>
                <w:color w:val="000000"/>
                <w:sz w:val="20"/>
                <w:szCs w:val="20"/>
                <w:lang w:val="es-AR" w:eastAsia="es-AR"/>
              </w:rPr>
              <w:t>163.406</w:t>
            </w:r>
          </w:p>
        </w:tc>
        <w:tc>
          <w:tcPr>
            <w:tcW w:w="1134" w:type="dxa"/>
            <w:tcBorders>
              <w:top w:val="nil"/>
              <w:left w:val="nil"/>
              <w:bottom w:val="single" w:sz="4" w:space="0" w:color="auto"/>
              <w:right w:val="single" w:sz="4" w:space="0" w:color="auto"/>
            </w:tcBorders>
            <w:shd w:val="clear" w:color="auto" w:fill="auto"/>
            <w:noWrap/>
            <w:vAlign w:val="center"/>
            <w:hideMark/>
          </w:tcPr>
          <w:p w14:paraId="75D37315" w14:textId="77777777" w:rsidR="00904BDA" w:rsidRPr="00B16204" w:rsidRDefault="00904BDA" w:rsidP="00B16204">
            <w:pPr>
              <w:spacing w:after="0" w:line="192" w:lineRule="auto"/>
              <w:jc w:val="right"/>
              <w:rPr>
                <w:rFonts w:eastAsia="Times New Roman" w:cstheme="minorHAnsi"/>
                <w:color w:val="000000"/>
                <w:sz w:val="20"/>
                <w:szCs w:val="20"/>
                <w:lang w:val="es-AR" w:eastAsia="es-AR"/>
              </w:rPr>
            </w:pPr>
            <w:r w:rsidRPr="00B16204">
              <w:rPr>
                <w:rFonts w:eastAsia="Times New Roman" w:cstheme="minorHAnsi"/>
                <w:color w:val="000000"/>
                <w:sz w:val="20"/>
                <w:szCs w:val="20"/>
                <w:lang w:val="es-AR" w:eastAsia="es-AR"/>
              </w:rPr>
              <w:t>476</w:t>
            </w:r>
          </w:p>
        </w:tc>
        <w:tc>
          <w:tcPr>
            <w:tcW w:w="1134" w:type="dxa"/>
            <w:tcBorders>
              <w:top w:val="nil"/>
              <w:left w:val="nil"/>
              <w:bottom w:val="single" w:sz="4" w:space="0" w:color="auto"/>
              <w:right w:val="single" w:sz="4" w:space="0" w:color="auto"/>
            </w:tcBorders>
            <w:shd w:val="clear" w:color="auto" w:fill="auto"/>
            <w:noWrap/>
            <w:vAlign w:val="center"/>
            <w:hideMark/>
          </w:tcPr>
          <w:p w14:paraId="4BF2D767" w14:textId="77777777" w:rsidR="00904BDA" w:rsidRPr="00B16204" w:rsidRDefault="00904BDA" w:rsidP="00B16204">
            <w:pPr>
              <w:spacing w:after="0" w:line="192" w:lineRule="auto"/>
              <w:jc w:val="right"/>
              <w:rPr>
                <w:rFonts w:eastAsia="Times New Roman" w:cstheme="minorHAnsi"/>
                <w:color w:val="000000"/>
                <w:sz w:val="20"/>
                <w:szCs w:val="20"/>
                <w:lang w:val="es-AR" w:eastAsia="es-AR"/>
              </w:rPr>
            </w:pPr>
            <w:r w:rsidRPr="00B16204">
              <w:rPr>
                <w:rFonts w:eastAsia="Times New Roman" w:cstheme="minorHAnsi"/>
                <w:color w:val="000000"/>
                <w:sz w:val="20"/>
                <w:szCs w:val="20"/>
                <w:lang w:val="es-AR" w:eastAsia="es-AR"/>
              </w:rPr>
              <w:t>0,47</w:t>
            </w:r>
          </w:p>
        </w:tc>
      </w:tr>
      <w:tr w:rsidR="00204436" w:rsidRPr="00B16204" w14:paraId="4F1FBA13" w14:textId="77777777" w:rsidTr="00B16204">
        <w:trPr>
          <w:jc w:val="center"/>
        </w:trPr>
        <w:tc>
          <w:tcPr>
            <w:tcW w:w="1134" w:type="dxa"/>
            <w:tcBorders>
              <w:top w:val="nil"/>
              <w:left w:val="single" w:sz="4" w:space="0" w:color="auto"/>
              <w:bottom w:val="single" w:sz="4" w:space="0" w:color="auto"/>
              <w:right w:val="single" w:sz="4" w:space="0" w:color="auto"/>
            </w:tcBorders>
            <w:shd w:val="clear" w:color="auto" w:fill="auto"/>
            <w:noWrap/>
            <w:vAlign w:val="center"/>
            <w:hideMark/>
          </w:tcPr>
          <w:p w14:paraId="79AD5440" w14:textId="77777777" w:rsidR="00904BDA" w:rsidRPr="00B16204" w:rsidRDefault="00904BDA" w:rsidP="00B16204">
            <w:pPr>
              <w:spacing w:after="0" w:line="192" w:lineRule="auto"/>
              <w:jc w:val="left"/>
              <w:rPr>
                <w:rFonts w:eastAsia="Times New Roman" w:cstheme="minorHAnsi"/>
                <w:b/>
                <w:bCs/>
                <w:color w:val="000000"/>
                <w:sz w:val="20"/>
                <w:szCs w:val="20"/>
                <w:lang w:val="es-AR" w:eastAsia="es-AR"/>
              </w:rPr>
            </w:pPr>
            <w:r w:rsidRPr="00B16204">
              <w:rPr>
                <w:rFonts w:eastAsia="Times New Roman" w:cstheme="minorHAnsi"/>
                <w:b/>
                <w:bCs/>
                <w:color w:val="000000"/>
                <w:sz w:val="20"/>
                <w:szCs w:val="20"/>
                <w:lang w:val="es-AR" w:eastAsia="es-AR"/>
              </w:rPr>
              <w:t>CMELA</w:t>
            </w:r>
          </w:p>
        </w:tc>
        <w:tc>
          <w:tcPr>
            <w:tcW w:w="1701" w:type="dxa"/>
            <w:tcBorders>
              <w:top w:val="nil"/>
              <w:left w:val="nil"/>
              <w:bottom w:val="single" w:sz="4" w:space="0" w:color="auto"/>
              <w:right w:val="single" w:sz="4" w:space="0" w:color="auto"/>
            </w:tcBorders>
            <w:shd w:val="clear" w:color="000000" w:fill="FFFFFF"/>
            <w:noWrap/>
            <w:vAlign w:val="center"/>
            <w:hideMark/>
          </w:tcPr>
          <w:p w14:paraId="098613AA" w14:textId="77777777" w:rsidR="00904BDA" w:rsidRPr="00B16204" w:rsidRDefault="00904BDA" w:rsidP="00B16204">
            <w:pPr>
              <w:spacing w:after="0" w:line="192" w:lineRule="auto"/>
              <w:jc w:val="left"/>
              <w:rPr>
                <w:rFonts w:eastAsia="Times New Roman" w:cstheme="minorHAnsi"/>
                <w:color w:val="000000"/>
                <w:sz w:val="20"/>
                <w:szCs w:val="20"/>
                <w:lang w:val="es-AR" w:eastAsia="es-AR"/>
              </w:rPr>
            </w:pPr>
            <w:r w:rsidRPr="00B16204">
              <w:rPr>
                <w:rFonts w:eastAsia="Times New Roman" w:cstheme="minorHAnsi"/>
                <w:color w:val="000000"/>
                <w:sz w:val="20"/>
                <w:szCs w:val="20"/>
                <w:lang w:val="es-AR" w:eastAsia="es-AR"/>
              </w:rPr>
              <w:t>Mantenimiento de Estructuras y líneas sin Tensión</w:t>
            </w:r>
          </w:p>
        </w:tc>
        <w:tc>
          <w:tcPr>
            <w:tcW w:w="1134" w:type="dxa"/>
            <w:tcBorders>
              <w:top w:val="nil"/>
              <w:left w:val="nil"/>
              <w:bottom w:val="single" w:sz="4" w:space="0" w:color="auto"/>
              <w:right w:val="single" w:sz="4" w:space="0" w:color="auto"/>
            </w:tcBorders>
            <w:shd w:val="clear" w:color="auto" w:fill="auto"/>
            <w:noWrap/>
            <w:vAlign w:val="center"/>
            <w:hideMark/>
          </w:tcPr>
          <w:p w14:paraId="77AD1056" w14:textId="77777777" w:rsidR="00904BDA" w:rsidRPr="00B16204" w:rsidRDefault="00904BDA" w:rsidP="00B16204">
            <w:pPr>
              <w:spacing w:after="0" w:line="192" w:lineRule="auto"/>
              <w:jc w:val="right"/>
              <w:rPr>
                <w:rFonts w:eastAsia="Times New Roman" w:cstheme="minorHAnsi"/>
                <w:color w:val="000000"/>
                <w:sz w:val="20"/>
                <w:szCs w:val="20"/>
                <w:lang w:val="es-AR" w:eastAsia="es-AR"/>
              </w:rPr>
            </w:pPr>
            <w:r w:rsidRPr="00B16204">
              <w:rPr>
                <w:rFonts w:eastAsia="Times New Roman" w:cstheme="minorHAnsi"/>
                <w:color w:val="000000"/>
                <w:sz w:val="20"/>
                <w:szCs w:val="20"/>
                <w:lang w:val="es-AR" w:eastAsia="es-AR"/>
              </w:rPr>
              <w:t>64.993</w:t>
            </w:r>
          </w:p>
        </w:tc>
        <w:tc>
          <w:tcPr>
            <w:tcW w:w="1134" w:type="dxa"/>
            <w:tcBorders>
              <w:top w:val="nil"/>
              <w:left w:val="nil"/>
              <w:bottom w:val="single" w:sz="4" w:space="0" w:color="auto"/>
              <w:right w:val="single" w:sz="4" w:space="0" w:color="auto"/>
            </w:tcBorders>
            <w:shd w:val="clear" w:color="auto" w:fill="auto"/>
            <w:noWrap/>
            <w:vAlign w:val="center"/>
            <w:hideMark/>
          </w:tcPr>
          <w:p w14:paraId="45589A32" w14:textId="77777777" w:rsidR="00904BDA" w:rsidRPr="00B16204" w:rsidRDefault="00904BDA" w:rsidP="00B16204">
            <w:pPr>
              <w:spacing w:after="0" w:line="192" w:lineRule="auto"/>
              <w:jc w:val="right"/>
              <w:rPr>
                <w:rFonts w:eastAsia="Times New Roman" w:cstheme="minorHAnsi"/>
                <w:color w:val="000000"/>
                <w:sz w:val="20"/>
                <w:szCs w:val="20"/>
                <w:lang w:val="es-AR" w:eastAsia="es-AR"/>
              </w:rPr>
            </w:pPr>
            <w:r w:rsidRPr="00B16204">
              <w:rPr>
                <w:rFonts w:eastAsia="Times New Roman" w:cstheme="minorHAnsi"/>
                <w:color w:val="000000"/>
                <w:sz w:val="20"/>
                <w:szCs w:val="20"/>
                <w:lang w:val="es-AR" w:eastAsia="es-AR"/>
              </w:rPr>
              <w:t>47.766</w:t>
            </w:r>
          </w:p>
        </w:tc>
        <w:tc>
          <w:tcPr>
            <w:tcW w:w="1134" w:type="dxa"/>
            <w:tcBorders>
              <w:top w:val="nil"/>
              <w:left w:val="nil"/>
              <w:bottom w:val="single" w:sz="4" w:space="0" w:color="auto"/>
              <w:right w:val="single" w:sz="4" w:space="0" w:color="auto"/>
            </w:tcBorders>
            <w:shd w:val="clear" w:color="auto" w:fill="auto"/>
            <w:noWrap/>
            <w:vAlign w:val="center"/>
            <w:hideMark/>
          </w:tcPr>
          <w:p w14:paraId="732039AA" w14:textId="77777777" w:rsidR="00904BDA" w:rsidRPr="00B16204" w:rsidRDefault="00904BDA" w:rsidP="00B16204">
            <w:pPr>
              <w:spacing w:after="0" w:line="192" w:lineRule="auto"/>
              <w:jc w:val="right"/>
              <w:rPr>
                <w:rFonts w:eastAsia="Times New Roman" w:cstheme="minorHAnsi"/>
                <w:color w:val="000000"/>
                <w:sz w:val="20"/>
                <w:szCs w:val="20"/>
                <w:lang w:val="es-AR" w:eastAsia="es-AR"/>
              </w:rPr>
            </w:pPr>
            <w:r w:rsidRPr="00B16204">
              <w:rPr>
                <w:rFonts w:eastAsia="Times New Roman" w:cstheme="minorHAnsi"/>
                <w:color w:val="000000"/>
                <w:sz w:val="20"/>
                <w:szCs w:val="20"/>
                <w:lang w:val="es-AR" w:eastAsia="es-AR"/>
              </w:rPr>
              <w:t>10.213</w:t>
            </w:r>
          </w:p>
        </w:tc>
        <w:tc>
          <w:tcPr>
            <w:tcW w:w="1134" w:type="dxa"/>
            <w:tcBorders>
              <w:top w:val="nil"/>
              <w:left w:val="nil"/>
              <w:bottom w:val="single" w:sz="4" w:space="0" w:color="auto"/>
              <w:right w:val="single" w:sz="4" w:space="0" w:color="auto"/>
            </w:tcBorders>
            <w:shd w:val="clear" w:color="auto" w:fill="auto"/>
            <w:noWrap/>
            <w:vAlign w:val="center"/>
            <w:hideMark/>
          </w:tcPr>
          <w:p w14:paraId="3651363B" w14:textId="77777777" w:rsidR="00904BDA" w:rsidRPr="00B16204" w:rsidRDefault="00904BDA" w:rsidP="00B16204">
            <w:pPr>
              <w:spacing w:after="0" w:line="192" w:lineRule="auto"/>
              <w:jc w:val="right"/>
              <w:rPr>
                <w:rFonts w:eastAsia="Times New Roman" w:cstheme="minorHAnsi"/>
                <w:color w:val="000000"/>
                <w:sz w:val="20"/>
                <w:szCs w:val="20"/>
                <w:lang w:val="es-AR" w:eastAsia="es-AR"/>
              </w:rPr>
            </w:pPr>
            <w:r w:rsidRPr="00B16204">
              <w:rPr>
                <w:rFonts w:eastAsia="Times New Roman" w:cstheme="minorHAnsi"/>
                <w:color w:val="000000"/>
                <w:sz w:val="20"/>
                <w:szCs w:val="20"/>
                <w:lang w:val="es-AR" w:eastAsia="es-AR"/>
              </w:rPr>
              <w:t>122.971</w:t>
            </w:r>
          </w:p>
        </w:tc>
        <w:tc>
          <w:tcPr>
            <w:tcW w:w="1134" w:type="dxa"/>
            <w:tcBorders>
              <w:top w:val="nil"/>
              <w:left w:val="nil"/>
              <w:bottom w:val="single" w:sz="4" w:space="0" w:color="auto"/>
              <w:right w:val="single" w:sz="4" w:space="0" w:color="auto"/>
            </w:tcBorders>
            <w:shd w:val="clear" w:color="auto" w:fill="auto"/>
            <w:noWrap/>
            <w:vAlign w:val="center"/>
            <w:hideMark/>
          </w:tcPr>
          <w:p w14:paraId="649A387E" w14:textId="77777777" w:rsidR="00904BDA" w:rsidRPr="00B16204" w:rsidRDefault="00904BDA" w:rsidP="00B16204">
            <w:pPr>
              <w:spacing w:after="0" w:line="192" w:lineRule="auto"/>
              <w:jc w:val="right"/>
              <w:rPr>
                <w:rFonts w:eastAsia="Times New Roman" w:cstheme="minorHAnsi"/>
                <w:color w:val="000000"/>
                <w:sz w:val="20"/>
                <w:szCs w:val="20"/>
                <w:lang w:val="es-AR" w:eastAsia="es-AR"/>
              </w:rPr>
            </w:pPr>
            <w:r w:rsidRPr="00B16204">
              <w:rPr>
                <w:rFonts w:eastAsia="Times New Roman" w:cstheme="minorHAnsi"/>
                <w:color w:val="000000"/>
                <w:sz w:val="20"/>
                <w:szCs w:val="20"/>
                <w:lang w:val="es-AR" w:eastAsia="es-AR"/>
              </w:rPr>
              <w:t>317</w:t>
            </w:r>
          </w:p>
        </w:tc>
        <w:tc>
          <w:tcPr>
            <w:tcW w:w="1134" w:type="dxa"/>
            <w:tcBorders>
              <w:top w:val="nil"/>
              <w:left w:val="nil"/>
              <w:bottom w:val="single" w:sz="4" w:space="0" w:color="auto"/>
              <w:right w:val="single" w:sz="4" w:space="0" w:color="auto"/>
            </w:tcBorders>
            <w:shd w:val="clear" w:color="auto" w:fill="auto"/>
            <w:noWrap/>
            <w:vAlign w:val="center"/>
            <w:hideMark/>
          </w:tcPr>
          <w:p w14:paraId="0B76296C" w14:textId="77777777" w:rsidR="00904BDA" w:rsidRPr="00B16204" w:rsidRDefault="00904BDA" w:rsidP="00B16204">
            <w:pPr>
              <w:spacing w:after="0" w:line="192" w:lineRule="auto"/>
              <w:jc w:val="right"/>
              <w:rPr>
                <w:rFonts w:eastAsia="Times New Roman" w:cstheme="minorHAnsi"/>
                <w:color w:val="000000"/>
                <w:sz w:val="20"/>
                <w:szCs w:val="20"/>
                <w:lang w:val="es-AR" w:eastAsia="es-AR"/>
              </w:rPr>
            </w:pPr>
            <w:r w:rsidRPr="00B16204">
              <w:rPr>
                <w:rFonts w:eastAsia="Times New Roman" w:cstheme="minorHAnsi"/>
                <w:color w:val="000000"/>
                <w:sz w:val="20"/>
                <w:szCs w:val="20"/>
                <w:lang w:val="es-AR" w:eastAsia="es-AR"/>
              </w:rPr>
              <w:t>0,31</w:t>
            </w:r>
          </w:p>
        </w:tc>
      </w:tr>
      <w:tr w:rsidR="00204436" w:rsidRPr="00B16204" w14:paraId="176477AA" w14:textId="77777777" w:rsidTr="00B16204">
        <w:trPr>
          <w:jc w:val="center"/>
        </w:trPr>
        <w:tc>
          <w:tcPr>
            <w:tcW w:w="1134" w:type="dxa"/>
            <w:tcBorders>
              <w:top w:val="nil"/>
              <w:left w:val="single" w:sz="4" w:space="0" w:color="auto"/>
              <w:bottom w:val="single" w:sz="4" w:space="0" w:color="auto"/>
              <w:right w:val="single" w:sz="4" w:space="0" w:color="auto"/>
            </w:tcBorders>
            <w:shd w:val="clear" w:color="auto" w:fill="auto"/>
            <w:noWrap/>
            <w:vAlign w:val="center"/>
            <w:hideMark/>
          </w:tcPr>
          <w:p w14:paraId="0F323A54" w14:textId="77777777" w:rsidR="00904BDA" w:rsidRPr="00B16204" w:rsidRDefault="00904BDA" w:rsidP="00B16204">
            <w:pPr>
              <w:spacing w:after="0" w:line="192" w:lineRule="auto"/>
              <w:jc w:val="left"/>
              <w:rPr>
                <w:rFonts w:eastAsia="Times New Roman" w:cstheme="minorHAnsi"/>
                <w:b/>
                <w:bCs/>
                <w:color w:val="000000"/>
                <w:sz w:val="20"/>
                <w:szCs w:val="20"/>
                <w:lang w:val="es-AR" w:eastAsia="es-AR"/>
              </w:rPr>
            </w:pPr>
            <w:r w:rsidRPr="00B16204">
              <w:rPr>
                <w:rFonts w:eastAsia="Times New Roman" w:cstheme="minorHAnsi"/>
                <w:b/>
                <w:bCs/>
                <w:color w:val="000000"/>
                <w:sz w:val="20"/>
                <w:szCs w:val="20"/>
                <w:lang w:val="es-AR" w:eastAsia="es-AR"/>
              </w:rPr>
              <w:t>CMCAM</w:t>
            </w:r>
          </w:p>
        </w:tc>
        <w:tc>
          <w:tcPr>
            <w:tcW w:w="1701" w:type="dxa"/>
            <w:tcBorders>
              <w:top w:val="nil"/>
              <w:left w:val="nil"/>
              <w:bottom w:val="single" w:sz="4" w:space="0" w:color="auto"/>
              <w:right w:val="single" w:sz="4" w:space="0" w:color="auto"/>
            </w:tcBorders>
            <w:shd w:val="clear" w:color="000000" w:fill="FFFFFF"/>
            <w:noWrap/>
            <w:vAlign w:val="center"/>
            <w:hideMark/>
          </w:tcPr>
          <w:p w14:paraId="14F470AD" w14:textId="77777777" w:rsidR="00904BDA" w:rsidRPr="00B16204" w:rsidRDefault="00904BDA" w:rsidP="00B16204">
            <w:pPr>
              <w:spacing w:after="0" w:line="192" w:lineRule="auto"/>
              <w:jc w:val="left"/>
              <w:rPr>
                <w:rFonts w:eastAsia="Times New Roman" w:cstheme="minorHAnsi"/>
                <w:color w:val="000000"/>
                <w:sz w:val="20"/>
                <w:szCs w:val="20"/>
                <w:lang w:val="es-AR" w:eastAsia="es-AR"/>
              </w:rPr>
            </w:pPr>
            <w:r w:rsidRPr="00B16204">
              <w:rPr>
                <w:rFonts w:eastAsia="Times New Roman" w:cstheme="minorHAnsi"/>
                <w:color w:val="000000"/>
                <w:sz w:val="20"/>
                <w:szCs w:val="20"/>
                <w:lang w:val="es-AR" w:eastAsia="es-AR"/>
              </w:rPr>
              <w:t>Mantenimiento de Caminos de Acceso</w:t>
            </w:r>
          </w:p>
        </w:tc>
        <w:tc>
          <w:tcPr>
            <w:tcW w:w="1134" w:type="dxa"/>
            <w:tcBorders>
              <w:top w:val="nil"/>
              <w:left w:val="nil"/>
              <w:bottom w:val="single" w:sz="4" w:space="0" w:color="auto"/>
              <w:right w:val="single" w:sz="4" w:space="0" w:color="auto"/>
            </w:tcBorders>
            <w:shd w:val="clear" w:color="auto" w:fill="auto"/>
            <w:noWrap/>
            <w:vAlign w:val="center"/>
            <w:hideMark/>
          </w:tcPr>
          <w:p w14:paraId="00934D41" w14:textId="77777777" w:rsidR="00904BDA" w:rsidRPr="00B16204" w:rsidRDefault="00904BDA" w:rsidP="00B16204">
            <w:pPr>
              <w:spacing w:after="0" w:line="192" w:lineRule="auto"/>
              <w:jc w:val="right"/>
              <w:rPr>
                <w:rFonts w:eastAsia="Times New Roman" w:cstheme="minorHAnsi"/>
                <w:color w:val="000000"/>
                <w:sz w:val="20"/>
                <w:szCs w:val="20"/>
                <w:lang w:val="es-AR" w:eastAsia="es-AR"/>
              </w:rPr>
            </w:pPr>
            <w:r w:rsidRPr="00B16204">
              <w:rPr>
                <w:rFonts w:eastAsia="Times New Roman" w:cstheme="minorHAnsi"/>
                <w:color w:val="000000"/>
                <w:sz w:val="20"/>
                <w:szCs w:val="20"/>
                <w:lang w:val="es-AR" w:eastAsia="es-AR"/>
              </w:rPr>
              <w:t>27.698</w:t>
            </w:r>
          </w:p>
        </w:tc>
        <w:tc>
          <w:tcPr>
            <w:tcW w:w="1134" w:type="dxa"/>
            <w:tcBorders>
              <w:top w:val="nil"/>
              <w:left w:val="nil"/>
              <w:bottom w:val="single" w:sz="4" w:space="0" w:color="auto"/>
              <w:right w:val="single" w:sz="4" w:space="0" w:color="auto"/>
            </w:tcBorders>
            <w:shd w:val="clear" w:color="auto" w:fill="auto"/>
            <w:noWrap/>
            <w:vAlign w:val="center"/>
            <w:hideMark/>
          </w:tcPr>
          <w:p w14:paraId="2E077721" w14:textId="77777777" w:rsidR="00904BDA" w:rsidRPr="00B16204" w:rsidRDefault="00904BDA" w:rsidP="00B16204">
            <w:pPr>
              <w:spacing w:after="0" w:line="192" w:lineRule="auto"/>
              <w:jc w:val="right"/>
              <w:rPr>
                <w:rFonts w:eastAsia="Times New Roman" w:cstheme="minorHAnsi"/>
                <w:color w:val="000000"/>
                <w:sz w:val="20"/>
                <w:szCs w:val="20"/>
                <w:lang w:val="es-AR" w:eastAsia="es-AR"/>
              </w:rPr>
            </w:pPr>
            <w:r w:rsidRPr="00B16204">
              <w:rPr>
                <w:rFonts w:eastAsia="Times New Roman" w:cstheme="minorHAnsi"/>
                <w:color w:val="000000"/>
                <w:sz w:val="20"/>
                <w:szCs w:val="20"/>
                <w:lang w:val="es-AR" w:eastAsia="es-AR"/>
              </w:rPr>
              <w:t>84.423</w:t>
            </w:r>
          </w:p>
        </w:tc>
        <w:tc>
          <w:tcPr>
            <w:tcW w:w="1134" w:type="dxa"/>
            <w:tcBorders>
              <w:top w:val="nil"/>
              <w:left w:val="nil"/>
              <w:bottom w:val="single" w:sz="4" w:space="0" w:color="auto"/>
              <w:right w:val="single" w:sz="4" w:space="0" w:color="auto"/>
            </w:tcBorders>
            <w:shd w:val="clear" w:color="auto" w:fill="auto"/>
            <w:noWrap/>
            <w:vAlign w:val="center"/>
            <w:hideMark/>
          </w:tcPr>
          <w:p w14:paraId="6F71EF86" w14:textId="77777777" w:rsidR="00904BDA" w:rsidRPr="00B16204" w:rsidRDefault="00904BDA" w:rsidP="00B16204">
            <w:pPr>
              <w:spacing w:after="0" w:line="192" w:lineRule="auto"/>
              <w:jc w:val="right"/>
              <w:rPr>
                <w:rFonts w:eastAsia="Times New Roman" w:cstheme="minorHAnsi"/>
                <w:color w:val="000000"/>
                <w:sz w:val="20"/>
                <w:szCs w:val="20"/>
                <w:lang w:val="es-AR" w:eastAsia="es-AR"/>
              </w:rPr>
            </w:pPr>
            <w:r w:rsidRPr="00B16204">
              <w:rPr>
                <w:rFonts w:eastAsia="Times New Roman" w:cstheme="minorHAnsi"/>
                <w:color w:val="000000"/>
                <w:sz w:val="20"/>
                <w:szCs w:val="20"/>
                <w:lang w:val="es-AR" w:eastAsia="es-AR"/>
              </w:rPr>
              <w:t>236</w:t>
            </w:r>
          </w:p>
        </w:tc>
        <w:tc>
          <w:tcPr>
            <w:tcW w:w="1134" w:type="dxa"/>
            <w:tcBorders>
              <w:top w:val="nil"/>
              <w:left w:val="nil"/>
              <w:bottom w:val="single" w:sz="4" w:space="0" w:color="auto"/>
              <w:right w:val="single" w:sz="4" w:space="0" w:color="auto"/>
            </w:tcBorders>
            <w:shd w:val="clear" w:color="auto" w:fill="auto"/>
            <w:noWrap/>
            <w:vAlign w:val="center"/>
            <w:hideMark/>
          </w:tcPr>
          <w:p w14:paraId="00FED86A" w14:textId="77777777" w:rsidR="00904BDA" w:rsidRPr="00B16204" w:rsidRDefault="00904BDA" w:rsidP="00B16204">
            <w:pPr>
              <w:spacing w:after="0" w:line="192" w:lineRule="auto"/>
              <w:jc w:val="right"/>
              <w:rPr>
                <w:rFonts w:eastAsia="Times New Roman" w:cstheme="minorHAnsi"/>
                <w:color w:val="000000"/>
                <w:sz w:val="20"/>
                <w:szCs w:val="20"/>
                <w:lang w:val="es-AR" w:eastAsia="es-AR"/>
              </w:rPr>
            </w:pPr>
            <w:r w:rsidRPr="00B16204">
              <w:rPr>
                <w:rFonts w:eastAsia="Times New Roman" w:cstheme="minorHAnsi"/>
                <w:color w:val="000000"/>
                <w:sz w:val="20"/>
                <w:szCs w:val="20"/>
                <w:lang w:val="es-AR" w:eastAsia="es-AR"/>
              </w:rPr>
              <w:t>112.357</w:t>
            </w:r>
          </w:p>
        </w:tc>
        <w:tc>
          <w:tcPr>
            <w:tcW w:w="1134" w:type="dxa"/>
            <w:tcBorders>
              <w:top w:val="nil"/>
              <w:left w:val="nil"/>
              <w:bottom w:val="single" w:sz="4" w:space="0" w:color="auto"/>
              <w:right w:val="single" w:sz="4" w:space="0" w:color="auto"/>
            </w:tcBorders>
            <w:shd w:val="clear" w:color="auto" w:fill="auto"/>
            <w:noWrap/>
            <w:vAlign w:val="center"/>
            <w:hideMark/>
          </w:tcPr>
          <w:p w14:paraId="4BC10571" w14:textId="77777777" w:rsidR="00904BDA" w:rsidRPr="00B16204" w:rsidRDefault="00904BDA" w:rsidP="00B16204">
            <w:pPr>
              <w:spacing w:after="0" w:line="192" w:lineRule="auto"/>
              <w:jc w:val="right"/>
              <w:rPr>
                <w:rFonts w:eastAsia="Times New Roman" w:cstheme="minorHAnsi"/>
                <w:color w:val="000000"/>
                <w:sz w:val="20"/>
                <w:szCs w:val="20"/>
                <w:lang w:val="es-AR" w:eastAsia="es-AR"/>
              </w:rPr>
            </w:pPr>
            <w:r w:rsidRPr="00B16204">
              <w:rPr>
                <w:rFonts w:eastAsia="Times New Roman" w:cstheme="minorHAnsi"/>
                <w:color w:val="000000"/>
                <w:sz w:val="20"/>
                <w:szCs w:val="20"/>
                <w:lang w:val="es-AR" w:eastAsia="es-AR"/>
              </w:rPr>
              <w:t>159</w:t>
            </w:r>
          </w:p>
        </w:tc>
        <w:tc>
          <w:tcPr>
            <w:tcW w:w="1134" w:type="dxa"/>
            <w:tcBorders>
              <w:top w:val="nil"/>
              <w:left w:val="nil"/>
              <w:bottom w:val="single" w:sz="4" w:space="0" w:color="auto"/>
              <w:right w:val="single" w:sz="4" w:space="0" w:color="auto"/>
            </w:tcBorders>
            <w:shd w:val="clear" w:color="auto" w:fill="auto"/>
            <w:noWrap/>
            <w:vAlign w:val="center"/>
            <w:hideMark/>
          </w:tcPr>
          <w:p w14:paraId="46FA9CF7" w14:textId="77777777" w:rsidR="00904BDA" w:rsidRPr="00B16204" w:rsidRDefault="00904BDA" w:rsidP="00B16204">
            <w:pPr>
              <w:spacing w:after="0" w:line="192" w:lineRule="auto"/>
              <w:jc w:val="right"/>
              <w:rPr>
                <w:rFonts w:eastAsia="Times New Roman" w:cstheme="minorHAnsi"/>
                <w:color w:val="000000"/>
                <w:sz w:val="20"/>
                <w:szCs w:val="20"/>
                <w:lang w:val="es-AR" w:eastAsia="es-AR"/>
              </w:rPr>
            </w:pPr>
            <w:r w:rsidRPr="00B16204">
              <w:rPr>
                <w:rFonts w:eastAsia="Times New Roman" w:cstheme="minorHAnsi"/>
                <w:color w:val="000000"/>
                <w:sz w:val="20"/>
                <w:szCs w:val="20"/>
                <w:lang w:val="es-AR" w:eastAsia="es-AR"/>
              </w:rPr>
              <w:t>0,33</w:t>
            </w:r>
          </w:p>
        </w:tc>
      </w:tr>
      <w:tr w:rsidR="00204436" w:rsidRPr="00B16204" w14:paraId="3980457D" w14:textId="77777777" w:rsidTr="00B16204">
        <w:trPr>
          <w:jc w:val="center"/>
        </w:trPr>
        <w:tc>
          <w:tcPr>
            <w:tcW w:w="1134" w:type="dxa"/>
            <w:tcBorders>
              <w:top w:val="nil"/>
              <w:left w:val="single" w:sz="4" w:space="0" w:color="auto"/>
              <w:bottom w:val="single" w:sz="4" w:space="0" w:color="auto"/>
              <w:right w:val="single" w:sz="4" w:space="0" w:color="auto"/>
            </w:tcBorders>
            <w:shd w:val="clear" w:color="auto" w:fill="auto"/>
            <w:noWrap/>
            <w:vAlign w:val="center"/>
            <w:hideMark/>
          </w:tcPr>
          <w:p w14:paraId="044F76A0" w14:textId="77777777" w:rsidR="00904BDA" w:rsidRPr="00B16204" w:rsidRDefault="00904BDA" w:rsidP="00B16204">
            <w:pPr>
              <w:spacing w:after="0" w:line="192" w:lineRule="auto"/>
              <w:jc w:val="left"/>
              <w:rPr>
                <w:rFonts w:eastAsia="Times New Roman" w:cstheme="minorHAnsi"/>
                <w:b/>
                <w:bCs/>
                <w:color w:val="000000"/>
                <w:sz w:val="20"/>
                <w:szCs w:val="20"/>
                <w:lang w:val="es-AR" w:eastAsia="es-AR"/>
              </w:rPr>
            </w:pPr>
            <w:r w:rsidRPr="00B16204">
              <w:rPr>
                <w:rFonts w:eastAsia="Times New Roman" w:cstheme="minorHAnsi"/>
                <w:b/>
                <w:bCs/>
                <w:color w:val="000000"/>
                <w:sz w:val="20"/>
                <w:szCs w:val="20"/>
                <w:lang w:val="es-AR" w:eastAsia="es-AR"/>
              </w:rPr>
              <w:t>CMLMA</w:t>
            </w:r>
          </w:p>
        </w:tc>
        <w:tc>
          <w:tcPr>
            <w:tcW w:w="1701" w:type="dxa"/>
            <w:tcBorders>
              <w:top w:val="nil"/>
              <w:left w:val="nil"/>
              <w:bottom w:val="single" w:sz="4" w:space="0" w:color="auto"/>
              <w:right w:val="single" w:sz="4" w:space="0" w:color="auto"/>
            </w:tcBorders>
            <w:shd w:val="clear" w:color="000000" w:fill="FFFFFF"/>
            <w:noWrap/>
            <w:vAlign w:val="center"/>
            <w:hideMark/>
          </w:tcPr>
          <w:p w14:paraId="77867EA3" w14:textId="77777777" w:rsidR="00904BDA" w:rsidRPr="00B16204" w:rsidRDefault="00904BDA" w:rsidP="00B16204">
            <w:pPr>
              <w:spacing w:after="0" w:line="192" w:lineRule="auto"/>
              <w:jc w:val="left"/>
              <w:rPr>
                <w:rFonts w:eastAsia="Times New Roman" w:cstheme="minorHAnsi"/>
                <w:color w:val="000000"/>
                <w:sz w:val="20"/>
                <w:szCs w:val="20"/>
                <w:lang w:val="es-AR" w:eastAsia="es-AR"/>
              </w:rPr>
            </w:pPr>
            <w:r w:rsidRPr="00B16204">
              <w:rPr>
                <w:rFonts w:eastAsia="Times New Roman" w:cstheme="minorHAnsi"/>
                <w:color w:val="000000"/>
                <w:sz w:val="20"/>
                <w:szCs w:val="20"/>
                <w:lang w:val="es-AR" w:eastAsia="es-AR"/>
              </w:rPr>
              <w:t>Lavado manual de aisladores</w:t>
            </w:r>
          </w:p>
        </w:tc>
        <w:tc>
          <w:tcPr>
            <w:tcW w:w="1134" w:type="dxa"/>
            <w:tcBorders>
              <w:top w:val="nil"/>
              <w:left w:val="nil"/>
              <w:bottom w:val="single" w:sz="4" w:space="0" w:color="auto"/>
              <w:right w:val="single" w:sz="4" w:space="0" w:color="auto"/>
            </w:tcBorders>
            <w:shd w:val="clear" w:color="auto" w:fill="auto"/>
            <w:noWrap/>
            <w:vAlign w:val="center"/>
            <w:hideMark/>
          </w:tcPr>
          <w:p w14:paraId="7DB51AFD" w14:textId="77777777" w:rsidR="00904BDA" w:rsidRPr="00B16204" w:rsidRDefault="00904BDA" w:rsidP="00B16204">
            <w:pPr>
              <w:spacing w:after="0" w:line="192" w:lineRule="auto"/>
              <w:jc w:val="right"/>
              <w:rPr>
                <w:rFonts w:eastAsia="Times New Roman" w:cstheme="minorHAnsi"/>
                <w:color w:val="000000"/>
                <w:sz w:val="20"/>
                <w:szCs w:val="20"/>
                <w:lang w:val="es-AR" w:eastAsia="es-AR"/>
              </w:rPr>
            </w:pPr>
            <w:r w:rsidRPr="00B16204">
              <w:rPr>
                <w:rFonts w:eastAsia="Times New Roman" w:cstheme="minorHAnsi"/>
                <w:color w:val="000000"/>
                <w:sz w:val="20"/>
                <w:szCs w:val="20"/>
                <w:lang w:val="es-AR" w:eastAsia="es-AR"/>
              </w:rPr>
              <w:t>64.993</w:t>
            </w:r>
          </w:p>
        </w:tc>
        <w:tc>
          <w:tcPr>
            <w:tcW w:w="1134" w:type="dxa"/>
            <w:tcBorders>
              <w:top w:val="nil"/>
              <w:left w:val="nil"/>
              <w:bottom w:val="single" w:sz="4" w:space="0" w:color="auto"/>
              <w:right w:val="single" w:sz="4" w:space="0" w:color="auto"/>
            </w:tcBorders>
            <w:shd w:val="clear" w:color="auto" w:fill="auto"/>
            <w:noWrap/>
            <w:vAlign w:val="center"/>
            <w:hideMark/>
          </w:tcPr>
          <w:p w14:paraId="27D94BC8" w14:textId="77777777" w:rsidR="00904BDA" w:rsidRPr="00B16204" w:rsidRDefault="00904BDA" w:rsidP="00B16204">
            <w:pPr>
              <w:spacing w:after="0" w:line="192" w:lineRule="auto"/>
              <w:jc w:val="right"/>
              <w:rPr>
                <w:rFonts w:eastAsia="Times New Roman" w:cstheme="minorHAnsi"/>
                <w:color w:val="000000"/>
                <w:sz w:val="20"/>
                <w:szCs w:val="20"/>
                <w:lang w:val="es-AR" w:eastAsia="es-AR"/>
              </w:rPr>
            </w:pPr>
            <w:r w:rsidRPr="00B16204">
              <w:rPr>
                <w:rFonts w:eastAsia="Times New Roman" w:cstheme="minorHAnsi"/>
                <w:color w:val="000000"/>
                <w:sz w:val="20"/>
                <w:szCs w:val="20"/>
                <w:lang w:val="es-AR" w:eastAsia="es-AR"/>
              </w:rPr>
              <w:t>47.766</w:t>
            </w:r>
          </w:p>
        </w:tc>
        <w:tc>
          <w:tcPr>
            <w:tcW w:w="1134" w:type="dxa"/>
            <w:tcBorders>
              <w:top w:val="nil"/>
              <w:left w:val="nil"/>
              <w:bottom w:val="single" w:sz="4" w:space="0" w:color="auto"/>
              <w:right w:val="single" w:sz="4" w:space="0" w:color="auto"/>
            </w:tcBorders>
            <w:shd w:val="clear" w:color="auto" w:fill="auto"/>
            <w:noWrap/>
            <w:vAlign w:val="center"/>
            <w:hideMark/>
          </w:tcPr>
          <w:p w14:paraId="563CF279" w14:textId="77777777" w:rsidR="00904BDA" w:rsidRPr="00B16204" w:rsidRDefault="00904BDA" w:rsidP="00B16204">
            <w:pPr>
              <w:spacing w:after="0" w:line="192" w:lineRule="auto"/>
              <w:jc w:val="right"/>
              <w:rPr>
                <w:rFonts w:eastAsia="Times New Roman" w:cstheme="minorHAnsi"/>
                <w:color w:val="000000"/>
                <w:sz w:val="20"/>
                <w:szCs w:val="20"/>
                <w:lang w:val="es-AR" w:eastAsia="es-AR"/>
              </w:rPr>
            </w:pPr>
            <w:r w:rsidRPr="00B16204">
              <w:rPr>
                <w:rFonts w:eastAsia="Times New Roman" w:cstheme="minorHAnsi"/>
                <w:color w:val="000000"/>
                <w:sz w:val="20"/>
                <w:szCs w:val="20"/>
                <w:lang w:val="es-AR" w:eastAsia="es-AR"/>
              </w:rPr>
              <w:t>1.165</w:t>
            </w:r>
          </w:p>
        </w:tc>
        <w:tc>
          <w:tcPr>
            <w:tcW w:w="1134" w:type="dxa"/>
            <w:tcBorders>
              <w:top w:val="nil"/>
              <w:left w:val="nil"/>
              <w:bottom w:val="single" w:sz="4" w:space="0" w:color="auto"/>
              <w:right w:val="single" w:sz="4" w:space="0" w:color="auto"/>
            </w:tcBorders>
            <w:shd w:val="clear" w:color="auto" w:fill="auto"/>
            <w:noWrap/>
            <w:vAlign w:val="center"/>
            <w:hideMark/>
          </w:tcPr>
          <w:p w14:paraId="7B2EFC59" w14:textId="77777777" w:rsidR="00904BDA" w:rsidRPr="00B16204" w:rsidRDefault="00904BDA" w:rsidP="00B16204">
            <w:pPr>
              <w:spacing w:after="0" w:line="192" w:lineRule="auto"/>
              <w:jc w:val="right"/>
              <w:rPr>
                <w:rFonts w:eastAsia="Times New Roman" w:cstheme="minorHAnsi"/>
                <w:color w:val="000000"/>
                <w:sz w:val="20"/>
                <w:szCs w:val="20"/>
                <w:lang w:val="es-AR" w:eastAsia="es-AR"/>
              </w:rPr>
            </w:pPr>
            <w:r w:rsidRPr="00B16204">
              <w:rPr>
                <w:rFonts w:eastAsia="Times New Roman" w:cstheme="minorHAnsi"/>
                <w:color w:val="000000"/>
                <w:sz w:val="20"/>
                <w:szCs w:val="20"/>
                <w:lang w:val="es-AR" w:eastAsia="es-AR"/>
              </w:rPr>
              <w:t>113.924</w:t>
            </w:r>
          </w:p>
        </w:tc>
        <w:tc>
          <w:tcPr>
            <w:tcW w:w="1134" w:type="dxa"/>
            <w:tcBorders>
              <w:top w:val="nil"/>
              <w:left w:val="nil"/>
              <w:bottom w:val="single" w:sz="4" w:space="0" w:color="auto"/>
              <w:right w:val="single" w:sz="4" w:space="0" w:color="auto"/>
            </w:tcBorders>
            <w:shd w:val="clear" w:color="auto" w:fill="auto"/>
            <w:noWrap/>
            <w:vAlign w:val="center"/>
            <w:hideMark/>
          </w:tcPr>
          <w:p w14:paraId="5493CDDA" w14:textId="77777777" w:rsidR="00904BDA" w:rsidRPr="00B16204" w:rsidRDefault="00904BDA" w:rsidP="00B16204">
            <w:pPr>
              <w:spacing w:after="0" w:line="192" w:lineRule="auto"/>
              <w:jc w:val="right"/>
              <w:rPr>
                <w:rFonts w:eastAsia="Times New Roman" w:cstheme="minorHAnsi"/>
                <w:color w:val="000000"/>
                <w:sz w:val="20"/>
                <w:szCs w:val="20"/>
                <w:lang w:val="es-AR" w:eastAsia="es-AR"/>
              </w:rPr>
            </w:pPr>
            <w:r w:rsidRPr="00B16204">
              <w:rPr>
                <w:rFonts w:eastAsia="Times New Roman" w:cstheme="minorHAnsi"/>
                <w:color w:val="000000"/>
                <w:sz w:val="20"/>
                <w:szCs w:val="20"/>
                <w:lang w:val="es-AR" w:eastAsia="es-AR"/>
              </w:rPr>
              <w:t>317</w:t>
            </w:r>
          </w:p>
        </w:tc>
        <w:tc>
          <w:tcPr>
            <w:tcW w:w="1134" w:type="dxa"/>
            <w:tcBorders>
              <w:top w:val="nil"/>
              <w:left w:val="nil"/>
              <w:bottom w:val="single" w:sz="4" w:space="0" w:color="auto"/>
              <w:right w:val="single" w:sz="4" w:space="0" w:color="auto"/>
            </w:tcBorders>
            <w:shd w:val="clear" w:color="auto" w:fill="auto"/>
            <w:noWrap/>
            <w:vAlign w:val="center"/>
            <w:hideMark/>
          </w:tcPr>
          <w:p w14:paraId="454D1736" w14:textId="77777777" w:rsidR="00904BDA" w:rsidRPr="00B16204" w:rsidRDefault="00904BDA" w:rsidP="00B16204">
            <w:pPr>
              <w:spacing w:after="0" w:line="192" w:lineRule="auto"/>
              <w:jc w:val="right"/>
              <w:rPr>
                <w:rFonts w:eastAsia="Times New Roman" w:cstheme="minorHAnsi"/>
                <w:color w:val="000000"/>
                <w:sz w:val="20"/>
                <w:szCs w:val="20"/>
                <w:lang w:val="es-AR" w:eastAsia="es-AR"/>
              </w:rPr>
            </w:pPr>
            <w:r w:rsidRPr="00B16204">
              <w:rPr>
                <w:rFonts w:eastAsia="Times New Roman" w:cstheme="minorHAnsi"/>
                <w:color w:val="000000"/>
                <w:sz w:val="20"/>
                <w:szCs w:val="20"/>
                <w:lang w:val="es-AR" w:eastAsia="es-AR"/>
              </w:rPr>
              <w:t>0,31</w:t>
            </w:r>
          </w:p>
        </w:tc>
      </w:tr>
      <w:tr w:rsidR="00204436" w:rsidRPr="00B16204" w14:paraId="651DF3DD" w14:textId="77777777" w:rsidTr="00B16204">
        <w:trPr>
          <w:jc w:val="center"/>
        </w:trPr>
        <w:tc>
          <w:tcPr>
            <w:tcW w:w="1134" w:type="dxa"/>
            <w:tcBorders>
              <w:top w:val="nil"/>
              <w:left w:val="single" w:sz="4" w:space="0" w:color="auto"/>
              <w:bottom w:val="single" w:sz="4" w:space="0" w:color="auto"/>
              <w:right w:val="single" w:sz="4" w:space="0" w:color="auto"/>
            </w:tcBorders>
            <w:shd w:val="clear" w:color="auto" w:fill="auto"/>
            <w:noWrap/>
            <w:vAlign w:val="center"/>
            <w:hideMark/>
          </w:tcPr>
          <w:p w14:paraId="08F6A235" w14:textId="77777777" w:rsidR="00904BDA" w:rsidRPr="00B16204" w:rsidRDefault="00904BDA" w:rsidP="00B16204">
            <w:pPr>
              <w:spacing w:after="0" w:line="192" w:lineRule="auto"/>
              <w:jc w:val="left"/>
              <w:rPr>
                <w:rFonts w:eastAsia="Times New Roman" w:cstheme="minorHAnsi"/>
                <w:b/>
                <w:bCs/>
                <w:color w:val="000000"/>
                <w:sz w:val="20"/>
                <w:szCs w:val="20"/>
                <w:lang w:val="es-AR" w:eastAsia="es-AR"/>
              </w:rPr>
            </w:pPr>
            <w:r w:rsidRPr="00B16204">
              <w:rPr>
                <w:rFonts w:eastAsia="Times New Roman" w:cstheme="minorHAnsi"/>
                <w:b/>
                <w:bCs/>
                <w:color w:val="000000"/>
                <w:sz w:val="20"/>
                <w:szCs w:val="20"/>
                <w:lang w:val="es-AR" w:eastAsia="es-AR"/>
              </w:rPr>
              <w:t>CMIEP</w:t>
            </w:r>
          </w:p>
        </w:tc>
        <w:tc>
          <w:tcPr>
            <w:tcW w:w="1701" w:type="dxa"/>
            <w:tcBorders>
              <w:top w:val="nil"/>
              <w:left w:val="nil"/>
              <w:bottom w:val="single" w:sz="4" w:space="0" w:color="auto"/>
              <w:right w:val="single" w:sz="4" w:space="0" w:color="auto"/>
            </w:tcBorders>
            <w:shd w:val="clear" w:color="000000" w:fill="FFFFFF"/>
            <w:noWrap/>
            <w:vAlign w:val="center"/>
            <w:hideMark/>
          </w:tcPr>
          <w:p w14:paraId="78B97DE7" w14:textId="77777777" w:rsidR="00904BDA" w:rsidRPr="00B16204" w:rsidRDefault="00904BDA" w:rsidP="00B16204">
            <w:pPr>
              <w:spacing w:after="0" w:line="192" w:lineRule="auto"/>
              <w:jc w:val="left"/>
              <w:rPr>
                <w:rFonts w:eastAsia="Times New Roman" w:cstheme="minorHAnsi"/>
                <w:color w:val="000000"/>
                <w:sz w:val="20"/>
                <w:szCs w:val="20"/>
                <w:lang w:val="es-AR" w:eastAsia="es-AR"/>
              </w:rPr>
            </w:pPr>
            <w:r w:rsidRPr="00B16204">
              <w:rPr>
                <w:rFonts w:eastAsia="Times New Roman" w:cstheme="minorHAnsi"/>
                <w:color w:val="000000"/>
                <w:sz w:val="20"/>
                <w:szCs w:val="20"/>
                <w:lang w:val="es-AR" w:eastAsia="es-AR"/>
              </w:rPr>
              <w:t>Inspección y revisión de equipos primarios en SE</w:t>
            </w:r>
          </w:p>
        </w:tc>
        <w:tc>
          <w:tcPr>
            <w:tcW w:w="1134" w:type="dxa"/>
            <w:tcBorders>
              <w:top w:val="nil"/>
              <w:left w:val="nil"/>
              <w:bottom w:val="single" w:sz="4" w:space="0" w:color="auto"/>
              <w:right w:val="single" w:sz="4" w:space="0" w:color="auto"/>
            </w:tcBorders>
            <w:shd w:val="clear" w:color="auto" w:fill="auto"/>
            <w:noWrap/>
            <w:vAlign w:val="center"/>
            <w:hideMark/>
          </w:tcPr>
          <w:p w14:paraId="7F1FFF06" w14:textId="77777777" w:rsidR="00904BDA" w:rsidRPr="00B16204" w:rsidRDefault="00904BDA" w:rsidP="00B16204">
            <w:pPr>
              <w:spacing w:after="0" w:line="192" w:lineRule="auto"/>
              <w:jc w:val="right"/>
              <w:rPr>
                <w:rFonts w:eastAsia="Times New Roman" w:cstheme="minorHAnsi"/>
                <w:color w:val="000000"/>
                <w:sz w:val="20"/>
                <w:szCs w:val="20"/>
                <w:lang w:val="es-AR" w:eastAsia="es-AR"/>
              </w:rPr>
            </w:pPr>
            <w:r w:rsidRPr="00B16204">
              <w:rPr>
                <w:rFonts w:eastAsia="Times New Roman" w:cstheme="minorHAnsi"/>
                <w:color w:val="000000"/>
                <w:sz w:val="20"/>
                <w:szCs w:val="20"/>
                <w:lang w:val="es-AR" w:eastAsia="es-AR"/>
              </w:rPr>
              <w:t>65.793</w:t>
            </w:r>
          </w:p>
        </w:tc>
        <w:tc>
          <w:tcPr>
            <w:tcW w:w="1134" w:type="dxa"/>
            <w:tcBorders>
              <w:top w:val="nil"/>
              <w:left w:val="nil"/>
              <w:bottom w:val="single" w:sz="4" w:space="0" w:color="auto"/>
              <w:right w:val="single" w:sz="4" w:space="0" w:color="auto"/>
            </w:tcBorders>
            <w:shd w:val="clear" w:color="auto" w:fill="auto"/>
            <w:noWrap/>
            <w:vAlign w:val="center"/>
            <w:hideMark/>
          </w:tcPr>
          <w:p w14:paraId="09878FFB" w14:textId="77777777" w:rsidR="00904BDA" w:rsidRPr="00B16204" w:rsidRDefault="00904BDA" w:rsidP="00B16204">
            <w:pPr>
              <w:spacing w:after="0" w:line="192" w:lineRule="auto"/>
              <w:jc w:val="right"/>
              <w:rPr>
                <w:rFonts w:eastAsia="Times New Roman" w:cstheme="minorHAnsi"/>
                <w:color w:val="000000"/>
                <w:sz w:val="20"/>
                <w:szCs w:val="20"/>
                <w:lang w:val="es-AR" w:eastAsia="es-AR"/>
              </w:rPr>
            </w:pPr>
            <w:r w:rsidRPr="00B16204">
              <w:rPr>
                <w:rFonts w:eastAsia="Times New Roman" w:cstheme="minorHAnsi"/>
                <w:color w:val="000000"/>
                <w:sz w:val="20"/>
                <w:szCs w:val="20"/>
                <w:lang w:val="es-AR" w:eastAsia="es-AR"/>
              </w:rPr>
              <w:t>11.070</w:t>
            </w:r>
          </w:p>
        </w:tc>
        <w:tc>
          <w:tcPr>
            <w:tcW w:w="1134" w:type="dxa"/>
            <w:tcBorders>
              <w:top w:val="nil"/>
              <w:left w:val="nil"/>
              <w:bottom w:val="single" w:sz="4" w:space="0" w:color="auto"/>
              <w:right w:val="single" w:sz="4" w:space="0" w:color="auto"/>
            </w:tcBorders>
            <w:shd w:val="clear" w:color="auto" w:fill="auto"/>
            <w:noWrap/>
            <w:vAlign w:val="center"/>
            <w:hideMark/>
          </w:tcPr>
          <w:p w14:paraId="30AB3AF8" w14:textId="77777777" w:rsidR="00904BDA" w:rsidRPr="00B16204" w:rsidRDefault="00904BDA" w:rsidP="00B16204">
            <w:pPr>
              <w:spacing w:after="0" w:line="192" w:lineRule="auto"/>
              <w:jc w:val="right"/>
              <w:rPr>
                <w:rFonts w:eastAsia="Times New Roman" w:cstheme="minorHAnsi"/>
                <w:color w:val="000000"/>
                <w:sz w:val="20"/>
                <w:szCs w:val="20"/>
                <w:lang w:val="es-AR" w:eastAsia="es-AR"/>
              </w:rPr>
            </w:pPr>
            <w:r w:rsidRPr="00B16204">
              <w:rPr>
                <w:rFonts w:eastAsia="Times New Roman" w:cstheme="minorHAnsi"/>
                <w:color w:val="000000"/>
                <w:sz w:val="20"/>
                <w:szCs w:val="20"/>
                <w:lang w:val="es-AR" w:eastAsia="es-AR"/>
              </w:rPr>
              <w:t>11.782</w:t>
            </w:r>
          </w:p>
        </w:tc>
        <w:tc>
          <w:tcPr>
            <w:tcW w:w="1134" w:type="dxa"/>
            <w:tcBorders>
              <w:top w:val="nil"/>
              <w:left w:val="nil"/>
              <w:bottom w:val="single" w:sz="4" w:space="0" w:color="auto"/>
              <w:right w:val="single" w:sz="4" w:space="0" w:color="auto"/>
            </w:tcBorders>
            <w:shd w:val="clear" w:color="auto" w:fill="auto"/>
            <w:noWrap/>
            <w:vAlign w:val="center"/>
            <w:hideMark/>
          </w:tcPr>
          <w:p w14:paraId="34020B12" w14:textId="77777777" w:rsidR="00904BDA" w:rsidRPr="00B16204" w:rsidRDefault="00904BDA" w:rsidP="00B16204">
            <w:pPr>
              <w:spacing w:after="0" w:line="192" w:lineRule="auto"/>
              <w:jc w:val="right"/>
              <w:rPr>
                <w:rFonts w:eastAsia="Times New Roman" w:cstheme="minorHAnsi"/>
                <w:color w:val="000000"/>
                <w:sz w:val="20"/>
                <w:szCs w:val="20"/>
                <w:lang w:val="es-AR" w:eastAsia="es-AR"/>
              </w:rPr>
            </w:pPr>
            <w:r w:rsidRPr="00B16204">
              <w:rPr>
                <w:rFonts w:eastAsia="Times New Roman" w:cstheme="minorHAnsi"/>
                <w:color w:val="000000"/>
                <w:sz w:val="20"/>
                <w:szCs w:val="20"/>
                <w:lang w:val="es-AR" w:eastAsia="es-AR"/>
              </w:rPr>
              <w:t>88.644</w:t>
            </w:r>
          </w:p>
        </w:tc>
        <w:tc>
          <w:tcPr>
            <w:tcW w:w="1134" w:type="dxa"/>
            <w:tcBorders>
              <w:top w:val="nil"/>
              <w:left w:val="nil"/>
              <w:bottom w:val="single" w:sz="4" w:space="0" w:color="auto"/>
              <w:right w:val="single" w:sz="4" w:space="0" w:color="auto"/>
            </w:tcBorders>
            <w:shd w:val="clear" w:color="auto" w:fill="auto"/>
            <w:noWrap/>
            <w:vAlign w:val="center"/>
            <w:hideMark/>
          </w:tcPr>
          <w:p w14:paraId="4D6F763F" w14:textId="77777777" w:rsidR="00904BDA" w:rsidRPr="00B16204" w:rsidRDefault="00904BDA" w:rsidP="00B16204">
            <w:pPr>
              <w:spacing w:after="0" w:line="192" w:lineRule="auto"/>
              <w:jc w:val="right"/>
              <w:rPr>
                <w:rFonts w:eastAsia="Times New Roman" w:cstheme="minorHAnsi"/>
                <w:color w:val="000000"/>
                <w:sz w:val="20"/>
                <w:szCs w:val="20"/>
                <w:lang w:val="es-AR" w:eastAsia="es-AR"/>
              </w:rPr>
            </w:pPr>
            <w:r w:rsidRPr="00B16204">
              <w:rPr>
                <w:rFonts w:eastAsia="Times New Roman" w:cstheme="minorHAnsi"/>
                <w:color w:val="000000"/>
                <w:sz w:val="20"/>
                <w:szCs w:val="20"/>
                <w:lang w:val="es-AR" w:eastAsia="es-AR"/>
              </w:rPr>
              <w:t>317</w:t>
            </w:r>
          </w:p>
        </w:tc>
        <w:tc>
          <w:tcPr>
            <w:tcW w:w="1134" w:type="dxa"/>
            <w:tcBorders>
              <w:top w:val="nil"/>
              <w:left w:val="nil"/>
              <w:bottom w:val="single" w:sz="4" w:space="0" w:color="auto"/>
              <w:right w:val="single" w:sz="4" w:space="0" w:color="auto"/>
            </w:tcBorders>
            <w:shd w:val="clear" w:color="auto" w:fill="auto"/>
            <w:noWrap/>
            <w:vAlign w:val="center"/>
            <w:hideMark/>
          </w:tcPr>
          <w:p w14:paraId="48183E61" w14:textId="77777777" w:rsidR="00904BDA" w:rsidRPr="00B16204" w:rsidRDefault="00904BDA" w:rsidP="00B16204">
            <w:pPr>
              <w:spacing w:after="0" w:line="192" w:lineRule="auto"/>
              <w:jc w:val="right"/>
              <w:rPr>
                <w:rFonts w:eastAsia="Times New Roman" w:cstheme="minorHAnsi"/>
                <w:color w:val="000000"/>
                <w:sz w:val="20"/>
                <w:szCs w:val="20"/>
                <w:lang w:val="es-AR" w:eastAsia="es-AR"/>
              </w:rPr>
            </w:pPr>
            <w:r w:rsidRPr="00B16204">
              <w:rPr>
                <w:rFonts w:eastAsia="Times New Roman" w:cstheme="minorHAnsi"/>
                <w:color w:val="000000"/>
                <w:sz w:val="20"/>
                <w:szCs w:val="20"/>
                <w:lang w:val="es-AR" w:eastAsia="es-AR"/>
              </w:rPr>
              <w:t>0,15</w:t>
            </w:r>
          </w:p>
        </w:tc>
      </w:tr>
      <w:tr w:rsidR="00204436" w:rsidRPr="00B16204" w14:paraId="429C07E7" w14:textId="77777777" w:rsidTr="00B16204">
        <w:trPr>
          <w:jc w:val="center"/>
        </w:trPr>
        <w:tc>
          <w:tcPr>
            <w:tcW w:w="1134" w:type="dxa"/>
            <w:tcBorders>
              <w:top w:val="nil"/>
              <w:left w:val="single" w:sz="4" w:space="0" w:color="auto"/>
              <w:bottom w:val="single" w:sz="4" w:space="0" w:color="auto"/>
              <w:right w:val="single" w:sz="4" w:space="0" w:color="auto"/>
            </w:tcBorders>
            <w:shd w:val="clear" w:color="auto" w:fill="auto"/>
            <w:noWrap/>
            <w:vAlign w:val="center"/>
            <w:hideMark/>
          </w:tcPr>
          <w:p w14:paraId="49216350" w14:textId="77777777" w:rsidR="00904BDA" w:rsidRPr="00B16204" w:rsidRDefault="00904BDA" w:rsidP="00B16204">
            <w:pPr>
              <w:spacing w:after="0" w:line="192" w:lineRule="auto"/>
              <w:jc w:val="left"/>
              <w:rPr>
                <w:rFonts w:eastAsia="Times New Roman" w:cstheme="minorHAnsi"/>
                <w:b/>
                <w:bCs/>
                <w:color w:val="000000"/>
                <w:sz w:val="20"/>
                <w:szCs w:val="20"/>
                <w:lang w:val="es-AR" w:eastAsia="es-AR"/>
              </w:rPr>
            </w:pPr>
            <w:r w:rsidRPr="00B16204">
              <w:rPr>
                <w:rFonts w:eastAsia="Times New Roman" w:cstheme="minorHAnsi"/>
                <w:b/>
                <w:bCs/>
                <w:color w:val="000000"/>
                <w:sz w:val="20"/>
                <w:szCs w:val="20"/>
                <w:lang w:val="es-AR" w:eastAsia="es-AR"/>
              </w:rPr>
              <w:t>CMLIM</w:t>
            </w:r>
          </w:p>
        </w:tc>
        <w:tc>
          <w:tcPr>
            <w:tcW w:w="1701" w:type="dxa"/>
            <w:tcBorders>
              <w:top w:val="nil"/>
              <w:left w:val="nil"/>
              <w:bottom w:val="single" w:sz="4" w:space="0" w:color="auto"/>
              <w:right w:val="single" w:sz="4" w:space="0" w:color="auto"/>
            </w:tcBorders>
            <w:shd w:val="clear" w:color="000000" w:fill="FFFFFF"/>
            <w:noWrap/>
            <w:vAlign w:val="center"/>
            <w:hideMark/>
          </w:tcPr>
          <w:p w14:paraId="20EBE1D6" w14:textId="77777777" w:rsidR="00904BDA" w:rsidRPr="00B16204" w:rsidRDefault="00904BDA" w:rsidP="00B16204">
            <w:pPr>
              <w:spacing w:after="0" w:line="192" w:lineRule="auto"/>
              <w:jc w:val="left"/>
              <w:rPr>
                <w:rFonts w:eastAsia="Times New Roman" w:cstheme="minorHAnsi"/>
                <w:color w:val="000000"/>
                <w:sz w:val="20"/>
                <w:szCs w:val="20"/>
                <w:lang w:val="es-AR" w:eastAsia="es-AR"/>
              </w:rPr>
            </w:pPr>
            <w:r w:rsidRPr="00B16204">
              <w:rPr>
                <w:rFonts w:eastAsia="Times New Roman" w:cstheme="minorHAnsi"/>
                <w:color w:val="000000"/>
                <w:sz w:val="20"/>
                <w:szCs w:val="20"/>
                <w:lang w:val="es-AR" w:eastAsia="es-AR"/>
              </w:rPr>
              <w:t>Limpieza de subestaciones</w:t>
            </w:r>
          </w:p>
        </w:tc>
        <w:tc>
          <w:tcPr>
            <w:tcW w:w="1134" w:type="dxa"/>
            <w:tcBorders>
              <w:top w:val="nil"/>
              <w:left w:val="nil"/>
              <w:bottom w:val="single" w:sz="4" w:space="0" w:color="auto"/>
              <w:right w:val="single" w:sz="4" w:space="0" w:color="auto"/>
            </w:tcBorders>
            <w:shd w:val="clear" w:color="auto" w:fill="auto"/>
            <w:noWrap/>
            <w:vAlign w:val="center"/>
            <w:hideMark/>
          </w:tcPr>
          <w:p w14:paraId="14438631" w14:textId="77777777" w:rsidR="00904BDA" w:rsidRPr="00B16204" w:rsidRDefault="00904BDA" w:rsidP="00B16204">
            <w:pPr>
              <w:spacing w:after="0" w:line="192" w:lineRule="auto"/>
              <w:jc w:val="right"/>
              <w:rPr>
                <w:rFonts w:eastAsia="Times New Roman" w:cstheme="minorHAnsi"/>
                <w:color w:val="000000"/>
                <w:sz w:val="20"/>
                <w:szCs w:val="20"/>
                <w:lang w:val="es-AR" w:eastAsia="es-AR"/>
              </w:rPr>
            </w:pPr>
            <w:r w:rsidRPr="00B16204">
              <w:rPr>
                <w:rFonts w:eastAsia="Times New Roman" w:cstheme="minorHAnsi"/>
                <w:color w:val="000000"/>
                <w:sz w:val="20"/>
                <w:szCs w:val="20"/>
                <w:lang w:val="es-AR" w:eastAsia="es-AR"/>
              </w:rPr>
              <w:t>67.248</w:t>
            </w:r>
          </w:p>
        </w:tc>
        <w:tc>
          <w:tcPr>
            <w:tcW w:w="1134" w:type="dxa"/>
            <w:tcBorders>
              <w:top w:val="nil"/>
              <w:left w:val="nil"/>
              <w:bottom w:val="single" w:sz="4" w:space="0" w:color="auto"/>
              <w:right w:val="single" w:sz="4" w:space="0" w:color="auto"/>
            </w:tcBorders>
            <w:shd w:val="clear" w:color="auto" w:fill="auto"/>
            <w:noWrap/>
            <w:vAlign w:val="center"/>
            <w:hideMark/>
          </w:tcPr>
          <w:p w14:paraId="7D7FC928" w14:textId="77777777" w:rsidR="00904BDA" w:rsidRPr="00B16204" w:rsidRDefault="00904BDA" w:rsidP="00B16204">
            <w:pPr>
              <w:spacing w:after="0" w:line="192" w:lineRule="auto"/>
              <w:jc w:val="right"/>
              <w:rPr>
                <w:rFonts w:eastAsia="Times New Roman" w:cstheme="minorHAnsi"/>
                <w:color w:val="000000"/>
                <w:sz w:val="20"/>
                <w:szCs w:val="20"/>
                <w:lang w:val="es-AR" w:eastAsia="es-AR"/>
              </w:rPr>
            </w:pPr>
            <w:r w:rsidRPr="00B16204">
              <w:rPr>
                <w:rFonts w:eastAsia="Times New Roman" w:cstheme="minorHAnsi"/>
                <w:color w:val="000000"/>
                <w:sz w:val="20"/>
                <w:szCs w:val="20"/>
                <w:lang w:val="es-AR" w:eastAsia="es-AR"/>
              </w:rPr>
              <w:t>11.070</w:t>
            </w:r>
          </w:p>
        </w:tc>
        <w:tc>
          <w:tcPr>
            <w:tcW w:w="1134" w:type="dxa"/>
            <w:tcBorders>
              <w:top w:val="nil"/>
              <w:left w:val="nil"/>
              <w:bottom w:val="single" w:sz="4" w:space="0" w:color="auto"/>
              <w:right w:val="single" w:sz="4" w:space="0" w:color="auto"/>
            </w:tcBorders>
            <w:shd w:val="clear" w:color="auto" w:fill="auto"/>
            <w:noWrap/>
            <w:vAlign w:val="center"/>
            <w:hideMark/>
          </w:tcPr>
          <w:p w14:paraId="2A550F0D" w14:textId="77777777" w:rsidR="00904BDA" w:rsidRPr="00B16204" w:rsidRDefault="00904BDA" w:rsidP="00B16204">
            <w:pPr>
              <w:spacing w:after="0" w:line="192" w:lineRule="auto"/>
              <w:jc w:val="right"/>
              <w:rPr>
                <w:rFonts w:eastAsia="Times New Roman" w:cstheme="minorHAnsi"/>
                <w:color w:val="000000"/>
                <w:sz w:val="20"/>
                <w:szCs w:val="20"/>
                <w:lang w:val="es-AR" w:eastAsia="es-AR"/>
              </w:rPr>
            </w:pPr>
            <w:r w:rsidRPr="00B16204">
              <w:rPr>
                <w:rFonts w:eastAsia="Times New Roman" w:cstheme="minorHAnsi"/>
                <w:color w:val="000000"/>
                <w:sz w:val="20"/>
                <w:szCs w:val="20"/>
                <w:lang w:val="es-AR" w:eastAsia="es-AR"/>
              </w:rPr>
              <w:t>745</w:t>
            </w:r>
          </w:p>
        </w:tc>
        <w:tc>
          <w:tcPr>
            <w:tcW w:w="1134" w:type="dxa"/>
            <w:tcBorders>
              <w:top w:val="nil"/>
              <w:left w:val="nil"/>
              <w:bottom w:val="single" w:sz="4" w:space="0" w:color="auto"/>
              <w:right w:val="single" w:sz="4" w:space="0" w:color="auto"/>
            </w:tcBorders>
            <w:shd w:val="clear" w:color="auto" w:fill="auto"/>
            <w:noWrap/>
            <w:vAlign w:val="center"/>
            <w:hideMark/>
          </w:tcPr>
          <w:p w14:paraId="1C2F2171" w14:textId="77777777" w:rsidR="00904BDA" w:rsidRPr="00B16204" w:rsidRDefault="00904BDA" w:rsidP="00B16204">
            <w:pPr>
              <w:spacing w:after="0" w:line="192" w:lineRule="auto"/>
              <w:jc w:val="right"/>
              <w:rPr>
                <w:rFonts w:eastAsia="Times New Roman" w:cstheme="minorHAnsi"/>
                <w:color w:val="000000"/>
                <w:sz w:val="20"/>
                <w:szCs w:val="20"/>
                <w:lang w:val="es-AR" w:eastAsia="es-AR"/>
              </w:rPr>
            </w:pPr>
            <w:r w:rsidRPr="00B16204">
              <w:rPr>
                <w:rFonts w:eastAsia="Times New Roman" w:cstheme="minorHAnsi"/>
                <w:color w:val="000000"/>
                <w:sz w:val="20"/>
                <w:szCs w:val="20"/>
                <w:lang w:val="es-AR" w:eastAsia="es-AR"/>
              </w:rPr>
              <w:t>79.062</w:t>
            </w:r>
          </w:p>
        </w:tc>
        <w:tc>
          <w:tcPr>
            <w:tcW w:w="1134" w:type="dxa"/>
            <w:tcBorders>
              <w:top w:val="nil"/>
              <w:left w:val="nil"/>
              <w:bottom w:val="single" w:sz="4" w:space="0" w:color="auto"/>
              <w:right w:val="single" w:sz="4" w:space="0" w:color="auto"/>
            </w:tcBorders>
            <w:shd w:val="clear" w:color="auto" w:fill="auto"/>
            <w:noWrap/>
            <w:vAlign w:val="center"/>
            <w:hideMark/>
          </w:tcPr>
          <w:p w14:paraId="5722BCF9" w14:textId="77777777" w:rsidR="00904BDA" w:rsidRPr="00B16204" w:rsidRDefault="00904BDA" w:rsidP="00B16204">
            <w:pPr>
              <w:spacing w:after="0" w:line="192" w:lineRule="auto"/>
              <w:jc w:val="right"/>
              <w:rPr>
                <w:rFonts w:eastAsia="Times New Roman" w:cstheme="minorHAnsi"/>
                <w:color w:val="000000"/>
                <w:sz w:val="20"/>
                <w:szCs w:val="20"/>
                <w:lang w:val="es-AR" w:eastAsia="es-AR"/>
              </w:rPr>
            </w:pPr>
            <w:r w:rsidRPr="00B16204">
              <w:rPr>
                <w:rFonts w:eastAsia="Times New Roman" w:cstheme="minorHAnsi"/>
                <w:color w:val="000000"/>
                <w:sz w:val="20"/>
                <w:szCs w:val="20"/>
                <w:lang w:val="es-AR" w:eastAsia="es-AR"/>
              </w:rPr>
              <w:t>397</w:t>
            </w:r>
          </w:p>
        </w:tc>
        <w:tc>
          <w:tcPr>
            <w:tcW w:w="1134" w:type="dxa"/>
            <w:tcBorders>
              <w:top w:val="nil"/>
              <w:left w:val="nil"/>
              <w:bottom w:val="single" w:sz="4" w:space="0" w:color="auto"/>
              <w:right w:val="single" w:sz="4" w:space="0" w:color="auto"/>
            </w:tcBorders>
            <w:shd w:val="clear" w:color="auto" w:fill="auto"/>
            <w:noWrap/>
            <w:vAlign w:val="center"/>
            <w:hideMark/>
          </w:tcPr>
          <w:p w14:paraId="6AB87CE3" w14:textId="77777777" w:rsidR="00904BDA" w:rsidRPr="00B16204" w:rsidRDefault="00904BDA" w:rsidP="00B16204">
            <w:pPr>
              <w:spacing w:after="0" w:line="192" w:lineRule="auto"/>
              <w:jc w:val="right"/>
              <w:rPr>
                <w:rFonts w:eastAsia="Times New Roman" w:cstheme="minorHAnsi"/>
                <w:color w:val="000000"/>
                <w:sz w:val="20"/>
                <w:szCs w:val="20"/>
                <w:lang w:val="es-AR" w:eastAsia="es-AR"/>
              </w:rPr>
            </w:pPr>
            <w:r w:rsidRPr="00B16204">
              <w:rPr>
                <w:rFonts w:eastAsia="Times New Roman" w:cstheme="minorHAnsi"/>
                <w:color w:val="000000"/>
                <w:sz w:val="20"/>
                <w:szCs w:val="20"/>
                <w:lang w:val="es-AR" w:eastAsia="es-AR"/>
              </w:rPr>
              <w:t>0,15</w:t>
            </w:r>
          </w:p>
        </w:tc>
      </w:tr>
      <w:tr w:rsidR="00204436" w:rsidRPr="00B16204" w14:paraId="455C8C8D" w14:textId="77777777" w:rsidTr="00B16204">
        <w:trPr>
          <w:jc w:val="center"/>
        </w:trPr>
        <w:tc>
          <w:tcPr>
            <w:tcW w:w="1134" w:type="dxa"/>
            <w:tcBorders>
              <w:top w:val="nil"/>
              <w:left w:val="single" w:sz="4" w:space="0" w:color="auto"/>
              <w:bottom w:val="single" w:sz="4" w:space="0" w:color="auto"/>
              <w:right w:val="single" w:sz="4" w:space="0" w:color="auto"/>
            </w:tcBorders>
            <w:shd w:val="clear" w:color="auto" w:fill="auto"/>
            <w:noWrap/>
            <w:vAlign w:val="center"/>
            <w:hideMark/>
          </w:tcPr>
          <w:p w14:paraId="76E7F0EC" w14:textId="77777777" w:rsidR="00904BDA" w:rsidRPr="00B16204" w:rsidRDefault="00904BDA" w:rsidP="00B16204">
            <w:pPr>
              <w:spacing w:after="0" w:line="192" w:lineRule="auto"/>
              <w:jc w:val="left"/>
              <w:rPr>
                <w:rFonts w:eastAsia="Times New Roman" w:cstheme="minorHAnsi"/>
                <w:b/>
                <w:bCs/>
                <w:color w:val="000000"/>
                <w:sz w:val="20"/>
                <w:szCs w:val="20"/>
                <w:lang w:val="es-AR" w:eastAsia="es-AR"/>
              </w:rPr>
            </w:pPr>
            <w:r w:rsidRPr="00B16204">
              <w:rPr>
                <w:rFonts w:eastAsia="Times New Roman" w:cstheme="minorHAnsi"/>
                <w:b/>
                <w:bCs/>
                <w:color w:val="000000"/>
                <w:sz w:val="20"/>
                <w:szCs w:val="20"/>
                <w:lang w:val="es-AR" w:eastAsia="es-AR"/>
              </w:rPr>
              <w:t>COPER</w:t>
            </w:r>
          </w:p>
        </w:tc>
        <w:tc>
          <w:tcPr>
            <w:tcW w:w="1701" w:type="dxa"/>
            <w:tcBorders>
              <w:top w:val="nil"/>
              <w:left w:val="nil"/>
              <w:bottom w:val="single" w:sz="4" w:space="0" w:color="auto"/>
              <w:right w:val="single" w:sz="4" w:space="0" w:color="auto"/>
            </w:tcBorders>
            <w:shd w:val="clear" w:color="000000" w:fill="FFFFFF"/>
            <w:noWrap/>
            <w:vAlign w:val="center"/>
            <w:hideMark/>
          </w:tcPr>
          <w:p w14:paraId="3B127CEE" w14:textId="77777777" w:rsidR="00904BDA" w:rsidRPr="00B16204" w:rsidRDefault="00904BDA" w:rsidP="00B16204">
            <w:pPr>
              <w:spacing w:after="0" w:line="192" w:lineRule="auto"/>
              <w:jc w:val="left"/>
              <w:rPr>
                <w:rFonts w:eastAsia="Times New Roman" w:cstheme="minorHAnsi"/>
                <w:color w:val="000000"/>
                <w:sz w:val="20"/>
                <w:szCs w:val="20"/>
                <w:lang w:val="es-AR" w:eastAsia="es-AR"/>
              </w:rPr>
            </w:pPr>
            <w:r w:rsidRPr="00B16204">
              <w:rPr>
                <w:rFonts w:eastAsia="Times New Roman" w:cstheme="minorHAnsi"/>
                <w:color w:val="000000"/>
                <w:sz w:val="20"/>
                <w:szCs w:val="20"/>
                <w:lang w:val="es-AR" w:eastAsia="es-AR"/>
              </w:rPr>
              <w:t>Operación en terreno</w:t>
            </w:r>
          </w:p>
        </w:tc>
        <w:tc>
          <w:tcPr>
            <w:tcW w:w="1134" w:type="dxa"/>
            <w:tcBorders>
              <w:top w:val="nil"/>
              <w:left w:val="nil"/>
              <w:bottom w:val="single" w:sz="4" w:space="0" w:color="auto"/>
              <w:right w:val="single" w:sz="4" w:space="0" w:color="auto"/>
            </w:tcBorders>
            <w:shd w:val="clear" w:color="auto" w:fill="auto"/>
            <w:noWrap/>
            <w:vAlign w:val="center"/>
            <w:hideMark/>
          </w:tcPr>
          <w:p w14:paraId="4F4F7F37" w14:textId="77777777" w:rsidR="00904BDA" w:rsidRPr="00B16204" w:rsidRDefault="00904BDA" w:rsidP="00B16204">
            <w:pPr>
              <w:spacing w:after="0" w:line="192" w:lineRule="auto"/>
              <w:jc w:val="right"/>
              <w:rPr>
                <w:rFonts w:eastAsia="Times New Roman" w:cstheme="minorHAnsi"/>
                <w:color w:val="000000"/>
                <w:sz w:val="20"/>
                <w:szCs w:val="20"/>
                <w:lang w:val="es-AR" w:eastAsia="es-AR"/>
              </w:rPr>
            </w:pPr>
            <w:r w:rsidRPr="00B16204">
              <w:rPr>
                <w:rFonts w:eastAsia="Times New Roman" w:cstheme="minorHAnsi"/>
                <w:color w:val="000000"/>
                <w:sz w:val="20"/>
                <w:szCs w:val="20"/>
                <w:lang w:val="es-AR" w:eastAsia="es-AR"/>
              </w:rPr>
              <w:t>64.521</w:t>
            </w:r>
          </w:p>
        </w:tc>
        <w:tc>
          <w:tcPr>
            <w:tcW w:w="1134" w:type="dxa"/>
            <w:tcBorders>
              <w:top w:val="nil"/>
              <w:left w:val="nil"/>
              <w:bottom w:val="single" w:sz="4" w:space="0" w:color="auto"/>
              <w:right w:val="single" w:sz="4" w:space="0" w:color="auto"/>
            </w:tcBorders>
            <w:shd w:val="clear" w:color="auto" w:fill="auto"/>
            <w:noWrap/>
            <w:vAlign w:val="center"/>
            <w:hideMark/>
          </w:tcPr>
          <w:p w14:paraId="37D04922" w14:textId="77777777" w:rsidR="00904BDA" w:rsidRPr="00B16204" w:rsidRDefault="00904BDA" w:rsidP="00B16204">
            <w:pPr>
              <w:spacing w:after="0" w:line="192" w:lineRule="auto"/>
              <w:jc w:val="right"/>
              <w:rPr>
                <w:rFonts w:eastAsia="Times New Roman" w:cstheme="minorHAnsi"/>
                <w:color w:val="000000"/>
                <w:sz w:val="20"/>
                <w:szCs w:val="20"/>
                <w:lang w:val="es-AR" w:eastAsia="es-AR"/>
              </w:rPr>
            </w:pPr>
            <w:r w:rsidRPr="00B16204">
              <w:rPr>
                <w:rFonts w:eastAsia="Times New Roman" w:cstheme="minorHAnsi"/>
                <w:color w:val="000000"/>
                <w:sz w:val="20"/>
                <w:szCs w:val="20"/>
                <w:lang w:val="es-AR" w:eastAsia="es-AR"/>
              </w:rPr>
              <w:t>11.070</w:t>
            </w:r>
          </w:p>
        </w:tc>
        <w:tc>
          <w:tcPr>
            <w:tcW w:w="1134" w:type="dxa"/>
            <w:tcBorders>
              <w:top w:val="nil"/>
              <w:left w:val="nil"/>
              <w:bottom w:val="single" w:sz="4" w:space="0" w:color="auto"/>
              <w:right w:val="single" w:sz="4" w:space="0" w:color="auto"/>
            </w:tcBorders>
            <w:shd w:val="clear" w:color="auto" w:fill="auto"/>
            <w:noWrap/>
            <w:vAlign w:val="center"/>
            <w:hideMark/>
          </w:tcPr>
          <w:p w14:paraId="4C926342" w14:textId="77777777" w:rsidR="00904BDA" w:rsidRPr="00B16204" w:rsidRDefault="00904BDA" w:rsidP="00B16204">
            <w:pPr>
              <w:spacing w:after="0" w:line="192" w:lineRule="auto"/>
              <w:jc w:val="right"/>
              <w:rPr>
                <w:rFonts w:eastAsia="Times New Roman" w:cstheme="minorHAnsi"/>
                <w:color w:val="000000"/>
                <w:sz w:val="20"/>
                <w:szCs w:val="20"/>
                <w:lang w:val="es-AR" w:eastAsia="es-AR"/>
              </w:rPr>
            </w:pPr>
            <w:r w:rsidRPr="00B16204">
              <w:rPr>
                <w:rFonts w:eastAsia="Times New Roman" w:cstheme="minorHAnsi"/>
                <w:color w:val="000000"/>
                <w:sz w:val="20"/>
                <w:szCs w:val="20"/>
                <w:lang w:val="es-AR" w:eastAsia="es-AR"/>
              </w:rPr>
              <w:t>462</w:t>
            </w:r>
          </w:p>
        </w:tc>
        <w:tc>
          <w:tcPr>
            <w:tcW w:w="1134" w:type="dxa"/>
            <w:tcBorders>
              <w:top w:val="nil"/>
              <w:left w:val="nil"/>
              <w:bottom w:val="single" w:sz="4" w:space="0" w:color="auto"/>
              <w:right w:val="single" w:sz="4" w:space="0" w:color="auto"/>
            </w:tcBorders>
            <w:shd w:val="clear" w:color="auto" w:fill="auto"/>
            <w:noWrap/>
            <w:vAlign w:val="center"/>
            <w:hideMark/>
          </w:tcPr>
          <w:p w14:paraId="26F6C6E0" w14:textId="77777777" w:rsidR="00904BDA" w:rsidRPr="00B16204" w:rsidRDefault="00904BDA" w:rsidP="00B16204">
            <w:pPr>
              <w:spacing w:after="0" w:line="192" w:lineRule="auto"/>
              <w:jc w:val="right"/>
              <w:rPr>
                <w:rFonts w:eastAsia="Times New Roman" w:cstheme="minorHAnsi"/>
                <w:color w:val="000000"/>
                <w:sz w:val="20"/>
                <w:szCs w:val="20"/>
                <w:lang w:val="es-AR" w:eastAsia="es-AR"/>
              </w:rPr>
            </w:pPr>
            <w:r w:rsidRPr="00B16204">
              <w:rPr>
                <w:rFonts w:eastAsia="Times New Roman" w:cstheme="minorHAnsi"/>
                <w:color w:val="000000"/>
                <w:sz w:val="20"/>
                <w:szCs w:val="20"/>
                <w:lang w:val="es-AR" w:eastAsia="es-AR"/>
              </w:rPr>
              <w:t>76.052</w:t>
            </w:r>
          </w:p>
        </w:tc>
        <w:tc>
          <w:tcPr>
            <w:tcW w:w="1134" w:type="dxa"/>
            <w:tcBorders>
              <w:top w:val="nil"/>
              <w:left w:val="nil"/>
              <w:bottom w:val="single" w:sz="4" w:space="0" w:color="auto"/>
              <w:right w:val="single" w:sz="4" w:space="0" w:color="auto"/>
            </w:tcBorders>
            <w:shd w:val="clear" w:color="auto" w:fill="auto"/>
            <w:noWrap/>
            <w:vAlign w:val="center"/>
            <w:hideMark/>
          </w:tcPr>
          <w:p w14:paraId="6438486E" w14:textId="77777777" w:rsidR="00904BDA" w:rsidRPr="00B16204" w:rsidRDefault="00904BDA" w:rsidP="00B16204">
            <w:pPr>
              <w:spacing w:after="0" w:line="192" w:lineRule="auto"/>
              <w:jc w:val="right"/>
              <w:rPr>
                <w:rFonts w:eastAsia="Times New Roman" w:cstheme="minorHAnsi"/>
                <w:color w:val="000000"/>
                <w:sz w:val="20"/>
                <w:szCs w:val="20"/>
                <w:lang w:val="es-AR" w:eastAsia="es-AR"/>
              </w:rPr>
            </w:pPr>
            <w:r w:rsidRPr="00B16204">
              <w:rPr>
                <w:rFonts w:eastAsia="Times New Roman" w:cstheme="minorHAnsi"/>
                <w:color w:val="000000"/>
                <w:sz w:val="20"/>
                <w:szCs w:val="20"/>
                <w:lang w:val="es-AR" w:eastAsia="es-AR"/>
              </w:rPr>
              <w:t>317</w:t>
            </w:r>
          </w:p>
        </w:tc>
        <w:tc>
          <w:tcPr>
            <w:tcW w:w="1134" w:type="dxa"/>
            <w:tcBorders>
              <w:top w:val="nil"/>
              <w:left w:val="nil"/>
              <w:bottom w:val="single" w:sz="4" w:space="0" w:color="auto"/>
              <w:right w:val="single" w:sz="4" w:space="0" w:color="auto"/>
            </w:tcBorders>
            <w:shd w:val="clear" w:color="auto" w:fill="auto"/>
            <w:noWrap/>
            <w:vAlign w:val="center"/>
            <w:hideMark/>
          </w:tcPr>
          <w:p w14:paraId="5E3F819F" w14:textId="77777777" w:rsidR="00904BDA" w:rsidRPr="00B16204" w:rsidRDefault="00904BDA" w:rsidP="00B16204">
            <w:pPr>
              <w:spacing w:after="0" w:line="192" w:lineRule="auto"/>
              <w:jc w:val="right"/>
              <w:rPr>
                <w:rFonts w:eastAsia="Times New Roman" w:cstheme="minorHAnsi"/>
                <w:color w:val="000000"/>
                <w:sz w:val="20"/>
                <w:szCs w:val="20"/>
                <w:lang w:val="es-AR" w:eastAsia="es-AR"/>
              </w:rPr>
            </w:pPr>
            <w:r w:rsidRPr="00B16204">
              <w:rPr>
                <w:rFonts w:eastAsia="Times New Roman" w:cstheme="minorHAnsi"/>
                <w:color w:val="000000"/>
                <w:sz w:val="20"/>
                <w:szCs w:val="20"/>
                <w:lang w:val="es-AR" w:eastAsia="es-AR"/>
              </w:rPr>
              <w:t>0,15</w:t>
            </w:r>
          </w:p>
        </w:tc>
      </w:tr>
      <w:tr w:rsidR="00204436" w:rsidRPr="00B16204" w14:paraId="550A363B" w14:textId="77777777" w:rsidTr="00B16204">
        <w:trPr>
          <w:jc w:val="center"/>
        </w:trPr>
        <w:tc>
          <w:tcPr>
            <w:tcW w:w="1134" w:type="dxa"/>
            <w:tcBorders>
              <w:top w:val="nil"/>
              <w:left w:val="single" w:sz="4" w:space="0" w:color="auto"/>
              <w:bottom w:val="single" w:sz="4" w:space="0" w:color="auto"/>
              <w:right w:val="single" w:sz="4" w:space="0" w:color="auto"/>
            </w:tcBorders>
            <w:shd w:val="clear" w:color="auto" w:fill="auto"/>
            <w:noWrap/>
            <w:vAlign w:val="center"/>
            <w:hideMark/>
          </w:tcPr>
          <w:p w14:paraId="0A88C442" w14:textId="77777777" w:rsidR="00904BDA" w:rsidRPr="00B16204" w:rsidRDefault="00904BDA" w:rsidP="00B16204">
            <w:pPr>
              <w:spacing w:after="0" w:line="192" w:lineRule="auto"/>
              <w:jc w:val="left"/>
              <w:rPr>
                <w:rFonts w:eastAsia="Times New Roman" w:cstheme="minorHAnsi"/>
                <w:b/>
                <w:bCs/>
                <w:color w:val="000000"/>
                <w:sz w:val="20"/>
                <w:szCs w:val="20"/>
                <w:lang w:val="es-AR" w:eastAsia="es-AR"/>
              </w:rPr>
            </w:pPr>
            <w:r w:rsidRPr="00B16204">
              <w:rPr>
                <w:rFonts w:eastAsia="Times New Roman" w:cstheme="minorHAnsi"/>
                <w:b/>
                <w:bCs/>
                <w:color w:val="000000"/>
                <w:sz w:val="20"/>
                <w:szCs w:val="20"/>
                <w:lang w:val="es-AR" w:eastAsia="es-AR"/>
              </w:rPr>
              <w:t>CMLSE</w:t>
            </w:r>
          </w:p>
        </w:tc>
        <w:tc>
          <w:tcPr>
            <w:tcW w:w="1701" w:type="dxa"/>
            <w:tcBorders>
              <w:top w:val="nil"/>
              <w:left w:val="nil"/>
              <w:bottom w:val="single" w:sz="4" w:space="0" w:color="auto"/>
              <w:right w:val="single" w:sz="4" w:space="0" w:color="auto"/>
            </w:tcBorders>
            <w:shd w:val="clear" w:color="000000" w:fill="FFFFFF"/>
            <w:noWrap/>
            <w:vAlign w:val="center"/>
            <w:hideMark/>
          </w:tcPr>
          <w:p w14:paraId="3BDDD2F2" w14:textId="77777777" w:rsidR="00904BDA" w:rsidRPr="00B16204" w:rsidRDefault="00904BDA" w:rsidP="00B16204">
            <w:pPr>
              <w:spacing w:after="0" w:line="192" w:lineRule="auto"/>
              <w:jc w:val="left"/>
              <w:rPr>
                <w:rFonts w:eastAsia="Times New Roman" w:cstheme="minorHAnsi"/>
                <w:color w:val="000000"/>
                <w:sz w:val="20"/>
                <w:szCs w:val="20"/>
                <w:lang w:val="es-AR" w:eastAsia="es-AR"/>
              </w:rPr>
            </w:pPr>
            <w:r w:rsidRPr="00B16204">
              <w:rPr>
                <w:rFonts w:eastAsia="Times New Roman" w:cstheme="minorHAnsi"/>
                <w:color w:val="000000"/>
                <w:sz w:val="20"/>
                <w:szCs w:val="20"/>
                <w:lang w:val="es-AR" w:eastAsia="es-AR"/>
              </w:rPr>
              <w:t>Lavado de Subestaciones</w:t>
            </w:r>
          </w:p>
        </w:tc>
        <w:tc>
          <w:tcPr>
            <w:tcW w:w="1134" w:type="dxa"/>
            <w:tcBorders>
              <w:top w:val="nil"/>
              <w:left w:val="nil"/>
              <w:bottom w:val="single" w:sz="4" w:space="0" w:color="auto"/>
              <w:right w:val="single" w:sz="4" w:space="0" w:color="auto"/>
            </w:tcBorders>
            <w:shd w:val="clear" w:color="auto" w:fill="auto"/>
            <w:noWrap/>
            <w:vAlign w:val="center"/>
            <w:hideMark/>
          </w:tcPr>
          <w:p w14:paraId="47F265E1" w14:textId="77777777" w:rsidR="00904BDA" w:rsidRPr="00B16204" w:rsidRDefault="00904BDA" w:rsidP="00B16204">
            <w:pPr>
              <w:spacing w:after="0" w:line="192" w:lineRule="auto"/>
              <w:jc w:val="right"/>
              <w:rPr>
                <w:rFonts w:eastAsia="Times New Roman" w:cstheme="minorHAnsi"/>
                <w:color w:val="000000"/>
                <w:sz w:val="20"/>
                <w:szCs w:val="20"/>
                <w:lang w:val="es-AR" w:eastAsia="es-AR"/>
              </w:rPr>
            </w:pPr>
            <w:r w:rsidRPr="00B16204">
              <w:rPr>
                <w:rFonts w:eastAsia="Times New Roman" w:cstheme="minorHAnsi"/>
                <w:color w:val="000000"/>
                <w:sz w:val="20"/>
                <w:szCs w:val="20"/>
                <w:lang w:val="es-AR" w:eastAsia="es-AR"/>
              </w:rPr>
              <w:t>73.363</w:t>
            </w:r>
          </w:p>
        </w:tc>
        <w:tc>
          <w:tcPr>
            <w:tcW w:w="1134" w:type="dxa"/>
            <w:tcBorders>
              <w:top w:val="nil"/>
              <w:left w:val="nil"/>
              <w:bottom w:val="single" w:sz="4" w:space="0" w:color="auto"/>
              <w:right w:val="single" w:sz="4" w:space="0" w:color="auto"/>
            </w:tcBorders>
            <w:shd w:val="clear" w:color="auto" w:fill="auto"/>
            <w:noWrap/>
            <w:vAlign w:val="center"/>
            <w:hideMark/>
          </w:tcPr>
          <w:p w14:paraId="393B4C05" w14:textId="77777777" w:rsidR="00904BDA" w:rsidRPr="00B16204" w:rsidRDefault="00904BDA" w:rsidP="00B16204">
            <w:pPr>
              <w:spacing w:after="0" w:line="192" w:lineRule="auto"/>
              <w:jc w:val="right"/>
              <w:rPr>
                <w:rFonts w:eastAsia="Times New Roman" w:cstheme="minorHAnsi"/>
                <w:color w:val="000000"/>
                <w:sz w:val="20"/>
                <w:szCs w:val="20"/>
                <w:lang w:val="es-AR" w:eastAsia="es-AR"/>
              </w:rPr>
            </w:pPr>
            <w:r w:rsidRPr="00B16204">
              <w:rPr>
                <w:rFonts w:eastAsia="Times New Roman" w:cstheme="minorHAnsi"/>
                <w:color w:val="000000"/>
                <w:sz w:val="20"/>
                <w:szCs w:val="20"/>
                <w:lang w:val="es-AR" w:eastAsia="es-AR"/>
              </w:rPr>
              <w:t>185.310</w:t>
            </w:r>
          </w:p>
        </w:tc>
        <w:tc>
          <w:tcPr>
            <w:tcW w:w="1134" w:type="dxa"/>
            <w:tcBorders>
              <w:top w:val="nil"/>
              <w:left w:val="nil"/>
              <w:bottom w:val="single" w:sz="4" w:space="0" w:color="auto"/>
              <w:right w:val="single" w:sz="4" w:space="0" w:color="auto"/>
            </w:tcBorders>
            <w:shd w:val="clear" w:color="auto" w:fill="auto"/>
            <w:noWrap/>
            <w:vAlign w:val="center"/>
            <w:hideMark/>
          </w:tcPr>
          <w:p w14:paraId="32E02925" w14:textId="77777777" w:rsidR="00904BDA" w:rsidRPr="00B16204" w:rsidRDefault="00904BDA" w:rsidP="00B16204">
            <w:pPr>
              <w:spacing w:after="0" w:line="192" w:lineRule="auto"/>
              <w:jc w:val="right"/>
              <w:rPr>
                <w:rFonts w:eastAsia="Times New Roman" w:cstheme="minorHAnsi"/>
                <w:color w:val="000000"/>
                <w:sz w:val="20"/>
                <w:szCs w:val="20"/>
                <w:lang w:val="es-AR" w:eastAsia="es-AR"/>
              </w:rPr>
            </w:pPr>
            <w:r w:rsidRPr="00B16204">
              <w:rPr>
                <w:rFonts w:eastAsia="Times New Roman" w:cstheme="minorHAnsi"/>
                <w:color w:val="000000"/>
                <w:sz w:val="20"/>
                <w:szCs w:val="20"/>
                <w:lang w:val="es-AR" w:eastAsia="es-AR"/>
              </w:rPr>
              <w:t>1.449</w:t>
            </w:r>
          </w:p>
        </w:tc>
        <w:tc>
          <w:tcPr>
            <w:tcW w:w="1134" w:type="dxa"/>
            <w:tcBorders>
              <w:top w:val="nil"/>
              <w:left w:val="nil"/>
              <w:bottom w:val="single" w:sz="4" w:space="0" w:color="auto"/>
              <w:right w:val="single" w:sz="4" w:space="0" w:color="auto"/>
            </w:tcBorders>
            <w:shd w:val="clear" w:color="auto" w:fill="auto"/>
            <w:noWrap/>
            <w:vAlign w:val="center"/>
            <w:hideMark/>
          </w:tcPr>
          <w:p w14:paraId="5C97354D" w14:textId="77777777" w:rsidR="00904BDA" w:rsidRPr="00B16204" w:rsidRDefault="00904BDA" w:rsidP="00B16204">
            <w:pPr>
              <w:spacing w:after="0" w:line="192" w:lineRule="auto"/>
              <w:jc w:val="right"/>
              <w:rPr>
                <w:rFonts w:eastAsia="Times New Roman" w:cstheme="minorHAnsi"/>
                <w:color w:val="000000"/>
                <w:sz w:val="20"/>
                <w:szCs w:val="20"/>
                <w:lang w:val="es-AR" w:eastAsia="es-AR"/>
              </w:rPr>
            </w:pPr>
            <w:r w:rsidRPr="00B16204">
              <w:rPr>
                <w:rFonts w:eastAsia="Times New Roman" w:cstheme="minorHAnsi"/>
                <w:color w:val="000000"/>
                <w:sz w:val="20"/>
                <w:szCs w:val="20"/>
                <w:lang w:val="es-AR" w:eastAsia="es-AR"/>
              </w:rPr>
              <w:t>260.121</w:t>
            </w:r>
          </w:p>
        </w:tc>
        <w:tc>
          <w:tcPr>
            <w:tcW w:w="1134" w:type="dxa"/>
            <w:tcBorders>
              <w:top w:val="nil"/>
              <w:left w:val="nil"/>
              <w:bottom w:val="single" w:sz="4" w:space="0" w:color="auto"/>
              <w:right w:val="single" w:sz="4" w:space="0" w:color="auto"/>
            </w:tcBorders>
            <w:shd w:val="clear" w:color="auto" w:fill="auto"/>
            <w:noWrap/>
            <w:vAlign w:val="center"/>
            <w:hideMark/>
          </w:tcPr>
          <w:p w14:paraId="2FE4A20A" w14:textId="77777777" w:rsidR="00904BDA" w:rsidRPr="00B16204" w:rsidRDefault="00904BDA" w:rsidP="00B16204">
            <w:pPr>
              <w:spacing w:after="0" w:line="192" w:lineRule="auto"/>
              <w:jc w:val="right"/>
              <w:rPr>
                <w:rFonts w:eastAsia="Times New Roman" w:cstheme="minorHAnsi"/>
                <w:color w:val="000000"/>
                <w:sz w:val="20"/>
                <w:szCs w:val="20"/>
                <w:lang w:val="es-AR" w:eastAsia="es-AR"/>
              </w:rPr>
            </w:pPr>
            <w:r w:rsidRPr="00B16204">
              <w:rPr>
                <w:rFonts w:eastAsia="Times New Roman" w:cstheme="minorHAnsi"/>
                <w:color w:val="000000"/>
                <w:sz w:val="20"/>
                <w:szCs w:val="20"/>
                <w:lang w:val="es-AR" w:eastAsia="es-AR"/>
              </w:rPr>
              <w:t>397</w:t>
            </w:r>
          </w:p>
        </w:tc>
        <w:tc>
          <w:tcPr>
            <w:tcW w:w="1134" w:type="dxa"/>
            <w:tcBorders>
              <w:top w:val="nil"/>
              <w:left w:val="nil"/>
              <w:bottom w:val="single" w:sz="4" w:space="0" w:color="auto"/>
              <w:right w:val="single" w:sz="4" w:space="0" w:color="auto"/>
            </w:tcBorders>
            <w:shd w:val="clear" w:color="auto" w:fill="auto"/>
            <w:noWrap/>
            <w:vAlign w:val="center"/>
            <w:hideMark/>
          </w:tcPr>
          <w:p w14:paraId="71293604" w14:textId="77777777" w:rsidR="00904BDA" w:rsidRPr="00B16204" w:rsidRDefault="00904BDA" w:rsidP="00B16204">
            <w:pPr>
              <w:spacing w:after="0" w:line="192" w:lineRule="auto"/>
              <w:jc w:val="right"/>
              <w:rPr>
                <w:rFonts w:eastAsia="Times New Roman" w:cstheme="minorHAnsi"/>
                <w:color w:val="000000"/>
                <w:sz w:val="20"/>
                <w:szCs w:val="20"/>
                <w:lang w:val="es-AR" w:eastAsia="es-AR"/>
              </w:rPr>
            </w:pPr>
            <w:r w:rsidRPr="00B16204">
              <w:rPr>
                <w:rFonts w:eastAsia="Times New Roman" w:cstheme="minorHAnsi"/>
                <w:color w:val="000000"/>
                <w:sz w:val="20"/>
                <w:szCs w:val="20"/>
                <w:lang w:val="es-AR" w:eastAsia="es-AR"/>
              </w:rPr>
              <w:t>0,39</w:t>
            </w:r>
          </w:p>
        </w:tc>
      </w:tr>
      <w:tr w:rsidR="00204436" w:rsidRPr="00B16204" w14:paraId="2611F48C" w14:textId="77777777" w:rsidTr="00B16204">
        <w:trPr>
          <w:jc w:val="center"/>
        </w:trPr>
        <w:tc>
          <w:tcPr>
            <w:tcW w:w="1134" w:type="dxa"/>
            <w:tcBorders>
              <w:top w:val="nil"/>
              <w:left w:val="single" w:sz="4" w:space="0" w:color="auto"/>
              <w:bottom w:val="single" w:sz="4" w:space="0" w:color="auto"/>
              <w:right w:val="single" w:sz="4" w:space="0" w:color="auto"/>
            </w:tcBorders>
            <w:shd w:val="clear" w:color="auto" w:fill="auto"/>
            <w:noWrap/>
            <w:vAlign w:val="center"/>
            <w:hideMark/>
          </w:tcPr>
          <w:p w14:paraId="03CF5C2A" w14:textId="77777777" w:rsidR="00904BDA" w:rsidRPr="00B16204" w:rsidRDefault="00904BDA" w:rsidP="00B16204">
            <w:pPr>
              <w:spacing w:after="0" w:line="192" w:lineRule="auto"/>
              <w:jc w:val="left"/>
              <w:rPr>
                <w:rFonts w:eastAsia="Times New Roman" w:cstheme="minorHAnsi"/>
                <w:b/>
                <w:bCs/>
                <w:color w:val="000000"/>
                <w:sz w:val="20"/>
                <w:szCs w:val="20"/>
                <w:lang w:val="es-AR" w:eastAsia="es-AR"/>
              </w:rPr>
            </w:pPr>
            <w:r w:rsidRPr="00B16204">
              <w:rPr>
                <w:rFonts w:eastAsia="Times New Roman" w:cstheme="minorHAnsi"/>
                <w:b/>
                <w:bCs/>
                <w:color w:val="000000"/>
                <w:sz w:val="20"/>
                <w:szCs w:val="20"/>
                <w:lang w:val="es-AR" w:eastAsia="es-AR"/>
              </w:rPr>
              <w:t>CMREP</w:t>
            </w:r>
          </w:p>
        </w:tc>
        <w:tc>
          <w:tcPr>
            <w:tcW w:w="1701" w:type="dxa"/>
            <w:tcBorders>
              <w:top w:val="nil"/>
              <w:left w:val="nil"/>
              <w:bottom w:val="single" w:sz="4" w:space="0" w:color="auto"/>
              <w:right w:val="single" w:sz="4" w:space="0" w:color="auto"/>
            </w:tcBorders>
            <w:shd w:val="clear" w:color="000000" w:fill="FFFFFF"/>
            <w:noWrap/>
            <w:vAlign w:val="center"/>
            <w:hideMark/>
          </w:tcPr>
          <w:p w14:paraId="450F6BDC" w14:textId="77777777" w:rsidR="00904BDA" w:rsidRPr="00B16204" w:rsidRDefault="00904BDA" w:rsidP="00B16204">
            <w:pPr>
              <w:spacing w:after="0" w:line="192" w:lineRule="auto"/>
              <w:jc w:val="left"/>
              <w:rPr>
                <w:rFonts w:eastAsia="Times New Roman" w:cstheme="minorHAnsi"/>
                <w:color w:val="000000"/>
                <w:sz w:val="20"/>
                <w:szCs w:val="20"/>
                <w:lang w:val="es-AR" w:eastAsia="es-AR"/>
              </w:rPr>
            </w:pPr>
            <w:r w:rsidRPr="00B16204">
              <w:rPr>
                <w:rFonts w:eastAsia="Times New Roman" w:cstheme="minorHAnsi"/>
                <w:color w:val="000000"/>
                <w:sz w:val="20"/>
                <w:szCs w:val="20"/>
                <w:lang w:val="es-AR" w:eastAsia="es-AR"/>
              </w:rPr>
              <w:t>Reparación de equipos primarios en SE</w:t>
            </w:r>
          </w:p>
        </w:tc>
        <w:tc>
          <w:tcPr>
            <w:tcW w:w="1134" w:type="dxa"/>
            <w:tcBorders>
              <w:top w:val="nil"/>
              <w:left w:val="nil"/>
              <w:bottom w:val="single" w:sz="4" w:space="0" w:color="auto"/>
              <w:right w:val="single" w:sz="4" w:space="0" w:color="auto"/>
            </w:tcBorders>
            <w:shd w:val="clear" w:color="auto" w:fill="auto"/>
            <w:noWrap/>
            <w:vAlign w:val="center"/>
            <w:hideMark/>
          </w:tcPr>
          <w:p w14:paraId="7BA99E07" w14:textId="77777777" w:rsidR="00904BDA" w:rsidRPr="00B16204" w:rsidRDefault="00904BDA" w:rsidP="00B16204">
            <w:pPr>
              <w:spacing w:after="0" w:line="192" w:lineRule="auto"/>
              <w:jc w:val="right"/>
              <w:rPr>
                <w:rFonts w:eastAsia="Times New Roman" w:cstheme="minorHAnsi"/>
                <w:color w:val="000000"/>
                <w:sz w:val="20"/>
                <w:szCs w:val="20"/>
                <w:lang w:val="es-AR" w:eastAsia="es-AR"/>
              </w:rPr>
            </w:pPr>
            <w:r w:rsidRPr="00B16204">
              <w:rPr>
                <w:rFonts w:eastAsia="Times New Roman" w:cstheme="minorHAnsi"/>
                <w:color w:val="000000"/>
                <w:sz w:val="20"/>
                <w:szCs w:val="20"/>
                <w:lang w:val="es-AR" w:eastAsia="es-AR"/>
              </w:rPr>
              <w:t>75.395</w:t>
            </w:r>
          </w:p>
        </w:tc>
        <w:tc>
          <w:tcPr>
            <w:tcW w:w="1134" w:type="dxa"/>
            <w:tcBorders>
              <w:top w:val="nil"/>
              <w:left w:val="nil"/>
              <w:bottom w:val="single" w:sz="4" w:space="0" w:color="auto"/>
              <w:right w:val="single" w:sz="4" w:space="0" w:color="auto"/>
            </w:tcBorders>
            <w:shd w:val="clear" w:color="auto" w:fill="auto"/>
            <w:noWrap/>
            <w:vAlign w:val="center"/>
            <w:hideMark/>
          </w:tcPr>
          <w:p w14:paraId="35205AD8" w14:textId="77777777" w:rsidR="00904BDA" w:rsidRPr="00B16204" w:rsidRDefault="00904BDA" w:rsidP="00B16204">
            <w:pPr>
              <w:spacing w:after="0" w:line="192" w:lineRule="auto"/>
              <w:jc w:val="right"/>
              <w:rPr>
                <w:rFonts w:eastAsia="Times New Roman" w:cstheme="minorHAnsi"/>
                <w:color w:val="000000"/>
                <w:sz w:val="20"/>
                <w:szCs w:val="20"/>
                <w:lang w:val="es-AR" w:eastAsia="es-AR"/>
              </w:rPr>
            </w:pPr>
            <w:r w:rsidRPr="00B16204">
              <w:rPr>
                <w:rFonts w:eastAsia="Times New Roman" w:cstheme="minorHAnsi"/>
                <w:color w:val="000000"/>
                <w:sz w:val="20"/>
                <w:szCs w:val="20"/>
                <w:lang w:val="es-AR" w:eastAsia="es-AR"/>
              </w:rPr>
              <w:t>11.070</w:t>
            </w:r>
          </w:p>
        </w:tc>
        <w:tc>
          <w:tcPr>
            <w:tcW w:w="1134" w:type="dxa"/>
            <w:tcBorders>
              <w:top w:val="nil"/>
              <w:left w:val="nil"/>
              <w:bottom w:val="single" w:sz="4" w:space="0" w:color="auto"/>
              <w:right w:val="single" w:sz="4" w:space="0" w:color="auto"/>
            </w:tcBorders>
            <w:shd w:val="clear" w:color="auto" w:fill="auto"/>
            <w:noWrap/>
            <w:vAlign w:val="center"/>
            <w:hideMark/>
          </w:tcPr>
          <w:p w14:paraId="3549E451" w14:textId="77777777" w:rsidR="00904BDA" w:rsidRPr="00B16204" w:rsidRDefault="00904BDA" w:rsidP="00B16204">
            <w:pPr>
              <w:spacing w:after="0" w:line="192" w:lineRule="auto"/>
              <w:jc w:val="right"/>
              <w:rPr>
                <w:rFonts w:eastAsia="Times New Roman" w:cstheme="minorHAnsi"/>
                <w:color w:val="000000"/>
                <w:sz w:val="20"/>
                <w:szCs w:val="20"/>
                <w:lang w:val="es-AR" w:eastAsia="es-AR"/>
              </w:rPr>
            </w:pPr>
            <w:r w:rsidRPr="00B16204">
              <w:rPr>
                <w:rFonts w:eastAsia="Times New Roman" w:cstheme="minorHAnsi"/>
                <w:color w:val="000000"/>
                <w:sz w:val="20"/>
                <w:szCs w:val="20"/>
                <w:lang w:val="es-AR" w:eastAsia="es-AR"/>
              </w:rPr>
              <w:t>6.416</w:t>
            </w:r>
          </w:p>
        </w:tc>
        <w:tc>
          <w:tcPr>
            <w:tcW w:w="1134" w:type="dxa"/>
            <w:tcBorders>
              <w:top w:val="nil"/>
              <w:left w:val="nil"/>
              <w:bottom w:val="single" w:sz="4" w:space="0" w:color="auto"/>
              <w:right w:val="single" w:sz="4" w:space="0" w:color="auto"/>
            </w:tcBorders>
            <w:shd w:val="clear" w:color="auto" w:fill="auto"/>
            <w:noWrap/>
            <w:vAlign w:val="center"/>
            <w:hideMark/>
          </w:tcPr>
          <w:p w14:paraId="6EC8B4B7" w14:textId="77777777" w:rsidR="00904BDA" w:rsidRPr="00B16204" w:rsidRDefault="00904BDA" w:rsidP="00B16204">
            <w:pPr>
              <w:spacing w:after="0" w:line="192" w:lineRule="auto"/>
              <w:jc w:val="right"/>
              <w:rPr>
                <w:rFonts w:eastAsia="Times New Roman" w:cstheme="minorHAnsi"/>
                <w:color w:val="000000"/>
                <w:sz w:val="20"/>
                <w:szCs w:val="20"/>
                <w:lang w:val="es-AR" w:eastAsia="es-AR"/>
              </w:rPr>
            </w:pPr>
            <w:r w:rsidRPr="00B16204">
              <w:rPr>
                <w:rFonts w:eastAsia="Times New Roman" w:cstheme="minorHAnsi"/>
                <w:color w:val="000000"/>
                <w:sz w:val="20"/>
                <w:szCs w:val="20"/>
                <w:lang w:val="es-AR" w:eastAsia="es-AR"/>
              </w:rPr>
              <w:t>92.880</w:t>
            </w:r>
          </w:p>
        </w:tc>
        <w:tc>
          <w:tcPr>
            <w:tcW w:w="1134" w:type="dxa"/>
            <w:tcBorders>
              <w:top w:val="nil"/>
              <w:left w:val="nil"/>
              <w:bottom w:val="single" w:sz="4" w:space="0" w:color="auto"/>
              <w:right w:val="single" w:sz="4" w:space="0" w:color="auto"/>
            </w:tcBorders>
            <w:shd w:val="clear" w:color="auto" w:fill="auto"/>
            <w:noWrap/>
            <w:vAlign w:val="center"/>
            <w:hideMark/>
          </w:tcPr>
          <w:p w14:paraId="24C9C0A6" w14:textId="77777777" w:rsidR="00904BDA" w:rsidRPr="00B16204" w:rsidRDefault="00904BDA" w:rsidP="00B16204">
            <w:pPr>
              <w:spacing w:after="0" w:line="192" w:lineRule="auto"/>
              <w:jc w:val="right"/>
              <w:rPr>
                <w:rFonts w:eastAsia="Times New Roman" w:cstheme="minorHAnsi"/>
                <w:color w:val="000000"/>
                <w:sz w:val="20"/>
                <w:szCs w:val="20"/>
                <w:lang w:val="es-AR" w:eastAsia="es-AR"/>
              </w:rPr>
            </w:pPr>
            <w:r w:rsidRPr="00B16204">
              <w:rPr>
                <w:rFonts w:eastAsia="Times New Roman" w:cstheme="minorHAnsi"/>
                <w:color w:val="000000"/>
                <w:sz w:val="20"/>
                <w:szCs w:val="20"/>
                <w:lang w:val="es-AR" w:eastAsia="es-AR"/>
              </w:rPr>
              <w:t>397</w:t>
            </w:r>
          </w:p>
        </w:tc>
        <w:tc>
          <w:tcPr>
            <w:tcW w:w="1134" w:type="dxa"/>
            <w:tcBorders>
              <w:top w:val="nil"/>
              <w:left w:val="nil"/>
              <w:bottom w:val="single" w:sz="4" w:space="0" w:color="auto"/>
              <w:right w:val="single" w:sz="4" w:space="0" w:color="auto"/>
            </w:tcBorders>
            <w:shd w:val="clear" w:color="auto" w:fill="auto"/>
            <w:noWrap/>
            <w:vAlign w:val="center"/>
            <w:hideMark/>
          </w:tcPr>
          <w:p w14:paraId="6AF076FF" w14:textId="77777777" w:rsidR="00904BDA" w:rsidRPr="00B16204" w:rsidRDefault="00904BDA" w:rsidP="00B16204">
            <w:pPr>
              <w:spacing w:after="0" w:line="192" w:lineRule="auto"/>
              <w:jc w:val="right"/>
              <w:rPr>
                <w:rFonts w:eastAsia="Times New Roman" w:cstheme="minorHAnsi"/>
                <w:color w:val="000000"/>
                <w:sz w:val="20"/>
                <w:szCs w:val="20"/>
                <w:lang w:val="es-AR" w:eastAsia="es-AR"/>
              </w:rPr>
            </w:pPr>
            <w:r w:rsidRPr="00B16204">
              <w:rPr>
                <w:rFonts w:eastAsia="Times New Roman" w:cstheme="minorHAnsi"/>
                <w:color w:val="000000"/>
                <w:sz w:val="20"/>
                <w:szCs w:val="20"/>
                <w:lang w:val="es-AR" w:eastAsia="es-AR"/>
              </w:rPr>
              <w:t>0,15</w:t>
            </w:r>
          </w:p>
        </w:tc>
      </w:tr>
      <w:tr w:rsidR="00204436" w:rsidRPr="00B16204" w14:paraId="6FD73206" w14:textId="77777777" w:rsidTr="00B16204">
        <w:trPr>
          <w:jc w:val="center"/>
        </w:trPr>
        <w:tc>
          <w:tcPr>
            <w:tcW w:w="1134" w:type="dxa"/>
            <w:tcBorders>
              <w:top w:val="nil"/>
              <w:left w:val="single" w:sz="4" w:space="0" w:color="auto"/>
              <w:bottom w:val="single" w:sz="4" w:space="0" w:color="auto"/>
              <w:right w:val="single" w:sz="4" w:space="0" w:color="auto"/>
            </w:tcBorders>
            <w:shd w:val="clear" w:color="auto" w:fill="auto"/>
            <w:noWrap/>
            <w:vAlign w:val="center"/>
            <w:hideMark/>
          </w:tcPr>
          <w:p w14:paraId="19DF6585" w14:textId="77777777" w:rsidR="00904BDA" w:rsidRPr="00B16204" w:rsidRDefault="00904BDA" w:rsidP="00B16204">
            <w:pPr>
              <w:spacing w:after="0" w:line="192" w:lineRule="auto"/>
              <w:jc w:val="left"/>
              <w:rPr>
                <w:rFonts w:eastAsia="Times New Roman" w:cstheme="minorHAnsi"/>
                <w:b/>
                <w:bCs/>
                <w:color w:val="000000"/>
                <w:sz w:val="20"/>
                <w:szCs w:val="20"/>
                <w:lang w:val="es-AR" w:eastAsia="es-AR"/>
              </w:rPr>
            </w:pPr>
            <w:r w:rsidRPr="00B16204">
              <w:rPr>
                <w:rFonts w:eastAsia="Times New Roman" w:cstheme="minorHAnsi"/>
                <w:b/>
                <w:bCs/>
                <w:color w:val="000000"/>
                <w:sz w:val="20"/>
                <w:szCs w:val="20"/>
                <w:lang w:val="es-AR" w:eastAsia="es-AR"/>
              </w:rPr>
              <w:t>CMEPSA</w:t>
            </w:r>
          </w:p>
        </w:tc>
        <w:tc>
          <w:tcPr>
            <w:tcW w:w="1701" w:type="dxa"/>
            <w:tcBorders>
              <w:top w:val="nil"/>
              <w:left w:val="nil"/>
              <w:bottom w:val="single" w:sz="4" w:space="0" w:color="auto"/>
              <w:right w:val="single" w:sz="4" w:space="0" w:color="auto"/>
            </w:tcBorders>
            <w:shd w:val="clear" w:color="000000" w:fill="FFFFFF"/>
            <w:noWrap/>
            <w:vAlign w:val="center"/>
            <w:hideMark/>
          </w:tcPr>
          <w:p w14:paraId="2A465DCF" w14:textId="62407949" w:rsidR="00904BDA" w:rsidRPr="00B16204" w:rsidRDefault="00904BDA" w:rsidP="00B16204">
            <w:pPr>
              <w:spacing w:after="0" w:line="192" w:lineRule="auto"/>
              <w:jc w:val="left"/>
              <w:rPr>
                <w:rFonts w:eastAsia="Times New Roman" w:cstheme="minorHAnsi"/>
                <w:color w:val="000000"/>
                <w:sz w:val="20"/>
                <w:szCs w:val="20"/>
                <w:lang w:val="es-AR" w:eastAsia="es-AR"/>
              </w:rPr>
            </w:pPr>
            <w:r w:rsidRPr="00B16204">
              <w:rPr>
                <w:rFonts w:eastAsia="Times New Roman" w:cstheme="minorHAnsi"/>
                <w:color w:val="000000"/>
                <w:sz w:val="20"/>
                <w:szCs w:val="20"/>
                <w:lang w:val="es-AR" w:eastAsia="es-AR"/>
              </w:rPr>
              <w:t xml:space="preserve">Mantenimiento y </w:t>
            </w:r>
            <w:r w:rsidR="008D4432" w:rsidRPr="00B16204">
              <w:rPr>
                <w:rFonts w:eastAsia="Times New Roman" w:cstheme="minorHAnsi"/>
                <w:color w:val="000000"/>
                <w:sz w:val="20"/>
                <w:szCs w:val="20"/>
                <w:lang w:val="es-AR" w:eastAsia="es-AR"/>
              </w:rPr>
              <w:t>reparación</w:t>
            </w:r>
            <w:r w:rsidRPr="00B16204">
              <w:rPr>
                <w:rFonts w:eastAsia="Times New Roman" w:cstheme="minorHAnsi"/>
                <w:color w:val="000000"/>
                <w:sz w:val="20"/>
                <w:szCs w:val="20"/>
                <w:lang w:val="es-AR" w:eastAsia="es-AR"/>
              </w:rPr>
              <w:t xml:space="preserve"> de equipos primarios y SSAA</w:t>
            </w:r>
          </w:p>
        </w:tc>
        <w:tc>
          <w:tcPr>
            <w:tcW w:w="1134" w:type="dxa"/>
            <w:tcBorders>
              <w:top w:val="nil"/>
              <w:left w:val="nil"/>
              <w:bottom w:val="single" w:sz="4" w:space="0" w:color="auto"/>
              <w:right w:val="single" w:sz="4" w:space="0" w:color="auto"/>
            </w:tcBorders>
            <w:shd w:val="clear" w:color="auto" w:fill="auto"/>
            <w:noWrap/>
            <w:vAlign w:val="center"/>
            <w:hideMark/>
          </w:tcPr>
          <w:p w14:paraId="68899468" w14:textId="77777777" w:rsidR="00904BDA" w:rsidRPr="00B16204" w:rsidRDefault="00904BDA" w:rsidP="00B16204">
            <w:pPr>
              <w:spacing w:after="0" w:line="192" w:lineRule="auto"/>
              <w:jc w:val="right"/>
              <w:rPr>
                <w:rFonts w:eastAsia="Times New Roman" w:cstheme="minorHAnsi"/>
                <w:color w:val="000000"/>
                <w:sz w:val="20"/>
                <w:szCs w:val="20"/>
                <w:lang w:val="es-AR" w:eastAsia="es-AR"/>
              </w:rPr>
            </w:pPr>
            <w:r w:rsidRPr="00B16204">
              <w:rPr>
                <w:rFonts w:eastAsia="Times New Roman" w:cstheme="minorHAnsi"/>
                <w:color w:val="000000"/>
                <w:sz w:val="20"/>
                <w:szCs w:val="20"/>
                <w:lang w:val="es-AR" w:eastAsia="es-AR"/>
              </w:rPr>
              <w:t>75.395</w:t>
            </w:r>
          </w:p>
        </w:tc>
        <w:tc>
          <w:tcPr>
            <w:tcW w:w="1134" w:type="dxa"/>
            <w:tcBorders>
              <w:top w:val="nil"/>
              <w:left w:val="nil"/>
              <w:bottom w:val="single" w:sz="4" w:space="0" w:color="auto"/>
              <w:right w:val="single" w:sz="4" w:space="0" w:color="auto"/>
            </w:tcBorders>
            <w:shd w:val="clear" w:color="auto" w:fill="auto"/>
            <w:noWrap/>
            <w:vAlign w:val="center"/>
            <w:hideMark/>
          </w:tcPr>
          <w:p w14:paraId="010F3B31" w14:textId="77777777" w:rsidR="00904BDA" w:rsidRPr="00B16204" w:rsidRDefault="00904BDA" w:rsidP="00B16204">
            <w:pPr>
              <w:spacing w:after="0" w:line="192" w:lineRule="auto"/>
              <w:jc w:val="right"/>
              <w:rPr>
                <w:rFonts w:eastAsia="Times New Roman" w:cstheme="minorHAnsi"/>
                <w:color w:val="000000"/>
                <w:sz w:val="20"/>
                <w:szCs w:val="20"/>
                <w:lang w:val="es-AR" w:eastAsia="es-AR"/>
              </w:rPr>
            </w:pPr>
            <w:r w:rsidRPr="00B16204">
              <w:rPr>
                <w:rFonts w:eastAsia="Times New Roman" w:cstheme="minorHAnsi"/>
                <w:color w:val="000000"/>
                <w:sz w:val="20"/>
                <w:szCs w:val="20"/>
                <w:lang w:val="es-AR" w:eastAsia="es-AR"/>
              </w:rPr>
              <w:t>52.092</w:t>
            </w:r>
          </w:p>
        </w:tc>
        <w:tc>
          <w:tcPr>
            <w:tcW w:w="1134" w:type="dxa"/>
            <w:tcBorders>
              <w:top w:val="nil"/>
              <w:left w:val="nil"/>
              <w:bottom w:val="single" w:sz="4" w:space="0" w:color="auto"/>
              <w:right w:val="single" w:sz="4" w:space="0" w:color="auto"/>
            </w:tcBorders>
            <w:shd w:val="clear" w:color="auto" w:fill="auto"/>
            <w:noWrap/>
            <w:vAlign w:val="center"/>
            <w:hideMark/>
          </w:tcPr>
          <w:p w14:paraId="405E7F5F" w14:textId="77777777" w:rsidR="00904BDA" w:rsidRPr="00B16204" w:rsidRDefault="00904BDA" w:rsidP="00B16204">
            <w:pPr>
              <w:spacing w:after="0" w:line="192" w:lineRule="auto"/>
              <w:jc w:val="right"/>
              <w:rPr>
                <w:rFonts w:eastAsia="Times New Roman" w:cstheme="minorHAnsi"/>
                <w:color w:val="000000"/>
                <w:sz w:val="20"/>
                <w:szCs w:val="20"/>
                <w:lang w:val="es-AR" w:eastAsia="es-AR"/>
              </w:rPr>
            </w:pPr>
            <w:r w:rsidRPr="00B16204">
              <w:rPr>
                <w:rFonts w:eastAsia="Times New Roman" w:cstheme="minorHAnsi"/>
                <w:color w:val="000000"/>
                <w:sz w:val="20"/>
                <w:szCs w:val="20"/>
                <w:lang w:val="es-AR" w:eastAsia="es-AR"/>
              </w:rPr>
              <w:t>10.802</w:t>
            </w:r>
          </w:p>
        </w:tc>
        <w:tc>
          <w:tcPr>
            <w:tcW w:w="1134" w:type="dxa"/>
            <w:tcBorders>
              <w:top w:val="nil"/>
              <w:left w:val="nil"/>
              <w:bottom w:val="single" w:sz="4" w:space="0" w:color="auto"/>
              <w:right w:val="single" w:sz="4" w:space="0" w:color="auto"/>
            </w:tcBorders>
            <w:shd w:val="clear" w:color="auto" w:fill="auto"/>
            <w:noWrap/>
            <w:vAlign w:val="center"/>
            <w:hideMark/>
          </w:tcPr>
          <w:p w14:paraId="04493EAD" w14:textId="77777777" w:rsidR="00904BDA" w:rsidRPr="00B16204" w:rsidRDefault="00904BDA" w:rsidP="00B16204">
            <w:pPr>
              <w:spacing w:after="0" w:line="192" w:lineRule="auto"/>
              <w:jc w:val="right"/>
              <w:rPr>
                <w:rFonts w:eastAsia="Times New Roman" w:cstheme="minorHAnsi"/>
                <w:color w:val="000000"/>
                <w:sz w:val="20"/>
                <w:szCs w:val="20"/>
                <w:lang w:val="es-AR" w:eastAsia="es-AR"/>
              </w:rPr>
            </w:pPr>
            <w:r w:rsidRPr="00B16204">
              <w:rPr>
                <w:rFonts w:eastAsia="Times New Roman" w:cstheme="minorHAnsi"/>
                <w:color w:val="000000"/>
                <w:sz w:val="20"/>
                <w:szCs w:val="20"/>
                <w:lang w:val="es-AR" w:eastAsia="es-AR"/>
              </w:rPr>
              <w:t>138.289</w:t>
            </w:r>
          </w:p>
        </w:tc>
        <w:tc>
          <w:tcPr>
            <w:tcW w:w="1134" w:type="dxa"/>
            <w:tcBorders>
              <w:top w:val="nil"/>
              <w:left w:val="nil"/>
              <w:bottom w:val="single" w:sz="4" w:space="0" w:color="auto"/>
              <w:right w:val="single" w:sz="4" w:space="0" w:color="auto"/>
            </w:tcBorders>
            <w:shd w:val="clear" w:color="auto" w:fill="auto"/>
            <w:noWrap/>
            <w:vAlign w:val="center"/>
            <w:hideMark/>
          </w:tcPr>
          <w:p w14:paraId="08F625A7" w14:textId="77777777" w:rsidR="00904BDA" w:rsidRPr="00B16204" w:rsidRDefault="00904BDA" w:rsidP="00B16204">
            <w:pPr>
              <w:spacing w:after="0" w:line="192" w:lineRule="auto"/>
              <w:jc w:val="right"/>
              <w:rPr>
                <w:rFonts w:eastAsia="Times New Roman" w:cstheme="minorHAnsi"/>
                <w:color w:val="000000"/>
                <w:sz w:val="20"/>
                <w:szCs w:val="20"/>
                <w:lang w:val="es-AR" w:eastAsia="es-AR"/>
              </w:rPr>
            </w:pPr>
            <w:r w:rsidRPr="00B16204">
              <w:rPr>
                <w:rFonts w:eastAsia="Times New Roman" w:cstheme="minorHAnsi"/>
                <w:color w:val="000000"/>
                <w:sz w:val="20"/>
                <w:szCs w:val="20"/>
                <w:lang w:val="es-AR" w:eastAsia="es-AR"/>
              </w:rPr>
              <w:t>397</w:t>
            </w:r>
          </w:p>
        </w:tc>
        <w:tc>
          <w:tcPr>
            <w:tcW w:w="1134" w:type="dxa"/>
            <w:tcBorders>
              <w:top w:val="nil"/>
              <w:left w:val="nil"/>
              <w:bottom w:val="single" w:sz="4" w:space="0" w:color="auto"/>
              <w:right w:val="single" w:sz="4" w:space="0" w:color="auto"/>
            </w:tcBorders>
            <w:shd w:val="clear" w:color="auto" w:fill="auto"/>
            <w:noWrap/>
            <w:vAlign w:val="center"/>
            <w:hideMark/>
          </w:tcPr>
          <w:p w14:paraId="660F30FC" w14:textId="77777777" w:rsidR="00904BDA" w:rsidRPr="00B16204" w:rsidRDefault="00904BDA" w:rsidP="00B16204">
            <w:pPr>
              <w:spacing w:after="0" w:line="192" w:lineRule="auto"/>
              <w:jc w:val="right"/>
              <w:rPr>
                <w:rFonts w:eastAsia="Times New Roman" w:cstheme="minorHAnsi"/>
                <w:color w:val="000000"/>
                <w:sz w:val="20"/>
                <w:szCs w:val="20"/>
                <w:lang w:val="es-AR" w:eastAsia="es-AR"/>
              </w:rPr>
            </w:pPr>
            <w:r w:rsidRPr="00B16204">
              <w:rPr>
                <w:rFonts w:eastAsia="Times New Roman" w:cstheme="minorHAnsi"/>
                <w:color w:val="000000"/>
                <w:sz w:val="20"/>
                <w:szCs w:val="20"/>
                <w:lang w:val="es-AR" w:eastAsia="es-AR"/>
              </w:rPr>
              <w:t>0,31</w:t>
            </w:r>
          </w:p>
        </w:tc>
      </w:tr>
    </w:tbl>
    <w:p w14:paraId="056224BF" w14:textId="77777777" w:rsidR="0079428C" w:rsidRPr="00B06D23" w:rsidRDefault="0079428C" w:rsidP="00331F01">
      <w:pPr>
        <w:spacing w:after="120"/>
        <w:rPr>
          <w:lang w:val="es-ES"/>
        </w:rPr>
      </w:pPr>
    </w:p>
    <w:p w14:paraId="2128613F" w14:textId="77777777" w:rsidR="0079428C" w:rsidRPr="00B06D23" w:rsidRDefault="0079428C" w:rsidP="0079428C">
      <w:pPr>
        <w:rPr>
          <w:lang w:val="es-ES"/>
        </w:rPr>
      </w:pPr>
      <w:r w:rsidRPr="00B06D23">
        <w:rPr>
          <w:lang w:val="es-ES"/>
        </w:rPr>
        <w:lastRenderedPageBreak/>
        <w:t>Los costos de pernocte incluyen los costos de alojamiento y comidas para el personal de la cuadrilla.</w:t>
      </w:r>
    </w:p>
    <w:p w14:paraId="252767A9" w14:textId="77777777" w:rsidR="0079428C" w:rsidRPr="00B06D23" w:rsidRDefault="0079428C" w:rsidP="0079428C">
      <w:pPr>
        <w:rPr>
          <w:lang w:val="es-ES"/>
        </w:rPr>
      </w:pPr>
      <w:r w:rsidRPr="00B06D23">
        <w:rPr>
          <w:lang w:val="es-ES"/>
        </w:rPr>
        <w:t>Los costos de combustible fueron determinados en función del consumo específico y el costo de combustible.</w:t>
      </w:r>
    </w:p>
    <w:p w14:paraId="73C07397" w14:textId="099E2AB5" w:rsidR="0079428C" w:rsidRPr="00B06D23" w:rsidRDefault="0079428C" w:rsidP="0079428C">
      <w:pPr>
        <w:rPr>
          <w:lang w:val="es-ES"/>
        </w:rPr>
      </w:pPr>
      <w:r w:rsidRPr="00B06D23">
        <w:rPr>
          <w:lang w:val="es-ES"/>
        </w:rPr>
        <w:t xml:space="preserve">En el </w:t>
      </w:r>
      <w:r w:rsidR="00204436">
        <w:rPr>
          <w:lang w:val="es-ES"/>
        </w:rPr>
        <w:t>“</w:t>
      </w:r>
      <w:r w:rsidRPr="00B06D23">
        <w:rPr>
          <w:lang w:val="es-ES"/>
        </w:rPr>
        <w:t xml:space="preserve">Anexo </w:t>
      </w:r>
      <w:r w:rsidR="005A6F95">
        <w:rPr>
          <w:lang w:val="es-ES"/>
        </w:rPr>
        <w:t>COMA</w:t>
      </w:r>
      <w:r w:rsidRPr="00B06D23">
        <w:rPr>
          <w:lang w:val="es-ES"/>
        </w:rPr>
        <w:t>_3 Modelo/Datos</w:t>
      </w:r>
      <w:r w:rsidR="00204436">
        <w:rPr>
          <w:lang w:val="es-ES"/>
        </w:rPr>
        <w:t>/ Costo Cuadrillas Tercerizadas”</w:t>
      </w:r>
      <w:r w:rsidRPr="00B06D23">
        <w:rPr>
          <w:lang w:val="es-ES"/>
        </w:rPr>
        <w:t xml:space="preserve"> se encuentra la valorización de las cuadrillas tercerizadas con sus archivos de respaldo vinculados:</w:t>
      </w:r>
    </w:p>
    <w:p w14:paraId="391F66B6" w14:textId="77777777" w:rsidR="0079428C" w:rsidRPr="00575034" w:rsidRDefault="0079428C" w:rsidP="00273FE4">
      <w:pPr>
        <w:pStyle w:val="Prrafodelista"/>
        <w:numPr>
          <w:ilvl w:val="0"/>
          <w:numId w:val="62"/>
        </w:numPr>
        <w:ind w:left="567" w:hanging="567"/>
      </w:pPr>
      <w:r w:rsidRPr="00575034">
        <w:t>Herramientas cuadrillas específicas – modelo: listado de herramientas, cantidades y costos unitarios.</w:t>
      </w:r>
    </w:p>
    <w:p w14:paraId="04B41B87" w14:textId="77777777" w:rsidR="0079428C" w:rsidRPr="00575034" w:rsidRDefault="0079428C" w:rsidP="00273FE4">
      <w:pPr>
        <w:pStyle w:val="Prrafodelista"/>
        <w:numPr>
          <w:ilvl w:val="0"/>
          <w:numId w:val="62"/>
        </w:numPr>
        <w:ind w:left="567" w:hanging="567"/>
      </w:pPr>
      <w:r w:rsidRPr="00575034">
        <w:t>2.- Estudio de Compensaciones_Resumen: costos de los puestos tercerizados según encuesta PWC</w:t>
      </w:r>
    </w:p>
    <w:p w14:paraId="0C90C17E" w14:textId="4FBC459E" w:rsidR="0079428C" w:rsidRPr="00575034" w:rsidRDefault="0079428C" w:rsidP="00273FE4">
      <w:pPr>
        <w:pStyle w:val="Prrafodelista"/>
        <w:numPr>
          <w:ilvl w:val="0"/>
          <w:numId w:val="62"/>
        </w:numPr>
        <w:ind w:left="567" w:hanging="567"/>
      </w:pPr>
      <w:r w:rsidRPr="00575034">
        <w:t xml:space="preserve">Precios Insumos No </w:t>
      </w:r>
      <w:r w:rsidR="00BA2EDF" w:rsidRPr="00575034">
        <w:t>Eléctricos</w:t>
      </w:r>
      <w:r w:rsidRPr="00575034">
        <w:t xml:space="preserve">/hoja </w:t>
      </w:r>
      <w:r w:rsidR="00BA2EDF" w:rsidRPr="00575034">
        <w:t>Vehículos</w:t>
      </w:r>
      <w:r w:rsidRPr="00575034">
        <w:t>: costos de vehículos.</w:t>
      </w:r>
    </w:p>
    <w:p w14:paraId="285BC223" w14:textId="77D4D194" w:rsidR="0079428C" w:rsidRPr="00575034" w:rsidRDefault="0079428C" w:rsidP="00273FE4">
      <w:pPr>
        <w:pStyle w:val="Prrafodelista"/>
        <w:numPr>
          <w:ilvl w:val="0"/>
          <w:numId w:val="62"/>
        </w:numPr>
        <w:ind w:left="567" w:hanging="567"/>
      </w:pPr>
      <w:r w:rsidRPr="00575034">
        <w:t xml:space="preserve">Precios Insumos No </w:t>
      </w:r>
      <w:r w:rsidR="00BA2EDF" w:rsidRPr="00575034">
        <w:t>Eléctricos</w:t>
      </w:r>
      <w:r w:rsidRPr="00575034">
        <w:t>/hoja Viáticos operacionales: costos de pernocte</w:t>
      </w:r>
    </w:p>
    <w:p w14:paraId="17084077" w14:textId="40B298AE" w:rsidR="005E70EA" w:rsidRDefault="005E70EA" w:rsidP="005E70EA">
      <w:pPr>
        <w:rPr>
          <w:lang w:val="es-ES"/>
        </w:rPr>
      </w:pPr>
      <w:r w:rsidRPr="00987BB6">
        <w:rPr>
          <w:lang w:val="es-ES"/>
        </w:rPr>
        <w:t>Los costos unitarios de los materiales para cada intervención</w:t>
      </w:r>
      <w:r w:rsidR="00335606" w:rsidRPr="00987BB6">
        <w:rPr>
          <w:lang w:val="es-ES"/>
        </w:rPr>
        <w:t>,</w:t>
      </w:r>
      <w:r w:rsidRPr="00987BB6">
        <w:rPr>
          <w:lang w:val="es-ES"/>
        </w:rPr>
        <w:t xml:space="preserve"> que se utilizan en las distintas actividades de Operación y Mantenimiento</w:t>
      </w:r>
      <w:r w:rsidR="00335606" w:rsidRPr="00987BB6">
        <w:rPr>
          <w:lang w:val="es-ES"/>
        </w:rPr>
        <w:t>,</w:t>
      </w:r>
      <w:r w:rsidRPr="00987BB6">
        <w:rPr>
          <w:lang w:val="es-ES"/>
        </w:rPr>
        <w:t xml:space="preserve"> se obtienen a partir de los costos de mercado consistentes con los costos utilizados para valorizar el V.I y considerando descuentos en las compras por economías de escala.</w:t>
      </w:r>
    </w:p>
    <w:p w14:paraId="692C21D6" w14:textId="42FD2C3C" w:rsidR="0079428C" w:rsidRPr="00F465C5" w:rsidRDefault="0079428C" w:rsidP="0079428C">
      <w:pPr>
        <w:pStyle w:val="Ttulo3"/>
      </w:pPr>
      <w:bookmarkStart w:id="268" w:name="_Toc34398116"/>
      <w:bookmarkStart w:id="269" w:name="_Toc39797806"/>
      <w:r w:rsidRPr="00F465C5">
        <w:t xml:space="preserve">Gastos generales </w:t>
      </w:r>
      <w:r w:rsidR="008D4432" w:rsidRPr="00F465C5">
        <w:t>y otros</w:t>
      </w:r>
      <w:r w:rsidRPr="00F465C5">
        <w:t xml:space="preserve"> servicios tercerizados</w:t>
      </w:r>
      <w:bookmarkEnd w:id="268"/>
      <w:bookmarkEnd w:id="269"/>
    </w:p>
    <w:p w14:paraId="5D1AEF2C" w14:textId="77777777" w:rsidR="0079428C" w:rsidRPr="00B06D23" w:rsidRDefault="0079428C" w:rsidP="0079428C">
      <w:pPr>
        <w:rPr>
          <w:lang w:val="es-ES"/>
        </w:rPr>
      </w:pPr>
      <w:r w:rsidRPr="00B06D23">
        <w:rPr>
          <w:lang w:val="es-ES"/>
        </w:rPr>
        <w:t>Estos gastos comprenden múltiples conceptos relacionados con la operación, mantenimiento y administración de la EM.</w:t>
      </w:r>
    </w:p>
    <w:p w14:paraId="6D56626B" w14:textId="1159B1CD" w:rsidR="0079428C" w:rsidRPr="00B06D23" w:rsidRDefault="0079428C" w:rsidP="0079428C">
      <w:pPr>
        <w:rPr>
          <w:lang w:val="es-ES"/>
        </w:rPr>
      </w:pPr>
      <w:r w:rsidRPr="00B06D23">
        <w:rPr>
          <w:lang w:val="es-ES"/>
        </w:rPr>
        <w:t xml:space="preserve">Como es usual en la operación de las empresas, se </w:t>
      </w:r>
      <w:r w:rsidRPr="00CE1B21">
        <w:rPr>
          <w:lang w:val="es-ES"/>
        </w:rPr>
        <w:t>consideran tercerizadas la</w:t>
      </w:r>
      <w:r w:rsidR="00BA2EDF" w:rsidRPr="00CE1B21">
        <w:rPr>
          <w:lang w:val="es-ES"/>
        </w:rPr>
        <w:t>s</w:t>
      </w:r>
      <w:r w:rsidRPr="00CE1B21">
        <w:rPr>
          <w:lang w:val="es-ES"/>
        </w:rPr>
        <w:t xml:space="preserve"> tareas de aseo y limpieza de edificios, vigilancia de subestaciones, y asesorías </w:t>
      </w:r>
      <w:r w:rsidR="00BA2EDF" w:rsidRPr="00CE1B21">
        <w:rPr>
          <w:lang w:val="es-ES"/>
        </w:rPr>
        <w:t>específicas</w:t>
      </w:r>
      <w:r w:rsidRPr="00CE1B21">
        <w:rPr>
          <w:lang w:val="es-ES"/>
        </w:rPr>
        <w:t>.</w:t>
      </w:r>
    </w:p>
    <w:p w14:paraId="260A913E" w14:textId="7B7B0F24" w:rsidR="0079428C" w:rsidRPr="00B06D23" w:rsidRDefault="0079428C" w:rsidP="0079428C">
      <w:pPr>
        <w:rPr>
          <w:lang w:val="es-ES"/>
        </w:rPr>
      </w:pPr>
      <w:r w:rsidRPr="00B06D23">
        <w:rPr>
          <w:lang w:val="es-ES"/>
        </w:rPr>
        <w:t xml:space="preserve">Se presenta a continuación una lista de los gastos e insumos de la cual se analiza su pertinencia y cantidad a incluir en los costos eficientes de la </w:t>
      </w:r>
      <w:r w:rsidR="001A6E11">
        <w:rPr>
          <w:lang w:val="es-ES"/>
        </w:rPr>
        <w:t>EM</w:t>
      </w:r>
      <w:r w:rsidRPr="00B06D23">
        <w:rPr>
          <w:lang w:val="es-ES"/>
        </w:rPr>
        <w:t xml:space="preserve"> constatando que no estén incluidos en las otras partidas de costo señaladas.</w:t>
      </w:r>
    </w:p>
    <w:p w14:paraId="7E72C06D" w14:textId="73267809" w:rsidR="0079428C" w:rsidRPr="00CE1B21" w:rsidRDefault="0079428C" w:rsidP="0079428C">
      <w:pPr>
        <w:rPr>
          <w:lang w:val="es-ES"/>
        </w:rPr>
      </w:pPr>
      <w:r w:rsidRPr="00B06D23">
        <w:rPr>
          <w:lang w:val="es-ES"/>
        </w:rPr>
        <w:t>Dada la diversidad en la naturaleza de estos gastos se uti</w:t>
      </w:r>
      <w:r w:rsidRPr="00CE1B21">
        <w:rPr>
          <w:lang w:val="es-ES"/>
        </w:rPr>
        <w:t xml:space="preserve">lizaron todas las fuentes de información disponibles, tales como costos de mercado, y/o información presentada por </w:t>
      </w:r>
      <w:proofErr w:type="gramStart"/>
      <w:r w:rsidRPr="00CE1B21">
        <w:rPr>
          <w:lang w:val="es-ES"/>
        </w:rPr>
        <w:t>las empresas validada</w:t>
      </w:r>
      <w:proofErr w:type="gramEnd"/>
      <w:r w:rsidRPr="00CE1B21">
        <w:rPr>
          <w:lang w:val="es-ES"/>
        </w:rPr>
        <w:t xml:space="preserve"> como eficiente, información de antecedentes regulatorios de procesos de </w:t>
      </w:r>
      <w:r w:rsidR="00BA2EDF" w:rsidRPr="00CE1B21">
        <w:rPr>
          <w:lang w:val="es-ES"/>
        </w:rPr>
        <w:t>tarificación</w:t>
      </w:r>
      <w:r w:rsidRPr="00CE1B21">
        <w:rPr>
          <w:lang w:val="es-ES"/>
        </w:rPr>
        <w:t xml:space="preserve"> en Chile debidamente </w:t>
      </w:r>
      <w:r w:rsidR="008D4432" w:rsidRPr="00CE1B21">
        <w:rPr>
          <w:lang w:val="es-ES"/>
        </w:rPr>
        <w:t>actualizados, y</w:t>
      </w:r>
      <w:r w:rsidRPr="00CE1B21">
        <w:rPr>
          <w:lang w:val="es-ES"/>
        </w:rPr>
        <w:t>/o ratios de eficiencia de manera que permitan verificar la razonabilidad de los costos propuestos.</w:t>
      </w:r>
    </w:p>
    <w:p w14:paraId="134D0BB0" w14:textId="77777777" w:rsidR="0079428C" w:rsidRPr="00CE1B21" w:rsidRDefault="0079428C" w:rsidP="0079428C">
      <w:pPr>
        <w:rPr>
          <w:lang w:val="es-ES"/>
        </w:rPr>
      </w:pPr>
      <w:r w:rsidRPr="00CE1B21">
        <w:rPr>
          <w:lang w:val="es-ES"/>
        </w:rPr>
        <w:lastRenderedPageBreak/>
        <w:t>Se presenta una descripción de las partidas, la pertinencia de su inclusión y los costos unitarios considerados.</w:t>
      </w:r>
    </w:p>
    <w:p w14:paraId="0DC61C9B" w14:textId="4395E90C" w:rsidR="0079428C" w:rsidRPr="00CE1B21" w:rsidRDefault="00204436" w:rsidP="0079428C">
      <w:pPr>
        <w:rPr>
          <w:lang w:val="es-ES"/>
        </w:rPr>
      </w:pPr>
      <w:r>
        <w:rPr>
          <w:lang w:val="es-ES"/>
        </w:rPr>
        <w:t>En el “</w:t>
      </w:r>
      <w:r w:rsidR="0079428C" w:rsidRPr="00CE1B21">
        <w:rPr>
          <w:lang w:val="es-ES"/>
        </w:rPr>
        <w:t xml:space="preserve">Anexo </w:t>
      </w:r>
      <w:r w:rsidR="00AD24BF">
        <w:rPr>
          <w:lang w:val="es-ES"/>
        </w:rPr>
        <w:t>COMA</w:t>
      </w:r>
      <w:r w:rsidR="0079428C" w:rsidRPr="00CE1B21">
        <w:rPr>
          <w:lang w:val="es-ES"/>
        </w:rPr>
        <w:t xml:space="preserve">_3 Modelo/Datos/ Precios Insumos No </w:t>
      </w:r>
      <w:r w:rsidR="00BA2EDF" w:rsidRPr="00CE1B21">
        <w:rPr>
          <w:lang w:val="es-ES"/>
        </w:rPr>
        <w:t>Eléctricos</w:t>
      </w:r>
      <w:r>
        <w:rPr>
          <w:lang w:val="es-ES"/>
        </w:rPr>
        <w:t>”</w:t>
      </w:r>
      <w:r w:rsidR="0079428C" w:rsidRPr="00CE1B21">
        <w:rPr>
          <w:lang w:val="es-ES"/>
        </w:rPr>
        <w:t>, se presenta el detalle de los cálculos realizados.</w:t>
      </w:r>
    </w:p>
    <w:p w14:paraId="54274512" w14:textId="706AADA1" w:rsidR="00C10AB4" w:rsidRPr="00B06D23" w:rsidRDefault="00C10AB4" w:rsidP="00C10AB4">
      <w:pPr>
        <w:spacing w:before="60" w:after="120" w:line="240" w:lineRule="auto"/>
        <w:rPr>
          <w:lang w:val="es-ES"/>
        </w:rPr>
      </w:pPr>
      <w:r w:rsidRPr="00CE1B21">
        <w:rPr>
          <w:lang w:val="es-ES"/>
        </w:rPr>
        <w:t>Los costos de vigilancia de accesos en oficinas centrales y regionales se incluyen en los gastos de mantenimiento del edificio.</w:t>
      </w:r>
    </w:p>
    <w:p w14:paraId="4E578A46" w14:textId="47B72D03" w:rsidR="00C83B06" w:rsidRPr="00C83B06" w:rsidRDefault="0079428C" w:rsidP="00C83B06">
      <w:pPr>
        <w:pStyle w:val="Ttulo4"/>
      </w:pPr>
      <w:bookmarkStart w:id="270" w:name="_Toc34398117"/>
      <w:bookmarkStart w:id="271" w:name="_Toc39797807"/>
      <w:r w:rsidRPr="00FD055F">
        <w:t>Gastos en seguridad (vigilancia) de subestaciones</w:t>
      </w:r>
      <w:bookmarkEnd w:id="270"/>
      <w:bookmarkEnd w:id="271"/>
    </w:p>
    <w:p w14:paraId="0F60765A" w14:textId="09F3CEBA" w:rsidR="00C83B06" w:rsidRPr="00C83B06" w:rsidRDefault="00C83B06" w:rsidP="00C83B06">
      <w:pPr>
        <w:spacing w:before="60" w:after="120" w:line="240" w:lineRule="auto"/>
        <w:rPr>
          <w:lang w:val="es-ES"/>
        </w:rPr>
      </w:pPr>
      <w:r w:rsidRPr="00C83B06">
        <w:rPr>
          <w:lang w:val="es-ES"/>
        </w:rPr>
        <w:t xml:space="preserve">A los efectos de resguardar la seguridad patrimonial para oficinas zonales, bodegas y subestaciones </w:t>
      </w:r>
      <w:r w:rsidRPr="004D1FC5">
        <w:rPr>
          <w:lang w:val="es-ES"/>
        </w:rPr>
        <w:t>según importancia patrimonial</w:t>
      </w:r>
      <w:r>
        <w:rPr>
          <w:lang w:val="es-ES"/>
        </w:rPr>
        <w:t xml:space="preserve"> </w:t>
      </w:r>
      <w:r w:rsidRPr="00C83B06">
        <w:rPr>
          <w:lang w:val="es-ES"/>
        </w:rPr>
        <w:t>se requiere disponer de un servicio de vigilancia.</w:t>
      </w:r>
    </w:p>
    <w:p w14:paraId="02A902C9" w14:textId="3209CDBE" w:rsidR="00C83B06" w:rsidRPr="00C83B06" w:rsidRDefault="00C83B06" w:rsidP="00C83B06">
      <w:pPr>
        <w:spacing w:before="60" w:after="120" w:line="240" w:lineRule="auto"/>
        <w:rPr>
          <w:lang w:val="es-ES"/>
        </w:rPr>
      </w:pPr>
      <w:r w:rsidRPr="00C83B06">
        <w:rPr>
          <w:lang w:val="es-ES"/>
        </w:rPr>
        <w:t xml:space="preserve">Se ha considerado el costo del servicio de vigilancia con guardia presencial en las 5 subestaciones </w:t>
      </w:r>
      <w:r w:rsidRPr="004D1FC5">
        <w:rPr>
          <w:lang w:val="es-ES"/>
        </w:rPr>
        <w:t>de mayor importancia</w:t>
      </w:r>
      <w:r w:rsidR="00130B22" w:rsidRPr="004D1FC5">
        <w:rPr>
          <w:lang w:val="es-ES"/>
        </w:rPr>
        <w:t xml:space="preserve"> patrimonial</w:t>
      </w:r>
      <w:r w:rsidRPr="004D1FC5">
        <w:rPr>
          <w:lang w:val="es-ES"/>
        </w:rPr>
        <w:t xml:space="preserve"> </w:t>
      </w:r>
      <w:r w:rsidRPr="00C83B06">
        <w:rPr>
          <w:lang w:val="es-ES"/>
        </w:rPr>
        <w:t>consideradas en el Sistema de Transmisión Nacional.</w:t>
      </w:r>
    </w:p>
    <w:p w14:paraId="28DC9351" w14:textId="40DBF226" w:rsidR="00C83B06" w:rsidRPr="00CE1B21" w:rsidRDefault="00C83B06" w:rsidP="00C83B06">
      <w:pPr>
        <w:spacing w:before="60" w:after="120" w:line="240" w:lineRule="auto"/>
        <w:rPr>
          <w:lang w:val="es-ES"/>
        </w:rPr>
      </w:pPr>
      <w:r w:rsidRPr="00C83B06">
        <w:rPr>
          <w:lang w:val="es-ES"/>
        </w:rPr>
        <w:t xml:space="preserve">Se consideran en </w:t>
      </w:r>
      <w:r w:rsidRPr="00CE1B21">
        <w:rPr>
          <w:lang w:val="es-ES"/>
        </w:rPr>
        <w:t>total 24 guardias para control de acceso. El régimen de trabajo es de dos turnos rotativos de 12 horas diarias, de cuatro días de trabajo por cuatro de descanso, todo el año. Para el costo por g</w:t>
      </w:r>
      <w:r w:rsidR="00B5430D" w:rsidRPr="00CE1B21">
        <w:rPr>
          <w:lang w:val="es-ES"/>
        </w:rPr>
        <w:t>uardia se ha tomado</w:t>
      </w:r>
      <w:r w:rsidRPr="00CE1B21">
        <w:rPr>
          <w:lang w:val="es-ES"/>
        </w:rPr>
        <w:t xml:space="preserve"> la </w:t>
      </w:r>
      <w:r w:rsidR="00093F81" w:rsidRPr="00CE1B21">
        <w:rPr>
          <w:lang w:val="es-ES"/>
        </w:rPr>
        <w:t>encuesta PWC</w:t>
      </w:r>
      <w:r w:rsidRPr="00CE1B21">
        <w:rPr>
          <w:lang w:val="es-ES"/>
        </w:rPr>
        <w:t xml:space="preserve"> con percentil 25% y los márgenes del contratista de gastos de administración y utilidad del contratista.</w:t>
      </w:r>
    </w:p>
    <w:p w14:paraId="310C4A0B" w14:textId="54CA16CE" w:rsidR="00C83B06" w:rsidRPr="00C83B06" w:rsidRDefault="00BA2EDF" w:rsidP="00C83B06">
      <w:pPr>
        <w:spacing w:before="60" w:after="120" w:line="240" w:lineRule="auto"/>
        <w:rPr>
          <w:lang w:val="es-ES"/>
        </w:rPr>
      </w:pPr>
      <w:r w:rsidRPr="00CE1B21">
        <w:rPr>
          <w:lang w:val="es-ES"/>
        </w:rPr>
        <w:t xml:space="preserve">En el </w:t>
      </w:r>
      <w:r w:rsidR="00204436">
        <w:rPr>
          <w:lang w:val="es-ES"/>
        </w:rPr>
        <w:t>“</w:t>
      </w:r>
      <w:r w:rsidR="00C83B06" w:rsidRPr="00CE1B21">
        <w:rPr>
          <w:lang w:val="es-ES"/>
        </w:rPr>
        <w:t xml:space="preserve">Anexo </w:t>
      </w:r>
      <w:r w:rsidR="00AD24BF">
        <w:rPr>
          <w:lang w:val="es-ES"/>
        </w:rPr>
        <w:t>COMA</w:t>
      </w:r>
      <w:r w:rsidR="00C83B06" w:rsidRPr="00CE1B21">
        <w:rPr>
          <w:lang w:val="es-ES"/>
        </w:rPr>
        <w:t xml:space="preserve">_3 Modelo/Datos/ Precios Insumos No </w:t>
      </w:r>
      <w:r w:rsidRPr="00CE1B21">
        <w:rPr>
          <w:lang w:val="es-ES"/>
        </w:rPr>
        <w:t>Eléctricos</w:t>
      </w:r>
      <w:r w:rsidR="00C83B06" w:rsidRPr="00CE1B21">
        <w:rPr>
          <w:lang w:val="es-ES"/>
        </w:rPr>
        <w:t>/ Vigilancia SE</w:t>
      </w:r>
      <w:r w:rsidR="00204436">
        <w:rPr>
          <w:lang w:val="es-ES"/>
        </w:rPr>
        <w:t>”</w:t>
      </w:r>
      <w:r w:rsidR="00C83B06" w:rsidRPr="00CE1B21">
        <w:rPr>
          <w:lang w:val="es-ES"/>
        </w:rPr>
        <w:t xml:space="preserve"> se presenta el detalle del cálculo realizado.</w:t>
      </w:r>
    </w:p>
    <w:p w14:paraId="4D5C846F" w14:textId="3F815AA4" w:rsidR="0079428C" w:rsidRPr="00B06D23" w:rsidRDefault="00C83B06" w:rsidP="00C83B06">
      <w:pPr>
        <w:spacing w:before="60" w:after="120" w:line="240" w:lineRule="auto"/>
        <w:rPr>
          <w:lang w:val="es-ES"/>
        </w:rPr>
      </w:pPr>
      <w:r w:rsidRPr="00C83B06">
        <w:rPr>
          <w:lang w:val="es-ES"/>
        </w:rPr>
        <w:t>Los costos de vigilancia de accesos en oficinas se incluyen en los gastos de mantenimiento del edificio.”</w:t>
      </w:r>
    </w:p>
    <w:p w14:paraId="71516B5D" w14:textId="77777777" w:rsidR="0079428C" w:rsidRPr="00FD055F" w:rsidRDefault="0079428C" w:rsidP="0079428C">
      <w:pPr>
        <w:pStyle w:val="Ttulo4"/>
      </w:pPr>
      <w:bookmarkStart w:id="272" w:name="_Toc34398118"/>
      <w:bookmarkStart w:id="273" w:name="_Toc39797808"/>
      <w:r w:rsidRPr="00FD055F">
        <w:t>Aseo y limpieza de edificios, y bodegas</w:t>
      </w:r>
      <w:bookmarkEnd w:id="272"/>
      <w:bookmarkEnd w:id="273"/>
      <w:r w:rsidRPr="00FD055F">
        <w:t xml:space="preserve"> </w:t>
      </w:r>
    </w:p>
    <w:p w14:paraId="5B90D535" w14:textId="77777777" w:rsidR="0079428C" w:rsidRPr="00B06D23" w:rsidRDefault="0079428C" w:rsidP="0079428C">
      <w:pPr>
        <w:rPr>
          <w:rFonts w:cs="Arial"/>
          <w:szCs w:val="22"/>
          <w:lang w:val="es-ES"/>
        </w:rPr>
      </w:pPr>
      <w:r w:rsidRPr="00B06D23">
        <w:rPr>
          <w:rFonts w:cs="Arial"/>
          <w:szCs w:val="22"/>
          <w:lang w:val="es-ES"/>
        </w:rPr>
        <w:t>Para modelar el costo de aseo de los edificios, se considera una superficie que resulta del cálculo de los m2 de la EM en función de la cantidad de personal y se valoriza con el costo unitario del servicio según valores representativos del mercado.</w:t>
      </w:r>
    </w:p>
    <w:p w14:paraId="5E5026FF" w14:textId="77777777" w:rsidR="0079428C" w:rsidRPr="00B06D23" w:rsidRDefault="0079428C" w:rsidP="0079428C">
      <w:pPr>
        <w:rPr>
          <w:rFonts w:cs="Arial"/>
          <w:szCs w:val="22"/>
          <w:lang w:val="es-ES"/>
        </w:rPr>
      </w:pPr>
      <w:r w:rsidRPr="00B06D23">
        <w:rPr>
          <w:rFonts w:cs="Arial"/>
          <w:szCs w:val="22"/>
          <w:lang w:val="es-ES"/>
        </w:rPr>
        <w:t>De manera similar se considera un costo unitario por m</w:t>
      </w:r>
      <w:r w:rsidRPr="008D4432">
        <w:rPr>
          <w:rFonts w:cs="Arial"/>
          <w:szCs w:val="22"/>
          <w:vertAlign w:val="superscript"/>
          <w:lang w:val="es-ES"/>
        </w:rPr>
        <w:t>2</w:t>
      </w:r>
      <w:r w:rsidRPr="00B06D23">
        <w:rPr>
          <w:rFonts w:cs="Arial"/>
          <w:szCs w:val="22"/>
          <w:lang w:val="es-ES"/>
        </w:rPr>
        <w:t xml:space="preserve"> para el aseo y limpieza de bodegas y considerando los m</w:t>
      </w:r>
      <w:r w:rsidRPr="008D4432">
        <w:rPr>
          <w:rFonts w:cs="Arial"/>
          <w:szCs w:val="22"/>
          <w:vertAlign w:val="superscript"/>
          <w:lang w:val="es-ES"/>
        </w:rPr>
        <w:t>2</w:t>
      </w:r>
      <w:r w:rsidRPr="00B06D23">
        <w:rPr>
          <w:rFonts w:cs="Arial"/>
          <w:szCs w:val="22"/>
          <w:lang w:val="es-ES"/>
        </w:rPr>
        <w:t xml:space="preserve"> definidos para dichas áreas.</w:t>
      </w:r>
    </w:p>
    <w:p w14:paraId="43F4EF2F" w14:textId="77777777" w:rsidR="0079428C" w:rsidRPr="00B06D23" w:rsidRDefault="0079428C" w:rsidP="0079428C">
      <w:pPr>
        <w:rPr>
          <w:rFonts w:cs="Arial"/>
          <w:szCs w:val="22"/>
          <w:lang w:val="es-ES"/>
        </w:rPr>
      </w:pPr>
      <w:r w:rsidRPr="00B06D23">
        <w:rPr>
          <w:rFonts w:cs="Arial"/>
          <w:szCs w:val="22"/>
          <w:lang w:val="es-ES"/>
        </w:rPr>
        <w:t>Para la determinación del costo unitario de aseo y limpieza se consideró el valor promedio informado por las empresas que fue verificado mediante un cálculo de eficiencia.</w:t>
      </w:r>
    </w:p>
    <w:p w14:paraId="2688C328" w14:textId="1463BD87" w:rsidR="0079428C" w:rsidRPr="00FE23BF" w:rsidRDefault="0079428C" w:rsidP="0079428C">
      <w:pPr>
        <w:rPr>
          <w:rFonts w:cs="Arial"/>
          <w:szCs w:val="22"/>
          <w:lang w:val="es-ES"/>
        </w:rPr>
      </w:pPr>
      <w:r w:rsidRPr="00B06D23">
        <w:rPr>
          <w:rFonts w:cs="Arial"/>
          <w:szCs w:val="22"/>
          <w:lang w:val="es-ES"/>
        </w:rPr>
        <w:t xml:space="preserve">Para </w:t>
      </w:r>
      <w:r w:rsidRPr="00FE23BF">
        <w:rPr>
          <w:rFonts w:cs="Arial"/>
          <w:szCs w:val="22"/>
          <w:lang w:val="es-ES"/>
        </w:rPr>
        <w:t>bodegas se asume un costo por m</w:t>
      </w:r>
      <w:r w:rsidRPr="008D4432">
        <w:rPr>
          <w:rFonts w:cs="Arial"/>
          <w:szCs w:val="22"/>
          <w:vertAlign w:val="superscript"/>
          <w:lang w:val="es-ES"/>
        </w:rPr>
        <w:t>2</w:t>
      </w:r>
      <w:r w:rsidRPr="00FE23BF">
        <w:rPr>
          <w:rFonts w:cs="Arial"/>
          <w:szCs w:val="22"/>
          <w:lang w:val="es-ES"/>
        </w:rPr>
        <w:t xml:space="preserve"> considerando la relación entre el costo por  m</w:t>
      </w:r>
      <w:r w:rsidRPr="008D4432">
        <w:rPr>
          <w:rFonts w:cs="Arial"/>
          <w:szCs w:val="22"/>
          <w:vertAlign w:val="superscript"/>
          <w:lang w:val="es-ES"/>
        </w:rPr>
        <w:t>2</w:t>
      </w:r>
      <w:r w:rsidRPr="00FE23BF">
        <w:rPr>
          <w:rFonts w:cs="Arial"/>
          <w:szCs w:val="22"/>
          <w:lang w:val="es-ES"/>
        </w:rPr>
        <w:t xml:space="preserve"> de aseo de bodegas y el costo por m</w:t>
      </w:r>
      <w:r w:rsidRPr="008D4432">
        <w:rPr>
          <w:rFonts w:cs="Arial"/>
          <w:szCs w:val="22"/>
          <w:vertAlign w:val="superscript"/>
          <w:lang w:val="es-ES"/>
        </w:rPr>
        <w:t>2</w:t>
      </w:r>
      <w:r w:rsidRPr="00FE23BF">
        <w:rPr>
          <w:rFonts w:cs="Arial"/>
          <w:szCs w:val="22"/>
          <w:lang w:val="es-ES"/>
        </w:rPr>
        <w:t xml:space="preserve"> de aseo de edificios mediante un ratio eficiente.</w:t>
      </w:r>
    </w:p>
    <w:p w14:paraId="67B38A47" w14:textId="7B3AF0CE" w:rsidR="0079428C" w:rsidRDefault="00BA2EDF" w:rsidP="0079428C">
      <w:pPr>
        <w:rPr>
          <w:lang w:val="es-ES"/>
        </w:rPr>
      </w:pPr>
      <w:r w:rsidRPr="00FE23BF">
        <w:rPr>
          <w:lang w:val="es-ES"/>
        </w:rPr>
        <w:t xml:space="preserve">En el </w:t>
      </w:r>
      <w:r w:rsidR="00AD24BF">
        <w:rPr>
          <w:lang w:val="es-ES"/>
        </w:rPr>
        <w:t>“</w:t>
      </w:r>
      <w:r w:rsidR="0079428C" w:rsidRPr="00FE23BF">
        <w:rPr>
          <w:lang w:val="es-ES"/>
        </w:rPr>
        <w:t xml:space="preserve">Anexo </w:t>
      </w:r>
      <w:r w:rsidR="00AD24BF">
        <w:rPr>
          <w:lang w:val="es-ES"/>
        </w:rPr>
        <w:t>COMA</w:t>
      </w:r>
      <w:r w:rsidR="0079428C" w:rsidRPr="00FE23BF">
        <w:rPr>
          <w:lang w:val="es-ES"/>
        </w:rPr>
        <w:t xml:space="preserve">_3 Modelo/Datos/ Precios Insumos No </w:t>
      </w:r>
      <w:r w:rsidRPr="00FE23BF">
        <w:rPr>
          <w:lang w:val="es-ES"/>
        </w:rPr>
        <w:t>Eléctricos</w:t>
      </w:r>
      <w:r w:rsidR="0079428C" w:rsidRPr="00FE23BF">
        <w:rPr>
          <w:lang w:val="es-ES"/>
        </w:rPr>
        <w:t>/ Aseo y limpieza</w:t>
      </w:r>
      <w:r w:rsidR="00AD24BF">
        <w:rPr>
          <w:lang w:val="es-ES"/>
        </w:rPr>
        <w:t>”</w:t>
      </w:r>
      <w:r w:rsidR="0079428C" w:rsidRPr="00FE23BF">
        <w:rPr>
          <w:lang w:val="es-ES"/>
        </w:rPr>
        <w:t xml:space="preserve"> se presenta el detalle del cálculo realizado.</w:t>
      </w:r>
    </w:p>
    <w:p w14:paraId="6DCCC133" w14:textId="77777777" w:rsidR="0079428C" w:rsidRPr="00FD055F" w:rsidRDefault="0079428C" w:rsidP="0079428C">
      <w:pPr>
        <w:pStyle w:val="Ttulo4"/>
      </w:pPr>
      <w:bookmarkStart w:id="274" w:name="_Toc34398119"/>
      <w:bookmarkStart w:id="275" w:name="_Toc39797809"/>
      <w:r w:rsidRPr="00FD055F">
        <w:lastRenderedPageBreak/>
        <w:t>Gastos del directorio</w:t>
      </w:r>
      <w:bookmarkEnd w:id="274"/>
      <w:bookmarkEnd w:id="275"/>
      <w:r w:rsidRPr="00FD055F">
        <w:t xml:space="preserve"> </w:t>
      </w:r>
    </w:p>
    <w:p w14:paraId="631CA195" w14:textId="54C45445" w:rsidR="0079428C" w:rsidRPr="00FE23BF" w:rsidRDefault="0079428C" w:rsidP="0079428C">
      <w:pPr>
        <w:rPr>
          <w:rFonts w:cs="Arial"/>
          <w:szCs w:val="22"/>
          <w:lang w:val="es-ES"/>
        </w:rPr>
      </w:pPr>
      <w:r w:rsidRPr="00FE23BF">
        <w:rPr>
          <w:rFonts w:cs="Arial"/>
          <w:szCs w:val="22"/>
          <w:lang w:val="es-ES"/>
        </w:rPr>
        <w:t xml:space="preserve">Se considera un directorio compuesto por un presidente, y </w:t>
      </w:r>
      <w:r w:rsidR="008D4432" w:rsidRPr="00FE23BF">
        <w:rPr>
          <w:rFonts w:cs="Arial"/>
          <w:szCs w:val="22"/>
          <w:lang w:val="es-ES"/>
        </w:rPr>
        <w:t>cuatro directores</w:t>
      </w:r>
      <w:r w:rsidRPr="00FE23BF">
        <w:rPr>
          <w:rFonts w:cs="Arial"/>
          <w:szCs w:val="22"/>
          <w:lang w:val="es-ES"/>
        </w:rPr>
        <w:t xml:space="preserve"> </w:t>
      </w:r>
      <w:r w:rsidR="00BE4DE4" w:rsidRPr="00FE23BF">
        <w:rPr>
          <w:rFonts w:cs="Arial"/>
          <w:szCs w:val="22"/>
          <w:lang w:val="es-ES"/>
        </w:rPr>
        <w:t xml:space="preserve">lo </w:t>
      </w:r>
      <w:r w:rsidRPr="00FE23BF">
        <w:rPr>
          <w:rFonts w:cs="Arial"/>
          <w:szCs w:val="22"/>
          <w:lang w:val="es-ES"/>
        </w:rPr>
        <w:t xml:space="preserve">que se estima razonable </w:t>
      </w:r>
      <w:r w:rsidR="00BE4DE4" w:rsidRPr="00FE23BF">
        <w:rPr>
          <w:rFonts w:cs="Arial"/>
          <w:szCs w:val="22"/>
          <w:lang w:val="es-ES"/>
        </w:rPr>
        <w:t>de acuerdo</w:t>
      </w:r>
      <w:r w:rsidRPr="00FE23BF">
        <w:rPr>
          <w:rFonts w:cs="Arial"/>
          <w:szCs w:val="22"/>
          <w:lang w:val="es-ES"/>
        </w:rPr>
        <w:t xml:space="preserve"> con el tamaño de la empresa </w:t>
      </w:r>
    </w:p>
    <w:p w14:paraId="5C6FCC3C" w14:textId="77777777" w:rsidR="0079428C" w:rsidRPr="00FE23BF" w:rsidRDefault="0079428C" w:rsidP="0079428C">
      <w:pPr>
        <w:rPr>
          <w:rFonts w:cs="Arial"/>
          <w:szCs w:val="22"/>
          <w:lang w:val="es-ES"/>
        </w:rPr>
      </w:pPr>
      <w:r w:rsidRPr="00FE23BF">
        <w:rPr>
          <w:rFonts w:cs="Arial"/>
          <w:szCs w:val="22"/>
          <w:lang w:val="es-ES"/>
        </w:rPr>
        <w:t>Para cada director se considera honorarios anuales y un gasto para el funcionamiento del directorio.</w:t>
      </w:r>
    </w:p>
    <w:p w14:paraId="47FB0458" w14:textId="0C4D34A9" w:rsidR="0079428C" w:rsidRPr="00FE23BF" w:rsidRDefault="008D4432" w:rsidP="0079428C">
      <w:pPr>
        <w:rPr>
          <w:rFonts w:cs="Arial"/>
          <w:szCs w:val="22"/>
          <w:lang w:val="es-ES"/>
        </w:rPr>
      </w:pPr>
      <w:r w:rsidRPr="00FE23BF">
        <w:rPr>
          <w:rFonts w:cs="Arial"/>
          <w:szCs w:val="22"/>
          <w:lang w:val="es-ES"/>
        </w:rPr>
        <w:t>Los honorarios</w:t>
      </w:r>
      <w:r w:rsidR="0079428C" w:rsidRPr="00FE23BF">
        <w:rPr>
          <w:rFonts w:cs="Arial"/>
          <w:szCs w:val="22"/>
          <w:lang w:val="es-ES"/>
        </w:rPr>
        <w:t xml:space="preserve"> de los directores varían en cada empresa, y en algunos casos los directores renuncian </w:t>
      </w:r>
      <w:r w:rsidR="00FE23BF" w:rsidRPr="00FE23BF">
        <w:rPr>
          <w:rFonts w:cs="Arial"/>
          <w:szCs w:val="22"/>
          <w:lang w:val="es-ES"/>
        </w:rPr>
        <w:t>a</w:t>
      </w:r>
      <w:r w:rsidR="0079428C" w:rsidRPr="00FE23BF">
        <w:rPr>
          <w:rFonts w:cs="Arial"/>
          <w:szCs w:val="22"/>
          <w:lang w:val="es-ES"/>
        </w:rPr>
        <w:t xml:space="preserve">l cobro de dichos honorarios. Tal el caso de </w:t>
      </w:r>
      <w:r w:rsidR="00BA2EDF" w:rsidRPr="00FE23BF">
        <w:rPr>
          <w:rFonts w:cs="Arial"/>
          <w:szCs w:val="22"/>
          <w:lang w:val="es-ES"/>
        </w:rPr>
        <w:t>la información presentada por una empresa</w:t>
      </w:r>
      <w:r w:rsidR="0079428C" w:rsidRPr="00FE23BF">
        <w:rPr>
          <w:rFonts w:cs="Arial"/>
          <w:szCs w:val="22"/>
          <w:lang w:val="es-ES"/>
        </w:rPr>
        <w:t xml:space="preserve"> </w:t>
      </w:r>
      <w:r w:rsidR="00BA2EDF" w:rsidRPr="00FE23BF">
        <w:rPr>
          <w:rFonts w:cs="Arial"/>
          <w:szCs w:val="22"/>
          <w:lang w:val="es-ES"/>
        </w:rPr>
        <w:t xml:space="preserve">de transmisión </w:t>
      </w:r>
      <w:r w:rsidR="005A2E09" w:rsidRPr="00FE23BF">
        <w:rPr>
          <w:rFonts w:cs="Arial"/>
          <w:szCs w:val="22"/>
          <w:lang w:val="es-ES"/>
        </w:rPr>
        <w:t>que,</w:t>
      </w:r>
      <w:r w:rsidR="0079428C" w:rsidRPr="00FE23BF">
        <w:rPr>
          <w:rFonts w:cs="Arial"/>
          <w:szCs w:val="22"/>
          <w:lang w:val="es-ES"/>
        </w:rPr>
        <w:t xml:space="preserve"> en el año 2017, cuatro de los nueve directores rescindieron del pago, por lo que el ho</w:t>
      </w:r>
      <w:r w:rsidR="00D409FA" w:rsidRPr="00FE23BF">
        <w:rPr>
          <w:rFonts w:cs="Arial"/>
          <w:szCs w:val="22"/>
          <w:lang w:val="es-ES"/>
        </w:rPr>
        <w:t>norario promedio por director fu</w:t>
      </w:r>
      <w:r w:rsidR="00FE23BF" w:rsidRPr="00FE23BF">
        <w:rPr>
          <w:rFonts w:cs="Arial"/>
          <w:szCs w:val="22"/>
          <w:lang w:val="es-ES"/>
        </w:rPr>
        <w:t>e</w:t>
      </w:r>
      <w:r w:rsidR="0079428C" w:rsidRPr="00FE23BF">
        <w:rPr>
          <w:rFonts w:cs="Arial"/>
          <w:szCs w:val="22"/>
          <w:lang w:val="es-ES"/>
        </w:rPr>
        <w:t xml:space="preserve"> de 50.000 USD/año.</w:t>
      </w:r>
    </w:p>
    <w:p w14:paraId="4A01C767" w14:textId="34DCA21A" w:rsidR="00C10AB4" w:rsidRPr="00FE23BF" w:rsidRDefault="00C10AB4" w:rsidP="00C10AB4">
      <w:pPr>
        <w:rPr>
          <w:rFonts w:cs="Arial"/>
          <w:szCs w:val="22"/>
          <w:lang w:val="es-ES"/>
        </w:rPr>
      </w:pPr>
      <w:r w:rsidRPr="00FE23BF">
        <w:rPr>
          <w:rFonts w:cs="Arial"/>
          <w:szCs w:val="22"/>
          <w:lang w:val="es-ES"/>
        </w:rPr>
        <w:t xml:space="preserve">Se ha considerado en forma referencial honorarios de 50.000 USD/año por director con base de lo relevado </w:t>
      </w:r>
      <w:r w:rsidR="00BA2EDF" w:rsidRPr="00FE23BF">
        <w:rPr>
          <w:rFonts w:cs="Arial"/>
          <w:szCs w:val="22"/>
          <w:lang w:val="es-ES"/>
        </w:rPr>
        <w:t>de la información de las em</w:t>
      </w:r>
      <w:r w:rsidR="00D409FA" w:rsidRPr="00FE23BF">
        <w:rPr>
          <w:rFonts w:cs="Arial"/>
          <w:szCs w:val="22"/>
          <w:lang w:val="es-ES"/>
        </w:rPr>
        <w:t>pres</w:t>
      </w:r>
      <w:r w:rsidR="00BA2EDF" w:rsidRPr="00FE23BF">
        <w:rPr>
          <w:rFonts w:cs="Arial"/>
          <w:szCs w:val="22"/>
          <w:lang w:val="es-ES"/>
        </w:rPr>
        <w:t>as</w:t>
      </w:r>
      <w:r w:rsidRPr="00FE23BF">
        <w:rPr>
          <w:rFonts w:cs="Arial"/>
          <w:szCs w:val="22"/>
          <w:lang w:val="es-ES"/>
        </w:rPr>
        <w:t xml:space="preserve"> y a los antecedentes regulatorios vigente</w:t>
      </w:r>
      <w:r w:rsidR="00BA2EDF" w:rsidRPr="00FE23BF">
        <w:rPr>
          <w:rFonts w:cs="Arial"/>
          <w:szCs w:val="22"/>
          <w:lang w:val="es-ES"/>
        </w:rPr>
        <w:t>s</w:t>
      </w:r>
      <w:r w:rsidRPr="00FE23BF">
        <w:rPr>
          <w:rFonts w:cs="Arial"/>
          <w:szCs w:val="22"/>
          <w:lang w:val="es-ES"/>
        </w:rPr>
        <w:t xml:space="preserve"> (Estudio Troncal 2013). Los gastos generales   del directorio se asumieron como un porcentaje eficiente de los honorarios.</w:t>
      </w:r>
    </w:p>
    <w:p w14:paraId="24B06C79" w14:textId="3AD0D17A" w:rsidR="0079428C" w:rsidRPr="00B06D23" w:rsidRDefault="00D409FA" w:rsidP="0079428C">
      <w:pPr>
        <w:rPr>
          <w:lang w:val="es-ES"/>
        </w:rPr>
      </w:pPr>
      <w:r w:rsidRPr="00FE23BF">
        <w:rPr>
          <w:lang w:val="es-ES"/>
        </w:rPr>
        <w:t xml:space="preserve">En el </w:t>
      </w:r>
      <w:r w:rsidR="00AD24BF">
        <w:rPr>
          <w:lang w:val="es-ES"/>
        </w:rPr>
        <w:t>“</w:t>
      </w:r>
      <w:r w:rsidR="0079428C" w:rsidRPr="00FE23BF">
        <w:rPr>
          <w:lang w:val="es-ES"/>
        </w:rPr>
        <w:t xml:space="preserve">Anexo </w:t>
      </w:r>
      <w:r w:rsidR="00AD24BF">
        <w:rPr>
          <w:lang w:val="es-ES"/>
        </w:rPr>
        <w:t>COMA</w:t>
      </w:r>
      <w:r w:rsidR="0079428C" w:rsidRPr="00FE23BF">
        <w:rPr>
          <w:lang w:val="es-ES"/>
        </w:rPr>
        <w:t xml:space="preserve">_3 Modelo/Datos/ Precios Insumos No </w:t>
      </w:r>
      <w:r w:rsidRPr="00FE23BF">
        <w:rPr>
          <w:lang w:val="es-ES"/>
        </w:rPr>
        <w:t>Eléctricos</w:t>
      </w:r>
      <w:r w:rsidR="0079428C" w:rsidRPr="00FE23BF">
        <w:rPr>
          <w:lang w:val="es-ES"/>
        </w:rPr>
        <w:t xml:space="preserve">/ </w:t>
      </w:r>
      <w:r w:rsidRPr="00FE23BF">
        <w:rPr>
          <w:lang w:val="es-ES"/>
        </w:rPr>
        <w:t>Remuneración</w:t>
      </w:r>
      <w:r w:rsidR="0079428C" w:rsidRPr="00FE23BF">
        <w:rPr>
          <w:lang w:val="es-ES"/>
        </w:rPr>
        <w:t xml:space="preserve"> Directorio</w:t>
      </w:r>
      <w:r w:rsidR="00AD24BF">
        <w:rPr>
          <w:lang w:val="es-ES"/>
        </w:rPr>
        <w:t>”</w:t>
      </w:r>
      <w:r w:rsidR="0079428C" w:rsidRPr="00FE23BF">
        <w:rPr>
          <w:lang w:val="es-ES"/>
        </w:rPr>
        <w:t xml:space="preserve"> se presenta el detalle del cálculo realizado.</w:t>
      </w:r>
    </w:p>
    <w:p w14:paraId="1F3E3301" w14:textId="77777777" w:rsidR="0079428C" w:rsidRPr="00FD055F" w:rsidRDefault="0079428C" w:rsidP="0079428C">
      <w:pPr>
        <w:pStyle w:val="Ttulo4"/>
      </w:pPr>
      <w:bookmarkStart w:id="276" w:name="_Toc34398120"/>
      <w:bookmarkStart w:id="277" w:name="_Toc39797810"/>
      <w:r w:rsidRPr="00FD055F">
        <w:t>Contribuciones por terrenos de SSEE y edificios de la EM</w:t>
      </w:r>
      <w:bookmarkEnd w:id="276"/>
      <w:bookmarkEnd w:id="277"/>
    </w:p>
    <w:p w14:paraId="58797F0B" w14:textId="31C75AC3" w:rsidR="0079428C" w:rsidRPr="00FE23BF" w:rsidRDefault="0079428C" w:rsidP="0079428C">
      <w:pPr>
        <w:tabs>
          <w:tab w:val="left" w:pos="5954"/>
        </w:tabs>
        <w:rPr>
          <w:rFonts w:cs="Arial"/>
          <w:szCs w:val="22"/>
          <w:lang w:val="es-ES"/>
        </w:rPr>
      </w:pPr>
      <w:r w:rsidRPr="00B06D23">
        <w:rPr>
          <w:rFonts w:cs="Arial"/>
          <w:szCs w:val="22"/>
          <w:lang w:val="es-ES"/>
        </w:rPr>
        <w:t xml:space="preserve">Respecto del cálculo de las </w:t>
      </w:r>
      <w:r w:rsidRPr="00FE23BF">
        <w:rPr>
          <w:rFonts w:cs="Arial"/>
          <w:szCs w:val="22"/>
          <w:lang w:val="es-ES"/>
        </w:rPr>
        <w:t xml:space="preserve">contribuciones, se ha seguido la metodología indicada en el </w:t>
      </w:r>
      <w:r w:rsidR="00AD24BF">
        <w:rPr>
          <w:rFonts w:cs="Arial"/>
          <w:szCs w:val="22"/>
          <w:lang w:val="es-ES"/>
        </w:rPr>
        <w:t>“</w:t>
      </w:r>
      <w:r w:rsidRPr="00FE23BF">
        <w:rPr>
          <w:rFonts w:cs="Arial"/>
          <w:szCs w:val="22"/>
          <w:lang w:val="es-ES"/>
        </w:rPr>
        <w:t xml:space="preserve">Anexo </w:t>
      </w:r>
      <w:r w:rsidR="00AD24BF">
        <w:rPr>
          <w:rFonts w:cs="Arial"/>
          <w:szCs w:val="22"/>
          <w:lang w:val="es-ES"/>
        </w:rPr>
        <w:t>COMA</w:t>
      </w:r>
      <w:r w:rsidRPr="00FE23BF">
        <w:rPr>
          <w:rFonts w:cs="Arial"/>
          <w:szCs w:val="22"/>
          <w:lang w:val="es-ES"/>
        </w:rPr>
        <w:t>_2_Contribuciones</w:t>
      </w:r>
      <w:r w:rsidR="00AD24BF">
        <w:rPr>
          <w:rFonts w:cs="Arial"/>
          <w:szCs w:val="22"/>
          <w:lang w:val="es-ES"/>
        </w:rPr>
        <w:t>”</w:t>
      </w:r>
      <w:r w:rsidRPr="00FE23BF">
        <w:rPr>
          <w:rFonts w:cs="Arial"/>
          <w:szCs w:val="22"/>
          <w:lang w:val="es-ES"/>
        </w:rPr>
        <w:t xml:space="preserve"> y el deta</w:t>
      </w:r>
      <w:r w:rsidR="00FE23BF" w:rsidRPr="00FE23BF">
        <w:rPr>
          <w:rFonts w:cs="Arial"/>
          <w:szCs w:val="22"/>
          <w:lang w:val="es-ES"/>
        </w:rPr>
        <w:t xml:space="preserve">lle del cálculo se puede ver en </w:t>
      </w:r>
      <w:r w:rsidR="00AD24BF">
        <w:rPr>
          <w:rFonts w:cs="Arial"/>
          <w:szCs w:val="22"/>
          <w:lang w:val="es-ES"/>
        </w:rPr>
        <w:t>“</w:t>
      </w:r>
      <w:r w:rsidRPr="00FE23BF">
        <w:rPr>
          <w:lang w:val="es-ES"/>
        </w:rPr>
        <w:t xml:space="preserve">Anexo </w:t>
      </w:r>
      <w:r w:rsidR="00AD24BF">
        <w:rPr>
          <w:lang w:val="es-ES"/>
        </w:rPr>
        <w:t>COMA</w:t>
      </w:r>
      <w:r w:rsidRPr="00FE23BF">
        <w:rPr>
          <w:lang w:val="es-ES"/>
        </w:rPr>
        <w:t>_3 Modelo/Datos</w:t>
      </w:r>
      <w:r w:rsidRPr="00FE23BF">
        <w:rPr>
          <w:rFonts w:cs="Arial"/>
          <w:szCs w:val="22"/>
          <w:lang w:val="es-ES"/>
        </w:rPr>
        <w:t xml:space="preserve"> / Precios Insumos No </w:t>
      </w:r>
      <w:r w:rsidR="00D409FA" w:rsidRPr="00FE23BF">
        <w:rPr>
          <w:rFonts w:cs="Arial"/>
          <w:szCs w:val="22"/>
          <w:lang w:val="es-ES"/>
        </w:rPr>
        <w:t>Eléctricos</w:t>
      </w:r>
      <w:r w:rsidR="00AD24BF">
        <w:rPr>
          <w:rFonts w:cs="Arial"/>
          <w:szCs w:val="22"/>
          <w:lang w:val="es-ES"/>
        </w:rPr>
        <w:t>/Insumos No Elec SE”</w:t>
      </w:r>
      <w:r w:rsidRPr="00FE23BF">
        <w:rPr>
          <w:rFonts w:cs="Arial"/>
          <w:szCs w:val="22"/>
          <w:lang w:val="es-ES"/>
        </w:rPr>
        <w:t xml:space="preserve"> y sus archivos de soporte relacionados:</w:t>
      </w:r>
    </w:p>
    <w:p w14:paraId="480BA59B" w14:textId="585CA2ED" w:rsidR="0079428C" w:rsidRPr="00204436" w:rsidRDefault="0079428C" w:rsidP="00273FE4">
      <w:pPr>
        <w:pStyle w:val="Prrafodelista"/>
        <w:numPr>
          <w:ilvl w:val="0"/>
          <w:numId w:val="63"/>
        </w:numPr>
        <w:ind w:left="567" w:hanging="567"/>
      </w:pPr>
      <w:r w:rsidRPr="00204436">
        <w:t xml:space="preserve">Costo Metro Cuadrado Contribuciones en </w:t>
      </w:r>
      <w:r w:rsidR="00204436" w:rsidRPr="00204436">
        <w:t>USD</w:t>
      </w:r>
      <w:r w:rsidRPr="00204436">
        <w:t xml:space="preserve"> Dic 2017</w:t>
      </w:r>
    </w:p>
    <w:p w14:paraId="01DD18A2" w14:textId="77777777" w:rsidR="0079428C" w:rsidRPr="00204436" w:rsidRDefault="0079428C" w:rsidP="00273FE4">
      <w:pPr>
        <w:pStyle w:val="Prrafodelista"/>
        <w:numPr>
          <w:ilvl w:val="0"/>
          <w:numId w:val="63"/>
        </w:numPr>
        <w:ind w:left="567" w:hanging="567"/>
      </w:pPr>
      <w:r w:rsidRPr="00204436">
        <w:t>Avalúo y Pago de Contribuciones</w:t>
      </w:r>
    </w:p>
    <w:p w14:paraId="50A3A946" w14:textId="77777777" w:rsidR="00484B50" w:rsidRDefault="0079428C" w:rsidP="0079428C">
      <w:pPr>
        <w:pStyle w:val="Ttulo4"/>
      </w:pPr>
      <w:bookmarkStart w:id="278" w:name="_Toc39797811"/>
      <w:bookmarkStart w:id="279" w:name="_Toc34398121"/>
      <w:r w:rsidRPr="00FD055F">
        <w:t>Asesorías, estudios y otros servicios</w:t>
      </w:r>
      <w:bookmarkEnd w:id="278"/>
    </w:p>
    <w:p w14:paraId="1A06B2DB" w14:textId="7588E980" w:rsidR="0079428C" w:rsidRPr="00484B50" w:rsidRDefault="00484B50" w:rsidP="00484B50">
      <w:r>
        <w:t xml:space="preserve">Incluye </w:t>
      </w:r>
      <w:r w:rsidR="0079428C" w:rsidRPr="00484B50">
        <w:t>estados financieros, tributarias y contables, legales, estudio tarifario, plan de desarrollo, calidad y normas técnicas, laborales y prevención de riesgos, otros estudios regulatorios, auditorías</w:t>
      </w:r>
      <w:r>
        <w:t>.</w:t>
      </w:r>
      <w:bookmarkEnd w:id="279"/>
    </w:p>
    <w:p w14:paraId="0E08314A" w14:textId="530C5C73" w:rsidR="0079428C" w:rsidRPr="00B06D23" w:rsidRDefault="0079428C" w:rsidP="0079428C">
      <w:pPr>
        <w:rPr>
          <w:rFonts w:cs="Arial"/>
          <w:szCs w:val="22"/>
          <w:lang w:val="es-ES"/>
        </w:rPr>
      </w:pPr>
      <w:r w:rsidRPr="00B06D23">
        <w:rPr>
          <w:rFonts w:cs="Arial"/>
          <w:szCs w:val="22"/>
          <w:lang w:val="es-ES"/>
        </w:rPr>
        <w:t>Se determinó el costo de esta partida de acuerdo a las necesi</w:t>
      </w:r>
      <w:r w:rsidR="00204436">
        <w:rPr>
          <w:rFonts w:cs="Arial"/>
          <w:szCs w:val="22"/>
          <w:lang w:val="es-ES"/>
        </w:rPr>
        <w:t>dades de la empresa eficiente. E</w:t>
      </w:r>
      <w:r w:rsidRPr="00B06D23">
        <w:rPr>
          <w:rFonts w:cs="Arial"/>
          <w:szCs w:val="22"/>
          <w:lang w:val="es-ES"/>
        </w:rPr>
        <w:t>sta se estimó sobre la base de costos referenciales eficientes basados en información de mercado y/o antecedentes regulatorios.</w:t>
      </w:r>
    </w:p>
    <w:p w14:paraId="6B579110" w14:textId="1DB6FAF0" w:rsidR="0079428C" w:rsidRPr="00576446" w:rsidRDefault="0079428C" w:rsidP="0079428C">
      <w:pPr>
        <w:rPr>
          <w:rFonts w:cs="Arial"/>
          <w:szCs w:val="22"/>
          <w:lang w:val="es-ES"/>
        </w:rPr>
      </w:pPr>
      <w:r w:rsidRPr="00B06D23">
        <w:rPr>
          <w:rFonts w:cs="Arial"/>
          <w:szCs w:val="22"/>
          <w:lang w:val="es-ES"/>
        </w:rPr>
        <w:t xml:space="preserve">Las </w:t>
      </w:r>
      <w:r w:rsidRPr="00576446">
        <w:rPr>
          <w:rFonts w:cs="Arial"/>
          <w:szCs w:val="22"/>
          <w:lang w:val="es-ES"/>
        </w:rPr>
        <w:t>partidas identificadas como asesorías son:</w:t>
      </w:r>
    </w:p>
    <w:p w14:paraId="196500F6" w14:textId="27D8649B" w:rsidR="0079428C" w:rsidRPr="00204436" w:rsidRDefault="0079428C" w:rsidP="00273FE4">
      <w:pPr>
        <w:pStyle w:val="Prrafodelista"/>
        <w:numPr>
          <w:ilvl w:val="0"/>
          <w:numId w:val="73"/>
        </w:numPr>
        <w:ind w:left="567" w:hanging="567"/>
      </w:pPr>
      <w:r w:rsidRPr="00204436">
        <w:lastRenderedPageBreak/>
        <w:t xml:space="preserve">Auditoría a los Estados Financieros: esta actividad debe ser realizadas por empresas auditoras inscritas en los registros de la </w:t>
      </w:r>
      <w:r w:rsidR="00BE4DE4" w:rsidRPr="00204436">
        <w:t>Comisión para el mercado financiero</w:t>
      </w:r>
      <w:r w:rsidRPr="00204436">
        <w:t xml:space="preserve"> y constituye una obligación para las sociedades anónimas abiertas. </w:t>
      </w:r>
    </w:p>
    <w:p w14:paraId="52E29171" w14:textId="6E7472CB" w:rsidR="0079428C" w:rsidRPr="00204436" w:rsidRDefault="0079428C" w:rsidP="00273FE4">
      <w:pPr>
        <w:pStyle w:val="Prrafodelista"/>
        <w:numPr>
          <w:ilvl w:val="0"/>
          <w:numId w:val="73"/>
        </w:numPr>
        <w:ind w:left="567" w:hanging="567"/>
      </w:pPr>
      <w:r w:rsidRPr="00204436">
        <w:t xml:space="preserve">Asesorías tributarias y contables: corresponde a actividades asociadas a los estados financieros. La empresa debe realizar análisis razonados de sus posiciones, realizar análisis de deterioro de sus activos, cálculos mucho más específicos de la valorización de activos, pasivos, deudas, provisiones y otras figuras contables exigidas por la </w:t>
      </w:r>
      <w:r w:rsidR="00BE4DE4" w:rsidRPr="00204436">
        <w:t>Comisión para el mercado financiero</w:t>
      </w:r>
      <w:r w:rsidRPr="00204436">
        <w:t>.  En materia tributaria la empresa debe mantenerse actualizada de las últimas novedades en la materia mediante asesorías especializadas.</w:t>
      </w:r>
    </w:p>
    <w:p w14:paraId="58F27F1B" w14:textId="0469F6C5" w:rsidR="0079428C" w:rsidRPr="00204436" w:rsidRDefault="0079428C" w:rsidP="00273FE4">
      <w:pPr>
        <w:pStyle w:val="Prrafodelista"/>
        <w:numPr>
          <w:ilvl w:val="0"/>
          <w:numId w:val="73"/>
        </w:numPr>
        <w:ind w:left="567" w:hanging="567"/>
      </w:pPr>
      <w:r w:rsidRPr="00204436">
        <w:t xml:space="preserve">Asesorías y gastos legales: si bien la empresa dispone de un área de asesoría legal, se ve involucrada en eventos legales en toda la extensión de su concesión, para lo cual resulta más adecuada encargar responsabilidades a abogados de las </w:t>
      </w:r>
      <w:r w:rsidR="005A2E09" w:rsidRPr="00204436">
        <w:t>distintas plazas</w:t>
      </w:r>
      <w:r w:rsidRPr="00204436">
        <w:t xml:space="preserve">, para interactuar con juzgados, notarías, conservadores de bienes raíces, otras empresas, proveedores y clientes. </w:t>
      </w:r>
    </w:p>
    <w:p w14:paraId="6C47D2FC" w14:textId="6FAF1C2D" w:rsidR="001C5E58" w:rsidRPr="00204436" w:rsidRDefault="001C5E58" w:rsidP="00273FE4">
      <w:pPr>
        <w:pStyle w:val="Prrafodelista"/>
        <w:numPr>
          <w:ilvl w:val="0"/>
          <w:numId w:val="73"/>
        </w:numPr>
        <w:ind w:left="567" w:hanging="567"/>
      </w:pPr>
      <w:r w:rsidRPr="00204436">
        <w:t>Estudio valorización sistema nacional: el estudio de valorización corresponde a un gasto cada 4 años, que la empresa realiza para desarrollar su estudio tarifario. El costo del estudio considerado surge de la Resolución-Exenta-N°467_09-08-2019, llevado a precios de diciembre de 2017 con los deflactores pertinentes.</w:t>
      </w:r>
      <w:r w:rsidR="0041523E" w:rsidRPr="00204436">
        <w:t xml:space="preserve"> La asignación del costo del estudio a cada propietario se realizó sobre la base de la información</w:t>
      </w:r>
      <w:r w:rsidR="0070720C" w:rsidRPr="00204436">
        <w:t xml:space="preserve"> preliminar</w:t>
      </w:r>
      <w:r w:rsidR="0041523E" w:rsidRPr="00204436">
        <w:t xml:space="preserve"> env</w:t>
      </w:r>
      <w:r w:rsidR="0070720C" w:rsidRPr="00204436">
        <w:t>i</w:t>
      </w:r>
      <w:r w:rsidR="0041523E" w:rsidRPr="00204436">
        <w:t>ada por la CNE sobre la base del decreto 23 T y las instalaciones contenidas en la base de datos del Coordinador</w:t>
      </w:r>
      <w:r w:rsidR="002838DD" w:rsidRPr="00204436">
        <w:rPr>
          <w:rStyle w:val="Refdenotaalpie"/>
          <w:vertAlign w:val="baseline"/>
        </w:rPr>
        <w:footnoteReference w:id="24"/>
      </w:r>
      <w:r w:rsidR="0041523E" w:rsidRPr="00204436">
        <w:t>.</w:t>
      </w:r>
    </w:p>
    <w:p w14:paraId="122D5172" w14:textId="1CD0485E" w:rsidR="0079428C" w:rsidRPr="00204436" w:rsidRDefault="0079428C" w:rsidP="00273FE4">
      <w:pPr>
        <w:pStyle w:val="Prrafodelista"/>
        <w:numPr>
          <w:ilvl w:val="0"/>
          <w:numId w:val="73"/>
        </w:numPr>
        <w:ind w:left="567" w:hanging="567"/>
      </w:pPr>
      <w:r w:rsidRPr="00204436">
        <w:t xml:space="preserve">Asesorías en Plan de Desarrollo: se trata de asesorías de apoyo estratégicas para definir infraestructura real futura (eléctrica y no eléctrica) y sus inversiones de desarrollo. El objetivo específico de estas asesorías es poder acompañar los estudios que </w:t>
      </w:r>
      <w:r w:rsidR="005A2E09" w:rsidRPr="00204436">
        <w:t>realiza el</w:t>
      </w:r>
      <w:r w:rsidRPr="00204436">
        <w:t xml:space="preserve"> Coordinador Nacional y realizar las interacciones pertinentes.</w:t>
      </w:r>
    </w:p>
    <w:p w14:paraId="6F9A31FE" w14:textId="77777777" w:rsidR="0079428C" w:rsidRPr="00204436" w:rsidRDefault="0079428C" w:rsidP="00273FE4">
      <w:pPr>
        <w:pStyle w:val="Prrafodelista"/>
        <w:numPr>
          <w:ilvl w:val="0"/>
          <w:numId w:val="73"/>
        </w:numPr>
        <w:ind w:left="567" w:hanging="567"/>
      </w:pPr>
      <w:r w:rsidRPr="00204436">
        <w:t xml:space="preserve">Asesorías en Calidad y establecimiento de Normas Técnicas: el desarrollo tecnológico y los requerimientos de los clientes exigen que la empresa tenga un plan permanente de mejoramiento de sus instalaciones, para aumentar la confiabilidad de sus prestaciones y </w:t>
      </w:r>
      <w:r w:rsidRPr="00204436">
        <w:lastRenderedPageBreak/>
        <w:t>lograr la satisfacción de sus clientes. Para ello se realizan asesorías que apuntan a la calidad del servicio y al establecimiento o perfeccionamiento de normas técnicas.</w:t>
      </w:r>
    </w:p>
    <w:p w14:paraId="097CC43B" w14:textId="77777777" w:rsidR="0079428C" w:rsidRPr="00204436" w:rsidRDefault="0079428C" w:rsidP="00273FE4">
      <w:pPr>
        <w:pStyle w:val="Prrafodelista"/>
        <w:numPr>
          <w:ilvl w:val="0"/>
          <w:numId w:val="73"/>
        </w:numPr>
        <w:ind w:left="567" w:hanging="567"/>
      </w:pPr>
      <w:r w:rsidRPr="00204436">
        <w:t xml:space="preserve">Asesorías Laborales y Prevención de Riesgos: se incluye con la contratación de personal de reemplazo, estudio de remuneraciones; estudios relacionados a la organización, como clima laboral, estrategias de participación y otras; estudios relacionados con nuevas normativas laborales, interpretación y aplicabilidad e impacto en la organización. En los temas de Prevención de Riesgos, Salud Ocupacional y Medioambiente se requiere constantemente realizar estudios de las condiciones de trabajo del personal, de los impactos de la actividad en el medio ambiente y de interpretación de nuevas normativas. </w:t>
      </w:r>
    </w:p>
    <w:p w14:paraId="6DBBDE40" w14:textId="10629A4D" w:rsidR="0079428C" w:rsidRDefault="0079428C" w:rsidP="0079428C">
      <w:pPr>
        <w:tabs>
          <w:tab w:val="left" w:pos="5954"/>
        </w:tabs>
        <w:rPr>
          <w:rFonts w:cs="Arial"/>
          <w:szCs w:val="22"/>
          <w:lang w:val="es-ES"/>
        </w:rPr>
      </w:pPr>
      <w:r w:rsidRPr="00346384">
        <w:rPr>
          <w:lang w:val="es-ES"/>
        </w:rPr>
        <w:t>El detalle de cálc</w:t>
      </w:r>
      <w:r w:rsidR="00204436">
        <w:rPr>
          <w:lang w:val="es-ES"/>
        </w:rPr>
        <w:t>ulo y soportes se pueden ver en</w:t>
      </w:r>
      <w:r w:rsidRPr="00346384">
        <w:rPr>
          <w:lang w:val="es-ES"/>
        </w:rPr>
        <w:t xml:space="preserve">: </w:t>
      </w:r>
      <w:r w:rsidR="00204436">
        <w:rPr>
          <w:lang w:val="es-ES"/>
        </w:rPr>
        <w:t>“</w:t>
      </w:r>
      <w:r w:rsidRPr="00346384">
        <w:rPr>
          <w:lang w:val="es-ES"/>
        </w:rPr>
        <w:t xml:space="preserve">Anexo </w:t>
      </w:r>
      <w:r w:rsidR="00AD24BF">
        <w:rPr>
          <w:lang w:val="es-ES"/>
        </w:rPr>
        <w:t>COMA</w:t>
      </w:r>
      <w:r w:rsidRPr="00346384">
        <w:rPr>
          <w:lang w:val="es-ES"/>
        </w:rPr>
        <w:t>_3 Modelo/Datos</w:t>
      </w:r>
      <w:r w:rsidRPr="00346384">
        <w:rPr>
          <w:rFonts w:cs="Arial"/>
          <w:szCs w:val="22"/>
          <w:lang w:val="es-ES"/>
        </w:rPr>
        <w:t xml:space="preserve"> / Precios Insumos No </w:t>
      </w:r>
      <w:r w:rsidR="00D409FA" w:rsidRPr="00346384">
        <w:rPr>
          <w:rFonts w:cs="Arial"/>
          <w:szCs w:val="22"/>
          <w:lang w:val="es-ES"/>
        </w:rPr>
        <w:t>Eléctricos</w:t>
      </w:r>
      <w:r w:rsidRPr="00346384">
        <w:rPr>
          <w:rFonts w:cs="Arial"/>
          <w:szCs w:val="22"/>
          <w:lang w:val="es-ES"/>
        </w:rPr>
        <w:t>/Asesorías</w:t>
      </w:r>
      <w:r w:rsidR="00204436">
        <w:rPr>
          <w:rFonts w:cs="Arial"/>
          <w:szCs w:val="22"/>
          <w:lang w:val="es-ES"/>
        </w:rPr>
        <w:t>”</w:t>
      </w:r>
      <w:r w:rsidRPr="00346384">
        <w:rPr>
          <w:rFonts w:cs="Arial"/>
          <w:szCs w:val="22"/>
          <w:lang w:val="es-ES"/>
        </w:rPr>
        <w:t>.</w:t>
      </w:r>
    </w:p>
    <w:p w14:paraId="5B4A1E6E" w14:textId="77777777" w:rsidR="0079428C" w:rsidRPr="00FD055F" w:rsidRDefault="0079428C" w:rsidP="0079428C">
      <w:pPr>
        <w:pStyle w:val="Ttulo4"/>
      </w:pPr>
      <w:bookmarkStart w:id="280" w:name="_Toc34398122"/>
      <w:bookmarkStart w:id="281" w:name="_Toc39797812"/>
      <w:r w:rsidRPr="00FD055F">
        <w:t>Gastos de Imagen institucional</w:t>
      </w:r>
      <w:bookmarkEnd w:id="280"/>
      <w:bookmarkEnd w:id="281"/>
    </w:p>
    <w:p w14:paraId="457E526E" w14:textId="275417E9" w:rsidR="0079428C" w:rsidRPr="00B06D23" w:rsidRDefault="0079428C" w:rsidP="0079428C">
      <w:pPr>
        <w:rPr>
          <w:rFonts w:cs="Arial"/>
          <w:szCs w:val="22"/>
          <w:lang w:val="es-ES"/>
        </w:rPr>
      </w:pPr>
      <w:r w:rsidRPr="00B06D23">
        <w:rPr>
          <w:rFonts w:cs="Arial"/>
          <w:szCs w:val="22"/>
          <w:lang w:val="es-ES"/>
        </w:rPr>
        <w:t xml:space="preserve">Para obtener un costo anual para la </w:t>
      </w:r>
      <w:r w:rsidR="001A6E11">
        <w:rPr>
          <w:rFonts w:cs="Arial"/>
          <w:szCs w:val="22"/>
          <w:lang w:val="es-ES"/>
        </w:rPr>
        <w:t>EM</w:t>
      </w:r>
      <w:r w:rsidRPr="00B06D23">
        <w:rPr>
          <w:rFonts w:cs="Arial"/>
          <w:szCs w:val="22"/>
          <w:lang w:val="es-ES"/>
        </w:rPr>
        <w:t xml:space="preserve"> se consideraron relevamientos de mercado para empresas similares.</w:t>
      </w:r>
    </w:p>
    <w:p w14:paraId="1A2D1217" w14:textId="75FB384F" w:rsidR="0079428C" w:rsidRPr="00B06D23" w:rsidRDefault="0079428C" w:rsidP="0079428C">
      <w:pPr>
        <w:rPr>
          <w:rFonts w:cs="Arial"/>
          <w:szCs w:val="22"/>
          <w:lang w:val="es-ES"/>
        </w:rPr>
      </w:pPr>
      <w:r w:rsidRPr="00B06D23">
        <w:rPr>
          <w:rFonts w:cs="Arial"/>
          <w:szCs w:val="22"/>
          <w:lang w:val="es-ES"/>
        </w:rPr>
        <w:t xml:space="preserve">Para obtener un costo anual para la </w:t>
      </w:r>
      <w:r w:rsidR="001A6E11">
        <w:rPr>
          <w:rFonts w:cs="Arial"/>
          <w:szCs w:val="22"/>
          <w:lang w:val="es-ES"/>
        </w:rPr>
        <w:t>EM</w:t>
      </w:r>
      <w:r w:rsidRPr="00B06D23">
        <w:rPr>
          <w:rFonts w:cs="Arial"/>
          <w:szCs w:val="22"/>
          <w:lang w:val="es-ES"/>
        </w:rPr>
        <w:t xml:space="preserve"> se tomaron tres presupuestos para el desarrollo de la imagen empresarial tomados de los antecedentes regulatorios. Dichos presupuestos corresponden a proyectos de diferente orden de magnitud, y en base a lo anterior se obtuvo un costo estimado promedio para la </w:t>
      </w:r>
      <w:r w:rsidR="001A6E11">
        <w:rPr>
          <w:rFonts w:cs="Arial"/>
          <w:szCs w:val="22"/>
          <w:lang w:val="es-ES"/>
        </w:rPr>
        <w:t>EM</w:t>
      </w:r>
      <w:r w:rsidR="00346384">
        <w:rPr>
          <w:rFonts w:cs="Arial"/>
          <w:szCs w:val="22"/>
          <w:lang w:val="es-ES"/>
        </w:rPr>
        <w:t>.</w:t>
      </w:r>
    </w:p>
    <w:p w14:paraId="4E1BC4D0" w14:textId="77777777" w:rsidR="0079428C" w:rsidRPr="00FD055F" w:rsidRDefault="0079428C" w:rsidP="0079428C">
      <w:pPr>
        <w:pStyle w:val="Ttulo4"/>
      </w:pPr>
      <w:bookmarkStart w:id="282" w:name="_Toc34398123"/>
      <w:bookmarkStart w:id="283" w:name="_Toc39797813"/>
      <w:r w:rsidRPr="00FD055F">
        <w:t>Gastos de capacitación</w:t>
      </w:r>
      <w:bookmarkEnd w:id="282"/>
      <w:bookmarkEnd w:id="283"/>
    </w:p>
    <w:p w14:paraId="21184E2B" w14:textId="2E94B37C" w:rsidR="001C5E58" w:rsidRPr="00C543D6" w:rsidRDefault="0079428C" w:rsidP="001C5E58">
      <w:pPr>
        <w:rPr>
          <w:rFonts w:cs="Arial"/>
          <w:szCs w:val="22"/>
          <w:lang w:val="es-ES"/>
        </w:rPr>
      </w:pPr>
      <w:r w:rsidRPr="00B06D23">
        <w:rPr>
          <w:rFonts w:cs="Arial"/>
          <w:szCs w:val="22"/>
          <w:lang w:val="es-ES"/>
        </w:rPr>
        <w:t xml:space="preserve">Para estimar el costo de capacitación de la empresa </w:t>
      </w:r>
      <w:r w:rsidR="00F968F3">
        <w:rPr>
          <w:rFonts w:cs="Arial"/>
          <w:szCs w:val="22"/>
          <w:lang w:val="es-ES"/>
        </w:rPr>
        <w:t>de transmisión nacional</w:t>
      </w:r>
      <w:r w:rsidRPr="00B06D23">
        <w:rPr>
          <w:rFonts w:cs="Arial"/>
          <w:szCs w:val="22"/>
          <w:lang w:val="es-ES"/>
        </w:rPr>
        <w:t>, se consideró que un 50% del total del personal propio se capacita por año, considerando para ello 45 horas de capacitación al año a un costo de 20 US</w:t>
      </w:r>
      <w:r w:rsidR="00204436">
        <w:rPr>
          <w:rFonts w:cs="Arial"/>
          <w:szCs w:val="22"/>
          <w:lang w:val="es-ES"/>
        </w:rPr>
        <w:t>D</w:t>
      </w:r>
      <w:r w:rsidRPr="00B06D23">
        <w:rPr>
          <w:rFonts w:cs="Arial"/>
          <w:szCs w:val="22"/>
          <w:lang w:val="es-ES"/>
        </w:rPr>
        <w:t>/hora por cada trabajador. Lo anterior basado en antecedentes regulatorio</w:t>
      </w:r>
      <w:r w:rsidRPr="00A943FF">
        <w:rPr>
          <w:rFonts w:cs="Arial"/>
          <w:szCs w:val="22"/>
          <w:lang w:val="es-ES"/>
        </w:rPr>
        <w:t>s.</w:t>
      </w:r>
      <w:r w:rsidR="001C5E58" w:rsidRPr="00A943FF">
        <w:rPr>
          <w:rFonts w:cs="Arial"/>
          <w:szCs w:val="22"/>
          <w:lang w:val="es-ES"/>
        </w:rPr>
        <w:t xml:space="preserve"> </w:t>
      </w:r>
      <w:r w:rsidR="001C5E58" w:rsidRPr="00C543D6">
        <w:rPr>
          <w:rFonts w:cs="Arial"/>
          <w:szCs w:val="22"/>
          <w:lang w:val="es-ES"/>
        </w:rPr>
        <w:t>Lo anterior basado en antecedentes regulatorios (Informe Técnico Definitivo para la Determinación del Valor Anual y Expansión de los Sistemas de Transmisión Troncal para el cuadrienio 2016-20</w:t>
      </w:r>
      <w:r w:rsidR="00204436">
        <w:rPr>
          <w:rFonts w:cs="Arial"/>
          <w:szCs w:val="22"/>
          <w:lang w:val="es-ES"/>
        </w:rPr>
        <w:t>19, según Resolución Exenta N°</w:t>
      </w:r>
      <w:r w:rsidR="001C5E58" w:rsidRPr="00C543D6">
        <w:rPr>
          <w:rFonts w:cs="Arial"/>
          <w:szCs w:val="22"/>
          <w:lang w:val="es-ES"/>
        </w:rPr>
        <w:t xml:space="preserve"> 616)</w:t>
      </w:r>
      <w:r w:rsidR="00811BFE" w:rsidRPr="00C543D6">
        <w:rPr>
          <w:rFonts w:cs="Arial"/>
          <w:szCs w:val="22"/>
          <w:lang w:val="es-ES"/>
        </w:rPr>
        <w:t>.</w:t>
      </w:r>
    </w:p>
    <w:p w14:paraId="1050AD80" w14:textId="77777777" w:rsidR="0079428C" w:rsidRPr="00FD055F" w:rsidRDefault="0079428C" w:rsidP="0079428C">
      <w:pPr>
        <w:pStyle w:val="Ttulo4"/>
      </w:pPr>
      <w:bookmarkStart w:id="284" w:name="_Toc34398124"/>
      <w:bookmarkStart w:id="285" w:name="_Toc39797814"/>
      <w:r w:rsidRPr="00C543D6">
        <w:t>Gastos por viajes n</w:t>
      </w:r>
      <w:r w:rsidRPr="00FD055F">
        <w:t>o operacionales (pasajes y viáticos)</w:t>
      </w:r>
      <w:bookmarkEnd w:id="284"/>
      <w:bookmarkEnd w:id="285"/>
    </w:p>
    <w:p w14:paraId="021CCB8A" w14:textId="77777777" w:rsidR="0079428C" w:rsidRPr="00B06D23" w:rsidRDefault="0079428C" w:rsidP="0079428C">
      <w:pPr>
        <w:rPr>
          <w:rFonts w:cs="Arial"/>
          <w:szCs w:val="22"/>
          <w:lang w:val="es-ES"/>
        </w:rPr>
      </w:pPr>
      <w:r w:rsidRPr="00B06D23">
        <w:rPr>
          <w:rFonts w:cs="Arial"/>
          <w:szCs w:val="22"/>
          <w:lang w:val="es-ES"/>
        </w:rPr>
        <w:t>Los empleados con nivel de gerentes, subgerentes y jefes requieren viajes entre las regionales y Santiago y/o subestaciones, u otros emplazamientos con motivo de reuniones de trabajo entre empleados y terceros de la empresa.</w:t>
      </w:r>
    </w:p>
    <w:p w14:paraId="25B91DEA" w14:textId="77777777" w:rsidR="0079428C" w:rsidRPr="00B06D23" w:rsidRDefault="0079428C" w:rsidP="0079428C">
      <w:pPr>
        <w:rPr>
          <w:rFonts w:cs="Arial"/>
          <w:szCs w:val="22"/>
          <w:lang w:val="es-ES"/>
        </w:rPr>
      </w:pPr>
      <w:r w:rsidRPr="00B06D23">
        <w:rPr>
          <w:rFonts w:cs="Arial"/>
          <w:szCs w:val="22"/>
          <w:lang w:val="es-ES"/>
        </w:rPr>
        <w:t>Se estimó los costos de pasajes, alojamiento y estadía por año para cada nivel profesional y la estimación de un costo por año.</w:t>
      </w:r>
    </w:p>
    <w:p w14:paraId="7FBF864B" w14:textId="6F96767B" w:rsidR="0079428C" w:rsidRPr="00811BFE" w:rsidRDefault="0079428C" w:rsidP="0079428C">
      <w:pPr>
        <w:tabs>
          <w:tab w:val="left" w:pos="5954"/>
        </w:tabs>
        <w:rPr>
          <w:rFonts w:cs="Arial"/>
          <w:szCs w:val="22"/>
          <w:lang w:val="es-ES"/>
        </w:rPr>
      </w:pPr>
      <w:r w:rsidRPr="00811BFE">
        <w:rPr>
          <w:lang w:val="es-ES"/>
        </w:rPr>
        <w:lastRenderedPageBreak/>
        <w:t xml:space="preserve">El detalle de cálculo y soportes se pueden ver </w:t>
      </w:r>
      <w:r w:rsidR="005A2E09" w:rsidRPr="00811BFE">
        <w:rPr>
          <w:lang w:val="es-ES"/>
        </w:rPr>
        <w:t>en:</w:t>
      </w:r>
      <w:r w:rsidRPr="00811BFE">
        <w:rPr>
          <w:lang w:val="es-ES"/>
        </w:rPr>
        <w:t xml:space="preserve"> </w:t>
      </w:r>
      <w:r w:rsidR="00204436">
        <w:rPr>
          <w:lang w:val="es-ES"/>
        </w:rPr>
        <w:t>“</w:t>
      </w:r>
      <w:r w:rsidRPr="00811BFE">
        <w:rPr>
          <w:lang w:val="es-ES"/>
        </w:rPr>
        <w:t xml:space="preserve">Anexo </w:t>
      </w:r>
      <w:r w:rsidR="00AD24BF">
        <w:rPr>
          <w:lang w:val="es-ES"/>
        </w:rPr>
        <w:t>COMA</w:t>
      </w:r>
      <w:r w:rsidRPr="00811BFE">
        <w:rPr>
          <w:lang w:val="es-ES"/>
        </w:rPr>
        <w:t>_3 Modelo/Datos</w:t>
      </w:r>
      <w:r w:rsidRPr="00811BFE">
        <w:rPr>
          <w:rFonts w:cs="Arial"/>
          <w:szCs w:val="22"/>
          <w:lang w:val="es-ES"/>
        </w:rPr>
        <w:t xml:space="preserve"> / Precios Insumos No </w:t>
      </w:r>
      <w:r w:rsidR="00D409FA" w:rsidRPr="00811BFE">
        <w:rPr>
          <w:rFonts w:cs="Arial"/>
          <w:szCs w:val="22"/>
          <w:lang w:val="es-ES"/>
        </w:rPr>
        <w:t>Eléctricos</w:t>
      </w:r>
      <w:r w:rsidRPr="00811BFE">
        <w:rPr>
          <w:rFonts w:cs="Arial"/>
          <w:szCs w:val="22"/>
          <w:lang w:val="es-ES"/>
        </w:rPr>
        <w:t>/</w:t>
      </w:r>
      <w:r w:rsidR="00D409FA" w:rsidRPr="00811BFE">
        <w:rPr>
          <w:rFonts w:cs="Arial"/>
          <w:szCs w:val="22"/>
          <w:lang w:val="es-ES"/>
        </w:rPr>
        <w:t>Viáticos</w:t>
      </w:r>
      <w:r w:rsidRPr="00811BFE">
        <w:rPr>
          <w:rFonts w:cs="Arial"/>
          <w:szCs w:val="22"/>
          <w:lang w:val="es-ES"/>
        </w:rPr>
        <w:t xml:space="preserve"> no operacionales</w:t>
      </w:r>
      <w:r w:rsidR="00204436">
        <w:rPr>
          <w:rFonts w:cs="Arial"/>
          <w:szCs w:val="22"/>
          <w:lang w:val="es-ES"/>
        </w:rPr>
        <w:t>”.</w:t>
      </w:r>
    </w:p>
    <w:p w14:paraId="718FEFA4" w14:textId="684842EA" w:rsidR="0079428C" w:rsidRPr="00811BFE" w:rsidRDefault="0079428C" w:rsidP="0079428C">
      <w:pPr>
        <w:pStyle w:val="Ttulo4"/>
      </w:pPr>
      <w:bookmarkStart w:id="286" w:name="_Toc34398125"/>
      <w:bookmarkStart w:id="287" w:name="_Toc39797815"/>
      <w:r w:rsidRPr="00811BFE">
        <w:t>Gastos de viáticos operacionales</w:t>
      </w:r>
      <w:bookmarkEnd w:id="286"/>
      <w:r w:rsidR="006E3790" w:rsidRPr="00811BFE">
        <w:t xml:space="preserve"> de personal de </w:t>
      </w:r>
      <w:r w:rsidR="005A2E09" w:rsidRPr="00811BFE">
        <w:t>plantilla</w:t>
      </w:r>
      <w:bookmarkEnd w:id="287"/>
    </w:p>
    <w:p w14:paraId="0095B63C" w14:textId="77777777" w:rsidR="006E3790" w:rsidRPr="00B06D23" w:rsidRDefault="006E3790" w:rsidP="006E3790">
      <w:pPr>
        <w:tabs>
          <w:tab w:val="left" w:pos="5954"/>
        </w:tabs>
        <w:rPr>
          <w:rFonts w:cs="Arial"/>
          <w:szCs w:val="22"/>
          <w:lang w:val="es-ES"/>
        </w:rPr>
      </w:pPr>
      <w:r w:rsidRPr="00811BFE">
        <w:rPr>
          <w:rFonts w:cs="Arial"/>
          <w:szCs w:val="22"/>
          <w:lang w:val="es-ES"/>
        </w:rPr>
        <w:t>El personal operativo de plantilla la mayoría de las veces tiene que realizar jornadas muy extensas por el viaje que involucra llegar a las instalaciones y se requiere reconocer los gastos de almuerzo y alojamiento que serán contemplados como un costo unitario para el personal operativo.</w:t>
      </w:r>
    </w:p>
    <w:p w14:paraId="49DF5AFD" w14:textId="77777777" w:rsidR="0079428C" w:rsidRPr="00B06D23" w:rsidRDefault="0079428C" w:rsidP="0079428C">
      <w:pPr>
        <w:tabs>
          <w:tab w:val="left" w:pos="5954"/>
        </w:tabs>
        <w:rPr>
          <w:rFonts w:cs="Arial"/>
          <w:szCs w:val="22"/>
          <w:lang w:val="es-ES"/>
        </w:rPr>
      </w:pPr>
      <w:r w:rsidRPr="00B06D23">
        <w:rPr>
          <w:rFonts w:cs="Arial"/>
          <w:szCs w:val="22"/>
          <w:lang w:val="es-ES"/>
        </w:rPr>
        <w:t>Se realizó un análisis crítico de la información de costos unitarios de alojamiento y comidas presentada por las empresas contra un relevamiento de mercado.</w:t>
      </w:r>
    </w:p>
    <w:p w14:paraId="18B281F7" w14:textId="77777777" w:rsidR="0079428C" w:rsidRPr="00B06D23" w:rsidRDefault="0079428C" w:rsidP="0079428C">
      <w:pPr>
        <w:tabs>
          <w:tab w:val="left" w:pos="5954"/>
        </w:tabs>
        <w:rPr>
          <w:rFonts w:cs="Arial"/>
          <w:szCs w:val="22"/>
          <w:lang w:val="es-ES"/>
        </w:rPr>
      </w:pPr>
      <w:r w:rsidRPr="00B06D23">
        <w:rPr>
          <w:rFonts w:cs="Arial"/>
          <w:szCs w:val="22"/>
          <w:lang w:val="es-ES"/>
        </w:rPr>
        <w:t>Se consideró el costo promedio diario de alojamiento que resulta del relevamiento del mercado y el costo promedio de comidas informado por las empresas con la siguiente cantidad de días:</w:t>
      </w:r>
    </w:p>
    <w:p w14:paraId="1330A358" w14:textId="77777777" w:rsidR="0079428C" w:rsidRPr="00575034" w:rsidRDefault="0079428C" w:rsidP="00273FE4">
      <w:pPr>
        <w:pStyle w:val="Prrafodelista"/>
        <w:numPr>
          <w:ilvl w:val="0"/>
          <w:numId w:val="64"/>
        </w:numPr>
        <w:ind w:left="567" w:hanging="567"/>
      </w:pPr>
      <w:r w:rsidRPr="00575034">
        <w:t xml:space="preserve">Ingenieros, supervisores y técnicos de las unidades regionales: 52 días por año, se considera un viaje de dos días cada dos semanas. </w:t>
      </w:r>
    </w:p>
    <w:p w14:paraId="4BF72CCD" w14:textId="1C62526A" w:rsidR="0079428C" w:rsidRPr="00575034" w:rsidRDefault="0079428C" w:rsidP="00273FE4">
      <w:pPr>
        <w:pStyle w:val="Prrafodelista"/>
        <w:numPr>
          <w:ilvl w:val="0"/>
          <w:numId w:val="64"/>
        </w:numPr>
        <w:ind w:left="567" w:hanging="567"/>
      </w:pPr>
      <w:r w:rsidRPr="00575034">
        <w:t>Operadores de subestación</w:t>
      </w:r>
      <w:r w:rsidR="00811BFE" w:rsidRPr="00575034">
        <w:t>:</w:t>
      </w:r>
      <w:r w:rsidRPr="00575034">
        <w:t xml:space="preserve"> 10 días por año.</w:t>
      </w:r>
    </w:p>
    <w:p w14:paraId="67CFD198" w14:textId="6F0CC274" w:rsidR="0079428C" w:rsidRPr="00811BFE" w:rsidRDefault="0079428C" w:rsidP="0079428C">
      <w:pPr>
        <w:tabs>
          <w:tab w:val="left" w:pos="5954"/>
        </w:tabs>
        <w:rPr>
          <w:rFonts w:cs="Arial"/>
          <w:szCs w:val="22"/>
          <w:lang w:val="es-ES"/>
        </w:rPr>
      </w:pPr>
      <w:r w:rsidRPr="00811BFE">
        <w:rPr>
          <w:lang w:val="es-ES"/>
        </w:rPr>
        <w:t>El detalle de cálc</w:t>
      </w:r>
      <w:r w:rsidR="00AD24BF">
        <w:rPr>
          <w:lang w:val="es-ES"/>
        </w:rPr>
        <w:t>ulo y soportes se pueden ver en</w:t>
      </w:r>
      <w:r w:rsidRPr="00811BFE">
        <w:rPr>
          <w:lang w:val="es-ES"/>
        </w:rPr>
        <w:t xml:space="preserve">: </w:t>
      </w:r>
      <w:r w:rsidR="00AD24BF">
        <w:rPr>
          <w:lang w:val="es-ES"/>
        </w:rPr>
        <w:t>“</w:t>
      </w:r>
      <w:r w:rsidRPr="00811BFE">
        <w:rPr>
          <w:lang w:val="es-ES"/>
        </w:rPr>
        <w:t xml:space="preserve">Anexo </w:t>
      </w:r>
      <w:r w:rsidR="005A6F95">
        <w:rPr>
          <w:lang w:val="es-ES"/>
        </w:rPr>
        <w:t>C.O.M.A.</w:t>
      </w:r>
      <w:r w:rsidRPr="00811BFE">
        <w:rPr>
          <w:lang w:val="es-ES"/>
        </w:rPr>
        <w:t>_3 Modelo/Datos</w:t>
      </w:r>
      <w:r w:rsidRPr="00811BFE">
        <w:rPr>
          <w:rFonts w:cs="Arial"/>
          <w:szCs w:val="22"/>
          <w:lang w:val="es-ES"/>
        </w:rPr>
        <w:t xml:space="preserve"> / Precios Insumos No </w:t>
      </w:r>
      <w:r w:rsidR="00D409FA" w:rsidRPr="00811BFE">
        <w:rPr>
          <w:rFonts w:cs="Arial"/>
          <w:szCs w:val="22"/>
          <w:lang w:val="es-ES"/>
        </w:rPr>
        <w:t>Eléctricos</w:t>
      </w:r>
      <w:r w:rsidRPr="00811BFE">
        <w:rPr>
          <w:rFonts w:cs="Arial"/>
          <w:szCs w:val="22"/>
          <w:lang w:val="es-ES"/>
        </w:rPr>
        <w:t>/</w:t>
      </w:r>
      <w:r w:rsidR="00D409FA" w:rsidRPr="00811BFE">
        <w:rPr>
          <w:rFonts w:cs="Arial"/>
          <w:szCs w:val="22"/>
          <w:lang w:val="es-ES"/>
        </w:rPr>
        <w:t>Viáticos</w:t>
      </w:r>
      <w:r w:rsidRPr="00811BFE">
        <w:rPr>
          <w:rFonts w:cs="Arial"/>
          <w:szCs w:val="22"/>
          <w:lang w:val="es-ES"/>
        </w:rPr>
        <w:t xml:space="preserve"> operacionales</w:t>
      </w:r>
      <w:r w:rsidR="00AD24BF">
        <w:rPr>
          <w:rFonts w:cs="Arial"/>
          <w:szCs w:val="22"/>
          <w:lang w:val="es-ES"/>
        </w:rPr>
        <w:t>”.</w:t>
      </w:r>
    </w:p>
    <w:p w14:paraId="2AA89182" w14:textId="0DEE4AF2" w:rsidR="0079428C" w:rsidRPr="00B06D23" w:rsidRDefault="0079428C" w:rsidP="0079428C">
      <w:pPr>
        <w:tabs>
          <w:tab w:val="left" w:pos="5954"/>
        </w:tabs>
        <w:rPr>
          <w:rFonts w:cs="Arial"/>
          <w:szCs w:val="22"/>
          <w:lang w:val="es-ES"/>
        </w:rPr>
      </w:pPr>
      <w:r w:rsidRPr="00811BFE">
        <w:rPr>
          <w:rFonts w:cs="Arial"/>
          <w:szCs w:val="22"/>
          <w:lang w:val="es-ES"/>
        </w:rPr>
        <w:t xml:space="preserve">Para el personal tercerizado los costos de alojamiento y comidas para el personal de terreno se incluyen en los costos de los servicios tercerizados, determinando la cantidad de días en </w:t>
      </w:r>
      <w:r w:rsidR="00D409FA" w:rsidRPr="00811BFE">
        <w:rPr>
          <w:rFonts w:cs="Arial"/>
          <w:szCs w:val="22"/>
          <w:lang w:val="es-ES"/>
        </w:rPr>
        <w:t>función</w:t>
      </w:r>
      <w:r w:rsidRPr="00811BFE">
        <w:rPr>
          <w:rFonts w:cs="Arial"/>
          <w:szCs w:val="22"/>
          <w:lang w:val="es-ES"/>
        </w:rPr>
        <w:t xml:space="preserve"> del tiempo </w:t>
      </w:r>
      <w:r w:rsidR="005A2E09" w:rsidRPr="00811BFE">
        <w:rPr>
          <w:rFonts w:cs="Arial"/>
          <w:szCs w:val="22"/>
          <w:lang w:val="es-ES"/>
        </w:rPr>
        <w:t>requerido de</w:t>
      </w:r>
      <w:r w:rsidRPr="00811BFE">
        <w:rPr>
          <w:rFonts w:cs="Arial"/>
          <w:szCs w:val="22"/>
          <w:lang w:val="es-ES"/>
        </w:rPr>
        <w:t xml:space="preserve"> pernocte para la ejecución de los trabajos de mantenimiento.</w:t>
      </w:r>
    </w:p>
    <w:p w14:paraId="1FE2E12D" w14:textId="77777777" w:rsidR="0079428C" w:rsidRPr="00FD055F" w:rsidRDefault="0079428C" w:rsidP="0079428C">
      <w:pPr>
        <w:pStyle w:val="Ttulo4"/>
      </w:pPr>
      <w:bookmarkStart w:id="288" w:name="_Toc34398126"/>
      <w:bookmarkStart w:id="289" w:name="_Toc39797816"/>
      <w:r w:rsidRPr="00FD055F">
        <w:t>Gastos en seguros de bienes eléctricos y muebles e inmuebles</w:t>
      </w:r>
      <w:bookmarkEnd w:id="288"/>
      <w:bookmarkEnd w:id="289"/>
    </w:p>
    <w:p w14:paraId="5DE5309F" w14:textId="7482F474" w:rsidR="0079428C" w:rsidRPr="00B06D23" w:rsidRDefault="0079428C" w:rsidP="0079428C">
      <w:pPr>
        <w:rPr>
          <w:rFonts w:cs="Arial"/>
          <w:bCs/>
          <w:noProof/>
          <w:szCs w:val="22"/>
          <w:lang w:val="es-ES"/>
        </w:rPr>
      </w:pPr>
      <w:r w:rsidRPr="00B06D23">
        <w:rPr>
          <w:rFonts w:cs="Arial"/>
          <w:bCs/>
          <w:noProof/>
          <w:szCs w:val="22"/>
          <w:lang w:val="es-ES"/>
        </w:rPr>
        <w:t xml:space="preserve">El criterio a utilizar por la </w:t>
      </w:r>
      <w:r w:rsidR="001A6E11">
        <w:rPr>
          <w:rFonts w:cs="Arial"/>
          <w:bCs/>
          <w:noProof/>
          <w:szCs w:val="22"/>
          <w:lang w:val="es-ES"/>
        </w:rPr>
        <w:t>EM</w:t>
      </w:r>
      <w:r w:rsidRPr="00B06D23">
        <w:rPr>
          <w:rFonts w:cs="Arial"/>
          <w:bCs/>
          <w:noProof/>
          <w:szCs w:val="22"/>
          <w:lang w:val="es-ES"/>
        </w:rPr>
        <w:t xml:space="preserve"> para determinar su cobertura es proteger sus activos de una pérdida catastrófica, que pueda interrumpir el servicio eléctrico. De acuerdo a la normat</w:t>
      </w:r>
      <w:r w:rsidR="00FA5C96">
        <w:rPr>
          <w:rFonts w:cs="Arial"/>
          <w:bCs/>
          <w:noProof/>
          <w:szCs w:val="22"/>
          <w:lang w:val="es-ES"/>
        </w:rPr>
        <w:t>iva existente, la empresa tiene</w:t>
      </w:r>
      <w:r w:rsidRPr="00B06D23">
        <w:rPr>
          <w:rFonts w:cs="Arial"/>
          <w:bCs/>
          <w:noProof/>
          <w:szCs w:val="22"/>
          <w:lang w:val="es-ES"/>
        </w:rPr>
        <w:t xml:space="preserve"> la responsabilidad de recuperar los servicios dañados, incluso e</w:t>
      </w:r>
      <w:r w:rsidR="00FA5C96">
        <w:rPr>
          <w:rFonts w:cs="Arial"/>
          <w:bCs/>
          <w:noProof/>
          <w:szCs w:val="22"/>
          <w:lang w:val="es-ES"/>
        </w:rPr>
        <w:t xml:space="preserve">n los casos de fuerza mayor. Es </w:t>
      </w:r>
      <w:r w:rsidRPr="00B06D23">
        <w:rPr>
          <w:rFonts w:cs="Arial"/>
          <w:bCs/>
          <w:noProof/>
          <w:szCs w:val="22"/>
          <w:lang w:val="es-ES"/>
        </w:rPr>
        <w:t xml:space="preserve">así que la </w:t>
      </w:r>
      <w:r w:rsidR="001A6E11">
        <w:rPr>
          <w:rFonts w:cs="Arial"/>
          <w:bCs/>
          <w:noProof/>
          <w:szCs w:val="22"/>
          <w:lang w:val="es-ES"/>
        </w:rPr>
        <w:t>EM</w:t>
      </w:r>
      <w:r w:rsidRPr="00B06D23">
        <w:rPr>
          <w:rFonts w:cs="Arial"/>
          <w:bCs/>
          <w:noProof/>
          <w:szCs w:val="22"/>
          <w:lang w:val="es-ES"/>
        </w:rPr>
        <w:t xml:space="preserve"> asegura sus instalaciones, tanto las subestaciones y las administrativas como oficinas, bodegas y sus contenidos.</w:t>
      </w:r>
    </w:p>
    <w:p w14:paraId="3C872339" w14:textId="77777777" w:rsidR="0079428C" w:rsidRDefault="0079428C" w:rsidP="0079428C">
      <w:pPr>
        <w:rPr>
          <w:rFonts w:cs="Arial"/>
          <w:bCs/>
          <w:noProof/>
          <w:szCs w:val="22"/>
          <w:lang w:val="es-ES"/>
        </w:rPr>
      </w:pPr>
      <w:r w:rsidRPr="00B06D23">
        <w:rPr>
          <w:rFonts w:cs="Arial"/>
          <w:bCs/>
          <w:noProof/>
          <w:szCs w:val="22"/>
          <w:lang w:val="es-ES"/>
        </w:rPr>
        <w:t xml:space="preserve">Se consideraron seguros de los activos eléctricos y no eléctricos (edificaciones) , responsabilidad civil de contratistas y contra terrorismo. </w:t>
      </w:r>
    </w:p>
    <w:p w14:paraId="38085FE0" w14:textId="76F8FCCF" w:rsidR="00C95AB8" w:rsidRPr="00B06D23" w:rsidRDefault="00C95AB8" w:rsidP="0079428C">
      <w:pPr>
        <w:rPr>
          <w:rFonts w:cs="Arial"/>
          <w:bCs/>
          <w:noProof/>
          <w:szCs w:val="22"/>
          <w:lang w:val="es-ES"/>
        </w:rPr>
      </w:pPr>
      <w:r>
        <w:rPr>
          <w:rFonts w:cs="Arial"/>
          <w:bCs/>
          <w:noProof/>
          <w:szCs w:val="22"/>
          <w:lang w:val="es-ES"/>
        </w:rPr>
        <w:t>L</w:t>
      </w:r>
      <w:r w:rsidRPr="00C95AB8">
        <w:rPr>
          <w:rFonts w:cs="Arial"/>
          <w:bCs/>
          <w:noProof/>
          <w:szCs w:val="22"/>
          <w:lang w:val="es-ES"/>
        </w:rPr>
        <w:t>a prima de segu</w:t>
      </w:r>
      <w:r>
        <w:rPr>
          <w:rFonts w:cs="Arial"/>
          <w:bCs/>
          <w:noProof/>
          <w:szCs w:val="22"/>
          <w:lang w:val="es-ES"/>
        </w:rPr>
        <w:t>ro para calcular el costo anual</w:t>
      </w:r>
      <w:r w:rsidRPr="00C95AB8">
        <w:rPr>
          <w:rFonts w:cs="Arial"/>
          <w:bCs/>
          <w:noProof/>
          <w:szCs w:val="22"/>
          <w:lang w:val="es-ES"/>
        </w:rPr>
        <w:t xml:space="preserve"> que la </w:t>
      </w:r>
      <w:r>
        <w:rPr>
          <w:rFonts w:cs="Arial"/>
          <w:bCs/>
          <w:noProof/>
          <w:szCs w:val="22"/>
          <w:lang w:val="es-ES"/>
        </w:rPr>
        <w:t xml:space="preserve">EM </w:t>
      </w:r>
      <w:r w:rsidRPr="00C95AB8">
        <w:rPr>
          <w:rFonts w:cs="Arial"/>
          <w:bCs/>
          <w:noProof/>
          <w:szCs w:val="22"/>
          <w:lang w:val="es-ES"/>
        </w:rPr>
        <w:t xml:space="preserve">debe pagar por dicho concepto, se determina aplicando la prima correspondiente sobre el VI de la subestación completa descontado el VI de las instalaciones correspondientes a tramos de sistemas zonales y </w:t>
      </w:r>
      <w:r>
        <w:rPr>
          <w:rFonts w:cs="Arial"/>
          <w:bCs/>
          <w:noProof/>
          <w:szCs w:val="22"/>
          <w:lang w:val="es-ES"/>
        </w:rPr>
        <w:t xml:space="preserve">dedicados. En otras palabras, </w:t>
      </w:r>
      <w:r w:rsidRPr="00C95AB8">
        <w:rPr>
          <w:rFonts w:cs="Arial"/>
          <w:bCs/>
          <w:noProof/>
          <w:szCs w:val="22"/>
          <w:lang w:val="es-ES"/>
        </w:rPr>
        <w:t xml:space="preserve">el VI sobre el que se aplica la prima de seguro corresponde a la suma del VI del tramo de </w:t>
      </w:r>
      <w:r w:rsidRPr="00C95AB8">
        <w:rPr>
          <w:rFonts w:cs="Arial"/>
          <w:bCs/>
          <w:noProof/>
          <w:szCs w:val="22"/>
          <w:lang w:val="es-ES"/>
        </w:rPr>
        <w:lastRenderedPageBreak/>
        <w:t xml:space="preserve">subestación (instalaciones comunes) y del VI de las instalaciones asignadas a los tramos de transporte de línea y de transformación del STN. El VI del tramo de subestación para efecto del seguro, </w:t>
      </w:r>
      <w:r w:rsidR="008F52C7" w:rsidRPr="008F52C7">
        <w:rPr>
          <w:rFonts w:cs="Arial"/>
          <w:bCs/>
          <w:noProof/>
          <w:szCs w:val="22"/>
          <w:lang w:val="es-ES"/>
        </w:rPr>
        <w:t>no incluye líneas de transmisión, terrenos,  servidumbres, intangibles ni capital de explotación tal como indican las bases técnicas.</w:t>
      </w:r>
    </w:p>
    <w:p w14:paraId="60C1C07C" w14:textId="697266A5" w:rsidR="00ED0E24" w:rsidRDefault="00ED0E24" w:rsidP="00D42647">
      <w:r w:rsidRPr="00611882">
        <w:rPr>
          <w:rFonts w:cs="Arial"/>
          <w:bCs/>
          <w:noProof/>
          <w:szCs w:val="22"/>
          <w:lang w:val="es-AR"/>
        </w:rPr>
        <w:t>El V.I</w:t>
      </w:r>
      <w:r>
        <w:rPr>
          <w:rFonts w:cs="Arial"/>
          <w:bCs/>
          <w:noProof/>
          <w:szCs w:val="22"/>
          <w:lang w:val="es-AR"/>
        </w:rPr>
        <w:t>.</w:t>
      </w:r>
      <w:r w:rsidRPr="00611882">
        <w:rPr>
          <w:rFonts w:cs="Arial"/>
          <w:bCs/>
          <w:noProof/>
          <w:szCs w:val="22"/>
          <w:lang w:val="es-AR"/>
        </w:rPr>
        <w:t xml:space="preserve"> antes señalado se determinó utilizando la base de datos SQL</w:t>
      </w:r>
      <w:r>
        <w:rPr>
          <w:rFonts w:cs="Arial"/>
          <w:bCs/>
          <w:noProof/>
          <w:szCs w:val="22"/>
          <w:lang w:val="es-AR"/>
        </w:rPr>
        <w:t xml:space="preserve">, la </w:t>
      </w:r>
      <w:r w:rsidRPr="009A6CE2">
        <w:rPr>
          <w:rFonts w:cs="Arial"/>
          <w:bCs/>
          <w:i/>
          <w:noProof/>
          <w:szCs w:val="22"/>
          <w:lang w:val="es-AR"/>
        </w:rPr>
        <w:t>query</w:t>
      </w:r>
      <w:r>
        <w:rPr>
          <w:rFonts w:cs="Arial"/>
          <w:bCs/>
          <w:noProof/>
          <w:szCs w:val="22"/>
          <w:lang w:val="es-AR"/>
        </w:rPr>
        <w:t xml:space="preserve"> “VI_seguros.sql”, ubicada en </w:t>
      </w:r>
      <w:r w:rsidR="005A2E09">
        <w:rPr>
          <w:rFonts w:cs="Arial"/>
          <w:bCs/>
          <w:noProof/>
          <w:szCs w:val="22"/>
          <w:lang w:val="es-AR"/>
        </w:rPr>
        <w:t>“</w:t>
      </w:r>
      <w:r w:rsidRPr="007475F9">
        <w:t>Anexos VI\09-Anexo VI_9-Calculo del VI\</w:t>
      </w:r>
      <w:r>
        <w:t>4</w:t>
      </w:r>
      <w:r w:rsidRPr="007475F9">
        <w:t>-</w:t>
      </w:r>
      <w:r>
        <w:t>Codigos sql</w:t>
      </w:r>
      <w:r w:rsidR="005A2E09">
        <w:t>”</w:t>
      </w:r>
      <w:r>
        <w:t>, que entrega el VI de las instalaciones a asegurar en cada subestación del Sistema de Transmisión Nacional.</w:t>
      </w:r>
    </w:p>
    <w:p w14:paraId="2C90DB4D" w14:textId="18CC777C" w:rsidR="00D42647" w:rsidRPr="00611882" w:rsidRDefault="00D42647" w:rsidP="00D42647">
      <w:pPr>
        <w:rPr>
          <w:rFonts w:cs="Arial"/>
          <w:szCs w:val="22"/>
          <w:lang w:val="es-ES"/>
        </w:rPr>
      </w:pPr>
      <w:r w:rsidRPr="00611882">
        <w:rPr>
          <w:rFonts w:cs="Arial"/>
          <w:bCs/>
          <w:noProof/>
          <w:szCs w:val="22"/>
          <w:lang w:val="es-ES"/>
        </w:rPr>
        <w:t>Se estimó el costo de los seguros s</w:t>
      </w:r>
      <w:r w:rsidRPr="00611882">
        <w:rPr>
          <w:rFonts w:cs="Arial"/>
          <w:szCs w:val="22"/>
          <w:lang w:val="es-ES"/>
        </w:rPr>
        <w:t xml:space="preserve">obre la base de </w:t>
      </w:r>
      <w:r w:rsidR="005A2E09">
        <w:rPr>
          <w:rFonts w:cs="Arial"/>
          <w:szCs w:val="22"/>
          <w:lang w:val="es-ES"/>
        </w:rPr>
        <w:t xml:space="preserve">las primas </w:t>
      </w:r>
      <w:r w:rsidR="00D409FA" w:rsidRPr="00611882">
        <w:rPr>
          <w:rFonts w:cs="Arial"/>
          <w:szCs w:val="22"/>
          <w:lang w:val="es-ES"/>
        </w:rPr>
        <w:t>referenciales basada</w:t>
      </w:r>
      <w:r w:rsidRPr="00611882">
        <w:rPr>
          <w:rFonts w:cs="Arial"/>
          <w:szCs w:val="22"/>
          <w:lang w:val="es-ES"/>
        </w:rPr>
        <w:t xml:space="preserve">s en información de estudios regulatorios (Estudio </w:t>
      </w:r>
      <w:r w:rsidR="00C16EF8" w:rsidRPr="00611882">
        <w:rPr>
          <w:rFonts w:cs="Arial"/>
          <w:szCs w:val="22"/>
          <w:lang w:val="es-ES"/>
        </w:rPr>
        <w:t xml:space="preserve">de transmisión </w:t>
      </w:r>
      <w:r w:rsidRPr="00611882">
        <w:rPr>
          <w:rFonts w:cs="Arial"/>
          <w:szCs w:val="22"/>
          <w:lang w:val="es-ES"/>
        </w:rPr>
        <w:t>Troncal y Subtransmisión 2013) e información disponible relevada de las empresas de transmisión.</w:t>
      </w:r>
    </w:p>
    <w:p w14:paraId="293A9ED1" w14:textId="26C4B7AA" w:rsidR="0079428C" w:rsidRDefault="0079428C" w:rsidP="0079428C">
      <w:pPr>
        <w:rPr>
          <w:rFonts w:cs="Arial"/>
          <w:bCs/>
          <w:noProof/>
          <w:szCs w:val="22"/>
          <w:lang w:val="es-ES"/>
        </w:rPr>
      </w:pPr>
      <w:r w:rsidRPr="00611882">
        <w:rPr>
          <w:rFonts w:cs="Arial"/>
          <w:bCs/>
          <w:noProof/>
          <w:szCs w:val="22"/>
          <w:lang w:val="es-ES"/>
        </w:rPr>
        <w:t>Se han considerado las siguiente premisas para el cálculo de los seguros:</w:t>
      </w:r>
    </w:p>
    <w:p w14:paraId="5DE81FD8" w14:textId="1C96E4B3" w:rsidR="006A6EDD" w:rsidRPr="00BC38C2" w:rsidRDefault="006A6EDD" w:rsidP="006A6EDD">
      <w:pPr>
        <w:pStyle w:val="Subttulo"/>
      </w:pPr>
      <w:bookmarkStart w:id="290" w:name="_Toc39797938"/>
      <w:r w:rsidRPr="00BC38C2">
        <w:t xml:space="preserve">Tabla </w:t>
      </w:r>
      <w:fldSimple w:instr=" SEQ Tabla \* ARABIC ">
        <w:r w:rsidR="001F3E2E">
          <w:rPr>
            <w:noProof/>
          </w:rPr>
          <w:t>28</w:t>
        </w:r>
      </w:fldSimple>
      <w:r w:rsidR="00066916">
        <w:rPr>
          <w:noProof/>
        </w:rPr>
        <w:t>:</w:t>
      </w:r>
      <w:r w:rsidRPr="00BC38C2">
        <w:t xml:space="preserve"> </w:t>
      </w:r>
      <w:r>
        <w:t>Premisas cálculo seguros</w:t>
      </w:r>
      <w:bookmarkEnd w:id="290"/>
      <w: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firstRow="1" w:lastRow="0" w:firstColumn="1" w:lastColumn="0" w:noHBand="0" w:noVBand="1"/>
      </w:tblPr>
      <w:tblGrid>
        <w:gridCol w:w="4536"/>
        <w:gridCol w:w="3402"/>
        <w:gridCol w:w="1701"/>
      </w:tblGrid>
      <w:tr w:rsidR="0079428C" w:rsidRPr="00AC403A" w14:paraId="3630C6B5" w14:textId="77777777" w:rsidTr="00331F01">
        <w:trPr>
          <w:tblHeader/>
          <w:jc w:val="center"/>
        </w:trPr>
        <w:tc>
          <w:tcPr>
            <w:tcW w:w="4536" w:type="dxa"/>
            <w:shd w:val="clear" w:color="auto" w:fill="D9D9D9" w:themeFill="background1" w:themeFillShade="D9"/>
            <w:noWrap/>
            <w:vAlign w:val="center"/>
          </w:tcPr>
          <w:p w14:paraId="48EB881A" w14:textId="77777777" w:rsidR="0079428C" w:rsidRPr="00AC403A" w:rsidRDefault="0079428C" w:rsidP="00331F01">
            <w:pPr>
              <w:spacing w:before="40" w:after="40" w:line="240" w:lineRule="auto"/>
              <w:jc w:val="center"/>
              <w:rPr>
                <w:rFonts w:eastAsia="Times New Roman" w:cs="Calibri"/>
                <w:b/>
                <w:sz w:val="20"/>
                <w:szCs w:val="20"/>
                <w:lang w:val="es-ES" w:eastAsia="es-AR"/>
              </w:rPr>
            </w:pPr>
            <w:r w:rsidRPr="00AC403A">
              <w:rPr>
                <w:rFonts w:eastAsia="Times New Roman" w:cs="Calibri"/>
                <w:b/>
                <w:sz w:val="20"/>
                <w:szCs w:val="20"/>
                <w:lang w:val="es-ES" w:eastAsia="es-AR"/>
              </w:rPr>
              <w:t>Seguro</w:t>
            </w:r>
          </w:p>
        </w:tc>
        <w:tc>
          <w:tcPr>
            <w:tcW w:w="3402" w:type="dxa"/>
            <w:shd w:val="clear" w:color="auto" w:fill="D9D9D9" w:themeFill="background1" w:themeFillShade="D9"/>
            <w:noWrap/>
            <w:vAlign w:val="center"/>
          </w:tcPr>
          <w:p w14:paraId="0ED12590" w14:textId="77777777" w:rsidR="0079428C" w:rsidRPr="00AC403A" w:rsidRDefault="0079428C" w:rsidP="00331F01">
            <w:pPr>
              <w:spacing w:before="40" w:after="40" w:line="240" w:lineRule="auto"/>
              <w:jc w:val="center"/>
              <w:rPr>
                <w:rFonts w:eastAsia="Times New Roman" w:cs="Calibri"/>
                <w:b/>
                <w:sz w:val="20"/>
                <w:szCs w:val="20"/>
                <w:lang w:val="es-ES" w:eastAsia="es-AR"/>
              </w:rPr>
            </w:pPr>
            <w:r w:rsidRPr="00AC403A">
              <w:rPr>
                <w:rFonts w:eastAsia="Times New Roman" w:cs="Calibri"/>
                <w:b/>
                <w:sz w:val="20"/>
                <w:szCs w:val="20"/>
                <w:lang w:val="es-ES" w:eastAsia="es-AR"/>
              </w:rPr>
              <w:t>Base de cálculo</w:t>
            </w:r>
          </w:p>
        </w:tc>
        <w:tc>
          <w:tcPr>
            <w:tcW w:w="1701" w:type="dxa"/>
            <w:shd w:val="clear" w:color="auto" w:fill="D9D9D9" w:themeFill="background1" w:themeFillShade="D9"/>
            <w:noWrap/>
            <w:vAlign w:val="center"/>
          </w:tcPr>
          <w:p w14:paraId="089AD02B" w14:textId="77777777" w:rsidR="0079428C" w:rsidRPr="00AC403A" w:rsidRDefault="0079428C" w:rsidP="00331F01">
            <w:pPr>
              <w:spacing w:before="40" w:after="40" w:line="240" w:lineRule="auto"/>
              <w:jc w:val="center"/>
              <w:rPr>
                <w:rFonts w:eastAsia="Times New Roman" w:cs="Calibri"/>
                <w:b/>
                <w:sz w:val="20"/>
                <w:szCs w:val="20"/>
                <w:lang w:val="es-ES" w:eastAsia="es-AR"/>
              </w:rPr>
            </w:pPr>
            <w:r w:rsidRPr="00AC403A">
              <w:rPr>
                <w:rFonts w:eastAsia="Times New Roman" w:cs="Calibri"/>
                <w:b/>
                <w:sz w:val="20"/>
                <w:szCs w:val="20"/>
                <w:lang w:val="es-ES" w:eastAsia="es-AR"/>
              </w:rPr>
              <w:t>Prima de seguros</w:t>
            </w:r>
          </w:p>
        </w:tc>
      </w:tr>
      <w:tr w:rsidR="0079428C" w:rsidRPr="00AC403A" w14:paraId="143AEAD3" w14:textId="77777777" w:rsidTr="00331F01">
        <w:trPr>
          <w:jc w:val="center"/>
        </w:trPr>
        <w:tc>
          <w:tcPr>
            <w:tcW w:w="4536" w:type="dxa"/>
            <w:shd w:val="clear" w:color="auto" w:fill="auto"/>
            <w:noWrap/>
            <w:vAlign w:val="center"/>
            <w:hideMark/>
          </w:tcPr>
          <w:p w14:paraId="0843D35E" w14:textId="77777777" w:rsidR="0079428C" w:rsidRPr="00AC403A" w:rsidRDefault="0079428C" w:rsidP="00331F01">
            <w:pPr>
              <w:spacing w:before="40" w:after="40" w:line="240" w:lineRule="auto"/>
              <w:jc w:val="left"/>
              <w:rPr>
                <w:rFonts w:eastAsia="Times New Roman" w:cs="Calibri"/>
                <w:sz w:val="20"/>
                <w:szCs w:val="20"/>
                <w:lang w:val="es-ES" w:eastAsia="es-AR"/>
              </w:rPr>
            </w:pPr>
            <w:r w:rsidRPr="00AC403A">
              <w:rPr>
                <w:rFonts w:eastAsia="Times New Roman" w:cs="Calibri"/>
                <w:sz w:val="20"/>
                <w:szCs w:val="20"/>
                <w:lang w:val="es-ES" w:eastAsia="es-AR"/>
              </w:rPr>
              <w:t>Seguro para siniestro en subestaciones</w:t>
            </w:r>
          </w:p>
        </w:tc>
        <w:tc>
          <w:tcPr>
            <w:tcW w:w="3402" w:type="dxa"/>
            <w:shd w:val="clear" w:color="auto" w:fill="auto"/>
            <w:noWrap/>
            <w:vAlign w:val="center"/>
            <w:hideMark/>
          </w:tcPr>
          <w:p w14:paraId="2D1066CF" w14:textId="77777777" w:rsidR="0079428C" w:rsidRPr="00AC403A" w:rsidRDefault="0079428C" w:rsidP="00331F01">
            <w:pPr>
              <w:spacing w:before="40" w:after="40" w:line="240" w:lineRule="auto"/>
              <w:jc w:val="left"/>
              <w:rPr>
                <w:rFonts w:eastAsia="Times New Roman" w:cs="Calibri"/>
                <w:sz w:val="20"/>
                <w:szCs w:val="20"/>
                <w:lang w:val="es-ES" w:eastAsia="es-AR"/>
              </w:rPr>
            </w:pPr>
            <w:r w:rsidRPr="00AC403A">
              <w:rPr>
                <w:rFonts w:eastAsia="Times New Roman" w:cs="Calibri"/>
                <w:sz w:val="20"/>
                <w:szCs w:val="20"/>
                <w:lang w:val="es-ES" w:eastAsia="es-AR"/>
              </w:rPr>
              <w:t>Ver texto señalado</w:t>
            </w:r>
          </w:p>
        </w:tc>
        <w:tc>
          <w:tcPr>
            <w:tcW w:w="1701" w:type="dxa"/>
            <w:shd w:val="clear" w:color="auto" w:fill="FFFFFF" w:themeFill="background1"/>
            <w:noWrap/>
            <w:vAlign w:val="center"/>
            <w:hideMark/>
          </w:tcPr>
          <w:p w14:paraId="6944ECBD" w14:textId="6A557AE9" w:rsidR="0079428C" w:rsidRPr="00AC403A" w:rsidRDefault="0079428C" w:rsidP="00331F01">
            <w:pPr>
              <w:spacing w:before="40" w:after="40" w:line="240" w:lineRule="auto"/>
              <w:jc w:val="center"/>
              <w:rPr>
                <w:rFonts w:eastAsia="Times New Roman" w:cs="Calibri"/>
                <w:sz w:val="20"/>
                <w:szCs w:val="20"/>
                <w:lang w:val="es-ES" w:eastAsia="es-AR"/>
              </w:rPr>
            </w:pPr>
            <w:r w:rsidRPr="00AC403A">
              <w:rPr>
                <w:rFonts w:eastAsia="Times New Roman" w:cs="Calibri"/>
                <w:sz w:val="20"/>
                <w:szCs w:val="20"/>
                <w:lang w:val="es-ES" w:eastAsia="es-AR"/>
              </w:rPr>
              <w:t>0,175</w:t>
            </w:r>
            <w:r w:rsidR="00575034" w:rsidRPr="00AC403A">
              <w:rPr>
                <w:rFonts w:eastAsia="Times New Roman" w:cs="Calibri"/>
                <w:sz w:val="20"/>
                <w:szCs w:val="20"/>
                <w:lang w:val="es-ES" w:eastAsia="es-AR"/>
              </w:rPr>
              <w:t>0</w:t>
            </w:r>
            <w:r w:rsidRPr="00AC403A">
              <w:rPr>
                <w:rFonts w:eastAsia="Times New Roman" w:cs="Calibri"/>
                <w:sz w:val="20"/>
                <w:szCs w:val="20"/>
                <w:lang w:val="es-ES" w:eastAsia="es-AR"/>
              </w:rPr>
              <w:t>%</w:t>
            </w:r>
          </w:p>
        </w:tc>
      </w:tr>
      <w:tr w:rsidR="0079428C" w:rsidRPr="00AC403A" w14:paraId="7571B3A2" w14:textId="77777777" w:rsidTr="00331F01">
        <w:trPr>
          <w:jc w:val="center"/>
        </w:trPr>
        <w:tc>
          <w:tcPr>
            <w:tcW w:w="4536" w:type="dxa"/>
            <w:shd w:val="clear" w:color="auto" w:fill="auto"/>
            <w:noWrap/>
            <w:vAlign w:val="center"/>
            <w:hideMark/>
          </w:tcPr>
          <w:p w14:paraId="334F642A" w14:textId="77777777" w:rsidR="0079428C" w:rsidRPr="00AC403A" w:rsidRDefault="0079428C" w:rsidP="00331F01">
            <w:pPr>
              <w:spacing w:before="40" w:after="40" w:line="240" w:lineRule="auto"/>
              <w:jc w:val="left"/>
              <w:rPr>
                <w:rFonts w:eastAsia="Times New Roman" w:cs="Calibri"/>
                <w:sz w:val="20"/>
                <w:szCs w:val="20"/>
                <w:lang w:val="es-ES" w:eastAsia="es-AR"/>
              </w:rPr>
            </w:pPr>
            <w:r w:rsidRPr="00AC403A">
              <w:rPr>
                <w:rFonts w:eastAsia="Times New Roman" w:cs="Calibri"/>
                <w:sz w:val="20"/>
                <w:szCs w:val="20"/>
                <w:lang w:val="es-ES" w:eastAsia="es-AR"/>
              </w:rPr>
              <w:t>Seguro para siniestro en BM&amp;I</w:t>
            </w:r>
          </w:p>
        </w:tc>
        <w:tc>
          <w:tcPr>
            <w:tcW w:w="3402" w:type="dxa"/>
            <w:shd w:val="clear" w:color="auto" w:fill="auto"/>
            <w:noWrap/>
            <w:vAlign w:val="center"/>
            <w:hideMark/>
          </w:tcPr>
          <w:p w14:paraId="07C26BFD" w14:textId="77777777" w:rsidR="0079428C" w:rsidRPr="00AC403A" w:rsidRDefault="0079428C" w:rsidP="00331F01">
            <w:pPr>
              <w:spacing w:before="40" w:after="40" w:line="240" w:lineRule="auto"/>
              <w:jc w:val="left"/>
              <w:rPr>
                <w:rFonts w:eastAsia="Times New Roman" w:cs="Calibri"/>
                <w:sz w:val="20"/>
                <w:szCs w:val="20"/>
                <w:lang w:val="es-ES" w:eastAsia="es-AR"/>
              </w:rPr>
            </w:pPr>
            <w:r w:rsidRPr="00AC403A">
              <w:rPr>
                <w:rFonts w:eastAsia="Times New Roman" w:cs="Calibri"/>
                <w:sz w:val="20"/>
                <w:szCs w:val="20"/>
                <w:lang w:val="es-ES" w:eastAsia="es-AR"/>
              </w:rPr>
              <w:t>V.I DE  BM&amp;I</w:t>
            </w:r>
          </w:p>
        </w:tc>
        <w:tc>
          <w:tcPr>
            <w:tcW w:w="1701" w:type="dxa"/>
            <w:shd w:val="clear" w:color="auto" w:fill="FFFFFF" w:themeFill="background1"/>
            <w:noWrap/>
            <w:vAlign w:val="center"/>
            <w:hideMark/>
          </w:tcPr>
          <w:p w14:paraId="48B57C63" w14:textId="6A8AE234" w:rsidR="0079428C" w:rsidRPr="00AC403A" w:rsidRDefault="0079428C" w:rsidP="00331F01">
            <w:pPr>
              <w:spacing w:before="40" w:after="40" w:line="240" w:lineRule="auto"/>
              <w:jc w:val="center"/>
              <w:rPr>
                <w:rFonts w:eastAsia="Times New Roman" w:cs="Calibri"/>
                <w:sz w:val="20"/>
                <w:szCs w:val="20"/>
                <w:lang w:val="es-ES" w:eastAsia="es-AR"/>
              </w:rPr>
            </w:pPr>
            <w:r w:rsidRPr="00AC403A">
              <w:rPr>
                <w:rFonts w:eastAsia="Times New Roman" w:cs="Calibri"/>
                <w:sz w:val="20"/>
                <w:szCs w:val="20"/>
                <w:lang w:val="es-ES" w:eastAsia="es-AR"/>
              </w:rPr>
              <w:t>0,26</w:t>
            </w:r>
            <w:r w:rsidR="00575034" w:rsidRPr="00AC403A">
              <w:rPr>
                <w:rFonts w:eastAsia="Times New Roman" w:cs="Calibri"/>
                <w:sz w:val="20"/>
                <w:szCs w:val="20"/>
                <w:lang w:val="es-ES" w:eastAsia="es-AR"/>
              </w:rPr>
              <w:t>00</w:t>
            </w:r>
            <w:r w:rsidRPr="00AC403A">
              <w:rPr>
                <w:rFonts w:eastAsia="Times New Roman" w:cs="Calibri"/>
                <w:sz w:val="20"/>
                <w:szCs w:val="20"/>
                <w:lang w:val="es-ES" w:eastAsia="es-AR"/>
              </w:rPr>
              <w:t>%</w:t>
            </w:r>
          </w:p>
        </w:tc>
      </w:tr>
      <w:tr w:rsidR="0079428C" w:rsidRPr="00AC403A" w14:paraId="11493A8D" w14:textId="77777777" w:rsidTr="00331F01">
        <w:trPr>
          <w:jc w:val="center"/>
        </w:trPr>
        <w:tc>
          <w:tcPr>
            <w:tcW w:w="4536" w:type="dxa"/>
            <w:shd w:val="clear" w:color="auto" w:fill="auto"/>
            <w:noWrap/>
            <w:vAlign w:val="center"/>
            <w:hideMark/>
          </w:tcPr>
          <w:p w14:paraId="26054D9B" w14:textId="77777777" w:rsidR="0079428C" w:rsidRPr="00AC403A" w:rsidRDefault="0079428C" w:rsidP="00331F01">
            <w:pPr>
              <w:spacing w:before="40" w:after="40" w:line="240" w:lineRule="auto"/>
              <w:jc w:val="left"/>
              <w:rPr>
                <w:rFonts w:eastAsia="Times New Roman" w:cs="Calibri"/>
                <w:sz w:val="20"/>
                <w:szCs w:val="20"/>
                <w:lang w:val="es-ES" w:eastAsia="es-AR"/>
              </w:rPr>
            </w:pPr>
            <w:r w:rsidRPr="00AC403A">
              <w:rPr>
                <w:rFonts w:eastAsia="Times New Roman" w:cs="Calibri"/>
                <w:sz w:val="20"/>
                <w:szCs w:val="20"/>
                <w:lang w:val="es-ES" w:eastAsia="es-AR"/>
              </w:rPr>
              <w:t>Seguro para responsabilidad civil contratistas</w:t>
            </w:r>
          </w:p>
        </w:tc>
        <w:tc>
          <w:tcPr>
            <w:tcW w:w="3402" w:type="dxa"/>
            <w:shd w:val="clear" w:color="auto" w:fill="auto"/>
            <w:noWrap/>
            <w:vAlign w:val="center"/>
            <w:hideMark/>
          </w:tcPr>
          <w:p w14:paraId="347F019C" w14:textId="77777777" w:rsidR="0079428C" w:rsidRPr="00AC403A" w:rsidRDefault="0079428C" w:rsidP="00331F01">
            <w:pPr>
              <w:spacing w:before="40" w:after="40" w:line="240" w:lineRule="auto"/>
              <w:jc w:val="left"/>
              <w:rPr>
                <w:rFonts w:eastAsia="Times New Roman" w:cs="Calibri"/>
                <w:sz w:val="20"/>
                <w:szCs w:val="20"/>
                <w:lang w:val="es-ES" w:eastAsia="es-AR"/>
              </w:rPr>
            </w:pPr>
            <w:r w:rsidRPr="00AC403A">
              <w:rPr>
                <w:rFonts w:eastAsia="Times New Roman" w:cs="Calibri"/>
                <w:sz w:val="20"/>
                <w:szCs w:val="20"/>
                <w:lang w:val="es-ES" w:eastAsia="es-AR"/>
              </w:rPr>
              <w:t>Contratos OyM</w:t>
            </w:r>
          </w:p>
        </w:tc>
        <w:tc>
          <w:tcPr>
            <w:tcW w:w="1701" w:type="dxa"/>
            <w:shd w:val="clear" w:color="auto" w:fill="FFFFFF" w:themeFill="background1"/>
            <w:noWrap/>
            <w:vAlign w:val="center"/>
            <w:hideMark/>
          </w:tcPr>
          <w:p w14:paraId="076D9066" w14:textId="647AE3B1" w:rsidR="0079428C" w:rsidRPr="00AC403A" w:rsidRDefault="0079428C" w:rsidP="00331F01">
            <w:pPr>
              <w:spacing w:before="40" w:after="40" w:line="240" w:lineRule="auto"/>
              <w:jc w:val="center"/>
              <w:rPr>
                <w:rFonts w:eastAsia="Times New Roman" w:cs="Calibri"/>
                <w:sz w:val="20"/>
                <w:szCs w:val="20"/>
                <w:lang w:val="es-ES" w:eastAsia="es-AR"/>
              </w:rPr>
            </w:pPr>
            <w:r w:rsidRPr="00AC403A">
              <w:rPr>
                <w:rFonts w:eastAsia="Times New Roman" w:cs="Calibri"/>
                <w:sz w:val="20"/>
                <w:szCs w:val="20"/>
                <w:lang w:val="es-ES" w:eastAsia="es-AR"/>
              </w:rPr>
              <w:t>0,23</w:t>
            </w:r>
            <w:r w:rsidR="00575034" w:rsidRPr="00AC403A">
              <w:rPr>
                <w:rFonts w:eastAsia="Times New Roman" w:cs="Calibri"/>
                <w:sz w:val="20"/>
                <w:szCs w:val="20"/>
                <w:lang w:val="es-ES" w:eastAsia="es-AR"/>
              </w:rPr>
              <w:t>0</w:t>
            </w:r>
            <w:r w:rsidRPr="00AC403A">
              <w:rPr>
                <w:rFonts w:eastAsia="Times New Roman" w:cs="Calibri"/>
                <w:sz w:val="20"/>
                <w:szCs w:val="20"/>
                <w:lang w:val="es-ES" w:eastAsia="es-AR"/>
              </w:rPr>
              <w:t>%</w:t>
            </w:r>
          </w:p>
        </w:tc>
      </w:tr>
      <w:tr w:rsidR="0079428C" w:rsidRPr="00AC403A" w14:paraId="192C992C" w14:textId="77777777" w:rsidTr="00331F01">
        <w:trPr>
          <w:jc w:val="center"/>
        </w:trPr>
        <w:tc>
          <w:tcPr>
            <w:tcW w:w="4536" w:type="dxa"/>
            <w:shd w:val="clear" w:color="auto" w:fill="auto"/>
            <w:noWrap/>
            <w:vAlign w:val="center"/>
            <w:hideMark/>
          </w:tcPr>
          <w:p w14:paraId="4157EE1E" w14:textId="77777777" w:rsidR="0079428C" w:rsidRPr="00AC403A" w:rsidRDefault="0079428C" w:rsidP="00331F01">
            <w:pPr>
              <w:spacing w:before="40" w:after="40" w:line="240" w:lineRule="auto"/>
              <w:jc w:val="left"/>
              <w:rPr>
                <w:rFonts w:eastAsia="Times New Roman" w:cs="Calibri"/>
                <w:sz w:val="20"/>
                <w:szCs w:val="20"/>
                <w:lang w:val="es-ES" w:eastAsia="es-AR"/>
              </w:rPr>
            </w:pPr>
            <w:r w:rsidRPr="00AC403A">
              <w:rPr>
                <w:rFonts w:eastAsia="Times New Roman" w:cs="Calibri"/>
                <w:sz w:val="20"/>
                <w:szCs w:val="20"/>
                <w:lang w:val="es-ES" w:eastAsia="es-AR"/>
              </w:rPr>
              <w:t>Seguro contra terrorismo</w:t>
            </w:r>
          </w:p>
        </w:tc>
        <w:tc>
          <w:tcPr>
            <w:tcW w:w="3402" w:type="dxa"/>
            <w:shd w:val="clear" w:color="auto" w:fill="auto"/>
            <w:noWrap/>
            <w:vAlign w:val="center"/>
            <w:hideMark/>
          </w:tcPr>
          <w:p w14:paraId="6556C5E5" w14:textId="77777777" w:rsidR="0079428C" w:rsidRPr="00AC403A" w:rsidRDefault="0079428C" w:rsidP="00331F01">
            <w:pPr>
              <w:spacing w:before="40" w:after="40" w:line="240" w:lineRule="auto"/>
              <w:jc w:val="left"/>
              <w:rPr>
                <w:rFonts w:eastAsia="Times New Roman" w:cs="Calibri"/>
                <w:sz w:val="20"/>
                <w:szCs w:val="20"/>
                <w:lang w:val="es-ES" w:eastAsia="es-AR"/>
              </w:rPr>
            </w:pPr>
            <w:r w:rsidRPr="00AC403A">
              <w:rPr>
                <w:rFonts w:eastAsia="Times New Roman" w:cs="Calibri"/>
                <w:sz w:val="20"/>
                <w:szCs w:val="20"/>
                <w:lang w:val="es-ES" w:eastAsia="es-AR"/>
              </w:rPr>
              <w:t>V.I estaciones sin terrenos ni servidumbres</w:t>
            </w:r>
          </w:p>
        </w:tc>
        <w:tc>
          <w:tcPr>
            <w:tcW w:w="1701" w:type="dxa"/>
            <w:shd w:val="clear" w:color="auto" w:fill="FFFFFF" w:themeFill="background1"/>
            <w:noWrap/>
            <w:vAlign w:val="center"/>
            <w:hideMark/>
          </w:tcPr>
          <w:p w14:paraId="4CF2C998" w14:textId="77777777" w:rsidR="0079428C" w:rsidRPr="00AC403A" w:rsidRDefault="0079428C" w:rsidP="00331F01">
            <w:pPr>
              <w:spacing w:before="40" w:after="40" w:line="240" w:lineRule="auto"/>
              <w:jc w:val="center"/>
              <w:rPr>
                <w:rFonts w:eastAsia="Times New Roman" w:cs="Calibri"/>
                <w:sz w:val="20"/>
                <w:szCs w:val="20"/>
                <w:lang w:val="es-ES" w:eastAsia="es-AR"/>
              </w:rPr>
            </w:pPr>
            <w:r w:rsidRPr="00AC403A">
              <w:rPr>
                <w:rFonts w:eastAsia="Times New Roman" w:cs="Calibri"/>
                <w:sz w:val="20"/>
                <w:szCs w:val="20"/>
                <w:lang w:val="es-ES" w:eastAsia="es-AR"/>
              </w:rPr>
              <w:t>0,0026%</w:t>
            </w:r>
          </w:p>
        </w:tc>
      </w:tr>
    </w:tbl>
    <w:p w14:paraId="34391695" w14:textId="77777777" w:rsidR="00380309" w:rsidRPr="00611882" w:rsidRDefault="00380309" w:rsidP="00331F01">
      <w:pPr>
        <w:tabs>
          <w:tab w:val="left" w:pos="5954"/>
        </w:tabs>
        <w:spacing w:after="0"/>
        <w:rPr>
          <w:rFonts w:cs="Arial"/>
          <w:bCs/>
          <w:noProof/>
          <w:szCs w:val="22"/>
          <w:lang w:val="es-ES"/>
        </w:rPr>
      </w:pPr>
    </w:p>
    <w:p w14:paraId="450A38FD" w14:textId="64CDCDD0" w:rsidR="00380309" w:rsidRDefault="00380309" w:rsidP="00380309">
      <w:pPr>
        <w:tabs>
          <w:tab w:val="left" w:pos="5954"/>
        </w:tabs>
        <w:rPr>
          <w:rFonts w:cs="Arial"/>
          <w:szCs w:val="22"/>
          <w:lang w:val="es-ES"/>
        </w:rPr>
      </w:pPr>
      <w:r w:rsidRPr="00611882">
        <w:rPr>
          <w:rFonts w:cs="Arial"/>
          <w:bCs/>
          <w:noProof/>
          <w:szCs w:val="22"/>
          <w:lang w:val="es-ES"/>
        </w:rPr>
        <w:t xml:space="preserve">En el </w:t>
      </w:r>
      <w:r w:rsidR="006A6EDD">
        <w:rPr>
          <w:rFonts w:cs="Arial"/>
          <w:bCs/>
          <w:noProof/>
          <w:szCs w:val="22"/>
          <w:lang w:val="es-ES"/>
        </w:rPr>
        <w:t>“</w:t>
      </w:r>
      <w:r w:rsidRPr="00611882">
        <w:rPr>
          <w:lang w:val="es-ES"/>
        </w:rPr>
        <w:t xml:space="preserve">Anexo </w:t>
      </w:r>
      <w:r w:rsidR="005A6F95">
        <w:rPr>
          <w:lang w:val="es-ES"/>
        </w:rPr>
        <w:t>C.O.M.A.</w:t>
      </w:r>
      <w:r w:rsidRPr="00611882">
        <w:rPr>
          <w:lang w:val="es-ES"/>
        </w:rPr>
        <w:t>_3 Modelo/Datos</w:t>
      </w:r>
      <w:r w:rsidRPr="00611882">
        <w:rPr>
          <w:rFonts w:cs="Arial"/>
          <w:szCs w:val="22"/>
          <w:lang w:val="es-ES"/>
        </w:rPr>
        <w:t xml:space="preserve"> / Precios Insumos No </w:t>
      </w:r>
      <w:r w:rsidR="00D409FA" w:rsidRPr="00611882">
        <w:rPr>
          <w:rFonts w:cs="Arial"/>
          <w:szCs w:val="22"/>
          <w:lang w:val="es-ES"/>
        </w:rPr>
        <w:t>Eléctricos</w:t>
      </w:r>
      <w:r w:rsidR="006A6EDD">
        <w:rPr>
          <w:rFonts w:cs="Arial"/>
          <w:szCs w:val="22"/>
          <w:lang w:val="es-ES"/>
        </w:rPr>
        <w:t>/Seguros”</w:t>
      </w:r>
      <w:r w:rsidRPr="00611882">
        <w:rPr>
          <w:rFonts w:cs="Arial"/>
          <w:szCs w:val="22"/>
          <w:lang w:val="es-ES"/>
        </w:rPr>
        <w:t xml:space="preserve"> se puede ver el detalle del cálculo y la fuente de cada prima utilizada.</w:t>
      </w:r>
    </w:p>
    <w:p w14:paraId="10DF4F05" w14:textId="77777777" w:rsidR="0079428C" w:rsidRPr="00FD055F" w:rsidRDefault="0079428C" w:rsidP="0079428C">
      <w:pPr>
        <w:pStyle w:val="Ttulo4"/>
      </w:pPr>
      <w:bookmarkStart w:id="291" w:name="_Toc34398127"/>
      <w:bookmarkStart w:id="292" w:name="_Toc39797817"/>
      <w:r w:rsidRPr="00FD055F">
        <w:t>Gastos en patentes comerciales</w:t>
      </w:r>
      <w:bookmarkEnd w:id="291"/>
      <w:bookmarkEnd w:id="292"/>
    </w:p>
    <w:p w14:paraId="61E7367A" w14:textId="4B3FAC70" w:rsidR="0079428C" w:rsidRPr="00B06D23" w:rsidRDefault="0079428C" w:rsidP="0079428C">
      <w:pPr>
        <w:rPr>
          <w:rFonts w:cs="Arial"/>
          <w:szCs w:val="22"/>
          <w:lang w:val="es-ES"/>
        </w:rPr>
      </w:pPr>
      <w:r w:rsidRPr="00B06D23">
        <w:rPr>
          <w:rFonts w:cs="Arial"/>
          <w:szCs w:val="22"/>
          <w:lang w:val="es-ES"/>
        </w:rPr>
        <w:t xml:space="preserve">Las empresas están sujetas al pago de Patentes Comerciales, con beneficio de los municipios donde realizan sus actividades comerciales. Se relevó el costo de dichas patentes que se incorporará al </w:t>
      </w:r>
      <w:r w:rsidR="00AD24BF">
        <w:rPr>
          <w:rFonts w:cs="Arial"/>
          <w:szCs w:val="22"/>
          <w:lang w:val="es-ES"/>
        </w:rPr>
        <w:t>C.O.M.A</w:t>
      </w:r>
      <w:r w:rsidRPr="00B06D23">
        <w:rPr>
          <w:rFonts w:cs="Arial"/>
          <w:szCs w:val="22"/>
          <w:lang w:val="es-ES"/>
        </w:rPr>
        <w:t>.</w:t>
      </w:r>
    </w:p>
    <w:p w14:paraId="7E21C0FB" w14:textId="69C7F2CF" w:rsidR="0079428C" w:rsidRDefault="0079428C" w:rsidP="0079428C">
      <w:pPr>
        <w:rPr>
          <w:rFonts w:cs="Arial"/>
          <w:szCs w:val="22"/>
          <w:lang w:val="es-ES"/>
        </w:rPr>
      </w:pPr>
      <w:r w:rsidRPr="00B06D23">
        <w:rPr>
          <w:rFonts w:cs="Arial"/>
          <w:szCs w:val="22"/>
          <w:lang w:val="es-ES"/>
        </w:rPr>
        <w:t xml:space="preserve">La explicación del cálculo se encuentra en el </w:t>
      </w:r>
      <w:r w:rsidR="00AD24BF">
        <w:rPr>
          <w:rFonts w:cs="Arial"/>
          <w:szCs w:val="22"/>
          <w:lang w:val="es-ES"/>
        </w:rPr>
        <w:t>“</w:t>
      </w:r>
      <w:r w:rsidRPr="00B06D23">
        <w:rPr>
          <w:rFonts w:cs="Arial"/>
          <w:szCs w:val="22"/>
          <w:lang w:val="es-ES"/>
        </w:rPr>
        <w:t xml:space="preserve">Anexo </w:t>
      </w:r>
      <w:r w:rsidR="00AD24BF">
        <w:rPr>
          <w:rFonts w:cs="Arial"/>
          <w:szCs w:val="22"/>
          <w:lang w:val="es-ES"/>
        </w:rPr>
        <w:t>COMA</w:t>
      </w:r>
      <w:r w:rsidRPr="00B06D23">
        <w:rPr>
          <w:rFonts w:cs="Arial"/>
          <w:szCs w:val="22"/>
          <w:lang w:val="es-ES"/>
        </w:rPr>
        <w:t>_4_Patentes Comerciales</w:t>
      </w:r>
      <w:r w:rsidR="00AD24BF">
        <w:rPr>
          <w:rFonts w:cs="Arial"/>
          <w:szCs w:val="22"/>
          <w:lang w:val="es-ES"/>
        </w:rPr>
        <w:t>”</w:t>
      </w:r>
      <w:r w:rsidRPr="00B06D23">
        <w:rPr>
          <w:rFonts w:cs="Arial"/>
          <w:szCs w:val="22"/>
          <w:lang w:val="es-ES"/>
        </w:rPr>
        <w:t>.</w:t>
      </w:r>
    </w:p>
    <w:p w14:paraId="6FF55524" w14:textId="77777777" w:rsidR="0079428C" w:rsidRPr="00FD055F" w:rsidRDefault="0079428C" w:rsidP="0079428C">
      <w:pPr>
        <w:pStyle w:val="Ttulo4"/>
      </w:pPr>
      <w:bookmarkStart w:id="293" w:name="_Toc34398128"/>
      <w:bookmarkStart w:id="294" w:name="_Toc39797818"/>
      <w:r w:rsidRPr="00FD055F">
        <w:t>Consumos básicos de gas, electricidad y agua en edificios</w:t>
      </w:r>
      <w:bookmarkEnd w:id="293"/>
      <w:bookmarkEnd w:id="294"/>
      <w:r w:rsidRPr="00FD055F">
        <w:t xml:space="preserve"> </w:t>
      </w:r>
    </w:p>
    <w:p w14:paraId="31D03EF0" w14:textId="77777777" w:rsidR="0079428C" w:rsidRPr="00B06D23" w:rsidRDefault="0079428C" w:rsidP="0079428C">
      <w:pPr>
        <w:rPr>
          <w:rFonts w:cs="Arial"/>
          <w:szCs w:val="22"/>
          <w:lang w:val="es-ES"/>
        </w:rPr>
      </w:pPr>
      <w:r w:rsidRPr="00B06D23">
        <w:rPr>
          <w:rFonts w:cs="Arial"/>
          <w:szCs w:val="22"/>
          <w:lang w:val="es-ES"/>
        </w:rPr>
        <w:t>Estos gastos corresponden a todos los gastos incurridos en servicios básicos en los recintos de la empresa de transmisión. Se analizó la razonabilidad del consumo por subestación y por año y el costo según precios del servicio público considerado.</w:t>
      </w:r>
    </w:p>
    <w:p w14:paraId="1D0B5694" w14:textId="77777777" w:rsidR="0079428C" w:rsidRPr="00B06D23" w:rsidRDefault="0079428C" w:rsidP="0079428C">
      <w:pPr>
        <w:rPr>
          <w:rFonts w:cs="Arial"/>
          <w:szCs w:val="22"/>
          <w:lang w:val="es-ES"/>
        </w:rPr>
      </w:pPr>
      <w:r w:rsidRPr="00B06D23">
        <w:rPr>
          <w:rFonts w:cs="Arial"/>
          <w:szCs w:val="22"/>
          <w:lang w:val="es-ES"/>
        </w:rPr>
        <w:lastRenderedPageBreak/>
        <w:t xml:space="preserve">Estos gastos corresponden a los incurridos en servicios básicos en los recintos de la empresa de transmisión. </w:t>
      </w:r>
    </w:p>
    <w:p w14:paraId="570539FD" w14:textId="66B6209D" w:rsidR="0079428C" w:rsidRPr="00B06D23" w:rsidRDefault="0079428C" w:rsidP="0079428C">
      <w:pPr>
        <w:rPr>
          <w:rFonts w:cs="Arial"/>
          <w:szCs w:val="22"/>
          <w:lang w:val="es-ES"/>
        </w:rPr>
      </w:pPr>
      <w:r w:rsidRPr="00611882">
        <w:rPr>
          <w:rFonts w:cs="Arial"/>
          <w:szCs w:val="22"/>
          <w:lang w:val="es-ES"/>
        </w:rPr>
        <w:t xml:space="preserve">Se realizó un relevamiento </w:t>
      </w:r>
      <w:r w:rsidR="00B5430D" w:rsidRPr="00611882">
        <w:rPr>
          <w:rFonts w:cs="Arial"/>
          <w:szCs w:val="22"/>
          <w:lang w:val="es-ES"/>
        </w:rPr>
        <w:t>del consumo de</w:t>
      </w:r>
      <w:r w:rsidRPr="00611882">
        <w:rPr>
          <w:rFonts w:cs="Arial"/>
          <w:szCs w:val="22"/>
          <w:lang w:val="es-ES"/>
        </w:rPr>
        <w:t xml:space="preserve"> agua y electricidad</w:t>
      </w:r>
      <w:r w:rsidR="00B5430D" w:rsidRPr="00611882">
        <w:rPr>
          <w:rFonts w:cs="Arial"/>
          <w:szCs w:val="22"/>
          <w:lang w:val="es-ES"/>
        </w:rPr>
        <w:t xml:space="preserve"> por empleado,</w:t>
      </w:r>
      <w:r w:rsidRPr="00611882">
        <w:rPr>
          <w:rFonts w:cs="Arial"/>
          <w:szCs w:val="22"/>
          <w:lang w:val="es-ES"/>
        </w:rPr>
        <w:t xml:space="preserve"> presentado por las empresas</w:t>
      </w:r>
      <w:r w:rsidR="00B5430D" w:rsidRPr="00611882">
        <w:rPr>
          <w:rFonts w:cs="Arial"/>
          <w:szCs w:val="22"/>
          <w:lang w:val="es-ES"/>
        </w:rPr>
        <w:t>,</w:t>
      </w:r>
      <w:r w:rsidRPr="00611882">
        <w:rPr>
          <w:rFonts w:cs="Arial"/>
          <w:szCs w:val="22"/>
          <w:lang w:val="es-ES"/>
        </w:rPr>
        <w:t xml:space="preserve"> y se determinó el valor referencial como el promedio</w:t>
      </w:r>
      <w:r w:rsidR="00B5430D" w:rsidRPr="00611882">
        <w:rPr>
          <w:rFonts w:cs="Arial"/>
          <w:szCs w:val="22"/>
          <w:lang w:val="es-ES"/>
        </w:rPr>
        <w:t xml:space="preserve"> de los valores presentados</w:t>
      </w:r>
      <w:r w:rsidRPr="00611882">
        <w:rPr>
          <w:rFonts w:cs="Arial"/>
          <w:szCs w:val="22"/>
          <w:lang w:val="es-ES"/>
        </w:rPr>
        <w:t xml:space="preserve">, contrastando </w:t>
      </w:r>
      <w:r w:rsidR="00B5430D" w:rsidRPr="00611882">
        <w:rPr>
          <w:rFonts w:cs="Arial"/>
          <w:szCs w:val="22"/>
          <w:lang w:val="es-ES"/>
        </w:rPr>
        <w:t xml:space="preserve">dicho valor como eficiente contra el reconocido en el Estudio </w:t>
      </w:r>
      <w:r w:rsidR="00C16EF8" w:rsidRPr="00611882">
        <w:rPr>
          <w:rFonts w:cs="Arial"/>
          <w:szCs w:val="22"/>
          <w:lang w:val="es-ES"/>
        </w:rPr>
        <w:t xml:space="preserve">de transmisión </w:t>
      </w:r>
      <w:r w:rsidR="00B5430D" w:rsidRPr="00611882">
        <w:rPr>
          <w:rFonts w:cs="Arial"/>
          <w:szCs w:val="22"/>
          <w:lang w:val="es-ES"/>
        </w:rPr>
        <w:t>Troncal de 2013.</w:t>
      </w:r>
    </w:p>
    <w:p w14:paraId="7E8E9106" w14:textId="77777777" w:rsidR="0079428C" w:rsidRPr="00FD055F" w:rsidRDefault="0079428C" w:rsidP="0079428C">
      <w:pPr>
        <w:pStyle w:val="Ttulo4"/>
      </w:pPr>
      <w:bookmarkStart w:id="295" w:name="_Toc34398129"/>
      <w:bookmarkStart w:id="296" w:name="_Toc39797819"/>
      <w:r w:rsidRPr="00FD055F">
        <w:t>Consumos básicos de electricidad de subestaciones</w:t>
      </w:r>
      <w:bookmarkEnd w:id="295"/>
      <w:bookmarkEnd w:id="296"/>
      <w:r w:rsidRPr="00FD055F">
        <w:t xml:space="preserve"> </w:t>
      </w:r>
    </w:p>
    <w:p w14:paraId="1E8F2962" w14:textId="5DE8B053" w:rsidR="002327DF" w:rsidRPr="00B06D23" w:rsidRDefault="002327DF" w:rsidP="002327DF">
      <w:pPr>
        <w:rPr>
          <w:rFonts w:cs="Arial"/>
          <w:szCs w:val="22"/>
          <w:lang w:val="es-ES"/>
        </w:rPr>
      </w:pPr>
      <w:r w:rsidRPr="00106534">
        <w:rPr>
          <w:rFonts w:cs="Arial"/>
          <w:szCs w:val="22"/>
          <w:lang w:val="es-ES"/>
        </w:rPr>
        <w:t xml:space="preserve">Estos gastos corresponden al consumo </w:t>
      </w:r>
      <w:r w:rsidR="00D409FA" w:rsidRPr="00106534">
        <w:rPr>
          <w:rFonts w:cs="Arial"/>
          <w:szCs w:val="22"/>
          <w:lang w:val="es-ES"/>
        </w:rPr>
        <w:t>eléctrico</w:t>
      </w:r>
      <w:r w:rsidRPr="00106534">
        <w:rPr>
          <w:rFonts w:cs="Arial"/>
          <w:szCs w:val="22"/>
          <w:lang w:val="es-ES"/>
        </w:rPr>
        <w:t xml:space="preserve"> de subestaciones. Las empresas toman la en</w:t>
      </w:r>
      <w:r w:rsidR="00D008AE" w:rsidRPr="00106534">
        <w:rPr>
          <w:rFonts w:cs="Arial"/>
          <w:szCs w:val="22"/>
          <w:lang w:val="es-ES"/>
        </w:rPr>
        <w:t xml:space="preserve">ergía eléctrica requerida </w:t>
      </w:r>
      <w:r w:rsidRPr="00106534">
        <w:rPr>
          <w:rFonts w:cs="Arial"/>
          <w:szCs w:val="22"/>
          <w:lang w:val="es-ES"/>
        </w:rPr>
        <w:t xml:space="preserve">del transformador de servicios auxiliares y/o de un transformador de distribución de la empresa distribuidora </w:t>
      </w:r>
      <w:r w:rsidR="00685E20" w:rsidRPr="00106534">
        <w:rPr>
          <w:rFonts w:cs="Arial"/>
          <w:szCs w:val="22"/>
          <w:lang w:val="es-ES"/>
        </w:rPr>
        <w:t>de donde se alimenta.</w:t>
      </w:r>
    </w:p>
    <w:p w14:paraId="75336333" w14:textId="27CADF64" w:rsidR="002327DF" w:rsidRPr="00B06D23" w:rsidRDefault="002327DF" w:rsidP="002327DF">
      <w:pPr>
        <w:rPr>
          <w:rFonts w:cs="Arial"/>
          <w:szCs w:val="22"/>
          <w:lang w:val="es-ES"/>
        </w:rPr>
      </w:pPr>
      <w:r w:rsidRPr="00B06D23">
        <w:rPr>
          <w:rFonts w:cs="Arial"/>
          <w:szCs w:val="22"/>
          <w:lang w:val="es-ES"/>
        </w:rPr>
        <w:t xml:space="preserve">El consumo de las estaciones está constituido por la refrigeración de los transformadores, iluminación, aire acondicionado de salas de control, iluminación y dispositivos de </w:t>
      </w:r>
      <w:r w:rsidR="005A2E09">
        <w:rPr>
          <w:rFonts w:cs="Arial"/>
          <w:szCs w:val="22"/>
          <w:lang w:val="es-ES"/>
        </w:rPr>
        <w:t>comando</w:t>
      </w:r>
      <w:r w:rsidRPr="00B06D23">
        <w:rPr>
          <w:rFonts w:cs="Arial"/>
          <w:szCs w:val="22"/>
          <w:lang w:val="es-ES"/>
        </w:rPr>
        <w:t>.</w:t>
      </w:r>
    </w:p>
    <w:p w14:paraId="49B464E5" w14:textId="56A5CAC6" w:rsidR="00ED0E24" w:rsidRDefault="00ED0E24" w:rsidP="0079428C">
      <w:pPr>
        <w:rPr>
          <w:rFonts w:cs="Arial"/>
          <w:szCs w:val="22"/>
          <w:lang w:val="es-ES"/>
        </w:rPr>
      </w:pPr>
      <w:r w:rsidRPr="00611882">
        <w:rPr>
          <w:rFonts w:cs="Arial"/>
          <w:szCs w:val="22"/>
          <w:lang w:val="es-ES"/>
        </w:rPr>
        <w:t xml:space="preserve">Para determinar el consumo se clasificaron las subestaciones en función de su tamaño, evaluado como la cantidad de equipamiento y superficie de las mismas. Con el criterio </w:t>
      </w:r>
      <w:r w:rsidR="005A2E09" w:rsidRPr="00611882">
        <w:rPr>
          <w:rFonts w:cs="Arial"/>
          <w:szCs w:val="22"/>
          <w:lang w:val="es-ES"/>
        </w:rPr>
        <w:t>señalado se</w:t>
      </w:r>
      <w:r w:rsidRPr="00611882">
        <w:rPr>
          <w:rFonts w:cs="Arial"/>
          <w:szCs w:val="22"/>
          <w:lang w:val="es-ES"/>
        </w:rPr>
        <w:t xml:space="preserve"> clasificaron en subestaciones: muy grandes, grandes, medianas, pequeñas y muy pequeñas. La metodología aplicada y criterios para clasificar las estaciones en función de su tamaño se encuentra en el Anexo 6 a este informe.</w:t>
      </w:r>
      <w:r>
        <w:rPr>
          <w:rFonts w:cs="Arial"/>
          <w:szCs w:val="22"/>
          <w:lang w:val="es-ES"/>
        </w:rPr>
        <w:t xml:space="preserve"> La superficie utilizada en cada subestación se encuentra en el archivo “Terrenos.xlsx” ubicado en la subcarpeta “</w:t>
      </w:r>
      <w:r w:rsidRPr="00C85D89">
        <w:rPr>
          <w:rFonts w:cs="Arial"/>
          <w:szCs w:val="22"/>
          <w:lang w:val="es-ES"/>
        </w:rPr>
        <w:t>Anexos VI\04-Anexo VI_4-Revision Inventario Inst\1-Archivos</w:t>
      </w:r>
      <w:r>
        <w:rPr>
          <w:rFonts w:cs="Arial"/>
          <w:szCs w:val="22"/>
          <w:lang w:val="es-ES"/>
        </w:rPr>
        <w:t>”.</w:t>
      </w:r>
    </w:p>
    <w:p w14:paraId="7D578AC8" w14:textId="0C238510" w:rsidR="0079428C" w:rsidRPr="00B06D23" w:rsidRDefault="0079428C" w:rsidP="0079428C">
      <w:pPr>
        <w:rPr>
          <w:rFonts w:cs="Arial"/>
          <w:szCs w:val="22"/>
          <w:lang w:val="es-ES"/>
        </w:rPr>
      </w:pPr>
      <w:r w:rsidRPr="00B06D23">
        <w:rPr>
          <w:rFonts w:cs="Arial"/>
          <w:szCs w:val="22"/>
          <w:lang w:val="es-ES"/>
        </w:rPr>
        <w:t>Se agruparon las estaciones según la clasificación mencionada y se relevó el consumo promedio por estación informado por las empresas, y precio promedio de la energía consumida para determinar el costo por estación y tipo.</w:t>
      </w:r>
    </w:p>
    <w:p w14:paraId="22740CD9" w14:textId="2E43C2AA" w:rsidR="0079428C" w:rsidRPr="004D65AB" w:rsidRDefault="0079428C" w:rsidP="0079428C">
      <w:pPr>
        <w:rPr>
          <w:rFonts w:cs="Arial"/>
          <w:szCs w:val="22"/>
          <w:lang w:val="es-ES"/>
        </w:rPr>
      </w:pPr>
      <w:r w:rsidRPr="004D65AB">
        <w:rPr>
          <w:rFonts w:cs="Arial"/>
          <w:szCs w:val="22"/>
          <w:lang w:val="es-ES"/>
        </w:rPr>
        <w:t>Se estimó el consumo eficiente como un 70% del consumo rel</w:t>
      </w:r>
      <w:r w:rsidR="007F4559" w:rsidRPr="004D65AB">
        <w:rPr>
          <w:rFonts w:cs="Arial"/>
          <w:szCs w:val="22"/>
          <w:lang w:val="es-ES"/>
        </w:rPr>
        <w:t>e</w:t>
      </w:r>
      <w:r w:rsidRPr="004D65AB">
        <w:rPr>
          <w:rFonts w:cs="Arial"/>
          <w:szCs w:val="22"/>
          <w:lang w:val="es-ES"/>
        </w:rPr>
        <w:t xml:space="preserve">vado considerando que existe un 30% producto del consumo de energía de los contratistas que realizan obras tomando energía eléctrica de la estación y las posibilidades de mejora para optimizar el consumo. </w:t>
      </w:r>
    </w:p>
    <w:p w14:paraId="591DB3C7" w14:textId="42B144E6" w:rsidR="0079428C" w:rsidRPr="004D65AB" w:rsidRDefault="0079428C" w:rsidP="0079428C">
      <w:pPr>
        <w:rPr>
          <w:rFonts w:cs="Arial"/>
          <w:szCs w:val="22"/>
          <w:lang w:val="es-ES"/>
        </w:rPr>
      </w:pPr>
      <w:r w:rsidRPr="004D65AB">
        <w:rPr>
          <w:rFonts w:cs="Arial"/>
          <w:szCs w:val="22"/>
          <w:lang w:val="es-ES"/>
        </w:rPr>
        <w:t xml:space="preserve">En el archivo </w:t>
      </w:r>
      <w:r w:rsidR="00AD24BF">
        <w:rPr>
          <w:rFonts w:cs="Arial"/>
          <w:szCs w:val="22"/>
          <w:lang w:val="es-ES"/>
        </w:rPr>
        <w:t>“</w:t>
      </w:r>
      <w:r w:rsidRPr="004D65AB">
        <w:rPr>
          <w:lang w:val="es-ES"/>
        </w:rPr>
        <w:t xml:space="preserve">Anexo </w:t>
      </w:r>
      <w:r w:rsidR="00AD24BF">
        <w:rPr>
          <w:lang w:val="es-ES"/>
        </w:rPr>
        <w:t>COMA</w:t>
      </w:r>
      <w:r w:rsidRPr="004D65AB">
        <w:rPr>
          <w:lang w:val="es-ES"/>
        </w:rPr>
        <w:t>_3 Modelo/Datos/ Resumen Consumo subestaciones</w:t>
      </w:r>
      <w:r w:rsidR="00AD24BF">
        <w:rPr>
          <w:lang w:val="es-ES"/>
        </w:rPr>
        <w:t>”</w:t>
      </w:r>
      <w:r w:rsidRPr="004D65AB">
        <w:rPr>
          <w:lang w:val="es-ES"/>
        </w:rPr>
        <w:t xml:space="preserve"> se encuentran los cálculos realizados.</w:t>
      </w:r>
    </w:p>
    <w:p w14:paraId="6386B60D" w14:textId="77777777" w:rsidR="0079428C" w:rsidRPr="004D65AB" w:rsidRDefault="0079428C" w:rsidP="0079428C">
      <w:pPr>
        <w:pStyle w:val="Ttulo4"/>
      </w:pPr>
      <w:bookmarkStart w:id="297" w:name="_Toc34398130"/>
      <w:bookmarkStart w:id="298" w:name="_Toc39797820"/>
      <w:r w:rsidRPr="004D65AB">
        <w:t>Costos de comunicaciones en telefonía fija y móvil (celular y satelital)</w:t>
      </w:r>
      <w:bookmarkEnd w:id="297"/>
      <w:bookmarkEnd w:id="298"/>
    </w:p>
    <w:p w14:paraId="42030BFB" w14:textId="67E847DA" w:rsidR="0079428C" w:rsidRPr="00B06D23" w:rsidRDefault="0079428C" w:rsidP="0079428C">
      <w:pPr>
        <w:rPr>
          <w:rFonts w:cs="Arial"/>
          <w:szCs w:val="22"/>
          <w:lang w:val="es-ES"/>
        </w:rPr>
      </w:pPr>
      <w:r w:rsidRPr="004D65AB">
        <w:rPr>
          <w:rFonts w:cs="Arial"/>
          <w:szCs w:val="22"/>
          <w:lang w:val="es-ES"/>
        </w:rPr>
        <w:t>En forma similar se consideró como valor referencial el promedio de los valores informados por las empresas contrastando el valor como eficiente con</w:t>
      </w:r>
      <w:r w:rsidR="007F4559" w:rsidRPr="004D65AB">
        <w:rPr>
          <w:rFonts w:cs="Arial"/>
          <w:szCs w:val="22"/>
          <w:lang w:val="es-ES"/>
        </w:rPr>
        <w:t xml:space="preserve">tra los antecedentes del estudio </w:t>
      </w:r>
      <w:r w:rsidR="00C16EF8" w:rsidRPr="004D65AB">
        <w:rPr>
          <w:rFonts w:cs="Arial"/>
          <w:szCs w:val="22"/>
          <w:lang w:val="es-ES"/>
        </w:rPr>
        <w:t xml:space="preserve">de transmisión </w:t>
      </w:r>
      <w:r w:rsidR="007F4559" w:rsidRPr="004D65AB">
        <w:rPr>
          <w:rFonts w:cs="Arial"/>
          <w:szCs w:val="22"/>
          <w:lang w:val="es-ES"/>
        </w:rPr>
        <w:t>troncal de 2013.</w:t>
      </w:r>
    </w:p>
    <w:p w14:paraId="09EF6E4F" w14:textId="77777777" w:rsidR="0079428C" w:rsidRPr="00FD055F" w:rsidRDefault="0079428C" w:rsidP="0079428C">
      <w:pPr>
        <w:pStyle w:val="Ttulo4"/>
      </w:pPr>
      <w:bookmarkStart w:id="299" w:name="_Toc34398131"/>
      <w:bookmarkStart w:id="300" w:name="_Toc39797821"/>
      <w:r w:rsidRPr="00FD055F">
        <w:lastRenderedPageBreak/>
        <w:t>Servicio de datos (internet y respaldo de datos)</w:t>
      </w:r>
      <w:bookmarkEnd w:id="299"/>
      <w:bookmarkEnd w:id="300"/>
    </w:p>
    <w:p w14:paraId="4167832C" w14:textId="50713A08" w:rsidR="0079428C" w:rsidRPr="00B06D23" w:rsidRDefault="0079428C" w:rsidP="0079428C">
      <w:pPr>
        <w:widowControl w:val="0"/>
        <w:rPr>
          <w:rFonts w:cs="Arial"/>
          <w:szCs w:val="22"/>
          <w:lang w:val="es-ES"/>
        </w:rPr>
      </w:pPr>
      <w:r w:rsidRPr="00B06D23">
        <w:rPr>
          <w:rFonts w:cs="Arial"/>
          <w:szCs w:val="22"/>
          <w:lang w:val="es-ES"/>
        </w:rPr>
        <w:t xml:space="preserve">Se han considerado los enlaces de datos de las subestaciones con el Centro de Control para el SCADA y </w:t>
      </w:r>
      <w:r w:rsidR="005A2E09" w:rsidRPr="00B06D23">
        <w:rPr>
          <w:rFonts w:cs="Arial"/>
          <w:szCs w:val="22"/>
          <w:lang w:val="es-ES"/>
        </w:rPr>
        <w:t>televigilancia que</w:t>
      </w:r>
      <w:r w:rsidRPr="00B06D23">
        <w:rPr>
          <w:rFonts w:cs="Arial"/>
          <w:szCs w:val="22"/>
          <w:lang w:val="es-ES"/>
        </w:rPr>
        <w:t xml:space="preserve"> requiere el sistema de telecomunicaciones.</w:t>
      </w:r>
    </w:p>
    <w:p w14:paraId="3B200AD9" w14:textId="77777777" w:rsidR="0079428C" w:rsidRPr="00B06D23" w:rsidRDefault="0079428C" w:rsidP="0079428C">
      <w:pPr>
        <w:widowControl w:val="0"/>
        <w:rPr>
          <w:rFonts w:cs="Arial"/>
          <w:szCs w:val="22"/>
          <w:lang w:val="es-ES"/>
        </w:rPr>
      </w:pPr>
      <w:r w:rsidRPr="00B06D23">
        <w:rPr>
          <w:rFonts w:cs="Arial"/>
          <w:szCs w:val="22"/>
          <w:lang w:val="es-ES"/>
        </w:rPr>
        <w:t>La cantidad de enlaces se determinó sobre la base de la información enviada por las empresas para cada estación transformadora.</w:t>
      </w:r>
    </w:p>
    <w:p w14:paraId="574CF4D5" w14:textId="77777777" w:rsidR="0079428C" w:rsidRPr="00B06D23" w:rsidRDefault="0079428C" w:rsidP="0079428C">
      <w:pPr>
        <w:widowControl w:val="0"/>
        <w:rPr>
          <w:rFonts w:cs="Arial"/>
          <w:szCs w:val="22"/>
          <w:lang w:val="es-ES"/>
        </w:rPr>
      </w:pPr>
      <w:r w:rsidRPr="00B06D23">
        <w:rPr>
          <w:rFonts w:cs="Arial"/>
          <w:szCs w:val="22"/>
          <w:lang w:val="es-ES"/>
        </w:rPr>
        <w:t>Para las telecomunicaciones de administración se ha considerado un servicio de internet para el edificio corporativo y los cuatro emplazamientos regionales.</w:t>
      </w:r>
    </w:p>
    <w:p w14:paraId="3E596C97" w14:textId="77777777" w:rsidR="0079428C" w:rsidRPr="00B06D23" w:rsidRDefault="0079428C" w:rsidP="0079428C">
      <w:pPr>
        <w:widowControl w:val="0"/>
        <w:rPr>
          <w:rFonts w:cs="Arial"/>
          <w:bCs/>
          <w:noProof/>
          <w:szCs w:val="22"/>
          <w:lang w:val="es-ES"/>
        </w:rPr>
      </w:pPr>
      <w:r w:rsidRPr="00B06D23">
        <w:rPr>
          <w:rFonts w:cs="Arial"/>
          <w:szCs w:val="22"/>
          <w:lang w:val="es-ES"/>
        </w:rPr>
        <w:t>Adicionalmente se considera un servicio de respaldo de datos por seguridad informática.</w:t>
      </w:r>
      <w:r w:rsidRPr="00B06D23">
        <w:rPr>
          <w:rFonts w:cs="Arial"/>
          <w:bCs/>
          <w:noProof/>
          <w:szCs w:val="22"/>
          <w:lang w:val="es-ES"/>
        </w:rPr>
        <w:t xml:space="preserve"> </w:t>
      </w:r>
    </w:p>
    <w:p w14:paraId="07A7B533" w14:textId="77777777" w:rsidR="0079428C" w:rsidRPr="00B06D23" w:rsidRDefault="0079428C" w:rsidP="0079428C">
      <w:pPr>
        <w:widowControl w:val="0"/>
        <w:rPr>
          <w:rFonts w:cs="Arial"/>
          <w:bCs/>
          <w:noProof/>
          <w:szCs w:val="22"/>
          <w:lang w:val="es-ES"/>
        </w:rPr>
      </w:pPr>
      <w:r w:rsidRPr="00B06D23">
        <w:rPr>
          <w:rFonts w:cs="Arial"/>
          <w:bCs/>
          <w:noProof/>
          <w:szCs w:val="22"/>
          <w:lang w:val="es-ES"/>
        </w:rPr>
        <w:t>Los costos fueron estimados con las cantidades de canales de comunicación y sobre la base de un costo unitario promedio por canal de comunicación.</w:t>
      </w:r>
    </w:p>
    <w:p w14:paraId="47DF1EEC" w14:textId="0EA2E52C" w:rsidR="0079428C" w:rsidRPr="00B06D23" w:rsidRDefault="0079428C" w:rsidP="0079428C">
      <w:pPr>
        <w:rPr>
          <w:rFonts w:cs="Arial"/>
          <w:szCs w:val="22"/>
          <w:lang w:val="es-ES"/>
        </w:rPr>
      </w:pPr>
      <w:r w:rsidRPr="00B06D23">
        <w:rPr>
          <w:rFonts w:cs="Arial"/>
          <w:szCs w:val="22"/>
          <w:lang w:val="es-ES"/>
        </w:rPr>
        <w:t xml:space="preserve">En el archivo </w:t>
      </w:r>
      <w:r w:rsidR="00AD24BF">
        <w:rPr>
          <w:rFonts w:cs="Arial"/>
          <w:szCs w:val="22"/>
          <w:lang w:val="es-ES"/>
        </w:rPr>
        <w:t>“</w:t>
      </w:r>
      <w:r w:rsidRPr="00B06D23">
        <w:rPr>
          <w:lang w:val="es-ES"/>
        </w:rPr>
        <w:t xml:space="preserve">Anexo </w:t>
      </w:r>
      <w:r w:rsidR="00AD24BF">
        <w:rPr>
          <w:lang w:val="es-ES"/>
        </w:rPr>
        <w:t>COMA</w:t>
      </w:r>
      <w:r w:rsidRPr="00B06D23">
        <w:rPr>
          <w:lang w:val="es-ES"/>
        </w:rPr>
        <w:t>_3 Modelo/Datos/Precios de insumos no eléct</w:t>
      </w:r>
      <w:r w:rsidR="00AD24BF">
        <w:rPr>
          <w:lang w:val="es-ES"/>
        </w:rPr>
        <w:t>ricos/Servicio de datos”</w:t>
      </w:r>
      <w:r w:rsidRPr="00B06D23">
        <w:rPr>
          <w:lang w:val="es-ES"/>
        </w:rPr>
        <w:t xml:space="preserve"> se encuentran los cálculos realizados.</w:t>
      </w:r>
    </w:p>
    <w:p w14:paraId="55B222D1" w14:textId="77777777" w:rsidR="0079428C" w:rsidRPr="00FD055F" w:rsidRDefault="0079428C" w:rsidP="0079428C">
      <w:pPr>
        <w:pStyle w:val="Ttulo4"/>
      </w:pPr>
      <w:bookmarkStart w:id="301" w:name="_Toc34398132"/>
      <w:bookmarkStart w:id="302" w:name="_Toc39797822"/>
      <w:r w:rsidRPr="00FD055F">
        <w:t>Gastos en mantenimiento sistemas informáticos (actualización software y hardware)</w:t>
      </w:r>
      <w:bookmarkEnd w:id="301"/>
      <w:bookmarkEnd w:id="302"/>
    </w:p>
    <w:p w14:paraId="357140A4" w14:textId="4DF73F33" w:rsidR="0079428C" w:rsidRPr="003770D6" w:rsidRDefault="0079428C" w:rsidP="0079428C">
      <w:pPr>
        <w:tabs>
          <w:tab w:val="left" w:pos="5954"/>
        </w:tabs>
        <w:rPr>
          <w:rFonts w:cs="Arial"/>
          <w:szCs w:val="22"/>
          <w:lang w:val="es-ES"/>
        </w:rPr>
      </w:pPr>
      <w:r w:rsidRPr="003770D6">
        <w:rPr>
          <w:rFonts w:cs="Arial"/>
          <w:szCs w:val="22"/>
          <w:lang w:val="es-ES"/>
        </w:rPr>
        <w:t xml:space="preserve">La inversión en microinformática está acompañada de un gasto en mantención y soporte de los equipos y software. Ésta se calculó como un 15% del costo de inversión del software. </w:t>
      </w:r>
      <w:r w:rsidR="005A2E09" w:rsidRPr="003770D6">
        <w:rPr>
          <w:rFonts w:cs="Arial"/>
          <w:szCs w:val="22"/>
          <w:lang w:val="es-ES"/>
        </w:rPr>
        <w:t>Se asume</w:t>
      </w:r>
      <w:r w:rsidRPr="003770D6">
        <w:rPr>
          <w:rFonts w:cs="Arial"/>
          <w:szCs w:val="22"/>
          <w:lang w:val="es-ES"/>
        </w:rPr>
        <w:t xml:space="preserve"> que en los costos de mantención de licencias de software se incluyen su utilización como las mejoras, corrección de errores y soporte especializado. </w:t>
      </w:r>
    </w:p>
    <w:p w14:paraId="54C995AA" w14:textId="77777777" w:rsidR="0079428C" w:rsidRPr="003770D6" w:rsidRDefault="0079428C" w:rsidP="0079428C">
      <w:pPr>
        <w:tabs>
          <w:tab w:val="left" w:pos="5954"/>
        </w:tabs>
        <w:rPr>
          <w:rFonts w:cs="Arial"/>
          <w:szCs w:val="22"/>
          <w:lang w:val="es-ES"/>
        </w:rPr>
      </w:pPr>
      <w:r w:rsidRPr="003770D6">
        <w:rPr>
          <w:rFonts w:cs="Arial"/>
          <w:szCs w:val="22"/>
          <w:lang w:val="es-ES"/>
        </w:rPr>
        <w:t>Para el mantenimiento del hardware se consideró un porcentaje de costo de mantenimiento del 5% sobre el costo de inversión</w:t>
      </w:r>
    </w:p>
    <w:p w14:paraId="547F7C8A" w14:textId="7CF12DDE" w:rsidR="0079428C" w:rsidRPr="00B06D23" w:rsidRDefault="0079428C" w:rsidP="0079428C">
      <w:pPr>
        <w:tabs>
          <w:tab w:val="left" w:pos="5954"/>
        </w:tabs>
        <w:rPr>
          <w:rFonts w:cs="Arial"/>
          <w:szCs w:val="22"/>
          <w:lang w:val="es-ES"/>
        </w:rPr>
      </w:pPr>
      <w:r w:rsidRPr="003770D6">
        <w:rPr>
          <w:rFonts w:cs="Arial"/>
          <w:szCs w:val="22"/>
          <w:lang w:val="es-ES"/>
        </w:rPr>
        <w:t xml:space="preserve">De manera similar se consideró un costo de mantenimiento de software y </w:t>
      </w:r>
      <w:r w:rsidR="00D409FA" w:rsidRPr="003770D6">
        <w:rPr>
          <w:rFonts w:cs="Arial"/>
          <w:szCs w:val="22"/>
          <w:lang w:val="es-ES"/>
        </w:rPr>
        <w:t>hardware</w:t>
      </w:r>
      <w:r w:rsidRPr="003770D6">
        <w:rPr>
          <w:rFonts w:cs="Arial"/>
          <w:szCs w:val="22"/>
          <w:lang w:val="es-ES"/>
        </w:rPr>
        <w:t xml:space="preserve"> corporativo asumiendo los porcentajes señalados.</w:t>
      </w:r>
    </w:p>
    <w:p w14:paraId="39D9958C" w14:textId="77777777" w:rsidR="0079428C" w:rsidRPr="00B06D23" w:rsidRDefault="0079428C" w:rsidP="0079428C">
      <w:pPr>
        <w:tabs>
          <w:tab w:val="left" w:pos="5954"/>
        </w:tabs>
        <w:rPr>
          <w:rFonts w:cs="Arial"/>
          <w:szCs w:val="22"/>
          <w:lang w:val="es-ES"/>
        </w:rPr>
      </w:pPr>
      <w:r w:rsidRPr="00B06D23">
        <w:rPr>
          <w:rFonts w:cs="Arial"/>
          <w:szCs w:val="22"/>
          <w:lang w:val="es-ES"/>
        </w:rPr>
        <w:t>Para las impresoras se reconoció un porcentaje de mantenimiento del 10% del costo de inversión.</w:t>
      </w:r>
    </w:p>
    <w:p w14:paraId="6B4AE669" w14:textId="63257FD6" w:rsidR="0079428C" w:rsidRPr="00B06D23" w:rsidRDefault="0079428C" w:rsidP="0079428C">
      <w:pPr>
        <w:rPr>
          <w:rFonts w:cs="Arial"/>
          <w:szCs w:val="22"/>
          <w:lang w:val="es-ES"/>
        </w:rPr>
      </w:pPr>
      <w:r w:rsidRPr="00B06D23">
        <w:rPr>
          <w:rFonts w:cs="Arial"/>
          <w:szCs w:val="22"/>
          <w:lang w:val="es-ES"/>
        </w:rPr>
        <w:t xml:space="preserve">En el archivo </w:t>
      </w:r>
      <w:r w:rsidR="00AD24BF">
        <w:rPr>
          <w:rFonts w:cs="Arial"/>
          <w:szCs w:val="22"/>
          <w:lang w:val="es-ES"/>
        </w:rPr>
        <w:t>“</w:t>
      </w:r>
      <w:r w:rsidRPr="00B06D23">
        <w:rPr>
          <w:lang w:val="es-ES"/>
        </w:rPr>
        <w:t xml:space="preserve">Anexo </w:t>
      </w:r>
      <w:r w:rsidR="00AD24BF">
        <w:rPr>
          <w:lang w:val="es-ES"/>
        </w:rPr>
        <w:t>COMA</w:t>
      </w:r>
      <w:r w:rsidRPr="00B06D23">
        <w:rPr>
          <w:lang w:val="es-ES"/>
        </w:rPr>
        <w:t xml:space="preserve">_3 Modelo/Datos/Precios de insumos no eléctricos/ Insumos No Elec </w:t>
      </w:r>
      <w:r w:rsidR="00D409FA" w:rsidRPr="00B06D23">
        <w:rPr>
          <w:lang w:val="es-ES"/>
        </w:rPr>
        <w:t>Gral.</w:t>
      </w:r>
      <w:r w:rsidR="00AD24BF">
        <w:rPr>
          <w:lang w:val="es-ES"/>
        </w:rPr>
        <w:t>”</w:t>
      </w:r>
      <w:r w:rsidRPr="00B06D23">
        <w:rPr>
          <w:lang w:val="es-ES"/>
        </w:rPr>
        <w:t xml:space="preserve"> se pueden ver los cálculos realizados.</w:t>
      </w:r>
    </w:p>
    <w:p w14:paraId="33764015" w14:textId="77777777" w:rsidR="0079428C" w:rsidRPr="00FD055F" w:rsidRDefault="0079428C" w:rsidP="0079428C">
      <w:pPr>
        <w:pStyle w:val="Ttulo4"/>
      </w:pPr>
      <w:bookmarkStart w:id="303" w:name="_Toc34398133"/>
      <w:bookmarkStart w:id="304" w:name="_Toc39797823"/>
      <w:r w:rsidRPr="00FD055F">
        <w:t>Gastos de mantenimiento del SCADA</w:t>
      </w:r>
      <w:bookmarkEnd w:id="303"/>
      <w:bookmarkEnd w:id="304"/>
    </w:p>
    <w:p w14:paraId="5A853BDF" w14:textId="1936643B" w:rsidR="0079428C" w:rsidRPr="00B06D23" w:rsidRDefault="0079428C" w:rsidP="0079428C">
      <w:pPr>
        <w:tabs>
          <w:tab w:val="left" w:pos="5954"/>
        </w:tabs>
        <w:rPr>
          <w:rFonts w:cs="Arial"/>
          <w:szCs w:val="22"/>
          <w:lang w:val="es-ES"/>
        </w:rPr>
      </w:pPr>
      <w:r w:rsidRPr="00B06D23">
        <w:rPr>
          <w:rFonts w:cs="Arial"/>
          <w:szCs w:val="22"/>
          <w:lang w:val="es-ES"/>
        </w:rPr>
        <w:t>Son los gastos de mantenimiento asociados con el hardware y actualización de licencia y se estiman como un 15% del costo de inversión del sistema SCADA.</w:t>
      </w:r>
      <w:r w:rsidR="001F3AB3">
        <w:rPr>
          <w:rFonts w:cs="Arial"/>
          <w:szCs w:val="22"/>
          <w:lang w:val="es-ES"/>
        </w:rPr>
        <w:t xml:space="preserve"> </w:t>
      </w:r>
      <w:r w:rsidR="003770D6" w:rsidRPr="003770D6">
        <w:rPr>
          <w:rFonts w:cs="Arial"/>
          <w:szCs w:val="22"/>
          <w:lang w:val="es-ES"/>
        </w:rPr>
        <w:t>E</w:t>
      </w:r>
      <w:r w:rsidR="003770D6">
        <w:rPr>
          <w:rFonts w:cs="Arial"/>
          <w:szCs w:val="22"/>
          <w:lang w:val="es-ES"/>
        </w:rPr>
        <w:t>ste</w:t>
      </w:r>
      <w:r w:rsidR="003770D6" w:rsidRPr="003770D6">
        <w:rPr>
          <w:rFonts w:cs="Arial"/>
          <w:szCs w:val="22"/>
          <w:lang w:val="es-ES"/>
        </w:rPr>
        <w:t xml:space="preserve"> costo de mantenimiento</w:t>
      </w:r>
      <w:r w:rsidR="003770D6">
        <w:rPr>
          <w:rFonts w:cs="Arial"/>
          <w:szCs w:val="22"/>
          <w:lang w:val="es-ES"/>
        </w:rPr>
        <w:t>, así como</w:t>
      </w:r>
      <w:r w:rsidR="003770D6" w:rsidRPr="003770D6">
        <w:rPr>
          <w:rFonts w:cs="Arial"/>
          <w:szCs w:val="22"/>
          <w:lang w:val="es-ES"/>
        </w:rPr>
        <w:t xml:space="preserve"> sus aplicativos asociados fue calculado como un porcentaje del costo de inversión del mismo. El porcentaje aplicado se basó en consultas a proveedores especializados, experiencia propia del </w:t>
      </w:r>
      <w:r w:rsidR="003770D6" w:rsidRPr="003770D6">
        <w:rPr>
          <w:rFonts w:cs="Arial"/>
          <w:szCs w:val="22"/>
          <w:lang w:val="es-ES"/>
        </w:rPr>
        <w:lastRenderedPageBreak/>
        <w:t xml:space="preserve">Consultor en aplicativos similares y en valores típicos de mantenimiento de </w:t>
      </w:r>
      <w:r w:rsidR="003770D6" w:rsidRPr="005A2E09">
        <w:rPr>
          <w:rFonts w:cs="Arial"/>
          <w:i/>
          <w:szCs w:val="22"/>
          <w:lang w:val="es-ES"/>
        </w:rPr>
        <w:t>Softwares</w:t>
      </w:r>
      <w:r w:rsidR="003770D6" w:rsidRPr="003770D6">
        <w:rPr>
          <w:rFonts w:cs="Arial"/>
          <w:szCs w:val="22"/>
          <w:lang w:val="es-ES"/>
        </w:rPr>
        <w:t xml:space="preserve"> relevados de </w:t>
      </w:r>
      <w:r w:rsidR="005A2E09" w:rsidRPr="003770D6">
        <w:rPr>
          <w:rFonts w:cs="Arial"/>
          <w:szCs w:val="22"/>
          <w:lang w:val="es-ES"/>
        </w:rPr>
        <w:t>publicaciones especializadas</w:t>
      </w:r>
      <w:r w:rsidR="003770D6" w:rsidRPr="003770D6">
        <w:rPr>
          <w:rFonts w:cs="Arial"/>
          <w:szCs w:val="22"/>
          <w:lang w:val="es-ES"/>
        </w:rPr>
        <w:t xml:space="preserve">.  </w:t>
      </w:r>
    </w:p>
    <w:p w14:paraId="4456B679" w14:textId="63B60C46" w:rsidR="0079428C" w:rsidRPr="00B06D23" w:rsidRDefault="0079428C" w:rsidP="0079428C">
      <w:pPr>
        <w:rPr>
          <w:lang w:val="es-ES"/>
        </w:rPr>
      </w:pPr>
      <w:r w:rsidRPr="00B06D23">
        <w:rPr>
          <w:rFonts w:cs="Arial"/>
          <w:szCs w:val="22"/>
          <w:lang w:val="es-ES"/>
        </w:rPr>
        <w:t xml:space="preserve">En el archivo </w:t>
      </w:r>
      <w:r w:rsidR="00AD24BF">
        <w:rPr>
          <w:rFonts w:cs="Arial"/>
          <w:szCs w:val="22"/>
          <w:lang w:val="es-ES"/>
        </w:rPr>
        <w:t>“</w:t>
      </w:r>
      <w:r w:rsidRPr="00B06D23">
        <w:rPr>
          <w:lang w:val="es-ES"/>
        </w:rPr>
        <w:t xml:space="preserve">Anexo </w:t>
      </w:r>
      <w:r w:rsidR="00AD24BF">
        <w:rPr>
          <w:lang w:val="es-ES"/>
        </w:rPr>
        <w:t>COMA</w:t>
      </w:r>
      <w:r w:rsidRPr="00B06D23">
        <w:rPr>
          <w:lang w:val="es-ES"/>
        </w:rPr>
        <w:t>_3 Modelo/Datos/Precios de insumos no eléctricos/ Insumos No Elec Gral</w:t>
      </w:r>
      <w:r w:rsidR="00AD24BF">
        <w:rPr>
          <w:lang w:val="es-ES"/>
        </w:rPr>
        <w:t>”</w:t>
      </w:r>
      <w:r w:rsidRPr="00B06D23">
        <w:rPr>
          <w:lang w:val="es-ES"/>
        </w:rPr>
        <w:t xml:space="preserve"> se pueden ver los cálculos realizados.</w:t>
      </w:r>
    </w:p>
    <w:p w14:paraId="4DA31F57" w14:textId="77777777" w:rsidR="0079428C" w:rsidRPr="00FD055F" w:rsidRDefault="0079428C" w:rsidP="0079428C">
      <w:pPr>
        <w:pStyle w:val="Ttulo4"/>
      </w:pPr>
      <w:bookmarkStart w:id="305" w:name="_Toc34398134"/>
      <w:bookmarkStart w:id="306" w:name="_Toc39797824"/>
      <w:r w:rsidRPr="00FD055F">
        <w:t>Gastos de mantenimiento del equipamiento utilizado para OyM</w:t>
      </w:r>
      <w:bookmarkEnd w:id="305"/>
      <w:bookmarkEnd w:id="306"/>
    </w:p>
    <w:p w14:paraId="05F62F37" w14:textId="77777777" w:rsidR="0079428C" w:rsidRPr="00B06D23" w:rsidRDefault="0079428C" w:rsidP="0079428C">
      <w:pPr>
        <w:rPr>
          <w:lang w:val="es-ES"/>
        </w:rPr>
      </w:pPr>
      <w:r w:rsidRPr="00B06D23">
        <w:rPr>
          <w:lang w:val="es-ES"/>
        </w:rPr>
        <w:t>Son los gastos de actualización del Software y equipamiento especifico utilizado por el personal de plantilla para el mantenimiento de protecciones, y control.</w:t>
      </w:r>
    </w:p>
    <w:p w14:paraId="507E05F4" w14:textId="77777777" w:rsidR="0079428C" w:rsidRPr="00B06D23" w:rsidRDefault="0079428C" w:rsidP="0079428C">
      <w:pPr>
        <w:rPr>
          <w:lang w:val="es-ES"/>
        </w:rPr>
      </w:pPr>
      <w:r w:rsidRPr="00B06D23">
        <w:rPr>
          <w:lang w:val="es-ES"/>
        </w:rPr>
        <w:t>Se asume un costo del 5% para el hardware y 15% para el software.</w:t>
      </w:r>
    </w:p>
    <w:p w14:paraId="0DB74B98" w14:textId="325C1BC4" w:rsidR="0079428C" w:rsidRPr="00B06D23" w:rsidRDefault="0079428C" w:rsidP="0079428C">
      <w:pPr>
        <w:rPr>
          <w:lang w:val="es-ES"/>
        </w:rPr>
      </w:pPr>
      <w:r w:rsidRPr="00B06D23">
        <w:rPr>
          <w:rFonts w:cs="Arial"/>
          <w:szCs w:val="22"/>
          <w:lang w:val="es-ES"/>
        </w:rPr>
        <w:t xml:space="preserve">En el archivo </w:t>
      </w:r>
      <w:r w:rsidR="00AD24BF">
        <w:rPr>
          <w:rFonts w:cs="Arial"/>
          <w:szCs w:val="22"/>
          <w:lang w:val="es-ES"/>
        </w:rPr>
        <w:t>“</w:t>
      </w:r>
      <w:r w:rsidRPr="00B06D23">
        <w:rPr>
          <w:lang w:val="es-ES"/>
        </w:rPr>
        <w:t xml:space="preserve">Anexo </w:t>
      </w:r>
      <w:r w:rsidR="00AD24BF">
        <w:rPr>
          <w:lang w:val="es-ES"/>
        </w:rPr>
        <w:t>COMA</w:t>
      </w:r>
      <w:r w:rsidRPr="00B06D23">
        <w:rPr>
          <w:lang w:val="es-ES"/>
        </w:rPr>
        <w:t>_3 Modelo/Datos/Precios de insumos no eléctricos/ Insumos No Elec Gral</w:t>
      </w:r>
      <w:r w:rsidR="00AD24BF">
        <w:rPr>
          <w:lang w:val="es-ES"/>
        </w:rPr>
        <w:t>”</w:t>
      </w:r>
      <w:r w:rsidRPr="00B06D23">
        <w:rPr>
          <w:lang w:val="es-ES"/>
        </w:rPr>
        <w:t xml:space="preserve"> se pueden ver los cálculos realizados.</w:t>
      </w:r>
    </w:p>
    <w:p w14:paraId="4BDBB38D" w14:textId="77777777" w:rsidR="0079428C" w:rsidRPr="00FD055F" w:rsidRDefault="0079428C" w:rsidP="0079428C">
      <w:pPr>
        <w:pStyle w:val="Ttulo4"/>
      </w:pPr>
      <w:bookmarkStart w:id="307" w:name="_Toc34398135"/>
      <w:bookmarkStart w:id="308" w:name="_Toc39797825"/>
      <w:r w:rsidRPr="00FD055F">
        <w:t>Materiales e insumos computacionales</w:t>
      </w:r>
      <w:bookmarkEnd w:id="307"/>
      <w:bookmarkEnd w:id="308"/>
    </w:p>
    <w:p w14:paraId="4683FDF1" w14:textId="0566E89D" w:rsidR="0079428C" w:rsidRPr="003770D6" w:rsidRDefault="0079428C" w:rsidP="0079428C">
      <w:pPr>
        <w:rPr>
          <w:rFonts w:cs="Arial"/>
          <w:szCs w:val="22"/>
          <w:lang w:val="es-ES"/>
        </w:rPr>
      </w:pPr>
      <w:r w:rsidRPr="003770D6">
        <w:rPr>
          <w:rFonts w:cs="Arial"/>
          <w:szCs w:val="22"/>
          <w:lang w:val="es-ES"/>
        </w:rPr>
        <w:t xml:space="preserve">En la </w:t>
      </w:r>
      <w:r w:rsidR="001A6E11" w:rsidRPr="003770D6">
        <w:rPr>
          <w:rFonts w:cs="Arial"/>
          <w:szCs w:val="22"/>
          <w:lang w:val="es-ES"/>
        </w:rPr>
        <w:t>EM</w:t>
      </w:r>
      <w:r w:rsidRPr="003770D6">
        <w:rPr>
          <w:rFonts w:cs="Arial"/>
          <w:szCs w:val="22"/>
          <w:lang w:val="es-ES"/>
        </w:rPr>
        <w:t xml:space="preserve"> todos los empleados administrativos poseen un computador, a la vez que existen impresoras, faxes y plotter que se comparten en las áreas funcionales. Todo este equipamiento necesita de suministros como papel y </w:t>
      </w:r>
      <w:r w:rsidRPr="005A2E09">
        <w:rPr>
          <w:rFonts w:cs="Arial"/>
          <w:i/>
          <w:szCs w:val="22"/>
          <w:lang w:val="es-ES"/>
        </w:rPr>
        <w:t>toners</w:t>
      </w:r>
      <w:r w:rsidRPr="003770D6">
        <w:rPr>
          <w:rFonts w:cs="Arial"/>
          <w:szCs w:val="22"/>
          <w:lang w:val="es-ES"/>
        </w:rPr>
        <w:t>, entre los principales</w:t>
      </w:r>
      <w:r w:rsidR="00975725" w:rsidRPr="003770D6">
        <w:rPr>
          <w:rFonts w:cs="Arial"/>
          <w:szCs w:val="22"/>
          <w:lang w:val="es-ES"/>
        </w:rPr>
        <w:t xml:space="preserve"> insumos</w:t>
      </w:r>
      <w:r w:rsidRPr="003770D6">
        <w:rPr>
          <w:rFonts w:cs="Arial"/>
          <w:szCs w:val="22"/>
          <w:lang w:val="es-ES"/>
        </w:rPr>
        <w:t>, que se suma a los suministros de oficinas, como fotocopias, lápices, cuade</w:t>
      </w:r>
      <w:r w:rsidR="00975725" w:rsidRPr="003770D6">
        <w:rPr>
          <w:rFonts w:cs="Arial"/>
          <w:szCs w:val="22"/>
          <w:lang w:val="es-ES"/>
        </w:rPr>
        <w:t>rnos, blocks, carpetas, etc.</w:t>
      </w:r>
    </w:p>
    <w:p w14:paraId="50B1D899" w14:textId="5EAD4A81" w:rsidR="0079428C" w:rsidRPr="003770D6" w:rsidRDefault="0079428C" w:rsidP="0079428C">
      <w:pPr>
        <w:rPr>
          <w:rFonts w:cs="Arial"/>
          <w:szCs w:val="22"/>
          <w:lang w:val="es-ES"/>
        </w:rPr>
      </w:pPr>
      <w:r w:rsidRPr="003770D6">
        <w:rPr>
          <w:rFonts w:cs="Arial"/>
          <w:szCs w:val="22"/>
          <w:lang w:val="es-ES"/>
        </w:rPr>
        <w:t>Se estimó el consumo de los elementos e insumos computacionales por em</w:t>
      </w:r>
      <w:r w:rsidR="00975725" w:rsidRPr="003770D6">
        <w:rPr>
          <w:rFonts w:cs="Arial"/>
          <w:szCs w:val="22"/>
          <w:lang w:val="es-ES"/>
        </w:rPr>
        <w:t>pleado y por año y se valorizó</w:t>
      </w:r>
      <w:r w:rsidRPr="003770D6">
        <w:rPr>
          <w:rFonts w:cs="Arial"/>
          <w:szCs w:val="22"/>
          <w:lang w:val="es-ES"/>
        </w:rPr>
        <w:t xml:space="preserve"> a precios de mercado.</w:t>
      </w:r>
    </w:p>
    <w:p w14:paraId="4E24284B" w14:textId="16C1E14C" w:rsidR="009F3AA0" w:rsidRDefault="0079428C" w:rsidP="0079428C">
      <w:pPr>
        <w:rPr>
          <w:lang w:val="es-ES"/>
        </w:rPr>
      </w:pPr>
      <w:r w:rsidRPr="003770D6">
        <w:rPr>
          <w:rFonts w:cs="Arial"/>
          <w:szCs w:val="22"/>
          <w:lang w:val="es-ES"/>
        </w:rPr>
        <w:t xml:space="preserve">En el archivo </w:t>
      </w:r>
      <w:r w:rsidR="00AD24BF">
        <w:rPr>
          <w:rFonts w:cs="Arial"/>
          <w:szCs w:val="22"/>
          <w:lang w:val="es-ES"/>
        </w:rPr>
        <w:t>“</w:t>
      </w:r>
      <w:r w:rsidRPr="003770D6">
        <w:rPr>
          <w:lang w:val="es-ES"/>
        </w:rPr>
        <w:t xml:space="preserve">Anexo </w:t>
      </w:r>
      <w:r w:rsidR="00AD24BF">
        <w:rPr>
          <w:lang w:val="es-ES"/>
        </w:rPr>
        <w:t>COMA</w:t>
      </w:r>
      <w:r w:rsidRPr="003770D6">
        <w:rPr>
          <w:lang w:val="es-ES"/>
        </w:rPr>
        <w:t>_3 Modelo/Datos/Precios de insumos no eléctricos/ Insumos Computacionales</w:t>
      </w:r>
      <w:r w:rsidR="00AD24BF">
        <w:rPr>
          <w:lang w:val="es-ES"/>
        </w:rPr>
        <w:t>”</w:t>
      </w:r>
      <w:r w:rsidR="00D409FA" w:rsidRPr="003770D6">
        <w:rPr>
          <w:lang w:val="es-ES"/>
        </w:rPr>
        <w:t xml:space="preserve"> </w:t>
      </w:r>
      <w:r w:rsidRPr="003770D6">
        <w:rPr>
          <w:lang w:val="es-ES"/>
        </w:rPr>
        <w:t>se pueden ver los cálculos realizados.</w:t>
      </w:r>
    </w:p>
    <w:p w14:paraId="16288AC3" w14:textId="77777777" w:rsidR="0079428C" w:rsidRPr="00FD055F" w:rsidRDefault="0079428C" w:rsidP="0079428C">
      <w:pPr>
        <w:pStyle w:val="Ttulo4"/>
      </w:pPr>
      <w:bookmarkStart w:id="309" w:name="_Toc34398136"/>
      <w:bookmarkStart w:id="310" w:name="_Toc39797826"/>
      <w:r w:rsidRPr="00FD055F">
        <w:t>Memoria anual</w:t>
      </w:r>
      <w:bookmarkEnd w:id="309"/>
      <w:bookmarkEnd w:id="310"/>
    </w:p>
    <w:p w14:paraId="2C602878" w14:textId="77777777" w:rsidR="0079428C" w:rsidRPr="00B06D23" w:rsidRDefault="0079428C" w:rsidP="0079428C">
      <w:pPr>
        <w:spacing w:before="60" w:after="120" w:line="240" w:lineRule="auto"/>
        <w:rPr>
          <w:lang w:val="es-ES"/>
        </w:rPr>
      </w:pPr>
      <w:r w:rsidRPr="00B06D23">
        <w:rPr>
          <w:lang w:val="es-ES"/>
        </w:rPr>
        <w:t>Para la obtención del valor a considerar en la edición de la memoria anual de la empresa, se considera la memoria típica para este tipo de empresas y se valorizará sobre la base de costos unitarios de mercado.</w:t>
      </w:r>
    </w:p>
    <w:p w14:paraId="7FFD3DF6" w14:textId="77777777" w:rsidR="0079428C" w:rsidRPr="00B06D23" w:rsidRDefault="0079428C" w:rsidP="0079428C">
      <w:pPr>
        <w:spacing w:before="60" w:after="120" w:line="240" w:lineRule="auto"/>
        <w:rPr>
          <w:lang w:val="es-ES"/>
        </w:rPr>
      </w:pPr>
      <w:r w:rsidRPr="00B06D23">
        <w:rPr>
          <w:lang w:val="es-ES"/>
        </w:rPr>
        <w:t>En base a la información recogida se calculó el monto total para la confección de una memoria anual en diseño e impresión y se multiplicó por el total de memorias a imprimir.</w:t>
      </w:r>
    </w:p>
    <w:p w14:paraId="313EF350" w14:textId="24785371" w:rsidR="0079428C" w:rsidRPr="00B06D23" w:rsidRDefault="0079428C" w:rsidP="0079428C">
      <w:pPr>
        <w:rPr>
          <w:lang w:val="es-ES"/>
        </w:rPr>
      </w:pPr>
      <w:r w:rsidRPr="00B06D23">
        <w:rPr>
          <w:rFonts w:cs="Arial"/>
          <w:szCs w:val="22"/>
          <w:lang w:val="es-ES"/>
        </w:rPr>
        <w:t xml:space="preserve">En el archivo </w:t>
      </w:r>
      <w:r w:rsidR="00AD24BF">
        <w:rPr>
          <w:rFonts w:cs="Arial"/>
          <w:szCs w:val="22"/>
          <w:lang w:val="es-ES"/>
        </w:rPr>
        <w:t>“</w:t>
      </w:r>
      <w:r w:rsidRPr="00B06D23">
        <w:rPr>
          <w:lang w:val="es-ES"/>
        </w:rPr>
        <w:t xml:space="preserve">Anexo </w:t>
      </w:r>
      <w:r w:rsidR="00AD24BF">
        <w:rPr>
          <w:lang w:val="es-ES"/>
        </w:rPr>
        <w:t>COMA</w:t>
      </w:r>
      <w:r w:rsidRPr="00B06D23">
        <w:rPr>
          <w:lang w:val="es-ES"/>
        </w:rPr>
        <w:t>_3 Modelo/Datos/Precios de insumos no eléctricos/ Memoria anual</w:t>
      </w:r>
      <w:r w:rsidR="00AD24BF">
        <w:rPr>
          <w:lang w:val="es-ES"/>
        </w:rPr>
        <w:t>”</w:t>
      </w:r>
      <w:r w:rsidRPr="00B06D23">
        <w:rPr>
          <w:lang w:val="es-ES"/>
        </w:rPr>
        <w:t xml:space="preserve"> se pueden ver los cálculos realizados.</w:t>
      </w:r>
    </w:p>
    <w:p w14:paraId="57092219" w14:textId="77777777" w:rsidR="0079428C" w:rsidRPr="00FD055F" w:rsidRDefault="0079428C" w:rsidP="0079428C">
      <w:pPr>
        <w:pStyle w:val="Ttulo4"/>
      </w:pPr>
      <w:bookmarkStart w:id="311" w:name="_Toc34398137"/>
      <w:bookmarkStart w:id="312" w:name="_Toc39797827"/>
      <w:r w:rsidRPr="00FD055F">
        <w:t>Publicaciones y avisos</w:t>
      </w:r>
      <w:bookmarkEnd w:id="311"/>
      <w:bookmarkEnd w:id="312"/>
    </w:p>
    <w:p w14:paraId="146DF15A" w14:textId="77777777" w:rsidR="0079428C" w:rsidRPr="00B06D23" w:rsidRDefault="0079428C" w:rsidP="0079428C">
      <w:pPr>
        <w:spacing w:before="60" w:after="120" w:line="240" w:lineRule="auto"/>
        <w:rPr>
          <w:lang w:val="es-ES"/>
        </w:rPr>
      </w:pPr>
      <w:r w:rsidRPr="00B06D23">
        <w:rPr>
          <w:lang w:val="es-ES"/>
        </w:rPr>
        <w:lastRenderedPageBreak/>
        <w:t xml:space="preserve">El gasto que realizan las empresas en Publicaciones y Avisos, se recoge del valor de mercado dos periódicos con cobertura nacional en que habitualmente las empresas de distribución de energía eléctrica publican avisos y otras publicaciones. </w:t>
      </w:r>
    </w:p>
    <w:p w14:paraId="58D0BC1F" w14:textId="77777777" w:rsidR="0079428C" w:rsidRPr="00B06D23" w:rsidRDefault="0079428C" w:rsidP="0079428C">
      <w:pPr>
        <w:spacing w:before="60" w:after="120" w:line="240" w:lineRule="auto"/>
        <w:rPr>
          <w:lang w:val="es-ES"/>
        </w:rPr>
      </w:pPr>
      <w:r w:rsidRPr="00B06D23">
        <w:rPr>
          <w:lang w:val="es-ES"/>
        </w:rPr>
        <w:t>El gasto que realizan las empresas en Publicaciones y Avisos, se recogió del valor de mercado dos periódicos con cobertura nacional en que habitualmente las empresas de distribución de energía eléctrica publican avisos y otras publicaciones</w:t>
      </w:r>
    </w:p>
    <w:p w14:paraId="5ACDD477" w14:textId="18BCF231" w:rsidR="0079428C" w:rsidRPr="00B06D23" w:rsidRDefault="0079428C" w:rsidP="0079428C">
      <w:pPr>
        <w:rPr>
          <w:lang w:val="es-ES"/>
        </w:rPr>
      </w:pPr>
      <w:r w:rsidRPr="00B06D23">
        <w:rPr>
          <w:rFonts w:cs="Arial"/>
          <w:szCs w:val="22"/>
          <w:lang w:val="es-ES"/>
        </w:rPr>
        <w:t xml:space="preserve">En el archivo </w:t>
      </w:r>
      <w:r w:rsidR="00AD24BF">
        <w:rPr>
          <w:rFonts w:cs="Arial"/>
          <w:szCs w:val="22"/>
          <w:lang w:val="es-ES"/>
        </w:rPr>
        <w:t>“</w:t>
      </w:r>
      <w:r w:rsidRPr="00B06D23">
        <w:rPr>
          <w:lang w:val="es-ES"/>
        </w:rPr>
        <w:t xml:space="preserve">Anexo </w:t>
      </w:r>
      <w:r w:rsidR="00AD24BF">
        <w:rPr>
          <w:lang w:val="es-ES"/>
        </w:rPr>
        <w:t>COMA</w:t>
      </w:r>
      <w:r w:rsidRPr="00B06D23">
        <w:rPr>
          <w:lang w:val="es-ES"/>
        </w:rPr>
        <w:t>_3 Modelo/Datos/Precios de insumos no eléctricos/ Publicaciones y avisos</w:t>
      </w:r>
      <w:r w:rsidR="00AD24BF">
        <w:rPr>
          <w:lang w:val="es-ES"/>
        </w:rPr>
        <w:t>”</w:t>
      </w:r>
      <w:r w:rsidRPr="00B06D23">
        <w:rPr>
          <w:lang w:val="es-ES"/>
        </w:rPr>
        <w:t xml:space="preserve"> se pueden ver los cálculos realizados.</w:t>
      </w:r>
    </w:p>
    <w:p w14:paraId="255CC5F4" w14:textId="77777777" w:rsidR="0079428C" w:rsidRPr="00FD055F" w:rsidRDefault="0079428C" w:rsidP="0079428C">
      <w:pPr>
        <w:pStyle w:val="Ttulo4"/>
      </w:pPr>
      <w:bookmarkStart w:id="313" w:name="_Toc34398138"/>
      <w:bookmarkStart w:id="314" w:name="_Toc39797828"/>
      <w:r w:rsidRPr="00FD055F">
        <w:t>Fotocopias, formularios, útiles y materiales de oficina</w:t>
      </w:r>
      <w:bookmarkEnd w:id="313"/>
      <w:bookmarkEnd w:id="314"/>
    </w:p>
    <w:p w14:paraId="7322EA9E" w14:textId="77777777" w:rsidR="0079428C" w:rsidRPr="00B06D23" w:rsidRDefault="0079428C" w:rsidP="0079428C">
      <w:pPr>
        <w:spacing w:before="60" w:after="120" w:line="240" w:lineRule="auto"/>
        <w:rPr>
          <w:lang w:val="es-ES"/>
        </w:rPr>
      </w:pPr>
      <w:r w:rsidRPr="00B06D23">
        <w:rPr>
          <w:lang w:val="es-ES"/>
        </w:rPr>
        <w:t>Para el cálculo del costo del consumo de fotocopias por empleado al año se analizó la información presentada por las empresas y mediante un benchmarking se determinó el valor eficiente.</w:t>
      </w:r>
    </w:p>
    <w:p w14:paraId="1D8FAC75" w14:textId="10E2034B" w:rsidR="0079428C" w:rsidRPr="00B06D23" w:rsidRDefault="0079428C" w:rsidP="0079428C">
      <w:pPr>
        <w:rPr>
          <w:lang w:val="es-ES"/>
        </w:rPr>
      </w:pPr>
      <w:r w:rsidRPr="00B06D23">
        <w:rPr>
          <w:rFonts w:cs="Arial"/>
          <w:szCs w:val="22"/>
          <w:lang w:val="es-ES"/>
        </w:rPr>
        <w:t xml:space="preserve">En el archivo </w:t>
      </w:r>
      <w:r w:rsidR="00AD24BF">
        <w:rPr>
          <w:rFonts w:cs="Arial"/>
          <w:szCs w:val="22"/>
          <w:lang w:val="es-ES"/>
        </w:rPr>
        <w:t>“</w:t>
      </w:r>
      <w:r w:rsidRPr="00B06D23">
        <w:rPr>
          <w:lang w:val="es-ES"/>
        </w:rPr>
        <w:t xml:space="preserve">Anexo </w:t>
      </w:r>
      <w:r w:rsidR="00AD24BF">
        <w:rPr>
          <w:lang w:val="es-ES"/>
        </w:rPr>
        <w:t>COMA</w:t>
      </w:r>
      <w:r w:rsidRPr="00B06D23">
        <w:rPr>
          <w:lang w:val="es-ES"/>
        </w:rPr>
        <w:t>_3 Modelo/Datos/Precios de in</w:t>
      </w:r>
      <w:r w:rsidR="00AD24BF">
        <w:rPr>
          <w:lang w:val="es-ES"/>
        </w:rPr>
        <w:t>sumos no eléctricos/ Fotocopias”</w:t>
      </w:r>
      <w:r w:rsidRPr="00B06D23">
        <w:rPr>
          <w:lang w:val="es-ES"/>
        </w:rPr>
        <w:t xml:space="preserve"> se pueden ver los cálculos realizados.</w:t>
      </w:r>
    </w:p>
    <w:p w14:paraId="2BD7BE20" w14:textId="77777777" w:rsidR="0079428C" w:rsidRPr="00FD055F" w:rsidRDefault="0079428C" w:rsidP="0079428C">
      <w:pPr>
        <w:pStyle w:val="Ttulo4"/>
      </w:pPr>
      <w:bookmarkStart w:id="315" w:name="_Toc34398139"/>
      <w:bookmarkStart w:id="316" w:name="_Toc39797829"/>
      <w:r w:rsidRPr="00FD055F">
        <w:t>Retiro y disposición de residuos (tóxicos y no tóxicos)</w:t>
      </w:r>
      <w:bookmarkEnd w:id="315"/>
      <w:bookmarkEnd w:id="316"/>
    </w:p>
    <w:p w14:paraId="0EA59F41" w14:textId="77777777" w:rsidR="0079428C" w:rsidRPr="00B06D23" w:rsidRDefault="0079428C" w:rsidP="0079428C">
      <w:pPr>
        <w:tabs>
          <w:tab w:val="left" w:pos="5954"/>
        </w:tabs>
        <w:rPr>
          <w:rFonts w:cs="Arial"/>
          <w:szCs w:val="22"/>
          <w:lang w:val="es-ES"/>
        </w:rPr>
      </w:pPr>
      <w:r w:rsidRPr="00B06D23">
        <w:rPr>
          <w:rFonts w:cs="Arial"/>
          <w:szCs w:val="22"/>
          <w:lang w:val="es-ES"/>
        </w:rPr>
        <w:t xml:space="preserve">La empresa genera anualmente residuos tóxicos y no tóxicos que deben ser evacuados de sus instalaciones para lo cual se contrata a una empresa de servicios especializados. </w:t>
      </w:r>
    </w:p>
    <w:p w14:paraId="02DB3AFD" w14:textId="5554E8CF" w:rsidR="0079428C" w:rsidRPr="003770D6" w:rsidRDefault="0079428C" w:rsidP="0079428C">
      <w:pPr>
        <w:rPr>
          <w:lang w:val="es-ES"/>
        </w:rPr>
      </w:pPr>
      <w:r w:rsidRPr="003770D6">
        <w:rPr>
          <w:rFonts w:cs="Arial"/>
          <w:szCs w:val="22"/>
          <w:lang w:val="es-ES"/>
        </w:rPr>
        <w:t xml:space="preserve">En el archivo </w:t>
      </w:r>
      <w:r w:rsidR="00AD24BF">
        <w:rPr>
          <w:rFonts w:cs="Arial"/>
          <w:szCs w:val="22"/>
          <w:lang w:val="es-ES"/>
        </w:rPr>
        <w:t>“</w:t>
      </w:r>
      <w:r w:rsidRPr="003770D6">
        <w:rPr>
          <w:lang w:val="es-ES"/>
        </w:rPr>
        <w:t xml:space="preserve">Anexo </w:t>
      </w:r>
      <w:r w:rsidR="00AD24BF">
        <w:rPr>
          <w:lang w:val="es-ES"/>
        </w:rPr>
        <w:t>COMA</w:t>
      </w:r>
      <w:r w:rsidRPr="003770D6">
        <w:rPr>
          <w:lang w:val="es-ES"/>
        </w:rPr>
        <w:t xml:space="preserve">_3 Modelo/Datos/Precios de insumos no </w:t>
      </w:r>
      <w:r w:rsidR="00D409FA" w:rsidRPr="003770D6">
        <w:rPr>
          <w:lang w:val="es-ES"/>
        </w:rPr>
        <w:t>eléctricos/ Residuos no tóxicos</w:t>
      </w:r>
      <w:r w:rsidR="006A6EDD">
        <w:rPr>
          <w:lang w:val="es-ES"/>
        </w:rPr>
        <w:t>”</w:t>
      </w:r>
      <w:r w:rsidRPr="003770D6">
        <w:rPr>
          <w:lang w:val="es-ES"/>
        </w:rPr>
        <w:t xml:space="preserve"> se pueden ver los cálculos realizados.</w:t>
      </w:r>
    </w:p>
    <w:p w14:paraId="05E52649" w14:textId="7C9A293D" w:rsidR="00CA32E7" w:rsidRPr="003770D6" w:rsidRDefault="00CA32E7" w:rsidP="00CA32E7">
      <w:pPr>
        <w:pStyle w:val="Ttulo4"/>
      </w:pPr>
      <w:bookmarkStart w:id="317" w:name="_Toc34398140"/>
      <w:bookmarkStart w:id="318" w:name="_Toc36796946"/>
      <w:bookmarkStart w:id="319" w:name="_Toc39797830"/>
      <w:bookmarkStart w:id="320" w:name="_Toc34398141"/>
      <w:r w:rsidRPr="003770D6">
        <w:t>Costos de traslado y alojamiento de personal tercerizado de OyM (</w:t>
      </w:r>
      <w:r w:rsidR="005A2E09" w:rsidRPr="003770D6">
        <w:t>viáticos</w:t>
      </w:r>
      <w:r w:rsidRPr="003770D6">
        <w:t xml:space="preserve"> operacionales)</w:t>
      </w:r>
      <w:bookmarkEnd w:id="317"/>
      <w:bookmarkEnd w:id="318"/>
      <w:bookmarkEnd w:id="319"/>
    </w:p>
    <w:p w14:paraId="42FA822E" w14:textId="7535BC54" w:rsidR="00CA32E7" w:rsidRPr="003770D6" w:rsidRDefault="00CA32E7" w:rsidP="00CA32E7">
      <w:pPr>
        <w:tabs>
          <w:tab w:val="left" w:pos="5954"/>
        </w:tabs>
        <w:rPr>
          <w:rFonts w:cs="Arial"/>
          <w:szCs w:val="22"/>
          <w:lang w:val="es-ES"/>
        </w:rPr>
      </w:pPr>
      <w:r w:rsidRPr="003770D6">
        <w:rPr>
          <w:rFonts w:cs="Arial"/>
          <w:szCs w:val="22"/>
          <w:lang w:val="es-ES"/>
        </w:rPr>
        <w:t xml:space="preserve">El personal operativo tercerizado tales como supervisores, </w:t>
      </w:r>
      <w:r w:rsidR="005A2E09" w:rsidRPr="003770D6">
        <w:rPr>
          <w:rFonts w:cs="Arial"/>
          <w:szCs w:val="22"/>
          <w:lang w:val="es-ES"/>
        </w:rPr>
        <w:t>linieros, técnicos</w:t>
      </w:r>
      <w:r w:rsidRPr="003770D6">
        <w:rPr>
          <w:rFonts w:cs="Arial"/>
          <w:szCs w:val="22"/>
          <w:lang w:val="es-ES"/>
        </w:rPr>
        <w:t xml:space="preserve"> de mantenimiento y auxiliares en determinadas ocasiones para cumplir su función tiene que realizar </w:t>
      </w:r>
      <w:r w:rsidR="005A2E09" w:rsidRPr="003770D6">
        <w:rPr>
          <w:rFonts w:cs="Arial"/>
          <w:szCs w:val="22"/>
          <w:lang w:val="es-ES"/>
        </w:rPr>
        <w:t>viajes y</w:t>
      </w:r>
      <w:r w:rsidRPr="003770D6">
        <w:rPr>
          <w:rFonts w:cs="Arial"/>
          <w:szCs w:val="22"/>
          <w:lang w:val="es-ES"/>
        </w:rPr>
        <w:t xml:space="preserve"> se requiere reconocer los gastos de alojamiento que son contemplados como un costo unitario para el personal operativo tercerizado.</w:t>
      </w:r>
    </w:p>
    <w:p w14:paraId="1F60F960" w14:textId="169742B2" w:rsidR="00CA32E7" w:rsidRPr="003770D6" w:rsidRDefault="00CA32E7" w:rsidP="00CA32E7">
      <w:pPr>
        <w:tabs>
          <w:tab w:val="left" w:pos="5954"/>
        </w:tabs>
        <w:rPr>
          <w:rFonts w:cs="Arial"/>
          <w:szCs w:val="22"/>
          <w:lang w:val="es-ES"/>
        </w:rPr>
      </w:pPr>
      <w:r w:rsidRPr="003770D6">
        <w:rPr>
          <w:rFonts w:cs="Arial"/>
          <w:szCs w:val="22"/>
          <w:lang w:val="es-ES"/>
        </w:rPr>
        <w:t xml:space="preserve">Estos costos fueron incluidos como parte del costo de las cuadrillas tercerizadas considerando los gastos de pernocte (alojamiento y comidas) por </w:t>
      </w:r>
      <w:r w:rsidR="00D409FA" w:rsidRPr="003770D6">
        <w:rPr>
          <w:rFonts w:cs="Arial"/>
          <w:szCs w:val="22"/>
          <w:lang w:val="es-ES"/>
        </w:rPr>
        <w:t>día</w:t>
      </w:r>
      <w:r w:rsidRPr="003770D6">
        <w:rPr>
          <w:rFonts w:cs="Arial"/>
          <w:szCs w:val="22"/>
          <w:lang w:val="es-ES"/>
        </w:rPr>
        <w:t xml:space="preserve"> para cada tipo de cuadrilla.</w:t>
      </w:r>
    </w:p>
    <w:p w14:paraId="664BA978" w14:textId="512A4FF5" w:rsidR="00CA32E7" w:rsidRPr="003770D6" w:rsidRDefault="00CA32E7" w:rsidP="00CA32E7">
      <w:pPr>
        <w:rPr>
          <w:lang w:val="es-ES"/>
        </w:rPr>
      </w:pPr>
      <w:r w:rsidRPr="003770D6">
        <w:rPr>
          <w:rFonts w:cs="Arial"/>
          <w:szCs w:val="22"/>
          <w:lang w:val="es-ES"/>
        </w:rPr>
        <w:t xml:space="preserve">En el archivo </w:t>
      </w:r>
      <w:r w:rsidR="006A6EDD">
        <w:rPr>
          <w:rFonts w:cs="Arial"/>
          <w:szCs w:val="22"/>
          <w:lang w:val="es-ES"/>
        </w:rPr>
        <w:t>“</w:t>
      </w:r>
      <w:r w:rsidRPr="003770D6">
        <w:rPr>
          <w:lang w:val="es-ES"/>
        </w:rPr>
        <w:t xml:space="preserve">Anexo </w:t>
      </w:r>
      <w:r w:rsidR="006A6EDD">
        <w:rPr>
          <w:lang w:val="es-ES"/>
        </w:rPr>
        <w:t>COMA</w:t>
      </w:r>
      <w:r w:rsidRPr="003770D6">
        <w:rPr>
          <w:lang w:val="es-ES"/>
        </w:rPr>
        <w:t xml:space="preserve">_3 Modelo/Datos/Precios de insumos no eléctricos/ </w:t>
      </w:r>
      <w:r w:rsidR="00D409FA" w:rsidRPr="003770D6">
        <w:rPr>
          <w:lang w:val="es-ES"/>
        </w:rPr>
        <w:t>Viáticos</w:t>
      </w:r>
      <w:r w:rsidRPr="003770D6">
        <w:rPr>
          <w:lang w:val="es-ES"/>
        </w:rPr>
        <w:t xml:space="preserve"> operacionales</w:t>
      </w:r>
      <w:r w:rsidR="006A6EDD">
        <w:rPr>
          <w:lang w:val="es-ES"/>
        </w:rPr>
        <w:t>”</w:t>
      </w:r>
      <w:r w:rsidRPr="003770D6">
        <w:rPr>
          <w:lang w:val="es-ES"/>
        </w:rPr>
        <w:t xml:space="preserve"> se pueden ver los cálculos realizados.</w:t>
      </w:r>
    </w:p>
    <w:p w14:paraId="7FB15960" w14:textId="60F6F4BC" w:rsidR="00CA32E7" w:rsidRPr="00B06D23" w:rsidRDefault="00CA32E7" w:rsidP="00CA32E7">
      <w:pPr>
        <w:rPr>
          <w:lang w:val="es-ES"/>
        </w:rPr>
      </w:pPr>
      <w:r w:rsidRPr="003770D6">
        <w:rPr>
          <w:lang w:val="es-ES"/>
        </w:rPr>
        <w:t xml:space="preserve">En el archivo </w:t>
      </w:r>
      <w:r w:rsidR="006A6EDD">
        <w:rPr>
          <w:lang w:val="es-ES"/>
        </w:rPr>
        <w:t>“</w:t>
      </w:r>
      <w:r w:rsidRPr="003770D6">
        <w:rPr>
          <w:lang w:val="es-ES"/>
        </w:rPr>
        <w:t xml:space="preserve">Anexo </w:t>
      </w:r>
      <w:r w:rsidR="006A6EDD">
        <w:rPr>
          <w:lang w:val="es-ES"/>
        </w:rPr>
        <w:t>COMA</w:t>
      </w:r>
      <w:r w:rsidRPr="003770D6">
        <w:rPr>
          <w:lang w:val="es-ES"/>
        </w:rPr>
        <w:t>_3/</w:t>
      </w:r>
      <w:r w:rsidRPr="003770D6">
        <w:t xml:space="preserve"> </w:t>
      </w:r>
      <w:r w:rsidRPr="003770D6">
        <w:rPr>
          <w:lang w:val="es-ES"/>
        </w:rPr>
        <w:t>Costo Cuadrillas Tercerizadas</w:t>
      </w:r>
      <w:r w:rsidR="006A6EDD">
        <w:rPr>
          <w:lang w:val="es-ES"/>
        </w:rPr>
        <w:t>”</w:t>
      </w:r>
      <w:r w:rsidRPr="003770D6">
        <w:rPr>
          <w:lang w:val="es-ES"/>
        </w:rPr>
        <w:t xml:space="preserve"> se pueden ver los cálculos realizados para incluir los costos operacionales en las cuadrillas como señalado.</w:t>
      </w:r>
    </w:p>
    <w:p w14:paraId="42DEF4B8" w14:textId="77777777" w:rsidR="0079428C" w:rsidRPr="00FD055F" w:rsidRDefault="0079428C" w:rsidP="0079428C">
      <w:pPr>
        <w:pStyle w:val="Ttulo4"/>
      </w:pPr>
      <w:bookmarkStart w:id="321" w:name="_Toc39797831"/>
      <w:r w:rsidRPr="00FD055F">
        <w:t>Indemnización a propietarios por daños debido a Trabajos en Franja Servidumbre</w:t>
      </w:r>
      <w:bookmarkEnd w:id="320"/>
      <w:bookmarkEnd w:id="321"/>
    </w:p>
    <w:p w14:paraId="7E5F1A1F" w14:textId="77777777" w:rsidR="0079428C" w:rsidRPr="00B06D23" w:rsidRDefault="0079428C" w:rsidP="0079428C">
      <w:pPr>
        <w:tabs>
          <w:tab w:val="left" w:pos="5954"/>
        </w:tabs>
        <w:rPr>
          <w:rFonts w:cs="Arial"/>
          <w:szCs w:val="22"/>
          <w:lang w:val="es-ES"/>
        </w:rPr>
      </w:pPr>
      <w:r w:rsidRPr="00B06D23">
        <w:rPr>
          <w:rFonts w:cs="Arial"/>
          <w:szCs w:val="22"/>
          <w:lang w:val="es-ES"/>
        </w:rPr>
        <w:lastRenderedPageBreak/>
        <w:t xml:space="preserve">Se realizó un análisis crítico de la información presentada por las empresas a los efectos de determinar un valor razonable para la empresa eficiente. </w:t>
      </w:r>
    </w:p>
    <w:p w14:paraId="217A0AF4" w14:textId="77777777" w:rsidR="0079428C" w:rsidRPr="00B06D23" w:rsidRDefault="0079428C" w:rsidP="0079428C">
      <w:pPr>
        <w:tabs>
          <w:tab w:val="left" w:pos="5954"/>
        </w:tabs>
        <w:rPr>
          <w:rFonts w:cs="Arial"/>
          <w:szCs w:val="22"/>
          <w:lang w:val="es-ES"/>
        </w:rPr>
      </w:pPr>
      <w:r w:rsidRPr="00B06D23">
        <w:rPr>
          <w:rFonts w:cs="Arial"/>
          <w:szCs w:val="22"/>
          <w:lang w:val="es-ES"/>
        </w:rPr>
        <w:t>Se asumió como eficiente el valor declarado por las empresas del año 2017 ya que resulta menor al reconocido en los antecedentes regulatorios.</w:t>
      </w:r>
    </w:p>
    <w:p w14:paraId="6202F77F" w14:textId="0F3223F0" w:rsidR="0079428C" w:rsidRPr="00B06D23" w:rsidRDefault="0079428C" w:rsidP="0079428C">
      <w:pPr>
        <w:rPr>
          <w:lang w:val="es-ES"/>
        </w:rPr>
      </w:pPr>
      <w:r w:rsidRPr="00C95AB8">
        <w:rPr>
          <w:rFonts w:cs="Arial"/>
          <w:szCs w:val="22"/>
          <w:lang w:val="es-ES"/>
        </w:rPr>
        <w:t xml:space="preserve">En el archivo </w:t>
      </w:r>
      <w:r w:rsidR="006A6EDD">
        <w:rPr>
          <w:rFonts w:cs="Arial"/>
          <w:szCs w:val="22"/>
          <w:lang w:val="es-ES"/>
        </w:rPr>
        <w:t>“</w:t>
      </w:r>
      <w:r w:rsidRPr="00C95AB8">
        <w:rPr>
          <w:lang w:val="es-ES"/>
        </w:rPr>
        <w:t xml:space="preserve">Anexo </w:t>
      </w:r>
      <w:r w:rsidR="006A6EDD">
        <w:rPr>
          <w:lang w:val="es-ES"/>
        </w:rPr>
        <w:t>C</w:t>
      </w:r>
      <w:r w:rsidR="005A6F95">
        <w:rPr>
          <w:lang w:val="es-ES"/>
        </w:rPr>
        <w:t>OMA</w:t>
      </w:r>
      <w:r w:rsidRPr="00C95AB8">
        <w:rPr>
          <w:lang w:val="es-ES"/>
        </w:rPr>
        <w:t xml:space="preserve">_3 Modelo/Datos/Precios de insumos no eléctricos/ pago </w:t>
      </w:r>
      <w:r w:rsidR="00D409FA" w:rsidRPr="00C95AB8">
        <w:rPr>
          <w:lang w:val="es-ES"/>
        </w:rPr>
        <w:t>indemnizaciones</w:t>
      </w:r>
      <w:r w:rsidRPr="00C95AB8">
        <w:rPr>
          <w:lang w:val="es-ES"/>
        </w:rPr>
        <w:t xml:space="preserve"> a propieta</w:t>
      </w:r>
      <w:r w:rsidR="00D409FA" w:rsidRPr="00C95AB8">
        <w:rPr>
          <w:lang w:val="es-ES"/>
        </w:rPr>
        <w:t>rios</w:t>
      </w:r>
      <w:r w:rsidR="006A6EDD">
        <w:rPr>
          <w:lang w:val="es-ES"/>
        </w:rPr>
        <w:t>”</w:t>
      </w:r>
      <w:r w:rsidRPr="00C95AB8">
        <w:rPr>
          <w:lang w:val="es-ES"/>
        </w:rPr>
        <w:t xml:space="preserve"> se pueden ver los cálculos realizados.</w:t>
      </w:r>
    </w:p>
    <w:p w14:paraId="26DDC092" w14:textId="27C5C415" w:rsidR="0079428C" w:rsidRPr="00B06D23" w:rsidRDefault="0079428C" w:rsidP="0079428C">
      <w:pPr>
        <w:pStyle w:val="Ttulo4"/>
        <w:rPr>
          <w:color w:val="auto"/>
          <w:lang w:val="es-ES"/>
        </w:rPr>
      </w:pPr>
      <w:bookmarkStart w:id="322" w:name="_Toc34398142"/>
      <w:bookmarkStart w:id="323" w:name="_Toc39797832"/>
      <w:r w:rsidRPr="00FD055F">
        <w:t xml:space="preserve">Costos de operación de vehículos de la </w:t>
      </w:r>
      <w:r w:rsidR="001A6E11">
        <w:t>EM</w:t>
      </w:r>
      <w:bookmarkEnd w:id="322"/>
      <w:bookmarkEnd w:id="323"/>
    </w:p>
    <w:p w14:paraId="24315710" w14:textId="44175E8E" w:rsidR="0079428C" w:rsidRPr="00B06D23" w:rsidRDefault="0079428C" w:rsidP="0079428C">
      <w:pPr>
        <w:rPr>
          <w:rFonts w:cs="Arial"/>
          <w:szCs w:val="22"/>
          <w:lang w:val="es-ES"/>
        </w:rPr>
      </w:pPr>
      <w:r w:rsidRPr="00B06D23">
        <w:rPr>
          <w:rFonts w:cs="Arial"/>
          <w:szCs w:val="22"/>
          <w:lang w:val="es-ES"/>
        </w:rPr>
        <w:t xml:space="preserve">El personal de plantilla de la </w:t>
      </w:r>
      <w:r w:rsidR="001A6E11">
        <w:rPr>
          <w:rFonts w:cs="Arial"/>
          <w:szCs w:val="22"/>
          <w:lang w:val="es-ES"/>
        </w:rPr>
        <w:t>EM</w:t>
      </w:r>
      <w:r w:rsidRPr="00B06D23">
        <w:rPr>
          <w:rFonts w:cs="Arial"/>
          <w:szCs w:val="22"/>
          <w:lang w:val="es-ES"/>
        </w:rPr>
        <w:t xml:space="preserve"> requiere de vehículos para movilizarse con fines de cumplimiento de su gestión.</w:t>
      </w:r>
    </w:p>
    <w:p w14:paraId="13E5D93B" w14:textId="1DF8F3CA" w:rsidR="0079428C" w:rsidRPr="00C95AB8" w:rsidRDefault="0079428C" w:rsidP="0079428C">
      <w:pPr>
        <w:rPr>
          <w:rFonts w:cs="Arial"/>
          <w:szCs w:val="22"/>
          <w:lang w:val="es-ES"/>
        </w:rPr>
      </w:pPr>
      <w:r w:rsidRPr="00B06D23">
        <w:rPr>
          <w:rFonts w:cs="Arial"/>
          <w:szCs w:val="22"/>
          <w:lang w:val="es-ES"/>
        </w:rPr>
        <w:t>S</w:t>
      </w:r>
      <w:r w:rsidRPr="00C95AB8">
        <w:rPr>
          <w:rFonts w:cs="Arial"/>
          <w:szCs w:val="22"/>
          <w:lang w:val="es-ES"/>
        </w:rPr>
        <w:t>e ha</w:t>
      </w:r>
      <w:r w:rsidR="00C95AB8" w:rsidRPr="00C95AB8">
        <w:rPr>
          <w:rFonts w:cs="Arial"/>
          <w:szCs w:val="22"/>
          <w:lang w:val="es-ES"/>
        </w:rPr>
        <w:t>n</w:t>
      </w:r>
      <w:r w:rsidRPr="00C95AB8">
        <w:rPr>
          <w:rFonts w:cs="Arial"/>
          <w:szCs w:val="22"/>
          <w:lang w:val="es-ES"/>
        </w:rPr>
        <w:t xml:space="preserve"> asignado </w:t>
      </w:r>
      <w:r w:rsidR="00D409FA" w:rsidRPr="00C95AB8">
        <w:rPr>
          <w:rFonts w:cs="Arial"/>
          <w:szCs w:val="22"/>
          <w:lang w:val="es-ES"/>
        </w:rPr>
        <w:t>vehículos</w:t>
      </w:r>
      <w:r w:rsidRPr="00C95AB8">
        <w:rPr>
          <w:rFonts w:cs="Arial"/>
          <w:szCs w:val="22"/>
          <w:lang w:val="es-ES"/>
        </w:rPr>
        <w:t xml:space="preserve"> a las áreas operativas en función de la cantidad de empleados dedicados a la función operativa.</w:t>
      </w:r>
    </w:p>
    <w:p w14:paraId="73CB6CCB" w14:textId="54524A4B" w:rsidR="0079428C" w:rsidRPr="00C95AB8" w:rsidRDefault="0079428C" w:rsidP="0079428C">
      <w:pPr>
        <w:rPr>
          <w:rFonts w:cs="Arial"/>
          <w:szCs w:val="22"/>
          <w:lang w:val="es-ES"/>
        </w:rPr>
      </w:pPr>
      <w:r w:rsidRPr="00C95AB8">
        <w:rPr>
          <w:rFonts w:cs="Arial"/>
          <w:szCs w:val="22"/>
          <w:lang w:val="es-ES"/>
        </w:rPr>
        <w:t xml:space="preserve">A los efectos de determinar el costo fijo de los vehículos (USD/año) se realizó un análisis de conveniencia compra vs renta que se encuentra detallado en este informe en el </w:t>
      </w:r>
      <w:r w:rsidR="00D409FA" w:rsidRPr="00C95AB8">
        <w:rPr>
          <w:rFonts w:cs="Arial"/>
          <w:szCs w:val="22"/>
          <w:lang w:val="es-ES"/>
        </w:rPr>
        <w:t>capítulo</w:t>
      </w:r>
      <w:r w:rsidRPr="00C95AB8">
        <w:rPr>
          <w:rFonts w:cs="Arial"/>
          <w:szCs w:val="22"/>
          <w:lang w:val="es-ES"/>
        </w:rPr>
        <w:t xml:space="preserve"> de “Servicios de operación y manteni</w:t>
      </w:r>
      <w:r w:rsidR="00D409FA" w:rsidRPr="00C95AB8">
        <w:rPr>
          <w:rFonts w:cs="Arial"/>
          <w:szCs w:val="22"/>
          <w:lang w:val="es-ES"/>
        </w:rPr>
        <w:t>mi</w:t>
      </w:r>
      <w:r w:rsidRPr="00C95AB8">
        <w:rPr>
          <w:rFonts w:cs="Arial"/>
          <w:szCs w:val="22"/>
          <w:lang w:val="es-ES"/>
        </w:rPr>
        <w:t xml:space="preserve">ento tercerizados”. </w:t>
      </w:r>
    </w:p>
    <w:p w14:paraId="5E19A912" w14:textId="5F0133E0" w:rsidR="0079428C" w:rsidRPr="00C95AB8" w:rsidRDefault="0079428C" w:rsidP="0079428C">
      <w:pPr>
        <w:rPr>
          <w:lang w:val="es-ES"/>
        </w:rPr>
      </w:pPr>
      <w:r w:rsidRPr="00C95AB8">
        <w:rPr>
          <w:rFonts w:cs="Arial"/>
          <w:szCs w:val="22"/>
          <w:lang w:val="es-ES"/>
        </w:rPr>
        <w:t xml:space="preserve">El costo variable por consumo de combustible se calculó en función de los km anuales recorridos, el rendimiento y el costo unitario del combustible. </w:t>
      </w:r>
      <w:r w:rsidRPr="00C95AB8">
        <w:rPr>
          <w:lang w:val="es-ES"/>
        </w:rPr>
        <w:t xml:space="preserve">Los valores relevados para los </w:t>
      </w:r>
      <w:r w:rsidR="005A2E09" w:rsidRPr="00C95AB8">
        <w:rPr>
          <w:lang w:val="es-ES"/>
        </w:rPr>
        <w:t>combustibles se</w:t>
      </w:r>
      <w:r w:rsidRPr="00C95AB8">
        <w:rPr>
          <w:lang w:val="es-ES"/>
        </w:rPr>
        <w:t xml:space="preserve"> encuentran en el </w:t>
      </w:r>
      <w:r w:rsidR="006A6EDD">
        <w:rPr>
          <w:lang w:val="es-ES"/>
        </w:rPr>
        <w:t>“</w:t>
      </w:r>
      <w:r w:rsidRPr="00C95AB8">
        <w:rPr>
          <w:lang w:val="es-ES"/>
        </w:rPr>
        <w:t xml:space="preserve">Anexo </w:t>
      </w:r>
      <w:r w:rsidR="006A6EDD">
        <w:rPr>
          <w:lang w:val="es-ES"/>
        </w:rPr>
        <w:t>COMA</w:t>
      </w:r>
      <w:r w:rsidRPr="00C95AB8">
        <w:rPr>
          <w:lang w:val="es-ES"/>
        </w:rPr>
        <w:t xml:space="preserve">_3 Modelo/ “Precios Gasolinas y </w:t>
      </w:r>
      <w:r w:rsidR="00D409FA" w:rsidRPr="00C95AB8">
        <w:rPr>
          <w:lang w:val="es-ES"/>
        </w:rPr>
        <w:t>Diésel</w:t>
      </w:r>
      <w:r w:rsidRPr="00C95AB8">
        <w:rPr>
          <w:lang w:val="es-ES"/>
        </w:rPr>
        <w:t>”.</w:t>
      </w:r>
    </w:p>
    <w:p w14:paraId="19780529" w14:textId="77777777" w:rsidR="0079428C" w:rsidRPr="00C95AB8" w:rsidRDefault="0079428C" w:rsidP="0079428C">
      <w:pPr>
        <w:rPr>
          <w:lang w:val="es-ES"/>
        </w:rPr>
      </w:pPr>
      <w:r w:rsidRPr="00C95AB8">
        <w:rPr>
          <w:lang w:val="es-ES"/>
        </w:rPr>
        <w:t>Adicionalmente se reconoció como costo variable el costo promedio por km de peajes que se requiere pagar en las rutas de Chile.</w:t>
      </w:r>
    </w:p>
    <w:p w14:paraId="2C6AC5C5" w14:textId="69C10025" w:rsidR="0079428C" w:rsidRPr="00C95AB8" w:rsidRDefault="0079428C" w:rsidP="0079428C">
      <w:pPr>
        <w:rPr>
          <w:lang w:val="es-ES"/>
        </w:rPr>
      </w:pPr>
      <w:r w:rsidRPr="00C95AB8">
        <w:rPr>
          <w:lang w:val="es-ES"/>
        </w:rPr>
        <w:t xml:space="preserve">Se asignó un automóvil por cada Gerencia y Subgerencia para la movilidad de sus ejecutivos. Para el personal operativo se </w:t>
      </w:r>
      <w:r w:rsidR="00D409FA" w:rsidRPr="00C95AB8">
        <w:rPr>
          <w:lang w:val="es-ES"/>
        </w:rPr>
        <w:t>asignó</w:t>
      </w:r>
      <w:r w:rsidRPr="00C95AB8">
        <w:rPr>
          <w:lang w:val="es-ES"/>
        </w:rPr>
        <w:t>:</w:t>
      </w:r>
    </w:p>
    <w:p w14:paraId="1731E22C" w14:textId="77777777" w:rsidR="0079428C" w:rsidRPr="00C95AB8" w:rsidRDefault="0079428C" w:rsidP="00273FE4">
      <w:pPr>
        <w:pStyle w:val="Listanumerada"/>
        <w:numPr>
          <w:ilvl w:val="0"/>
          <w:numId w:val="25"/>
        </w:numPr>
        <w:spacing w:after="200"/>
        <w:ind w:left="567" w:hanging="567"/>
        <w:rPr>
          <w:lang w:val="es-ES"/>
        </w:rPr>
      </w:pPr>
      <w:r w:rsidRPr="00C95AB8">
        <w:rPr>
          <w:lang w:val="es-ES"/>
        </w:rPr>
        <w:t>Gerencia de Explotación (</w:t>
      </w:r>
      <w:r w:rsidRPr="005A2E09">
        <w:rPr>
          <w:i/>
          <w:lang w:val="es-ES"/>
        </w:rPr>
        <w:t>Corporate</w:t>
      </w:r>
      <w:r w:rsidRPr="00C95AB8">
        <w:rPr>
          <w:lang w:val="es-ES"/>
        </w:rPr>
        <w:t>):</w:t>
      </w:r>
    </w:p>
    <w:p w14:paraId="6FBE7006" w14:textId="77777777" w:rsidR="0079428C" w:rsidRPr="006A6EDD" w:rsidRDefault="0079428C" w:rsidP="00273FE4">
      <w:pPr>
        <w:pStyle w:val="Prrafodelista"/>
        <w:numPr>
          <w:ilvl w:val="0"/>
          <w:numId w:val="65"/>
        </w:numPr>
        <w:spacing w:after="120"/>
        <w:ind w:left="1134" w:hanging="567"/>
      </w:pPr>
      <w:r w:rsidRPr="006A6EDD">
        <w:t>1 camioneta para la gerencia</w:t>
      </w:r>
    </w:p>
    <w:p w14:paraId="77DC7F4D" w14:textId="77777777" w:rsidR="0079428C" w:rsidRPr="006A6EDD" w:rsidRDefault="0079428C" w:rsidP="00273FE4">
      <w:pPr>
        <w:pStyle w:val="Prrafodelista"/>
        <w:numPr>
          <w:ilvl w:val="0"/>
          <w:numId w:val="65"/>
        </w:numPr>
        <w:ind w:left="1134" w:hanging="567"/>
      </w:pPr>
      <w:r w:rsidRPr="006A6EDD">
        <w:t>1 camioneta por cada 4 empleados de oficina que requieren movilidad (Jefes, analistas e ingenieros).</w:t>
      </w:r>
    </w:p>
    <w:p w14:paraId="610CA72E" w14:textId="0930CD01" w:rsidR="0079428C" w:rsidRPr="00B06D23" w:rsidRDefault="00D409FA" w:rsidP="00273FE4">
      <w:pPr>
        <w:pStyle w:val="Listanumerada"/>
        <w:numPr>
          <w:ilvl w:val="0"/>
          <w:numId w:val="25"/>
        </w:numPr>
        <w:spacing w:after="200"/>
        <w:ind w:left="567" w:hanging="567"/>
        <w:rPr>
          <w:lang w:val="es-ES"/>
        </w:rPr>
      </w:pPr>
      <w:r w:rsidRPr="00C95AB8">
        <w:rPr>
          <w:lang w:val="es-ES"/>
        </w:rPr>
        <w:t>Subgerencia</w:t>
      </w:r>
      <w:r w:rsidR="0079428C" w:rsidRPr="00C95AB8">
        <w:rPr>
          <w:lang w:val="es-ES"/>
        </w:rPr>
        <w:t xml:space="preserve"> Regional</w:t>
      </w:r>
    </w:p>
    <w:p w14:paraId="3D767371" w14:textId="77777777" w:rsidR="0079428C" w:rsidRPr="006A6EDD" w:rsidRDefault="0079428C" w:rsidP="00273FE4">
      <w:pPr>
        <w:pStyle w:val="Prrafodelista"/>
        <w:numPr>
          <w:ilvl w:val="0"/>
          <w:numId w:val="65"/>
        </w:numPr>
        <w:spacing w:after="120"/>
        <w:ind w:left="1134" w:hanging="567"/>
      </w:pPr>
      <w:r w:rsidRPr="006A6EDD">
        <w:t>1 camioneta para la subgerencia</w:t>
      </w:r>
    </w:p>
    <w:p w14:paraId="043786D4" w14:textId="77777777" w:rsidR="0079428C" w:rsidRPr="006A6EDD" w:rsidRDefault="0079428C" w:rsidP="00273FE4">
      <w:pPr>
        <w:pStyle w:val="Prrafodelista"/>
        <w:numPr>
          <w:ilvl w:val="0"/>
          <w:numId w:val="65"/>
        </w:numPr>
        <w:ind w:left="1134" w:hanging="567"/>
      </w:pPr>
      <w:r w:rsidRPr="006A6EDD">
        <w:t>1 camioneta por cada 2 empleados que requieren movilidad (ingenieros, supervisores y técnicos)</w:t>
      </w:r>
    </w:p>
    <w:p w14:paraId="613C1F26" w14:textId="77777777" w:rsidR="0079428C" w:rsidRPr="00B06D23" w:rsidRDefault="0079428C" w:rsidP="0079428C">
      <w:pPr>
        <w:rPr>
          <w:rFonts w:cs="Arial"/>
          <w:szCs w:val="22"/>
          <w:lang w:val="es-ES"/>
        </w:rPr>
      </w:pPr>
      <w:r w:rsidRPr="00B06D23">
        <w:rPr>
          <w:rFonts w:cs="Arial"/>
          <w:szCs w:val="22"/>
          <w:lang w:val="es-ES"/>
        </w:rPr>
        <w:lastRenderedPageBreak/>
        <w:t>El costo de los vehículos utilizados por las cuadrillas tercerizadas que operan en terreno se encuentra incluido en los costos de operación y mantenimiento del servicio que prestan dichos contratistas.</w:t>
      </w:r>
    </w:p>
    <w:p w14:paraId="5A83CE1E" w14:textId="77777777" w:rsidR="0079428C" w:rsidRPr="00B06D23" w:rsidRDefault="0079428C" w:rsidP="0079428C">
      <w:pPr>
        <w:rPr>
          <w:rFonts w:cs="Arial"/>
          <w:szCs w:val="22"/>
          <w:lang w:val="es-ES"/>
        </w:rPr>
      </w:pPr>
      <w:r w:rsidRPr="00B06D23">
        <w:rPr>
          <w:rFonts w:cs="Arial"/>
          <w:szCs w:val="22"/>
          <w:lang w:val="es-ES"/>
        </w:rPr>
        <w:t>El costo de los vehículos del personal propio de la estructura de la organización requerido para movilizarse a los efectos de realizar las tareas de coordinación y supervisión de sus subordinados se encuentra incluido como parte de los gastos de la organización.</w:t>
      </w:r>
    </w:p>
    <w:p w14:paraId="0D874286" w14:textId="77777777" w:rsidR="0079428C" w:rsidRPr="00FD055F" w:rsidRDefault="0079428C" w:rsidP="0079428C">
      <w:pPr>
        <w:pStyle w:val="Ttulo4"/>
      </w:pPr>
      <w:bookmarkStart w:id="324" w:name="_Toc34398143"/>
      <w:bookmarkStart w:id="325" w:name="_Toc39797833"/>
      <w:r w:rsidRPr="00FD055F">
        <w:t>Costos de mantenimiento de edificios</w:t>
      </w:r>
      <w:bookmarkEnd w:id="324"/>
      <w:bookmarkEnd w:id="325"/>
    </w:p>
    <w:p w14:paraId="190FB831" w14:textId="1CBC671B" w:rsidR="0079428C" w:rsidRPr="00B06D23" w:rsidRDefault="0079428C" w:rsidP="0079428C">
      <w:pPr>
        <w:rPr>
          <w:rFonts w:cs="Arial"/>
          <w:szCs w:val="22"/>
          <w:lang w:val="es-ES"/>
        </w:rPr>
      </w:pPr>
      <w:r w:rsidRPr="00C95AB8">
        <w:rPr>
          <w:rFonts w:cs="Arial"/>
          <w:szCs w:val="22"/>
          <w:lang w:val="es-ES"/>
        </w:rPr>
        <w:t xml:space="preserve">Es el costo </w:t>
      </w:r>
      <w:r w:rsidR="005A2E09" w:rsidRPr="00C95AB8">
        <w:rPr>
          <w:rFonts w:cs="Arial"/>
          <w:szCs w:val="22"/>
          <w:lang w:val="es-ES"/>
        </w:rPr>
        <w:t>de mantenimiento</w:t>
      </w:r>
      <w:r w:rsidRPr="00C95AB8">
        <w:rPr>
          <w:rFonts w:cs="Arial"/>
          <w:szCs w:val="22"/>
          <w:lang w:val="es-ES"/>
        </w:rPr>
        <w:t xml:space="preserve"> que incluye la</w:t>
      </w:r>
      <w:r w:rsidR="00D409FA" w:rsidRPr="00C95AB8">
        <w:rPr>
          <w:rFonts w:cs="Arial"/>
          <w:szCs w:val="22"/>
          <w:lang w:val="es-ES"/>
        </w:rPr>
        <w:t>s</w:t>
      </w:r>
      <w:r w:rsidRPr="00C95AB8">
        <w:rPr>
          <w:rFonts w:cs="Arial"/>
          <w:szCs w:val="22"/>
          <w:lang w:val="es-ES"/>
        </w:rPr>
        <w:t xml:space="preserve"> reparaciones ordinarias y extraordinarias en las diferentes partes de los edificios de la EM. Dentro de este rubro se incluyen reparación de vidrios, cerrajería, aire acondicionado, iluminación, reparación de plomería y sanitarios, ascensores.</w:t>
      </w:r>
    </w:p>
    <w:p w14:paraId="0B19FB68" w14:textId="152CE01F" w:rsidR="0079428C" w:rsidRDefault="0079428C" w:rsidP="0079428C">
      <w:pPr>
        <w:rPr>
          <w:rFonts w:cs="Arial"/>
          <w:szCs w:val="22"/>
          <w:lang w:val="es-ES"/>
        </w:rPr>
      </w:pPr>
      <w:r w:rsidRPr="00B06D23">
        <w:rPr>
          <w:rFonts w:cs="Arial"/>
          <w:szCs w:val="22"/>
          <w:lang w:val="es-ES"/>
        </w:rPr>
        <w:t xml:space="preserve">Se ha considerado </w:t>
      </w:r>
      <w:r w:rsidR="005A2E09" w:rsidRPr="00B06D23">
        <w:rPr>
          <w:rFonts w:cs="Arial"/>
          <w:szCs w:val="22"/>
          <w:lang w:val="es-ES"/>
        </w:rPr>
        <w:t>un ratio eficiente</w:t>
      </w:r>
      <w:r w:rsidRPr="00B06D23">
        <w:rPr>
          <w:rFonts w:cs="Arial"/>
          <w:szCs w:val="22"/>
          <w:lang w:val="es-ES"/>
        </w:rPr>
        <w:t xml:space="preserve"> del 2% sobre el costo de inversión de los edificios como valor promedio a lo largo de su vida útil.</w:t>
      </w:r>
    </w:p>
    <w:p w14:paraId="7ECE82D2" w14:textId="77777777" w:rsidR="0079428C" w:rsidRPr="00FD055F" w:rsidRDefault="0079428C" w:rsidP="0079428C">
      <w:pPr>
        <w:pStyle w:val="Ttulo4"/>
      </w:pPr>
      <w:bookmarkStart w:id="326" w:name="_Toc34398144"/>
      <w:bookmarkStart w:id="327" w:name="_Toc39797834"/>
      <w:r w:rsidRPr="00FD055F">
        <w:t>Costos de ciberseguridad</w:t>
      </w:r>
      <w:bookmarkEnd w:id="326"/>
      <w:bookmarkEnd w:id="327"/>
    </w:p>
    <w:p w14:paraId="537D9B6A" w14:textId="48575631" w:rsidR="0079428C" w:rsidRPr="00B06D23" w:rsidRDefault="0079428C" w:rsidP="0079428C">
      <w:pPr>
        <w:rPr>
          <w:lang w:val="es-ES"/>
        </w:rPr>
      </w:pPr>
      <w:r w:rsidRPr="00B06D23">
        <w:rPr>
          <w:lang w:val="es-ES"/>
        </w:rPr>
        <w:t>Es requerido el servicio de monitoreo de los sistema</w:t>
      </w:r>
      <w:r w:rsidR="005A2E09">
        <w:rPr>
          <w:lang w:val="es-ES"/>
        </w:rPr>
        <w:t>s</w:t>
      </w:r>
      <w:r w:rsidRPr="00B06D23">
        <w:rPr>
          <w:lang w:val="es-ES"/>
        </w:rPr>
        <w:t xml:space="preserve"> de </w:t>
      </w:r>
      <w:r w:rsidR="005A2E09" w:rsidRPr="00B06D23">
        <w:rPr>
          <w:lang w:val="es-ES"/>
        </w:rPr>
        <w:t>telecomunicaciones</w:t>
      </w:r>
      <w:r w:rsidRPr="00B06D23">
        <w:rPr>
          <w:lang w:val="es-ES"/>
        </w:rPr>
        <w:t xml:space="preserve"> y </w:t>
      </w:r>
      <w:r w:rsidRPr="005A2E09">
        <w:rPr>
          <w:i/>
          <w:lang w:val="es-ES"/>
        </w:rPr>
        <w:t>networking</w:t>
      </w:r>
      <w:r w:rsidRPr="00B06D23">
        <w:rPr>
          <w:lang w:val="es-ES"/>
        </w:rPr>
        <w:t xml:space="preserve"> a nivel de </w:t>
      </w:r>
      <w:r w:rsidR="005A2E09">
        <w:rPr>
          <w:lang w:val="es-ES"/>
        </w:rPr>
        <w:t>ciber</w:t>
      </w:r>
      <w:r w:rsidRPr="00C95AB8">
        <w:rPr>
          <w:lang w:val="es-ES"/>
        </w:rPr>
        <w:t xml:space="preserve">seguridad para servicios críticos para la compañía, en donde se puedan detectar amenazas de manera oportuna y poder actuar de manera proactiva ante ellas. Se complementa con auditorías a los sistemas de ciberseguridad para detectar ventanas en el acceso a los sistemas operacionales </w:t>
      </w:r>
      <w:r w:rsidR="00D409FA" w:rsidRPr="00C95AB8">
        <w:rPr>
          <w:lang w:val="es-ES"/>
        </w:rPr>
        <w:t>crític</w:t>
      </w:r>
      <w:r w:rsidR="00C95AB8" w:rsidRPr="00C95AB8">
        <w:rPr>
          <w:lang w:val="es-ES"/>
        </w:rPr>
        <w:t>o</w:t>
      </w:r>
      <w:r w:rsidR="00D409FA" w:rsidRPr="00C95AB8">
        <w:rPr>
          <w:lang w:val="es-ES"/>
        </w:rPr>
        <w:t>s</w:t>
      </w:r>
      <w:r w:rsidRPr="00C95AB8">
        <w:rPr>
          <w:lang w:val="es-ES"/>
        </w:rPr>
        <w:t xml:space="preserve"> e información de la EM.</w:t>
      </w:r>
    </w:p>
    <w:p w14:paraId="14C0055B" w14:textId="77777777" w:rsidR="0079428C" w:rsidRPr="00B06D23" w:rsidRDefault="0079428C" w:rsidP="0079428C">
      <w:pPr>
        <w:rPr>
          <w:lang w:val="es-ES"/>
        </w:rPr>
      </w:pPr>
      <w:r w:rsidRPr="00B06D23">
        <w:rPr>
          <w:lang w:val="es-ES"/>
        </w:rPr>
        <w:t>Se ha estimado los costos de ciberseguridad en función de la experiencia del consultor.</w:t>
      </w:r>
    </w:p>
    <w:p w14:paraId="259A315A" w14:textId="77777777" w:rsidR="0079428C" w:rsidRPr="00F465C5" w:rsidRDefault="0079428C" w:rsidP="0079428C">
      <w:pPr>
        <w:pStyle w:val="Ttulo3"/>
      </w:pPr>
      <w:bookmarkStart w:id="328" w:name="_Toc34398145"/>
      <w:bookmarkStart w:id="329" w:name="_Toc39797835"/>
      <w:r w:rsidRPr="00F465C5">
        <w:t>Bienes muebles e inmuebles</w:t>
      </w:r>
      <w:bookmarkEnd w:id="328"/>
      <w:bookmarkEnd w:id="329"/>
    </w:p>
    <w:p w14:paraId="27641380" w14:textId="60D18AA3" w:rsidR="0079428C" w:rsidRPr="00B06D23" w:rsidRDefault="0079428C" w:rsidP="0079428C">
      <w:pPr>
        <w:rPr>
          <w:lang w:val="es-ES"/>
        </w:rPr>
      </w:pPr>
      <w:r w:rsidRPr="00B06D23">
        <w:rPr>
          <w:lang w:val="es-ES"/>
        </w:rPr>
        <w:t xml:space="preserve">Se desarrolla la metodología para determinar los bienes muebles e inmuebles de la </w:t>
      </w:r>
      <w:r w:rsidR="001A6E11">
        <w:rPr>
          <w:lang w:val="es-ES"/>
        </w:rPr>
        <w:t>EM</w:t>
      </w:r>
      <w:r w:rsidRPr="00B06D23">
        <w:rPr>
          <w:lang w:val="es-ES"/>
        </w:rPr>
        <w:t>.</w:t>
      </w:r>
    </w:p>
    <w:p w14:paraId="454CEC1E" w14:textId="77777777" w:rsidR="0079428C" w:rsidRPr="00FD055F" w:rsidRDefault="0079428C" w:rsidP="0079428C">
      <w:pPr>
        <w:pStyle w:val="Ttulo4"/>
      </w:pPr>
      <w:bookmarkStart w:id="330" w:name="_Toc32390199"/>
      <w:bookmarkStart w:id="331" w:name="_Toc34398146"/>
      <w:bookmarkStart w:id="332" w:name="_Toc39797836"/>
      <w:r w:rsidRPr="00FD055F">
        <w:t>Bienes inmuebles distintos a los terrenos</w:t>
      </w:r>
      <w:bookmarkEnd w:id="330"/>
      <w:bookmarkEnd w:id="331"/>
      <w:bookmarkEnd w:id="332"/>
    </w:p>
    <w:p w14:paraId="330B13D7" w14:textId="395C5649" w:rsidR="0079428C" w:rsidRDefault="0079428C" w:rsidP="0079428C">
      <w:pPr>
        <w:jc w:val="left"/>
        <w:rPr>
          <w:lang w:val="es-ES"/>
        </w:rPr>
      </w:pPr>
      <w:r w:rsidRPr="00B06D23">
        <w:rPr>
          <w:lang w:val="es-ES"/>
        </w:rPr>
        <w:t>Este ítem incluye los edificios u oficinas, y las bodegas que son requeridos para la prestación del servicio de transmisión en el sistema nacional y que se describen a continuación.</w:t>
      </w:r>
    </w:p>
    <w:p w14:paraId="4B04E9E2" w14:textId="314844B2" w:rsidR="0079428C" w:rsidRPr="00B06D23" w:rsidRDefault="0079428C" w:rsidP="0079428C">
      <w:pPr>
        <w:rPr>
          <w:lang w:val="es-ES"/>
        </w:rPr>
      </w:pPr>
      <w:r w:rsidRPr="00B06D23">
        <w:rPr>
          <w:lang w:val="es-ES"/>
        </w:rPr>
        <w:t xml:space="preserve">Edificios u oficinas: corresponde a la infraestructura requerida para albergar al personal de plantilla de la </w:t>
      </w:r>
      <w:r w:rsidR="001A6E11">
        <w:rPr>
          <w:lang w:val="es-ES"/>
        </w:rPr>
        <w:t>EM</w:t>
      </w:r>
      <w:r w:rsidRPr="00B06D23">
        <w:rPr>
          <w:lang w:val="es-ES"/>
        </w:rPr>
        <w:t xml:space="preserve"> eficiente y que sea requerida para la prestación óptima y eficiente del servicio. Dentro de los edificios se incluye el espacio requerido para albergar el Centro de Control.</w:t>
      </w:r>
    </w:p>
    <w:p w14:paraId="168D6795" w14:textId="77777777" w:rsidR="0079428C" w:rsidRPr="00B06D23" w:rsidRDefault="0079428C" w:rsidP="0079428C">
      <w:pPr>
        <w:rPr>
          <w:lang w:val="es-ES"/>
        </w:rPr>
      </w:pPr>
      <w:r w:rsidRPr="00B06D23">
        <w:rPr>
          <w:lang w:val="es-ES"/>
        </w:rPr>
        <w:t>Los edificios u oficinas incluyen los requeridos para la administración de la empresa de transmisión considerando su casa matriz y las oficinas o edificios zonales necesarios con motivo de la descentralización de su planta de personal.</w:t>
      </w:r>
    </w:p>
    <w:p w14:paraId="49CB88DC" w14:textId="19D08C66" w:rsidR="0079428C" w:rsidRPr="00B06D23" w:rsidRDefault="0079428C" w:rsidP="0079428C">
      <w:pPr>
        <w:rPr>
          <w:lang w:val="es-ES"/>
        </w:rPr>
      </w:pPr>
      <w:r w:rsidRPr="00B06D23">
        <w:rPr>
          <w:lang w:val="es-ES"/>
        </w:rPr>
        <w:lastRenderedPageBreak/>
        <w:t xml:space="preserve">Las bodegas incluyen la infraestructura para el almacenamiento de materiales y equipos que son requeridos para la prestación eficiente del servicio considerando el despliegue territorial de la </w:t>
      </w:r>
      <w:r w:rsidR="001A6E11">
        <w:rPr>
          <w:lang w:val="es-ES"/>
        </w:rPr>
        <w:t>EM</w:t>
      </w:r>
      <w:r w:rsidRPr="00B06D23">
        <w:rPr>
          <w:lang w:val="es-ES"/>
        </w:rPr>
        <w:t xml:space="preserve"> eficiente.</w:t>
      </w:r>
    </w:p>
    <w:p w14:paraId="204E2F93" w14:textId="77777777" w:rsidR="0079428C" w:rsidRPr="00B06D23" w:rsidRDefault="0079428C" w:rsidP="0079428C">
      <w:pPr>
        <w:rPr>
          <w:lang w:val="es-ES"/>
        </w:rPr>
      </w:pPr>
      <w:r w:rsidRPr="00B06D23">
        <w:rPr>
          <w:lang w:val="es-ES"/>
        </w:rPr>
        <w:t>Sobre la base de la cantidad de empleados de plantilla que resultó del diseño organizacional eficiente y considerando una cantidad de m</w:t>
      </w:r>
      <w:r w:rsidRPr="00561D57">
        <w:rPr>
          <w:vertAlign w:val="superscript"/>
          <w:lang w:val="es-ES"/>
        </w:rPr>
        <w:t>2</w:t>
      </w:r>
      <w:r w:rsidRPr="00B06D23">
        <w:rPr>
          <w:lang w:val="es-ES"/>
        </w:rPr>
        <w:t xml:space="preserve"> por empleado se determinó la cantidad de m</w:t>
      </w:r>
      <w:r w:rsidRPr="00561D57">
        <w:rPr>
          <w:vertAlign w:val="superscript"/>
          <w:lang w:val="es-ES"/>
        </w:rPr>
        <w:t>2</w:t>
      </w:r>
      <w:r w:rsidRPr="00B06D23">
        <w:rPr>
          <w:lang w:val="es-ES"/>
        </w:rPr>
        <w:t xml:space="preserve"> requeridos de edificios y oficinas.</w:t>
      </w:r>
    </w:p>
    <w:p w14:paraId="7283D119" w14:textId="031AA542" w:rsidR="0079428C" w:rsidRDefault="0079428C" w:rsidP="00AC403A">
      <w:pPr>
        <w:spacing w:after="120"/>
        <w:rPr>
          <w:lang w:val="es-ES"/>
        </w:rPr>
      </w:pPr>
      <w:r w:rsidRPr="00B06D23">
        <w:rPr>
          <w:lang w:val="es-ES"/>
        </w:rPr>
        <w:t>Para el personal de plantilla</w:t>
      </w:r>
      <w:r w:rsidR="005A2E09">
        <w:rPr>
          <w:lang w:val="es-ES"/>
        </w:rPr>
        <w:t>,</w:t>
      </w:r>
      <w:r w:rsidRPr="00B06D23">
        <w:rPr>
          <w:lang w:val="es-ES"/>
        </w:rPr>
        <w:t xml:space="preserve"> tanto del edificio corporativo como de las oficinas regionales</w:t>
      </w:r>
      <w:r w:rsidR="005A2E09">
        <w:rPr>
          <w:lang w:val="es-ES"/>
        </w:rPr>
        <w:t>,</w:t>
      </w:r>
      <w:r w:rsidRPr="00B06D23">
        <w:rPr>
          <w:lang w:val="es-ES"/>
        </w:rPr>
        <w:t xml:space="preserve"> se consideró los siguientes ratios:</w:t>
      </w:r>
    </w:p>
    <w:p w14:paraId="50FCC0EB" w14:textId="77777777" w:rsidR="00AC403A" w:rsidRDefault="00AC403A" w:rsidP="00AC403A">
      <w:pPr>
        <w:spacing w:after="120"/>
        <w:rPr>
          <w:lang w:val="es-ES"/>
        </w:rPr>
      </w:pPr>
    </w:p>
    <w:p w14:paraId="6EC132FE" w14:textId="2372C5C8" w:rsidR="006A6EDD" w:rsidRPr="00BC38C2" w:rsidRDefault="006A6EDD" w:rsidP="00C076A4">
      <w:pPr>
        <w:pStyle w:val="Subttulo"/>
        <w:spacing w:after="120"/>
      </w:pPr>
      <w:bookmarkStart w:id="333" w:name="_Toc39797939"/>
      <w:r w:rsidRPr="00BC38C2">
        <w:t xml:space="preserve">Tabla </w:t>
      </w:r>
      <w:fldSimple w:instr=" SEQ Tabla \* ARABIC ">
        <w:r w:rsidR="001F3E2E">
          <w:rPr>
            <w:noProof/>
          </w:rPr>
          <w:t>29</w:t>
        </w:r>
      </w:fldSimple>
      <w:r>
        <w:t>:</w:t>
      </w:r>
      <w:r w:rsidRPr="00BC38C2">
        <w:t xml:space="preserve"> </w:t>
      </w:r>
      <w:r>
        <w:t>área por tipo de empleado en edificio corporativo</w:t>
      </w:r>
      <w:bookmarkEnd w:id="333"/>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firstRow="1" w:lastRow="0" w:firstColumn="1" w:lastColumn="0" w:noHBand="0" w:noVBand="1"/>
      </w:tblPr>
      <w:tblGrid>
        <w:gridCol w:w="2268"/>
        <w:gridCol w:w="1701"/>
      </w:tblGrid>
      <w:tr w:rsidR="0079428C" w:rsidRPr="00AC403A" w14:paraId="55DF6195" w14:textId="77777777" w:rsidTr="00862318">
        <w:trPr>
          <w:jc w:val="center"/>
        </w:trPr>
        <w:tc>
          <w:tcPr>
            <w:tcW w:w="2268" w:type="dxa"/>
            <w:shd w:val="clear" w:color="auto" w:fill="D9D9D9" w:themeFill="background1" w:themeFillShade="D9"/>
            <w:noWrap/>
            <w:vAlign w:val="center"/>
            <w:hideMark/>
          </w:tcPr>
          <w:p w14:paraId="45F99CD9" w14:textId="77777777" w:rsidR="0079428C" w:rsidRPr="00AC403A" w:rsidRDefault="0079428C" w:rsidP="00862318">
            <w:pPr>
              <w:spacing w:before="40" w:after="40" w:line="240" w:lineRule="auto"/>
              <w:jc w:val="center"/>
              <w:rPr>
                <w:rFonts w:eastAsia="Times New Roman" w:cs="Calibri"/>
                <w:b/>
                <w:color w:val="000000"/>
                <w:sz w:val="20"/>
                <w:szCs w:val="20"/>
                <w:lang w:val="es-ES" w:eastAsia="es-AR"/>
              </w:rPr>
            </w:pPr>
            <w:r w:rsidRPr="00AC403A">
              <w:rPr>
                <w:rFonts w:eastAsia="Times New Roman" w:cs="Calibri"/>
                <w:b/>
                <w:color w:val="000000"/>
                <w:sz w:val="20"/>
                <w:szCs w:val="20"/>
                <w:lang w:val="es-ES" w:eastAsia="es-AR"/>
              </w:rPr>
              <w:t>Nivel</w:t>
            </w:r>
          </w:p>
        </w:tc>
        <w:tc>
          <w:tcPr>
            <w:tcW w:w="1701" w:type="dxa"/>
            <w:shd w:val="clear" w:color="auto" w:fill="D9D9D9" w:themeFill="background1" w:themeFillShade="D9"/>
            <w:noWrap/>
            <w:vAlign w:val="center"/>
            <w:hideMark/>
          </w:tcPr>
          <w:p w14:paraId="140318E9" w14:textId="77777777" w:rsidR="0079428C" w:rsidRPr="00AC403A" w:rsidRDefault="0079428C" w:rsidP="00862318">
            <w:pPr>
              <w:spacing w:before="40" w:after="40" w:line="240" w:lineRule="auto"/>
              <w:jc w:val="center"/>
              <w:rPr>
                <w:rFonts w:eastAsia="Times New Roman" w:cs="Calibri"/>
                <w:b/>
                <w:color w:val="000000"/>
                <w:sz w:val="20"/>
                <w:szCs w:val="20"/>
                <w:lang w:val="es-ES" w:eastAsia="es-AR"/>
              </w:rPr>
            </w:pPr>
            <w:r w:rsidRPr="00AC403A">
              <w:rPr>
                <w:rFonts w:eastAsia="Times New Roman" w:cs="Calibri"/>
                <w:b/>
                <w:color w:val="000000"/>
                <w:sz w:val="20"/>
                <w:szCs w:val="20"/>
                <w:lang w:val="es-ES" w:eastAsia="es-AR"/>
              </w:rPr>
              <w:t>m</w:t>
            </w:r>
            <w:r w:rsidRPr="00AC403A">
              <w:rPr>
                <w:rFonts w:eastAsia="Times New Roman" w:cs="Calibri"/>
                <w:b/>
                <w:color w:val="000000"/>
                <w:sz w:val="20"/>
                <w:szCs w:val="20"/>
                <w:vertAlign w:val="superscript"/>
                <w:lang w:val="es-ES" w:eastAsia="es-AR"/>
              </w:rPr>
              <w:t>2</w:t>
            </w:r>
            <w:r w:rsidRPr="00AC403A">
              <w:rPr>
                <w:rFonts w:eastAsia="Times New Roman" w:cs="Calibri"/>
                <w:b/>
                <w:color w:val="000000"/>
                <w:sz w:val="20"/>
                <w:szCs w:val="20"/>
                <w:lang w:val="es-ES" w:eastAsia="es-AR"/>
              </w:rPr>
              <w:t>/empleado</w:t>
            </w:r>
          </w:p>
        </w:tc>
      </w:tr>
      <w:tr w:rsidR="0079428C" w:rsidRPr="00AC403A" w14:paraId="66FB1160" w14:textId="77777777" w:rsidTr="00862318">
        <w:trPr>
          <w:jc w:val="center"/>
        </w:trPr>
        <w:tc>
          <w:tcPr>
            <w:tcW w:w="2268" w:type="dxa"/>
            <w:shd w:val="clear" w:color="auto" w:fill="auto"/>
            <w:noWrap/>
            <w:vAlign w:val="center"/>
            <w:hideMark/>
          </w:tcPr>
          <w:p w14:paraId="75AF8125" w14:textId="77777777" w:rsidR="0079428C" w:rsidRPr="00AC403A" w:rsidRDefault="0079428C" w:rsidP="00862318">
            <w:pPr>
              <w:spacing w:before="40" w:after="40" w:line="240" w:lineRule="auto"/>
              <w:jc w:val="left"/>
              <w:rPr>
                <w:rFonts w:eastAsia="Times New Roman" w:cs="Calibri"/>
                <w:color w:val="000000"/>
                <w:sz w:val="20"/>
                <w:szCs w:val="20"/>
                <w:lang w:val="es-ES" w:eastAsia="es-AR"/>
              </w:rPr>
            </w:pPr>
            <w:r w:rsidRPr="00AC403A">
              <w:rPr>
                <w:rFonts w:eastAsia="Times New Roman" w:cs="Calibri"/>
                <w:color w:val="000000"/>
                <w:sz w:val="20"/>
                <w:szCs w:val="20"/>
                <w:lang w:val="es-ES" w:eastAsia="es-AR"/>
              </w:rPr>
              <w:t>Gerentes</w:t>
            </w:r>
          </w:p>
        </w:tc>
        <w:tc>
          <w:tcPr>
            <w:tcW w:w="1701" w:type="dxa"/>
            <w:shd w:val="clear" w:color="auto" w:fill="auto"/>
            <w:noWrap/>
            <w:vAlign w:val="center"/>
            <w:hideMark/>
          </w:tcPr>
          <w:p w14:paraId="68FA577C" w14:textId="77777777" w:rsidR="0079428C" w:rsidRPr="00AC403A" w:rsidRDefault="0079428C" w:rsidP="00862318">
            <w:pPr>
              <w:spacing w:before="40" w:after="40" w:line="240" w:lineRule="auto"/>
              <w:jc w:val="center"/>
              <w:rPr>
                <w:rFonts w:eastAsia="Times New Roman" w:cs="Calibri"/>
                <w:color w:val="000000"/>
                <w:sz w:val="20"/>
                <w:szCs w:val="20"/>
                <w:lang w:val="es-ES" w:eastAsia="es-AR"/>
              </w:rPr>
            </w:pPr>
            <w:r w:rsidRPr="00AC403A">
              <w:rPr>
                <w:rFonts w:eastAsia="Times New Roman" w:cs="Calibri"/>
                <w:color w:val="000000"/>
                <w:sz w:val="20"/>
                <w:szCs w:val="20"/>
                <w:lang w:val="es-ES" w:eastAsia="es-AR"/>
              </w:rPr>
              <w:t>30</w:t>
            </w:r>
          </w:p>
        </w:tc>
      </w:tr>
      <w:tr w:rsidR="0079428C" w:rsidRPr="00AC403A" w14:paraId="0CB61950" w14:textId="77777777" w:rsidTr="00862318">
        <w:trPr>
          <w:jc w:val="center"/>
        </w:trPr>
        <w:tc>
          <w:tcPr>
            <w:tcW w:w="2268" w:type="dxa"/>
            <w:shd w:val="clear" w:color="auto" w:fill="auto"/>
            <w:noWrap/>
            <w:vAlign w:val="center"/>
            <w:hideMark/>
          </w:tcPr>
          <w:p w14:paraId="48D68E34" w14:textId="77777777" w:rsidR="0079428C" w:rsidRPr="00AC403A" w:rsidRDefault="0079428C" w:rsidP="00862318">
            <w:pPr>
              <w:spacing w:before="40" w:after="40" w:line="240" w:lineRule="auto"/>
              <w:jc w:val="left"/>
              <w:rPr>
                <w:rFonts w:eastAsia="Times New Roman" w:cs="Calibri"/>
                <w:color w:val="000000"/>
                <w:sz w:val="20"/>
                <w:szCs w:val="20"/>
                <w:lang w:val="es-ES" w:eastAsia="es-AR"/>
              </w:rPr>
            </w:pPr>
            <w:r w:rsidRPr="00AC403A">
              <w:rPr>
                <w:rFonts w:eastAsia="Times New Roman" w:cs="Calibri"/>
                <w:color w:val="000000"/>
                <w:sz w:val="20"/>
                <w:szCs w:val="20"/>
                <w:lang w:val="es-ES" w:eastAsia="es-AR"/>
              </w:rPr>
              <w:t>Subgerentes</w:t>
            </w:r>
          </w:p>
        </w:tc>
        <w:tc>
          <w:tcPr>
            <w:tcW w:w="1701" w:type="dxa"/>
            <w:shd w:val="clear" w:color="auto" w:fill="auto"/>
            <w:noWrap/>
            <w:vAlign w:val="center"/>
            <w:hideMark/>
          </w:tcPr>
          <w:p w14:paraId="6A1A442B" w14:textId="77777777" w:rsidR="0079428C" w:rsidRPr="00AC403A" w:rsidRDefault="0079428C" w:rsidP="00862318">
            <w:pPr>
              <w:spacing w:before="40" w:after="40" w:line="240" w:lineRule="auto"/>
              <w:jc w:val="center"/>
              <w:rPr>
                <w:rFonts w:eastAsia="Times New Roman" w:cs="Calibri"/>
                <w:color w:val="000000"/>
                <w:sz w:val="20"/>
                <w:szCs w:val="20"/>
                <w:lang w:val="es-ES" w:eastAsia="es-AR"/>
              </w:rPr>
            </w:pPr>
            <w:r w:rsidRPr="00AC403A">
              <w:rPr>
                <w:rFonts w:eastAsia="Times New Roman" w:cs="Calibri"/>
                <w:color w:val="000000"/>
                <w:sz w:val="20"/>
                <w:szCs w:val="20"/>
                <w:lang w:val="es-ES" w:eastAsia="es-AR"/>
              </w:rPr>
              <w:t>25</w:t>
            </w:r>
          </w:p>
        </w:tc>
      </w:tr>
      <w:tr w:rsidR="0079428C" w:rsidRPr="00AC403A" w14:paraId="4D697EDC" w14:textId="77777777" w:rsidTr="00862318">
        <w:trPr>
          <w:jc w:val="center"/>
        </w:trPr>
        <w:tc>
          <w:tcPr>
            <w:tcW w:w="2268" w:type="dxa"/>
            <w:shd w:val="clear" w:color="auto" w:fill="auto"/>
            <w:noWrap/>
            <w:vAlign w:val="center"/>
            <w:hideMark/>
          </w:tcPr>
          <w:p w14:paraId="40F5D6EC" w14:textId="77777777" w:rsidR="0079428C" w:rsidRPr="00AC403A" w:rsidRDefault="0079428C" w:rsidP="00862318">
            <w:pPr>
              <w:spacing w:before="40" w:after="40" w:line="240" w:lineRule="auto"/>
              <w:jc w:val="left"/>
              <w:rPr>
                <w:rFonts w:eastAsia="Times New Roman" w:cs="Calibri"/>
                <w:color w:val="000000"/>
                <w:sz w:val="20"/>
                <w:szCs w:val="20"/>
                <w:lang w:val="es-ES" w:eastAsia="es-AR"/>
              </w:rPr>
            </w:pPr>
            <w:r w:rsidRPr="00AC403A">
              <w:rPr>
                <w:rFonts w:eastAsia="Times New Roman" w:cs="Calibri"/>
                <w:color w:val="000000"/>
                <w:sz w:val="20"/>
                <w:szCs w:val="20"/>
                <w:lang w:val="es-ES" w:eastAsia="es-AR"/>
              </w:rPr>
              <w:t>Jefes y empleados</w:t>
            </w:r>
          </w:p>
        </w:tc>
        <w:tc>
          <w:tcPr>
            <w:tcW w:w="1701" w:type="dxa"/>
            <w:shd w:val="clear" w:color="auto" w:fill="auto"/>
            <w:noWrap/>
            <w:vAlign w:val="center"/>
            <w:hideMark/>
          </w:tcPr>
          <w:p w14:paraId="3242F2CD" w14:textId="77777777" w:rsidR="0079428C" w:rsidRPr="00AC403A" w:rsidRDefault="0079428C" w:rsidP="00862318">
            <w:pPr>
              <w:spacing w:before="40" w:after="40" w:line="240" w:lineRule="auto"/>
              <w:jc w:val="center"/>
              <w:rPr>
                <w:rFonts w:eastAsia="Times New Roman" w:cs="Calibri"/>
                <w:color w:val="000000"/>
                <w:sz w:val="20"/>
                <w:szCs w:val="20"/>
                <w:lang w:val="es-ES" w:eastAsia="es-AR"/>
              </w:rPr>
            </w:pPr>
            <w:r w:rsidRPr="00AC403A">
              <w:rPr>
                <w:rFonts w:eastAsia="Times New Roman" w:cs="Calibri"/>
                <w:color w:val="000000"/>
                <w:sz w:val="20"/>
                <w:szCs w:val="20"/>
                <w:lang w:val="es-ES" w:eastAsia="es-AR"/>
              </w:rPr>
              <w:t>15</w:t>
            </w:r>
          </w:p>
        </w:tc>
      </w:tr>
    </w:tbl>
    <w:p w14:paraId="63349656" w14:textId="77777777" w:rsidR="0079428C" w:rsidRPr="00B06D23" w:rsidRDefault="0079428C" w:rsidP="00C076A4">
      <w:pPr>
        <w:spacing w:after="0"/>
        <w:rPr>
          <w:lang w:val="es-ES"/>
        </w:rPr>
      </w:pPr>
    </w:p>
    <w:p w14:paraId="737847F7" w14:textId="5D5678F9" w:rsidR="0079428C" w:rsidRPr="00B06D23" w:rsidRDefault="0079428C" w:rsidP="0079428C">
      <w:pPr>
        <w:rPr>
          <w:lang w:val="es-ES"/>
        </w:rPr>
      </w:pPr>
      <w:r w:rsidRPr="00B06D23">
        <w:rPr>
          <w:lang w:val="es-ES"/>
        </w:rPr>
        <w:t>En función de la dispersión territorial de los activos y los centros operativos se determinó la cantidad y m</w:t>
      </w:r>
      <w:r w:rsidRPr="00561D57">
        <w:rPr>
          <w:vertAlign w:val="superscript"/>
          <w:lang w:val="es-ES"/>
        </w:rPr>
        <w:t>2</w:t>
      </w:r>
      <w:r w:rsidRPr="00B06D23">
        <w:rPr>
          <w:lang w:val="es-ES"/>
        </w:rPr>
        <w:t xml:space="preserve"> requeridos de bodegas para la operación y mantenimiento de la empresa.</w:t>
      </w:r>
    </w:p>
    <w:p w14:paraId="686DD00E" w14:textId="72C61FE3" w:rsidR="0079428C" w:rsidRPr="00C95AB8" w:rsidRDefault="0079428C" w:rsidP="0079428C">
      <w:pPr>
        <w:rPr>
          <w:lang w:val="es-ES"/>
        </w:rPr>
      </w:pPr>
      <w:r w:rsidRPr="00C95AB8">
        <w:rPr>
          <w:lang w:val="es-ES"/>
        </w:rPr>
        <w:t>S</w:t>
      </w:r>
      <w:r w:rsidR="0075679E" w:rsidRPr="00C95AB8">
        <w:rPr>
          <w:lang w:val="es-ES"/>
        </w:rPr>
        <w:t xml:space="preserve">e clasificaron las </w:t>
      </w:r>
      <w:r w:rsidR="005A2E09" w:rsidRPr="00C95AB8">
        <w:rPr>
          <w:lang w:val="es-ES"/>
        </w:rPr>
        <w:t>estaciones acorde</w:t>
      </w:r>
      <w:r w:rsidR="0075679E" w:rsidRPr="00C95AB8">
        <w:rPr>
          <w:lang w:val="es-ES"/>
        </w:rPr>
        <w:t xml:space="preserve"> a</w:t>
      </w:r>
      <w:r w:rsidRPr="00C95AB8">
        <w:rPr>
          <w:lang w:val="es-ES"/>
        </w:rPr>
        <w:t xml:space="preserve"> su tamaño (en función de la cantidad de equipamiento</w:t>
      </w:r>
      <w:r w:rsidR="00C92A2F" w:rsidRPr="00C95AB8">
        <w:rPr>
          <w:lang w:val="es-ES"/>
        </w:rPr>
        <w:t xml:space="preserve"> y </w:t>
      </w:r>
      <w:r w:rsidR="005A2E09" w:rsidRPr="00C95AB8">
        <w:rPr>
          <w:lang w:val="es-ES"/>
        </w:rPr>
        <w:t>superficie) en</w:t>
      </w:r>
      <w:r w:rsidRPr="00C95AB8">
        <w:rPr>
          <w:lang w:val="es-ES"/>
        </w:rPr>
        <w:t xml:space="preserve"> muy grandes, grandes, medianas, pequeñas y muy pequeñas.</w:t>
      </w:r>
    </w:p>
    <w:p w14:paraId="57D396B4" w14:textId="1F3464B6" w:rsidR="0079428C" w:rsidRPr="00C95AB8" w:rsidRDefault="0079428C" w:rsidP="0079428C">
      <w:pPr>
        <w:rPr>
          <w:lang w:val="es-ES"/>
        </w:rPr>
      </w:pPr>
      <w:r w:rsidRPr="00C95AB8">
        <w:rPr>
          <w:lang w:val="es-ES"/>
        </w:rPr>
        <w:t>Se definió la cantidad de m</w:t>
      </w:r>
      <w:r w:rsidRPr="00561D57">
        <w:rPr>
          <w:vertAlign w:val="superscript"/>
          <w:lang w:val="es-ES"/>
        </w:rPr>
        <w:t>2</w:t>
      </w:r>
      <w:r w:rsidRPr="00C95AB8">
        <w:rPr>
          <w:lang w:val="es-ES"/>
        </w:rPr>
        <w:t xml:space="preserve"> de espacio de almacenamiento requerido para cada tamaño de subestación. Los m</w:t>
      </w:r>
      <w:r w:rsidRPr="00561D57">
        <w:rPr>
          <w:vertAlign w:val="superscript"/>
          <w:lang w:val="es-ES"/>
        </w:rPr>
        <w:t>2</w:t>
      </w:r>
      <w:r w:rsidRPr="00C95AB8">
        <w:rPr>
          <w:lang w:val="es-ES"/>
        </w:rPr>
        <w:t xml:space="preserve"> incluyen los </w:t>
      </w:r>
      <w:r w:rsidR="00D409FA" w:rsidRPr="00C95AB8">
        <w:rPr>
          <w:lang w:val="es-ES"/>
        </w:rPr>
        <w:t>depósitos</w:t>
      </w:r>
      <w:r w:rsidRPr="00C95AB8">
        <w:rPr>
          <w:lang w:val="es-ES"/>
        </w:rPr>
        <w:t xml:space="preserve"> para sustancias peligrosas, y lugar donde se acopian los materiales y desechos destinados a enajenación y disposición.</w:t>
      </w:r>
    </w:p>
    <w:p w14:paraId="6B496DA0" w14:textId="2BB1A262" w:rsidR="0079428C" w:rsidRPr="00C95AB8" w:rsidRDefault="0079428C" w:rsidP="0079428C">
      <w:pPr>
        <w:rPr>
          <w:lang w:val="es-ES"/>
        </w:rPr>
      </w:pPr>
      <w:r w:rsidRPr="00C95AB8">
        <w:rPr>
          <w:lang w:val="es-ES"/>
        </w:rPr>
        <w:t>Sobre la base de los m</w:t>
      </w:r>
      <w:r w:rsidRPr="00561D57">
        <w:rPr>
          <w:vertAlign w:val="superscript"/>
          <w:lang w:val="es-ES"/>
        </w:rPr>
        <w:t>2</w:t>
      </w:r>
      <w:r w:rsidR="00C92A2F" w:rsidRPr="00C95AB8">
        <w:rPr>
          <w:lang w:val="es-ES"/>
        </w:rPr>
        <w:t xml:space="preserve"> requeridos de bodega</w:t>
      </w:r>
      <w:r w:rsidRPr="00C95AB8">
        <w:rPr>
          <w:lang w:val="es-ES"/>
        </w:rPr>
        <w:t xml:space="preserve"> por subestación, y la cantidad de estaciones por tamaño de cada regional se estimó la cantidad total de m</w:t>
      </w:r>
      <w:r w:rsidRPr="00561D57">
        <w:rPr>
          <w:vertAlign w:val="superscript"/>
          <w:lang w:val="es-ES"/>
        </w:rPr>
        <w:t>2</w:t>
      </w:r>
      <w:r w:rsidRPr="00C95AB8">
        <w:rPr>
          <w:lang w:val="es-ES"/>
        </w:rPr>
        <w:t xml:space="preserve"> de bodegas para cada regional.</w:t>
      </w:r>
    </w:p>
    <w:p w14:paraId="7AFF8516" w14:textId="650FAEA7" w:rsidR="0079428C" w:rsidRPr="00B06D23" w:rsidRDefault="0079428C" w:rsidP="0079428C">
      <w:pPr>
        <w:rPr>
          <w:lang w:val="es-ES"/>
        </w:rPr>
      </w:pPr>
      <w:r w:rsidRPr="00C95AB8">
        <w:rPr>
          <w:lang w:val="es-ES"/>
        </w:rPr>
        <w:t xml:space="preserve">Para las </w:t>
      </w:r>
      <w:r w:rsidR="0075679E" w:rsidRPr="00C95AB8">
        <w:rPr>
          <w:lang w:val="es-ES"/>
        </w:rPr>
        <w:t>unidades regionales que cuentan con</w:t>
      </w:r>
      <w:r w:rsidRPr="00C95AB8">
        <w:rPr>
          <w:lang w:val="es-ES"/>
        </w:rPr>
        <w:t xml:space="preserve"> más de una sede s</w:t>
      </w:r>
      <w:r w:rsidR="00AA0711" w:rsidRPr="00C95AB8">
        <w:rPr>
          <w:lang w:val="es-ES"/>
        </w:rPr>
        <w:t xml:space="preserve">e </w:t>
      </w:r>
      <w:r w:rsidR="00D409FA" w:rsidRPr="00C95AB8">
        <w:rPr>
          <w:lang w:val="es-ES"/>
        </w:rPr>
        <w:t>repartió</w:t>
      </w:r>
      <w:r w:rsidR="00AA0711" w:rsidRPr="00C95AB8">
        <w:rPr>
          <w:lang w:val="es-ES"/>
        </w:rPr>
        <w:t xml:space="preserve"> los m</w:t>
      </w:r>
      <w:r w:rsidR="00AA0711" w:rsidRPr="00561D57">
        <w:rPr>
          <w:vertAlign w:val="superscript"/>
          <w:lang w:val="es-ES"/>
        </w:rPr>
        <w:t>2</w:t>
      </w:r>
      <w:r w:rsidR="00AA0711" w:rsidRPr="00C95AB8">
        <w:rPr>
          <w:lang w:val="es-ES"/>
        </w:rPr>
        <w:t xml:space="preserve"> de bodegas requerido entre la cantidad de sedes de la regional.</w:t>
      </w:r>
    </w:p>
    <w:p w14:paraId="37A1A7D6" w14:textId="23C5A69E" w:rsidR="0079428C" w:rsidRDefault="0079428C" w:rsidP="0079428C">
      <w:pPr>
        <w:rPr>
          <w:lang w:val="es-ES"/>
        </w:rPr>
      </w:pPr>
      <w:r w:rsidRPr="00B06D23">
        <w:rPr>
          <w:lang w:val="es-ES"/>
        </w:rPr>
        <w:t>Como resultado de lo señalado surgió la siguiente cantidad de m</w:t>
      </w:r>
      <w:r w:rsidRPr="006A6EDD">
        <w:rPr>
          <w:vertAlign w:val="superscript"/>
          <w:lang w:val="es-ES"/>
        </w:rPr>
        <w:t>2</w:t>
      </w:r>
      <w:r w:rsidRPr="00B06D23">
        <w:rPr>
          <w:lang w:val="es-ES"/>
        </w:rPr>
        <w:t xml:space="preserve"> por bodega:</w:t>
      </w:r>
    </w:p>
    <w:p w14:paraId="1FD582D8" w14:textId="0BE91E8A" w:rsidR="006A6EDD" w:rsidRPr="00BC38C2" w:rsidRDefault="006A6EDD" w:rsidP="00AC403A">
      <w:pPr>
        <w:pStyle w:val="Subttulo"/>
      </w:pPr>
      <w:bookmarkStart w:id="334" w:name="_Toc39797940"/>
      <w:r w:rsidRPr="00BC38C2">
        <w:t xml:space="preserve">Tabla </w:t>
      </w:r>
      <w:fldSimple w:instr=" SEQ Tabla \* ARABIC ">
        <w:r w:rsidR="001F3E2E">
          <w:rPr>
            <w:noProof/>
          </w:rPr>
          <w:t>30</w:t>
        </w:r>
      </w:fldSimple>
      <w:r>
        <w:t>:</w:t>
      </w:r>
      <w:r w:rsidRPr="00BC38C2">
        <w:t xml:space="preserve"> </w:t>
      </w:r>
      <w:r>
        <w:t>área por bodega</w:t>
      </w:r>
      <w:bookmarkEnd w:id="334"/>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firstRow="1" w:lastRow="0" w:firstColumn="1" w:lastColumn="0" w:noHBand="0" w:noVBand="1"/>
      </w:tblPr>
      <w:tblGrid>
        <w:gridCol w:w="1985"/>
        <w:gridCol w:w="1985"/>
        <w:gridCol w:w="1985"/>
      </w:tblGrid>
      <w:tr w:rsidR="0079428C" w:rsidRPr="00C076A4" w14:paraId="3148891F" w14:textId="77777777" w:rsidTr="00C076A4">
        <w:trPr>
          <w:jc w:val="center"/>
        </w:trPr>
        <w:tc>
          <w:tcPr>
            <w:tcW w:w="1985" w:type="dxa"/>
            <w:shd w:val="clear" w:color="auto" w:fill="D9D9D9" w:themeFill="background1" w:themeFillShade="D9"/>
            <w:noWrap/>
            <w:vAlign w:val="center"/>
            <w:hideMark/>
          </w:tcPr>
          <w:p w14:paraId="4FB0868C" w14:textId="77777777" w:rsidR="0079428C" w:rsidRPr="00C076A4" w:rsidRDefault="0079428C" w:rsidP="00C076A4">
            <w:pPr>
              <w:spacing w:before="20" w:after="20" w:line="240" w:lineRule="auto"/>
              <w:jc w:val="center"/>
              <w:rPr>
                <w:rFonts w:eastAsia="Times New Roman" w:cstheme="minorHAnsi"/>
                <w:b/>
                <w:bCs/>
                <w:sz w:val="22"/>
                <w:szCs w:val="22"/>
                <w:lang w:val="es-ES" w:eastAsia="es-AR"/>
              </w:rPr>
            </w:pPr>
            <w:r w:rsidRPr="00C076A4">
              <w:rPr>
                <w:rFonts w:eastAsia="Times New Roman" w:cstheme="minorHAnsi"/>
                <w:b/>
                <w:bCs/>
                <w:sz w:val="22"/>
                <w:szCs w:val="22"/>
                <w:lang w:val="es-ES" w:eastAsia="es-AR"/>
              </w:rPr>
              <w:t>Bodega</w:t>
            </w:r>
          </w:p>
        </w:tc>
        <w:tc>
          <w:tcPr>
            <w:tcW w:w="1985" w:type="dxa"/>
            <w:shd w:val="clear" w:color="auto" w:fill="D9D9D9" w:themeFill="background1" w:themeFillShade="D9"/>
            <w:noWrap/>
            <w:vAlign w:val="center"/>
            <w:hideMark/>
          </w:tcPr>
          <w:p w14:paraId="42267F7A" w14:textId="77777777" w:rsidR="0079428C" w:rsidRPr="00C076A4" w:rsidRDefault="0079428C" w:rsidP="00C076A4">
            <w:pPr>
              <w:spacing w:before="20" w:after="20" w:line="240" w:lineRule="auto"/>
              <w:jc w:val="center"/>
              <w:rPr>
                <w:rFonts w:eastAsia="Times New Roman" w:cstheme="minorHAnsi"/>
                <w:b/>
                <w:bCs/>
                <w:sz w:val="22"/>
                <w:szCs w:val="22"/>
                <w:lang w:val="es-ES" w:eastAsia="es-AR"/>
              </w:rPr>
            </w:pPr>
            <w:r w:rsidRPr="00C076A4">
              <w:rPr>
                <w:rFonts w:eastAsia="Times New Roman" w:cstheme="minorHAnsi"/>
                <w:b/>
                <w:bCs/>
                <w:sz w:val="22"/>
                <w:szCs w:val="22"/>
                <w:lang w:val="es-ES" w:eastAsia="es-AR"/>
              </w:rPr>
              <w:t>regional</w:t>
            </w:r>
          </w:p>
        </w:tc>
        <w:tc>
          <w:tcPr>
            <w:tcW w:w="1985" w:type="dxa"/>
            <w:shd w:val="clear" w:color="auto" w:fill="D9D9D9" w:themeFill="background1" w:themeFillShade="D9"/>
            <w:noWrap/>
            <w:vAlign w:val="center"/>
            <w:hideMark/>
          </w:tcPr>
          <w:p w14:paraId="59F54442" w14:textId="77777777" w:rsidR="0079428C" w:rsidRPr="00C076A4" w:rsidRDefault="0079428C" w:rsidP="00C076A4">
            <w:pPr>
              <w:spacing w:before="20" w:after="20" w:line="240" w:lineRule="auto"/>
              <w:jc w:val="center"/>
              <w:rPr>
                <w:rFonts w:eastAsia="Times New Roman" w:cstheme="minorHAnsi"/>
                <w:b/>
                <w:bCs/>
                <w:sz w:val="22"/>
                <w:szCs w:val="22"/>
                <w:lang w:val="es-ES" w:eastAsia="es-AR"/>
              </w:rPr>
            </w:pPr>
            <w:r w:rsidRPr="00C076A4">
              <w:rPr>
                <w:rFonts w:eastAsia="Times New Roman" w:cstheme="minorHAnsi"/>
                <w:b/>
                <w:bCs/>
                <w:sz w:val="22"/>
                <w:szCs w:val="22"/>
                <w:lang w:val="es-ES" w:eastAsia="es-AR"/>
              </w:rPr>
              <w:t>m</w:t>
            </w:r>
            <w:r w:rsidRPr="00C076A4">
              <w:rPr>
                <w:rFonts w:eastAsia="Times New Roman" w:cstheme="minorHAnsi"/>
                <w:b/>
                <w:bCs/>
                <w:sz w:val="22"/>
                <w:szCs w:val="22"/>
                <w:vertAlign w:val="superscript"/>
                <w:lang w:val="es-ES" w:eastAsia="es-AR"/>
              </w:rPr>
              <w:t>2</w:t>
            </w:r>
            <w:r w:rsidRPr="00C076A4">
              <w:rPr>
                <w:rFonts w:eastAsia="Times New Roman" w:cstheme="minorHAnsi"/>
                <w:b/>
                <w:bCs/>
                <w:sz w:val="22"/>
                <w:szCs w:val="22"/>
                <w:lang w:val="es-ES" w:eastAsia="es-AR"/>
              </w:rPr>
              <w:t xml:space="preserve"> x bodega</w:t>
            </w:r>
          </w:p>
        </w:tc>
      </w:tr>
      <w:tr w:rsidR="001020BE" w:rsidRPr="00C076A4" w14:paraId="4A49F529" w14:textId="77777777" w:rsidTr="00C076A4">
        <w:trPr>
          <w:jc w:val="center"/>
        </w:trPr>
        <w:tc>
          <w:tcPr>
            <w:tcW w:w="1985" w:type="dxa"/>
            <w:shd w:val="clear" w:color="auto" w:fill="auto"/>
            <w:noWrap/>
            <w:vAlign w:val="center"/>
            <w:hideMark/>
          </w:tcPr>
          <w:p w14:paraId="46C12861" w14:textId="77777777" w:rsidR="001020BE" w:rsidRPr="00C076A4" w:rsidRDefault="001020BE" w:rsidP="00C076A4">
            <w:pPr>
              <w:spacing w:before="20" w:after="20" w:line="240" w:lineRule="auto"/>
              <w:jc w:val="left"/>
              <w:rPr>
                <w:rFonts w:eastAsia="Times New Roman" w:cstheme="minorHAnsi"/>
                <w:sz w:val="22"/>
                <w:szCs w:val="22"/>
                <w:lang w:val="es-ES" w:eastAsia="es-AR"/>
              </w:rPr>
            </w:pPr>
            <w:r w:rsidRPr="00C076A4">
              <w:rPr>
                <w:rFonts w:eastAsia="Times New Roman" w:cstheme="minorHAnsi"/>
                <w:sz w:val="22"/>
                <w:szCs w:val="22"/>
                <w:lang w:val="es-ES" w:eastAsia="es-AR"/>
              </w:rPr>
              <w:t>Antofagasta</w:t>
            </w:r>
          </w:p>
        </w:tc>
        <w:tc>
          <w:tcPr>
            <w:tcW w:w="1985" w:type="dxa"/>
            <w:shd w:val="clear" w:color="auto" w:fill="auto"/>
            <w:noWrap/>
            <w:vAlign w:val="center"/>
            <w:hideMark/>
          </w:tcPr>
          <w:p w14:paraId="7B36DAF7" w14:textId="77777777" w:rsidR="001020BE" w:rsidRPr="00C076A4" w:rsidRDefault="001020BE" w:rsidP="00C076A4">
            <w:pPr>
              <w:spacing w:before="20" w:after="20" w:line="240" w:lineRule="auto"/>
              <w:jc w:val="left"/>
              <w:rPr>
                <w:rFonts w:eastAsia="Times New Roman" w:cstheme="minorHAnsi"/>
                <w:sz w:val="22"/>
                <w:szCs w:val="22"/>
                <w:lang w:val="es-ES" w:eastAsia="es-AR"/>
              </w:rPr>
            </w:pPr>
            <w:r w:rsidRPr="00C076A4">
              <w:rPr>
                <w:rFonts w:eastAsia="Times New Roman" w:cstheme="minorHAnsi"/>
                <w:sz w:val="22"/>
                <w:szCs w:val="22"/>
                <w:lang w:val="es-ES" w:eastAsia="es-AR"/>
              </w:rPr>
              <w:t>Norte</w:t>
            </w:r>
          </w:p>
        </w:tc>
        <w:tc>
          <w:tcPr>
            <w:tcW w:w="1985" w:type="dxa"/>
            <w:shd w:val="clear" w:color="auto" w:fill="auto"/>
            <w:noWrap/>
            <w:vAlign w:val="center"/>
            <w:hideMark/>
          </w:tcPr>
          <w:p w14:paraId="027B2BBF" w14:textId="7AD8714E" w:rsidR="001020BE" w:rsidRPr="00C076A4" w:rsidRDefault="001020BE" w:rsidP="00C076A4">
            <w:pPr>
              <w:spacing w:before="20" w:after="20" w:line="240" w:lineRule="auto"/>
              <w:ind w:right="227"/>
              <w:jc w:val="right"/>
              <w:rPr>
                <w:rFonts w:eastAsia="Times New Roman" w:cstheme="minorHAnsi"/>
                <w:sz w:val="22"/>
                <w:szCs w:val="22"/>
                <w:lang w:val="es-ES" w:eastAsia="es-AR"/>
              </w:rPr>
            </w:pPr>
            <w:r w:rsidRPr="00C076A4">
              <w:rPr>
                <w:sz w:val="22"/>
                <w:szCs w:val="22"/>
              </w:rPr>
              <w:t xml:space="preserve"> 1.205 </w:t>
            </w:r>
          </w:p>
        </w:tc>
      </w:tr>
      <w:tr w:rsidR="001020BE" w:rsidRPr="00C076A4" w14:paraId="4B38AFDE" w14:textId="77777777" w:rsidTr="00C076A4">
        <w:trPr>
          <w:jc w:val="center"/>
        </w:trPr>
        <w:tc>
          <w:tcPr>
            <w:tcW w:w="1985" w:type="dxa"/>
            <w:shd w:val="clear" w:color="auto" w:fill="auto"/>
            <w:noWrap/>
            <w:vAlign w:val="center"/>
            <w:hideMark/>
          </w:tcPr>
          <w:p w14:paraId="124EF746" w14:textId="77777777" w:rsidR="001020BE" w:rsidRPr="00C076A4" w:rsidRDefault="001020BE" w:rsidP="00C076A4">
            <w:pPr>
              <w:spacing w:before="20" w:after="20" w:line="240" w:lineRule="auto"/>
              <w:jc w:val="left"/>
              <w:rPr>
                <w:rFonts w:eastAsia="Times New Roman" w:cstheme="minorHAnsi"/>
                <w:sz w:val="22"/>
                <w:szCs w:val="22"/>
                <w:lang w:val="es-ES" w:eastAsia="es-AR"/>
              </w:rPr>
            </w:pPr>
            <w:r w:rsidRPr="00C076A4">
              <w:rPr>
                <w:rFonts w:eastAsia="Times New Roman" w:cstheme="minorHAnsi"/>
                <w:sz w:val="22"/>
                <w:szCs w:val="22"/>
                <w:lang w:val="es-ES" w:eastAsia="es-AR"/>
              </w:rPr>
              <w:t>Coquimbo</w:t>
            </w:r>
          </w:p>
        </w:tc>
        <w:tc>
          <w:tcPr>
            <w:tcW w:w="1985" w:type="dxa"/>
            <w:shd w:val="clear" w:color="auto" w:fill="auto"/>
            <w:noWrap/>
            <w:vAlign w:val="center"/>
            <w:hideMark/>
          </w:tcPr>
          <w:p w14:paraId="7A70E695" w14:textId="77777777" w:rsidR="001020BE" w:rsidRPr="00C076A4" w:rsidRDefault="001020BE" w:rsidP="00C076A4">
            <w:pPr>
              <w:spacing w:before="20" w:after="20" w:line="240" w:lineRule="auto"/>
              <w:jc w:val="left"/>
              <w:rPr>
                <w:rFonts w:eastAsia="Times New Roman" w:cstheme="minorHAnsi"/>
                <w:sz w:val="22"/>
                <w:szCs w:val="22"/>
                <w:lang w:val="es-ES" w:eastAsia="es-AR"/>
              </w:rPr>
            </w:pPr>
            <w:r w:rsidRPr="00C076A4">
              <w:rPr>
                <w:rFonts w:eastAsia="Times New Roman" w:cstheme="minorHAnsi"/>
                <w:sz w:val="22"/>
                <w:szCs w:val="22"/>
                <w:lang w:val="es-ES" w:eastAsia="es-AR"/>
              </w:rPr>
              <w:t>Norte</w:t>
            </w:r>
          </w:p>
        </w:tc>
        <w:tc>
          <w:tcPr>
            <w:tcW w:w="1985" w:type="dxa"/>
            <w:shd w:val="clear" w:color="auto" w:fill="auto"/>
            <w:noWrap/>
            <w:vAlign w:val="center"/>
            <w:hideMark/>
          </w:tcPr>
          <w:p w14:paraId="584ADE22" w14:textId="2AF07062" w:rsidR="001020BE" w:rsidRPr="00C076A4" w:rsidRDefault="001020BE" w:rsidP="00C076A4">
            <w:pPr>
              <w:spacing w:before="20" w:after="20" w:line="240" w:lineRule="auto"/>
              <w:ind w:right="227"/>
              <w:jc w:val="right"/>
              <w:rPr>
                <w:rFonts w:eastAsia="Times New Roman" w:cstheme="minorHAnsi"/>
                <w:sz w:val="22"/>
                <w:szCs w:val="22"/>
                <w:lang w:val="es-ES" w:eastAsia="es-AR"/>
              </w:rPr>
            </w:pPr>
            <w:r w:rsidRPr="00C076A4">
              <w:rPr>
                <w:sz w:val="22"/>
                <w:szCs w:val="22"/>
              </w:rPr>
              <w:t xml:space="preserve"> 1.205 </w:t>
            </w:r>
          </w:p>
        </w:tc>
      </w:tr>
      <w:tr w:rsidR="001020BE" w:rsidRPr="00C076A4" w14:paraId="33EE1E4E" w14:textId="77777777" w:rsidTr="00C076A4">
        <w:trPr>
          <w:jc w:val="center"/>
        </w:trPr>
        <w:tc>
          <w:tcPr>
            <w:tcW w:w="1985" w:type="dxa"/>
            <w:shd w:val="clear" w:color="auto" w:fill="auto"/>
            <w:noWrap/>
            <w:vAlign w:val="center"/>
            <w:hideMark/>
          </w:tcPr>
          <w:p w14:paraId="58BFB89B" w14:textId="77777777" w:rsidR="001020BE" w:rsidRPr="00C076A4" w:rsidRDefault="001020BE" w:rsidP="00C076A4">
            <w:pPr>
              <w:spacing w:before="20" w:after="20" w:line="240" w:lineRule="auto"/>
              <w:jc w:val="left"/>
              <w:rPr>
                <w:rFonts w:eastAsia="Times New Roman" w:cstheme="minorHAnsi"/>
                <w:sz w:val="22"/>
                <w:szCs w:val="22"/>
                <w:lang w:val="es-ES" w:eastAsia="es-AR"/>
              </w:rPr>
            </w:pPr>
            <w:r w:rsidRPr="00C076A4">
              <w:rPr>
                <w:rFonts w:eastAsia="Times New Roman" w:cstheme="minorHAnsi"/>
                <w:sz w:val="22"/>
                <w:szCs w:val="22"/>
                <w:lang w:val="es-ES" w:eastAsia="es-AR"/>
              </w:rPr>
              <w:lastRenderedPageBreak/>
              <w:t>Metropolitana</w:t>
            </w:r>
          </w:p>
        </w:tc>
        <w:tc>
          <w:tcPr>
            <w:tcW w:w="1985" w:type="dxa"/>
            <w:shd w:val="clear" w:color="auto" w:fill="auto"/>
            <w:noWrap/>
            <w:vAlign w:val="center"/>
            <w:hideMark/>
          </w:tcPr>
          <w:p w14:paraId="4E19EDCC" w14:textId="77777777" w:rsidR="001020BE" w:rsidRPr="00C076A4" w:rsidRDefault="001020BE" w:rsidP="00C076A4">
            <w:pPr>
              <w:spacing w:before="20" w:after="20" w:line="240" w:lineRule="auto"/>
              <w:jc w:val="left"/>
              <w:rPr>
                <w:rFonts w:eastAsia="Times New Roman" w:cstheme="minorHAnsi"/>
                <w:sz w:val="22"/>
                <w:szCs w:val="22"/>
                <w:lang w:val="es-ES" w:eastAsia="es-AR"/>
              </w:rPr>
            </w:pPr>
            <w:r w:rsidRPr="00C076A4">
              <w:rPr>
                <w:rFonts w:eastAsia="Times New Roman" w:cstheme="minorHAnsi"/>
                <w:sz w:val="22"/>
                <w:szCs w:val="22"/>
                <w:lang w:val="es-ES" w:eastAsia="es-AR"/>
              </w:rPr>
              <w:t>Centro</w:t>
            </w:r>
          </w:p>
        </w:tc>
        <w:tc>
          <w:tcPr>
            <w:tcW w:w="1985" w:type="dxa"/>
            <w:shd w:val="clear" w:color="auto" w:fill="auto"/>
            <w:noWrap/>
            <w:vAlign w:val="center"/>
            <w:hideMark/>
          </w:tcPr>
          <w:p w14:paraId="53C47CA1" w14:textId="5079FD6D" w:rsidR="001020BE" w:rsidRPr="00C076A4" w:rsidRDefault="001020BE" w:rsidP="00C076A4">
            <w:pPr>
              <w:spacing w:before="20" w:after="20" w:line="240" w:lineRule="auto"/>
              <w:ind w:right="227"/>
              <w:jc w:val="right"/>
              <w:rPr>
                <w:rFonts w:eastAsia="Times New Roman" w:cstheme="minorHAnsi"/>
                <w:sz w:val="22"/>
                <w:szCs w:val="22"/>
                <w:lang w:val="es-ES" w:eastAsia="es-AR"/>
              </w:rPr>
            </w:pPr>
            <w:r w:rsidRPr="00C076A4">
              <w:rPr>
                <w:sz w:val="22"/>
                <w:szCs w:val="22"/>
              </w:rPr>
              <w:t xml:space="preserve"> 998 </w:t>
            </w:r>
          </w:p>
        </w:tc>
      </w:tr>
      <w:tr w:rsidR="001020BE" w:rsidRPr="00C076A4" w14:paraId="67C07B5A" w14:textId="77777777" w:rsidTr="00C076A4">
        <w:trPr>
          <w:jc w:val="center"/>
        </w:trPr>
        <w:tc>
          <w:tcPr>
            <w:tcW w:w="1985" w:type="dxa"/>
            <w:shd w:val="clear" w:color="auto" w:fill="auto"/>
            <w:noWrap/>
            <w:vAlign w:val="center"/>
            <w:hideMark/>
          </w:tcPr>
          <w:p w14:paraId="510D6CCD" w14:textId="77777777" w:rsidR="001020BE" w:rsidRPr="00C076A4" w:rsidRDefault="001020BE" w:rsidP="00C076A4">
            <w:pPr>
              <w:spacing w:before="20" w:after="20" w:line="240" w:lineRule="auto"/>
              <w:jc w:val="left"/>
              <w:rPr>
                <w:rFonts w:eastAsia="Times New Roman" w:cstheme="minorHAnsi"/>
                <w:sz w:val="22"/>
                <w:szCs w:val="22"/>
                <w:lang w:val="es-ES" w:eastAsia="es-AR"/>
              </w:rPr>
            </w:pPr>
            <w:r w:rsidRPr="00C076A4">
              <w:rPr>
                <w:rFonts w:eastAsia="Times New Roman" w:cstheme="minorHAnsi"/>
                <w:sz w:val="22"/>
                <w:szCs w:val="22"/>
                <w:lang w:val="es-ES" w:eastAsia="es-AR"/>
              </w:rPr>
              <w:t>Itahue</w:t>
            </w:r>
          </w:p>
        </w:tc>
        <w:tc>
          <w:tcPr>
            <w:tcW w:w="1985" w:type="dxa"/>
            <w:shd w:val="clear" w:color="auto" w:fill="auto"/>
            <w:noWrap/>
            <w:vAlign w:val="center"/>
            <w:hideMark/>
          </w:tcPr>
          <w:p w14:paraId="0B13E5D8" w14:textId="77777777" w:rsidR="001020BE" w:rsidRPr="00C076A4" w:rsidRDefault="001020BE" w:rsidP="00C076A4">
            <w:pPr>
              <w:spacing w:before="20" w:after="20" w:line="240" w:lineRule="auto"/>
              <w:jc w:val="left"/>
              <w:rPr>
                <w:rFonts w:eastAsia="Times New Roman" w:cstheme="minorHAnsi"/>
                <w:sz w:val="22"/>
                <w:szCs w:val="22"/>
                <w:lang w:val="es-ES" w:eastAsia="es-AR"/>
              </w:rPr>
            </w:pPr>
            <w:r w:rsidRPr="00C076A4">
              <w:rPr>
                <w:rFonts w:eastAsia="Times New Roman" w:cstheme="minorHAnsi"/>
                <w:sz w:val="22"/>
                <w:szCs w:val="22"/>
                <w:lang w:val="es-ES" w:eastAsia="es-AR"/>
              </w:rPr>
              <w:t>Centro-Sur</w:t>
            </w:r>
          </w:p>
        </w:tc>
        <w:tc>
          <w:tcPr>
            <w:tcW w:w="1985" w:type="dxa"/>
            <w:shd w:val="clear" w:color="auto" w:fill="auto"/>
            <w:noWrap/>
            <w:vAlign w:val="center"/>
            <w:hideMark/>
          </w:tcPr>
          <w:p w14:paraId="15653C21" w14:textId="4C11748F" w:rsidR="001020BE" w:rsidRPr="00C076A4" w:rsidRDefault="001020BE" w:rsidP="00C076A4">
            <w:pPr>
              <w:spacing w:before="20" w:after="20" w:line="240" w:lineRule="auto"/>
              <w:ind w:right="227"/>
              <w:jc w:val="right"/>
              <w:rPr>
                <w:rFonts w:eastAsia="Times New Roman" w:cstheme="minorHAnsi"/>
                <w:sz w:val="22"/>
                <w:szCs w:val="22"/>
                <w:lang w:val="es-ES" w:eastAsia="es-AR"/>
              </w:rPr>
            </w:pPr>
            <w:r w:rsidRPr="00C076A4">
              <w:rPr>
                <w:sz w:val="22"/>
                <w:szCs w:val="22"/>
              </w:rPr>
              <w:t xml:space="preserve"> 442 </w:t>
            </w:r>
          </w:p>
        </w:tc>
      </w:tr>
      <w:tr w:rsidR="001020BE" w:rsidRPr="00C076A4" w14:paraId="3F66DE8F" w14:textId="77777777" w:rsidTr="00C076A4">
        <w:trPr>
          <w:jc w:val="center"/>
        </w:trPr>
        <w:tc>
          <w:tcPr>
            <w:tcW w:w="1985" w:type="dxa"/>
            <w:shd w:val="clear" w:color="auto" w:fill="auto"/>
            <w:noWrap/>
            <w:vAlign w:val="center"/>
            <w:hideMark/>
          </w:tcPr>
          <w:p w14:paraId="5E4922D4" w14:textId="77777777" w:rsidR="001020BE" w:rsidRPr="00C076A4" w:rsidRDefault="001020BE" w:rsidP="00C076A4">
            <w:pPr>
              <w:spacing w:before="20" w:after="20" w:line="240" w:lineRule="auto"/>
              <w:jc w:val="left"/>
              <w:rPr>
                <w:rFonts w:eastAsia="Times New Roman" w:cstheme="minorHAnsi"/>
                <w:sz w:val="22"/>
                <w:szCs w:val="22"/>
                <w:lang w:val="es-ES" w:eastAsia="es-AR"/>
              </w:rPr>
            </w:pPr>
            <w:r w:rsidRPr="00C076A4">
              <w:rPr>
                <w:rFonts w:eastAsia="Times New Roman" w:cstheme="minorHAnsi"/>
                <w:sz w:val="22"/>
                <w:szCs w:val="22"/>
                <w:lang w:val="es-ES" w:eastAsia="es-AR"/>
              </w:rPr>
              <w:t>Concepción</w:t>
            </w:r>
          </w:p>
        </w:tc>
        <w:tc>
          <w:tcPr>
            <w:tcW w:w="1985" w:type="dxa"/>
            <w:shd w:val="clear" w:color="auto" w:fill="auto"/>
            <w:noWrap/>
            <w:vAlign w:val="center"/>
            <w:hideMark/>
          </w:tcPr>
          <w:p w14:paraId="36CA17E0" w14:textId="77777777" w:rsidR="001020BE" w:rsidRPr="00C076A4" w:rsidRDefault="001020BE" w:rsidP="00C076A4">
            <w:pPr>
              <w:spacing w:before="20" w:after="20" w:line="240" w:lineRule="auto"/>
              <w:jc w:val="left"/>
              <w:rPr>
                <w:rFonts w:eastAsia="Times New Roman" w:cstheme="minorHAnsi"/>
                <w:sz w:val="22"/>
                <w:szCs w:val="22"/>
                <w:lang w:val="es-ES" w:eastAsia="es-AR"/>
              </w:rPr>
            </w:pPr>
            <w:r w:rsidRPr="00C076A4">
              <w:rPr>
                <w:rFonts w:eastAsia="Times New Roman" w:cstheme="minorHAnsi"/>
                <w:sz w:val="22"/>
                <w:szCs w:val="22"/>
                <w:lang w:val="es-ES" w:eastAsia="es-AR"/>
              </w:rPr>
              <w:t>Sur</w:t>
            </w:r>
          </w:p>
        </w:tc>
        <w:tc>
          <w:tcPr>
            <w:tcW w:w="1985" w:type="dxa"/>
            <w:shd w:val="clear" w:color="auto" w:fill="auto"/>
            <w:noWrap/>
            <w:vAlign w:val="center"/>
            <w:hideMark/>
          </w:tcPr>
          <w:p w14:paraId="0202C5B2" w14:textId="3472C236" w:rsidR="001020BE" w:rsidRPr="00C076A4" w:rsidRDefault="001020BE" w:rsidP="00C076A4">
            <w:pPr>
              <w:spacing w:before="20" w:after="20" w:line="240" w:lineRule="auto"/>
              <w:ind w:right="227"/>
              <w:jc w:val="right"/>
              <w:rPr>
                <w:rFonts w:eastAsia="Times New Roman" w:cstheme="minorHAnsi"/>
                <w:sz w:val="22"/>
                <w:szCs w:val="22"/>
                <w:lang w:val="es-ES" w:eastAsia="es-AR"/>
              </w:rPr>
            </w:pPr>
            <w:r w:rsidRPr="00C076A4">
              <w:rPr>
                <w:sz w:val="22"/>
                <w:szCs w:val="22"/>
              </w:rPr>
              <w:t xml:space="preserve"> 360 </w:t>
            </w:r>
          </w:p>
        </w:tc>
      </w:tr>
      <w:tr w:rsidR="001020BE" w:rsidRPr="00C076A4" w14:paraId="37850203" w14:textId="77777777" w:rsidTr="00C076A4">
        <w:trPr>
          <w:jc w:val="center"/>
        </w:trPr>
        <w:tc>
          <w:tcPr>
            <w:tcW w:w="1985" w:type="dxa"/>
            <w:shd w:val="clear" w:color="auto" w:fill="auto"/>
            <w:noWrap/>
            <w:vAlign w:val="center"/>
            <w:hideMark/>
          </w:tcPr>
          <w:p w14:paraId="6874E3D3" w14:textId="77777777" w:rsidR="001020BE" w:rsidRPr="00C076A4" w:rsidRDefault="001020BE" w:rsidP="00C076A4">
            <w:pPr>
              <w:spacing w:before="20" w:after="20" w:line="240" w:lineRule="auto"/>
              <w:jc w:val="left"/>
              <w:rPr>
                <w:rFonts w:eastAsia="Times New Roman" w:cstheme="minorHAnsi"/>
                <w:sz w:val="22"/>
                <w:szCs w:val="22"/>
                <w:lang w:val="es-ES" w:eastAsia="es-AR"/>
              </w:rPr>
            </w:pPr>
            <w:r w:rsidRPr="00C076A4">
              <w:rPr>
                <w:rFonts w:eastAsia="Times New Roman" w:cstheme="minorHAnsi"/>
                <w:sz w:val="22"/>
                <w:szCs w:val="22"/>
                <w:lang w:val="es-ES" w:eastAsia="es-AR"/>
              </w:rPr>
              <w:t>Temuco</w:t>
            </w:r>
          </w:p>
        </w:tc>
        <w:tc>
          <w:tcPr>
            <w:tcW w:w="1985" w:type="dxa"/>
            <w:shd w:val="clear" w:color="auto" w:fill="auto"/>
            <w:noWrap/>
            <w:vAlign w:val="center"/>
            <w:hideMark/>
          </w:tcPr>
          <w:p w14:paraId="6754F842" w14:textId="77777777" w:rsidR="001020BE" w:rsidRPr="00C076A4" w:rsidRDefault="001020BE" w:rsidP="00C076A4">
            <w:pPr>
              <w:spacing w:before="20" w:after="20" w:line="240" w:lineRule="auto"/>
              <w:jc w:val="left"/>
              <w:rPr>
                <w:rFonts w:eastAsia="Times New Roman" w:cstheme="minorHAnsi"/>
                <w:sz w:val="22"/>
                <w:szCs w:val="22"/>
                <w:lang w:val="es-ES" w:eastAsia="es-AR"/>
              </w:rPr>
            </w:pPr>
            <w:r w:rsidRPr="00C076A4">
              <w:rPr>
                <w:rFonts w:eastAsia="Times New Roman" w:cstheme="minorHAnsi"/>
                <w:sz w:val="22"/>
                <w:szCs w:val="22"/>
                <w:lang w:val="es-ES" w:eastAsia="es-AR"/>
              </w:rPr>
              <w:t>Sur</w:t>
            </w:r>
          </w:p>
        </w:tc>
        <w:tc>
          <w:tcPr>
            <w:tcW w:w="1985" w:type="dxa"/>
            <w:shd w:val="clear" w:color="auto" w:fill="auto"/>
            <w:noWrap/>
            <w:vAlign w:val="center"/>
            <w:hideMark/>
          </w:tcPr>
          <w:p w14:paraId="41C4D750" w14:textId="3352B37D" w:rsidR="001020BE" w:rsidRPr="00C076A4" w:rsidRDefault="001020BE" w:rsidP="00C076A4">
            <w:pPr>
              <w:spacing w:before="20" w:after="20" w:line="240" w:lineRule="auto"/>
              <w:ind w:right="227"/>
              <w:jc w:val="right"/>
              <w:rPr>
                <w:rFonts w:eastAsia="Times New Roman" w:cstheme="minorHAnsi"/>
                <w:sz w:val="22"/>
                <w:szCs w:val="22"/>
                <w:lang w:val="es-ES" w:eastAsia="es-AR"/>
              </w:rPr>
            </w:pPr>
            <w:r w:rsidRPr="00C076A4">
              <w:rPr>
                <w:sz w:val="22"/>
                <w:szCs w:val="22"/>
              </w:rPr>
              <w:t xml:space="preserve"> 360 </w:t>
            </w:r>
          </w:p>
        </w:tc>
      </w:tr>
      <w:tr w:rsidR="001020BE" w:rsidRPr="00C076A4" w14:paraId="5AA69D9F" w14:textId="77777777" w:rsidTr="00C076A4">
        <w:trPr>
          <w:jc w:val="center"/>
        </w:trPr>
        <w:tc>
          <w:tcPr>
            <w:tcW w:w="1985" w:type="dxa"/>
            <w:shd w:val="clear" w:color="auto" w:fill="auto"/>
            <w:noWrap/>
            <w:vAlign w:val="center"/>
            <w:hideMark/>
          </w:tcPr>
          <w:p w14:paraId="04AB00CA" w14:textId="59EA7CBA" w:rsidR="001020BE" w:rsidRPr="00C076A4" w:rsidRDefault="00D409FA" w:rsidP="00C076A4">
            <w:pPr>
              <w:spacing w:before="20" w:after="20" w:line="240" w:lineRule="auto"/>
              <w:jc w:val="left"/>
              <w:rPr>
                <w:rFonts w:eastAsia="Times New Roman" w:cstheme="minorHAnsi"/>
                <w:sz w:val="22"/>
                <w:szCs w:val="22"/>
                <w:lang w:val="es-ES" w:eastAsia="es-AR"/>
              </w:rPr>
            </w:pPr>
            <w:r w:rsidRPr="00C076A4">
              <w:rPr>
                <w:rFonts w:eastAsia="Times New Roman" w:cstheme="minorHAnsi"/>
                <w:sz w:val="22"/>
                <w:szCs w:val="22"/>
                <w:lang w:val="es-ES" w:eastAsia="es-AR"/>
              </w:rPr>
              <w:t>Charrúa</w:t>
            </w:r>
          </w:p>
        </w:tc>
        <w:tc>
          <w:tcPr>
            <w:tcW w:w="1985" w:type="dxa"/>
            <w:shd w:val="clear" w:color="auto" w:fill="auto"/>
            <w:noWrap/>
            <w:vAlign w:val="center"/>
            <w:hideMark/>
          </w:tcPr>
          <w:p w14:paraId="2F49F4BD" w14:textId="77777777" w:rsidR="001020BE" w:rsidRPr="00C076A4" w:rsidRDefault="001020BE" w:rsidP="00C076A4">
            <w:pPr>
              <w:spacing w:before="20" w:after="20" w:line="240" w:lineRule="auto"/>
              <w:jc w:val="left"/>
              <w:rPr>
                <w:rFonts w:eastAsia="Times New Roman" w:cstheme="minorHAnsi"/>
                <w:sz w:val="22"/>
                <w:szCs w:val="22"/>
                <w:lang w:val="es-ES" w:eastAsia="es-AR"/>
              </w:rPr>
            </w:pPr>
            <w:r w:rsidRPr="00C076A4">
              <w:rPr>
                <w:rFonts w:eastAsia="Times New Roman" w:cstheme="minorHAnsi"/>
                <w:sz w:val="22"/>
                <w:szCs w:val="22"/>
                <w:lang w:val="es-ES" w:eastAsia="es-AR"/>
              </w:rPr>
              <w:t>Sur</w:t>
            </w:r>
          </w:p>
        </w:tc>
        <w:tc>
          <w:tcPr>
            <w:tcW w:w="1985" w:type="dxa"/>
            <w:shd w:val="clear" w:color="auto" w:fill="auto"/>
            <w:noWrap/>
            <w:vAlign w:val="center"/>
            <w:hideMark/>
          </w:tcPr>
          <w:p w14:paraId="433EC8B5" w14:textId="088485D0" w:rsidR="001020BE" w:rsidRPr="00C076A4" w:rsidRDefault="001020BE" w:rsidP="00C076A4">
            <w:pPr>
              <w:spacing w:before="20" w:after="20" w:line="240" w:lineRule="auto"/>
              <w:ind w:right="227"/>
              <w:jc w:val="right"/>
              <w:rPr>
                <w:rFonts w:eastAsia="Times New Roman" w:cstheme="minorHAnsi"/>
                <w:sz w:val="22"/>
                <w:szCs w:val="22"/>
                <w:lang w:val="es-ES" w:eastAsia="es-AR"/>
              </w:rPr>
            </w:pPr>
            <w:r w:rsidRPr="00C076A4">
              <w:rPr>
                <w:sz w:val="22"/>
                <w:szCs w:val="22"/>
              </w:rPr>
              <w:t xml:space="preserve"> 360 </w:t>
            </w:r>
          </w:p>
        </w:tc>
      </w:tr>
      <w:tr w:rsidR="001020BE" w:rsidRPr="00C076A4" w14:paraId="0D15CD3D" w14:textId="77777777" w:rsidTr="00C076A4">
        <w:trPr>
          <w:jc w:val="center"/>
        </w:trPr>
        <w:tc>
          <w:tcPr>
            <w:tcW w:w="1985" w:type="dxa"/>
            <w:shd w:val="clear" w:color="auto" w:fill="auto"/>
            <w:noWrap/>
            <w:vAlign w:val="center"/>
            <w:hideMark/>
          </w:tcPr>
          <w:p w14:paraId="44F9BCBF" w14:textId="77777777" w:rsidR="001020BE" w:rsidRPr="00C076A4" w:rsidRDefault="001020BE" w:rsidP="00C076A4">
            <w:pPr>
              <w:spacing w:before="20" w:after="20" w:line="240" w:lineRule="auto"/>
              <w:jc w:val="left"/>
              <w:rPr>
                <w:rFonts w:eastAsia="Times New Roman" w:cstheme="minorHAnsi"/>
                <w:b/>
                <w:sz w:val="22"/>
                <w:szCs w:val="22"/>
                <w:lang w:val="es-ES" w:eastAsia="es-AR"/>
              </w:rPr>
            </w:pPr>
            <w:r w:rsidRPr="00C076A4">
              <w:rPr>
                <w:rFonts w:eastAsia="Times New Roman" w:cstheme="minorHAnsi"/>
                <w:b/>
                <w:sz w:val="22"/>
                <w:szCs w:val="22"/>
                <w:lang w:val="es-ES" w:eastAsia="es-AR"/>
              </w:rPr>
              <w:t>Total</w:t>
            </w:r>
          </w:p>
        </w:tc>
        <w:tc>
          <w:tcPr>
            <w:tcW w:w="1985" w:type="dxa"/>
            <w:shd w:val="clear" w:color="auto" w:fill="auto"/>
            <w:noWrap/>
            <w:vAlign w:val="center"/>
            <w:hideMark/>
          </w:tcPr>
          <w:p w14:paraId="3BCAB903" w14:textId="77777777" w:rsidR="001020BE" w:rsidRPr="00C076A4" w:rsidRDefault="001020BE" w:rsidP="00C076A4">
            <w:pPr>
              <w:spacing w:before="20" w:after="20" w:line="240" w:lineRule="auto"/>
              <w:jc w:val="left"/>
              <w:rPr>
                <w:rFonts w:eastAsia="Times New Roman" w:cstheme="minorHAnsi"/>
                <w:b/>
                <w:sz w:val="22"/>
                <w:szCs w:val="22"/>
                <w:lang w:val="es-ES" w:eastAsia="es-AR"/>
              </w:rPr>
            </w:pPr>
            <w:r w:rsidRPr="00C076A4">
              <w:rPr>
                <w:rFonts w:eastAsia="Times New Roman" w:cstheme="minorHAnsi"/>
                <w:b/>
                <w:sz w:val="22"/>
                <w:szCs w:val="22"/>
                <w:lang w:val="es-ES" w:eastAsia="es-AR"/>
              </w:rPr>
              <w:t> </w:t>
            </w:r>
          </w:p>
        </w:tc>
        <w:tc>
          <w:tcPr>
            <w:tcW w:w="1985" w:type="dxa"/>
            <w:shd w:val="clear" w:color="auto" w:fill="auto"/>
            <w:noWrap/>
            <w:vAlign w:val="center"/>
            <w:hideMark/>
          </w:tcPr>
          <w:p w14:paraId="6B2888D2" w14:textId="4D691C6E" w:rsidR="001020BE" w:rsidRPr="00C076A4" w:rsidRDefault="001020BE" w:rsidP="00C076A4">
            <w:pPr>
              <w:spacing w:before="20" w:after="20" w:line="240" w:lineRule="auto"/>
              <w:ind w:right="227"/>
              <w:jc w:val="right"/>
              <w:rPr>
                <w:rFonts w:eastAsia="Times New Roman" w:cstheme="minorHAnsi"/>
                <w:b/>
                <w:sz w:val="22"/>
                <w:szCs w:val="22"/>
                <w:lang w:val="es-ES" w:eastAsia="es-AR"/>
              </w:rPr>
            </w:pPr>
            <w:r w:rsidRPr="00C076A4">
              <w:rPr>
                <w:b/>
                <w:sz w:val="22"/>
                <w:szCs w:val="22"/>
              </w:rPr>
              <w:t>4</w:t>
            </w:r>
            <w:r w:rsidR="006A6EDD" w:rsidRPr="00C076A4">
              <w:rPr>
                <w:b/>
                <w:sz w:val="22"/>
                <w:szCs w:val="22"/>
              </w:rPr>
              <w:t>.</w:t>
            </w:r>
            <w:r w:rsidR="00561D57" w:rsidRPr="00C076A4">
              <w:rPr>
                <w:b/>
                <w:sz w:val="22"/>
                <w:szCs w:val="22"/>
              </w:rPr>
              <w:t>930</w:t>
            </w:r>
          </w:p>
        </w:tc>
      </w:tr>
    </w:tbl>
    <w:p w14:paraId="186F54D6" w14:textId="77777777" w:rsidR="0079428C" w:rsidRPr="00C076A4" w:rsidRDefault="0079428C" w:rsidP="00C076A4">
      <w:pPr>
        <w:spacing w:after="0"/>
        <w:rPr>
          <w:sz w:val="22"/>
          <w:szCs w:val="22"/>
          <w:lang w:val="es-ES"/>
        </w:rPr>
      </w:pPr>
    </w:p>
    <w:p w14:paraId="021647A6" w14:textId="77777777" w:rsidR="0079428C" w:rsidRPr="00B06D23" w:rsidRDefault="0079428C" w:rsidP="0079428C">
      <w:pPr>
        <w:rPr>
          <w:lang w:val="es-ES"/>
        </w:rPr>
      </w:pPr>
      <w:r w:rsidRPr="00B06D23">
        <w:rPr>
          <w:lang w:val="es-ES"/>
        </w:rPr>
        <w:t>Para valorizar los bienes inmuebles ya sea de edificios corporativos, regionales, y bodegas se relevaron los precios del mercado chileno en cada emplazamiento y efectuó un análisis de conveniencia económica compra vs arriendo.</w:t>
      </w:r>
    </w:p>
    <w:p w14:paraId="2BC75DBC" w14:textId="33C14FDD" w:rsidR="0079428C" w:rsidRDefault="0079428C" w:rsidP="0079428C">
      <w:pPr>
        <w:rPr>
          <w:lang w:val="es-ES"/>
        </w:rPr>
      </w:pPr>
      <w:r w:rsidRPr="00B06D23">
        <w:rPr>
          <w:lang w:val="es-ES"/>
        </w:rPr>
        <w:t>El análisis consistió en comparar el precio de compra anualizado versus el costo de arriendo y cuyos resultados se muestran en la siguiente tabla:</w:t>
      </w:r>
    </w:p>
    <w:p w14:paraId="3EA6A180" w14:textId="20D5D383" w:rsidR="006A6EDD" w:rsidRPr="00BC38C2" w:rsidRDefault="006A6EDD" w:rsidP="00AC403A">
      <w:pPr>
        <w:pStyle w:val="Subttulo"/>
      </w:pPr>
      <w:bookmarkStart w:id="335" w:name="_Toc39797941"/>
      <w:r w:rsidRPr="00BC38C2">
        <w:t xml:space="preserve">Tabla </w:t>
      </w:r>
      <w:fldSimple w:instr=" SEQ Tabla \* ARABIC ">
        <w:r w:rsidR="001F3E2E">
          <w:rPr>
            <w:noProof/>
          </w:rPr>
          <w:t>31</w:t>
        </w:r>
      </w:fldSimple>
      <w:r>
        <w:t>:</w:t>
      </w:r>
      <w:r w:rsidRPr="00BC38C2">
        <w:t xml:space="preserve"> </w:t>
      </w:r>
      <w:r>
        <w:t>ratio compra/arriendo instalaciones</w:t>
      </w:r>
      <w:bookmarkEnd w:id="335"/>
    </w:p>
    <w:tbl>
      <w:tblPr>
        <w:tblW w:w="0" w:type="auto"/>
        <w:jc w:val="center"/>
        <w:tblLayout w:type="fixed"/>
        <w:tblCellMar>
          <w:left w:w="57" w:type="dxa"/>
          <w:right w:w="57" w:type="dxa"/>
        </w:tblCellMar>
        <w:tblLook w:val="04A0" w:firstRow="1" w:lastRow="0" w:firstColumn="1" w:lastColumn="0" w:noHBand="0" w:noVBand="1"/>
      </w:tblPr>
      <w:tblGrid>
        <w:gridCol w:w="2268"/>
        <w:gridCol w:w="1701"/>
        <w:gridCol w:w="1701"/>
      </w:tblGrid>
      <w:tr w:rsidR="0079428C" w:rsidRPr="00C076A4" w14:paraId="73E05D52" w14:textId="77777777" w:rsidTr="00C076A4">
        <w:trPr>
          <w:trHeight w:val="20"/>
          <w:jc w:val="center"/>
        </w:trPr>
        <w:tc>
          <w:tcPr>
            <w:tcW w:w="2268" w:type="dxa"/>
            <w:tcBorders>
              <w:top w:val="nil"/>
              <w:left w:val="nil"/>
              <w:bottom w:val="nil"/>
              <w:right w:val="nil"/>
            </w:tcBorders>
            <w:shd w:val="clear" w:color="auto" w:fill="auto"/>
            <w:noWrap/>
            <w:vAlign w:val="center"/>
            <w:hideMark/>
          </w:tcPr>
          <w:p w14:paraId="1A63B225" w14:textId="77777777" w:rsidR="0079428C" w:rsidRPr="00C076A4" w:rsidRDefault="0079428C" w:rsidP="00C076A4">
            <w:pPr>
              <w:spacing w:before="40" w:after="40" w:line="240" w:lineRule="auto"/>
              <w:jc w:val="left"/>
              <w:rPr>
                <w:rFonts w:eastAsia="Times New Roman" w:cs="Calibri"/>
                <w:color w:val="000000"/>
                <w:sz w:val="22"/>
                <w:szCs w:val="22"/>
                <w:lang w:val="es-ES" w:eastAsia="es-AR"/>
              </w:rPr>
            </w:pPr>
          </w:p>
        </w:tc>
        <w:tc>
          <w:tcPr>
            <w:tcW w:w="1701"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7DB5EC6F" w14:textId="77777777" w:rsidR="0079428C" w:rsidRPr="00C076A4" w:rsidRDefault="0079428C" w:rsidP="00C076A4">
            <w:pPr>
              <w:spacing w:before="40" w:after="40" w:line="240" w:lineRule="auto"/>
              <w:jc w:val="center"/>
              <w:rPr>
                <w:rFonts w:eastAsia="Times New Roman" w:cs="Calibri"/>
                <w:b/>
                <w:bCs/>
                <w:color w:val="000000"/>
                <w:sz w:val="22"/>
                <w:szCs w:val="22"/>
                <w:lang w:val="es-ES" w:eastAsia="es-AR"/>
              </w:rPr>
            </w:pPr>
            <w:r w:rsidRPr="00C076A4">
              <w:rPr>
                <w:rFonts w:eastAsia="Times New Roman" w:cs="Calibri"/>
                <w:b/>
                <w:bCs/>
                <w:color w:val="000000"/>
                <w:sz w:val="22"/>
                <w:szCs w:val="22"/>
                <w:lang w:val="es-ES" w:eastAsia="es-AR"/>
              </w:rPr>
              <w:t>C/A Bodegas</w:t>
            </w:r>
          </w:p>
        </w:tc>
        <w:tc>
          <w:tcPr>
            <w:tcW w:w="1701"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473C6AF7" w14:textId="77777777" w:rsidR="0079428C" w:rsidRPr="00C076A4" w:rsidRDefault="0079428C" w:rsidP="00C076A4">
            <w:pPr>
              <w:spacing w:before="40" w:after="40" w:line="240" w:lineRule="auto"/>
              <w:jc w:val="center"/>
              <w:rPr>
                <w:rFonts w:eastAsia="Times New Roman" w:cs="Calibri"/>
                <w:b/>
                <w:bCs/>
                <w:color w:val="000000"/>
                <w:sz w:val="22"/>
                <w:szCs w:val="22"/>
                <w:lang w:val="es-ES" w:eastAsia="es-AR"/>
              </w:rPr>
            </w:pPr>
            <w:r w:rsidRPr="00C076A4">
              <w:rPr>
                <w:rFonts w:eastAsia="Times New Roman" w:cs="Calibri"/>
                <w:b/>
                <w:bCs/>
                <w:color w:val="000000"/>
                <w:sz w:val="22"/>
                <w:szCs w:val="22"/>
                <w:lang w:val="es-ES" w:eastAsia="es-AR"/>
              </w:rPr>
              <w:t>C/A Oficinas</w:t>
            </w:r>
          </w:p>
        </w:tc>
      </w:tr>
      <w:tr w:rsidR="0079428C" w:rsidRPr="00C076A4" w14:paraId="255CE154" w14:textId="77777777" w:rsidTr="00C076A4">
        <w:trPr>
          <w:trHeight w:val="20"/>
          <w:jc w:val="center"/>
        </w:trPr>
        <w:tc>
          <w:tcPr>
            <w:tcW w:w="2268" w:type="dxa"/>
            <w:tcBorders>
              <w:top w:val="single" w:sz="4" w:space="0" w:color="auto"/>
              <w:left w:val="single" w:sz="4" w:space="0" w:color="auto"/>
              <w:bottom w:val="single" w:sz="4" w:space="0" w:color="auto"/>
              <w:right w:val="nil"/>
            </w:tcBorders>
            <w:shd w:val="clear" w:color="auto" w:fill="auto"/>
            <w:noWrap/>
            <w:vAlign w:val="center"/>
            <w:hideMark/>
          </w:tcPr>
          <w:p w14:paraId="0168F998" w14:textId="77777777" w:rsidR="0079428C" w:rsidRPr="00C076A4" w:rsidRDefault="0079428C" w:rsidP="00C076A4">
            <w:pPr>
              <w:spacing w:before="40" w:after="40" w:line="240" w:lineRule="auto"/>
              <w:jc w:val="left"/>
              <w:rPr>
                <w:rFonts w:eastAsia="Times New Roman" w:cs="Calibri"/>
                <w:color w:val="000000"/>
                <w:sz w:val="22"/>
                <w:szCs w:val="22"/>
                <w:lang w:val="es-ES" w:eastAsia="es-AR"/>
              </w:rPr>
            </w:pPr>
            <w:r w:rsidRPr="00C076A4">
              <w:rPr>
                <w:rFonts w:eastAsia="Times New Roman" w:cs="Calibri"/>
                <w:color w:val="000000"/>
                <w:sz w:val="22"/>
                <w:szCs w:val="22"/>
                <w:lang w:val="es-ES" w:eastAsia="es-AR"/>
              </w:rPr>
              <w:t>Santiago</w:t>
            </w:r>
          </w:p>
        </w:tc>
        <w:tc>
          <w:tcPr>
            <w:tcW w:w="1701" w:type="dxa"/>
            <w:tcBorders>
              <w:top w:val="nil"/>
              <w:left w:val="single" w:sz="4" w:space="0" w:color="auto"/>
              <w:bottom w:val="single" w:sz="4" w:space="0" w:color="auto"/>
              <w:right w:val="single" w:sz="4" w:space="0" w:color="auto"/>
            </w:tcBorders>
            <w:shd w:val="clear" w:color="auto" w:fill="auto"/>
            <w:noWrap/>
            <w:vAlign w:val="center"/>
            <w:hideMark/>
          </w:tcPr>
          <w:p w14:paraId="333BF7CA" w14:textId="77777777" w:rsidR="0079428C" w:rsidRPr="00C076A4" w:rsidRDefault="0079428C" w:rsidP="00C076A4">
            <w:pPr>
              <w:spacing w:before="40" w:after="40" w:line="240" w:lineRule="auto"/>
              <w:jc w:val="center"/>
              <w:rPr>
                <w:rFonts w:eastAsia="Times New Roman" w:cs="Calibri"/>
                <w:color w:val="000000"/>
                <w:sz w:val="22"/>
                <w:szCs w:val="22"/>
                <w:lang w:val="es-ES" w:eastAsia="es-AR"/>
              </w:rPr>
            </w:pPr>
            <w:r w:rsidRPr="00C076A4">
              <w:rPr>
                <w:rFonts w:eastAsia="Times New Roman" w:cs="Calibri"/>
                <w:color w:val="000000"/>
                <w:sz w:val="22"/>
                <w:szCs w:val="22"/>
                <w:lang w:val="es-ES" w:eastAsia="es-AR"/>
              </w:rPr>
              <w:t>0,880</w:t>
            </w:r>
          </w:p>
        </w:tc>
        <w:tc>
          <w:tcPr>
            <w:tcW w:w="1701" w:type="dxa"/>
            <w:tcBorders>
              <w:top w:val="nil"/>
              <w:left w:val="nil"/>
              <w:bottom w:val="single" w:sz="4" w:space="0" w:color="auto"/>
              <w:right w:val="single" w:sz="4" w:space="0" w:color="auto"/>
            </w:tcBorders>
            <w:shd w:val="clear" w:color="auto" w:fill="auto"/>
            <w:noWrap/>
            <w:vAlign w:val="center"/>
            <w:hideMark/>
          </w:tcPr>
          <w:p w14:paraId="1E9DC35F" w14:textId="77777777" w:rsidR="0079428C" w:rsidRPr="00C076A4" w:rsidRDefault="0079428C" w:rsidP="00C076A4">
            <w:pPr>
              <w:spacing w:before="40" w:after="40" w:line="240" w:lineRule="auto"/>
              <w:jc w:val="center"/>
              <w:rPr>
                <w:rFonts w:eastAsia="Times New Roman" w:cs="Calibri"/>
                <w:color w:val="000000"/>
                <w:sz w:val="22"/>
                <w:szCs w:val="22"/>
                <w:lang w:val="es-ES" w:eastAsia="es-AR"/>
              </w:rPr>
            </w:pPr>
            <w:r w:rsidRPr="00C076A4">
              <w:rPr>
                <w:rFonts w:eastAsia="Times New Roman" w:cs="Calibri"/>
                <w:color w:val="000000"/>
                <w:sz w:val="22"/>
                <w:szCs w:val="22"/>
                <w:lang w:val="es-ES" w:eastAsia="es-AR"/>
              </w:rPr>
              <w:t>0,530</w:t>
            </w:r>
          </w:p>
        </w:tc>
      </w:tr>
      <w:tr w:rsidR="0079428C" w:rsidRPr="00C076A4" w14:paraId="251E9455" w14:textId="77777777" w:rsidTr="00C076A4">
        <w:trPr>
          <w:trHeight w:val="20"/>
          <w:jc w:val="center"/>
        </w:trPr>
        <w:tc>
          <w:tcPr>
            <w:tcW w:w="2268" w:type="dxa"/>
            <w:tcBorders>
              <w:top w:val="nil"/>
              <w:left w:val="single" w:sz="4" w:space="0" w:color="auto"/>
              <w:bottom w:val="single" w:sz="4" w:space="0" w:color="auto"/>
              <w:right w:val="nil"/>
            </w:tcBorders>
            <w:shd w:val="clear" w:color="auto" w:fill="auto"/>
            <w:noWrap/>
            <w:vAlign w:val="center"/>
            <w:hideMark/>
          </w:tcPr>
          <w:p w14:paraId="773D0C1F" w14:textId="77777777" w:rsidR="0079428C" w:rsidRPr="00C076A4" w:rsidRDefault="0079428C" w:rsidP="00C076A4">
            <w:pPr>
              <w:spacing w:before="40" w:after="40" w:line="240" w:lineRule="auto"/>
              <w:jc w:val="left"/>
              <w:rPr>
                <w:rFonts w:eastAsia="Times New Roman" w:cs="Calibri"/>
                <w:color w:val="000000"/>
                <w:sz w:val="22"/>
                <w:szCs w:val="22"/>
                <w:lang w:val="es-ES" w:eastAsia="es-AR"/>
              </w:rPr>
            </w:pPr>
            <w:r w:rsidRPr="00C076A4">
              <w:rPr>
                <w:rFonts w:eastAsia="Times New Roman" w:cs="Calibri"/>
                <w:color w:val="000000"/>
                <w:sz w:val="22"/>
                <w:szCs w:val="22"/>
                <w:lang w:val="es-ES" w:eastAsia="es-AR"/>
              </w:rPr>
              <w:t>Antofagasta</w:t>
            </w:r>
          </w:p>
        </w:tc>
        <w:tc>
          <w:tcPr>
            <w:tcW w:w="1701" w:type="dxa"/>
            <w:tcBorders>
              <w:top w:val="nil"/>
              <w:left w:val="single" w:sz="4" w:space="0" w:color="auto"/>
              <w:bottom w:val="single" w:sz="4" w:space="0" w:color="auto"/>
              <w:right w:val="single" w:sz="4" w:space="0" w:color="auto"/>
            </w:tcBorders>
            <w:shd w:val="clear" w:color="auto" w:fill="auto"/>
            <w:noWrap/>
            <w:vAlign w:val="center"/>
            <w:hideMark/>
          </w:tcPr>
          <w:p w14:paraId="7C06F715" w14:textId="77777777" w:rsidR="0079428C" w:rsidRPr="00C076A4" w:rsidRDefault="0079428C" w:rsidP="00C076A4">
            <w:pPr>
              <w:spacing w:before="40" w:after="40" w:line="240" w:lineRule="auto"/>
              <w:jc w:val="center"/>
              <w:rPr>
                <w:rFonts w:eastAsia="Times New Roman" w:cs="Calibri"/>
                <w:color w:val="000000"/>
                <w:sz w:val="22"/>
                <w:szCs w:val="22"/>
                <w:lang w:val="es-ES" w:eastAsia="es-AR"/>
              </w:rPr>
            </w:pPr>
            <w:r w:rsidRPr="00C076A4">
              <w:rPr>
                <w:rFonts w:eastAsia="Times New Roman" w:cs="Calibri"/>
                <w:color w:val="000000"/>
                <w:sz w:val="22"/>
                <w:szCs w:val="22"/>
                <w:lang w:val="es-ES" w:eastAsia="es-AR"/>
              </w:rPr>
              <w:t>1,030</w:t>
            </w:r>
          </w:p>
        </w:tc>
        <w:tc>
          <w:tcPr>
            <w:tcW w:w="1701" w:type="dxa"/>
            <w:tcBorders>
              <w:top w:val="nil"/>
              <w:left w:val="nil"/>
              <w:bottom w:val="single" w:sz="4" w:space="0" w:color="auto"/>
              <w:right w:val="single" w:sz="4" w:space="0" w:color="auto"/>
            </w:tcBorders>
            <w:shd w:val="clear" w:color="auto" w:fill="auto"/>
            <w:noWrap/>
            <w:vAlign w:val="center"/>
            <w:hideMark/>
          </w:tcPr>
          <w:p w14:paraId="3241E5ED" w14:textId="77777777" w:rsidR="0079428C" w:rsidRPr="00C076A4" w:rsidRDefault="0079428C" w:rsidP="00C076A4">
            <w:pPr>
              <w:spacing w:before="40" w:after="40" w:line="240" w:lineRule="auto"/>
              <w:jc w:val="center"/>
              <w:rPr>
                <w:rFonts w:eastAsia="Times New Roman" w:cs="Calibri"/>
                <w:color w:val="000000"/>
                <w:sz w:val="22"/>
                <w:szCs w:val="22"/>
                <w:lang w:val="es-ES" w:eastAsia="es-AR"/>
              </w:rPr>
            </w:pPr>
            <w:r w:rsidRPr="00C076A4">
              <w:rPr>
                <w:rFonts w:eastAsia="Times New Roman" w:cs="Calibri"/>
                <w:color w:val="000000"/>
                <w:sz w:val="22"/>
                <w:szCs w:val="22"/>
                <w:lang w:val="es-ES" w:eastAsia="es-AR"/>
              </w:rPr>
              <w:t>0,549</w:t>
            </w:r>
          </w:p>
        </w:tc>
      </w:tr>
      <w:tr w:rsidR="0079428C" w:rsidRPr="00C076A4" w14:paraId="6D062333" w14:textId="77777777" w:rsidTr="00C076A4">
        <w:trPr>
          <w:trHeight w:val="20"/>
          <w:jc w:val="center"/>
        </w:trPr>
        <w:tc>
          <w:tcPr>
            <w:tcW w:w="2268" w:type="dxa"/>
            <w:tcBorders>
              <w:top w:val="nil"/>
              <w:left w:val="single" w:sz="4" w:space="0" w:color="auto"/>
              <w:bottom w:val="single" w:sz="4" w:space="0" w:color="auto"/>
              <w:right w:val="nil"/>
            </w:tcBorders>
            <w:shd w:val="clear" w:color="auto" w:fill="auto"/>
            <w:noWrap/>
            <w:vAlign w:val="center"/>
            <w:hideMark/>
          </w:tcPr>
          <w:p w14:paraId="212D558D" w14:textId="77777777" w:rsidR="0079428C" w:rsidRPr="00C076A4" w:rsidRDefault="0079428C" w:rsidP="00C076A4">
            <w:pPr>
              <w:spacing w:before="40" w:after="40" w:line="240" w:lineRule="auto"/>
              <w:jc w:val="left"/>
              <w:rPr>
                <w:rFonts w:eastAsia="Times New Roman" w:cs="Calibri"/>
                <w:color w:val="000000"/>
                <w:sz w:val="22"/>
                <w:szCs w:val="22"/>
                <w:lang w:val="es-ES" w:eastAsia="es-AR"/>
              </w:rPr>
            </w:pPr>
            <w:r w:rsidRPr="00C076A4">
              <w:rPr>
                <w:rFonts w:eastAsia="Times New Roman" w:cs="Calibri"/>
                <w:color w:val="000000"/>
                <w:sz w:val="22"/>
                <w:szCs w:val="22"/>
                <w:lang w:val="es-ES" w:eastAsia="es-AR"/>
              </w:rPr>
              <w:t>Coquimbo</w:t>
            </w:r>
          </w:p>
        </w:tc>
        <w:tc>
          <w:tcPr>
            <w:tcW w:w="1701" w:type="dxa"/>
            <w:tcBorders>
              <w:top w:val="nil"/>
              <w:left w:val="single" w:sz="4" w:space="0" w:color="auto"/>
              <w:bottom w:val="single" w:sz="4" w:space="0" w:color="auto"/>
              <w:right w:val="single" w:sz="4" w:space="0" w:color="auto"/>
            </w:tcBorders>
            <w:shd w:val="clear" w:color="auto" w:fill="auto"/>
            <w:noWrap/>
            <w:vAlign w:val="center"/>
            <w:hideMark/>
          </w:tcPr>
          <w:p w14:paraId="6337BF70" w14:textId="77777777" w:rsidR="0079428C" w:rsidRPr="00C076A4" w:rsidRDefault="0079428C" w:rsidP="00C076A4">
            <w:pPr>
              <w:spacing w:before="40" w:after="40" w:line="240" w:lineRule="auto"/>
              <w:jc w:val="center"/>
              <w:rPr>
                <w:rFonts w:eastAsia="Times New Roman" w:cs="Calibri"/>
                <w:color w:val="000000"/>
                <w:sz w:val="22"/>
                <w:szCs w:val="22"/>
                <w:lang w:val="es-ES" w:eastAsia="es-AR"/>
              </w:rPr>
            </w:pPr>
            <w:r w:rsidRPr="00C076A4">
              <w:rPr>
                <w:rFonts w:eastAsia="Times New Roman" w:cs="Calibri"/>
                <w:color w:val="000000"/>
                <w:sz w:val="22"/>
                <w:szCs w:val="22"/>
                <w:lang w:val="es-ES" w:eastAsia="es-AR"/>
              </w:rPr>
              <w:t>1,393</w:t>
            </w:r>
          </w:p>
        </w:tc>
        <w:tc>
          <w:tcPr>
            <w:tcW w:w="1701" w:type="dxa"/>
            <w:tcBorders>
              <w:top w:val="nil"/>
              <w:left w:val="nil"/>
              <w:bottom w:val="single" w:sz="4" w:space="0" w:color="auto"/>
              <w:right w:val="single" w:sz="4" w:space="0" w:color="auto"/>
            </w:tcBorders>
            <w:shd w:val="clear" w:color="auto" w:fill="auto"/>
            <w:noWrap/>
            <w:vAlign w:val="center"/>
            <w:hideMark/>
          </w:tcPr>
          <w:p w14:paraId="6CB814E2" w14:textId="77777777" w:rsidR="0079428C" w:rsidRPr="00C076A4" w:rsidRDefault="0079428C" w:rsidP="00C076A4">
            <w:pPr>
              <w:spacing w:before="40" w:after="40" w:line="240" w:lineRule="auto"/>
              <w:jc w:val="center"/>
              <w:rPr>
                <w:rFonts w:eastAsia="Times New Roman" w:cs="Calibri"/>
                <w:color w:val="000000"/>
                <w:sz w:val="22"/>
                <w:szCs w:val="22"/>
                <w:lang w:val="es-ES" w:eastAsia="es-AR"/>
              </w:rPr>
            </w:pPr>
            <w:r w:rsidRPr="00C076A4">
              <w:rPr>
                <w:rFonts w:eastAsia="Times New Roman" w:cs="Calibri"/>
                <w:color w:val="000000"/>
                <w:sz w:val="22"/>
                <w:szCs w:val="22"/>
                <w:lang w:val="es-ES" w:eastAsia="es-AR"/>
              </w:rPr>
              <w:t>0,642</w:t>
            </w:r>
          </w:p>
        </w:tc>
      </w:tr>
      <w:tr w:rsidR="0079428C" w:rsidRPr="00C076A4" w14:paraId="1C0084E7" w14:textId="77777777" w:rsidTr="00C076A4">
        <w:trPr>
          <w:trHeight w:val="20"/>
          <w:jc w:val="center"/>
        </w:trPr>
        <w:tc>
          <w:tcPr>
            <w:tcW w:w="2268" w:type="dxa"/>
            <w:tcBorders>
              <w:top w:val="nil"/>
              <w:left w:val="single" w:sz="4" w:space="0" w:color="auto"/>
              <w:bottom w:val="single" w:sz="4" w:space="0" w:color="auto"/>
              <w:right w:val="nil"/>
            </w:tcBorders>
            <w:shd w:val="clear" w:color="auto" w:fill="auto"/>
            <w:noWrap/>
            <w:vAlign w:val="center"/>
            <w:hideMark/>
          </w:tcPr>
          <w:p w14:paraId="1F815A88" w14:textId="77777777" w:rsidR="0079428C" w:rsidRPr="00C076A4" w:rsidRDefault="0079428C" w:rsidP="00C076A4">
            <w:pPr>
              <w:spacing w:before="40" w:after="40" w:line="240" w:lineRule="auto"/>
              <w:jc w:val="left"/>
              <w:rPr>
                <w:rFonts w:eastAsia="Times New Roman" w:cs="Calibri"/>
                <w:color w:val="000000"/>
                <w:sz w:val="22"/>
                <w:szCs w:val="22"/>
                <w:lang w:val="es-ES" w:eastAsia="es-AR"/>
              </w:rPr>
            </w:pPr>
            <w:r w:rsidRPr="00C076A4">
              <w:rPr>
                <w:rFonts w:eastAsia="Times New Roman" w:cs="Calibri"/>
                <w:color w:val="000000"/>
                <w:sz w:val="22"/>
                <w:szCs w:val="22"/>
                <w:lang w:val="es-ES" w:eastAsia="es-AR"/>
              </w:rPr>
              <w:t>Itahue</w:t>
            </w:r>
          </w:p>
        </w:tc>
        <w:tc>
          <w:tcPr>
            <w:tcW w:w="1701" w:type="dxa"/>
            <w:tcBorders>
              <w:top w:val="nil"/>
              <w:left w:val="single" w:sz="4" w:space="0" w:color="auto"/>
              <w:bottom w:val="single" w:sz="4" w:space="0" w:color="auto"/>
              <w:right w:val="single" w:sz="4" w:space="0" w:color="auto"/>
            </w:tcBorders>
            <w:shd w:val="clear" w:color="auto" w:fill="auto"/>
            <w:noWrap/>
            <w:vAlign w:val="center"/>
            <w:hideMark/>
          </w:tcPr>
          <w:p w14:paraId="407AE8C0" w14:textId="77777777" w:rsidR="0079428C" w:rsidRPr="00C076A4" w:rsidRDefault="0079428C" w:rsidP="00C076A4">
            <w:pPr>
              <w:spacing w:before="40" w:after="40" w:line="240" w:lineRule="auto"/>
              <w:jc w:val="center"/>
              <w:rPr>
                <w:rFonts w:eastAsia="Times New Roman" w:cs="Calibri"/>
                <w:color w:val="000000"/>
                <w:sz w:val="22"/>
                <w:szCs w:val="22"/>
                <w:lang w:val="es-ES" w:eastAsia="es-AR"/>
              </w:rPr>
            </w:pPr>
            <w:r w:rsidRPr="00C076A4">
              <w:rPr>
                <w:rFonts w:eastAsia="Times New Roman" w:cs="Calibri"/>
                <w:color w:val="000000"/>
                <w:sz w:val="22"/>
                <w:szCs w:val="22"/>
                <w:lang w:val="es-ES" w:eastAsia="es-AR"/>
              </w:rPr>
              <w:t>0,751</w:t>
            </w:r>
          </w:p>
        </w:tc>
        <w:tc>
          <w:tcPr>
            <w:tcW w:w="1701" w:type="dxa"/>
            <w:tcBorders>
              <w:top w:val="nil"/>
              <w:left w:val="nil"/>
              <w:bottom w:val="single" w:sz="4" w:space="0" w:color="auto"/>
              <w:right w:val="single" w:sz="4" w:space="0" w:color="auto"/>
            </w:tcBorders>
            <w:shd w:val="clear" w:color="auto" w:fill="auto"/>
            <w:noWrap/>
            <w:vAlign w:val="center"/>
            <w:hideMark/>
          </w:tcPr>
          <w:p w14:paraId="463FE351" w14:textId="77777777" w:rsidR="0079428C" w:rsidRPr="00C076A4" w:rsidRDefault="0079428C" w:rsidP="00C076A4">
            <w:pPr>
              <w:spacing w:before="40" w:after="40" w:line="240" w:lineRule="auto"/>
              <w:jc w:val="center"/>
              <w:rPr>
                <w:rFonts w:eastAsia="Times New Roman" w:cs="Calibri"/>
                <w:color w:val="000000"/>
                <w:sz w:val="22"/>
                <w:szCs w:val="22"/>
                <w:lang w:val="es-ES" w:eastAsia="es-AR"/>
              </w:rPr>
            </w:pPr>
            <w:r w:rsidRPr="00C076A4">
              <w:rPr>
                <w:rFonts w:eastAsia="Times New Roman" w:cs="Calibri"/>
                <w:color w:val="000000"/>
                <w:sz w:val="22"/>
                <w:szCs w:val="22"/>
                <w:lang w:val="es-ES" w:eastAsia="es-AR"/>
              </w:rPr>
              <w:t>1,006</w:t>
            </w:r>
          </w:p>
        </w:tc>
      </w:tr>
      <w:tr w:rsidR="0079428C" w:rsidRPr="00C076A4" w14:paraId="75755A21" w14:textId="77777777" w:rsidTr="00C076A4">
        <w:trPr>
          <w:trHeight w:val="20"/>
          <w:jc w:val="center"/>
        </w:trPr>
        <w:tc>
          <w:tcPr>
            <w:tcW w:w="2268" w:type="dxa"/>
            <w:tcBorders>
              <w:top w:val="nil"/>
              <w:left w:val="single" w:sz="4" w:space="0" w:color="auto"/>
              <w:bottom w:val="single" w:sz="4" w:space="0" w:color="auto"/>
              <w:right w:val="nil"/>
            </w:tcBorders>
            <w:shd w:val="clear" w:color="auto" w:fill="auto"/>
            <w:noWrap/>
            <w:vAlign w:val="center"/>
            <w:hideMark/>
          </w:tcPr>
          <w:p w14:paraId="5AF749AA" w14:textId="77777777" w:rsidR="0079428C" w:rsidRPr="00C076A4" w:rsidRDefault="0079428C" w:rsidP="00C076A4">
            <w:pPr>
              <w:spacing w:before="40" w:after="40" w:line="240" w:lineRule="auto"/>
              <w:jc w:val="left"/>
              <w:rPr>
                <w:rFonts w:eastAsia="Times New Roman" w:cs="Calibri"/>
                <w:color w:val="000000"/>
                <w:sz w:val="22"/>
                <w:szCs w:val="22"/>
                <w:lang w:val="es-ES" w:eastAsia="es-AR"/>
              </w:rPr>
            </w:pPr>
            <w:r w:rsidRPr="00C076A4">
              <w:rPr>
                <w:rFonts w:eastAsia="Times New Roman" w:cs="Calibri"/>
                <w:color w:val="000000"/>
                <w:sz w:val="22"/>
                <w:szCs w:val="22"/>
                <w:lang w:val="es-ES" w:eastAsia="es-AR"/>
              </w:rPr>
              <w:t>Concepción</w:t>
            </w:r>
          </w:p>
        </w:tc>
        <w:tc>
          <w:tcPr>
            <w:tcW w:w="1701" w:type="dxa"/>
            <w:tcBorders>
              <w:top w:val="nil"/>
              <w:left w:val="single" w:sz="4" w:space="0" w:color="auto"/>
              <w:bottom w:val="single" w:sz="4" w:space="0" w:color="auto"/>
              <w:right w:val="single" w:sz="4" w:space="0" w:color="auto"/>
            </w:tcBorders>
            <w:shd w:val="clear" w:color="auto" w:fill="auto"/>
            <w:noWrap/>
            <w:vAlign w:val="center"/>
            <w:hideMark/>
          </w:tcPr>
          <w:p w14:paraId="5BD1DDFE" w14:textId="77777777" w:rsidR="0079428C" w:rsidRPr="00C076A4" w:rsidRDefault="0079428C" w:rsidP="00C076A4">
            <w:pPr>
              <w:spacing w:before="40" w:after="40" w:line="240" w:lineRule="auto"/>
              <w:jc w:val="center"/>
              <w:rPr>
                <w:rFonts w:eastAsia="Times New Roman" w:cs="Calibri"/>
                <w:color w:val="000000"/>
                <w:sz w:val="22"/>
                <w:szCs w:val="22"/>
                <w:lang w:val="es-ES" w:eastAsia="es-AR"/>
              </w:rPr>
            </w:pPr>
            <w:r w:rsidRPr="00C076A4">
              <w:rPr>
                <w:rFonts w:eastAsia="Times New Roman" w:cs="Calibri"/>
                <w:color w:val="000000"/>
                <w:sz w:val="22"/>
                <w:szCs w:val="22"/>
                <w:lang w:val="es-ES" w:eastAsia="es-AR"/>
              </w:rPr>
              <w:t>0,792</w:t>
            </w:r>
          </w:p>
        </w:tc>
        <w:tc>
          <w:tcPr>
            <w:tcW w:w="1701" w:type="dxa"/>
            <w:tcBorders>
              <w:top w:val="nil"/>
              <w:left w:val="nil"/>
              <w:bottom w:val="single" w:sz="4" w:space="0" w:color="auto"/>
              <w:right w:val="single" w:sz="4" w:space="0" w:color="auto"/>
            </w:tcBorders>
            <w:shd w:val="clear" w:color="auto" w:fill="auto"/>
            <w:noWrap/>
            <w:vAlign w:val="center"/>
            <w:hideMark/>
          </w:tcPr>
          <w:p w14:paraId="1D3E2DF2" w14:textId="77777777" w:rsidR="0079428C" w:rsidRPr="00C076A4" w:rsidRDefault="0079428C" w:rsidP="00C076A4">
            <w:pPr>
              <w:spacing w:before="40" w:after="40" w:line="240" w:lineRule="auto"/>
              <w:jc w:val="center"/>
              <w:rPr>
                <w:rFonts w:eastAsia="Times New Roman" w:cs="Calibri"/>
                <w:color w:val="000000"/>
                <w:sz w:val="22"/>
                <w:szCs w:val="22"/>
                <w:lang w:val="es-ES" w:eastAsia="es-AR"/>
              </w:rPr>
            </w:pPr>
            <w:r w:rsidRPr="00C076A4">
              <w:rPr>
                <w:rFonts w:eastAsia="Times New Roman" w:cs="Calibri"/>
                <w:color w:val="000000"/>
                <w:sz w:val="22"/>
                <w:szCs w:val="22"/>
                <w:lang w:val="es-ES" w:eastAsia="es-AR"/>
              </w:rPr>
              <w:t>0,941</w:t>
            </w:r>
          </w:p>
        </w:tc>
      </w:tr>
      <w:tr w:rsidR="0079428C" w:rsidRPr="00C076A4" w14:paraId="34A08A4F" w14:textId="77777777" w:rsidTr="00C076A4">
        <w:trPr>
          <w:trHeight w:val="20"/>
          <w:jc w:val="center"/>
        </w:trPr>
        <w:tc>
          <w:tcPr>
            <w:tcW w:w="2268" w:type="dxa"/>
            <w:tcBorders>
              <w:top w:val="nil"/>
              <w:left w:val="single" w:sz="4" w:space="0" w:color="auto"/>
              <w:bottom w:val="single" w:sz="4" w:space="0" w:color="auto"/>
              <w:right w:val="nil"/>
            </w:tcBorders>
            <w:shd w:val="clear" w:color="auto" w:fill="auto"/>
            <w:noWrap/>
            <w:vAlign w:val="center"/>
            <w:hideMark/>
          </w:tcPr>
          <w:p w14:paraId="320F8D30" w14:textId="77777777" w:rsidR="0079428C" w:rsidRPr="00C076A4" w:rsidRDefault="0079428C" w:rsidP="00C076A4">
            <w:pPr>
              <w:spacing w:before="40" w:after="40" w:line="240" w:lineRule="auto"/>
              <w:jc w:val="left"/>
              <w:rPr>
                <w:rFonts w:eastAsia="Times New Roman" w:cs="Calibri"/>
                <w:color w:val="000000"/>
                <w:sz w:val="22"/>
                <w:szCs w:val="22"/>
                <w:lang w:val="es-ES" w:eastAsia="es-AR"/>
              </w:rPr>
            </w:pPr>
            <w:r w:rsidRPr="00C076A4">
              <w:rPr>
                <w:rFonts w:eastAsia="Times New Roman" w:cs="Calibri"/>
                <w:color w:val="000000"/>
                <w:sz w:val="22"/>
                <w:szCs w:val="22"/>
                <w:lang w:val="es-ES" w:eastAsia="es-AR"/>
              </w:rPr>
              <w:t>Temuco</w:t>
            </w:r>
          </w:p>
        </w:tc>
        <w:tc>
          <w:tcPr>
            <w:tcW w:w="1701" w:type="dxa"/>
            <w:tcBorders>
              <w:top w:val="nil"/>
              <w:left w:val="single" w:sz="4" w:space="0" w:color="auto"/>
              <w:bottom w:val="single" w:sz="4" w:space="0" w:color="auto"/>
              <w:right w:val="single" w:sz="4" w:space="0" w:color="auto"/>
            </w:tcBorders>
            <w:shd w:val="clear" w:color="auto" w:fill="auto"/>
            <w:noWrap/>
            <w:vAlign w:val="center"/>
            <w:hideMark/>
          </w:tcPr>
          <w:p w14:paraId="19A8452E" w14:textId="77777777" w:rsidR="0079428C" w:rsidRPr="00C076A4" w:rsidRDefault="0079428C" w:rsidP="00C076A4">
            <w:pPr>
              <w:spacing w:before="40" w:after="40" w:line="240" w:lineRule="auto"/>
              <w:jc w:val="center"/>
              <w:rPr>
                <w:rFonts w:eastAsia="Times New Roman" w:cs="Calibri"/>
                <w:color w:val="000000"/>
                <w:sz w:val="22"/>
                <w:szCs w:val="22"/>
                <w:lang w:val="es-ES" w:eastAsia="es-AR"/>
              </w:rPr>
            </w:pPr>
            <w:r w:rsidRPr="00C076A4">
              <w:rPr>
                <w:rFonts w:eastAsia="Times New Roman" w:cs="Calibri"/>
                <w:color w:val="000000"/>
                <w:sz w:val="22"/>
                <w:szCs w:val="22"/>
                <w:lang w:val="es-ES" w:eastAsia="es-AR"/>
              </w:rPr>
              <w:t>1,041</w:t>
            </w:r>
          </w:p>
        </w:tc>
        <w:tc>
          <w:tcPr>
            <w:tcW w:w="1701" w:type="dxa"/>
            <w:tcBorders>
              <w:top w:val="nil"/>
              <w:left w:val="nil"/>
              <w:bottom w:val="single" w:sz="4" w:space="0" w:color="auto"/>
              <w:right w:val="single" w:sz="4" w:space="0" w:color="auto"/>
            </w:tcBorders>
            <w:shd w:val="clear" w:color="auto" w:fill="auto"/>
            <w:noWrap/>
            <w:vAlign w:val="center"/>
            <w:hideMark/>
          </w:tcPr>
          <w:p w14:paraId="6772A7E9" w14:textId="77777777" w:rsidR="0079428C" w:rsidRPr="00C076A4" w:rsidRDefault="0079428C" w:rsidP="00C076A4">
            <w:pPr>
              <w:spacing w:before="40" w:after="40" w:line="240" w:lineRule="auto"/>
              <w:jc w:val="center"/>
              <w:rPr>
                <w:rFonts w:eastAsia="Times New Roman" w:cs="Calibri"/>
                <w:color w:val="000000"/>
                <w:sz w:val="22"/>
                <w:szCs w:val="22"/>
                <w:lang w:val="es-ES" w:eastAsia="es-AR"/>
              </w:rPr>
            </w:pPr>
            <w:r w:rsidRPr="00C076A4">
              <w:rPr>
                <w:rFonts w:eastAsia="Times New Roman" w:cs="Calibri"/>
                <w:color w:val="000000"/>
                <w:sz w:val="22"/>
                <w:szCs w:val="22"/>
                <w:lang w:val="es-ES" w:eastAsia="es-AR"/>
              </w:rPr>
              <w:t>0,905</w:t>
            </w:r>
          </w:p>
        </w:tc>
      </w:tr>
    </w:tbl>
    <w:p w14:paraId="0454719E" w14:textId="566953DD" w:rsidR="0079428C" w:rsidRPr="0060133B" w:rsidRDefault="0079428C" w:rsidP="00C076A4">
      <w:pPr>
        <w:ind w:left="1985"/>
        <w:rPr>
          <w:sz w:val="20"/>
          <w:szCs w:val="20"/>
          <w:lang w:val="es-ES"/>
        </w:rPr>
      </w:pPr>
      <w:r w:rsidRPr="0060133B">
        <w:rPr>
          <w:sz w:val="20"/>
          <w:szCs w:val="20"/>
          <w:lang w:val="es-ES"/>
        </w:rPr>
        <w:t>C: compra</w:t>
      </w:r>
      <w:r w:rsidR="0060133B" w:rsidRPr="0060133B">
        <w:rPr>
          <w:sz w:val="20"/>
          <w:szCs w:val="20"/>
          <w:lang w:val="es-ES"/>
        </w:rPr>
        <w:t xml:space="preserve">; </w:t>
      </w:r>
      <w:r w:rsidRPr="0060133B">
        <w:rPr>
          <w:sz w:val="20"/>
          <w:szCs w:val="20"/>
          <w:lang w:val="es-ES"/>
        </w:rPr>
        <w:t>A: A</w:t>
      </w:r>
      <w:r w:rsidR="00C076A4">
        <w:rPr>
          <w:sz w:val="20"/>
          <w:szCs w:val="20"/>
          <w:lang w:val="es-ES"/>
        </w:rPr>
        <w:t>rriendo</w:t>
      </w:r>
    </w:p>
    <w:p w14:paraId="36976509" w14:textId="27B54EE1" w:rsidR="0079428C" w:rsidRPr="00B06D23" w:rsidRDefault="0079428C" w:rsidP="0079428C">
      <w:pPr>
        <w:rPr>
          <w:lang w:val="es-ES"/>
        </w:rPr>
      </w:pPr>
      <w:r w:rsidRPr="00B06D23">
        <w:rPr>
          <w:lang w:val="es-ES"/>
        </w:rPr>
        <w:t xml:space="preserve">En el análisis cuantitativo se observa en general la conveniencia de compra vs arriendo, salvo el caso de Coquimbo. No </w:t>
      </w:r>
      <w:r w:rsidR="005A2E09" w:rsidRPr="00B06D23">
        <w:rPr>
          <w:lang w:val="es-ES"/>
        </w:rPr>
        <w:t>obstante,</w:t>
      </w:r>
      <w:r w:rsidRPr="00B06D23">
        <w:rPr>
          <w:lang w:val="es-ES"/>
        </w:rPr>
        <w:t xml:space="preserve"> existen otras razones no cuantificables en la selección de la alternativa de compra, como la disponibilidad del edificio/bodega cuando es requerido, la posibilidad de almacenar sustancias peligrosas, etc.</w:t>
      </w:r>
    </w:p>
    <w:p w14:paraId="690BCB4E" w14:textId="0D1A6D79" w:rsidR="0079428C" w:rsidRPr="00B06D23" w:rsidRDefault="0079428C" w:rsidP="0079428C">
      <w:pPr>
        <w:rPr>
          <w:lang w:val="es-ES"/>
        </w:rPr>
      </w:pPr>
      <w:r w:rsidRPr="00B06D23">
        <w:rPr>
          <w:lang w:val="es-ES"/>
        </w:rPr>
        <w:t xml:space="preserve">En el </w:t>
      </w:r>
      <w:r w:rsidR="006A6EDD">
        <w:rPr>
          <w:lang w:val="es-ES"/>
        </w:rPr>
        <w:t>“</w:t>
      </w:r>
      <w:r w:rsidRPr="00B06D23">
        <w:rPr>
          <w:lang w:val="es-ES"/>
        </w:rPr>
        <w:t xml:space="preserve">Anexo </w:t>
      </w:r>
      <w:r w:rsidR="006A6EDD">
        <w:rPr>
          <w:lang w:val="es-ES"/>
        </w:rPr>
        <w:t>COMA</w:t>
      </w:r>
      <w:r w:rsidRPr="00B06D23">
        <w:rPr>
          <w:lang w:val="es-ES"/>
        </w:rPr>
        <w:t>_3 Modelo/Datos/ Costo Compra y Arriendo Oficinas y Bodegas</w:t>
      </w:r>
      <w:r w:rsidR="006A6EDD">
        <w:rPr>
          <w:lang w:val="es-ES"/>
        </w:rPr>
        <w:t>”</w:t>
      </w:r>
      <w:r w:rsidRPr="00B06D23">
        <w:rPr>
          <w:lang w:val="es-ES"/>
        </w:rPr>
        <w:t xml:space="preserve"> se encuentra el detalle de los cálculos realizados.</w:t>
      </w:r>
    </w:p>
    <w:p w14:paraId="048362A8" w14:textId="77777777" w:rsidR="0079428C" w:rsidRPr="00FD055F" w:rsidRDefault="0079428C" w:rsidP="0079428C">
      <w:pPr>
        <w:pStyle w:val="Ttulo4"/>
      </w:pPr>
      <w:bookmarkStart w:id="336" w:name="_Toc32390200"/>
      <w:bookmarkStart w:id="337" w:name="_Toc34398147"/>
      <w:bookmarkStart w:id="338" w:name="_Toc39797837"/>
      <w:r w:rsidRPr="00FD055F">
        <w:t>Equipamiento de operación y mantenimiento no fungible</w:t>
      </w:r>
      <w:bookmarkEnd w:id="336"/>
      <w:bookmarkEnd w:id="337"/>
      <w:bookmarkEnd w:id="338"/>
    </w:p>
    <w:p w14:paraId="3F6C690D" w14:textId="77777777" w:rsidR="0079428C" w:rsidRPr="00B06D23" w:rsidRDefault="0079428C" w:rsidP="0079428C">
      <w:pPr>
        <w:rPr>
          <w:lang w:val="es-ES"/>
        </w:rPr>
      </w:pPr>
      <w:r w:rsidRPr="00B06D23">
        <w:rPr>
          <w:lang w:val="es-ES"/>
        </w:rPr>
        <w:t>Este ítem incluye los equipos especializados de OyM que utiliza el personal tercerizado y el personal de plantilla de la empresa que realiza tareas operativas.</w:t>
      </w:r>
    </w:p>
    <w:p w14:paraId="3D06DD08" w14:textId="77777777" w:rsidR="0079428C" w:rsidRPr="00B06D23" w:rsidRDefault="0079428C" w:rsidP="0079428C">
      <w:pPr>
        <w:rPr>
          <w:lang w:val="es-ES"/>
        </w:rPr>
      </w:pPr>
      <w:r w:rsidRPr="00B06D23">
        <w:rPr>
          <w:lang w:val="es-ES"/>
        </w:rPr>
        <w:t>El equipamiento de operación y mantenimiento no fungible se agrupa en KITs por tipo de cuadrilla en función de las tareas que realiza cada tipo de cuadrilla.</w:t>
      </w:r>
    </w:p>
    <w:p w14:paraId="4B5A566B" w14:textId="77777777" w:rsidR="0079428C" w:rsidRPr="00B06D23" w:rsidRDefault="0079428C" w:rsidP="0079428C">
      <w:pPr>
        <w:rPr>
          <w:lang w:val="es-ES"/>
        </w:rPr>
      </w:pPr>
      <w:r w:rsidRPr="00B06D23">
        <w:rPr>
          <w:lang w:val="es-ES"/>
        </w:rPr>
        <w:lastRenderedPageBreak/>
        <w:t>Los KITH comprenden las herramientas, equipos e instrumentos para efectuar reparaciones, controles y/o mediciones con fines de diagnóstico en las diferentes instalaciones del sistema y que son de uso común por las cuadrillas que lo requieren para sus tareas de OyM.</w:t>
      </w:r>
    </w:p>
    <w:p w14:paraId="63B230E5" w14:textId="77777777" w:rsidR="0079428C" w:rsidRPr="00B06D23" w:rsidRDefault="0079428C" w:rsidP="00AC403A">
      <w:pPr>
        <w:rPr>
          <w:lang w:val="es-ES"/>
        </w:rPr>
      </w:pPr>
      <w:r w:rsidRPr="00B06D23">
        <w:rPr>
          <w:lang w:val="es-ES"/>
        </w:rPr>
        <w:t>Los KITS comprenden los elementos de seguridad personal que son requeridos por cada integrante de la cuadrilla.</w:t>
      </w:r>
    </w:p>
    <w:p w14:paraId="460A9BDB" w14:textId="6F3735C5" w:rsidR="0079428C" w:rsidRDefault="0079428C" w:rsidP="0079428C">
      <w:pPr>
        <w:rPr>
          <w:lang w:val="es-ES"/>
        </w:rPr>
      </w:pPr>
      <w:r w:rsidRPr="00FB5272">
        <w:rPr>
          <w:lang w:val="es-ES"/>
        </w:rPr>
        <w:t xml:space="preserve">En el </w:t>
      </w:r>
      <w:r w:rsidR="00561D57">
        <w:rPr>
          <w:lang w:val="es-ES"/>
        </w:rPr>
        <w:t>“</w:t>
      </w:r>
      <w:r w:rsidRPr="00FB5272">
        <w:rPr>
          <w:lang w:val="es-ES"/>
        </w:rPr>
        <w:t xml:space="preserve">Anexo </w:t>
      </w:r>
      <w:r w:rsidR="00561D57">
        <w:rPr>
          <w:lang w:val="es-ES"/>
        </w:rPr>
        <w:t>COMA</w:t>
      </w:r>
      <w:r w:rsidRPr="00FB5272">
        <w:rPr>
          <w:lang w:val="es-ES"/>
        </w:rPr>
        <w:t>_3 Modelo/Datos/ Herramientas cuadrillas</w:t>
      </w:r>
      <w:r w:rsidR="00561D57">
        <w:rPr>
          <w:lang w:val="es-ES"/>
        </w:rPr>
        <w:t>”</w:t>
      </w:r>
      <w:r w:rsidRPr="00FB5272">
        <w:rPr>
          <w:lang w:val="es-ES"/>
        </w:rPr>
        <w:t xml:space="preserve"> se encuentran detallados los elementos que comprenden los KITH y los KITS para cada cuadrilla</w:t>
      </w:r>
      <w:r w:rsidR="00D409FA" w:rsidRPr="00FB5272">
        <w:rPr>
          <w:lang w:val="es-ES"/>
        </w:rPr>
        <w:t xml:space="preserve"> </w:t>
      </w:r>
      <w:r w:rsidRPr="00FB5272">
        <w:rPr>
          <w:lang w:val="es-ES"/>
        </w:rPr>
        <w:t>y para cada operario integrante de la cuadrilla, con sus costos unitarios.</w:t>
      </w:r>
    </w:p>
    <w:p w14:paraId="4E1E4F19" w14:textId="26D44C72" w:rsidR="00F96DE6" w:rsidRDefault="00F96DE6" w:rsidP="0079428C">
      <w:pPr>
        <w:rPr>
          <w:lang w:val="es-ES"/>
        </w:rPr>
      </w:pPr>
      <w:r>
        <w:rPr>
          <w:lang w:val="es-ES"/>
        </w:rPr>
        <w:t>Las herramientas asignadas a cada cuadrilla son las requeridas para desempeñar las tareas de la especialidad de cada cuadrilla de la siguiente forma:</w:t>
      </w:r>
    </w:p>
    <w:p w14:paraId="4E09EA69" w14:textId="3EF1FF5D" w:rsidR="00561D57" w:rsidRPr="00BC38C2" w:rsidRDefault="00561D57" w:rsidP="00561D57">
      <w:pPr>
        <w:pStyle w:val="Subttulo"/>
      </w:pPr>
      <w:bookmarkStart w:id="339" w:name="_Toc39797942"/>
      <w:r w:rsidRPr="00BC38C2">
        <w:t xml:space="preserve">Tabla </w:t>
      </w:r>
      <w:fldSimple w:instr=" SEQ Tabla \* ARABIC ">
        <w:r w:rsidR="001F3E2E">
          <w:rPr>
            <w:noProof/>
          </w:rPr>
          <w:t>32</w:t>
        </w:r>
      </w:fldSimple>
      <w:r>
        <w:t>:</w:t>
      </w:r>
      <w:r w:rsidRPr="00BC38C2">
        <w:t xml:space="preserve"> </w:t>
      </w:r>
      <w:r>
        <w:t>descripción herramientas por tipo cuadrilla</w:t>
      </w:r>
      <w:bookmarkEnd w:id="339"/>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firstRow="1" w:lastRow="0" w:firstColumn="1" w:lastColumn="0" w:noHBand="0" w:noVBand="1"/>
      </w:tblPr>
      <w:tblGrid>
        <w:gridCol w:w="1134"/>
        <w:gridCol w:w="3969"/>
        <w:gridCol w:w="4536"/>
      </w:tblGrid>
      <w:tr w:rsidR="00561D57" w:rsidRPr="00AC403A" w14:paraId="321FED29" w14:textId="77777777" w:rsidTr="00C076A4">
        <w:trPr>
          <w:tblHeader/>
          <w:jc w:val="center"/>
        </w:trPr>
        <w:tc>
          <w:tcPr>
            <w:tcW w:w="1134" w:type="dxa"/>
            <w:shd w:val="clear" w:color="auto" w:fill="D9D9D9" w:themeFill="background1" w:themeFillShade="D9"/>
            <w:noWrap/>
            <w:vAlign w:val="center"/>
          </w:tcPr>
          <w:p w14:paraId="1E036C3C" w14:textId="375EC91C" w:rsidR="00561D57" w:rsidRPr="00AC403A" w:rsidRDefault="00561D57" w:rsidP="00561D57">
            <w:pPr>
              <w:spacing w:after="0" w:line="240" w:lineRule="auto"/>
              <w:jc w:val="center"/>
              <w:rPr>
                <w:rFonts w:eastAsia="Times New Roman" w:cs="Calibri"/>
                <w:b/>
                <w:color w:val="000000"/>
                <w:sz w:val="20"/>
                <w:szCs w:val="20"/>
                <w:lang w:val="es-AR" w:eastAsia="es-AR"/>
              </w:rPr>
            </w:pPr>
            <w:r w:rsidRPr="00AC403A">
              <w:rPr>
                <w:rFonts w:eastAsia="Times New Roman" w:cstheme="minorHAnsi"/>
                <w:b/>
                <w:bCs/>
                <w:color w:val="000000"/>
                <w:sz w:val="20"/>
                <w:szCs w:val="20"/>
                <w:lang w:val="es-AR" w:eastAsia="es-AR"/>
              </w:rPr>
              <w:t>Código cuadrilla</w:t>
            </w:r>
          </w:p>
        </w:tc>
        <w:tc>
          <w:tcPr>
            <w:tcW w:w="3969" w:type="dxa"/>
            <w:shd w:val="clear" w:color="auto" w:fill="D9D9D9" w:themeFill="background1" w:themeFillShade="D9"/>
            <w:noWrap/>
            <w:vAlign w:val="center"/>
          </w:tcPr>
          <w:p w14:paraId="045C045B" w14:textId="4A560519" w:rsidR="00561D57" w:rsidRPr="00AC403A" w:rsidRDefault="00561D57" w:rsidP="00561D57">
            <w:pPr>
              <w:spacing w:after="0" w:line="240" w:lineRule="auto"/>
              <w:jc w:val="center"/>
              <w:rPr>
                <w:rFonts w:eastAsia="Times New Roman" w:cs="Calibri"/>
                <w:b/>
                <w:color w:val="000000"/>
                <w:sz w:val="20"/>
                <w:szCs w:val="20"/>
                <w:lang w:val="es-AR" w:eastAsia="es-AR"/>
              </w:rPr>
            </w:pPr>
            <w:r w:rsidRPr="00AC403A">
              <w:rPr>
                <w:rFonts w:eastAsia="Times New Roman" w:cstheme="minorHAnsi"/>
                <w:b/>
                <w:bCs/>
                <w:color w:val="000000"/>
                <w:sz w:val="20"/>
                <w:szCs w:val="20"/>
                <w:lang w:val="es-AR" w:eastAsia="es-AR"/>
              </w:rPr>
              <w:t>Descripción</w:t>
            </w:r>
          </w:p>
        </w:tc>
        <w:tc>
          <w:tcPr>
            <w:tcW w:w="4536" w:type="dxa"/>
            <w:shd w:val="clear" w:color="auto" w:fill="D9D9D9" w:themeFill="background1" w:themeFillShade="D9"/>
            <w:vAlign w:val="center"/>
          </w:tcPr>
          <w:p w14:paraId="591FC045" w14:textId="7BFF4DAA" w:rsidR="00561D57" w:rsidRPr="00AC403A" w:rsidRDefault="00561D57" w:rsidP="00561D57">
            <w:pPr>
              <w:spacing w:after="0" w:line="240" w:lineRule="auto"/>
              <w:jc w:val="center"/>
              <w:rPr>
                <w:rFonts w:eastAsia="Times New Roman" w:cs="Calibri"/>
                <w:b/>
                <w:color w:val="000000"/>
                <w:sz w:val="20"/>
                <w:szCs w:val="20"/>
                <w:lang w:val="es-AR" w:eastAsia="es-AR"/>
              </w:rPr>
            </w:pPr>
            <w:r w:rsidRPr="00AC403A">
              <w:rPr>
                <w:rFonts w:eastAsia="Times New Roman" w:cs="Calibri"/>
                <w:b/>
                <w:color w:val="000000"/>
                <w:sz w:val="20"/>
                <w:szCs w:val="20"/>
                <w:lang w:val="es-AR" w:eastAsia="es-AR"/>
              </w:rPr>
              <w:t>Herramientas</w:t>
            </w:r>
          </w:p>
        </w:tc>
      </w:tr>
      <w:tr w:rsidR="00F96DE6" w:rsidRPr="00AC403A" w14:paraId="7E71C879" w14:textId="7A31F799" w:rsidTr="00C076A4">
        <w:trPr>
          <w:jc w:val="center"/>
        </w:trPr>
        <w:tc>
          <w:tcPr>
            <w:tcW w:w="1134" w:type="dxa"/>
            <w:shd w:val="clear" w:color="auto" w:fill="auto"/>
            <w:noWrap/>
            <w:vAlign w:val="center"/>
            <w:hideMark/>
          </w:tcPr>
          <w:p w14:paraId="080358BE" w14:textId="77777777" w:rsidR="00F96DE6" w:rsidRPr="00AC403A" w:rsidRDefault="00F96DE6" w:rsidP="00561D57">
            <w:pPr>
              <w:spacing w:after="0" w:line="240" w:lineRule="auto"/>
              <w:rPr>
                <w:rFonts w:eastAsia="Times New Roman" w:cs="Calibri"/>
                <w:color w:val="000000"/>
                <w:sz w:val="20"/>
                <w:szCs w:val="20"/>
                <w:lang w:val="es-AR" w:eastAsia="es-AR"/>
              </w:rPr>
            </w:pPr>
            <w:r w:rsidRPr="00AC403A">
              <w:rPr>
                <w:rFonts w:eastAsia="Times New Roman" w:cs="Calibri"/>
                <w:color w:val="000000"/>
                <w:sz w:val="20"/>
                <w:szCs w:val="20"/>
                <w:lang w:val="es-AR" w:eastAsia="es-AR"/>
              </w:rPr>
              <w:t>CMINP</w:t>
            </w:r>
          </w:p>
        </w:tc>
        <w:tc>
          <w:tcPr>
            <w:tcW w:w="3969" w:type="dxa"/>
            <w:shd w:val="clear" w:color="auto" w:fill="auto"/>
            <w:noWrap/>
            <w:vAlign w:val="center"/>
            <w:hideMark/>
          </w:tcPr>
          <w:p w14:paraId="037018BD" w14:textId="77777777" w:rsidR="00F96DE6" w:rsidRPr="00AC403A" w:rsidRDefault="00F96DE6" w:rsidP="00561D57">
            <w:pPr>
              <w:spacing w:after="0" w:line="240" w:lineRule="auto"/>
              <w:rPr>
                <w:rFonts w:eastAsia="Times New Roman" w:cs="Calibri"/>
                <w:color w:val="000000"/>
                <w:sz w:val="20"/>
                <w:szCs w:val="20"/>
                <w:lang w:val="es-AR" w:eastAsia="es-AR"/>
              </w:rPr>
            </w:pPr>
            <w:r w:rsidRPr="00AC403A">
              <w:rPr>
                <w:rFonts w:eastAsia="Times New Roman" w:cs="Calibri"/>
                <w:color w:val="000000"/>
                <w:sz w:val="20"/>
                <w:szCs w:val="20"/>
                <w:lang w:val="es-AR" w:eastAsia="es-AR"/>
              </w:rPr>
              <w:t>Inspección pedestre de Líneas Aéreas</w:t>
            </w:r>
          </w:p>
        </w:tc>
        <w:tc>
          <w:tcPr>
            <w:tcW w:w="4536" w:type="dxa"/>
            <w:vAlign w:val="center"/>
          </w:tcPr>
          <w:p w14:paraId="69F4930E" w14:textId="41184282" w:rsidR="00F96DE6" w:rsidRPr="00AC403A" w:rsidRDefault="00F96DE6" w:rsidP="00561D57">
            <w:pPr>
              <w:spacing w:after="0" w:line="240" w:lineRule="auto"/>
              <w:rPr>
                <w:rFonts w:eastAsia="Times New Roman" w:cs="Calibri"/>
                <w:color w:val="000000"/>
                <w:sz w:val="20"/>
                <w:szCs w:val="20"/>
                <w:lang w:val="es-AR" w:eastAsia="es-AR"/>
              </w:rPr>
            </w:pPr>
            <w:r w:rsidRPr="00AC403A">
              <w:rPr>
                <w:rFonts w:eastAsia="Times New Roman" w:cs="Calibri"/>
                <w:color w:val="000000"/>
                <w:sz w:val="20"/>
                <w:szCs w:val="20"/>
                <w:lang w:val="es-AR" w:eastAsia="es-AR"/>
              </w:rPr>
              <w:t>Equipos para observación, medición y documentación de las inspecciones.</w:t>
            </w:r>
          </w:p>
        </w:tc>
      </w:tr>
      <w:tr w:rsidR="00F96DE6" w:rsidRPr="00AC403A" w14:paraId="4CED8657" w14:textId="66BA5E45" w:rsidTr="00C076A4">
        <w:trPr>
          <w:jc w:val="center"/>
        </w:trPr>
        <w:tc>
          <w:tcPr>
            <w:tcW w:w="1134" w:type="dxa"/>
            <w:shd w:val="clear" w:color="auto" w:fill="auto"/>
            <w:noWrap/>
            <w:vAlign w:val="center"/>
            <w:hideMark/>
          </w:tcPr>
          <w:p w14:paraId="6E24C48A" w14:textId="77777777" w:rsidR="00F96DE6" w:rsidRPr="00AC403A" w:rsidRDefault="00F96DE6" w:rsidP="00561D57">
            <w:pPr>
              <w:spacing w:after="0" w:line="240" w:lineRule="auto"/>
              <w:rPr>
                <w:rFonts w:eastAsia="Times New Roman" w:cs="Calibri"/>
                <w:color w:val="000000"/>
                <w:sz w:val="20"/>
                <w:szCs w:val="20"/>
                <w:lang w:val="es-AR" w:eastAsia="es-AR"/>
              </w:rPr>
            </w:pPr>
            <w:r w:rsidRPr="00AC403A">
              <w:rPr>
                <w:rFonts w:eastAsia="Times New Roman" w:cs="Calibri"/>
                <w:color w:val="000000"/>
                <w:sz w:val="20"/>
                <w:szCs w:val="20"/>
                <w:lang w:val="es-AR" w:eastAsia="es-AR"/>
              </w:rPr>
              <w:t>CMLVA</w:t>
            </w:r>
          </w:p>
        </w:tc>
        <w:tc>
          <w:tcPr>
            <w:tcW w:w="3969" w:type="dxa"/>
            <w:shd w:val="clear" w:color="auto" w:fill="auto"/>
            <w:noWrap/>
            <w:vAlign w:val="center"/>
            <w:hideMark/>
          </w:tcPr>
          <w:p w14:paraId="1394C245" w14:textId="77777777" w:rsidR="00F96DE6" w:rsidRPr="00AC403A" w:rsidRDefault="00F96DE6" w:rsidP="00561D57">
            <w:pPr>
              <w:spacing w:after="0" w:line="240" w:lineRule="auto"/>
              <w:rPr>
                <w:rFonts w:eastAsia="Times New Roman" w:cs="Calibri"/>
                <w:color w:val="000000"/>
                <w:sz w:val="20"/>
                <w:szCs w:val="20"/>
                <w:lang w:val="es-AR" w:eastAsia="es-AR"/>
              </w:rPr>
            </w:pPr>
            <w:r w:rsidRPr="00AC403A">
              <w:rPr>
                <w:rFonts w:eastAsia="Times New Roman" w:cs="Calibri"/>
                <w:color w:val="000000"/>
                <w:sz w:val="20"/>
                <w:szCs w:val="20"/>
                <w:lang w:val="es-AR" w:eastAsia="es-AR"/>
              </w:rPr>
              <w:t>Lavado de aisladores con tensión</w:t>
            </w:r>
          </w:p>
        </w:tc>
        <w:tc>
          <w:tcPr>
            <w:tcW w:w="4536" w:type="dxa"/>
            <w:vAlign w:val="center"/>
          </w:tcPr>
          <w:p w14:paraId="16BF6345" w14:textId="0617BF89" w:rsidR="00F96DE6" w:rsidRPr="00AC403A" w:rsidRDefault="00F96DE6" w:rsidP="00561D57">
            <w:pPr>
              <w:spacing w:after="0" w:line="240" w:lineRule="auto"/>
              <w:rPr>
                <w:rFonts w:eastAsia="Times New Roman" w:cs="Calibri"/>
                <w:color w:val="000000"/>
                <w:sz w:val="20"/>
                <w:szCs w:val="20"/>
                <w:lang w:val="es-AR" w:eastAsia="es-AR"/>
              </w:rPr>
            </w:pPr>
            <w:r w:rsidRPr="00AC403A">
              <w:rPr>
                <w:rFonts w:eastAsia="Times New Roman" w:cs="Calibri"/>
                <w:color w:val="000000"/>
                <w:sz w:val="20"/>
                <w:szCs w:val="20"/>
                <w:lang w:val="es-AR" w:eastAsia="es-AR"/>
              </w:rPr>
              <w:t>Equipos para realizar el lavado de aisladores en condiciones de línea viva y asegurar la calidad de los insumos utilizados.</w:t>
            </w:r>
          </w:p>
        </w:tc>
      </w:tr>
      <w:tr w:rsidR="00F96DE6" w:rsidRPr="00AC403A" w14:paraId="7815EF2E" w14:textId="47501E9D" w:rsidTr="00C076A4">
        <w:trPr>
          <w:jc w:val="center"/>
        </w:trPr>
        <w:tc>
          <w:tcPr>
            <w:tcW w:w="1134" w:type="dxa"/>
            <w:shd w:val="clear" w:color="auto" w:fill="auto"/>
            <w:noWrap/>
            <w:vAlign w:val="center"/>
            <w:hideMark/>
          </w:tcPr>
          <w:p w14:paraId="4F479710" w14:textId="77777777" w:rsidR="00F96DE6" w:rsidRPr="00AC403A" w:rsidRDefault="00F96DE6" w:rsidP="00561D57">
            <w:pPr>
              <w:spacing w:after="0" w:line="240" w:lineRule="auto"/>
              <w:rPr>
                <w:rFonts w:eastAsia="Times New Roman" w:cs="Calibri"/>
                <w:color w:val="000000"/>
                <w:sz w:val="20"/>
                <w:szCs w:val="20"/>
                <w:lang w:val="es-AR" w:eastAsia="es-AR"/>
              </w:rPr>
            </w:pPr>
            <w:r w:rsidRPr="00AC403A">
              <w:rPr>
                <w:rFonts w:eastAsia="Times New Roman" w:cs="Calibri"/>
                <w:color w:val="000000"/>
                <w:sz w:val="20"/>
                <w:szCs w:val="20"/>
                <w:lang w:val="es-AR" w:eastAsia="es-AR"/>
              </w:rPr>
              <w:t>CMTCT</w:t>
            </w:r>
          </w:p>
        </w:tc>
        <w:tc>
          <w:tcPr>
            <w:tcW w:w="3969" w:type="dxa"/>
            <w:shd w:val="clear" w:color="auto" w:fill="auto"/>
            <w:noWrap/>
            <w:vAlign w:val="center"/>
            <w:hideMark/>
          </w:tcPr>
          <w:p w14:paraId="087B2A64" w14:textId="77777777" w:rsidR="00F96DE6" w:rsidRPr="00AC403A" w:rsidRDefault="00F96DE6" w:rsidP="00561D57">
            <w:pPr>
              <w:spacing w:after="0" w:line="240" w:lineRule="auto"/>
              <w:rPr>
                <w:rFonts w:eastAsia="Times New Roman" w:cs="Calibri"/>
                <w:color w:val="000000"/>
                <w:sz w:val="20"/>
                <w:szCs w:val="20"/>
                <w:lang w:val="es-AR" w:eastAsia="es-AR"/>
              </w:rPr>
            </w:pPr>
            <w:r w:rsidRPr="00AC403A">
              <w:rPr>
                <w:rFonts w:eastAsia="Times New Roman" w:cs="Calibri"/>
                <w:color w:val="000000"/>
                <w:sz w:val="20"/>
                <w:szCs w:val="20"/>
                <w:lang w:val="es-AR" w:eastAsia="es-AR"/>
              </w:rPr>
              <w:t>Trabajos con Tensión</w:t>
            </w:r>
          </w:p>
        </w:tc>
        <w:tc>
          <w:tcPr>
            <w:tcW w:w="4536" w:type="dxa"/>
            <w:vAlign w:val="center"/>
          </w:tcPr>
          <w:p w14:paraId="67B350FD" w14:textId="2069F409" w:rsidR="00F96DE6" w:rsidRPr="00AC403A" w:rsidRDefault="00F96DE6" w:rsidP="00561D57">
            <w:pPr>
              <w:spacing w:after="0" w:line="240" w:lineRule="auto"/>
              <w:rPr>
                <w:rFonts w:eastAsia="Times New Roman" w:cs="Calibri"/>
                <w:color w:val="000000"/>
                <w:sz w:val="20"/>
                <w:szCs w:val="20"/>
                <w:lang w:val="es-AR" w:eastAsia="es-AR"/>
              </w:rPr>
            </w:pPr>
            <w:r w:rsidRPr="00AC403A">
              <w:rPr>
                <w:rFonts w:eastAsia="Times New Roman" w:cs="Calibri"/>
                <w:color w:val="000000"/>
                <w:sz w:val="20"/>
                <w:szCs w:val="20"/>
                <w:lang w:val="es-AR" w:eastAsia="es-AR"/>
              </w:rPr>
              <w:t>Herramientas y equipos para realizar trabajos reparación y/o reemplazo de partes de líneas con tensión.</w:t>
            </w:r>
          </w:p>
        </w:tc>
      </w:tr>
      <w:tr w:rsidR="00F96DE6" w:rsidRPr="00AC403A" w14:paraId="54E1CD79" w14:textId="6536DF96" w:rsidTr="00C076A4">
        <w:trPr>
          <w:jc w:val="center"/>
        </w:trPr>
        <w:tc>
          <w:tcPr>
            <w:tcW w:w="1134" w:type="dxa"/>
            <w:shd w:val="clear" w:color="auto" w:fill="auto"/>
            <w:noWrap/>
            <w:vAlign w:val="center"/>
            <w:hideMark/>
          </w:tcPr>
          <w:p w14:paraId="7C85A208" w14:textId="77777777" w:rsidR="00F96DE6" w:rsidRPr="00AC403A" w:rsidRDefault="00F96DE6" w:rsidP="00561D57">
            <w:pPr>
              <w:spacing w:after="0" w:line="240" w:lineRule="auto"/>
              <w:rPr>
                <w:rFonts w:eastAsia="Times New Roman" w:cs="Calibri"/>
                <w:color w:val="000000"/>
                <w:sz w:val="20"/>
                <w:szCs w:val="20"/>
                <w:lang w:val="es-AR" w:eastAsia="es-AR"/>
              </w:rPr>
            </w:pPr>
            <w:r w:rsidRPr="00AC403A">
              <w:rPr>
                <w:rFonts w:eastAsia="Times New Roman" w:cs="Calibri"/>
                <w:color w:val="000000"/>
                <w:sz w:val="20"/>
                <w:szCs w:val="20"/>
                <w:lang w:val="es-AR" w:eastAsia="es-AR"/>
              </w:rPr>
              <w:t>CMPOR</w:t>
            </w:r>
          </w:p>
        </w:tc>
        <w:tc>
          <w:tcPr>
            <w:tcW w:w="3969" w:type="dxa"/>
            <w:shd w:val="clear" w:color="auto" w:fill="auto"/>
            <w:noWrap/>
            <w:vAlign w:val="center"/>
            <w:hideMark/>
          </w:tcPr>
          <w:p w14:paraId="2DA60385" w14:textId="77777777" w:rsidR="00F96DE6" w:rsidRPr="00AC403A" w:rsidRDefault="00F96DE6" w:rsidP="00561D57">
            <w:pPr>
              <w:spacing w:after="0" w:line="240" w:lineRule="auto"/>
              <w:rPr>
                <w:rFonts w:eastAsia="Times New Roman" w:cs="Calibri"/>
                <w:color w:val="000000"/>
                <w:sz w:val="20"/>
                <w:szCs w:val="20"/>
                <w:lang w:val="es-AR" w:eastAsia="es-AR"/>
              </w:rPr>
            </w:pPr>
            <w:r w:rsidRPr="00AC403A">
              <w:rPr>
                <w:rFonts w:eastAsia="Times New Roman" w:cs="Calibri"/>
                <w:color w:val="000000"/>
                <w:sz w:val="20"/>
                <w:szCs w:val="20"/>
                <w:lang w:val="es-AR" w:eastAsia="es-AR"/>
              </w:rPr>
              <w:t>Poda y Roce</w:t>
            </w:r>
          </w:p>
        </w:tc>
        <w:tc>
          <w:tcPr>
            <w:tcW w:w="4536" w:type="dxa"/>
            <w:vAlign w:val="center"/>
          </w:tcPr>
          <w:p w14:paraId="052C69FE" w14:textId="18F9C223" w:rsidR="00F96DE6" w:rsidRPr="00AC403A" w:rsidRDefault="005A2E09" w:rsidP="00561D57">
            <w:pPr>
              <w:spacing w:after="0" w:line="240" w:lineRule="auto"/>
              <w:rPr>
                <w:rFonts w:eastAsia="Times New Roman" w:cs="Calibri"/>
                <w:color w:val="000000"/>
                <w:sz w:val="20"/>
                <w:szCs w:val="20"/>
                <w:lang w:val="es-AR" w:eastAsia="es-AR"/>
              </w:rPr>
            </w:pPr>
            <w:r w:rsidRPr="00AC403A">
              <w:rPr>
                <w:rFonts w:eastAsia="Times New Roman" w:cs="Calibri"/>
                <w:color w:val="000000"/>
                <w:sz w:val="20"/>
                <w:szCs w:val="20"/>
                <w:lang w:val="es-AR" w:eastAsia="es-AR"/>
              </w:rPr>
              <w:t>Herramientas</w:t>
            </w:r>
            <w:r w:rsidR="00F96DE6" w:rsidRPr="00AC403A">
              <w:rPr>
                <w:rFonts w:eastAsia="Times New Roman" w:cs="Calibri"/>
                <w:color w:val="000000"/>
                <w:sz w:val="20"/>
                <w:szCs w:val="20"/>
                <w:lang w:val="es-AR" w:eastAsia="es-AR"/>
              </w:rPr>
              <w:t xml:space="preserve"> y equipos para realizar poda de árboles y limpieza de la franja de servidumbre.</w:t>
            </w:r>
          </w:p>
        </w:tc>
      </w:tr>
      <w:tr w:rsidR="00F96DE6" w:rsidRPr="00AC403A" w14:paraId="388BE79B" w14:textId="13EAE95A" w:rsidTr="00C076A4">
        <w:trPr>
          <w:jc w:val="center"/>
        </w:trPr>
        <w:tc>
          <w:tcPr>
            <w:tcW w:w="1134" w:type="dxa"/>
            <w:shd w:val="clear" w:color="auto" w:fill="auto"/>
            <w:noWrap/>
            <w:vAlign w:val="center"/>
            <w:hideMark/>
          </w:tcPr>
          <w:p w14:paraId="759471B9" w14:textId="77777777" w:rsidR="00F96DE6" w:rsidRPr="00AC403A" w:rsidRDefault="00F96DE6" w:rsidP="00561D57">
            <w:pPr>
              <w:spacing w:after="0" w:line="240" w:lineRule="auto"/>
              <w:rPr>
                <w:rFonts w:eastAsia="Times New Roman" w:cs="Calibri"/>
                <w:color w:val="000000"/>
                <w:sz w:val="20"/>
                <w:szCs w:val="20"/>
                <w:lang w:val="es-AR" w:eastAsia="es-AR"/>
              </w:rPr>
            </w:pPr>
            <w:r w:rsidRPr="00AC403A">
              <w:rPr>
                <w:rFonts w:eastAsia="Times New Roman" w:cs="Calibri"/>
                <w:color w:val="000000"/>
                <w:sz w:val="20"/>
                <w:szCs w:val="20"/>
                <w:lang w:val="es-AR" w:eastAsia="es-AR"/>
              </w:rPr>
              <w:t>CMELA</w:t>
            </w:r>
          </w:p>
        </w:tc>
        <w:tc>
          <w:tcPr>
            <w:tcW w:w="3969" w:type="dxa"/>
            <w:shd w:val="clear" w:color="auto" w:fill="auto"/>
            <w:noWrap/>
            <w:vAlign w:val="center"/>
            <w:hideMark/>
          </w:tcPr>
          <w:p w14:paraId="5ADBAD15" w14:textId="77777777" w:rsidR="00F96DE6" w:rsidRPr="00AC403A" w:rsidRDefault="00F96DE6" w:rsidP="00561D57">
            <w:pPr>
              <w:spacing w:after="0" w:line="240" w:lineRule="auto"/>
              <w:rPr>
                <w:rFonts w:eastAsia="Times New Roman" w:cs="Calibri"/>
                <w:color w:val="000000"/>
                <w:sz w:val="20"/>
                <w:szCs w:val="20"/>
                <w:lang w:val="es-AR" w:eastAsia="es-AR"/>
              </w:rPr>
            </w:pPr>
            <w:r w:rsidRPr="00AC403A">
              <w:rPr>
                <w:rFonts w:eastAsia="Times New Roman" w:cs="Calibri"/>
                <w:color w:val="000000"/>
                <w:sz w:val="20"/>
                <w:szCs w:val="20"/>
                <w:lang w:val="es-AR" w:eastAsia="es-AR"/>
              </w:rPr>
              <w:t>Mantenimiento de Estructuras y líneas sin Tensión</w:t>
            </w:r>
          </w:p>
        </w:tc>
        <w:tc>
          <w:tcPr>
            <w:tcW w:w="4536" w:type="dxa"/>
            <w:vAlign w:val="center"/>
          </w:tcPr>
          <w:p w14:paraId="3606DE63" w14:textId="0DF2F64E" w:rsidR="00F96DE6" w:rsidRPr="00AC403A" w:rsidRDefault="00F96DE6" w:rsidP="00561D57">
            <w:pPr>
              <w:spacing w:after="0" w:line="240" w:lineRule="auto"/>
              <w:rPr>
                <w:rFonts w:eastAsia="Times New Roman" w:cs="Calibri"/>
                <w:color w:val="000000"/>
                <w:sz w:val="20"/>
                <w:szCs w:val="20"/>
                <w:lang w:val="es-AR" w:eastAsia="es-AR"/>
              </w:rPr>
            </w:pPr>
            <w:r w:rsidRPr="00AC403A">
              <w:rPr>
                <w:rFonts w:eastAsia="Times New Roman" w:cs="Calibri"/>
                <w:color w:val="000000"/>
                <w:sz w:val="20"/>
                <w:szCs w:val="20"/>
                <w:lang w:val="es-AR" w:eastAsia="es-AR"/>
              </w:rPr>
              <w:t>Herramientas y equipos para realizar trabajos reparación y/o reemplazo de partes de líneas sin tensión</w:t>
            </w:r>
          </w:p>
        </w:tc>
      </w:tr>
      <w:tr w:rsidR="00F96DE6" w:rsidRPr="00AC403A" w14:paraId="57257EE7" w14:textId="408E5AC0" w:rsidTr="00C076A4">
        <w:trPr>
          <w:jc w:val="center"/>
        </w:trPr>
        <w:tc>
          <w:tcPr>
            <w:tcW w:w="1134" w:type="dxa"/>
            <w:shd w:val="clear" w:color="auto" w:fill="auto"/>
            <w:noWrap/>
            <w:vAlign w:val="center"/>
            <w:hideMark/>
          </w:tcPr>
          <w:p w14:paraId="6A40EB24" w14:textId="77777777" w:rsidR="00F96DE6" w:rsidRPr="00AC403A" w:rsidRDefault="00F96DE6" w:rsidP="00561D57">
            <w:pPr>
              <w:spacing w:after="0" w:line="240" w:lineRule="auto"/>
              <w:rPr>
                <w:rFonts w:eastAsia="Times New Roman" w:cs="Calibri"/>
                <w:color w:val="000000"/>
                <w:sz w:val="20"/>
                <w:szCs w:val="20"/>
                <w:lang w:val="es-AR" w:eastAsia="es-AR"/>
              </w:rPr>
            </w:pPr>
            <w:r w:rsidRPr="00AC403A">
              <w:rPr>
                <w:rFonts w:eastAsia="Times New Roman" w:cs="Calibri"/>
                <w:color w:val="000000"/>
                <w:sz w:val="20"/>
                <w:szCs w:val="20"/>
                <w:lang w:val="es-AR" w:eastAsia="es-AR"/>
              </w:rPr>
              <w:t>CMCAM</w:t>
            </w:r>
          </w:p>
        </w:tc>
        <w:tc>
          <w:tcPr>
            <w:tcW w:w="3969" w:type="dxa"/>
            <w:shd w:val="clear" w:color="auto" w:fill="auto"/>
            <w:noWrap/>
            <w:vAlign w:val="center"/>
            <w:hideMark/>
          </w:tcPr>
          <w:p w14:paraId="5789A901" w14:textId="77777777" w:rsidR="00F96DE6" w:rsidRPr="00AC403A" w:rsidRDefault="00F96DE6" w:rsidP="00561D57">
            <w:pPr>
              <w:spacing w:after="0" w:line="240" w:lineRule="auto"/>
              <w:rPr>
                <w:rFonts w:eastAsia="Times New Roman" w:cs="Calibri"/>
                <w:color w:val="000000"/>
                <w:sz w:val="20"/>
                <w:szCs w:val="20"/>
                <w:lang w:val="es-AR" w:eastAsia="es-AR"/>
              </w:rPr>
            </w:pPr>
            <w:r w:rsidRPr="00AC403A">
              <w:rPr>
                <w:rFonts w:eastAsia="Times New Roman" w:cs="Calibri"/>
                <w:color w:val="000000"/>
                <w:sz w:val="20"/>
                <w:szCs w:val="20"/>
                <w:lang w:val="es-AR" w:eastAsia="es-AR"/>
              </w:rPr>
              <w:t>Mantenimiento de Caminos de Acceso</w:t>
            </w:r>
          </w:p>
        </w:tc>
        <w:tc>
          <w:tcPr>
            <w:tcW w:w="4536" w:type="dxa"/>
            <w:vAlign w:val="center"/>
          </w:tcPr>
          <w:p w14:paraId="303C48F9" w14:textId="2AD6A37A" w:rsidR="00F96DE6" w:rsidRPr="00AC403A" w:rsidRDefault="00F96DE6" w:rsidP="00561D57">
            <w:pPr>
              <w:spacing w:after="0" w:line="240" w:lineRule="auto"/>
              <w:rPr>
                <w:rFonts w:eastAsia="Times New Roman" w:cs="Calibri"/>
                <w:color w:val="000000"/>
                <w:sz w:val="20"/>
                <w:szCs w:val="20"/>
                <w:lang w:val="es-AR" w:eastAsia="es-AR"/>
              </w:rPr>
            </w:pPr>
            <w:r w:rsidRPr="00AC403A">
              <w:rPr>
                <w:rFonts w:eastAsia="Times New Roman" w:cs="Calibri"/>
                <w:color w:val="000000"/>
                <w:sz w:val="20"/>
                <w:szCs w:val="20"/>
                <w:lang w:val="es-AR" w:eastAsia="es-AR"/>
              </w:rPr>
              <w:t xml:space="preserve">Herramientas y equipos para realizar el mantenimiento de caminos de acceso como complemento del </w:t>
            </w:r>
            <w:r w:rsidRPr="00AC403A">
              <w:rPr>
                <w:rFonts w:eastAsia="Times New Roman" w:cs="Calibri"/>
                <w:i/>
                <w:color w:val="000000"/>
                <w:sz w:val="20"/>
                <w:szCs w:val="20"/>
                <w:lang w:val="es-AR" w:eastAsia="es-AR"/>
              </w:rPr>
              <w:t>bulldozer</w:t>
            </w:r>
            <w:r w:rsidRPr="00AC403A">
              <w:rPr>
                <w:rFonts w:eastAsia="Times New Roman" w:cs="Calibri"/>
                <w:color w:val="000000"/>
                <w:sz w:val="20"/>
                <w:szCs w:val="20"/>
                <w:lang w:val="es-AR" w:eastAsia="es-AR"/>
              </w:rPr>
              <w:t>.</w:t>
            </w:r>
          </w:p>
        </w:tc>
      </w:tr>
      <w:tr w:rsidR="00F96DE6" w:rsidRPr="00AC403A" w14:paraId="06144B2B" w14:textId="13C84E67" w:rsidTr="00C076A4">
        <w:trPr>
          <w:jc w:val="center"/>
        </w:trPr>
        <w:tc>
          <w:tcPr>
            <w:tcW w:w="1134" w:type="dxa"/>
            <w:shd w:val="clear" w:color="auto" w:fill="auto"/>
            <w:noWrap/>
            <w:vAlign w:val="center"/>
            <w:hideMark/>
          </w:tcPr>
          <w:p w14:paraId="54824134" w14:textId="77777777" w:rsidR="00F96DE6" w:rsidRPr="00AC403A" w:rsidRDefault="00F96DE6" w:rsidP="00561D57">
            <w:pPr>
              <w:spacing w:after="0" w:line="240" w:lineRule="auto"/>
              <w:rPr>
                <w:rFonts w:eastAsia="Times New Roman" w:cs="Calibri"/>
                <w:color w:val="000000"/>
                <w:sz w:val="20"/>
                <w:szCs w:val="20"/>
                <w:lang w:val="es-AR" w:eastAsia="es-AR"/>
              </w:rPr>
            </w:pPr>
            <w:r w:rsidRPr="00AC403A">
              <w:rPr>
                <w:rFonts w:eastAsia="Times New Roman" w:cs="Calibri"/>
                <w:color w:val="000000"/>
                <w:sz w:val="20"/>
                <w:szCs w:val="20"/>
                <w:lang w:val="es-AR" w:eastAsia="es-AR"/>
              </w:rPr>
              <w:t>CMLMA</w:t>
            </w:r>
          </w:p>
        </w:tc>
        <w:tc>
          <w:tcPr>
            <w:tcW w:w="3969" w:type="dxa"/>
            <w:shd w:val="clear" w:color="auto" w:fill="auto"/>
            <w:noWrap/>
            <w:vAlign w:val="center"/>
            <w:hideMark/>
          </w:tcPr>
          <w:p w14:paraId="240C4734" w14:textId="77777777" w:rsidR="00F96DE6" w:rsidRPr="00AC403A" w:rsidRDefault="00F96DE6" w:rsidP="00561D57">
            <w:pPr>
              <w:spacing w:after="0" w:line="240" w:lineRule="auto"/>
              <w:rPr>
                <w:rFonts w:eastAsia="Times New Roman" w:cs="Calibri"/>
                <w:color w:val="000000"/>
                <w:sz w:val="20"/>
                <w:szCs w:val="20"/>
                <w:lang w:val="es-AR" w:eastAsia="es-AR"/>
              </w:rPr>
            </w:pPr>
            <w:r w:rsidRPr="00AC403A">
              <w:rPr>
                <w:rFonts w:eastAsia="Times New Roman" w:cs="Calibri"/>
                <w:color w:val="000000"/>
                <w:sz w:val="20"/>
                <w:szCs w:val="20"/>
                <w:lang w:val="es-AR" w:eastAsia="es-AR"/>
              </w:rPr>
              <w:t>Lavado manual de aisladores</w:t>
            </w:r>
          </w:p>
        </w:tc>
        <w:tc>
          <w:tcPr>
            <w:tcW w:w="4536" w:type="dxa"/>
            <w:vAlign w:val="center"/>
          </w:tcPr>
          <w:p w14:paraId="06748603" w14:textId="0DCF258E" w:rsidR="00F96DE6" w:rsidRPr="00AC403A" w:rsidRDefault="00F96DE6" w:rsidP="00561D57">
            <w:pPr>
              <w:spacing w:after="0" w:line="240" w:lineRule="auto"/>
              <w:rPr>
                <w:rFonts w:eastAsia="Times New Roman" w:cs="Calibri"/>
                <w:color w:val="000000"/>
                <w:sz w:val="20"/>
                <w:szCs w:val="20"/>
                <w:lang w:val="es-AR" w:eastAsia="es-AR"/>
              </w:rPr>
            </w:pPr>
            <w:r w:rsidRPr="00AC403A">
              <w:rPr>
                <w:rFonts w:eastAsia="Times New Roman" w:cs="Calibri"/>
                <w:color w:val="000000"/>
                <w:sz w:val="20"/>
                <w:szCs w:val="20"/>
                <w:lang w:val="es-AR" w:eastAsia="es-AR"/>
              </w:rPr>
              <w:t>Herramientas y equipos para realizar trabajos de reparación y/o reemplazo de partes de líneas sin tensión.</w:t>
            </w:r>
          </w:p>
        </w:tc>
      </w:tr>
      <w:tr w:rsidR="00F96DE6" w:rsidRPr="00AC403A" w14:paraId="7D859F4D" w14:textId="3F45C43B" w:rsidTr="00C076A4">
        <w:trPr>
          <w:jc w:val="center"/>
        </w:trPr>
        <w:tc>
          <w:tcPr>
            <w:tcW w:w="1134" w:type="dxa"/>
            <w:shd w:val="clear" w:color="auto" w:fill="auto"/>
            <w:noWrap/>
            <w:vAlign w:val="center"/>
            <w:hideMark/>
          </w:tcPr>
          <w:p w14:paraId="539469B7" w14:textId="77777777" w:rsidR="00F96DE6" w:rsidRPr="00AC403A" w:rsidRDefault="00F96DE6" w:rsidP="00561D57">
            <w:pPr>
              <w:spacing w:after="0" w:line="240" w:lineRule="auto"/>
              <w:rPr>
                <w:rFonts w:eastAsia="Times New Roman" w:cs="Calibri"/>
                <w:color w:val="000000"/>
                <w:sz w:val="20"/>
                <w:szCs w:val="20"/>
                <w:lang w:val="es-AR" w:eastAsia="es-AR"/>
              </w:rPr>
            </w:pPr>
            <w:r w:rsidRPr="00AC403A">
              <w:rPr>
                <w:rFonts w:eastAsia="Times New Roman" w:cs="Calibri"/>
                <w:color w:val="000000"/>
                <w:sz w:val="20"/>
                <w:szCs w:val="20"/>
                <w:lang w:val="es-AR" w:eastAsia="es-AR"/>
              </w:rPr>
              <w:t>CMIEP</w:t>
            </w:r>
          </w:p>
        </w:tc>
        <w:tc>
          <w:tcPr>
            <w:tcW w:w="3969" w:type="dxa"/>
            <w:shd w:val="clear" w:color="auto" w:fill="auto"/>
            <w:noWrap/>
            <w:vAlign w:val="center"/>
            <w:hideMark/>
          </w:tcPr>
          <w:p w14:paraId="7FA87B0D" w14:textId="77777777" w:rsidR="00F96DE6" w:rsidRPr="00AC403A" w:rsidRDefault="00F96DE6" w:rsidP="00561D57">
            <w:pPr>
              <w:spacing w:after="0" w:line="240" w:lineRule="auto"/>
              <w:rPr>
                <w:rFonts w:eastAsia="Times New Roman" w:cs="Calibri"/>
                <w:color w:val="000000"/>
                <w:sz w:val="20"/>
                <w:szCs w:val="20"/>
                <w:lang w:val="es-AR" w:eastAsia="es-AR"/>
              </w:rPr>
            </w:pPr>
            <w:r w:rsidRPr="00AC403A">
              <w:rPr>
                <w:rFonts w:eastAsia="Times New Roman" w:cs="Calibri"/>
                <w:color w:val="000000"/>
                <w:sz w:val="20"/>
                <w:szCs w:val="20"/>
                <w:lang w:val="es-AR" w:eastAsia="es-AR"/>
              </w:rPr>
              <w:t>Inspección y revisión de equipos primarios en SE</w:t>
            </w:r>
          </w:p>
        </w:tc>
        <w:tc>
          <w:tcPr>
            <w:tcW w:w="4536" w:type="dxa"/>
            <w:vAlign w:val="center"/>
          </w:tcPr>
          <w:p w14:paraId="7285EC8A" w14:textId="470D18F9" w:rsidR="00F96DE6" w:rsidRPr="00AC403A" w:rsidRDefault="008F6EDA" w:rsidP="00561D57">
            <w:pPr>
              <w:spacing w:after="0" w:line="240" w:lineRule="auto"/>
              <w:rPr>
                <w:rFonts w:eastAsia="Times New Roman" w:cs="Calibri"/>
                <w:color w:val="000000"/>
                <w:sz w:val="20"/>
                <w:szCs w:val="20"/>
                <w:lang w:val="es-AR" w:eastAsia="es-AR"/>
              </w:rPr>
            </w:pPr>
            <w:r w:rsidRPr="00AC403A">
              <w:rPr>
                <w:rFonts w:eastAsia="Times New Roman" w:cs="Calibri"/>
                <w:color w:val="000000"/>
                <w:sz w:val="20"/>
                <w:szCs w:val="20"/>
                <w:lang w:val="es-AR" w:eastAsia="es-AR"/>
              </w:rPr>
              <w:t>Herramientas y equipos para inspección, y diagnóstico de equipos primarios de estaciones transformadoras.</w:t>
            </w:r>
          </w:p>
        </w:tc>
      </w:tr>
      <w:tr w:rsidR="00F96DE6" w:rsidRPr="00AC403A" w14:paraId="4F357601" w14:textId="16D0538F" w:rsidTr="00C076A4">
        <w:trPr>
          <w:jc w:val="center"/>
        </w:trPr>
        <w:tc>
          <w:tcPr>
            <w:tcW w:w="1134" w:type="dxa"/>
            <w:shd w:val="clear" w:color="auto" w:fill="auto"/>
            <w:noWrap/>
            <w:vAlign w:val="center"/>
            <w:hideMark/>
          </w:tcPr>
          <w:p w14:paraId="0A3D374D" w14:textId="77777777" w:rsidR="00F96DE6" w:rsidRPr="00AC403A" w:rsidRDefault="00F96DE6" w:rsidP="00561D57">
            <w:pPr>
              <w:spacing w:after="0" w:line="240" w:lineRule="auto"/>
              <w:rPr>
                <w:rFonts w:eastAsia="Times New Roman" w:cs="Calibri"/>
                <w:color w:val="000000"/>
                <w:sz w:val="20"/>
                <w:szCs w:val="20"/>
                <w:lang w:val="es-AR" w:eastAsia="es-AR"/>
              </w:rPr>
            </w:pPr>
            <w:r w:rsidRPr="00AC403A">
              <w:rPr>
                <w:rFonts w:eastAsia="Times New Roman" w:cs="Calibri"/>
                <w:color w:val="000000"/>
                <w:sz w:val="20"/>
                <w:szCs w:val="20"/>
                <w:lang w:val="es-AR" w:eastAsia="es-AR"/>
              </w:rPr>
              <w:t>CMREL</w:t>
            </w:r>
          </w:p>
        </w:tc>
        <w:tc>
          <w:tcPr>
            <w:tcW w:w="3969" w:type="dxa"/>
            <w:shd w:val="clear" w:color="auto" w:fill="auto"/>
            <w:noWrap/>
            <w:vAlign w:val="center"/>
            <w:hideMark/>
          </w:tcPr>
          <w:p w14:paraId="697F2EDB" w14:textId="77777777" w:rsidR="00F96DE6" w:rsidRPr="00AC403A" w:rsidRDefault="00F96DE6" w:rsidP="00561D57">
            <w:pPr>
              <w:spacing w:after="0" w:line="240" w:lineRule="auto"/>
              <w:rPr>
                <w:rFonts w:eastAsia="Times New Roman" w:cs="Calibri"/>
                <w:color w:val="000000"/>
                <w:sz w:val="20"/>
                <w:szCs w:val="20"/>
                <w:lang w:val="es-AR" w:eastAsia="es-AR"/>
              </w:rPr>
            </w:pPr>
            <w:r w:rsidRPr="00AC403A">
              <w:rPr>
                <w:rFonts w:eastAsia="Times New Roman" w:cs="Calibri"/>
                <w:color w:val="000000"/>
                <w:sz w:val="20"/>
                <w:szCs w:val="20"/>
                <w:lang w:val="es-AR" w:eastAsia="es-AR"/>
              </w:rPr>
              <w:t>Inspección y Reparación de protecciones, telecom. y SCADA</w:t>
            </w:r>
          </w:p>
        </w:tc>
        <w:tc>
          <w:tcPr>
            <w:tcW w:w="4536" w:type="dxa"/>
            <w:vAlign w:val="center"/>
          </w:tcPr>
          <w:p w14:paraId="51225E4E" w14:textId="60FBCC24" w:rsidR="00F96DE6" w:rsidRPr="00AC403A" w:rsidRDefault="005A2E09" w:rsidP="00561D57">
            <w:pPr>
              <w:spacing w:after="0" w:line="240" w:lineRule="auto"/>
              <w:rPr>
                <w:rFonts w:eastAsia="Times New Roman" w:cs="Calibri"/>
                <w:color w:val="000000"/>
                <w:sz w:val="20"/>
                <w:szCs w:val="20"/>
                <w:lang w:val="es-AR" w:eastAsia="es-AR"/>
              </w:rPr>
            </w:pPr>
            <w:r w:rsidRPr="00AC403A">
              <w:rPr>
                <w:rFonts w:eastAsia="Times New Roman" w:cs="Calibri"/>
                <w:color w:val="000000"/>
                <w:sz w:val="20"/>
                <w:szCs w:val="20"/>
                <w:lang w:val="es-AR" w:eastAsia="es-AR"/>
              </w:rPr>
              <w:t>Herramientas</w:t>
            </w:r>
            <w:r w:rsidR="008F6EDA" w:rsidRPr="00AC403A">
              <w:rPr>
                <w:rFonts w:eastAsia="Times New Roman" w:cs="Calibri"/>
                <w:color w:val="000000"/>
                <w:sz w:val="20"/>
                <w:szCs w:val="20"/>
                <w:lang w:val="es-AR" w:eastAsia="es-AR"/>
              </w:rPr>
              <w:t xml:space="preserve"> y equipos para revisión, diagnóstico y reparación de equipamiento de protecciones, telecomunicaciones y control (*)</w:t>
            </w:r>
          </w:p>
        </w:tc>
      </w:tr>
      <w:tr w:rsidR="00F96DE6" w:rsidRPr="00AC403A" w14:paraId="305BFA5B" w14:textId="2E88A982" w:rsidTr="00C076A4">
        <w:trPr>
          <w:jc w:val="center"/>
        </w:trPr>
        <w:tc>
          <w:tcPr>
            <w:tcW w:w="1134" w:type="dxa"/>
            <w:shd w:val="clear" w:color="auto" w:fill="auto"/>
            <w:noWrap/>
            <w:vAlign w:val="center"/>
            <w:hideMark/>
          </w:tcPr>
          <w:p w14:paraId="50FCD429" w14:textId="77777777" w:rsidR="00F96DE6" w:rsidRPr="00AC403A" w:rsidRDefault="00F96DE6" w:rsidP="00561D57">
            <w:pPr>
              <w:spacing w:after="0" w:line="240" w:lineRule="auto"/>
              <w:rPr>
                <w:rFonts w:eastAsia="Times New Roman" w:cs="Calibri"/>
                <w:color w:val="000000"/>
                <w:sz w:val="20"/>
                <w:szCs w:val="20"/>
                <w:lang w:val="es-AR" w:eastAsia="es-AR"/>
              </w:rPr>
            </w:pPr>
            <w:r w:rsidRPr="00AC403A">
              <w:rPr>
                <w:rFonts w:eastAsia="Times New Roman" w:cs="Calibri"/>
                <w:color w:val="000000"/>
                <w:sz w:val="20"/>
                <w:szCs w:val="20"/>
                <w:lang w:val="es-AR" w:eastAsia="es-AR"/>
              </w:rPr>
              <w:t>CMLIM</w:t>
            </w:r>
          </w:p>
        </w:tc>
        <w:tc>
          <w:tcPr>
            <w:tcW w:w="3969" w:type="dxa"/>
            <w:shd w:val="clear" w:color="auto" w:fill="auto"/>
            <w:noWrap/>
            <w:vAlign w:val="center"/>
            <w:hideMark/>
          </w:tcPr>
          <w:p w14:paraId="0E6413E5" w14:textId="77777777" w:rsidR="00F96DE6" w:rsidRPr="00AC403A" w:rsidRDefault="00F96DE6" w:rsidP="00561D57">
            <w:pPr>
              <w:spacing w:after="0" w:line="240" w:lineRule="auto"/>
              <w:rPr>
                <w:rFonts w:eastAsia="Times New Roman" w:cs="Calibri"/>
                <w:color w:val="000000"/>
                <w:sz w:val="20"/>
                <w:szCs w:val="20"/>
                <w:lang w:val="es-AR" w:eastAsia="es-AR"/>
              </w:rPr>
            </w:pPr>
            <w:r w:rsidRPr="00AC403A">
              <w:rPr>
                <w:rFonts w:eastAsia="Times New Roman" w:cs="Calibri"/>
                <w:color w:val="000000"/>
                <w:sz w:val="20"/>
                <w:szCs w:val="20"/>
                <w:lang w:val="es-AR" w:eastAsia="es-AR"/>
              </w:rPr>
              <w:t>Limpieza de subestaciones</w:t>
            </w:r>
          </w:p>
        </w:tc>
        <w:tc>
          <w:tcPr>
            <w:tcW w:w="4536" w:type="dxa"/>
            <w:vAlign w:val="center"/>
          </w:tcPr>
          <w:p w14:paraId="4BDBAB87" w14:textId="009F215F" w:rsidR="00F96DE6" w:rsidRPr="00AC403A" w:rsidRDefault="008F6EDA" w:rsidP="00561D57">
            <w:pPr>
              <w:spacing w:after="0" w:line="240" w:lineRule="auto"/>
              <w:rPr>
                <w:rFonts w:eastAsia="Times New Roman" w:cs="Calibri"/>
                <w:color w:val="000000"/>
                <w:sz w:val="20"/>
                <w:szCs w:val="20"/>
                <w:lang w:val="es-AR" w:eastAsia="es-AR"/>
              </w:rPr>
            </w:pPr>
            <w:r w:rsidRPr="00AC403A">
              <w:rPr>
                <w:rFonts w:eastAsia="Times New Roman" w:cs="Calibri"/>
                <w:color w:val="000000"/>
                <w:sz w:val="20"/>
                <w:szCs w:val="20"/>
                <w:lang w:val="es-AR" w:eastAsia="es-AR"/>
              </w:rPr>
              <w:t>Herramientas y equipos para la limpieza del predio de la subestación.</w:t>
            </w:r>
          </w:p>
        </w:tc>
      </w:tr>
      <w:tr w:rsidR="00F96DE6" w:rsidRPr="00AC403A" w14:paraId="6074D5AE" w14:textId="455048F0" w:rsidTr="00C076A4">
        <w:trPr>
          <w:jc w:val="center"/>
        </w:trPr>
        <w:tc>
          <w:tcPr>
            <w:tcW w:w="1134" w:type="dxa"/>
            <w:shd w:val="clear" w:color="auto" w:fill="auto"/>
            <w:noWrap/>
            <w:vAlign w:val="center"/>
            <w:hideMark/>
          </w:tcPr>
          <w:p w14:paraId="53A03772" w14:textId="77777777" w:rsidR="00F96DE6" w:rsidRPr="00AC403A" w:rsidRDefault="00F96DE6" w:rsidP="00561D57">
            <w:pPr>
              <w:spacing w:after="0" w:line="240" w:lineRule="auto"/>
              <w:rPr>
                <w:rFonts w:eastAsia="Times New Roman" w:cs="Calibri"/>
                <w:color w:val="000000"/>
                <w:sz w:val="20"/>
                <w:szCs w:val="20"/>
                <w:lang w:val="es-AR" w:eastAsia="es-AR"/>
              </w:rPr>
            </w:pPr>
            <w:r w:rsidRPr="00AC403A">
              <w:rPr>
                <w:rFonts w:eastAsia="Times New Roman" w:cs="Calibri"/>
                <w:color w:val="000000"/>
                <w:sz w:val="20"/>
                <w:szCs w:val="20"/>
                <w:lang w:val="es-AR" w:eastAsia="es-AR"/>
              </w:rPr>
              <w:t>COPER</w:t>
            </w:r>
          </w:p>
        </w:tc>
        <w:tc>
          <w:tcPr>
            <w:tcW w:w="3969" w:type="dxa"/>
            <w:shd w:val="clear" w:color="auto" w:fill="auto"/>
            <w:noWrap/>
            <w:vAlign w:val="center"/>
            <w:hideMark/>
          </w:tcPr>
          <w:p w14:paraId="447BE7B5" w14:textId="77777777" w:rsidR="00F96DE6" w:rsidRPr="00AC403A" w:rsidRDefault="00F96DE6" w:rsidP="00561D57">
            <w:pPr>
              <w:spacing w:after="0" w:line="240" w:lineRule="auto"/>
              <w:rPr>
                <w:rFonts w:eastAsia="Times New Roman" w:cs="Calibri"/>
                <w:color w:val="000000"/>
                <w:sz w:val="20"/>
                <w:szCs w:val="20"/>
                <w:lang w:val="es-AR" w:eastAsia="es-AR"/>
              </w:rPr>
            </w:pPr>
            <w:r w:rsidRPr="00AC403A">
              <w:rPr>
                <w:rFonts w:eastAsia="Times New Roman" w:cs="Calibri"/>
                <w:color w:val="000000"/>
                <w:sz w:val="20"/>
                <w:szCs w:val="20"/>
                <w:lang w:val="es-AR" w:eastAsia="es-AR"/>
              </w:rPr>
              <w:t>Operación en terreno</w:t>
            </w:r>
          </w:p>
        </w:tc>
        <w:tc>
          <w:tcPr>
            <w:tcW w:w="4536" w:type="dxa"/>
            <w:vAlign w:val="center"/>
          </w:tcPr>
          <w:p w14:paraId="340AF26F" w14:textId="7E2166A8" w:rsidR="00F96DE6" w:rsidRPr="00AC403A" w:rsidRDefault="008F6EDA" w:rsidP="00561D57">
            <w:pPr>
              <w:spacing w:after="0" w:line="240" w:lineRule="auto"/>
              <w:rPr>
                <w:rFonts w:eastAsia="Times New Roman" w:cs="Calibri"/>
                <w:color w:val="000000"/>
                <w:sz w:val="20"/>
                <w:szCs w:val="20"/>
                <w:lang w:val="es-AR" w:eastAsia="es-AR"/>
              </w:rPr>
            </w:pPr>
            <w:r w:rsidRPr="00AC403A">
              <w:rPr>
                <w:rFonts w:eastAsia="Times New Roman" w:cs="Calibri"/>
                <w:color w:val="000000"/>
                <w:sz w:val="20"/>
                <w:szCs w:val="20"/>
                <w:lang w:val="es-AR" w:eastAsia="es-AR"/>
              </w:rPr>
              <w:t>Herramientas y equipos para las tareas de operación de estaciones en terreno.</w:t>
            </w:r>
          </w:p>
        </w:tc>
      </w:tr>
      <w:tr w:rsidR="00F96DE6" w:rsidRPr="00AC403A" w14:paraId="04021A39" w14:textId="23035E99" w:rsidTr="00C076A4">
        <w:trPr>
          <w:jc w:val="center"/>
        </w:trPr>
        <w:tc>
          <w:tcPr>
            <w:tcW w:w="1134" w:type="dxa"/>
            <w:shd w:val="clear" w:color="auto" w:fill="auto"/>
            <w:noWrap/>
            <w:vAlign w:val="center"/>
            <w:hideMark/>
          </w:tcPr>
          <w:p w14:paraId="7D36669F" w14:textId="77777777" w:rsidR="00F96DE6" w:rsidRPr="00AC403A" w:rsidRDefault="00F96DE6" w:rsidP="00561D57">
            <w:pPr>
              <w:spacing w:after="0" w:line="240" w:lineRule="auto"/>
              <w:rPr>
                <w:rFonts w:eastAsia="Times New Roman" w:cs="Calibri"/>
                <w:color w:val="000000"/>
                <w:sz w:val="20"/>
                <w:szCs w:val="20"/>
                <w:lang w:val="es-AR" w:eastAsia="es-AR"/>
              </w:rPr>
            </w:pPr>
            <w:r w:rsidRPr="00AC403A">
              <w:rPr>
                <w:rFonts w:eastAsia="Times New Roman" w:cs="Calibri"/>
                <w:color w:val="000000"/>
                <w:sz w:val="20"/>
                <w:szCs w:val="20"/>
                <w:lang w:val="es-AR" w:eastAsia="es-AR"/>
              </w:rPr>
              <w:t>CMLSE</w:t>
            </w:r>
          </w:p>
        </w:tc>
        <w:tc>
          <w:tcPr>
            <w:tcW w:w="3969" w:type="dxa"/>
            <w:shd w:val="clear" w:color="auto" w:fill="auto"/>
            <w:noWrap/>
            <w:vAlign w:val="center"/>
            <w:hideMark/>
          </w:tcPr>
          <w:p w14:paraId="2B0BEFFA" w14:textId="77777777" w:rsidR="00F96DE6" w:rsidRPr="00AC403A" w:rsidRDefault="00F96DE6" w:rsidP="00561D57">
            <w:pPr>
              <w:spacing w:after="0" w:line="240" w:lineRule="auto"/>
              <w:rPr>
                <w:rFonts w:eastAsia="Times New Roman" w:cs="Calibri"/>
                <w:color w:val="000000"/>
                <w:sz w:val="20"/>
                <w:szCs w:val="20"/>
                <w:lang w:val="es-AR" w:eastAsia="es-AR"/>
              </w:rPr>
            </w:pPr>
            <w:r w:rsidRPr="00AC403A">
              <w:rPr>
                <w:rFonts w:eastAsia="Times New Roman" w:cs="Calibri"/>
                <w:color w:val="000000"/>
                <w:sz w:val="20"/>
                <w:szCs w:val="20"/>
                <w:lang w:val="es-AR" w:eastAsia="es-AR"/>
              </w:rPr>
              <w:t>Lavado de Subestaciones</w:t>
            </w:r>
          </w:p>
        </w:tc>
        <w:tc>
          <w:tcPr>
            <w:tcW w:w="4536" w:type="dxa"/>
            <w:vAlign w:val="center"/>
          </w:tcPr>
          <w:p w14:paraId="5350D7FE" w14:textId="6F3746CD" w:rsidR="00F96DE6" w:rsidRPr="00AC403A" w:rsidRDefault="008F6EDA" w:rsidP="00561D57">
            <w:pPr>
              <w:spacing w:after="0" w:line="240" w:lineRule="auto"/>
              <w:rPr>
                <w:rFonts w:eastAsia="Times New Roman" w:cs="Calibri"/>
                <w:color w:val="000000"/>
                <w:sz w:val="20"/>
                <w:szCs w:val="20"/>
                <w:lang w:val="es-AR" w:eastAsia="es-AR"/>
              </w:rPr>
            </w:pPr>
            <w:r w:rsidRPr="00AC403A">
              <w:rPr>
                <w:rFonts w:eastAsia="Times New Roman" w:cs="Calibri"/>
                <w:color w:val="000000"/>
                <w:sz w:val="20"/>
                <w:szCs w:val="20"/>
                <w:lang w:val="es-AR" w:eastAsia="es-AR"/>
              </w:rPr>
              <w:t xml:space="preserve">Herramientas y equipos para el lavado de los equipos </w:t>
            </w:r>
            <w:r w:rsidRPr="00AC403A">
              <w:rPr>
                <w:rFonts w:eastAsia="Times New Roman" w:cs="Calibri"/>
                <w:color w:val="000000"/>
                <w:sz w:val="20"/>
                <w:szCs w:val="20"/>
                <w:lang w:val="es-AR" w:eastAsia="es-AR"/>
              </w:rPr>
              <w:lastRenderedPageBreak/>
              <w:t>que se encuentran en las estaciones.</w:t>
            </w:r>
          </w:p>
        </w:tc>
      </w:tr>
      <w:tr w:rsidR="00F96DE6" w:rsidRPr="00AC403A" w14:paraId="46CF7C5A" w14:textId="5F7AFEE4" w:rsidTr="00C076A4">
        <w:trPr>
          <w:jc w:val="center"/>
        </w:trPr>
        <w:tc>
          <w:tcPr>
            <w:tcW w:w="1134" w:type="dxa"/>
            <w:shd w:val="clear" w:color="auto" w:fill="auto"/>
            <w:noWrap/>
            <w:vAlign w:val="center"/>
            <w:hideMark/>
          </w:tcPr>
          <w:p w14:paraId="5FB4AC5C" w14:textId="77777777" w:rsidR="00F96DE6" w:rsidRPr="00AC403A" w:rsidRDefault="00F96DE6" w:rsidP="00561D57">
            <w:pPr>
              <w:spacing w:after="0" w:line="240" w:lineRule="auto"/>
              <w:rPr>
                <w:rFonts w:eastAsia="Times New Roman" w:cs="Calibri"/>
                <w:color w:val="000000"/>
                <w:sz w:val="20"/>
                <w:szCs w:val="20"/>
                <w:lang w:val="es-AR" w:eastAsia="es-AR"/>
              </w:rPr>
            </w:pPr>
            <w:r w:rsidRPr="00AC403A">
              <w:rPr>
                <w:rFonts w:eastAsia="Times New Roman" w:cs="Calibri"/>
                <w:color w:val="000000"/>
                <w:sz w:val="20"/>
                <w:szCs w:val="20"/>
                <w:lang w:val="es-AR" w:eastAsia="es-AR"/>
              </w:rPr>
              <w:lastRenderedPageBreak/>
              <w:t>CMREP</w:t>
            </w:r>
          </w:p>
        </w:tc>
        <w:tc>
          <w:tcPr>
            <w:tcW w:w="3969" w:type="dxa"/>
            <w:shd w:val="clear" w:color="auto" w:fill="auto"/>
            <w:noWrap/>
            <w:vAlign w:val="center"/>
            <w:hideMark/>
          </w:tcPr>
          <w:p w14:paraId="31453358" w14:textId="77777777" w:rsidR="00F96DE6" w:rsidRPr="00AC403A" w:rsidRDefault="00F96DE6" w:rsidP="00561D57">
            <w:pPr>
              <w:spacing w:after="0" w:line="240" w:lineRule="auto"/>
              <w:rPr>
                <w:rFonts w:eastAsia="Times New Roman" w:cs="Calibri"/>
                <w:color w:val="000000"/>
                <w:sz w:val="20"/>
                <w:szCs w:val="20"/>
                <w:lang w:val="es-AR" w:eastAsia="es-AR"/>
              </w:rPr>
            </w:pPr>
            <w:r w:rsidRPr="00AC403A">
              <w:rPr>
                <w:rFonts w:eastAsia="Times New Roman" w:cs="Calibri"/>
                <w:color w:val="000000"/>
                <w:sz w:val="20"/>
                <w:szCs w:val="20"/>
                <w:lang w:val="es-AR" w:eastAsia="es-AR"/>
              </w:rPr>
              <w:t>Reparación de equipos primarios en SE</w:t>
            </w:r>
          </w:p>
        </w:tc>
        <w:tc>
          <w:tcPr>
            <w:tcW w:w="4536" w:type="dxa"/>
            <w:vAlign w:val="center"/>
          </w:tcPr>
          <w:p w14:paraId="0C9165F2" w14:textId="4A86ED5F" w:rsidR="00F96DE6" w:rsidRPr="00AC403A" w:rsidRDefault="008F6EDA" w:rsidP="00561D57">
            <w:pPr>
              <w:spacing w:after="0" w:line="240" w:lineRule="auto"/>
              <w:rPr>
                <w:rFonts w:eastAsia="Times New Roman" w:cs="Calibri"/>
                <w:color w:val="000000"/>
                <w:sz w:val="20"/>
                <w:szCs w:val="20"/>
                <w:lang w:val="es-AR" w:eastAsia="es-AR"/>
              </w:rPr>
            </w:pPr>
            <w:r w:rsidRPr="00AC403A">
              <w:rPr>
                <w:rFonts w:eastAsia="Times New Roman" w:cs="Calibri"/>
                <w:color w:val="000000"/>
                <w:sz w:val="20"/>
                <w:szCs w:val="20"/>
                <w:lang w:val="es-AR" w:eastAsia="es-AR"/>
              </w:rPr>
              <w:t>Herramientas y equipos para la reparación correctiva y/o preventiva de los equipos primarios de las subestaciones.</w:t>
            </w:r>
          </w:p>
        </w:tc>
      </w:tr>
      <w:tr w:rsidR="00F96DE6" w:rsidRPr="00AC403A" w14:paraId="6B984049" w14:textId="4100A4B8" w:rsidTr="00C076A4">
        <w:trPr>
          <w:jc w:val="center"/>
        </w:trPr>
        <w:tc>
          <w:tcPr>
            <w:tcW w:w="1134" w:type="dxa"/>
            <w:shd w:val="clear" w:color="auto" w:fill="auto"/>
            <w:noWrap/>
            <w:vAlign w:val="center"/>
            <w:hideMark/>
          </w:tcPr>
          <w:p w14:paraId="20E26A2E" w14:textId="77777777" w:rsidR="00F96DE6" w:rsidRPr="00AC403A" w:rsidRDefault="00F96DE6" w:rsidP="00561D57">
            <w:pPr>
              <w:spacing w:after="0" w:line="240" w:lineRule="auto"/>
              <w:rPr>
                <w:rFonts w:eastAsia="Times New Roman" w:cs="Calibri"/>
                <w:color w:val="000000"/>
                <w:sz w:val="20"/>
                <w:szCs w:val="20"/>
                <w:lang w:val="es-AR" w:eastAsia="es-AR"/>
              </w:rPr>
            </w:pPr>
            <w:r w:rsidRPr="00AC403A">
              <w:rPr>
                <w:rFonts w:eastAsia="Times New Roman" w:cs="Calibri"/>
                <w:color w:val="000000"/>
                <w:sz w:val="20"/>
                <w:szCs w:val="20"/>
                <w:lang w:val="es-AR" w:eastAsia="es-AR"/>
              </w:rPr>
              <w:t>CMEPSA</w:t>
            </w:r>
          </w:p>
        </w:tc>
        <w:tc>
          <w:tcPr>
            <w:tcW w:w="3969" w:type="dxa"/>
            <w:shd w:val="clear" w:color="auto" w:fill="auto"/>
            <w:noWrap/>
            <w:vAlign w:val="center"/>
            <w:hideMark/>
          </w:tcPr>
          <w:p w14:paraId="29102640" w14:textId="136DAB8F" w:rsidR="00F96DE6" w:rsidRPr="00AC403A" w:rsidRDefault="00F96DE6" w:rsidP="00561D57">
            <w:pPr>
              <w:spacing w:after="0" w:line="240" w:lineRule="auto"/>
              <w:rPr>
                <w:rFonts w:eastAsia="Times New Roman" w:cs="Calibri"/>
                <w:color w:val="000000"/>
                <w:sz w:val="20"/>
                <w:szCs w:val="20"/>
                <w:lang w:val="es-AR" w:eastAsia="es-AR"/>
              </w:rPr>
            </w:pPr>
            <w:r w:rsidRPr="00AC403A">
              <w:rPr>
                <w:rFonts w:eastAsia="Times New Roman" w:cs="Calibri"/>
                <w:color w:val="000000"/>
                <w:sz w:val="20"/>
                <w:szCs w:val="20"/>
                <w:lang w:val="es-AR" w:eastAsia="es-AR"/>
              </w:rPr>
              <w:t xml:space="preserve">Mantenimiento y </w:t>
            </w:r>
            <w:r w:rsidR="005A2E09" w:rsidRPr="00AC403A">
              <w:rPr>
                <w:rFonts w:eastAsia="Times New Roman" w:cs="Calibri"/>
                <w:color w:val="000000"/>
                <w:sz w:val="20"/>
                <w:szCs w:val="20"/>
                <w:lang w:val="es-AR" w:eastAsia="es-AR"/>
              </w:rPr>
              <w:t>reparación</w:t>
            </w:r>
            <w:r w:rsidRPr="00AC403A">
              <w:rPr>
                <w:rFonts w:eastAsia="Times New Roman" w:cs="Calibri"/>
                <w:color w:val="000000"/>
                <w:sz w:val="20"/>
                <w:szCs w:val="20"/>
                <w:lang w:val="es-AR" w:eastAsia="es-AR"/>
              </w:rPr>
              <w:t xml:space="preserve"> de equipos primarios y SSAA</w:t>
            </w:r>
          </w:p>
        </w:tc>
        <w:tc>
          <w:tcPr>
            <w:tcW w:w="4536" w:type="dxa"/>
            <w:vAlign w:val="center"/>
          </w:tcPr>
          <w:p w14:paraId="50BBFC56" w14:textId="76D60BF8" w:rsidR="00F96DE6" w:rsidRPr="00AC403A" w:rsidRDefault="008F6EDA" w:rsidP="00561D57">
            <w:pPr>
              <w:spacing w:after="0" w:line="240" w:lineRule="auto"/>
              <w:rPr>
                <w:rFonts w:eastAsia="Times New Roman" w:cs="Calibri"/>
                <w:color w:val="000000"/>
                <w:sz w:val="20"/>
                <w:szCs w:val="20"/>
                <w:lang w:val="es-AR" w:eastAsia="es-AR"/>
              </w:rPr>
            </w:pPr>
            <w:r w:rsidRPr="00AC403A">
              <w:rPr>
                <w:rFonts w:eastAsia="Times New Roman" w:cs="Calibri"/>
                <w:color w:val="000000"/>
                <w:sz w:val="20"/>
                <w:szCs w:val="20"/>
                <w:lang w:val="es-AR" w:eastAsia="es-AR"/>
              </w:rPr>
              <w:t>Herramientas y equipos para reparación de los servicios auxiliares de las subestaciones.</w:t>
            </w:r>
          </w:p>
        </w:tc>
      </w:tr>
    </w:tbl>
    <w:p w14:paraId="2CD24FE1" w14:textId="40458CC6" w:rsidR="00F96DE6" w:rsidRPr="00561D57" w:rsidRDefault="008F6EDA" w:rsidP="00AC403A">
      <w:pPr>
        <w:spacing w:before="120"/>
        <w:rPr>
          <w:sz w:val="20"/>
          <w:szCs w:val="20"/>
          <w:lang w:val="es-ES"/>
        </w:rPr>
      </w:pPr>
      <w:r w:rsidRPr="00561D57">
        <w:rPr>
          <w:sz w:val="20"/>
          <w:szCs w:val="20"/>
          <w:lang w:val="es-ES"/>
        </w:rPr>
        <w:t>(*) Ver Subcarpeta “Equipos Mantenimiento Protecciones-Telec-Control”, donde se incluyen especificaciones técnicas, cantidades y costos unitarios.</w:t>
      </w:r>
    </w:p>
    <w:p w14:paraId="2009F228" w14:textId="18786B68" w:rsidR="0079428C" w:rsidRPr="00B06D23" w:rsidRDefault="0079428C" w:rsidP="0079428C">
      <w:pPr>
        <w:rPr>
          <w:lang w:val="es-ES"/>
        </w:rPr>
      </w:pPr>
      <w:r w:rsidRPr="00B06D23">
        <w:rPr>
          <w:lang w:val="es-ES"/>
        </w:rPr>
        <w:t xml:space="preserve">El KITH de la cuadrilla CREL integrada por personal propio que realiza mantenimiento de protecciones, comunicaciones y control se encuentra integrado al V.I del C.O.M.A. El detalle del equipamiento de esta cuadrilla se encuentra en </w:t>
      </w:r>
      <w:r w:rsidR="00561D57">
        <w:rPr>
          <w:lang w:val="es-ES"/>
        </w:rPr>
        <w:t>“</w:t>
      </w:r>
      <w:r w:rsidRPr="00B06D23">
        <w:rPr>
          <w:lang w:val="es-ES"/>
        </w:rPr>
        <w:t xml:space="preserve">Anexo </w:t>
      </w:r>
      <w:r w:rsidR="00561D57">
        <w:rPr>
          <w:lang w:val="es-ES"/>
        </w:rPr>
        <w:t>COMA</w:t>
      </w:r>
      <w:r w:rsidRPr="00B06D23">
        <w:rPr>
          <w:lang w:val="es-ES"/>
        </w:rPr>
        <w:t xml:space="preserve"> _3/Datos/ Equipos Mantenimiento Protecciones-Telec-Control</w:t>
      </w:r>
      <w:r w:rsidR="00561D57">
        <w:rPr>
          <w:lang w:val="es-ES"/>
        </w:rPr>
        <w:t>”</w:t>
      </w:r>
      <w:r w:rsidRPr="00B06D23">
        <w:rPr>
          <w:lang w:val="es-ES"/>
        </w:rPr>
        <w:t>. En dicho archivo se encuentran las especificaciones del equipamiento y los costos unitarios referenciales.</w:t>
      </w:r>
    </w:p>
    <w:p w14:paraId="389BBAF4" w14:textId="5BE462CE" w:rsidR="0079428C" w:rsidRDefault="0079428C" w:rsidP="0079428C">
      <w:pPr>
        <w:rPr>
          <w:lang w:val="es-ES"/>
        </w:rPr>
      </w:pPr>
      <w:r w:rsidRPr="00B06D23">
        <w:rPr>
          <w:lang w:val="es-ES"/>
        </w:rPr>
        <w:t>Para las cuadrillas que se consideran tercerizadas, el equipamiento de operación y mantenimiento no fungible se anualiza y se integra como parte del costo de la cuadrilla.</w:t>
      </w:r>
    </w:p>
    <w:p w14:paraId="495FF4FD" w14:textId="77777777" w:rsidR="0079428C" w:rsidRPr="00FD055F" w:rsidRDefault="0079428C" w:rsidP="0079428C">
      <w:pPr>
        <w:pStyle w:val="Ttulo4"/>
      </w:pPr>
      <w:bookmarkStart w:id="340" w:name="_Toc32390201"/>
      <w:bookmarkStart w:id="341" w:name="_Toc34398148"/>
      <w:bookmarkStart w:id="342" w:name="_Toc39797838"/>
      <w:r w:rsidRPr="00FD055F">
        <w:t>Equipamiento de oficina no fungible</w:t>
      </w:r>
      <w:bookmarkEnd w:id="340"/>
      <w:bookmarkEnd w:id="341"/>
      <w:bookmarkEnd w:id="342"/>
    </w:p>
    <w:p w14:paraId="0146594B" w14:textId="42B11487" w:rsidR="0079428C" w:rsidRPr="00B06D23" w:rsidRDefault="0079428C" w:rsidP="0079428C">
      <w:pPr>
        <w:rPr>
          <w:lang w:val="es-ES"/>
        </w:rPr>
      </w:pPr>
      <w:r w:rsidRPr="00B06D23">
        <w:rPr>
          <w:lang w:val="es-ES"/>
        </w:rPr>
        <w:t xml:space="preserve">Este ítem incluye la infraestructura de las oficinas requeridas por el personal propio para la prestación eficiente del servicio y comprende el mobiliario de cada empleado y el mobiliario de áreas comunes de </w:t>
      </w:r>
      <w:r w:rsidRPr="00FB5272">
        <w:rPr>
          <w:lang w:val="es-ES"/>
        </w:rPr>
        <w:t>cada</w:t>
      </w:r>
      <w:r w:rsidRPr="00B06D23">
        <w:rPr>
          <w:lang w:val="es-ES"/>
        </w:rPr>
        <w:t xml:space="preserve"> gerencia, o departamento.</w:t>
      </w:r>
    </w:p>
    <w:p w14:paraId="02DC3B63" w14:textId="1F4D609F" w:rsidR="0079428C" w:rsidRPr="00B06D23" w:rsidRDefault="0079428C" w:rsidP="0079428C">
      <w:pPr>
        <w:rPr>
          <w:lang w:val="es-ES"/>
        </w:rPr>
      </w:pPr>
      <w:r w:rsidRPr="00B06D23">
        <w:rPr>
          <w:lang w:val="es-ES"/>
        </w:rPr>
        <w:t xml:space="preserve">Mobiliario de cada empleado: se refiere a la cantidad de escritorios, sillas, </w:t>
      </w:r>
      <w:r w:rsidR="00C34553" w:rsidRPr="00B06D23">
        <w:rPr>
          <w:lang w:val="es-ES"/>
        </w:rPr>
        <w:t>sillones, etc.</w:t>
      </w:r>
      <w:r w:rsidRPr="00B06D23">
        <w:rPr>
          <w:lang w:val="es-ES"/>
        </w:rPr>
        <w:t xml:space="preserve">, y demás infraestructura para que el personal desarrolle sus tareas de oficina. </w:t>
      </w:r>
    </w:p>
    <w:p w14:paraId="55DEEDBA" w14:textId="77777777" w:rsidR="0079428C" w:rsidRPr="00B06D23" w:rsidRDefault="0079428C" w:rsidP="0079428C">
      <w:pPr>
        <w:rPr>
          <w:lang w:val="es-ES"/>
        </w:rPr>
      </w:pPr>
      <w:r w:rsidRPr="00B06D23">
        <w:rPr>
          <w:lang w:val="es-ES"/>
        </w:rPr>
        <w:t>Mobiliario del área: se refiere a la cantidad de elementos comunes de cada área como proyectores, mesa de reuniones, refrigerador, etc.</w:t>
      </w:r>
    </w:p>
    <w:p w14:paraId="6452D6B7" w14:textId="77777777" w:rsidR="0079428C" w:rsidRPr="00B06D23" w:rsidRDefault="0079428C" w:rsidP="0079428C">
      <w:pPr>
        <w:rPr>
          <w:lang w:val="es-ES"/>
        </w:rPr>
      </w:pPr>
      <w:r w:rsidRPr="00B06D23">
        <w:rPr>
          <w:lang w:val="es-ES"/>
        </w:rPr>
        <w:t>El equipamiento de oficina se dimensionó en función de la cantidad de empleados de la plantilla de personal y su función y nivel jerárquico dentro de la empresa a partir de ratios eficientes los que luego son valorizados a costos de mercado.</w:t>
      </w:r>
    </w:p>
    <w:p w14:paraId="5904096A" w14:textId="5FC2E084" w:rsidR="0079428C" w:rsidRPr="00B06D23" w:rsidRDefault="0079428C" w:rsidP="0079428C">
      <w:pPr>
        <w:rPr>
          <w:lang w:val="es-ES"/>
        </w:rPr>
      </w:pPr>
      <w:r w:rsidRPr="00FB5272">
        <w:rPr>
          <w:lang w:val="es-ES"/>
        </w:rPr>
        <w:t xml:space="preserve">Los costos de los elementos considerados se pueden ver en </w:t>
      </w:r>
      <w:r w:rsidR="00561D57">
        <w:rPr>
          <w:lang w:val="es-ES"/>
        </w:rPr>
        <w:t>“</w:t>
      </w:r>
      <w:r w:rsidRPr="00FB5272">
        <w:rPr>
          <w:lang w:val="es-ES"/>
        </w:rPr>
        <w:t xml:space="preserve">Anexo </w:t>
      </w:r>
      <w:r w:rsidR="00561D57">
        <w:rPr>
          <w:lang w:val="es-ES"/>
        </w:rPr>
        <w:t>COMA</w:t>
      </w:r>
      <w:r w:rsidRPr="00FB5272">
        <w:rPr>
          <w:lang w:val="es-ES"/>
        </w:rPr>
        <w:t xml:space="preserve">_3 Modelo/Datos/Precios de insumos no </w:t>
      </w:r>
      <w:r w:rsidR="00D409FA" w:rsidRPr="00FB5272">
        <w:rPr>
          <w:lang w:val="es-ES"/>
        </w:rPr>
        <w:t>eléctricos</w:t>
      </w:r>
      <w:r w:rsidRPr="00FB5272">
        <w:rPr>
          <w:lang w:val="es-ES"/>
        </w:rPr>
        <w:t>/Mobiliario</w:t>
      </w:r>
      <w:r w:rsidR="00561D57">
        <w:rPr>
          <w:lang w:val="es-ES"/>
        </w:rPr>
        <w:t>”.</w:t>
      </w:r>
    </w:p>
    <w:p w14:paraId="0AEA06AC" w14:textId="77777777" w:rsidR="0079428C" w:rsidRPr="00FD055F" w:rsidRDefault="0079428C" w:rsidP="0079428C">
      <w:pPr>
        <w:pStyle w:val="Ttulo4"/>
      </w:pPr>
      <w:bookmarkStart w:id="343" w:name="_Toc32390202"/>
      <w:bookmarkStart w:id="344" w:name="_Toc34398149"/>
      <w:bookmarkStart w:id="345" w:name="_Toc39797839"/>
      <w:r w:rsidRPr="00FD055F">
        <w:t>Equipamiento computacional</w:t>
      </w:r>
      <w:bookmarkEnd w:id="343"/>
      <w:bookmarkEnd w:id="344"/>
      <w:bookmarkEnd w:id="345"/>
      <w:r w:rsidRPr="00FD055F">
        <w:t xml:space="preserve"> </w:t>
      </w:r>
    </w:p>
    <w:p w14:paraId="4F0E9BD2" w14:textId="77777777" w:rsidR="0079428C" w:rsidRPr="00B06D23" w:rsidRDefault="0079428C" w:rsidP="0079428C">
      <w:pPr>
        <w:rPr>
          <w:lang w:val="es-ES"/>
        </w:rPr>
      </w:pPr>
      <w:r w:rsidRPr="00B06D23">
        <w:rPr>
          <w:lang w:val="es-ES"/>
        </w:rPr>
        <w:t>Este ítem incluye el software y hardware de microinformática y macroinformática como se especifica a continuación.</w:t>
      </w:r>
    </w:p>
    <w:p w14:paraId="7E7CAEFD" w14:textId="77777777" w:rsidR="0079428C" w:rsidRPr="00A655F1" w:rsidRDefault="0079428C" w:rsidP="005A6F95">
      <w:pPr>
        <w:pStyle w:val="Ttulo5"/>
      </w:pPr>
      <w:bookmarkStart w:id="346" w:name="_Toc32390203"/>
      <w:r w:rsidRPr="00A655F1">
        <w:lastRenderedPageBreak/>
        <w:t>Microinformática (software y hardware)</w:t>
      </w:r>
      <w:bookmarkEnd w:id="346"/>
    </w:p>
    <w:p w14:paraId="105208BD" w14:textId="77777777" w:rsidR="0079428C" w:rsidRPr="00B06D23" w:rsidRDefault="0079428C" w:rsidP="0079428C">
      <w:pPr>
        <w:rPr>
          <w:lang w:val="es-ES"/>
        </w:rPr>
      </w:pPr>
      <w:r w:rsidRPr="00B06D23">
        <w:rPr>
          <w:lang w:val="es-ES"/>
        </w:rPr>
        <w:t>Comprende los recursos de tecnologías de información que se utilizan comúnmente en la oficina (oficina central, y regionales), que corresponde principalmente a los siguientes elementos: PCs, notebooks, impresoras, Plotter.</w:t>
      </w:r>
    </w:p>
    <w:p w14:paraId="3625F2A2" w14:textId="77777777" w:rsidR="0079428C" w:rsidRPr="00B06D23" w:rsidRDefault="0079428C" w:rsidP="0079428C">
      <w:pPr>
        <w:rPr>
          <w:lang w:val="es-ES"/>
        </w:rPr>
      </w:pPr>
      <w:r w:rsidRPr="00B06D23">
        <w:rPr>
          <w:lang w:val="es-ES"/>
        </w:rPr>
        <w:t>El software para microinformática para equipar el hardware tales como sistemas operativos, y programas específicos para cada una de las áreas de la empresa.</w:t>
      </w:r>
    </w:p>
    <w:p w14:paraId="68D9FEA0" w14:textId="77777777" w:rsidR="0079428C" w:rsidRPr="00B06D23" w:rsidRDefault="0079428C" w:rsidP="0079428C">
      <w:pPr>
        <w:rPr>
          <w:lang w:val="es-ES"/>
        </w:rPr>
      </w:pPr>
      <w:r w:rsidRPr="00B06D23">
        <w:rPr>
          <w:lang w:val="es-ES"/>
        </w:rPr>
        <w:t>Se han considerado el siguiente Software:</w:t>
      </w:r>
    </w:p>
    <w:p w14:paraId="0E0A2ECC" w14:textId="77777777" w:rsidR="0079428C" w:rsidRPr="00561D57" w:rsidRDefault="0079428C" w:rsidP="00273FE4">
      <w:pPr>
        <w:pStyle w:val="Prrafodelista"/>
        <w:numPr>
          <w:ilvl w:val="0"/>
          <w:numId w:val="66"/>
        </w:numPr>
        <w:spacing w:after="120"/>
        <w:ind w:hanging="720"/>
      </w:pPr>
      <w:r w:rsidRPr="00561D57">
        <w:t>Project</w:t>
      </w:r>
    </w:p>
    <w:p w14:paraId="37B20673" w14:textId="77777777" w:rsidR="0079428C" w:rsidRPr="00561D57" w:rsidRDefault="0079428C" w:rsidP="00273FE4">
      <w:pPr>
        <w:pStyle w:val="Prrafodelista"/>
        <w:numPr>
          <w:ilvl w:val="0"/>
          <w:numId w:val="66"/>
        </w:numPr>
        <w:spacing w:after="120"/>
        <w:ind w:hanging="720"/>
      </w:pPr>
      <w:r w:rsidRPr="00561D57">
        <w:t>Arcgis</w:t>
      </w:r>
    </w:p>
    <w:p w14:paraId="43AE4869" w14:textId="77777777" w:rsidR="0079428C" w:rsidRPr="00561D57" w:rsidRDefault="0079428C" w:rsidP="00273FE4">
      <w:pPr>
        <w:pStyle w:val="Prrafodelista"/>
        <w:numPr>
          <w:ilvl w:val="0"/>
          <w:numId w:val="66"/>
        </w:numPr>
        <w:spacing w:after="120"/>
        <w:ind w:hanging="720"/>
      </w:pPr>
      <w:r w:rsidRPr="00561D57">
        <w:t>Autocad</w:t>
      </w:r>
    </w:p>
    <w:p w14:paraId="101CCDCC" w14:textId="77777777" w:rsidR="0079428C" w:rsidRPr="00561D57" w:rsidRDefault="0079428C" w:rsidP="00273FE4">
      <w:pPr>
        <w:pStyle w:val="Prrafodelista"/>
        <w:numPr>
          <w:ilvl w:val="0"/>
          <w:numId w:val="66"/>
        </w:numPr>
        <w:spacing w:after="120"/>
        <w:ind w:hanging="720"/>
      </w:pPr>
      <w:r w:rsidRPr="00561D57">
        <w:t>Matlab</w:t>
      </w:r>
    </w:p>
    <w:p w14:paraId="3C0FC2EE" w14:textId="77777777" w:rsidR="0079428C" w:rsidRPr="00561D57" w:rsidRDefault="0079428C" w:rsidP="00273FE4">
      <w:pPr>
        <w:pStyle w:val="Prrafodelista"/>
        <w:numPr>
          <w:ilvl w:val="0"/>
          <w:numId w:val="66"/>
        </w:numPr>
        <w:ind w:hanging="720"/>
      </w:pPr>
      <w:r w:rsidRPr="00561D57">
        <w:t>Microsoft Office</w:t>
      </w:r>
    </w:p>
    <w:p w14:paraId="6ACC9B05" w14:textId="6B4BC7A4" w:rsidR="00B633A3" w:rsidRPr="005E7F2E" w:rsidRDefault="00B633A3" w:rsidP="00B633A3">
      <w:pPr>
        <w:rPr>
          <w:lang w:val="es-ES"/>
        </w:rPr>
      </w:pPr>
      <w:r w:rsidRPr="005E7F2E">
        <w:rPr>
          <w:lang w:val="es-ES"/>
        </w:rPr>
        <w:t xml:space="preserve">El cálculo del costo del equipamiento de microinformática se dimensionó aplicando la siguiente metodología: en función de los requerimientos de cada cargo y área se asignó un equipamiento de hardware y el costo unitario correspondiente. </w:t>
      </w:r>
    </w:p>
    <w:p w14:paraId="46641204" w14:textId="0B6BDEFD" w:rsidR="00B633A3" w:rsidRDefault="00B633A3" w:rsidP="00B633A3">
      <w:pPr>
        <w:rPr>
          <w:lang w:val="es-ES"/>
        </w:rPr>
      </w:pPr>
      <w:r w:rsidRPr="005E7F2E">
        <w:rPr>
          <w:lang w:val="es-ES"/>
        </w:rPr>
        <w:t>Para la asignación se consideró el siguiente criterio:</w:t>
      </w:r>
    </w:p>
    <w:p w14:paraId="4EC9598A" w14:textId="2D56CCE2" w:rsidR="00561D57" w:rsidRPr="00BC38C2" w:rsidRDefault="00561D57" w:rsidP="00561D57">
      <w:pPr>
        <w:pStyle w:val="Subttulo"/>
      </w:pPr>
      <w:bookmarkStart w:id="347" w:name="_Toc39797943"/>
      <w:r w:rsidRPr="00BC38C2">
        <w:t xml:space="preserve">Tabla </w:t>
      </w:r>
      <w:fldSimple w:instr=" SEQ Tabla \* ARABIC ">
        <w:r w:rsidR="001F3E2E">
          <w:rPr>
            <w:noProof/>
          </w:rPr>
          <w:t>33</w:t>
        </w:r>
      </w:fldSimple>
      <w:r>
        <w:t>:</w:t>
      </w:r>
      <w:r w:rsidRPr="00BC38C2">
        <w:t xml:space="preserve"> </w:t>
      </w:r>
      <w:r>
        <w:t>asignación hardware</w:t>
      </w:r>
      <w:bookmarkEnd w:id="347"/>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firstRow="1" w:lastRow="0" w:firstColumn="1" w:lastColumn="0" w:noHBand="0" w:noVBand="1"/>
      </w:tblPr>
      <w:tblGrid>
        <w:gridCol w:w="3402"/>
        <w:gridCol w:w="5103"/>
      </w:tblGrid>
      <w:tr w:rsidR="00B633A3" w:rsidRPr="00173470" w14:paraId="712F60B2" w14:textId="77777777" w:rsidTr="00A0215E">
        <w:trPr>
          <w:jc w:val="center"/>
        </w:trPr>
        <w:tc>
          <w:tcPr>
            <w:tcW w:w="3402" w:type="dxa"/>
            <w:shd w:val="clear" w:color="auto" w:fill="D9D9D9" w:themeFill="background1" w:themeFillShade="D9"/>
            <w:noWrap/>
            <w:vAlign w:val="center"/>
          </w:tcPr>
          <w:p w14:paraId="0813FF65" w14:textId="77777777" w:rsidR="00B633A3" w:rsidRPr="00173470" w:rsidRDefault="00B633A3" w:rsidP="00173470">
            <w:pPr>
              <w:spacing w:before="40" w:after="40" w:line="240" w:lineRule="auto"/>
              <w:jc w:val="center"/>
              <w:rPr>
                <w:rFonts w:eastAsia="Times New Roman" w:cs="Calibri"/>
                <w:b/>
                <w:sz w:val="20"/>
                <w:szCs w:val="20"/>
                <w:lang w:val="es-AR" w:eastAsia="es-AR"/>
              </w:rPr>
            </w:pPr>
            <w:r w:rsidRPr="00173470">
              <w:rPr>
                <w:rFonts w:eastAsia="Times New Roman" w:cs="Calibri"/>
                <w:b/>
                <w:sz w:val="20"/>
                <w:szCs w:val="20"/>
                <w:lang w:val="es-AR" w:eastAsia="es-AR"/>
              </w:rPr>
              <w:t>Hardware Microinformática</w:t>
            </w:r>
          </w:p>
        </w:tc>
        <w:tc>
          <w:tcPr>
            <w:tcW w:w="5103" w:type="dxa"/>
            <w:shd w:val="clear" w:color="auto" w:fill="D9D9D9" w:themeFill="background1" w:themeFillShade="D9"/>
            <w:noWrap/>
            <w:vAlign w:val="center"/>
          </w:tcPr>
          <w:p w14:paraId="0239744D" w14:textId="77777777" w:rsidR="00B633A3" w:rsidRPr="00173470" w:rsidRDefault="00B633A3" w:rsidP="00173470">
            <w:pPr>
              <w:spacing w:before="40" w:after="40" w:line="240" w:lineRule="auto"/>
              <w:jc w:val="center"/>
              <w:rPr>
                <w:rFonts w:eastAsia="Times New Roman" w:cs="Calibri"/>
                <w:b/>
                <w:sz w:val="20"/>
                <w:szCs w:val="20"/>
                <w:lang w:val="es-AR" w:eastAsia="es-AR"/>
              </w:rPr>
            </w:pPr>
            <w:r w:rsidRPr="00173470">
              <w:rPr>
                <w:rFonts w:eastAsia="Times New Roman" w:cs="Calibri"/>
                <w:b/>
                <w:sz w:val="20"/>
                <w:szCs w:val="20"/>
                <w:lang w:val="es-AR" w:eastAsia="es-AR"/>
              </w:rPr>
              <w:t>Criterio de asignación</w:t>
            </w:r>
          </w:p>
        </w:tc>
      </w:tr>
      <w:tr w:rsidR="00B633A3" w:rsidRPr="00173470" w14:paraId="2879713F" w14:textId="77777777" w:rsidTr="00A0215E">
        <w:trPr>
          <w:jc w:val="center"/>
        </w:trPr>
        <w:tc>
          <w:tcPr>
            <w:tcW w:w="3402" w:type="dxa"/>
            <w:shd w:val="clear" w:color="auto" w:fill="auto"/>
            <w:noWrap/>
            <w:vAlign w:val="center"/>
            <w:hideMark/>
          </w:tcPr>
          <w:p w14:paraId="419D8BBF" w14:textId="77777777" w:rsidR="00B633A3" w:rsidRPr="00173470" w:rsidRDefault="00B633A3" w:rsidP="00A0215E">
            <w:pPr>
              <w:spacing w:before="40" w:after="40" w:line="240" w:lineRule="auto"/>
              <w:jc w:val="left"/>
              <w:rPr>
                <w:rFonts w:eastAsia="Times New Roman" w:cs="Calibri"/>
                <w:sz w:val="20"/>
                <w:szCs w:val="20"/>
                <w:lang w:val="es-AR" w:eastAsia="es-AR"/>
              </w:rPr>
            </w:pPr>
            <w:r w:rsidRPr="00173470">
              <w:rPr>
                <w:rFonts w:eastAsia="Times New Roman" w:cs="Calibri"/>
                <w:sz w:val="20"/>
                <w:szCs w:val="20"/>
                <w:lang w:val="es-AR" w:eastAsia="es-AR"/>
              </w:rPr>
              <w:t xml:space="preserve">Impresoras blanco y negro </w:t>
            </w:r>
          </w:p>
        </w:tc>
        <w:tc>
          <w:tcPr>
            <w:tcW w:w="5103" w:type="dxa"/>
            <w:shd w:val="clear" w:color="auto" w:fill="auto"/>
            <w:noWrap/>
            <w:vAlign w:val="center"/>
            <w:hideMark/>
          </w:tcPr>
          <w:p w14:paraId="5406EB30" w14:textId="77777777" w:rsidR="00B633A3" w:rsidRPr="00173470" w:rsidRDefault="00B633A3" w:rsidP="00A0215E">
            <w:pPr>
              <w:spacing w:before="40" w:after="40" w:line="240" w:lineRule="auto"/>
              <w:jc w:val="left"/>
              <w:rPr>
                <w:rFonts w:eastAsia="Times New Roman" w:cs="Calibri"/>
                <w:sz w:val="20"/>
                <w:szCs w:val="20"/>
                <w:lang w:val="es-AR" w:eastAsia="es-AR"/>
              </w:rPr>
            </w:pPr>
            <w:r w:rsidRPr="00173470">
              <w:rPr>
                <w:rFonts w:eastAsia="Times New Roman" w:cs="Calibri"/>
                <w:sz w:val="20"/>
                <w:szCs w:val="20"/>
                <w:lang w:val="es-AR" w:eastAsia="es-AR"/>
              </w:rPr>
              <w:t>Gerencias, Subgerencias y Departamentos</w:t>
            </w:r>
          </w:p>
        </w:tc>
      </w:tr>
      <w:tr w:rsidR="00B633A3" w:rsidRPr="00173470" w14:paraId="1AD1E9D9" w14:textId="77777777" w:rsidTr="00A0215E">
        <w:trPr>
          <w:jc w:val="center"/>
        </w:trPr>
        <w:tc>
          <w:tcPr>
            <w:tcW w:w="3402" w:type="dxa"/>
            <w:shd w:val="clear" w:color="auto" w:fill="auto"/>
            <w:noWrap/>
            <w:vAlign w:val="center"/>
            <w:hideMark/>
          </w:tcPr>
          <w:p w14:paraId="55FA4B70" w14:textId="77777777" w:rsidR="00B633A3" w:rsidRPr="00173470" w:rsidRDefault="00B633A3" w:rsidP="00A0215E">
            <w:pPr>
              <w:spacing w:before="40" w:after="40" w:line="240" w:lineRule="auto"/>
              <w:jc w:val="left"/>
              <w:rPr>
                <w:rFonts w:eastAsia="Times New Roman" w:cs="Calibri"/>
                <w:sz w:val="20"/>
                <w:szCs w:val="20"/>
                <w:lang w:val="es-AR" w:eastAsia="es-AR"/>
              </w:rPr>
            </w:pPr>
            <w:r w:rsidRPr="00173470">
              <w:rPr>
                <w:rFonts w:eastAsia="Times New Roman" w:cs="Calibri"/>
                <w:sz w:val="20"/>
                <w:szCs w:val="20"/>
                <w:lang w:val="es-AR" w:eastAsia="es-AR"/>
              </w:rPr>
              <w:t xml:space="preserve">Impresoras color </w:t>
            </w:r>
          </w:p>
        </w:tc>
        <w:tc>
          <w:tcPr>
            <w:tcW w:w="5103" w:type="dxa"/>
            <w:shd w:val="clear" w:color="auto" w:fill="auto"/>
            <w:noWrap/>
            <w:vAlign w:val="center"/>
            <w:hideMark/>
          </w:tcPr>
          <w:p w14:paraId="7E2CE173" w14:textId="77777777" w:rsidR="00B633A3" w:rsidRPr="00173470" w:rsidRDefault="00B633A3" w:rsidP="00A0215E">
            <w:pPr>
              <w:spacing w:before="40" w:after="40" w:line="240" w:lineRule="auto"/>
              <w:jc w:val="left"/>
              <w:rPr>
                <w:rFonts w:eastAsia="Times New Roman" w:cs="Calibri"/>
                <w:sz w:val="20"/>
                <w:szCs w:val="20"/>
                <w:lang w:val="es-AR" w:eastAsia="es-AR"/>
              </w:rPr>
            </w:pPr>
            <w:r w:rsidRPr="00173470">
              <w:rPr>
                <w:rFonts w:eastAsia="Times New Roman" w:cs="Calibri"/>
                <w:sz w:val="20"/>
                <w:szCs w:val="20"/>
                <w:lang w:val="es-AR" w:eastAsia="es-AR"/>
              </w:rPr>
              <w:t>Gerencias, Subgerencias y Departamentos</w:t>
            </w:r>
          </w:p>
        </w:tc>
      </w:tr>
      <w:tr w:rsidR="00B633A3" w:rsidRPr="00173470" w14:paraId="35BB5170" w14:textId="77777777" w:rsidTr="00A0215E">
        <w:trPr>
          <w:jc w:val="center"/>
        </w:trPr>
        <w:tc>
          <w:tcPr>
            <w:tcW w:w="3402" w:type="dxa"/>
            <w:shd w:val="clear" w:color="auto" w:fill="auto"/>
            <w:noWrap/>
            <w:vAlign w:val="center"/>
            <w:hideMark/>
          </w:tcPr>
          <w:p w14:paraId="0204E10F" w14:textId="77777777" w:rsidR="00B633A3" w:rsidRPr="00173470" w:rsidRDefault="00B633A3" w:rsidP="00A0215E">
            <w:pPr>
              <w:spacing w:before="40" w:after="40" w:line="240" w:lineRule="auto"/>
              <w:jc w:val="left"/>
              <w:rPr>
                <w:rFonts w:eastAsia="Times New Roman" w:cs="Calibri"/>
                <w:sz w:val="20"/>
                <w:szCs w:val="20"/>
                <w:lang w:val="es-AR" w:eastAsia="es-AR"/>
              </w:rPr>
            </w:pPr>
            <w:r w:rsidRPr="00173470">
              <w:rPr>
                <w:rFonts w:eastAsia="Times New Roman" w:cs="Calibri"/>
                <w:sz w:val="20"/>
                <w:szCs w:val="20"/>
                <w:lang w:val="es-AR" w:eastAsia="es-AR"/>
              </w:rPr>
              <w:t xml:space="preserve">Plotter </w:t>
            </w:r>
          </w:p>
        </w:tc>
        <w:tc>
          <w:tcPr>
            <w:tcW w:w="5103" w:type="dxa"/>
            <w:shd w:val="clear" w:color="auto" w:fill="auto"/>
            <w:noWrap/>
            <w:vAlign w:val="center"/>
            <w:hideMark/>
          </w:tcPr>
          <w:p w14:paraId="103AAAE8" w14:textId="77777777" w:rsidR="00B633A3" w:rsidRPr="00173470" w:rsidRDefault="00B633A3" w:rsidP="00A0215E">
            <w:pPr>
              <w:spacing w:before="40" w:after="40" w:line="240" w:lineRule="auto"/>
              <w:jc w:val="left"/>
              <w:rPr>
                <w:rFonts w:eastAsia="Times New Roman" w:cs="Calibri"/>
                <w:sz w:val="20"/>
                <w:szCs w:val="20"/>
                <w:lang w:val="es-AR" w:eastAsia="es-AR"/>
              </w:rPr>
            </w:pPr>
            <w:r w:rsidRPr="00173470">
              <w:rPr>
                <w:rFonts w:eastAsia="Times New Roman" w:cs="Calibri"/>
                <w:sz w:val="20"/>
                <w:szCs w:val="20"/>
                <w:lang w:val="es-AR" w:eastAsia="es-AR"/>
              </w:rPr>
              <w:t>Planificación operativa</w:t>
            </w:r>
          </w:p>
        </w:tc>
      </w:tr>
      <w:tr w:rsidR="00B633A3" w:rsidRPr="00173470" w14:paraId="2B7EE8E6" w14:textId="77777777" w:rsidTr="00A0215E">
        <w:trPr>
          <w:jc w:val="center"/>
        </w:trPr>
        <w:tc>
          <w:tcPr>
            <w:tcW w:w="3402" w:type="dxa"/>
            <w:shd w:val="clear" w:color="auto" w:fill="auto"/>
            <w:noWrap/>
            <w:vAlign w:val="center"/>
            <w:hideMark/>
          </w:tcPr>
          <w:p w14:paraId="6E300748" w14:textId="77777777" w:rsidR="00B633A3" w:rsidRPr="00173470" w:rsidRDefault="00B633A3" w:rsidP="00A0215E">
            <w:pPr>
              <w:spacing w:before="40" w:after="40" w:line="240" w:lineRule="auto"/>
              <w:jc w:val="left"/>
              <w:rPr>
                <w:rFonts w:eastAsia="Times New Roman" w:cs="Calibri"/>
                <w:sz w:val="20"/>
                <w:szCs w:val="20"/>
                <w:lang w:val="es-AR" w:eastAsia="es-AR"/>
              </w:rPr>
            </w:pPr>
            <w:r w:rsidRPr="00173470">
              <w:rPr>
                <w:rFonts w:eastAsia="Times New Roman" w:cs="Calibri"/>
                <w:sz w:val="20"/>
                <w:szCs w:val="20"/>
                <w:lang w:val="es-AR" w:eastAsia="es-AR"/>
              </w:rPr>
              <w:t xml:space="preserve">Proyectores </w:t>
            </w:r>
          </w:p>
        </w:tc>
        <w:tc>
          <w:tcPr>
            <w:tcW w:w="5103" w:type="dxa"/>
            <w:shd w:val="clear" w:color="auto" w:fill="auto"/>
            <w:noWrap/>
            <w:vAlign w:val="center"/>
            <w:hideMark/>
          </w:tcPr>
          <w:p w14:paraId="43944DF1" w14:textId="77777777" w:rsidR="00B633A3" w:rsidRPr="00173470" w:rsidRDefault="00B633A3" w:rsidP="00A0215E">
            <w:pPr>
              <w:spacing w:before="40" w:after="40" w:line="240" w:lineRule="auto"/>
              <w:jc w:val="left"/>
              <w:rPr>
                <w:rFonts w:eastAsia="Times New Roman" w:cs="Calibri"/>
                <w:sz w:val="20"/>
                <w:szCs w:val="20"/>
                <w:lang w:val="es-AR" w:eastAsia="es-AR"/>
              </w:rPr>
            </w:pPr>
            <w:r w:rsidRPr="00173470">
              <w:rPr>
                <w:rFonts w:eastAsia="Times New Roman" w:cs="Calibri"/>
                <w:sz w:val="20"/>
                <w:szCs w:val="20"/>
                <w:lang w:val="es-AR" w:eastAsia="es-AR"/>
              </w:rPr>
              <w:t>Gerencias, Subgerencias y Departamentos</w:t>
            </w:r>
          </w:p>
        </w:tc>
      </w:tr>
      <w:tr w:rsidR="00B633A3" w:rsidRPr="00173470" w14:paraId="6412B946" w14:textId="77777777" w:rsidTr="00A0215E">
        <w:trPr>
          <w:jc w:val="center"/>
        </w:trPr>
        <w:tc>
          <w:tcPr>
            <w:tcW w:w="3402" w:type="dxa"/>
            <w:shd w:val="clear" w:color="auto" w:fill="auto"/>
            <w:noWrap/>
            <w:vAlign w:val="center"/>
            <w:hideMark/>
          </w:tcPr>
          <w:p w14:paraId="3EB98AEF" w14:textId="77777777" w:rsidR="00B633A3" w:rsidRPr="00173470" w:rsidRDefault="00B633A3" w:rsidP="00A0215E">
            <w:pPr>
              <w:spacing w:before="40" w:after="40" w:line="240" w:lineRule="auto"/>
              <w:jc w:val="left"/>
              <w:rPr>
                <w:rFonts w:eastAsia="Times New Roman" w:cs="Calibri"/>
                <w:sz w:val="20"/>
                <w:szCs w:val="20"/>
                <w:lang w:val="es-AR" w:eastAsia="es-AR"/>
              </w:rPr>
            </w:pPr>
            <w:r w:rsidRPr="00173470">
              <w:rPr>
                <w:rFonts w:eastAsia="Times New Roman" w:cs="Calibri"/>
                <w:sz w:val="20"/>
                <w:szCs w:val="20"/>
                <w:lang w:val="es-AR" w:eastAsia="es-AR"/>
              </w:rPr>
              <w:t xml:space="preserve">PCs  </w:t>
            </w:r>
          </w:p>
        </w:tc>
        <w:tc>
          <w:tcPr>
            <w:tcW w:w="5103" w:type="dxa"/>
            <w:shd w:val="clear" w:color="auto" w:fill="auto"/>
            <w:noWrap/>
            <w:vAlign w:val="center"/>
            <w:hideMark/>
          </w:tcPr>
          <w:p w14:paraId="6F13C252" w14:textId="77777777" w:rsidR="00B633A3" w:rsidRPr="00173470" w:rsidRDefault="00B633A3" w:rsidP="00A0215E">
            <w:pPr>
              <w:spacing w:before="40" w:after="40" w:line="240" w:lineRule="auto"/>
              <w:jc w:val="left"/>
              <w:rPr>
                <w:rFonts w:eastAsia="Times New Roman" w:cs="Calibri"/>
                <w:sz w:val="20"/>
                <w:szCs w:val="20"/>
                <w:lang w:val="es-AR" w:eastAsia="es-AR"/>
              </w:rPr>
            </w:pPr>
            <w:r w:rsidRPr="00173470">
              <w:rPr>
                <w:rFonts w:eastAsia="Times New Roman" w:cs="Calibri"/>
                <w:sz w:val="20"/>
                <w:szCs w:val="20"/>
                <w:lang w:val="es-AR" w:eastAsia="es-AR"/>
              </w:rPr>
              <w:t>Personal de plantilla</w:t>
            </w:r>
          </w:p>
        </w:tc>
      </w:tr>
      <w:tr w:rsidR="00B633A3" w:rsidRPr="00173470" w14:paraId="0E62B292" w14:textId="77777777" w:rsidTr="00A0215E">
        <w:trPr>
          <w:jc w:val="center"/>
        </w:trPr>
        <w:tc>
          <w:tcPr>
            <w:tcW w:w="3402" w:type="dxa"/>
            <w:shd w:val="clear" w:color="auto" w:fill="auto"/>
            <w:noWrap/>
            <w:vAlign w:val="center"/>
            <w:hideMark/>
          </w:tcPr>
          <w:p w14:paraId="3D5AAB70" w14:textId="77777777" w:rsidR="00B633A3" w:rsidRPr="00173470" w:rsidRDefault="00B633A3" w:rsidP="00A0215E">
            <w:pPr>
              <w:spacing w:before="40" w:after="40" w:line="240" w:lineRule="auto"/>
              <w:jc w:val="left"/>
              <w:rPr>
                <w:rFonts w:eastAsia="Times New Roman" w:cs="Calibri"/>
                <w:sz w:val="20"/>
                <w:szCs w:val="20"/>
                <w:lang w:val="es-AR" w:eastAsia="es-AR"/>
              </w:rPr>
            </w:pPr>
            <w:r w:rsidRPr="00173470">
              <w:rPr>
                <w:rFonts w:eastAsia="Times New Roman" w:cs="Calibri"/>
                <w:sz w:val="20"/>
                <w:szCs w:val="20"/>
                <w:lang w:val="es-AR" w:eastAsia="es-AR"/>
              </w:rPr>
              <w:t xml:space="preserve">Notebooks </w:t>
            </w:r>
          </w:p>
        </w:tc>
        <w:tc>
          <w:tcPr>
            <w:tcW w:w="5103" w:type="dxa"/>
            <w:shd w:val="clear" w:color="auto" w:fill="auto"/>
            <w:noWrap/>
            <w:vAlign w:val="center"/>
            <w:hideMark/>
          </w:tcPr>
          <w:p w14:paraId="5A6FCEF0" w14:textId="4BDC499E" w:rsidR="00B633A3" w:rsidRPr="00173470" w:rsidRDefault="00B633A3" w:rsidP="00A0215E">
            <w:pPr>
              <w:spacing w:before="40" w:after="40" w:line="240" w:lineRule="auto"/>
              <w:jc w:val="left"/>
              <w:rPr>
                <w:rFonts w:eastAsia="Times New Roman" w:cs="Calibri"/>
                <w:sz w:val="20"/>
                <w:szCs w:val="20"/>
                <w:lang w:val="es-AR" w:eastAsia="es-AR"/>
              </w:rPr>
            </w:pPr>
            <w:r w:rsidRPr="00173470">
              <w:rPr>
                <w:rFonts w:eastAsia="Times New Roman" w:cs="Calibri"/>
                <w:sz w:val="20"/>
                <w:szCs w:val="20"/>
                <w:lang w:val="es-AR" w:eastAsia="es-AR"/>
              </w:rPr>
              <w:t>Person</w:t>
            </w:r>
            <w:r w:rsidR="00D409FA" w:rsidRPr="00173470">
              <w:rPr>
                <w:rFonts w:eastAsia="Times New Roman" w:cs="Calibri"/>
                <w:sz w:val="20"/>
                <w:szCs w:val="20"/>
                <w:lang w:val="es-AR" w:eastAsia="es-AR"/>
              </w:rPr>
              <w:t>al jerárquico (Gerente, Subgere</w:t>
            </w:r>
            <w:r w:rsidRPr="00173470">
              <w:rPr>
                <w:rFonts w:eastAsia="Times New Roman" w:cs="Calibri"/>
                <w:sz w:val="20"/>
                <w:szCs w:val="20"/>
                <w:lang w:val="es-AR" w:eastAsia="es-AR"/>
              </w:rPr>
              <w:t>nte, Jefes)</w:t>
            </w:r>
          </w:p>
        </w:tc>
      </w:tr>
    </w:tbl>
    <w:p w14:paraId="51ACC9CC" w14:textId="77777777" w:rsidR="00B633A3" w:rsidRPr="00173470" w:rsidRDefault="00B633A3" w:rsidP="00A0215E">
      <w:pPr>
        <w:spacing w:after="0"/>
        <w:rPr>
          <w:sz w:val="20"/>
          <w:szCs w:val="20"/>
          <w:lang w:val="es-AR"/>
        </w:rPr>
      </w:pPr>
    </w:p>
    <w:p w14:paraId="7B69354C" w14:textId="4C2C86CF" w:rsidR="00B633A3" w:rsidRPr="005E7F2E" w:rsidRDefault="00B633A3" w:rsidP="00B633A3">
      <w:pPr>
        <w:rPr>
          <w:lang w:val="es-AR"/>
        </w:rPr>
      </w:pPr>
      <w:r w:rsidRPr="00A0215E">
        <w:rPr>
          <w:i/>
          <w:iCs/>
          <w:lang w:val="es-AR"/>
        </w:rPr>
        <w:t>En una empresa eficiente se considera necesario el requerimiento indicado para que los empleados</w:t>
      </w:r>
      <w:r w:rsidRPr="005E7F2E">
        <w:rPr>
          <w:lang w:val="es-AR"/>
        </w:rPr>
        <w:t xml:space="preserve"> puedan cumplir con sus funciones utilizando los recursos de software considerados en la </w:t>
      </w:r>
      <w:r w:rsidR="001A6E11" w:rsidRPr="005E7F2E">
        <w:rPr>
          <w:lang w:val="es-AR"/>
        </w:rPr>
        <w:t>EM</w:t>
      </w:r>
      <w:r w:rsidRPr="005E7F2E">
        <w:rPr>
          <w:lang w:val="es-AR"/>
        </w:rPr>
        <w:t xml:space="preserve"> eficiente.</w:t>
      </w:r>
    </w:p>
    <w:p w14:paraId="0E2E8F89" w14:textId="71031FBA" w:rsidR="00B633A3" w:rsidRPr="005E7F2E" w:rsidRDefault="00B633A3" w:rsidP="00B633A3">
      <w:pPr>
        <w:rPr>
          <w:lang w:val="es-ES"/>
        </w:rPr>
      </w:pPr>
      <w:r w:rsidRPr="005E7F2E">
        <w:rPr>
          <w:lang w:val="es-ES"/>
        </w:rPr>
        <w:t xml:space="preserve">En el </w:t>
      </w:r>
      <w:r w:rsidR="004445C3">
        <w:rPr>
          <w:lang w:val="es-ES"/>
        </w:rPr>
        <w:t>“</w:t>
      </w:r>
      <w:r w:rsidRPr="005E7F2E">
        <w:rPr>
          <w:lang w:val="es-ES"/>
        </w:rPr>
        <w:t xml:space="preserve">Anexo </w:t>
      </w:r>
      <w:r w:rsidR="004445C3">
        <w:rPr>
          <w:lang w:val="es-ES"/>
        </w:rPr>
        <w:t>COMA</w:t>
      </w:r>
      <w:r w:rsidRPr="005E7F2E">
        <w:rPr>
          <w:lang w:val="es-ES"/>
        </w:rPr>
        <w:t xml:space="preserve">_3 Modelo/Datos/Precios insumos no eléctricos/ </w:t>
      </w:r>
      <w:r w:rsidR="00D409FA" w:rsidRPr="005E7F2E">
        <w:rPr>
          <w:lang w:val="es-ES"/>
        </w:rPr>
        <w:t>Microinformática</w:t>
      </w:r>
      <w:r w:rsidR="004445C3">
        <w:rPr>
          <w:lang w:val="es-ES"/>
        </w:rPr>
        <w:t>”</w:t>
      </w:r>
      <w:r w:rsidRPr="005E7F2E">
        <w:rPr>
          <w:lang w:val="es-ES"/>
        </w:rPr>
        <w:t xml:space="preserve"> se detallan los costos unitarios del Hardware de los equipos considerados.</w:t>
      </w:r>
    </w:p>
    <w:p w14:paraId="2B45360A" w14:textId="0D7D9721" w:rsidR="00B633A3" w:rsidRPr="005E7F2E" w:rsidRDefault="00B633A3" w:rsidP="00B633A3">
      <w:pPr>
        <w:rPr>
          <w:lang w:val="es-ES"/>
        </w:rPr>
      </w:pPr>
      <w:r w:rsidRPr="005E7F2E">
        <w:rPr>
          <w:lang w:val="es-ES"/>
        </w:rPr>
        <w:lastRenderedPageBreak/>
        <w:t xml:space="preserve">En el </w:t>
      </w:r>
      <w:r w:rsidR="004445C3">
        <w:rPr>
          <w:lang w:val="es-ES"/>
        </w:rPr>
        <w:t>“</w:t>
      </w:r>
      <w:r w:rsidRPr="005E7F2E">
        <w:rPr>
          <w:lang w:val="es-ES"/>
        </w:rPr>
        <w:t xml:space="preserve">Anexo </w:t>
      </w:r>
      <w:r w:rsidR="004445C3">
        <w:rPr>
          <w:lang w:val="es-ES"/>
        </w:rPr>
        <w:t>COMA</w:t>
      </w:r>
      <w:r w:rsidRPr="005E7F2E">
        <w:rPr>
          <w:lang w:val="es-ES"/>
        </w:rPr>
        <w:t>_3 Modelo/</w:t>
      </w:r>
      <w:r w:rsidRPr="005E7F2E">
        <w:t xml:space="preserve"> </w:t>
      </w:r>
      <w:r w:rsidRPr="005E7F2E">
        <w:rPr>
          <w:lang w:val="es-ES"/>
        </w:rPr>
        <w:t>Modelo EC&amp;ER</w:t>
      </w:r>
      <w:r w:rsidR="004445C3">
        <w:rPr>
          <w:lang w:val="es-ES"/>
        </w:rPr>
        <w:t>”</w:t>
      </w:r>
      <w:r w:rsidRPr="005E7F2E">
        <w:rPr>
          <w:lang w:val="es-ES"/>
        </w:rPr>
        <w:t xml:space="preserve"> en </w:t>
      </w:r>
      <w:r w:rsidR="00C34553" w:rsidRPr="005E7F2E">
        <w:rPr>
          <w:lang w:val="es-ES"/>
        </w:rPr>
        <w:t>las hojas</w:t>
      </w:r>
      <w:r w:rsidRPr="005E7F2E">
        <w:rPr>
          <w:lang w:val="es-ES"/>
        </w:rPr>
        <w:t xml:space="preserve"> “Estructura Central”, “Regional Norte”, “Regional Centro”, “</w:t>
      </w:r>
      <w:r w:rsidR="00C34553" w:rsidRPr="005E7F2E">
        <w:rPr>
          <w:lang w:val="es-ES"/>
        </w:rPr>
        <w:t>Regional Centro</w:t>
      </w:r>
      <w:r w:rsidRPr="005E7F2E">
        <w:rPr>
          <w:lang w:val="es-ES"/>
        </w:rPr>
        <w:t xml:space="preserve"> Sur” y “Regional Sur” se encuentra detallado el cálculo realizado considerando para cada puesto el equipamiento de hardware requerido con el criterio indicado en la tabla, su costo unitario y resultado obtenido.</w:t>
      </w:r>
    </w:p>
    <w:p w14:paraId="1936EB1D" w14:textId="42654BB3" w:rsidR="00B633A3" w:rsidRPr="00B633A3" w:rsidRDefault="00B633A3" w:rsidP="00B633A3">
      <w:pPr>
        <w:rPr>
          <w:lang w:val="es-ES"/>
        </w:rPr>
      </w:pPr>
      <w:r w:rsidRPr="005E7F2E">
        <w:rPr>
          <w:lang w:val="es-ES"/>
        </w:rPr>
        <w:t xml:space="preserve">En el </w:t>
      </w:r>
      <w:r w:rsidR="004445C3">
        <w:rPr>
          <w:lang w:val="es-ES"/>
        </w:rPr>
        <w:t>“</w:t>
      </w:r>
      <w:r w:rsidRPr="005E7F2E">
        <w:rPr>
          <w:lang w:val="es-ES"/>
        </w:rPr>
        <w:t xml:space="preserve">Anexo </w:t>
      </w:r>
      <w:r w:rsidR="004445C3">
        <w:rPr>
          <w:lang w:val="es-ES"/>
        </w:rPr>
        <w:t>COMA</w:t>
      </w:r>
      <w:r w:rsidRPr="005E7F2E">
        <w:rPr>
          <w:lang w:val="es-ES"/>
        </w:rPr>
        <w:t>_3 Modelo/Datos/ Equipamiento Informático/</w:t>
      </w:r>
      <w:r w:rsidRPr="005E7F2E">
        <w:t xml:space="preserve"> </w:t>
      </w:r>
      <w:r w:rsidRPr="005E7F2E">
        <w:rPr>
          <w:lang w:val="es-ES"/>
        </w:rPr>
        <w:t xml:space="preserve">Costos Sistemas </w:t>
      </w:r>
      <w:r w:rsidR="00C34553" w:rsidRPr="005E7F2E">
        <w:rPr>
          <w:lang w:val="es-ES"/>
        </w:rPr>
        <w:t>informáticos.xls</w:t>
      </w:r>
      <w:r w:rsidR="00C34553">
        <w:rPr>
          <w:lang w:val="es-ES"/>
        </w:rPr>
        <w:t>”</w:t>
      </w:r>
      <w:r w:rsidR="00C34553" w:rsidRPr="005E7F2E">
        <w:rPr>
          <w:lang w:val="es-ES"/>
        </w:rPr>
        <w:t xml:space="preserve"> se</w:t>
      </w:r>
      <w:r w:rsidR="00C34553">
        <w:rPr>
          <w:lang w:val="es-ES"/>
        </w:rPr>
        <w:t xml:space="preserve"> encuentra detallado el </w:t>
      </w:r>
      <w:r w:rsidR="00C34553">
        <w:rPr>
          <w:i/>
          <w:lang w:val="es-ES"/>
        </w:rPr>
        <w:t>s</w:t>
      </w:r>
      <w:r w:rsidRPr="00C34553">
        <w:rPr>
          <w:i/>
          <w:lang w:val="es-ES"/>
        </w:rPr>
        <w:t>oftware</w:t>
      </w:r>
      <w:r w:rsidRPr="005E7F2E">
        <w:rPr>
          <w:lang w:val="es-ES"/>
        </w:rPr>
        <w:t xml:space="preserve"> considerado para microinformática, su costo unitario, la cantidad requerida con su correspondiente justificación para la </w:t>
      </w:r>
      <w:r w:rsidR="001A6E11" w:rsidRPr="005E7F2E">
        <w:rPr>
          <w:lang w:val="es-ES"/>
        </w:rPr>
        <w:t>EM</w:t>
      </w:r>
      <w:r w:rsidRPr="005E7F2E">
        <w:rPr>
          <w:lang w:val="es-ES"/>
        </w:rPr>
        <w:t xml:space="preserve"> eficiente y el resultado obtenido.</w:t>
      </w:r>
    </w:p>
    <w:p w14:paraId="2D0E0C90" w14:textId="2C372BD4" w:rsidR="0079428C" w:rsidRPr="004445C3" w:rsidRDefault="00C34553" w:rsidP="004445C3">
      <w:pPr>
        <w:pStyle w:val="Ttulo5"/>
        <w:ind w:left="1009" w:hanging="1009"/>
        <w:rPr>
          <w:rFonts w:asciiTheme="minorHAnsi" w:hAnsiTheme="minorHAnsi"/>
        </w:rPr>
      </w:pPr>
      <w:r w:rsidRPr="004445C3">
        <w:rPr>
          <w:rFonts w:asciiTheme="minorHAnsi" w:hAnsiTheme="minorHAnsi"/>
        </w:rPr>
        <w:t>Softwares específicos</w:t>
      </w:r>
      <w:r w:rsidR="0079428C" w:rsidRPr="004445C3">
        <w:rPr>
          <w:rFonts w:asciiTheme="minorHAnsi" w:hAnsiTheme="minorHAnsi"/>
        </w:rPr>
        <w:t xml:space="preserve"> para estudios eléctricos de transmisión</w:t>
      </w:r>
    </w:p>
    <w:p w14:paraId="03743465" w14:textId="6C1F3D6B" w:rsidR="0087314E" w:rsidRDefault="0087314E" w:rsidP="0087314E">
      <w:pPr>
        <w:spacing w:after="0" w:line="240" w:lineRule="auto"/>
        <w:jc w:val="left"/>
        <w:rPr>
          <w:rFonts w:asciiTheme="minorHAnsi" w:eastAsia="Times New Roman" w:hAnsiTheme="minorHAnsi" w:cs="Calibri"/>
          <w:lang w:val="es-ES" w:eastAsia="es-AR"/>
        </w:rPr>
      </w:pPr>
      <w:r w:rsidRPr="004445C3">
        <w:rPr>
          <w:rFonts w:asciiTheme="minorHAnsi" w:eastAsia="Times New Roman" w:hAnsiTheme="minorHAnsi" w:cs="Calibri"/>
          <w:lang w:val="es-ES" w:eastAsia="es-AR"/>
        </w:rPr>
        <w:t>Se han considerado los siguientes para el personal específico de estudios de la subgerencia de ingeniería:</w:t>
      </w:r>
    </w:p>
    <w:p w14:paraId="7D0CA0D5" w14:textId="77777777" w:rsidR="00A0215E" w:rsidRPr="00A0215E" w:rsidRDefault="00A0215E" w:rsidP="00A0215E"/>
    <w:p w14:paraId="011BB066" w14:textId="688309EE" w:rsidR="004445C3" w:rsidRPr="00BC38C2" w:rsidRDefault="004445C3" w:rsidP="004445C3">
      <w:pPr>
        <w:pStyle w:val="Subttulo"/>
      </w:pPr>
      <w:bookmarkStart w:id="348" w:name="_Toc39797944"/>
      <w:r w:rsidRPr="00BC38C2">
        <w:t xml:space="preserve">Tabla </w:t>
      </w:r>
      <w:fldSimple w:instr=" SEQ Tabla \* ARABIC ">
        <w:r w:rsidR="001F3E2E">
          <w:rPr>
            <w:noProof/>
          </w:rPr>
          <w:t>34</w:t>
        </w:r>
      </w:fldSimple>
      <w:r>
        <w:t>:</w:t>
      </w:r>
      <w:r w:rsidRPr="00BC38C2">
        <w:t xml:space="preserve"> </w:t>
      </w:r>
      <w:r>
        <w:t>asignación software</w:t>
      </w:r>
      <w:bookmarkEnd w:id="348"/>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firstRow="1" w:lastRow="0" w:firstColumn="1" w:lastColumn="0" w:noHBand="0" w:noVBand="1"/>
      </w:tblPr>
      <w:tblGrid>
        <w:gridCol w:w="6237"/>
        <w:gridCol w:w="3402"/>
      </w:tblGrid>
      <w:tr w:rsidR="0087314E" w:rsidRPr="00173470" w14:paraId="0068B26D" w14:textId="77777777" w:rsidTr="00A0215E">
        <w:trPr>
          <w:jc w:val="center"/>
        </w:trPr>
        <w:tc>
          <w:tcPr>
            <w:tcW w:w="6237" w:type="dxa"/>
            <w:shd w:val="clear" w:color="auto" w:fill="D9D9D9" w:themeFill="background1" w:themeFillShade="D9"/>
            <w:noWrap/>
            <w:vAlign w:val="center"/>
          </w:tcPr>
          <w:p w14:paraId="64218372" w14:textId="77777777" w:rsidR="0087314E" w:rsidRPr="00173470" w:rsidRDefault="0087314E" w:rsidP="00173470">
            <w:pPr>
              <w:spacing w:before="40" w:after="40" w:line="240" w:lineRule="auto"/>
              <w:jc w:val="center"/>
              <w:rPr>
                <w:rFonts w:eastAsia="Times New Roman" w:cs="Calibri"/>
                <w:b/>
                <w:sz w:val="20"/>
                <w:szCs w:val="20"/>
                <w:lang w:val="es-AR" w:eastAsia="es-AR"/>
              </w:rPr>
            </w:pPr>
            <w:r w:rsidRPr="00173470">
              <w:rPr>
                <w:rFonts w:eastAsia="Times New Roman" w:cs="Calibri"/>
                <w:b/>
                <w:sz w:val="20"/>
                <w:szCs w:val="20"/>
                <w:lang w:val="es-AR" w:eastAsia="es-AR"/>
              </w:rPr>
              <w:t>Software específico</w:t>
            </w:r>
          </w:p>
        </w:tc>
        <w:tc>
          <w:tcPr>
            <w:tcW w:w="3402" w:type="dxa"/>
            <w:shd w:val="clear" w:color="auto" w:fill="D9D9D9" w:themeFill="background1" w:themeFillShade="D9"/>
            <w:vAlign w:val="center"/>
          </w:tcPr>
          <w:p w14:paraId="74BC8C8B" w14:textId="77777777" w:rsidR="0087314E" w:rsidRPr="00173470" w:rsidRDefault="0087314E" w:rsidP="00173470">
            <w:pPr>
              <w:spacing w:before="40" w:after="40" w:line="240" w:lineRule="auto"/>
              <w:jc w:val="center"/>
              <w:rPr>
                <w:rFonts w:eastAsia="Times New Roman" w:cs="Calibri"/>
                <w:b/>
                <w:sz w:val="20"/>
                <w:szCs w:val="20"/>
                <w:lang w:val="es-AR" w:eastAsia="es-AR"/>
              </w:rPr>
            </w:pPr>
            <w:r w:rsidRPr="00173470">
              <w:rPr>
                <w:rFonts w:eastAsia="Times New Roman" w:cs="Calibri"/>
                <w:b/>
                <w:sz w:val="20"/>
                <w:szCs w:val="20"/>
                <w:lang w:val="es-AR" w:eastAsia="es-AR"/>
              </w:rPr>
              <w:t>Cantidad</w:t>
            </w:r>
          </w:p>
        </w:tc>
      </w:tr>
      <w:tr w:rsidR="0087314E" w:rsidRPr="00173470" w14:paraId="75A8CA25" w14:textId="77777777" w:rsidTr="00A0215E">
        <w:trPr>
          <w:jc w:val="center"/>
        </w:trPr>
        <w:tc>
          <w:tcPr>
            <w:tcW w:w="6237" w:type="dxa"/>
            <w:shd w:val="clear" w:color="auto" w:fill="auto"/>
            <w:noWrap/>
            <w:vAlign w:val="center"/>
            <w:hideMark/>
          </w:tcPr>
          <w:p w14:paraId="4B91B1B9" w14:textId="77777777" w:rsidR="0087314E" w:rsidRPr="00173470" w:rsidRDefault="0087314E" w:rsidP="00A0215E">
            <w:pPr>
              <w:spacing w:before="40" w:after="40" w:line="240" w:lineRule="auto"/>
              <w:jc w:val="left"/>
              <w:rPr>
                <w:rFonts w:eastAsia="Times New Roman" w:cs="Calibri"/>
                <w:sz w:val="20"/>
                <w:szCs w:val="20"/>
                <w:lang w:val="es-AR" w:eastAsia="es-AR"/>
              </w:rPr>
            </w:pPr>
            <w:r w:rsidRPr="00173470">
              <w:rPr>
                <w:rFonts w:eastAsia="Times New Roman" w:cs="Calibri"/>
                <w:sz w:val="20"/>
                <w:szCs w:val="20"/>
                <w:lang w:val="es-AR" w:eastAsia="es-AR"/>
              </w:rPr>
              <w:t>Digsilent (flujos, estabilidad y transitorios, cortocircuito)</w:t>
            </w:r>
          </w:p>
        </w:tc>
        <w:tc>
          <w:tcPr>
            <w:tcW w:w="3402" w:type="dxa"/>
            <w:vAlign w:val="center"/>
          </w:tcPr>
          <w:p w14:paraId="2F5BF3E8" w14:textId="03BBAAD7" w:rsidR="0087314E" w:rsidRPr="00173470" w:rsidRDefault="0087314E" w:rsidP="00A0215E">
            <w:pPr>
              <w:spacing w:before="40" w:after="40" w:line="240" w:lineRule="auto"/>
              <w:jc w:val="left"/>
              <w:rPr>
                <w:rFonts w:eastAsia="Times New Roman" w:cs="Calibri"/>
                <w:sz w:val="20"/>
                <w:szCs w:val="20"/>
                <w:lang w:val="es-AR" w:eastAsia="es-AR"/>
              </w:rPr>
            </w:pPr>
            <w:r w:rsidRPr="00173470">
              <w:rPr>
                <w:rFonts w:eastAsia="Times New Roman" w:cs="Calibri"/>
                <w:sz w:val="20"/>
                <w:szCs w:val="20"/>
                <w:lang w:val="es-AR" w:eastAsia="es-AR"/>
              </w:rPr>
              <w:t xml:space="preserve">7 puestos de </w:t>
            </w:r>
            <w:r w:rsidR="00C34553" w:rsidRPr="00173470">
              <w:rPr>
                <w:rFonts w:eastAsia="Times New Roman" w:cs="Calibri"/>
                <w:sz w:val="20"/>
                <w:szCs w:val="20"/>
                <w:lang w:val="es-AR" w:eastAsia="es-AR"/>
              </w:rPr>
              <w:t>Dpto.</w:t>
            </w:r>
            <w:r w:rsidRPr="00173470">
              <w:rPr>
                <w:rFonts w:eastAsia="Times New Roman" w:cs="Calibri"/>
                <w:sz w:val="20"/>
                <w:szCs w:val="20"/>
                <w:lang w:val="es-AR" w:eastAsia="es-AR"/>
              </w:rPr>
              <w:t xml:space="preserve"> Ingeniería</w:t>
            </w:r>
          </w:p>
        </w:tc>
      </w:tr>
      <w:tr w:rsidR="0087314E" w:rsidRPr="00173470" w14:paraId="3EB62436" w14:textId="77777777" w:rsidTr="00A0215E">
        <w:trPr>
          <w:jc w:val="center"/>
        </w:trPr>
        <w:tc>
          <w:tcPr>
            <w:tcW w:w="6237" w:type="dxa"/>
            <w:shd w:val="clear" w:color="auto" w:fill="auto"/>
            <w:noWrap/>
            <w:vAlign w:val="center"/>
            <w:hideMark/>
          </w:tcPr>
          <w:p w14:paraId="675FD67D" w14:textId="77777777" w:rsidR="0087314E" w:rsidRPr="00173470" w:rsidRDefault="0087314E" w:rsidP="00A0215E">
            <w:pPr>
              <w:spacing w:before="40" w:after="40" w:line="240" w:lineRule="auto"/>
              <w:jc w:val="left"/>
              <w:rPr>
                <w:rFonts w:eastAsia="Times New Roman" w:cs="Calibri"/>
                <w:sz w:val="20"/>
                <w:szCs w:val="20"/>
                <w:lang w:val="es-AR" w:eastAsia="es-AR"/>
              </w:rPr>
            </w:pPr>
            <w:r w:rsidRPr="00173470">
              <w:rPr>
                <w:rFonts w:eastAsia="Times New Roman" w:cs="Calibri"/>
                <w:sz w:val="20"/>
                <w:szCs w:val="20"/>
                <w:lang w:val="es-AR" w:eastAsia="es-AR"/>
              </w:rPr>
              <w:t>Aveva HMI</w:t>
            </w:r>
          </w:p>
        </w:tc>
        <w:tc>
          <w:tcPr>
            <w:tcW w:w="3402" w:type="dxa"/>
            <w:vAlign w:val="center"/>
          </w:tcPr>
          <w:p w14:paraId="62B46C93" w14:textId="77777777" w:rsidR="0087314E" w:rsidRPr="00173470" w:rsidRDefault="0087314E" w:rsidP="00A0215E">
            <w:pPr>
              <w:spacing w:before="40" w:after="40" w:line="240" w:lineRule="auto"/>
              <w:jc w:val="left"/>
              <w:rPr>
                <w:rFonts w:eastAsia="Times New Roman" w:cs="Calibri"/>
                <w:sz w:val="20"/>
                <w:szCs w:val="20"/>
                <w:lang w:val="es-AR" w:eastAsia="es-AR"/>
              </w:rPr>
            </w:pPr>
            <w:r w:rsidRPr="00173470">
              <w:rPr>
                <w:rFonts w:eastAsia="Times New Roman" w:cs="Calibri"/>
                <w:sz w:val="20"/>
                <w:szCs w:val="20"/>
                <w:lang w:val="es-AR" w:eastAsia="es-AR"/>
              </w:rPr>
              <w:t>Operadores CNT y COZ</w:t>
            </w:r>
          </w:p>
        </w:tc>
      </w:tr>
      <w:tr w:rsidR="0087314E" w:rsidRPr="00173470" w14:paraId="0B6760AC" w14:textId="77777777" w:rsidTr="00A0215E">
        <w:trPr>
          <w:jc w:val="center"/>
        </w:trPr>
        <w:tc>
          <w:tcPr>
            <w:tcW w:w="6237" w:type="dxa"/>
            <w:shd w:val="clear" w:color="auto" w:fill="auto"/>
            <w:noWrap/>
            <w:vAlign w:val="center"/>
            <w:hideMark/>
          </w:tcPr>
          <w:p w14:paraId="6C97F92A" w14:textId="77777777" w:rsidR="0087314E" w:rsidRPr="00173470" w:rsidRDefault="0087314E" w:rsidP="00A0215E">
            <w:pPr>
              <w:spacing w:before="40" w:after="40" w:line="240" w:lineRule="auto"/>
              <w:jc w:val="left"/>
              <w:rPr>
                <w:rFonts w:eastAsia="Times New Roman" w:cs="Calibri"/>
                <w:sz w:val="20"/>
                <w:szCs w:val="20"/>
                <w:lang w:val="es-AR" w:eastAsia="es-AR"/>
              </w:rPr>
            </w:pPr>
            <w:r w:rsidRPr="00173470">
              <w:rPr>
                <w:rFonts w:eastAsia="Times New Roman" w:cs="Calibri"/>
                <w:sz w:val="20"/>
                <w:szCs w:val="20"/>
                <w:lang w:val="es-AR" w:eastAsia="es-AR"/>
              </w:rPr>
              <w:t>Despacho económico</w:t>
            </w:r>
          </w:p>
        </w:tc>
        <w:tc>
          <w:tcPr>
            <w:tcW w:w="3402" w:type="dxa"/>
            <w:vAlign w:val="center"/>
          </w:tcPr>
          <w:p w14:paraId="1D3EC063" w14:textId="033079C5" w:rsidR="0087314E" w:rsidRPr="00173470" w:rsidRDefault="0087314E" w:rsidP="00A0215E">
            <w:pPr>
              <w:spacing w:before="40" w:after="40" w:line="240" w:lineRule="auto"/>
              <w:jc w:val="left"/>
              <w:rPr>
                <w:rFonts w:eastAsia="Times New Roman" w:cs="Calibri"/>
                <w:sz w:val="20"/>
                <w:szCs w:val="20"/>
                <w:lang w:val="es-AR" w:eastAsia="es-AR"/>
              </w:rPr>
            </w:pPr>
            <w:r w:rsidRPr="00173470">
              <w:rPr>
                <w:rFonts w:eastAsia="Times New Roman" w:cs="Calibri"/>
                <w:sz w:val="20"/>
                <w:szCs w:val="20"/>
                <w:lang w:val="es-AR" w:eastAsia="es-AR"/>
              </w:rPr>
              <w:t xml:space="preserve">2 puestos </w:t>
            </w:r>
            <w:r w:rsidR="00C34553" w:rsidRPr="00173470">
              <w:rPr>
                <w:rFonts w:eastAsia="Times New Roman" w:cs="Calibri"/>
                <w:sz w:val="20"/>
                <w:szCs w:val="20"/>
                <w:lang w:val="es-AR" w:eastAsia="es-AR"/>
              </w:rPr>
              <w:t>Dpto.</w:t>
            </w:r>
            <w:r w:rsidRPr="00173470">
              <w:rPr>
                <w:rFonts w:eastAsia="Times New Roman" w:cs="Calibri"/>
                <w:sz w:val="20"/>
                <w:szCs w:val="20"/>
                <w:lang w:val="es-AR" w:eastAsia="es-AR"/>
              </w:rPr>
              <w:t xml:space="preserve"> Ingeniería</w:t>
            </w:r>
          </w:p>
        </w:tc>
      </w:tr>
      <w:tr w:rsidR="0087314E" w:rsidRPr="00173470" w14:paraId="131E11AB" w14:textId="77777777" w:rsidTr="00A0215E">
        <w:trPr>
          <w:jc w:val="center"/>
        </w:trPr>
        <w:tc>
          <w:tcPr>
            <w:tcW w:w="6237" w:type="dxa"/>
            <w:shd w:val="clear" w:color="auto" w:fill="auto"/>
            <w:noWrap/>
            <w:vAlign w:val="center"/>
            <w:hideMark/>
          </w:tcPr>
          <w:p w14:paraId="17F45DA2" w14:textId="77777777" w:rsidR="0087314E" w:rsidRPr="00173470" w:rsidRDefault="0087314E" w:rsidP="00A0215E">
            <w:pPr>
              <w:spacing w:before="40" w:after="40" w:line="240" w:lineRule="auto"/>
              <w:jc w:val="left"/>
              <w:rPr>
                <w:rFonts w:eastAsia="Times New Roman" w:cs="Calibri"/>
                <w:sz w:val="20"/>
                <w:szCs w:val="20"/>
                <w:lang w:val="es-AR" w:eastAsia="es-AR"/>
              </w:rPr>
            </w:pPr>
            <w:r w:rsidRPr="00173470">
              <w:rPr>
                <w:rFonts w:eastAsia="Times New Roman" w:cs="Calibri"/>
                <w:sz w:val="20"/>
                <w:szCs w:val="20"/>
                <w:lang w:val="es-AR" w:eastAsia="es-AR"/>
              </w:rPr>
              <w:t>EMTP</w:t>
            </w:r>
          </w:p>
        </w:tc>
        <w:tc>
          <w:tcPr>
            <w:tcW w:w="3402" w:type="dxa"/>
            <w:vAlign w:val="center"/>
          </w:tcPr>
          <w:p w14:paraId="14B8DDB4" w14:textId="0E4599E8" w:rsidR="0087314E" w:rsidRPr="00173470" w:rsidRDefault="0087314E" w:rsidP="00A0215E">
            <w:pPr>
              <w:spacing w:before="40" w:after="40" w:line="240" w:lineRule="auto"/>
              <w:jc w:val="left"/>
              <w:rPr>
                <w:rFonts w:eastAsia="Times New Roman" w:cs="Calibri"/>
                <w:sz w:val="20"/>
                <w:szCs w:val="20"/>
                <w:lang w:val="es-AR" w:eastAsia="es-AR"/>
              </w:rPr>
            </w:pPr>
            <w:r w:rsidRPr="00173470">
              <w:rPr>
                <w:rFonts w:eastAsia="Times New Roman" w:cs="Calibri"/>
                <w:sz w:val="20"/>
                <w:szCs w:val="20"/>
                <w:lang w:val="es-AR" w:eastAsia="es-AR"/>
              </w:rPr>
              <w:t xml:space="preserve">2 puestos </w:t>
            </w:r>
            <w:r w:rsidR="00C34553" w:rsidRPr="00173470">
              <w:rPr>
                <w:rFonts w:eastAsia="Times New Roman" w:cs="Calibri"/>
                <w:sz w:val="20"/>
                <w:szCs w:val="20"/>
                <w:lang w:val="es-AR" w:eastAsia="es-AR"/>
              </w:rPr>
              <w:t>Dpto.</w:t>
            </w:r>
            <w:r w:rsidRPr="00173470">
              <w:rPr>
                <w:rFonts w:eastAsia="Times New Roman" w:cs="Calibri"/>
                <w:sz w:val="20"/>
                <w:szCs w:val="20"/>
                <w:lang w:val="es-AR" w:eastAsia="es-AR"/>
              </w:rPr>
              <w:t xml:space="preserve"> Ingeniería</w:t>
            </w:r>
          </w:p>
        </w:tc>
      </w:tr>
    </w:tbl>
    <w:p w14:paraId="03988758" w14:textId="77777777" w:rsidR="0087314E" w:rsidRPr="004445C3" w:rsidRDefault="0087314E" w:rsidP="00A0215E">
      <w:pPr>
        <w:spacing w:after="0"/>
        <w:rPr>
          <w:rFonts w:asciiTheme="minorHAnsi" w:hAnsiTheme="minorHAnsi"/>
          <w:lang w:val="es-ES"/>
        </w:rPr>
      </w:pPr>
    </w:p>
    <w:p w14:paraId="736AB429" w14:textId="12308018" w:rsidR="0087314E" w:rsidRPr="004445C3" w:rsidRDefault="0087314E" w:rsidP="000312CE">
      <w:pPr>
        <w:rPr>
          <w:rFonts w:asciiTheme="minorHAnsi" w:hAnsiTheme="minorHAnsi"/>
          <w:lang w:val="es-ES"/>
        </w:rPr>
      </w:pPr>
      <w:r w:rsidRPr="004445C3">
        <w:rPr>
          <w:rFonts w:asciiTheme="minorHAnsi" w:hAnsiTheme="minorHAnsi"/>
          <w:lang w:val="es-ES"/>
        </w:rPr>
        <w:t xml:space="preserve">Para el adecuado funcionamiento del sistema de transmisión nacional, se han considerado programas de simulación de la </w:t>
      </w:r>
      <w:r w:rsidR="00C34553" w:rsidRPr="004445C3">
        <w:rPr>
          <w:rFonts w:asciiTheme="minorHAnsi" w:hAnsiTheme="minorHAnsi"/>
          <w:lang w:val="es-ES"/>
        </w:rPr>
        <w:t xml:space="preserve">operación, </w:t>
      </w:r>
      <w:r w:rsidR="00C34553" w:rsidRPr="00C34553">
        <w:rPr>
          <w:rFonts w:asciiTheme="minorHAnsi" w:hAnsiTheme="minorHAnsi"/>
          <w:i/>
          <w:lang w:val="es-ES"/>
        </w:rPr>
        <w:t>software</w:t>
      </w:r>
      <w:r w:rsidR="00C34553" w:rsidRPr="004445C3">
        <w:rPr>
          <w:rFonts w:asciiTheme="minorHAnsi" w:hAnsiTheme="minorHAnsi"/>
          <w:lang w:val="es-ES"/>
        </w:rPr>
        <w:t>s</w:t>
      </w:r>
      <w:r w:rsidRPr="004445C3">
        <w:rPr>
          <w:rFonts w:asciiTheme="minorHAnsi" w:hAnsiTheme="minorHAnsi"/>
          <w:lang w:val="es-ES"/>
        </w:rPr>
        <w:t xml:space="preserve"> para análisis de estudios eléctricos transitorios y </w:t>
      </w:r>
      <w:r w:rsidR="00C34553" w:rsidRPr="004445C3">
        <w:rPr>
          <w:rFonts w:asciiTheme="minorHAnsi" w:hAnsiTheme="minorHAnsi"/>
          <w:lang w:val="es-ES"/>
        </w:rPr>
        <w:t>de interfaz</w:t>
      </w:r>
      <w:r w:rsidRPr="004445C3">
        <w:rPr>
          <w:rFonts w:asciiTheme="minorHAnsi" w:hAnsiTheme="minorHAnsi"/>
          <w:lang w:val="es-ES"/>
        </w:rPr>
        <w:t xml:space="preserve"> operador sistema para realizar una gestión eficiente de la operación de la </w:t>
      </w:r>
      <w:r w:rsidR="001A6E11" w:rsidRPr="004445C3">
        <w:rPr>
          <w:rFonts w:asciiTheme="minorHAnsi" w:hAnsiTheme="minorHAnsi"/>
          <w:lang w:val="es-ES"/>
        </w:rPr>
        <w:t>EM</w:t>
      </w:r>
      <w:r w:rsidRPr="004445C3">
        <w:rPr>
          <w:rFonts w:asciiTheme="minorHAnsi" w:hAnsiTheme="minorHAnsi"/>
          <w:lang w:val="es-ES"/>
        </w:rPr>
        <w:t>.</w:t>
      </w:r>
    </w:p>
    <w:p w14:paraId="5F8E78D6" w14:textId="114A9D56" w:rsidR="0087314E" w:rsidRDefault="0087314E" w:rsidP="0087314E">
      <w:pPr>
        <w:rPr>
          <w:lang w:val="es-ES"/>
        </w:rPr>
      </w:pPr>
      <w:r w:rsidRPr="000312CE">
        <w:rPr>
          <w:lang w:val="es-ES"/>
        </w:rPr>
        <w:t xml:space="preserve">En el </w:t>
      </w:r>
      <w:r w:rsidR="004445C3">
        <w:rPr>
          <w:lang w:val="es-ES"/>
        </w:rPr>
        <w:t>“</w:t>
      </w:r>
      <w:r w:rsidRPr="000312CE">
        <w:rPr>
          <w:lang w:val="es-ES"/>
        </w:rPr>
        <w:t xml:space="preserve">Anexo </w:t>
      </w:r>
      <w:r w:rsidR="004445C3">
        <w:rPr>
          <w:lang w:val="es-ES"/>
        </w:rPr>
        <w:t>C</w:t>
      </w:r>
      <w:r w:rsidR="005A6F95">
        <w:rPr>
          <w:lang w:val="es-ES"/>
        </w:rPr>
        <w:t>OMA</w:t>
      </w:r>
      <w:r w:rsidRPr="000312CE">
        <w:rPr>
          <w:lang w:val="es-ES"/>
        </w:rPr>
        <w:t>_3 Modelo/Datos/ Equipamiento Informático/ Costos Sistemas informáticos.xls</w:t>
      </w:r>
      <w:r w:rsidR="004445C3">
        <w:rPr>
          <w:lang w:val="es-ES"/>
        </w:rPr>
        <w:t>”</w:t>
      </w:r>
      <w:r w:rsidRPr="000312CE">
        <w:rPr>
          <w:lang w:val="es-ES"/>
        </w:rPr>
        <w:t xml:space="preserve"> se encuentra detallado el </w:t>
      </w:r>
      <w:r w:rsidR="00C34553" w:rsidRPr="00C34553">
        <w:rPr>
          <w:i/>
          <w:lang w:val="es-ES"/>
        </w:rPr>
        <w:t>s</w:t>
      </w:r>
      <w:r w:rsidRPr="00C34553">
        <w:rPr>
          <w:i/>
          <w:lang w:val="es-ES"/>
        </w:rPr>
        <w:t>oftware</w:t>
      </w:r>
      <w:r w:rsidRPr="000312CE">
        <w:rPr>
          <w:lang w:val="es-ES"/>
        </w:rPr>
        <w:t xml:space="preserve"> considerado, su costo unitario, la cantidad requerida y el resultado obtenido.</w:t>
      </w:r>
    </w:p>
    <w:p w14:paraId="711D59FD" w14:textId="77777777" w:rsidR="0079428C" w:rsidRPr="0060133B" w:rsidRDefault="0079428C" w:rsidP="005A6F95">
      <w:pPr>
        <w:pStyle w:val="Ttulo5"/>
      </w:pPr>
      <w:bookmarkStart w:id="349" w:name="_Toc32390204"/>
      <w:r w:rsidRPr="0060133B">
        <w:t>Macroinformática (software y hardware)</w:t>
      </w:r>
      <w:bookmarkEnd w:id="349"/>
    </w:p>
    <w:p w14:paraId="0E123766" w14:textId="0673E1C9" w:rsidR="0079428C" w:rsidRPr="00B06D23" w:rsidRDefault="0079428C" w:rsidP="0079428C">
      <w:pPr>
        <w:rPr>
          <w:lang w:val="es-ES"/>
        </w:rPr>
      </w:pPr>
      <w:r w:rsidRPr="00B06D23">
        <w:rPr>
          <w:lang w:val="es-ES"/>
        </w:rPr>
        <w:t>Comprende el software para el Planeamiento de Recursos Empresariales usualmente denominado ERP (</w:t>
      </w:r>
      <w:bookmarkStart w:id="350" w:name="_Toc80300464"/>
      <w:bookmarkStart w:id="351" w:name="_Toc206414880"/>
      <w:bookmarkStart w:id="352" w:name="_Toc206415022"/>
      <w:r w:rsidRPr="00B06D23">
        <w:rPr>
          <w:lang w:val="es-ES"/>
        </w:rPr>
        <w:t xml:space="preserve">Sistema </w:t>
      </w:r>
      <w:r w:rsidRPr="00C34553">
        <w:rPr>
          <w:i/>
          <w:lang w:val="es-ES"/>
        </w:rPr>
        <w:t>Enterprise Resource Planning</w:t>
      </w:r>
      <w:r w:rsidRPr="00B06D23">
        <w:rPr>
          <w:lang w:val="es-ES"/>
        </w:rPr>
        <w:t>)</w:t>
      </w:r>
      <w:bookmarkEnd w:id="350"/>
      <w:bookmarkEnd w:id="351"/>
      <w:bookmarkEnd w:id="352"/>
    </w:p>
    <w:p w14:paraId="6BE3FA86" w14:textId="77777777" w:rsidR="0079428C" w:rsidRPr="00B06D23" w:rsidRDefault="0079428C" w:rsidP="0079428C">
      <w:pPr>
        <w:rPr>
          <w:lang w:val="es-ES"/>
        </w:rPr>
      </w:pPr>
      <w:r w:rsidRPr="00B06D23">
        <w:rPr>
          <w:lang w:val="es-ES"/>
        </w:rPr>
        <w:t>El ERP es una forma de utilizar la información a través de la organización para la gestión de áreas claves- como compras, administración de inventario y cadena de suministros, control financiero, administración de recursos humanos, logística y distribución, y administración de relaciones con clientes. Los sistemas ERP básicamente se componen de los siguientes subsistemas:</w:t>
      </w:r>
    </w:p>
    <w:p w14:paraId="240EE8E8" w14:textId="1A92879E" w:rsidR="0079428C" w:rsidRPr="004445C3" w:rsidRDefault="004445C3" w:rsidP="004445C3">
      <w:pPr>
        <w:pStyle w:val="Subttulo"/>
      </w:pPr>
      <w:bookmarkStart w:id="353" w:name="_Toc27147878"/>
      <w:bookmarkStart w:id="354" w:name="_Toc39797945"/>
      <w:r w:rsidRPr="00BC38C2">
        <w:lastRenderedPageBreak/>
        <w:t xml:space="preserve">Tabla </w:t>
      </w:r>
      <w:fldSimple w:instr=" SEQ Tabla \* ARABIC ">
        <w:r w:rsidR="001F3E2E">
          <w:rPr>
            <w:noProof/>
          </w:rPr>
          <w:t>35</w:t>
        </w:r>
      </w:fldSimple>
      <w:r>
        <w:t>:</w:t>
      </w:r>
      <w:r w:rsidRPr="00BC38C2">
        <w:t xml:space="preserve"> </w:t>
      </w:r>
      <w:r w:rsidR="0079428C" w:rsidRPr="004445C3">
        <w:t>subsistemas de los sistemas ERP</w:t>
      </w:r>
      <w:bookmarkEnd w:id="353"/>
      <w:bookmarkEnd w:id="354"/>
    </w:p>
    <w:tbl>
      <w:tblPr>
        <w:tblW w:w="9287" w:type="dxa"/>
        <w:tblInd w:w="212" w:type="dxa"/>
        <w:tblBorders>
          <w:top w:val="single" w:sz="6" w:space="0" w:color="auto"/>
          <w:left w:val="single" w:sz="6" w:space="0" w:color="auto"/>
          <w:bottom w:val="single" w:sz="6" w:space="0" w:color="auto"/>
          <w:right w:val="single" w:sz="6" w:space="0" w:color="auto"/>
        </w:tblBorders>
        <w:tblLayout w:type="fixed"/>
        <w:tblCellMar>
          <w:left w:w="70" w:type="dxa"/>
          <w:right w:w="70" w:type="dxa"/>
        </w:tblCellMar>
        <w:tblLook w:val="0000" w:firstRow="0" w:lastRow="0" w:firstColumn="0" w:lastColumn="0" w:noHBand="0" w:noVBand="0"/>
      </w:tblPr>
      <w:tblGrid>
        <w:gridCol w:w="2588"/>
        <w:gridCol w:w="6699"/>
      </w:tblGrid>
      <w:tr w:rsidR="0079428C" w:rsidRPr="00B06D23" w14:paraId="4D653112" w14:textId="77777777" w:rsidTr="00C276D3">
        <w:tc>
          <w:tcPr>
            <w:tcW w:w="2588" w:type="dxa"/>
            <w:tcBorders>
              <w:top w:val="single" w:sz="6" w:space="0" w:color="auto"/>
              <w:left w:val="single" w:sz="6" w:space="0" w:color="auto"/>
              <w:bottom w:val="single" w:sz="6" w:space="0" w:color="auto"/>
              <w:right w:val="single" w:sz="6" w:space="0" w:color="auto"/>
            </w:tcBorders>
            <w:vAlign w:val="center"/>
          </w:tcPr>
          <w:p w14:paraId="6B09DA6E" w14:textId="77777777" w:rsidR="0079428C" w:rsidRPr="00B06D23" w:rsidRDefault="0079428C" w:rsidP="00C276D3">
            <w:pPr>
              <w:spacing w:before="20" w:after="40" w:line="240" w:lineRule="auto"/>
              <w:rPr>
                <w:sz w:val="20"/>
                <w:szCs w:val="20"/>
                <w:lang w:val="es-ES"/>
              </w:rPr>
            </w:pPr>
            <w:r w:rsidRPr="00B06D23">
              <w:rPr>
                <w:sz w:val="20"/>
                <w:szCs w:val="20"/>
                <w:lang w:val="es-ES"/>
              </w:rPr>
              <w:t>Presupuesto y Control de Gestión</w:t>
            </w:r>
          </w:p>
        </w:tc>
        <w:tc>
          <w:tcPr>
            <w:tcW w:w="6699" w:type="dxa"/>
            <w:tcBorders>
              <w:top w:val="single" w:sz="6" w:space="0" w:color="auto"/>
              <w:left w:val="single" w:sz="6" w:space="0" w:color="auto"/>
              <w:bottom w:val="single" w:sz="6" w:space="0" w:color="auto"/>
              <w:right w:val="single" w:sz="6" w:space="0" w:color="auto"/>
            </w:tcBorders>
          </w:tcPr>
          <w:p w14:paraId="740D991B" w14:textId="77777777" w:rsidR="0079428C" w:rsidRPr="00B06D23" w:rsidRDefault="0079428C" w:rsidP="00C276D3">
            <w:pPr>
              <w:spacing w:before="20" w:after="40" w:line="240" w:lineRule="auto"/>
              <w:rPr>
                <w:sz w:val="20"/>
                <w:szCs w:val="20"/>
                <w:lang w:val="es-ES"/>
              </w:rPr>
            </w:pPr>
            <w:r w:rsidRPr="00B06D23">
              <w:rPr>
                <w:sz w:val="20"/>
                <w:szCs w:val="20"/>
                <w:lang w:val="es-ES"/>
              </w:rPr>
              <w:t>Manutención de Árbol de Inversiones</w:t>
            </w:r>
          </w:p>
          <w:p w14:paraId="48B7976B" w14:textId="77777777" w:rsidR="0079428C" w:rsidRPr="00B06D23" w:rsidRDefault="0079428C" w:rsidP="00C276D3">
            <w:pPr>
              <w:spacing w:before="20" w:after="40" w:line="240" w:lineRule="auto"/>
              <w:rPr>
                <w:sz w:val="20"/>
                <w:szCs w:val="20"/>
                <w:lang w:val="es-ES"/>
              </w:rPr>
            </w:pPr>
            <w:r w:rsidRPr="00B06D23">
              <w:rPr>
                <w:sz w:val="20"/>
                <w:szCs w:val="20"/>
                <w:lang w:val="es-ES"/>
              </w:rPr>
              <w:t>Manutención de Órdenes Internas</w:t>
            </w:r>
          </w:p>
          <w:p w14:paraId="4638D264" w14:textId="77777777" w:rsidR="0079428C" w:rsidRPr="00B06D23" w:rsidRDefault="0079428C" w:rsidP="00C276D3">
            <w:pPr>
              <w:spacing w:before="20" w:after="40" w:line="240" w:lineRule="auto"/>
              <w:rPr>
                <w:sz w:val="20"/>
                <w:szCs w:val="20"/>
                <w:lang w:val="es-ES"/>
              </w:rPr>
            </w:pPr>
            <w:r w:rsidRPr="00B06D23">
              <w:rPr>
                <w:sz w:val="20"/>
                <w:szCs w:val="20"/>
                <w:lang w:val="es-ES"/>
              </w:rPr>
              <w:t>Gerenciamiento de la Planificación</w:t>
            </w:r>
          </w:p>
          <w:p w14:paraId="0CEC1D19" w14:textId="77777777" w:rsidR="0079428C" w:rsidRPr="00B06D23" w:rsidRDefault="0079428C" w:rsidP="00C276D3">
            <w:pPr>
              <w:spacing w:before="20" w:after="40" w:line="240" w:lineRule="auto"/>
              <w:rPr>
                <w:sz w:val="20"/>
                <w:szCs w:val="20"/>
                <w:lang w:val="es-ES"/>
              </w:rPr>
            </w:pPr>
            <w:r w:rsidRPr="00B06D23">
              <w:rPr>
                <w:sz w:val="20"/>
                <w:szCs w:val="20"/>
                <w:lang w:val="es-ES"/>
              </w:rPr>
              <w:t>Gerenciamiento de la Inversión</w:t>
            </w:r>
          </w:p>
          <w:p w14:paraId="59250898" w14:textId="77777777" w:rsidR="0079428C" w:rsidRPr="00B06D23" w:rsidRDefault="0079428C" w:rsidP="00C276D3">
            <w:pPr>
              <w:spacing w:before="20" w:after="40" w:line="240" w:lineRule="auto"/>
              <w:rPr>
                <w:sz w:val="20"/>
                <w:szCs w:val="20"/>
                <w:lang w:val="es-ES"/>
              </w:rPr>
            </w:pPr>
            <w:r w:rsidRPr="00B06D23">
              <w:rPr>
                <w:sz w:val="20"/>
                <w:szCs w:val="20"/>
                <w:lang w:val="es-ES"/>
              </w:rPr>
              <w:t>Gerenciamiento de Gastos</w:t>
            </w:r>
          </w:p>
          <w:p w14:paraId="7CC7981D" w14:textId="77777777" w:rsidR="0079428C" w:rsidRPr="00B06D23" w:rsidRDefault="0079428C" w:rsidP="00C276D3">
            <w:pPr>
              <w:spacing w:before="20" w:after="40" w:line="240" w:lineRule="auto"/>
              <w:rPr>
                <w:sz w:val="20"/>
                <w:szCs w:val="20"/>
                <w:lang w:val="es-ES"/>
              </w:rPr>
            </w:pPr>
            <w:r w:rsidRPr="00B06D23">
              <w:rPr>
                <w:sz w:val="20"/>
                <w:szCs w:val="20"/>
                <w:lang w:val="es-ES"/>
              </w:rPr>
              <w:t>Emitir órdenes de gastos reales</w:t>
            </w:r>
          </w:p>
          <w:p w14:paraId="10239C21" w14:textId="77777777" w:rsidR="0079428C" w:rsidRPr="00B06D23" w:rsidRDefault="0079428C" w:rsidP="00C276D3">
            <w:pPr>
              <w:spacing w:before="20" w:after="40" w:line="240" w:lineRule="auto"/>
              <w:rPr>
                <w:sz w:val="20"/>
                <w:szCs w:val="20"/>
                <w:lang w:val="es-ES"/>
              </w:rPr>
            </w:pPr>
            <w:r w:rsidRPr="00B06D23">
              <w:rPr>
                <w:sz w:val="20"/>
                <w:szCs w:val="20"/>
                <w:lang w:val="es-ES"/>
              </w:rPr>
              <w:t xml:space="preserve">Emitir órdenes de inversiones reales </w:t>
            </w:r>
          </w:p>
          <w:p w14:paraId="412960C0" w14:textId="77777777" w:rsidR="0079428C" w:rsidRPr="00B06D23" w:rsidRDefault="0079428C" w:rsidP="00C276D3">
            <w:pPr>
              <w:spacing w:before="20" w:after="40" w:line="240" w:lineRule="auto"/>
              <w:rPr>
                <w:sz w:val="20"/>
                <w:szCs w:val="20"/>
                <w:lang w:val="es-ES"/>
              </w:rPr>
            </w:pPr>
            <w:r w:rsidRPr="00B06D23">
              <w:rPr>
                <w:sz w:val="20"/>
                <w:szCs w:val="20"/>
                <w:lang w:val="es-ES"/>
              </w:rPr>
              <w:t>Seguimiento de gastos</w:t>
            </w:r>
          </w:p>
          <w:p w14:paraId="6B717984" w14:textId="77777777" w:rsidR="0079428C" w:rsidRPr="00B06D23" w:rsidRDefault="0079428C" w:rsidP="00C276D3">
            <w:pPr>
              <w:spacing w:before="20" w:after="40" w:line="240" w:lineRule="auto"/>
              <w:rPr>
                <w:sz w:val="20"/>
                <w:szCs w:val="20"/>
                <w:lang w:val="es-ES"/>
              </w:rPr>
            </w:pPr>
            <w:r w:rsidRPr="00B06D23">
              <w:rPr>
                <w:sz w:val="20"/>
                <w:szCs w:val="20"/>
                <w:lang w:val="es-ES"/>
              </w:rPr>
              <w:t>Seguimiento de inversiones</w:t>
            </w:r>
          </w:p>
          <w:p w14:paraId="7B4FC000" w14:textId="77777777" w:rsidR="0079428C" w:rsidRPr="00B06D23" w:rsidRDefault="0079428C" w:rsidP="00C276D3">
            <w:pPr>
              <w:spacing w:before="20" w:after="40" w:line="240" w:lineRule="auto"/>
              <w:rPr>
                <w:sz w:val="20"/>
                <w:szCs w:val="20"/>
                <w:lang w:val="es-ES"/>
              </w:rPr>
            </w:pPr>
            <w:r w:rsidRPr="00B06D23">
              <w:rPr>
                <w:sz w:val="20"/>
                <w:szCs w:val="20"/>
                <w:lang w:val="es-ES"/>
              </w:rPr>
              <w:t>Seguimiento de Ingresos</w:t>
            </w:r>
          </w:p>
          <w:p w14:paraId="3D85B45D" w14:textId="77777777" w:rsidR="0079428C" w:rsidRPr="00B06D23" w:rsidRDefault="0079428C" w:rsidP="00C276D3">
            <w:pPr>
              <w:spacing w:before="20" w:after="40" w:line="240" w:lineRule="auto"/>
              <w:rPr>
                <w:sz w:val="20"/>
                <w:szCs w:val="20"/>
                <w:lang w:val="es-ES"/>
              </w:rPr>
            </w:pPr>
            <w:r w:rsidRPr="00B06D23">
              <w:rPr>
                <w:sz w:val="20"/>
                <w:szCs w:val="20"/>
                <w:lang w:val="es-ES"/>
              </w:rPr>
              <w:t>Efectuar liquidaciones de inversiones</w:t>
            </w:r>
          </w:p>
        </w:tc>
      </w:tr>
      <w:tr w:rsidR="0079428C" w:rsidRPr="00B06D23" w14:paraId="1D5F7EC8" w14:textId="77777777" w:rsidTr="00C276D3">
        <w:tc>
          <w:tcPr>
            <w:tcW w:w="2588" w:type="dxa"/>
            <w:tcBorders>
              <w:top w:val="single" w:sz="6" w:space="0" w:color="auto"/>
              <w:left w:val="single" w:sz="6" w:space="0" w:color="auto"/>
              <w:bottom w:val="single" w:sz="6" w:space="0" w:color="auto"/>
              <w:right w:val="single" w:sz="6" w:space="0" w:color="auto"/>
            </w:tcBorders>
            <w:vAlign w:val="center"/>
          </w:tcPr>
          <w:p w14:paraId="3E185ED9" w14:textId="77777777" w:rsidR="0079428C" w:rsidRPr="00B06D23" w:rsidRDefault="0079428C" w:rsidP="00C276D3">
            <w:pPr>
              <w:spacing w:before="20" w:after="40" w:line="240" w:lineRule="auto"/>
              <w:rPr>
                <w:sz w:val="20"/>
                <w:szCs w:val="20"/>
                <w:lang w:val="es-ES"/>
              </w:rPr>
            </w:pPr>
            <w:r w:rsidRPr="00B06D23">
              <w:rPr>
                <w:sz w:val="20"/>
                <w:szCs w:val="20"/>
                <w:lang w:val="es-ES"/>
              </w:rPr>
              <w:t>Abastecimiento – Gestión de Materiales</w:t>
            </w:r>
          </w:p>
        </w:tc>
        <w:tc>
          <w:tcPr>
            <w:tcW w:w="6699" w:type="dxa"/>
            <w:tcBorders>
              <w:top w:val="single" w:sz="6" w:space="0" w:color="auto"/>
              <w:left w:val="single" w:sz="6" w:space="0" w:color="auto"/>
              <w:bottom w:val="single" w:sz="6" w:space="0" w:color="auto"/>
              <w:right w:val="single" w:sz="6" w:space="0" w:color="auto"/>
            </w:tcBorders>
          </w:tcPr>
          <w:p w14:paraId="47FB8678" w14:textId="77777777" w:rsidR="0079428C" w:rsidRPr="00B06D23" w:rsidRDefault="0079428C" w:rsidP="00C276D3">
            <w:pPr>
              <w:spacing w:before="20" w:after="40" w:line="240" w:lineRule="auto"/>
              <w:rPr>
                <w:sz w:val="20"/>
                <w:szCs w:val="20"/>
                <w:lang w:val="es-ES"/>
              </w:rPr>
            </w:pPr>
            <w:r w:rsidRPr="00B06D23">
              <w:rPr>
                <w:sz w:val="20"/>
                <w:szCs w:val="20"/>
                <w:lang w:val="es-ES"/>
              </w:rPr>
              <w:t>Registro de Materiales</w:t>
            </w:r>
          </w:p>
          <w:p w14:paraId="1762890E" w14:textId="77777777" w:rsidR="0079428C" w:rsidRPr="00B06D23" w:rsidRDefault="0079428C" w:rsidP="00C276D3">
            <w:pPr>
              <w:spacing w:before="20" w:after="40" w:line="240" w:lineRule="auto"/>
              <w:rPr>
                <w:sz w:val="20"/>
                <w:szCs w:val="20"/>
                <w:lang w:val="es-ES"/>
              </w:rPr>
            </w:pPr>
            <w:r w:rsidRPr="00B06D23">
              <w:rPr>
                <w:sz w:val="20"/>
                <w:szCs w:val="20"/>
                <w:lang w:val="es-ES"/>
              </w:rPr>
              <w:t>Registro de Servicios</w:t>
            </w:r>
          </w:p>
          <w:p w14:paraId="3A30A14C" w14:textId="77777777" w:rsidR="0079428C" w:rsidRPr="00B06D23" w:rsidRDefault="0079428C" w:rsidP="00C276D3">
            <w:pPr>
              <w:spacing w:before="20" w:after="40" w:line="240" w:lineRule="auto"/>
              <w:rPr>
                <w:sz w:val="20"/>
                <w:szCs w:val="20"/>
                <w:lang w:val="es-ES"/>
              </w:rPr>
            </w:pPr>
            <w:r w:rsidRPr="00B06D23">
              <w:rPr>
                <w:sz w:val="20"/>
                <w:szCs w:val="20"/>
                <w:lang w:val="es-ES"/>
              </w:rPr>
              <w:t>Registro de Compras (proveedores)</w:t>
            </w:r>
          </w:p>
          <w:p w14:paraId="76A8B7D3" w14:textId="77777777" w:rsidR="0079428C" w:rsidRPr="00B06D23" w:rsidRDefault="0079428C" w:rsidP="00C276D3">
            <w:pPr>
              <w:spacing w:before="20" w:after="40" w:line="240" w:lineRule="auto"/>
              <w:rPr>
                <w:sz w:val="20"/>
                <w:szCs w:val="20"/>
                <w:lang w:val="es-ES"/>
              </w:rPr>
            </w:pPr>
            <w:r w:rsidRPr="00B06D23">
              <w:rPr>
                <w:sz w:val="20"/>
                <w:szCs w:val="20"/>
                <w:lang w:val="es-ES"/>
              </w:rPr>
              <w:t>Reposición de Stock</w:t>
            </w:r>
          </w:p>
          <w:p w14:paraId="41A103FA" w14:textId="77777777" w:rsidR="0079428C" w:rsidRPr="00B06D23" w:rsidRDefault="0079428C" w:rsidP="00C276D3">
            <w:pPr>
              <w:spacing w:before="20" w:after="40" w:line="240" w:lineRule="auto"/>
              <w:rPr>
                <w:sz w:val="20"/>
                <w:szCs w:val="20"/>
                <w:lang w:val="es-ES"/>
              </w:rPr>
            </w:pPr>
            <w:r w:rsidRPr="00B06D23">
              <w:rPr>
                <w:sz w:val="20"/>
                <w:szCs w:val="20"/>
                <w:lang w:val="es-ES"/>
              </w:rPr>
              <w:t>Compra de materiales</w:t>
            </w:r>
          </w:p>
          <w:p w14:paraId="59225E11" w14:textId="77777777" w:rsidR="0079428C" w:rsidRPr="00B06D23" w:rsidRDefault="0079428C" w:rsidP="00C276D3">
            <w:pPr>
              <w:spacing w:before="20" w:after="40" w:line="240" w:lineRule="auto"/>
              <w:rPr>
                <w:sz w:val="20"/>
                <w:szCs w:val="20"/>
                <w:lang w:val="es-ES"/>
              </w:rPr>
            </w:pPr>
            <w:r w:rsidRPr="00B06D23">
              <w:rPr>
                <w:sz w:val="20"/>
                <w:szCs w:val="20"/>
                <w:lang w:val="es-ES"/>
              </w:rPr>
              <w:t>Compra de Servicios</w:t>
            </w:r>
          </w:p>
          <w:p w14:paraId="167FA09F" w14:textId="77777777" w:rsidR="0079428C" w:rsidRPr="00B06D23" w:rsidRDefault="0079428C" w:rsidP="00C276D3">
            <w:pPr>
              <w:spacing w:before="20" w:after="40" w:line="240" w:lineRule="auto"/>
              <w:rPr>
                <w:sz w:val="20"/>
                <w:szCs w:val="20"/>
                <w:lang w:val="es-ES"/>
              </w:rPr>
            </w:pPr>
            <w:r w:rsidRPr="00B06D23">
              <w:rPr>
                <w:sz w:val="20"/>
                <w:szCs w:val="20"/>
                <w:lang w:val="es-ES"/>
              </w:rPr>
              <w:t>Procesamiento de reconciliación</w:t>
            </w:r>
          </w:p>
          <w:p w14:paraId="3941C390" w14:textId="77777777" w:rsidR="0079428C" w:rsidRPr="00B06D23" w:rsidRDefault="0079428C" w:rsidP="00C276D3">
            <w:pPr>
              <w:spacing w:before="20" w:after="40" w:line="240" w:lineRule="auto"/>
              <w:rPr>
                <w:sz w:val="20"/>
                <w:szCs w:val="20"/>
                <w:lang w:val="es-ES"/>
              </w:rPr>
            </w:pPr>
            <w:r w:rsidRPr="00B06D23">
              <w:rPr>
                <w:sz w:val="20"/>
                <w:szCs w:val="20"/>
                <w:lang w:val="es-ES"/>
              </w:rPr>
              <w:t>Contratación de Obras llave en mano</w:t>
            </w:r>
          </w:p>
          <w:p w14:paraId="2AF82FF3" w14:textId="77777777" w:rsidR="0079428C" w:rsidRPr="00B06D23" w:rsidRDefault="0079428C" w:rsidP="00C276D3">
            <w:pPr>
              <w:spacing w:before="20" w:after="40" w:line="240" w:lineRule="auto"/>
              <w:rPr>
                <w:sz w:val="20"/>
                <w:szCs w:val="20"/>
                <w:lang w:val="es-ES"/>
              </w:rPr>
            </w:pPr>
            <w:r w:rsidRPr="00B06D23">
              <w:rPr>
                <w:sz w:val="20"/>
                <w:szCs w:val="20"/>
                <w:lang w:val="es-ES"/>
              </w:rPr>
              <w:t>Atención de necesidades de manutención</w:t>
            </w:r>
          </w:p>
          <w:p w14:paraId="0E543F71" w14:textId="77777777" w:rsidR="0079428C" w:rsidRPr="00B06D23" w:rsidRDefault="0079428C" w:rsidP="00C276D3">
            <w:pPr>
              <w:spacing w:before="20" w:after="40" w:line="240" w:lineRule="auto"/>
              <w:rPr>
                <w:sz w:val="20"/>
                <w:szCs w:val="20"/>
                <w:lang w:val="es-ES"/>
              </w:rPr>
            </w:pPr>
            <w:r w:rsidRPr="00B06D23">
              <w:rPr>
                <w:sz w:val="20"/>
                <w:szCs w:val="20"/>
                <w:lang w:val="es-ES"/>
              </w:rPr>
              <w:t>Distribución de materiales</w:t>
            </w:r>
          </w:p>
          <w:p w14:paraId="51129470" w14:textId="77777777" w:rsidR="0079428C" w:rsidRPr="00B06D23" w:rsidRDefault="0079428C" w:rsidP="00C276D3">
            <w:pPr>
              <w:spacing w:before="20" w:after="40" w:line="240" w:lineRule="auto"/>
              <w:rPr>
                <w:sz w:val="20"/>
                <w:szCs w:val="20"/>
                <w:lang w:val="es-ES"/>
              </w:rPr>
            </w:pPr>
            <w:r w:rsidRPr="00B06D23">
              <w:rPr>
                <w:sz w:val="20"/>
                <w:szCs w:val="20"/>
                <w:lang w:val="es-ES"/>
              </w:rPr>
              <w:t>Devolución de materiales a recuperar</w:t>
            </w:r>
          </w:p>
          <w:p w14:paraId="50D563FA" w14:textId="77777777" w:rsidR="0079428C" w:rsidRPr="00B06D23" w:rsidRDefault="0079428C" w:rsidP="00C276D3">
            <w:pPr>
              <w:spacing w:before="20" w:after="40" w:line="240" w:lineRule="auto"/>
              <w:rPr>
                <w:sz w:val="20"/>
                <w:szCs w:val="20"/>
                <w:lang w:val="es-ES"/>
              </w:rPr>
            </w:pPr>
            <w:r w:rsidRPr="00B06D23">
              <w:rPr>
                <w:sz w:val="20"/>
                <w:szCs w:val="20"/>
                <w:lang w:val="es-ES"/>
              </w:rPr>
              <w:t>Inventario de stock</w:t>
            </w:r>
          </w:p>
          <w:p w14:paraId="25695F1D" w14:textId="77777777" w:rsidR="0079428C" w:rsidRPr="00B06D23" w:rsidRDefault="0079428C" w:rsidP="00C276D3">
            <w:pPr>
              <w:spacing w:before="20" w:after="40" w:line="240" w:lineRule="auto"/>
              <w:rPr>
                <w:sz w:val="20"/>
                <w:szCs w:val="20"/>
                <w:lang w:val="es-ES"/>
              </w:rPr>
            </w:pPr>
            <w:r w:rsidRPr="00B06D23">
              <w:rPr>
                <w:sz w:val="20"/>
                <w:szCs w:val="20"/>
                <w:lang w:val="es-ES"/>
              </w:rPr>
              <w:t>Envío de material en garantía para proveedor</w:t>
            </w:r>
          </w:p>
          <w:p w14:paraId="5672A796" w14:textId="77777777" w:rsidR="0079428C" w:rsidRPr="00B06D23" w:rsidRDefault="0079428C" w:rsidP="00C276D3">
            <w:pPr>
              <w:spacing w:before="20" w:after="40" w:line="240" w:lineRule="auto"/>
              <w:rPr>
                <w:sz w:val="20"/>
                <w:szCs w:val="20"/>
                <w:lang w:val="es-ES"/>
              </w:rPr>
            </w:pPr>
            <w:r w:rsidRPr="00B06D23">
              <w:rPr>
                <w:sz w:val="20"/>
                <w:szCs w:val="20"/>
                <w:lang w:val="es-ES"/>
              </w:rPr>
              <w:t>Material almacenado en bodegas</w:t>
            </w:r>
          </w:p>
          <w:p w14:paraId="07940D59" w14:textId="77777777" w:rsidR="0079428C" w:rsidRPr="00B06D23" w:rsidRDefault="0079428C" w:rsidP="00C276D3">
            <w:pPr>
              <w:spacing w:before="20" w:after="40" w:line="240" w:lineRule="auto"/>
              <w:rPr>
                <w:sz w:val="20"/>
                <w:szCs w:val="20"/>
                <w:lang w:val="es-ES"/>
              </w:rPr>
            </w:pPr>
            <w:r w:rsidRPr="00B06D23">
              <w:rPr>
                <w:sz w:val="20"/>
                <w:szCs w:val="20"/>
                <w:lang w:val="es-ES"/>
              </w:rPr>
              <w:t>Informes operacionales y gerenciales</w:t>
            </w:r>
          </w:p>
          <w:p w14:paraId="55D0B95E" w14:textId="77777777" w:rsidR="0079428C" w:rsidRPr="00B06D23" w:rsidRDefault="0079428C" w:rsidP="00C276D3">
            <w:pPr>
              <w:spacing w:before="20" w:after="40" w:line="240" w:lineRule="auto"/>
              <w:rPr>
                <w:sz w:val="20"/>
                <w:szCs w:val="20"/>
                <w:lang w:val="es-ES"/>
              </w:rPr>
            </w:pPr>
            <w:r w:rsidRPr="00B06D23">
              <w:rPr>
                <w:sz w:val="20"/>
                <w:szCs w:val="20"/>
                <w:lang w:val="es-ES"/>
              </w:rPr>
              <w:t>Venta de materiales</w:t>
            </w:r>
          </w:p>
          <w:p w14:paraId="4364212B" w14:textId="77777777" w:rsidR="0079428C" w:rsidRPr="00B06D23" w:rsidRDefault="0079428C" w:rsidP="00C276D3">
            <w:pPr>
              <w:spacing w:before="20" w:after="40" w:line="240" w:lineRule="auto"/>
              <w:rPr>
                <w:sz w:val="20"/>
                <w:szCs w:val="20"/>
                <w:lang w:val="es-ES"/>
              </w:rPr>
            </w:pPr>
            <w:r w:rsidRPr="00B06D23">
              <w:rPr>
                <w:sz w:val="20"/>
                <w:szCs w:val="20"/>
                <w:lang w:val="es-ES"/>
              </w:rPr>
              <w:t>Substitución de material obsoleto</w:t>
            </w:r>
          </w:p>
          <w:p w14:paraId="7359362D" w14:textId="77777777" w:rsidR="0079428C" w:rsidRPr="00B06D23" w:rsidRDefault="0079428C" w:rsidP="00C276D3">
            <w:pPr>
              <w:spacing w:before="20" w:after="40" w:line="240" w:lineRule="auto"/>
              <w:rPr>
                <w:sz w:val="20"/>
                <w:szCs w:val="20"/>
                <w:lang w:val="es-ES"/>
              </w:rPr>
            </w:pPr>
            <w:r w:rsidRPr="00B06D23">
              <w:rPr>
                <w:sz w:val="20"/>
                <w:szCs w:val="20"/>
                <w:lang w:val="es-ES"/>
              </w:rPr>
              <w:t>Envío de componentes de material en garantía con proveedor</w:t>
            </w:r>
          </w:p>
          <w:p w14:paraId="40804818" w14:textId="77777777" w:rsidR="0079428C" w:rsidRPr="00B06D23" w:rsidRDefault="0079428C" w:rsidP="00C276D3">
            <w:pPr>
              <w:spacing w:before="20" w:after="40" w:line="240" w:lineRule="auto"/>
              <w:rPr>
                <w:sz w:val="20"/>
                <w:szCs w:val="20"/>
                <w:lang w:val="es-ES"/>
              </w:rPr>
            </w:pPr>
            <w:r w:rsidRPr="00B06D23">
              <w:rPr>
                <w:sz w:val="20"/>
                <w:szCs w:val="20"/>
                <w:lang w:val="es-ES"/>
              </w:rPr>
              <w:t>Procesamiento de Libros Fiscales</w:t>
            </w:r>
          </w:p>
          <w:p w14:paraId="145AA25A" w14:textId="77777777" w:rsidR="0079428C" w:rsidRPr="00B06D23" w:rsidRDefault="0079428C" w:rsidP="00C276D3">
            <w:pPr>
              <w:spacing w:before="20" w:after="40" w:line="240" w:lineRule="auto"/>
              <w:rPr>
                <w:sz w:val="20"/>
                <w:szCs w:val="20"/>
                <w:lang w:val="es-ES"/>
              </w:rPr>
            </w:pPr>
            <w:r w:rsidRPr="00B06D23">
              <w:rPr>
                <w:sz w:val="20"/>
                <w:szCs w:val="20"/>
                <w:lang w:val="es-ES"/>
              </w:rPr>
              <w:t>Planeamiento Pago</w:t>
            </w:r>
          </w:p>
          <w:p w14:paraId="7413242B" w14:textId="77777777" w:rsidR="0079428C" w:rsidRPr="00B06D23" w:rsidRDefault="0079428C" w:rsidP="00C276D3">
            <w:pPr>
              <w:spacing w:before="20" w:after="40" w:line="240" w:lineRule="auto"/>
              <w:rPr>
                <w:rFonts w:cs="Calibri"/>
                <w:sz w:val="20"/>
                <w:szCs w:val="20"/>
                <w:lang w:val="es-ES"/>
              </w:rPr>
            </w:pPr>
            <w:r w:rsidRPr="00B06D23">
              <w:rPr>
                <w:sz w:val="20"/>
                <w:szCs w:val="20"/>
                <w:lang w:val="es-ES"/>
              </w:rPr>
              <w:t>Transferencia de materiales</w:t>
            </w:r>
          </w:p>
        </w:tc>
      </w:tr>
      <w:tr w:rsidR="0079428C" w:rsidRPr="00B06D23" w14:paraId="0E806117" w14:textId="77777777" w:rsidTr="00C276D3">
        <w:tc>
          <w:tcPr>
            <w:tcW w:w="2588" w:type="dxa"/>
            <w:tcBorders>
              <w:top w:val="single" w:sz="6" w:space="0" w:color="auto"/>
              <w:left w:val="single" w:sz="6" w:space="0" w:color="auto"/>
              <w:bottom w:val="single" w:sz="6" w:space="0" w:color="auto"/>
              <w:right w:val="single" w:sz="6" w:space="0" w:color="auto"/>
            </w:tcBorders>
            <w:vAlign w:val="center"/>
          </w:tcPr>
          <w:p w14:paraId="738F8D8E" w14:textId="77777777" w:rsidR="0079428C" w:rsidRPr="00B06D23" w:rsidRDefault="0079428C" w:rsidP="00C276D3">
            <w:pPr>
              <w:spacing w:before="20" w:after="40" w:line="240" w:lineRule="auto"/>
              <w:rPr>
                <w:sz w:val="20"/>
                <w:szCs w:val="20"/>
                <w:lang w:val="es-ES"/>
              </w:rPr>
            </w:pPr>
            <w:r w:rsidRPr="00B06D23">
              <w:rPr>
                <w:sz w:val="20"/>
                <w:szCs w:val="20"/>
                <w:lang w:val="es-ES"/>
              </w:rPr>
              <w:t>Contabilidad y Finanzas</w:t>
            </w:r>
          </w:p>
        </w:tc>
        <w:tc>
          <w:tcPr>
            <w:tcW w:w="6699" w:type="dxa"/>
            <w:tcBorders>
              <w:top w:val="single" w:sz="6" w:space="0" w:color="auto"/>
              <w:left w:val="single" w:sz="6" w:space="0" w:color="auto"/>
              <w:bottom w:val="single" w:sz="6" w:space="0" w:color="auto"/>
              <w:right w:val="single" w:sz="6" w:space="0" w:color="auto"/>
            </w:tcBorders>
          </w:tcPr>
          <w:p w14:paraId="653664B0" w14:textId="77777777" w:rsidR="0079428C" w:rsidRPr="00B06D23" w:rsidRDefault="0079428C" w:rsidP="00C276D3">
            <w:pPr>
              <w:spacing w:before="20" w:after="40" w:line="240" w:lineRule="auto"/>
              <w:rPr>
                <w:sz w:val="20"/>
                <w:szCs w:val="20"/>
                <w:lang w:val="es-ES"/>
              </w:rPr>
            </w:pPr>
            <w:r w:rsidRPr="00B06D23">
              <w:rPr>
                <w:sz w:val="20"/>
                <w:szCs w:val="20"/>
                <w:lang w:val="es-ES"/>
              </w:rPr>
              <w:t>Gerenciamiento diario de caja</w:t>
            </w:r>
          </w:p>
          <w:p w14:paraId="72C1A78D" w14:textId="77777777" w:rsidR="0079428C" w:rsidRPr="00B06D23" w:rsidRDefault="0079428C" w:rsidP="00C276D3">
            <w:pPr>
              <w:spacing w:before="20" w:after="40" w:line="240" w:lineRule="auto"/>
              <w:rPr>
                <w:sz w:val="20"/>
                <w:szCs w:val="20"/>
                <w:lang w:val="es-ES"/>
              </w:rPr>
            </w:pPr>
            <w:r w:rsidRPr="00B06D23">
              <w:rPr>
                <w:sz w:val="20"/>
                <w:szCs w:val="20"/>
                <w:lang w:val="es-ES"/>
              </w:rPr>
              <w:t>Planear y controlar otros tributos</w:t>
            </w:r>
          </w:p>
          <w:p w14:paraId="0A45B07B" w14:textId="77777777" w:rsidR="0079428C" w:rsidRPr="00B06D23" w:rsidRDefault="0079428C" w:rsidP="00C276D3">
            <w:pPr>
              <w:spacing w:before="20" w:after="40" w:line="240" w:lineRule="auto"/>
              <w:rPr>
                <w:sz w:val="20"/>
                <w:szCs w:val="20"/>
                <w:lang w:val="es-ES"/>
              </w:rPr>
            </w:pPr>
            <w:r w:rsidRPr="00B06D23">
              <w:rPr>
                <w:sz w:val="20"/>
                <w:szCs w:val="20"/>
                <w:lang w:val="es-ES"/>
              </w:rPr>
              <w:t>Efectuar Pagos</w:t>
            </w:r>
          </w:p>
          <w:p w14:paraId="2E9013A9" w14:textId="77777777" w:rsidR="0079428C" w:rsidRPr="00B06D23" w:rsidRDefault="0079428C" w:rsidP="00C276D3">
            <w:pPr>
              <w:spacing w:before="20" w:after="40" w:line="240" w:lineRule="auto"/>
              <w:rPr>
                <w:sz w:val="20"/>
                <w:szCs w:val="20"/>
                <w:lang w:val="es-ES"/>
              </w:rPr>
            </w:pPr>
            <w:r w:rsidRPr="00B06D23">
              <w:rPr>
                <w:sz w:val="20"/>
                <w:szCs w:val="20"/>
                <w:lang w:val="es-ES"/>
              </w:rPr>
              <w:t>Comunicación con Bancos</w:t>
            </w:r>
          </w:p>
          <w:p w14:paraId="684EFDFA" w14:textId="77777777" w:rsidR="0079428C" w:rsidRPr="00B06D23" w:rsidRDefault="0079428C" w:rsidP="00C276D3">
            <w:pPr>
              <w:spacing w:before="20" w:after="40" w:line="240" w:lineRule="auto"/>
              <w:rPr>
                <w:sz w:val="20"/>
                <w:szCs w:val="20"/>
                <w:lang w:val="es-ES"/>
              </w:rPr>
            </w:pPr>
            <w:r w:rsidRPr="00B06D23">
              <w:rPr>
                <w:sz w:val="20"/>
                <w:szCs w:val="20"/>
                <w:lang w:val="es-ES"/>
              </w:rPr>
              <w:t>Planificar y controlar IVA</w:t>
            </w:r>
          </w:p>
          <w:p w14:paraId="397259E1" w14:textId="77777777" w:rsidR="0079428C" w:rsidRPr="00B06D23" w:rsidRDefault="0079428C" w:rsidP="00C276D3">
            <w:pPr>
              <w:spacing w:before="20" w:after="40" w:line="240" w:lineRule="auto"/>
              <w:rPr>
                <w:sz w:val="20"/>
                <w:szCs w:val="20"/>
                <w:lang w:val="es-ES"/>
              </w:rPr>
            </w:pPr>
            <w:r w:rsidRPr="00B06D23">
              <w:rPr>
                <w:sz w:val="20"/>
                <w:szCs w:val="20"/>
                <w:lang w:val="es-ES"/>
              </w:rPr>
              <w:t>Registro de datos maestros</w:t>
            </w:r>
          </w:p>
          <w:p w14:paraId="72EEE274" w14:textId="77777777" w:rsidR="0079428C" w:rsidRPr="00B06D23" w:rsidRDefault="0079428C" w:rsidP="00C276D3">
            <w:pPr>
              <w:spacing w:before="20" w:after="40" w:line="240" w:lineRule="auto"/>
              <w:rPr>
                <w:sz w:val="20"/>
                <w:szCs w:val="20"/>
                <w:lang w:val="es-ES"/>
              </w:rPr>
            </w:pPr>
            <w:r w:rsidRPr="00B06D23">
              <w:rPr>
                <w:sz w:val="20"/>
                <w:szCs w:val="20"/>
                <w:lang w:val="es-ES"/>
              </w:rPr>
              <w:t>Procesar pagos</w:t>
            </w:r>
          </w:p>
          <w:p w14:paraId="5172748D" w14:textId="77777777" w:rsidR="0079428C" w:rsidRPr="00B06D23" w:rsidRDefault="0079428C" w:rsidP="00C276D3">
            <w:pPr>
              <w:spacing w:before="20" w:after="40" w:line="240" w:lineRule="auto"/>
              <w:rPr>
                <w:sz w:val="20"/>
                <w:szCs w:val="20"/>
                <w:lang w:val="es-ES"/>
              </w:rPr>
            </w:pPr>
            <w:r w:rsidRPr="00B06D23">
              <w:rPr>
                <w:sz w:val="20"/>
                <w:szCs w:val="20"/>
                <w:lang w:val="es-ES"/>
              </w:rPr>
              <w:t>Procesar cierre periódico mensual</w:t>
            </w:r>
          </w:p>
          <w:p w14:paraId="2EEE1B2B" w14:textId="77777777" w:rsidR="0079428C" w:rsidRPr="00B06D23" w:rsidRDefault="0079428C" w:rsidP="00C276D3">
            <w:pPr>
              <w:spacing w:before="20" w:after="40" w:line="240" w:lineRule="auto"/>
              <w:rPr>
                <w:sz w:val="20"/>
                <w:szCs w:val="20"/>
                <w:lang w:val="es-ES"/>
              </w:rPr>
            </w:pPr>
            <w:r w:rsidRPr="00B06D23">
              <w:rPr>
                <w:sz w:val="20"/>
                <w:szCs w:val="20"/>
                <w:lang w:val="es-ES"/>
              </w:rPr>
              <w:t>Procesar cierre periódico diario</w:t>
            </w:r>
          </w:p>
          <w:p w14:paraId="7F950135" w14:textId="77777777" w:rsidR="0079428C" w:rsidRPr="00B06D23" w:rsidRDefault="0079428C" w:rsidP="00C276D3">
            <w:pPr>
              <w:spacing w:before="20" w:after="40" w:line="240" w:lineRule="auto"/>
              <w:rPr>
                <w:sz w:val="20"/>
                <w:szCs w:val="20"/>
                <w:lang w:val="es-ES"/>
              </w:rPr>
            </w:pPr>
            <w:r w:rsidRPr="00B06D23">
              <w:rPr>
                <w:sz w:val="20"/>
                <w:szCs w:val="20"/>
                <w:lang w:val="es-ES"/>
              </w:rPr>
              <w:lastRenderedPageBreak/>
              <w:t>Procesar reconciliación</w:t>
            </w:r>
          </w:p>
          <w:p w14:paraId="125C3E20" w14:textId="77777777" w:rsidR="0079428C" w:rsidRPr="00B06D23" w:rsidRDefault="0079428C" w:rsidP="00C276D3">
            <w:pPr>
              <w:spacing w:before="20" w:after="40" w:line="240" w:lineRule="auto"/>
              <w:rPr>
                <w:sz w:val="20"/>
                <w:szCs w:val="20"/>
                <w:lang w:val="es-ES"/>
              </w:rPr>
            </w:pPr>
            <w:r w:rsidRPr="00B06D23">
              <w:rPr>
                <w:sz w:val="20"/>
                <w:szCs w:val="20"/>
                <w:lang w:val="es-ES"/>
              </w:rPr>
              <w:t>Cierre anual</w:t>
            </w:r>
          </w:p>
          <w:p w14:paraId="77C80C71" w14:textId="77777777" w:rsidR="0079428C" w:rsidRPr="00B06D23" w:rsidRDefault="0079428C" w:rsidP="00C276D3">
            <w:pPr>
              <w:spacing w:before="20" w:after="40" w:line="240" w:lineRule="auto"/>
              <w:rPr>
                <w:sz w:val="20"/>
                <w:szCs w:val="20"/>
                <w:lang w:val="es-ES"/>
              </w:rPr>
            </w:pPr>
            <w:r w:rsidRPr="00B06D23">
              <w:rPr>
                <w:sz w:val="20"/>
                <w:szCs w:val="20"/>
                <w:lang w:val="es-ES"/>
              </w:rPr>
              <w:t>Impresión de Informes: Inventarios, Balances, etc.</w:t>
            </w:r>
          </w:p>
          <w:p w14:paraId="50923B71" w14:textId="77777777" w:rsidR="0079428C" w:rsidRPr="00B06D23" w:rsidRDefault="0079428C" w:rsidP="00C276D3">
            <w:pPr>
              <w:spacing w:before="20" w:after="40" w:line="240" w:lineRule="auto"/>
              <w:rPr>
                <w:sz w:val="20"/>
                <w:szCs w:val="20"/>
                <w:lang w:val="es-ES"/>
              </w:rPr>
            </w:pPr>
            <w:r w:rsidRPr="00B06D23">
              <w:rPr>
                <w:sz w:val="20"/>
                <w:szCs w:val="20"/>
                <w:lang w:val="es-ES"/>
              </w:rPr>
              <w:t>Movimientos Accionarios</w:t>
            </w:r>
          </w:p>
          <w:p w14:paraId="14FF4993" w14:textId="77777777" w:rsidR="0079428C" w:rsidRPr="00B06D23" w:rsidRDefault="0079428C" w:rsidP="00C276D3">
            <w:pPr>
              <w:spacing w:before="20" w:after="40" w:line="240" w:lineRule="auto"/>
              <w:rPr>
                <w:sz w:val="20"/>
                <w:szCs w:val="20"/>
                <w:lang w:val="es-ES"/>
              </w:rPr>
            </w:pPr>
            <w:r w:rsidRPr="00B06D23">
              <w:rPr>
                <w:sz w:val="20"/>
                <w:szCs w:val="20"/>
                <w:lang w:val="es-ES"/>
              </w:rPr>
              <w:t>Pago de dividendos</w:t>
            </w:r>
          </w:p>
          <w:p w14:paraId="20B658FB" w14:textId="77777777" w:rsidR="0079428C" w:rsidRPr="00B06D23" w:rsidRDefault="0079428C" w:rsidP="00C276D3">
            <w:pPr>
              <w:spacing w:before="20" w:after="40" w:line="240" w:lineRule="auto"/>
              <w:rPr>
                <w:rFonts w:cs="Calibri"/>
                <w:sz w:val="20"/>
                <w:szCs w:val="20"/>
                <w:lang w:val="es-ES"/>
              </w:rPr>
            </w:pPr>
            <w:r w:rsidRPr="00B06D23">
              <w:rPr>
                <w:sz w:val="20"/>
                <w:szCs w:val="20"/>
                <w:lang w:val="es-ES"/>
              </w:rPr>
              <w:t>Gerenciamiento de préstamos y financiamientos</w:t>
            </w:r>
          </w:p>
        </w:tc>
      </w:tr>
      <w:tr w:rsidR="0079428C" w:rsidRPr="00B06D23" w14:paraId="6BD8F2DA" w14:textId="77777777" w:rsidTr="00C276D3">
        <w:tc>
          <w:tcPr>
            <w:tcW w:w="2588" w:type="dxa"/>
            <w:tcBorders>
              <w:top w:val="single" w:sz="6" w:space="0" w:color="auto"/>
              <w:left w:val="single" w:sz="6" w:space="0" w:color="auto"/>
              <w:bottom w:val="single" w:sz="6" w:space="0" w:color="auto"/>
              <w:right w:val="single" w:sz="6" w:space="0" w:color="auto"/>
            </w:tcBorders>
            <w:vAlign w:val="center"/>
          </w:tcPr>
          <w:p w14:paraId="6E1962E7" w14:textId="77777777" w:rsidR="0079428C" w:rsidRPr="00B06D23" w:rsidRDefault="0079428C" w:rsidP="00C276D3">
            <w:pPr>
              <w:spacing w:before="20" w:after="40" w:line="240" w:lineRule="auto"/>
              <w:rPr>
                <w:sz w:val="20"/>
                <w:szCs w:val="20"/>
                <w:lang w:val="es-ES"/>
              </w:rPr>
            </w:pPr>
            <w:r w:rsidRPr="00B06D23">
              <w:rPr>
                <w:sz w:val="20"/>
                <w:szCs w:val="20"/>
                <w:lang w:val="es-ES"/>
              </w:rPr>
              <w:lastRenderedPageBreak/>
              <w:t>Gestión de Activos</w:t>
            </w:r>
          </w:p>
        </w:tc>
        <w:tc>
          <w:tcPr>
            <w:tcW w:w="6699" w:type="dxa"/>
            <w:tcBorders>
              <w:top w:val="single" w:sz="6" w:space="0" w:color="auto"/>
              <w:left w:val="single" w:sz="6" w:space="0" w:color="auto"/>
              <w:bottom w:val="single" w:sz="6" w:space="0" w:color="auto"/>
              <w:right w:val="single" w:sz="6" w:space="0" w:color="auto"/>
            </w:tcBorders>
          </w:tcPr>
          <w:p w14:paraId="5EF436EB" w14:textId="77777777" w:rsidR="0079428C" w:rsidRPr="00B06D23" w:rsidRDefault="0079428C" w:rsidP="00C276D3">
            <w:pPr>
              <w:spacing w:before="20" w:after="40" w:line="240" w:lineRule="auto"/>
              <w:rPr>
                <w:sz w:val="20"/>
                <w:szCs w:val="20"/>
                <w:lang w:val="es-ES"/>
              </w:rPr>
            </w:pPr>
            <w:r w:rsidRPr="00B06D23">
              <w:rPr>
                <w:sz w:val="20"/>
                <w:szCs w:val="20"/>
                <w:lang w:val="es-ES"/>
              </w:rPr>
              <w:t>Capitalizar activo</w:t>
            </w:r>
          </w:p>
          <w:p w14:paraId="59EBD114" w14:textId="77777777" w:rsidR="0079428C" w:rsidRPr="00B06D23" w:rsidRDefault="0079428C" w:rsidP="00C276D3">
            <w:pPr>
              <w:spacing w:before="20" w:after="40" w:line="240" w:lineRule="auto"/>
              <w:rPr>
                <w:sz w:val="20"/>
                <w:szCs w:val="20"/>
                <w:lang w:val="es-ES"/>
              </w:rPr>
            </w:pPr>
            <w:r w:rsidRPr="00B06D23">
              <w:rPr>
                <w:sz w:val="20"/>
                <w:szCs w:val="20"/>
                <w:lang w:val="es-ES"/>
              </w:rPr>
              <w:t>Inmovilizar inversiones</w:t>
            </w:r>
          </w:p>
          <w:p w14:paraId="46C0C1D5" w14:textId="77777777" w:rsidR="0079428C" w:rsidRPr="00B06D23" w:rsidRDefault="0079428C" w:rsidP="00C276D3">
            <w:pPr>
              <w:spacing w:before="20" w:after="40" w:line="240" w:lineRule="auto"/>
              <w:rPr>
                <w:rFonts w:cs="Calibri"/>
                <w:sz w:val="20"/>
                <w:szCs w:val="20"/>
                <w:lang w:val="es-ES"/>
              </w:rPr>
            </w:pPr>
            <w:r w:rsidRPr="00B06D23">
              <w:rPr>
                <w:sz w:val="20"/>
                <w:szCs w:val="20"/>
                <w:lang w:val="es-ES"/>
              </w:rPr>
              <w:t>Gerenciamiento de la vida útil de activos en servicio</w:t>
            </w:r>
          </w:p>
        </w:tc>
      </w:tr>
      <w:tr w:rsidR="0079428C" w:rsidRPr="00B06D23" w14:paraId="1E454DB5" w14:textId="77777777" w:rsidTr="00C276D3">
        <w:tc>
          <w:tcPr>
            <w:tcW w:w="2588" w:type="dxa"/>
            <w:tcBorders>
              <w:top w:val="single" w:sz="6" w:space="0" w:color="auto"/>
              <w:left w:val="single" w:sz="6" w:space="0" w:color="auto"/>
              <w:bottom w:val="single" w:sz="6" w:space="0" w:color="auto"/>
              <w:right w:val="single" w:sz="6" w:space="0" w:color="auto"/>
            </w:tcBorders>
            <w:vAlign w:val="center"/>
          </w:tcPr>
          <w:p w14:paraId="7CE9734D" w14:textId="77777777" w:rsidR="0079428C" w:rsidRPr="00B06D23" w:rsidRDefault="0079428C" w:rsidP="00C276D3">
            <w:pPr>
              <w:spacing w:before="20" w:after="40" w:line="240" w:lineRule="auto"/>
              <w:rPr>
                <w:sz w:val="20"/>
                <w:szCs w:val="20"/>
                <w:lang w:val="es-ES"/>
              </w:rPr>
            </w:pPr>
            <w:r w:rsidRPr="00B06D23">
              <w:rPr>
                <w:sz w:val="20"/>
                <w:szCs w:val="20"/>
                <w:lang w:val="es-ES"/>
              </w:rPr>
              <w:t>Recursos Humanos</w:t>
            </w:r>
          </w:p>
        </w:tc>
        <w:tc>
          <w:tcPr>
            <w:tcW w:w="6699" w:type="dxa"/>
            <w:tcBorders>
              <w:top w:val="single" w:sz="6" w:space="0" w:color="auto"/>
              <w:left w:val="single" w:sz="6" w:space="0" w:color="auto"/>
              <w:bottom w:val="single" w:sz="6" w:space="0" w:color="auto"/>
              <w:right w:val="single" w:sz="6" w:space="0" w:color="auto"/>
            </w:tcBorders>
          </w:tcPr>
          <w:p w14:paraId="22F95692" w14:textId="77777777" w:rsidR="0079428C" w:rsidRPr="00B06D23" w:rsidRDefault="0079428C" w:rsidP="00C276D3">
            <w:pPr>
              <w:spacing w:before="20" w:after="40" w:line="240" w:lineRule="auto"/>
              <w:rPr>
                <w:sz w:val="20"/>
                <w:szCs w:val="20"/>
                <w:lang w:val="es-ES"/>
              </w:rPr>
            </w:pPr>
            <w:r w:rsidRPr="00B06D23">
              <w:rPr>
                <w:sz w:val="20"/>
                <w:szCs w:val="20"/>
                <w:lang w:val="es-ES"/>
              </w:rPr>
              <w:t>Reclutamiento, admisión / transferencia / promoción</w:t>
            </w:r>
          </w:p>
          <w:p w14:paraId="527AF3C8" w14:textId="77777777" w:rsidR="0079428C" w:rsidRPr="00B06D23" w:rsidRDefault="0079428C" w:rsidP="00C276D3">
            <w:pPr>
              <w:spacing w:before="20" w:after="40" w:line="240" w:lineRule="auto"/>
              <w:rPr>
                <w:sz w:val="20"/>
                <w:szCs w:val="20"/>
                <w:lang w:val="es-ES"/>
              </w:rPr>
            </w:pPr>
            <w:r w:rsidRPr="00B06D23">
              <w:rPr>
                <w:sz w:val="20"/>
                <w:szCs w:val="20"/>
                <w:lang w:val="es-ES"/>
              </w:rPr>
              <w:t>Gestión de personal (movimientos)</w:t>
            </w:r>
          </w:p>
          <w:p w14:paraId="51E72A34" w14:textId="77777777" w:rsidR="0079428C" w:rsidRPr="00B06D23" w:rsidRDefault="0079428C" w:rsidP="00C276D3">
            <w:pPr>
              <w:spacing w:before="20" w:after="40" w:line="240" w:lineRule="auto"/>
              <w:rPr>
                <w:sz w:val="20"/>
                <w:szCs w:val="20"/>
                <w:lang w:val="es-ES"/>
              </w:rPr>
            </w:pPr>
            <w:r w:rsidRPr="00B06D23">
              <w:rPr>
                <w:sz w:val="20"/>
                <w:szCs w:val="20"/>
                <w:lang w:val="es-ES"/>
              </w:rPr>
              <w:t>Planeamiento de carrera y éxito de capacitación</w:t>
            </w:r>
          </w:p>
          <w:p w14:paraId="2C4AF1F8" w14:textId="77777777" w:rsidR="0079428C" w:rsidRPr="00B06D23" w:rsidRDefault="0079428C" w:rsidP="00C276D3">
            <w:pPr>
              <w:spacing w:before="20" w:after="40" w:line="240" w:lineRule="auto"/>
              <w:rPr>
                <w:sz w:val="20"/>
                <w:szCs w:val="20"/>
                <w:lang w:val="es-ES"/>
              </w:rPr>
            </w:pPr>
            <w:r w:rsidRPr="00B06D23">
              <w:rPr>
                <w:sz w:val="20"/>
                <w:szCs w:val="20"/>
                <w:lang w:val="es-ES"/>
              </w:rPr>
              <w:t>Registro de capacitación</w:t>
            </w:r>
          </w:p>
          <w:p w14:paraId="52319235" w14:textId="77777777" w:rsidR="0079428C" w:rsidRPr="00B06D23" w:rsidRDefault="0079428C" w:rsidP="00C276D3">
            <w:pPr>
              <w:spacing w:before="20" w:after="40" w:line="240" w:lineRule="auto"/>
              <w:rPr>
                <w:sz w:val="20"/>
                <w:szCs w:val="20"/>
                <w:lang w:val="es-ES"/>
              </w:rPr>
            </w:pPr>
            <w:r w:rsidRPr="00B06D23">
              <w:rPr>
                <w:sz w:val="20"/>
                <w:szCs w:val="20"/>
                <w:lang w:val="es-ES"/>
              </w:rPr>
              <w:t>Admisión e contabilización de mano de obra</w:t>
            </w:r>
          </w:p>
          <w:p w14:paraId="52C2D04C" w14:textId="77777777" w:rsidR="0079428C" w:rsidRPr="00B06D23" w:rsidRDefault="0079428C" w:rsidP="00C276D3">
            <w:pPr>
              <w:spacing w:before="20" w:after="40" w:line="240" w:lineRule="auto"/>
              <w:rPr>
                <w:sz w:val="20"/>
                <w:szCs w:val="20"/>
                <w:lang w:val="es-ES"/>
              </w:rPr>
            </w:pPr>
            <w:r w:rsidRPr="00B06D23">
              <w:rPr>
                <w:sz w:val="20"/>
                <w:szCs w:val="20"/>
                <w:lang w:val="es-ES"/>
              </w:rPr>
              <w:t>Administración del personal y pago</w:t>
            </w:r>
          </w:p>
          <w:p w14:paraId="16BDD3AC" w14:textId="77777777" w:rsidR="0079428C" w:rsidRPr="00B06D23" w:rsidRDefault="0079428C" w:rsidP="00C276D3">
            <w:pPr>
              <w:spacing w:before="20" w:after="40" w:line="240" w:lineRule="auto"/>
              <w:rPr>
                <w:sz w:val="20"/>
                <w:szCs w:val="20"/>
                <w:lang w:val="es-ES"/>
              </w:rPr>
            </w:pPr>
            <w:r w:rsidRPr="00B06D23">
              <w:rPr>
                <w:sz w:val="20"/>
                <w:szCs w:val="20"/>
                <w:lang w:val="es-ES"/>
              </w:rPr>
              <w:t>Mantenimiento de la estructura organizacional</w:t>
            </w:r>
          </w:p>
          <w:p w14:paraId="0B6E1BB8" w14:textId="77777777" w:rsidR="0079428C" w:rsidRPr="00B06D23" w:rsidRDefault="0079428C" w:rsidP="00C276D3">
            <w:pPr>
              <w:spacing w:before="20" w:after="40" w:line="240" w:lineRule="auto"/>
              <w:rPr>
                <w:sz w:val="20"/>
                <w:szCs w:val="20"/>
                <w:lang w:val="es-ES"/>
              </w:rPr>
            </w:pPr>
            <w:r w:rsidRPr="00B06D23">
              <w:rPr>
                <w:sz w:val="20"/>
                <w:szCs w:val="20"/>
                <w:lang w:val="es-ES"/>
              </w:rPr>
              <w:t>Administrar salud ocupacional y seguridad de trabajo</w:t>
            </w:r>
          </w:p>
          <w:p w14:paraId="1A2A1818" w14:textId="77777777" w:rsidR="0079428C" w:rsidRPr="00B06D23" w:rsidRDefault="0079428C" w:rsidP="00C276D3">
            <w:pPr>
              <w:spacing w:before="20" w:after="40" w:line="240" w:lineRule="auto"/>
              <w:rPr>
                <w:sz w:val="20"/>
                <w:szCs w:val="20"/>
                <w:lang w:val="es-ES"/>
              </w:rPr>
            </w:pPr>
            <w:r w:rsidRPr="00B06D23">
              <w:rPr>
                <w:sz w:val="20"/>
                <w:szCs w:val="20"/>
                <w:lang w:val="es-ES"/>
              </w:rPr>
              <w:t>Planificación del costo de personal</w:t>
            </w:r>
          </w:p>
          <w:p w14:paraId="5BEB17AD" w14:textId="77777777" w:rsidR="0079428C" w:rsidRPr="00B06D23" w:rsidRDefault="0079428C" w:rsidP="00C276D3">
            <w:pPr>
              <w:spacing w:before="20" w:after="40" w:line="240" w:lineRule="auto"/>
              <w:rPr>
                <w:sz w:val="20"/>
                <w:szCs w:val="20"/>
                <w:lang w:val="es-ES"/>
              </w:rPr>
            </w:pPr>
            <w:r w:rsidRPr="00B06D23">
              <w:rPr>
                <w:sz w:val="20"/>
                <w:szCs w:val="20"/>
                <w:lang w:val="es-ES"/>
              </w:rPr>
              <w:t>Procesamiento de obligaciones legales</w:t>
            </w:r>
          </w:p>
          <w:p w14:paraId="64F82236" w14:textId="77777777" w:rsidR="0079428C" w:rsidRPr="00B06D23" w:rsidRDefault="0079428C" w:rsidP="00C276D3">
            <w:pPr>
              <w:spacing w:before="20" w:after="40" w:line="240" w:lineRule="auto"/>
              <w:rPr>
                <w:rFonts w:cs="Calibri"/>
                <w:sz w:val="20"/>
                <w:szCs w:val="20"/>
                <w:lang w:val="es-ES"/>
              </w:rPr>
            </w:pPr>
            <w:r w:rsidRPr="00B06D23">
              <w:rPr>
                <w:sz w:val="20"/>
                <w:szCs w:val="20"/>
                <w:lang w:val="es-ES"/>
              </w:rPr>
              <w:t>Efectuar reajuste salarial</w:t>
            </w:r>
          </w:p>
        </w:tc>
      </w:tr>
    </w:tbl>
    <w:p w14:paraId="63C2D54B" w14:textId="77777777" w:rsidR="0079428C" w:rsidRPr="00B06D23" w:rsidRDefault="0079428C" w:rsidP="0079428C">
      <w:pPr>
        <w:spacing w:after="0"/>
        <w:rPr>
          <w:lang w:val="es-ES"/>
        </w:rPr>
      </w:pPr>
      <w:bookmarkStart w:id="355" w:name="_Toc80300465"/>
      <w:bookmarkStart w:id="356" w:name="_Toc206414881"/>
      <w:bookmarkStart w:id="357" w:name="_Toc206415023"/>
    </w:p>
    <w:p w14:paraId="447D9575" w14:textId="77777777" w:rsidR="0079428C" w:rsidRPr="004445C3" w:rsidRDefault="0079428C" w:rsidP="00273FE4">
      <w:pPr>
        <w:pStyle w:val="Listanumerada"/>
        <w:numPr>
          <w:ilvl w:val="0"/>
          <w:numId w:val="37"/>
        </w:numPr>
        <w:ind w:left="567" w:hanging="567"/>
      </w:pPr>
      <w:r w:rsidRPr="004445C3">
        <w:t>Contabilidad y Finanzas, Costos, Tesorería, Presupuesto y Control de gestión</w:t>
      </w:r>
      <w:bookmarkEnd w:id="355"/>
      <w:bookmarkEnd w:id="356"/>
      <w:bookmarkEnd w:id="357"/>
    </w:p>
    <w:p w14:paraId="20DB82F8" w14:textId="77777777" w:rsidR="0079428C" w:rsidRPr="00B06D23" w:rsidRDefault="0079428C" w:rsidP="0079428C">
      <w:pPr>
        <w:rPr>
          <w:lang w:val="es-ES"/>
        </w:rPr>
      </w:pPr>
      <w:r w:rsidRPr="00B06D23">
        <w:rPr>
          <w:lang w:val="es-ES"/>
        </w:rPr>
        <w:t>Este sistema tiene por objetivo proporcionar la información económica-financiera necesaria para cumplir con las disposiciones de los entes fiscalizadores y con los requerimientos de un adecuado control administrativo y toma de decisiones. La configuración de este sistema debe permitir la operación y gestión de las unidades relacionadas con las funciones de la gerencia de administración y finanzas y la comunicación y registro de datos que provengan de otros sistemas.</w:t>
      </w:r>
    </w:p>
    <w:p w14:paraId="203C394A" w14:textId="77777777" w:rsidR="0079428C" w:rsidRPr="004445C3" w:rsidRDefault="0079428C" w:rsidP="00273FE4">
      <w:pPr>
        <w:pStyle w:val="Listanumerada"/>
        <w:numPr>
          <w:ilvl w:val="0"/>
          <w:numId w:val="37"/>
        </w:numPr>
        <w:ind w:left="567" w:hanging="567"/>
      </w:pPr>
      <w:bookmarkStart w:id="358" w:name="_Toc80300466"/>
      <w:bookmarkStart w:id="359" w:name="_Toc206414882"/>
      <w:bookmarkStart w:id="360" w:name="_Toc206415024"/>
      <w:r w:rsidRPr="004445C3">
        <w:t>Recursos Humanos</w:t>
      </w:r>
      <w:bookmarkEnd w:id="358"/>
      <w:bookmarkEnd w:id="359"/>
      <w:bookmarkEnd w:id="360"/>
    </w:p>
    <w:p w14:paraId="416E9384" w14:textId="01DD1214" w:rsidR="0079428C" w:rsidRPr="00B06D23" w:rsidRDefault="0079428C" w:rsidP="0079428C">
      <w:pPr>
        <w:rPr>
          <w:lang w:val="es-ES"/>
        </w:rPr>
      </w:pPr>
      <w:r w:rsidRPr="0037282D">
        <w:rPr>
          <w:lang w:val="es-ES"/>
        </w:rPr>
        <w:t>El sistema de Recursos Humanos tiene por objetivo el cálculo de las remuneraciones de la dotación que tra</w:t>
      </w:r>
      <w:r w:rsidR="00685E20" w:rsidRPr="0037282D">
        <w:rPr>
          <w:lang w:val="es-ES"/>
        </w:rPr>
        <w:t>baja en la empresa transmisora</w:t>
      </w:r>
      <w:r w:rsidRPr="0037282D">
        <w:rPr>
          <w:lang w:val="es-ES"/>
        </w:rPr>
        <w:t xml:space="preserve">, además de proveer información relevante del personal que labora en la empresa </w:t>
      </w:r>
      <w:r w:rsidR="00685E20" w:rsidRPr="0037282D">
        <w:rPr>
          <w:lang w:val="es-ES"/>
        </w:rPr>
        <w:t>transmisora</w:t>
      </w:r>
      <w:r w:rsidRPr="0037282D">
        <w:rPr>
          <w:lang w:val="es-ES"/>
        </w:rPr>
        <w:t xml:space="preserve"> (datos personales, forma de pago, previsión, atributos, vacaciones, planillas leyes sociales, rentas, etc.)</w:t>
      </w:r>
      <w:r w:rsidR="0037282D" w:rsidRPr="0037282D">
        <w:rPr>
          <w:lang w:val="es-ES"/>
        </w:rPr>
        <w:t>.</w:t>
      </w:r>
    </w:p>
    <w:p w14:paraId="4A1DFB4E" w14:textId="77777777" w:rsidR="0079428C" w:rsidRPr="00B06D23" w:rsidRDefault="0079428C" w:rsidP="0079428C">
      <w:pPr>
        <w:rPr>
          <w:lang w:val="es-ES"/>
        </w:rPr>
      </w:pPr>
      <w:r w:rsidRPr="00B06D23">
        <w:rPr>
          <w:lang w:val="es-ES"/>
        </w:rPr>
        <w:t>Este sistema se encuentra centralizado en las oficinas centrales, realizando aquí todos los procesos mensuales, y enviando por vía electrónica los datos a las zonales para que se imprima las remuneraciones mensuales del personal de esas zonas, encontrándose en cada una de estas un encargado de las remuneraciones para ayudar en este proceso y proveer de los cambios en la información del personal.</w:t>
      </w:r>
    </w:p>
    <w:p w14:paraId="7B3EBCB1" w14:textId="77777777" w:rsidR="0079428C" w:rsidRPr="004445C3" w:rsidRDefault="0079428C" w:rsidP="00273FE4">
      <w:pPr>
        <w:pStyle w:val="Listanumerada"/>
        <w:numPr>
          <w:ilvl w:val="0"/>
          <w:numId w:val="37"/>
        </w:numPr>
        <w:ind w:left="567" w:hanging="567"/>
      </w:pPr>
      <w:bookmarkStart w:id="361" w:name="_Toc80300467"/>
      <w:bookmarkStart w:id="362" w:name="_Toc206414883"/>
      <w:bookmarkStart w:id="363" w:name="_Toc206415025"/>
      <w:r w:rsidRPr="004445C3">
        <w:lastRenderedPageBreak/>
        <w:t>Abastecimiento – Gestión de Materiales</w:t>
      </w:r>
      <w:bookmarkEnd w:id="361"/>
      <w:bookmarkEnd w:id="362"/>
      <w:bookmarkEnd w:id="363"/>
    </w:p>
    <w:p w14:paraId="30D9DEF1" w14:textId="3020951E" w:rsidR="0079428C" w:rsidRPr="000312CE" w:rsidRDefault="0079428C" w:rsidP="0079428C">
      <w:pPr>
        <w:rPr>
          <w:lang w:val="es-ES"/>
        </w:rPr>
      </w:pPr>
      <w:r w:rsidRPr="005E5EF6">
        <w:t>En este sistema se registran, controlan e informan los movimientos (entrada y salida) de materiales</w:t>
      </w:r>
      <w:r w:rsidRPr="000312CE">
        <w:rPr>
          <w:lang w:val="es-ES"/>
        </w:rPr>
        <w:t xml:space="preserve"> </w:t>
      </w:r>
      <w:r w:rsidR="009A2A01" w:rsidRPr="000312CE">
        <w:rPr>
          <w:lang w:val="es-ES"/>
        </w:rPr>
        <w:t>de las distintas bodegas, manejo adecuado de</w:t>
      </w:r>
      <w:r w:rsidRPr="000312CE">
        <w:rPr>
          <w:lang w:val="es-ES"/>
        </w:rPr>
        <w:t xml:space="preserve"> los niveles de inventario y entrega de la información necesaria para la administración de éstos</w:t>
      </w:r>
    </w:p>
    <w:p w14:paraId="314A9B25" w14:textId="77777777" w:rsidR="0079428C" w:rsidRPr="000312CE" w:rsidRDefault="0079428C" w:rsidP="0079428C">
      <w:pPr>
        <w:rPr>
          <w:lang w:val="es-ES"/>
        </w:rPr>
      </w:pPr>
      <w:r w:rsidRPr="000312CE">
        <w:rPr>
          <w:lang w:val="es-ES"/>
        </w:rPr>
        <w:t>El sistema administra todo el proceso logístico de abastecimiento de la empresa, partiendo de las órdenes de compra, su relación con las cotizaciones realizadas, proporcionando a la vez una gestión de stocks, de forma tal de dar aviso de los materiales que requieren reposición, facilitando la dirección y control de los proveedores, contratistas y materiales, e la empresa.</w:t>
      </w:r>
    </w:p>
    <w:p w14:paraId="162E9AE2" w14:textId="77777777" w:rsidR="0079428C" w:rsidRPr="000312CE" w:rsidRDefault="0079428C" w:rsidP="0079428C">
      <w:pPr>
        <w:rPr>
          <w:lang w:val="es-ES"/>
        </w:rPr>
      </w:pPr>
      <w:bookmarkStart w:id="364" w:name="_Toc80300468"/>
      <w:bookmarkStart w:id="365" w:name="_Toc206414884"/>
      <w:bookmarkStart w:id="366" w:name="_Toc206415026"/>
      <w:r w:rsidRPr="000312CE">
        <w:rPr>
          <w:lang w:val="es-ES"/>
        </w:rPr>
        <w:t>Gestión de Activos – Control de Activo Fijo</w:t>
      </w:r>
      <w:bookmarkEnd w:id="364"/>
      <w:bookmarkEnd w:id="365"/>
      <w:bookmarkEnd w:id="366"/>
    </w:p>
    <w:p w14:paraId="14F88BAC" w14:textId="018213A8" w:rsidR="0079428C" w:rsidRPr="00B06D23" w:rsidRDefault="0079428C" w:rsidP="0079428C">
      <w:pPr>
        <w:rPr>
          <w:lang w:val="es-ES"/>
        </w:rPr>
      </w:pPr>
      <w:r w:rsidRPr="000312CE">
        <w:rPr>
          <w:lang w:val="es-ES"/>
        </w:rPr>
        <w:t>Realiza el regist</w:t>
      </w:r>
      <w:r w:rsidR="009A2A01" w:rsidRPr="000312CE">
        <w:rPr>
          <w:lang w:val="es-ES"/>
        </w:rPr>
        <w:t xml:space="preserve">ro y control del activo Fijo, </w:t>
      </w:r>
      <w:r w:rsidRPr="000312CE">
        <w:rPr>
          <w:lang w:val="es-ES"/>
        </w:rPr>
        <w:t>vida útil, depreciación, ubicación física</w:t>
      </w:r>
      <w:r w:rsidR="009A2A01" w:rsidRPr="000312CE">
        <w:rPr>
          <w:lang w:val="es-ES"/>
        </w:rPr>
        <w:t xml:space="preserve"> y demás movimientos</w:t>
      </w:r>
      <w:r w:rsidRPr="000312CE">
        <w:rPr>
          <w:lang w:val="es-ES"/>
        </w:rPr>
        <w:t>, manteniendo un control adecuado sobre estos bienes que representan montos importantes del activo de la empresa.</w:t>
      </w:r>
    </w:p>
    <w:p w14:paraId="1E130879" w14:textId="77777777" w:rsidR="0079428C" w:rsidRPr="004445C3" w:rsidRDefault="0079428C" w:rsidP="00273FE4">
      <w:pPr>
        <w:pStyle w:val="Listanumerada"/>
        <w:numPr>
          <w:ilvl w:val="0"/>
          <w:numId w:val="37"/>
        </w:numPr>
        <w:ind w:left="567" w:hanging="567"/>
      </w:pPr>
      <w:bookmarkStart w:id="367" w:name="_Toc80300469"/>
      <w:bookmarkStart w:id="368" w:name="_Toc206414885"/>
      <w:bookmarkStart w:id="369" w:name="_Toc206415027"/>
      <w:r w:rsidRPr="004445C3">
        <w:t>Sistemas Centrales u Ofimática</w:t>
      </w:r>
      <w:bookmarkEnd w:id="367"/>
      <w:bookmarkEnd w:id="368"/>
      <w:bookmarkEnd w:id="369"/>
    </w:p>
    <w:p w14:paraId="5B38CC44" w14:textId="77777777" w:rsidR="0079428C" w:rsidRPr="00B06D23" w:rsidRDefault="0079428C" w:rsidP="0079428C">
      <w:pPr>
        <w:rPr>
          <w:lang w:val="es-ES"/>
        </w:rPr>
      </w:pPr>
      <w:r w:rsidRPr="00B06D23">
        <w:rPr>
          <w:lang w:val="es-ES"/>
        </w:rPr>
        <w:t>A este sistema se encuentran conectados todos los usuarios de los sistemas informáticos, los que requieren el uso y consulta de los diversos sistemas, intercambio de información, impresión, etc.</w:t>
      </w:r>
    </w:p>
    <w:p w14:paraId="2D014364" w14:textId="77777777" w:rsidR="0079428C" w:rsidRPr="00B06D23" w:rsidRDefault="0079428C" w:rsidP="0079428C">
      <w:pPr>
        <w:rPr>
          <w:lang w:val="es-ES"/>
        </w:rPr>
      </w:pPr>
      <w:r w:rsidRPr="00B06D23">
        <w:rPr>
          <w:lang w:val="es-ES"/>
        </w:rPr>
        <w:t>Los sistemas centrales engloban el software necesario para el correcto funcionamiento de los sistemas informáticos: operación, comunicación necesarios para todos los usuarios que lo requieran dentro de la red corporativa.</w:t>
      </w:r>
    </w:p>
    <w:p w14:paraId="24832261" w14:textId="2B168122" w:rsidR="0079428C" w:rsidRPr="004445C3" w:rsidRDefault="0079428C" w:rsidP="00273FE4">
      <w:pPr>
        <w:pStyle w:val="Listanumerada"/>
        <w:numPr>
          <w:ilvl w:val="0"/>
          <w:numId w:val="37"/>
        </w:numPr>
        <w:ind w:left="567" w:hanging="567"/>
      </w:pPr>
      <w:bookmarkStart w:id="370" w:name="_Toc80300473"/>
      <w:bookmarkStart w:id="371" w:name="_Toc206414889"/>
      <w:bookmarkStart w:id="372" w:name="_Toc206415031"/>
      <w:r w:rsidRPr="004445C3">
        <w:t xml:space="preserve">Sistema de Información </w:t>
      </w:r>
      <w:r w:rsidR="00C34553" w:rsidRPr="004445C3">
        <w:t>Georreferenciada</w:t>
      </w:r>
      <w:r w:rsidRPr="004445C3">
        <w:t xml:space="preserve"> (GIS)</w:t>
      </w:r>
      <w:bookmarkEnd w:id="370"/>
      <w:bookmarkEnd w:id="371"/>
      <w:bookmarkEnd w:id="372"/>
    </w:p>
    <w:p w14:paraId="55CAAEEA" w14:textId="73715273" w:rsidR="0079428C" w:rsidRPr="0037282D" w:rsidRDefault="0079428C" w:rsidP="0079428C">
      <w:pPr>
        <w:rPr>
          <w:lang w:val="es-ES"/>
        </w:rPr>
      </w:pPr>
      <w:r w:rsidRPr="0037282D">
        <w:rPr>
          <w:lang w:val="es-ES"/>
        </w:rPr>
        <w:t>Permite la creación, modificación y acceso a la información de los activos</w:t>
      </w:r>
      <w:r w:rsidR="005775FC" w:rsidRPr="0037282D">
        <w:rPr>
          <w:lang w:val="es-ES"/>
        </w:rPr>
        <w:t xml:space="preserve"> de la transmisora</w:t>
      </w:r>
      <w:r w:rsidRPr="0037282D">
        <w:rPr>
          <w:lang w:val="es-ES"/>
        </w:rPr>
        <w:t xml:space="preserve">, mediante una base de datos geográfica vinculada a los activos de transmisión. </w:t>
      </w:r>
    </w:p>
    <w:p w14:paraId="5BA53261" w14:textId="190B3E78" w:rsidR="0079428C" w:rsidRPr="00B06D23" w:rsidRDefault="0079428C" w:rsidP="0079428C">
      <w:pPr>
        <w:rPr>
          <w:lang w:val="es-ES"/>
        </w:rPr>
      </w:pPr>
      <w:r w:rsidRPr="0037282D">
        <w:rPr>
          <w:lang w:val="es-ES"/>
        </w:rPr>
        <w:t>Colabora estrechamente con el sistema de manutención y reparación de la red eléctrica, asistiendo a estos sistemas en la planificación y coordinación de las cuadrillas que ejecutan dichas tareas.</w:t>
      </w:r>
    </w:p>
    <w:p w14:paraId="6B8A983D" w14:textId="01A4E2B4" w:rsidR="0079428C" w:rsidRPr="00B06D23" w:rsidRDefault="004445C3" w:rsidP="004445C3">
      <w:pPr>
        <w:pStyle w:val="Subttulo"/>
        <w:rPr>
          <w:lang w:val="es-ES"/>
        </w:rPr>
      </w:pPr>
      <w:bookmarkStart w:id="373" w:name="_Toc27147879"/>
      <w:bookmarkStart w:id="374" w:name="_Toc39797946"/>
      <w:r w:rsidRPr="00BC38C2">
        <w:t xml:space="preserve">Tabla </w:t>
      </w:r>
      <w:fldSimple w:instr=" SEQ Tabla \* ARABIC ">
        <w:r w:rsidR="001F3E2E">
          <w:rPr>
            <w:noProof/>
          </w:rPr>
          <w:t>36</w:t>
        </w:r>
      </w:fldSimple>
      <w:r w:rsidR="00CA697A">
        <w:t xml:space="preserve">: </w:t>
      </w:r>
      <w:r w:rsidR="0079428C" w:rsidRPr="00B06D23">
        <w:rPr>
          <w:lang w:val="es-ES"/>
        </w:rPr>
        <w:t>Sistema de Información Geográfica</w:t>
      </w:r>
      <w:bookmarkEnd w:id="373"/>
      <w:bookmarkEnd w:id="374"/>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000" w:firstRow="0" w:lastRow="0" w:firstColumn="0" w:lastColumn="0" w:noHBand="0" w:noVBand="0"/>
      </w:tblPr>
      <w:tblGrid>
        <w:gridCol w:w="1701"/>
        <w:gridCol w:w="7371"/>
      </w:tblGrid>
      <w:tr w:rsidR="0079428C" w:rsidRPr="00173470" w14:paraId="1A08AA40" w14:textId="77777777" w:rsidTr="005E5EF6">
        <w:trPr>
          <w:jc w:val="center"/>
        </w:trPr>
        <w:tc>
          <w:tcPr>
            <w:tcW w:w="1701" w:type="dxa"/>
            <w:vAlign w:val="center"/>
          </w:tcPr>
          <w:p w14:paraId="3EFF56AB" w14:textId="77777777" w:rsidR="0079428C" w:rsidRPr="00173470" w:rsidRDefault="0079428C" w:rsidP="00C276D3">
            <w:pPr>
              <w:spacing w:before="20" w:after="20" w:line="240" w:lineRule="auto"/>
              <w:jc w:val="left"/>
              <w:rPr>
                <w:sz w:val="20"/>
                <w:szCs w:val="20"/>
                <w:lang w:val="es-ES"/>
              </w:rPr>
            </w:pPr>
            <w:r w:rsidRPr="00173470">
              <w:rPr>
                <w:sz w:val="20"/>
                <w:szCs w:val="20"/>
                <w:lang w:val="es-ES"/>
              </w:rPr>
              <w:t>Sistema de Información Geográfica</w:t>
            </w:r>
          </w:p>
        </w:tc>
        <w:tc>
          <w:tcPr>
            <w:tcW w:w="7371" w:type="dxa"/>
            <w:vAlign w:val="center"/>
          </w:tcPr>
          <w:p w14:paraId="64ACB75C" w14:textId="77777777" w:rsidR="0079428C" w:rsidRPr="00173470" w:rsidRDefault="0079428C" w:rsidP="00C276D3">
            <w:pPr>
              <w:spacing w:before="20" w:after="20" w:line="240" w:lineRule="auto"/>
              <w:rPr>
                <w:sz w:val="20"/>
                <w:szCs w:val="20"/>
                <w:lang w:val="es-ES"/>
              </w:rPr>
            </w:pPr>
            <w:r w:rsidRPr="00173470">
              <w:rPr>
                <w:sz w:val="20"/>
                <w:szCs w:val="20"/>
                <w:lang w:val="es-ES"/>
              </w:rPr>
              <w:t>Integración con demás sistemas.</w:t>
            </w:r>
          </w:p>
          <w:p w14:paraId="51032B13" w14:textId="77777777" w:rsidR="0079428C" w:rsidRPr="00173470" w:rsidRDefault="0079428C" w:rsidP="00C276D3">
            <w:pPr>
              <w:spacing w:before="20" w:after="20" w:line="240" w:lineRule="auto"/>
              <w:rPr>
                <w:sz w:val="20"/>
                <w:szCs w:val="20"/>
                <w:lang w:val="es-ES"/>
              </w:rPr>
            </w:pPr>
            <w:r w:rsidRPr="00173470">
              <w:rPr>
                <w:sz w:val="20"/>
                <w:szCs w:val="20"/>
                <w:lang w:val="es-ES"/>
              </w:rPr>
              <w:t>Interactúa con sistema de mantención y reparación de emergencia</w:t>
            </w:r>
          </w:p>
          <w:p w14:paraId="01984BE7" w14:textId="77777777" w:rsidR="0079428C" w:rsidRPr="00173470" w:rsidRDefault="0079428C" w:rsidP="00C276D3">
            <w:pPr>
              <w:spacing w:before="20" w:after="20" w:line="240" w:lineRule="auto"/>
              <w:rPr>
                <w:sz w:val="20"/>
                <w:szCs w:val="20"/>
                <w:lang w:val="es-ES"/>
              </w:rPr>
            </w:pPr>
            <w:r w:rsidRPr="00173470">
              <w:rPr>
                <w:sz w:val="20"/>
                <w:szCs w:val="20"/>
                <w:lang w:val="es-ES"/>
              </w:rPr>
              <w:t>Análisis y cálculos</w:t>
            </w:r>
          </w:p>
          <w:p w14:paraId="4AA481C8" w14:textId="77777777" w:rsidR="0079428C" w:rsidRPr="00173470" w:rsidRDefault="0079428C" w:rsidP="00C276D3">
            <w:pPr>
              <w:spacing w:before="20" w:after="20" w:line="240" w:lineRule="auto"/>
              <w:rPr>
                <w:sz w:val="20"/>
                <w:szCs w:val="20"/>
                <w:lang w:val="es-ES"/>
              </w:rPr>
            </w:pPr>
            <w:r w:rsidRPr="00173470">
              <w:rPr>
                <w:sz w:val="20"/>
                <w:szCs w:val="20"/>
                <w:lang w:val="es-ES"/>
              </w:rPr>
              <w:t>Creación de cartografía</w:t>
            </w:r>
          </w:p>
          <w:p w14:paraId="2413BD96" w14:textId="77777777" w:rsidR="0079428C" w:rsidRPr="00173470" w:rsidRDefault="0079428C" w:rsidP="00C276D3">
            <w:pPr>
              <w:spacing w:before="20" w:after="20" w:line="240" w:lineRule="auto"/>
              <w:rPr>
                <w:sz w:val="20"/>
                <w:szCs w:val="20"/>
                <w:lang w:val="es-ES"/>
              </w:rPr>
            </w:pPr>
            <w:r w:rsidRPr="00173470">
              <w:rPr>
                <w:sz w:val="20"/>
                <w:szCs w:val="20"/>
                <w:lang w:val="es-ES"/>
              </w:rPr>
              <w:t>Creación de informes</w:t>
            </w:r>
          </w:p>
          <w:p w14:paraId="245CDFF6" w14:textId="77777777" w:rsidR="0079428C" w:rsidRPr="00173470" w:rsidRDefault="0079428C" w:rsidP="00C276D3">
            <w:pPr>
              <w:spacing w:before="20" w:after="20" w:line="240" w:lineRule="auto"/>
              <w:rPr>
                <w:rFonts w:cs="Calibri"/>
                <w:sz w:val="20"/>
                <w:szCs w:val="20"/>
                <w:lang w:val="es-ES"/>
              </w:rPr>
            </w:pPr>
            <w:r w:rsidRPr="00173470">
              <w:rPr>
                <w:sz w:val="20"/>
                <w:szCs w:val="20"/>
                <w:lang w:val="es-ES"/>
              </w:rPr>
              <w:t>Visualización de Consultas</w:t>
            </w:r>
          </w:p>
        </w:tc>
      </w:tr>
    </w:tbl>
    <w:p w14:paraId="59781079" w14:textId="77777777" w:rsidR="0079428C" w:rsidRPr="00B06D23" w:rsidRDefault="0079428C" w:rsidP="0079428C">
      <w:pPr>
        <w:spacing w:after="120"/>
        <w:rPr>
          <w:lang w:val="es-ES"/>
        </w:rPr>
      </w:pPr>
    </w:p>
    <w:p w14:paraId="6E1CC6C6" w14:textId="77777777" w:rsidR="0079428C" w:rsidRPr="004445C3" w:rsidRDefault="0079428C" w:rsidP="00273FE4">
      <w:pPr>
        <w:pStyle w:val="Listanumerada"/>
        <w:numPr>
          <w:ilvl w:val="0"/>
          <w:numId w:val="37"/>
        </w:numPr>
        <w:ind w:left="567" w:hanging="567"/>
      </w:pPr>
      <w:r w:rsidRPr="004445C3">
        <w:t xml:space="preserve">Sistema de Mantención </w:t>
      </w:r>
    </w:p>
    <w:p w14:paraId="61028B72" w14:textId="77777777" w:rsidR="0079428C" w:rsidRPr="00B06D23" w:rsidRDefault="0079428C" w:rsidP="0079428C">
      <w:pPr>
        <w:rPr>
          <w:lang w:val="es-ES"/>
        </w:rPr>
      </w:pPr>
      <w:r w:rsidRPr="00B06D23">
        <w:rPr>
          <w:lang w:val="es-ES"/>
        </w:rPr>
        <w:lastRenderedPageBreak/>
        <w:t>Dada la importancia del mantenimiento como actividad, y de los activos involucrados, es necesario que la empresa de Transmisión eficiente cuente con un sistema experto que mantenga toda la historia de las actividades de mantenimiento y del comportamiento de los distintos equipos e instalaciones, en forma independiente a la tradicional experiencia de los técnicos y profesionales de mayor antigüedad en la empresa.</w:t>
      </w:r>
    </w:p>
    <w:p w14:paraId="39AC7572" w14:textId="3A28A406" w:rsidR="0079428C" w:rsidRDefault="0079428C" w:rsidP="0079428C">
      <w:pPr>
        <w:rPr>
          <w:lang w:val="es-ES"/>
        </w:rPr>
      </w:pPr>
      <w:r w:rsidRPr="00B06D23">
        <w:rPr>
          <w:lang w:val="es-ES"/>
        </w:rPr>
        <w:t>También maneja los inventarios de repuestos, dando señales de nivel crítico y de cantidades para reposición de stock, de niveles de consumo y de precios medios, que sirven para presupuestar y asignar costos de mantenimiento por equipos y por unidades o divisiones de operación.</w:t>
      </w:r>
    </w:p>
    <w:p w14:paraId="282278DF" w14:textId="18B39989" w:rsidR="0079428C" w:rsidRPr="00B06D23" w:rsidRDefault="004445C3" w:rsidP="004445C3">
      <w:pPr>
        <w:pStyle w:val="Subttulo"/>
        <w:rPr>
          <w:bCs/>
          <w:lang w:val="es-ES"/>
        </w:rPr>
      </w:pPr>
      <w:bookmarkStart w:id="375" w:name="_Toc27147880"/>
      <w:bookmarkStart w:id="376" w:name="_Toc39797947"/>
      <w:r w:rsidRPr="00BC38C2">
        <w:t xml:space="preserve">Tabla </w:t>
      </w:r>
      <w:fldSimple w:instr=" SEQ Tabla \* ARABIC ">
        <w:r w:rsidR="001F3E2E">
          <w:rPr>
            <w:noProof/>
          </w:rPr>
          <w:t>37</w:t>
        </w:r>
      </w:fldSimple>
      <w:r>
        <w:t xml:space="preserve">: </w:t>
      </w:r>
      <w:r w:rsidR="0079428C" w:rsidRPr="00B06D23">
        <w:rPr>
          <w:bCs/>
          <w:lang w:val="es-ES"/>
        </w:rPr>
        <w:t>Sistemas de Mantención</w:t>
      </w:r>
      <w:bookmarkEnd w:id="375"/>
      <w:bookmarkEnd w:id="376"/>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000" w:firstRow="0" w:lastRow="0" w:firstColumn="0" w:lastColumn="0" w:noHBand="0" w:noVBand="0"/>
      </w:tblPr>
      <w:tblGrid>
        <w:gridCol w:w="2552"/>
        <w:gridCol w:w="7088"/>
      </w:tblGrid>
      <w:tr w:rsidR="0079428C" w:rsidRPr="00173470" w14:paraId="7A7CDA32" w14:textId="77777777" w:rsidTr="00F1031B">
        <w:trPr>
          <w:jc w:val="center"/>
        </w:trPr>
        <w:tc>
          <w:tcPr>
            <w:tcW w:w="2552" w:type="dxa"/>
            <w:vAlign w:val="center"/>
          </w:tcPr>
          <w:p w14:paraId="4D83D06A" w14:textId="77777777" w:rsidR="0079428C" w:rsidRPr="00173470" w:rsidRDefault="0079428C" w:rsidP="00C276D3">
            <w:pPr>
              <w:spacing w:before="20" w:after="20" w:line="240" w:lineRule="auto"/>
              <w:rPr>
                <w:sz w:val="20"/>
                <w:szCs w:val="20"/>
                <w:lang w:val="es-ES"/>
              </w:rPr>
            </w:pPr>
            <w:r w:rsidRPr="00173470">
              <w:rPr>
                <w:sz w:val="20"/>
                <w:szCs w:val="20"/>
                <w:lang w:val="es-ES"/>
              </w:rPr>
              <w:t>Reparación y Emergencia</w:t>
            </w:r>
          </w:p>
        </w:tc>
        <w:tc>
          <w:tcPr>
            <w:tcW w:w="7088" w:type="dxa"/>
            <w:vAlign w:val="center"/>
          </w:tcPr>
          <w:p w14:paraId="54DF3E56" w14:textId="77777777" w:rsidR="0079428C" w:rsidRPr="00173470" w:rsidRDefault="0079428C" w:rsidP="00C276D3">
            <w:pPr>
              <w:spacing w:before="20" w:after="20" w:line="240" w:lineRule="auto"/>
              <w:rPr>
                <w:sz w:val="20"/>
                <w:szCs w:val="20"/>
                <w:lang w:val="es-ES"/>
              </w:rPr>
            </w:pPr>
            <w:r w:rsidRPr="00173470">
              <w:rPr>
                <w:sz w:val="20"/>
                <w:szCs w:val="20"/>
                <w:lang w:val="es-ES"/>
              </w:rPr>
              <w:t>Ordenar salida de cuadrillas de reparación</w:t>
            </w:r>
          </w:p>
          <w:p w14:paraId="13673C31" w14:textId="77777777" w:rsidR="0079428C" w:rsidRPr="00173470" w:rsidRDefault="0079428C" w:rsidP="00C276D3">
            <w:pPr>
              <w:spacing w:before="20" w:after="20" w:line="240" w:lineRule="auto"/>
              <w:rPr>
                <w:rFonts w:cs="Calibri"/>
                <w:sz w:val="20"/>
                <w:szCs w:val="20"/>
                <w:lang w:val="es-ES"/>
              </w:rPr>
            </w:pPr>
            <w:r w:rsidRPr="00173470">
              <w:rPr>
                <w:sz w:val="20"/>
                <w:szCs w:val="20"/>
                <w:lang w:val="es-ES"/>
              </w:rPr>
              <w:t>Registro estadístico</w:t>
            </w:r>
          </w:p>
        </w:tc>
      </w:tr>
      <w:tr w:rsidR="0079428C" w:rsidRPr="00173470" w14:paraId="26E66800" w14:textId="77777777" w:rsidTr="00F1031B">
        <w:trPr>
          <w:jc w:val="center"/>
        </w:trPr>
        <w:tc>
          <w:tcPr>
            <w:tcW w:w="2552" w:type="dxa"/>
            <w:vAlign w:val="center"/>
          </w:tcPr>
          <w:p w14:paraId="22CBAB6C" w14:textId="77777777" w:rsidR="0079428C" w:rsidRPr="00173470" w:rsidRDefault="0079428C" w:rsidP="00C276D3">
            <w:pPr>
              <w:spacing w:before="20" w:after="20" w:line="240" w:lineRule="auto"/>
              <w:rPr>
                <w:sz w:val="20"/>
                <w:szCs w:val="20"/>
                <w:lang w:val="es-ES"/>
              </w:rPr>
            </w:pPr>
            <w:r w:rsidRPr="00173470">
              <w:rPr>
                <w:sz w:val="20"/>
                <w:szCs w:val="20"/>
                <w:lang w:val="es-ES"/>
              </w:rPr>
              <w:t>Gestión de Mantenimiento</w:t>
            </w:r>
          </w:p>
        </w:tc>
        <w:tc>
          <w:tcPr>
            <w:tcW w:w="7088" w:type="dxa"/>
            <w:vAlign w:val="center"/>
          </w:tcPr>
          <w:p w14:paraId="7A7C206D" w14:textId="77777777" w:rsidR="0079428C" w:rsidRPr="00173470" w:rsidRDefault="0079428C" w:rsidP="00C276D3">
            <w:pPr>
              <w:spacing w:before="20" w:after="20" w:line="240" w:lineRule="auto"/>
              <w:rPr>
                <w:sz w:val="20"/>
                <w:szCs w:val="20"/>
                <w:lang w:val="es-ES"/>
              </w:rPr>
            </w:pPr>
            <w:r w:rsidRPr="00173470">
              <w:rPr>
                <w:sz w:val="20"/>
                <w:szCs w:val="20"/>
                <w:lang w:val="es-ES"/>
              </w:rPr>
              <w:t>Ejecución de servicios de manutención correctiva</w:t>
            </w:r>
          </w:p>
          <w:p w14:paraId="06F4FFC5" w14:textId="77777777" w:rsidR="0079428C" w:rsidRPr="00173470" w:rsidRDefault="0079428C" w:rsidP="00C276D3">
            <w:pPr>
              <w:spacing w:before="20" w:after="20" w:line="240" w:lineRule="auto"/>
              <w:rPr>
                <w:sz w:val="20"/>
                <w:szCs w:val="20"/>
                <w:lang w:val="es-ES"/>
              </w:rPr>
            </w:pPr>
            <w:r w:rsidRPr="00173470">
              <w:rPr>
                <w:sz w:val="20"/>
                <w:szCs w:val="20"/>
                <w:lang w:val="es-ES"/>
              </w:rPr>
              <w:t>Mantenimiento de emergencia</w:t>
            </w:r>
          </w:p>
          <w:p w14:paraId="0004D9F3" w14:textId="77777777" w:rsidR="0079428C" w:rsidRPr="00173470" w:rsidRDefault="0079428C" w:rsidP="00C276D3">
            <w:pPr>
              <w:spacing w:before="20" w:after="20" w:line="240" w:lineRule="auto"/>
              <w:rPr>
                <w:sz w:val="20"/>
                <w:szCs w:val="20"/>
                <w:lang w:val="es-ES"/>
              </w:rPr>
            </w:pPr>
            <w:r w:rsidRPr="00173470">
              <w:rPr>
                <w:sz w:val="20"/>
                <w:szCs w:val="20"/>
                <w:lang w:val="es-ES"/>
              </w:rPr>
              <w:t>Mantenimiento de preventivo</w:t>
            </w:r>
          </w:p>
          <w:p w14:paraId="5529E74A" w14:textId="77777777" w:rsidR="0079428C" w:rsidRPr="00173470" w:rsidRDefault="0079428C" w:rsidP="00C276D3">
            <w:pPr>
              <w:spacing w:before="20" w:after="20" w:line="240" w:lineRule="auto"/>
              <w:rPr>
                <w:sz w:val="20"/>
                <w:szCs w:val="20"/>
                <w:lang w:val="es-ES"/>
              </w:rPr>
            </w:pPr>
            <w:r w:rsidRPr="00173470">
              <w:rPr>
                <w:sz w:val="20"/>
                <w:szCs w:val="20"/>
                <w:lang w:val="es-ES"/>
              </w:rPr>
              <w:t>Registro de datos maestros da mantenimiento</w:t>
            </w:r>
          </w:p>
          <w:p w14:paraId="439ADB93" w14:textId="77777777" w:rsidR="0079428C" w:rsidRPr="00173470" w:rsidRDefault="0079428C" w:rsidP="00C276D3">
            <w:pPr>
              <w:spacing w:before="20" w:after="20" w:line="240" w:lineRule="auto"/>
              <w:rPr>
                <w:rFonts w:cs="Calibri"/>
                <w:sz w:val="20"/>
                <w:szCs w:val="20"/>
                <w:lang w:val="es-ES"/>
              </w:rPr>
            </w:pPr>
            <w:r w:rsidRPr="00173470">
              <w:rPr>
                <w:sz w:val="20"/>
                <w:szCs w:val="20"/>
                <w:lang w:val="es-ES"/>
              </w:rPr>
              <w:t>Seguimiento de Contratistas</w:t>
            </w:r>
          </w:p>
        </w:tc>
      </w:tr>
    </w:tbl>
    <w:p w14:paraId="70309A6B" w14:textId="77777777" w:rsidR="0079428C" w:rsidRPr="00B06D23" w:rsidRDefault="0079428C" w:rsidP="00F1031B">
      <w:pPr>
        <w:spacing w:after="0" w:line="240" w:lineRule="auto"/>
        <w:rPr>
          <w:lang w:val="es-ES"/>
        </w:rPr>
      </w:pPr>
      <w:bookmarkStart w:id="377" w:name="_Toc80300471"/>
      <w:bookmarkStart w:id="378" w:name="_Toc206414887"/>
      <w:bookmarkStart w:id="379" w:name="_Toc206415029"/>
    </w:p>
    <w:p w14:paraId="13A0F395" w14:textId="77777777" w:rsidR="0079428C" w:rsidRPr="004445C3" w:rsidRDefault="0079428C" w:rsidP="00273FE4">
      <w:pPr>
        <w:pStyle w:val="Listanumerada"/>
        <w:numPr>
          <w:ilvl w:val="0"/>
          <w:numId w:val="37"/>
        </w:numPr>
        <w:ind w:left="567" w:hanging="567"/>
      </w:pPr>
      <w:r w:rsidRPr="004445C3">
        <w:t>Sistema de Reparación y Emergencia</w:t>
      </w:r>
      <w:bookmarkEnd w:id="377"/>
      <w:bookmarkEnd w:id="378"/>
      <w:bookmarkEnd w:id="379"/>
    </w:p>
    <w:p w14:paraId="20AD6695" w14:textId="77777777" w:rsidR="0079428C" w:rsidRPr="00B06D23" w:rsidRDefault="0079428C" w:rsidP="0079428C">
      <w:pPr>
        <w:rPr>
          <w:lang w:val="es-ES"/>
        </w:rPr>
      </w:pPr>
      <w:r w:rsidRPr="00B06D23">
        <w:rPr>
          <w:lang w:val="es-ES"/>
        </w:rPr>
        <w:t>Se lleva el control de las órdenes de trabajo y se almacena para su posterior tratamiento estadístico. A su vez valoriza los trabajos efectuados asignando los gastos a los centros de costos correspondientes.</w:t>
      </w:r>
    </w:p>
    <w:p w14:paraId="37453899" w14:textId="77777777" w:rsidR="0079428C" w:rsidRPr="004445C3" w:rsidRDefault="0079428C" w:rsidP="00273FE4">
      <w:pPr>
        <w:pStyle w:val="Listanumerada"/>
        <w:numPr>
          <w:ilvl w:val="0"/>
          <w:numId w:val="37"/>
        </w:numPr>
        <w:ind w:left="567" w:hanging="567"/>
      </w:pPr>
      <w:bookmarkStart w:id="380" w:name="_Toc80300472"/>
      <w:bookmarkStart w:id="381" w:name="_Toc206414888"/>
      <w:bookmarkStart w:id="382" w:name="_Toc206415030"/>
      <w:r w:rsidRPr="004445C3">
        <w:t>Sistema de Gestión de Mantenimiento</w:t>
      </w:r>
      <w:bookmarkEnd w:id="380"/>
      <w:bookmarkEnd w:id="381"/>
      <w:bookmarkEnd w:id="382"/>
    </w:p>
    <w:p w14:paraId="75991095" w14:textId="6CAF2A67" w:rsidR="0079428C" w:rsidRPr="00B06D23" w:rsidRDefault="0079428C" w:rsidP="0079428C">
      <w:pPr>
        <w:rPr>
          <w:lang w:val="es-ES"/>
        </w:rPr>
      </w:pPr>
      <w:r w:rsidRPr="0037282D">
        <w:rPr>
          <w:lang w:val="es-ES"/>
        </w:rPr>
        <w:t>El Sistema de Mantenimiento se encarga de llevar el registro de las operaciones de mantenimiento que ejecutan sobre las instalaciones de la empresa, permitiendo el control de los servicios tercerizados, facilitando el control preventivo de las i</w:t>
      </w:r>
      <w:r w:rsidR="00685E20" w:rsidRPr="0037282D">
        <w:rPr>
          <w:lang w:val="es-ES"/>
        </w:rPr>
        <w:t>nstalaciones de la transmisora</w:t>
      </w:r>
      <w:r w:rsidRPr="0037282D">
        <w:rPr>
          <w:lang w:val="es-ES"/>
        </w:rPr>
        <w:t>. Este sistema posee enlaces con los sistemas de reparación y emergencia y con el geográfico.</w:t>
      </w:r>
    </w:p>
    <w:p w14:paraId="0C1E1D84" w14:textId="77777777" w:rsidR="0079428C" w:rsidRPr="004445C3" w:rsidRDefault="0079428C" w:rsidP="00273FE4">
      <w:pPr>
        <w:pStyle w:val="Listanumerada"/>
        <w:numPr>
          <w:ilvl w:val="0"/>
          <w:numId w:val="37"/>
        </w:numPr>
        <w:ind w:left="567" w:hanging="567"/>
      </w:pPr>
      <w:r w:rsidRPr="004445C3">
        <w:t>Otro software corporativo:</w:t>
      </w:r>
    </w:p>
    <w:p w14:paraId="2BB53090" w14:textId="34E4B78E" w:rsidR="0079428C" w:rsidRPr="00B82EE2" w:rsidRDefault="0079428C" w:rsidP="00273FE4">
      <w:pPr>
        <w:pStyle w:val="Prrafodelista"/>
        <w:numPr>
          <w:ilvl w:val="0"/>
          <w:numId w:val="67"/>
        </w:numPr>
        <w:ind w:left="1134" w:hanging="567"/>
        <w:rPr>
          <w:lang w:val="es-ES"/>
        </w:rPr>
      </w:pPr>
      <w:r w:rsidRPr="00B82EE2">
        <w:rPr>
          <w:lang w:val="es-ES"/>
        </w:rPr>
        <w:t>Intranet</w:t>
      </w:r>
      <w:r w:rsidR="00B82EE2" w:rsidRPr="00B82EE2">
        <w:rPr>
          <w:lang w:val="es-ES"/>
        </w:rPr>
        <w:t xml:space="preserve">: </w:t>
      </w:r>
      <w:r w:rsidRPr="00B82EE2">
        <w:rPr>
          <w:lang w:val="es-ES"/>
        </w:rPr>
        <w:t>Corresponde a la red informática interna de la empresa, la cual permite interconectar los recursos informáticos de la misma, tanto a nivel de hardware, software y documentos, según las políticas desplegadas por la empresa en este ámbito. La gestión y administración de la intranet corporativa se realiza a través de un software diseñado para cumplir dicha tarea.</w:t>
      </w:r>
    </w:p>
    <w:p w14:paraId="6114D6F5" w14:textId="77777777" w:rsidR="0079428C" w:rsidRPr="00B06D23" w:rsidRDefault="0079428C" w:rsidP="00273FE4">
      <w:pPr>
        <w:pStyle w:val="Prrafodelista"/>
        <w:numPr>
          <w:ilvl w:val="0"/>
          <w:numId w:val="67"/>
        </w:numPr>
        <w:ind w:left="1134" w:hanging="567"/>
        <w:rPr>
          <w:lang w:val="es-ES"/>
        </w:rPr>
      </w:pPr>
      <w:r w:rsidRPr="00B06D23">
        <w:rPr>
          <w:lang w:val="es-ES"/>
        </w:rPr>
        <w:t>Sistema Web</w:t>
      </w:r>
    </w:p>
    <w:p w14:paraId="77875C41" w14:textId="77777777" w:rsidR="0079428C" w:rsidRPr="00B06D23" w:rsidRDefault="0079428C" w:rsidP="00273FE4">
      <w:pPr>
        <w:pStyle w:val="Prrafodelista"/>
        <w:numPr>
          <w:ilvl w:val="0"/>
          <w:numId w:val="67"/>
        </w:numPr>
        <w:ind w:left="1134" w:hanging="567"/>
        <w:rPr>
          <w:lang w:val="es-ES"/>
        </w:rPr>
      </w:pPr>
      <w:r w:rsidRPr="00B06D23">
        <w:rPr>
          <w:lang w:val="es-ES"/>
        </w:rPr>
        <w:t>Sistema de Gestión Digital de Documentos</w:t>
      </w:r>
    </w:p>
    <w:p w14:paraId="1EEB0EFE" w14:textId="15DD75EF" w:rsidR="0079428C" w:rsidRPr="00B06D23" w:rsidRDefault="0079428C" w:rsidP="0079428C">
      <w:pPr>
        <w:rPr>
          <w:lang w:val="es-ES"/>
        </w:rPr>
      </w:pPr>
      <w:r w:rsidRPr="00B06D23">
        <w:rPr>
          <w:lang w:val="es-ES"/>
        </w:rPr>
        <w:lastRenderedPageBreak/>
        <w:t xml:space="preserve">El hardware de Macroinformática comprende los Servidores, monitores, unidades de respaldo, UPS y demás elementos requeridos para instalar, operar y controlar el software de la empresa tanto en la casa matriz como en las regionales que sean requeridas de la </w:t>
      </w:r>
      <w:r w:rsidR="001A6E11">
        <w:rPr>
          <w:lang w:val="es-ES"/>
        </w:rPr>
        <w:t>EM</w:t>
      </w:r>
      <w:r w:rsidRPr="00B06D23">
        <w:rPr>
          <w:lang w:val="es-ES"/>
        </w:rPr>
        <w:t>.</w:t>
      </w:r>
    </w:p>
    <w:p w14:paraId="3599401B" w14:textId="52781076" w:rsidR="008235E1" w:rsidRPr="005E7F2E" w:rsidRDefault="008235E1" w:rsidP="008235E1">
      <w:pPr>
        <w:rPr>
          <w:lang w:val="es-ES"/>
        </w:rPr>
      </w:pPr>
      <w:bookmarkStart w:id="383" w:name="_Toc34398150"/>
      <w:r w:rsidRPr="005E7F2E">
        <w:rPr>
          <w:lang w:val="es-ES"/>
        </w:rPr>
        <w:t xml:space="preserve">En el </w:t>
      </w:r>
      <w:r w:rsidR="00B82EE2">
        <w:rPr>
          <w:lang w:val="es-ES"/>
        </w:rPr>
        <w:t>“</w:t>
      </w:r>
      <w:r w:rsidRPr="005E7F2E">
        <w:rPr>
          <w:lang w:val="es-ES"/>
        </w:rPr>
        <w:t xml:space="preserve">Anexo </w:t>
      </w:r>
      <w:r w:rsidR="00B82EE2">
        <w:rPr>
          <w:lang w:val="es-ES"/>
        </w:rPr>
        <w:t>COMA</w:t>
      </w:r>
      <w:r w:rsidRPr="005E7F2E">
        <w:rPr>
          <w:lang w:val="es-ES"/>
        </w:rPr>
        <w:t>_3 Modelo/Datos/Equipamiento Computacional Final</w:t>
      </w:r>
      <w:r w:rsidR="00B82EE2">
        <w:rPr>
          <w:lang w:val="es-ES"/>
        </w:rPr>
        <w:t>”</w:t>
      </w:r>
      <w:r w:rsidRPr="005E7F2E">
        <w:rPr>
          <w:lang w:val="es-ES"/>
        </w:rPr>
        <w:t xml:space="preserve"> se encuentran definidos los requerimientos de Software/hardware corporativo de la </w:t>
      </w:r>
      <w:r w:rsidR="001A6E11" w:rsidRPr="005E7F2E">
        <w:rPr>
          <w:lang w:val="es-ES"/>
        </w:rPr>
        <w:t>EM</w:t>
      </w:r>
      <w:r w:rsidRPr="005E7F2E">
        <w:rPr>
          <w:lang w:val="es-ES"/>
        </w:rPr>
        <w:t>.</w:t>
      </w:r>
    </w:p>
    <w:p w14:paraId="533D1FF4" w14:textId="7FC5DBD8" w:rsidR="008235E1" w:rsidRPr="005E7F2E" w:rsidRDefault="008235E1" w:rsidP="008235E1">
      <w:pPr>
        <w:rPr>
          <w:lang w:val="es-ES"/>
        </w:rPr>
      </w:pPr>
      <w:r w:rsidRPr="005E7F2E">
        <w:rPr>
          <w:lang w:val="es-ES"/>
        </w:rPr>
        <w:t>Sobre la base del requerimiento definido y los costos unitario</w:t>
      </w:r>
      <w:r w:rsidR="00B82EE2">
        <w:rPr>
          <w:lang w:val="es-ES"/>
        </w:rPr>
        <w:t xml:space="preserve">s relevados del </w:t>
      </w:r>
      <w:r w:rsidR="00C34553">
        <w:rPr>
          <w:lang w:val="es-ES"/>
        </w:rPr>
        <w:t>mercado en</w:t>
      </w:r>
      <w:r w:rsidR="00B82EE2">
        <w:rPr>
          <w:lang w:val="es-ES"/>
        </w:rPr>
        <w:t xml:space="preserve"> el “</w:t>
      </w:r>
      <w:r w:rsidRPr="005E7F2E">
        <w:rPr>
          <w:lang w:val="es-ES"/>
        </w:rPr>
        <w:t xml:space="preserve">Anexo </w:t>
      </w:r>
      <w:r w:rsidR="00B82EE2">
        <w:rPr>
          <w:lang w:val="es-ES"/>
        </w:rPr>
        <w:t>COMA</w:t>
      </w:r>
      <w:r w:rsidRPr="005E7F2E">
        <w:rPr>
          <w:lang w:val="es-ES"/>
        </w:rPr>
        <w:t>_3 Modelo/Datos/ Costos Sistemas informáticos.xls</w:t>
      </w:r>
      <w:r w:rsidR="00B82EE2">
        <w:rPr>
          <w:lang w:val="es-ES"/>
        </w:rPr>
        <w:t>”</w:t>
      </w:r>
      <w:r w:rsidRPr="005E7F2E">
        <w:rPr>
          <w:lang w:val="es-ES"/>
        </w:rPr>
        <w:t xml:space="preserve"> se encuentra detallado el equipamiento de Software y Hardware considerado, los costos unitarios y el resultado obtenido.</w:t>
      </w:r>
    </w:p>
    <w:p w14:paraId="4BD179FC" w14:textId="77777777" w:rsidR="0079428C" w:rsidRPr="005E7F2E" w:rsidRDefault="0079428C" w:rsidP="0079428C">
      <w:pPr>
        <w:pStyle w:val="Ttulo4"/>
      </w:pPr>
      <w:bookmarkStart w:id="384" w:name="_Toc39797840"/>
      <w:r w:rsidRPr="005E7F2E">
        <w:t>Equipamiento de comunicaciones</w:t>
      </w:r>
      <w:bookmarkEnd w:id="383"/>
      <w:bookmarkEnd w:id="384"/>
    </w:p>
    <w:p w14:paraId="5250BEC4" w14:textId="34B1748B" w:rsidR="00C210B9" w:rsidRPr="005E7F2E" w:rsidRDefault="00C210B9" w:rsidP="00C210B9">
      <w:pPr>
        <w:rPr>
          <w:lang w:val="es-ES"/>
        </w:rPr>
      </w:pPr>
      <w:bookmarkStart w:id="385" w:name="_Toc32390205"/>
      <w:bookmarkStart w:id="386" w:name="_Toc34398151"/>
      <w:r w:rsidRPr="005E7F2E">
        <w:rPr>
          <w:lang w:val="es-ES"/>
        </w:rPr>
        <w:t>Para las comunicaciones se han considerado los siguientes criterios para definir la cantidad de equipamientos para el personal de planilla:</w:t>
      </w:r>
    </w:p>
    <w:p w14:paraId="7EB3499B" w14:textId="1F610B5A" w:rsidR="00C210B9" w:rsidRPr="00B82EE2" w:rsidRDefault="00C210B9" w:rsidP="00273FE4">
      <w:pPr>
        <w:pStyle w:val="Prrafodelista"/>
        <w:numPr>
          <w:ilvl w:val="0"/>
          <w:numId w:val="68"/>
        </w:numPr>
        <w:spacing w:after="120"/>
        <w:ind w:left="567" w:hanging="567"/>
      </w:pPr>
      <w:r w:rsidRPr="00B82EE2">
        <w:t xml:space="preserve">Central telefónica IP: para las comunicaciones del personal administrativo y apoyo del edificio corporativo y </w:t>
      </w:r>
      <w:r w:rsidR="00D409FA" w:rsidRPr="00B82EE2">
        <w:t xml:space="preserve">edificios </w:t>
      </w:r>
      <w:r w:rsidRPr="00B82EE2">
        <w:t>regionales.</w:t>
      </w:r>
    </w:p>
    <w:p w14:paraId="3F1BA86F" w14:textId="77777777" w:rsidR="00C210B9" w:rsidRPr="00B82EE2" w:rsidRDefault="00C210B9" w:rsidP="00273FE4">
      <w:pPr>
        <w:pStyle w:val="Prrafodelista"/>
        <w:numPr>
          <w:ilvl w:val="0"/>
          <w:numId w:val="68"/>
        </w:numPr>
        <w:spacing w:after="120"/>
        <w:ind w:left="567" w:hanging="567"/>
      </w:pPr>
      <w:r w:rsidRPr="00B82EE2">
        <w:t>Base Equipos UAF/VHF (para camionetas personal propio de control de cuadrillas y SE)</w:t>
      </w:r>
    </w:p>
    <w:p w14:paraId="23197E2C" w14:textId="4B9F4FC6" w:rsidR="00C210B9" w:rsidRPr="00B82EE2" w:rsidRDefault="00C210B9" w:rsidP="00273FE4">
      <w:pPr>
        <w:pStyle w:val="Prrafodelista"/>
        <w:numPr>
          <w:ilvl w:val="0"/>
          <w:numId w:val="68"/>
        </w:numPr>
        <w:spacing w:after="120"/>
        <w:ind w:left="567" w:hanging="567"/>
      </w:pPr>
      <w:r w:rsidRPr="00C34553">
        <w:rPr>
          <w:i/>
        </w:rPr>
        <w:t>Handys</w:t>
      </w:r>
      <w:r w:rsidRPr="00B82EE2">
        <w:t>: para las comunicaciones operativas</w:t>
      </w:r>
      <w:r w:rsidR="00C34553">
        <w:t xml:space="preserve"> entre los técnicos de terreno</w:t>
      </w:r>
      <w:r w:rsidRPr="00B82EE2">
        <w:t xml:space="preserve"> y con</w:t>
      </w:r>
      <w:r w:rsidR="00D409FA" w:rsidRPr="00B82EE2">
        <w:t xml:space="preserve"> unidades</w:t>
      </w:r>
      <w:r w:rsidRPr="00B82EE2">
        <w:t xml:space="preserve"> las regionales.</w:t>
      </w:r>
    </w:p>
    <w:p w14:paraId="240A1B47" w14:textId="3CAFC816" w:rsidR="00C210B9" w:rsidRPr="00B82EE2" w:rsidRDefault="00D409FA" w:rsidP="00273FE4">
      <w:pPr>
        <w:pStyle w:val="Prrafodelista"/>
        <w:numPr>
          <w:ilvl w:val="0"/>
          <w:numId w:val="68"/>
        </w:numPr>
        <w:spacing w:after="120"/>
        <w:ind w:left="567" w:hanging="567"/>
      </w:pPr>
      <w:r w:rsidRPr="00B82EE2">
        <w:t>Teléfonos</w:t>
      </w:r>
      <w:r w:rsidR="00C210B9" w:rsidRPr="00B82EE2">
        <w:t xml:space="preserve"> </w:t>
      </w:r>
      <w:r w:rsidR="00C34553">
        <w:t>c</w:t>
      </w:r>
      <w:r w:rsidR="00C210B9" w:rsidRPr="00B82EE2">
        <w:t xml:space="preserve">elulares: para los puestos gerenciales, jefes departamento y puestos operativos clave que requieren comunicaciones móviles </w:t>
      </w:r>
      <w:r w:rsidR="00C34553" w:rsidRPr="00B82EE2">
        <w:t>tales como</w:t>
      </w:r>
      <w:r w:rsidR="00C210B9" w:rsidRPr="00B82EE2">
        <w:t xml:space="preserve"> ingenieros de operación y mantenimiento, supervisores </w:t>
      </w:r>
      <w:r w:rsidR="00C34553" w:rsidRPr="00B82EE2">
        <w:t>y técnicos</w:t>
      </w:r>
      <w:r w:rsidR="00C210B9" w:rsidRPr="00B82EE2">
        <w:t xml:space="preserve"> de operación. </w:t>
      </w:r>
    </w:p>
    <w:p w14:paraId="32C53C99" w14:textId="49610711" w:rsidR="00C210B9" w:rsidRPr="00B82EE2" w:rsidRDefault="00D409FA" w:rsidP="00273FE4">
      <w:pPr>
        <w:pStyle w:val="Prrafodelista"/>
        <w:numPr>
          <w:ilvl w:val="0"/>
          <w:numId w:val="68"/>
        </w:numPr>
        <w:ind w:left="567" w:hanging="567"/>
      </w:pPr>
      <w:r w:rsidRPr="00B82EE2">
        <w:t>Teléfonos</w:t>
      </w:r>
      <w:r w:rsidR="00C210B9" w:rsidRPr="00B82EE2">
        <w:t xml:space="preserve"> satelitales: se ha previsto 4 </w:t>
      </w:r>
      <w:r w:rsidRPr="00B82EE2">
        <w:t>teléfonos</w:t>
      </w:r>
      <w:r w:rsidR="00C210B9" w:rsidRPr="00B82EE2">
        <w:t xml:space="preserve"> satelitales para el caso de emergencias donde no funcionen el resto de las comunicaciones.</w:t>
      </w:r>
    </w:p>
    <w:p w14:paraId="53B29033" w14:textId="1BC6CAA8" w:rsidR="00C210B9" w:rsidRPr="00B06D23" w:rsidRDefault="00C210B9" w:rsidP="00C210B9">
      <w:pPr>
        <w:rPr>
          <w:lang w:val="es-ES"/>
        </w:rPr>
      </w:pPr>
      <w:r w:rsidRPr="005E7F2E">
        <w:rPr>
          <w:lang w:val="es-ES"/>
        </w:rPr>
        <w:t xml:space="preserve">En el </w:t>
      </w:r>
      <w:r w:rsidR="00B82EE2">
        <w:rPr>
          <w:lang w:val="es-ES"/>
        </w:rPr>
        <w:t>“</w:t>
      </w:r>
      <w:r w:rsidRPr="005E7F2E">
        <w:rPr>
          <w:lang w:val="es-ES"/>
        </w:rPr>
        <w:t xml:space="preserve">Anexo </w:t>
      </w:r>
      <w:r w:rsidR="00B82EE2">
        <w:rPr>
          <w:lang w:val="es-ES"/>
        </w:rPr>
        <w:t>COM</w:t>
      </w:r>
      <w:r w:rsidR="005A6F95">
        <w:rPr>
          <w:lang w:val="es-ES"/>
        </w:rPr>
        <w:t>A</w:t>
      </w:r>
      <w:r w:rsidRPr="005E7F2E">
        <w:rPr>
          <w:lang w:val="es-ES"/>
        </w:rPr>
        <w:t>_3 Modelo/Datos/ Equipamiento Informático</w:t>
      </w:r>
      <w:r w:rsidR="00B82EE2">
        <w:rPr>
          <w:lang w:val="es-ES"/>
        </w:rPr>
        <w:t>”</w:t>
      </w:r>
      <w:r w:rsidRPr="005E7F2E">
        <w:rPr>
          <w:lang w:val="es-ES"/>
        </w:rPr>
        <w:t xml:space="preserve"> se encuentra detallado la cantidad de equipos que surgen con los criterios señalados, los costos unitarios considerado para estos equipamientos y el resultado obtenido.</w:t>
      </w:r>
    </w:p>
    <w:p w14:paraId="7E10856B" w14:textId="6D6ABE01" w:rsidR="0079428C" w:rsidRPr="00FD055F" w:rsidRDefault="0079428C" w:rsidP="0079428C">
      <w:pPr>
        <w:pStyle w:val="Ttulo4"/>
      </w:pPr>
      <w:bookmarkStart w:id="387" w:name="_Toc39797841"/>
      <w:r w:rsidRPr="00FD055F">
        <w:t>Sistema SCADA (Software y Hardware).</w:t>
      </w:r>
      <w:bookmarkEnd w:id="385"/>
      <w:bookmarkEnd w:id="386"/>
      <w:bookmarkEnd w:id="387"/>
    </w:p>
    <w:p w14:paraId="5ADB5068" w14:textId="77777777" w:rsidR="0079428C" w:rsidRPr="00B06D23" w:rsidRDefault="0079428C" w:rsidP="0079428C">
      <w:pPr>
        <w:rPr>
          <w:lang w:val="es-ES"/>
        </w:rPr>
      </w:pPr>
      <w:r w:rsidRPr="00B06D23">
        <w:rPr>
          <w:lang w:val="es-ES"/>
        </w:rPr>
        <w:t>Comprende el Sistema de tele supervisión y control de la red de transmisión, o sistema SCADA, considerando las características del sistema, fundamentalmente en lo referente a la cantidad de subestaciones telecontroladas y la cantidad de paños de cada subestación.</w:t>
      </w:r>
    </w:p>
    <w:p w14:paraId="2AA88D69" w14:textId="19FF153D" w:rsidR="0079428C" w:rsidRPr="00B06D23" w:rsidRDefault="0079428C" w:rsidP="0079428C">
      <w:pPr>
        <w:rPr>
          <w:lang w:val="es-ES"/>
        </w:rPr>
      </w:pPr>
      <w:r w:rsidRPr="00B06D23">
        <w:rPr>
          <w:lang w:val="es-ES"/>
        </w:rPr>
        <w:t xml:space="preserve">Respecto al centro de control del sistema se especifica la instalación de un Centro de Control Principal en el edificio cabecera de la zona principal (Sede Cerro </w:t>
      </w:r>
      <w:r w:rsidR="00C34553" w:rsidRPr="00B06D23">
        <w:rPr>
          <w:lang w:val="es-ES"/>
        </w:rPr>
        <w:t>Navia</w:t>
      </w:r>
      <w:r w:rsidR="00C34553">
        <w:rPr>
          <w:lang w:val="es-ES"/>
        </w:rPr>
        <w:t xml:space="preserve">) </w:t>
      </w:r>
      <w:r w:rsidRPr="00B06D23">
        <w:rPr>
          <w:lang w:val="es-ES"/>
        </w:rPr>
        <w:t xml:space="preserve">y un Centro de Control de respaldo (Sede Alto Jahuel). La función de este centro de respaldo es asumir la operación remota </w:t>
      </w:r>
      <w:r w:rsidRPr="00B06D23">
        <w:rPr>
          <w:lang w:val="es-ES"/>
        </w:rPr>
        <w:lastRenderedPageBreak/>
        <w:t>del sistema en caso de no disponibilidad del Centro de Control, Principal por falla técnica o caso de fuerza mayor, como un sismo importante.</w:t>
      </w:r>
    </w:p>
    <w:p w14:paraId="1F45B0A4" w14:textId="77777777" w:rsidR="0079428C" w:rsidRPr="00B06D23" w:rsidRDefault="0079428C" w:rsidP="0079428C">
      <w:pPr>
        <w:rPr>
          <w:lang w:val="es-ES"/>
        </w:rPr>
      </w:pPr>
      <w:r w:rsidRPr="00B06D23">
        <w:rPr>
          <w:lang w:val="es-ES"/>
        </w:rPr>
        <w:t>Las características principales del sistema SCADA dimensionado, que corresponden a las habituales incorporadas en los sistemas actuales, son las siguientes:</w:t>
      </w:r>
    </w:p>
    <w:p w14:paraId="4F963F98" w14:textId="68C3C0AE" w:rsidR="0079428C" w:rsidRPr="00B06D23" w:rsidRDefault="0079428C" w:rsidP="0079428C">
      <w:pPr>
        <w:rPr>
          <w:lang w:val="es-ES"/>
        </w:rPr>
      </w:pPr>
      <w:r w:rsidRPr="00B06D23">
        <w:rPr>
          <w:lang w:val="es-ES"/>
        </w:rPr>
        <w:t>La especificación de las funciones requeridas para el SCADA</w:t>
      </w:r>
      <w:r w:rsidR="00F1031B">
        <w:rPr>
          <w:lang w:val="es-ES"/>
        </w:rPr>
        <w:t>:</w:t>
      </w:r>
    </w:p>
    <w:p w14:paraId="52129704" w14:textId="1473CEB1" w:rsidR="0079428C" w:rsidRPr="00F1031B" w:rsidRDefault="005A6F95" w:rsidP="00273FE4">
      <w:pPr>
        <w:pStyle w:val="Prrafodelista"/>
        <w:numPr>
          <w:ilvl w:val="0"/>
          <w:numId w:val="68"/>
        </w:numPr>
        <w:spacing w:after="120"/>
        <w:ind w:left="567" w:hanging="567"/>
      </w:pPr>
      <w:r w:rsidRPr="00F1031B">
        <w:t>C</w:t>
      </w:r>
      <w:r w:rsidR="00C34553" w:rsidRPr="00F1031B">
        <w:t>omando</w:t>
      </w:r>
      <w:r w:rsidR="0079428C" w:rsidRPr="00F1031B">
        <w:t xml:space="preserve"> y supervisión del sistema de transmisión</w:t>
      </w:r>
    </w:p>
    <w:p w14:paraId="2E384467" w14:textId="77777777" w:rsidR="0079428C" w:rsidRPr="00F1031B" w:rsidRDefault="0079428C" w:rsidP="00273FE4">
      <w:pPr>
        <w:pStyle w:val="Prrafodelista"/>
        <w:numPr>
          <w:ilvl w:val="0"/>
          <w:numId w:val="68"/>
        </w:numPr>
        <w:spacing w:after="120"/>
        <w:ind w:left="567" w:hanging="567"/>
      </w:pPr>
      <w:r w:rsidRPr="00F1031B">
        <w:t>Contingencias de la red en tiempo real.</w:t>
      </w:r>
    </w:p>
    <w:p w14:paraId="3FA4F5FD" w14:textId="77777777" w:rsidR="0079428C" w:rsidRPr="00F1031B" w:rsidRDefault="0079428C" w:rsidP="00273FE4">
      <w:pPr>
        <w:pStyle w:val="Prrafodelista"/>
        <w:numPr>
          <w:ilvl w:val="0"/>
          <w:numId w:val="68"/>
        </w:numPr>
        <w:spacing w:after="120"/>
        <w:ind w:left="567" w:hanging="567"/>
      </w:pPr>
      <w:r w:rsidRPr="00F1031B">
        <w:t>Determinación de puntos de falla.</w:t>
      </w:r>
    </w:p>
    <w:p w14:paraId="367DCB32" w14:textId="77777777" w:rsidR="0079428C" w:rsidRPr="00F1031B" w:rsidRDefault="0079428C" w:rsidP="00273FE4">
      <w:pPr>
        <w:pStyle w:val="Prrafodelista"/>
        <w:numPr>
          <w:ilvl w:val="0"/>
          <w:numId w:val="68"/>
        </w:numPr>
        <w:spacing w:after="120"/>
        <w:ind w:left="567" w:hanging="567"/>
      </w:pPr>
      <w:r w:rsidRPr="00F1031B">
        <w:t>Estimador de estado</w:t>
      </w:r>
    </w:p>
    <w:p w14:paraId="12E9004E" w14:textId="77777777" w:rsidR="0079428C" w:rsidRPr="00F1031B" w:rsidRDefault="0079428C" w:rsidP="00273FE4">
      <w:pPr>
        <w:pStyle w:val="Prrafodelista"/>
        <w:numPr>
          <w:ilvl w:val="0"/>
          <w:numId w:val="68"/>
        </w:numPr>
        <w:spacing w:after="120"/>
        <w:ind w:left="567" w:hanging="567"/>
      </w:pPr>
      <w:r w:rsidRPr="00F1031B">
        <w:t>Automatización de acciones de control.</w:t>
      </w:r>
    </w:p>
    <w:p w14:paraId="0FBD5A39" w14:textId="77777777" w:rsidR="0079428C" w:rsidRPr="00F1031B" w:rsidRDefault="0079428C" w:rsidP="00273FE4">
      <w:pPr>
        <w:pStyle w:val="Prrafodelista"/>
        <w:numPr>
          <w:ilvl w:val="0"/>
          <w:numId w:val="68"/>
        </w:numPr>
        <w:spacing w:after="120"/>
        <w:ind w:left="567" w:hanging="567"/>
      </w:pPr>
      <w:r w:rsidRPr="00F1031B">
        <w:t>Flujo de potencia</w:t>
      </w:r>
    </w:p>
    <w:p w14:paraId="6E3B04C9" w14:textId="77777777" w:rsidR="0079428C" w:rsidRPr="00F1031B" w:rsidRDefault="0079428C" w:rsidP="00273FE4">
      <w:pPr>
        <w:pStyle w:val="Prrafodelista"/>
        <w:numPr>
          <w:ilvl w:val="0"/>
          <w:numId w:val="68"/>
        </w:numPr>
        <w:spacing w:after="120"/>
        <w:ind w:left="567" w:hanging="567"/>
      </w:pPr>
      <w:r w:rsidRPr="00F1031B">
        <w:t xml:space="preserve">Equipamiento en los centros de operación con las licencias de servidores, </w:t>
      </w:r>
    </w:p>
    <w:p w14:paraId="6933892E" w14:textId="77777777" w:rsidR="0079428C" w:rsidRPr="00F1031B" w:rsidRDefault="0079428C" w:rsidP="00273FE4">
      <w:pPr>
        <w:pStyle w:val="Prrafodelista"/>
        <w:numPr>
          <w:ilvl w:val="0"/>
          <w:numId w:val="68"/>
        </w:numPr>
        <w:spacing w:after="120"/>
        <w:ind w:left="567" w:hanging="567"/>
      </w:pPr>
      <w:r w:rsidRPr="00F1031B">
        <w:t>Software:</w:t>
      </w:r>
    </w:p>
    <w:p w14:paraId="792294C8" w14:textId="77777777" w:rsidR="0079428C" w:rsidRPr="00F1031B" w:rsidRDefault="0079428C" w:rsidP="00273FE4">
      <w:pPr>
        <w:pStyle w:val="Prrafodelista"/>
        <w:numPr>
          <w:ilvl w:val="0"/>
          <w:numId w:val="68"/>
        </w:numPr>
        <w:spacing w:after="120"/>
        <w:ind w:left="567" w:hanging="567"/>
      </w:pPr>
      <w:r w:rsidRPr="00F1031B">
        <w:t>Licencia de servidores</w:t>
      </w:r>
    </w:p>
    <w:p w14:paraId="3EB2AC26" w14:textId="77777777" w:rsidR="0079428C" w:rsidRPr="00F1031B" w:rsidRDefault="0079428C" w:rsidP="00273FE4">
      <w:pPr>
        <w:pStyle w:val="Prrafodelista"/>
        <w:numPr>
          <w:ilvl w:val="0"/>
          <w:numId w:val="68"/>
        </w:numPr>
        <w:spacing w:after="120"/>
        <w:ind w:left="567" w:hanging="567"/>
      </w:pPr>
      <w:r w:rsidRPr="00F1031B">
        <w:t>Licencia sistema de información histórica</w:t>
      </w:r>
    </w:p>
    <w:p w14:paraId="6783126E" w14:textId="77777777" w:rsidR="0079428C" w:rsidRPr="00F1031B" w:rsidRDefault="0079428C" w:rsidP="00273FE4">
      <w:pPr>
        <w:pStyle w:val="Prrafodelista"/>
        <w:numPr>
          <w:ilvl w:val="0"/>
          <w:numId w:val="68"/>
        </w:numPr>
        <w:spacing w:after="120"/>
        <w:ind w:left="567" w:hanging="567"/>
      </w:pPr>
      <w:r w:rsidRPr="00F1031B">
        <w:t>Licencia de software de aplicación</w:t>
      </w:r>
    </w:p>
    <w:p w14:paraId="2A6703FE" w14:textId="77777777" w:rsidR="0079428C" w:rsidRPr="00F1031B" w:rsidRDefault="0079428C" w:rsidP="00273FE4">
      <w:pPr>
        <w:pStyle w:val="Prrafodelista"/>
        <w:numPr>
          <w:ilvl w:val="0"/>
          <w:numId w:val="68"/>
        </w:numPr>
        <w:spacing w:after="120"/>
        <w:ind w:left="567" w:hanging="567"/>
      </w:pPr>
      <w:r w:rsidRPr="00F1031B">
        <w:t>Licencias de software de transferencia de datos.</w:t>
      </w:r>
    </w:p>
    <w:p w14:paraId="4D10EEAE" w14:textId="77777777" w:rsidR="0079428C" w:rsidRPr="00F1031B" w:rsidRDefault="0079428C" w:rsidP="00273FE4">
      <w:pPr>
        <w:pStyle w:val="Prrafodelista"/>
        <w:numPr>
          <w:ilvl w:val="0"/>
          <w:numId w:val="68"/>
        </w:numPr>
        <w:spacing w:after="120"/>
        <w:ind w:left="567" w:hanging="567"/>
      </w:pPr>
      <w:r w:rsidRPr="00F1031B">
        <w:t>Licencias para PC uso general</w:t>
      </w:r>
    </w:p>
    <w:p w14:paraId="1DA16706" w14:textId="77777777" w:rsidR="0079428C" w:rsidRPr="00F1031B" w:rsidRDefault="0079428C" w:rsidP="00273FE4">
      <w:pPr>
        <w:pStyle w:val="Prrafodelista"/>
        <w:numPr>
          <w:ilvl w:val="0"/>
          <w:numId w:val="68"/>
        </w:numPr>
        <w:spacing w:after="120"/>
        <w:ind w:left="567" w:hanging="567"/>
      </w:pPr>
      <w:r w:rsidRPr="00F1031B">
        <w:t xml:space="preserve">Integración RTU GPS </w:t>
      </w:r>
    </w:p>
    <w:p w14:paraId="53FA148A" w14:textId="77777777" w:rsidR="0079428C" w:rsidRPr="00F1031B" w:rsidRDefault="0079428C" w:rsidP="00273FE4">
      <w:pPr>
        <w:pStyle w:val="Prrafodelista"/>
        <w:numPr>
          <w:ilvl w:val="0"/>
          <w:numId w:val="68"/>
        </w:numPr>
        <w:spacing w:after="120"/>
        <w:ind w:left="567" w:hanging="567"/>
      </w:pPr>
      <w:r w:rsidRPr="00F1031B">
        <w:t>Hardware:</w:t>
      </w:r>
    </w:p>
    <w:p w14:paraId="3BF2D749" w14:textId="77777777" w:rsidR="0079428C" w:rsidRPr="00F1031B" w:rsidRDefault="0079428C" w:rsidP="00273FE4">
      <w:pPr>
        <w:pStyle w:val="Prrafodelista"/>
        <w:numPr>
          <w:ilvl w:val="0"/>
          <w:numId w:val="68"/>
        </w:numPr>
        <w:spacing w:after="120"/>
        <w:ind w:left="567" w:hanging="567"/>
      </w:pPr>
      <w:r w:rsidRPr="00F1031B">
        <w:t xml:space="preserve">Consola de operación </w:t>
      </w:r>
    </w:p>
    <w:p w14:paraId="6E39ED99" w14:textId="77777777" w:rsidR="0079428C" w:rsidRPr="00F1031B" w:rsidRDefault="0079428C" w:rsidP="00273FE4">
      <w:pPr>
        <w:pStyle w:val="Prrafodelista"/>
        <w:numPr>
          <w:ilvl w:val="0"/>
          <w:numId w:val="68"/>
        </w:numPr>
        <w:spacing w:after="120"/>
        <w:ind w:left="567" w:hanging="567"/>
      </w:pPr>
      <w:r w:rsidRPr="00F1031B">
        <w:t>Servidores SCADA</w:t>
      </w:r>
    </w:p>
    <w:p w14:paraId="3F5CFDDE" w14:textId="77777777" w:rsidR="0079428C" w:rsidRPr="00F1031B" w:rsidRDefault="0079428C" w:rsidP="00273FE4">
      <w:pPr>
        <w:pStyle w:val="Prrafodelista"/>
        <w:numPr>
          <w:ilvl w:val="0"/>
          <w:numId w:val="68"/>
        </w:numPr>
        <w:spacing w:after="120"/>
        <w:ind w:left="567" w:hanging="567"/>
      </w:pPr>
      <w:r w:rsidRPr="00F1031B">
        <w:t xml:space="preserve">Consola de Ingeniería y desarrollo </w:t>
      </w:r>
    </w:p>
    <w:p w14:paraId="6D840E14" w14:textId="77777777" w:rsidR="0079428C" w:rsidRPr="00F1031B" w:rsidRDefault="0079428C" w:rsidP="00273FE4">
      <w:pPr>
        <w:pStyle w:val="Prrafodelista"/>
        <w:numPr>
          <w:ilvl w:val="0"/>
          <w:numId w:val="68"/>
        </w:numPr>
        <w:spacing w:after="120"/>
        <w:ind w:left="567" w:hanging="567"/>
      </w:pPr>
      <w:r w:rsidRPr="00F1031B">
        <w:t xml:space="preserve">PC de uso general </w:t>
      </w:r>
    </w:p>
    <w:p w14:paraId="7E1D0CB3" w14:textId="77777777" w:rsidR="0079428C" w:rsidRPr="00F1031B" w:rsidRDefault="0079428C" w:rsidP="00273FE4">
      <w:pPr>
        <w:pStyle w:val="Prrafodelista"/>
        <w:numPr>
          <w:ilvl w:val="0"/>
          <w:numId w:val="68"/>
        </w:numPr>
        <w:spacing w:after="120"/>
        <w:ind w:left="567" w:hanging="567"/>
      </w:pPr>
      <w:r w:rsidRPr="00F1031B">
        <w:t xml:space="preserve">Impresoras alarmas y eventos </w:t>
      </w:r>
    </w:p>
    <w:p w14:paraId="3B7D1D8C" w14:textId="77777777" w:rsidR="0079428C" w:rsidRPr="00F1031B" w:rsidRDefault="0079428C" w:rsidP="00273FE4">
      <w:pPr>
        <w:pStyle w:val="Prrafodelista"/>
        <w:numPr>
          <w:ilvl w:val="0"/>
          <w:numId w:val="68"/>
        </w:numPr>
        <w:spacing w:after="120"/>
        <w:ind w:left="567" w:hanging="567"/>
      </w:pPr>
      <w:r w:rsidRPr="00F1031B">
        <w:t xml:space="preserve">Impresora gráficos </w:t>
      </w:r>
    </w:p>
    <w:p w14:paraId="49E35AB3" w14:textId="77777777" w:rsidR="0079428C" w:rsidRPr="00F1031B" w:rsidRDefault="0079428C" w:rsidP="00273FE4">
      <w:pPr>
        <w:pStyle w:val="Prrafodelista"/>
        <w:numPr>
          <w:ilvl w:val="0"/>
          <w:numId w:val="68"/>
        </w:numPr>
        <w:spacing w:after="120"/>
        <w:ind w:left="567" w:hanging="567"/>
      </w:pPr>
      <w:r w:rsidRPr="00F1031B">
        <w:t xml:space="preserve">Switches para red redundante </w:t>
      </w:r>
    </w:p>
    <w:p w14:paraId="321B72E0" w14:textId="77777777" w:rsidR="0079428C" w:rsidRPr="00F1031B" w:rsidRDefault="0079428C" w:rsidP="00273FE4">
      <w:pPr>
        <w:pStyle w:val="Prrafodelista"/>
        <w:numPr>
          <w:ilvl w:val="0"/>
          <w:numId w:val="68"/>
        </w:numPr>
        <w:spacing w:after="120"/>
        <w:ind w:left="567" w:hanging="567"/>
      </w:pPr>
      <w:r w:rsidRPr="00F1031B">
        <w:lastRenderedPageBreak/>
        <w:t xml:space="preserve">GPS </w:t>
      </w:r>
    </w:p>
    <w:p w14:paraId="6212B9CA" w14:textId="77777777" w:rsidR="0079428C" w:rsidRPr="00F1031B" w:rsidRDefault="0079428C" w:rsidP="00273FE4">
      <w:pPr>
        <w:pStyle w:val="Prrafodelista"/>
        <w:numPr>
          <w:ilvl w:val="0"/>
          <w:numId w:val="68"/>
        </w:numPr>
        <w:ind w:left="567" w:hanging="567"/>
      </w:pPr>
      <w:r w:rsidRPr="00F1031B">
        <w:t xml:space="preserve">Pantalla LCD </w:t>
      </w:r>
    </w:p>
    <w:p w14:paraId="036E5FFD" w14:textId="77777777" w:rsidR="0079428C" w:rsidRPr="00B06D23" w:rsidRDefault="0079428C" w:rsidP="0079428C">
      <w:pPr>
        <w:rPr>
          <w:lang w:val="es-ES"/>
        </w:rPr>
      </w:pPr>
      <w:r w:rsidRPr="00B06D23">
        <w:rPr>
          <w:lang w:val="es-ES"/>
        </w:rPr>
        <w:t>En el dimensionamiento del software y hardware del sistema SCADA se tuvieron en cuenta la cantidad de equipos que ser objeto de telecontrol, utilizando los vínculos de comunicación existentes entre las subestaciones y el centro de control.</w:t>
      </w:r>
    </w:p>
    <w:p w14:paraId="3C652C13" w14:textId="784AF2A9" w:rsidR="0079428C" w:rsidRDefault="0079428C" w:rsidP="0079428C">
      <w:pPr>
        <w:rPr>
          <w:lang w:val="es-ES"/>
        </w:rPr>
      </w:pPr>
      <w:r w:rsidRPr="00B06D23">
        <w:rPr>
          <w:lang w:val="es-ES"/>
        </w:rPr>
        <w:t xml:space="preserve">En el </w:t>
      </w:r>
      <w:r w:rsidR="00B82EE2">
        <w:rPr>
          <w:lang w:val="es-ES"/>
        </w:rPr>
        <w:t>“</w:t>
      </w:r>
      <w:r w:rsidRPr="00B06D23">
        <w:rPr>
          <w:lang w:val="es-ES"/>
        </w:rPr>
        <w:t xml:space="preserve">Anexo </w:t>
      </w:r>
      <w:r w:rsidR="00B82EE2">
        <w:rPr>
          <w:lang w:val="es-ES"/>
        </w:rPr>
        <w:t>COMA</w:t>
      </w:r>
      <w:r w:rsidRPr="00B06D23">
        <w:rPr>
          <w:lang w:val="es-ES"/>
        </w:rPr>
        <w:t>_3 Modelo/Datos/ Equipamiento SCADA</w:t>
      </w:r>
      <w:r w:rsidR="00B82EE2">
        <w:rPr>
          <w:lang w:val="es-ES"/>
        </w:rPr>
        <w:t>”</w:t>
      </w:r>
      <w:r w:rsidRPr="00B06D23">
        <w:rPr>
          <w:lang w:val="es-ES"/>
        </w:rPr>
        <w:t xml:space="preserve"> se encuentra detallado las especificaciones técnicas del SCADA para la empresa de transmisión </w:t>
      </w:r>
      <w:r w:rsidR="002C5E44">
        <w:rPr>
          <w:lang w:val="es-ES"/>
        </w:rPr>
        <w:t>nacion</w:t>
      </w:r>
      <w:r w:rsidRPr="00B06D23">
        <w:rPr>
          <w:lang w:val="es-ES"/>
        </w:rPr>
        <w:t>al, y los antecedentes y soporte de los costos unitarios utilizados.</w:t>
      </w:r>
    </w:p>
    <w:p w14:paraId="1058B377" w14:textId="77777777" w:rsidR="0079428C" w:rsidRPr="00FD055F" w:rsidRDefault="0079428C" w:rsidP="0079428C">
      <w:pPr>
        <w:pStyle w:val="Ttulo4"/>
      </w:pPr>
      <w:bookmarkStart w:id="388" w:name="_Toc32390206"/>
      <w:bookmarkStart w:id="389" w:name="_Toc34398152"/>
      <w:bookmarkStart w:id="390" w:name="_Toc39797842"/>
      <w:r w:rsidRPr="00FD055F">
        <w:t>Vehículos</w:t>
      </w:r>
      <w:bookmarkEnd w:id="388"/>
      <w:bookmarkEnd w:id="389"/>
      <w:bookmarkEnd w:id="390"/>
    </w:p>
    <w:p w14:paraId="35E9988C" w14:textId="77777777" w:rsidR="0079428C" w:rsidRPr="00B06D23" w:rsidRDefault="0079428C" w:rsidP="0079428C">
      <w:pPr>
        <w:rPr>
          <w:lang w:val="es-ES"/>
        </w:rPr>
      </w:pPr>
      <w:r w:rsidRPr="00B06D23">
        <w:rPr>
          <w:lang w:val="es-ES"/>
        </w:rPr>
        <w:t>La empresa de transmisión necesita un conjunto de vehículos, tanto para transporte como para labores específicas de operación y mantenimiento por parte de las cuadrillas sean estas propias o tercerizadas y para las tareas de supervisión y control de las mismas.</w:t>
      </w:r>
    </w:p>
    <w:p w14:paraId="5D8E152A" w14:textId="77777777" w:rsidR="0079428C" w:rsidRPr="00B06D23" w:rsidRDefault="0079428C" w:rsidP="0079428C">
      <w:pPr>
        <w:rPr>
          <w:lang w:val="es-ES"/>
        </w:rPr>
      </w:pPr>
      <w:r w:rsidRPr="00B06D23">
        <w:rPr>
          <w:lang w:val="es-ES"/>
        </w:rPr>
        <w:t>Este ítem comprende para las cuadrillas los siguientes tipos de vehículos:</w:t>
      </w:r>
    </w:p>
    <w:p w14:paraId="2ECED216" w14:textId="77777777" w:rsidR="0079428C" w:rsidRPr="00F1031B" w:rsidRDefault="0079428C" w:rsidP="00273FE4">
      <w:pPr>
        <w:pStyle w:val="Prrafodelista"/>
        <w:numPr>
          <w:ilvl w:val="0"/>
          <w:numId w:val="68"/>
        </w:numPr>
        <w:spacing w:after="120"/>
        <w:ind w:left="567" w:hanging="567"/>
      </w:pPr>
      <w:r w:rsidRPr="00F1031B">
        <w:t>Camioneta Doble Cabina: Necesaria para traslado del personal en caminos no urbanos con tracción 4*4 para el acceso a las torres de alta tensión.</w:t>
      </w:r>
    </w:p>
    <w:p w14:paraId="4F5E6A10" w14:textId="77777777" w:rsidR="0079428C" w:rsidRPr="00F1031B" w:rsidRDefault="0079428C" w:rsidP="00273FE4">
      <w:pPr>
        <w:pStyle w:val="Prrafodelista"/>
        <w:numPr>
          <w:ilvl w:val="0"/>
          <w:numId w:val="68"/>
        </w:numPr>
        <w:spacing w:after="120"/>
        <w:ind w:left="567" w:hanging="567"/>
      </w:pPr>
      <w:r w:rsidRPr="00F1031B">
        <w:t>Camión: Vehículo necesario para el traslado de materiales a utilizar en faenas de mantenimiento y/o construcción hacia las distintas instalaciones.</w:t>
      </w:r>
    </w:p>
    <w:p w14:paraId="7417BA02" w14:textId="77777777" w:rsidR="0079428C" w:rsidRPr="00F1031B" w:rsidRDefault="0079428C" w:rsidP="00273FE4">
      <w:pPr>
        <w:pStyle w:val="Prrafodelista"/>
        <w:numPr>
          <w:ilvl w:val="0"/>
          <w:numId w:val="68"/>
        </w:numPr>
        <w:spacing w:after="120"/>
        <w:ind w:left="567" w:hanging="567"/>
      </w:pPr>
      <w:r w:rsidRPr="00F1031B">
        <w:t>Camión para lavado de aislación: Vehículo con tracción 4*4, estanque almacenamiento agua desmineralizada y unidad de lavado para el acceso a las torres de alta tensión por mantenimiento en faenas de lavado de Aislación.</w:t>
      </w:r>
    </w:p>
    <w:p w14:paraId="4D47C288" w14:textId="77777777" w:rsidR="0079428C" w:rsidRPr="00F1031B" w:rsidRDefault="0079428C" w:rsidP="00273FE4">
      <w:pPr>
        <w:pStyle w:val="Prrafodelista"/>
        <w:numPr>
          <w:ilvl w:val="0"/>
          <w:numId w:val="68"/>
        </w:numPr>
        <w:spacing w:after="120"/>
        <w:ind w:left="567" w:hanging="567"/>
      </w:pPr>
      <w:r w:rsidRPr="00F1031B">
        <w:t>Camión aljibe para lavado de aisladores en subestaciones donde no se puede utilizar otro tipo de camión por razones de distancia de seguridad o en líneas donde no se pueda acceder.</w:t>
      </w:r>
    </w:p>
    <w:p w14:paraId="54FEB325" w14:textId="77777777" w:rsidR="0079428C" w:rsidRPr="00F1031B" w:rsidRDefault="0079428C" w:rsidP="00273FE4">
      <w:pPr>
        <w:pStyle w:val="Prrafodelista"/>
        <w:numPr>
          <w:ilvl w:val="0"/>
          <w:numId w:val="68"/>
        </w:numPr>
        <w:spacing w:after="120"/>
        <w:ind w:left="567" w:hanging="567"/>
      </w:pPr>
      <w:r w:rsidRPr="00F1031B">
        <w:t>Camión Canasta: Vehículo necesario para realizar mantenimiento por trabajos en altura (con tensión) en instalaciones de líneas de alta Tensión y subestaciones.</w:t>
      </w:r>
    </w:p>
    <w:p w14:paraId="4A2B872E" w14:textId="77777777" w:rsidR="0079428C" w:rsidRPr="00F1031B" w:rsidRDefault="0079428C" w:rsidP="00273FE4">
      <w:pPr>
        <w:pStyle w:val="Prrafodelista"/>
        <w:numPr>
          <w:ilvl w:val="0"/>
          <w:numId w:val="68"/>
        </w:numPr>
        <w:spacing w:after="120"/>
        <w:ind w:left="567" w:hanging="567"/>
      </w:pPr>
      <w:r w:rsidRPr="00F1031B">
        <w:t>Camión con grúa: Vehículo necesario para el traslado e izaje de material a utilizar en faenas de mantenimiento de líneas de alta tensión.</w:t>
      </w:r>
    </w:p>
    <w:p w14:paraId="02EDC967" w14:textId="77777777" w:rsidR="0079428C" w:rsidRPr="00F1031B" w:rsidRDefault="0079428C" w:rsidP="00273FE4">
      <w:pPr>
        <w:pStyle w:val="Prrafodelista"/>
        <w:numPr>
          <w:ilvl w:val="0"/>
          <w:numId w:val="68"/>
        </w:numPr>
        <w:spacing w:after="120"/>
        <w:ind w:left="567" w:hanging="567"/>
      </w:pPr>
      <w:r w:rsidRPr="00F1031B">
        <w:t>Bulldozeer: Maquinaria pesada necesaria para la habilitación y mantenimiento de los caminos para el acceso a las líneas de alta tensión.</w:t>
      </w:r>
    </w:p>
    <w:p w14:paraId="77543826" w14:textId="77777777" w:rsidR="0079428C" w:rsidRPr="00F1031B" w:rsidRDefault="0079428C" w:rsidP="00273FE4">
      <w:pPr>
        <w:pStyle w:val="Prrafodelista"/>
        <w:numPr>
          <w:ilvl w:val="0"/>
          <w:numId w:val="68"/>
        </w:numPr>
        <w:ind w:left="567" w:hanging="567"/>
        <w:rPr>
          <w:bCs/>
          <w:iCs/>
        </w:rPr>
      </w:pPr>
      <w:r w:rsidRPr="00F1031B">
        <w:rPr>
          <w:bCs/>
          <w:iCs/>
        </w:rPr>
        <w:t>Automóvil: vehículo liviano para el desplazamiento del personal gerencial.</w:t>
      </w:r>
    </w:p>
    <w:p w14:paraId="74FB11CD" w14:textId="2A58FC55" w:rsidR="0079428C" w:rsidRPr="000312CE" w:rsidRDefault="0079428C" w:rsidP="0079428C">
      <w:pPr>
        <w:rPr>
          <w:lang w:val="es-ES"/>
        </w:rPr>
      </w:pPr>
      <w:r w:rsidRPr="000312CE">
        <w:rPr>
          <w:lang w:val="es-ES"/>
        </w:rPr>
        <w:lastRenderedPageBreak/>
        <w:t>Para determinar los costos unitarios se realizó un análisis de conveniencia compra vs arriendo. Para ello se compar</w:t>
      </w:r>
      <w:r w:rsidR="00D409FA" w:rsidRPr="000312CE">
        <w:rPr>
          <w:lang w:val="es-ES"/>
        </w:rPr>
        <w:t>ar</w:t>
      </w:r>
      <w:r w:rsidRPr="000312CE">
        <w:rPr>
          <w:lang w:val="es-ES"/>
        </w:rPr>
        <w:t>on los costos de adquisición de un vehículo propio que incluye la anualidad del valor de compra basado en los costos de mercado de los vehículos evaluados y los gastos del propietario vs el costo de arrendamiento del mismo vehículo.</w:t>
      </w:r>
    </w:p>
    <w:p w14:paraId="5EE6C9F3" w14:textId="12A728F6" w:rsidR="0079428C" w:rsidRPr="00B06D23" w:rsidRDefault="0079428C" w:rsidP="0079428C">
      <w:pPr>
        <w:rPr>
          <w:lang w:val="es-ES"/>
        </w:rPr>
      </w:pPr>
      <w:r w:rsidRPr="000312CE">
        <w:rPr>
          <w:lang w:val="es-ES"/>
        </w:rPr>
        <w:t xml:space="preserve">Para </w:t>
      </w:r>
      <w:r w:rsidR="00D409FA" w:rsidRPr="000312CE">
        <w:rPr>
          <w:lang w:val="es-ES"/>
        </w:rPr>
        <w:t>la comparación se han considerado</w:t>
      </w:r>
      <w:r w:rsidRPr="000312CE">
        <w:rPr>
          <w:lang w:val="es-ES"/>
        </w:rPr>
        <w:t xml:space="preserve"> los siguientes gastos del propietario del vehículo en caso de tener su </w:t>
      </w:r>
      <w:r w:rsidR="00D409FA" w:rsidRPr="000312CE">
        <w:rPr>
          <w:lang w:val="es-ES"/>
        </w:rPr>
        <w:t>propia</w:t>
      </w:r>
      <w:r w:rsidRPr="000312CE">
        <w:rPr>
          <w:lang w:val="es-ES"/>
        </w:rPr>
        <w:t xml:space="preserve"> flota:</w:t>
      </w:r>
    </w:p>
    <w:p w14:paraId="56DE5F72" w14:textId="77777777" w:rsidR="0079428C" w:rsidRPr="00B06D23" w:rsidRDefault="0079428C" w:rsidP="00B82EE2">
      <w:pPr>
        <w:pStyle w:val="Prrafodelista"/>
        <w:rPr>
          <w:lang w:val="es-ES"/>
        </w:rPr>
      </w:pPr>
      <w:r w:rsidRPr="00B06D23">
        <w:rPr>
          <w:lang w:val="es-ES"/>
        </w:rPr>
        <w:t>Costo de Seguros: los seguros de los vehículos se determinan en base al valor nuevo de reemplazo del mismo vehículo, considerando un seguro contra todo riesgo.</w:t>
      </w:r>
    </w:p>
    <w:p w14:paraId="2C006F08" w14:textId="77777777" w:rsidR="0079428C" w:rsidRPr="00B06D23" w:rsidRDefault="0079428C" w:rsidP="00B82EE2">
      <w:pPr>
        <w:pStyle w:val="Prrafodelista"/>
        <w:rPr>
          <w:lang w:val="es-ES"/>
        </w:rPr>
      </w:pPr>
      <w:r w:rsidRPr="00B06D23">
        <w:rPr>
          <w:lang w:val="es-ES"/>
        </w:rPr>
        <w:t>Costo de revisión técnica y permiso de Circulación: estos costos fueron relevados según la normativa vigente.</w:t>
      </w:r>
    </w:p>
    <w:p w14:paraId="27B05ED9" w14:textId="77777777" w:rsidR="0079428C" w:rsidRPr="00B06D23" w:rsidRDefault="0079428C" w:rsidP="00B82EE2">
      <w:pPr>
        <w:pStyle w:val="Prrafodelista"/>
        <w:rPr>
          <w:lang w:val="es-ES"/>
        </w:rPr>
      </w:pPr>
      <w:r w:rsidRPr="00B06D23">
        <w:rPr>
          <w:lang w:val="es-ES"/>
        </w:rPr>
        <w:t>Costos de Repuestos y Mantención: actualmente los vehículos tienen asociado desde fábrica una planificación de mantenimiento, que se indica al comprador y usuario. Estos programas indican la periodicidad de las revisiones y mantenciones, y tienen asociados un costo. Se determinó un costo medio de mantenimiento anual de los vehículos en base a la propia experiencia del consultor.</w:t>
      </w:r>
    </w:p>
    <w:p w14:paraId="3433759D" w14:textId="77777777" w:rsidR="0079428C" w:rsidRPr="00B06D23" w:rsidRDefault="0079428C" w:rsidP="00B82EE2">
      <w:pPr>
        <w:pStyle w:val="Prrafodelista"/>
        <w:rPr>
          <w:lang w:val="es-ES"/>
        </w:rPr>
      </w:pPr>
      <w:r w:rsidRPr="00B06D23">
        <w:rPr>
          <w:lang w:val="es-ES"/>
        </w:rPr>
        <w:t xml:space="preserve">Costos de vehículo de reemplazo: la flota de vehículos propia requiere cada cierto periodo de tiempo pasar al taller para mantenimiento preventivo y en ciertas ocasiones para mantenimiento correctivo por lo que se requiere tener un vehículo sustituto. </w:t>
      </w:r>
    </w:p>
    <w:p w14:paraId="3533C627" w14:textId="2D916B42" w:rsidR="0079428C" w:rsidRPr="00B06D23" w:rsidRDefault="0079428C" w:rsidP="00B82EE2">
      <w:pPr>
        <w:pStyle w:val="Prrafodelista"/>
        <w:rPr>
          <w:lang w:val="es-ES"/>
        </w:rPr>
      </w:pPr>
      <w:r w:rsidRPr="00B06D23">
        <w:rPr>
          <w:lang w:val="es-ES"/>
        </w:rPr>
        <w:t xml:space="preserve">Costo de administración del parque de vehículos: en caso de tener una flota propia de vehículos se requiere una fiscalización y control lo que requiere costos administrativos adicionales para </w:t>
      </w:r>
      <w:r w:rsidR="00C34553">
        <w:rPr>
          <w:lang w:val="es-ES"/>
        </w:rPr>
        <w:t>g</w:t>
      </w:r>
      <w:r w:rsidRPr="00B06D23">
        <w:rPr>
          <w:lang w:val="es-ES"/>
        </w:rPr>
        <w:t xml:space="preserve">estión del parque de </w:t>
      </w:r>
      <w:r w:rsidR="00D409FA" w:rsidRPr="00B06D23">
        <w:rPr>
          <w:lang w:val="es-ES"/>
        </w:rPr>
        <w:t>vehículos</w:t>
      </w:r>
      <w:r w:rsidRPr="00B06D23">
        <w:rPr>
          <w:lang w:val="es-ES"/>
        </w:rPr>
        <w:t>, gestión de talleres externos, reclamaciones administrativas de multas, gestión de revisión técnica, seguros, permisos, gestión de venta al fin de la vida útil y seguridad del vehículo.</w:t>
      </w:r>
    </w:p>
    <w:p w14:paraId="1E458FE6" w14:textId="5DC664C0" w:rsidR="0079428C" w:rsidRDefault="0079428C" w:rsidP="0079428C">
      <w:pPr>
        <w:rPr>
          <w:lang w:val="es-ES"/>
        </w:rPr>
      </w:pPr>
      <w:r w:rsidRPr="00B06D23">
        <w:rPr>
          <w:lang w:val="es-ES"/>
        </w:rPr>
        <w:t>Como resultado de la comparación surge el siguiente cuadro:</w:t>
      </w:r>
    </w:p>
    <w:p w14:paraId="33E5405B" w14:textId="20C89378" w:rsidR="00B82EE2" w:rsidRPr="00B06D23" w:rsidRDefault="00B82EE2" w:rsidP="00B82EE2">
      <w:pPr>
        <w:pStyle w:val="Subttulo"/>
        <w:rPr>
          <w:bCs/>
          <w:lang w:val="es-ES"/>
        </w:rPr>
      </w:pPr>
      <w:bookmarkStart w:id="391" w:name="_Toc39797948"/>
      <w:r w:rsidRPr="00BC38C2">
        <w:t xml:space="preserve">Tabla </w:t>
      </w:r>
      <w:fldSimple w:instr=" SEQ Tabla \* ARABIC ">
        <w:r w:rsidR="001F3E2E">
          <w:rPr>
            <w:noProof/>
          </w:rPr>
          <w:t>38</w:t>
        </w:r>
      </w:fldSimple>
      <w:r w:rsidR="00CA697A">
        <w:t xml:space="preserve">: </w:t>
      </w:r>
      <w:r>
        <w:t>Análisis compra vs renta vehículos</w:t>
      </w:r>
      <w:bookmarkEnd w:id="391"/>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ayout w:type="fixed"/>
        <w:tblCellMar>
          <w:left w:w="57" w:type="dxa"/>
          <w:right w:w="57" w:type="dxa"/>
        </w:tblCellMar>
        <w:tblLook w:val="04A0" w:firstRow="1" w:lastRow="0" w:firstColumn="1" w:lastColumn="0" w:noHBand="0" w:noVBand="1"/>
      </w:tblPr>
      <w:tblGrid>
        <w:gridCol w:w="1985"/>
        <w:gridCol w:w="1985"/>
        <w:gridCol w:w="1418"/>
        <w:gridCol w:w="1418"/>
        <w:gridCol w:w="1418"/>
        <w:gridCol w:w="1418"/>
      </w:tblGrid>
      <w:tr w:rsidR="00B82EE2" w:rsidRPr="00173470" w14:paraId="28213FB7" w14:textId="77777777" w:rsidTr="00F1031B">
        <w:trPr>
          <w:tblHeader/>
          <w:jc w:val="center"/>
        </w:trPr>
        <w:tc>
          <w:tcPr>
            <w:tcW w:w="1985" w:type="dxa"/>
            <w:shd w:val="clear" w:color="auto" w:fill="D9D9D9" w:themeFill="background1" w:themeFillShade="D9"/>
            <w:noWrap/>
            <w:vAlign w:val="center"/>
            <w:hideMark/>
          </w:tcPr>
          <w:p w14:paraId="6DAE3A33" w14:textId="77777777" w:rsidR="0079428C" w:rsidRPr="00173470" w:rsidRDefault="0079428C" w:rsidP="00F1031B">
            <w:pPr>
              <w:spacing w:before="40" w:after="40" w:line="240" w:lineRule="auto"/>
              <w:jc w:val="center"/>
              <w:rPr>
                <w:rFonts w:asciiTheme="minorHAnsi" w:eastAsia="Times New Roman" w:hAnsiTheme="minorHAnsi" w:cstheme="minorHAnsi"/>
                <w:b/>
                <w:sz w:val="20"/>
                <w:szCs w:val="20"/>
                <w:lang w:val="es-ES" w:eastAsia="es-AR"/>
              </w:rPr>
            </w:pPr>
            <w:r w:rsidRPr="00173470">
              <w:rPr>
                <w:rFonts w:asciiTheme="minorHAnsi" w:eastAsia="Times New Roman" w:hAnsiTheme="minorHAnsi" w:cstheme="minorHAnsi"/>
                <w:b/>
                <w:sz w:val="20"/>
                <w:szCs w:val="20"/>
                <w:lang w:val="es-ES" w:eastAsia="es-AR"/>
              </w:rPr>
              <w:t>Vehículo</w:t>
            </w:r>
          </w:p>
        </w:tc>
        <w:tc>
          <w:tcPr>
            <w:tcW w:w="1985" w:type="dxa"/>
            <w:shd w:val="clear" w:color="auto" w:fill="D9D9D9" w:themeFill="background1" w:themeFillShade="D9"/>
            <w:noWrap/>
            <w:vAlign w:val="center"/>
            <w:hideMark/>
          </w:tcPr>
          <w:p w14:paraId="4FFBB9F3" w14:textId="3D8E7168" w:rsidR="0079428C" w:rsidRPr="00173470" w:rsidRDefault="0079428C" w:rsidP="00F1031B">
            <w:pPr>
              <w:spacing w:before="40" w:after="40" w:line="240" w:lineRule="auto"/>
              <w:jc w:val="center"/>
              <w:rPr>
                <w:rFonts w:asciiTheme="minorHAnsi" w:eastAsia="Times New Roman" w:hAnsiTheme="minorHAnsi" w:cstheme="minorHAnsi"/>
                <w:b/>
                <w:bCs/>
                <w:sz w:val="20"/>
                <w:szCs w:val="20"/>
                <w:lang w:val="es-ES" w:eastAsia="es-AR"/>
              </w:rPr>
            </w:pPr>
            <w:r w:rsidRPr="00173470">
              <w:rPr>
                <w:rFonts w:asciiTheme="minorHAnsi" w:eastAsia="Times New Roman" w:hAnsiTheme="minorHAnsi" w:cstheme="minorHAnsi"/>
                <w:b/>
                <w:bCs/>
                <w:sz w:val="20"/>
                <w:szCs w:val="20"/>
                <w:lang w:val="es-ES" w:eastAsia="es-AR"/>
              </w:rPr>
              <w:t xml:space="preserve">Análisis conveniencia </w:t>
            </w:r>
            <w:r w:rsidR="00D409FA" w:rsidRPr="00173470">
              <w:rPr>
                <w:rFonts w:asciiTheme="minorHAnsi" w:eastAsia="Times New Roman" w:hAnsiTheme="minorHAnsi" w:cstheme="minorHAnsi"/>
                <w:b/>
                <w:bCs/>
                <w:sz w:val="20"/>
                <w:szCs w:val="20"/>
                <w:lang w:val="es-ES" w:eastAsia="es-AR"/>
              </w:rPr>
              <w:t>Vehículos</w:t>
            </w:r>
          </w:p>
        </w:tc>
        <w:tc>
          <w:tcPr>
            <w:tcW w:w="1418" w:type="dxa"/>
            <w:shd w:val="clear" w:color="auto" w:fill="D9D9D9" w:themeFill="background1" w:themeFillShade="D9"/>
            <w:noWrap/>
            <w:vAlign w:val="center"/>
            <w:hideMark/>
          </w:tcPr>
          <w:p w14:paraId="07199033" w14:textId="1270D97D" w:rsidR="0079428C" w:rsidRPr="00173470" w:rsidRDefault="0079428C" w:rsidP="00F1031B">
            <w:pPr>
              <w:spacing w:before="40" w:after="40" w:line="240" w:lineRule="auto"/>
              <w:jc w:val="center"/>
              <w:rPr>
                <w:rFonts w:asciiTheme="minorHAnsi" w:eastAsia="Times New Roman" w:hAnsiTheme="minorHAnsi" w:cstheme="minorHAnsi"/>
                <w:b/>
                <w:bCs/>
                <w:sz w:val="20"/>
                <w:szCs w:val="20"/>
                <w:lang w:val="es-ES" w:eastAsia="es-AR"/>
              </w:rPr>
            </w:pPr>
            <w:r w:rsidRPr="00173470">
              <w:rPr>
                <w:rFonts w:asciiTheme="minorHAnsi" w:hAnsiTheme="minorHAnsi" w:cstheme="minorHAnsi"/>
                <w:b/>
                <w:sz w:val="20"/>
                <w:szCs w:val="20"/>
              </w:rPr>
              <w:t>Costo Total Compra (USD/año)</w:t>
            </w:r>
          </w:p>
        </w:tc>
        <w:tc>
          <w:tcPr>
            <w:tcW w:w="1418" w:type="dxa"/>
            <w:shd w:val="clear" w:color="auto" w:fill="D9D9D9" w:themeFill="background1" w:themeFillShade="D9"/>
            <w:noWrap/>
            <w:vAlign w:val="center"/>
            <w:hideMark/>
          </w:tcPr>
          <w:p w14:paraId="7ABD9DBC" w14:textId="5058BD2C" w:rsidR="0079428C" w:rsidRPr="00173470" w:rsidRDefault="0079428C" w:rsidP="00F1031B">
            <w:pPr>
              <w:spacing w:before="40" w:after="40" w:line="240" w:lineRule="auto"/>
              <w:jc w:val="center"/>
              <w:rPr>
                <w:rFonts w:asciiTheme="minorHAnsi" w:eastAsia="Times New Roman" w:hAnsiTheme="minorHAnsi" w:cstheme="minorHAnsi"/>
                <w:b/>
                <w:bCs/>
                <w:sz w:val="20"/>
                <w:szCs w:val="20"/>
                <w:lang w:val="es-ES" w:eastAsia="es-AR"/>
              </w:rPr>
            </w:pPr>
            <w:r w:rsidRPr="00173470">
              <w:rPr>
                <w:rFonts w:asciiTheme="minorHAnsi" w:hAnsiTheme="minorHAnsi" w:cstheme="minorHAnsi"/>
                <w:b/>
                <w:sz w:val="20"/>
                <w:szCs w:val="20"/>
              </w:rPr>
              <w:t>Renta (USD/año)</w:t>
            </w:r>
          </w:p>
        </w:tc>
        <w:tc>
          <w:tcPr>
            <w:tcW w:w="1418" w:type="dxa"/>
            <w:shd w:val="clear" w:color="auto" w:fill="D9D9D9" w:themeFill="background1" w:themeFillShade="D9"/>
            <w:vAlign w:val="center"/>
          </w:tcPr>
          <w:p w14:paraId="575931C0" w14:textId="71FE0DE3" w:rsidR="0079428C" w:rsidRPr="00173470" w:rsidRDefault="0079428C" w:rsidP="00173470">
            <w:pPr>
              <w:spacing w:before="40" w:after="40" w:line="240" w:lineRule="auto"/>
              <w:jc w:val="center"/>
              <w:rPr>
                <w:rFonts w:asciiTheme="minorHAnsi" w:eastAsia="Times New Roman" w:hAnsiTheme="minorHAnsi" w:cstheme="minorHAnsi"/>
                <w:b/>
                <w:bCs/>
                <w:sz w:val="20"/>
                <w:szCs w:val="20"/>
                <w:lang w:val="es-ES" w:eastAsia="es-AR"/>
              </w:rPr>
            </w:pPr>
            <w:r w:rsidRPr="00173470">
              <w:rPr>
                <w:rFonts w:asciiTheme="minorHAnsi" w:hAnsiTheme="minorHAnsi" w:cstheme="minorHAnsi"/>
                <w:b/>
                <w:sz w:val="20"/>
                <w:szCs w:val="20"/>
                <w:lang w:val="es-ES"/>
              </w:rPr>
              <w:t>Dif Renta/cpra</w:t>
            </w:r>
          </w:p>
        </w:tc>
        <w:tc>
          <w:tcPr>
            <w:tcW w:w="1418" w:type="dxa"/>
            <w:shd w:val="clear" w:color="auto" w:fill="D9D9D9" w:themeFill="background1" w:themeFillShade="D9"/>
            <w:vAlign w:val="center"/>
          </w:tcPr>
          <w:p w14:paraId="13D687B7" w14:textId="77777777" w:rsidR="0079428C" w:rsidRPr="00173470" w:rsidRDefault="0079428C" w:rsidP="00F1031B">
            <w:pPr>
              <w:spacing w:before="40" w:after="40" w:line="240" w:lineRule="auto"/>
              <w:jc w:val="center"/>
              <w:rPr>
                <w:rFonts w:asciiTheme="minorHAnsi" w:hAnsiTheme="minorHAnsi" w:cstheme="minorHAnsi"/>
                <w:b/>
                <w:sz w:val="20"/>
                <w:szCs w:val="20"/>
                <w:lang w:val="es-ES"/>
              </w:rPr>
            </w:pPr>
            <w:r w:rsidRPr="00173470">
              <w:rPr>
                <w:rFonts w:asciiTheme="minorHAnsi" w:hAnsiTheme="minorHAnsi" w:cstheme="minorHAnsi"/>
                <w:b/>
                <w:sz w:val="20"/>
                <w:szCs w:val="20"/>
                <w:lang w:val="es-ES"/>
              </w:rPr>
              <w:t>Valor Adoptado</w:t>
            </w:r>
          </w:p>
        </w:tc>
      </w:tr>
      <w:tr w:rsidR="00B82EE2" w:rsidRPr="00173470" w14:paraId="41F3244C" w14:textId="77777777" w:rsidTr="00F1031B">
        <w:trPr>
          <w:jc w:val="center"/>
        </w:trPr>
        <w:tc>
          <w:tcPr>
            <w:tcW w:w="1985" w:type="dxa"/>
            <w:shd w:val="clear" w:color="auto" w:fill="FFFFFF" w:themeFill="background1"/>
            <w:noWrap/>
            <w:vAlign w:val="center"/>
            <w:hideMark/>
          </w:tcPr>
          <w:p w14:paraId="1E9606DB" w14:textId="77777777" w:rsidR="0079428C" w:rsidRPr="00173470" w:rsidRDefault="0079428C" w:rsidP="00F1031B">
            <w:pPr>
              <w:spacing w:before="40" w:after="40" w:line="240" w:lineRule="auto"/>
              <w:jc w:val="left"/>
              <w:rPr>
                <w:rFonts w:asciiTheme="minorHAnsi" w:eastAsia="Times New Roman" w:hAnsiTheme="minorHAnsi" w:cstheme="minorHAnsi"/>
                <w:sz w:val="20"/>
                <w:szCs w:val="20"/>
                <w:lang w:val="es-ES" w:eastAsia="es-AR"/>
              </w:rPr>
            </w:pPr>
            <w:r w:rsidRPr="00173470">
              <w:rPr>
                <w:rFonts w:asciiTheme="minorHAnsi" w:eastAsia="Times New Roman" w:hAnsiTheme="minorHAnsi" w:cstheme="minorHAnsi"/>
                <w:sz w:val="20"/>
                <w:szCs w:val="20"/>
                <w:lang w:val="es-ES" w:eastAsia="es-AR"/>
              </w:rPr>
              <w:t>Camioneta doble cabina 4x4</w:t>
            </w:r>
          </w:p>
        </w:tc>
        <w:tc>
          <w:tcPr>
            <w:tcW w:w="1985" w:type="dxa"/>
            <w:shd w:val="clear" w:color="auto" w:fill="FFFFFF" w:themeFill="background1"/>
            <w:noWrap/>
            <w:vAlign w:val="center"/>
            <w:hideMark/>
          </w:tcPr>
          <w:p w14:paraId="7C91BBF3" w14:textId="77777777" w:rsidR="0079428C" w:rsidRPr="00173470" w:rsidRDefault="0079428C" w:rsidP="00F1031B">
            <w:pPr>
              <w:spacing w:before="40" w:after="40" w:line="240" w:lineRule="auto"/>
              <w:jc w:val="left"/>
              <w:rPr>
                <w:rFonts w:asciiTheme="minorHAnsi" w:eastAsia="Times New Roman" w:hAnsiTheme="minorHAnsi" w:cstheme="minorHAnsi"/>
                <w:sz w:val="20"/>
                <w:szCs w:val="20"/>
                <w:lang w:val="es-ES" w:eastAsia="es-AR"/>
              </w:rPr>
            </w:pPr>
            <w:r w:rsidRPr="00173470">
              <w:rPr>
                <w:rFonts w:asciiTheme="minorHAnsi" w:eastAsia="Times New Roman" w:hAnsiTheme="minorHAnsi" w:cstheme="minorHAnsi"/>
                <w:sz w:val="20"/>
                <w:szCs w:val="20"/>
                <w:lang w:val="es-ES" w:eastAsia="es-AR"/>
              </w:rPr>
              <w:t>Camioneta doble cabina 4x4</w:t>
            </w:r>
          </w:p>
        </w:tc>
        <w:tc>
          <w:tcPr>
            <w:tcW w:w="1418" w:type="dxa"/>
            <w:shd w:val="clear" w:color="auto" w:fill="FFFFFF" w:themeFill="background1"/>
            <w:noWrap/>
            <w:vAlign w:val="center"/>
            <w:hideMark/>
          </w:tcPr>
          <w:p w14:paraId="7DE4428C" w14:textId="530ED2D2" w:rsidR="0079428C" w:rsidRPr="00173470" w:rsidRDefault="0079428C" w:rsidP="00F1031B">
            <w:pPr>
              <w:spacing w:before="40" w:after="40" w:line="240" w:lineRule="auto"/>
              <w:jc w:val="right"/>
              <w:rPr>
                <w:rFonts w:asciiTheme="minorHAnsi" w:eastAsia="Times New Roman" w:hAnsiTheme="minorHAnsi" w:cstheme="minorHAnsi"/>
                <w:sz w:val="20"/>
                <w:szCs w:val="20"/>
                <w:lang w:val="es-ES" w:eastAsia="es-AR"/>
              </w:rPr>
            </w:pPr>
            <w:r w:rsidRPr="00173470">
              <w:rPr>
                <w:rFonts w:asciiTheme="minorHAnsi" w:hAnsiTheme="minorHAnsi" w:cstheme="minorHAnsi"/>
                <w:sz w:val="20"/>
                <w:szCs w:val="20"/>
              </w:rPr>
              <w:t>14.819,5</w:t>
            </w:r>
          </w:p>
        </w:tc>
        <w:tc>
          <w:tcPr>
            <w:tcW w:w="1418" w:type="dxa"/>
            <w:shd w:val="clear" w:color="auto" w:fill="FFFFFF" w:themeFill="background1"/>
            <w:noWrap/>
            <w:vAlign w:val="center"/>
            <w:hideMark/>
          </w:tcPr>
          <w:p w14:paraId="38D9FD01" w14:textId="66CD4F96" w:rsidR="0079428C" w:rsidRPr="00173470" w:rsidRDefault="0079428C" w:rsidP="00F1031B">
            <w:pPr>
              <w:spacing w:before="40" w:after="40" w:line="240" w:lineRule="auto"/>
              <w:jc w:val="right"/>
              <w:rPr>
                <w:rFonts w:asciiTheme="minorHAnsi" w:eastAsia="Times New Roman" w:hAnsiTheme="minorHAnsi" w:cstheme="minorHAnsi"/>
                <w:sz w:val="20"/>
                <w:szCs w:val="20"/>
                <w:lang w:val="es-ES" w:eastAsia="es-AR"/>
              </w:rPr>
            </w:pPr>
            <w:r w:rsidRPr="00173470">
              <w:rPr>
                <w:rFonts w:asciiTheme="minorHAnsi" w:hAnsiTheme="minorHAnsi" w:cstheme="minorHAnsi"/>
                <w:sz w:val="20"/>
                <w:szCs w:val="20"/>
              </w:rPr>
              <w:t>11.069,5</w:t>
            </w:r>
          </w:p>
        </w:tc>
        <w:tc>
          <w:tcPr>
            <w:tcW w:w="1418" w:type="dxa"/>
            <w:shd w:val="clear" w:color="auto" w:fill="FFFFFF" w:themeFill="background1"/>
            <w:vAlign w:val="center"/>
          </w:tcPr>
          <w:p w14:paraId="1DCBEADA" w14:textId="77777777" w:rsidR="0079428C" w:rsidRPr="00173470" w:rsidRDefault="0079428C" w:rsidP="00173470">
            <w:pPr>
              <w:spacing w:before="40" w:after="40" w:line="240" w:lineRule="auto"/>
              <w:jc w:val="center"/>
              <w:rPr>
                <w:rFonts w:asciiTheme="minorHAnsi" w:hAnsiTheme="minorHAnsi" w:cstheme="minorHAnsi"/>
                <w:sz w:val="20"/>
                <w:szCs w:val="20"/>
                <w:lang w:val="es-ES"/>
              </w:rPr>
            </w:pPr>
            <w:r w:rsidRPr="00173470">
              <w:rPr>
                <w:rFonts w:asciiTheme="minorHAnsi" w:hAnsiTheme="minorHAnsi" w:cstheme="minorHAnsi"/>
                <w:sz w:val="20"/>
                <w:szCs w:val="20"/>
              </w:rPr>
              <w:t>-25%</w:t>
            </w:r>
          </w:p>
        </w:tc>
        <w:tc>
          <w:tcPr>
            <w:tcW w:w="1418" w:type="dxa"/>
            <w:shd w:val="clear" w:color="auto" w:fill="FFFFFF" w:themeFill="background1"/>
            <w:vAlign w:val="center"/>
          </w:tcPr>
          <w:p w14:paraId="32FD7EB8" w14:textId="72F28245" w:rsidR="0079428C" w:rsidRPr="00173470" w:rsidRDefault="0079428C" w:rsidP="00F1031B">
            <w:pPr>
              <w:spacing w:before="40" w:after="40" w:line="240" w:lineRule="auto"/>
              <w:jc w:val="right"/>
              <w:rPr>
                <w:rFonts w:asciiTheme="minorHAnsi" w:hAnsiTheme="minorHAnsi" w:cstheme="minorHAnsi"/>
                <w:sz w:val="20"/>
                <w:szCs w:val="20"/>
                <w:lang w:val="es-ES"/>
              </w:rPr>
            </w:pPr>
            <w:r w:rsidRPr="00173470">
              <w:rPr>
                <w:rFonts w:asciiTheme="minorHAnsi" w:hAnsiTheme="minorHAnsi" w:cstheme="minorHAnsi"/>
                <w:sz w:val="20"/>
                <w:szCs w:val="20"/>
              </w:rPr>
              <w:t>11.069,5</w:t>
            </w:r>
          </w:p>
        </w:tc>
      </w:tr>
      <w:tr w:rsidR="00B82EE2" w:rsidRPr="00173470" w14:paraId="624B6544" w14:textId="77777777" w:rsidTr="00F1031B">
        <w:trPr>
          <w:jc w:val="center"/>
        </w:trPr>
        <w:tc>
          <w:tcPr>
            <w:tcW w:w="1985" w:type="dxa"/>
            <w:shd w:val="clear" w:color="auto" w:fill="FFFFFF" w:themeFill="background1"/>
            <w:noWrap/>
            <w:vAlign w:val="center"/>
            <w:hideMark/>
          </w:tcPr>
          <w:p w14:paraId="27C44E14" w14:textId="77777777" w:rsidR="0079428C" w:rsidRPr="00173470" w:rsidRDefault="0079428C" w:rsidP="00F1031B">
            <w:pPr>
              <w:spacing w:before="40" w:after="40" w:line="240" w:lineRule="auto"/>
              <w:jc w:val="left"/>
              <w:rPr>
                <w:rFonts w:asciiTheme="minorHAnsi" w:eastAsia="Times New Roman" w:hAnsiTheme="minorHAnsi" w:cstheme="minorHAnsi"/>
                <w:sz w:val="20"/>
                <w:szCs w:val="20"/>
                <w:lang w:val="es-ES" w:eastAsia="es-AR"/>
              </w:rPr>
            </w:pPr>
            <w:r w:rsidRPr="00173470">
              <w:rPr>
                <w:rFonts w:asciiTheme="minorHAnsi" w:eastAsia="Times New Roman" w:hAnsiTheme="minorHAnsi" w:cstheme="minorHAnsi"/>
                <w:sz w:val="20"/>
                <w:szCs w:val="20"/>
                <w:lang w:val="es-ES" w:eastAsia="es-AR"/>
              </w:rPr>
              <w:t>Camión 6 t</w:t>
            </w:r>
          </w:p>
        </w:tc>
        <w:tc>
          <w:tcPr>
            <w:tcW w:w="1985" w:type="dxa"/>
            <w:shd w:val="clear" w:color="auto" w:fill="FFFFFF" w:themeFill="background1"/>
            <w:noWrap/>
            <w:vAlign w:val="center"/>
            <w:hideMark/>
          </w:tcPr>
          <w:p w14:paraId="30F42045" w14:textId="77777777" w:rsidR="0079428C" w:rsidRPr="00173470" w:rsidRDefault="0079428C" w:rsidP="00F1031B">
            <w:pPr>
              <w:spacing w:before="40" w:after="40" w:line="240" w:lineRule="auto"/>
              <w:jc w:val="left"/>
              <w:rPr>
                <w:rFonts w:asciiTheme="minorHAnsi" w:eastAsia="Times New Roman" w:hAnsiTheme="minorHAnsi" w:cstheme="minorHAnsi"/>
                <w:sz w:val="20"/>
                <w:szCs w:val="20"/>
                <w:lang w:val="es-ES" w:eastAsia="es-AR"/>
              </w:rPr>
            </w:pPr>
            <w:r w:rsidRPr="00173470">
              <w:rPr>
                <w:rFonts w:asciiTheme="minorHAnsi" w:eastAsia="Times New Roman" w:hAnsiTheme="minorHAnsi" w:cstheme="minorHAnsi"/>
                <w:sz w:val="20"/>
                <w:szCs w:val="20"/>
                <w:lang w:val="es-ES" w:eastAsia="es-AR"/>
              </w:rPr>
              <w:t>Camión 6 t</w:t>
            </w:r>
          </w:p>
        </w:tc>
        <w:tc>
          <w:tcPr>
            <w:tcW w:w="1418" w:type="dxa"/>
            <w:shd w:val="clear" w:color="auto" w:fill="FFFFFF" w:themeFill="background1"/>
            <w:noWrap/>
            <w:vAlign w:val="center"/>
            <w:hideMark/>
          </w:tcPr>
          <w:p w14:paraId="2086CA17" w14:textId="2FE3EC93" w:rsidR="0079428C" w:rsidRPr="00173470" w:rsidRDefault="0079428C" w:rsidP="00F1031B">
            <w:pPr>
              <w:spacing w:before="40" w:after="40" w:line="240" w:lineRule="auto"/>
              <w:jc w:val="right"/>
              <w:rPr>
                <w:rFonts w:asciiTheme="minorHAnsi" w:eastAsia="Times New Roman" w:hAnsiTheme="minorHAnsi" w:cstheme="minorHAnsi"/>
                <w:sz w:val="20"/>
                <w:szCs w:val="20"/>
                <w:lang w:val="es-ES" w:eastAsia="es-AR"/>
              </w:rPr>
            </w:pPr>
            <w:r w:rsidRPr="00173470">
              <w:rPr>
                <w:rFonts w:asciiTheme="minorHAnsi" w:hAnsiTheme="minorHAnsi" w:cstheme="minorHAnsi"/>
                <w:sz w:val="20"/>
                <w:szCs w:val="20"/>
              </w:rPr>
              <w:t>28.886,3</w:t>
            </w:r>
          </w:p>
        </w:tc>
        <w:tc>
          <w:tcPr>
            <w:tcW w:w="1418" w:type="dxa"/>
            <w:shd w:val="clear" w:color="auto" w:fill="FFFFFF" w:themeFill="background1"/>
            <w:noWrap/>
            <w:vAlign w:val="center"/>
            <w:hideMark/>
          </w:tcPr>
          <w:p w14:paraId="6E0391B8" w14:textId="17C84028" w:rsidR="0079428C" w:rsidRPr="00173470" w:rsidRDefault="0079428C" w:rsidP="00F1031B">
            <w:pPr>
              <w:spacing w:before="40" w:after="40" w:line="240" w:lineRule="auto"/>
              <w:jc w:val="right"/>
              <w:rPr>
                <w:rFonts w:asciiTheme="minorHAnsi" w:eastAsia="Times New Roman" w:hAnsiTheme="minorHAnsi" w:cstheme="minorHAnsi"/>
                <w:sz w:val="20"/>
                <w:szCs w:val="20"/>
                <w:lang w:val="es-ES" w:eastAsia="es-AR"/>
              </w:rPr>
            </w:pPr>
            <w:r w:rsidRPr="00173470">
              <w:rPr>
                <w:rFonts w:asciiTheme="minorHAnsi" w:hAnsiTheme="minorHAnsi" w:cstheme="minorHAnsi"/>
                <w:sz w:val="20"/>
                <w:szCs w:val="20"/>
              </w:rPr>
              <w:t>29.346,2</w:t>
            </w:r>
          </w:p>
        </w:tc>
        <w:tc>
          <w:tcPr>
            <w:tcW w:w="1418" w:type="dxa"/>
            <w:shd w:val="clear" w:color="auto" w:fill="FFFFFF" w:themeFill="background1"/>
            <w:vAlign w:val="center"/>
          </w:tcPr>
          <w:p w14:paraId="19FA36FB" w14:textId="77777777" w:rsidR="0079428C" w:rsidRPr="00173470" w:rsidRDefault="0079428C" w:rsidP="00173470">
            <w:pPr>
              <w:spacing w:before="40" w:after="40" w:line="240" w:lineRule="auto"/>
              <w:jc w:val="center"/>
              <w:rPr>
                <w:rFonts w:asciiTheme="minorHAnsi" w:hAnsiTheme="minorHAnsi" w:cstheme="minorHAnsi"/>
                <w:sz w:val="20"/>
                <w:szCs w:val="20"/>
                <w:lang w:val="es-ES"/>
              </w:rPr>
            </w:pPr>
            <w:r w:rsidRPr="00173470">
              <w:rPr>
                <w:rFonts w:asciiTheme="minorHAnsi" w:hAnsiTheme="minorHAnsi" w:cstheme="minorHAnsi"/>
                <w:sz w:val="20"/>
                <w:szCs w:val="20"/>
              </w:rPr>
              <w:t>2%</w:t>
            </w:r>
          </w:p>
        </w:tc>
        <w:tc>
          <w:tcPr>
            <w:tcW w:w="1418" w:type="dxa"/>
            <w:shd w:val="clear" w:color="auto" w:fill="FFFFFF" w:themeFill="background1"/>
            <w:vAlign w:val="center"/>
          </w:tcPr>
          <w:p w14:paraId="2F1C0DD5" w14:textId="7995F5B7" w:rsidR="0079428C" w:rsidRPr="00173470" w:rsidRDefault="0079428C" w:rsidP="00F1031B">
            <w:pPr>
              <w:spacing w:before="40" w:after="40" w:line="240" w:lineRule="auto"/>
              <w:jc w:val="right"/>
              <w:rPr>
                <w:rFonts w:asciiTheme="minorHAnsi" w:hAnsiTheme="minorHAnsi" w:cstheme="minorHAnsi"/>
                <w:sz w:val="20"/>
                <w:szCs w:val="20"/>
                <w:lang w:val="es-ES"/>
              </w:rPr>
            </w:pPr>
            <w:r w:rsidRPr="00173470">
              <w:rPr>
                <w:rFonts w:asciiTheme="minorHAnsi" w:hAnsiTheme="minorHAnsi" w:cstheme="minorHAnsi"/>
                <w:sz w:val="20"/>
                <w:szCs w:val="20"/>
              </w:rPr>
              <w:t>29.346,2</w:t>
            </w:r>
          </w:p>
        </w:tc>
      </w:tr>
      <w:tr w:rsidR="00B82EE2" w:rsidRPr="00173470" w14:paraId="60F467AA" w14:textId="77777777" w:rsidTr="00F1031B">
        <w:trPr>
          <w:jc w:val="center"/>
        </w:trPr>
        <w:tc>
          <w:tcPr>
            <w:tcW w:w="1985" w:type="dxa"/>
            <w:shd w:val="clear" w:color="auto" w:fill="FFFFFF" w:themeFill="background1"/>
            <w:noWrap/>
            <w:vAlign w:val="center"/>
            <w:hideMark/>
          </w:tcPr>
          <w:p w14:paraId="0178C716" w14:textId="77777777" w:rsidR="0079428C" w:rsidRPr="00173470" w:rsidRDefault="0079428C" w:rsidP="00F1031B">
            <w:pPr>
              <w:spacing w:before="40" w:after="40" w:line="240" w:lineRule="auto"/>
              <w:jc w:val="left"/>
              <w:rPr>
                <w:rFonts w:asciiTheme="minorHAnsi" w:eastAsia="Times New Roman" w:hAnsiTheme="minorHAnsi" w:cstheme="minorHAnsi"/>
                <w:sz w:val="20"/>
                <w:szCs w:val="20"/>
                <w:lang w:val="es-ES" w:eastAsia="es-AR"/>
              </w:rPr>
            </w:pPr>
            <w:r w:rsidRPr="00173470">
              <w:rPr>
                <w:rFonts w:asciiTheme="minorHAnsi" w:eastAsia="Times New Roman" w:hAnsiTheme="minorHAnsi" w:cstheme="minorHAnsi"/>
                <w:sz w:val="20"/>
                <w:szCs w:val="20"/>
                <w:lang w:val="es-ES" w:eastAsia="es-AR"/>
              </w:rPr>
              <w:t>Camión para lavado de aisladores</w:t>
            </w:r>
          </w:p>
        </w:tc>
        <w:tc>
          <w:tcPr>
            <w:tcW w:w="1985" w:type="dxa"/>
            <w:shd w:val="clear" w:color="auto" w:fill="FFFFFF" w:themeFill="background1"/>
            <w:noWrap/>
            <w:vAlign w:val="center"/>
            <w:hideMark/>
          </w:tcPr>
          <w:p w14:paraId="117A4141" w14:textId="77777777" w:rsidR="0079428C" w:rsidRPr="00173470" w:rsidRDefault="0079428C" w:rsidP="00F1031B">
            <w:pPr>
              <w:spacing w:before="40" w:after="40" w:line="240" w:lineRule="auto"/>
              <w:jc w:val="left"/>
              <w:rPr>
                <w:rFonts w:asciiTheme="minorHAnsi" w:eastAsia="Times New Roman" w:hAnsiTheme="minorHAnsi" w:cstheme="minorHAnsi"/>
                <w:sz w:val="20"/>
                <w:szCs w:val="20"/>
                <w:lang w:val="es-ES" w:eastAsia="es-AR"/>
              </w:rPr>
            </w:pPr>
            <w:r w:rsidRPr="00173470">
              <w:rPr>
                <w:rFonts w:asciiTheme="minorHAnsi" w:eastAsia="Times New Roman" w:hAnsiTheme="minorHAnsi" w:cstheme="minorHAnsi"/>
                <w:sz w:val="20"/>
                <w:szCs w:val="20"/>
                <w:lang w:val="es-ES" w:eastAsia="es-AR"/>
              </w:rPr>
              <w:t>Camión para lavado de aisladores</w:t>
            </w:r>
          </w:p>
        </w:tc>
        <w:tc>
          <w:tcPr>
            <w:tcW w:w="1418" w:type="dxa"/>
            <w:shd w:val="clear" w:color="auto" w:fill="FFFFFF" w:themeFill="background1"/>
            <w:noWrap/>
            <w:vAlign w:val="center"/>
            <w:hideMark/>
          </w:tcPr>
          <w:p w14:paraId="1A261F2D" w14:textId="70CD20B2" w:rsidR="0079428C" w:rsidRPr="00173470" w:rsidRDefault="0079428C" w:rsidP="00F1031B">
            <w:pPr>
              <w:spacing w:before="40" w:after="40" w:line="240" w:lineRule="auto"/>
              <w:jc w:val="right"/>
              <w:rPr>
                <w:rFonts w:asciiTheme="minorHAnsi" w:eastAsia="Times New Roman" w:hAnsiTheme="minorHAnsi" w:cstheme="minorHAnsi"/>
                <w:sz w:val="20"/>
                <w:szCs w:val="20"/>
                <w:lang w:val="es-ES" w:eastAsia="es-AR"/>
              </w:rPr>
            </w:pPr>
            <w:r w:rsidRPr="00173470">
              <w:rPr>
                <w:rFonts w:asciiTheme="minorHAnsi" w:hAnsiTheme="minorHAnsi" w:cstheme="minorHAnsi"/>
                <w:sz w:val="20"/>
                <w:szCs w:val="20"/>
              </w:rPr>
              <w:t>300.669,0</w:t>
            </w:r>
          </w:p>
        </w:tc>
        <w:tc>
          <w:tcPr>
            <w:tcW w:w="1418" w:type="dxa"/>
            <w:shd w:val="clear" w:color="auto" w:fill="FFFFFF" w:themeFill="background1"/>
            <w:noWrap/>
            <w:vAlign w:val="center"/>
            <w:hideMark/>
          </w:tcPr>
          <w:p w14:paraId="4386C80B" w14:textId="3EBC47BD" w:rsidR="0079428C" w:rsidRPr="00173470" w:rsidRDefault="0079428C" w:rsidP="00F1031B">
            <w:pPr>
              <w:spacing w:before="40" w:after="40" w:line="240" w:lineRule="auto"/>
              <w:jc w:val="right"/>
              <w:rPr>
                <w:rFonts w:asciiTheme="minorHAnsi" w:eastAsia="Times New Roman" w:hAnsiTheme="minorHAnsi" w:cstheme="minorHAnsi"/>
                <w:sz w:val="20"/>
                <w:szCs w:val="20"/>
                <w:lang w:val="es-ES" w:eastAsia="es-AR"/>
              </w:rPr>
            </w:pPr>
            <w:r w:rsidRPr="00173470">
              <w:rPr>
                <w:rFonts w:asciiTheme="minorHAnsi" w:hAnsiTheme="minorHAnsi" w:cstheme="minorHAnsi"/>
                <w:sz w:val="20"/>
                <w:szCs w:val="20"/>
              </w:rPr>
              <w:t>140.976,0</w:t>
            </w:r>
          </w:p>
        </w:tc>
        <w:tc>
          <w:tcPr>
            <w:tcW w:w="1418" w:type="dxa"/>
            <w:shd w:val="clear" w:color="auto" w:fill="FFFFFF" w:themeFill="background1"/>
            <w:vAlign w:val="center"/>
          </w:tcPr>
          <w:p w14:paraId="24B52327" w14:textId="77777777" w:rsidR="0079428C" w:rsidRPr="00173470" w:rsidRDefault="0079428C" w:rsidP="00173470">
            <w:pPr>
              <w:spacing w:before="40" w:after="40" w:line="240" w:lineRule="auto"/>
              <w:jc w:val="center"/>
              <w:rPr>
                <w:rFonts w:asciiTheme="minorHAnsi" w:hAnsiTheme="minorHAnsi" w:cstheme="minorHAnsi"/>
                <w:sz w:val="20"/>
                <w:szCs w:val="20"/>
                <w:lang w:val="es-ES"/>
              </w:rPr>
            </w:pPr>
            <w:r w:rsidRPr="00173470">
              <w:rPr>
                <w:rFonts w:asciiTheme="minorHAnsi" w:hAnsiTheme="minorHAnsi" w:cstheme="minorHAnsi"/>
                <w:sz w:val="20"/>
                <w:szCs w:val="20"/>
              </w:rPr>
              <w:t>-53%</w:t>
            </w:r>
          </w:p>
        </w:tc>
        <w:tc>
          <w:tcPr>
            <w:tcW w:w="1418" w:type="dxa"/>
            <w:shd w:val="clear" w:color="auto" w:fill="FFFFFF" w:themeFill="background1"/>
            <w:vAlign w:val="center"/>
          </w:tcPr>
          <w:p w14:paraId="54126689" w14:textId="4D9D008C" w:rsidR="0079428C" w:rsidRPr="00173470" w:rsidRDefault="0079428C" w:rsidP="00F1031B">
            <w:pPr>
              <w:spacing w:before="40" w:after="40" w:line="240" w:lineRule="auto"/>
              <w:jc w:val="right"/>
              <w:rPr>
                <w:rFonts w:asciiTheme="minorHAnsi" w:hAnsiTheme="minorHAnsi" w:cstheme="minorHAnsi"/>
                <w:sz w:val="20"/>
                <w:szCs w:val="20"/>
                <w:lang w:val="es-ES"/>
              </w:rPr>
            </w:pPr>
            <w:r w:rsidRPr="00173470">
              <w:rPr>
                <w:rFonts w:asciiTheme="minorHAnsi" w:hAnsiTheme="minorHAnsi" w:cstheme="minorHAnsi"/>
                <w:sz w:val="20"/>
                <w:szCs w:val="20"/>
              </w:rPr>
              <w:t>140.976,0</w:t>
            </w:r>
          </w:p>
        </w:tc>
      </w:tr>
      <w:tr w:rsidR="00B82EE2" w:rsidRPr="00173470" w14:paraId="71F0DF5A" w14:textId="77777777" w:rsidTr="00F1031B">
        <w:trPr>
          <w:jc w:val="center"/>
        </w:trPr>
        <w:tc>
          <w:tcPr>
            <w:tcW w:w="1985" w:type="dxa"/>
            <w:shd w:val="clear" w:color="auto" w:fill="FFFFFF" w:themeFill="background1"/>
            <w:noWrap/>
            <w:vAlign w:val="center"/>
            <w:hideMark/>
          </w:tcPr>
          <w:p w14:paraId="1B39D30E" w14:textId="77777777" w:rsidR="0079428C" w:rsidRPr="00173470" w:rsidRDefault="0079428C" w:rsidP="00F1031B">
            <w:pPr>
              <w:spacing w:before="40" w:after="40" w:line="240" w:lineRule="auto"/>
              <w:jc w:val="left"/>
              <w:rPr>
                <w:rFonts w:asciiTheme="minorHAnsi" w:eastAsia="Times New Roman" w:hAnsiTheme="minorHAnsi" w:cstheme="minorHAnsi"/>
                <w:sz w:val="20"/>
                <w:szCs w:val="20"/>
                <w:lang w:val="es-ES" w:eastAsia="es-AR"/>
              </w:rPr>
            </w:pPr>
            <w:r w:rsidRPr="00173470">
              <w:rPr>
                <w:rFonts w:asciiTheme="minorHAnsi" w:eastAsia="Times New Roman" w:hAnsiTheme="minorHAnsi" w:cstheme="minorHAnsi"/>
                <w:sz w:val="20"/>
                <w:szCs w:val="20"/>
                <w:lang w:val="es-ES" w:eastAsia="es-AR"/>
              </w:rPr>
              <w:lastRenderedPageBreak/>
              <w:t>Camión canasta (brazo aislado)</w:t>
            </w:r>
          </w:p>
        </w:tc>
        <w:tc>
          <w:tcPr>
            <w:tcW w:w="1985" w:type="dxa"/>
            <w:shd w:val="clear" w:color="auto" w:fill="FFFFFF" w:themeFill="background1"/>
            <w:noWrap/>
            <w:vAlign w:val="center"/>
            <w:hideMark/>
          </w:tcPr>
          <w:p w14:paraId="146281F3" w14:textId="77777777" w:rsidR="0079428C" w:rsidRPr="00173470" w:rsidRDefault="0079428C" w:rsidP="00F1031B">
            <w:pPr>
              <w:spacing w:before="40" w:after="40" w:line="240" w:lineRule="auto"/>
              <w:jc w:val="left"/>
              <w:rPr>
                <w:rFonts w:asciiTheme="minorHAnsi" w:eastAsia="Times New Roman" w:hAnsiTheme="minorHAnsi" w:cstheme="minorHAnsi"/>
                <w:sz w:val="20"/>
                <w:szCs w:val="20"/>
                <w:lang w:val="es-ES" w:eastAsia="es-AR"/>
              </w:rPr>
            </w:pPr>
            <w:r w:rsidRPr="00173470">
              <w:rPr>
                <w:rFonts w:asciiTheme="minorHAnsi" w:eastAsia="Times New Roman" w:hAnsiTheme="minorHAnsi" w:cstheme="minorHAnsi"/>
                <w:sz w:val="20"/>
                <w:szCs w:val="20"/>
                <w:lang w:val="es-ES" w:eastAsia="es-AR"/>
              </w:rPr>
              <w:t>Camión canasta (brazo aislado)</w:t>
            </w:r>
          </w:p>
        </w:tc>
        <w:tc>
          <w:tcPr>
            <w:tcW w:w="1418" w:type="dxa"/>
            <w:shd w:val="clear" w:color="auto" w:fill="FFFFFF" w:themeFill="background1"/>
            <w:noWrap/>
            <w:vAlign w:val="center"/>
            <w:hideMark/>
          </w:tcPr>
          <w:p w14:paraId="22201428" w14:textId="555F8680" w:rsidR="0079428C" w:rsidRPr="00173470" w:rsidRDefault="0079428C" w:rsidP="00F1031B">
            <w:pPr>
              <w:spacing w:before="40" w:after="40" w:line="240" w:lineRule="auto"/>
              <w:jc w:val="right"/>
              <w:rPr>
                <w:rFonts w:asciiTheme="minorHAnsi" w:eastAsia="Times New Roman" w:hAnsiTheme="minorHAnsi" w:cstheme="minorHAnsi"/>
                <w:sz w:val="20"/>
                <w:szCs w:val="20"/>
                <w:lang w:val="es-ES" w:eastAsia="es-AR"/>
              </w:rPr>
            </w:pPr>
            <w:r w:rsidRPr="00173470">
              <w:rPr>
                <w:rFonts w:asciiTheme="minorHAnsi" w:hAnsiTheme="minorHAnsi" w:cstheme="minorHAnsi"/>
                <w:sz w:val="20"/>
                <w:szCs w:val="20"/>
              </w:rPr>
              <w:t>46.690,0</w:t>
            </w:r>
          </w:p>
        </w:tc>
        <w:tc>
          <w:tcPr>
            <w:tcW w:w="1418" w:type="dxa"/>
            <w:shd w:val="clear" w:color="auto" w:fill="FFFFFF" w:themeFill="background1"/>
            <w:noWrap/>
            <w:vAlign w:val="center"/>
            <w:hideMark/>
          </w:tcPr>
          <w:p w14:paraId="43B203F2" w14:textId="3FC98E8B" w:rsidR="0079428C" w:rsidRPr="00173470" w:rsidRDefault="0079428C" w:rsidP="00F1031B">
            <w:pPr>
              <w:spacing w:before="40" w:after="40" w:line="240" w:lineRule="auto"/>
              <w:jc w:val="right"/>
              <w:rPr>
                <w:rFonts w:asciiTheme="minorHAnsi" w:eastAsia="Times New Roman" w:hAnsiTheme="minorHAnsi" w:cstheme="minorHAnsi"/>
                <w:sz w:val="20"/>
                <w:szCs w:val="20"/>
                <w:lang w:val="es-ES" w:eastAsia="es-AR"/>
              </w:rPr>
            </w:pPr>
            <w:r w:rsidRPr="00173470">
              <w:rPr>
                <w:rFonts w:asciiTheme="minorHAnsi" w:hAnsiTheme="minorHAnsi" w:cstheme="minorHAnsi"/>
                <w:sz w:val="20"/>
                <w:szCs w:val="20"/>
              </w:rPr>
              <w:t>36.696,0</w:t>
            </w:r>
          </w:p>
        </w:tc>
        <w:tc>
          <w:tcPr>
            <w:tcW w:w="1418" w:type="dxa"/>
            <w:shd w:val="clear" w:color="auto" w:fill="FFFFFF" w:themeFill="background1"/>
            <w:vAlign w:val="center"/>
          </w:tcPr>
          <w:p w14:paraId="1F4E2459" w14:textId="77777777" w:rsidR="0079428C" w:rsidRPr="00173470" w:rsidRDefault="0079428C" w:rsidP="00173470">
            <w:pPr>
              <w:spacing w:before="40" w:after="40" w:line="240" w:lineRule="auto"/>
              <w:jc w:val="center"/>
              <w:rPr>
                <w:rFonts w:asciiTheme="minorHAnsi" w:hAnsiTheme="minorHAnsi" w:cstheme="minorHAnsi"/>
                <w:sz w:val="20"/>
                <w:szCs w:val="20"/>
                <w:lang w:val="es-ES"/>
              </w:rPr>
            </w:pPr>
            <w:r w:rsidRPr="00173470">
              <w:rPr>
                <w:rFonts w:asciiTheme="minorHAnsi" w:hAnsiTheme="minorHAnsi" w:cstheme="minorHAnsi"/>
                <w:sz w:val="20"/>
                <w:szCs w:val="20"/>
              </w:rPr>
              <w:t>-21%</w:t>
            </w:r>
          </w:p>
        </w:tc>
        <w:tc>
          <w:tcPr>
            <w:tcW w:w="1418" w:type="dxa"/>
            <w:shd w:val="clear" w:color="auto" w:fill="FFFFFF" w:themeFill="background1"/>
            <w:vAlign w:val="center"/>
          </w:tcPr>
          <w:p w14:paraId="13D51E1C" w14:textId="4BAAC421" w:rsidR="0079428C" w:rsidRPr="00173470" w:rsidRDefault="0079428C" w:rsidP="00F1031B">
            <w:pPr>
              <w:spacing w:before="40" w:after="40" w:line="240" w:lineRule="auto"/>
              <w:jc w:val="right"/>
              <w:rPr>
                <w:rFonts w:asciiTheme="minorHAnsi" w:hAnsiTheme="minorHAnsi" w:cstheme="minorHAnsi"/>
                <w:sz w:val="20"/>
                <w:szCs w:val="20"/>
                <w:lang w:val="es-ES"/>
              </w:rPr>
            </w:pPr>
            <w:r w:rsidRPr="00173470">
              <w:rPr>
                <w:rFonts w:asciiTheme="minorHAnsi" w:hAnsiTheme="minorHAnsi" w:cstheme="minorHAnsi"/>
                <w:sz w:val="20"/>
                <w:szCs w:val="20"/>
              </w:rPr>
              <w:t>36.696,0</w:t>
            </w:r>
          </w:p>
        </w:tc>
      </w:tr>
      <w:tr w:rsidR="00B82EE2" w:rsidRPr="00173470" w14:paraId="500A05B4" w14:textId="77777777" w:rsidTr="00F1031B">
        <w:trPr>
          <w:jc w:val="center"/>
        </w:trPr>
        <w:tc>
          <w:tcPr>
            <w:tcW w:w="1985" w:type="dxa"/>
            <w:shd w:val="clear" w:color="auto" w:fill="FFFFFF" w:themeFill="background1"/>
            <w:noWrap/>
            <w:vAlign w:val="center"/>
            <w:hideMark/>
          </w:tcPr>
          <w:p w14:paraId="40B56EF7" w14:textId="77777777" w:rsidR="0079428C" w:rsidRPr="00173470" w:rsidRDefault="0079428C" w:rsidP="00F1031B">
            <w:pPr>
              <w:spacing w:before="40" w:after="40" w:line="240" w:lineRule="auto"/>
              <w:jc w:val="left"/>
              <w:rPr>
                <w:rFonts w:asciiTheme="minorHAnsi" w:eastAsia="Times New Roman" w:hAnsiTheme="minorHAnsi" w:cstheme="minorHAnsi"/>
                <w:sz w:val="20"/>
                <w:szCs w:val="20"/>
                <w:lang w:val="es-ES" w:eastAsia="es-AR"/>
              </w:rPr>
            </w:pPr>
            <w:r w:rsidRPr="00173470">
              <w:rPr>
                <w:rFonts w:asciiTheme="minorHAnsi" w:eastAsia="Times New Roman" w:hAnsiTheme="minorHAnsi" w:cstheme="minorHAnsi"/>
                <w:sz w:val="20"/>
                <w:szCs w:val="20"/>
                <w:lang w:val="es-ES" w:eastAsia="es-AR"/>
              </w:rPr>
              <w:t>Camión con grúa de 4 t</w:t>
            </w:r>
          </w:p>
        </w:tc>
        <w:tc>
          <w:tcPr>
            <w:tcW w:w="1985" w:type="dxa"/>
            <w:shd w:val="clear" w:color="auto" w:fill="FFFFFF" w:themeFill="background1"/>
            <w:noWrap/>
            <w:vAlign w:val="center"/>
            <w:hideMark/>
          </w:tcPr>
          <w:p w14:paraId="0B6EC988" w14:textId="77777777" w:rsidR="0079428C" w:rsidRPr="00173470" w:rsidRDefault="0079428C" w:rsidP="00F1031B">
            <w:pPr>
              <w:spacing w:before="40" w:after="40" w:line="240" w:lineRule="auto"/>
              <w:jc w:val="left"/>
              <w:rPr>
                <w:rFonts w:asciiTheme="minorHAnsi" w:eastAsia="Times New Roman" w:hAnsiTheme="minorHAnsi" w:cstheme="minorHAnsi"/>
                <w:sz w:val="20"/>
                <w:szCs w:val="20"/>
                <w:lang w:val="es-ES" w:eastAsia="es-AR"/>
              </w:rPr>
            </w:pPr>
            <w:r w:rsidRPr="00173470">
              <w:rPr>
                <w:rFonts w:asciiTheme="minorHAnsi" w:eastAsia="Times New Roman" w:hAnsiTheme="minorHAnsi" w:cstheme="minorHAnsi"/>
                <w:sz w:val="20"/>
                <w:szCs w:val="20"/>
                <w:lang w:val="es-ES" w:eastAsia="es-AR"/>
              </w:rPr>
              <w:t>Camión con grúa de 4 t</w:t>
            </w:r>
          </w:p>
        </w:tc>
        <w:tc>
          <w:tcPr>
            <w:tcW w:w="1418" w:type="dxa"/>
            <w:shd w:val="clear" w:color="auto" w:fill="FFFFFF" w:themeFill="background1"/>
            <w:noWrap/>
            <w:vAlign w:val="center"/>
            <w:hideMark/>
          </w:tcPr>
          <w:p w14:paraId="34362B0B" w14:textId="4CA158C8" w:rsidR="0079428C" w:rsidRPr="00173470" w:rsidRDefault="0079428C" w:rsidP="00F1031B">
            <w:pPr>
              <w:spacing w:before="40" w:after="40" w:line="240" w:lineRule="auto"/>
              <w:jc w:val="right"/>
              <w:rPr>
                <w:rFonts w:asciiTheme="minorHAnsi" w:eastAsia="Times New Roman" w:hAnsiTheme="minorHAnsi" w:cstheme="minorHAnsi"/>
                <w:sz w:val="20"/>
                <w:szCs w:val="20"/>
                <w:lang w:val="es-ES" w:eastAsia="es-AR"/>
              </w:rPr>
            </w:pPr>
            <w:r w:rsidRPr="00173470">
              <w:rPr>
                <w:rFonts w:asciiTheme="minorHAnsi" w:hAnsiTheme="minorHAnsi" w:cstheme="minorHAnsi"/>
                <w:sz w:val="20"/>
                <w:szCs w:val="20"/>
              </w:rPr>
              <w:t>41.022,6</w:t>
            </w:r>
          </w:p>
        </w:tc>
        <w:tc>
          <w:tcPr>
            <w:tcW w:w="1418" w:type="dxa"/>
            <w:shd w:val="clear" w:color="auto" w:fill="FFFFFF" w:themeFill="background1"/>
            <w:noWrap/>
            <w:vAlign w:val="center"/>
            <w:hideMark/>
          </w:tcPr>
          <w:p w14:paraId="1D1E0729" w14:textId="46DEEC08" w:rsidR="0079428C" w:rsidRPr="00173470" w:rsidRDefault="0079428C" w:rsidP="00F1031B">
            <w:pPr>
              <w:spacing w:before="40" w:after="40" w:line="240" w:lineRule="auto"/>
              <w:jc w:val="right"/>
              <w:rPr>
                <w:rFonts w:asciiTheme="minorHAnsi" w:eastAsia="Times New Roman" w:hAnsiTheme="minorHAnsi" w:cstheme="minorHAnsi"/>
                <w:sz w:val="20"/>
                <w:szCs w:val="20"/>
                <w:lang w:val="es-ES" w:eastAsia="es-AR"/>
              </w:rPr>
            </w:pPr>
            <w:r w:rsidRPr="00173470">
              <w:rPr>
                <w:rFonts w:asciiTheme="minorHAnsi" w:hAnsiTheme="minorHAnsi" w:cstheme="minorHAnsi"/>
                <w:sz w:val="20"/>
                <w:szCs w:val="20"/>
              </w:rPr>
              <w:t>86.248,8</w:t>
            </w:r>
          </w:p>
        </w:tc>
        <w:tc>
          <w:tcPr>
            <w:tcW w:w="1418" w:type="dxa"/>
            <w:shd w:val="clear" w:color="auto" w:fill="FFFFFF" w:themeFill="background1"/>
            <w:vAlign w:val="center"/>
          </w:tcPr>
          <w:p w14:paraId="24057248" w14:textId="77777777" w:rsidR="0079428C" w:rsidRPr="00173470" w:rsidRDefault="0079428C" w:rsidP="00173470">
            <w:pPr>
              <w:spacing w:before="40" w:after="40" w:line="240" w:lineRule="auto"/>
              <w:jc w:val="center"/>
              <w:rPr>
                <w:rFonts w:asciiTheme="minorHAnsi" w:hAnsiTheme="minorHAnsi" w:cstheme="minorHAnsi"/>
                <w:sz w:val="20"/>
                <w:szCs w:val="20"/>
                <w:lang w:val="es-ES"/>
              </w:rPr>
            </w:pPr>
            <w:r w:rsidRPr="00173470">
              <w:rPr>
                <w:rFonts w:asciiTheme="minorHAnsi" w:hAnsiTheme="minorHAnsi" w:cstheme="minorHAnsi"/>
                <w:sz w:val="20"/>
                <w:szCs w:val="20"/>
              </w:rPr>
              <w:t>110%</w:t>
            </w:r>
          </w:p>
        </w:tc>
        <w:tc>
          <w:tcPr>
            <w:tcW w:w="1418" w:type="dxa"/>
            <w:shd w:val="clear" w:color="auto" w:fill="FFFFFF" w:themeFill="background1"/>
            <w:vAlign w:val="center"/>
          </w:tcPr>
          <w:p w14:paraId="7FFE0B72" w14:textId="51A2A0D1" w:rsidR="0079428C" w:rsidRPr="00173470" w:rsidRDefault="0079428C" w:rsidP="00F1031B">
            <w:pPr>
              <w:spacing w:before="40" w:after="40" w:line="240" w:lineRule="auto"/>
              <w:jc w:val="right"/>
              <w:rPr>
                <w:rFonts w:asciiTheme="minorHAnsi" w:hAnsiTheme="minorHAnsi" w:cstheme="minorHAnsi"/>
                <w:sz w:val="20"/>
                <w:szCs w:val="20"/>
                <w:lang w:val="es-ES"/>
              </w:rPr>
            </w:pPr>
            <w:r w:rsidRPr="00173470">
              <w:rPr>
                <w:rFonts w:asciiTheme="minorHAnsi" w:hAnsiTheme="minorHAnsi" w:cstheme="minorHAnsi"/>
                <w:sz w:val="20"/>
                <w:szCs w:val="20"/>
              </w:rPr>
              <w:t>41.022,6</w:t>
            </w:r>
          </w:p>
        </w:tc>
      </w:tr>
      <w:tr w:rsidR="00B82EE2" w:rsidRPr="00173470" w14:paraId="4AF134AB" w14:textId="77777777" w:rsidTr="00F1031B">
        <w:trPr>
          <w:jc w:val="center"/>
        </w:trPr>
        <w:tc>
          <w:tcPr>
            <w:tcW w:w="1985" w:type="dxa"/>
            <w:shd w:val="clear" w:color="auto" w:fill="FFFFFF" w:themeFill="background1"/>
            <w:noWrap/>
            <w:vAlign w:val="center"/>
            <w:hideMark/>
          </w:tcPr>
          <w:p w14:paraId="2B89BCCF" w14:textId="77777777" w:rsidR="0079428C" w:rsidRPr="00173470" w:rsidRDefault="0079428C" w:rsidP="00F1031B">
            <w:pPr>
              <w:spacing w:before="40" w:after="40" w:line="240" w:lineRule="auto"/>
              <w:jc w:val="left"/>
              <w:rPr>
                <w:rFonts w:asciiTheme="minorHAnsi" w:eastAsia="Times New Roman" w:hAnsiTheme="minorHAnsi" w:cstheme="minorHAnsi"/>
                <w:sz w:val="20"/>
                <w:szCs w:val="20"/>
                <w:lang w:val="es-ES" w:eastAsia="es-AR"/>
              </w:rPr>
            </w:pPr>
            <w:r w:rsidRPr="00173470">
              <w:rPr>
                <w:rFonts w:asciiTheme="minorHAnsi" w:eastAsia="Times New Roman" w:hAnsiTheme="minorHAnsi" w:cstheme="minorHAnsi"/>
                <w:sz w:val="20"/>
                <w:szCs w:val="20"/>
                <w:lang w:val="es-ES" w:eastAsia="es-AR"/>
              </w:rPr>
              <w:t>Bulldozer</w:t>
            </w:r>
          </w:p>
        </w:tc>
        <w:tc>
          <w:tcPr>
            <w:tcW w:w="1985" w:type="dxa"/>
            <w:shd w:val="clear" w:color="auto" w:fill="FFFFFF" w:themeFill="background1"/>
            <w:noWrap/>
            <w:vAlign w:val="center"/>
            <w:hideMark/>
          </w:tcPr>
          <w:p w14:paraId="5E1D12AF" w14:textId="77777777" w:rsidR="0079428C" w:rsidRPr="00173470" w:rsidRDefault="0079428C" w:rsidP="00F1031B">
            <w:pPr>
              <w:spacing w:before="40" w:after="40" w:line="240" w:lineRule="auto"/>
              <w:jc w:val="left"/>
              <w:rPr>
                <w:rFonts w:asciiTheme="minorHAnsi" w:eastAsia="Times New Roman" w:hAnsiTheme="minorHAnsi" w:cstheme="minorHAnsi"/>
                <w:sz w:val="20"/>
                <w:szCs w:val="20"/>
                <w:lang w:val="es-ES" w:eastAsia="es-AR"/>
              </w:rPr>
            </w:pPr>
            <w:r w:rsidRPr="00173470">
              <w:rPr>
                <w:rFonts w:asciiTheme="minorHAnsi" w:eastAsia="Times New Roman" w:hAnsiTheme="minorHAnsi" w:cstheme="minorHAnsi"/>
                <w:sz w:val="20"/>
                <w:szCs w:val="20"/>
                <w:lang w:val="es-ES" w:eastAsia="es-AR"/>
              </w:rPr>
              <w:t>Bulldozer</w:t>
            </w:r>
          </w:p>
        </w:tc>
        <w:tc>
          <w:tcPr>
            <w:tcW w:w="1418" w:type="dxa"/>
            <w:shd w:val="clear" w:color="auto" w:fill="FFFFFF" w:themeFill="background1"/>
            <w:noWrap/>
            <w:vAlign w:val="center"/>
            <w:hideMark/>
          </w:tcPr>
          <w:p w14:paraId="1C62BA57" w14:textId="13EB52E9" w:rsidR="0079428C" w:rsidRPr="00173470" w:rsidRDefault="0079428C" w:rsidP="00F1031B">
            <w:pPr>
              <w:spacing w:before="40" w:after="40" w:line="240" w:lineRule="auto"/>
              <w:jc w:val="right"/>
              <w:rPr>
                <w:rFonts w:asciiTheme="minorHAnsi" w:eastAsia="Times New Roman" w:hAnsiTheme="minorHAnsi" w:cstheme="minorHAnsi"/>
                <w:sz w:val="20"/>
                <w:szCs w:val="20"/>
                <w:lang w:val="es-ES" w:eastAsia="es-AR"/>
              </w:rPr>
            </w:pPr>
            <w:r w:rsidRPr="00173470">
              <w:rPr>
                <w:rFonts w:asciiTheme="minorHAnsi" w:hAnsiTheme="minorHAnsi" w:cstheme="minorHAnsi"/>
                <w:sz w:val="20"/>
                <w:szCs w:val="20"/>
              </w:rPr>
              <w:t>55.077,0</w:t>
            </w:r>
          </w:p>
        </w:tc>
        <w:tc>
          <w:tcPr>
            <w:tcW w:w="1418" w:type="dxa"/>
            <w:shd w:val="clear" w:color="auto" w:fill="FFFFFF" w:themeFill="background1"/>
            <w:noWrap/>
            <w:vAlign w:val="center"/>
            <w:hideMark/>
          </w:tcPr>
          <w:p w14:paraId="12934B43" w14:textId="19B203DA" w:rsidR="0079428C" w:rsidRPr="00173470" w:rsidRDefault="0079428C" w:rsidP="00F1031B">
            <w:pPr>
              <w:spacing w:before="40" w:after="40" w:line="240" w:lineRule="auto"/>
              <w:jc w:val="right"/>
              <w:rPr>
                <w:rFonts w:asciiTheme="minorHAnsi" w:eastAsia="Times New Roman" w:hAnsiTheme="minorHAnsi" w:cstheme="minorHAnsi"/>
                <w:sz w:val="20"/>
                <w:szCs w:val="20"/>
                <w:lang w:val="es-ES" w:eastAsia="es-AR"/>
              </w:rPr>
            </w:pPr>
            <w:r w:rsidRPr="00173470">
              <w:rPr>
                <w:rFonts w:asciiTheme="minorHAnsi" w:hAnsiTheme="minorHAnsi" w:cstheme="minorHAnsi"/>
                <w:sz w:val="20"/>
                <w:szCs w:val="20"/>
              </w:rPr>
              <w:t>116.020,1</w:t>
            </w:r>
          </w:p>
        </w:tc>
        <w:tc>
          <w:tcPr>
            <w:tcW w:w="1418" w:type="dxa"/>
            <w:shd w:val="clear" w:color="auto" w:fill="FFFFFF" w:themeFill="background1"/>
            <w:vAlign w:val="center"/>
          </w:tcPr>
          <w:p w14:paraId="37BB10E6" w14:textId="77777777" w:rsidR="0079428C" w:rsidRPr="00173470" w:rsidRDefault="0079428C" w:rsidP="00173470">
            <w:pPr>
              <w:spacing w:before="40" w:after="40" w:line="240" w:lineRule="auto"/>
              <w:jc w:val="center"/>
              <w:rPr>
                <w:rFonts w:asciiTheme="minorHAnsi" w:hAnsiTheme="minorHAnsi" w:cstheme="minorHAnsi"/>
                <w:sz w:val="20"/>
                <w:szCs w:val="20"/>
                <w:lang w:val="es-ES"/>
              </w:rPr>
            </w:pPr>
            <w:r w:rsidRPr="00173470">
              <w:rPr>
                <w:rFonts w:asciiTheme="minorHAnsi" w:hAnsiTheme="minorHAnsi" w:cstheme="minorHAnsi"/>
                <w:sz w:val="20"/>
                <w:szCs w:val="20"/>
              </w:rPr>
              <w:t>111%</w:t>
            </w:r>
          </w:p>
        </w:tc>
        <w:tc>
          <w:tcPr>
            <w:tcW w:w="1418" w:type="dxa"/>
            <w:shd w:val="clear" w:color="auto" w:fill="FFFFFF" w:themeFill="background1"/>
            <w:vAlign w:val="center"/>
          </w:tcPr>
          <w:p w14:paraId="1E840CF1" w14:textId="0CF89481" w:rsidR="0079428C" w:rsidRPr="00173470" w:rsidRDefault="0079428C" w:rsidP="00F1031B">
            <w:pPr>
              <w:spacing w:before="40" w:after="40" w:line="240" w:lineRule="auto"/>
              <w:jc w:val="right"/>
              <w:rPr>
                <w:rFonts w:asciiTheme="minorHAnsi" w:hAnsiTheme="minorHAnsi" w:cstheme="minorHAnsi"/>
                <w:sz w:val="20"/>
                <w:szCs w:val="20"/>
                <w:lang w:val="es-ES"/>
              </w:rPr>
            </w:pPr>
            <w:r w:rsidRPr="00173470">
              <w:rPr>
                <w:rFonts w:asciiTheme="minorHAnsi" w:hAnsiTheme="minorHAnsi" w:cstheme="minorHAnsi"/>
                <w:sz w:val="20"/>
                <w:szCs w:val="20"/>
              </w:rPr>
              <w:t>55.077,0</w:t>
            </w:r>
          </w:p>
        </w:tc>
      </w:tr>
      <w:tr w:rsidR="00B82EE2" w:rsidRPr="00173470" w14:paraId="65A35806" w14:textId="77777777" w:rsidTr="00F1031B">
        <w:trPr>
          <w:jc w:val="center"/>
        </w:trPr>
        <w:tc>
          <w:tcPr>
            <w:tcW w:w="1985" w:type="dxa"/>
            <w:shd w:val="clear" w:color="auto" w:fill="FFFFFF" w:themeFill="background1"/>
            <w:noWrap/>
            <w:vAlign w:val="center"/>
            <w:hideMark/>
          </w:tcPr>
          <w:p w14:paraId="227E6A07" w14:textId="77777777" w:rsidR="0079428C" w:rsidRPr="00173470" w:rsidRDefault="0079428C" w:rsidP="00F1031B">
            <w:pPr>
              <w:spacing w:before="40" w:after="40" w:line="240" w:lineRule="auto"/>
              <w:jc w:val="left"/>
              <w:rPr>
                <w:rFonts w:asciiTheme="minorHAnsi" w:eastAsia="Times New Roman" w:hAnsiTheme="minorHAnsi" w:cstheme="minorHAnsi"/>
                <w:sz w:val="20"/>
                <w:szCs w:val="20"/>
                <w:lang w:val="es-ES" w:eastAsia="es-AR"/>
              </w:rPr>
            </w:pPr>
            <w:r w:rsidRPr="00173470">
              <w:rPr>
                <w:rFonts w:asciiTheme="minorHAnsi" w:eastAsia="Times New Roman" w:hAnsiTheme="minorHAnsi" w:cstheme="minorHAnsi"/>
                <w:sz w:val="20"/>
                <w:szCs w:val="20"/>
                <w:lang w:val="es-ES" w:eastAsia="es-AR"/>
              </w:rPr>
              <w:t>Camión Aljibe</w:t>
            </w:r>
          </w:p>
        </w:tc>
        <w:tc>
          <w:tcPr>
            <w:tcW w:w="1985" w:type="dxa"/>
            <w:shd w:val="clear" w:color="auto" w:fill="FFFFFF" w:themeFill="background1"/>
            <w:noWrap/>
            <w:vAlign w:val="center"/>
            <w:hideMark/>
          </w:tcPr>
          <w:p w14:paraId="66B64337" w14:textId="77777777" w:rsidR="0079428C" w:rsidRPr="00173470" w:rsidRDefault="0079428C" w:rsidP="00F1031B">
            <w:pPr>
              <w:spacing w:before="40" w:after="40" w:line="240" w:lineRule="auto"/>
              <w:jc w:val="left"/>
              <w:rPr>
                <w:rFonts w:asciiTheme="minorHAnsi" w:eastAsia="Times New Roman" w:hAnsiTheme="minorHAnsi" w:cstheme="minorHAnsi"/>
                <w:sz w:val="20"/>
                <w:szCs w:val="20"/>
                <w:lang w:val="es-ES" w:eastAsia="es-AR"/>
              </w:rPr>
            </w:pPr>
            <w:r w:rsidRPr="00173470">
              <w:rPr>
                <w:rFonts w:asciiTheme="minorHAnsi" w:eastAsia="Times New Roman" w:hAnsiTheme="minorHAnsi" w:cstheme="minorHAnsi"/>
                <w:sz w:val="20"/>
                <w:szCs w:val="20"/>
                <w:lang w:val="es-ES" w:eastAsia="es-AR"/>
              </w:rPr>
              <w:t>Camión Aljibe</w:t>
            </w:r>
          </w:p>
        </w:tc>
        <w:tc>
          <w:tcPr>
            <w:tcW w:w="1418" w:type="dxa"/>
            <w:shd w:val="clear" w:color="auto" w:fill="FFFFFF" w:themeFill="background1"/>
            <w:noWrap/>
            <w:vAlign w:val="center"/>
            <w:hideMark/>
          </w:tcPr>
          <w:p w14:paraId="793D896A" w14:textId="580F2F42" w:rsidR="0079428C" w:rsidRPr="00173470" w:rsidRDefault="0079428C" w:rsidP="00F1031B">
            <w:pPr>
              <w:spacing w:before="40" w:after="40" w:line="240" w:lineRule="auto"/>
              <w:jc w:val="right"/>
              <w:rPr>
                <w:rFonts w:asciiTheme="minorHAnsi" w:eastAsia="Times New Roman" w:hAnsiTheme="minorHAnsi" w:cstheme="minorHAnsi"/>
                <w:sz w:val="20"/>
                <w:szCs w:val="20"/>
                <w:lang w:val="es-ES" w:eastAsia="es-AR"/>
              </w:rPr>
            </w:pPr>
            <w:r w:rsidRPr="00173470">
              <w:rPr>
                <w:rFonts w:asciiTheme="minorHAnsi" w:hAnsiTheme="minorHAnsi" w:cstheme="minorHAnsi"/>
                <w:sz w:val="20"/>
                <w:szCs w:val="20"/>
              </w:rPr>
              <w:t>62.139,1</w:t>
            </w:r>
          </w:p>
        </w:tc>
        <w:tc>
          <w:tcPr>
            <w:tcW w:w="1418" w:type="dxa"/>
            <w:shd w:val="clear" w:color="auto" w:fill="FFFFFF" w:themeFill="background1"/>
            <w:noWrap/>
            <w:vAlign w:val="center"/>
            <w:hideMark/>
          </w:tcPr>
          <w:p w14:paraId="48CDB20D" w14:textId="3EFE9DDF" w:rsidR="0079428C" w:rsidRPr="00173470" w:rsidRDefault="0079428C" w:rsidP="00F1031B">
            <w:pPr>
              <w:spacing w:before="40" w:after="40" w:line="240" w:lineRule="auto"/>
              <w:jc w:val="right"/>
              <w:rPr>
                <w:rFonts w:asciiTheme="minorHAnsi" w:eastAsia="Times New Roman" w:hAnsiTheme="minorHAnsi" w:cstheme="minorHAnsi"/>
                <w:sz w:val="20"/>
                <w:szCs w:val="20"/>
                <w:lang w:val="es-ES" w:eastAsia="es-AR"/>
              </w:rPr>
            </w:pPr>
            <w:r w:rsidRPr="00173470">
              <w:rPr>
                <w:rFonts w:asciiTheme="minorHAnsi" w:hAnsiTheme="minorHAnsi" w:cstheme="minorHAnsi"/>
                <w:sz w:val="20"/>
                <w:szCs w:val="20"/>
              </w:rPr>
              <w:t>66.528,0</w:t>
            </w:r>
          </w:p>
        </w:tc>
        <w:tc>
          <w:tcPr>
            <w:tcW w:w="1418" w:type="dxa"/>
            <w:shd w:val="clear" w:color="auto" w:fill="FFFFFF" w:themeFill="background1"/>
            <w:vAlign w:val="center"/>
          </w:tcPr>
          <w:p w14:paraId="16347105" w14:textId="77777777" w:rsidR="0079428C" w:rsidRPr="00173470" w:rsidRDefault="0079428C" w:rsidP="00173470">
            <w:pPr>
              <w:spacing w:before="40" w:after="40" w:line="240" w:lineRule="auto"/>
              <w:jc w:val="center"/>
              <w:rPr>
                <w:rFonts w:asciiTheme="minorHAnsi" w:hAnsiTheme="minorHAnsi" w:cstheme="minorHAnsi"/>
                <w:sz w:val="20"/>
                <w:szCs w:val="20"/>
                <w:lang w:val="es-ES"/>
              </w:rPr>
            </w:pPr>
            <w:r w:rsidRPr="00173470">
              <w:rPr>
                <w:rFonts w:asciiTheme="minorHAnsi" w:hAnsiTheme="minorHAnsi" w:cstheme="minorHAnsi"/>
                <w:sz w:val="20"/>
                <w:szCs w:val="20"/>
              </w:rPr>
              <w:t>7%</w:t>
            </w:r>
          </w:p>
        </w:tc>
        <w:tc>
          <w:tcPr>
            <w:tcW w:w="1418" w:type="dxa"/>
            <w:shd w:val="clear" w:color="auto" w:fill="FFFFFF" w:themeFill="background1"/>
            <w:vAlign w:val="center"/>
          </w:tcPr>
          <w:p w14:paraId="74E08D8D" w14:textId="6B9039BF" w:rsidR="0079428C" w:rsidRPr="00173470" w:rsidRDefault="0079428C" w:rsidP="00F1031B">
            <w:pPr>
              <w:spacing w:before="40" w:after="40" w:line="240" w:lineRule="auto"/>
              <w:jc w:val="right"/>
              <w:rPr>
                <w:rFonts w:asciiTheme="minorHAnsi" w:hAnsiTheme="minorHAnsi" w:cstheme="minorHAnsi"/>
                <w:sz w:val="20"/>
                <w:szCs w:val="20"/>
                <w:lang w:val="es-ES"/>
              </w:rPr>
            </w:pPr>
            <w:r w:rsidRPr="00173470">
              <w:rPr>
                <w:rFonts w:asciiTheme="minorHAnsi" w:hAnsiTheme="minorHAnsi" w:cstheme="minorHAnsi"/>
                <w:sz w:val="20"/>
                <w:szCs w:val="20"/>
              </w:rPr>
              <w:t>66.528,0</w:t>
            </w:r>
          </w:p>
        </w:tc>
      </w:tr>
      <w:tr w:rsidR="00B82EE2" w:rsidRPr="00173470" w14:paraId="5DDD5DF6" w14:textId="77777777" w:rsidTr="00F1031B">
        <w:trPr>
          <w:jc w:val="center"/>
        </w:trPr>
        <w:tc>
          <w:tcPr>
            <w:tcW w:w="1985" w:type="dxa"/>
            <w:shd w:val="clear" w:color="auto" w:fill="FFFFFF" w:themeFill="background1"/>
            <w:noWrap/>
            <w:vAlign w:val="center"/>
            <w:hideMark/>
          </w:tcPr>
          <w:p w14:paraId="4674DD7C" w14:textId="77777777" w:rsidR="0079428C" w:rsidRPr="00173470" w:rsidRDefault="0079428C" w:rsidP="00F1031B">
            <w:pPr>
              <w:spacing w:before="40" w:after="40" w:line="240" w:lineRule="auto"/>
              <w:jc w:val="left"/>
              <w:rPr>
                <w:rFonts w:asciiTheme="minorHAnsi" w:eastAsia="Times New Roman" w:hAnsiTheme="minorHAnsi" w:cstheme="minorHAnsi"/>
                <w:sz w:val="20"/>
                <w:szCs w:val="20"/>
                <w:lang w:val="es-ES" w:eastAsia="es-AR"/>
              </w:rPr>
            </w:pPr>
            <w:r w:rsidRPr="00173470">
              <w:rPr>
                <w:rFonts w:asciiTheme="minorHAnsi" w:eastAsia="Times New Roman" w:hAnsiTheme="minorHAnsi" w:cstheme="minorHAnsi"/>
                <w:sz w:val="20"/>
                <w:szCs w:val="20"/>
                <w:lang w:val="es-ES" w:eastAsia="es-AR"/>
              </w:rPr>
              <w:t>Automóvil Gerencia</w:t>
            </w:r>
          </w:p>
        </w:tc>
        <w:tc>
          <w:tcPr>
            <w:tcW w:w="1985" w:type="dxa"/>
            <w:shd w:val="clear" w:color="auto" w:fill="FFFFFF" w:themeFill="background1"/>
            <w:noWrap/>
            <w:vAlign w:val="center"/>
            <w:hideMark/>
          </w:tcPr>
          <w:p w14:paraId="0C61A8D4" w14:textId="77777777" w:rsidR="0079428C" w:rsidRPr="00173470" w:rsidRDefault="0079428C" w:rsidP="00F1031B">
            <w:pPr>
              <w:spacing w:before="40" w:after="40" w:line="240" w:lineRule="auto"/>
              <w:jc w:val="left"/>
              <w:rPr>
                <w:rFonts w:asciiTheme="minorHAnsi" w:eastAsia="Times New Roman" w:hAnsiTheme="minorHAnsi" w:cstheme="minorHAnsi"/>
                <w:sz w:val="20"/>
                <w:szCs w:val="20"/>
                <w:lang w:val="es-ES" w:eastAsia="es-AR"/>
              </w:rPr>
            </w:pPr>
            <w:r w:rsidRPr="00173470">
              <w:rPr>
                <w:rFonts w:asciiTheme="minorHAnsi" w:eastAsia="Times New Roman" w:hAnsiTheme="minorHAnsi" w:cstheme="minorHAnsi"/>
                <w:sz w:val="20"/>
                <w:szCs w:val="20"/>
                <w:lang w:val="es-ES" w:eastAsia="es-AR"/>
              </w:rPr>
              <w:t>Automóvil Gerencia</w:t>
            </w:r>
          </w:p>
        </w:tc>
        <w:tc>
          <w:tcPr>
            <w:tcW w:w="1418" w:type="dxa"/>
            <w:shd w:val="clear" w:color="auto" w:fill="FFFFFF" w:themeFill="background1"/>
            <w:noWrap/>
            <w:vAlign w:val="center"/>
            <w:hideMark/>
          </w:tcPr>
          <w:p w14:paraId="19968B22" w14:textId="17A4AADA" w:rsidR="0079428C" w:rsidRPr="00173470" w:rsidRDefault="0079428C" w:rsidP="00F1031B">
            <w:pPr>
              <w:spacing w:before="40" w:after="40" w:line="240" w:lineRule="auto"/>
              <w:jc w:val="right"/>
              <w:rPr>
                <w:rFonts w:asciiTheme="minorHAnsi" w:eastAsia="Times New Roman" w:hAnsiTheme="minorHAnsi" w:cstheme="minorHAnsi"/>
                <w:sz w:val="20"/>
                <w:szCs w:val="20"/>
                <w:lang w:val="es-ES" w:eastAsia="es-AR"/>
              </w:rPr>
            </w:pPr>
            <w:r w:rsidRPr="00173470">
              <w:rPr>
                <w:rFonts w:asciiTheme="minorHAnsi" w:hAnsiTheme="minorHAnsi" w:cstheme="minorHAnsi"/>
                <w:sz w:val="20"/>
                <w:szCs w:val="20"/>
              </w:rPr>
              <w:t>18.871,5</w:t>
            </w:r>
          </w:p>
        </w:tc>
        <w:tc>
          <w:tcPr>
            <w:tcW w:w="1418" w:type="dxa"/>
            <w:shd w:val="clear" w:color="auto" w:fill="FFFFFF" w:themeFill="background1"/>
            <w:noWrap/>
            <w:vAlign w:val="center"/>
            <w:hideMark/>
          </w:tcPr>
          <w:p w14:paraId="3F646115" w14:textId="31A5B286" w:rsidR="0079428C" w:rsidRPr="00173470" w:rsidRDefault="0079428C" w:rsidP="00F1031B">
            <w:pPr>
              <w:spacing w:before="40" w:after="40" w:line="240" w:lineRule="auto"/>
              <w:jc w:val="right"/>
              <w:rPr>
                <w:rFonts w:asciiTheme="minorHAnsi" w:eastAsia="Times New Roman" w:hAnsiTheme="minorHAnsi" w:cstheme="minorHAnsi"/>
                <w:sz w:val="20"/>
                <w:szCs w:val="20"/>
                <w:lang w:val="es-ES" w:eastAsia="es-AR"/>
              </w:rPr>
            </w:pPr>
            <w:r w:rsidRPr="00173470">
              <w:rPr>
                <w:rFonts w:asciiTheme="minorHAnsi" w:hAnsiTheme="minorHAnsi" w:cstheme="minorHAnsi"/>
                <w:sz w:val="20"/>
                <w:szCs w:val="20"/>
              </w:rPr>
              <w:t>11.088,0</w:t>
            </w:r>
          </w:p>
        </w:tc>
        <w:tc>
          <w:tcPr>
            <w:tcW w:w="1418" w:type="dxa"/>
            <w:shd w:val="clear" w:color="auto" w:fill="FFFFFF" w:themeFill="background1"/>
            <w:vAlign w:val="center"/>
          </w:tcPr>
          <w:p w14:paraId="08ED3248" w14:textId="77777777" w:rsidR="0079428C" w:rsidRPr="00173470" w:rsidRDefault="0079428C" w:rsidP="00173470">
            <w:pPr>
              <w:spacing w:before="40" w:after="40" w:line="240" w:lineRule="auto"/>
              <w:jc w:val="center"/>
              <w:rPr>
                <w:rFonts w:asciiTheme="minorHAnsi" w:hAnsiTheme="minorHAnsi" w:cstheme="minorHAnsi"/>
                <w:sz w:val="20"/>
                <w:szCs w:val="20"/>
                <w:lang w:val="es-ES"/>
              </w:rPr>
            </w:pPr>
            <w:r w:rsidRPr="00173470">
              <w:rPr>
                <w:rFonts w:asciiTheme="minorHAnsi" w:hAnsiTheme="minorHAnsi" w:cstheme="minorHAnsi"/>
                <w:sz w:val="20"/>
                <w:szCs w:val="20"/>
              </w:rPr>
              <w:t>-41%</w:t>
            </w:r>
          </w:p>
        </w:tc>
        <w:tc>
          <w:tcPr>
            <w:tcW w:w="1418" w:type="dxa"/>
            <w:shd w:val="clear" w:color="auto" w:fill="FFFFFF" w:themeFill="background1"/>
            <w:vAlign w:val="center"/>
          </w:tcPr>
          <w:p w14:paraId="0EAEAADB" w14:textId="755E69F6" w:rsidR="0079428C" w:rsidRPr="00173470" w:rsidRDefault="0079428C" w:rsidP="00F1031B">
            <w:pPr>
              <w:spacing w:before="40" w:after="40" w:line="240" w:lineRule="auto"/>
              <w:jc w:val="right"/>
              <w:rPr>
                <w:rFonts w:asciiTheme="minorHAnsi" w:hAnsiTheme="minorHAnsi" w:cstheme="minorHAnsi"/>
                <w:sz w:val="20"/>
                <w:szCs w:val="20"/>
                <w:lang w:val="es-ES"/>
              </w:rPr>
            </w:pPr>
            <w:r w:rsidRPr="00173470">
              <w:rPr>
                <w:rFonts w:asciiTheme="minorHAnsi" w:hAnsiTheme="minorHAnsi" w:cstheme="minorHAnsi"/>
                <w:sz w:val="20"/>
                <w:szCs w:val="20"/>
              </w:rPr>
              <w:t>11.088,0</w:t>
            </w:r>
          </w:p>
        </w:tc>
      </w:tr>
    </w:tbl>
    <w:p w14:paraId="3A9B6560" w14:textId="77777777" w:rsidR="00B82EE2" w:rsidRDefault="00B82EE2" w:rsidP="00F1031B">
      <w:pPr>
        <w:spacing w:after="0" w:line="240" w:lineRule="auto"/>
        <w:jc w:val="left"/>
        <w:rPr>
          <w:lang w:val="es-ES"/>
        </w:rPr>
      </w:pPr>
    </w:p>
    <w:p w14:paraId="106A8E5F" w14:textId="425E66D2" w:rsidR="0079428C" w:rsidRPr="00C5378B" w:rsidRDefault="0079428C" w:rsidP="0079428C">
      <w:pPr>
        <w:jc w:val="left"/>
        <w:rPr>
          <w:lang w:val="es-ES"/>
        </w:rPr>
      </w:pPr>
      <w:r w:rsidRPr="00C5378B">
        <w:rPr>
          <w:lang w:val="es-ES"/>
        </w:rPr>
        <w:t xml:space="preserve">En general se verifica la conveniencia de arriendo vs compra, salvo el caso de algunos vehículos como el camión grúa y </w:t>
      </w:r>
      <w:r w:rsidRPr="00C34553">
        <w:rPr>
          <w:i/>
          <w:lang w:val="es-ES"/>
        </w:rPr>
        <w:t>bulldozer</w:t>
      </w:r>
      <w:r w:rsidRPr="00C5378B">
        <w:rPr>
          <w:lang w:val="es-ES"/>
        </w:rPr>
        <w:t xml:space="preserve">. </w:t>
      </w:r>
    </w:p>
    <w:p w14:paraId="62E48A7B" w14:textId="0611EA71" w:rsidR="0079428C" w:rsidRPr="00C5378B" w:rsidRDefault="0079428C" w:rsidP="0079428C">
      <w:pPr>
        <w:rPr>
          <w:lang w:val="es-ES"/>
        </w:rPr>
      </w:pPr>
      <w:r w:rsidRPr="00C5378B">
        <w:rPr>
          <w:lang w:val="es-ES"/>
        </w:rPr>
        <w:t xml:space="preserve">Existen otras ventajas de arriendo frente a compra, que no es posible cuantificar, como por ejemplo la disponibilidad del vehículo y su actualización.  Sobre la base de </w:t>
      </w:r>
      <w:r w:rsidR="00C34553" w:rsidRPr="00C5378B">
        <w:rPr>
          <w:lang w:val="es-ES"/>
        </w:rPr>
        <w:t>la comparación</w:t>
      </w:r>
      <w:r w:rsidRPr="00C5378B">
        <w:rPr>
          <w:lang w:val="es-ES"/>
        </w:rPr>
        <w:t xml:space="preserve"> señalada y aún cuando existan diferencias menores al 10%, y teniendo en cuenta las prácticas habituales de las empresas se considera que la </w:t>
      </w:r>
      <w:r w:rsidR="001A6E11" w:rsidRPr="00C5378B">
        <w:rPr>
          <w:lang w:val="es-ES"/>
        </w:rPr>
        <w:t>EM</w:t>
      </w:r>
      <w:r w:rsidRPr="00C5378B">
        <w:rPr>
          <w:lang w:val="es-ES"/>
        </w:rPr>
        <w:t xml:space="preserve"> y su contratista asumen </w:t>
      </w:r>
      <w:r w:rsidR="00D409FA" w:rsidRPr="00C5378B">
        <w:rPr>
          <w:lang w:val="es-ES"/>
        </w:rPr>
        <w:t>políticas</w:t>
      </w:r>
      <w:r w:rsidRPr="00C5378B">
        <w:rPr>
          <w:lang w:val="es-ES"/>
        </w:rPr>
        <w:t xml:space="preserve"> de arriendo para sus vehículos excepto los vehículos camión grúa y bulldozer donde las diferencias son significativas en la opción de compra.</w:t>
      </w:r>
    </w:p>
    <w:p w14:paraId="74A184D2" w14:textId="4C7397DE" w:rsidR="0079428C" w:rsidRPr="00B06D23" w:rsidRDefault="0079428C" w:rsidP="0079428C">
      <w:pPr>
        <w:rPr>
          <w:lang w:val="es-ES"/>
        </w:rPr>
      </w:pPr>
      <w:r w:rsidRPr="00C5378B">
        <w:rPr>
          <w:lang w:val="es-ES"/>
        </w:rPr>
        <w:t xml:space="preserve">En el </w:t>
      </w:r>
      <w:r w:rsidR="00B82EE2">
        <w:rPr>
          <w:lang w:val="es-ES"/>
        </w:rPr>
        <w:t>“</w:t>
      </w:r>
      <w:r w:rsidRPr="00C5378B">
        <w:rPr>
          <w:lang w:val="es-ES"/>
        </w:rPr>
        <w:t xml:space="preserve">Anexo </w:t>
      </w:r>
      <w:r w:rsidR="00B82EE2">
        <w:rPr>
          <w:lang w:val="es-ES"/>
        </w:rPr>
        <w:t>COMA</w:t>
      </w:r>
      <w:r w:rsidRPr="00C5378B">
        <w:rPr>
          <w:lang w:val="es-ES"/>
        </w:rPr>
        <w:t>_3 Modelo/Datos/ Vehículos</w:t>
      </w:r>
      <w:r w:rsidR="00B82EE2">
        <w:rPr>
          <w:lang w:val="es-ES"/>
        </w:rPr>
        <w:t>”</w:t>
      </w:r>
      <w:r w:rsidRPr="00C5378B">
        <w:rPr>
          <w:lang w:val="es-ES"/>
        </w:rPr>
        <w:t xml:space="preserve"> se encuentra el análisis de conveniencia</w:t>
      </w:r>
      <w:r w:rsidRPr="00B06D23">
        <w:rPr>
          <w:lang w:val="es-ES"/>
        </w:rPr>
        <w:t xml:space="preserve"> de alquiler vs compra de vehículos.</w:t>
      </w:r>
    </w:p>
    <w:p w14:paraId="73715AF5" w14:textId="4F2BC022" w:rsidR="0079428C" w:rsidRPr="00B06D23" w:rsidRDefault="0079428C" w:rsidP="0079428C">
      <w:pPr>
        <w:spacing w:after="240"/>
        <w:rPr>
          <w:lang w:val="es-ES"/>
        </w:rPr>
      </w:pPr>
      <w:r w:rsidRPr="00B06D23">
        <w:rPr>
          <w:lang w:val="es-ES"/>
        </w:rPr>
        <w:t xml:space="preserve">Se dimensionó la cantidad de vehículos de la </w:t>
      </w:r>
      <w:r w:rsidR="001A6E11">
        <w:rPr>
          <w:lang w:val="es-ES"/>
        </w:rPr>
        <w:t>EM</w:t>
      </w:r>
      <w:r w:rsidRPr="00B06D23">
        <w:rPr>
          <w:lang w:val="es-ES"/>
        </w:rPr>
        <w:t xml:space="preserve"> en función de la cantidad y tipo de cuadrillas que resulten para atender la operación y mantenimiento de los activos de la empresa de transmisión nacional. Los costos de los vehículos de las cuadrillas de terreno tercerizadas se incorporan al costo del servicio tercerizado.</w:t>
      </w:r>
    </w:p>
    <w:p w14:paraId="5EBB4DC8" w14:textId="5128CD44" w:rsidR="0079428C" w:rsidRPr="00C5378B" w:rsidRDefault="0079428C" w:rsidP="0079428C">
      <w:pPr>
        <w:spacing w:after="240"/>
        <w:rPr>
          <w:lang w:val="es-ES"/>
        </w:rPr>
      </w:pPr>
      <w:r w:rsidRPr="00B06D23">
        <w:rPr>
          <w:lang w:val="es-ES"/>
        </w:rPr>
        <w:t xml:space="preserve">Adicionalmente y sobre la base de la cantidad de personal de supervisión y control de las tareas de O&amp;M se dimensionó la cantidad de vehículos para el traslado del personal propio de la estructura </w:t>
      </w:r>
      <w:r w:rsidRPr="00C5378B">
        <w:rPr>
          <w:lang w:val="es-ES"/>
        </w:rPr>
        <w:t xml:space="preserve">de la </w:t>
      </w:r>
      <w:r w:rsidR="001A6E11" w:rsidRPr="00C5378B">
        <w:rPr>
          <w:lang w:val="es-ES"/>
        </w:rPr>
        <w:t>EM</w:t>
      </w:r>
      <w:r w:rsidRPr="00C5378B">
        <w:rPr>
          <w:lang w:val="es-ES"/>
        </w:rPr>
        <w:t>.</w:t>
      </w:r>
    </w:p>
    <w:p w14:paraId="423A0E19" w14:textId="50895CBA" w:rsidR="004637BA" w:rsidRPr="00C5378B" w:rsidRDefault="004637BA" w:rsidP="004637BA">
      <w:pPr>
        <w:pStyle w:val="Ttulo3"/>
      </w:pPr>
      <w:bookmarkStart w:id="392" w:name="_Toc39797843"/>
      <w:r w:rsidRPr="00C5378B">
        <w:t>Capital de Explotación</w:t>
      </w:r>
      <w:bookmarkEnd w:id="392"/>
    </w:p>
    <w:p w14:paraId="628F417B" w14:textId="00E1453E" w:rsidR="004637BA" w:rsidRPr="00C5378B" w:rsidRDefault="00C5378B" w:rsidP="004637BA">
      <w:pPr>
        <w:spacing w:after="240"/>
        <w:rPr>
          <w:lang w:val="es-ES"/>
        </w:rPr>
      </w:pPr>
      <w:r>
        <w:t xml:space="preserve">De acuerdo a lo </w:t>
      </w:r>
      <w:r w:rsidR="004637BA" w:rsidRPr="00C5378B">
        <w:rPr>
          <w:lang w:val="es-ES"/>
        </w:rPr>
        <w:t xml:space="preserve">establecen las bases técnicas del estudio en el numeral b.8 del </w:t>
      </w:r>
      <w:r w:rsidR="00C34553" w:rsidRPr="00C5378B">
        <w:rPr>
          <w:lang w:val="es-ES"/>
        </w:rPr>
        <w:t>capítulo</w:t>
      </w:r>
      <w:r w:rsidR="004637BA" w:rsidRPr="00C5378B">
        <w:rPr>
          <w:lang w:val="es-ES"/>
        </w:rPr>
        <w:t xml:space="preserve"> 3.4.1.4 DE LOS ÍTEMS DE COSTOS</w:t>
      </w:r>
      <w:r>
        <w:rPr>
          <w:lang w:val="es-ES"/>
        </w:rPr>
        <w:t>,</w:t>
      </w:r>
      <w:r w:rsidR="004637BA" w:rsidRPr="00C5378B">
        <w:rPr>
          <w:lang w:val="es-ES"/>
        </w:rPr>
        <w:t xml:space="preserve"> el capital de explotación se calculó como </w:t>
      </w:r>
      <w:r>
        <w:rPr>
          <w:lang w:val="es-ES"/>
        </w:rPr>
        <w:t>dos doceavos</w:t>
      </w:r>
      <w:r w:rsidR="004637BA" w:rsidRPr="00C5378B">
        <w:rPr>
          <w:lang w:val="es-ES"/>
        </w:rPr>
        <w:t xml:space="preserve"> del costo anual de operación, mantención y administración de la inversión correspondiente.</w:t>
      </w:r>
    </w:p>
    <w:p w14:paraId="610161C7" w14:textId="67014B1B" w:rsidR="004637BA" w:rsidRPr="005E7F2E" w:rsidRDefault="004637BA" w:rsidP="004637BA">
      <w:pPr>
        <w:spacing w:after="240"/>
        <w:rPr>
          <w:lang w:val="es-ES"/>
        </w:rPr>
      </w:pPr>
      <w:r w:rsidRPr="005E7F2E">
        <w:rPr>
          <w:lang w:val="es-ES"/>
        </w:rPr>
        <w:t>El cálculo se encuentra en el archivo denominado Capital de Explotacion_Intangibles_BMI.xlsx.</w:t>
      </w:r>
    </w:p>
    <w:p w14:paraId="50C84373" w14:textId="19438E97" w:rsidR="00A7379F" w:rsidRPr="005E7F2E" w:rsidRDefault="00A7379F" w:rsidP="00A7379F">
      <w:pPr>
        <w:pStyle w:val="Ttulo3"/>
      </w:pPr>
      <w:bookmarkStart w:id="393" w:name="_Toc32389959"/>
      <w:bookmarkStart w:id="394" w:name="_Toc34398153"/>
      <w:bookmarkStart w:id="395" w:name="_Toc36796959"/>
      <w:bookmarkStart w:id="396" w:name="_Toc39797844"/>
      <w:bookmarkStart w:id="397" w:name="_Toc24439460"/>
      <w:bookmarkStart w:id="398" w:name="_Toc32389957"/>
      <w:bookmarkStart w:id="399" w:name="_Toc34398154"/>
      <w:r w:rsidRPr="005E7F2E">
        <w:lastRenderedPageBreak/>
        <w:t xml:space="preserve">Metodología de asignación del </w:t>
      </w:r>
      <w:r w:rsidR="005A6F95">
        <w:t>C.O.M.A.</w:t>
      </w:r>
      <w:bookmarkEnd w:id="393"/>
      <w:bookmarkEnd w:id="394"/>
      <w:bookmarkEnd w:id="395"/>
      <w:bookmarkEnd w:id="396"/>
    </w:p>
    <w:p w14:paraId="2DD0863E" w14:textId="2E2CD954" w:rsidR="00A7379F" w:rsidRPr="005E7F2E" w:rsidRDefault="00A7379F" w:rsidP="00A7379F">
      <w:pPr>
        <w:rPr>
          <w:u w:val="single"/>
          <w:lang w:val="es-ES"/>
        </w:rPr>
      </w:pPr>
      <w:r w:rsidRPr="005E7F2E">
        <w:rPr>
          <w:lang w:val="es-ES"/>
        </w:rPr>
        <w:t xml:space="preserve">Las bases técnicas indican que: </w:t>
      </w:r>
      <w:r w:rsidR="00453859" w:rsidRPr="005E7F2E">
        <w:rPr>
          <w:i/>
          <w:lang w:val="es-ES"/>
        </w:rPr>
        <w:t>“</w:t>
      </w:r>
      <w:r w:rsidRPr="005E7F2E">
        <w:rPr>
          <w:i/>
          <w:lang w:val="es-ES"/>
        </w:rPr>
        <w:t xml:space="preserve">Sin perjuicio de que el consultor deberá entregar los </w:t>
      </w:r>
      <w:r w:rsidR="005A6F95">
        <w:rPr>
          <w:i/>
          <w:lang w:val="es-ES"/>
        </w:rPr>
        <w:t>C.O.M.A.</w:t>
      </w:r>
      <w:r w:rsidRPr="005E7F2E">
        <w:rPr>
          <w:i/>
          <w:lang w:val="es-ES"/>
        </w:rPr>
        <w:t xml:space="preserve"> individuales asociados a los tramos del sistema de transmisión, </w:t>
      </w:r>
      <w:r w:rsidRPr="005E7F2E">
        <w:rPr>
          <w:i/>
          <w:u w:val="single"/>
          <w:lang w:val="es-ES"/>
        </w:rPr>
        <w:t xml:space="preserve">a prorrata de la anualidad de la inversión de dichos tramos sin considerar bienes intangibles y capital de explotación, el valor total de </w:t>
      </w:r>
      <w:r w:rsidR="005A6F95">
        <w:rPr>
          <w:i/>
          <w:u w:val="single"/>
          <w:lang w:val="es-ES"/>
        </w:rPr>
        <w:t>C.O.M.A.</w:t>
      </w:r>
      <w:r w:rsidRPr="005E7F2E">
        <w:rPr>
          <w:i/>
          <w:u w:val="single"/>
          <w:lang w:val="es-ES"/>
        </w:rPr>
        <w:t>..."</w:t>
      </w:r>
    </w:p>
    <w:p w14:paraId="59745AFB" w14:textId="19F54E13" w:rsidR="00650CB1" w:rsidRPr="005E7F2E" w:rsidRDefault="00A7379F" w:rsidP="00A7379F">
      <w:pPr>
        <w:rPr>
          <w:lang w:val="es-ES"/>
        </w:rPr>
      </w:pPr>
      <w:r w:rsidRPr="005E7F2E">
        <w:rPr>
          <w:lang w:val="es-ES"/>
        </w:rPr>
        <w:t xml:space="preserve">Por lo indicado y para dar cumplimiento estricto a las bases técnicas se prorratea el C.O.M.A total </w:t>
      </w:r>
      <w:r w:rsidR="0026027D" w:rsidRPr="005E7F2E">
        <w:rPr>
          <w:lang w:val="es-ES"/>
        </w:rPr>
        <w:t>considerando la anualidad de la</w:t>
      </w:r>
      <w:r w:rsidRPr="005E7F2E">
        <w:rPr>
          <w:lang w:val="es-ES"/>
        </w:rPr>
        <w:t xml:space="preserve"> inversión de cada tramo</w:t>
      </w:r>
      <w:r w:rsidR="0026027D" w:rsidRPr="005E7F2E">
        <w:rPr>
          <w:lang w:val="es-ES"/>
        </w:rPr>
        <w:t xml:space="preserve">. La anualidad de la inversión de cada tramo es la suma del AVI eléctrico más el AVI Bienes Muebles e </w:t>
      </w:r>
      <w:r w:rsidR="00C34553" w:rsidRPr="005E7F2E">
        <w:rPr>
          <w:lang w:val="es-ES"/>
        </w:rPr>
        <w:t>Inmuebles, sin</w:t>
      </w:r>
      <w:r w:rsidRPr="005E7F2E">
        <w:rPr>
          <w:lang w:val="es-ES"/>
        </w:rPr>
        <w:t xml:space="preserve"> considerar bienes intangibles y capital de explotación.</w:t>
      </w:r>
    </w:p>
    <w:p w14:paraId="00A06FC6" w14:textId="1781BEF4" w:rsidR="00497E94" w:rsidRPr="005E7F2E" w:rsidRDefault="00650CB1" w:rsidP="00A7379F">
      <w:pPr>
        <w:rPr>
          <w:lang w:val="es-ES"/>
        </w:rPr>
      </w:pPr>
      <w:r w:rsidRPr="005E7F2E">
        <w:rPr>
          <w:lang w:val="es-ES"/>
        </w:rPr>
        <w:t>Para esta asignación del C.O.M.A se descuenta</w:t>
      </w:r>
      <w:r w:rsidR="00497E94" w:rsidRPr="005E7F2E">
        <w:rPr>
          <w:lang w:val="es-ES"/>
        </w:rPr>
        <w:t xml:space="preserve"> del mismo</w:t>
      </w:r>
      <w:r w:rsidRPr="005E7F2E">
        <w:rPr>
          <w:lang w:val="es-ES"/>
        </w:rPr>
        <w:t xml:space="preserve"> el costo del estudio de transmisión nacional, ya que </w:t>
      </w:r>
      <w:r w:rsidR="00844DBB" w:rsidRPr="005E7F2E">
        <w:rPr>
          <w:lang w:val="es-ES"/>
        </w:rPr>
        <w:t xml:space="preserve">conforme lo indicado en la LGSE, a las empresas de transmisión se les debe devolver el gasto incurrido por concepto del estudio de transmisión nacional. Por lo indicado el costo del estudio </w:t>
      </w:r>
      <w:r w:rsidRPr="005E7F2E">
        <w:rPr>
          <w:lang w:val="es-ES"/>
        </w:rPr>
        <w:t xml:space="preserve">se asigna separadamente </w:t>
      </w:r>
      <w:r w:rsidR="00844DBB" w:rsidRPr="005E7F2E">
        <w:rPr>
          <w:lang w:val="es-ES"/>
        </w:rPr>
        <w:t xml:space="preserve">de manera que </w:t>
      </w:r>
      <w:r w:rsidR="00497E94" w:rsidRPr="005E7F2E">
        <w:rPr>
          <w:lang w:val="es-ES"/>
        </w:rPr>
        <w:t>la suma de lo asignado a los tramos de cada propietario coincida con la proporción de costos real resultante de la asignación efectu</w:t>
      </w:r>
      <w:r w:rsidR="00844DBB" w:rsidRPr="005E7F2E">
        <w:rPr>
          <w:lang w:val="es-ES"/>
        </w:rPr>
        <w:t>ada por la CNE en la Resolución N° 427.</w:t>
      </w:r>
    </w:p>
    <w:p w14:paraId="0A5E0CF6" w14:textId="79DA39FA" w:rsidR="0079428C" w:rsidRPr="00F465C5" w:rsidRDefault="0079428C" w:rsidP="0079428C">
      <w:pPr>
        <w:pStyle w:val="Ttulo3"/>
      </w:pPr>
      <w:bookmarkStart w:id="400" w:name="_Toc39797845"/>
      <w:r w:rsidRPr="00F465C5">
        <w:t xml:space="preserve">Modelo de cálculo del </w:t>
      </w:r>
      <w:r w:rsidR="005A6F95">
        <w:t>C.O.M.A.</w:t>
      </w:r>
      <w:bookmarkEnd w:id="397"/>
      <w:bookmarkEnd w:id="398"/>
      <w:bookmarkEnd w:id="399"/>
      <w:bookmarkEnd w:id="400"/>
    </w:p>
    <w:p w14:paraId="5523EAD2" w14:textId="4A84724B" w:rsidR="0079428C" w:rsidRPr="00B06D23" w:rsidRDefault="0079428C" w:rsidP="0079428C">
      <w:pPr>
        <w:tabs>
          <w:tab w:val="left" w:pos="5954"/>
        </w:tabs>
        <w:rPr>
          <w:rFonts w:cs="Arial"/>
          <w:szCs w:val="22"/>
          <w:lang w:val="es-ES"/>
        </w:rPr>
      </w:pPr>
      <w:r w:rsidRPr="00B06D23">
        <w:rPr>
          <w:rFonts w:cs="Arial"/>
          <w:szCs w:val="22"/>
          <w:lang w:val="es-ES"/>
        </w:rPr>
        <w:t xml:space="preserve">Este punto presenta la descripción funcional del modelo que realizará los cálculos del </w:t>
      </w:r>
      <w:r w:rsidR="00C34553">
        <w:rPr>
          <w:rFonts w:cs="Arial"/>
          <w:szCs w:val="22"/>
          <w:lang w:val="es-ES"/>
        </w:rPr>
        <w:t>C.O.M.A.</w:t>
      </w:r>
    </w:p>
    <w:p w14:paraId="5DF44FA2" w14:textId="77777777" w:rsidR="0079428C" w:rsidRPr="00B06D23" w:rsidRDefault="0079428C" w:rsidP="0079428C">
      <w:pPr>
        <w:tabs>
          <w:tab w:val="left" w:pos="5954"/>
        </w:tabs>
        <w:rPr>
          <w:rFonts w:cs="Arial"/>
          <w:szCs w:val="22"/>
          <w:lang w:val="es-ES"/>
        </w:rPr>
      </w:pPr>
      <w:r w:rsidRPr="00B06D23">
        <w:rPr>
          <w:rFonts w:cs="Arial"/>
          <w:szCs w:val="22"/>
          <w:lang w:val="es-ES"/>
        </w:rPr>
        <w:t>Para el cálculo de los costos eficientes de las actividades de explotación, el consultor utilizará un software especialmente desarrollado que asegura la trazabilidad, la facilidad de seguimiento y la consistencia de los datos y resultados. La aplicación será desarrollada en MS Excel®.</w:t>
      </w:r>
    </w:p>
    <w:p w14:paraId="009FCF6D" w14:textId="77777777" w:rsidR="0079428C" w:rsidRPr="00B06D23" w:rsidRDefault="0079428C" w:rsidP="0079428C">
      <w:pPr>
        <w:tabs>
          <w:tab w:val="left" w:pos="5954"/>
        </w:tabs>
        <w:rPr>
          <w:rFonts w:cs="Arial"/>
          <w:szCs w:val="22"/>
          <w:lang w:val="es-ES"/>
        </w:rPr>
      </w:pPr>
      <w:r w:rsidRPr="00B06D23">
        <w:rPr>
          <w:rFonts w:cs="Arial"/>
          <w:szCs w:val="22"/>
          <w:lang w:val="es-ES"/>
        </w:rPr>
        <w:t>El software desarrollado para el cálculo de los costos de administración y costos directos de operación y mantenimiento y comercialización se denomina ME-ROMA (</w:t>
      </w:r>
      <w:r w:rsidRPr="00B06D23">
        <w:rPr>
          <w:rFonts w:cs="Arial"/>
          <w:i/>
          <w:iCs/>
          <w:szCs w:val="22"/>
          <w:lang w:val="es-ES"/>
        </w:rPr>
        <w:t>Requirements of Operation, Maintenance and Administration</w:t>
      </w:r>
      <w:r w:rsidRPr="00B06D23">
        <w:rPr>
          <w:rFonts w:cs="Arial"/>
          <w:szCs w:val="22"/>
          <w:lang w:val="es-ES"/>
        </w:rPr>
        <w:t>), el mismo permite detallar las diferentes tareas que se realizan para operar el sistema eléctrico, llevar a cabo el mantenimiento correctivo y preventivo, y describir los costos de su estructura administrativa y en términos generales permite considerar cualquier otra tarea que resulte necesaria considerar en el diseño de la empresa eficiente de transmisión nacional.</w:t>
      </w:r>
    </w:p>
    <w:p w14:paraId="0DE52659" w14:textId="77777777" w:rsidR="0079428C" w:rsidRPr="00B06D23" w:rsidRDefault="0079428C" w:rsidP="0079428C">
      <w:pPr>
        <w:tabs>
          <w:tab w:val="left" w:pos="5954"/>
        </w:tabs>
        <w:rPr>
          <w:rFonts w:cs="Arial"/>
          <w:szCs w:val="22"/>
          <w:lang w:val="es-ES"/>
        </w:rPr>
      </w:pPr>
      <w:r w:rsidRPr="00B06D23">
        <w:rPr>
          <w:rFonts w:cs="Arial"/>
          <w:szCs w:val="22"/>
          <w:lang w:val="es-ES"/>
        </w:rPr>
        <w:t>En el siguiente gráfico incorporamos una visión funcional del costeo, centrada en la trazabilidad y operación del sistema.</w:t>
      </w:r>
    </w:p>
    <w:p w14:paraId="2AFCDC15" w14:textId="77777777" w:rsidR="0079428C" w:rsidRPr="00B06D23" w:rsidRDefault="0079428C" w:rsidP="00273FE4">
      <w:pPr>
        <w:pStyle w:val="Prrafodelista"/>
        <w:numPr>
          <w:ilvl w:val="0"/>
          <w:numId w:val="69"/>
        </w:numPr>
        <w:ind w:left="567" w:hanging="567"/>
        <w:rPr>
          <w:lang w:val="es-ES"/>
        </w:rPr>
      </w:pPr>
      <w:r w:rsidRPr="00B06D23">
        <w:rPr>
          <w:lang w:val="es-ES"/>
        </w:rPr>
        <w:t>Generación de elementos de costeo: está constituida por la base de datos de costos unitarios de materiales, servicios y salarios relevados del mercado.</w:t>
      </w:r>
    </w:p>
    <w:p w14:paraId="4193D600" w14:textId="77777777" w:rsidR="0079428C" w:rsidRPr="00B06D23" w:rsidRDefault="0079428C" w:rsidP="00273FE4">
      <w:pPr>
        <w:pStyle w:val="Prrafodelista"/>
        <w:numPr>
          <w:ilvl w:val="0"/>
          <w:numId w:val="69"/>
        </w:numPr>
        <w:ind w:left="567" w:hanging="567"/>
        <w:rPr>
          <w:lang w:val="es-ES"/>
        </w:rPr>
      </w:pPr>
      <w:r w:rsidRPr="00B06D23">
        <w:rPr>
          <w:lang w:val="es-ES"/>
        </w:rPr>
        <w:lastRenderedPageBreak/>
        <w:t>Proyectos de costeo: está constituida por la infraestructura de los activos físicos, es decir estaciones transformadoras, líneas, paños, y equipos de compensación.</w:t>
      </w:r>
    </w:p>
    <w:p w14:paraId="5F85A151" w14:textId="77777777" w:rsidR="0079428C" w:rsidRPr="00B06D23" w:rsidRDefault="0079428C" w:rsidP="00273FE4">
      <w:pPr>
        <w:pStyle w:val="Prrafodelista"/>
        <w:numPr>
          <w:ilvl w:val="0"/>
          <w:numId w:val="69"/>
        </w:numPr>
        <w:ind w:left="567" w:hanging="567"/>
        <w:rPr>
          <w:lang w:val="es-ES"/>
        </w:rPr>
      </w:pPr>
      <w:r w:rsidRPr="00B06D23">
        <w:rPr>
          <w:lang w:val="es-ES"/>
        </w:rPr>
        <w:t>Análisis de resultados: son las tablas de salida según los requerimientos de las bases técnicas.</w:t>
      </w:r>
    </w:p>
    <w:p w14:paraId="0FE9A0F3" w14:textId="77777777" w:rsidR="00191EBB" w:rsidRDefault="00191EBB">
      <w:pPr>
        <w:spacing w:after="0" w:line="240" w:lineRule="auto"/>
        <w:jc w:val="left"/>
        <w:rPr>
          <w:b/>
          <w:iCs/>
          <w:sz w:val="22"/>
          <w:szCs w:val="20"/>
        </w:rPr>
      </w:pPr>
      <w:r>
        <w:br w:type="page"/>
      </w:r>
    </w:p>
    <w:p w14:paraId="248A8462" w14:textId="1963420D" w:rsidR="0079428C" w:rsidRPr="00B06D23" w:rsidRDefault="0067128F" w:rsidP="0067128F">
      <w:pPr>
        <w:pStyle w:val="Subttulo"/>
        <w:rPr>
          <w:rFonts w:eastAsia="Times New Roman" w:cs="Calibri"/>
          <w:lang w:val="es-ES" w:eastAsia="es-ES"/>
        </w:rPr>
      </w:pPr>
      <w:bookmarkStart w:id="401" w:name="_Toc39797988"/>
      <w:r>
        <w:lastRenderedPageBreak/>
        <w:t xml:space="preserve">Ilustración </w:t>
      </w:r>
      <w:fldSimple w:instr=" SEQ Ilustración \* ARABIC ">
        <w:r w:rsidR="001F3E2E">
          <w:rPr>
            <w:noProof/>
          </w:rPr>
          <w:t>7</w:t>
        </w:r>
      </w:fldSimple>
      <w:r>
        <w:t>:</w:t>
      </w:r>
      <w:r>
        <w:rPr>
          <w:rFonts w:eastAsia="Times New Roman" w:cs="Calibri"/>
          <w:lang w:val="es-ES" w:eastAsia="es-ES"/>
        </w:rPr>
        <w:t xml:space="preserve"> </w:t>
      </w:r>
      <w:r w:rsidR="0079428C" w:rsidRPr="00B06D23">
        <w:rPr>
          <w:rFonts w:eastAsia="Times New Roman" w:cs="Calibri"/>
          <w:lang w:val="es-ES" w:eastAsia="es-ES"/>
        </w:rPr>
        <w:t>Flujograma de Costeo</w:t>
      </w:r>
      <w:bookmarkEnd w:id="401"/>
    </w:p>
    <w:p w14:paraId="710562EA" w14:textId="77777777" w:rsidR="0079428C" w:rsidRPr="00B06D23" w:rsidRDefault="0079428C" w:rsidP="0079428C">
      <w:pPr>
        <w:spacing w:before="60" w:after="120" w:line="240" w:lineRule="auto"/>
        <w:jc w:val="center"/>
        <w:rPr>
          <w:rFonts w:eastAsia="Times New Roman" w:cs="Calibri"/>
          <w:lang w:val="es-ES" w:eastAsia="es-ES"/>
        </w:rPr>
      </w:pPr>
      <w:r w:rsidRPr="00B06D23">
        <w:rPr>
          <w:rFonts w:eastAsia="Times New Roman" w:cs="Calibri"/>
          <w:noProof/>
          <w:lang w:eastAsia="es-CL"/>
        </w:rPr>
        <w:drawing>
          <wp:inline distT="0" distB="0" distL="0" distR="0" wp14:anchorId="184A506B" wp14:editId="1EC009B2">
            <wp:extent cx="5544000" cy="2595600"/>
            <wp:effectExtent l="0" t="0" r="0" b="0"/>
            <wp:docPr id="53"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544000" cy="2595600"/>
                    </a:xfrm>
                    <a:prstGeom prst="rect">
                      <a:avLst/>
                    </a:prstGeom>
                    <a:noFill/>
                    <a:ln>
                      <a:noFill/>
                    </a:ln>
                  </pic:spPr>
                </pic:pic>
              </a:graphicData>
            </a:graphic>
          </wp:inline>
        </w:drawing>
      </w:r>
    </w:p>
    <w:p w14:paraId="76B09780" w14:textId="77777777" w:rsidR="0079428C" w:rsidRPr="00B06D23" w:rsidRDefault="0079428C" w:rsidP="0079428C">
      <w:pPr>
        <w:spacing w:before="60" w:after="120" w:line="240" w:lineRule="auto"/>
        <w:rPr>
          <w:rFonts w:eastAsia="Times New Roman" w:cs="Calibri"/>
          <w:lang w:val="es-ES" w:eastAsia="es-ES"/>
        </w:rPr>
      </w:pPr>
    </w:p>
    <w:p w14:paraId="6FB10A4D" w14:textId="77777777" w:rsidR="0079428C" w:rsidRPr="00B06D23" w:rsidRDefault="0079428C" w:rsidP="0079428C">
      <w:pPr>
        <w:spacing w:before="60" w:after="120" w:line="240" w:lineRule="auto"/>
        <w:rPr>
          <w:rFonts w:eastAsia="Times New Roman" w:cs="Calibri"/>
          <w:lang w:val="es-ES" w:eastAsia="es-ES"/>
        </w:rPr>
      </w:pPr>
      <w:r w:rsidRPr="00B06D23">
        <w:rPr>
          <w:rFonts w:eastAsia="Times New Roman" w:cs="Calibri"/>
          <w:lang w:val="es-ES" w:eastAsia="es-ES"/>
        </w:rPr>
        <w:t>El modelo permite particularizar:</w:t>
      </w:r>
    </w:p>
    <w:p w14:paraId="75E50F1A" w14:textId="77777777" w:rsidR="0079428C" w:rsidRPr="00EE6D42" w:rsidRDefault="0079428C" w:rsidP="00273FE4">
      <w:pPr>
        <w:pStyle w:val="Prrafodelista"/>
        <w:numPr>
          <w:ilvl w:val="0"/>
          <w:numId w:val="69"/>
        </w:numPr>
        <w:ind w:left="567" w:hanging="567"/>
        <w:rPr>
          <w:lang w:val="es-ES"/>
        </w:rPr>
      </w:pPr>
      <w:r w:rsidRPr="00EE6D42">
        <w:rPr>
          <w:lang w:val="es-ES"/>
        </w:rPr>
        <w:t>Las tareas de mantenimiento preventivo y correctivo con su frecuencia de ejecución y cuadrilla asociada para cada Unidad Constructiva (UC) y sus componentes. Por ejemplo, para la UC Paño, las tareas para los componentes interruptor, desconectador, sistema de control y protecciones, sistema de medición.</w:t>
      </w:r>
    </w:p>
    <w:p w14:paraId="6F813E45" w14:textId="49DE09D5" w:rsidR="0079428C" w:rsidRPr="00EE6D42" w:rsidRDefault="0079428C" w:rsidP="00273FE4">
      <w:pPr>
        <w:pStyle w:val="Prrafodelista"/>
        <w:numPr>
          <w:ilvl w:val="0"/>
          <w:numId w:val="69"/>
        </w:numPr>
        <w:ind w:left="567" w:hanging="567"/>
        <w:rPr>
          <w:lang w:val="es-ES"/>
        </w:rPr>
      </w:pPr>
      <w:r w:rsidRPr="00EE6D42">
        <w:rPr>
          <w:lang w:val="es-ES"/>
        </w:rPr>
        <w:t>Las frecuencias específicas de ejecución de tareas de mantenimiento relacionadas con el medio (</w:t>
      </w:r>
      <w:r w:rsidR="00C34553" w:rsidRPr="00EE6D42">
        <w:rPr>
          <w:lang w:val="es-ES"/>
        </w:rPr>
        <w:t>ej. c</w:t>
      </w:r>
      <w:r w:rsidRPr="00EE6D42">
        <w:rPr>
          <w:lang w:val="es-ES"/>
        </w:rPr>
        <w:t>ontaminación salina) para cada UC en particular en función de su ubicación.</w:t>
      </w:r>
    </w:p>
    <w:p w14:paraId="4C3ED793" w14:textId="77777777" w:rsidR="0079428C" w:rsidRPr="00EE6D42" w:rsidRDefault="0079428C" w:rsidP="00273FE4">
      <w:pPr>
        <w:pStyle w:val="Prrafodelista"/>
        <w:numPr>
          <w:ilvl w:val="0"/>
          <w:numId w:val="69"/>
        </w:numPr>
        <w:ind w:left="567" w:hanging="567"/>
        <w:rPr>
          <w:lang w:val="es-ES"/>
        </w:rPr>
      </w:pPr>
      <w:r w:rsidRPr="00EE6D42">
        <w:rPr>
          <w:lang w:val="es-ES"/>
        </w:rPr>
        <w:t>Los tiempos de traslado de las cuadrillas a cada UC en función de su ubicación y la distancia a las sedes técnicas de donde parten las cuadrillas.</w:t>
      </w:r>
    </w:p>
    <w:p w14:paraId="21E0FBA5" w14:textId="77777777" w:rsidR="0079428C" w:rsidRPr="00B06D23" w:rsidRDefault="0079428C" w:rsidP="00EE6D42">
      <w:pPr>
        <w:rPr>
          <w:lang w:val="es-ES"/>
        </w:rPr>
      </w:pPr>
      <w:r w:rsidRPr="00B06D23">
        <w:rPr>
          <w:lang w:val="es-ES"/>
        </w:rPr>
        <w:t>De esta manera el modelo permite definir en forma detallada activo por activo de las tareas, factores exógenos, y tiempos de traslado que permite una adecuada caracterización de los recursos requeridos para las tareas de operación y mantenimiento.</w:t>
      </w:r>
    </w:p>
    <w:p w14:paraId="4F22A93B" w14:textId="0D9AA517" w:rsidR="0079428C" w:rsidRDefault="00A477D0" w:rsidP="00EE6D42">
      <w:pPr>
        <w:rPr>
          <w:lang w:val="es-ES"/>
        </w:rPr>
      </w:pPr>
      <w:r w:rsidRPr="00354C2E">
        <w:rPr>
          <w:lang w:val="es-ES"/>
        </w:rPr>
        <w:t>El modelo se compone</w:t>
      </w:r>
      <w:r w:rsidR="0079428C" w:rsidRPr="00354C2E">
        <w:rPr>
          <w:lang w:val="es-ES"/>
        </w:rPr>
        <w:t xml:space="preserve"> de dos módulos que son:</w:t>
      </w:r>
    </w:p>
    <w:p w14:paraId="7FC3106D" w14:textId="77777777" w:rsidR="0079428C" w:rsidRPr="00EE6D42" w:rsidRDefault="0079428C" w:rsidP="00273FE4">
      <w:pPr>
        <w:pStyle w:val="Prrafodelista"/>
        <w:numPr>
          <w:ilvl w:val="0"/>
          <w:numId w:val="69"/>
        </w:numPr>
        <w:ind w:left="567" w:hanging="567"/>
        <w:rPr>
          <w:lang w:val="es-ES"/>
        </w:rPr>
      </w:pPr>
      <w:r w:rsidRPr="00EE6D42">
        <w:rPr>
          <w:lang w:val="es-ES"/>
        </w:rPr>
        <w:t xml:space="preserve">Estructura Central y Regionales: Archivo “Modelo EC&amp;ER” </w:t>
      </w:r>
    </w:p>
    <w:p w14:paraId="795A1730" w14:textId="10D054E9" w:rsidR="0079428C" w:rsidRDefault="00F64D04" w:rsidP="00273FE4">
      <w:pPr>
        <w:pStyle w:val="Prrafodelista"/>
        <w:numPr>
          <w:ilvl w:val="0"/>
          <w:numId w:val="69"/>
        </w:numPr>
        <w:ind w:left="567" w:hanging="567"/>
        <w:rPr>
          <w:lang w:val="es-ES"/>
        </w:rPr>
      </w:pPr>
      <w:r w:rsidRPr="00EE6D42">
        <w:rPr>
          <w:lang w:val="es-ES"/>
        </w:rPr>
        <w:t>Costos directos de brigadas de OyM: Archivos: “ModeloV4.xlsm” para líneas y “ModeloV4_SE.xlsx” para subestaciones.</w:t>
      </w:r>
    </w:p>
    <w:p w14:paraId="23561ED3" w14:textId="5F6833B9" w:rsidR="00191EBB" w:rsidRPr="00EE6D42" w:rsidRDefault="00FF4022" w:rsidP="00191EBB">
      <w:pPr>
        <w:rPr>
          <w:lang w:val="es-ES"/>
        </w:rPr>
      </w:pPr>
      <w:r w:rsidRPr="001D3BB9">
        <w:rPr>
          <w:lang w:val="es-ES"/>
        </w:rPr>
        <w:lastRenderedPageBreak/>
        <w:t>En “Anexo COMA_8_Explicativo de Carpetas Modelo” se presenta el contenido de las carpetas del modelo, los archivos y su relacionamiento y vinculos con los archivos de soporte</w:t>
      </w:r>
      <w:r w:rsidR="0037282D" w:rsidRPr="001D3BB9">
        <w:rPr>
          <w:lang w:val="es-ES"/>
        </w:rPr>
        <w:t>.</w:t>
      </w:r>
    </w:p>
    <w:p w14:paraId="1038745E" w14:textId="76B5CF6F" w:rsidR="0079428C" w:rsidRPr="00B06D23" w:rsidRDefault="0079428C" w:rsidP="0079428C">
      <w:pPr>
        <w:pStyle w:val="Ttulo4"/>
        <w:rPr>
          <w:lang w:val="es-ES"/>
        </w:rPr>
      </w:pPr>
      <w:bookmarkStart w:id="402" w:name="_Toc34398155"/>
      <w:bookmarkStart w:id="403" w:name="_Toc39797846"/>
      <w:r w:rsidRPr="00B06D23">
        <w:rPr>
          <w:lang w:val="es-ES"/>
        </w:rPr>
        <w:t>Estructura Central y Regionales</w:t>
      </w:r>
      <w:bookmarkEnd w:id="402"/>
      <w:bookmarkEnd w:id="403"/>
    </w:p>
    <w:p w14:paraId="60D4EB3A" w14:textId="5F6FAC73" w:rsidR="0079428C" w:rsidRPr="00B06D23" w:rsidRDefault="0079428C" w:rsidP="0079428C">
      <w:pPr>
        <w:rPr>
          <w:lang w:val="es-ES"/>
        </w:rPr>
      </w:pPr>
      <w:r w:rsidRPr="00B06D23">
        <w:rPr>
          <w:lang w:val="es-ES"/>
        </w:rPr>
        <w:t xml:space="preserve">En este módulo se dimensiona </w:t>
      </w:r>
      <w:r w:rsidR="00A477D0" w:rsidRPr="00B06D23">
        <w:rPr>
          <w:lang w:val="es-ES"/>
        </w:rPr>
        <w:t>y calculan</w:t>
      </w:r>
      <w:r w:rsidRPr="00B06D23">
        <w:rPr>
          <w:lang w:val="es-ES"/>
        </w:rPr>
        <w:t xml:space="preserve"> los costos del personal de plantilla y </w:t>
      </w:r>
      <w:r w:rsidR="00A477D0" w:rsidRPr="00B06D23">
        <w:rPr>
          <w:lang w:val="es-ES"/>
        </w:rPr>
        <w:t>gastos de</w:t>
      </w:r>
      <w:r w:rsidRPr="00B06D23">
        <w:rPr>
          <w:lang w:val="es-ES"/>
        </w:rPr>
        <w:t xml:space="preserve"> la estructura central (“Corporate”) y de las unidades regionales (norte, centro, centro sur y sur).</w:t>
      </w:r>
    </w:p>
    <w:p w14:paraId="6350E8EF" w14:textId="77777777" w:rsidR="0079428C" w:rsidRPr="00B06D23" w:rsidRDefault="0079428C" w:rsidP="0079428C">
      <w:pPr>
        <w:rPr>
          <w:lang w:val="es-ES"/>
        </w:rPr>
      </w:pPr>
      <w:r w:rsidRPr="00B06D23">
        <w:rPr>
          <w:lang w:val="es-ES"/>
        </w:rPr>
        <w:t xml:space="preserve">El modelo esta estructura de manera que se tiene una hoja denominada “Estructura Central” y una hoja para cada una de las regionales (Regional Norte, Centro, Centro Sur y Sur)- </w:t>
      </w:r>
    </w:p>
    <w:p w14:paraId="32050300" w14:textId="7138BED3" w:rsidR="0079428C" w:rsidRPr="00B06D23" w:rsidRDefault="0079428C" w:rsidP="0079428C">
      <w:pPr>
        <w:rPr>
          <w:lang w:val="es-ES"/>
        </w:rPr>
      </w:pPr>
      <w:r w:rsidRPr="00B06D23">
        <w:rPr>
          <w:lang w:val="es-ES"/>
        </w:rPr>
        <w:t xml:space="preserve">En dichas hojas se determina la cantidad de personal </w:t>
      </w:r>
      <w:r w:rsidR="00A477D0" w:rsidRPr="00B06D23">
        <w:rPr>
          <w:lang w:val="es-ES"/>
        </w:rPr>
        <w:t>para las</w:t>
      </w:r>
      <w:r w:rsidRPr="00B06D23">
        <w:rPr>
          <w:lang w:val="es-ES"/>
        </w:rPr>
        <w:t xml:space="preserve"> Gerencias, Subgerencias, Departamentos en consistencia con la </w:t>
      </w:r>
      <w:r w:rsidR="002E6FD1">
        <w:rPr>
          <w:lang w:val="es-ES"/>
        </w:rPr>
        <w:t>organización de la empresa</w:t>
      </w:r>
      <w:r w:rsidRPr="00B06D23">
        <w:rPr>
          <w:lang w:val="es-ES"/>
        </w:rPr>
        <w:t xml:space="preserve"> definida en el </w:t>
      </w:r>
      <w:r w:rsidR="0067128F">
        <w:rPr>
          <w:lang w:val="es-ES"/>
        </w:rPr>
        <w:t>“</w:t>
      </w:r>
      <w:r w:rsidRPr="00B06D23">
        <w:rPr>
          <w:lang w:val="es-ES"/>
        </w:rPr>
        <w:t>Anex</w:t>
      </w:r>
      <w:r w:rsidR="002E6FD1">
        <w:rPr>
          <w:lang w:val="es-ES"/>
        </w:rPr>
        <w:t xml:space="preserve">o </w:t>
      </w:r>
      <w:r w:rsidR="0067128F">
        <w:rPr>
          <w:lang w:val="es-ES"/>
        </w:rPr>
        <w:t>COMA</w:t>
      </w:r>
      <w:r w:rsidR="002E6FD1">
        <w:rPr>
          <w:lang w:val="es-ES"/>
        </w:rPr>
        <w:t>_1_Organización de la Empresa</w:t>
      </w:r>
      <w:r w:rsidR="0067128F">
        <w:rPr>
          <w:lang w:val="es-ES"/>
        </w:rPr>
        <w:t>”</w:t>
      </w:r>
      <w:r w:rsidRPr="00B06D23">
        <w:rPr>
          <w:lang w:val="es-ES"/>
        </w:rPr>
        <w:t>.</w:t>
      </w:r>
    </w:p>
    <w:p w14:paraId="0550D93E" w14:textId="6DF1FBA8" w:rsidR="0079428C" w:rsidRPr="00B06D23" w:rsidRDefault="0079428C" w:rsidP="0079428C">
      <w:pPr>
        <w:rPr>
          <w:lang w:val="es-ES"/>
        </w:rPr>
      </w:pPr>
      <w:r w:rsidRPr="00B06D23">
        <w:rPr>
          <w:lang w:val="es-ES"/>
        </w:rPr>
        <w:t xml:space="preserve">Cada puesto y área tiene asociado </w:t>
      </w:r>
      <w:r w:rsidR="00A477D0" w:rsidRPr="00B06D23">
        <w:rPr>
          <w:lang w:val="es-ES"/>
        </w:rPr>
        <w:t>un ítem</w:t>
      </w:r>
      <w:r w:rsidRPr="00B06D23">
        <w:rPr>
          <w:lang w:val="es-ES"/>
        </w:rPr>
        <w:t xml:space="preserve"> de gastos o bienes muebles e inmuebles que se configura (con 1 o cero) en función de </w:t>
      </w:r>
      <w:r w:rsidR="00A477D0" w:rsidRPr="00B06D23">
        <w:rPr>
          <w:lang w:val="es-ES"/>
        </w:rPr>
        <w:t>los requerimientos</w:t>
      </w:r>
      <w:r w:rsidRPr="00B06D23">
        <w:rPr>
          <w:lang w:val="es-ES"/>
        </w:rPr>
        <w:t xml:space="preserve"> de cada uno.</w:t>
      </w:r>
    </w:p>
    <w:p w14:paraId="09AAC285" w14:textId="77777777" w:rsidR="0079428C" w:rsidRPr="00BC30D9" w:rsidRDefault="0079428C" w:rsidP="0079428C">
      <w:pPr>
        <w:rPr>
          <w:lang w:val="es-ES"/>
        </w:rPr>
      </w:pPr>
      <w:r w:rsidRPr="00B06D23">
        <w:rPr>
          <w:lang w:val="es-ES"/>
        </w:rPr>
        <w:t xml:space="preserve">En forma similar se configuran los gastos o bienes muebles e inmuebles que están asociados al </w:t>
      </w:r>
      <w:r w:rsidRPr="00BC30D9">
        <w:rPr>
          <w:lang w:val="es-ES"/>
        </w:rPr>
        <w:t>Corporate o cada una de las regionales.</w:t>
      </w:r>
    </w:p>
    <w:p w14:paraId="76F5151F" w14:textId="47D54239" w:rsidR="0079428C" w:rsidRPr="00B06D23" w:rsidRDefault="0079428C" w:rsidP="0079428C">
      <w:pPr>
        <w:rPr>
          <w:lang w:val="es-ES"/>
        </w:rPr>
      </w:pPr>
      <w:r w:rsidRPr="00BC30D9">
        <w:rPr>
          <w:lang w:val="es-ES"/>
        </w:rPr>
        <w:t>En la hoja “Atencion_SE” se determina la cantidad de operadores y supervisores de operación en función del tamaño</w:t>
      </w:r>
      <w:r w:rsidR="00C92A2F" w:rsidRPr="00BC30D9">
        <w:rPr>
          <w:lang w:val="es-ES"/>
        </w:rPr>
        <w:t xml:space="preserve"> de la subestación</w:t>
      </w:r>
      <w:r w:rsidRPr="00BC30D9">
        <w:rPr>
          <w:lang w:val="es-ES"/>
        </w:rPr>
        <w:t xml:space="preserve"> y nivel de telemando de la </w:t>
      </w:r>
      <w:r w:rsidR="00C92A2F" w:rsidRPr="00BC30D9">
        <w:rPr>
          <w:lang w:val="es-ES"/>
        </w:rPr>
        <w:t>misma</w:t>
      </w:r>
      <w:r w:rsidRPr="00BC30D9">
        <w:rPr>
          <w:lang w:val="es-ES"/>
        </w:rPr>
        <w:t>. En la misma hoja se estima la cantidad de m2 de bodegas.</w:t>
      </w:r>
    </w:p>
    <w:p w14:paraId="333837EE" w14:textId="6595A0EA" w:rsidR="0079428C" w:rsidRPr="00B06D23" w:rsidRDefault="0079428C" w:rsidP="0079428C">
      <w:pPr>
        <w:rPr>
          <w:lang w:val="es-ES"/>
        </w:rPr>
      </w:pPr>
      <w:r w:rsidRPr="00B06D23">
        <w:rPr>
          <w:lang w:val="es-ES"/>
        </w:rPr>
        <w:t xml:space="preserve">La valorización de los gastos se realiza con los costos unitarios que se encuentran consignados en cada hoja, y que están vinculados al archivo soporte denominado “Precios Insumos No </w:t>
      </w:r>
      <w:r w:rsidR="008425D4" w:rsidRPr="00B06D23">
        <w:rPr>
          <w:lang w:val="es-ES"/>
        </w:rPr>
        <w:t>eléctricos</w:t>
      </w:r>
      <w:r w:rsidRPr="00B06D23">
        <w:rPr>
          <w:lang w:val="es-ES"/>
        </w:rPr>
        <w:t>” que se encuentra en la Carpeta “Datos”. Dentro de dicha carpeta se pueden encontrar los soportes de los costos unitarios utilizados.</w:t>
      </w:r>
    </w:p>
    <w:p w14:paraId="0EC66E12" w14:textId="77777777" w:rsidR="0079428C" w:rsidRPr="00B06D23" w:rsidRDefault="0079428C" w:rsidP="0079428C">
      <w:pPr>
        <w:rPr>
          <w:lang w:val="es-ES"/>
        </w:rPr>
      </w:pPr>
      <w:r w:rsidRPr="00B06D23">
        <w:rPr>
          <w:lang w:val="es-ES"/>
        </w:rPr>
        <w:t>Los costos laborales son tomados de la hoja “Salarios” dentro del mismo archivo que se encuentra vinculada al archivo soporte de la encuesta PWC que se encuentra en la hoja “Datos”.</w:t>
      </w:r>
    </w:p>
    <w:p w14:paraId="6D795C63" w14:textId="367E3F2B" w:rsidR="0079428C" w:rsidRDefault="00A477D0" w:rsidP="00191EBB">
      <w:pPr>
        <w:rPr>
          <w:lang w:val="es-ES"/>
        </w:rPr>
      </w:pPr>
      <w:r w:rsidRPr="00B06D23">
        <w:rPr>
          <w:lang w:val="es-ES"/>
        </w:rPr>
        <w:t>Finalmente,</w:t>
      </w:r>
      <w:r w:rsidR="0079428C" w:rsidRPr="00B06D23">
        <w:rPr>
          <w:lang w:val="es-ES"/>
        </w:rPr>
        <w:t xml:space="preserve"> </w:t>
      </w:r>
      <w:r w:rsidRPr="00B06D23">
        <w:rPr>
          <w:lang w:val="es-ES"/>
        </w:rPr>
        <w:t>la hoja</w:t>
      </w:r>
      <w:r w:rsidR="0079428C" w:rsidRPr="00B06D23">
        <w:rPr>
          <w:lang w:val="es-ES"/>
        </w:rPr>
        <w:t xml:space="preserve"> “Resumen” presenta los resultados del </w:t>
      </w:r>
      <w:r w:rsidR="005A6F95">
        <w:rPr>
          <w:lang w:val="es-ES"/>
        </w:rPr>
        <w:t>C.O.M.A.</w:t>
      </w:r>
      <w:r w:rsidR="0079428C" w:rsidRPr="00B06D23">
        <w:rPr>
          <w:lang w:val="es-ES"/>
        </w:rPr>
        <w:t xml:space="preserve"> de la estructura Central, y las hojas “Tabla Cálculo VATT” y “Tabla Cálculo VATT1 las </w:t>
      </w:r>
      <w:r w:rsidRPr="00B06D23">
        <w:rPr>
          <w:lang w:val="es-ES"/>
        </w:rPr>
        <w:t>hojas que</w:t>
      </w:r>
      <w:r w:rsidR="0079428C" w:rsidRPr="00B06D23">
        <w:rPr>
          <w:lang w:val="es-ES"/>
        </w:rPr>
        <w:t xml:space="preserve"> se utilizan para el cálculo del </w:t>
      </w:r>
      <w:r w:rsidR="005A6F95">
        <w:rPr>
          <w:lang w:val="es-ES"/>
        </w:rPr>
        <w:t>C.O.M.A.</w:t>
      </w:r>
      <w:r w:rsidR="0079428C" w:rsidRPr="00B06D23">
        <w:rPr>
          <w:lang w:val="es-ES"/>
        </w:rPr>
        <w:t xml:space="preserve"> por tramo. </w:t>
      </w:r>
    </w:p>
    <w:p w14:paraId="63DA367A" w14:textId="77777777" w:rsidR="0079428C" w:rsidRPr="00354C2E" w:rsidRDefault="0079428C" w:rsidP="0079428C">
      <w:pPr>
        <w:pStyle w:val="Ttulo4"/>
        <w:rPr>
          <w:lang w:val="es-ES"/>
        </w:rPr>
      </w:pPr>
      <w:bookmarkStart w:id="404" w:name="_Toc34398156"/>
      <w:bookmarkStart w:id="405" w:name="_Ref34639054"/>
      <w:bookmarkStart w:id="406" w:name="_Toc39797847"/>
      <w:r w:rsidRPr="00354C2E">
        <w:rPr>
          <w:lang w:val="es-ES"/>
        </w:rPr>
        <w:t>Costos directos de OyM</w:t>
      </w:r>
      <w:bookmarkEnd w:id="404"/>
      <w:bookmarkEnd w:id="405"/>
      <w:bookmarkEnd w:id="406"/>
    </w:p>
    <w:p w14:paraId="19814A14" w14:textId="77777777" w:rsidR="00F64D04" w:rsidRPr="00354C2E" w:rsidRDefault="00F64D04" w:rsidP="00191EBB">
      <w:pPr>
        <w:rPr>
          <w:lang w:val="es-ES"/>
        </w:rPr>
      </w:pPr>
      <w:r w:rsidRPr="00354C2E">
        <w:rPr>
          <w:lang w:val="es-ES"/>
        </w:rPr>
        <w:t>En este módulo se dimensionan los costos directos de operación y mantenimiento, los cuales son abordados en dos módulos:</w:t>
      </w:r>
    </w:p>
    <w:p w14:paraId="10038E4D" w14:textId="11D91E48" w:rsidR="00F64D04" w:rsidRPr="0067128F" w:rsidRDefault="00F64D04" w:rsidP="00273FE4">
      <w:pPr>
        <w:pStyle w:val="Listanumerada"/>
        <w:numPr>
          <w:ilvl w:val="0"/>
          <w:numId w:val="26"/>
        </w:numPr>
        <w:spacing w:after="200"/>
        <w:ind w:left="567" w:hanging="567"/>
        <w:rPr>
          <w:lang w:val="es-ES"/>
        </w:rPr>
      </w:pPr>
      <w:r w:rsidRPr="0067128F">
        <w:rPr>
          <w:lang w:val="es-ES"/>
        </w:rPr>
        <w:lastRenderedPageBreak/>
        <w:t xml:space="preserve">Módulo de costos de </w:t>
      </w:r>
      <w:r w:rsidR="005A6F95" w:rsidRPr="0067128F">
        <w:rPr>
          <w:lang w:val="es-ES"/>
        </w:rPr>
        <w:t>C.O.M.A.</w:t>
      </w:r>
      <w:r w:rsidRPr="0067128F">
        <w:rPr>
          <w:lang w:val="es-ES"/>
        </w:rPr>
        <w:t xml:space="preserve"> directos de líneas, sin incluir los campos de línea (ModeloV4.xlsm).</w:t>
      </w:r>
    </w:p>
    <w:p w14:paraId="5019B497" w14:textId="1F8C7304" w:rsidR="00F64D04" w:rsidRPr="0067128F" w:rsidRDefault="00F64D04" w:rsidP="00273FE4">
      <w:pPr>
        <w:pStyle w:val="Listanumerada"/>
        <w:numPr>
          <w:ilvl w:val="0"/>
          <w:numId w:val="26"/>
        </w:numPr>
        <w:spacing w:after="200"/>
        <w:ind w:left="567" w:hanging="567"/>
        <w:rPr>
          <w:lang w:val="es-ES"/>
        </w:rPr>
      </w:pPr>
      <w:r w:rsidRPr="0067128F">
        <w:rPr>
          <w:lang w:val="es-ES"/>
        </w:rPr>
        <w:t xml:space="preserve">Módulo de costos de </w:t>
      </w:r>
      <w:r w:rsidR="005A6F95" w:rsidRPr="0067128F">
        <w:rPr>
          <w:lang w:val="es-ES"/>
        </w:rPr>
        <w:t>C.O.M.A.</w:t>
      </w:r>
      <w:r w:rsidRPr="0067128F">
        <w:rPr>
          <w:lang w:val="es-ES"/>
        </w:rPr>
        <w:t xml:space="preserve"> directos de Subestaciones (ModeloV4_SE.xlsx).</w:t>
      </w:r>
    </w:p>
    <w:p w14:paraId="2BEFB883" w14:textId="69F1386D" w:rsidR="0067128F" w:rsidRPr="0067128F" w:rsidRDefault="0067128F" w:rsidP="0067128F">
      <w:pPr>
        <w:pStyle w:val="Subttulo"/>
      </w:pPr>
      <w:bookmarkStart w:id="407" w:name="_Toc39797989"/>
      <w:r w:rsidRPr="0067128F">
        <w:t xml:space="preserve">Ilustración </w:t>
      </w:r>
      <w:fldSimple w:instr=" SEQ Ilustración \* ARABIC ">
        <w:r w:rsidR="001F3E2E">
          <w:rPr>
            <w:noProof/>
          </w:rPr>
          <w:t>8</w:t>
        </w:r>
      </w:fldSimple>
      <w:r>
        <w:t>: Costos directos OyM</w:t>
      </w:r>
      <w:bookmarkEnd w:id="407"/>
    </w:p>
    <w:p w14:paraId="0531D70E" w14:textId="561F2135" w:rsidR="00F64D04" w:rsidRPr="00354C2E" w:rsidRDefault="000D3EEE" w:rsidP="0067128F">
      <w:pPr>
        <w:spacing w:before="60" w:after="120" w:line="240" w:lineRule="auto"/>
        <w:jc w:val="center"/>
        <w:rPr>
          <w:rFonts w:cs="Arial"/>
          <w:szCs w:val="22"/>
          <w:lang w:val="es-ES"/>
        </w:rPr>
      </w:pPr>
      <w:r w:rsidRPr="00354C2E">
        <w:rPr>
          <w:rFonts w:cs="Arial"/>
          <w:noProof/>
          <w:szCs w:val="22"/>
          <w:lang w:eastAsia="es-CL"/>
        </w:rPr>
        <mc:AlternateContent>
          <mc:Choice Requires="wpg">
            <w:drawing>
              <wp:inline distT="0" distB="0" distL="0" distR="0" wp14:anchorId="24982696" wp14:editId="7C0D06FB">
                <wp:extent cx="5403913" cy="4241800"/>
                <wp:effectExtent l="0" t="0" r="6350" b="6350"/>
                <wp:docPr id="18" name="Grupo 18"/>
                <wp:cNvGraphicFramePr/>
                <a:graphic xmlns:a="http://schemas.openxmlformats.org/drawingml/2006/main">
                  <a:graphicData uri="http://schemas.microsoft.com/office/word/2010/wordprocessingGroup">
                    <wpg:wgp>
                      <wpg:cNvGrpSpPr/>
                      <wpg:grpSpPr>
                        <a:xfrm>
                          <a:off x="0" y="0"/>
                          <a:ext cx="5403913" cy="4241800"/>
                          <a:chOff x="0" y="0"/>
                          <a:chExt cx="5403913" cy="4241800"/>
                        </a:xfrm>
                      </wpg:grpSpPr>
                      <wps:wsp>
                        <wps:cNvPr id="19" name="Cuadro de texto 19"/>
                        <wps:cNvSpPr txBox="1"/>
                        <wps:spPr>
                          <a:xfrm>
                            <a:off x="0" y="0"/>
                            <a:ext cx="2516505" cy="850900"/>
                          </a:xfrm>
                          <a:prstGeom prst="rect">
                            <a:avLst/>
                          </a:prstGeom>
                          <a:solidFill>
                            <a:srgbClr val="DED092"/>
                          </a:solidFill>
                          <a:ln w="6350">
                            <a:noFill/>
                          </a:ln>
                        </wps:spPr>
                        <wps:txbx>
                          <w:txbxContent>
                            <w:p w14:paraId="712A7BA2" w14:textId="02821DF6" w:rsidR="006107A8" w:rsidRPr="00505378" w:rsidRDefault="006107A8" w:rsidP="000D3EEE">
                              <w:pPr>
                                <w:rPr>
                                  <w:b/>
                                  <w:bCs/>
                                  <w:sz w:val="20"/>
                                  <w:szCs w:val="20"/>
                                  <w:lang w:val="es-AR"/>
                                </w:rPr>
                              </w:pPr>
                              <w:r w:rsidRPr="00505378">
                                <w:rPr>
                                  <w:b/>
                                  <w:bCs/>
                                  <w:sz w:val="20"/>
                                  <w:szCs w:val="20"/>
                                  <w:lang w:val="es-AR"/>
                                </w:rPr>
                                <w:t xml:space="preserve">Módulo de </w:t>
                              </w:r>
                              <w:r>
                                <w:rPr>
                                  <w:b/>
                                  <w:bCs/>
                                  <w:sz w:val="20"/>
                                  <w:szCs w:val="20"/>
                                  <w:lang w:val="es-AR"/>
                                </w:rPr>
                                <w:t>C.O.M.A.</w:t>
                              </w:r>
                              <w:r w:rsidRPr="00505378">
                                <w:rPr>
                                  <w:b/>
                                  <w:bCs/>
                                  <w:sz w:val="20"/>
                                  <w:szCs w:val="20"/>
                                  <w:lang w:val="es-AR"/>
                                </w:rPr>
                                <w:t xml:space="preserve"> directo de Líneas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0" name="Cuadro de texto 20"/>
                        <wps:cNvSpPr txBox="1"/>
                        <wps:spPr>
                          <a:xfrm>
                            <a:off x="0" y="914400"/>
                            <a:ext cx="2516863" cy="3327400"/>
                          </a:xfrm>
                          <a:prstGeom prst="rect">
                            <a:avLst/>
                          </a:prstGeom>
                          <a:solidFill>
                            <a:srgbClr val="DED092"/>
                          </a:solidFill>
                          <a:ln w="6350">
                            <a:noFill/>
                          </a:ln>
                        </wps:spPr>
                        <wps:txbx>
                          <w:txbxContent>
                            <w:p w14:paraId="05D5E739" w14:textId="01348FC0" w:rsidR="006107A8" w:rsidRPr="00505378" w:rsidRDefault="006107A8" w:rsidP="000D3EEE">
                              <w:pPr>
                                <w:spacing w:after="120" w:line="240" w:lineRule="auto"/>
                                <w:rPr>
                                  <w:b/>
                                  <w:bCs/>
                                  <w:sz w:val="20"/>
                                  <w:szCs w:val="20"/>
                                  <w:lang w:val="es-AR"/>
                                </w:rPr>
                              </w:pPr>
                              <w:r w:rsidRPr="00505378">
                                <w:rPr>
                                  <w:b/>
                                  <w:bCs/>
                                  <w:sz w:val="20"/>
                                  <w:szCs w:val="20"/>
                                  <w:lang w:val="es-AR"/>
                                </w:rPr>
                                <w:t xml:space="preserve">Módulo de </w:t>
                              </w:r>
                              <w:r>
                                <w:rPr>
                                  <w:b/>
                                  <w:bCs/>
                                  <w:sz w:val="20"/>
                                  <w:szCs w:val="20"/>
                                  <w:lang w:val="es-AR"/>
                                </w:rPr>
                                <w:t>C.O.M.A.</w:t>
                              </w:r>
                              <w:r w:rsidRPr="00505378">
                                <w:rPr>
                                  <w:b/>
                                  <w:bCs/>
                                  <w:sz w:val="20"/>
                                  <w:szCs w:val="20"/>
                                  <w:lang w:val="es-AR"/>
                                </w:rPr>
                                <w:t xml:space="preserve"> directo de Subestaciones</w:t>
                              </w:r>
                            </w:p>
                            <w:p w14:paraId="7A142270" w14:textId="77777777" w:rsidR="006107A8" w:rsidRPr="00505378" w:rsidRDefault="006107A8" w:rsidP="000D3EEE">
                              <w:pPr>
                                <w:spacing w:after="240"/>
                                <w:rPr>
                                  <w:sz w:val="20"/>
                                  <w:szCs w:val="20"/>
                                  <w:lang w:val="es-AR"/>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1" name="Cuadro de texto 21"/>
                        <wps:cNvSpPr txBox="1"/>
                        <wps:spPr>
                          <a:xfrm>
                            <a:off x="99588" y="2906162"/>
                            <a:ext cx="2235200" cy="1276350"/>
                          </a:xfrm>
                          <a:prstGeom prst="rect">
                            <a:avLst/>
                          </a:prstGeom>
                          <a:solidFill>
                            <a:srgbClr val="CCB658"/>
                          </a:solidFill>
                          <a:ln w="6350">
                            <a:noFill/>
                          </a:ln>
                        </wps:spPr>
                        <wps:txbx>
                          <w:txbxContent>
                            <w:p w14:paraId="717A0D62" w14:textId="77777777" w:rsidR="006107A8" w:rsidRPr="00505378" w:rsidRDefault="006107A8" w:rsidP="000D3EEE">
                              <w:pPr>
                                <w:spacing w:after="60" w:line="240" w:lineRule="auto"/>
                                <w:rPr>
                                  <w:b/>
                                  <w:bCs/>
                                  <w:sz w:val="18"/>
                                  <w:szCs w:val="18"/>
                                  <w:lang w:val="es-AR"/>
                                </w:rPr>
                              </w:pPr>
                              <w:r w:rsidRPr="00505378">
                                <w:rPr>
                                  <w:b/>
                                  <w:bCs/>
                                  <w:sz w:val="18"/>
                                  <w:szCs w:val="18"/>
                                  <w:lang w:val="es-AR"/>
                                </w:rPr>
                                <w:t xml:space="preserve">Tramo de </w:t>
                              </w:r>
                              <w:r>
                                <w:rPr>
                                  <w:b/>
                                  <w:bCs/>
                                  <w:sz w:val="18"/>
                                  <w:szCs w:val="18"/>
                                  <w:lang w:val="es-AR"/>
                                </w:rPr>
                                <w:t>Subestación</w:t>
                              </w:r>
                            </w:p>
                            <w:p w14:paraId="72605B9D" w14:textId="77777777" w:rsidR="006107A8" w:rsidRPr="008F5475" w:rsidRDefault="006107A8" w:rsidP="000D3EEE">
                              <w:pPr>
                                <w:spacing w:after="0" w:line="240" w:lineRule="auto"/>
                                <w:rPr>
                                  <w:sz w:val="18"/>
                                  <w:szCs w:val="18"/>
                                  <w:lang w:val="es-AR"/>
                                </w:rPr>
                              </w:pPr>
                              <w:r w:rsidRPr="008F5475">
                                <w:rPr>
                                  <w:sz w:val="18"/>
                                  <w:szCs w:val="18"/>
                                  <w:lang w:val="es-AR"/>
                                </w:rPr>
                                <w:t>Subestación: Muy Grande, Grande, Mediana, Chica y Muy Chica</w:t>
                              </w:r>
                            </w:p>
                            <w:p w14:paraId="75A78F57" w14:textId="77777777" w:rsidR="006107A8" w:rsidRPr="008F5475" w:rsidRDefault="006107A8" w:rsidP="000D3EEE">
                              <w:pPr>
                                <w:spacing w:after="0" w:line="240" w:lineRule="auto"/>
                                <w:rPr>
                                  <w:sz w:val="18"/>
                                  <w:szCs w:val="18"/>
                                  <w:lang w:val="es-AR"/>
                                </w:rPr>
                              </w:pPr>
                              <w:r w:rsidRPr="008F5475">
                                <w:rPr>
                                  <w:sz w:val="18"/>
                                  <w:szCs w:val="18"/>
                                  <w:lang w:val="es-AR"/>
                                </w:rPr>
                                <w:t>Transformador trifásico: 220/MT y 66/MT</w:t>
                              </w:r>
                            </w:p>
                            <w:p w14:paraId="3832FFCE" w14:textId="77777777" w:rsidR="006107A8" w:rsidRPr="008F5475" w:rsidRDefault="006107A8" w:rsidP="000D3EEE">
                              <w:pPr>
                                <w:spacing w:after="0" w:line="240" w:lineRule="auto"/>
                                <w:rPr>
                                  <w:sz w:val="18"/>
                                  <w:szCs w:val="18"/>
                                  <w:lang w:val="es-AR"/>
                                </w:rPr>
                              </w:pPr>
                              <w:r w:rsidRPr="008F5475">
                                <w:rPr>
                                  <w:sz w:val="18"/>
                                  <w:szCs w:val="18"/>
                                  <w:lang w:val="es-AR"/>
                                </w:rPr>
                                <w:t>Condensador SHUNT: 500 kV, 220 kV, 154 kV, 110 kV, 66 kV y MT.</w:t>
                              </w:r>
                            </w:p>
                            <w:p w14:paraId="178C5DC7" w14:textId="77777777" w:rsidR="006107A8" w:rsidRPr="009D12B8" w:rsidRDefault="006107A8" w:rsidP="000D3EEE">
                              <w:pPr>
                                <w:spacing w:after="0" w:line="240" w:lineRule="auto"/>
                                <w:rPr>
                                  <w:sz w:val="18"/>
                                  <w:szCs w:val="18"/>
                                  <w:lang w:val="en-US"/>
                                </w:rPr>
                              </w:pPr>
                              <w:r w:rsidRPr="009D12B8">
                                <w:rPr>
                                  <w:sz w:val="18"/>
                                  <w:szCs w:val="18"/>
                                  <w:lang w:val="en-US"/>
                                </w:rPr>
                                <w:t>Reactor Barra 500kV, 220 kV, 66 kV, MT</w:t>
                              </w:r>
                            </w:p>
                            <w:p w14:paraId="7EF649E5" w14:textId="77777777" w:rsidR="006107A8" w:rsidRPr="009D12B8" w:rsidRDefault="006107A8" w:rsidP="000D3EEE">
                              <w:pPr>
                                <w:spacing w:after="0" w:line="240" w:lineRule="auto"/>
                                <w:rPr>
                                  <w:sz w:val="18"/>
                                  <w:szCs w:val="18"/>
                                  <w:lang w:val="en-US"/>
                                </w:rPr>
                              </w:pPr>
                              <w:r w:rsidRPr="009D12B8">
                                <w:rPr>
                                  <w:sz w:val="18"/>
                                  <w:szCs w:val="18"/>
                                  <w:lang w:val="en-US"/>
                                </w:rPr>
                                <w:t>CER/StatCom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2" name="Cuadro de texto 22"/>
                        <wps:cNvSpPr txBox="1"/>
                        <wps:spPr>
                          <a:xfrm>
                            <a:off x="99588" y="1149790"/>
                            <a:ext cx="2235200" cy="1701800"/>
                          </a:xfrm>
                          <a:prstGeom prst="rect">
                            <a:avLst/>
                          </a:prstGeom>
                          <a:solidFill>
                            <a:srgbClr val="CCB658"/>
                          </a:solidFill>
                          <a:ln w="6350">
                            <a:noFill/>
                          </a:ln>
                        </wps:spPr>
                        <wps:txbx>
                          <w:txbxContent>
                            <w:p w14:paraId="497DD5A5" w14:textId="77777777" w:rsidR="006107A8" w:rsidRPr="00505378" w:rsidRDefault="006107A8" w:rsidP="000D3EEE">
                              <w:pPr>
                                <w:spacing w:after="60" w:line="240" w:lineRule="auto"/>
                                <w:rPr>
                                  <w:b/>
                                  <w:bCs/>
                                  <w:sz w:val="18"/>
                                  <w:szCs w:val="18"/>
                                  <w:lang w:val="es-AR"/>
                                </w:rPr>
                              </w:pPr>
                              <w:r w:rsidRPr="00505378">
                                <w:rPr>
                                  <w:b/>
                                  <w:bCs/>
                                  <w:sz w:val="18"/>
                                  <w:szCs w:val="18"/>
                                  <w:lang w:val="es-AR"/>
                                </w:rPr>
                                <w:t xml:space="preserve">Tramo de </w:t>
                              </w:r>
                              <w:r>
                                <w:rPr>
                                  <w:b/>
                                  <w:bCs/>
                                  <w:sz w:val="18"/>
                                  <w:szCs w:val="18"/>
                                  <w:lang w:val="es-AR"/>
                                </w:rPr>
                                <w:t>Transporte</w:t>
                              </w:r>
                            </w:p>
                            <w:p w14:paraId="7B79F3BA" w14:textId="77777777" w:rsidR="006107A8" w:rsidRPr="008F5475" w:rsidRDefault="006107A8" w:rsidP="000D3EEE">
                              <w:pPr>
                                <w:spacing w:after="0" w:line="240" w:lineRule="auto"/>
                                <w:rPr>
                                  <w:sz w:val="18"/>
                                  <w:szCs w:val="18"/>
                                  <w:lang w:val="es-AR"/>
                                </w:rPr>
                              </w:pPr>
                              <w:r w:rsidRPr="008F5475">
                                <w:rPr>
                                  <w:sz w:val="18"/>
                                  <w:szCs w:val="18"/>
                                  <w:lang w:val="es-AR"/>
                                </w:rPr>
                                <w:t>Capacitor Serie 220</w:t>
                              </w:r>
                            </w:p>
                            <w:p w14:paraId="10883024" w14:textId="77777777" w:rsidR="006107A8" w:rsidRPr="008F5475" w:rsidRDefault="006107A8" w:rsidP="000D3EEE">
                              <w:pPr>
                                <w:spacing w:after="0" w:line="240" w:lineRule="auto"/>
                                <w:rPr>
                                  <w:sz w:val="18"/>
                                  <w:szCs w:val="18"/>
                                  <w:lang w:val="es-AR"/>
                                </w:rPr>
                              </w:pPr>
                              <w:r w:rsidRPr="008F5475">
                                <w:rPr>
                                  <w:sz w:val="18"/>
                                  <w:szCs w:val="18"/>
                                  <w:lang w:val="es-AR"/>
                                </w:rPr>
                                <w:t>Capacitor Serie 500</w:t>
                              </w:r>
                            </w:p>
                            <w:p w14:paraId="53AB9B6F" w14:textId="77777777" w:rsidR="006107A8" w:rsidRPr="008F5475" w:rsidRDefault="006107A8" w:rsidP="000D3EEE">
                              <w:pPr>
                                <w:spacing w:after="0" w:line="240" w:lineRule="auto"/>
                                <w:rPr>
                                  <w:sz w:val="18"/>
                                  <w:szCs w:val="18"/>
                                  <w:lang w:val="es-AR"/>
                                </w:rPr>
                              </w:pPr>
                              <w:r w:rsidRPr="008F5475">
                                <w:rPr>
                                  <w:sz w:val="18"/>
                                  <w:szCs w:val="18"/>
                                  <w:lang w:val="es-AR"/>
                                </w:rPr>
                                <w:t>Paño 220</w:t>
                              </w:r>
                            </w:p>
                            <w:p w14:paraId="7976E0AA" w14:textId="77777777" w:rsidR="006107A8" w:rsidRPr="008F5475" w:rsidRDefault="006107A8" w:rsidP="000D3EEE">
                              <w:pPr>
                                <w:spacing w:after="0" w:line="240" w:lineRule="auto"/>
                                <w:rPr>
                                  <w:sz w:val="18"/>
                                  <w:szCs w:val="18"/>
                                  <w:lang w:val="es-AR"/>
                                </w:rPr>
                              </w:pPr>
                              <w:r w:rsidRPr="008F5475">
                                <w:rPr>
                                  <w:sz w:val="18"/>
                                  <w:szCs w:val="18"/>
                                  <w:lang w:val="es-AR"/>
                                </w:rPr>
                                <w:t>Paño 500</w:t>
                              </w:r>
                            </w:p>
                            <w:p w14:paraId="6095D6D0" w14:textId="77777777" w:rsidR="006107A8" w:rsidRPr="008F5475" w:rsidRDefault="006107A8" w:rsidP="000D3EEE">
                              <w:pPr>
                                <w:spacing w:after="0" w:line="240" w:lineRule="auto"/>
                                <w:rPr>
                                  <w:sz w:val="18"/>
                                  <w:szCs w:val="18"/>
                                  <w:lang w:val="es-AR"/>
                                </w:rPr>
                              </w:pPr>
                              <w:r w:rsidRPr="008F5475">
                                <w:rPr>
                                  <w:sz w:val="18"/>
                                  <w:szCs w:val="18"/>
                                  <w:lang w:val="es-AR"/>
                                </w:rPr>
                                <w:t>Paño 66</w:t>
                              </w:r>
                            </w:p>
                            <w:p w14:paraId="6F5EC98B" w14:textId="77777777" w:rsidR="006107A8" w:rsidRPr="008F5475" w:rsidRDefault="006107A8" w:rsidP="000D3EEE">
                              <w:pPr>
                                <w:spacing w:after="0" w:line="240" w:lineRule="auto"/>
                                <w:rPr>
                                  <w:sz w:val="18"/>
                                  <w:szCs w:val="18"/>
                                  <w:lang w:val="es-AR"/>
                                </w:rPr>
                              </w:pPr>
                              <w:r w:rsidRPr="008F5475">
                                <w:rPr>
                                  <w:sz w:val="18"/>
                                  <w:szCs w:val="18"/>
                                  <w:lang w:val="es-AR"/>
                                </w:rPr>
                                <w:t>Paño MT</w:t>
                              </w:r>
                            </w:p>
                            <w:p w14:paraId="2266CD7D" w14:textId="77777777" w:rsidR="006107A8" w:rsidRPr="008F5475" w:rsidRDefault="006107A8" w:rsidP="000D3EEE">
                              <w:pPr>
                                <w:spacing w:after="0" w:line="240" w:lineRule="auto"/>
                                <w:rPr>
                                  <w:sz w:val="18"/>
                                  <w:szCs w:val="18"/>
                                  <w:lang w:val="es-AR"/>
                                </w:rPr>
                              </w:pPr>
                              <w:r w:rsidRPr="008F5475">
                                <w:rPr>
                                  <w:sz w:val="18"/>
                                  <w:szCs w:val="18"/>
                                  <w:lang w:val="es-AR"/>
                                </w:rPr>
                                <w:t>Reactor línea 220</w:t>
                              </w:r>
                            </w:p>
                            <w:p w14:paraId="5CE5EEC7" w14:textId="77777777" w:rsidR="006107A8" w:rsidRPr="008F5475" w:rsidRDefault="006107A8" w:rsidP="000D3EEE">
                              <w:pPr>
                                <w:spacing w:after="0" w:line="240" w:lineRule="auto"/>
                                <w:rPr>
                                  <w:sz w:val="18"/>
                                  <w:szCs w:val="18"/>
                                  <w:lang w:val="es-AR"/>
                                </w:rPr>
                              </w:pPr>
                              <w:r w:rsidRPr="008F5475">
                                <w:rPr>
                                  <w:sz w:val="18"/>
                                  <w:szCs w:val="18"/>
                                  <w:lang w:val="es-AR"/>
                                </w:rPr>
                                <w:t>Reactor línea 500</w:t>
                              </w:r>
                            </w:p>
                            <w:p w14:paraId="7C06353C" w14:textId="77777777" w:rsidR="006107A8" w:rsidRPr="008F5475" w:rsidRDefault="006107A8" w:rsidP="000D3EEE">
                              <w:pPr>
                                <w:spacing w:after="0" w:line="240" w:lineRule="auto"/>
                                <w:rPr>
                                  <w:sz w:val="18"/>
                                  <w:szCs w:val="18"/>
                                  <w:lang w:val="es-AR"/>
                                </w:rPr>
                              </w:pPr>
                              <w:r w:rsidRPr="008F5475">
                                <w:rPr>
                                  <w:sz w:val="18"/>
                                  <w:szCs w:val="18"/>
                                  <w:lang w:val="es-AR"/>
                                </w:rPr>
                                <w:t>Transformador desfasador 220</w:t>
                              </w:r>
                            </w:p>
                            <w:p w14:paraId="1535430C" w14:textId="77777777" w:rsidR="006107A8" w:rsidRPr="00505378" w:rsidRDefault="006107A8" w:rsidP="000D3EEE">
                              <w:pPr>
                                <w:spacing w:after="0" w:line="240" w:lineRule="auto"/>
                                <w:rPr>
                                  <w:sz w:val="18"/>
                                  <w:szCs w:val="18"/>
                                  <w:lang w:val="es-AR"/>
                                </w:rPr>
                              </w:pPr>
                              <w:r w:rsidRPr="008F5475">
                                <w:rPr>
                                  <w:sz w:val="18"/>
                                  <w:szCs w:val="18"/>
                                  <w:lang w:val="es-AR"/>
                                </w:rPr>
                                <w:t>Transformador monofásico 500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3" name="Cuadro de texto 23"/>
                        <wps:cNvSpPr txBox="1"/>
                        <wps:spPr>
                          <a:xfrm>
                            <a:off x="108642" y="235390"/>
                            <a:ext cx="2235200" cy="539750"/>
                          </a:xfrm>
                          <a:prstGeom prst="rect">
                            <a:avLst/>
                          </a:prstGeom>
                          <a:solidFill>
                            <a:srgbClr val="CCB658"/>
                          </a:solidFill>
                          <a:ln w="6350">
                            <a:noFill/>
                          </a:ln>
                        </wps:spPr>
                        <wps:txbx>
                          <w:txbxContent>
                            <w:p w14:paraId="3759EDC4" w14:textId="77777777" w:rsidR="006107A8" w:rsidRPr="00505378" w:rsidRDefault="006107A8" w:rsidP="000D3EEE">
                              <w:pPr>
                                <w:spacing w:after="60" w:line="240" w:lineRule="auto"/>
                                <w:rPr>
                                  <w:b/>
                                  <w:bCs/>
                                  <w:sz w:val="18"/>
                                  <w:szCs w:val="18"/>
                                  <w:lang w:val="es-AR"/>
                                </w:rPr>
                              </w:pPr>
                              <w:r w:rsidRPr="00505378">
                                <w:rPr>
                                  <w:b/>
                                  <w:bCs/>
                                  <w:sz w:val="18"/>
                                  <w:szCs w:val="18"/>
                                  <w:lang w:val="es-AR"/>
                                </w:rPr>
                                <w:t xml:space="preserve">Tramo de </w:t>
                              </w:r>
                              <w:r>
                                <w:rPr>
                                  <w:b/>
                                  <w:bCs/>
                                  <w:sz w:val="18"/>
                                  <w:szCs w:val="18"/>
                                  <w:lang w:val="es-AR"/>
                                </w:rPr>
                                <w:t>Transporte</w:t>
                              </w:r>
                            </w:p>
                            <w:p w14:paraId="100339D8" w14:textId="77777777" w:rsidR="006107A8" w:rsidRPr="008F5475" w:rsidRDefault="006107A8" w:rsidP="000D3EEE">
                              <w:pPr>
                                <w:spacing w:after="0" w:line="240" w:lineRule="auto"/>
                                <w:rPr>
                                  <w:sz w:val="18"/>
                                  <w:szCs w:val="18"/>
                                  <w:lang w:val="es-AR"/>
                                </w:rPr>
                              </w:pPr>
                              <w:r>
                                <w:rPr>
                                  <w:sz w:val="18"/>
                                  <w:szCs w:val="18"/>
                                  <w:lang w:val="es-AR"/>
                                </w:rPr>
                                <w:t>Línea</w:t>
                              </w:r>
                              <w:r w:rsidRPr="008F5475">
                                <w:rPr>
                                  <w:sz w:val="18"/>
                                  <w:szCs w:val="18"/>
                                  <w:lang w:val="es-AR"/>
                                </w:rPr>
                                <w:t xml:space="preserve"> 220</w:t>
                              </w:r>
                            </w:p>
                            <w:p w14:paraId="66CECB70" w14:textId="77777777" w:rsidR="006107A8" w:rsidRPr="008F5475" w:rsidRDefault="006107A8" w:rsidP="000D3EEE">
                              <w:pPr>
                                <w:spacing w:after="0" w:line="240" w:lineRule="auto"/>
                                <w:rPr>
                                  <w:sz w:val="18"/>
                                  <w:szCs w:val="18"/>
                                  <w:lang w:val="es-AR"/>
                                </w:rPr>
                              </w:pPr>
                              <w:r>
                                <w:rPr>
                                  <w:sz w:val="18"/>
                                  <w:szCs w:val="18"/>
                                  <w:lang w:val="es-AR"/>
                                </w:rPr>
                                <w:t>Línea</w:t>
                              </w:r>
                              <w:r w:rsidRPr="008F5475">
                                <w:rPr>
                                  <w:sz w:val="18"/>
                                  <w:szCs w:val="18"/>
                                  <w:lang w:val="es-AR"/>
                                </w:rPr>
                                <w:t xml:space="preserve"> 500</w:t>
                              </w:r>
                            </w:p>
                            <w:p w14:paraId="265F7BD4" w14:textId="77777777" w:rsidR="006107A8" w:rsidRPr="00505378" w:rsidRDefault="006107A8" w:rsidP="000D3EEE">
                              <w:pPr>
                                <w:spacing w:after="0" w:line="240" w:lineRule="auto"/>
                                <w:rPr>
                                  <w:sz w:val="18"/>
                                  <w:szCs w:val="18"/>
                                  <w:lang w:val="es-AR"/>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4" name="Cuadro de texto 34"/>
                        <wps:cNvSpPr txBox="1"/>
                        <wps:spPr>
                          <a:xfrm>
                            <a:off x="3168713" y="0"/>
                            <a:ext cx="2235200" cy="1982708"/>
                          </a:xfrm>
                          <a:prstGeom prst="rect">
                            <a:avLst/>
                          </a:prstGeom>
                          <a:solidFill>
                            <a:srgbClr val="DED092"/>
                          </a:solidFill>
                          <a:ln w="6350">
                            <a:noFill/>
                          </a:ln>
                        </wps:spPr>
                        <wps:txbx>
                          <w:txbxContent>
                            <w:p w14:paraId="381E3C52" w14:textId="143B447E" w:rsidR="006107A8" w:rsidRPr="00505378" w:rsidRDefault="006107A8" w:rsidP="000D3EEE">
                              <w:pPr>
                                <w:spacing w:after="60" w:line="240" w:lineRule="auto"/>
                                <w:jc w:val="center"/>
                                <w:rPr>
                                  <w:b/>
                                  <w:bCs/>
                                  <w:lang w:val="es-AR"/>
                                </w:rPr>
                              </w:pPr>
                              <w:r>
                                <w:rPr>
                                  <w:b/>
                                  <w:bCs/>
                                  <w:lang w:val="es-AR"/>
                                </w:rPr>
                                <w:t>C.O.M.A.</w:t>
                              </w:r>
                              <w:r w:rsidRPr="00505378">
                                <w:rPr>
                                  <w:b/>
                                  <w:bCs/>
                                  <w:lang w:val="es-AR"/>
                                </w:rPr>
                                <w:t xml:space="preserve"> de Tramo de Transporte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 name="Cuadro de texto 35"/>
                        <wps:cNvSpPr txBox="1"/>
                        <wps:spPr>
                          <a:xfrm>
                            <a:off x="3159659" y="2082297"/>
                            <a:ext cx="2235200" cy="2154473"/>
                          </a:xfrm>
                          <a:prstGeom prst="rect">
                            <a:avLst/>
                          </a:prstGeom>
                          <a:solidFill>
                            <a:srgbClr val="DED092"/>
                          </a:solidFill>
                          <a:ln w="6350">
                            <a:noFill/>
                          </a:ln>
                        </wps:spPr>
                        <wps:txbx>
                          <w:txbxContent>
                            <w:p w14:paraId="7AFCFA7D" w14:textId="082D0E1D" w:rsidR="006107A8" w:rsidRPr="00505378" w:rsidRDefault="006107A8" w:rsidP="000D3EEE">
                              <w:pPr>
                                <w:spacing w:after="60" w:line="240" w:lineRule="auto"/>
                                <w:jc w:val="center"/>
                                <w:rPr>
                                  <w:b/>
                                  <w:bCs/>
                                  <w:lang w:val="es-AR"/>
                                </w:rPr>
                              </w:pPr>
                              <w:r>
                                <w:rPr>
                                  <w:b/>
                                  <w:bCs/>
                                  <w:lang w:val="es-AR"/>
                                </w:rPr>
                                <w:t>C.O.M.A.</w:t>
                              </w:r>
                              <w:r w:rsidRPr="00505378">
                                <w:rPr>
                                  <w:b/>
                                  <w:bCs/>
                                  <w:lang w:val="es-AR"/>
                                </w:rPr>
                                <w:t xml:space="preserve"> de Tramo de Subestación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6" name="Conector: angular 36"/>
                        <wps:cNvCnPr/>
                        <wps:spPr>
                          <a:xfrm>
                            <a:off x="2335794" y="516047"/>
                            <a:ext cx="823865" cy="334853"/>
                          </a:xfrm>
                          <a:prstGeom prst="bentConnector3">
                            <a:avLst/>
                          </a:prstGeom>
                          <a:ln w="19050">
                            <a:tailEnd type="triangle"/>
                          </a:ln>
                        </wps:spPr>
                        <wps:style>
                          <a:lnRef idx="1">
                            <a:schemeClr val="accent1"/>
                          </a:lnRef>
                          <a:fillRef idx="0">
                            <a:schemeClr val="accent1"/>
                          </a:fillRef>
                          <a:effectRef idx="0">
                            <a:schemeClr val="accent1"/>
                          </a:effectRef>
                          <a:fontRef idx="minor">
                            <a:schemeClr val="tx1"/>
                          </a:fontRef>
                        </wps:style>
                        <wps:bodyPr/>
                      </wps:wsp>
                      <wps:wsp>
                        <wps:cNvPr id="37" name="Conector: angular 37"/>
                        <wps:cNvCnPr/>
                        <wps:spPr>
                          <a:xfrm flipV="1">
                            <a:off x="2335794" y="1280310"/>
                            <a:ext cx="825871" cy="747666"/>
                          </a:xfrm>
                          <a:prstGeom prst="bentConnector3">
                            <a:avLst/>
                          </a:prstGeom>
                          <a:ln w="19050">
                            <a:tailEnd type="triangle"/>
                          </a:ln>
                        </wps:spPr>
                        <wps:style>
                          <a:lnRef idx="1">
                            <a:schemeClr val="accent1"/>
                          </a:lnRef>
                          <a:fillRef idx="0">
                            <a:schemeClr val="accent1"/>
                          </a:fillRef>
                          <a:effectRef idx="0">
                            <a:schemeClr val="accent1"/>
                          </a:effectRef>
                          <a:fontRef idx="minor">
                            <a:schemeClr val="tx1"/>
                          </a:fontRef>
                        </wps:style>
                        <wps:bodyPr/>
                      </wps:wsp>
                      <wps:wsp>
                        <wps:cNvPr id="49" name="Conector: angular 49"/>
                        <wps:cNvCnPr/>
                        <wps:spPr>
                          <a:xfrm flipV="1">
                            <a:off x="2335794" y="3163431"/>
                            <a:ext cx="833925" cy="398352"/>
                          </a:xfrm>
                          <a:prstGeom prst="bentConnector3">
                            <a:avLst/>
                          </a:prstGeom>
                          <a:ln w="19050">
                            <a:tailEnd type="triangle"/>
                          </a:ln>
                        </wps:spPr>
                        <wps:style>
                          <a:lnRef idx="1">
                            <a:schemeClr val="accent1"/>
                          </a:lnRef>
                          <a:fillRef idx="0">
                            <a:schemeClr val="accent1"/>
                          </a:fillRef>
                          <a:effectRef idx="0">
                            <a:schemeClr val="accent1"/>
                          </a:effectRef>
                          <a:fontRef idx="minor">
                            <a:schemeClr val="tx1"/>
                          </a:fontRef>
                        </wps:style>
                        <wps:bodyPr/>
                      </wps:wsp>
                    </wpg:wgp>
                  </a:graphicData>
                </a:graphic>
              </wp:inline>
            </w:drawing>
          </mc:Choice>
          <mc:Fallback>
            <w:pict>
              <v:group id="Grupo 18" o:spid="_x0000_s1072" style="width:425.5pt;height:334pt;mso-position-horizontal-relative:char;mso-position-vertical-relative:line" coordsize="54039,424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nmXWBQUAAHEfAAAOAAAAZHJzL2Uyb0RvYy54bWzsWVtv2zYYfR+w/0DofbEk6o44RepcMCBo&#10;g6Vbn2mKsgVIJEfRsdNfv4/UxY4TJ6ubdqjnF1sSLyIPv3M+6vD03aqu0D1TTSn42PFOXAcxTkVe&#10;8tnY+fPT1W+JgxpNeE4qwdnYeWCN8+7s119OlzJjvpiLKmcKQSe8yZZy7My1ltlo1NA5q0lzIiTj&#10;UFgIVRMNt2o2yhVZQu91NfJdNxothcqlEpQ1DTy9aAudM9t/UTCqPxZFwzSqxg6MTdtfZX+n5nd0&#10;dkqymSJyXtJuGGSPUdSk5PDSoasLoglaqPJJV3VJlWhEoU+oqEeiKErK7BxgNp67NZtrJRbSzmWW&#10;LWdygAmg3cJp727ph/tbhcoc1g5WipMa1uhaLaRAcA/gLOUsgzrXSt7JW9U9mLV3Zr6rQtXmH2aC&#10;VhbWhwFWttKIwsMwcHHqYQdRKAv8wEvcDng6h9V50o7OL19pOepfPDLjG4azlBBEzRqn5ttwupsT&#10;ySz8jcGgxyntcZosSK4EyhnSMFVALG0Rs7UNXEiv3gsAwOufN/Dw36Lmh14UumGLWhK6aQvaMHWS&#10;SdXoayZqZC7GjoJgtzFI7m8aDUsFVfsq5qWNqMr8qqwqe6Nm00ml0D0BYlxcXripbwYJTR5Vqzha&#10;jp0Ih67tmQvTvq1XcahuEG8nZa70arqysdSFTpNNRf4AOCjREq+R9KqEwd6QRt8SBUwDToJ66I/w&#10;U1QC3iW6KwfNhfry3HNTHxYWSh20BOaOnebvBVHMQdXvHJY89YLAUN3eBGHsw43aLJlulvBFPRGA&#10;gQc6Jam9NPV11V8WStSfQWTOzVuhiHAK7x47ur+c6FZPQKQoOz+3lYDckugbfiep6dogbpbi0+oz&#10;UbJbLxM0H0QfZCTbWra2rmnJxflCi6K0a2pwblHt4IeANzT9AZFvgGwVYjvyocRKw56Rb1esk4Re&#10;NEz4J1EnGhj7cfATxf8gBMf4P6T4B43YEf+DwkOe+BrlT9MwgbwLedFP3ciLrAiTbCCBj0PY5bQ5&#10;wPNjK8St/PaJt1f4b04Ck8n7KLTC/UZJwBtE4ciCQ2KBv5MFNnpNKtqbBZ4XpHG6nQoesSB2+/3j&#10;99gKvT0LBmk4suCQWAA7kx25AO+5F/LcJAqAXCYZ4BC/yAIojmFP/tOkgkEZjiQ4IBLgYBcJoGS/&#10;DwIMu/7YeAVPbQT/URpIEz92++3Km2+G3vyLGKbUAXLADKBa/e8+ijE4NM8nAijZlwNhGoVgM5lM&#10;4Ca+n8ampx2fBb4XBkFsw+t7bIjengmDNByZcFD2EI4GJoDVT7VQGZhls0VFFIKyNRcmvHOSe++w&#10;d3MHG9nHOIxTyC7AAPCB3GCLAImPk6izRjEOkvCV8J8yrieCt6PCL5mkreHppW7neGpSVpc8R/pB&#10;gjOuVQkzqpiZDJDtGQu00Q8VM1yt+B+sADPU2r/mgT3SYIPnSiiFQdmPA9sT1Da1CvBXh4at6fpi&#10;w66+VQd73PE1jVnfwr5ZcD00rksulMVp6+161Q+5aOv3JnA777U7aRDqXMkfZE/i+IX4swHUfZru&#10;iD9UVKX8q7druwONzUj0/MTFraux1uLED2HD0jo0cRBHkY303Up8DMXu0OExAQ4rFIP1GdETKYSy&#10;V6Xw1VCEbTIOsKXiRihinPq9KqYJWIedTu3YHh9D8b8NRXt4Cee6Npd0Z9Dm4Hjz3qro+qT87B8A&#10;AAD//wMAUEsDBBQABgAIAAAAIQC4W9f12wAAAAUBAAAPAAAAZHJzL2Rvd25yZXYueG1sTI9BS8NA&#10;EIXvgv9hGcGb3URpCDGbUop6KoKtIN6myTQJzc6G7DZJ/72jF3t58HjDe9/kq9l2aqTBt44NxIsI&#10;FHHpqpZrA5/714cUlA/IFXaOycCFPKyK25scs8pN/EHjLtRKSthnaKAJoc+09mVDFv3C9cSSHd1g&#10;MYgdal0NOEm57fRjFCXaYsuy0GBPm4bK0+5sDbxNOK2f4pdxezpuLt/75fvXNiZj7u/m9TOoQHP4&#10;P4ZffEGHQpgO7syVV50BeST8qWTpMhZ7MJAkaQS6yPU1ffEDAAD//wMAUEsBAi0AFAAGAAgAAAAh&#10;ALaDOJL+AAAA4QEAABMAAAAAAAAAAAAAAAAAAAAAAFtDb250ZW50X1R5cGVzXS54bWxQSwECLQAU&#10;AAYACAAAACEAOP0h/9YAAACUAQAACwAAAAAAAAAAAAAAAAAvAQAAX3JlbHMvLnJlbHNQSwECLQAU&#10;AAYACAAAACEATZ5l1gUFAABxHwAADgAAAAAAAAAAAAAAAAAuAgAAZHJzL2Uyb0RvYy54bWxQSwEC&#10;LQAUAAYACAAAACEAuFvX9dsAAAAFAQAADwAAAAAAAAAAAAAAAABfBwAAZHJzL2Rvd25yZXYueG1s&#10;UEsFBgAAAAAEAAQA8wAAAGcIAAAAAA==&#10;">
                <v:shape id="Cuadro de texto 19" o:spid="_x0000_s1073" type="#_x0000_t202" style="position:absolute;width:25165;height:85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CFuFsEA&#10;AADbAAAADwAAAGRycy9kb3ducmV2LnhtbERPzYrCMBC+C/sOYQRvmioou9UorqJ48LC2+wBjM7bV&#10;ZlKaqHWffiMI3ubj+53ZojWVuFHjSssKhoMIBHFmdcm5gt900/8E4TyyxsoyKXiQg8X8ozPDWNs7&#10;H+iW+FyEEHYxKii8r2MpXVaQQTewNXHgTrYx6ANscqkbvIdwU8lRFE2kwZJDQ4E1rQrKLsnVKEi3&#10;evi3xON4ck7WP/tr/q3HWatUr9supyA8tf4tfrl3Osz/gucv4QA5/w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QhbhbBAAAA2wAAAA8AAAAAAAAAAAAAAAAAmAIAAGRycy9kb3du&#10;cmV2LnhtbFBLBQYAAAAABAAEAPUAAACGAwAAAAA=&#10;" fillcolor="#ded092" stroked="f" strokeweight=".5pt">
                  <v:textbox>
                    <w:txbxContent>
                      <w:p w14:paraId="712A7BA2" w14:textId="02821DF6" w:rsidR="006107A8" w:rsidRPr="00505378" w:rsidRDefault="006107A8" w:rsidP="000D3EEE">
                        <w:pPr>
                          <w:rPr>
                            <w:b/>
                            <w:bCs/>
                            <w:sz w:val="20"/>
                            <w:szCs w:val="20"/>
                            <w:lang w:val="es-AR"/>
                          </w:rPr>
                        </w:pPr>
                        <w:r w:rsidRPr="00505378">
                          <w:rPr>
                            <w:b/>
                            <w:bCs/>
                            <w:sz w:val="20"/>
                            <w:szCs w:val="20"/>
                            <w:lang w:val="es-AR"/>
                          </w:rPr>
                          <w:t xml:space="preserve">Módulo de </w:t>
                        </w:r>
                        <w:r>
                          <w:rPr>
                            <w:b/>
                            <w:bCs/>
                            <w:sz w:val="20"/>
                            <w:szCs w:val="20"/>
                            <w:lang w:val="es-AR"/>
                          </w:rPr>
                          <w:t>C.O.M.A.</w:t>
                        </w:r>
                        <w:r w:rsidRPr="00505378">
                          <w:rPr>
                            <w:b/>
                            <w:bCs/>
                            <w:sz w:val="20"/>
                            <w:szCs w:val="20"/>
                            <w:lang w:val="es-AR"/>
                          </w:rPr>
                          <w:t xml:space="preserve"> directo de Líneas</w:t>
                        </w:r>
                      </w:p>
                    </w:txbxContent>
                  </v:textbox>
                </v:shape>
                <v:shape id="Cuadro de texto 20" o:spid="_x0000_s1074" type="#_x0000_t202" style="position:absolute;top:9144;width:25168;height:332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3cNNsEA&#10;AADbAAAADwAAAGRycy9kb3ducmV2LnhtbERPzYrCMBC+C/sOYRa8aaqgSDUt7oqyBw9r6wOMzdhW&#10;m0lponZ9+s1B8Pjx/a/S3jTiTp2rLSuYjCMQxIXVNZcKjvl2tADhPLLGxjIp+CMHafIxWGGs7YMP&#10;dM98KUIIuxgVVN63sZSuqMigG9uWOHBn2xn0AXal1B0+Qrhp5DSK5tJgzaGhwpa+Kyqu2c0oyHd6&#10;8lzjaTa/ZJvf/a380rOiV2r42a+XIDz1/i1+uX+0gmlYH76EHyCT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t3DTbBAAAA2wAAAA8AAAAAAAAAAAAAAAAAmAIAAGRycy9kb3du&#10;cmV2LnhtbFBLBQYAAAAABAAEAPUAAACGAwAAAAA=&#10;" fillcolor="#ded092" stroked="f" strokeweight=".5pt">
                  <v:textbox>
                    <w:txbxContent>
                      <w:p w14:paraId="05D5E739" w14:textId="01348FC0" w:rsidR="006107A8" w:rsidRPr="00505378" w:rsidRDefault="006107A8" w:rsidP="000D3EEE">
                        <w:pPr>
                          <w:spacing w:after="120" w:line="240" w:lineRule="auto"/>
                          <w:rPr>
                            <w:b/>
                            <w:bCs/>
                            <w:sz w:val="20"/>
                            <w:szCs w:val="20"/>
                            <w:lang w:val="es-AR"/>
                          </w:rPr>
                        </w:pPr>
                        <w:r w:rsidRPr="00505378">
                          <w:rPr>
                            <w:b/>
                            <w:bCs/>
                            <w:sz w:val="20"/>
                            <w:szCs w:val="20"/>
                            <w:lang w:val="es-AR"/>
                          </w:rPr>
                          <w:t xml:space="preserve">Módulo de </w:t>
                        </w:r>
                        <w:r>
                          <w:rPr>
                            <w:b/>
                            <w:bCs/>
                            <w:sz w:val="20"/>
                            <w:szCs w:val="20"/>
                            <w:lang w:val="es-AR"/>
                          </w:rPr>
                          <w:t>C.O.M.A.</w:t>
                        </w:r>
                        <w:r w:rsidRPr="00505378">
                          <w:rPr>
                            <w:b/>
                            <w:bCs/>
                            <w:sz w:val="20"/>
                            <w:szCs w:val="20"/>
                            <w:lang w:val="es-AR"/>
                          </w:rPr>
                          <w:t xml:space="preserve"> directo de Subestaciones</w:t>
                        </w:r>
                      </w:p>
                      <w:p w14:paraId="7A142270" w14:textId="77777777" w:rsidR="006107A8" w:rsidRPr="00505378" w:rsidRDefault="006107A8" w:rsidP="000D3EEE">
                        <w:pPr>
                          <w:spacing w:after="240"/>
                          <w:rPr>
                            <w:sz w:val="20"/>
                            <w:szCs w:val="20"/>
                            <w:lang w:val="es-AR"/>
                          </w:rPr>
                        </w:pPr>
                      </w:p>
                    </w:txbxContent>
                  </v:textbox>
                </v:shape>
                <v:shape id="Cuadro de texto 21" o:spid="_x0000_s1075" type="#_x0000_t202" style="position:absolute;left:995;top:29061;width:22352;height:127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mV1F8MA&#10;AADbAAAADwAAAGRycy9kb3ducmV2LnhtbESPQWvCQBSE70L/w/KEXkQ3yUEkdZWqKL1qFOntkX1m&#10;Q7Nv0+xq0n/fLRQ8DjPzDbNcD7YRD+p87VhBOktAEJdO11wpOBf76QKED8gaG8ek4Ic8rFcvoyXm&#10;2vV8pMcpVCJC2OeowITQ5lL60pBFP3MtcfRurrMYouwqqTvsI9w2MkuSubRYc1ww2NLWUPl1ulsF&#10;sq6u23Ty+X3Yb9LM3ENx6XeFUq/j4f0NRKAhPMP/7Q+tIEvh70v8AXL1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mV1F8MAAADbAAAADwAAAAAAAAAAAAAAAACYAgAAZHJzL2Rv&#10;d25yZXYueG1sUEsFBgAAAAAEAAQA9QAAAIgDAAAAAA==&#10;" fillcolor="#ccb658" stroked="f" strokeweight=".5pt">
                  <v:textbox>
                    <w:txbxContent>
                      <w:p w14:paraId="717A0D62" w14:textId="77777777" w:rsidR="006107A8" w:rsidRPr="00505378" w:rsidRDefault="006107A8" w:rsidP="000D3EEE">
                        <w:pPr>
                          <w:spacing w:after="60" w:line="240" w:lineRule="auto"/>
                          <w:rPr>
                            <w:b/>
                            <w:bCs/>
                            <w:sz w:val="18"/>
                            <w:szCs w:val="18"/>
                            <w:lang w:val="es-AR"/>
                          </w:rPr>
                        </w:pPr>
                        <w:r w:rsidRPr="00505378">
                          <w:rPr>
                            <w:b/>
                            <w:bCs/>
                            <w:sz w:val="18"/>
                            <w:szCs w:val="18"/>
                            <w:lang w:val="es-AR"/>
                          </w:rPr>
                          <w:t xml:space="preserve">Tramo de </w:t>
                        </w:r>
                        <w:r>
                          <w:rPr>
                            <w:b/>
                            <w:bCs/>
                            <w:sz w:val="18"/>
                            <w:szCs w:val="18"/>
                            <w:lang w:val="es-AR"/>
                          </w:rPr>
                          <w:t>Subestación</w:t>
                        </w:r>
                      </w:p>
                      <w:p w14:paraId="72605B9D" w14:textId="77777777" w:rsidR="006107A8" w:rsidRPr="008F5475" w:rsidRDefault="006107A8" w:rsidP="000D3EEE">
                        <w:pPr>
                          <w:spacing w:after="0" w:line="240" w:lineRule="auto"/>
                          <w:rPr>
                            <w:sz w:val="18"/>
                            <w:szCs w:val="18"/>
                            <w:lang w:val="es-AR"/>
                          </w:rPr>
                        </w:pPr>
                        <w:r w:rsidRPr="008F5475">
                          <w:rPr>
                            <w:sz w:val="18"/>
                            <w:szCs w:val="18"/>
                            <w:lang w:val="es-AR"/>
                          </w:rPr>
                          <w:t>Subestación: Muy Grande, Grande, Mediana, Chica y Muy Chica</w:t>
                        </w:r>
                      </w:p>
                      <w:p w14:paraId="75A78F57" w14:textId="77777777" w:rsidR="006107A8" w:rsidRPr="008F5475" w:rsidRDefault="006107A8" w:rsidP="000D3EEE">
                        <w:pPr>
                          <w:spacing w:after="0" w:line="240" w:lineRule="auto"/>
                          <w:rPr>
                            <w:sz w:val="18"/>
                            <w:szCs w:val="18"/>
                            <w:lang w:val="es-AR"/>
                          </w:rPr>
                        </w:pPr>
                        <w:r w:rsidRPr="008F5475">
                          <w:rPr>
                            <w:sz w:val="18"/>
                            <w:szCs w:val="18"/>
                            <w:lang w:val="es-AR"/>
                          </w:rPr>
                          <w:t>Transformador trifásico: 220/MT y 66/MT</w:t>
                        </w:r>
                      </w:p>
                      <w:p w14:paraId="3832FFCE" w14:textId="77777777" w:rsidR="006107A8" w:rsidRPr="008F5475" w:rsidRDefault="006107A8" w:rsidP="000D3EEE">
                        <w:pPr>
                          <w:spacing w:after="0" w:line="240" w:lineRule="auto"/>
                          <w:rPr>
                            <w:sz w:val="18"/>
                            <w:szCs w:val="18"/>
                            <w:lang w:val="es-AR"/>
                          </w:rPr>
                        </w:pPr>
                        <w:r w:rsidRPr="008F5475">
                          <w:rPr>
                            <w:sz w:val="18"/>
                            <w:szCs w:val="18"/>
                            <w:lang w:val="es-AR"/>
                          </w:rPr>
                          <w:t>Condensador SHUNT: 500 kV, 220 kV, 154 kV, 110 kV, 66 kV y MT.</w:t>
                        </w:r>
                      </w:p>
                      <w:p w14:paraId="178C5DC7" w14:textId="77777777" w:rsidR="006107A8" w:rsidRPr="009D12B8" w:rsidRDefault="006107A8" w:rsidP="000D3EEE">
                        <w:pPr>
                          <w:spacing w:after="0" w:line="240" w:lineRule="auto"/>
                          <w:rPr>
                            <w:sz w:val="18"/>
                            <w:szCs w:val="18"/>
                            <w:lang w:val="en-US"/>
                          </w:rPr>
                        </w:pPr>
                        <w:r w:rsidRPr="009D12B8">
                          <w:rPr>
                            <w:sz w:val="18"/>
                            <w:szCs w:val="18"/>
                            <w:lang w:val="en-US"/>
                          </w:rPr>
                          <w:t>Reactor Barra 500kV, 220 kV, 66 kV, MT</w:t>
                        </w:r>
                      </w:p>
                      <w:p w14:paraId="7EF649E5" w14:textId="77777777" w:rsidR="006107A8" w:rsidRPr="009D12B8" w:rsidRDefault="006107A8" w:rsidP="000D3EEE">
                        <w:pPr>
                          <w:spacing w:after="0" w:line="240" w:lineRule="auto"/>
                          <w:rPr>
                            <w:sz w:val="18"/>
                            <w:szCs w:val="18"/>
                            <w:lang w:val="en-US"/>
                          </w:rPr>
                        </w:pPr>
                        <w:r w:rsidRPr="009D12B8">
                          <w:rPr>
                            <w:sz w:val="18"/>
                            <w:szCs w:val="18"/>
                            <w:lang w:val="en-US"/>
                          </w:rPr>
                          <w:t>CER/StatCom</w:t>
                        </w:r>
                      </w:p>
                    </w:txbxContent>
                  </v:textbox>
                </v:shape>
                <v:shape id="Cuadro de texto 22" o:spid="_x0000_s1076" type="#_x0000_t202" style="position:absolute;left:995;top:11497;width:22352;height:1701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frYMMA&#10;AADbAAAADwAAAGRycy9kb3ducmV2LnhtbESPQWvCQBSE7wX/w/IEL0U3yaGU6CpqsXitUcTbI/vM&#10;BrNvY3Y16b/vFgo9DjPzDbNYDbYRT+p87VhBOktAEJdO11wpOBa76TsIH5A1No5JwTd5WC1HLwvM&#10;tev5i56HUIkIYZ+jAhNCm0vpS0MW/cy1xNG7us5iiLKrpO6wj3DbyCxJ3qTFmuOCwZa2hsrb4WEV&#10;yLo6b9PXy/1zt0kz8wjFqf8olJqMh/UcRKAh/If/2nutIMvg90v8AXL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rfrYMMAAADbAAAADwAAAAAAAAAAAAAAAACYAgAAZHJzL2Rv&#10;d25yZXYueG1sUEsFBgAAAAAEAAQA9QAAAIgDAAAAAA==&#10;" fillcolor="#ccb658" stroked="f" strokeweight=".5pt">
                  <v:textbox>
                    <w:txbxContent>
                      <w:p w14:paraId="497DD5A5" w14:textId="77777777" w:rsidR="006107A8" w:rsidRPr="00505378" w:rsidRDefault="006107A8" w:rsidP="000D3EEE">
                        <w:pPr>
                          <w:spacing w:after="60" w:line="240" w:lineRule="auto"/>
                          <w:rPr>
                            <w:b/>
                            <w:bCs/>
                            <w:sz w:val="18"/>
                            <w:szCs w:val="18"/>
                            <w:lang w:val="es-AR"/>
                          </w:rPr>
                        </w:pPr>
                        <w:r w:rsidRPr="00505378">
                          <w:rPr>
                            <w:b/>
                            <w:bCs/>
                            <w:sz w:val="18"/>
                            <w:szCs w:val="18"/>
                            <w:lang w:val="es-AR"/>
                          </w:rPr>
                          <w:t xml:space="preserve">Tramo de </w:t>
                        </w:r>
                        <w:r>
                          <w:rPr>
                            <w:b/>
                            <w:bCs/>
                            <w:sz w:val="18"/>
                            <w:szCs w:val="18"/>
                            <w:lang w:val="es-AR"/>
                          </w:rPr>
                          <w:t>Transporte</w:t>
                        </w:r>
                      </w:p>
                      <w:p w14:paraId="7B79F3BA" w14:textId="77777777" w:rsidR="006107A8" w:rsidRPr="008F5475" w:rsidRDefault="006107A8" w:rsidP="000D3EEE">
                        <w:pPr>
                          <w:spacing w:after="0" w:line="240" w:lineRule="auto"/>
                          <w:rPr>
                            <w:sz w:val="18"/>
                            <w:szCs w:val="18"/>
                            <w:lang w:val="es-AR"/>
                          </w:rPr>
                        </w:pPr>
                        <w:r w:rsidRPr="008F5475">
                          <w:rPr>
                            <w:sz w:val="18"/>
                            <w:szCs w:val="18"/>
                            <w:lang w:val="es-AR"/>
                          </w:rPr>
                          <w:t>Capacitor Serie 220</w:t>
                        </w:r>
                      </w:p>
                      <w:p w14:paraId="10883024" w14:textId="77777777" w:rsidR="006107A8" w:rsidRPr="008F5475" w:rsidRDefault="006107A8" w:rsidP="000D3EEE">
                        <w:pPr>
                          <w:spacing w:after="0" w:line="240" w:lineRule="auto"/>
                          <w:rPr>
                            <w:sz w:val="18"/>
                            <w:szCs w:val="18"/>
                            <w:lang w:val="es-AR"/>
                          </w:rPr>
                        </w:pPr>
                        <w:r w:rsidRPr="008F5475">
                          <w:rPr>
                            <w:sz w:val="18"/>
                            <w:szCs w:val="18"/>
                            <w:lang w:val="es-AR"/>
                          </w:rPr>
                          <w:t>Capacitor Serie 500</w:t>
                        </w:r>
                      </w:p>
                      <w:p w14:paraId="53AB9B6F" w14:textId="77777777" w:rsidR="006107A8" w:rsidRPr="008F5475" w:rsidRDefault="006107A8" w:rsidP="000D3EEE">
                        <w:pPr>
                          <w:spacing w:after="0" w:line="240" w:lineRule="auto"/>
                          <w:rPr>
                            <w:sz w:val="18"/>
                            <w:szCs w:val="18"/>
                            <w:lang w:val="es-AR"/>
                          </w:rPr>
                        </w:pPr>
                        <w:r w:rsidRPr="008F5475">
                          <w:rPr>
                            <w:sz w:val="18"/>
                            <w:szCs w:val="18"/>
                            <w:lang w:val="es-AR"/>
                          </w:rPr>
                          <w:t>Paño 220</w:t>
                        </w:r>
                      </w:p>
                      <w:p w14:paraId="7976E0AA" w14:textId="77777777" w:rsidR="006107A8" w:rsidRPr="008F5475" w:rsidRDefault="006107A8" w:rsidP="000D3EEE">
                        <w:pPr>
                          <w:spacing w:after="0" w:line="240" w:lineRule="auto"/>
                          <w:rPr>
                            <w:sz w:val="18"/>
                            <w:szCs w:val="18"/>
                            <w:lang w:val="es-AR"/>
                          </w:rPr>
                        </w:pPr>
                        <w:r w:rsidRPr="008F5475">
                          <w:rPr>
                            <w:sz w:val="18"/>
                            <w:szCs w:val="18"/>
                            <w:lang w:val="es-AR"/>
                          </w:rPr>
                          <w:t>Paño 500</w:t>
                        </w:r>
                      </w:p>
                      <w:p w14:paraId="6095D6D0" w14:textId="77777777" w:rsidR="006107A8" w:rsidRPr="008F5475" w:rsidRDefault="006107A8" w:rsidP="000D3EEE">
                        <w:pPr>
                          <w:spacing w:after="0" w:line="240" w:lineRule="auto"/>
                          <w:rPr>
                            <w:sz w:val="18"/>
                            <w:szCs w:val="18"/>
                            <w:lang w:val="es-AR"/>
                          </w:rPr>
                        </w:pPr>
                        <w:r w:rsidRPr="008F5475">
                          <w:rPr>
                            <w:sz w:val="18"/>
                            <w:szCs w:val="18"/>
                            <w:lang w:val="es-AR"/>
                          </w:rPr>
                          <w:t>Paño 66</w:t>
                        </w:r>
                      </w:p>
                      <w:p w14:paraId="6F5EC98B" w14:textId="77777777" w:rsidR="006107A8" w:rsidRPr="008F5475" w:rsidRDefault="006107A8" w:rsidP="000D3EEE">
                        <w:pPr>
                          <w:spacing w:after="0" w:line="240" w:lineRule="auto"/>
                          <w:rPr>
                            <w:sz w:val="18"/>
                            <w:szCs w:val="18"/>
                            <w:lang w:val="es-AR"/>
                          </w:rPr>
                        </w:pPr>
                        <w:r w:rsidRPr="008F5475">
                          <w:rPr>
                            <w:sz w:val="18"/>
                            <w:szCs w:val="18"/>
                            <w:lang w:val="es-AR"/>
                          </w:rPr>
                          <w:t>Paño MT</w:t>
                        </w:r>
                      </w:p>
                      <w:p w14:paraId="2266CD7D" w14:textId="77777777" w:rsidR="006107A8" w:rsidRPr="008F5475" w:rsidRDefault="006107A8" w:rsidP="000D3EEE">
                        <w:pPr>
                          <w:spacing w:after="0" w:line="240" w:lineRule="auto"/>
                          <w:rPr>
                            <w:sz w:val="18"/>
                            <w:szCs w:val="18"/>
                            <w:lang w:val="es-AR"/>
                          </w:rPr>
                        </w:pPr>
                        <w:r w:rsidRPr="008F5475">
                          <w:rPr>
                            <w:sz w:val="18"/>
                            <w:szCs w:val="18"/>
                            <w:lang w:val="es-AR"/>
                          </w:rPr>
                          <w:t>Reactor línea 220</w:t>
                        </w:r>
                      </w:p>
                      <w:p w14:paraId="5CE5EEC7" w14:textId="77777777" w:rsidR="006107A8" w:rsidRPr="008F5475" w:rsidRDefault="006107A8" w:rsidP="000D3EEE">
                        <w:pPr>
                          <w:spacing w:after="0" w:line="240" w:lineRule="auto"/>
                          <w:rPr>
                            <w:sz w:val="18"/>
                            <w:szCs w:val="18"/>
                            <w:lang w:val="es-AR"/>
                          </w:rPr>
                        </w:pPr>
                        <w:r w:rsidRPr="008F5475">
                          <w:rPr>
                            <w:sz w:val="18"/>
                            <w:szCs w:val="18"/>
                            <w:lang w:val="es-AR"/>
                          </w:rPr>
                          <w:t>Reactor línea 500</w:t>
                        </w:r>
                      </w:p>
                      <w:p w14:paraId="7C06353C" w14:textId="77777777" w:rsidR="006107A8" w:rsidRPr="008F5475" w:rsidRDefault="006107A8" w:rsidP="000D3EEE">
                        <w:pPr>
                          <w:spacing w:after="0" w:line="240" w:lineRule="auto"/>
                          <w:rPr>
                            <w:sz w:val="18"/>
                            <w:szCs w:val="18"/>
                            <w:lang w:val="es-AR"/>
                          </w:rPr>
                        </w:pPr>
                        <w:r w:rsidRPr="008F5475">
                          <w:rPr>
                            <w:sz w:val="18"/>
                            <w:szCs w:val="18"/>
                            <w:lang w:val="es-AR"/>
                          </w:rPr>
                          <w:t>Transformador desfasador 220</w:t>
                        </w:r>
                      </w:p>
                      <w:p w14:paraId="1535430C" w14:textId="77777777" w:rsidR="006107A8" w:rsidRPr="00505378" w:rsidRDefault="006107A8" w:rsidP="000D3EEE">
                        <w:pPr>
                          <w:spacing w:after="0" w:line="240" w:lineRule="auto"/>
                          <w:rPr>
                            <w:sz w:val="18"/>
                            <w:szCs w:val="18"/>
                            <w:lang w:val="es-AR"/>
                          </w:rPr>
                        </w:pPr>
                        <w:r w:rsidRPr="008F5475">
                          <w:rPr>
                            <w:sz w:val="18"/>
                            <w:szCs w:val="18"/>
                            <w:lang w:val="es-AR"/>
                          </w:rPr>
                          <w:t>Transformador monofásico 500</w:t>
                        </w:r>
                      </w:p>
                    </w:txbxContent>
                  </v:textbox>
                </v:shape>
                <v:shape id="Cuadro de texto 23" o:spid="_x0000_s1077" type="#_x0000_t202" style="position:absolute;left:1086;top:2353;width:22352;height:53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ftO+8QA&#10;AADbAAAADwAAAGRycy9kb3ducmV2LnhtbESPQWvCQBSE74X+h+UJXkqzSQqlRFexitKrxlK8PbKv&#10;2dDs25hdTfrvu0LB4zAz3zDz5WhbcaXeN44VZEkKgrhyuuFawbHcPr+B8AFZY+uYFPySh+Xi8WGO&#10;hXYD7+l6CLWIEPYFKjAhdIWUvjJk0SeuI47et+sthij7Wuoehwi3rczT9FVabDguGOxobaj6OVys&#10;AtnUX+vs6XTebd+z3FxC+TlsSqWmk3E1AxFoDPfwf/tDK8hf4PYl/gC5+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n7TvvEAAAA2wAAAA8AAAAAAAAAAAAAAAAAmAIAAGRycy9k&#10;b3ducmV2LnhtbFBLBQYAAAAABAAEAPUAAACJAwAAAAA=&#10;" fillcolor="#ccb658" stroked="f" strokeweight=".5pt">
                  <v:textbox>
                    <w:txbxContent>
                      <w:p w14:paraId="3759EDC4" w14:textId="77777777" w:rsidR="006107A8" w:rsidRPr="00505378" w:rsidRDefault="006107A8" w:rsidP="000D3EEE">
                        <w:pPr>
                          <w:spacing w:after="60" w:line="240" w:lineRule="auto"/>
                          <w:rPr>
                            <w:b/>
                            <w:bCs/>
                            <w:sz w:val="18"/>
                            <w:szCs w:val="18"/>
                            <w:lang w:val="es-AR"/>
                          </w:rPr>
                        </w:pPr>
                        <w:r w:rsidRPr="00505378">
                          <w:rPr>
                            <w:b/>
                            <w:bCs/>
                            <w:sz w:val="18"/>
                            <w:szCs w:val="18"/>
                            <w:lang w:val="es-AR"/>
                          </w:rPr>
                          <w:t xml:space="preserve">Tramo de </w:t>
                        </w:r>
                        <w:r>
                          <w:rPr>
                            <w:b/>
                            <w:bCs/>
                            <w:sz w:val="18"/>
                            <w:szCs w:val="18"/>
                            <w:lang w:val="es-AR"/>
                          </w:rPr>
                          <w:t>Transporte</w:t>
                        </w:r>
                      </w:p>
                      <w:p w14:paraId="100339D8" w14:textId="77777777" w:rsidR="006107A8" w:rsidRPr="008F5475" w:rsidRDefault="006107A8" w:rsidP="000D3EEE">
                        <w:pPr>
                          <w:spacing w:after="0" w:line="240" w:lineRule="auto"/>
                          <w:rPr>
                            <w:sz w:val="18"/>
                            <w:szCs w:val="18"/>
                            <w:lang w:val="es-AR"/>
                          </w:rPr>
                        </w:pPr>
                        <w:r>
                          <w:rPr>
                            <w:sz w:val="18"/>
                            <w:szCs w:val="18"/>
                            <w:lang w:val="es-AR"/>
                          </w:rPr>
                          <w:t>Línea</w:t>
                        </w:r>
                        <w:r w:rsidRPr="008F5475">
                          <w:rPr>
                            <w:sz w:val="18"/>
                            <w:szCs w:val="18"/>
                            <w:lang w:val="es-AR"/>
                          </w:rPr>
                          <w:t xml:space="preserve"> 220</w:t>
                        </w:r>
                      </w:p>
                      <w:p w14:paraId="66CECB70" w14:textId="77777777" w:rsidR="006107A8" w:rsidRPr="008F5475" w:rsidRDefault="006107A8" w:rsidP="000D3EEE">
                        <w:pPr>
                          <w:spacing w:after="0" w:line="240" w:lineRule="auto"/>
                          <w:rPr>
                            <w:sz w:val="18"/>
                            <w:szCs w:val="18"/>
                            <w:lang w:val="es-AR"/>
                          </w:rPr>
                        </w:pPr>
                        <w:r>
                          <w:rPr>
                            <w:sz w:val="18"/>
                            <w:szCs w:val="18"/>
                            <w:lang w:val="es-AR"/>
                          </w:rPr>
                          <w:t>Línea</w:t>
                        </w:r>
                        <w:r w:rsidRPr="008F5475">
                          <w:rPr>
                            <w:sz w:val="18"/>
                            <w:szCs w:val="18"/>
                            <w:lang w:val="es-AR"/>
                          </w:rPr>
                          <w:t xml:space="preserve"> 500</w:t>
                        </w:r>
                      </w:p>
                      <w:p w14:paraId="265F7BD4" w14:textId="77777777" w:rsidR="006107A8" w:rsidRPr="00505378" w:rsidRDefault="006107A8" w:rsidP="000D3EEE">
                        <w:pPr>
                          <w:spacing w:after="0" w:line="240" w:lineRule="auto"/>
                          <w:rPr>
                            <w:sz w:val="18"/>
                            <w:szCs w:val="18"/>
                            <w:lang w:val="es-AR"/>
                          </w:rPr>
                        </w:pPr>
                      </w:p>
                    </w:txbxContent>
                  </v:textbox>
                </v:shape>
                <v:shape id="Cuadro de texto 34" o:spid="_x0000_s1078" type="#_x0000_t202" style="position:absolute;left:31687;width:22352;height:1982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VAjvsQA&#10;AADbAAAADwAAAGRycy9kb3ducmV2LnhtbESPwWrDMBBE74H+g9hAb4kcJ5TiRgmmEOihPcRODr0t&#10;1sZ2Y62MpDjq31eFQo/DzLxhtvtoBjGR871lBatlBoK4sbrnVsGpPiyeQfiArHGwTAq+ycN+9zDb&#10;YqHtnY80VaEVCcK+QAVdCGMhpW86MuiXdiRO3sU6gyFJ10rt8J7gZpB5lj1Jgz2nhQ5Heu2ouVY3&#10;o+AcfZlHW3/mF/MlP66O2/c1K/U4j+ULiEAx/If/2m9awXoDv1/SD5C7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FQI77EAAAA2wAAAA8AAAAAAAAAAAAAAAAAmAIAAGRycy9k&#10;b3ducmV2LnhtbFBLBQYAAAAABAAEAPUAAACJAwAAAAA=&#10;" fillcolor="#ded092" stroked="f" strokeweight=".5pt">
                  <v:textbox>
                    <w:txbxContent>
                      <w:p w14:paraId="381E3C52" w14:textId="143B447E" w:rsidR="006107A8" w:rsidRPr="00505378" w:rsidRDefault="006107A8" w:rsidP="000D3EEE">
                        <w:pPr>
                          <w:spacing w:after="60" w:line="240" w:lineRule="auto"/>
                          <w:jc w:val="center"/>
                          <w:rPr>
                            <w:b/>
                            <w:bCs/>
                            <w:lang w:val="es-AR"/>
                          </w:rPr>
                        </w:pPr>
                        <w:r>
                          <w:rPr>
                            <w:b/>
                            <w:bCs/>
                            <w:lang w:val="es-AR"/>
                          </w:rPr>
                          <w:t>C.O.M.A.</w:t>
                        </w:r>
                        <w:r w:rsidRPr="00505378">
                          <w:rPr>
                            <w:b/>
                            <w:bCs/>
                            <w:lang w:val="es-AR"/>
                          </w:rPr>
                          <w:t xml:space="preserve"> de Tramo de Transporte</w:t>
                        </w:r>
                      </w:p>
                    </w:txbxContent>
                  </v:textbox>
                </v:shape>
                <v:shape id="Cuadro de texto 35" o:spid="_x0000_s1079" type="#_x0000_t202" style="position:absolute;left:31596;top:20822;width:22352;height:2154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yGJcQA&#10;AADbAAAADwAAAGRycy9kb3ducmV2LnhtbESPwWrDMBBE74H+g9hAb4kch5TiRgmmEOihPcRODr0t&#10;1sZ2Y62MpDjq31eFQo/DzLxhtvtoBjGR871lBatlBoK4sbrnVsGpPiyeQfiArHGwTAq+ycN+9zDb&#10;YqHtnY80VaEVCcK+QAVdCGMhpW86MuiXdiRO3sU6gyFJ10rt8J7gZpB5lj1Jgz2nhQ5Heu2ouVY3&#10;o+AcfZlHW3/mF/MlP66O2/c1K/U4j+ULiEAx/If/2m9awXoDv1/SD5C7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4chiXEAAAA2wAAAA8AAAAAAAAAAAAAAAAAmAIAAGRycy9k&#10;b3ducmV2LnhtbFBLBQYAAAAABAAEAPUAAACJAwAAAAA=&#10;" fillcolor="#ded092" stroked="f" strokeweight=".5pt">
                  <v:textbox>
                    <w:txbxContent>
                      <w:p w14:paraId="7AFCFA7D" w14:textId="082D0E1D" w:rsidR="006107A8" w:rsidRPr="00505378" w:rsidRDefault="006107A8" w:rsidP="000D3EEE">
                        <w:pPr>
                          <w:spacing w:after="60" w:line="240" w:lineRule="auto"/>
                          <w:jc w:val="center"/>
                          <w:rPr>
                            <w:b/>
                            <w:bCs/>
                            <w:lang w:val="es-AR"/>
                          </w:rPr>
                        </w:pPr>
                        <w:r>
                          <w:rPr>
                            <w:b/>
                            <w:bCs/>
                            <w:lang w:val="es-AR"/>
                          </w:rPr>
                          <w:t>C.O.M.A.</w:t>
                        </w:r>
                        <w:r w:rsidRPr="00505378">
                          <w:rPr>
                            <w:b/>
                            <w:bCs/>
                            <w:lang w:val="es-AR"/>
                          </w:rPr>
                          <w:t xml:space="preserve"> de Tramo de Subestación</w:t>
                        </w:r>
                      </w:p>
                    </w:txbxContent>
                  </v:textbox>
                </v:shape>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Conector: angular 36" o:spid="_x0000_s1080" type="#_x0000_t34" style="position:absolute;left:23357;top:5160;width:8239;height:3349;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FhJN8UAAADbAAAADwAAAGRycy9kb3ducmV2LnhtbESPQWvCQBSE74L/YXlCL9JsbCFIdCNq&#10;W+hJqArF2zP7mg3Nvk2zG43/vlsoeBxm5htmuRpsIy7U+dqxglmSgiAuna65UnA8vD3OQfiArLFx&#10;TApu5GFVjEdLzLW78gdd9qESEcI+RwUmhDaX0peGLPrEtcTR+3KdxRBlV0nd4TXCbSOf0jSTFmuO&#10;CwZb2hoqv/e9VfBz3m1D/XLqd9PzbbCZ33y+ro1SD5NhvQARaAj38H/7XSt4zuDvS/wBsvg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FhJN8UAAADbAAAADwAAAAAAAAAA&#10;AAAAAAChAgAAZHJzL2Rvd25yZXYueG1sUEsFBgAAAAAEAAQA+QAAAJMDAAAAAA==&#10;" strokecolor="#4472c4 [3204]" strokeweight="1.5pt">
                  <v:stroke endarrow="block"/>
                </v:shape>
                <v:shape id="Conector: angular 37" o:spid="_x0000_s1081" type="#_x0000_t34" style="position:absolute;left:23357;top:12803;width:8259;height:7476;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HVN8UAAADbAAAADwAAAGRycy9kb3ducmV2LnhtbESPW2vCQBSE3wv+h+UIfaub1CvRVYpS&#10;qEURLw/6dsgek2D2bMhuTfz3bqHQx2FmvmFmi9aU4k61KywriHsRCOLU6oIzBafj59sEhPPIGkvL&#10;pOBBDhbzzssME20b3tP94DMRIOwSVJB7XyVSujQng65nK+LgXW1t0AdZZ1LX2AS4KeV7FI2kwYLD&#10;Qo4VLXNKb4cfo+B7u9OreEjj0Xl14Xi43jSD40ap1277MQXhqfX/4b/2l1bQH8Pvl/AD5PwJ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m/HVN8UAAADbAAAADwAAAAAAAAAA&#10;AAAAAAChAgAAZHJzL2Rvd25yZXYueG1sUEsFBgAAAAAEAAQA+QAAAJMDAAAAAA==&#10;" strokecolor="#4472c4 [3204]" strokeweight="1.5pt">
                  <v:stroke endarrow="block"/>
                </v:shape>
                <v:shape id="Conector: angular 49" o:spid="_x0000_s1082" type="#_x0000_t34" style="position:absolute;left:23357;top:31634;width:8340;height:3983;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SSXo8UAAADbAAAADwAAAGRycy9kb3ducmV2LnhtbESPW2vCQBSE3wv+h+UIfaubFK/RVUql&#10;YEURLw/6dsgek9Ds2ZBdTfrvXaHQx2FmvmFmi9aU4k61KywriHsRCOLU6oIzBafj19sYhPPIGkvL&#10;pOCXHCzmnZcZJto2vKf7wWciQNglqCD3vkqkdGlOBl3PVsTBu9raoA+yzqSusQlwU8r3KBpKgwWH&#10;hRwr+swp/TncjIL1dqeX8YBGw/PywvHge9P0jxulXrvtxxSEp9b/h//aK62gP4Hnl/AD5Pw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3SSXo8UAAADbAAAADwAAAAAAAAAA&#10;AAAAAAChAgAAZHJzL2Rvd25yZXYueG1sUEsFBgAAAAAEAAQA+QAAAJMDAAAAAA==&#10;" strokecolor="#4472c4 [3204]" strokeweight="1.5pt">
                  <v:stroke endarrow="block"/>
                </v:shape>
                <w10:anchorlock/>
              </v:group>
            </w:pict>
          </mc:Fallback>
        </mc:AlternateContent>
      </w:r>
    </w:p>
    <w:p w14:paraId="28C87883" w14:textId="77777777" w:rsidR="0067128F" w:rsidRDefault="0067128F" w:rsidP="00F64D04">
      <w:pPr>
        <w:spacing w:before="60" w:after="120" w:line="240" w:lineRule="auto"/>
        <w:rPr>
          <w:rFonts w:cs="Arial"/>
          <w:szCs w:val="22"/>
          <w:lang w:val="es-ES"/>
        </w:rPr>
      </w:pPr>
    </w:p>
    <w:p w14:paraId="2AB5E0DE" w14:textId="65592AB6" w:rsidR="00F64D04" w:rsidRPr="00354C2E" w:rsidRDefault="00F64D04" w:rsidP="00F64D04">
      <w:pPr>
        <w:spacing w:before="60" w:after="120" w:line="240" w:lineRule="auto"/>
        <w:rPr>
          <w:rFonts w:cs="Arial"/>
          <w:szCs w:val="22"/>
          <w:lang w:val="es-ES"/>
        </w:rPr>
      </w:pPr>
      <w:r w:rsidRPr="00354C2E">
        <w:rPr>
          <w:rFonts w:cs="Arial"/>
          <w:szCs w:val="22"/>
          <w:lang w:val="es-ES"/>
        </w:rPr>
        <w:t xml:space="preserve">En cada caso, la determinación de los </w:t>
      </w:r>
      <w:r w:rsidR="005A6F95">
        <w:rPr>
          <w:rFonts w:cs="Arial"/>
          <w:szCs w:val="22"/>
          <w:lang w:val="es-ES"/>
        </w:rPr>
        <w:t>C.O.M.A.</w:t>
      </w:r>
      <w:r w:rsidRPr="00354C2E">
        <w:rPr>
          <w:rFonts w:cs="Arial"/>
          <w:szCs w:val="22"/>
          <w:lang w:val="es-ES"/>
        </w:rPr>
        <w:t xml:space="preserve"> directos se realiza desagregando el cálculo en dos partes: costo propio de la tarea y los costos de desplazamiento.  </w:t>
      </w:r>
    </w:p>
    <w:p w14:paraId="1E807AF8" w14:textId="598241EC" w:rsidR="00F64D04" w:rsidRPr="0060133B" w:rsidRDefault="00F64D04" w:rsidP="0060133B">
      <w:pPr>
        <w:rPr>
          <w:lang w:val="es-ES"/>
        </w:rPr>
      </w:pPr>
      <w:r w:rsidRPr="0060133B">
        <w:rPr>
          <w:lang w:val="es-ES"/>
        </w:rPr>
        <w:t xml:space="preserve">El costo propio de la tarea está determinado por la duración de la misma, la frecuencia de ejecución y los recursos de cuadrilla (operarios, herramientas, vehículos, etc.) y materiales requeridos en cada caso. El costo de desplazamiento está compuesto por el tiempo de aproximación a la zona de trabajo y el tiempo de desplazamiento entre tareas y tiene tratamiento distinto según el módulo de que se trate y de acuerdo a si la tarea es calificada como programable (PR) o no programable (NP), para </w:t>
      </w:r>
      <w:r w:rsidR="008425D4" w:rsidRPr="0060133B">
        <w:rPr>
          <w:lang w:val="es-ES"/>
        </w:rPr>
        <w:t>más</w:t>
      </w:r>
      <w:r w:rsidRPr="0060133B">
        <w:rPr>
          <w:lang w:val="es-ES"/>
        </w:rPr>
        <w:t xml:space="preserve"> detalle referirse al numeral </w:t>
      </w:r>
      <w:r w:rsidRPr="0060133B">
        <w:rPr>
          <w:lang w:val="es-ES"/>
        </w:rPr>
        <w:fldChar w:fldCharType="begin"/>
      </w:r>
      <w:r w:rsidRPr="0060133B">
        <w:rPr>
          <w:lang w:val="es-ES"/>
        </w:rPr>
        <w:instrText xml:space="preserve"> REF _Ref34639145 \r \h </w:instrText>
      </w:r>
      <w:r w:rsidR="00354C2E" w:rsidRPr="0060133B">
        <w:rPr>
          <w:lang w:val="es-ES"/>
        </w:rPr>
        <w:instrText xml:space="preserve"> \* MERGEFORMAT </w:instrText>
      </w:r>
      <w:r w:rsidRPr="0060133B">
        <w:rPr>
          <w:lang w:val="es-ES"/>
        </w:rPr>
      </w:r>
      <w:r w:rsidRPr="0060133B">
        <w:rPr>
          <w:lang w:val="es-ES"/>
        </w:rPr>
        <w:fldChar w:fldCharType="separate"/>
      </w:r>
      <w:r w:rsidR="001F3E2E">
        <w:rPr>
          <w:lang w:val="es-ES"/>
        </w:rPr>
        <w:t>6.2.4.2</w:t>
      </w:r>
      <w:r w:rsidRPr="0060133B">
        <w:rPr>
          <w:lang w:val="es-ES"/>
        </w:rPr>
        <w:fldChar w:fldCharType="end"/>
      </w:r>
      <w:r w:rsidRPr="0060133B">
        <w:rPr>
          <w:lang w:val="es-ES"/>
        </w:rPr>
        <w:t>.</w:t>
      </w:r>
    </w:p>
    <w:p w14:paraId="41FA3929" w14:textId="52451B82" w:rsidR="00F64D04" w:rsidRPr="0060133B" w:rsidRDefault="00F64D04" w:rsidP="0060133B">
      <w:pPr>
        <w:rPr>
          <w:lang w:val="es-ES"/>
        </w:rPr>
      </w:pPr>
      <w:r w:rsidRPr="0060133B">
        <w:rPr>
          <w:lang w:val="es-ES"/>
        </w:rPr>
        <w:lastRenderedPageBreak/>
        <w:t xml:space="preserve">Finalmente, ambos componentes definen la necesidad de recursos totales para la ejecución de las actividades de </w:t>
      </w:r>
      <w:r w:rsidR="005A6F95">
        <w:rPr>
          <w:lang w:val="es-ES"/>
        </w:rPr>
        <w:t>C.O.M.A.</w:t>
      </w:r>
      <w:r w:rsidRPr="0060133B">
        <w:rPr>
          <w:lang w:val="es-ES"/>
        </w:rPr>
        <w:t xml:space="preserve"> Directos, los cuales son calculados para cada tramo en particular.</w:t>
      </w:r>
    </w:p>
    <w:p w14:paraId="376FB528" w14:textId="03D71AC6" w:rsidR="00F64D04" w:rsidRPr="0067128F" w:rsidRDefault="00F64D04" w:rsidP="00273FE4">
      <w:pPr>
        <w:pStyle w:val="Listanumerada"/>
        <w:numPr>
          <w:ilvl w:val="0"/>
          <w:numId w:val="26"/>
        </w:numPr>
        <w:spacing w:after="200"/>
        <w:ind w:left="567" w:hanging="567"/>
        <w:rPr>
          <w:lang w:val="es-ES"/>
        </w:rPr>
      </w:pPr>
      <w:r w:rsidRPr="0067128F">
        <w:rPr>
          <w:lang w:val="es-ES"/>
        </w:rPr>
        <w:t xml:space="preserve">Módulo de costos de </w:t>
      </w:r>
      <w:r w:rsidR="005A6F95" w:rsidRPr="0067128F">
        <w:rPr>
          <w:lang w:val="es-ES"/>
        </w:rPr>
        <w:t>C.O.M.A.</w:t>
      </w:r>
      <w:r w:rsidRPr="0067128F">
        <w:rPr>
          <w:lang w:val="es-ES"/>
        </w:rPr>
        <w:t xml:space="preserve"> directos de líneas</w:t>
      </w:r>
    </w:p>
    <w:p w14:paraId="5385A283" w14:textId="2F79D979" w:rsidR="00F64D04" w:rsidRPr="00354C2E" w:rsidRDefault="00F64D04" w:rsidP="00F64D04">
      <w:pPr>
        <w:spacing w:before="60" w:after="120" w:line="240" w:lineRule="auto"/>
        <w:rPr>
          <w:rFonts w:cs="Arial"/>
          <w:szCs w:val="22"/>
          <w:lang w:val="es-ES"/>
        </w:rPr>
      </w:pPr>
      <w:r w:rsidRPr="00354C2E">
        <w:rPr>
          <w:rFonts w:cs="Arial"/>
          <w:szCs w:val="22"/>
          <w:lang w:val="es-ES"/>
        </w:rPr>
        <w:t xml:space="preserve">Este módulo </w:t>
      </w:r>
      <w:r w:rsidR="008425D4" w:rsidRPr="00354C2E">
        <w:rPr>
          <w:rFonts w:cs="Arial"/>
          <w:szCs w:val="22"/>
          <w:lang w:val="es-ES"/>
        </w:rPr>
        <w:t>está</w:t>
      </w:r>
      <w:r w:rsidRPr="00354C2E">
        <w:rPr>
          <w:rFonts w:cs="Arial"/>
          <w:szCs w:val="22"/>
          <w:lang w:val="es-ES"/>
        </w:rPr>
        <w:t xml:space="preserve"> conformado por las siguientes hojas de cálculo: </w:t>
      </w:r>
    </w:p>
    <w:p w14:paraId="48B85368" w14:textId="77777777" w:rsidR="00F64D04" w:rsidRPr="0067128F" w:rsidRDefault="00F64D04" w:rsidP="00273FE4">
      <w:pPr>
        <w:pStyle w:val="Prrafodelista"/>
        <w:numPr>
          <w:ilvl w:val="0"/>
          <w:numId w:val="70"/>
        </w:numPr>
        <w:ind w:left="567" w:hanging="567"/>
      </w:pPr>
      <w:r w:rsidRPr="0067128F">
        <w:t>Datos_Generales en donde se especifican datos utilizados en todo el módulo como identificación de regionales, centros operativos, cuadrillas, etc.</w:t>
      </w:r>
    </w:p>
    <w:p w14:paraId="6264921F" w14:textId="0B70B75D" w:rsidR="00F64D04" w:rsidRPr="0067128F" w:rsidRDefault="008425D4" w:rsidP="00273FE4">
      <w:pPr>
        <w:pStyle w:val="Prrafodelista"/>
        <w:numPr>
          <w:ilvl w:val="0"/>
          <w:numId w:val="70"/>
        </w:numPr>
        <w:ind w:left="567" w:hanging="567"/>
      </w:pPr>
      <w:r w:rsidRPr="0067128F">
        <w:t>Tramos Líneas</w:t>
      </w:r>
      <w:r w:rsidR="00F64D04" w:rsidRPr="0067128F">
        <w:t xml:space="preserve"> en donde se definen los tramos de transporte objeto del estudio, se asigna el o los centros operativos desde donde parten las cuadrillas, de definen las cantidades de cada subcomponente y frecuencias particulares.</w:t>
      </w:r>
    </w:p>
    <w:p w14:paraId="4746AB31" w14:textId="77777777" w:rsidR="00F64D04" w:rsidRPr="0067128F" w:rsidRDefault="00F64D04" w:rsidP="00273FE4">
      <w:pPr>
        <w:pStyle w:val="Prrafodelista"/>
        <w:numPr>
          <w:ilvl w:val="0"/>
          <w:numId w:val="70"/>
        </w:numPr>
        <w:ind w:left="567" w:hanging="567"/>
      </w:pPr>
      <w:r w:rsidRPr="0067128F">
        <w:t>Geoposicionamiento Se definen las distancias y velocidades que son necesarias para llegar desde el CO a la subestación cabecera de la línea (Información obtenida de Google Earth).</w:t>
      </w:r>
    </w:p>
    <w:p w14:paraId="7D226145" w14:textId="1B5A7D49" w:rsidR="00F64D04" w:rsidRPr="0067128F" w:rsidRDefault="008425D4" w:rsidP="00273FE4">
      <w:pPr>
        <w:pStyle w:val="Prrafodelista"/>
        <w:numPr>
          <w:ilvl w:val="0"/>
          <w:numId w:val="70"/>
        </w:numPr>
        <w:ind w:left="567" w:hanging="567"/>
      </w:pPr>
      <w:r w:rsidRPr="0067128F">
        <w:t>Tareas Líneas</w:t>
      </w:r>
      <w:r w:rsidR="00F64D04" w:rsidRPr="0067128F">
        <w:t xml:space="preserve"> contiene la base de datos de tareas para cada componente.</w:t>
      </w:r>
    </w:p>
    <w:p w14:paraId="2AFA988B" w14:textId="7DFD99F0" w:rsidR="00F64D04" w:rsidRPr="0067128F" w:rsidRDefault="00F64D04" w:rsidP="00273FE4">
      <w:pPr>
        <w:pStyle w:val="Prrafodelista"/>
        <w:numPr>
          <w:ilvl w:val="0"/>
          <w:numId w:val="70"/>
        </w:numPr>
        <w:ind w:left="567" w:hanging="567"/>
      </w:pPr>
      <w:r w:rsidRPr="0067128F">
        <w:t xml:space="preserve">OYM_Lineas se calculan los </w:t>
      </w:r>
      <w:r w:rsidR="005A6F95" w:rsidRPr="0067128F">
        <w:t>C.O.M.A.</w:t>
      </w:r>
      <w:r w:rsidRPr="0067128F">
        <w:t xml:space="preserve"> directos correspondientes a la ejecución de cada tarea para cada componente.</w:t>
      </w:r>
    </w:p>
    <w:p w14:paraId="6ABAC55D" w14:textId="77777777" w:rsidR="00F64D04" w:rsidRPr="0067128F" w:rsidRDefault="00F64D04" w:rsidP="00273FE4">
      <w:pPr>
        <w:pStyle w:val="Prrafodelista"/>
        <w:numPr>
          <w:ilvl w:val="0"/>
          <w:numId w:val="70"/>
        </w:numPr>
        <w:ind w:left="567" w:hanging="567"/>
      </w:pPr>
      <w:r w:rsidRPr="0067128F">
        <w:t>OYM_Lineas_Salida_PR se calculan los tiempos de desplazamiento para cada cuadrilla y para cada subestación correspondiente a las actividades caracterizadas como programables.</w:t>
      </w:r>
    </w:p>
    <w:p w14:paraId="1A327BD2" w14:textId="77777777" w:rsidR="00F64D04" w:rsidRPr="0067128F" w:rsidRDefault="00F64D04" w:rsidP="00273FE4">
      <w:pPr>
        <w:pStyle w:val="Prrafodelista"/>
        <w:numPr>
          <w:ilvl w:val="0"/>
          <w:numId w:val="70"/>
        </w:numPr>
        <w:ind w:left="567" w:hanging="567"/>
      </w:pPr>
      <w:r w:rsidRPr="0067128F">
        <w:t>OYM_Lineas_Salida_NP se calculan los tiempos de desplazamiento para cada cuadrilla y para cada subestación correspondiente a las actividades caracterizadas como no programables.</w:t>
      </w:r>
    </w:p>
    <w:p w14:paraId="1DC4E482" w14:textId="0D73AC26" w:rsidR="00F64D04" w:rsidRPr="0067128F" w:rsidRDefault="00F64D04" w:rsidP="00273FE4">
      <w:pPr>
        <w:pStyle w:val="Prrafodelista"/>
        <w:numPr>
          <w:ilvl w:val="0"/>
          <w:numId w:val="70"/>
        </w:numPr>
        <w:ind w:left="567" w:hanging="567"/>
      </w:pPr>
      <w:r w:rsidRPr="0067128F">
        <w:t xml:space="preserve">Salida se totalizan los </w:t>
      </w:r>
      <w:r w:rsidR="005A6F95" w:rsidRPr="0067128F">
        <w:t>C.O.M.A.</w:t>
      </w:r>
      <w:r w:rsidRPr="0067128F">
        <w:t xml:space="preserve"> directos por cada componente, se asigna a su tramo de transporte correspondiente, se asignan los tiempos de desplazamiento, pernoctes, </w:t>
      </w:r>
      <w:r w:rsidR="008425D4" w:rsidRPr="0067128F">
        <w:t>viáticos</w:t>
      </w:r>
      <w:r w:rsidRPr="0067128F">
        <w:t>, etc.</w:t>
      </w:r>
    </w:p>
    <w:p w14:paraId="257F1211" w14:textId="74EE8032" w:rsidR="00F64D04" w:rsidRPr="0067128F" w:rsidRDefault="00F64D04" w:rsidP="00273FE4">
      <w:pPr>
        <w:pStyle w:val="Listanumerada"/>
        <w:numPr>
          <w:ilvl w:val="0"/>
          <w:numId w:val="26"/>
        </w:numPr>
        <w:spacing w:after="200"/>
        <w:ind w:left="567" w:hanging="567"/>
        <w:rPr>
          <w:lang w:val="es-ES"/>
        </w:rPr>
      </w:pPr>
      <w:r w:rsidRPr="0067128F">
        <w:rPr>
          <w:lang w:val="es-ES"/>
        </w:rPr>
        <w:t xml:space="preserve">Módulo de costos de </w:t>
      </w:r>
      <w:r w:rsidR="005A6F95" w:rsidRPr="0067128F">
        <w:rPr>
          <w:lang w:val="es-ES"/>
        </w:rPr>
        <w:t>C.O.M.A.</w:t>
      </w:r>
      <w:r w:rsidRPr="0067128F">
        <w:rPr>
          <w:lang w:val="es-ES"/>
        </w:rPr>
        <w:t xml:space="preserve"> directos de Subestaciones</w:t>
      </w:r>
    </w:p>
    <w:p w14:paraId="16E4CA8E" w14:textId="5BD74C66" w:rsidR="00F64D04" w:rsidRPr="00354C2E" w:rsidRDefault="00F64D04" w:rsidP="00F64D04">
      <w:pPr>
        <w:spacing w:before="60" w:after="120" w:line="240" w:lineRule="auto"/>
        <w:rPr>
          <w:rFonts w:cs="Arial"/>
          <w:szCs w:val="22"/>
          <w:lang w:val="es-ES"/>
        </w:rPr>
      </w:pPr>
      <w:r w:rsidRPr="00354C2E">
        <w:rPr>
          <w:rFonts w:cs="Arial"/>
          <w:szCs w:val="22"/>
          <w:lang w:val="es-ES"/>
        </w:rPr>
        <w:t xml:space="preserve">Este módulo </w:t>
      </w:r>
      <w:r w:rsidR="008425D4" w:rsidRPr="00354C2E">
        <w:rPr>
          <w:rFonts w:cs="Arial"/>
          <w:szCs w:val="22"/>
          <w:lang w:val="es-ES"/>
        </w:rPr>
        <w:t>está</w:t>
      </w:r>
      <w:r w:rsidRPr="00354C2E">
        <w:rPr>
          <w:rFonts w:cs="Arial"/>
          <w:szCs w:val="22"/>
          <w:lang w:val="es-ES"/>
        </w:rPr>
        <w:t xml:space="preserve"> conformado por las siguientes hojas de cálculo: </w:t>
      </w:r>
    </w:p>
    <w:p w14:paraId="623B5BC9" w14:textId="77777777" w:rsidR="00F64D04" w:rsidRPr="0067128F" w:rsidRDefault="00F64D04" w:rsidP="00273FE4">
      <w:pPr>
        <w:pStyle w:val="Prrafodelista"/>
        <w:numPr>
          <w:ilvl w:val="0"/>
          <w:numId w:val="70"/>
        </w:numPr>
        <w:ind w:left="567" w:hanging="567"/>
      </w:pPr>
      <w:r w:rsidRPr="0067128F">
        <w:t>Datos_Generales en donde se especifican datos utilizados en todo el módulo como identificación de regionales, centros operativos, cuadrillas, etc.</w:t>
      </w:r>
    </w:p>
    <w:p w14:paraId="1A3D22AF" w14:textId="77777777" w:rsidR="00F64D04" w:rsidRPr="0067128F" w:rsidRDefault="00F64D04" w:rsidP="00273FE4">
      <w:pPr>
        <w:pStyle w:val="Prrafodelista"/>
        <w:numPr>
          <w:ilvl w:val="0"/>
          <w:numId w:val="70"/>
        </w:numPr>
        <w:ind w:left="567" w:hanging="567"/>
      </w:pPr>
      <w:r w:rsidRPr="0067128F">
        <w:t>TramosSubestaciones en donde se definen los tramos de subestación, se asignan los centros operativos desde donde parten las cuadrillas.</w:t>
      </w:r>
    </w:p>
    <w:p w14:paraId="3668664C" w14:textId="77777777" w:rsidR="00F64D04" w:rsidRPr="0067128F" w:rsidRDefault="00F64D04" w:rsidP="00273FE4">
      <w:pPr>
        <w:pStyle w:val="Prrafodelista"/>
        <w:numPr>
          <w:ilvl w:val="0"/>
          <w:numId w:val="70"/>
        </w:numPr>
        <w:ind w:left="567" w:hanging="567"/>
      </w:pPr>
      <w:r w:rsidRPr="0067128F">
        <w:t>Geoposicionamiento Se definen las distancias y velocidades que son necesarias para llegar desde el CO a la subestación (Información obtenida de Google Earth).</w:t>
      </w:r>
    </w:p>
    <w:p w14:paraId="5E293977" w14:textId="31DF16BC" w:rsidR="00F64D04" w:rsidRPr="0067128F" w:rsidRDefault="00F64D04" w:rsidP="00273FE4">
      <w:pPr>
        <w:pStyle w:val="Prrafodelista"/>
        <w:numPr>
          <w:ilvl w:val="0"/>
          <w:numId w:val="70"/>
        </w:numPr>
        <w:ind w:left="567" w:hanging="567"/>
      </w:pPr>
      <w:r w:rsidRPr="0067128F">
        <w:lastRenderedPageBreak/>
        <w:t xml:space="preserve">SE donde se definen los componentes de cada sub </w:t>
      </w:r>
      <w:r w:rsidR="00A477D0" w:rsidRPr="0067128F">
        <w:t>estación junto</w:t>
      </w:r>
      <w:r w:rsidRPr="0067128F">
        <w:t xml:space="preserve"> con las cantidades correspondientes de cada uno y de sus subcomponentes y finalmente la asignación a cada tramo de transporte o subestación según corresponda.</w:t>
      </w:r>
    </w:p>
    <w:p w14:paraId="6E8E6B7C" w14:textId="77777777" w:rsidR="00F64D04" w:rsidRPr="0067128F" w:rsidRDefault="00F64D04" w:rsidP="00273FE4">
      <w:pPr>
        <w:pStyle w:val="Prrafodelista"/>
        <w:numPr>
          <w:ilvl w:val="0"/>
          <w:numId w:val="70"/>
        </w:numPr>
        <w:ind w:left="567" w:hanging="567"/>
      </w:pPr>
      <w:r w:rsidRPr="0067128F">
        <w:t>TareasSSEE contiene la base de datos de tareas para cada componente.</w:t>
      </w:r>
    </w:p>
    <w:p w14:paraId="68BE6B68" w14:textId="60A70672" w:rsidR="00F64D04" w:rsidRPr="0067128F" w:rsidRDefault="00F64D04" w:rsidP="00273FE4">
      <w:pPr>
        <w:pStyle w:val="Prrafodelista"/>
        <w:numPr>
          <w:ilvl w:val="0"/>
          <w:numId w:val="70"/>
        </w:numPr>
        <w:ind w:left="567" w:hanging="567"/>
      </w:pPr>
      <w:r w:rsidRPr="0067128F">
        <w:t xml:space="preserve">OYM_SE se calculan los </w:t>
      </w:r>
      <w:r w:rsidR="005A6F95" w:rsidRPr="0067128F">
        <w:t>C.O.M.A.</w:t>
      </w:r>
      <w:r w:rsidRPr="0067128F">
        <w:t xml:space="preserve"> directos correspondientes a la ejecución de cada tarea para cada componente.</w:t>
      </w:r>
    </w:p>
    <w:p w14:paraId="6C2B5C41" w14:textId="77777777" w:rsidR="00F64D04" w:rsidRPr="0067128F" w:rsidRDefault="00F64D04" w:rsidP="00273FE4">
      <w:pPr>
        <w:pStyle w:val="Prrafodelista"/>
        <w:numPr>
          <w:ilvl w:val="0"/>
          <w:numId w:val="70"/>
        </w:numPr>
        <w:ind w:left="567" w:hanging="567"/>
      </w:pPr>
      <w:r w:rsidRPr="0067128F">
        <w:t>OYM_SSEE_Salida_PR se calculan los tiempos de desplazamiento para cada cuadrilla y para cada subestación correspondiente a las actividades caracterizadas como programables.</w:t>
      </w:r>
    </w:p>
    <w:p w14:paraId="567F23E5" w14:textId="77777777" w:rsidR="00F64D04" w:rsidRPr="0067128F" w:rsidRDefault="00F64D04" w:rsidP="00273FE4">
      <w:pPr>
        <w:pStyle w:val="Prrafodelista"/>
        <w:numPr>
          <w:ilvl w:val="0"/>
          <w:numId w:val="70"/>
        </w:numPr>
        <w:ind w:left="567" w:hanging="567"/>
      </w:pPr>
      <w:r w:rsidRPr="0067128F">
        <w:t>OYM_SSEE_Salida_NP se calculan los tiempos de desplazamiento para cada cuadrilla y para cada subestación correspondiente a las actividades caracterizadas como no programables.</w:t>
      </w:r>
    </w:p>
    <w:p w14:paraId="4568D18B" w14:textId="17FE5EDE" w:rsidR="0079428C" w:rsidRPr="0067128F" w:rsidRDefault="00F64D04" w:rsidP="00273FE4">
      <w:pPr>
        <w:pStyle w:val="Prrafodelista"/>
        <w:numPr>
          <w:ilvl w:val="0"/>
          <w:numId w:val="70"/>
        </w:numPr>
        <w:ind w:left="567" w:hanging="567"/>
      </w:pPr>
      <w:r w:rsidRPr="0067128F">
        <w:t xml:space="preserve">Salida se totalizan los </w:t>
      </w:r>
      <w:r w:rsidR="005A6F95" w:rsidRPr="0067128F">
        <w:t>C.O.M.A.</w:t>
      </w:r>
      <w:r w:rsidRPr="0067128F">
        <w:t xml:space="preserve"> directos por cada componente, se asigna a su tramo de transporte o de subestación correspondiente, se asignan los tiempos de desplazamiento, pernoctes, </w:t>
      </w:r>
      <w:r w:rsidR="008425D4" w:rsidRPr="0067128F">
        <w:t>viáticos</w:t>
      </w:r>
      <w:r w:rsidRPr="0067128F">
        <w:t>, etc.</w:t>
      </w:r>
    </w:p>
    <w:p w14:paraId="613B9890" w14:textId="66913804" w:rsidR="0079428C" w:rsidRPr="00073DF0" w:rsidRDefault="0079428C" w:rsidP="0079428C">
      <w:pPr>
        <w:pStyle w:val="Ttulo3"/>
      </w:pPr>
      <w:bookmarkStart w:id="408" w:name="_Toc32389958"/>
      <w:bookmarkStart w:id="409" w:name="_Toc34398157"/>
      <w:bookmarkStart w:id="410" w:name="_Toc39797848"/>
      <w:r w:rsidRPr="00073DF0">
        <w:t>Tratamiento de las economías de ámbito</w:t>
      </w:r>
      <w:bookmarkEnd w:id="408"/>
      <w:bookmarkEnd w:id="409"/>
      <w:bookmarkEnd w:id="410"/>
    </w:p>
    <w:p w14:paraId="4658A8B3" w14:textId="2867084B" w:rsidR="0079428C" w:rsidRPr="00073DF0" w:rsidRDefault="0079428C" w:rsidP="0079428C">
      <w:pPr>
        <w:rPr>
          <w:lang w:val="es-ES"/>
        </w:rPr>
      </w:pPr>
      <w:r w:rsidRPr="00073DF0">
        <w:rPr>
          <w:lang w:val="es-ES"/>
        </w:rPr>
        <w:t xml:space="preserve">A los efectos de efectuar eventualmente los descuentos por economías de ámbito que corresponda para aquellas empresas de transmisión nacional que realicen actividades distintas al servicio de transmisión, el Consultor identificó en la estructura de la </w:t>
      </w:r>
      <w:r w:rsidR="001A6E11" w:rsidRPr="00073DF0">
        <w:rPr>
          <w:lang w:val="es-ES"/>
        </w:rPr>
        <w:t>EM</w:t>
      </w:r>
      <w:r w:rsidRPr="00073DF0">
        <w:rPr>
          <w:lang w:val="es-ES"/>
        </w:rPr>
        <w:t xml:space="preserve"> las partidas de costo susceptibles de economías de ámbito, considerando que son costos que pueden ser com</w:t>
      </w:r>
      <w:r w:rsidR="00EB6461" w:rsidRPr="00073DF0">
        <w:rPr>
          <w:lang w:val="es-ES"/>
        </w:rPr>
        <w:t>partidos con otras actividades.</w:t>
      </w:r>
    </w:p>
    <w:p w14:paraId="524CB371" w14:textId="439573E1" w:rsidR="0079428C" w:rsidRPr="00073DF0" w:rsidRDefault="0079428C" w:rsidP="0079428C">
      <w:pPr>
        <w:rPr>
          <w:lang w:val="es-ES"/>
        </w:rPr>
      </w:pPr>
      <w:r w:rsidRPr="00073DF0">
        <w:rPr>
          <w:lang w:val="es-ES"/>
        </w:rPr>
        <w:t xml:space="preserve">Para definir las partidas </w:t>
      </w:r>
      <w:r w:rsidR="00AB786D" w:rsidRPr="00073DF0">
        <w:rPr>
          <w:lang w:val="es-ES"/>
        </w:rPr>
        <w:t>susceptibles</w:t>
      </w:r>
      <w:r w:rsidRPr="00073DF0">
        <w:rPr>
          <w:lang w:val="es-ES"/>
        </w:rPr>
        <w:t xml:space="preserve"> de economías de ámbito el criterio que se utiliz</w:t>
      </w:r>
      <w:r w:rsidR="000D3EEE" w:rsidRPr="00073DF0">
        <w:rPr>
          <w:lang w:val="es-ES"/>
        </w:rPr>
        <w:t>ó</w:t>
      </w:r>
      <w:r w:rsidRPr="00073DF0">
        <w:rPr>
          <w:lang w:val="es-ES"/>
        </w:rPr>
        <w:t xml:space="preserve"> </w:t>
      </w:r>
      <w:r w:rsidR="00AB786D" w:rsidRPr="00073DF0">
        <w:rPr>
          <w:lang w:val="es-ES"/>
        </w:rPr>
        <w:t>fue</w:t>
      </w:r>
      <w:r w:rsidRPr="00073DF0">
        <w:rPr>
          <w:lang w:val="es-ES"/>
        </w:rPr>
        <w:t xml:space="preserve"> considerar que la </w:t>
      </w:r>
      <w:r w:rsidR="001A6E11" w:rsidRPr="00073DF0">
        <w:rPr>
          <w:lang w:val="es-ES"/>
        </w:rPr>
        <w:t>EM</w:t>
      </w:r>
      <w:r w:rsidRPr="00073DF0">
        <w:rPr>
          <w:lang w:val="es-ES"/>
        </w:rPr>
        <w:t xml:space="preserve"> es eficiente y aprovecha las holguras inherentes para la prestación conjunta del servicio de transmisión nacional y otros servicios distintos de transmisión. </w:t>
      </w:r>
    </w:p>
    <w:p w14:paraId="638CDCC7" w14:textId="0DA86001" w:rsidR="0079428C" w:rsidRPr="00073DF0" w:rsidRDefault="0079428C" w:rsidP="0079428C">
      <w:pPr>
        <w:rPr>
          <w:lang w:val="es-ES"/>
        </w:rPr>
      </w:pPr>
      <w:r w:rsidRPr="00073DF0">
        <w:rPr>
          <w:lang w:val="es-ES"/>
        </w:rPr>
        <w:t>La identificación de las holguras que dan origen a las partidas sujetas a economías de ámbito se realizó sobre la base del análisis de la estructura organizacional</w:t>
      </w:r>
      <w:r w:rsidR="0030131F" w:rsidRPr="00073DF0">
        <w:rPr>
          <w:lang w:val="es-ES"/>
        </w:rPr>
        <w:t xml:space="preserve">, </w:t>
      </w:r>
      <w:r w:rsidRPr="00073DF0">
        <w:rPr>
          <w:lang w:val="es-ES"/>
        </w:rPr>
        <w:t xml:space="preserve">y BMI asociados, diseñados para la </w:t>
      </w:r>
      <w:r w:rsidR="00A477D0" w:rsidRPr="00073DF0">
        <w:rPr>
          <w:lang w:val="es-ES"/>
        </w:rPr>
        <w:t>EM, y</w:t>
      </w:r>
      <w:r w:rsidRPr="00073DF0">
        <w:rPr>
          <w:lang w:val="es-ES"/>
        </w:rPr>
        <w:t xml:space="preserve"> la posibilidad de su aprovechamiento para la prestación de otros servicios distintos de transmisión, y teniendo en cuenta antecede</w:t>
      </w:r>
      <w:r w:rsidR="0030131F" w:rsidRPr="00073DF0">
        <w:rPr>
          <w:lang w:val="es-ES"/>
        </w:rPr>
        <w:t>ntes regulatorios en la materia.</w:t>
      </w:r>
    </w:p>
    <w:p w14:paraId="0C741555" w14:textId="43DAAB5C" w:rsidR="006312DA" w:rsidRPr="00073DF0" w:rsidRDefault="006312DA" w:rsidP="006312DA">
      <w:pPr>
        <w:rPr>
          <w:lang w:val="es-ES"/>
        </w:rPr>
      </w:pPr>
      <w:r w:rsidRPr="00073DF0">
        <w:rPr>
          <w:lang w:val="es-ES"/>
        </w:rPr>
        <w:t xml:space="preserve">En el </w:t>
      </w:r>
      <w:r w:rsidR="00A477D0">
        <w:rPr>
          <w:lang w:val="es-ES"/>
        </w:rPr>
        <w:t>“</w:t>
      </w:r>
      <w:r w:rsidRPr="00073DF0">
        <w:rPr>
          <w:lang w:val="es-ES"/>
        </w:rPr>
        <w:t xml:space="preserve">Anexo </w:t>
      </w:r>
      <w:r w:rsidR="00A477D0">
        <w:rPr>
          <w:lang w:val="es-ES"/>
        </w:rPr>
        <w:t>COMA</w:t>
      </w:r>
      <w:r w:rsidRPr="00073DF0">
        <w:rPr>
          <w:lang w:val="es-ES"/>
        </w:rPr>
        <w:t>_7_Economías de Ambito_rev1</w:t>
      </w:r>
      <w:r w:rsidR="00A477D0">
        <w:rPr>
          <w:lang w:val="es-ES"/>
        </w:rPr>
        <w:t>”</w:t>
      </w:r>
      <w:r w:rsidRPr="00073DF0">
        <w:rPr>
          <w:lang w:val="es-ES"/>
        </w:rPr>
        <w:t xml:space="preserve"> se pre</w:t>
      </w:r>
      <w:r w:rsidR="0030131F" w:rsidRPr="00073DF0">
        <w:rPr>
          <w:lang w:val="es-ES"/>
        </w:rPr>
        <w:t>sentan los antecedentes que justifican</w:t>
      </w:r>
      <w:r w:rsidRPr="00073DF0">
        <w:rPr>
          <w:lang w:val="es-ES"/>
        </w:rPr>
        <w:t xml:space="preserve"> las partidas</w:t>
      </w:r>
      <w:r w:rsidR="0030131F" w:rsidRPr="00073DF0">
        <w:rPr>
          <w:lang w:val="es-ES"/>
        </w:rPr>
        <w:t xml:space="preserve"> sujetas a economías</w:t>
      </w:r>
      <w:r w:rsidRPr="00073DF0">
        <w:rPr>
          <w:lang w:val="es-ES"/>
        </w:rPr>
        <w:t xml:space="preserve"> de ámbito que fueron comunicadas al Comité y que obtuvieron aprobación preliminar.</w:t>
      </w:r>
    </w:p>
    <w:p w14:paraId="77063780" w14:textId="28B46EC0" w:rsidR="0030131F" w:rsidRPr="00073DF0" w:rsidRDefault="0030131F" w:rsidP="006312DA">
      <w:pPr>
        <w:rPr>
          <w:lang w:val="es-ES"/>
        </w:rPr>
      </w:pPr>
      <w:r w:rsidRPr="00073DF0">
        <w:rPr>
          <w:lang w:val="es-ES"/>
        </w:rPr>
        <w:t xml:space="preserve">En el </w:t>
      </w:r>
      <w:r w:rsidR="00A477D0">
        <w:rPr>
          <w:lang w:val="es-ES"/>
        </w:rPr>
        <w:t>“</w:t>
      </w:r>
      <w:r w:rsidRPr="00073DF0">
        <w:rPr>
          <w:lang w:val="es-ES"/>
        </w:rPr>
        <w:t xml:space="preserve">Anexo </w:t>
      </w:r>
      <w:r w:rsidR="00A477D0">
        <w:rPr>
          <w:lang w:val="es-ES"/>
        </w:rPr>
        <w:t>COMA</w:t>
      </w:r>
      <w:r w:rsidRPr="00073DF0">
        <w:rPr>
          <w:lang w:val="es-ES"/>
        </w:rPr>
        <w:t xml:space="preserve">_3 Modelo_rev1/Modelo EC&amp;ER/Hoja Economías </w:t>
      </w:r>
      <w:r w:rsidR="00AB786D" w:rsidRPr="00073DF0">
        <w:rPr>
          <w:lang w:val="es-ES"/>
        </w:rPr>
        <w:t>Ámbito</w:t>
      </w:r>
      <w:r w:rsidR="00A477D0">
        <w:rPr>
          <w:lang w:val="es-ES"/>
        </w:rPr>
        <w:t>”</w:t>
      </w:r>
      <w:r w:rsidRPr="00073DF0">
        <w:rPr>
          <w:lang w:val="es-ES"/>
        </w:rPr>
        <w:t>, se identifican el tipo de partida, su origen, la partida propiamente dicha y la naturaleza del costo de la partida.</w:t>
      </w:r>
    </w:p>
    <w:p w14:paraId="1B4A4016" w14:textId="0454CFBF" w:rsidR="0079428C" w:rsidRPr="00EE6D42" w:rsidRDefault="0079428C" w:rsidP="00273FE4">
      <w:pPr>
        <w:pStyle w:val="Prrafodelista"/>
        <w:numPr>
          <w:ilvl w:val="0"/>
          <w:numId w:val="70"/>
        </w:numPr>
        <w:ind w:left="567" w:hanging="567"/>
      </w:pPr>
      <w:r w:rsidRPr="00EE6D42">
        <w:lastRenderedPageBreak/>
        <w:t xml:space="preserve">Las partidas se </w:t>
      </w:r>
      <w:r w:rsidR="00A477D0" w:rsidRPr="00EE6D42">
        <w:t>clasifican por</w:t>
      </w:r>
      <w:r w:rsidR="0030131F" w:rsidRPr="00EE6D42">
        <w:t xml:space="preserve"> su origen en:</w:t>
      </w:r>
    </w:p>
    <w:p w14:paraId="0A894DEF" w14:textId="3CF1C56C" w:rsidR="0079428C" w:rsidRPr="0067128F" w:rsidRDefault="00EB6461" w:rsidP="00273FE4">
      <w:pPr>
        <w:pStyle w:val="Prrafodelista"/>
        <w:numPr>
          <w:ilvl w:val="0"/>
          <w:numId w:val="70"/>
        </w:numPr>
        <w:ind w:left="567" w:hanging="567"/>
      </w:pPr>
      <w:r w:rsidRPr="0067128F">
        <w:t>Corporativa</w:t>
      </w:r>
      <w:r w:rsidR="0079428C" w:rsidRPr="0067128F">
        <w:t xml:space="preserve">: son gastos que realiza la </w:t>
      </w:r>
      <w:r w:rsidR="001A6E11" w:rsidRPr="0067128F">
        <w:t>EM</w:t>
      </w:r>
      <w:r w:rsidR="0079428C" w:rsidRPr="0067128F">
        <w:t xml:space="preserve"> a nivel global de toda la empresa.</w:t>
      </w:r>
    </w:p>
    <w:p w14:paraId="2DA66EB3" w14:textId="165666AA" w:rsidR="009D3274" w:rsidRPr="0067128F" w:rsidRDefault="00AB786D" w:rsidP="00273FE4">
      <w:pPr>
        <w:pStyle w:val="Prrafodelista"/>
        <w:numPr>
          <w:ilvl w:val="0"/>
          <w:numId w:val="70"/>
        </w:numPr>
        <w:ind w:left="567" w:hanging="567"/>
      </w:pPr>
      <w:r w:rsidRPr="0067128F">
        <w:t>Área</w:t>
      </w:r>
      <w:r w:rsidR="0030131F" w:rsidRPr="0067128F">
        <w:t>: son gastos asociados a</w:t>
      </w:r>
      <w:r w:rsidR="009D3274" w:rsidRPr="0067128F">
        <w:t xml:space="preserve"> las áreas de la </w:t>
      </w:r>
      <w:r w:rsidR="001A6E11" w:rsidRPr="0067128F">
        <w:t>EM</w:t>
      </w:r>
      <w:r w:rsidR="009D3274" w:rsidRPr="0067128F">
        <w:t xml:space="preserve"> sujetas a economías de ámbito.</w:t>
      </w:r>
    </w:p>
    <w:p w14:paraId="507F774E" w14:textId="0319C466" w:rsidR="0079428C" w:rsidRPr="0067128F" w:rsidRDefault="0079428C" w:rsidP="00273FE4">
      <w:pPr>
        <w:pStyle w:val="Prrafodelista"/>
        <w:numPr>
          <w:ilvl w:val="0"/>
          <w:numId w:val="70"/>
        </w:numPr>
        <w:ind w:left="567" w:hanging="567"/>
      </w:pPr>
      <w:r w:rsidRPr="0067128F">
        <w:t xml:space="preserve">Personal: son costos laborales de los puestos con sus gastos asociados (consumo de energía eléctrica, agua, comunicaciones, </w:t>
      </w:r>
      <w:r w:rsidR="00A477D0" w:rsidRPr="0067128F">
        <w:t>etc.</w:t>
      </w:r>
      <w:r w:rsidRPr="0067128F">
        <w:t>) y sus bienes muebles e inmuebles.</w:t>
      </w:r>
    </w:p>
    <w:p w14:paraId="4510CEFE" w14:textId="6C17FD9D" w:rsidR="0079428C" w:rsidRPr="00073DF0" w:rsidRDefault="0079428C" w:rsidP="0079428C">
      <w:pPr>
        <w:rPr>
          <w:lang w:val="es-ES"/>
        </w:rPr>
      </w:pPr>
      <w:r w:rsidRPr="00073DF0">
        <w:rPr>
          <w:lang w:val="es-ES"/>
        </w:rPr>
        <w:t>Cada una de las partidas mencionadas se clasifican</w:t>
      </w:r>
      <w:r w:rsidR="008810F1" w:rsidRPr="00073DF0">
        <w:rPr>
          <w:lang w:val="es-ES"/>
        </w:rPr>
        <w:t xml:space="preserve"> por la naturaleza</w:t>
      </w:r>
      <w:r w:rsidR="009D3274" w:rsidRPr="00073DF0">
        <w:rPr>
          <w:lang w:val="es-ES"/>
        </w:rPr>
        <w:t xml:space="preserve"> de sus costos en:  </w:t>
      </w:r>
      <w:r w:rsidRPr="00073DF0">
        <w:rPr>
          <w:lang w:val="es-ES"/>
        </w:rPr>
        <w:t xml:space="preserve"> costos laborales, ga</w:t>
      </w:r>
      <w:r w:rsidR="009D3274" w:rsidRPr="00073DF0">
        <w:rPr>
          <w:lang w:val="es-ES"/>
        </w:rPr>
        <w:t>stos y la anualidad de los BM&amp;I</w:t>
      </w:r>
      <w:r w:rsidR="00073DF0">
        <w:rPr>
          <w:lang w:val="es-ES"/>
        </w:rPr>
        <w:t>.</w:t>
      </w:r>
    </w:p>
    <w:p w14:paraId="5D2CC5E2" w14:textId="05347EF0" w:rsidR="0079428C" w:rsidRPr="00073DF0" w:rsidRDefault="00DE6B78" w:rsidP="0079428C">
      <w:pPr>
        <w:rPr>
          <w:lang w:val="es-ES"/>
        </w:rPr>
      </w:pPr>
      <w:r>
        <w:rPr>
          <w:lang w:val="es-ES"/>
        </w:rPr>
        <w:t>Sobre la base de información recibida de las empresas se aplicará un descuento a la remuneración de las empresas propietarias de las instalaciones d</w:t>
      </w:r>
      <w:r w:rsidR="00A477D0">
        <w:rPr>
          <w:lang w:val="es-ES"/>
        </w:rPr>
        <w:t>e transmisión en cada uno de sub</w:t>
      </w:r>
      <w:r>
        <w:rPr>
          <w:lang w:val="es-ES"/>
        </w:rPr>
        <w:t>tramos, para lo cual se aplicará la siguiente metodología</w:t>
      </w:r>
      <w:r w:rsidR="0079428C" w:rsidRPr="00073DF0">
        <w:rPr>
          <w:lang w:val="es-ES"/>
        </w:rPr>
        <w:t xml:space="preserve">: </w:t>
      </w:r>
    </w:p>
    <w:p w14:paraId="19B0480B" w14:textId="75C0F84F" w:rsidR="0079428C" w:rsidRPr="00073DF0" w:rsidRDefault="0079428C" w:rsidP="00273FE4">
      <w:pPr>
        <w:pStyle w:val="Listanumerada"/>
        <w:numPr>
          <w:ilvl w:val="0"/>
          <w:numId w:val="27"/>
        </w:numPr>
        <w:spacing w:after="200"/>
        <w:ind w:left="567" w:hanging="567"/>
        <w:rPr>
          <w:lang w:val="es-ES"/>
        </w:rPr>
      </w:pPr>
      <w:r w:rsidRPr="00073DF0">
        <w:rPr>
          <w:lang w:val="es-ES"/>
        </w:rPr>
        <w:t xml:space="preserve">Se calculará la participación de dicha partida de costo en el C.O.M.A y/o BMI, según corresponda, de cada tramo como el </w:t>
      </w:r>
      <w:r w:rsidR="00A477D0" w:rsidRPr="00073DF0">
        <w:rPr>
          <w:lang w:val="es-ES"/>
        </w:rPr>
        <w:t>cociente</w:t>
      </w:r>
      <w:r w:rsidRPr="00073DF0">
        <w:rPr>
          <w:lang w:val="es-ES"/>
        </w:rPr>
        <w:t xml:space="preserve"> del A.V.I del tramo dividido por </w:t>
      </w:r>
      <w:r w:rsidR="00A477D0" w:rsidRPr="00073DF0">
        <w:rPr>
          <w:lang w:val="es-ES"/>
        </w:rPr>
        <w:t>el A.V.I</w:t>
      </w:r>
      <w:r w:rsidR="00A477D0">
        <w:rPr>
          <w:lang w:val="es-ES"/>
        </w:rPr>
        <w:t>.</w:t>
      </w:r>
      <w:r w:rsidRPr="00073DF0">
        <w:rPr>
          <w:lang w:val="es-ES"/>
        </w:rPr>
        <w:t xml:space="preserve"> total del sistema. </w:t>
      </w:r>
    </w:p>
    <w:p w14:paraId="1AC898C7" w14:textId="2F7D236A" w:rsidR="0079428C" w:rsidRPr="00073DF0" w:rsidRDefault="0079428C" w:rsidP="00273FE4">
      <w:pPr>
        <w:pStyle w:val="Listanumerada"/>
        <w:numPr>
          <w:ilvl w:val="0"/>
          <w:numId w:val="27"/>
        </w:numPr>
        <w:spacing w:after="200"/>
        <w:ind w:left="567" w:hanging="567"/>
        <w:rPr>
          <w:lang w:val="es-ES"/>
        </w:rPr>
      </w:pPr>
      <w:r w:rsidRPr="00073DF0">
        <w:rPr>
          <w:lang w:val="es-ES"/>
        </w:rPr>
        <w:t>Con la proporción determinada el punto 1) se calculará el costo de la partida de C.O.M.A</w:t>
      </w:r>
      <w:r w:rsidR="00A477D0">
        <w:rPr>
          <w:lang w:val="es-ES"/>
        </w:rPr>
        <w:t>.</w:t>
      </w:r>
      <w:r w:rsidRPr="00073DF0">
        <w:rPr>
          <w:lang w:val="es-ES"/>
        </w:rPr>
        <w:t xml:space="preserve"> y/</w:t>
      </w:r>
      <w:r w:rsidR="00A477D0" w:rsidRPr="00073DF0">
        <w:rPr>
          <w:lang w:val="es-ES"/>
        </w:rPr>
        <w:t>o BMI</w:t>
      </w:r>
      <w:r w:rsidRPr="00073DF0">
        <w:rPr>
          <w:lang w:val="es-ES"/>
        </w:rPr>
        <w:t xml:space="preserve"> susceptible de descuento asignable a cada tramo. </w:t>
      </w:r>
    </w:p>
    <w:p w14:paraId="1C99C869" w14:textId="1EF04483" w:rsidR="0079428C" w:rsidRPr="00073DF0" w:rsidRDefault="0079428C" w:rsidP="00273FE4">
      <w:pPr>
        <w:pStyle w:val="Listanumerada"/>
        <w:numPr>
          <w:ilvl w:val="0"/>
          <w:numId w:val="27"/>
        </w:numPr>
        <w:spacing w:after="200"/>
        <w:ind w:left="567" w:hanging="567"/>
        <w:rPr>
          <w:lang w:val="es-ES"/>
        </w:rPr>
      </w:pPr>
      <w:r w:rsidRPr="00073DF0">
        <w:rPr>
          <w:lang w:val="es-ES"/>
        </w:rPr>
        <w:t>Se determinará el Valor Límite de Descuento por Economías de Ámbito (VLDEA) como el producto del costo de l</w:t>
      </w:r>
      <w:r w:rsidR="00A477D0">
        <w:rPr>
          <w:lang w:val="es-ES"/>
        </w:rPr>
        <w:t xml:space="preserve">a partida de C.O.M.A y/o BMI </w:t>
      </w:r>
      <w:r w:rsidRPr="00073DF0">
        <w:rPr>
          <w:lang w:val="es-ES"/>
        </w:rPr>
        <w:t>determinada en el punto 2) multiplicando por un driver que sea representativo de la utilización de dicha partida en otras actividades diferentes de la actividad de transmisión.</w:t>
      </w:r>
    </w:p>
    <w:p w14:paraId="52AA2DE0" w14:textId="45A4A592" w:rsidR="0079428C" w:rsidRPr="00073DF0" w:rsidRDefault="0079428C" w:rsidP="00273FE4">
      <w:pPr>
        <w:pStyle w:val="Listanumerada"/>
        <w:numPr>
          <w:ilvl w:val="0"/>
          <w:numId w:val="27"/>
        </w:numPr>
        <w:spacing w:after="200"/>
        <w:ind w:left="567" w:hanging="567"/>
        <w:rPr>
          <w:lang w:val="es-ES"/>
        </w:rPr>
      </w:pPr>
      <w:r w:rsidRPr="00073DF0">
        <w:rPr>
          <w:lang w:val="es-ES"/>
        </w:rPr>
        <w:t>Para el cálculo del driver se utilizará la siguiente expresión matemática para cada partida de costo calculada según el punto 2) y para cada tramo</w:t>
      </w:r>
    </w:p>
    <w:p w14:paraId="65AEBA06" w14:textId="77777777" w:rsidR="0079428C" w:rsidRPr="00073DF0" w:rsidRDefault="0079428C" w:rsidP="0079428C">
      <w:pPr>
        <w:rPr>
          <w:lang w:val="es-ES"/>
        </w:rPr>
      </w:pPr>
      <m:oMathPara>
        <m:oMath>
          <m:r>
            <w:rPr>
              <w:rFonts w:ascii="Cambria Math" w:hAnsi="Cambria Math"/>
              <w:lang w:val="es-ES"/>
            </w:rPr>
            <m:t>DEA=</m:t>
          </m:r>
          <m:f>
            <m:fPr>
              <m:ctrlPr>
                <w:rPr>
                  <w:rFonts w:ascii="Cambria Math" w:hAnsi="Cambria Math"/>
                  <w:i/>
                  <w:lang w:val="es-ES"/>
                </w:rPr>
              </m:ctrlPr>
            </m:fPr>
            <m:num>
              <m:r>
                <w:rPr>
                  <w:rFonts w:ascii="Cambria Math" w:hAnsi="Cambria Math"/>
                  <w:lang w:val="es-ES"/>
                </w:rPr>
                <m:t>INVATT</m:t>
              </m:r>
            </m:num>
            <m:den>
              <m:r>
                <w:rPr>
                  <w:rFonts w:ascii="Cambria Math" w:hAnsi="Cambria Math"/>
                  <w:lang w:val="es-ES"/>
                </w:rPr>
                <m:t>INVATT+IVATT</m:t>
              </m:r>
            </m:den>
          </m:f>
        </m:oMath>
      </m:oMathPara>
    </w:p>
    <w:p w14:paraId="7B23553D" w14:textId="60C7D41E" w:rsidR="0079428C" w:rsidRDefault="0067128F" w:rsidP="0079428C">
      <w:pPr>
        <w:rPr>
          <w:lang w:val="es-ES"/>
        </w:rPr>
      </w:pPr>
      <w:r>
        <w:rPr>
          <w:lang w:val="es-ES"/>
        </w:rPr>
        <w:t>Do</w:t>
      </w:r>
      <w:r w:rsidR="0079428C" w:rsidRPr="00073DF0">
        <w:rPr>
          <w:lang w:val="es-ES"/>
        </w:rPr>
        <w:t>nde:</w:t>
      </w: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76"/>
        <w:gridCol w:w="281"/>
        <w:gridCol w:w="8549"/>
      </w:tblGrid>
      <w:tr w:rsidR="0067128F" w14:paraId="3891C634" w14:textId="77777777" w:rsidTr="002E27DD">
        <w:tc>
          <w:tcPr>
            <w:tcW w:w="0" w:type="auto"/>
          </w:tcPr>
          <w:p w14:paraId="06B867B5" w14:textId="33FA1999" w:rsidR="0067128F" w:rsidRPr="00F72CD9" w:rsidRDefault="0067128F" w:rsidP="002E27DD">
            <w:pPr>
              <w:jc w:val="left"/>
            </w:pPr>
            <m:oMathPara>
              <m:oMathParaPr>
                <m:jc m:val="left"/>
              </m:oMathParaPr>
              <m:oMath>
                <m:r>
                  <w:rPr>
                    <w:rFonts w:ascii="Cambria Math" w:hAnsi="Cambria Math"/>
                  </w:rPr>
                  <m:t>DEA</m:t>
                </m:r>
              </m:oMath>
            </m:oMathPara>
          </w:p>
        </w:tc>
        <w:tc>
          <w:tcPr>
            <w:tcW w:w="0" w:type="auto"/>
          </w:tcPr>
          <w:p w14:paraId="6B6F493E" w14:textId="77777777" w:rsidR="0067128F" w:rsidRDefault="0067128F" w:rsidP="002E27DD">
            <w:pPr>
              <w:jc w:val="left"/>
            </w:pPr>
            <w:r>
              <w:t>:</w:t>
            </w:r>
          </w:p>
        </w:tc>
        <w:tc>
          <w:tcPr>
            <w:tcW w:w="0" w:type="auto"/>
            <w:vAlign w:val="center"/>
          </w:tcPr>
          <w:p w14:paraId="2759BC19" w14:textId="3CA14FC2" w:rsidR="0067128F" w:rsidRPr="00F72CD9" w:rsidRDefault="0067128F" w:rsidP="00CA7BC8">
            <w:pPr>
              <w:rPr>
                <w:bCs/>
              </w:rPr>
            </w:pPr>
            <w:r w:rsidRPr="00073DF0">
              <w:rPr>
                <w:lang w:val="es-ES"/>
              </w:rPr>
              <w:t>Driver de economías de ámbito asignable al tramo</w:t>
            </w:r>
            <w:r>
              <w:rPr>
                <w:lang w:val="es-ES"/>
              </w:rPr>
              <w:t>.</w:t>
            </w:r>
          </w:p>
        </w:tc>
      </w:tr>
      <w:tr w:rsidR="0067128F" w14:paraId="18723A16" w14:textId="77777777" w:rsidTr="002E27DD">
        <w:tc>
          <w:tcPr>
            <w:tcW w:w="0" w:type="auto"/>
          </w:tcPr>
          <w:p w14:paraId="4B6D786E" w14:textId="7459D007" w:rsidR="0067128F" w:rsidRPr="00F72CD9" w:rsidRDefault="0067128F" w:rsidP="002E27DD">
            <w:pPr>
              <w:jc w:val="left"/>
            </w:pPr>
            <m:oMathPara>
              <m:oMathParaPr>
                <m:jc m:val="left"/>
              </m:oMathParaPr>
              <m:oMath>
                <m:r>
                  <w:rPr>
                    <w:rFonts w:ascii="Cambria Math" w:hAnsi="Cambria Math"/>
                  </w:rPr>
                  <m:t>IVATT</m:t>
                </m:r>
              </m:oMath>
            </m:oMathPara>
          </w:p>
        </w:tc>
        <w:tc>
          <w:tcPr>
            <w:tcW w:w="0" w:type="auto"/>
          </w:tcPr>
          <w:p w14:paraId="41B1EF00" w14:textId="77777777" w:rsidR="0067128F" w:rsidRDefault="0067128F" w:rsidP="002E27DD">
            <w:pPr>
              <w:jc w:val="left"/>
            </w:pPr>
            <w:r>
              <w:t>:</w:t>
            </w:r>
          </w:p>
        </w:tc>
        <w:tc>
          <w:tcPr>
            <w:tcW w:w="0" w:type="auto"/>
            <w:vAlign w:val="center"/>
          </w:tcPr>
          <w:p w14:paraId="622AA113" w14:textId="2399127E" w:rsidR="0067128F" w:rsidRDefault="0067128F" w:rsidP="00CA7BC8">
            <w:r>
              <w:rPr>
                <w:lang w:val="es-ES"/>
              </w:rPr>
              <w:t>Ingresos V</w:t>
            </w:r>
            <w:r w:rsidR="002E27DD">
              <w:rPr>
                <w:lang w:val="es-ES"/>
              </w:rPr>
              <w:t>.</w:t>
            </w:r>
            <w:r>
              <w:rPr>
                <w:lang w:val="es-ES"/>
              </w:rPr>
              <w:t>A</w:t>
            </w:r>
            <w:r w:rsidR="002E27DD">
              <w:rPr>
                <w:lang w:val="es-ES"/>
              </w:rPr>
              <w:t>.</w:t>
            </w:r>
            <w:r>
              <w:rPr>
                <w:lang w:val="es-ES"/>
              </w:rPr>
              <w:t>T</w:t>
            </w:r>
            <w:r w:rsidR="002E27DD">
              <w:rPr>
                <w:lang w:val="es-ES"/>
              </w:rPr>
              <w:t>.</w:t>
            </w:r>
            <w:r>
              <w:rPr>
                <w:lang w:val="es-ES"/>
              </w:rPr>
              <w:t>T</w:t>
            </w:r>
            <w:r w:rsidR="002E27DD">
              <w:rPr>
                <w:lang w:val="es-ES"/>
              </w:rPr>
              <w:t>.</w:t>
            </w:r>
            <w:r>
              <w:rPr>
                <w:lang w:val="es-ES"/>
              </w:rPr>
              <w:t>:</w:t>
            </w:r>
            <w:r w:rsidRPr="00073DF0">
              <w:rPr>
                <w:lang w:val="es-ES"/>
              </w:rPr>
              <w:t xml:space="preserve"> ingresos provenientes de actividades del sistema de transmisión nacional para el propietario.</w:t>
            </w:r>
          </w:p>
        </w:tc>
      </w:tr>
      <w:tr w:rsidR="0067128F" w14:paraId="4039B39B" w14:textId="77777777" w:rsidTr="002E27DD">
        <w:tc>
          <w:tcPr>
            <w:tcW w:w="0" w:type="auto"/>
          </w:tcPr>
          <w:p w14:paraId="712B0BD8" w14:textId="63E71E2F" w:rsidR="0067128F" w:rsidRPr="00B025A5" w:rsidRDefault="0067128F" w:rsidP="002E27DD">
            <w:pPr>
              <w:jc w:val="left"/>
            </w:pPr>
            <m:oMathPara>
              <m:oMathParaPr>
                <m:jc m:val="left"/>
              </m:oMathParaPr>
              <m:oMath>
                <m:r>
                  <w:rPr>
                    <w:rFonts w:ascii="Cambria Math" w:hAnsi="Cambria Math"/>
                  </w:rPr>
                  <m:t>INVATT</m:t>
                </m:r>
              </m:oMath>
            </m:oMathPara>
          </w:p>
        </w:tc>
        <w:tc>
          <w:tcPr>
            <w:tcW w:w="0" w:type="auto"/>
          </w:tcPr>
          <w:p w14:paraId="1B7263F8" w14:textId="77777777" w:rsidR="0067128F" w:rsidRPr="00B025A5" w:rsidRDefault="0067128F" w:rsidP="002E27DD">
            <w:pPr>
              <w:jc w:val="left"/>
            </w:pPr>
            <w:r w:rsidRPr="00B025A5">
              <w:t>:</w:t>
            </w:r>
          </w:p>
        </w:tc>
        <w:tc>
          <w:tcPr>
            <w:tcW w:w="0" w:type="auto"/>
            <w:vAlign w:val="center"/>
          </w:tcPr>
          <w:p w14:paraId="0E71D65F" w14:textId="6BFD56FF" w:rsidR="0067128F" w:rsidRPr="00B025A5" w:rsidRDefault="00B47E40" w:rsidP="002E27DD">
            <w:pPr>
              <w:rPr>
                <w:lang w:val="es-ES"/>
              </w:rPr>
            </w:pPr>
            <w:r w:rsidRPr="00B025A5">
              <w:rPr>
                <w:lang w:val="es-ES"/>
              </w:rPr>
              <w:t xml:space="preserve">Ingresos NO V.A.T.T.: ingresos provenientes de actividades remuneradas que no corresponden a transmisión pero que hacen uso de los recursos del sistema de </w:t>
            </w:r>
            <w:r w:rsidRPr="00B025A5">
              <w:rPr>
                <w:lang w:val="es-ES"/>
              </w:rPr>
              <w:lastRenderedPageBreak/>
              <w:t>transmisión nacional del propietario.</w:t>
            </w:r>
          </w:p>
        </w:tc>
      </w:tr>
    </w:tbl>
    <w:p w14:paraId="2494DE8A" w14:textId="5A4708C9" w:rsidR="0079428C" w:rsidRPr="00073DF0" w:rsidRDefault="0079428C" w:rsidP="0079428C">
      <w:pPr>
        <w:shd w:val="clear" w:color="auto" w:fill="FFFFFF" w:themeFill="background1"/>
        <w:spacing w:after="160" w:line="256" w:lineRule="auto"/>
        <w:rPr>
          <w:lang w:val="es-ES"/>
        </w:rPr>
      </w:pPr>
      <w:r w:rsidRPr="00073DF0">
        <w:rPr>
          <w:lang w:val="es-ES"/>
        </w:rPr>
        <w:lastRenderedPageBreak/>
        <w:t>No obstante, el Consultor tendrá en consideración que la p</w:t>
      </w:r>
      <w:r w:rsidR="00AB786D" w:rsidRPr="00073DF0">
        <w:rPr>
          <w:lang w:val="es-ES"/>
        </w:rPr>
        <w:t>restación de servicios distin</w:t>
      </w:r>
      <w:r w:rsidRPr="00073DF0">
        <w:rPr>
          <w:lang w:val="es-ES"/>
        </w:rPr>
        <w:t xml:space="preserve">tos al servicio de transmisión requiere en </w:t>
      </w:r>
      <w:proofErr w:type="gramStart"/>
      <w:r w:rsidRPr="00073DF0">
        <w:rPr>
          <w:lang w:val="es-ES"/>
        </w:rPr>
        <w:t>la empresa no sólo la utilización de recursos compartidos con las actividades de transmisión, estos susceptibles</w:t>
      </w:r>
      <w:proofErr w:type="gramEnd"/>
      <w:r w:rsidRPr="00073DF0">
        <w:rPr>
          <w:lang w:val="es-ES"/>
        </w:rPr>
        <w:t xml:space="preserve"> de ser descontados por economías de ámbito, sino que también de recursos adicionales específicos, los que no dan origen a dicho descuento. Consecuentemente, en la fórmula anterior el INVATT debe corresponder solamente a la parte de los ingresos de actividades no V</w:t>
      </w:r>
      <w:r w:rsidR="0067128F">
        <w:rPr>
          <w:lang w:val="es-ES"/>
        </w:rPr>
        <w:t>.</w:t>
      </w:r>
      <w:r w:rsidRPr="00073DF0">
        <w:rPr>
          <w:lang w:val="es-ES"/>
        </w:rPr>
        <w:t>A</w:t>
      </w:r>
      <w:r w:rsidR="0067128F">
        <w:rPr>
          <w:lang w:val="es-ES"/>
        </w:rPr>
        <w:t>.</w:t>
      </w:r>
      <w:r w:rsidRPr="00073DF0">
        <w:rPr>
          <w:lang w:val="es-ES"/>
        </w:rPr>
        <w:t>T</w:t>
      </w:r>
      <w:r w:rsidR="0067128F">
        <w:rPr>
          <w:lang w:val="es-ES"/>
        </w:rPr>
        <w:t>.</w:t>
      </w:r>
      <w:r w:rsidRPr="00073DF0">
        <w:rPr>
          <w:lang w:val="es-ES"/>
        </w:rPr>
        <w:t>T</w:t>
      </w:r>
      <w:r w:rsidR="0067128F">
        <w:rPr>
          <w:lang w:val="es-ES"/>
        </w:rPr>
        <w:t xml:space="preserve">. </w:t>
      </w:r>
      <w:r w:rsidRPr="00073DF0">
        <w:rPr>
          <w:lang w:val="es-ES"/>
        </w:rPr>
        <w:t>que tiene como contrapartida recursos efectivamente compartidos con las actividades de transmisión.</w:t>
      </w:r>
    </w:p>
    <w:p w14:paraId="7E2A1CCF" w14:textId="01EEE3A7" w:rsidR="0079428C" w:rsidRPr="00073DF0" w:rsidRDefault="0079428C" w:rsidP="0079428C">
      <w:pPr>
        <w:shd w:val="clear" w:color="auto" w:fill="FFFFFF" w:themeFill="background1"/>
        <w:spacing w:after="160" w:line="256" w:lineRule="auto"/>
        <w:rPr>
          <w:lang w:val="es-ES"/>
        </w:rPr>
      </w:pPr>
      <w:r w:rsidRPr="00073DF0">
        <w:rPr>
          <w:lang w:val="es-ES"/>
        </w:rPr>
        <w:t>La información de IVATT e INVATT</w:t>
      </w:r>
      <w:r w:rsidR="00A477D0">
        <w:rPr>
          <w:lang w:val="es-ES"/>
        </w:rPr>
        <w:t xml:space="preserve"> del año 2017</w:t>
      </w:r>
      <w:r w:rsidRPr="00073DF0">
        <w:rPr>
          <w:lang w:val="es-ES"/>
        </w:rPr>
        <w:t xml:space="preserve"> </w:t>
      </w:r>
      <w:r w:rsidR="009D3274" w:rsidRPr="00073DF0">
        <w:rPr>
          <w:lang w:val="es-ES"/>
        </w:rPr>
        <w:t>fue solicitada</w:t>
      </w:r>
      <w:r w:rsidRPr="00073DF0">
        <w:rPr>
          <w:lang w:val="es-ES"/>
        </w:rPr>
        <w:t xml:space="preserve"> a las empresas de transmisión</w:t>
      </w:r>
      <w:r w:rsidR="009D3274" w:rsidRPr="00073DF0">
        <w:rPr>
          <w:lang w:val="es-ES"/>
        </w:rPr>
        <w:t xml:space="preserve"> nacional por medio del Comité </w:t>
      </w:r>
      <w:r w:rsidR="00A477D0" w:rsidRPr="00073DF0">
        <w:rPr>
          <w:lang w:val="es-ES"/>
        </w:rPr>
        <w:t>mediante Oficio</w:t>
      </w:r>
      <w:r w:rsidR="009D3274" w:rsidRPr="00073DF0">
        <w:rPr>
          <w:lang w:val="es-ES"/>
        </w:rPr>
        <w:t xml:space="preserve"> CNE N°238-2020 Ingresos Anuales Empresas STN”</w:t>
      </w:r>
      <w:r w:rsidRPr="00073DF0">
        <w:rPr>
          <w:lang w:val="es-ES"/>
        </w:rPr>
        <w:t xml:space="preserve"> </w:t>
      </w:r>
    </w:p>
    <w:p w14:paraId="30A038BF" w14:textId="77777777" w:rsidR="0079428C" w:rsidRPr="002E27DD" w:rsidRDefault="0079428C" w:rsidP="00273FE4">
      <w:pPr>
        <w:pStyle w:val="Listanumerada"/>
        <w:numPr>
          <w:ilvl w:val="0"/>
          <w:numId w:val="30"/>
        </w:numPr>
        <w:rPr>
          <w:lang w:val="es-ES"/>
        </w:rPr>
      </w:pPr>
      <w:r w:rsidRPr="002E27DD">
        <w:rPr>
          <w:lang w:val="es-ES"/>
        </w:rPr>
        <w:t>El VLDEA para cada partida se calculará con la siguiente expresión matemática:</w:t>
      </w:r>
    </w:p>
    <w:p w14:paraId="5DE4CAE6" w14:textId="02DA04A7" w:rsidR="0079428C" w:rsidRPr="0067128F" w:rsidRDefault="0079428C" w:rsidP="0067128F">
      <w:pPr>
        <w:ind w:left="357"/>
        <w:rPr>
          <w:lang w:val="es-ES"/>
        </w:rPr>
      </w:pPr>
      <m:oMathPara>
        <m:oMath>
          <m:r>
            <w:rPr>
              <w:rFonts w:ascii="Cambria Math" w:hAnsi="Cambria Math"/>
              <w:lang w:val="es-ES"/>
            </w:rPr>
            <m:t>VLDEA</m:t>
          </m:r>
          <m:r>
            <m:rPr>
              <m:sty m:val="p"/>
            </m:rPr>
            <w:rPr>
              <w:rFonts w:ascii="Cambria Math" w:hAnsi="Cambria Math"/>
              <w:lang w:val="es-ES"/>
            </w:rPr>
            <m:t>=</m:t>
          </m:r>
          <m:r>
            <w:rPr>
              <w:rFonts w:ascii="Cambria Math" w:hAnsi="Cambria Math"/>
              <w:lang w:val="es-ES"/>
            </w:rPr>
            <m:t>DEA</m:t>
          </m:r>
          <m:r>
            <m:rPr>
              <m:sty m:val="p"/>
            </m:rPr>
            <w:rPr>
              <w:rFonts w:ascii="Cambria Math" w:hAnsi="Cambria Math"/>
              <w:lang w:val="es-ES"/>
            </w:rPr>
            <m:t>∙</m:t>
          </m:r>
          <m:r>
            <w:rPr>
              <w:rFonts w:ascii="Cambria Math" w:hAnsi="Cambria Math"/>
              <w:lang w:val="es-ES"/>
            </w:rPr>
            <m:t>PCSEA</m:t>
          </m:r>
        </m:oMath>
      </m:oMathPara>
    </w:p>
    <w:p w14:paraId="2D48C860" w14:textId="49FAE55A" w:rsidR="0079428C" w:rsidRDefault="00AB786D" w:rsidP="0067128F">
      <w:pPr>
        <w:shd w:val="clear" w:color="auto" w:fill="FFFFFF" w:themeFill="background1"/>
        <w:spacing w:after="160" w:line="256" w:lineRule="auto"/>
        <w:rPr>
          <w:lang w:val="es-ES"/>
        </w:rPr>
      </w:pPr>
      <w:r w:rsidRPr="00073DF0">
        <w:rPr>
          <w:lang w:val="es-ES"/>
        </w:rPr>
        <w:t>D</w:t>
      </w:r>
      <w:r w:rsidR="0067128F">
        <w:rPr>
          <w:lang w:val="es-ES"/>
        </w:rPr>
        <w:t>o</w:t>
      </w:r>
      <w:r w:rsidRPr="00073DF0">
        <w:rPr>
          <w:lang w:val="es-ES"/>
        </w:rPr>
        <w:t>nde</w:t>
      </w:r>
      <w:r w:rsidR="0079428C" w:rsidRPr="00073DF0">
        <w:rPr>
          <w:lang w:val="es-ES"/>
        </w:rPr>
        <w:t>:</w:t>
      </w: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5"/>
        <w:gridCol w:w="281"/>
        <w:gridCol w:w="7117"/>
      </w:tblGrid>
      <w:tr w:rsidR="002E27DD" w14:paraId="036E2194" w14:textId="77777777" w:rsidTr="00CA7BC8">
        <w:tc>
          <w:tcPr>
            <w:tcW w:w="0" w:type="auto"/>
          </w:tcPr>
          <w:p w14:paraId="19F2B3C7" w14:textId="4FA8603C" w:rsidR="002E27DD" w:rsidRPr="00F72CD9" w:rsidRDefault="002E27DD" w:rsidP="00CA7BC8">
            <w:pPr>
              <w:jc w:val="left"/>
            </w:pPr>
            <m:oMathPara>
              <m:oMathParaPr>
                <m:jc m:val="left"/>
              </m:oMathParaPr>
              <m:oMath>
                <m:r>
                  <w:rPr>
                    <w:rFonts w:ascii="Cambria Math" w:hAnsi="Cambria Math"/>
                    <w:lang w:val="es-ES"/>
                  </w:rPr>
                  <m:t>VLDEA</m:t>
                </m:r>
              </m:oMath>
            </m:oMathPara>
          </w:p>
        </w:tc>
        <w:tc>
          <w:tcPr>
            <w:tcW w:w="0" w:type="auto"/>
          </w:tcPr>
          <w:p w14:paraId="0EE7A0A1" w14:textId="77777777" w:rsidR="002E27DD" w:rsidRDefault="002E27DD" w:rsidP="00CA7BC8">
            <w:pPr>
              <w:jc w:val="left"/>
            </w:pPr>
            <w:r>
              <w:t>:</w:t>
            </w:r>
          </w:p>
        </w:tc>
        <w:tc>
          <w:tcPr>
            <w:tcW w:w="0" w:type="auto"/>
            <w:vAlign w:val="center"/>
          </w:tcPr>
          <w:p w14:paraId="6709F0F7" w14:textId="292254CE" w:rsidR="002E27DD" w:rsidRPr="00F72CD9" w:rsidRDefault="002E27DD" w:rsidP="00CA7BC8">
            <w:pPr>
              <w:rPr>
                <w:bCs/>
              </w:rPr>
            </w:pPr>
            <w:r w:rsidRPr="00073DF0">
              <w:rPr>
                <w:lang w:val="es-ES"/>
              </w:rPr>
              <w:t>Valor Límite de Descuento por Economías de Ámbito para cada partida</w:t>
            </w:r>
          </w:p>
        </w:tc>
      </w:tr>
      <w:tr w:rsidR="002E27DD" w14:paraId="49A3C06A" w14:textId="77777777" w:rsidTr="00CA7BC8">
        <w:tc>
          <w:tcPr>
            <w:tcW w:w="0" w:type="auto"/>
          </w:tcPr>
          <w:p w14:paraId="330AE92F" w14:textId="08FF512C" w:rsidR="002E27DD" w:rsidRPr="002E27DD" w:rsidRDefault="002E27DD" w:rsidP="002E27DD">
            <w:pPr>
              <w:jc w:val="left"/>
              <w:rPr>
                <w:i/>
              </w:rPr>
            </w:pPr>
            <m:oMathPara>
              <m:oMathParaPr>
                <m:jc m:val="left"/>
              </m:oMathParaPr>
              <m:oMath>
                <m:r>
                  <w:rPr>
                    <w:rFonts w:ascii="Cambria Math" w:hAnsi="Cambria Math"/>
                    <w:lang w:val="es-ES"/>
                  </w:rPr>
                  <m:t>PCSEA</m:t>
                </m:r>
              </m:oMath>
            </m:oMathPara>
          </w:p>
        </w:tc>
        <w:tc>
          <w:tcPr>
            <w:tcW w:w="0" w:type="auto"/>
          </w:tcPr>
          <w:p w14:paraId="44A06F50" w14:textId="77777777" w:rsidR="002E27DD" w:rsidRDefault="002E27DD" w:rsidP="00CA7BC8">
            <w:pPr>
              <w:jc w:val="left"/>
            </w:pPr>
            <w:r>
              <w:t>:</w:t>
            </w:r>
          </w:p>
        </w:tc>
        <w:tc>
          <w:tcPr>
            <w:tcW w:w="0" w:type="auto"/>
            <w:vAlign w:val="center"/>
          </w:tcPr>
          <w:p w14:paraId="59DB3597" w14:textId="403B46E4" w:rsidR="002E27DD" w:rsidRDefault="002E27DD" w:rsidP="002E27DD">
            <w:r w:rsidRPr="002E27DD">
              <w:rPr>
                <w:lang w:val="es-ES"/>
              </w:rPr>
              <w:t>Partida de Costos Sujeta a Economías de Ámbito (C.O.M.A y/o B.M.I</w:t>
            </w:r>
          </w:p>
        </w:tc>
      </w:tr>
    </w:tbl>
    <w:p w14:paraId="2FE7F67A" w14:textId="35ABA70B" w:rsidR="0079428C" w:rsidRPr="002E27DD" w:rsidRDefault="0079428C" w:rsidP="00A477D0">
      <w:pPr>
        <w:pStyle w:val="Listanumerada"/>
        <w:numPr>
          <w:ilvl w:val="0"/>
          <w:numId w:val="0"/>
        </w:numPr>
        <w:rPr>
          <w:lang w:val="es-ES"/>
        </w:rPr>
      </w:pPr>
      <w:r w:rsidRPr="002E27DD">
        <w:rPr>
          <w:lang w:val="es-ES"/>
        </w:rPr>
        <w:t xml:space="preserve">El descuento total por economías de ámbito se asignará a cada tramo como un descuento en la valorización del C.O.M.A y/o B.M.I según corresponda </w:t>
      </w:r>
      <w:r w:rsidR="00A477D0" w:rsidRPr="002E27DD">
        <w:rPr>
          <w:lang w:val="es-ES"/>
        </w:rPr>
        <w:t>y el</w:t>
      </w:r>
      <w:r w:rsidRPr="002E27DD">
        <w:rPr>
          <w:lang w:val="es-ES"/>
        </w:rPr>
        <w:t xml:space="preserve"> VLDEA calculado en el punto 4). </w:t>
      </w:r>
    </w:p>
    <w:p w14:paraId="74C2F719" w14:textId="1A8F6E10" w:rsidR="008810F1" w:rsidRDefault="008810F1" w:rsidP="008810F1">
      <w:pPr>
        <w:rPr>
          <w:lang w:val="es-ES"/>
        </w:rPr>
      </w:pPr>
      <w:r w:rsidRPr="00073DF0">
        <w:rPr>
          <w:lang w:val="es-ES"/>
        </w:rPr>
        <w:t xml:space="preserve">En el </w:t>
      </w:r>
      <w:r w:rsidR="002E27DD">
        <w:rPr>
          <w:lang w:val="es-ES"/>
        </w:rPr>
        <w:t>“</w:t>
      </w:r>
      <w:r w:rsidRPr="00073DF0">
        <w:rPr>
          <w:lang w:val="es-ES"/>
        </w:rPr>
        <w:t xml:space="preserve">Anexo </w:t>
      </w:r>
      <w:r w:rsidR="002E27DD">
        <w:rPr>
          <w:lang w:val="es-ES"/>
        </w:rPr>
        <w:t>COMA</w:t>
      </w:r>
      <w:r w:rsidRPr="00073DF0">
        <w:rPr>
          <w:lang w:val="es-ES"/>
        </w:rPr>
        <w:t>_7_Economías de Ambito_rev1</w:t>
      </w:r>
      <w:r w:rsidR="002E27DD">
        <w:rPr>
          <w:lang w:val="es-ES"/>
        </w:rPr>
        <w:t>”</w:t>
      </w:r>
      <w:r w:rsidRPr="00073DF0">
        <w:rPr>
          <w:lang w:val="es-ES"/>
        </w:rPr>
        <w:t xml:space="preserve"> se presentan los antecedentes que justifican el Valor Límite de Descuento por Economías de </w:t>
      </w:r>
      <w:r w:rsidR="00AB786D" w:rsidRPr="00073DF0">
        <w:rPr>
          <w:lang w:val="es-ES"/>
        </w:rPr>
        <w:t>Ámbito</w:t>
      </w:r>
      <w:r w:rsidRPr="00073DF0">
        <w:rPr>
          <w:lang w:val="es-ES"/>
        </w:rPr>
        <w:t xml:space="preserve"> propuesto por el Consultor.</w:t>
      </w:r>
    </w:p>
    <w:p w14:paraId="0C9936FA" w14:textId="6F6F4A4E" w:rsidR="00A645C4" w:rsidRPr="008810F1" w:rsidRDefault="00A645C4" w:rsidP="008810F1">
      <w:pPr>
        <w:rPr>
          <w:lang w:val="es-ES"/>
        </w:rPr>
      </w:pPr>
      <w:r w:rsidRPr="00E6353E">
        <w:rPr>
          <w:lang w:val="es-ES"/>
        </w:rPr>
        <w:t>En dicho Anexo además se incluye</w:t>
      </w:r>
      <w:r w:rsidR="00E6353E">
        <w:rPr>
          <w:lang w:val="es-ES"/>
        </w:rPr>
        <w:t>n</w:t>
      </w:r>
      <w:r w:rsidRPr="00E6353E">
        <w:rPr>
          <w:lang w:val="es-ES"/>
        </w:rPr>
        <w:t xml:space="preserve"> los criterios de coordinación con el otro consultor y la forma de implementación.</w:t>
      </w:r>
    </w:p>
    <w:p w14:paraId="77D9C85B" w14:textId="013E2538" w:rsidR="0079428C" w:rsidRPr="00F465C5" w:rsidRDefault="00A477D0" w:rsidP="0079428C">
      <w:pPr>
        <w:pStyle w:val="Ttulo3"/>
      </w:pPr>
      <w:bookmarkStart w:id="411" w:name="_Toc34398158"/>
      <w:bookmarkStart w:id="412" w:name="_Toc39797849"/>
      <w:r w:rsidRPr="00F465C5">
        <w:t>Información</w:t>
      </w:r>
      <w:r w:rsidR="0079428C" w:rsidRPr="00F465C5">
        <w:t xml:space="preserve"> aportada por el Comité </w:t>
      </w:r>
      <w:bookmarkEnd w:id="411"/>
      <w:r w:rsidRPr="00F465C5">
        <w:t>Coordinador</w:t>
      </w:r>
      <w:bookmarkEnd w:id="412"/>
    </w:p>
    <w:p w14:paraId="78E8323B" w14:textId="5FA1AB5A" w:rsidR="0079428C" w:rsidRPr="00B06D23" w:rsidRDefault="0079428C" w:rsidP="0079428C">
      <w:pPr>
        <w:rPr>
          <w:lang w:val="es-ES"/>
        </w:rPr>
      </w:pPr>
      <w:r w:rsidRPr="00B06D23">
        <w:rPr>
          <w:lang w:val="es-ES"/>
        </w:rPr>
        <w:t>A través de la gestión de la CNE se recibió la siguiente información para el C.O.M.A</w:t>
      </w:r>
      <w:r w:rsidR="002E27DD">
        <w:rPr>
          <w:lang w:val="es-ES"/>
        </w:rPr>
        <w:t>.:</w:t>
      </w:r>
    </w:p>
    <w:p w14:paraId="7EDC0647" w14:textId="77777777" w:rsidR="0079428C" w:rsidRPr="002E27DD" w:rsidRDefault="0079428C" w:rsidP="00273FE4">
      <w:pPr>
        <w:pStyle w:val="Listanumerada"/>
        <w:numPr>
          <w:ilvl w:val="0"/>
          <w:numId w:val="31"/>
        </w:numPr>
        <w:spacing w:after="200"/>
        <w:ind w:left="567" w:hanging="567"/>
        <w:rPr>
          <w:lang w:val="es-ES"/>
        </w:rPr>
      </w:pPr>
      <w:r w:rsidRPr="002E27DD">
        <w:rPr>
          <w:lang w:val="es-ES"/>
        </w:rPr>
        <w:t>Consumo EE_ subestaciones_Respuestas Of. 59-2020</w:t>
      </w:r>
    </w:p>
    <w:p w14:paraId="59E9D3F1" w14:textId="77777777" w:rsidR="0079428C" w:rsidRPr="00B06D23" w:rsidRDefault="0079428C" w:rsidP="00273FE4">
      <w:pPr>
        <w:pStyle w:val="Listanumerada"/>
        <w:numPr>
          <w:ilvl w:val="0"/>
          <w:numId w:val="31"/>
        </w:numPr>
        <w:spacing w:after="200"/>
        <w:ind w:left="567" w:hanging="567"/>
        <w:rPr>
          <w:lang w:val="es-ES"/>
        </w:rPr>
      </w:pPr>
      <w:r w:rsidRPr="00B06D23">
        <w:rPr>
          <w:lang w:val="es-ES"/>
        </w:rPr>
        <w:t xml:space="preserve">Envío N°1 Estudio Nacional – Transelec </w:t>
      </w:r>
    </w:p>
    <w:p w14:paraId="7A74B205" w14:textId="77777777" w:rsidR="0079428C" w:rsidRPr="002E27DD" w:rsidRDefault="0079428C" w:rsidP="00273FE4">
      <w:pPr>
        <w:pStyle w:val="Prrafodelista"/>
        <w:numPr>
          <w:ilvl w:val="0"/>
          <w:numId w:val="71"/>
        </w:numPr>
        <w:spacing w:after="120"/>
        <w:ind w:left="1134" w:hanging="567"/>
      </w:pPr>
      <w:r w:rsidRPr="002E27DD">
        <w:t>01 Organización de contratistas</w:t>
      </w:r>
    </w:p>
    <w:p w14:paraId="69DE521D" w14:textId="77777777" w:rsidR="0079428C" w:rsidRPr="002E27DD" w:rsidRDefault="0079428C" w:rsidP="00273FE4">
      <w:pPr>
        <w:pStyle w:val="Prrafodelista"/>
        <w:numPr>
          <w:ilvl w:val="0"/>
          <w:numId w:val="71"/>
        </w:numPr>
        <w:spacing w:after="120"/>
        <w:ind w:left="1134" w:hanging="567"/>
      </w:pPr>
      <w:r w:rsidRPr="002E27DD">
        <w:t>02 Operación local de S.E</w:t>
      </w:r>
    </w:p>
    <w:p w14:paraId="11011CBF" w14:textId="77777777" w:rsidR="0079428C" w:rsidRPr="002E27DD" w:rsidRDefault="0079428C" w:rsidP="00273FE4">
      <w:pPr>
        <w:pStyle w:val="Prrafodelista"/>
        <w:numPr>
          <w:ilvl w:val="0"/>
          <w:numId w:val="71"/>
        </w:numPr>
        <w:spacing w:after="120"/>
        <w:ind w:left="1134" w:hanging="567"/>
      </w:pPr>
      <w:r w:rsidRPr="002E27DD">
        <w:t>04 Organización del personal propio</w:t>
      </w:r>
    </w:p>
    <w:p w14:paraId="72B888AD" w14:textId="77777777" w:rsidR="0079428C" w:rsidRPr="002E27DD" w:rsidRDefault="0079428C" w:rsidP="00273FE4">
      <w:pPr>
        <w:pStyle w:val="Prrafodelista"/>
        <w:numPr>
          <w:ilvl w:val="0"/>
          <w:numId w:val="71"/>
        </w:numPr>
        <w:spacing w:after="120"/>
        <w:ind w:left="1134" w:hanging="567"/>
      </w:pPr>
      <w:r w:rsidRPr="002E27DD">
        <w:t>05 Operación y Centro de Control</w:t>
      </w:r>
    </w:p>
    <w:p w14:paraId="2C604504" w14:textId="77777777" w:rsidR="0079428C" w:rsidRPr="002E27DD" w:rsidRDefault="0079428C" w:rsidP="00273FE4">
      <w:pPr>
        <w:pStyle w:val="Prrafodelista"/>
        <w:numPr>
          <w:ilvl w:val="0"/>
          <w:numId w:val="71"/>
        </w:numPr>
        <w:spacing w:after="120"/>
        <w:ind w:left="1134" w:hanging="567"/>
      </w:pPr>
      <w:r w:rsidRPr="002E27DD">
        <w:lastRenderedPageBreak/>
        <w:t>06 Bodegas</w:t>
      </w:r>
    </w:p>
    <w:p w14:paraId="04448126" w14:textId="77777777" w:rsidR="0079428C" w:rsidRPr="002E27DD" w:rsidRDefault="0079428C" w:rsidP="00273FE4">
      <w:pPr>
        <w:pStyle w:val="Prrafodelista"/>
        <w:numPr>
          <w:ilvl w:val="0"/>
          <w:numId w:val="71"/>
        </w:numPr>
        <w:spacing w:after="120"/>
        <w:ind w:left="1134" w:hanging="567"/>
      </w:pPr>
      <w:r w:rsidRPr="002E27DD">
        <w:t>07 Actividades de mantenimiento de terreno de mayor impacto en OyM</w:t>
      </w:r>
    </w:p>
    <w:p w14:paraId="531B4859" w14:textId="77777777" w:rsidR="0079428C" w:rsidRPr="002E27DD" w:rsidRDefault="0079428C" w:rsidP="00273FE4">
      <w:pPr>
        <w:pStyle w:val="Prrafodelista"/>
        <w:numPr>
          <w:ilvl w:val="0"/>
          <w:numId w:val="71"/>
        </w:numPr>
        <w:spacing w:after="120"/>
        <w:ind w:left="1134" w:hanging="567"/>
      </w:pPr>
      <w:r w:rsidRPr="002E27DD">
        <w:t>08 Guardias de vigilancia</w:t>
      </w:r>
    </w:p>
    <w:p w14:paraId="58B36B5A" w14:textId="77777777" w:rsidR="0079428C" w:rsidRPr="002E27DD" w:rsidRDefault="0079428C" w:rsidP="00273FE4">
      <w:pPr>
        <w:pStyle w:val="Prrafodelista"/>
        <w:numPr>
          <w:ilvl w:val="0"/>
          <w:numId w:val="71"/>
        </w:numPr>
        <w:spacing w:after="120"/>
        <w:ind w:left="1134" w:hanging="567"/>
      </w:pPr>
      <w:r w:rsidRPr="002E27DD">
        <w:t>09 Pago de indemnizaciones</w:t>
      </w:r>
    </w:p>
    <w:p w14:paraId="762A408C" w14:textId="77777777" w:rsidR="0079428C" w:rsidRPr="002E27DD" w:rsidRDefault="0079428C" w:rsidP="00273FE4">
      <w:pPr>
        <w:pStyle w:val="Prrafodelista"/>
        <w:numPr>
          <w:ilvl w:val="0"/>
          <w:numId w:val="71"/>
        </w:numPr>
        <w:spacing w:after="120"/>
        <w:ind w:left="1134" w:hanging="567"/>
      </w:pPr>
      <w:r w:rsidRPr="002E27DD">
        <w:t>10 Costos unitarios referenciales</w:t>
      </w:r>
    </w:p>
    <w:p w14:paraId="4DFB276E" w14:textId="77777777" w:rsidR="0079428C" w:rsidRPr="002E27DD" w:rsidRDefault="0079428C" w:rsidP="00273FE4">
      <w:pPr>
        <w:pStyle w:val="Prrafodelista"/>
        <w:numPr>
          <w:ilvl w:val="0"/>
          <w:numId w:val="71"/>
        </w:numPr>
        <w:spacing w:after="120"/>
        <w:ind w:left="1134" w:hanging="567"/>
      </w:pPr>
      <w:r w:rsidRPr="002E27DD">
        <w:t>11 Pago de Energía Eléctrica SS.EE</w:t>
      </w:r>
    </w:p>
    <w:p w14:paraId="37248872" w14:textId="77777777" w:rsidR="0079428C" w:rsidRPr="002E27DD" w:rsidRDefault="0079428C" w:rsidP="00273FE4">
      <w:pPr>
        <w:pStyle w:val="Prrafodelista"/>
        <w:numPr>
          <w:ilvl w:val="0"/>
          <w:numId w:val="71"/>
        </w:numPr>
        <w:spacing w:after="120"/>
        <w:ind w:left="1134" w:hanging="567"/>
      </w:pPr>
      <w:r w:rsidRPr="002E27DD">
        <w:t>12 Pago consumo agua potable SS.EE</w:t>
      </w:r>
    </w:p>
    <w:p w14:paraId="0F933CF5" w14:textId="77777777" w:rsidR="0079428C" w:rsidRPr="002E27DD" w:rsidRDefault="0079428C" w:rsidP="00273FE4">
      <w:pPr>
        <w:pStyle w:val="Prrafodelista"/>
        <w:numPr>
          <w:ilvl w:val="0"/>
          <w:numId w:val="71"/>
        </w:numPr>
        <w:spacing w:after="120"/>
        <w:ind w:left="1134" w:hanging="567"/>
      </w:pPr>
      <w:r w:rsidRPr="002E27DD">
        <w:t>13 Pago patentes comerciales</w:t>
      </w:r>
    </w:p>
    <w:p w14:paraId="1E9637AE" w14:textId="77777777" w:rsidR="0079428C" w:rsidRPr="002E27DD" w:rsidRDefault="0079428C" w:rsidP="00273FE4">
      <w:pPr>
        <w:pStyle w:val="Prrafodelista"/>
        <w:numPr>
          <w:ilvl w:val="0"/>
          <w:numId w:val="71"/>
        </w:numPr>
        <w:spacing w:after="120"/>
        <w:ind w:left="1134" w:hanging="567"/>
      </w:pPr>
      <w:r w:rsidRPr="002E27DD">
        <w:t>14 Pago contribuciones de bienes raíces</w:t>
      </w:r>
    </w:p>
    <w:p w14:paraId="03E2DC4A" w14:textId="77777777" w:rsidR="0079428C" w:rsidRPr="002E27DD" w:rsidRDefault="0079428C" w:rsidP="00273FE4">
      <w:pPr>
        <w:pStyle w:val="Prrafodelista"/>
        <w:numPr>
          <w:ilvl w:val="0"/>
          <w:numId w:val="71"/>
        </w:numPr>
        <w:ind w:left="1134" w:hanging="567"/>
      </w:pPr>
      <w:r w:rsidRPr="002E27DD">
        <w:t>15 Otras informaciones</w:t>
      </w:r>
    </w:p>
    <w:p w14:paraId="3129C0B3" w14:textId="77777777" w:rsidR="0079428C" w:rsidRPr="002E27DD" w:rsidRDefault="0079428C" w:rsidP="00273FE4">
      <w:pPr>
        <w:pStyle w:val="Prrafodelista"/>
        <w:numPr>
          <w:ilvl w:val="0"/>
          <w:numId w:val="71"/>
        </w:numPr>
        <w:ind w:left="1134" w:hanging="567"/>
      </w:pPr>
      <w:r w:rsidRPr="002E27DD">
        <w:t>Envío N°1 Estudio Nacional - Transelec-20190917T185626Z-001</w:t>
      </w:r>
    </w:p>
    <w:p w14:paraId="29D26740" w14:textId="3A785956" w:rsidR="0079428C" w:rsidRPr="00B06D23" w:rsidRDefault="0079428C" w:rsidP="00273FE4">
      <w:pPr>
        <w:pStyle w:val="Listanumerada"/>
        <w:numPr>
          <w:ilvl w:val="0"/>
          <w:numId w:val="31"/>
        </w:numPr>
        <w:spacing w:after="200"/>
        <w:ind w:left="567" w:hanging="567"/>
        <w:rPr>
          <w:lang w:val="es-ES"/>
        </w:rPr>
      </w:pPr>
      <w:r w:rsidRPr="00B06D23">
        <w:rPr>
          <w:lang w:val="es-ES"/>
        </w:rPr>
        <w:t xml:space="preserve">Envío N°2 Estudio Nacional – Transelec (con </w:t>
      </w:r>
      <w:r w:rsidR="008425D4" w:rsidRPr="00B06D23">
        <w:rPr>
          <w:lang w:val="es-ES"/>
        </w:rPr>
        <w:t>índice</w:t>
      </w:r>
      <w:r w:rsidRPr="00B06D23">
        <w:rPr>
          <w:lang w:val="es-ES"/>
        </w:rPr>
        <w:t xml:space="preserve"> similar y complementaciones)</w:t>
      </w:r>
    </w:p>
    <w:p w14:paraId="07CFBC06" w14:textId="77777777" w:rsidR="0079428C" w:rsidRPr="002E27DD" w:rsidRDefault="0079428C" w:rsidP="00273FE4">
      <w:pPr>
        <w:pStyle w:val="Prrafodelista"/>
        <w:numPr>
          <w:ilvl w:val="0"/>
          <w:numId w:val="71"/>
        </w:numPr>
        <w:spacing w:after="120"/>
        <w:ind w:left="1134" w:hanging="567"/>
      </w:pPr>
      <w:r w:rsidRPr="002E27DD">
        <w:t>01 Organización de contratistas de OyM</w:t>
      </w:r>
    </w:p>
    <w:p w14:paraId="476CE761" w14:textId="77777777" w:rsidR="0079428C" w:rsidRPr="002E27DD" w:rsidRDefault="0079428C" w:rsidP="00273FE4">
      <w:pPr>
        <w:pStyle w:val="Prrafodelista"/>
        <w:numPr>
          <w:ilvl w:val="0"/>
          <w:numId w:val="71"/>
        </w:numPr>
        <w:spacing w:after="120"/>
        <w:ind w:left="1134" w:hanging="567"/>
      </w:pPr>
      <w:r w:rsidRPr="002E27DD">
        <w:t>02 Operación Local de Subestaciones</w:t>
      </w:r>
    </w:p>
    <w:p w14:paraId="37F54CBB" w14:textId="77777777" w:rsidR="0079428C" w:rsidRPr="002E27DD" w:rsidRDefault="0079428C" w:rsidP="00273FE4">
      <w:pPr>
        <w:pStyle w:val="Prrafodelista"/>
        <w:numPr>
          <w:ilvl w:val="0"/>
          <w:numId w:val="71"/>
        </w:numPr>
        <w:spacing w:after="120"/>
        <w:ind w:left="1134" w:hanging="567"/>
      </w:pPr>
      <w:r w:rsidRPr="002E27DD">
        <w:t>04 Organización del personal propio</w:t>
      </w:r>
    </w:p>
    <w:p w14:paraId="588D6944" w14:textId="77777777" w:rsidR="0079428C" w:rsidRPr="002E27DD" w:rsidRDefault="0079428C" w:rsidP="00273FE4">
      <w:pPr>
        <w:pStyle w:val="Prrafodelista"/>
        <w:numPr>
          <w:ilvl w:val="0"/>
          <w:numId w:val="71"/>
        </w:numPr>
        <w:spacing w:after="120"/>
        <w:ind w:left="1134" w:hanging="567"/>
      </w:pPr>
      <w:r w:rsidRPr="002E27DD">
        <w:t>09 Pago real de indemnizaciones</w:t>
      </w:r>
    </w:p>
    <w:p w14:paraId="440C2C8C" w14:textId="77777777" w:rsidR="0079428C" w:rsidRPr="002E27DD" w:rsidRDefault="0079428C" w:rsidP="00273FE4">
      <w:pPr>
        <w:pStyle w:val="Prrafodelista"/>
        <w:numPr>
          <w:ilvl w:val="0"/>
          <w:numId w:val="71"/>
        </w:numPr>
        <w:spacing w:after="120"/>
        <w:ind w:left="1134" w:hanging="567"/>
      </w:pPr>
      <w:r w:rsidRPr="002E27DD">
        <w:t>10 Costos unitarios referenciales</w:t>
      </w:r>
    </w:p>
    <w:p w14:paraId="2215BE58" w14:textId="77777777" w:rsidR="0079428C" w:rsidRPr="002E27DD" w:rsidRDefault="0079428C" w:rsidP="00273FE4">
      <w:pPr>
        <w:pStyle w:val="Prrafodelista"/>
        <w:numPr>
          <w:ilvl w:val="0"/>
          <w:numId w:val="71"/>
        </w:numPr>
        <w:spacing w:after="120"/>
        <w:ind w:left="1134" w:hanging="567"/>
      </w:pPr>
      <w:r w:rsidRPr="002E27DD">
        <w:t>11 Pago de Energía Eléctrica SSEE</w:t>
      </w:r>
    </w:p>
    <w:p w14:paraId="3733F463" w14:textId="77777777" w:rsidR="0079428C" w:rsidRPr="002E27DD" w:rsidRDefault="0079428C" w:rsidP="00273FE4">
      <w:pPr>
        <w:pStyle w:val="Prrafodelista"/>
        <w:numPr>
          <w:ilvl w:val="0"/>
          <w:numId w:val="71"/>
        </w:numPr>
        <w:spacing w:after="120"/>
        <w:ind w:left="1134" w:hanging="567"/>
      </w:pPr>
      <w:r w:rsidRPr="002E27DD">
        <w:t>12 Pago consumo agua potable SSEE</w:t>
      </w:r>
    </w:p>
    <w:p w14:paraId="5F333934" w14:textId="77777777" w:rsidR="0079428C" w:rsidRPr="002E27DD" w:rsidRDefault="0079428C" w:rsidP="00273FE4">
      <w:pPr>
        <w:pStyle w:val="Prrafodelista"/>
        <w:numPr>
          <w:ilvl w:val="0"/>
          <w:numId w:val="71"/>
        </w:numPr>
        <w:spacing w:after="120"/>
        <w:ind w:left="1134" w:hanging="567"/>
      </w:pPr>
      <w:r w:rsidRPr="002E27DD">
        <w:t>13 Pago patentes comerciales</w:t>
      </w:r>
    </w:p>
    <w:p w14:paraId="4B26656B" w14:textId="77777777" w:rsidR="0079428C" w:rsidRPr="002E27DD" w:rsidRDefault="0079428C" w:rsidP="00273FE4">
      <w:pPr>
        <w:pStyle w:val="Prrafodelista"/>
        <w:numPr>
          <w:ilvl w:val="0"/>
          <w:numId w:val="71"/>
        </w:numPr>
        <w:spacing w:after="120"/>
        <w:ind w:left="1134" w:hanging="567"/>
      </w:pPr>
      <w:r w:rsidRPr="002E27DD">
        <w:t xml:space="preserve">14 Pago contribuciones de bienes raíces </w:t>
      </w:r>
    </w:p>
    <w:p w14:paraId="1B0D986F" w14:textId="6DA247EA" w:rsidR="0079428C" w:rsidRPr="002E27DD" w:rsidRDefault="0079428C" w:rsidP="00273FE4">
      <w:pPr>
        <w:pStyle w:val="Prrafodelista"/>
        <w:numPr>
          <w:ilvl w:val="0"/>
          <w:numId w:val="71"/>
        </w:numPr>
        <w:ind w:left="1134" w:hanging="567"/>
      </w:pPr>
      <w:r w:rsidRPr="002E27DD">
        <w:t xml:space="preserve">20191003 Respuesta a información </w:t>
      </w:r>
      <w:r w:rsidR="005A6F95" w:rsidRPr="002E27DD">
        <w:t>C.O.M.A.</w:t>
      </w:r>
      <w:r w:rsidRPr="002E27DD">
        <w:t xml:space="preserve"> solicitada - Transelec</w:t>
      </w:r>
    </w:p>
    <w:p w14:paraId="739D96A4" w14:textId="77777777" w:rsidR="0079428C" w:rsidRPr="00B06D23" w:rsidRDefault="0079428C" w:rsidP="00273FE4">
      <w:pPr>
        <w:pStyle w:val="Listanumerada"/>
        <w:numPr>
          <w:ilvl w:val="0"/>
          <w:numId w:val="31"/>
        </w:numPr>
        <w:spacing w:after="200"/>
        <w:ind w:left="567" w:hanging="567"/>
        <w:rPr>
          <w:lang w:val="es-ES"/>
        </w:rPr>
      </w:pPr>
      <w:r w:rsidRPr="00B06D23">
        <w:rPr>
          <w:lang w:val="es-ES"/>
        </w:rPr>
        <w:t>Envío N°3 Estudio Nacional – Transelec</w:t>
      </w:r>
    </w:p>
    <w:p w14:paraId="7FA8F3E1" w14:textId="77777777" w:rsidR="0079428C" w:rsidRPr="003C52BB" w:rsidRDefault="0079428C" w:rsidP="00273FE4">
      <w:pPr>
        <w:pStyle w:val="Prrafodelista"/>
        <w:numPr>
          <w:ilvl w:val="0"/>
          <w:numId w:val="71"/>
        </w:numPr>
        <w:spacing w:after="120"/>
        <w:ind w:left="1134" w:hanging="567"/>
      </w:pPr>
      <w:r w:rsidRPr="003C52BB">
        <w:t>02. Costos de Servicios</w:t>
      </w:r>
    </w:p>
    <w:p w14:paraId="0FA10AEF" w14:textId="77777777" w:rsidR="0079428C" w:rsidRPr="003C52BB" w:rsidRDefault="0079428C" w:rsidP="00273FE4">
      <w:pPr>
        <w:pStyle w:val="Prrafodelista"/>
        <w:numPr>
          <w:ilvl w:val="0"/>
          <w:numId w:val="71"/>
        </w:numPr>
        <w:spacing w:after="120"/>
        <w:ind w:left="1134" w:hanging="567"/>
      </w:pPr>
      <w:r w:rsidRPr="003C52BB">
        <w:t>04. ii. VP Operaciones</w:t>
      </w:r>
    </w:p>
    <w:p w14:paraId="302D209B" w14:textId="77777777" w:rsidR="0079428C" w:rsidRPr="003C52BB" w:rsidRDefault="0079428C" w:rsidP="00273FE4">
      <w:pPr>
        <w:pStyle w:val="Prrafodelista"/>
        <w:numPr>
          <w:ilvl w:val="0"/>
          <w:numId w:val="71"/>
        </w:numPr>
        <w:spacing w:after="120"/>
        <w:ind w:left="1134" w:hanging="567"/>
      </w:pPr>
      <w:r w:rsidRPr="003C52BB">
        <w:t>04. iii. Control y Telecomunicaciones</w:t>
      </w:r>
    </w:p>
    <w:p w14:paraId="4E48B379" w14:textId="77777777" w:rsidR="0079428C" w:rsidRPr="003C52BB" w:rsidRDefault="0079428C" w:rsidP="00273FE4">
      <w:pPr>
        <w:pStyle w:val="Prrafodelista"/>
        <w:numPr>
          <w:ilvl w:val="0"/>
          <w:numId w:val="71"/>
        </w:numPr>
        <w:spacing w:after="120"/>
        <w:ind w:left="1134" w:hanging="567"/>
      </w:pPr>
      <w:r w:rsidRPr="003C52BB">
        <w:t>04. iv. Actividades de Mantenimiento</w:t>
      </w:r>
    </w:p>
    <w:p w14:paraId="561A08A4" w14:textId="77777777" w:rsidR="0079428C" w:rsidRPr="003C52BB" w:rsidRDefault="0079428C" w:rsidP="00273FE4">
      <w:pPr>
        <w:pStyle w:val="Prrafodelista"/>
        <w:numPr>
          <w:ilvl w:val="0"/>
          <w:numId w:val="71"/>
        </w:numPr>
        <w:spacing w:after="120"/>
        <w:ind w:left="1134" w:hanging="567"/>
      </w:pPr>
      <w:r w:rsidRPr="003C52BB">
        <w:lastRenderedPageBreak/>
        <w:t>04. vi. Seguridad Física</w:t>
      </w:r>
    </w:p>
    <w:p w14:paraId="3FCA53B2" w14:textId="77777777" w:rsidR="0079428C" w:rsidRPr="003C52BB" w:rsidRDefault="0079428C" w:rsidP="00273FE4">
      <w:pPr>
        <w:pStyle w:val="Prrafodelista"/>
        <w:numPr>
          <w:ilvl w:val="0"/>
          <w:numId w:val="71"/>
        </w:numPr>
        <w:spacing w:after="120"/>
        <w:ind w:left="1134" w:hanging="567"/>
      </w:pPr>
      <w:r w:rsidRPr="003C52BB">
        <w:t>04. vii. Descripción de Cargos</w:t>
      </w:r>
    </w:p>
    <w:p w14:paraId="4FF99E84" w14:textId="75064D7D" w:rsidR="0079428C" w:rsidRPr="003C52BB" w:rsidRDefault="0079428C" w:rsidP="00273FE4">
      <w:pPr>
        <w:pStyle w:val="Prrafodelista"/>
        <w:numPr>
          <w:ilvl w:val="0"/>
          <w:numId w:val="71"/>
        </w:numPr>
        <w:spacing w:after="120"/>
        <w:ind w:left="1134" w:hanging="567"/>
      </w:pPr>
      <w:r w:rsidRPr="003C52BB">
        <w:t xml:space="preserve">20191117 Respuesta de aclaraciones de la información </w:t>
      </w:r>
      <w:r w:rsidR="005A6F95" w:rsidRPr="003C52BB">
        <w:t>C.O.M.A.</w:t>
      </w:r>
      <w:r w:rsidRPr="003C52BB">
        <w:t xml:space="preserve"> que fue recibida de Transelec</w:t>
      </w:r>
    </w:p>
    <w:p w14:paraId="36431967" w14:textId="5149B190" w:rsidR="0079428C" w:rsidRPr="00B06D23" w:rsidRDefault="0079428C" w:rsidP="00273FE4">
      <w:pPr>
        <w:pStyle w:val="Listanumerada"/>
        <w:numPr>
          <w:ilvl w:val="0"/>
          <w:numId w:val="31"/>
        </w:numPr>
        <w:spacing w:after="200"/>
        <w:ind w:left="567" w:hanging="567"/>
        <w:rPr>
          <w:lang w:val="es-ES"/>
        </w:rPr>
      </w:pPr>
      <w:r w:rsidRPr="00B06D23">
        <w:rPr>
          <w:lang w:val="es-ES"/>
        </w:rPr>
        <w:t>Respuesta Of. 771-2019 11-11-2019: Antofaga</w:t>
      </w:r>
      <w:r w:rsidR="00A477D0">
        <w:rPr>
          <w:lang w:val="es-ES"/>
        </w:rPr>
        <w:t>sta Minerals, Celeo Redes, Colbú</w:t>
      </w:r>
      <w:r w:rsidRPr="00B06D23">
        <w:rPr>
          <w:lang w:val="es-ES"/>
        </w:rPr>
        <w:t>n Transmisión, ETSA, Ferrovial, REDENOR, TEN, Transemel</w:t>
      </w:r>
    </w:p>
    <w:p w14:paraId="47324A07" w14:textId="6A53F1A4" w:rsidR="0079428C" w:rsidRPr="00B06D23" w:rsidRDefault="0079428C" w:rsidP="00273FE4">
      <w:pPr>
        <w:pStyle w:val="Listanumerada"/>
        <w:numPr>
          <w:ilvl w:val="0"/>
          <w:numId w:val="31"/>
        </w:numPr>
        <w:spacing w:after="200"/>
        <w:ind w:left="567" w:hanging="567"/>
        <w:rPr>
          <w:lang w:val="es-ES"/>
        </w:rPr>
      </w:pPr>
      <w:r w:rsidRPr="00B06D23">
        <w:rPr>
          <w:lang w:val="es-ES"/>
        </w:rPr>
        <w:t xml:space="preserve">Respuestas Of. 687-2019 27-09-2019: Celeo Redes, CGE, Chilquinta, Colbún, Edelnor, Enel </w:t>
      </w:r>
      <w:r w:rsidR="00A477D0" w:rsidRPr="00B06D23">
        <w:rPr>
          <w:lang w:val="es-ES"/>
        </w:rPr>
        <w:t>Distribución</w:t>
      </w:r>
      <w:r w:rsidRPr="00B06D23">
        <w:rPr>
          <w:lang w:val="es-ES"/>
        </w:rPr>
        <w:t>, ENGIE, ISA Interchile, Red Eléctrica, SAESA</w:t>
      </w:r>
    </w:p>
    <w:p w14:paraId="6F4EBE90" w14:textId="77777777" w:rsidR="0079428C" w:rsidRPr="00B06D23" w:rsidRDefault="0079428C" w:rsidP="00273FE4">
      <w:pPr>
        <w:pStyle w:val="Listanumerada"/>
        <w:numPr>
          <w:ilvl w:val="0"/>
          <w:numId w:val="31"/>
        </w:numPr>
        <w:spacing w:after="200"/>
        <w:ind w:left="567" w:hanging="567"/>
        <w:rPr>
          <w:lang w:val="es-ES"/>
        </w:rPr>
      </w:pPr>
      <w:r w:rsidRPr="00B06D23">
        <w:rPr>
          <w:lang w:val="es-ES"/>
        </w:rPr>
        <w:t>Respuestas Of. CNE N° 40-2020_contribuciones</w:t>
      </w:r>
    </w:p>
    <w:p w14:paraId="3AF19A37" w14:textId="6C601BAE" w:rsidR="0079428C" w:rsidRPr="00B06D23" w:rsidRDefault="0079428C" w:rsidP="00273FE4">
      <w:pPr>
        <w:pStyle w:val="Listanumerada"/>
        <w:numPr>
          <w:ilvl w:val="0"/>
          <w:numId w:val="31"/>
        </w:numPr>
        <w:spacing w:after="200"/>
        <w:ind w:left="567" w:hanging="567"/>
        <w:rPr>
          <w:lang w:val="es-ES"/>
        </w:rPr>
      </w:pPr>
      <w:r w:rsidRPr="00B06D23">
        <w:rPr>
          <w:lang w:val="es-ES"/>
        </w:rPr>
        <w:t>Respuestas Of. Ord. N° 5-2020 (</w:t>
      </w:r>
      <w:r w:rsidR="008425D4" w:rsidRPr="00B06D23">
        <w:rPr>
          <w:lang w:val="es-ES"/>
        </w:rPr>
        <w:t>caracterización</w:t>
      </w:r>
      <w:r w:rsidRPr="00B06D23">
        <w:rPr>
          <w:lang w:val="es-ES"/>
        </w:rPr>
        <w:t>)</w:t>
      </w:r>
    </w:p>
    <w:p w14:paraId="61B60C37" w14:textId="2BC60AB1" w:rsidR="0079428C" w:rsidRDefault="0079428C" w:rsidP="00273FE4">
      <w:pPr>
        <w:pStyle w:val="Listanumerada"/>
        <w:numPr>
          <w:ilvl w:val="0"/>
          <w:numId w:val="31"/>
        </w:numPr>
        <w:spacing w:after="200"/>
        <w:ind w:left="567" w:hanging="567"/>
        <w:rPr>
          <w:lang w:val="es-ES"/>
        </w:rPr>
      </w:pPr>
      <w:r w:rsidRPr="00B06D23">
        <w:rPr>
          <w:lang w:val="es-ES"/>
        </w:rPr>
        <w:t>Aclaraciones Respuestas Of. Ord. N° 5-2020</w:t>
      </w:r>
    </w:p>
    <w:p w14:paraId="1FFF8AD3" w14:textId="77777777" w:rsidR="0079428C" w:rsidRPr="00F465C5" w:rsidRDefault="0079428C" w:rsidP="0079428C">
      <w:pPr>
        <w:pStyle w:val="Ttulo3"/>
      </w:pPr>
      <w:bookmarkStart w:id="413" w:name="_Toc34398159"/>
      <w:bookmarkStart w:id="414" w:name="_Toc39797850"/>
      <w:r w:rsidRPr="00F465C5">
        <w:t>Cálculo de intangibles</w:t>
      </w:r>
      <w:bookmarkEnd w:id="413"/>
      <w:bookmarkEnd w:id="414"/>
    </w:p>
    <w:p w14:paraId="297D8942" w14:textId="2C9C46DA" w:rsidR="0079428C" w:rsidRPr="00B06D23" w:rsidRDefault="0079428C" w:rsidP="002E27DD">
      <w:pPr>
        <w:rPr>
          <w:lang w:val="es-ES"/>
        </w:rPr>
      </w:pPr>
      <w:r w:rsidRPr="00B06D23">
        <w:rPr>
          <w:lang w:val="es-ES"/>
        </w:rPr>
        <w:t xml:space="preserve">Para el cálculo de intangibles se presenta el desarrollo metodológico detallado en el “Anexo </w:t>
      </w:r>
      <w:r w:rsidR="002E27DD">
        <w:rPr>
          <w:lang w:val="es-ES"/>
        </w:rPr>
        <w:t>COM</w:t>
      </w:r>
      <w:r w:rsidR="005A6F95">
        <w:rPr>
          <w:lang w:val="es-ES"/>
        </w:rPr>
        <w:t>A</w:t>
      </w:r>
      <w:r w:rsidRPr="00B06D23">
        <w:rPr>
          <w:lang w:val="es-ES"/>
        </w:rPr>
        <w:t>_5_Bienes intangibles”.</w:t>
      </w:r>
    </w:p>
    <w:p w14:paraId="1FD0E3F6" w14:textId="7A44E080" w:rsidR="00EE1E49" w:rsidRDefault="0079428C" w:rsidP="0079428C">
      <w:pPr>
        <w:jc w:val="left"/>
        <w:rPr>
          <w:lang w:val="es-ES"/>
        </w:rPr>
      </w:pPr>
      <w:r w:rsidRPr="00B06D23">
        <w:rPr>
          <w:lang w:val="es-ES"/>
        </w:rPr>
        <w:t xml:space="preserve">El soporte del cálculo se presenta en </w:t>
      </w:r>
      <w:r w:rsidR="002E27DD">
        <w:rPr>
          <w:lang w:val="es-ES"/>
        </w:rPr>
        <w:t>“</w:t>
      </w:r>
      <w:r w:rsidRPr="00B06D23">
        <w:rPr>
          <w:lang w:val="es-ES"/>
        </w:rPr>
        <w:t xml:space="preserve">Anexo </w:t>
      </w:r>
      <w:r w:rsidR="002E27DD">
        <w:rPr>
          <w:lang w:val="es-ES"/>
        </w:rPr>
        <w:t>COMA</w:t>
      </w:r>
      <w:r w:rsidRPr="00B06D23">
        <w:rPr>
          <w:lang w:val="es-ES"/>
        </w:rPr>
        <w:t>_3 Modelo/ Modelo EC&amp;ER/ Intangilbles</w:t>
      </w:r>
      <w:r w:rsidR="002E27DD">
        <w:rPr>
          <w:lang w:val="es-ES"/>
        </w:rPr>
        <w:t>”</w:t>
      </w:r>
      <w:r w:rsidRPr="00B06D23">
        <w:rPr>
          <w:lang w:val="es-ES"/>
        </w:rPr>
        <w:t xml:space="preserve"> y el soporte de datos en </w:t>
      </w:r>
      <w:r w:rsidR="002E27DD">
        <w:rPr>
          <w:lang w:val="es-ES"/>
        </w:rPr>
        <w:t>“</w:t>
      </w:r>
      <w:r w:rsidRPr="00B06D23">
        <w:rPr>
          <w:lang w:val="es-ES"/>
        </w:rPr>
        <w:t xml:space="preserve">Anexo </w:t>
      </w:r>
      <w:r w:rsidR="002E27DD">
        <w:rPr>
          <w:lang w:val="es-ES"/>
        </w:rPr>
        <w:t>COMA</w:t>
      </w:r>
      <w:r w:rsidRPr="00B06D23">
        <w:rPr>
          <w:lang w:val="es-ES"/>
        </w:rPr>
        <w:t xml:space="preserve">_3 Modelo/ Datos/ Precios Insumos No </w:t>
      </w:r>
      <w:r w:rsidR="008425D4" w:rsidRPr="00B06D23">
        <w:rPr>
          <w:lang w:val="es-ES"/>
        </w:rPr>
        <w:t>Eléctricos</w:t>
      </w:r>
      <w:r w:rsidRPr="00B06D23">
        <w:rPr>
          <w:lang w:val="es-ES"/>
        </w:rPr>
        <w:t>/Asesorías</w:t>
      </w:r>
      <w:r w:rsidR="002E27DD">
        <w:rPr>
          <w:lang w:val="es-ES"/>
        </w:rPr>
        <w:t>”.</w:t>
      </w:r>
    </w:p>
    <w:p w14:paraId="6ACAD013" w14:textId="77777777" w:rsidR="00EE1E49" w:rsidRDefault="00EE1E49" w:rsidP="00EE1E49">
      <w:pPr>
        <w:pStyle w:val="Ttulo2"/>
        <w:rPr>
          <w:sz w:val="24"/>
          <w:szCs w:val="24"/>
        </w:rPr>
      </w:pPr>
      <w:bookmarkStart w:id="415" w:name="_Toc39797851"/>
      <w:r>
        <w:rPr>
          <w:sz w:val="24"/>
          <w:szCs w:val="24"/>
        </w:rPr>
        <w:t xml:space="preserve">Metodología aplicada a la determinación de </w:t>
      </w:r>
      <w:r w:rsidRPr="00671BB7">
        <w:rPr>
          <w:sz w:val="24"/>
          <w:szCs w:val="24"/>
        </w:rPr>
        <w:t>Labores de Ampliación</w:t>
      </w:r>
      <w:bookmarkEnd w:id="415"/>
    </w:p>
    <w:p w14:paraId="323DFF8F" w14:textId="77777777" w:rsidR="00A33A22" w:rsidRDefault="00A33A22" w:rsidP="00A33A22">
      <w:pPr>
        <w:pStyle w:val="Ttulo3"/>
      </w:pPr>
      <w:bookmarkStart w:id="416" w:name="_Toc34686696"/>
      <w:bookmarkStart w:id="417" w:name="_Toc39797852"/>
      <w:r>
        <w:t>Introducción</w:t>
      </w:r>
      <w:bookmarkEnd w:id="416"/>
      <w:bookmarkEnd w:id="417"/>
    </w:p>
    <w:p w14:paraId="0F81CD45" w14:textId="77777777" w:rsidR="00A33A22" w:rsidRPr="00F43502" w:rsidRDefault="00A33A22" w:rsidP="00A33A22">
      <w:pPr>
        <w:pStyle w:val="Ttulo4"/>
      </w:pPr>
      <w:bookmarkStart w:id="418" w:name="_Toc34686697"/>
      <w:bookmarkStart w:id="419" w:name="_Toc39797853"/>
      <w:r w:rsidRPr="00F43502">
        <w:t>Labores de Ampliación y Bases</w:t>
      </w:r>
      <w:bookmarkEnd w:id="418"/>
      <w:bookmarkEnd w:id="419"/>
    </w:p>
    <w:p w14:paraId="01AC8C03" w14:textId="77777777" w:rsidR="00A33A22" w:rsidRPr="000159DC" w:rsidRDefault="00A33A22" w:rsidP="00A33A22">
      <w:r w:rsidRPr="000159DC">
        <w:t xml:space="preserve">Si bien el concepto de </w:t>
      </w:r>
      <w:r w:rsidRPr="000159DC">
        <w:rPr>
          <w:i/>
          <w:iCs/>
        </w:rPr>
        <w:t>Labores de Ampliación</w:t>
      </w:r>
      <w:r w:rsidRPr="000159DC">
        <w:t xml:space="preserve"> no se encuentra definido en la normativa, se entiende referido a aquellos trabajos necesarios para el desarrollo de </w:t>
      </w:r>
      <w:r w:rsidRPr="000159DC">
        <w:rPr>
          <w:i/>
          <w:iCs/>
        </w:rPr>
        <w:t>obras de ampliación</w:t>
      </w:r>
      <w:r w:rsidRPr="000159DC">
        <w:t>, que involucran costos asociados a la inversión en estas obras, y que no quedan registrados en el inventario de componentes a valorizar (VI) en la obra ampliada resultante. Estos trabajos pueden corresponder, por ejemplo, a labores de desmontaje, faenas en instalaciones energizadas, construcción de variantes provisorias, entre otros.</w:t>
      </w:r>
    </w:p>
    <w:p w14:paraId="53840E8E" w14:textId="77777777" w:rsidR="00A33A22" w:rsidRPr="000159DC" w:rsidRDefault="00A33A22" w:rsidP="00A33A22">
      <w:r>
        <w:t>E</w:t>
      </w:r>
      <w:r w:rsidRPr="000159DC">
        <w:t xml:space="preserve">l punto 3.4.1.1 de las Bases </w:t>
      </w:r>
      <w:r>
        <w:t xml:space="preserve">se refiere al tratamiento del tema, </w:t>
      </w:r>
      <w:r w:rsidRPr="000159DC">
        <w:t>señala</w:t>
      </w:r>
      <w:r>
        <w:t>ndo</w:t>
      </w:r>
      <w:r w:rsidRPr="000159DC">
        <w:t xml:space="preserve"> en su penúltimo párrafo:</w:t>
      </w:r>
    </w:p>
    <w:p w14:paraId="0C2F31A9" w14:textId="77777777" w:rsidR="00A33A22" w:rsidRPr="002E27DD" w:rsidRDefault="00A33A22" w:rsidP="00191EBB">
      <w:pPr>
        <w:rPr>
          <w:i/>
        </w:rPr>
      </w:pPr>
      <w:r w:rsidRPr="002E27DD">
        <w:rPr>
          <w:i/>
        </w:rPr>
        <w:lastRenderedPageBreak/>
        <w:t xml:space="preserve">“Respecto de la determinación del V.I. de las instalaciones identificadas por el consultor como pertenecientes al sistema de transmisión y que fueron objeto de ampliaciones a que hace referencia el artículo 92° de la Ley, el Consultor considerará el V.I. adjudicado de la obra de ampliación. </w:t>
      </w:r>
    </w:p>
    <w:p w14:paraId="0990E33C" w14:textId="77777777" w:rsidR="00A33A22" w:rsidRPr="002E27DD" w:rsidRDefault="00A33A22" w:rsidP="00191EBB">
      <w:pPr>
        <w:rPr>
          <w:i/>
        </w:rPr>
      </w:pPr>
      <w:r w:rsidRPr="002E27DD">
        <w:rPr>
          <w:i/>
        </w:rPr>
        <w:t xml:space="preserve">Para las obras de ampliación contenidas en planes de expansión fijadas de acuerdo al régimen que la Ley N° 20.936 derogó, </w:t>
      </w:r>
      <w:r w:rsidRPr="002E27DD">
        <w:rPr>
          <w:b/>
          <w:bCs/>
          <w:i/>
        </w:rPr>
        <w:t>el consultor deberá considerar, de manera separada al V.I. de las instalaciones señaladas precedentemente, un V.I. de labores de ampliación</w:t>
      </w:r>
      <w:r w:rsidRPr="002E27DD">
        <w:rPr>
          <w:i/>
        </w:rPr>
        <w:t xml:space="preserve">, asociado a los costos propios de las ampliaciones realizadas, no considerados en el V.I. de dichas instalaciones, tales como los costos indirectos de la obra de ampliación, costos asociados a labores de desmontaje, a faenas en instalaciones energizadas, costos por construcción de variantes provisorias, etc. </w:t>
      </w:r>
      <w:r w:rsidRPr="002E27DD">
        <w:rPr>
          <w:b/>
          <w:bCs/>
          <w:i/>
        </w:rPr>
        <w:t>Los recursos utilizados en estas labores deberán ser los mínimos necesarios para construir la obra de ampliación, en cumplimiento de las disposiciones de seguridad y calidad de servicio, así como del resto de la normativa vigente</w:t>
      </w:r>
      <w:r w:rsidRPr="002E27DD">
        <w:rPr>
          <w:i/>
        </w:rPr>
        <w:t xml:space="preserve">. La valorización de las labores de ampliación deberá considerar los precios vigentes al momento de adjudicación de las obras de ampliación, actualizados por IPC a la fecha de referencia del Estudio, esto es el 31 de diciembre 2017. </w:t>
      </w:r>
      <w:r w:rsidRPr="002E27DD">
        <w:rPr>
          <w:b/>
          <w:bCs/>
          <w:i/>
        </w:rPr>
        <w:t>Al V.I. de las labores de ampliación resultante, el consultor deberá descontar el monto recuperado hasta la fecha de término de vigencia del Decreto N°23 T de 2015 del Ministerio de Energía, el cual será estimado a partir de dicho V.I. y de la vida útil de las ampliaciones correspondientes</w:t>
      </w:r>
      <w:r w:rsidRPr="002E27DD">
        <w:rPr>
          <w:i/>
        </w:rPr>
        <w:t>. El V.I. resultante (una vez descontado el monto recuperado) deberá ser anualizado, debiendo ser recuperado en los 4 años del cuatrienio tarifario a que se refiere el Estudio (2020‐2023)”.</w:t>
      </w:r>
    </w:p>
    <w:p w14:paraId="166A292D" w14:textId="77777777" w:rsidR="00A33A22" w:rsidRDefault="00A33A22" w:rsidP="00A33A22">
      <w:r w:rsidRPr="000159DC">
        <w:t xml:space="preserve">El reconocimiento de costos por efecto de </w:t>
      </w:r>
      <w:r w:rsidRPr="000159DC">
        <w:rPr>
          <w:i/>
          <w:iCs/>
        </w:rPr>
        <w:t>labores de ampliación</w:t>
      </w:r>
      <w:r w:rsidRPr="000159DC">
        <w:t>, se practicó también en el estudio de valorización que dio lugar al Decreto 23 T de 2015</w:t>
      </w:r>
      <w:r>
        <w:t>,</w:t>
      </w:r>
      <w:r w:rsidRPr="000159DC">
        <w:t xml:space="preserve"> según consta en el Artículo primero, punto 2.1 de la norma, y que establece su cuantificación en los mismos términos que las Bases correspondientes al presente estudio.</w:t>
      </w:r>
    </w:p>
    <w:p w14:paraId="01BA558E" w14:textId="77777777" w:rsidR="00A33A22" w:rsidRPr="00F43502" w:rsidRDefault="00A33A22" w:rsidP="00A33A22">
      <w:pPr>
        <w:pStyle w:val="Ttulo4"/>
      </w:pPr>
      <w:bookmarkStart w:id="420" w:name="_Toc34686698"/>
      <w:bookmarkStart w:id="421" w:name="_Toc39797854"/>
      <w:r w:rsidRPr="00F43502">
        <w:t>Obras de Ampliación a Estudiar</w:t>
      </w:r>
      <w:bookmarkEnd w:id="420"/>
      <w:bookmarkEnd w:id="421"/>
    </w:p>
    <w:p w14:paraId="6470D085" w14:textId="77777777" w:rsidR="00A33A22" w:rsidRDefault="00A33A22" w:rsidP="00A33A22">
      <w:r>
        <w:t>El conjunto de obras de ampliación cuyo V.I. de labores de ampliación debe establecerse en la presente oportunidad, corresponde a aquél contenido en el archivo anexo al Oficio N°688, del 13 de septiembre de 2019, de la CNE, en que la Comisión solicita a las empresas transmisoras indicar, cuando correspondiera, la descripción de labores de ampliación practicadas al momento de la habilitación de las obras de ampliación que individualiza en el anexo señalado, y que corresponden a instalaciones que entraron en operación en el período 1 de enero de 2015 al 31 de diciembre de 2017.</w:t>
      </w:r>
    </w:p>
    <w:p w14:paraId="56FC7767" w14:textId="484663D1" w:rsidR="00A33A22" w:rsidRDefault="00A33A22" w:rsidP="00A33A22">
      <w:r>
        <w:t>De esta forma, las obras de ampliación informadas, 34 en total, se muestran en el siguiente cuadro:</w:t>
      </w:r>
    </w:p>
    <w:p w14:paraId="4F7024A3" w14:textId="77777777" w:rsidR="003C52BB" w:rsidRDefault="003C52BB" w:rsidP="00A33A22"/>
    <w:p w14:paraId="2E7D8947" w14:textId="77777777" w:rsidR="00A33A22" w:rsidRDefault="00A33A22" w:rsidP="00A33A22">
      <w:pPr>
        <w:sectPr w:rsidR="00A33A22" w:rsidSect="00E04582">
          <w:headerReference w:type="default" r:id="rId27"/>
          <w:footerReference w:type="default" r:id="rId28"/>
          <w:headerReference w:type="first" r:id="rId29"/>
          <w:footerReference w:type="first" r:id="rId30"/>
          <w:pgSz w:w="12242" w:h="15842" w:code="1"/>
          <w:pgMar w:top="1134" w:right="1134" w:bottom="1134" w:left="1418" w:header="851" w:footer="1134" w:gutter="0"/>
          <w:cols w:space="708"/>
          <w:titlePg/>
          <w:docGrid w:linePitch="360"/>
        </w:sectPr>
      </w:pPr>
    </w:p>
    <w:p w14:paraId="54B1D55E" w14:textId="7FDEF3CB" w:rsidR="00A33A22" w:rsidRPr="002E27DD" w:rsidRDefault="002E27DD" w:rsidP="002E27DD">
      <w:pPr>
        <w:pStyle w:val="Subttulo"/>
      </w:pPr>
      <w:bookmarkStart w:id="424" w:name="_Toc39797949"/>
      <w:r w:rsidRPr="002E27DD">
        <w:lastRenderedPageBreak/>
        <w:t xml:space="preserve">Tabla </w:t>
      </w:r>
      <w:fldSimple w:instr=" SEQ Tabla \* ARABIC ">
        <w:r w:rsidR="001F3E2E">
          <w:rPr>
            <w:noProof/>
          </w:rPr>
          <w:t>39</w:t>
        </w:r>
      </w:fldSimple>
      <w:r w:rsidRPr="002E27DD">
        <w:t xml:space="preserve">: </w:t>
      </w:r>
      <w:r w:rsidR="00A33A22" w:rsidRPr="002E27DD">
        <w:t>Obras de Ampliación a Analizar</w:t>
      </w:r>
      <w:r w:rsidRPr="002E27DD">
        <w:t xml:space="preserve"> </w:t>
      </w:r>
      <w:r w:rsidR="00A33A22" w:rsidRPr="002E27DD">
        <w:t>(Entrada en Operación: 1 de enero de 2015 a 31 de diciembre de 2017)</w:t>
      </w:r>
      <w:bookmarkEnd w:id="424"/>
    </w:p>
    <w:tbl>
      <w:tblPr>
        <w:tblStyle w:val="Tablaconcuadrcula"/>
        <w:tblW w:w="0" w:type="auto"/>
        <w:jc w:val="center"/>
        <w:tblLayout w:type="fixed"/>
        <w:tblCellMar>
          <w:left w:w="57" w:type="dxa"/>
          <w:right w:w="57" w:type="dxa"/>
        </w:tblCellMar>
        <w:tblLook w:val="04A0" w:firstRow="1" w:lastRow="0" w:firstColumn="1" w:lastColumn="0" w:noHBand="0" w:noVBand="1"/>
      </w:tblPr>
      <w:tblGrid>
        <w:gridCol w:w="567"/>
        <w:gridCol w:w="10490"/>
        <w:gridCol w:w="1134"/>
        <w:gridCol w:w="1418"/>
      </w:tblGrid>
      <w:tr w:rsidR="00A33A22" w:rsidRPr="00191EBB" w14:paraId="5CCB9CC1" w14:textId="77777777" w:rsidTr="003C52BB">
        <w:trPr>
          <w:tblHeader/>
          <w:jc w:val="center"/>
        </w:trPr>
        <w:tc>
          <w:tcPr>
            <w:tcW w:w="567" w:type="dxa"/>
            <w:shd w:val="clear" w:color="auto" w:fill="D9D9D9" w:themeFill="background1" w:themeFillShade="D9"/>
            <w:vAlign w:val="center"/>
          </w:tcPr>
          <w:p w14:paraId="2E4F60D7" w14:textId="77777777" w:rsidR="00A33A22" w:rsidRPr="00191EBB" w:rsidRDefault="00A33A22" w:rsidP="003C52BB">
            <w:pPr>
              <w:spacing w:before="40" w:after="40" w:line="240" w:lineRule="auto"/>
              <w:jc w:val="center"/>
              <w:rPr>
                <w:rFonts w:cs="Calibri"/>
                <w:b/>
                <w:bCs/>
                <w:spacing w:val="-12"/>
                <w:sz w:val="20"/>
                <w:szCs w:val="20"/>
              </w:rPr>
            </w:pPr>
            <w:r w:rsidRPr="00191EBB">
              <w:rPr>
                <w:rFonts w:cs="Calibri"/>
                <w:b/>
                <w:bCs/>
                <w:spacing w:val="-12"/>
                <w:sz w:val="20"/>
                <w:szCs w:val="20"/>
              </w:rPr>
              <w:t>N°</w:t>
            </w:r>
          </w:p>
        </w:tc>
        <w:tc>
          <w:tcPr>
            <w:tcW w:w="10490" w:type="dxa"/>
            <w:shd w:val="clear" w:color="auto" w:fill="D9D9D9" w:themeFill="background1" w:themeFillShade="D9"/>
            <w:vAlign w:val="center"/>
          </w:tcPr>
          <w:p w14:paraId="3642DD0A" w14:textId="77777777" w:rsidR="00A33A22" w:rsidRPr="00191EBB" w:rsidRDefault="00A33A22" w:rsidP="003C52BB">
            <w:pPr>
              <w:spacing w:before="40" w:after="40" w:line="240" w:lineRule="auto"/>
              <w:jc w:val="center"/>
              <w:rPr>
                <w:rFonts w:cs="Calibri"/>
                <w:b/>
                <w:bCs/>
                <w:spacing w:val="-12"/>
                <w:sz w:val="20"/>
                <w:szCs w:val="20"/>
              </w:rPr>
            </w:pPr>
            <w:r w:rsidRPr="00191EBB">
              <w:rPr>
                <w:rFonts w:cs="Calibri"/>
                <w:b/>
                <w:bCs/>
                <w:spacing w:val="-12"/>
                <w:sz w:val="20"/>
                <w:szCs w:val="20"/>
              </w:rPr>
              <w:t>Obra de Ampliación</w:t>
            </w:r>
          </w:p>
        </w:tc>
        <w:tc>
          <w:tcPr>
            <w:tcW w:w="1134" w:type="dxa"/>
            <w:shd w:val="clear" w:color="auto" w:fill="D9D9D9" w:themeFill="background1" w:themeFillShade="D9"/>
            <w:vAlign w:val="center"/>
          </w:tcPr>
          <w:p w14:paraId="3E26A6AB" w14:textId="77777777" w:rsidR="00A33A22" w:rsidRPr="00191EBB" w:rsidRDefault="00A33A22" w:rsidP="003C52BB">
            <w:pPr>
              <w:spacing w:before="40" w:after="40" w:line="240" w:lineRule="auto"/>
              <w:jc w:val="center"/>
              <w:rPr>
                <w:rFonts w:cs="Calibri"/>
                <w:b/>
                <w:bCs/>
                <w:spacing w:val="-12"/>
                <w:sz w:val="20"/>
                <w:szCs w:val="20"/>
              </w:rPr>
            </w:pPr>
            <w:r w:rsidRPr="00191EBB">
              <w:rPr>
                <w:rFonts w:cs="Calibri"/>
                <w:b/>
                <w:bCs/>
                <w:spacing w:val="-12"/>
                <w:sz w:val="20"/>
                <w:szCs w:val="20"/>
              </w:rPr>
              <w:t>Decreto Expansión</w:t>
            </w:r>
          </w:p>
        </w:tc>
        <w:tc>
          <w:tcPr>
            <w:tcW w:w="1418" w:type="dxa"/>
            <w:shd w:val="clear" w:color="auto" w:fill="D9D9D9" w:themeFill="background1" w:themeFillShade="D9"/>
            <w:vAlign w:val="center"/>
          </w:tcPr>
          <w:p w14:paraId="6BD4C662" w14:textId="77777777" w:rsidR="00A33A22" w:rsidRPr="00191EBB" w:rsidRDefault="00A33A22" w:rsidP="003C52BB">
            <w:pPr>
              <w:spacing w:before="40" w:after="40" w:line="240" w:lineRule="auto"/>
              <w:jc w:val="center"/>
              <w:rPr>
                <w:rFonts w:cs="Calibri"/>
                <w:b/>
                <w:bCs/>
                <w:spacing w:val="-12"/>
                <w:sz w:val="20"/>
                <w:szCs w:val="20"/>
              </w:rPr>
            </w:pPr>
            <w:r w:rsidRPr="00191EBB">
              <w:rPr>
                <w:rFonts w:cs="Calibri"/>
                <w:b/>
                <w:bCs/>
                <w:spacing w:val="-12"/>
                <w:sz w:val="20"/>
                <w:szCs w:val="20"/>
              </w:rPr>
              <w:t>Propietario</w:t>
            </w:r>
          </w:p>
        </w:tc>
      </w:tr>
      <w:tr w:rsidR="00A33A22" w:rsidRPr="00191EBB" w14:paraId="6ECD8364" w14:textId="77777777" w:rsidTr="003C52BB">
        <w:trPr>
          <w:jc w:val="center"/>
        </w:trPr>
        <w:tc>
          <w:tcPr>
            <w:tcW w:w="567" w:type="dxa"/>
            <w:vAlign w:val="center"/>
          </w:tcPr>
          <w:p w14:paraId="0A497B66" w14:textId="77777777" w:rsidR="00A33A22" w:rsidRPr="00191EBB" w:rsidRDefault="00A33A22" w:rsidP="003C52BB">
            <w:pPr>
              <w:spacing w:before="40" w:after="40" w:line="240" w:lineRule="auto"/>
              <w:jc w:val="center"/>
              <w:rPr>
                <w:rFonts w:cs="Calibri"/>
                <w:spacing w:val="-12"/>
                <w:sz w:val="20"/>
                <w:szCs w:val="20"/>
              </w:rPr>
            </w:pPr>
            <w:r w:rsidRPr="00191EBB">
              <w:rPr>
                <w:rFonts w:cs="Calibri"/>
                <w:color w:val="000000"/>
                <w:spacing w:val="-12"/>
                <w:sz w:val="20"/>
                <w:szCs w:val="20"/>
              </w:rPr>
              <w:t>1</w:t>
            </w:r>
          </w:p>
        </w:tc>
        <w:tc>
          <w:tcPr>
            <w:tcW w:w="10490" w:type="dxa"/>
            <w:vAlign w:val="center"/>
          </w:tcPr>
          <w:p w14:paraId="400F9F05" w14:textId="77777777" w:rsidR="00A33A22" w:rsidRPr="00191EBB" w:rsidRDefault="00A33A22" w:rsidP="003C52BB">
            <w:pPr>
              <w:spacing w:before="40" w:after="40" w:line="240" w:lineRule="auto"/>
              <w:rPr>
                <w:rFonts w:cs="Calibri"/>
                <w:spacing w:val="-12"/>
                <w:sz w:val="20"/>
                <w:szCs w:val="20"/>
              </w:rPr>
            </w:pPr>
            <w:r w:rsidRPr="00191EBB">
              <w:rPr>
                <w:rFonts w:cs="Calibri"/>
                <w:spacing w:val="-12"/>
                <w:sz w:val="20"/>
                <w:szCs w:val="20"/>
              </w:rPr>
              <w:t>Obra de ampliación Tendido Segundo Circuito Línea 2x220 kV Encuentro - Lagunas</w:t>
            </w:r>
          </w:p>
        </w:tc>
        <w:tc>
          <w:tcPr>
            <w:tcW w:w="1134" w:type="dxa"/>
            <w:vAlign w:val="center"/>
          </w:tcPr>
          <w:p w14:paraId="325447AD" w14:textId="77777777" w:rsidR="00A33A22" w:rsidRPr="00191EBB" w:rsidRDefault="00A33A22" w:rsidP="003C52BB">
            <w:pPr>
              <w:spacing w:before="40" w:after="40" w:line="240" w:lineRule="auto"/>
              <w:jc w:val="center"/>
              <w:rPr>
                <w:rFonts w:cs="Calibri"/>
                <w:spacing w:val="-12"/>
                <w:sz w:val="20"/>
                <w:szCs w:val="20"/>
              </w:rPr>
            </w:pPr>
            <w:r w:rsidRPr="00191EBB">
              <w:rPr>
                <w:rFonts w:cs="Calibri"/>
                <w:spacing w:val="-12"/>
                <w:sz w:val="20"/>
                <w:szCs w:val="20"/>
              </w:rPr>
              <w:t>D201-14</w:t>
            </w:r>
          </w:p>
        </w:tc>
        <w:tc>
          <w:tcPr>
            <w:tcW w:w="1418" w:type="dxa"/>
            <w:vAlign w:val="center"/>
          </w:tcPr>
          <w:p w14:paraId="664E8EEA" w14:textId="77777777" w:rsidR="00A33A22" w:rsidRPr="00191EBB" w:rsidRDefault="00A33A22" w:rsidP="003C52BB">
            <w:pPr>
              <w:spacing w:before="40" w:after="40" w:line="240" w:lineRule="auto"/>
              <w:jc w:val="center"/>
              <w:rPr>
                <w:rFonts w:cs="Calibri"/>
                <w:spacing w:val="-12"/>
                <w:sz w:val="20"/>
                <w:szCs w:val="20"/>
              </w:rPr>
            </w:pPr>
            <w:r w:rsidRPr="00191EBB">
              <w:rPr>
                <w:rFonts w:cs="Calibri"/>
                <w:spacing w:val="-12"/>
                <w:sz w:val="20"/>
                <w:szCs w:val="20"/>
              </w:rPr>
              <w:t>Interchile</w:t>
            </w:r>
          </w:p>
        </w:tc>
      </w:tr>
      <w:tr w:rsidR="00A33A22" w:rsidRPr="00191EBB" w14:paraId="264E7CB8" w14:textId="77777777" w:rsidTr="003C52BB">
        <w:trPr>
          <w:jc w:val="center"/>
        </w:trPr>
        <w:tc>
          <w:tcPr>
            <w:tcW w:w="567" w:type="dxa"/>
            <w:vAlign w:val="center"/>
          </w:tcPr>
          <w:p w14:paraId="5D36921B" w14:textId="77777777" w:rsidR="00A33A22" w:rsidRPr="00191EBB" w:rsidRDefault="00A33A22" w:rsidP="003C52BB">
            <w:pPr>
              <w:spacing w:before="40" w:after="40" w:line="240" w:lineRule="auto"/>
              <w:jc w:val="center"/>
              <w:rPr>
                <w:rFonts w:cs="Calibri"/>
                <w:spacing w:val="-12"/>
                <w:sz w:val="20"/>
                <w:szCs w:val="20"/>
              </w:rPr>
            </w:pPr>
            <w:r w:rsidRPr="00191EBB">
              <w:rPr>
                <w:rFonts w:cs="Calibri"/>
                <w:color w:val="000000"/>
                <w:spacing w:val="-12"/>
                <w:sz w:val="20"/>
                <w:szCs w:val="20"/>
              </w:rPr>
              <w:t>2</w:t>
            </w:r>
          </w:p>
        </w:tc>
        <w:tc>
          <w:tcPr>
            <w:tcW w:w="10490" w:type="dxa"/>
            <w:vAlign w:val="center"/>
          </w:tcPr>
          <w:p w14:paraId="118FFC8A" w14:textId="77777777" w:rsidR="00A33A22" w:rsidRPr="00191EBB" w:rsidRDefault="00A33A22" w:rsidP="003C52BB">
            <w:pPr>
              <w:spacing w:before="40" w:after="40" w:line="240" w:lineRule="auto"/>
              <w:rPr>
                <w:rFonts w:cs="Calibri"/>
                <w:spacing w:val="-12"/>
                <w:sz w:val="20"/>
                <w:szCs w:val="20"/>
              </w:rPr>
            </w:pPr>
            <w:r w:rsidRPr="00191EBB">
              <w:rPr>
                <w:rFonts w:cs="Calibri"/>
                <w:spacing w:val="-12"/>
                <w:sz w:val="20"/>
                <w:szCs w:val="20"/>
              </w:rPr>
              <w:t>Obra de tendido segundo circuito línea 2x220 kV Cardones – Diego de Almagro, con secc. En S/E Carrera Pinto</w:t>
            </w:r>
          </w:p>
        </w:tc>
        <w:tc>
          <w:tcPr>
            <w:tcW w:w="1134" w:type="dxa"/>
            <w:vAlign w:val="center"/>
          </w:tcPr>
          <w:p w14:paraId="5BD7EEBB" w14:textId="77777777" w:rsidR="00A33A22" w:rsidRPr="00191EBB" w:rsidRDefault="00A33A22" w:rsidP="003C52BB">
            <w:pPr>
              <w:spacing w:before="40" w:after="40" w:line="240" w:lineRule="auto"/>
              <w:jc w:val="center"/>
              <w:rPr>
                <w:rFonts w:cs="Calibri"/>
                <w:spacing w:val="-12"/>
                <w:sz w:val="20"/>
                <w:szCs w:val="20"/>
              </w:rPr>
            </w:pPr>
            <w:r w:rsidRPr="00191EBB">
              <w:rPr>
                <w:rFonts w:cs="Calibri"/>
                <w:spacing w:val="-12"/>
                <w:sz w:val="20"/>
                <w:szCs w:val="20"/>
              </w:rPr>
              <w:t>D201-14</w:t>
            </w:r>
          </w:p>
        </w:tc>
        <w:tc>
          <w:tcPr>
            <w:tcW w:w="1418" w:type="dxa"/>
            <w:vAlign w:val="center"/>
          </w:tcPr>
          <w:p w14:paraId="05EE6968" w14:textId="77777777" w:rsidR="00A33A22" w:rsidRPr="00191EBB" w:rsidRDefault="00A33A22" w:rsidP="003C52BB">
            <w:pPr>
              <w:spacing w:before="40" w:after="40" w:line="240" w:lineRule="auto"/>
              <w:jc w:val="center"/>
              <w:rPr>
                <w:rFonts w:cs="Calibri"/>
                <w:spacing w:val="-12"/>
                <w:sz w:val="20"/>
                <w:szCs w:val="20"/>
              </w:rPr>
            </w:pPr>
            <w:r w:rsidRPr="00191EBB">
              <w:rPr>
                <w:rFonts w:cs="Calibri"/>
                <w:spacing w:val="-12"/>
                <w:sz w:val="20"/>
                <w:szCs w:val="20"/>
              </w:rPr>
              <w:t>Eletrans</w:t>
            </w:r>
          </w:p>
        </w:tc>
      </w:tr>
      <w:tr w:rsidR="00A33A22" w:rsidRPr="00191EBB" w14:paraId="34E4FC84" w14:textId="77777777" w:rsidTr="003C52BB">
        <w:trPr>
          <w:jc w:val="center"/>
        </w:trPr>
        <w:tc>
          <w:tcPr>
            <w:tcW w:w="567" w:type="dxa"/>
            <w:vAlign w:val="center"/>
          </w:tcPr>
          <w:p w14:paraId="2C1372B1" w14:textId="77777777" w:rsidR="00A33A22" w:rsidRPr="00191EBB" w:rsidRDefault="00A33A22" w:rsidP="003C52BB">
            <w:pPr>
              <w:spacing w:before="40" w:after="40" w:line="240" w:lineRule="auto"/>
              <w:jc w:val="center"/>
              <w:rPr>
                <w:rFonts w:cs="Calibri"/>
                <w:spacing w:val="-12"/>
                <w:sz w:val="20"/>
                <w:szCs w:val="20"/>
              </w:rPr>
            </w:pPr>
            <w:r w:rsidRPr="00191EBB">
              <w:rPr>
                <w:rFonts w:cs="Calibri"/>
                <w:color w:val="000000"/>
                <w:spacing w:val="-12"/>
                <w:sz w:val="20"/>
                <w:szCs w:val="20"/>
              </w:rPr>
              <w:t>3</w:t>
            </w:r>
          </w:p>
        </w:tc>
        <w:tc>
          <w:tcPr>
            <w:tcW w:w="10490" w:type="dxa"/>
            <w:vAlign w:val="center"/>
          </w:tcPr>
          <w:p w14:paraId="0123AD99" w14:textId="77777777" w:rsidR="00A33A22" w:rsidRPr="00191EBB" w:rsidRDefault="00A33A22" w:rsidP="003C52BB">
            <w:pPr>
              <w:spacing w:before="40" w:after="40" w:line="240" w:lineRule="auto"/>
              <w:rPr>
                <w:rFonts w:cs="Calibri"/>
                <w:spacing w:val="-12"/>
                <w:sz w:val="20"/>
                <w:szCs w:val="20"/>
              </w:rPr>
            </w:pPr>
            <w:r w:rsidRPr="00191EBB">
              <w:rPr>
                <w:rFonts w:cs="Calibri"/>
                <w:spacing w:val="-12"/>
                <w:sz w:val="20"/>
                <w:szCs w:val="20"/>
              </w:rPr>
              <w:t>Tendido segundo circuito línea 2x220 kV Ciruelos - Pichirropulli</w:t>
            </w:r>
          </w:p>
        </w:tc>
        <w:tc>
          <w:tcPr>
            <w:tcW w:w="1134" w:type="dxa"/>
            <w:vAlign w:val="center"/>
          </w:tcPr>
          <w:p w14:paraId="50C76A06" w14:textId="77777777" w:rsidR="00A33A22" w:rsidRPr="00191EBB" w:rsidRDefault="00A33A22" w:rsidP="003C52BB">
            <w:pPr>
              <w:spacing w:before="40" w:after="40" w:line="240" w:lineRule="auto"/>
              <w:jc w:val="center"/>
              <w:rPr>
                <w:rFonts w:cs="Calibri"/>
                <w:spacing w:val="-12"/>
                <w:sz w:val="20"/>
                <w:szCs w:val="20"/>
              </w:rPr>
            </w:pPr>
            <w:r w:rsidRPr="00191EBB">
              <w:rPr>
                <w:rFonts w:cs="Calibri"/>
                <w:spacing w:val="-12"/>
                <w:sz w:val="20"/>
                <w:szCs w:val="20"/>
              </w:rPr>
              <w:t>D201-14</w:t>
            </w:r>
          </w:p>
        </w:tc>
        <w:tc>
          <w:tcPr>
            <w:tcW w:w="1418" w:type="dxa"/>
            <w:vAlign w:val="center"/>
          </w:tcPr>
          <w:p w14:paraId="0D3B3ECD" w14:textId="77777777" w:rsidR="00A33A22" w:rsidRPr="00191EBB" w:rsidRDefault="00A33A22" w:rsidP="003C52BB">
            <w:pPr>
              <w:spacing w:before="40" w:after="40" w:line="240" w:lineRule="auto"/>
              <w:jc w:val="center"/>
              <w:rPr>
                <w:rFonts w:cs="Calibri"/>
                <w:spacing w:val="-12"/>
                <w:sz w:val="20"/>
                <w:szCs w:val="20"/>
              </w:rPr>
            </w:pPr>
            <w:r w:rsidRPr="00191EBB">
              <w:rPr>
                <w:rFonts w:cs="Calibri"/>
                <w:spacing w:val="-12"/>
                <w:sz w:val="20"/>
                <w:szCs w:val="20"/>
              </w:rPr>
              <w:t>Eletrans</w:t>
            </w:r>
          </w:p>
        </w:tc>
      </w:tr>
      <w:tr w:rsidR="00A33A22" w:rsidRPr="00191EBB" w14:paraId="7D7B40C6" w14:textId="77777777" w:rsidTr="003C52BB">
        <w:trPr>
          <w:jc w:val="center"/>
        </w:trPr>
        <w:tc>
          <w:tcPr>
            <w:tcW w:w="567" w:type="dxa"/>
            <w:vAlign w:val="center"/>
          </w:tcPr>
          <w:p w14:paraId="4FB816B7" w14:textId="77777777" w:rsidR="00A33A22" w:rsidRPr="00191EBB" w:rsidRDefault="00A33A22" w:rsidP="003C52BB">
            <w:pPr>
              <w:spacing w:before="40" w:after="40" w:line="240" w:lineRule="auto"/>
              <w:jc w:val="center"/>
              <w:rPr>
                <w:rFonts w:cs="Calibri"/>
                <w:spacing w:val="-12"/>
                <w:sz w:val="20"/>
                <w:szCs w:val="20"/>
              </w:rPr>
            </w:pPr>
            <w:r w:rsidRPr="00191EBB">
              <w:rPr>
                <w:rFonts w:cs="Calibri"/>
                <w:color w:val="000000"/>
                <w:spacing w:val="-12"/>
                <w:sz w:val="20"/>
                <w:szCs w:val="20"/>
              </w:rPr>
              <w:t>4</w:t>
            </w:r>
          </w:p>
        </w:tc>
        <w:tc>
          <w:tcPr>
            <w:tcW w:w="10490" w:type="dxa"/>
            <w:vAlign w:val="center"/>
          </w:tcPr>
          <w:p w14:paraId="644C3E40" w14:textId="77777777" w:rsidR="00A33A22" w:rsidRPr="00191EBB" w:rsidRDefault="00A33A22" w:rsidP="003C52BB">
            <w:pPr>
              <w:spacing w:before="40" w:after="40" w:line="240" w:lineRule="auto"/>
              <w:rPr>
                <w:rFonts w:cs="Calibri"/>
                <w:spacing w:val="-12"/>
                <w:sz w:val="20"/>
                <w:szCs w:val="20"/>
              </w:rPr>
            </w:pPr>
            <w:r w:rsidRPr="00191EBB">
              <w:rPr>
                <w:rFonts w:cs="Calibri"/>
                <w:spacing w:val="-12"/>
                <w:sz w:val="20"/>
                <w:szCs w:val="20"/>
              </w:rPr>
              <w:t>Obra de ampliación S/E San Andrés 220 kV</w:t>
            </w:r>
          </w:p>
        </w:tc>
        <w:tc>
          <w:tcPr>
            <w:tcW w:w="1134" w:type="dxa"/>
            <w:vAlign w:val="center"/>
          </w:tcPr>
          <w:p w14:paraId="5BFCF9EF" w14:textId="77777777" w:rsidR="00A33A22" w:rsidRPr="00191EBB" w:rsidRDefault="00A33A22" w:rsidP="003C52BB">
            <w:pPr>
              <w:spacing w:before="40" w:after="40" w:line="240" w:lineRule="auto"/>
              <w:jc w:val="center"/>
              <w:rPr>
                <w:rFonts w:cs="Calibri"/>
                <w:spacing w:val="-12"/>
                <w:sz w:val="20"/>
                <w:szCs w:val="20"/>
              </w:rPr>
            </w:pPr>
            <w:r w:rsidRPr="00191EBB">
              <w:rPr>
                <w:rFonts w:cs="Calibri"/>
                <w:spacing w:val="-12"/>
                <w:sz w:val="20"/>
                <w:szCs w:val="20"/>
              </w:rPr>
              <w:t>D158-15</w:t>
            </w:r>
          </w:p>
        </w:tc>
        <w:tc>
          <w:tcPr>
            <w:tcW w:w="1418" w:type="dxa"/>
            <w:vAlign w:val="center"/>
          </w:tcPr>
          <w:p w14:paraId="130D3A1E" w14:textId="77777777" w:rsidR="00A33A22" w:rsidRPr="00191EBB" w:rsidRDefault="00A33A22" w:rsidP="003C52BB">
            <w:pPr>
              <w:spacing w:before="40" w:after="40" w:line="240" w:lineRule="auto"/>
              <w:jc w:val="center"/>
              <w:rPr>
                <w:rFonts w:cs="Calibri"/>
                <w:spacing w:val="-12"/>
                <w:sz w:val="20"/>
                <w:szCs w:val="20"/>
              </w:rPr>
            </w:pPr>
            <w:r w:rsidRPr="00191EBB">
              <w:rPr>
                <w:rFonts w:cs="Calibri"/>
                <w:spacing w:val="-12"/>
                <w:sz w:val="20"/>
                <w:szCs w:val="20"/>
              </w:rPr>
              <w:t>SATT</w:t>
            </w:r>
          </w:p>
        </w:tc>
      </w:tr>
      <w:tr w:rsidR="00A33A22" w:rsidRPr="00191EBB" w14:paraId="49A340AB" w14:textId="77777777" w:rsidTr="003C52BB">
        <w:trPr>
          <w:jc w:val="center"/>
        </w:trPr>
        <w:tc>
          <w:tcPr>
            <w:tcW w:w="567" w:type="dxa"/>
            <w:vAlign w:val="center"/>
          </w:tcPr>
          <w:p w14:paraId="7C70EEC0" w14:textId="77777777" w:rsidR="00A33A22" w:rsidRPr="00191EBB" w:rsidRDefault="00A33A22" w:rsidP="003C52BB">
            <w:pPr>
              <w:spacing w:before="40" w:after="40" w:line="240" w:lineRule="auto"/>
              <w:jc w:val="center"/>
              <w:rPr>
                <w:rFonts w:cs="Calibri"/>
                <w:spacing w:val="-12"/>
                <w:sz w:val="20"/>
                <w:szCs w:val="20"/>
              </w:rPr>
            </w:pPr>
            <w:r w:rsidRPr="00191EBB">
              <w:rPr>
                <w:rFonts w:cs="Calibri"/>
                <w:color w:val="000000"/>
                <w:spacing w:val="-12"/>
                <w:sz w:val="20"/>
                <w:szCs w:val="20"/>
              </w:rPr>
              <w:t>5</w:t>
            </w:r>
          </w:p>
        </w:tc>
        <w:tc>
          <w:tcPr>
            <w:tcW w:w="10490" w:type="dxa"/>
            <w:vAlign w:val="center"/>
          </w:tcPr>
          <w:p w14:paraId="138441A6" w14:textId="77777777" w:rsidR="00A33A22" w:rsidRPr="00191EBB" w:rsidRDefault="00A33A22" w:rsidP="003C52BB">
            <w:pPr>
              <w:spacing w:before="40" w:after="40" w:line="240" w:lineRule="auto"/>
              <w:rPr>
                <w:rFonts w:cs="Calibri"/>
                <w:spacing w:val="-12"/>
                <w:sz w:val="20"/>
                <w:szCs w:val="20"/>
              </w:rPr>
            </w:pPr>
            <w:r w:rsidRPr="00191EBB">
              <w:rPr>
                <w:rFonts w:cs="Calibri"/>
                <w:spacing w:val="-12"/>
                <w:sz w:val="20"/>
                <w:szCs w:val="20"/>
              </w:rPr>
              <w:t>Barra seccionadora en Subestación Tarapacá 220 kV</w:t>
            </w:r>
          </w:p>
        </w:tc>
        <w:tc>
          <w:tcPr>
            <w:tcW w:w="1134" w:type="dxa"/>
            <w:vAlign w:val="center"/>
          </w:tcPr>
          <w:p w14:paraId="53D7478F" w14:textId="77777777" w:rsidR="00A33A22" w:rsidRPr="00191EBB" w:rsidRDefault="00A33A22" w:rsidP="003C52BB">
            <w:pPr>
              <w:spacing w:before="40" w:after="40" w:line="240" w:lineRule="auto"/>
              <w:jc w:val="center"/>
              <w:rPr>
                <w:rFonts w:cs="Calibri"/>
                <w:spacing w:val="-12"/>
                <w:sz w:val="20"/>
                <w:szCs w:val="20"/>
              </w:rPr>
            </w:pPr>
            <w:r w:rsidRPr="00191EBB">
              <w:rPr>
                <w:rFonts w:cs="Calibri"/>
                <w:spacing w:val="-12"/>
                <w:sz w:val="20"/>
                <w:szCs w:val="20"/>
              </w:rPr>
              <w:t>D082-12</w:t>
            </w:r>
          </w:p>
        </w:tc>
        <w:tc>
          <w:tcPr>
            <w:tcW w:w="1418" w:type="dxa"/>
            <w:vAlign w:val="center"/>
          </w:tcPr>
          <w:p w14:paraId="04E11304" w14:textId="77777777" w:rsidR="00A33A22" w:rsidRPr="00191EBB" w:rsidRDefault="00A33A22" w:rsidP="003C52BB">
            <w:pPr>
              <w:spacing w:before="40" w:after="40" w:line="240" w:lineRule="auto"/>
              <w:jc w:val="center"/>
              <w:rPr>
                <w:rFonts w:cs="Calibri"/>
                <w:spacing w:val="-12"/>
                <w:sz w:val="20"/>
                <w:szCs w:val="20"/>
              </w:rPr>
            </w:pPr>
            <w:r w:rsidRPr="00191EBB">
              <w:rPr>
                <w:rFonts w:cs="Calibri"/>
                <w:spacing w:val="-12"/>
                <w:sz w:val="20"/>
                <w:szCs w:val="20"/>
              </w:rPr>
              <w:t>Transelec</w:t>
            </w:r>
          </w:p>
        </w:tc>
      </w:tr>
      <w:tr w:rsidR="00A33A22" w:rsidRPr="00191EBB" w14:paraId="31423E83" w14:textId="77777777" w:rsidTr="003C52BB">
        <w:trPr>
          <w:jc w:val="center"/>
        </w:trPr>
        <w:tc>
          <w:tcPr>
            <w:tcW w:w="567" w:type="dxa"/>
            <w:vAlign w:val="center"/>
          </w:tcPr>
          <w:p w14:paraId="16F4AD26" w14:textId="77777777" w:rsidR="00A33A22" w:rsidRPr="00191EBB" w:rsidRDefault="00A33A22" w:rsidP="003C52BB">
            <w:pPr>
              <w:spacing w:before="40" w:after="40" w:line="240" w:lineRule="auto"/>
              <w:jc w:val="center"/>
              <w:rPr>
                <w:rFonts w:cs="Calibri"/>
                <w:spacing w:val="-12"/>
                <w:sz w:val="20"/>
                <w:szCs w:val="20"/>
              </w:rPr>
            </w:pPr>
            <w:r w:rsidRPr="00191EBB">
              <w:rPr>
                <w:rFonts w:cs="Calibri"/>
                <w:color w:val="000000"/>
                <w:spacing w:val="-12"/>
                <w:sz w:val="20"/>
                <w:szCs w:val="20"/>
              </w:rPr>
              <w:t>6</w:t>
            </w:r>
          </w:p>
        </w:tc>
        <w:tc>
          <w:tcPr>
            <w:tcW w:w="10490" w:type="dxa"/>
            <w:vAlign w:val="center"/>
          </w:tcPr>
          <w:p w14:paraId="43A35A27" w14:textId="77777777" w:rsidR="00A33A22" w:rsidRPr="00191EBB" w:rsidRDefault="00A33A22" w:rsidP="003C52BB">
            <w:pPr>
              <w:spacing w:before="40" w:after="40" w:line="240" w:lineRule="auto"/>
              <w:rPr>
                <w:rFonts w:cs="Calibri"/>
                <w:spacing w:val="-12"/>
                <w:sz w:val="20"/>
                <w:szCs w:val="20"/>
              </w:rPr>
            </w:pPr>
            <w:r w:rsidRPr="00191EBB">
              <w:rPr>
                <w:rFonts w:cs="Calibri"/>
                <w:spacing w:val="-12"/>
                <w:sz w:val="20"/>
                <w:szCs w:val="20"/>
              </w:rPr>
              <w:t>Obra de ampliación S/E Seccionadora Nueva Encuentro 220 kV</w:t>
            </w:r>
          </w:p>
        </w:tc>
        <w:tc>
          <w:tcPr>
            <w:tcW w:w="1134" w:type="dxa"/>
            <w:vAlign w:val="center"/>
          </w:tcPr>
          <w:p w14:paraId="6CC671B7" w14:textId="77777777" w:rsidR="00A33A22" w:rsidRPr="00191EBB" w:rsidRDefault="00A33A22" w:rsidP="003C52BB">
            <w:pPr>
              <w:spacing w:before="40" w:after="40" w:line="240" w:lineRule="auto"/>
              <w:jc w:val="center"/>
              <w:rPr>
                <w:rFonts w:cs="Calibri"/>
                <w:spacing w:val="-12"/>
                <w:sz w:val="20"/>
                <w:szCs w:val="20"/>
              </w:rPr>
            </w:pPr>
            <w:r w:rsidRPr="00191EBB">
              <w:rPr>
                <w:rFonts w:cs="Calibri"/>
                <w:spacing w:val="-12"/>
                <w:sz w:val="20"/>
                <w:szCs w:val="20"/>
              </w:rPr>
              <w:t>D310-13</w:t>
            </w:r>
          </w:p>
        </w:tc>
        <w:tc>
          <w:tcPr>
            <w:tcW w:w="1418" w:type="dxa"/>
            <w:vAlign w:val="center"/>
          </w:tcPr>
          <w:p w14:paraId="14057ABC" w14:textId="77777777" w:rsidR="00A33A22" w:rsidRPr="00191EBB" w:rsidRDefault="00A33A22" w:rsidP="003C52BB">
            <w:pPr>
              <w:spacing w:before="40" w:after="40" w:line="240" w:lineRule="auto"/>
              <w:jc w:val="center"/>
              <w:rPr>
                <w:rFonts w:cs="Calibri"/>
                <w:spacing w:val="-12"/>
                <w:sz w:val="20"/>
                <w:szCs w:val="20"/>
              </w:rPr>
            </w:pPr>
            <w:r w:rsidRPr="00191EBB">
              <w:rPr>
                <w:rFonts w:cs="Calibri"/>
                <w:spacing w:val="-12"/>
                <w:sz w:val="20"/>
                <w:szCs w:val="20"/>
              </w:rPr>
              <w:t>Transelec</w:t>
            </w:r>
          </w:p>
        </w:tc>
      </w:tr>
      <w:tr w:rsidR="00A33A22" w:rsidRPr="00191EBB" w14:paraId="42ADDF68" w14:textId="77777777" w:rsidTr="003C52BB">
        <w:trPr>
          <w:jc w:val="center"/>
        </w:trPr>
        <w:tc>
          <w:tcPr>
            <w:tcW w:w="567" w:type="dxa"/>
            <w:vAlign w:val="center"/>
          </w:tcPr>
          <w:p w14:paraId="5564F49D" w14:textId="77777777" w:rsidR="00A33A22" w:rsidRPr="00191EBB" w:rsidRDefault="00A33A22" w:rsidP="003C52BB">
            <w:pPr>
              <w:spacing w:before="40" w:after="40" w:line="240" w:lineRule="auto"/>
              <w:jc w:val="center"/>
              <w:rPr>
                <w:rFonts w:cs="Calibri"/>
                <w:spacing w:val="-12"/>
                <w:sz w:val="20"/>
                <w:szCs w:val="20"/>
              </w:rPr>
            </w:pPr>
            <w:r w:rsidRPr="00191EBB">
              <w:rPr>
                <w:rFonts w:cs="Calibri"/>
                <w:color w:val="000000"/>
                <w:spacing w:val="-12"/>
                <w:sz w:val="20"/>
                <w:szCs w:val="20"/>
              </w:rPr>
              <w:t>7</w:t>
            </w:r>
          </w:p>
        </w:tc>
        <w:tc>
          <w:tcPr>
            <w:tcW w:w="10490" w:type="dxa"/>
            <w:vAlign w:val="center"/>
          </w:tcPr>
          <w:p w14:paraId="1D0920C0" w14:textId="77777777" w:rsidR="00A33A22" w:rsidRPr="00191EBB" w:rsidRDefault="00A33A22" w:rsidP="003C52BB">
            <w:pPr>
              <w:spacing w:before="40" w:after="40" w:line="240" w:lineRule="auto"/>
              <w:rPr>
                <w:rFonts w:cs="Calibri"/>
                <w:spacing w:val="-12"/>
                <w:sz w:val="20"/>
                <w:szCs w:val="20"/>
              </w:rPr>
            </w:pPr>
            <w:r w:rsidRPr="00191EBB">
              <w:rPr>
                <w:rFonts w:cs="Calibri"/>
                <w:spacing w:val="-12"/>
                <w:sz w:val="20"/>
                <w:szCs w:val="20"/>
              </w:rPr>
              <w:t>Obra de ampliación cambio interruptor paño acoplador 52JR S/E Alto Jahuel</w:t>
            </w:r>
          </w:p>
        </w:tc>
        <w:tc>
          <w:tcPr>
            <w:tcW w:w="1134" w:type="dxa"/>
            <w:vAlign w:val="center"/>
          </w:tcPr>
          <w:p w14:paraId="023A26F1" w14:textId="77777777" w:rsidR="00A33A22" w:rsidRPr="00191EBB" w:rsidRDefault="00A33A22" w:rsidP="003C52BB">
            <w:pPr>
              <w:spacing w:before="40" w:after="40" w:line="240" w:lineRule="auto"/>
              <w:jc w:val="center"/>
              <w:rPr>
                <w:rFonts w:cs="Calibri"/>
                <w:spacing w:val="-12"/>
                <w:sz w:val="20"/>
                <w:szCs w:val="20"/>
              </w:rPr>
            </w:pPr>
            <w:r w:rsidRPr="00191EBB">
              <w:rPr>
                <w:rFonts w:cs="Calibri"/>
                <w:spacing w:val="-12"/>
                <w:sz w:val="20"/>
                <w:szCs w:val="20"/>
              </w:rPr>
              <w:t>D310-13</w:t>
            </w:r>
          </w:p>
        </w:tc>
        <w:tc>
          <w:tcPr>
            <w:tcW w:w="1418" w:type="dxa"/>
            <w:vAlign w:val="center"/>
          </w:tcPr>
          <w:p w14:paraId="0BF4A014" w14:textId="77777777" w:rsidR="00A33A22" w:rsidRPr="00191EBB" w:rsidRDefault="00A33A22" w:rsidP="003C52BB">
            <w:pPr>
              <w:spacing w:before="40" w:after="40" w:line="240" w:lineRule="auto"/>
              <w:jc w:val="center"/>
              <w:rPr>
                <w:rFonts w:cs="Calibri"/>
                <w:spacing w:val="-12"/>
                <w:sz w:val="20"/>
                <w:szCs w:val="20"/>
              </w:rPr>
            </w:pPr>
            <w:r w:rsidRPr="00191EBB">
              <w:rPr>
                <w:rFonts w:cs="Calibri"/>
                <w:spacing w:val="-12"/>
                <w:sz w:val="20"/>
                <w:szCs w:val="20"/>
              </w:rPr>
              <w:t>Transelec</w:t>
            </w:r>
          </w:p>
        </w:tc>
      </w:tr>
      <w:tr w:rsidR="00A33A22" w:rsidRPr="00191EBB" w14:paraId="26834F61" w14:textId="77777777" w:rsidTr="003C52BB">
        <w:trPr>
          <w:jc w:val="center"/>
        </w:trPr>
        <w:tc>
          <w:tcPr>
            <w:tcW w:w="567" w:type="dxa"/>
            <w:vAlign w:val="center"/>
          </w:tcPr>
          <w:p w14:paraId="236075D6" w14:textId="77777777" w:rsidR="00A33A22" w:rsidRPr="00191EBB" w:rsidRDefault="00A33A22" w:rsidP="003C52BB">
            <w:pPr>
              <w:spacing w:before="40" w:after="40" w:line="240" w:lineRule="auto"/>
              <w:jc w:val="center"/>
              <w:rPr>
                <w:rFonts w:cs="Calibri"/>
                <w:spacing w:val="-12"/>
                <w:sz w:val="20"/>
                <w:szCs w:val="20"/>
              </w:rPr>
            </w:pPr>
            <w:r w:rsidRPr="00191EBB">
              <w:rPr>
                <w:rFonts w:cs="Calibri"/>
                <w:color w:val="000000"/>
                <w:spacing w:val="-12"/>
                <w:sz w:val="20"/>
                <w:szCs w:val="20"/>
              </w:rPr>
              <w:t>8</w:t>
            </w:r>
          </w:p>
        </w:tc>
        <w:tc>
          <w:tcPr>
            <w:tcW w:w="10490" w:type="dxa"/>
            <w:vAlign w:val="center"/>
          </w:tcPr>
          <w:p w14:paraId="46954DDC" w14:textId="77777777" w:rsidR="00A33A22" w:rsidRPr="00191EBB" w:rsidRDefault="00A33A22" w:rsidP="003C52BB">
            <w:pPr>
              <w:spacing w:before="40" w:after="40" w:line="240" w:lineRule="auto"/>
              <w:rPr>
                <w:rFonts w:cs="Calibri"/>
                <w:spacing w:val="-12"/>
                <w:sz w:val="20"/>
                <w:szCs w:val="20"/>
              </w:rPr>
            </w:pPr>
            <w:r w:rsidRPr="00191EBB">
              <w:rPr>
                <w:rFonts w:cs="Calibri"/>
                <w:spacing w:val="-12"/>
                <w:sz w:val="20"/>
                <w:szCs w:val="20"/>
              </w:rPr>
              <w:t>Obra de ampliación S/E Cardones 220 kV (Dex-310-2013)</w:t>
            </w:r>
          </w:p>
        </w:tc>
        <w:tc>
          <w:tcPr>
            <w:tcW w:w="1134" w:type="dxa"/>
            <w:vAlign w:val="center"/>
          </w:tcPr>
          <w:p w14:paraId="68D8D6D2" w14:textId="77777777" w:rsidR="00A33A22" w:rsidRPr="00191EBB" w:rsidRDefault="00A33A22" w:rsidP="003C52BB">
            <w:pPr>
              <w:spacing w:before="40" w:after="40" w:line="240" w:lineRule="auto"/>
              <w:jc w:val="center"/>
              <w:rPr>
                <w:rFonts w:cs="Calibri"/>
                <w:spacing w:val="-12"/>
                <w:sz w:val="20"/>
                <w:szCs w:val="20"/>
              </w:rPr>
            </w:pPr>
            <w:r w:rsidRPr="00191EBB">
              <w:rPr>
                <w:rFonts w:cs="Calibri"/>
                <w:spacing w:val="-12"/>
                <w:sz w:val="20"/>
                <w:szCs w:val="20"/>
              </w:rPr>
              <w:t>D310-13</w:t>
            </w:r>
          </w:p>
        </w:tc>
        <w:tc>
          <w:tcPr>
            <w:tcW w:w="1418" w:type="dxa"/>
            <w:vAlign w:val="center"/>
          </w:tcPr>
          <w:p w14:paraId="61B637B0" w14:textId="77777777" w:rsidR="00A33A22" w:rsidRPr="00191EBB" w:rsidRDefault="00A33A22" w:rsidP="003C52BB">
            <w:pPr>
              <w:spacing w:before="40" w:after="40" w:line="240" w:lineRule="auto"/>
              <w:jc w:val="center"/>
              <w:rPr>
                <w:rFonts w:cs="Calibri"/>
                <w:spacing w:val="-12"/>
                <w:sz w:val="20"/>
                <w:szCs w:val="20"/>
              </w:rPr>
            </w:pPr>
            <w:r w:rsidRPr="00191EBB">
              <w:rPr>
                <w:rFonts w:cs="Calibri"/>
                <w:spacing w:val="-12"/>
                <w:sz w:val="20"/>
                <w:szCs w:val="20"/>
              </w:rPr>
              <w:t>Transelec</w:t>
            </w:r>
          </w:p>
        </w:tc>
      </w:tr>
      <w:tr w:rsidR="00A33A22" w:rsidRPr="00191EBB" w14:paraId="2BA6BD2C" w14:textId="77777777" w:rsidTr="003C52BB">
        <w:trPr>
          <w:jc w:val="center"/>
        </w:trPr>
        <w:tc>
          <w:tcPr>
            <w:tcW w:w="567" w:type="dxa"/>
            <w:vAlign w:val="center"/>
          </w:tcPr>
          <w:p w14:paraId="1688FA0F" w14:textId="77777777" w:rsidR="00A33A22" w:rsidRPr="00191EBB" w:rsidRDefault="00A33A22" w:rsidP="003C52BB">
            <w:pPr>
              <w:spacing w:before="40" w:after="40" w:line="240" w:lineRule="auto"/>
              <w:jc w:val="center"/>
              <w:rPr>
                <w:rFonts w:cs="Calibri"/>
                <w:spacing w:val="-12"/>
                <w:sz w:val="20"/>
                <w:szCs w:val="20"/>
              </w:rPr>
            </w:pPr>
            <w:r w:rsidRPr="00191EBB">
              <w:rPr>
                <w:rFonts w:cs="Calibri"/>
                <w:color w:val="000000"/>
                <w:spacing w:val="-12"/>
                <w:sz w:val="20"/>
                <w:szCs w:val="20"/>
              </w:rPr>
              <w:t>9</w:t>
            </w:r>
          </w:p>
        </w:tc>
        <w:tc>
          <w:tcPr>
            <w:tcW w:w="10490" w:type="dxa"/>
            <w:vAlign w:val="center"/>
          </w:tcPr>
          <w:p w14:paraId="1FEDBF4F" w14:textId="77777777" w:rsidR="00A33A22" w:rsidRPr="00191EBB" w:rsidRDefault="00A33A22" w:rsidP="003C52BB">
            <w:pPr>
              <w:spacing w:before="40" w:after="40" w:line="240" w:lineRule="auto"/>
              <w:rPr>
                <w:rFonts w:cs="Calibri"/>
                <w:spacing w:val="-12"/>
                <w:sz w:val="20"/>
                <w:szCs w:val="20"/>
              </w:rPr>
            </w:pPr>
            <w:r w:rsidRPr="00191EBB">
              <w:rPr>
                <w:rFonts w:cs="Calibri"/>
                <w:spacing w:val="-12"/>
                <w:sz w:val="20"/>
                <w:szCs w:val="20"/>
              </w:rPr>
              <w:t>Obra de ampliación S/E Cerro Navia 220 kV (Dex-310-2013)</w:t>
            </w:r>
          </w:p>
        </w:tc>
        <w:tc>
          <w:tcPr>
            <w:tcW w:w="1134" w:type="dxa"/>
            <w:vAlign w:val="center"/>
          </w:tcPr>
          <w:p w14:paraId="7ED0F377" w14:textId="77777777" w:rsidR="00A33A22" w:rsidRPr="00191EBB" w:rsidRDefault="00A33A22" w:rsidP="003C52BB">
            <w:pPr>
              <w:spacing w:before="40" w:after="40" w:line="240" w:lineRule="auto"/>
              <w:jc w:val="center"/>
              <w:rPr>
                <w:rFonts w:cs="Calibri"/>
                <w:spacing w:val="-12"/>
                <w:sz w:val="20"/>
                <w:szCs w:val="20"/>
              </w:rPr>
            </w:pPr>
            <w:r w:rsidRPr="00191EBB">
              <w:rPr>
                <w:rFonts w:cs="Calibri"/>
                <w:spacing w:val="-12"/>
                <w:sz w:val="20"/>
                <w:szCs w:val="20"/>
              </w:rPr>
              <w:t>D310-13</w:t>
            </w:r>
          </w:p>
        </w:tc>
        <w:tc>
          <w:tcPr>
            <w:tcW w:w="1418" w:type="dxa"/>
            <w:vAlign w:val="center"/>
          </w:tcPr>
          <w:p w14:paraId="31191E28" w14:textId="77777777" w:rsidR="00A33A22" w:rsidRPr="00191EBB" w:rsidRDefault="00A33A22" w:rsidP="003C52BB">
            <w:pPr>
              <w:spacing w:before="40" w:after="40" w:line="240" w:lineRule="auto"/>
              <w:jc w:val="center"/>
              <w:rPr>
                <w:rFonts w:cs="Calibri"/>
                <w:spacing w:val="-12"/>
                <w:sz w:val="20"/>
                <w:szCs w:val="20"/>
              </w:rPr>
            </w:pPr>
            <w:r w:rsidRPr="00191EBB">
              <w:rPr>
                <w:rFonts w:cs="Calibri"/>
                <w:spacing w:val="-12"/>
                <w:sz w:val="20"/>
                <w:szCs w:val="20"/>
              </w:rPr>
              <w:t>Transelec</w:t>
            </w:r>
          </w:p>
        </w:tc>
      </w:tr>
      <w:tr w:rsidR="00A33A22" w:rsidRPr="00191EBB" w14:paraId="37B5C874" w14:textId="77777777" w:rsidTr="003C52BB">
        <w:trPr>
          <w:jc w:val="center"/>
        </w:trPr>
        <w:tc>
          <w:tcPr>
            <w:tcW w:w="567" w:type="dxa"/>
            <w:vAlign w:val="center"/>
          </w:tcPr>
          <w:p w14:paraId="36B41641" w14:textId="77777777" w:rsidR="00A33A22" w:rsidRPr="00191EBB" w:rsidRDefault="00A33A22" w:rsidP="003C52BB">
            <w:pPr>
              <w:spacing w:before="40" w:after="40" w:line="240" w:lineRule="auto"/>
              <w:jc w:val="center"/>
              <w:rPr>
                <w:rFonts w:cs="Calibri"/>
                <w:spacing w:val="-12"/>
                <w:sz w:val="20"/>
                <w:szCs w:val="20"/>
              </w:rPr>
            </w:pPr>
            <w:r w:rsidRPr="00191EBB">
              <w:rPr>
                <w:rFonts w:cs="Calibri"/>
                <w:color w:val="000000"/>
                <w:spacing w:val="-12"/>
                <w:sz w:val="20"/>
                <w:szCs w:val="20"/>
              </w:rPr>
              <w:t>10</w:t>
            </w:r>
          </w:p>
        </w:tc>
        <w:tc>
          <w:tcPr>
            <w:tcW w:w="10490" w:type="dxa"/>
            <w:vAlign w:val="center"/>
          </w:tcPr>
          <w:p w14:paraId="35C68A37" w14:textId="77777777" w:rsidR="00A33A22" w:rsidRPr="00191EBB" w:rsidRDefault="00A33A22" w:rsidP="003C52BB">
            <w:pPr>
              <w:spacing w:before="40" w:after="40" w:line="240" w:lineRule="auto"/>
              <w:rPr>
                <w:rFonts w:cs="Calibri"/>
                <w:spacing w:val="-12"/>
                <w:sz w:val="20"/>
                <w:szCs w:val="20"/>
              </w:rPr>
            </w:pPr>
            <w:r w:rsidRPr="00191EBB">
              <w:rPr>
                <w:rFonts w:cs="Calibri"/>
                <w:spacing w:val="-12"/>
                <w:sz w:val="20"/>
                <w:szCs w:val="20"/>
              </w:rPr>
              <w:t>Obra de ampliación S/E Charrúa 500 kV y cambio interruptor paños acopladores 52JR1, 52JR2, 52JR3</w:t>
            </w:r>
          </w:p>
        </w:tc>
        <w:tc>
          <w:tcPr>
            <w:tcW w:w="1134" w:type="dxa"/>
            <w:vAlign w:val="center"/>
          </w:tcPr>
          <w:p w14:paraId="1CB12837" w14:textId="77777777" w:rsidR="00A33A22" w:rsidRPr="00191EBB" w:rsidRDefault="00A33A22" w:rsidP="003C52BB">
            <w:pPr>
              <w:spacing w:before="40" w:after="40" w:line="240" w:lineRule="auto"/>
              <w:jc w:val="center"/>
              <w:rPr>
                <w:rFonts w:cs="Calibri"/>
                <w:spacing w:val="-12"/>
                <w:sz w:val="20"/>
                <w:szCs w:val="20"/>
              </w:rPr>
            </w:pPr>
            <w:r w:rsidRPr="00191EBB">
              <w:rPr>
                <w:rFonts w:cs="Calibri"/>
                <w:spacing w:val="-12"/>
                <w:sz w:val="20"/>
                <w:szCs w:val="20"/>
              </w:rPr>
              <w:t>D310-13</w:t>
            </w:r>
          </w:p>
        </w:tc>
        <w:tc>
          <w:tcPr>
            <w:tcW w:w="1418" w:type="dxa"/>
            <w:vAlign w:val="center"/>
          </w:tcPr>
          <w:p w14:paraId="53607D5A" w14:textId="77777777" w:rsidR="00A33A22" w:rsidRPr="00191EBB" w:rsidRDefault="00A33A22" w:rsidP="003C52BB">
            <w:pPr>
              <w:spacing w:before="40" w:after="40" w:line="240" w:lineRule="auto"/>
              <w:jc w:val="center"/>
              <w:rPr>
                <w:rFonts w:cs="Calibri"/>
                <w:spacing w:val="-12"/>
                <w:sz w:val="20"/>
                <w:szCs w:val="20"/>
              </w:rPr>
            </w:pPr>
            <w:r w:rsidRPr="00191EBB">
              <w:rPr>
                <w:rFonts w:cs="Calibri"/>
                <w:spacing w:val="-12"/>
                <w:sz w:val="20"/>
                <w:szCs w:val="20"/>
              </w:rPr>
              <w:t>Transelec</w:t>
            </w:r>
          </w:p>
        </w:tc>
      </w:tr>
      <w:tr w:rsidR="00A33A22" w:rsidRPr="00191EBB" w14:paraId="08EDFCB5" w14:textId="77777777" w:rsidTr="003C52BB">
        <w:trPr>
          <w:jc w:val="center"/>
        </w:trPr>
        <w:tc>
          <w:tcPr>
            <w:tcW w:w="567" w:type="dxa"/>
            <w:vAlign w:val="center"/>
          </w:tcPr>
          <w:p w14:paraId="53D7CD0D" w14:textId="77777777" w:rsidR="00A33A22" w:rsidRPr="00191EBB" w:rsidRDefault="00A33A22" w:rsidP="003C52BB">
            <w:pPr>
              <w:spacing w:before="40" w:after="40" w:line="240" w:lineRule="auto"/>
              <w:jc w:val="center"/>
              <w:rPr>
                <w:rFonts w:cs="Calibri"/>
                <w:spacing w:val="-12"/>
                <w:sz w:val="20"/>
                <w:szCs w:val="20"/>
              </w:rPr>
            </w:pPr>
            <w:r w:rsidRPr="00191EBB">
              <w:rPr>
                <w:rFonts w:cs="Calibri"/>
                <w:color w:val="000000"/>
                <w:spacing w:val="-12"/>
                <w:sz w:val="20"/>
                <w:szCs w:val="20"/>
              </w:rPr>
              <w:t>11</w:t>
            </w:r>
          </w:p>
        </w:tc>
        <w:tc>
          <w:tcPr>
            <w:tcW w:w="10490" w:type="dxa"/>
            <w:vAlign w:val="center"/>
          </w:tcPr>
          <w:p w14:paraId="18E24D6F" w14:textId="77777777" w:rsidR="00A33A22" w:rsidRPr="00191EBB" w:rsidRDefault="00A33A22" w:rsidP="003C52BB">
            <w:pPr>
              <w:spacing w:before="40" w:after="40" w:line="240" w:lineRule="auto"/>
              <w:rPr>
                <w:rFonts w:cs="Calibri"/>
                <w:spacing w:val="-12"/>
                <w:sz w:val="20"/>
                <w:szCs w:val="20"/>
              </w:rPr>
            </w:pPr>
            <w:r w:rsidRPr="00191EBB">
              <w:rPr>
                <w:rFonts w:cs="Calibri"/>
                <w:spacing w:val="-12"/>
                <w:sz w:val="20"/>
                <w:szCs w:val="20"/>
              </w:rPr>
              <w:t>Obra de ampliación S/E Ciruelos 220 kV (Dex-310-2013)</w:t>
            </w:r>
          </w:p>
        </w:tc>
        <w:tc>
          <w:tcPr>
            <w:tcW w:w="1134" w:type="dxa"/>
            <w:vAlign w:val="center"/>
          </w:tcPr>
          <w:p w14:paraId="3CC14968" w14:textId="77777777" w:rsidR="00A33A22" w:rsidRPr="00191EBB" w:rsidRDefault="00A33A22" w:rsidP="003C52BB">
            <w:pPr>
              <w:spacing w:before="40" w:after="40" w:line="240" w:lineRule="auto"/>
              <w:jc w:val="center"/>
              <w:rPr>
                <w:rFonts w:cs="Calibri"/>
                <w:spacing w:val="-12"/>
                <w:sz w:val="20"/>
                <w:szCs w:val="20"/>
              </w:rPr>
            </w:pPr>
            <w:r w:rsidRPr="00191EBB">
              <w:rPr>
                <w:rFonts w:cs="Calibri"/>
                <w:spacing w:val="-12"/>
                <w:sz w:val="20"/>
                <w:szCs w:val="20"/>
              </w:rPr>
              <w:t>D310-13</w:t>
            </w:r>
          </w:p>
        </w:tc>
        <w:tc>
          <w:tcPr>
            <w:tcW w:w="1418" w:type="dxa"/>
            <w:vAlign w:val="center"/>
          </w:tcPr>
          <w:p w14:paraId="5E29E974" w14:textId="77777777" w:rsidR="00A33A22" w:rsidRPr="00191EBB" w:rsidRDefault="00A33A22" w:rsidP="003C52BB">
            <w:pPr>
              <w:spacing w:before="40" w:after="40" w:line="240" w:lineRule="auto"/>
              <w:jc w:val="center"/>
              <w:rPr>
                <w:rFonts w:cs="Calibri"/>
                <w:spacing w:val="-12"/>
                <w:sz w:val="20"/>
                <w:szCs w:val="20"/>
              </w:rPr>
            </w:pPr>
            <w:r w:rsidRPr="00191EBB">
              <w:rPr>
                <w:rFonts w:cs="Calibri"/>
                <w:spacing w:val="-12"/>
                <w:sz w:val="20"/>
                <w:szCs w:val="20"/>
              </w:rPr>
              <w:t>Transelec</w:t>
            </w:r>
          </w:p>
        </w:tc>
      </w:tr>
      <w:tr w:rsidR="00A33A22" w:rsidRPr="00191EBB" w14:paraId="1C3444C3" w14:textId="77777777" w:rsidTr="003C52BB">
        <w:trPr>
          <w:jc w:val="center"/>
        </w:trPr>
        <w:tc>
          <w:tcPr>
            <w:tcW w:w="567" w:type="dxa"/>
            <w:vAlign w:val="center"/>
          </w:tcPr>
          <w:p w14:paraId="2D045F02" w14:textId="77777777" w:rsidR="00A33A22" w:rsidRPr="00191EBB" w:rsidRDefault="00A33A22" w:rsidP="003C52BB">
            <w:pPr>
              <w:spacing w:before="40" w:after="40" w:line="240" w:lineRule="auto"/>
              <w:jc w:val="center"/>
              <w:rPr>
                <w:rFonts w:cs="Calibri"/>
                <w:spacing w:val="-12"/>
                <w:sz w:val="20"/>
                <w:szCs w:val="20"/>
              </w:rPr>
            </w:pPr>
            <w:r w:rsidRPr="00191EBB">
              <w:rPr>
                <w:rFonts w:cs="Calibri"/>
                <w:color w:val="000000"/>
                <w:spacing w:val="-12"/>
                <w:sz w:val="20"/>
                <w:szCs w:val="20"/>
              </w:rPr>
              <w:t>12</w:t>
            </w:r>
          </w:p>
        </w:tc>
        <w:tc>
          <w:tcPr>
            <w:tcW w:w="10490" w:type="dxa"/>
            <w:vAlign w:val="center"/>
          </w:tcPr>
          <w:p w14:paraId="1BBD8C7F" w14:textId="77777777" w:rsidR="00A33A22" w:rsidRPr="00191EBB" w:rsidRDefault="00A33A22" w:rsidP="003C52BB">
            <w:pPr>
              <w:spacing w:before="40" w:after="40" w:line="240" w:lineRule="auto"/>
              <w:rPr>
                <w:rFonts w:cs="Calibri"/>
                <w:spacing w:val="-12"/>
                <w:sz w:val="20"/>
                <w:szCs w:val="20"/>
              </w:rPr>
            </w:pPr>
            <w:r w:rsidRPr="00191EBB">
              <w:rPr>
                <w:rFonts w:cs="Calibri"/>
                <w:spacing w:val="-12"/>
                <w:sz w:val="20"/>
                <w:szCs w:val="20"/>
              </w:rPr>
              <w:t>Obra de ampliación S/E Diego de Almagro 220 kV (Dex-310-2013)</w:t>
            </w:r>
          </w:p>
        </w:tc>
        <w:tc>
          <w:tcPr>
            <w:tcW w:w="1134" w:type="dxa"/>
            <w:vAlign w:val="center"/>
          </w:tcPr>
          <w:p w14:paraId="51C3A386" w14:textId="77777777" w:rsidR="00A33A22" w:rsidRPr="00191EBB" w:rsidRDefault="00A33A22" w:rsidP="003C52BB">
            <w:pPr>
              <w:spacing w:before="40" w:after="40" w:line="240" w:lineRule="auto"/>
              <w:jc w:val="center"/>
              <w:rPr>
                <w:rFonts w:cs="Calibri"/>
                <w:spacing w:val="-12"/>
                <w:sz w:val="20"/>
                <w:szCs w:val="20"/>
              </w:rPr>
            </w:pPr>
            <w:r w:rsidRPr="00191EBB">
              <w:rPr>
                <w:rFonts w:cs="Calibri"/>
                <w:spacing w:val="-12"/>
                <w:sz w:val="20"/>
                <w:szCs w:val="20"/>
              </w:rPr>
              <w:t>D310-13</w:t>
            </w:r>
          </w:p>
        </w:tc>
        <w:tc>
          <w:tcPr>
            <w:tcW w:w="1418" w:type="dxa"/>
            <w:vAlign w:val="center"/>
          </w:tcPr>
          <w:p w14:paraId="59653F25" w14:textId="77777777" w:rsidR="00A33A22" w:rsidRPr="00191EBB" w:rsidRDefault="00A33A22" w:rsidP="003C52BB">
            <w:pPr>
              <w:spacing w:before="40" w:after="40" w:line="240" w:lineRule="auto"/>
              <w:jc w:val="center"/>
              <w:rPr>
                <w:rFonts w:cs="Calibri"/>
                <w:spacing w:val="-12"/>
                <w:sz w:val="20"/>
                <w:szCs w:val="20"/>
              </w:rPr>
            </w:pPr>
            <w:r w:rsidRPr="00191EBB">
              <w:rPr>
                <w:rFonts w:cs="Calibri"/>
                <w:spacing w:val="-12"/>
                <w:sz w:val="20"/>
                <w:szCs w:val="20"/>
              </w:rPr>
              <w:t>Transelec</w:t>
            </w:r>
          </w:p>
        </w:tc>
      </w:tr>
      <w:tr w:rsidR="00A33A22" w:rsidRPr="00191EBB" w14:paraId="7D01770E" w14:textId="77777777" w:rsidTr="003C52BB">
        <w:trPr>
          <w:jc w:val="center"/>
        </w:trPr>
        <w:tc>
          <w:tcPr>
            <w:tcW w:w="567" w:type="dxa"/>
            <w:vAlign w:val="center"/>
          </w:tcPr>
          <w:p w14:paraId="1C3EA9E9" w14:textId="77777777" w:rsidR="00A33A22" w:rsidRPr="00191EBB" w:rsidRDefault="00A33A22" w:rsidP="003C52BB">
            <w:pPr>
              <w:spacing w:before="40" w:after="40" w:line="240" w:lineRule="auto"/>
              <w:jc w:val="center"/>
              <w:rPr>
                <w:rFonts w:cs="Calibri"/>
                <w:spacing w:val="-12"/>
                <w:sz w:val="20"/>
                <w:szCs w:val="20"/>
              </w:rPr>
            </w:pPr>
            <w:r w:rsidRPr="00191EBB">
              <w:rPr>
                <w:rFonts w:cs="Calibri"/>
                <w:color w:val="000000"/>
                <w:spacing w:val="-12"/>
                <w:sz w:val="20"/>
                <w:szCs w:val="20"/>
              </w:rPr>
              <w:t>13</w:t>
            </w:r>
          </w:p>
        </w:tc>
        <w:tc>
          <w:tcPr>
            <w:tcW w:w="10490" w:type="dxa"/>
            <w:vAlign w:val="center"/>
          </w:tcPr>
          <w:p w14:paraId="2B09048C" w14:textId="77777777" w:rsidR="00A33A22" w:rsidRPr="00191EBB" w:rsidRDefault="00A33A22" w:rsidP="003C52BB">
            <w:pPr>
              <w:spacing w:before="40" w:after="40" w:line="240" w:lineRule="auto"/>
              <w:rPr>
                <w:rFonts w:cs="Calibri"/>
                <w:spacing w:val="-12"/>
                <w:sz w:val="20"/>
                <w:szCs w:val="20"/>
              </w:rPr>
            </w:pPr>
            <w:r w:rsidRPr="00191EBB">
              <w:rPr>
                <w:rFonts w:cs="Calibri"/>
                <w:spacing w:val="-12"/>
                <w:sz w:val="20"/>
                <w:szCs w:val="20"/>
              </w:rPr>
              <w:t>Obra de ampliación S/E Encuentro 220 kV, aumento de capacidad de línea 2x220 Crucero-Encuentro y cambio TTCC y trampa de onda paño J5 S/E Crucero</w:t>
            </w:r>
          </w:p>
        </w:tc>
        <w:tc>
          <w:tcPr>
            <w:tcW w:w="1134" w:type="dxa"/>
            <w:vAlign w:val="center"/>
          </w:tcPr>
          <w:p w14:paraId="14002B7B" w14:textId="77777777" w:rsidR="00A33A22" w:rsidRPr="00191EBB" w:rsidRDefault="00A33A22" w:rsidP="003C52BB">
            <w:pPr>
              <w:spacing w:before="40" w:after="40" w:line="240" w:lineRule="auto"/>
              <w:jc w:val="center"/>
              <w:rPr>
                <w:rFonts w:cs="Calibri"/>
                <w:spacing w:val="-12"/>
                <w:sz w:val="20"/>
                <w:szCs w:val="20"/>
              </w:rPr>
            </w:pPr>
            <w:r w:rsidRPr="00191EBB">
              <w:rPr>
                <w:rFonts w:cs="Calibri"/>
                <w:spacing w:val="-12"/>
                <w:sz w:val="20"/>
                <w:szCs w:val="20"/>
              </w:rPr>
              <w:t>D310-13</w:t>
            </w:r>
          </w:p>
        </w:tc>
        <w:tc>
          <w:tcPr>
            <w:tcW w:w="1418" w:type="dxa"/>
            <w:vAlign w:val="center"/>
          </w:tcPr>
          <w:p w14:paraId="6590BF22" w14:textId="77777777" w:rsidR="00A33A22" w:rsidRPr="00191EBB" w:rsidRDefault="00A33A22" w:rsidP="003C52BB">
            <w:pPr>
              <w:spacing w:before="40" w:after="40" w:line="240" w:lineRule="auto"/>
              <w:jc w:val="center"/>
              <w:rPr>
                <w:rFonts w:cs="Calibri"/>
                <w:spacing w:val="-12"/>
                <w:sz w:val="20"/>
                <w:szCs w:val="20"/>
              </w:rPr>
            </w:pPr>
            <w:r w:rsidRPr="00191EBB">
              <w:rPr>
                <w:rFonts w:cs="Calibri"/>
                <w:spacing w:val="-12"/>
                <w:sz w:val="20"/>
                <w:szCs w:val="20"/>
              </w:rPr>
              <w:t>Transelec</w:t>
            </w:r>
          </w:p>
        </w:tc>
      </w:tr>
      <w:tr w:rsidR="00A33A22" w:rsidRPr="00191EBB" w14:paraId="459C917C" w14:textId="77777777" w:rsidTr="003C52BB">
        <w:trPr>
          <w:jc w:val="center"/>
        </w:trPr>
        <w:tc>
          <w:tcPr>
            <w:tcW w:w="567" w:type="dxa"/>
            <w:vAlign w:val="center"/>
          </w:tcPr>
          <w:p w14:paraId="3C415005" w14:textId="77777777" w:rsidR="00A33A22" w:rsidRPr="00191EBB" w:rsidRDefault="00A33A22" w:rsidP="003C52BB">
            <w:pPr>
              <w:spacing w:before="40" w:after="40" w:line="240" w:lineRule="auto"/>
              <w:jc w:val="center"/>
              <w:rPr>
                <w:rFonts w:cs="Calibri"/>
                <w:spacing w:val="-12"/>
                <w:sz w:val="20"/>
                <w:szCs w:val="20"/>
              </w:rPr>
            </w:pPr>
            <w:r w:rsidRPr="00191EBB">
              <w:rPr>
                <w:rFonts w:cs="Calibri"/>
                <w:color w:val="000000"/>
                <w:spacing w:val="-12"/>
                <w:sz w:val="20"/>
                <w:szCs w:val="20"/>
              </w:rPr>
              <w:t>14</w:t>
            </w:r>
          </w:p>
        </w:tc>
        <w:tc>
          <w:tcPr>
            <w:tcW w:w="10490" w:type="dxa"/>
            <w:vAlign w:val="center"/>
          </w:tcPr>
          <w:p w14:paraId="30A79414" w14:textId="77777777" w:rsidR="00A33A22" w:rsidRPr="00191EBB" w:rsidRDefault="00A33A22" w:rsidP="003C52BB">
            <w:pPr>
              <w:spacing w:before="40" w:after="40" w:line="240" w:lineRule="auto"/>
              <w:rPr>
                <w:rFonts w:cs="Calibri"/>
                <w:spacing w:val="-12"/>
                <w:sz w:val="20"/>
                <w:szCs w:val="20"/>
              </w:rPr>
            </w:pPr>
            <w:r w:rsidRPr="00191EBB">
              <w:rPr>
                <w:rFonts w:cs="Calibri"/>
                <w:spacing w:val="-12"/>
                <w:sz w:val="20"/>
                <w:szCs w:val="20"/>
              </w:rPr>
              <w:t>Obra de ampliación S/E Lagunas 220 kV, Banco de condensadores de 60 MVAr y cambio TTCC paños J1 y J2</w:t>
            </w:r>
          </w:p>
        </w:tc>
        <w:tc>
          <w:tcPr>
            <w:tcW w:w="1134" w:type="dxa"/>
            <w:vAlign w:val="center"/>
          </w:tcPr>
          <w:p w14:paraId="27E888F3" w14:textId="77777777" w:rsidR="00A33A22" w:rsidRPr="00191EBB" w:rsidRDefault="00A33A22" w:rsidP="003C52BB">
            <w:pPr>
              <w:spacing w:before="40" w:after="40" w:line="240" w:lineRule="auto"/>
              <w:jc w:val="center"/>
              <w:rPr>
                <w:rFonts w:cs="Calibri"/>
                <w:spacing w:val="-12"/>
                <w:sz w:val="20"/>
                <w:szCs w:val="20"/>
              </w:rPr>
            </w:pPr>
            <w:r w:rsidRPr="00191EBB">
              <w:rPr>
                <w:rFonts w:cs="Calibri"/>
                <w:spacing w:val="-12"/>
                <w:sz w:val="20"/>
                <w:szCs w:val="20"/>
              </w:rPr>
              <w:t>D310-13</w:t>
            </w:r>
          </w:p>
        </w:tc>
        <w:tc>
          <w:tcPr>
            <w:tcW w:w="1418" w:type="dxa"/>
            <w:vAlign w:val="center"/>
          </w:tcPr>
          <w:p w14:paraId="1EDAA945" w14:textId="77777777" w:rsidR="00A33A22" w:rsidRPr="00191EBB" w:rsidRDefault="00A33A22" w:rsidP="003C52BB">
            <w:pPr>
              <w:spacing w:before="40" w:after="40" w:line="240" w:lineRule="auto"/>
              <w:jc w:val="center"/>
              <w:rPr>
                <w:rFonts w:cs="Calibri"/>
                <w:spacing w:val="-12"/>
                <w:sz w:val="20"/>
                <w:szCs w:val="20"/>
              </w:rPr>
            </w:pPr>
            <w:r w:rsidRPr="00191EBB">
              <w:rPr>
                <w:rFonts w:cs="Calibri"/>
                <w:spacing w:val="-12"/>
                <w:sz w:val="20"/>
                <w:szCs w:val="20"/>
              </w:rPr>
              <w:t>Transelec</w:t>
            </w:r>
          </w:p>
        </w:tc>
      </w:tr>
      <w:tr w:rsidR="00A33A22" w:rsidRPr="00191EBB" w14:paraId="6987B14E" w14:textId="77777777" w:rsidTr="003C52BB">
        <w:trPr>
          <w:jc w:val="center"/>
        </w:trPr>
        <w:tc>
          <w:tcPr>
            <w:tcW w:w="567" w:type="dxa"/>
            <w:vAlign w:val="center"/>
          </w:tcPr>
          <w:p w14:paraId="22861E96" w14:textId="77777777" w:rsidR="00A33A22" w:rsidRPr="00191EBB" w:rsidRDefault="00A33A22" w:rsidP="003C52BB">
            <w:pPr>
              <w:spacing w:before="40" w:after="40" w:line="240" w:lineRule="auto"/>
              <w:jc w:val="center"/>
              <w:rPr>
                <w:rFonts w:cs="Calibri"/>
                <w:spacing w:val="-12"/>
                <w:sz w:val="20"/>
                <w:szCs w:val="20"/>
              </w:rPr>
            </w:pPr>
            <w:r w:rsidRPr="00191EBB">
              <w:rPr>
                <w:rFonts w:cs="Calibri"/>
                <w:color w:val="000000"/>
                <w:spacing w:val="-12"/>
                <w:sz w:val="20"/>
                <w:szCs w:val="20"/>
              </w:rPr>
              <w:t>15</w:t>
            </w:r>
          </w:p>
        </w:tc>
        <w:tc>
          <w:tcPr>
            <w:tcW w:w="10490" w:type="dxa"/>
            <w:vAlign w:val="center"/>
          </w:tcPr>
          <w:p w14:paraId="0E50207C" w14:textId="77777777" w:rsidR="00A33A22" w:rsidRPr="00191EBB" w:rsidRDefault="00A33A22" w:rsidP="003C52BB">
            <w:pPr>
              <w:spacing w:before="40" w:after="40" w:line="240" w:lineRule="auto"/>
              <w:rPr>
                <w:rFonts w:cs="Calibri"/>
                <w:spacing w:val="-12"/>
                <w:sz w:val="20"/>
                <w:szCs w:val="20"/>
              </w:rPr>
            </w:pPr>
            <w:r w:rsidRPr="00191EBB">
              <w:rPr>
                <w:rFonts w:cs="Calibri"/>
                <w:spacing w:val="-12"/>
                <w:sz w:val="20"/>
                <w:szCs w:val="20"/>
              </w:rPr>
              <w:t>Obra de ampliación S/E Las Palmas 220 kV (Dex-310-2013)</w:t>
            </w:r>
          </w:p>
        </w:tc>
        <w:tc>
          <w:tcPr>
            <w:tcW w:w="1134" w:type="dxa"/>
            <w:vAlign w:val="center"/>
          </w:tcPr>
          <w:p w14:paraId="32FAED2B" w14:textId="77777777" w:rsidR="00A33A22" w:rsidRPr="00191EBB" w:rsidRDefault="00A33A22" w:rsidP="003C52BB">
            <w:pPr>
              <w:spacing w:before="40" w:after="40" w:line="240" w:lineRule="auto"/>
              <w:jc w:val="center"/>
              <w:rPr>
                <w:rFonts w:cs="Calibri"/>
                <w:spacing w:val="-12"/>
                <w:sz w:val="20"/>
                <w:szCs w:val="20"/>
              </w:rPr>
            </w:pPr>
            <w:r w:rsidRPr="00191EBB">
              <w:rPr>
                <w:rFonts w:cs="Calibri"/>
                <w:spacing w:val="-12"/>
                <w:sz w:val="20"/>
                <w:szCs w:val="20"/>
              </w:rPr>
              <w:t>D310-13</w:t>
            </w:r>
          </w:p>
        </w:tc>
        <w:tc>
          <w:tcPr>
            <w:tcW w:w="1418" w:type="dxa"/>
            <w:vAlign w:val="center"/>
          </w:tcPr>
          <w:p w14:paraId="5F696655" w14:textId="77777777" w:rsidR="00A33A22" w:rsidRPr="00191EBB" w:rsidRDefault="00A33A22" w:rsidP="003C52BB">
            <w:pPr>
              <w:spacing w:before="40" w:after="40" w:line="240" w:lineRule="auto"/>
              <w:jc w:val="center"/>
              <w:rPr>
                <w:rFonts w:cs="Calibri"/>
                <w:spacing w:val="-12"/>
                <w:sz w:val="20"/>
                <w:szCs w:val="20"/>
              </w:rPr>
            </w:pPr>
            <w:r w:rsidRPr="00191EBB">
              <w:rPr>
                <w:rFonts w:cs="Calibri"/>
                <w:spacing w:val="-12"/>
                <w:sz w:val="20"/>
                <w:szCs w:val="20"/>
              </w:rPr>
              <w:t>Transelec</w:t>
            </w:r>
          </w:p>
        </w:tc>
      </w:tr>
      <w:tr w:rsidR="00A33A22" w:rsidRPr="00191EBB" w14:paraId="5D127BB4" w14:textId="77777777" w:rsidTr="003C52BB">
        <w:trPr>
          <w:jc w:val="center"/>
        </w:trPr>
        <w:tc>
          <w:tcPr>
            <w:tcW w:w="567" w:type="dxa"/>
            <w:vAlign w:val="center"/>
          </w:tcPr>
          <w:p w14:paraId="15A9E2CB" w14:textId="77777777" w:rsidR="00A33A22" w:rsidRPr="00191EBB" w:rsidRDefault="00A33A22" w:rsidP="003C52BB">
            <w:pPr>
              <w:spacing w:before="40" w:after="40" w:line="240" w:lineRule="auto"/>
              <w:jc w:val="center"/>
              <w:rPr>
                <w:rFonts w:cs="Calibri"/>
                <w:spacing w:val="-12"/>
                <w:sz w:val="20"/>
                <w:szCs w:val="20"/>
              </w:rPr>
            </w:pPr>
            <w:r w:rsidRPr="00191EBB">
              <w:rPr>
                <w:rFonts w:cs="Calibri"/>
                <w:color w:val="000000"/>
                <w:spacing w:val="-12"/>
                <w:sz w:val="20"/>
                <w:szCs w:val="20"/>
              </w:rPr>
              <w:t>16</w:t>
            </w:r>
          </w:p>
        </w:tc>
        <w:tc>
          <w:tcPr>
            <w:tcW w:w="10490" w:type="dxa"/>
            <w:vAlign w:val="center"/>
          </w:tcPr>
          <w:p w14:paraId="316E36FA" w14:textId="77777777" w:rsidR="00A33A22" w:rsidRPr="00191EBB" w:rsidRDefault="00A33A22" w:rsidP="003C52BB">
            <w:pPr>
              <w:spacing w:before="40" w:after="40" w:line="240" w:lineRule="auto"/>
              <w:rPr>
                <w:rFonts w:cs="Calibri"/>
                <w:spacing w:val="-12"/>
                <w:sz w:val="20"/>
                <w:szCs w:val="20"/>
              </w:rPr>
            </w:pPr>
            <w:r w:rsidRPr="00191EBB">
              <w:rPr>
                <w:rFonts w:cs="Calibri"/>
                <w:spacing w:val="-12"/>
                <w:sz w:val="20"/>
                <w:szCs w:val="20"/>
              </w:rPr>
              <w:t>Obra de ampliación S/E Maitencillo 220 kV (Dex-310-2013)</w:t>
            </w:r>
          </w:p>
        </w:tc>
        <w:tc>
          <w:tcPr>
            <w:tcW w:w="1134" w:type="dxa"/>
            <w:vAlign w:val="center"/>
          </w:tcPr>
          <w:p w14:paraId="6C3FD542" w14:textId="77777777" w:rsidR="00A33A22" w:rsidRPr="00191EBB" w:rsidRDefault="00A33A22" w:rsidP="003C52BB">
            <w:pPr>
              <w:spacing w:before="40" w:after="40" w:line="240" w:lineRule="auto"/>
              <w:jc w:val="center"/>
              <w:rPr>
                <w:rFonts w:cs="Calibri"/>
                <w:spacing w:val="-12"/>
                <w:sz w:val="20"/>
                <w:szCs w:val="20"/>
              </w:rPr>
            </w:pPr>
            <w:r w:rsidRPr="00191EBB">
              <w:rPr>
                <w:rFonts w:cs="Calibri"/>
                <w:spacing w:val="-12"/>
                <w:sz w:val="20"/>
                <w:szCs w:val="20"/>
              </w:rPr>
              <w:t>D310-13</w:t>
            </w:r>
          </w:p>
        </w:tc>
        <w:tc>
          <w:tcPr>
            <w:tcW w:w="1418" w:type="dxa"/>
            <w:vAlign w:val="center"/>
          </w:tcPr>
          <w:p w14:paraId="67E526E8" w14:textId="77777777" w:rsidR="00A33A22" w:rsidRPr="00191EBB" w:rsidRDefault="00A33A22" w:rsidP="003C52BB">
            <w:pPr>
              <w:spacing w:before="40" w:after="40" w:line="240" w:lineRule="auto"/>
              <w:jc w:val="center"/>
              <w:rPr>
                <w:rFonts w:cs="Calibri"/>
                <w:spacing w:val="-12"/>
                <w:sz w:val="20"/>
                <w:szCs w:val="20"/>
              </w:rPr>
            </w:pPr>
            <w:r w:rsidRPr="00191EBB">
              <w:rPr>
                <w:rFonts w:cs="Calibri"/>
                <w:spacing w:val="-12"/>
                <w:sz w:val="20"/>
                <w:szCs w:val="20"/>
              </w:rPr>
              <w:t>Transelec</w:t>
            </w:r>
          </w:p>
        </w:tc>
      </w:tr>
      <w:tr w:rsidR="00A33A22" w:rsidRPr="00191EBB" w14:paraId="3DF92E3E" w14:textId="77777777" w:rsidTr="003C52BB">
        <w:trPr>
          <w:jc w:val="center"/>
        </w:trPr>
        <w:tc>
          <w:tcPr>
            <w:tcW w:w="567" w:type="dxa"/>
            <w:vAlign w:val="center"/>
          </w:tcPr>
          <w:p w14:paraId="29209809" w14:textId="77777777" w:rsidR="00A33A22" w:rsidRPr="00191EBB" w:rsidRDefault="00A33A22" w:rsidP="003C52BB">
            <w:pPr>
              <w:spacing w:before="40" w:after="40" w:line="240" w:lineRule="auto"/>
              <w:jc w:val="center"/>
              <w:rPr>
                <w:rFonts w:cs="Calibri"/>
                <w:spacing w:val="-12"/>
                <w:sz w:val="20"/>
                <w:szCs w:val="20"/>
              </w:rPr>
            </w:pPr>
            <w:r w:rsidRPr="00191EBB">
              <w:rPr>
                <w:rFonts w:cs="Calibri"/>
                <w:color w:val="000000"/>
                <w:spacing w:val="-12"/>
                <w:sz w:val="20"/>
                <w:szCs w:val="20"/>
              </w:rPr>
              <w:t>17</w:t>
            </w:r>
          </w:p>
        </w:tc>
        <w:tc>
          <w:tcPr>
            <w:tcW w:w="10490" w:type="dxa"/>
            <w:vAlign w:val="center"/>
          </w:tcPr>
          <w:p w14:paraId="62755D78" w14:textId="77777777" w:rsidR="00A33A22" w:rsidRPr="00191EBB" w:rsidRDefault="00A33A22" w:rsidP="003C52BB">
            <w:pPr>
              <w:spacing w:before="40" w:after="40" w:line="240" w:lineRule="auto"/>
              <w:rPr>
                <w:rFonts w:cs="Calibri"/>
                <w:spacing w:val="-12"/>
                <w:sz w:val="20"/>
                <w:szCs w:val="20"/>
              </w:rPr>
            </w:pPr>
            <w:r w:rsidRPr="00191EBB">
              <w:rPr>
                <w:rFonts w:cs="Calibri"/>
                <w:spacing w:val="-12"/>
                <w:sz w:val="20"/>
                <w:szCs w:val="20"/>
              </w:rPr>
              <w:t>Obra de ampliación S/E Polpaico 500 kV y Cambio interruptor paño acoplador 52JR (Dex-310-2013)</w:t>
            </w:r>
          </w:p>
        </w:tc>
        <w:tc>
          <w:tcPr>
            <w:tcW w:w="1134" w:type="dxa"/>
            <w:vAlign w:val="center"/>
          </w:tcPr>
          <w:p w14:paraId="4B8FBA61" w14:textId="77777777" w:rsidR="00A33A22" w:rsidRPr="00191EBB" w:rsidRDefault="00A33A22" w:rsidP="003C52BB">
            <w:pPr>
              <w:spacing w:before="40" w:after="40" w:line="240" w:lineRule="auto"/>
              <w:jc w:val="center"/>
              <w:rPr>
                <w:rFonts w:cs="Calibri"/>
                <w:spacing w:val="-12"/>
                <w:sz w:val="20"/>
                <w:szCs w:val="20"/>
              </w:rPr>
            </w:pPr>
            <w:r w:rsidRPr="00191EBB">
              <w:rPr>
                <w:rFonts w:cs="Calibri"/>
                <w:spacing w:val="-12"/>
                <w:sz w:val="20"/>
                <w:szCs w:val="20"/>
              </w:rPr>
              <w:t>D310-13</w:t>
            </w:r>
          </w:p>
        </w:tc>
        <w:tc>
          <w:tcPr>
            <w:tcW w:w="1418" w:type="dxa"/>
            <w:vAlign w:val="center"/>
          </w:tcPr>
          <w:p w14:paraId="63EE09C1" w14:textId="77777777" w:rsidR="00A33A22" w:rsidRPr="00191EBB" w:rsidRDefault="00A33A22" w:rsidP="003C52BB">
            <w:pPr>
              <w:spacing w:before="40" w:after="40" w:line="240" w:lineRule="auto"/>
              <w:jc w:val="center"/>
              <w:rPr>
                <w:rFonts w:cs="Calibri"/>
                <w:spacing w:val="-12"/>
                <w:sz w:val="20"/>
                <w:szCs w:val="20"/>
              </w:rPr>
            </w:pPr>
            <w:r w:rsidRPr="00191EBB">
              <w:rPr>
                <w:rFonts w:cs="Calibri"/>
                <w:spacing w:val="-12"/>
                <w:sz w:val="20"/>
                <w:szCs w:val="20"/>
              </w:rPr>
              <w:t>Transelec</w:t>
            </w:r>
          </w:p>
        </w:tc>
      </w:tr>
      <w:tr w:rsidR="00A33A22" w:rsidRPr="00191EBB" w14:paraId="3AF361D4" w14:textId="77777777" w:rsidTr="003C52BB">
        <w:trPr>
          <w:jc w:val="center"/>
        </w:trPr>
        <w:tc>
          <w:tcPr>
            <w:tcW w:w="567" w:type="dxa"/>
            <w:vAlign w:val="center"/>
          </w:tcPr>
          <w:p w14:paraId="1B6FE767" w14:textId="77777777" w:rsidR="00A33A22" w:rsidRPr="00191EBB" w:rsidRDefault="00A33A22" w:rsidP="003C52BB">
            <w:pPr>
              <w:spacing w:before="40" w:after="40" w:line="240" w:lineRule="auto"/>
              <w:jc w:val="center"/>
              <w:rPr>
                <w:rFonts w:cs="Calibri"/>
                <w:spacing w:val="-12"/>
                <w:sz w:val="20"/>
                <w:szCs w:val="20"/>
              </w:rPr>
            </w:pPr>
            <w:r w:rsidRPr="00191EBB">
              <w:rPr>
                <w:rFonts w:cs="Calibri"/>
                <w:color w:val="000000"/>
                <w:spacing w:val="-12"/>
                <w:sz w:val="20"/>
                <w:szCs w:val="20"/>
              </w:rPr>
              <w:t>18</w:t>
            </w:r>
          </w:p>
        </w:tc>
        <w:tc>
          <w:tcPr>
            <w:tcW w:w="10490" w:type="dxa"/>
            <w:vAlign w:val="center"/>
          </w:tcPr>
          <w:p w14:paraId="2F0D1CF5" w14:textId="77777777" w:rsidR="00A33A22" w:rsidRPr="00191EBB" w:rsidRDefault="00A33A22" w:rsidP="003C52BB">
            <w:pPr>
              <w:spacing w:before="40" w:after="40" w:line="240" w:lineRule="auto"/>
              <w:rPr>
                <w:rFonts w:cs="Calibri"/>
                <w:spacing w:val="-12"/>
                <w:sz w:val="20"/>
                <w:szCs w:val="20"/>
              </w:rPr>
            </w:pPr>
            <w:r w:rsidRPr="00191EBB">
              <w:rPr>
                <w:rFonts w:cs="Calibri"/>
                <w:spacing w:val="-12"/>
                <w:sz w:val="20"/>
                <w:szCs w:val="20"/>
              </w:rPr>
              <w:t>Obra de ampliación S/E Rapel 220 kV e Instalación paño 52JS (Dex-310-2013)</w:t>
            </w:r>
          </w:p>
        </w:tc>
        <w:tc>
          <w:tcPr>
            <w:tcW w:w="1134" w:type="dxa"/>
            <w:vAlign w:val="center"/>
          </w:tcPr>
          <w:p w14:paraId="251CA1DF" w14:textId="77777777" w:rsidR="00A33A22" w:rsidRPr="00191EBB" w:rsidRDefault="00A33A22" w:rsidP="003C52BB">
            <w:pPr>
              <w:spacing w:before="40" w:after="40" w:line="240" w:lineRule="auto"/>
              <w:jc w:val="center"/>
              <w:rPr>
                <w:rFonts w:cs="Calibri"/>
                <w:spacing w:val="-12"/>
                <w:sz w:val="20"/>
                <w:szCs w:val="20"/>
              </w:rPr>
            </w:pPr>
            <w:r w:rsidRPr="00191EBB">
              <w:rPr>
                <w:rFonts w:cs="Calibri"/>
                <w:spacing w:val="-12"/>
                <w:sz w:val="20"/>
                <w:szCs w:val="20"/>
              </w:rPr>
              <w:t>D310-13</w:t>
            </w:r>
          </w:p>
        </w:tc>
        <w:tc>
          <w:tcPr>
            <w:tcW w:w="1418" w:type="dxa"/>
            <w:vAlign w:val="center"/>
          </w:tcPr>
          <w:p w14:paraId="567AAAB2" w14:textId="77777777" w:rsidR="00A33A22" w:rsidRPr="00191EBB" w:rsidRDefault="00A33A22" w:rsidP="003C52BB">
            <w:pPr>
              <w:spacing w:before="40" w:after="40" w:line="240" w:lineRule="auto"/>
              <w:jc w:val="center"/>
              <w:rPr>
                <w:rFonts w:cs="Calibri"/>
                <w:spacing w:val="-12"/>
                <w:sz w:val="20"/>
                <w:szCs w:val="20"/>
              </w:rPr>
            </w:pPr>
            <w:r w:rsidRPr="00191EBB">
              <w:rPr>
                <w:rFonts w:cs="Calibri"/>
                <w:spacing w:val="-12"/>
                <w:sz w:val="20"/>
                <w:szCs w:val="20"/>
              </w:rPr>
              <w:t>Transelec</w:t>
            </w:r>
          </w:p>
        </w:tc>
      </w:tr>
      <w:tr w:rsidR="00A33A22" w:rsidRPr="00191EBB" w14:paraId="398CE68D" w14:textId="77777777" w:rsidTr="003C52BB">
        <w:trPr>
          <w:jc w:val="center"/>
        </w:trPr>
        <w:tc>
          <w:tcPr>
            <w:tcW w:w="567" w:type="dxa"/>
            <w:vAlign w:val="center"/>
          </w:tcPr>
          <w:p w14:paraId="25FCE2D3" w14:textId="77777777" w:rsidR="00A33A22" w:rsidRPr="00191EBB" w:rsidRDefault="00A33A22" w:rsidP="003C52BB">
            <w:pPr>
              <w:spacing w:before="40" w:after="40" w:line="240" w:lineRule="auto"/>
              <w:jc w:val="center"/>
              <w:rPr>
                <w:rFonts w:cs="Calibri"/>
                <w:spacing w:val="-12"/>
                <w:sz w:val="20"/>
                <w:szCs w:val="20"/>
              </w:rPr>
            </w:pPr>
            <w:r w:rsidRPr="00191EBB">
              <w:rPr>
                <w:rFonts w:cs="Calibri"/>
                <w:color w:val="000000"/>
                <w:spacing w:val="-12"/>
                <w:sz w:val="20"/>
                <w:szCs w:val="20"/>
              </w:rPr>
              <w:t>19</w:t>
            </w:r>
          </w:p>
        </w:tc>
        <w:tc>
          <w:tcPr>
            <w:tcW w:w="10490" w:type="dxa"/>
            <w:vAlign w:val="center"/>
          </w:tcPr>
          <w:p w14:paraId="71968633" w14:textId="77777777" w:rsidR="00A33A22" w:rsidRPr="00191EBB" w:rsidRDefault="00A33A22" w:rsidP="003C52BB">
            <w:pPr>
              <w:spacing w:before="40" w:after="40" w:line="240" w:lineRule="auto"/>
              <w:rPr>
                <w:rFonts w:cs="Calibri"/>
                <w:spacing w:val="-12"/>
                <w:sz w:val="20"/>
                <w:szCs w:val="20"/>
              </w:rPr>
            </w:pPr>
            <w:r w:rsidRPr="00191EBB">
              <w:rPr>
                <w:rFonts w:cs="Calibri"/>
                <w:spacing w:val="-12"/>
                <w:sz w:val="20"/>
                <w:szCs w:val="20"/>
              </w:rPr>
              <w:t>Obra de reemplazo de desconectadores en S/E Quillota y S/E Polpaico</w:t>
            </w:r>
          </w:p>
        </w:tc>
        <w:tc>
          <w:tcPr>
            <w:tcW w:w="1134" w:type="dxa"/>
            <w:vAlign w:val="center"/>
          </w:tcPr>
          <w:p w14:paraId="36A752A8" w14:textId="77777777" w:rsidR="00A33A22" w:rsidRPr="00191EBB" w:rsidRDefault="00A33A22" w:rsidP="003C52BB">
            <w:pPr>
              <w:spacing w:before="40" w:after="40" w:line="240" w:lineRule="auto"/>
              <w:jc w:val="center"/>
              <w:rPr>
                <w:rFonts w:cs="Calibri"/>
                <w:spacing w:val="-12"/>
                <w:sz w:val="20"/>
                <w:szCs w:val="20"/>
              </w:rPr>
            </w:pPr>
            <w:r w:rsidRPr="00191EBB">
              <w:rPr>
                <w:rFonts w:cs="Calibri"/>
                <w:spacing w:val="-12"/>
                <w:sz w:val="20"/>
                <w:szCs w:val="20"/>
              </w:rPr>
              <w:t>D082-12</w:t>
            </w:r>
          </w:p>
        </w:tc>
        <w:tc>
          <w:tcPr>
            <w:tcW w:w="1418" w:type="dxa"/>
            <w:vAlign w:val="center"/>
          </w:tcPr>
          <w:p w14:paraId="4C1AC1E2" w14:textId="77777777" w:rsidR="00A33A22" w:rsidRPr="00191EBB" w:rsidRDefault="00A33A22" w:rsidP="003C52BB">
            <w:pPr>
              <w:spacing w:before="40" w:after="40" w:line="240" w:lineRule="auto"/>
              <w:jc w:val="center"/>
              <w:rPr>
                <w:rFonts w:cs="Calibri"/>
                <w:spacing w:val="-12"/>
                <w:sz w:val="20"/>
                <w:szCs w:val="20"/>
              </w:rPr>
            </w:pPr>
            <w:r w:rsidRPr="00191EBB">
              <w:rPr>
                <w:rFonts w:cs="Calibri"/>
                <w:spacing w:val="-12"/>
                <w:sz w:val="20"/>
                <w:szCs w:val="20"/>
              </w:rPr>
              <w:t>Transelec</w:t>
            </w:r>
          </w:p>
        </w:tc>
      </w:tr>
      <w:tr w:rsidR="00A33A22" w:rsidRPr="00191EBB" w14:paraId="73CB7F21" w14:textId="77777777" w:rsidTr="003C52BB">
        <w:trPr>
          <w:jc w:val="center"/>
        </w:trPr>
        <w:tc>
          <w:tcPr>
            <w:tcW w:w="567" w:type="dxa"/>
            <w:vAlign w:val="center"/>
          </w:tcPr>
          <w:p w14:paraId="6D7574D4" w14:textId="77777777" w:rsidR="00A33A22" w:rsidRPr="00191EBB" w:rsidRDefault="00A33A22" w:rsidP="003C52BB">
            <w:pPr>
              <w:spacing w:before="40" w:after="40" w:line="240" w:lineRule="auto"/>
              <w:jc w:val="center"/>
              <w:rPr>
                <w:rFonts w:cs="Calibri"/>
                <w:spacing w:val="-12"/>
                <w:sz w:val="20"/>
                <w:szCs w:val="20"/>
              </w:rPr>
            </w:pPr>
            <w:r w:rsidRPr="00191EBB">
              <w:rPr>
                <w:rFonts w:cs="Calibri"/>
                <w:color w:val="000000"/>
                <w:spacing w:val="-12"/>
                <w:sz w:val="20"/>
                <w:szCs w:val="20"/>
              </w:rPr>
              <w:t>20</w:t>
            </w:r>
          </w:p>
        </w:tc>
        <w:tc>
          <w:tcPr>
            <w:tcW w:w="10490" w:type="dxa"/>
            <w:vAlign w:val="center"/>
          </w:tcPr>
          <w:p w14:paraId="4E0FDF67" w14:textId="77777777" w:rsidR="00A33A22" w:rsidRPr="00191EBB" w:rsidRDefault="00A33A22" w:rsidP="003C52BB">
            <w:pPr>
              <w:spacing w:before="40" w:after="40" w:line="240" w:lineRule="auto"/>
              <w:rPr>
                <w:rFonts w:cs="Calibri"/>
                <w:spacing w:val="-12"/>
                <w:sz w:val="20"/>
                <w:szCs w:val="20"/>
              </w:rPr>
            </w:pPr>
            <w:r w:rsidRPr="00191EBB">
              <w:rPr>
                <w:rFonts w:cs="Calibri"/>
                <w:spacing w:val="-12"/>
                <w:sz w:val="20"/>
                <w:szCs w:val="20"/>
              </w:rPr>
              <w:t>Obra de ampliación S/E Ancoa 500 kV (Dex-310-2013)</w:t>
            </w:r>
          </w:p>
        </w:tc>
        <w:tc>
          <w:tcPr>
            <w:tcW w:w="1134" w:type="dxa"/>
            <w:vAlign w:val="center"/>
          </w:tcPr>
          <w:p w14:paraId="51FA4BF5" w14:textId="77777777" w:rsidR="00A33A22" w:rsidRPr="00191EBB" w:rsidRDefault="00A33A22" w:rsidP="003C52BB">
            <w:pPr>
              <w:spacing w:before="40" w:after="40" w:line="240" w:lineRule="auto"/>
              <w:jc w:val="center"/>
              <w:rPr>
                <w:rFonts w:cs="Calibri"/>
                <w:spacing w:val="-12"/>
                <w:sz w:val="20"/>
                <w:szCs w:val="20"/>
              </w:rPr>
            </w:pPr>
            <w:r w:rsidRPr="00191EBB">
              <w:rPr>
                <w:rFonts w:cs="Calibri"/>
                <w:spacing w:val="-12"/>
                <w:sz w:val="20"/>
                <w:szCs w:val="20"/>
              </w:rPr>
              <w:t>D310-13</w:t>
            </w:r>
          </w:p>
        </w:tc>
        <w:tc>
          <w:tcPr>
            <w:tcW w:w="1418" w:type="dxa"/>
            <w:vAlign w:val="center"/>
          </w:tcPr>
          <w:p w14:paraId="0A40D22B" w14:textId="77777777" w:rsidR="00A33A22" w:rsidRPr="00191EBB" w:rsidRDefault="00A33A22" w:rsidP="003C52BB">
            <w:pPr>
              <w:spacing w:before="40" w:after="40" w:line="240" w:lineRule="auto"/>
              <w:jc w:val="center"/>
              <w:rPr>
                <w:rFonts w:cs="Calibri"/>
                <w:spacing w:val="-12"/>
                <w:sz w:val="20"/>
                <w:szCs w:val="20"/>
              </w:rPr>
            </w:pPr>
            <w:r w:rsidRPr="00191EBB">
              <w:rPr>
                <w:rFonts w:cs="Calibri"/>
                <w:spacing w:val="-12"/>
                <w:sz w:val="20"/>
                <w:szCs w:val="20"/>
              </w:rPr>
              <w:t>Transelec</w:t>
            </w:r>
          </w:p>
        </w:tc>
      </w:tr>
      <w:tr w:rsidR="00A33A22" w:rsidRPr="00191EBB" w14:paraId="57C224A1" w14:textId="77777777" w:rsidTr="003C52BB">
        <w:trPr>
          <w:jc w:val="center"/>
        </w:trPr>
        <w:tc>
          <w:tcPr>
            <w:tcW w:w="567" w:type="dxa"/>
            <w:vAlign w:val="center"/>
          </w:tcPr>
          <w:p w14:paraId="60D90814" w14:textId="77777777" w:rsidR="00A33A22" w:rsidRPr="00191EBB" w:rsidRDefault="00A33A22" w:rsidP="003C52BB">
            <w:pPr>
              <w:spacing w:before="40" w:after="40" w:line="240" w:lineRule="auto"/>
              <w:jc w:val="center"/>
              <w:rPr>
                <w:rFonts w:cs="Calibri"/>
                <w:spacing w:val="-12"/>
                <w:sz w:val="20"/>
                <w:szCs w:val="20"/>
              </w:rPr>
            </w:pPr>
            <w:r w:rsidRPr="00191EBB">
              <w:rPr>
                <w:rFonts w:cs="Calibri"/>
                <w:color w:val="000000"/>
                <w:spacing w:val="-12"/>
                <w:sz w:val="20"/>
                <w:szCs w:val="20"/>
              </w:rPr>
              <w:t>21</w:t>
            </w:r>
          </w:p>
        </w:tc>
        <w:tc>
          <w:tcPr>
            <w:tcW w:w="10490" w:type="dxa"/>
            <w:vAlign w:val="center"/>
          </w:tcPr>
          <w:p w14:paraId="0117C11C" w14:textId="77777777" w:rsidR="00A33A22" w:rsidRPr="00191EBB" w:rsidRDefault="00A33A22" w:rsidP="003C52BB">
            <w:pPr>
              <w:spacing w:before="40" w:after="40" w:line="240" w:lineRule="auto"/>
              <w:rPr>
                <w:rFonts w:cs="Calibri"/>
                <w:spacing w:val="-12"/>
                <w:sz w:val="20"/>
                <w:szCs w:val="20"/>
              </w:rPr>
            </w:pPr>
            <w:r w:rsidRPr="00191EBB">
              <w:rPr>
                <w:rFonts w:cs="Calibri"/>
                <w:spacing w:val="-12"/>
                <w:sz w:val="20"/>
                <w:szCs w:val="20"/>
              </w:rPr>
              <w:t>Obra de aumento de capacidad de línea Maitencillo – Cardones 1x220 kV</w:t>
            </w:r>
          </w:p>
        </w:tc>
        <w:tc>
          <w:tcPr>
            <w:tcW w:w="1134" w:type="dxa"/>
            <w:vAlign w:val="center"/>
          </w:tcPr>
          <w:p w14:paraId="0757FA7C" w14:textId="77777777" w:rsidR="00A33A22" w:rsidRPr="00191EBB" w:rsidRDefault="00A33A22" w:rsidP="003C52BB">
            <w:pPr>
              <w:spacing w:before="40" w:after="40" w:line="240" w:lineRule="auto"/>
              <w:jc w:val="center"/>
              <w:rPr>
                <w:rFonts w:cs="Calibri"/>
                <w:spacing w:val="-12"/>
                <w:sz w:val="20"/>
                <w:szCs w:val="20"/>
              </w:rPr>
            </w:pPr>
            <w:r w:rsidRPr="00191EBB">
              <w:rPr>
                <w:rFonts w:cs="Calibri"/>
                <w:spacing w:val="-12"/>
                <w:sz w:val="20"/>
                <w:szCs w:val="20"/>
              </w:rPr>
              <w:t>D201-14</w:t>
            </w:r>
          </w:p>
        </w:tc>
        <w:tc>
          <w:tcPr>
            <w:tcW w:w="1418" w:type="dxa"/>
            <w:vAlign w:val="center"/>
          </w:tcPr>
          <w:p w14:paraId="55311A13" w14:textId="77777777" w:rsidR="00A33A22" w:rsidRPr="00191EBB" w:rsidRDefault="00A33A22" w:rsidP="003C52BB">
            <w:pPr>
              <w:spacing w:before="40" w:after="40" w:line="240" w:lineRule="auto"/>
              <w:jc w:val="center"/>
              <w:rPr>
                <w:rFonts w:cs="Calibri"/>
                <w:spacing w:val="-12"/>
                <w:sz w:val="20"/>
                <w:szCs w:val="20"/>
              </w:rPr>
            </w:pPr>
            <w:r w:rsidRPr="00191EBB">
              <w:rPr>
                <w:rFonts w:cs="Calibri"/>
                <w:spacing w:val="-12"/>
                <w:sz w:val="20"/>
                <w:szCs w:val="20"/>
              </w:rPr>
              <w:t>Transelec</w:t>
            </w:r>
          </w:p>
        </w:tc>
      </w:tr>
      <w:tr w:rsidR="00A33A22" w:rsidRPr="00191EBB" w14:paraId="764DB0EE" w14:textId="77777777" w:rsidTr="003C52BB">
        <w:trPr>
          <w:jc w:val="center"/>
        </w:trPr>
        <w:tc>
          <w:tcPr>
            <w:tcW w:w="567" w:type="dxa"/>
            <w:vAlign w:val="center"/>
          </w:tcPr>
          <w:p w14:paraId="4E040EDA" w14:textId="77777777" w:rsidR="00A33A22" w:rsidRPr="00191EBB" w:rsidRDefault="00A33A22" w:rsidP="003C52BB">
            <w:pPr>
              <w:spacing w:before="40" w:after="40" w:line="240" w:lineRule="auto"/>
              <w:jc w:val="center"/>
              <w:rPr>
                <w:rFonts w:cs="Calibri"/>
                <w:spacing w:val="-12"/>
                <w:sz w:val="20"/>
                <w:szCs w:val="20"/>
              </w:rPr>
            </w:pPr>
            <w:r w:rsidRPr="00191EBB">
              <w:rPr>
                <w:rFonts w:cs="Calibri"/>
                <w:color w:val="000000"/>
                <w:spacing w:val="-12"/>
                <w:sz w:val="20"/>
                <w:szCs w:val="20"/>
              </w:rPr>
              <w:t>22</w:t>
            </w:r>
          </w:p>
        </w:tc>
        <w:tc>
          <w:tcPr>
            <w:tcW w:w="10490" w:type="dxa"/>
            <w:vAlign w:val="center"/>
          </w:tcPr>
          <w:p w14:paraId="0CBA9D49" w14:textId="77777777" w:rsidR="00A33A22" w:rsidRPr="00191EBB" w:rsidRDefault="00A33A22" w:rsidP="003C52BB">
            <w:pPr>
              <w:spacing w:before="40" w:after="40" w:line="240" w:lineRule="auto"/>
              <w:rPr>
                <w:rFonts w:cs="Calibri"/>
                <w:spacing w:val="-12"/>
                <w:sz w:val="20"/>
                <w:szCs w:val="20"/>
              </w:rPr>
            </w:pPr>
            <w:r w:rsidRPr="00191EBB">
              <w:rPr>
                <w:rFonts w:cs="Calibri"/>
                <w:spacing w:val="-12"/>
                <w:sz w:val="20"/>
                <w:szCs w:val="20"/>
              </w:rPr>
              <w:t>Obra de seccionamiento barra 500 kV subestación Alto Jahuel</w:t>
            </w:r>
          </w:p>
        </w:tc>
        <w:tc>
          <w:tcPr>
            <w:tcW w:w="1134" w:type="dxa"/>
            <w:vAlign w:val="center"/>
          </w:tcPr>
          <w:p w14:paraId="6E30B60F" w14:textId="77777777" w:rsidR="00A33A22" w:rsidRPr="00191EBB" w:rsidRDefault="00A33A22" w:rsidP="003C52BB">
            <w:pPr>
              <w:spacing w:before="40" w:after="40" w:line="240" w:lineRule="auto"/>
              <w:jc w:val="center"/>
              <w:rPr>
                <w:rFonts w:cs="Calibri"/>
                <w:spacing w:val="-12"/>
                <w:sz w:val="20"/>
                <w:szCs w:val="20"/>
              </w:rPr>
            </w:pPr>
            <w:r w:rsidRPr="00191EBB">
              <w:rPr>
                <w:rFonts w:cs="Calibri"/>
                <w:spacing w:val="-12"/>
                <w:sz w:val="20"/>
                <w:szCs w:val="20"/>
              </w:rPr>
              <w:t>D201-14</w:t>
            </w:r>
          </w:p>
        </w:tc>
        <w:tc>
          <w:tcPr>
            <w:tcW w:w="1418" w:type="dxa"/>
            <w:vAlign w:val="center"/>
          </w:tcPr>
          <w:p w14:paraId="5DC554A9" w14:textId="77777777" w:rsidR="00A33A22" w:rsidRPr="00191EBB" w:rsidRDefault="00A33A22" w:rsidP="003C52BB">
            <w:pPr>
              <w:spacing w:before="40" w:after="40" w:line="240" w:lineRule="auto"/>
              <w:jc w:val="center"/>
              <w:rPr>
                <w:rFonts w:cs="Calibri"/>
                <w:spacing w:val="-12"/>
                <w:sz w:val="20"/>
                <w:szCs w:val="20"/>
              </w:rPr>
            </w:pPr>
            <w:r w:rsidRPr="00191EBB">
              <w:rPr>
                <w:rFonts w:cs="Calibri"/>
                <w:spacing w:val="-12"/>
                <w:sz w:val="20"/>
                <w:szCs w:val="20"/>
              </w:rPr>
              <w:t>Transelec</w:t>
            </w:r>
          </w:p>
        </w:tc>
      </w:tr>
      <w:tr w:rsidR="00A33A22" w:rsidRPr="00191EBB" w14:paraId="0938AE56" w14:textId="77777777" w:rsidTr="003C52BB">
        <w:trPr>
          <w:jc w:val="center"/>
        </w:trPr>
        <w:tc>
          <w:tcPr>
            <w:tcW w:w="567" w:type="dxa"/>
            <w:vAlign w:val="center"/>
          </w:tcPr>
          <w:p w14:paraId="1D899CFD" w14:textId="77777777" w:rsidR="00A33A22" w:rsidRPr="00191EBB" w:rsidRDefault="00A33A22" w:rsidP="003C52BB">
            <w:pPr>
              <w:spacing w:before="40" w:after="40" w:line="240" w:lineRule="auto"/>
              <w:jc w:val="center"/>
              <w:rPr>
                <w:rFonts w:cs="Calibri"/>
                <w:spacing w:val="-12"/>
                <w:sz w:val="20"/>
                <w:szCs w:val="20"/>
              </w:rPr>
            </w:pPr>
            <w:r w:rsidRPr="00191EBB">
              <w:rPr>
                <w:rFonts w:cs="Calibri"/>
                <w:color w:val="000000"/>
                <w:spacing w:val="-12"/>
                <w:sz w:val="20"/>
                <w:szCs w:val="20"/>
              </w:rPr>
              <w:lastRenderedPageBreak/>
              <w:t>23</w:t>
            </w:r>
          </w:p>
        </w:tc>
        <w:tc>
          <w:tcPr>
            <w:tcW w:w="10490" w:type="dxa"/>
            <w:vAlign w:val="center"/>
          </w:tcPr>
          <w:p w14:paraId="43585992" w14:textId="77777777" w:rsidR="00A33A22" w:rsidRPr="00191EBB" w:rsidRDefault="00A33A22" w:rsidP="003C52BB">
            <w:pPr>
              <w:spacing w:before="40" w:after="40" w:line="240" w:lineRule="auto"/>
              <w:rPr>
                <w:rFonts w:cs="Calibri"/>
                <w:spacing w:val="-12"/>
                <w:sz w:val="20"/>
                <w:szCs w:val="20"/>
              </w:rPr>
            </w:pPr>
            <w:r w:rsidRPr="00191EBB">
              <w:rPr>
                <w:rFonts w:cs="Calibri"/>
                <w:spacing w:val="-12"/>
                <w:sz w:val="20"/>
                <w:szCs w:val="20"/>
              </w:rPr>
              <w:t>Obra de seccionamiento barra 500 kV subestación Ancoa</w:t>
            </w:r>
          </w:p>
        </w:tc>
        <w:tc>
          <w:tcPr>
            <w:tcW w:w="1134" w:type="dxa"/>
            <w:vAlign w:val="center"/>
          </w:tcPr>
          <w:p w14:paraId="2F7110B4" w14:textId="77777777" w:rsidR="00A33A22" w:rsidRPr="00191EBB" w:rsidRDefault="00A33A22" w:rsidP="003C52BB">
            <w:pPr>
              <w:spacing w:before="40" w:after="40" w:line="240" w:lineRule="auto"/>
              <w:jc w:val="center"/>
              <w:rPr>
                <w:rFonts w:cs="Calibri"/>
                <w:spacing w:val="-12"/>
                <w:sz w:val="20"/>
                <w:szCs w:val="20"/>
              </w:rPr>
            </w:pPr>
            <w:r w:rsidRPr="00191EBB">
              <w:rPr>
                <w:rFonts w:cs="Calibri"/>
                <w:spacing w:val="-12"/>
                <w:sz w:val="20"/>
                <w:szCs w:val="20"/>
              </w:rPr>
              <w:t>D201-14</w:t>
            </w:r>
          </w:p>
        </w:tc>
        <w:tc>
          <w:tcPr>
            <w:tcW w:w="1418" w:type="dxa"/>
            <w:vAlign w:val="center"/>
          </w:tcPr>
          <w:p w14:paraId="1F9A9AFD" w14:textId="77777777" w:rsidR="00A33A22" w:rsidRPr="00191EBB" w:rsidRDefault="00A33A22" w:rsidP="003C52BB">
            <w:pPr>
              <w:spacing w:before="40" w:after="40" w:line="240" w:lineRule="auto"/>
              <w:jc w:val="center"/>
              <w:rPr>
                <w:rFonts w:cs="Calibri"/>
                <w:spacing w:val="-12"/>
                <w:sz w:val="20"/>
                <w:szCs w:val="20"/>
              </w:rPr>
            </w:pPr>
            <w:r w:rsidRPr="00191EBB">
              <w:rPr>
                <w:rFonts w:cs="Calibri"/>
                <w:spacing w:val="-12"/>
                <w:sz w:val="20"/>
                <w:szCs w:val="20"/>
              </w:rPr>
              <w:t>Transelec</w:t>
            </w:r>
          </w:p>
        </w:tc>
      </w:tr>
      <w:tr w:rsidR="00A33A22" w:rsidRPr="00191EBB" w14:paraId="55495804" w14:textId="77777777" w:rsidTr="003C52BB">
        <w:trPr>
          <w:jc w:val="center"/>
        </w:trPr>
        <w:tc>
          <w:tcPr>
            <w:tcW w:w="567" w:type="dxa"/>
            <w:vAlign w:val="center"/>
          </w:tcPr>
          <w:p w14:paraId="5E84C539" w14:textId="77777777" w:rsidR="00A33A22" w:rsidRPr="00191EBB" w:rsidRDefault="00A33A22" w:rsidP="003C52BB">
            <w:pPr>
              <w:spacing w:before="40" w:after="40" w:line="240" w:lineRule="auto"/>
              <w:jc w:val="center"/>
              <w:rPr>
                <w:rFonts w:cs="Calibri"/>
                <w:spacing w:val="-12"/>
                <w:sz w:val="20"/>
                <w:szCs w:val="20"/>
              </w:rPr>
            </w:pPr>
            <w:r w:rsidRPr="00191EBB">
              <w:rPr>
                <w:rFonts w:cs="Calibri"/>
                <w:color w:val="000000"/>
                <w:spacing w:val="-12"/>
                <w:sz w:val="20"/>
                <w:szCs w:val="20"/>
              </w:rPr>
              <w:t>24</w:t>
            </w:r>
          </w:p>
        </w:tc>
        <w:tc>
          <w:tcPr>
            <w:tcW w:w="10490" w:type="dxa"/>
            <w:vAlign w:val="center"/>
          </w:tcPr>
          <w:p w14:paraId="268F0D73" w14:textId="77777777" w:rsidR="00A33A22" w:rsidRPr="00191EBB" w:rsidRDefault="00A33A22" w:rsidP="003C52BB">
            <w:pPr>
              <w:spacing w:before="40" w:after="40" w:line="240" w:lineRule="auto"/>
              <w:rPr>
                <w:rFonts w:cs="Calibri"/>
                <w:spacing w:val="-12"/>
                <w:sz w:val="20"/>
                <w:szCs w:val="20"/>
              </w:rPr>
            </w:pPr>
            <w:r w:rsidRPr="00191EBB">
              <w:rPr>
                <w:rFonts w:cs="Calibri"/>
                <w:spacing w:val="-12"/>
                <w:sz w:val="20"/>
                <w:szCs w:val="20"/>
              </w:rPr>
              <w:t>Obra de seccionamiento barra 500 kV subestación Charrúa</w:t>
            </w:r>
          </w:p>
        </w:tc>
        <w:tc>
          <w:tcPr>
            <w:tcW w:w="1134" w:type="dxa"/>
            <w:vAlign w:val="center"/>
          </w:tcPr>
          <w:p w14:paraId="5903C446" w14:textId="77777777" w:rsidR="00A33A22" w:rsidRPr="00191EBB" w:rsidRDefault="00A33A22" w:rsidP="003C52BB">
            <w:pPr>
              <w:spacing w:before="40" w:after="40" w:line="240" w:lineRule="auto"/>
              <w:jc w:val="center"/>
              <w:rPr>
                <w:rFonts w:cs="Calibri"/>
                <w:spacing w:val="-12"/>
                <w:sz w:val="20"/>
                <w:szCs w:val="20"/>
              </w:rPr>
            </w:pPr>
            <w:r w:rsidRPr="00191EBB">
              <w:rPr>
                <w:rFonts w:cs="Calibri"/>
                <w:spacing w:val="-12"/>
                <w:sz w:val="20"/>
                <w:szCs w:val="20"/>
              </w:rPr>
              <w:t>D201-14</w:t>
            </w:r>
          </w:p>
        </w:tc>
        <w:tc>
          <w:tcPr>
            <w:tcW w:w="1418" w:type="dxa"/>
            <w:vAlign w:val="center"/>
          </w:tcPr>
          <w:p w14:paraId="008DA6EC" w14:textId="77777777" w:rsidR="00A33A22" w:rsidRPr="00191EBB" w:rsidRDefault="00A33A22" w:rsidP="003C52BB">
            <w:pPr>
              <w:spacing w:before="40" w:after="40" w:line="240" w:lineRule="auto"/>
              <w:jc w:val="center"/>
              <w:rPr>
                <w:rFonts w:cs="Calibri"/>
                <w:spacing w:val="-12"/>
                <w:sz w:val="20"/>
                <w:szCs w:val="20"/>
              </w:rPr>
            </w:pPr>
            <w:r w:rsidRPr="00191EBB">
              <w:rPr>
                <w:rFonts w:cs="Calibri"/>
                <w:spacing w:val="-12"/>
                <w:sz w:val="20"/>
                <w:szCs w:val="20"/>
              </w:rPr>
              <w:t>Transelec</w:t>
            </w:r>
          </w:p>
        </w:tc>
      </w:tr>
      <w:tr w:rsidR="00A33A22" w:rsidRPr="00191EBB" w14:paraId="4FB86DC8" w14:textId="77777777" w:rsidTr="003C52BB">
        <w:trPr>
          <w:jc w:val="center"/>
        </w:trPr>
        <w:tc>
          <w:tcPr>
            <w:tcW w:w="567" w:type="dxa"/>
            <w:vAlign w:val="center"/>
          </w:tcPr>
          <w:p w14:paraId="79C278B4" w14:textId="77777777" w:rsidR="00A33A22" w:rsidRPr="00191EBB" w:rsidRDefault="00A33A22" w:rsidP="003C52BB">
            <w:pPr>
              <w:spacing w:before="40" w:after="40" w:line="240" w:lineRule="auto"/>
              <w:jc w:val="center"/>
              <w:rPr>
                <w:rFonts w:cs="Calibri"/>
                <w:spacing w:val="-12"/>
                <w:sz w:val="20"/>
                <w:szCs w:val="20"/>
              </w:rPr>
            </w:pPr>
            <w:r w:rsidRPr="00191EBB">
              <w:rPr>
                <w:rFonts w:cs="Calibri"/>
                <w:color w:val="000000"/>
                <w:spacing w:val="-12"/>
                <w:sz w:val="20"/>
                <w:szCs w:val="20"/>
              </w:rPr>
              <w:t>25</w:t>
            </w:r>
          </w:p>
        </w:tc>
        <w:tc>
          <w:tcPr>
            <w:tcW w:w="10490" w:type="dxa"/>
            <w:vAlign w:val="center"/>
          </w:tcPr>
          <w:p w14:paraId="349D823C" w14:textId="77777777" w:rsidR="00A33A22" w:rsidRPr="00191EBB" w:rsidRDefault="00A33A22" w:rsidP="003C52BB">
            <w:pPr>
              <w:spacing w:before="40" w:after="40" w:line="240" w:lineRule="auto"/>
              <w:rPr>
                <w:rFonts w:cs="Calibri"/>
                <w:spacing w:val="-12"/>
                <w:sz w:val="20"/>
                <w:szCs w:val="20"/>
              </w:rPr>
            </w:pPr>
            <w:r w:rsidRPr="00191EBB">
              <w:rPr>
                <w:rFonts w:cs="Calibri"/>
                <w:spacing w:val="-12"/>
                <w:sz w:val="20"/>
                <w:szCs w:val="20"/>
              </w:rPr>
              <w:t>Obra de seccionamiento barra principal en S/E Carrera Pinto</w:t>
            </w:r>
          </w:p>
        </w:tc>
        <w:tc>
          <w:tcPr>
            <w:tcW w:w="1134" w:type="dxa"/>
            <w:vAlign w:val="center"/>
          </w:tcPr>
          <w:p w14:paraId="199A008E" w14:textId="77777777" w:rsidR="00A33A22" w:rsidRPr="00191EBB" w:rsidRDefault="00A33A22" w:rsidP="003C52BB">
            <w:pPr>
              <w:spacing w:before="40" w:after="40" w:line="240" w:lineRule="auto"/>
              <w:jc w:val="center"/>
              <w:rPr>
                <w:rFonts w:cs="Calibri"/>
                <w:spacing w:val="-12"/>
                <w:sz w:val="20"/>
                <w:szCs w:val="20"/>
              </w:rPr>
            </w:pPr>
            <w:r w:rsidRPr="00191EBB">
              <w:rPr>
                <w:rFonts w:cs="Calibri"/>
                <w:spacing w:val="-12"/>
                <w:sz w:val="20"/>
                <w:szCs w:val="20"/>
              </w:rPr>
              <w:t>D201-14</w:t>
            </w:r>
          </w:p>
        </w:tc>
        <w:tc>
          <w:tcPr>
            <w:tcW w:w="1418" w:type="dxa"/>
            <w:vAlign w:val="center"/>
          </w:tcPr>
          <w:p w14:paraId="44140960" w14:textId="77777777" w:rsidR="00A33A22" w:rsidRPr="00191EBB" w:rsidRDefault="00A33A22" w:rsidP="003C52BB">
            <w:pPr>
              <w:spacing w:before="40" w:after="40" w:line="240" w:lineRule="auto"/>
              <w:jc w:val="center"/>
              <w:rPr>
                <w:rFonts w:cs="Calibri"/>
                <w:spacing w:val="-12"/>
                <w:sz w:val="20"/>
                <w:szCs w:val="20"/>
              </w:rPr>
            </w:pPr>
            <w:r w:rsidRPr="00191EBB">
              <w:rPr>
                <w:rFonts w:cs="Calibri"/>
                <w:spacing w:val="-12"/>
                <w:sz w:val="20"/>
                <w:szCs w:val="20"/>
              </w:rPr>
              <w:t>Transelec</w:t>
            </w:r>
          </w:p>
        </w:tc>
      </w:tr>
      <w:tr w:rsidR="00A33A22" w:rsidRPr="00191EBB" w14:paraId="7FD83411" w14:textId="77777777" w:rsidTr="003C52BB">
        <w:trPr>
          <w:jc w:val="center"/>
        </w:trPr>
        <w:tc>
          <w:tcPr>
            <w:tcW w:w="567" w:type="dxa"/>
            <w:vAlign w:val="center"/>
          </w:tcPr>
          <w:p w14:paraId="71587D8D" w14:textId="77777777" w:rsidR="00A33A22" w:rsidRPr="00191EBB" w:rsidRDefault="00A33A22" w:rsidP="003C52BB">
            <w:pPr>
              <w:spacing w:before="40" w:after="40" w:line="240" w:lineRule="auto"/>
              <w:jc w:val="center"/>
              <w:rPr>
                <w:rFonts w:cs="Calibri"/>
                <w:spacing w:val="-12"/>
                <w:sz w:val="20"/>
                <w:szCs w:val="20"/>
              </w:rPr>
            </w:pPr>
            <w:r w:rsidRPr="00191EBB">
              <w:rPr>
                <w:rFonts w:cs="Calibri"/>
                <w:color w:val="000000"/>
                <w:spacing w:val="-12"/>
                <w:sz w:val="20"/>
                <w:szCs w:val="20"/>
              </w:rPr>
              <w:t>26</w:t>
            </w:r>
          </w:p>
        </w:tc>
        <w:tc>
          <w:tcPr>
            <w:tcW w:w="10490" w:type="dxa"/>
            <w:vAlign w:val="center"/>
          </w:tcPr>
          <w:p w14:paraId="6AD579A4" w14:textId="77777777" w:rsidR="00A33A22" w:rsidRPr="00191EBB" w:rsidRDefault="00A33A22" w:rsidP="003C52BB">
            <w:pPr>
              <w:spacing w:before="40" w:after="40" w:line="240" w:lineRule="auto"/>
              <w:rPr>
                <w:rFonts w:cs="Calibri"/>
                <w:spacing w:val="-12"/>
                <w:sz w:val="20"/>
                <w:szCs w:val="20"/>
              </w:rPr>
            </w:pPr>
            <w:r w:rsidRPr="00191EBB">
              <w:rPr>
                <w:rFonts w:cs="Calibri"/>
                <w:spacing w:val="-12"/>
                <w:sz w:val="20"/>
                <w:szCs w:val="20"/>
              </w:rPr>
              <w:t>Obra de seccionamiento completo en subestación Rahue</w:t>
            </w:r>
          </w:p>
        </w:tc>
        <w:tc>
          <w:tcPr>
            <w:tcW w:w="1134" w:type="dxa"/>
            <w:vAlign w:val="center"/>
          </w:tcPr>
          <w:p w14:paraId="1AA86651" w14:textId="77777777" w:rsidR="00A33A22" w:rsidRPr="00191EBB" w:rsidRDefault="00A33A22" w:rsidP="003C52BB">
            <w:pPr>
              <w:spacing w:before="40" w:after="40" w:line="240" w:lineRule="auto"/>
              <w:jc w:val="center"/>
              <w:rPr>
                <w:rFonts w:cs="Calibri"/>
                <w:spacing w:val="-12"/>
                <w:sz w:val="20"/>
                <w:szCs w:val="20"/>
              </w:rPr>
            </w:pPr>
            <w:r w:rsidRPr="00191EBB">
              <w:rPr>
                <w:rFonts w:cs="Calibri"/>
                <w:spacing w:val="-12"/>
                <w:sz w:val="20"/>
                <w:szCs w:val="20"/>
              </w:rPr>
              <w:t>D201-14</w:t>
            </w:r>
          </w:p>
        </w:tc>
        <w:tc>
          <w:tcPr>
            <w:tcW w:w="1418" w:type="dxa"/>
            <w:vAlign w:val="center"/>
          </w:tcPr>
          <w:p w14:paraId="4969EDE5" w14:textId="77777777" w:rsidR="00A33A22" w:rsidRPr="00191EBB" w:rsidRDefault="00A33A22" w:rsidP="003C52BB">
            <w:pPr>
              <w:spacing w:before="40" w:after="40" w:line="240" w:lineRule="auto"/>
              <w:jc w:val="center"/>
              <w:rPr>
                <w:rFonts w:cs="Calibri"/>
                <w:spacing w:val="-12"/>
                <w:sz w:val="20"/>
                <w:szCs w:val="20"/>
              </w:rPr>
            </w:pPr>
            <w:r w:rsidRPr="00191EBB">
              <w:rPr>
                <w:rFonts w:cs="Calibri"/>
                <w:spacing w:val="-12"/>
                <w:sz w:val="20"/>
                <w:szCs w:val="20"/>
              </w:rPr>
              <w:t>Transelec</w:t>
            </w:r>
          </w:p>
        </w:tc>
      </w:tr>
      <w:tr w:rsidR="00A33A22" w:rsidRPr="00191EBB" w14:paraId="162F759F" w14:textId="77777777" w:rsidTr="003C52BB">
        <w:trPr>
          <w:jc w:val="center"/>
        </w:trPr>
        <w:tc>
          <w:tcPr>
            <w:tcW w:w="567" w:type="dxa"/>
            <w:vAlign w:val="center"/>
          </w:tcPr>
          <w:p w14:paraId="24527420" w14:textId="77777777" w:rsidR="00A33A22" w:rsidRPr="00191EBB" w:rsidRDefault="00A33A22" w:rsidP="003C52BB">
            <w:pPr>
              <w:spacing w:before="40" w:after="40" w:line="240" w:lineRule="auto"/>
              <w:jc w:val="center"/>
              <w:rPr>
                <w:rFonts w:cs="Calibri"/>
                <w:spacing w:val="-12"/>
                <w:sz w:val="20"/>
                <w:szCs w:val="20"/>
              </w:rPr>
            </w:pPr>
            <w:r w:rsidRPr="00191EBB">
              <w:rPr>
                <w:rFonts w:cs="Calibri"/>
                <w:color w:val="000000"/>
                <w:spacing w:val="-12"/>
                <w:sz w:val="20"/>
                <w:szCs w:val="20"/>
              </w:rPr>
              <w:t>27</w:t>
            </w:r>
          </w:p>
        </w:tc>
        <w:tc>
          <w:tcPr>
            <w:tcW w:w="10490" w:type="dxa"/>
            <w:vAlign w:val="center"/>
          </w:tcPr>
          <w:p w14:paraId="0A3DC486" w14:textId="77777777" w:rsidR="00A33A22" w:rsidRPr="00191EBB" w:rsidRDefault="00A33A22" w:rsidP="003C52BB">
            <w:pPr>
              <w:spacing w:before="40" w:after="40" w:line="240" w:lineRule="auto"/>
              <w:rPr>
                <w:rFonts w:cs="Calibri"/>
                <w:spacing w:val="-12"/>
                <w:sz w:val="20"/>
                <w:szCs w:val="20"/>
              </w:rPr>
            </w:pPr>
            <w:r w:rsidRPr="00191EBB">
              <w:rPr>
                <w:rFonts w:cs="Calibri"/>
                <w:spacing w:val="-12"/>
                <w:sz w:val="20"/>
                <w:szCs w:val="20"/>
              </w:rPr>
              <w:t>Obra de ampliación cambio de interruptores 52J23 y 52J3 en S/E Charrúa 220 kV</w:t>
            </w:r>
          </w:p>
        </w:tc>
        <w:tc>
          <w:tcPr>
            <w:tcW w:w="1134" w:type="dxa"/>
            <w:vAlign w:val="center"/>
          </w:tcPr>
          <w:p w14:paraId="7EA8F46F" w14:textId="77777777" w:rsidR="00A33A22" w:rsidRPr="00191EBB" w:rsidRDefault="00A33A22" w:rsidP="003C52BB">
            <w:pPr>
              <w:spacing w:before="40" w:after="40" w:line="240" w:lineRule="auto"/>
              <w:jc w:val="center"/>
              <w:rPr>
                <w:rFonts w:cs="Calibri"/>
                <w:spacing w:val="-12"/>
                <w:sz w:val="20"/>
                <w:szCs w:val="20"/>
              </w:rPr>
            </w:pPr>
            <w:r w:rsidRPr="00191EBB">
              <w:rPr>
                <w:rFonts w:cs="Calibri"/>
                <w:spacing w:val="-12"/>
                <w:sz w:val="20"/>
                <w:szCs w:val="20"/>
              </w:rPr>
              <w:t>D158-15</w:t>
            </w:r>
          </w:p>
        </w:tc>
        <w:tc>
          <w:tcPr>
            <w:tcW w:w="1418" w:type="dxa"/>
            <w:vAlign w:val="center"/>
          </w:tcPr>
          <w:p w14:paraId="32B64986" w14:textId="77777777" w:rsidR="00A33A22" w:rsidRPr="00191EBB" w:rsidRDefault="00A33A22" w:rsidP="003C52BB">
            <w:pPr>
              <w:spacing w:before="40" w:after="40" w:line="240" w:lineRule="auto"/>
              <w:jc w:val="center"/>
              <w:rPr>
                <w:rFonts w:cs="Calibri"/>
                <w:spacing w:val="-12"/>
                <w:sz w:val="20"/>
                <w:szCs w:val="20"/>
              </w:rPr>
            </w:pPr>
            <w:r w:rsidRPr="00191EBB">
              <w:rPr>
                <w:rFonts w:cs="Calibri"/>
                <w:spacing w:val="-12"/>
                <w:sz w:val="20"/>
                <w:szCs w:val="20"/>
              </w:rPr>
              <w:t>TransChile</w:t>
            </w:r>
          </w:p>
        </w:tc>
      </w:tr>
      <w:tr w:rsidR="00A33A22" w:rsidRPr="00191EBB" w14:paraId="74B4E483" w14:textId="77777777" w:rsidTr="003C52BB">
        <w:trPr>
          <w:jc w:val="center"/>
        </w:trPr>
        <w:tc>
          <w:tcPr>
            <w:tcW w:w="567" w:type="dxa"/>
            <w:vAlign w:val="center"/>
          </w:tcPr>
          <w:p w14:paraId="35C0035E" w14:textId="77777777" w:rsidR="00A33A22" w:rsidRPr="00191EBB" w:rsidRDefault="00A33A22" w:rsidP="003C52BB">
            <w:pPr>
              <w:spacing w:before="40" w:after="40" w:line="240" w:lineRule="auto"/>
              <w:jc w:val="center"/>
              <w:rPr>
                <w:rFonts w:cs="Calibri"/>
                <w:spacing w:val="-12"/>
                <w:sz w:val="20"/>
                <w:szCs w:val="20"/>
              </w:rPr>
            </w:pPr>
            <w:r w:rsidRPr="00191EBB">
              <w:rPr>
                <w:rFonts w:cs="Calibri"/>
                <w:color w:val="000000"/>
                <w:spacing w:val="-12"/>
                <w:sz w:val="20"/>
                <w:szCs w:val="20"/>
              </w:rPr>
              <w:t>28</w:t>
            </w:r>
          </w:p>
        </w:tc>
        <w:tc>
          <w:tcPr>
            <w:tcW w:w="10490" w:type="dxa"/>
            <w:vAlign w:val="center"/>
          </w:tcPr>
          <w:p w14:paraId="224E063E" w14:textId="77777777" w:rsidR="00A33A22" w:rsidRPr="00191EBB" w:rsidRDefault="00A33A22" w:rsidP="003C52BB">
            <w:pPr>
              <w:spacing w:before="40" w:after="40" w:line="240" w:lineRule="auto"/>
              <w:rPr>
                <w:rFonts w:cs="Calibri"/>
                <w:spacing w:val="-12"/>
                <w:sz w:val="20"/>
                <w:szCs w:val="20"/>
              </w:rPr>
            </w:pPr>
            <w:r w:rsidRPr="00191EBB">
              <w:rPr>
                <w:rFonts w:cs="Calibri"/>
                <w:spacing w:val="-12"/>
                <w:sz w:val="20"/>
                <w:szCs w:val="20"/>
              </w:rPr>
              <w:t>Obra de ampliación cambio de interruptores 52JS, 52JCE1, 52J6, 52JZ3 y 52J7 en S/E Alto Jahuel 220 kV</w:t>
            </w:r>
          </w:p>
        </w:tc>
        <w:tc>
          <w:tcPr>
            <w:tcW w:w="1134" w:type="dxa"/>
            <w:vAlign w:val="center"/>
          </w:tcPr>
          <w:p w14:paraId="26522AE1" w14:textId="77777777" w:rsidR="00A33A22" w:rsidRPr="00191EBB" w:rsidRDefault="00A33A22" w:rsidP="003C52BB">
            <w:pPr>
              <w:spacing w:before="40" w:after="40" w:line="240" w:lineRule="auto"/>
              <w:jc w:val="center"/>
              <w:rPr>
                <w:rFonts w:cs="Calibri"/>
                <w:spacing w:val="-12"/>
                <w:sz w:val="20"/>
                <w:szCs w:val="20"/>
              </w:rPr>
            </w:pPr>
            <w:r w:rsidRPr="00191EBB">
              <w:rPr>
                <w:rFonts w:cs="Calibri"/>
                <w:spacing w:val="-12"/>
                <w:sz w:val="20"/>
                <w:szCs w:val="20"/>
              </w:rPr>
              <w:t>D158-15</w:t>
            </w:r>
          </w:p>
        </w:tc>
        <w:tc>
          <w:tcPr>
            <w:tcW w:w="1418" w:type="dxa"/>
            <w:vAlign w:val="center"/>
          </w:tcPr>
          <w:p w14:paraId="3943AF9D" w14:textId="77777777" w:rsidR="00A33A22" w:rsidRPr="00191EBB" w:rsidRDefault="00A33A22" w:rsidP="003C52BB">
            <w:pPr>
              <w:spacing w:before="40" w:after="40" w:line="240" w:lineRule="auto"/>
              <w:jc w:val="center"/>
              <w:rPr>
                <w:rFonts w:cs="Calibri"/>
                <w:spacing w:val="-12"/>
                <w:sz w:val="20"/>
                <w:szCs w:val="20"/>
              </w:rPr>
            </w:pPr>
            <w:r w:rsidRPr="00191EBB">
              <w:rPr>
                <w:rFonts w:cs="Calibri"/>
                <w:spacing w:val="-12"/>
                <w:sz w:val="20"/>
                <w:szCs w:val="20"/>
              </w:rPr>
              <w:t>Transelec</w:t>
            </w:r>
          </w:p>
        </w:tc>
      </w:tr>
      <w:tr w:rsidR="00A33A22" w:rsidRPr="00191EBB" w14:paraId="77A2F7C2" w14:textId="77777777" w:rsidTr="003C52BB">
        <w:trPr>
          <w:jc w:val="center"/>
        </w:trPr>
        <w:tc>
          <w:tcPr>
            <w:tcW w:w="567" w:type="dxa"/>
            <w:vAlign w:val="center"/>
          </w:tcPr>
          <w:p w14:paraId="5AAF648F" w14:textId="77777777" w:rsidR="00A33A22" w:rsidRPr="00191EBB" w:rsidRDefault="00A33A22" w:rsidP="003C52BB">
            <w:pPr>
              <w:spacing w:before="40" w:after="40" w:line="240" w:lineRule="auto"/>
              <w:jc w:val="center"/>
              <w:rPr>
                <w:rFonts w:cs="Calibri"/>
                <w:spacing w:val="-12"/>
                <w:sz w:val="20"/>
                <w:szCs w:val="20"/>
              </w:rPr>
            </w:pPr>
            <w:r w:rsidRPr="00191EBB">
              <w:rPr>
                <w:rFonts w:cs="Calibri"/>
                <w:color w:val="000000"/>
                <w:spacing w:val="-12"/>
                <w:sz w:val="20"/>
                <w:szCs w:val="20"/>
              </w:rPr>
              <w:t>29</w:t>
            </w:r>
          </w:p>
        </w:tc>
        <w:tc>
          <w:tcPr>
            <w:tcW w:w="10490" w:type="dxa"/>
            <w:vAlign w:val="center"/>
          </w:tcPr>
          <w:p w14:paraId="15B19C3E" w14:textId="77777777" w:rsidR="00A33A22" w:rsidRPr="00191EBB" w:rsidRDefault="00A33A22" w:rsidP="003C52BB">
            <w:pPr>
              <w:spacing w:before="40" w:after="40" w:line="240" w:lineRule="auto"/>
              <w:rPr>
                <w:rFonts w:cs="Calibri"/>
                <w:spacing w:val="-12"/>
                <w:sz w:val="20"/>
                <w:szCs w:val="20"/>
              </w:rPr>
            </w:pPr>
            <w:r w:rsidRPr="00191EBB">
              <w:rPr>
                <w:rFonts w:cs="Calibri"/>
                <w:spacing w:val="-12"/>
                <w:sz w:val="20"/>
                <w:szCs w:val="20"/>
              </w:rPr>
              <w:t>Obra de ampliación cambio de interruptores 52JT5, 52JT6 y 52J15 en S/E Charrúa 220 kV</w:t>
            </w:r>
          </w:p>
        </w:tc>
        <w:tc>
          <w:tcPr>
            <w:tcW w:w="1134" w:type="dxa"/>
            <w:vAlign w:val="center"/>
          </w:tcPr>
          <w:p w14:paraId="59C3A547" w14:textId="77777777" w:rsidR="00A33A22" w:rsidRPr="00191EBB" w:rsidRDefault="00A33A22" w:rsidP="003C52BB">
            <w:pPr>
              <w:spacing w:before="40" w:after="40" w:line="240" w:lineRule="auto"/>
              <w:jc w:val="center"/>
              <w:rPr>
                <w:rFonts w:cs="Calibri"/>
                <w:spacing w:val="-12"/>
                <w:sz w:val="20"/>
                <w:szCs w:val="20"/>
              </w:rPr>
            </w:pPr>
            <w:r w:rsidRPr="00191EBB">
              <w:rPr>
                <w:rFonts w:cs="Calibri"/>
                <w:spacing w:val="-12"/>
                <w:sz w:val="20"/>
                <w:szCs w:val="20"/>
              </w:rPr>
              <w:t>D158-15</w:t>
            </w:r>
          </w:p>
        </w:tc>
        <w:tc>
          <w:tcPr>
            <w:tcW w:w="1418" w:type="dxa"/>
            <w:vAlign w:val="center"/>
          </w:tcPr>
          <w:p w14:paraId="41A87BD2" w14:textId="77777777" w:rsidR="00A33A22" w:rsidRPr="00191EBB" w:rsidRDefault="00A33A22" w:rsidP="003C52BB">
            <w:pPr>
              <w:spacing w:before="40" w:after="40" w:line="240" w:lineRule="auto"/>
              <w:jc w:val="center"/>
              <w:rPr>
                <w:rFonts w:cs="Calibri"/>
                <w:spacing w:val="-12"/>
                <w:sz w:val="20"/>
                <w:szCs w:val="20"/>
              </w:rPr>
            </w:pPr>
            <w:r w:rsidRPr="00191EBB">
              <w:rPr>
                <w:rFonts w:cs="Calibri"/>
                <w:spacing w:val="-12"/>
                <w:sz w:val="20"/>
                <w:szCs w:val="20"/>
              </w:rPr>
              <w:t>Transelec</w:t>
            </w:r>
          </w:p>
        </w:tc>
      </w:tr>
      <w:tr w:rsidR="00A33A22" w:rsidRPr="00191EBB" w14:paraId="22E3E175" w14:textId="77777777" w:rsidTr="003C52BB">
        <w:trPr>
          <w:jc w:val="center"/>
        </w:trPr>
        <w:tc>
          <w:tcPr>
            <w:tcW w:w="567" w:type="dxa"/>
            <w:vAlign w:val="center"/>
          </w:tcPr>
          <w:p w14:paraId="4207D0D3" w14:textId="77777777" w:rsidR="00A33A22" w:rsidRPr="00191EBB" w:rsidRDefault="00A33A22" w:rsidP="003C52BB">
            <w:pPr>
              <w:spacing w:before="40" w:after="40" w:line="240" w:lineRule="auto"/>
              <w:jc w:val="center"/>
              <w:rPr>
                <w:rFonts w:cs="Calibri"/>
                <w:spacing w:val="-12"/>
                <w:sz w:val="20"/>
                <w:szCs w:val="20"/>
              </w:rPr>
            </w:pPr>
            <w:r w:rsidRPr="00191EBB">
              <w:rPr>
                <w:rFonts w:cs="Calibri"/>
                <w:color w:val="000000"/>
                <w:spacing w:val="-12"/>
                <w:sz w:val="20"/>
                <w:szCs w:val="20"/>
              </w:rPr>
              <w:t>30</w:t>
            </w:r>
          </w:p>
        </w:tc>
        <w:tc>
          <w:tcPr>
            <w:tcW w:w="10490" w:type="dxa"/>
            <w:vAlign w:val="center"/>
          </w:tcPr>
          <w:p w14:paraId="40E31887" w14:textId="77777777" w:rsidR="00A33A22" w:rsidRPr="00191EBB" w:rsidRDefault="00A33A22" w:rsidP="003C52BB">
            <w:pPr>
              <w:spacing w:before="40" w:after="40" w:line="240" w:lineRule="auto"/>
              <w:rPr>
                <w:rFonts w:cs="Calibri"/>
                <w:spacing w:val="-12"/>
                <w:sz w:val="20"/>
                <w:szCs w:val="20"/>
              </w:rPr>
            </w:pPr>
            <w:r w:rsidRPr="00191EBB">
              <w:rPr>
                <w:rFonts w:cs="Calibri"/>
                <w:spacing w:val="-12"/>
                <w:sz w:val="20"/>
                <w:szCs w:val="20"/>
              </w:rPr>
              <w:t>Obra de ampliación S/E Temuco 220 kV</w:t>
            </w:r>
          </w:p>
        </w:tc>
        <w:tc>
          <w:tcPr>
            <w:tcW w:w="1134" w:type="dxa"/>
            <w:vAlign w:val="center"/>
          </w:tcPr>
          <w:p w14:paraId="6330BFC5" w14:textId="77777777" w:rsidR="00A33A22" w:rsidRPr="00191EBB" w:rsidRDefault="00A33A22" w:rsidP="003C52BB">
            <w:pPr>
              <w:spacing w:before="40" w:after="40" w:line="240" w:lineRule="auto"/>
              <w:jc w:val="center"/>
              <w:rPr>
                <w:rFonts w:cs="Calibri"/>
                <w:spacing w:val="-12"/>
                <w:sz w:val="20"/>
                <w:szCs w:val="20"/>
              </w:rPr>
            </w:pPr>
            <w:r w:rsidRPr="00191EBB">
              <w:rPr>
                <w:rFonts w:cs="Calibri"/>
                <w:spacing w:val="-12"/>
                <w:sz w:val="20"/>
                <w:szCs w:val="20"/>
              </w:rPr>
              <w:t>D158-15</w:t>
            </w:r>
          </w:p>
        </w:tc>
        <w:tc>
          <w:tcPr>
            <w:tcW w:w="1418" w:type="dxa"/>
            <w:vAlign w:val="center"/>
          </w:tcPr>
          <w:p w14:paraId="6039C267" w14:textId="77777777" w:rsidR="00A33A22" w:rsidRPr="00191EBB" w:rsidRDefault="00A33A22" w:rsidP="003C52BB">
            <w:pPr>
              <w:spacing w:before="40" w:after="40" w:line="240" w:lineRule="auto"/>
              <w:jc w:val="center"/>
              <w:rPr>
                <w:rFonts w:cs="Calibri"/>
                <w:spacing w:val="-12"/>
                <w:sz w:val="20"/>
                <w:szCs w:val="20"/>
              </w:rPr>
            </w:pPr>
            <w:r w:rsidRPr="00191EBB">
              <w:rPr>
                <w:rFonts w:cs="Calibri"/>
                <w:spacing w:val="-12"/>
                <w:sz w:val="20"/>
                <w:szCs w:val="20"/>
              </w:rPr>
              <w:t>Transelec</w:t>
            </w:r>
          </w:p>
        </w:tc>
      </w:tr>
      <w:tr w:rsidR="00A33A22" w:rsidRPr="00191EBB" w14:paraId="5F766445" w14:textId="77777777" w:rsidTr="003C52BB">
        <w:trPr>
          <w:jc w:val="center"/>
        </w:trPr>
        <w:tc>
          <w:tcPr>
            <w:tcW w:w="567" w:type="dxa"/>
            <w:vAlign w:val="center"/>
          </w:tcPr>
          <w:p w14:paraId="1B4CF888" w14:textId="77777777" w:rsidR="00A33A22" w:rsidRPr="00191EBB" w:rsidRDefault="00A33A22" w:rsidP="003C52BB">
            <w:pPr>
              <w:spacing w:before="40" w:after="40" w:line="240" w:lineRule="auto"/>
              <w:jc w:val="center"/>
              <w:rPr>
                <w:rFonts w:cs="Calibri"/>
                <w:spacing w:val="-12"/>
                <w:sz w:val="20"/>
                <w:szCs w:val="20"/>
              </w:rPr>
            </w:pPr>
            <w:r w:rsidRPr="00191EBB">
              <w:rPr>
                <w:rFonts w:cs="Calibri"/>
                <w:color w:val="000000"/>
                <w:spacing w:val="-12"/>
                <w:sz w:val="20"/>
                <w:szCs w:val="20"/>
              </w:rPr>
              <w:t>31</w:t>
            </w:r>
          </w:p>
        </w:tc>
        <w:tc>
          <w:tcPr>
            <w:tcW w:w="10490" w:type="dxa"/>
            <w:vAlign w:val="center"/>
          </w:tcPr>
          <w:p w14:paraId="72E747A1" w14:textId="77777777" w:rsidR="00A33A22" w:rsidRPr="00191EBB" w:rsidRDefault="00A33A22" w:rsidP="003C52BB">
            <w:pPr>
              <w:spacing w:before="40" w:after="40" w:line="240" w:lineRule="auto"/>
              <w:rPr>
                <w:rFonts w:cs="Calibri"/>
                <w:spacing w:val="-12"/>
                <w:sz w:val="20"/>
                <w:szCs w:val="20"/>
              </w:rPr>
            </w:pPr>
            <w:r w:rsidRPr="00191EBB">
              <w:rPr>
                <w:rFonts w:cs="Calibri"/>
                <w:spacing w:val="-12"/>
                <w:sz w:val="20"/>
                <w:szCs w:val="20"/>
              </w:rPr>
              <w:t>Normalización en S/E Alto Jahuel 220 kV</w:t>
            </w:r>
          </w:p>
        </w:tc>
        <w:tc>
          <w:tcPr>
            <w:tcW w:w="1134" w:type="dxa"/>
            <w:vAlign w:val="center"/>
          </w:tcPr>
          <w:p w14:paraId="2DB3DD9B" w14:textId="77777777" w:rsidR="00A33A22" w:rsidRPr="00191EBB" w:rsidRDefault="00A33A22" w:rsidP="003C52BB">
            <w:pPr>
              <w:spacing w:before="40" w:after="40" w:line="240" w:lineRule="auto"/>
              <w:jc w:val="center"/>
              <w:rPr>
                <w:rFonts w:cs="Calibri"/>
                <w:spacing w:val="-12"/>
                <w:sz w:val="20"/>
                <w:szCs w:val="20"/>
              </w:rPr>
            </w:pPr>
            <w:r w:rsidRPr="00191EBB">
              <w:rPr>
                <w:rFonts w:cs="Calibri"/>
                <w:spacing w:val="-12"/>
                <w:sz w:val="20"/>
                <w:szCs w:val="20"/>
              </w:rPr>
              <w:t>D373-16</w:t>
            </w:r>
          </w:p>
        </w:tc>
        <w:tc>
          <w:tcPr>
            <w:tcW w:w="1418" w:type="dxa"/>
            <w:vAlign w:val="center"/>
          </w:tcPr>
          <w:p w14:paraId="68494F5C" w14:textId="77777777" w:rsidR="00A33A22" w:rsidRPr="00191EBB" w:rsidRDefault="00A33A22" w:rsidP="003C52BB">
            <w:pPr>
              <w:spacing w:before="40" w:after="40" w:line="240" w:lineRule="auto"/>
              <w:jc w:val="center"/>
              <w:rPr>
                <w:rFonts w:cs="Calibri"/>
                <w:spacing w:val="-12"/>
                <w:sz w:val="20"/>
                <w:szCs w:val="20"/>
              </w:rPr>
            </w:pPr>
            <w:r w:rsidRPr="00191EBB">
              <w:rPr>
                <w:rFonts w:cs="Calibri"/>
                <w:spacing w:val="-12"/>
                <w:sz w:val="20"/>
                <w:szCs w:val="20"/>
              </w:rPr>
              <w:t>Transelec</w:t>
            </w:r>
          </w:p>
        </w:tc>
      </w:tr>
      <w:tr w:rsidR="00A33A22" w:rsidRPr="00191EBB" w14:paraId="2C7FE48A" w14:textId="77777777" w:rsidTr="003C52BB">
        <w:trPr>
          <w:jc w:val="center"/>
        </w:trPr>
        <w:tc>
          <w:tcPr>
            <w:tcW w:w="567" w:type="dxa"/>
            <w:vAlign w:val="center"/>
          </w:tcPr>
          <w:p w14:paraId="5BF1A1D4" w14:textId="77777777" w:rsidR="00A33A22" w:rsidRPr="00191EBB" w:rsidRDefault="00A33A22" w:rsidP="003C52BB">
            <w:pPr>
              <w:spacing w:before="40" w:after="40" w:line="240" w:lineRule="auto"/>
              <w:jc w:val="center"/>
              <w:rPr>
                <w:rFonts w:cs="Calibri"/>
                <w:spacing w:val="-12"/>
                <w:sz w:val="20"/>
                <w:szCs w:val="20"/>
              </w:rPr>
            </w:pPr>
            <w:r w:rsidRPr="00191EBB">
              <w:rPr>
                <w:rFonts w:cs="Calibri"/>
                <w:color w:val="000000"/>
                <w:spacing w:val="-12"/>
                <w:sz w:val="20"/>
                <w:szCs w:val="20"/>
              </w:rPr>
              <w:t>32</w:t>
            </w:r>
          </w:p>
        </w:tc>
        <w:tc>
          <w:tcPr>
            <w:tcW w:w="10490" w:type="dxa"/>
            <w:vAlign w:val="center"/>
          </w:tcPr>
          <w:p w14:paraId="5FDA1808" w14:textId="77777777" w:rsidR="00A33A22" w:rsidRPr="00191EBB" w:rsidRDefault="00A33A22" w:rsidP="003C52BB">
            <w:pPr>
              <w:spacing w:before="40" w:after="40" w:line="240" w:lineRule="auto"/>
              <w:rPr>
                <w:rFonts w:cs="Calibri"/>
                <w:spacing w:val="-12"/>
                <w:sz w:val="20"/>
                <w:szCs w:val="20"/>
              </w:rPr>
            </w:pPr>
            <w:r w:rsidRPr="00191EBB">
              <w:rPr>
                <w:rFonts w:cs="Calibri"/>
                <w:spacing w:val="-12"/>
                <w:sz w:val="20"/>
                <w:szCs w:val="20"/>
              </w:rPr>
              <w:t>Aumento de capacidad de la línea 1x220 kV Cardones - Carrera Pinto - Diego de Almagro</w:t>
            </w:r>
          </w:p>
        </w:tc>
        <w:tc>
          <w:tcPr>
            <w:tcW w:w="1134" w:type="dxa"/>
            <w:vAlign w:val="center"/>
          </w:tcPr>
          <w:p w14:paraId="4CD8D8D3" w14:textId="77777777" w:rsidR="00A33A22" w:rsidRPr="00191EBB" w:rsidRDefault="00A33A22" w:rsidP="003C52BB">
            <w:pPr>
              <w:spacing w:before="40" w:after="40" w:line="240" w:lineRule="auto"/>
              <w:jc w:val="center"/>
              <w:rPr>
                <w:rFonts w:cs="Calibri"/>
                <w:spacing w:val="-12"/>
                <w:sz w:val="20"/>
                <w:szCs w:val="20"/>
              </w:rPr>
            </w:pPr>
            <w:r w:rsidRPr="00191EBB">
              <w:rPr>
                <w:rFonts w:cs="Calibri"/>
                <w:spacing w:val="-12"/>
                <w:sz w:val="20"/>
                <w:szCs w:val="20"/>
              </w:rPr>
              <w:t>D158-15</w:t>
            </w:r>
          </w:p>
        </w:tc>
        <w:tc>
          <w:tcPr>
            <w:tcW w:w="1418" w:type="dxa"/>
            <w:vAlign w:val="center"/>
          </w:tcPr>
          <w:p w14:paraId="36030266" w14:textId="77777777" w:rsidR="00A33A22" w:rsidRPr="00191EBB" w:rsidRDefault="00A33A22" w:rsidP="003C52BB">
            <w:pPr>
              <w:spacing w:before="40" w:after="40" w:line="240" w:lineRule="auto"/>
              <w:jc w:val="center"/>
              <w:rPr>
                <w:rFonts w:cs="Calibri"/>
                <w:spacing w:val="-12"/>
                <w:sz w:val="20"/>
                <w:szCs w:val="20"/>
              </w:rPr>
            </w:pPr>
            <w:r w:rsidRPr="00191EBB">
              <w:rPr>
                <w:rFonts w:cs="Calibri"/>
                <w:spacing w:val="-12"/>
                <w:sz w:val="20"/>
                <w:szCs w:val="20"/>
              </w:rPr>
              <w:t>Transelec</w:t>
            </w:r>
          </w:p>
        </w:tc>
      </w:tr>
      <w:tr w:rsidR="00A33A22" w:rsidRPr="00191EBB" w14:paraId="17584978" w14:textId="77777777" w:rsidTr="003C52BB">
        <w:trPr>
          <w:jc w:val="center"/>
        </w:trPr>
        <w:tc>
          <w:tcPr>
            <w:tcW w:w="567" w:type="dxa"/>
            <w:vAlign w:val="center"/>
          </w:tcPr>
          <w:p w14:paraId="416F41AC" w14:textId="77777777" w:rsidR="00A33A22" w:rsidRPr="00191EBB" w:rsidRDefault="00A33A22" w:rsidP="003C52BB">
            <w:pPr>
              <w:spacing w:before="40" w:after="40" w:line="240" w:lineRule="auto"/>
              <w:jc w:val="center"/>
              <w:rPr>
                <w:rFonts w:cs="Calibri"/>
                <w:spacing w:val="-12"/>
                <w:sz w:val="20"/>
                <w:szCs w:val="20"/>
              </w:rPr>
            </w:pPr>
            <w:r w:rsidRPr="00191EBB">
              <w:rPr>
                <w:rFonts w:cs="Calibri"/>
                <w:color w:val="000000"/>
                <w:spacing w:val="-12"/>
                <w:sz w:val="20"/>
                <w:szCs w:val="20"/>
              </w:rPr>
              <w:t>33</w:t>
            </w:r>
          </w:p>
        </w:tc>
        <w:tc>
          <w:tcPr>
            <w:tcW w:w="10490" w:type="dxa"/>
            <w:vAlign w:val="center"/>
          </w:tcPr>
          <w:p w14:paraId="64373E85" w14:textId="77777777" w:rsidR="00A33A22" w:rsidRPr="00191EBB" w:rsidRDefault="00A33A22" w:rsidP="003C52BB">
            <w:pPr>
              <w:spacing w:before="40" w:after="40" w:line="240" w:lineRule="auto"/>
              <w:rPr>
                <w:rFonts w:cs="Calibri"/>
                <w:spacing w:val="-12"/>
                <w:sz w:val="20"/>
                <w:szCs w:val="20"/>
              </w:rPr>
            </w:pPr>
            <w:r w:rsidRPr="00191EBB">
              <w:rPr>
                <w:rFonts w:cs="Calibri"/>
                <w:spacing w:val="-12"/>
                <w:sz w:val="20"/>
                <w:szCs w:val="20"/>
              </w:rPr>
              <w:t>Obra nueva Línea Ancoa –A. Jahuel 2x500 kV (2do cto)</w:t>
            </w:r>
          </w:p>
        </w:tc>
        <w:tc>
          <w:tcPr>
            <w:tcW w:w="1134" w:type="dxa"/>
            <w:vAlign w:val="center"/>
          </w:tcPr>
          <w:p w14:paraId="366668C2" w14:textId="77777777" w:rsidR="00A33A22" w:rsidRPr="00191EBB" w:rsidRDefault="00A33A22" w:rsidP="003C52BB">
            <w:pPr>
              <w:spacing w:before="40" w:after="40" w:line="240" w:lineRule="auto"/>
              <w:jc w:val="center"/>
              <w:rPr>
                <w:rFonts w:cs="Calibri"/>
                <w:spacing w:val="-12"/>
                <w:sz w:val="20"/>
                <w:szCs w:val="20"/>
              </w:rPr>
            </w:pPr>
            <w:r w:rsidRPr="00191EBB">
              <w:rPr>
                <w:rFonts w:cs="Calibri"/>
                <w:spacing w:val="-12"/>
                <w:sz w:val="20"/>
                <w:szCs w:val="20"/>
              </w:rPr>
              <w:t>D310-13</w:t>
            </w:r>
          </w:p>
        </w:tc>
        <w:tc>
          <w:tcPr>
            <w:tcW w:w="1418" w:type="dxa"/>
            <w:vAlign w:val="center"/>
          </w:tcPr>
          <w:p w14:paraId="11CD984C" w14:textId="77777777" w:rsidR="00A33A22" w:rsidRPr="00191EBB" w:rsidRDefault="00A33A22" w:rsidP="003C52BB">
            <w:pPr>
              <w:spacing w:before="40" w:after="40" w:line="240" w:lineRule="auto"/>
              <w:jc w:val="center"/>
              <w:rPr>
                <w:rFonts w:cs="Calibri"/>
                <w:spacing w:val="-12"/>
                <w:sz w:val="20"/>
                <w:szCs w:val="20"/>
              </w:rPr>
            </w:pPr>
            <w:r w:rsidRPr="00191EBB">
              <w:rPr>
                <w:rFonts w:cs="Calibri"/>
                <w:spacing w:val="-12"/>
                <w:sz w:val="20"/>
                <w:szCs w:val="20"/>
              </w:rPr>
              <w:t>AJTE</w:t>
            </w:r>
          </w:p>
        </w:tc>
      </w:tr>
      <w:tr w:rsidR="00A33A22" w:rsidRPr="00191EBB" w14:paraId="75329A42" w14:textId="77777777" w:rsidTr="003C52BB">
        <w:trPr>
          <w:jc w:val="center"/>
        </w:trPr>
        <w:tc>
          <w:tcPr>
            <w:tcW w:w="567" w:type="dxa"/>
            <w:vAlign w:val="center"/>
          </w:tcPr>
          <w:p w14:paraId="31073A5D" w14:textId="77777777" w:rsidR="00A33A22" w:rsidRPr="00191EBB" w:rsidRDefault="00A33A22" w:rsidP="003C52BB">
            <w:pPr>
              <w:spacing w:before="40" w:after="40" w:line="240" w:lineRule="auto"/>
              <w:jc w:val="center"/>
              <w:rPr>
                <w:rFonts w:cs="Calibri"/>
                <w:spacing w:val="-12"/>
                <w:sz w:val="20"/>
                <w:szCs w:val="20"/>
              </w:rPr>
            </w:pPr>
            <w:r w:rsidRPr="00191EBB">
              <w:rPr>
                <w:rFonts w:cs="Calibri"/>
                <w:color w:val="000000"/>
                <w:spacing w:val="-12"/>
                <w:sz w:val="20"/>
                <w:szCs w:val="20"/>
              </w:rPr>
              <w:t>34</w:t>
            </w:r>
          </w:p>
        </w:tc>
        <w:tc>
          <w:tcPr>
            <w:tcW w:w="10490" w:type="dxa"/>
            <w:vAlign w:val="center"/>
          </w:tcPr>
          <w:p w14:paraId="7D56DD58" w14:textId="77777777" w:rsidR="00A33A22" w:rsidRPr="00191EBB" w:rsidRDefault="00A33A22" w:rsidP="003C52BB">
            <w:pPr>
              <w:spacing w:before="40" w:after="40" w:line="240" w:lineRule="auto"/>
              <w:rPr>
                <w:rFonts w:cs="Calibri"/>
                <w:spacing w:val="-12"/>
                <w:sz w:val="20"/>
                <w:szCs w:val="20"/>
              </w:rPr>
            </w:pPr>
            <w:r w:rsidRPr="00191EBB">
              <w:rPr>
                <w:rFonts w:cs="Calibri"/>
                <w:spacing w:val="-12"/>
                <w:sz w:val="20"/>
                <w:szCs w:val="20"/>
              </w:rPr>
              <w:t>Línea Punta Cortés Tuniche 2x220kV</w:t>
            </w:r>
          </w:p>
        </w:tc>
        <w:tc>
          <w:tcPr>
            <w:tcW w:w="1134" w:type="dxa"/>
            <w:vAlign w:val="center"/>
          </w:tcPr>
          <w:p w14:paraId="087677D3" w14:textId="77777777" w:rsidR="00A33A22" w:rsidRPr="00191EBB" w:rsidRDefault="00A33A22" w:rsidP="003C52BB">
            <w:pPr>
              <w:spacing w:before="40" w:after="40" w:line="240" w:lineRule="auto"/>
              <w:jc w:val="center"/>
              <w:rPr>
                <w:rFonts w:cs="Calibri"/>
                <w:spacing w:val="-12"/>
                <w:sz w:val="20"/>
                <w:szCs w:val="20"/>
              </w:rPr>
            </w:pPr>
            <w:r w:rsidRPr="00191EBB">
              <w:rPr>
                <w:rFonts w:cs="Calibri"/>
                <w:spacing w:val="-12"/>
                <w:sz w:val="20"/>
                <w:szCs w:val="20"/>
              </w:rPr>
              <w:t>D942-09</w:t>
            </w:r>
          </w:p>
        </w:tc>
        <w:tc>
          <w:tcPr>
            <w:tcW w:w="1418" w:type="dxa"/>
            <w:vAlign w:val="center"/>
          </w:tcPr>
          <w:p w14:paraId="43DFA10F" w14:textId="77777777" w:rsidR="00A33A22" w:rsidRPr="00191EBB" w:rsidRDefault="00A33A22" w:rsidP="003C52BB">
            <w:pPr>
              <w:spacing w:before="40" w:after="40" w:line="240" w:lineRule="auto"/>
              <w:jc w:val="center"/>
              <w:rPr>
                <w:rFonts w:cs="Calibri"/>
                <w:spacing w:val="-12"/>
                <w:sz w:val="20"/>
                <w:szCs w:val="20"/>
              </w:rPr>
            </w:pPr>
            <w:r w:rsidRPr="00191EBB">
              <w:rPr>
                <w:rFonts w:cs="Calibri"/>
                <w:spacing w:val="-12"/>
                <w:sz w:val="20"/>
                <w:szCs w:val="20"/>
              </w:rPr>
              <w:t>Transelec</w:t>
            </w:r>
          </w:p>
        </w:tc>
      </w:tr>
    </w:tbl>
    <w:p w14:paraId="2B6175AA" w14:textId="77777777" w:rsidR="00A33A22" w:rsidRDefault="00A33A22" w:rsidP="00A33A22"/>
    <w:p w14:paraId="54EBC78F" w14:textId="77777777" w:rsidR="00A33A22" w:rsidRDefault="00A33A22" w:rsidP="00A33A22">
      <w:pPr>
        <w:sectPr w:rsidR="00A33A22" w:rsidSect="00191EBB">
          <w:pgSz w:w="15842" w:h="12242" w:orient="landscape" w:code="1"/>
          <w:pgMar w:top="1418" w:right="1134" w:bottom="1134" w:left="1134" w:header="851" w:footer="1134" w:gutter="0"/>
          <w:cols w:space="708"/>
          <w:titlePg/>
          <w:docGrid w:linePitch="360"/>
        </w:sectPr>
      </w:pPr>
    </w:p>
    <w:p w14:paraId="745399C1" w14:textId="77777777" w:rsidR="00A33A22" w:rsidRDefault="00A33A22" w:rsidP="00A33A22">
      <w:r>
        <w:lastRenderedPageBreak/>
        <w:t>Respecto del listado anterior, y en respuesta al Oficio N°688, Interchile señaló expresamente no tener labores de ampliación asociadas al proyecto 1. “</w:t>
      </w:r>
      <w:r w:rsidRPr="0000207E">
        <w:t>Obra de ampliación Tendido Segundo Circuito Línea 2x220 kV Encuentro</w:t>
      </w:r>
      <w:r>
        <w:t>-</w:t>
      </w:r>
      <w:r w:rsidRPr="0000207E">
        <w:t>Lagunas</w:t>
      </w:r>
      <w:r>
        <w:t>”. Asimismo, el Grupo Saesa, en representación de Eletrans y SATT, no indicó descripción ni existencia de labores de ampliación asociadas a los proyectos 2. “</w:t>
      </w:r>
      <w:r w:rsidRPr="0000207E">
        <w:t>Obra de tendido segundo circuito línea 2x220 kV Cardones</w:t>
      </w:r>
      <w:r>
        <w:t>-</w:t>
      </w:r>
      <w:r w:rsidRPr="0000207E">
        <w:t>Diego de Almagro, con secc. En S/E Carrera Pinto</w:t>
      </w:r>
      <w:r>
        <w:t>”, 3. “</w:t>
      </w:r>
      <w:r w:rsidRPr="0000207E">
        <w:t>Tendido segundo circuito línea 2x220 kV Ciruelos</w:t>
      </w:r>
      <w:r>
        <w:t>-</w:t>
      </w:r>
      <w:r w:rsidRPr="0000207E">
        <w:t>Pichirropulli</w:t>
      </w:r>
      <w:r>
        <w:t>”, y 4. “</w:t>
      </w:r>
      <w:r w:rsidRPr="0000207E">
        <w:t>Obra de ampliación S/E San Andrés 220 kV</w:t>
      </w:r>
      <w:r>
        <w:t>”</w:t>
      </w:r>
      <w:r>
        <w:rPr>
          <w:rStyle w:val="Refdenotaalpie"/>
        </w:rPr>
        <w:footnoteReference w:id="25"/>
      </w:r>
      <w:r>
        <w:t>.</w:t>
      </w:r>
    </w:p>
    <w:p w14:paraId="463E7507" w14:textId="77777777" w:rsidR="00A33A22" w:rsidRDefault="00A33A22" w:rsidP="00A33A22">
      <w:r>
        <w:t>De esta forma, el Consultor analizó las labores de ampliación vinculadas a las obras de ampliación 5 a 34 del cuadro anterior descritas por el propietario respectivo.</w:t>
      </w:r>
    </w:p>
    <w:p w14:paraId="651C6761" w14:textId="77777777" w:rsidR="00A33A22" w:rsidRPr="00F43502" w:rsidRDefault="00A33A22" w:rsidP="00A33A22">
      <w:pPr>
        <w:pStyle w:val="Ttulo3"/>
      </w:pPr>
      <w:bookmarkStart w:id="425" w:name="_Toc34686699"/>
      <w:bookmarkStart w:id="426" w:name="_Toc39797855"/>
      <w:r w:rsidRPr="00F43502">
        <w:t>Metodología para Determinación del V.I. de Labores de Ampliación</w:t>
      </w:r>
      <w:bookmarkEnd w:id="425"/>
      <w:bookmarkEnd w:id="426"/>
    </w:p>
    <w:p w14:paraId="0DB6EC47" w14:textId="77777777" w:rsidR="00A33A22" w:rsidRDefault="00A33A22" w:rsidP="00A33A22">
      <w:r>
        <w:t xml:space="preserve">Para la determinación del V.I. de las labores de ampliación asociadas a las obras de </w:t>
      </w:r>
      <w:proofErr w:type="gramStart"/>
      <w:r>
        <w:t>ampliación indicadas</w:t>
      </w:r>
      <w:proofErr w:type="gramEnd"/>
      <w:r>
        <w:t>, así como del descuento a aplicar por lo ya recaudado, el Consultor se sujetó a lo indicado en las Bases, las que se presentan bastante específicas, es decir:</w:t>
      </w:r>
    </w:p>
    <w:p w14:paraId="3D9312D2" w14:textId="77777777" w:rsidR="00A33A22" w:rsidRDefault="00A33A22" w:rsidP="00273FE4">
      <w:pPr>
        <w:pStyle w:val="Listanumerada"/>
        <w:numPr>
          <w:ilvl w:val="0"/>
          <w:numId w:val="32"/>
        </w:numPr>
        <w:spacing w:after="200"/>
        <w:ind w:left="567" w:hanging="567"/>
      </w:pPr>
      <w:r w:rsidRPr="00D848A0">
        <w:t>La valorización de las labores de ampliación debe considerar los precios vigentes al momento de adjudicación de las obras de ampliación.</w:t>
      </w:r>
    </w:p>
    <w:p w14:paraId="675D23B4" w14:textId="77777777" w:rsidR="00A33A22" w:rsidRDefault="00A33A22" w:rsidP="00273FE4">
      <w:pPr>
        <w:pStyle w:val="Listanumerada"/>
        <w:numPr>
          <w:ilvl w:val="0"/>
          <w:numId w:val="32"/>
        </w:numPr>
        <w:spacing w:after="200"/>
        <w:ind w:left="567" w:hanging="567"/>
      </w:pPr>
      <w:r w:rsidRPr="00D848A0">
        <w:t>Los recursos utilizados en las labores de ampliación deben corresponder a los mínimos necesarios para construir la obra de ampliación respectiva.</w:t>
      </w:r>
    </w:p>
    <w:p w14:paraId="6D82C0D0" w14:textId="77777777" w:rsidR="00A33A22" w:rsidRDefault="00A33A22" w:rsidP="00273FE4">
      <w:pPr>
        <w:pStyle w:val="Listanumerada"/>
        <w:numPr>
          <w:ilvl w:val="0"/>
          <w:numId w:val="32"/>
        </w:numPr>
        <w:spacing w:after="200"/>
        <w:ind w:left="567" w:hanging="567"/>
      </w:pPr>
      <w:r w:rsidRPr="00D848A0">
        <w:t>Los valores obtenidos deben actualizarse mediante variación del IPC a la fecha de referencia del estudio, es decir, al 31 de diciembre 2017.</w:t>
      </w:r>
    </w:p>
    <w:p w14:paraId="4B375901" w14:textId="77777777" w:rsidR="00A33A22" w:rsidRDefault="00A33A22" w:rsidP="00273FE4">
      <w:pPr>
        <w:pStyle w:val="Listanumerada"/>
        <w:numPr>
          <w:ilvl w:val="0"/>
          <w:numId w:val="32"/>
        </w:numPr>
        <w:spacing w:after="200"/>
        <w:ind w:left="567" w:hanging="567"/>
      </w:pPr>
      <w:r w:rsidRPr="007F6F00">
        <w:t>Al V.I. de las labores de ampliación resultante, debe descontarse el monto recuperado hasta la fecha de término de vigencia del Decreto N°23 T, es decir, hasta el 31 de diciembre de 2019.</w:t>
      </w:r>
      <w:r>
        <w:t xml:space="preserve"> </w:t>
      </w:r>
      <w:r w:rsidRPr="007F6F00">
        <w:t>El monto a recuperar debe ser estimado a partir del V.I. determinado para las labores de ampliación y de la vida útil de las obras de ampliación correspondientes.</w:t>
      </w:r>
    </w:p>
    <w:p w14:paraId="2D2E7220" w14:textId="77777777" w:rsidR="00A33A22" w:rsidRPr="00D73D08" w:rsidRDefault="00A33A22" w:rsidP="00273FE4">
      <w:pPr>
        <w:pStyle w:val="Listanumerada"/>
        <w:numPr>
          <w:ilvl w:val="0"/>
          <w:numId w:val="32"/>
        </w:numPr>
        <w:spacing w:after="200"/>
        <w:ind w:left="567" w:hanging="567"/>
      </w:pPr>
      <w:r w:rsidRPr="00D73D08">
        <w:t>El V.I. resultante</w:t>
      </w:r>
      <w:r>
        <w:t>,</w:t>
      </w:r>
      <w:r w:rsidRPr="00D73D08">
        <w:t xml:space="preserve"> una vez descontado el monto recuperado</w:t>
      </w:r>
      <w:r>
        <w:t>,</w:t>
      </w:r>
      <w:r w:rsidRPr="00D73D08">
        <w:t xml:space="preserve"> debe ser anualizado, </w:t>
      </w:r>
      <w:r>
        <w:t>para</w:t>
      </w:r>
      <w:r w:rsidRPr="00D73D08">
        <w:t xml:space="preserve"> ser recuperado en los 4 años del cuatrienio tarifario.</w:t>
      </w:r>
    </w:p>
    <w:p w14:paraId="193A067C" w14:textId="0E747D9B" w:rsidR="00A33A22" w:rsidRPr="000B5CD5" w:rsidRDefault="00A33A22" w:rsidP="00A33A22">
      <w:r w:rsidRPr="000B5CD5">
        <w:t xml:space="preserve">Debe notarse que las Bases no hacen referencia a la tasa de descuento a utilizar, existiendo dos tasas de referencia, a saber, la tasa del 10% antes de impuestos correspondiente a la tasa vigente </w:t>
      </w:r>
      <w:r w:rsidRPr="000B5CD5">
        <w:lastRenderedPageBreak/>
        <w:t>cuando las obras empezaron a remunerarse, y la tasa de 7% después de impuesto establecida en la normativa actualmente en vigencia. Considerando que la tasa con la que se remunerará la infraestructura de transmisión cuya valorización se acomete en el presente estudio corresponde al 7% después de impuesto y considerando además lo señalado en comunicación de la secretaría técnica del estudio</w:t>
      </w:r>
      <w:r w:rsidRPr="000B5CD5">
        <w:rPr>
          <w:rStyle w:val="Refdenotaalpie"/>
        </w:rPr>
        <w:footnoteReference w:id="26"/>
      </w:r>
      <w:r w:rsidRPr="000B5CD5">
        <w:t>, se ha optado por considerar una tasa del 10% antes de impuesto para valorar los flujos del período hasta el 31 de diciembre de 2019, y una tasa de 7% para los flujos del período posterior, es decir los correspondientes a la anualidad de labores de ampliación a recuperar</w:t>
      </w:r>
      <w:r w:rsidRPr="000B5CD5">
        <w:rPr>
          <w:rStyle w:val="Refdenotaalpie"/>
        </w:rPr>
        <w:footnoteReference w:id="27"/>
      </w:r>
      <w:r w:rsidRPr="000B5CD5">
        <w:t>.</w:t>
      </w:r>
    </w:p>
    <w:p w14:paraId="62177805" w14:textId="77777777" w:rsidR="00A33A22" w:rsidRDefault="00A33A22" w:rsidP="00A33A22">
      <w:r w:rsidRPr="000B5CD5">
        <w:t xml:space="preserve">Asimismo, y por consistencia, la utilización de una tasa después de impuesto, requiere determinar el correspondiente ajuste por efecto de impuesto a la renta, </w:t>
      </w:r>
      <w:r w:rsidRPr="00E1325A">
        <w:t>en línea con la aplicación de este ajuste para el resto de las instalaciones a valorizar.</w:t>
      </w:r>
    </w:p>
    <w:p w14:paraId="563BCFE6" w14:textId="77777777" w:rsidR="00A33A22" w:rsidRPr="00E8341C" w:rsidRDefault="00A33A22" w:rsidP="00E8341C">
      <w:pPr>
        <w:pStyle w:val="Ttulo4"/>
      </w:pPr>
      <w:bookmarkStart w:id="427" w:name="_Toc39797856"/>
      <w:r w:rsidRPr="00E8341C">
        <w:t>Determinación del VI de Labores de Ampliación y AVI a recuperar</w:t>
      </w:r>
      <w:bookmarkEnd w:id="427"/>
    </w:p>
    <w:p w14:paraId="4FA38046" w14:textId="77777777" w:rsidR="00A33A22" w:rsidRDefault="00A33A22" w:rsidP="00A33A22">
      <w:r>
        <w:t>Así, y conforme a las disposiciones y lineamientos señalados, la metodología, procedimiento y criterios aplicados fueron los siguientes:</w:t>
      </w:r>
    </w:p>
    <w:p w14:paraId="4E7CCF7A" w14:textId="77777777" w:rsidR="00A33A22" w:rsidRPr="00E81EF9" w:rsidRDefault="00A33A22" w:rsidP="00273FE4">
      <w:pPr>
        <w:pStyle w:val="Listanumerada"/>
        <w:numPr>
          <w:ilvl w:val="0"/>
          <w:numId w:val="33"/>
        </w:numPr>
        <w:spacing w:after="200"/>
        <w:ind w:left="567" w:hanging="567"/>
      </w:pPr>
      <w:r w:rsidRPr="00E81EF9">
        <w:t>Se analizó cada obra de ampliación en términos de la procedencia de reconocer para ellas la existencia de labores de ampliación, análisis que se practicó respecto de los antecedentes aportados por las empresas desarrolladoras y/o propietarias de los proyectos. En caso de verificarse que ninguna de las actividades descritas para una obra de ampliación determinada cumpliera con el concepto de labor de ampliación a juicio del Consultor, entonces no correspondería reconocer costos por labores de ampliación a dicha obra. Producto de este análisis se verificó que los proyectos 5 a 34 estudiados presentan una o más actividades y/o faenas calificables efectivamente como labores de ampliación, si bien no todas las actividades presentadas cumplen el concepto según se señala en el punto 3 siguiente.</w:t>
      </w:r>
    </w:p>
    <w:p w14:paraId="49A77E6C" w14:textId="77777777" w:rsidR="00A33A22" w:rsidRDefault="00A33A22" w:rsidP="00273FE4">
      <w:pPr>
        <w:pStyle w:val="Listanumerada"/>
        <w:numPr>
          <w:ilvl w:val="0"/>
          <w:numId w:val="33"/>
        </w:numPr>
        <w:spacing w:after="200"/>
        <w:ind w:left="567" w:hanging="567"/>
      </w:pPr>
      <w:r w:rsidRPr="00D73D08">
        <w:t xml:space="preserve">Para los precios vigentes a la fecha de adjudicación de las obras de ampliación -precios unitarios- se adoptaron directamente los precios en dólares informados por las empresas </w:t>
      </w:r>
      <w:r w:rsidRPr="00D73D08">
        <w:lastRenderedPageBreak/>
        <w:t>para cada obra. Los mismos, aparte de reflejar el nivel y relación de precios a la fecha indicada, corresponden además a precios despejados de licitaciones competitivas.</w:t>
      </w:r>
    </w:p>
    <w:p w14:paraId="40A552A8" w14:textId="77777777" w:rsidR="00A33A22" w:rsidRDefault="00A33A22" w:rsidP="00273FE4">
      <w:pPr>
        <w:pStyle w:val="Listanumerada"/>
        <w:numPr>
          <w:ilvl w:val="0"/>
          <w:numId w:val="33"/>
        </w:numPr>
        <w:spacing w:after="200"/>
        <w:ind w:left="567" w:hanging="567"/>
      </w:pPr>
      <w:r w:rsidRPr="00D73D08">
        <w:t xml:space="preserve">Los recursos </w:t>
      </w:r>
      <w:r>
        <w:t xml:space="preserve">directos </w:t>
      </w:r>
      <w:r w:rsidRPr="00D73D08">
        <w:t>involucrados</w:t>
      </w:r>
      <w:r>
        <w:t xml:space="preserve">, </w:t>
      </w:r>
      <w:r w:rsidRPr="00D73D08">
        <w:t xml:space="preserve">si bien fueron también informados por las empresas, fueron sujeto de examen por parte del Consultor, de modo de valorar las labores de ampliación desde una perspectiva </w:t>
      </w:r>
      <w:r>
        <w:t xml:space="preserve">de utilización de recursos mínimos necesarios, </w:t>
      </w:r>
      <w:r w:rsidRPr="00D73D08">
        <w:t>conforme las Bases lo señalan.</w:t>
      </w:r>
      <w:r>
        <w:t xml:space="preserve"> A este efecto, se estimó en general adecuados los recursos informados, si bien el Consultor desestimó partidas que, a su juicio, no corresponden a partidas a incorporar como concepto de labor de ampliación, tales como energización, pruebas de puesta en servicio, y montajes de componentes. Asimismo, se desestimaron, preliminarmente, partidas cuya descripción no resultó clara a efectos de su calificación. De esta forma se obtuvo el V.I. de costos directos a la fecha de adjudicación.</w:t>
      </w:r>
    </w:p>
    <w:p w14:paraId="17570DEC" w14:textId="77777777" w:rsidR="00A33A22" w:rsidRDefault="00A33A22" w:rsidP="00273FE4">
      <w:pPr>
        <w:pStyle w:val="Listanumerada"/>
        <w:numPr>
          <w:ilvl w:val="0"/>
          <w:numId w:val="33"/>
        </w:numPr>
        <w:spacing w:after="200"/>
        <w:ind w:left="567" w:hanging="567"/>
      </w:pPr>
      <w:r w:rsidRPr="00E81EF9">
        <w:t xml:space="preserve">El Consultor no efectuó diseños </w:t>
      </w:r>
      <w:r w:rsidRPr="00CA7BC8">
        <w:rPr>
          <w:i/>
          <w:iCs/>
        </w:rPr>
        <w:t>green field</w:t>
      </w:r>
      <w:r w:rsidRPr="00E81EF9">
        <w:t xml:space="preserve"> específicos para asignar los recursos debido a que tal ejercicio, no sólo no está exigido en las Bases como sí lo está para el resto de actividades de montaje y habilitación de obras vinculadas al V.I. del inventario a valorizar, sino que principalmente debido a que las labores de ampliación se vinculan a actividades en extremo específicas que resultan de condiciones técnicas y operativas que enmarcaron el desarrollo de los proyectos, y que no han quedado registradas. De esta forma, se procedió a revisar los recursos informados por los propietarios, lo que, como se indicó, se estimaron adecuados no siendo evidente que la actividad pudo haberse acometido con una cantidad menor de recursos.</w:t>
      </w:r>
      <w:r>
        <w:t xml:space="preserve">  </w:t>
      </w:r>
    </w:p>
    <w:p w14:paraId="6C7003D8" w14:textId="7E23FC93" w:rsidR="00A33A22" w:rsidRDefault="00A33A22" w:rsidP="00273FE4">
      <w:pPr>
        <w:pStyle w:val="Listanumerada"/>
        <w:numPr>
          <w:ilvl w:val="0"/>
          <w:numId w:val="33"/>
        </w:numPr>
        <w:spacing w:after="200"/>
        <w:ind w:left="567" w:hanging="567"/>
      </w:pPr>
      <w:r>
        <w:t>Para determinar los costos indirectos se estableció el porcentaje que los costos indirectos informados representan del VI de las obras de ampliación respectivas, según el valor de V.I. adjudicado establecido en el decreto de valorización correspondiente</w:t>
      </w:r>
      <w:r>
        <w:rPr>
          <w:rStyle w:val="Refdenotaalpie"/>
        </w:rPr>
        <w:footnoteReference w:id="28"/>
      </w:r>
      <w:r>
        <w:t xml:space="preserve">. Conforme al monto de dicho V.I., se establecieron dos proporciones de costos indirectos, a saber, 40% para proyectos con V.I. bajo los </w:t>
      </w:r>
      <w:r w:rsidR="00204436">
        <w:t>USD</w:t>
      </w:r>
      <w:r>
        <w:t xml:space="preserve"> 9.000.000 y 25% para proyectos con V.I. superior. Con dichos </w:t>
      </w:r>
      <w:r>
        <w:lastRenderedPageBreak/>
        <w:t>porcentajes se estableció el V.I. de costos indirectos de labores de ampliación según el V.I. de costos directos</w:t>
      </w:r>
      <w:r>
        <w:rPr>
          <w:rStyle w:val="Refdenotaalpie"/>
        </w:rPr>
        <w:footnoteReference w:id="29"/>
      </w:r>
      <w:r>
        <w:t>.</w:t>
      </w:r>
    </w:p>
    <w:p w14:paraId="454A0394" w14:textId="77777777" w:rsidR="00A33A22" w:rsidRDefault="00A33A22" w:rsidP="00273FE4">
      <w:pPr>
        <w:pStyle w:val="Listanumerada"/>
        <w:numPr>
          <w:ilvl w:val="0"/>
          <w:numId w:val="33"/>
        </w:numPr>
        <w:spacing w:after="200"/>
        <w:ind w:left="567" w:hanging="567"/>
      </w:pPr>
      <w:r>
        <w:t>A juicio del Consultor los porcentajes indicados dan cuenta razonablemente de un nivel eficiente de costos indirectos para la magnitud de las obras en el rango estudiado.</w:t>
      </w:r>
    </w:p>
    <w:p w14:paraId="6FD0EDC8" w14:textId="77777777" w:rsidR="00A33A22" w:rsidRDefault="00A33A22" w:rsidP="00273FE4">
      <w:pPr>
        <w:pStyle w:val="Listanumerada"/>
        <w:numPr>
          <w:ilvl w:val="0"/>
          <w:numId w:val="33"/>
        </w:numPr>
        <w:spacing w:after="200"/>
        <w:ind w:left="567" w:hanging="567"/>
      </w:pPr>
      <w:r w:rsidRPr="00D73D08">
        <w:t xml:space="preserve">Los </w:t>
      </w:r>
      <w:r>
        <w:t>V.I. resultantes</w:t>
      </w:r>
      <w:r>
        <w:rPr>
          <w:rStyle w:val="Refdenotaalpie"/>
        </w:rPr>
        <w:footnoteReference w:id="30"/>
      </w:r>
      <w:r w:rsidRPr="00D73D08">
        <w:t>, se establecieron en pesos chilenos a la fecha de adjudicación considerando el valor promedio mensual del dólar observado al mes de adjudicación</w:t>
      </w:r>
      <w:r>
        <w:rPr>
          <w:rStyle w:val="Refdenotaalpie"/>
        </w:rPr>
        <w:footnoteReference w:id="31"/>
      </w:r>
      <w:r w:rsidRPr="00D73D08">
        <w:t>. Dicho valor en pesos se llevó a pesos de diciembre de 2017 considerando la variación del IPC entre el mes de adjudicación y el mes de diciembre de 2017.</w:t>
      </w:r>
    </w:p>
    <w:p w14:paraId="3818912F" w14:textId="77777777" w:rsidR="00A33A22" w:rsidRDefault="00A33A22" w:rsidP="00273FE4">
      <w:pPr>
        <w:pStyle w:val="Listanumerada"/>
        <w:numPr>
          <w:ilvl w:val="0"/>
          <w:numId w:val="33"/>
        </w:numPr>
        <w:spacing w:after="200"/>
        <w:ind w:left="567" w:hanging="567"/>
      </w:pPr>
      <w:r w:rsidRPr="00D73D08">
        <w:t xml:space="preserve">El monto ya pagado se estableció </w:t>
      </w:r>
      <w:r w:rsidRPr="00B013CF">
        <w:t>según el valor presente de las cuotas mensuales</w:t>
      </w:r>
      <w:r w:rsidRPr="00D73D08">
        <w:t xml:space="preserve"> pagadas al propietario de la obra de ampliación</w:t>
      </w:r>
      <w:r>
        <w:t xml:space="preserve"> desde el mes de entrada en operación, y hasta diciembre de 2019</w:t>
      </w:r>
      <w:r w:rsidRPr="00D73D08">
        <w:t>, considerando que cada cuota de labor de ampliación es igual al valor mensualizado del V.I. de la labor de ampliación determinado conforme al punto anterior. Para determinar el factor de recuperación mensual correspondiente se utilizó la tasa mensual equivalente al 10% anual (0,797%), y la vida útil de la obra de ampliación respectiva</w:t>
      </w:r>
      <w:r>
        <w:rPr>
          <w:rStyle w:val="Refdenotaalpie"/>
        </w:rPr>
        <w:footnoteReference w:id="32"/>
      </w:r>
      <w:r w:rsidRPr="00D73D08">
        <w:t>.</w:t>
      </w:r>
    </w:p>
    <w:p w14:paraId="410EC166" w14:textId="77777777" w:rsidR="00A33A22" w:rsidRDefault="00A33A22" w:rsidP="00273FE4">
      <w:pPr>
        <w:pStyle w:val="Listanumerada"/>
        <w:numPr>
          <w:ilvl w:val="0"/>
          <w:numId w:val="33"/>
        </w:numPr>
        <w:spacing w:after="200"/>
        <w:ind w:left="567" w:hanging="567"/>
      </w:pPr>
      <w:r w:rsidRPr="00D73D08">
        <w:t>El valor resultante fue descontado del V.I. de la labor de ampliación, y</w:t>
      </w:r>
      <w:r>
        <w:t xml:space="preserve"> valor resultante puesto al inicio del período de recuperación para proceder a anualizarlo</w:t>
      </w:r>
      <w:r w:rsidRPr="00D73D08">
        <w:t xml:space="preserve"> en cuatro cuotas</w:t>
      </w:r>
      <w:r>
        <w:t>,</w:t>
      </w:r>
      <w:r w:rsidRPr="00D73D08">
        <w:t xml:space="preserve"> utilizando la tasa de descuento </w:t>
      </w:r>
      <w:r>
        <w:t>(7%%), dando lugar al A.V.I. de labores de ampliación a recuperar en el cuadrienio.</w:t>
      </w:r>
    </w:p>
    <w:p w14:paraId="17D3F965" w14:textId="77FD12C4" w:rsidR="00A33A22" w:rsidRDefault="00A33A22" w:rsidP="00CA7BC8">
      <w:r w:rsidRPr="00B013CF">
        <w:t xml:space="preserve">El detalle de la metodología aplicada se muestra en el Anexo </w:t>
      </w:r>
      <w:r w:rsidR="00DE1815">
        <w:t xml:space="preserve">VI_10_Labores de </w:t>
      </w:r>
      <w:r w:rsidR="00A477D0">
        <w:t>Ampliación</w:t>
      </w:r>
      <w:r w:rsidRPr="00B013CF">
        <w:t>, documento “Metodología AVI Labores de Ampliación”. El cálculo correspondiente se incluye en la planilla “AVI Labores Ampliación Informe V2” del mismo anexo.</w:t>
      </w:r>
    </w:p>
    <w:p w14:paraId="126DF454" w14:textId="234B7F7F" w:rsidR="00A33A22" w:rsidRDefault="00A33A22" w:rsidP="00A33A22">
      <w:pPr>
        <w:pStyle w:val="Ttulo4"/>
        <w:rPr>
          <w:b/>
          <w:bCs/>
          <w:u w:val="none"/>
        </w:rPr>
      </w:pPr>
      <w:bookmarkStart w:id="428" w:name="_Toc39797857"/>
      <w:r w:rsidRPr="00454EFC">
        <w:rPr>
          <w:b/>
          <w:bCs/>
          <w:u w:val="none"/>
        </w:rPr>
        <w:t>Determinación de Ajuste por Impuesto a la Renta</w:t>
      </w:r>
      <w:bookmarkEnd w:id="428"/>
    </w:p>
    <w:p w14:paraId="1F42FCD4" w14:textId="77777777" w:rsidR="00A33A22" w:rsidRDefault="00A33A22" w:rsidP="00A33A22">
      <w:r>
        <w:t>Para determinar el ajuste por impuesto a la renta para labores de ampliación se procedió de la siguiente forma:</w:t>
      </w:r>
    </w:p>
    <w:p w14:paraId="67EA2156" w14:textId="77777777" w:rsidR="00A33A22" w:rsidRDefault="00A33A22" w:rsidP="00273FE4">
      <w:pPr>
        <w:pStyle w:val="Listanumerada"/>
        <w:numPr>
          <w:ilvl w:val="0"/>
          <w:numId w:val="74"/>
        </w:numPr>
        <w:spacing w:after="200"/>
        <w:ind w:left="567" w:hanging="567"/>
      </w:pPr>
      <w:r>
        <w:lastRenderedPageBreak/>
        <w:t>Se considera la tasa de 7% después de impuesto.</w:t>
      </w:r>
    </w:p>
    <w:p w14:paraId="59CA59B5" w14:textId="77777777" w:rsidR="00A33A22" w:rsidRDefault="00A33A22" w:rsidP="00273FE4">
      <w:pPr>
        <w:pStyle w:val="Listanumerada"/>
        <w:numPr>
          <w:ilvl w:val="0"/>
          <w:numId w:val="74"/>
        </w:numPr>
        <w:spacing w:after="200"/>
        <w:ind w:left="567" w:hanging="567"/>
      </w:pPr>
      <w:r>
        <w:t>Se considera como vida útil económica a la informada como vida útil de la obra de ampliación respectiva.</w:t>
      </w:r>
    </w:p>
    <w:p w14:paraId="34D490A1" w14:textId="77777777" w:rsidR="00A33A22" w:rsidRDefault="00A33A22" w:rsidP="00273FE4">
      <w:pPr>
        <w:pStyle w:val="Listanumerada"/>
        <w:numPr>
          <w:ilvl w:val="0"/>
          <w:numId w:val="74"/>
        </w:numPr>
        <w:spacing w:after="200"/>
        <w:ind w:left="567" w:hanging="567"/>
      </w:pPr>
      <w:r>
        <w:t xml:space="preserve">Se consideró al VI de labores de ampliación como un activo no itemizable, asignándolo a un solo concepto de vida útil tributaria según la resolución N°43 del SII. Lo anterior debido a que la vida útil económica de la obra de ampliación, </w:t>
      </w:r>
      <w:r w:rsidRPr="00B81A44">
        <w:t>con la cual debe contrastarse la vida útil tributaria aparece como un valor consolidado</w:t>
      </w:r>
      <w:r>
        <w:t>. En el caso de labores de ampliación vinculadas a obras de ampliación en líneas, se utilizó el ítem E1-4) “Conductores”, correspondiente a 20 años. En el caso de labores vinculadas a obras de ampliación en subestaciones se consideró el ítem E1-6) “Construcciones y casetas de entronque”, también correspondiente a 20 años.</w:t>
      </w:r>
    </w:p>
    <w:p w14:paraId="4CFED404" w14:textId="77777777" w:rsidR="00A33A22" w:rsidRDefault="00A33A22" w:rsidP="00273FE4">
      <w:pPr>
        <w:pStyle w:val="Listanumerada"/>
        <w:numPr>
          <w:ilvl w:val="0"/>
          <w:numId w:val="74"/>
        </w:numPr>
        <w:spacing w:after="200"/>
        <w:ind w:left="567" w:hanging="567"/>
      </w:pPr>
      <w:r>
        <w:t>El ajuste se practicó utilizando la expresión que para este concepto se establece en el punto 3.7 de las Bases.</w:t>
      </w:r>
    </w:p>
    <w:p w14:paraId="31857FD5" w14:textId="77777777" w:rsidR="00A33A22" w:rsidRDefault="00A33A22" w:rsidP="00273FE4">
      <w:pPr>
        <w:pStyle w:val="Listanumerada"/>
        <w:numPr>
          <w:ilvl w:val="0"/>
          <w:numId w:val="74"/>
        </w:numPr>
        <w:spacing w:after="200"/>
        <w:ind w:left="567" w:hanging="567"/>
      </w:pPr>
      <w:r>
        <w:t>Como el AEIR determinado de la forma señalada, supone un flujo anual que debe aportarse durante la vida útil del proyecto, para su recuperación en el período cuadrienal que se inicia en 2020, se procedió a mensualizar dicho valor anual, y a determinar el valor presente de las cuotas mensuales resultantes que correspondería aplicar hasta el término de la vida útil. El valor presente obtenido se anualizó en los cuatro años de recupero.</w:t>
      </w:r>
    </w:p>
    <w:p w14:paraId="4EEB97E1" w14:textId="77777777" w:rsidR="00A33A22" w:rsidRDefault="00A33A22" w:rsidP="00273FE4">
      <w:pPr>
        <w:pStyle w:val="Listanumerada"/>
        <w:numPr>
          <w:ilvl w:val="0"/>
          <w:numId w:val="74"/>
        </w:numPr>
        <w:spacing w:after="200"/>
        <w:ind w:left="567" w:hanging="567"/>
      </w:pPr>
      <w:r>
        <w:t>Finalmente, al AVI a recuperar en el cuadrienio corresponde a la suma del AVI determinado conforme al punto anterior más el ajuste AEIR, dando lugar al AVI ajustado a recuperar en el siguiente cuadrienio.</w:t>
      </w:r>
    </w:p>
    <w:p w14:paraId="4B40BCF3" w14:textId="0A3DBDFC" w:rsidR="00FE12C9" w:rsidRDefault="00A33A22" w:rsidP="00A33A22">
      <w:pPr>
        <w:spacing w:after="160" w:line="259" w:lineRule="auto"/>
      </w:pPr>
      <w:r>
        <w:t>El detalle del procedimiento indicado está contenido en el documento “</w:t>
      </w:r>
      <w:r w:rsidRPr="00B013CF">
        <w:t>Metodología AVI Labores de Ampliación</w:t>
      </w:r>
      <w:r>
        <w:t xml:space="preserve">” y en la planilla “AEIR Labores de Ampliación” del </w:t>
      </w:r>
      <w:r w:rsidR="00DE1815">
        <w:t>VI_10_Labores de Ampliación</w:t>
      </w:r>
      <w:r>
        <w:t>.</w:t>
      </w:r>
    </w:p>
    <w:p w14:paraId="77DC672B" w14:textId="4C600755" w:rsidR="00EF315C" w:rsidRDefault="00EF315C" w:rsidP="00871C7A">
      <w:pPr>
        <w:pStyle w:val="Ttulo1"/>
      </w:pPr>
      <w:bookmarkStart w:id="429" w:name="_Toc39797858"/>
      <w:r w:rsidRPr="00871C7A">
        <w:t>D</w:t>
      </w:r>
      <w:r w:rsidR="00E8341C">
        <w:t>eterminación del V.I.</w:t>
      </w:r>
      <w:bookmarkEnd w:id="429"/>
    </w:p>
    <w:p w14:paraId="027CB81F" w14:textId="43E27F13" w:rsidR="003E19A2" w:rsidRPr="003E19A2" w:rsidRDefault="003E19A2" w:rsidP="003E19A2">
      <w:pPr>
        <w:pStyle w:val="Ttulo2"/>
      </w:pPr>
      <w:bookmarkStart w:id="430" w:name="_Toc39797859"/>
      <w:r>
        <w:t>Introducción</w:t>
      </w:r>
      <w:bookmarkEnd w:id="430"/>
    </w:p>
    <w:p w14:paraId="5384C187" w14:textId="77777777" w:rsidR="003E19A2" w:rsidRDefault="003E19A2" w:rsidP="003E19A2">
      <w:r>
        <w:t>El cálculo del valor de inversión se realiza dependiendo si es para un tramo de transporte o tramo de subestación.</w:t>
      </w:r>
    </w:p>
    <w:p w14:paraId="27012CB7" w14:textId="77777777" w:rsidR="003E19A2" w:rsidRDefault="003E19A2" w:rsidP="003E19A2">
      <w:r>
        <w:t>Para los tramos de transporte identificados en la base de datos, se pueden presentar dos casos.</w:t>
      </w:r>
    </w:p>
    <w:p w14:paraId="731D25B2" w14:textId="211E5840" w:rsidR="003E19A2" w:rsidRDefault="003E19A2" w:rsidP="00273FE4">
      <w:pPr>
        <w:pStyle w:val="Prrafodelista"/>
        <w:numPr>
          <w:ilvl w:val="0"/>
          <w:numId w:val="75"/>
        </w:numPr>
        <w:ind w:left="567" w:hanging="567"/>
      </w:pPr>
      <w:r>
        <w:t>Transformadores de poder</w:t>
      </w:r>
    </w:p>
    <w:p w14:paraId="403C06DD" w14:textId="242C4054" w:rsidR="003E19A2" w:rsidRDefault="003E19A2" w:rsidP="00273FE4">
      <w:pPr>
        <w:pStyle w:val="Prrafodelista"/>
        <w:numPr>
          <w:ilvl w:val="0"/>
          <w:numId w:val="75"/>
        </w:numPr>
        <w:ind w:left="567" w:hanging="567"/>
      </w:pPr>
      <w:r>
        <w:t>Líneas de transmisión</w:t>
      </w:r>
    </w:p>
    <w:p w14:paraId="59E02706" w14:textId="77777777" w:rsidR="003E19A2" w:rsidRDefault="003E19A2" w:rsidP="003E19A2">
      <w:r>
        <w:lastRenderedPageBreak/>
        <w:t>En el caso de las subestaciones se detectan todos aquellos paños que pertenecen a los tramos de transporte definidos en el Informe Técnico Definitivo de Calificación de Instalaciones de los Sistemas de Transmisión para el Período 2020-2023, cualquiera sea su calificación, para no considerarlos en la valorización. Así, se tienen identificados todos los paños que cumplen una función propia de la subestación como paños acopladores, paños seccionadores, paños de equipos de compensación, paños de transformadores de servicios auxiliares, etc. Luego se identifican todas las instalaciones comunes que sí se deben considerar para la valorización tales como barras, patios, equipos de compensación, etc.</w:t>
      </w:r>
    </w:p>
    <w:p w14:paraId="202512B0" w14:textId="77777777" w:rsidR="003E19A2" w:rsidRDefault="003E19A2" w:rsidP="003E19A2">
      <w:r>
        <w:t>Para ambos casos, se obtiene el valor de inversión de cada tramo y de cada una de sus componentes. Como se incluye todos los códigos de identificación necesarios (identificadores), los costos de inversión se pueden agrupar por instalación (subestación o línea), por tramo o por componentes de costos.</w:t>
      </w:r>
    </w:p>
    <w:p w14:paraId="494ABCA8" w14:textId="77777777" w:rsidR="003E19A2" w:rsidRDefault="003E19A2" w:rsidP="003E19A2">
      <w:r>
        <w:t>Esto significa que para valorizar los tramos de transporte se ha procedido a valorizar los elementos asociados a la línea de transmisión o al transformador de poder en una agrupación y sus paños en otra, por ser de características distintas. Como ambos tienen un identificador asociado al tramo definido en la calificación, es posible obtener el valor total del tramo en cuestión.</w:t>
      </w:r>
    </w:p>
    <w:p w14:paraId="53346740" w14:textId="77777777" w:rsidR="003E19A2" w:rsidRDefault="003E19A2" w:rsidP="003E19A2">
      <w:r>
        <w:t xml:space="preserve">En el caso de los componentes de costos, tal como ya se señaló, se agrupa la parte civil y la parte eléctrica, tanto de elementos de subestaciones como elementos de líneas de transmisión, por tener definiciones distintas en la base de datos. </w:t>
      </w:r>
    </w:p>
    <w:p w14:paraId="1C69E382" w14:textId="3359AF8B" w:rsidR="003E19A2" w:rsidRDefault="003E19A2" w:rsidP="003E19A2">
      <w:r>
        <w:t xml:space="preserve">El proceso de carga de datos se ha realizado completando en archivos Excel la información necesaria. Los elementos poseen los diversos recargos en la base de datos. Así, los archivos Excel tienen una columna para cada recargo y una columna para la vida útil, las que han sido </w:t>
      </w:r>
      <w:r w:rsidR="00A477D0">
        <w:t>completadas</w:t>
      </w:r>
      <w:r>
        <w:t xml:space="preserve"> por el consultor.</w:t>
      </w:r>
    </w:p>
    <w:p w14:paraId="2549C33A" w14:textId="77777777" w:rsidR="003E19A2" w:rsidRDefault="003E19A2" w:rsidP="003E19A2">
      <w:r>
        <w:t xml:space="preserve">En el caso de los precios, para cada elemento de la Tabla Elemento de la base de datos contiene un campo denominado ID clase elemento. En la Tabla Precio Elemento, cada clase elemento posee un campo llamado valor unitario donde se ha ingresado ingresar los diversos costos de equipos y materiales. </w:t>
      </w:r>
    </w:p>
    <w:p w14:paraId="19D3491C" w14:textId="77777777" w:rsidR="003E19A2" w:rsidRDefault="003E19A2" w:rsidP="003E19A2">
      <w:r>
        <w:t>Para cada elemento se tiene calculados los respectivos porcentajes de recargo según los diversos ítems. Luego, el motor de cálculo, aplicando la siguiente fórmula para las instalaciones, determina el valor de inversión</w:t>
      </w:r>
    </w:p>
    <w:p w14:paraId="793A7D66" w14:textId="08BBBD27" w:rsidR="003E19A2" w:rsidRDefault="003E19A2" w:rsidP="003E19A2">
      <w:r w:rsidRPr="00CA600B">
        <w:t>Donde</w:t>
      </w: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96"/>
        <w:gridCol w:w="281"/>
        <w:gridCol w:w="5014"/>
      </w:tblGrid>
      <w:tr w:rsidR="00CA7BC8" w14:paraId="65220C12" w14:textId="77777777" w:rsidTr="00CA7BC8">
        <w:tc>
          <w:tcPr>
            <w:tcW w:w="0" w:type="auto"/>
          </w:tcPr>
          <w:p w14:paraId="55765881" w14:textId="73D3A98B" w:rsidR="00CA7BC8" w:rsidRPr="00F72CD9" w:rsidRDefault="00CA7BC8" w:rsidP="00CA7BC8">
            <w:pPr>
              <w:jc w:val="left"/>
            </w:pPr>
            <m:oMathPara>
              <m:oMathParaPr>
                <m:jc m:val="left"/>
              </m:oMathParaPr>
              <m:oMath>
                <m:r>
                  <w:rPr>
                    <w:rFonts w:ascii="Cambria Math" w:hAnsi="Cambria Math"/>
                    <w:lang w:val="es-ES"/>
                  </w:rPr>
                  <m:t>Cu</m:t>
                </m:r>
              </m:oMath>
            </m:oMathPara>
          </w:p>
        </w:tc>
        <w:tc>
          <w:tcPr>
            <w:tcW w:w="0" w:type="auto"/>
          </w:tcPr>
          <w:p w14:paraId="382E214F" w14:textId="77777777" w:rsidR="00CA7BC8" w:rsidRDefault="00CA7BC8" w:rsidP="00CA7BC8">
            <w:pPr>
              <w:jc w:val="left"/>
            </w:pPr>
            <w:r>
              <w:t>:</w:t>
            </w:r>
          </w:p>
        </w:tc>
        <w:tc>
          <w:tcPr>
            <w:tcW w:w="0" w:type="auto"/>
            <w:vAlign w:val="center"/>
          </w:tcPr>
          <w:p w14:paraId="5CC0A25F" w14:textId="52838C5C" w:rsidR="00CA7BC8" w:rsidRPr="00F72CD9" w:rsidRDefault="00CA7BC8" w:rsidP="00CA7BC8">
            <w:pPr>
              <w:rPr>
                <w:bCs/>
              </w:rPr>
            </w:pPr>
            <w:r w:rsidRPr="00CA600B">
              <w:t>Costo unitario de equipo o materiales</w:t>
            </w:r>
            <w:r>
              <w:t>, en USD</w:t>
            </w:r>
          </w:p>
        </w:tc>
      </w:tr>
      <w:tr w:rsidR="00CA7BC8" w14:paraId="157504B5" w14:textId="77777777" w:rsidTr="00CA7BC8">
        <w:tc>
          <w:tcPr>
            <w:tcW w:w="0" w:type="auto"/>
          </w:tcPr>
          <w:p w14:paraId="66360E84" w14:textId="66848988" w:rsidR="00CA7BC8" w:rsidRPr="002E27DD" w:rsidRDefault="00CA7BC8" w:rsidP="00CA7BC8">
            <w:pPr>
              <w:jc w:val="left"/>
              <w:rPr>
                <w:i/>
              </w:rPr>
            </w:pPr>
            <m:oMathPara>
              <m:oMathParaPr>
                <m:jc m:val="left"/>
              </m:oMathParaPr>
              <m:oMath>
                <m:r>
                  <w:rPr>
                    <w:rFonts w:ascii="Cambria Math" w:hAnsi="Cambria Math"/>
                  </w:rPr>
                  <w:lastRenderedPageBreak/>
                  <m:t>Fl</m:t>
                </m:r>
              </m:oMath>
            </m:oMathPara>
          </w:p>
        </w:tc>
        <w:tc>
          <w:tcPr>
            <w:tcW w:w="0" w:type="auto"/>
          </w:tcPr>
          <w:p w14:paraId="42D7C115" w14:textId="77777777" w:rsidR="00CA7BC8" w:rsidRDefault="00CA7BC8" w:rsidP="00CA7BC8">
            <w:pPr>
              <w:jc w:val="left"/>
            </w:pPr>
            <w:r>
              <w:t>:</w:t>
            </w:r>
          </w:p>
        </w:tc>
        <w:tc>
          <w:tcPr>
            <w:tcW w:w="0" w:type="auto"/>
            <w:vAlign w:val="center"/>
          </w:tcPr>
          <w:p w14:paraId="6A172861" w14:textId="6FBF8D37" w:rsidR="00CA7BC8" w:rsidRDefault="00CA7BC8" w:rsidP="00CA7BC8">
            <w:r w:rsidRPr="00CA600B">
              <w:t>Recargo por flete</w:t>
            </w:r>
            <w:r>
              <w:t>, en tanto porciento</w:t>
            </w:r>
          </w:p>
        </w:tc>
      </w:tr>
      <w:tr w:rsidR="00CA7BC8" w14:paraId="1CD735DC" w14:textId="77777777" w:rsidTr="00CA7BC8">
        <w:tc>
          <w:tcPr>
            <w:tcW w:w="0" w:type="auto"/>
          </w:tcPr>
          <w:p w14:paraId="628DB5DA" w14:textId="7EDF2A06" w:rsidR="00CA7BC8" w:rsidRPr="00CA7BC8" w:rsidRDefault="00CA7BC8" w:rsidP="00CA7BC8">
            <w:pPr>
              <w:jc w:val="left"/>
              <w:rPr>
                <w:rFonts w:ascii="Cambria Math" w:hAnsi="Cambria Math"/>
                <w:i/>
                <w:lang w:val="es-ES"/>
              </w:rPr>
            </w:pPr>
            <m:oMathPara>
              <m:oMathParaPr>
                <m:jc m:val="left"/>
              </m:oMathParaPr>
              <m:oMath>
                <m:r>
                  <w:rPr>
                    <w:rFonts w:ascii="Cambria Math" w:hAnsi="Cambria Math"/>
                    <w:lang w:val="es-ES"/>
                  </w:rPr>
                  <m:t>B</m:t>
                </m:r>
              </m:oMath>
            </m:oMathPara>
          </w:p>
        </w:tc>
        <w:tc>
          <w:tcPr>
            <w:tcW w:w="0" w:type="auto"/>
          </w:tcPr>
          <w:p w14:paraId="718659F6" w14:textId="28570C5A" w:rsidR="00CA7BC8" w:rsidRDefault="00CA7BC8" w:rsidP="00CA7BC8">
            <w:pPr>
              <w:jc w:val="left"/>
            </w:pPr>
            <w:r>
              <w:t>:</w:t>
            </w:r>
          </w:p>
        </w:tc>
        <w:tc>
          <w:tcPr>
            <w:tcW w:w="0" w:type="auto"/>
            <w:vAlign w:val="center"/>
          </w:tcPr>
          <w:p w14:paraId="4A36368A" w14:textId="5D7F4526" w:rsidR="00CA7BC8" w:rsidRPr="002E27DD" w:rsidRDefault="00CA7BC8" w:rsidP="00CA7BC8">
            <w:pPr>
              <w:rPr>
                <w:lang w:val="es-ES"/>
              </w:rPr>
            </w:pPr>
            <w:r w:rsidRPr="00CA600B">
              <w:t>Recargo por bodegaje</w:t>
            </w:r>
            <w:r>
              <w:t>, en tanto porciento</w:t>
            </w:r>
          </w:p>
        </w:tc>
      </w:tr>
      <w:tr w:rsidR="00CA7BC8" w14:paraId="0B260D47" w14:textId="77777777" w:rsidTr="00CA7BC8">
        <w:tc>
          <w:tcPr>
            <w:tcW w:w="0" w:type="auto"/>
          </w:tcPr>
          <w:p w14:paraId="08AE867E" w14:textId="72D66ED4" w:rsidR="00CA7BC8" w:rsidRPr="00CA7BC8" w:rsidRDefault="00CA7BC8" w:rsidP="00CA7BC8">
            <w:pPr>
              <w:jc w:val="left"/>
              <w:rPr>
                <w:rFonts w:ascii="Cambria Math" w:hAnsi="Cambria Math"/>
                <w:i/>
                <w:lang w:val="es-ES"/>
              </w:rPr>
            </w:pPr>
            <m:oMathPara>
              <m:oMathParaPr>
                <m:jc m:val="left"/>
              </m:oMathParaPr>
              <m:oMath>
                <m:r>
                  <w:rPr>
                    <w:rFonts w:ascii="Cambria Math" w:hAnsi="Cambria Math"/>
                    <w:lang w:val="es-ES"/>
                  </w:rPr>
                  <m:t>MO</m:t>
                </m:r>
              </m:oMath>
            </m:oMathPara>
          </w:p>
        </w:tc>
        <w:tc>
          <w:tcPr>
            <w:tcW w:w="0" w:type="auto"/>
          </w:tcPr>
          <w:p w14:paraId="2A6A52E9" w14:textId="688254B1" w:rsidR="00CA7BC8" w:rsidRDefault="00CA7BC8" w:rsidP="00CA7BC8">
            <w:pPr>
              <w:jc w:val="left"/>
            </w:pPr>
            <w:r>
              <w:t>:</w:t>
            </w:r>
          </w:p>
        </w:tc>
        <w:tc>
          <w:tcPr>
            <w:tcW w:w="0" w:type="auto"/>
            <w:vAlign w:val="center"/>
          </w:tcPr>
          <w:p w14:paraId="4BFB84E4" w14:textId="234E8694" w:rsidR="00CA7BC8" w:rsidRPr="002E27DD" w:rsidRDefault="00CA7BC8" w:rsidP="00CA7BC8">
            <w:pPr>
              <w:rPr>
                <w:lang w:val="es-ES"/>
              </w:rPr>
            </w:pPr>
            <w:r>
              <w:rPr>
                <w:lang w:val="es-ES"/>
              </w:rPr>
              <w:t>Montaje, en tanto por uno</w:t>
            </w:r>
          </w:p>
        </w:tc>
      </w:tr>
      <w:tr w:rsidR="00CA7BC8" w14:paraId="5C9A817B" w14:textId="77777777" w:rsidTr="00CA7BC8">
        <w:tc>
          <w:tcPr>
            <w:tcW w:w="0" w:type="auto"/>
          </w:tcPr>
          <w:p w14:paraId="6E75631E" w14:textId="699D421E" w:rsidR="00CA7BC8" w:rsidRPr="00CA7BC8" w:rsidRDefault="00CA7BC8" w:rsidP="00CA7BC8">
            <w:pPr>
              <w:jc w:val="left"/>
              <w:rPr>
                <w:rFonts w:ascii="Cambria Math" w:hAnsi="Cambria Math"/>
                <w:i/>
                <w:lang w:val="es-ES"/>
              </w:rPr>
            </w:pPr>
            <m:oMathPara>
              <m:oMathParaPr>
                <m:jc m:val="left"/>
              </m:oMathParaPr>
              <m:oMath>
                <m:r>
                  <w:rPr>
                    <w:rFonts w:ascii="Cambria Math" w:hAnsi="Cambria Math"/>
                    <w:lang w:val="es-ES"/>
                  </w:rPr>
                  <m:t>Ing</m:t>
                </m:r>
              </m:oMath>
            </m:oMathPara>
          </w:p>
        </w:tc>
        <w:tc>
          <w:tcPr>
            <w:tcW w:w="0" w:type="auto"/>
          </w:tcPr>
          <w:p w14:paraId="286866E4" w14:textId="0ED689E8" w:rsidR="00CA7BC8" w:rsidRDefault="00CA7BC8" w:rsidP="00CA7BC8">
            <w:pPr>
              <w:jc w:val="left"/>
            </w:pPr>
            <w:r>
              <w:t>:</w:t>
            </w:r>
          </w:p>
        </w:tc>
        <w:tc>
          <w:tcPr>
            <w:tcW w:w="0" w:type="auto"/>
            <w:vAlign w:val="center"/>
          </w:tcPr>
          <w:p w14:paraId="48400F5F" w14:textId="6232BACD" w:rsidR="00CA7BC8" w:rsidRPr="002E27DD" w:rsidRDefault="00CA7BC8" w:rsidP="00CA7BC8">
            <w:pPr>
              <w:rPr>
                <w:lang w:val="es-ES"/>
              </w:rPr>
            </w:pPr>
            <w:r w:rsidRPr="00CA600B">
              <w:t>Recargo por ingeniería</w:t>
            </w:r>
            <w:r>
              <w:t>, en tanto porciento</w:t>
            </w:r>
          </w:p>
        </w:tc>
      </w:tr>
      <w:tr w:rsidR="00CA7BC8" w14:paraId="17F6C8EA" w14:textId="77777777" w:rsidTr="00CA7BC8">
        <w:tc>
          <w:tcPr>
            <w:tcW w:w="0" w:type="auto"/>
          </w:tcPr>
          <w:p w14:paraId="1F79B7CB" w14:textId="7C6B8009" w:rsidR="00CA7BC8" w:rsidRPr="00CA7BC8" w:rsidRDefault="00CA7BC8" w:rsidP="00CA7BC8">
            <w:pPr>
              <w:jc w:val="left"/>
              <w:rPr>
                <w:rFonts w:ascii="Cambria Math" w:hAnsi="Cambria Math"/>
                <w:i/>
                <w:lang w:val="es-ES"/>
              </w:rPr>
            </w:pPr>
            <m:oMathPara>
              <m:oMathParaPr>
                <m:jc m:val="left"/>
              </m:oMathParaPr>
              <m:oMath>
                <m:r>
                  <w:rPr>
                    <w:rFonts w:ascii="Cambria Math" w:hAnsi="Cambria Math"/>
                    <w:lang w:val="es-ES"/>
                  </w:rPr>
                  <m:t>Gg</m:t>
                </m:r>
              </m:oMath>
            </m:oMathPara>
          </w:p>
        </w:tc>
        <w:tc>
          <w:tcPr>
            <w:tcW w:w="0" w:type="auto"/>
          </w:tcPr>
          <w:p w14:paraId="1B8C9CC6" w14:textId="1BB7DE7F" w:rsidR="00CA7BC8" w:rsidRDefault="00CA7BC8" w:rsidP="00CA7BC8">
            <w:pPr>
              <w:jc w:val="left"/>
            </w:pPr>
            <w:r>
              <w:t>:</w:t>
            </w:r>
          </w:p>
        </w:tc>
        <w:tc>
          <w:tcPr>
            <w:tcW w:w="0" w:type="auto"/>
            <w:vAlign w:val="center"/>
          </w:tcPr>
          <w:p w14:paraId="7C6709FA" w14:textId="7634350B" w:rsidR="00CA7BC8" w:rsidRPr="002E27DD" w:rsidRDefault="00CA7BC8" w:rsidP="00CA7BC8">
            <w:pPr>
              <w:rPr>
                <w:lang w:val="es-ES"/>
              </w:rPr>
            </w:pPr>
            <w:r w:rsidRPr="00CA600B">
              <w:t>Recargo por gastos generales</w:t>
            </w:r>
            <w:r>
              <w:t>, en tanto porciento</w:t>
            </w:r>
          </w:p>
        </w:tc>
      </w:tr>
      <w:tr w:rsidR="00CA7BC8" w14:paraId="26D4F927" w14:textId="77777777" w:rsidTr="00CA7BC8">
        <w:tc>
          <w:tcPr>
            <w:tcW w:w="0" w:type="auto"/>
          </w:tcPr>
          <w:p w14:paraId="5D530AF0" w14:textId="2A5515FC" w:rsidR="00CA7BC8" w:rsidRPr="00CA7BC8" w:rsidRDefault="00CA7BC8" w:rsidP="00CA7BC8">
            <w:pPr>
              <w:jc w:val="left"/>
              <w:rPr>
                <w:rFonts w:ascii="Cambria Math" w:hAnsi="Cambria Math"/>
                <w:i/>
                <w:lang w:val="es-ES"/>
              </w:rPr>
            </w:pPr>
            <m:oMathPara>
              <m:oMathParaPr>
                <m:jc m:val="left"/>
              </m:oMathParaPr>
              <m:oMath>
                <m:r>
                  <w:rPr>
                    <w:rFonts w:ascii="Cambria Math" w:hAnsi="Cambria Math"/>
                    <w:lang w:val="es-ES"/>
                  </w:rPr>
                  <m:t>Int</m:t>
                </m:r>
              </m:oMath>
            </m:oMathPara>
          </w:p>
        </w:tc>
        <w:tc>
          <w:tcPr>
            <w:tcW w:w="0" w:type="auto"/>
          </w:tcPr>
          <w:p w14:paraId="55D78F46" w14:textId="45762613" w:rsidR="00CA7BC8" w:rsidRDefault="00CA7BC8" w:rsidP="00CA7BC8">
            <w:pPr>
              <w:jc w:val="left"/>
            </w:pPr>
            <w:r>
              <w:t>:</w:t>
            </w:r>
          </w:p>
        </w:tc>
        <w:tc>
          <w:tcPr>
            <w:tcW w:w="0" w:type="auto"/>
            <w:vAlign w:val="center"/>
          </w:tcPr>
          <w:p w14:paraId="49A05475" w14:textId="1BDBC1D5" w:rsidR="00CA7BC8" w:rsidRPr="002E27DD" w:rsidRDefault="00CA7BC8" w:rsidP="00CA7BC8">
            <w:pPr>
              <w:rPr>
                <w:lang w:val="es-ES"/>
              </w:rPr>
            </w:pPr>
            <w:r>
              <w:rPr>
                <w:lang w:val="es-ES"/>
              </w:rPr>
              <w:t>Intereses intercalarios, en tanto porciento</w:t>
            </w:r>
          </w:p>
        </w:tc>
      </w:tr>
      <w:tr w:rsidR="00CA7BC8" w14:paraId="3AB1D2A5" w14:textId="77777777" w:rsidTr="00CA7BC8">
        <w:tc>
          <w:tcPr>
            <w:tcW w:w="0" w:type="auto"/>
          </w:tcPr>
          <w:p w14:paraId="31573E2B" w14:textId="201C111C" w:rsidR="00CA7BC8" w:rsidRPr="00CA7BC8" w:rsidRDefault="00CA7BC8" w:rsidP="00CA7BC8">
            <w:pPr>
              <w:jc w:val="left"/>
              <w:rPr>
                <w:rFonts w:ascii="Cambria Math" w:hAnsi="Cambria Math"/>
                <w:i/>
                <w:lang w:val="es-ES"/>
              </w:rPr>
            </w:pPr>
            <m:oMathPara>
              <m:oMathParaPr>
                <m:jc m:val="left"/>
              </m:oMathParaPr>
              <m:oMath>
                <m:r>
                  <w:rPr>
                    <w:rFonts w:ascii="Cambria Math" w:hAnsi="Cambria Math"/>
                    <w:lang w:val="es-ES"/>
                  </w:rPr>
                  <m:t>BI</m:t>
                </m:r>
              </m:oMath>
            </m:oMathPara>
          </w:p>
        </w:tc>
        <w:tc>
          <w:tcPr>
            <w:tcW w:w="0" w:type="auto"/>
          </w:tcPr>
          <w:p w14:paraId="7AF8CEAF" w14:textId="188F429F" w:rsidR="00CA7BC8" w:rsidRDefault="00CA7BC8" w:rsidP="00CA7BC8">
            <w:pPr>
              <w:jc w:val="left"/>
            </w:pPr>
            <w:r>
              <w:t>:</w:t>
            </w:r>
          </w:p>
        </w:tc>
        <w:tc>
          <w:tcPr>
            <w:tcW w:w="0" w:type="auto"/>
            <w:vAlign w:val="center"/>
          </w:tcPr>
          <w:p w14:paraId="361E1253" w14:textId="13C60C97" w:rsidR="00CA7BC8" w:rsidRPr="002E27DD" w:rsidRDefault="00CA7BC8" w:rsidP="00CA7BC8">
            <w:pPr>
              <w:rPr>
                <w:lang w:val="es-ES"/>
              </w:rPr>
            </w:pPr>
            <w:r>
              <w:rPr>
                <w:lang w:val="es-ES"/>
              </w:rPr>
              <w:t>Bienes intangibles, en USD</w:t>
            </w:r>
          </w:p>
        </w:tc>
      </w:tr>
      <w:tr w:rsidR="00CA7BC8" w14:paraId="12D31A33" w14:textId="77777777" w:rsidTr="00CA7BC8">
        <w:tc>
          <w:tcPr>
            <w:tcW w:w="0" w:type="auto"/>
          </w:tcPr>
          <w:p w14:paraId="3F9AC813" w14:textId="3A800696" w:rsidR="00CA7BC8" w:rsidRPr="00CA7BC8" w:rsidRDefault="00CA7BC8" w:rsidP="00CA7BC8">
            <w:pPr>
              <w:jc w:val="left"/>
              <w:rPr>
                <w:rFonts w:ascii="Cambria Math" w:hAnsi="Cambria Math"/>
                <w:i/>
                <w:lang w:val="es-ES"/>
              </w:rPr>
            </w:pPr>
            <m:oMathPara>
              <m:oMathParaPr>
                <m:jc m:val="left"/>
              </m:oMathParaPr>
              <m:oMath>
                <m:r>
                  <w:rPr>
                    <w:rFonts w:ascii="Cambria Math" w:hAnsi="Cambria Math"/>
                    <w:lang w:val="es-ES"/>
                  </w:rPr>
                  <m:t>CE</m:t>
                </m:r>
              </m:oMath>
            </m:oMathPara>
          </w:p>
        </w:tc>
        <w:tc>
          <w:tcPr>
            <w:tcW w:w="0" w:type="auto"/>
          </w:tcPr>
          <w:p w14:paraId="2FFA5C04" w14:textId="60A6DDFF" w:rsidR="00CA7BC8" w:rsidRDefault="00CA7BC8" w:rsidP="00CA7BC8">
            <w:pPr>
              <w:jc w:val="left"/>
            </w:pPr>
            <w:r>
              <w:t>:</w:t>
            </w:r>
          </w:p>
        </w:tc>
        <w:tc>
          <w:tcPr>
            <w:tcW w:w="0" w:type="auto"/>
            <w:vAlign w:val="center"/>
          </w:tcPr>
          <w:p w14:paraId="32A8DA7F" w14:textId="66FF1A42" w:rsidR="00CA7BC8" w:rsidRPr="002E27DD" w:rsidRDefault="00CA7BC8" w:rsidP="00CA7BC8">
            <w:pPr>
              <w:rPr>
                <w:lang w:val="es-ES"/>
              </w:rPr>
            </w:pPr>
            <w:r>
              <w:rPr>
                <w:lang w:val="es-ES"/>
              </w:rPr>
              <w:t>Capital de explotación, en USD</w:t>
            </w:r>
          </w:p>
        </w:tc>
      </w:tr>
    </w:tbl>
    <w:p w14:paraId="0803F1B8" w14:textId="77777777" w:rsidR="003E19A2" w:rsidRPr="0076762A" w:rsidRDefault="003E19A2" w:rsidP="003E19A2">
      <w:pPr>
        <w:rPr>
          <w:lang w:val="es-ES"/>
        </w:rPr>
      </w:pPr>
      <w:r w:rsidRPr="00CA600B">
        <w:t>En el caso de los derechos de uso de suelo y medio ambiente, se aplica la siguiente fórmula:</w:t>
      </w:r>
    </w:p>
    <w:p w14:paraId="2A83F769" w14:textId="532D2DBE" w:rsidR="003E19A2" w:rsidRPr="00CA7BC8" w:rsidRDefault="003E19A2" w:rsidP="003E19A2">
      <m:oMathPara>
        <m:oMath>
          <m:r>
            <w:rPr>
              <w:rFonts w:ascii="Cambria Math" w:hAnsi="Cambria Math"/>
            </w:rPr>
            <m:t>V.I. =Cu∙</m:t>
          </m:r>
          <m:d>
            <m:dPr>
              <m:ctrlPr>
                <w:rPr>
                  <w:rFonts w:ascii="Cambria Math" w:hAnsi="Cambria Math"/>
                </w:rPr>
              </m:ctrlPr>
            </m:dPr>
            <m:e>
              <m:r>
                <w:rPr>
                  <w:rFonts w:ascii="Cambria Math" w:hAnsi="Cambria Math"/>
                </w:rPr>
                <m:t>1+Int</m:t>
              </m:r>
            </m:e>
          </m:d>
          <m:r>
            <w:rPr>
              <w:rFonts w:ascii="Cambria Math" w:hAnsi="Cambria Math"/>
            </w:rPr>
            <m:t>+BI+CE</m:t>
          </m:r>
        </m:oMath>
      </m:oMathPara>
    </w:p>
    <w:p w14:paraId="0740C57E" w14:textId="38377238" w:rsidR="00CA7BC8" w:rsidRPr="00CA7BC8" w:rsidRDefault="00CA7BC8" w:rsidP="003E19A2">
      <w:r>
        <w:t>Donde:</w:t>
      </w: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46"/>
        <w:gridCol w:w="281"/>
        <w:gridCol w:w="7399"/>
      </w:tblGrid>
      <w:tr w:rsidR="00CA7BC8" w14:paraId="49EF9C6D" w14:textId="77777777" w:rsidTr="00CA7BC8">
        <w:tc>
          <w:tcPr>
            <w:tcW w:w="0" w:type="auto"/>
          </w:tcPr>
          <w:p w14:paraId="7457513E" w14:textId="77777777" w:rsidR="00CA7BC8" w:rsidRPr="00F72CD9" w:rsidRDefault="00CA7BC8" w:rsidP="00CA7BC8">
            <w:pPr>
              <w:jc w:val="left"/>
            </w:pPr>
            <m:oMathPara>
              <m:oMathParaPr>
                <m:jc m:val="left"/>
              </m:oMathParaPr>
              <m:oMath>
                <m:r>
                  <w:rPr>
                    <w:rFonts w:ascii="Cambria Math" w:hAnsi="Cambria Math"/>
                    <w:lang w:val="es-ES"/>
                  </w:rPr>
                  <m:t>Cu</m:t>
                </m:r>
              </m:oMath>
            </m:oMathPara>
          </w:p>
        </w:tc>
        <w:tc>
          <w:tcPr>
            <w:tcW w:w="0" w:type="auto"/>
          </w:tcPr>
          <w:p w14:paraId="54D4B600" w14:textId="77777777" w:rsidR="00CA7BC8" w:rsidRDefault="00CA7BC8" w:rsidP="00CA7BC8">
            <w:pPr>
              <w:jc w:val="left"/>
            </w:pPr>
            <w:r>
              <w:t>:</w:t>
            </w:r>
          </w:p>
        </w:tc>
        <w:tc>
          <w:tcPr>
            <w:tcW w:w="0" w:type="auto"/>
            <w:vAlign w:val="center"/>
          </w:tcPr>
          <w:p w14:paraId="7F570F37" w14:textId="191C8B67" w:rsidR="00CA7BC8" w:rsidRPr="00F72CD9" w:rsidRDefault="00CA7BC8" w:rsidP="00CA7BC8">
            <w:pPr>
              <w:rPr>
                <w:bCs/>
              </w:rPr>
            </w:pPr>
            <w:r w:rsidRPr="00CA600B">
              <w:t>Costo unitario de los derechos de uso de suelo y medio ambiente</w:t>
            </w:r>
            <w:r>
              <w:t>, en USD</w:t>
            </w:r>
          </w:p>
        </w:tc>
      </w:tr>
      <w:tr w:rsidR="00CA7BC8" w14:paraId="1CCAE9B4" w14:textId="77777777" w:rsidTr="00CA7BC8">
        <w:tc>
          <w:tcPr>
            <w:tcW w:w="0" w:type="auto"/>
          </w:tcPr>
          <w:p w14:paraId="113E93CC" w14:textId="77777777" w:rsidR="00CA7BC8" w:rsidRPr="00CA7BC8" w:rsidRDefault="00CA7BC8" w:rsidP="00CA7BC8">
            <w:pPr>
              <w:jc w:val="left"/>
              <w:rPr>
                <w:rFonts w:ascii="Cambria Math" w:hAnsi="Cambria Math"/>
                <w:i/>
                <w:lang w:val="es-ES"/>
              </w:rPr>
            </w:pPr>
            <m:oMathPara>
              <m:oMathParaPr>
                <m:jc m:val="left"/>
              </m:oMathParaPr>
              <m:oMath>
                <m:r>
                  <w:rPr>
                    <w:rFonts w:ascii="Cambria Math" w:hAnsi="Cambria Math"/>
                    <w:lang w:val="es-ES"/>
                  </w:rPr>
                  <m:t>Int</m:t>
                </m:r>
              </m:oMath>
            </m:oMathPara>
          </w:p>
        </w:tc>
        <w:tc>
          <w:tcPr>
            <w:tcW w:w="0" w:type="auto"/>
          </w:tcPr>
          <w:p w14:paraId="28B8B833" w14:textId="77777777" w:rsidR="00CA7BC8" w:rsidRDefault="00CA7BC8" w:rsidP="00CA7BC8">
            <w:pPr>
              <w:jc w:val="left"/>
            </w:pPr>
            <w:r>
              <w:t>:</w:t>
            </w:r>
          </w:p>
        </w:tc>
        <w:tc>
          <w:tcPr>
            <w:tcW w:w="0" w:type="auto"/>
            <w:vAlign w:val="center"/>
          </w:tcPr>
          <w:p w14:paraId="517F541E" w14:textId="77777777" w:rsidR="00CA7BC8" w:rsidRPr="002E27DD" w:rsidRDefault="00CA7BC8" w:rsidP="00CA7BC8">
            <w:pPr>
              <w:rPr>
                <w:lang w:val="es-ES"/>
              </w:rPr>
            </w:pPr>
            <w:r>
              <w:rPr>
                <w:lang w:val="es-ES"/>
              </w:rPr>
              <w:t>Intereses intercalarios, en tanto porciento</w:t>
            </w:r>
          </w:p>
        </w:tc>
      </w:tr>
      <w:tr w:rsidR="00CA7BC8" w14:paraId="69941AD5" w14:textId="77777777" w:rsidTr="00CA7BC8">
        <w:tc>
          <w:tcPr>
            <w:tcW w:w="0" w:type="auto"/>
          </w:tcPr>
          <w:p w14:paraId="2F7459F6" w14:textId="77777777" w:rsidR="00CA7BC8" w:rsidRPr="00CA7BC8" w:rsidRDefault="00CA7BC8" w:rsidP="00CA7BC8">
            <w:pPr>
              <w:jc w:val="left"/>
              <w:rPr>
                <w:rFonts w:ascii="Cambria Math" w:hAnsi="Cambria Math"/>
                <w:i/>
                <w:lang w:val="es-ES"/>
              </w:rPr>
            </w:pPr>
            <m:oMathPara>
              <m:oMathParaPr>
                <m:jc m:val="left"/>
              </m:oMathParaPr>
              <m:oMath>
                <m:r>
                  <w:rPr>
                    <w:rFonts w:ascii="Cambria Math" w:hAnsi="Cambria Math"/>
                    <w:lang w:val="es-ES"/>
                  </w:rPr>
                  <m:t>BI</m:t>
                </m:r>
              </m:oMath>
            </m:oMathPara>
          </w:p>
        </w:tc>
        <w:tc>
          <w:tcPr>
            <w:tcW w:w="0" w:type="auto"/>
          </w:tcPr>
          <w:p w14:paraId="1DABF55B" w14:textId="77777777" w:rsidR="00CA7BC8" w:rsidRDefault="00CA7BC8" w:rsidP="00CA7BC8">
            <w:pPr>
              <w:jc w:val="left"/>
            </w:pPr>
            <w:r>
              <w:t>:</w:t>
            </w:r>
          </w:p>
        </w:tc>
        <w:tc>
          <w:tcPr>
            <w:tcW w:w="0" w:type="auto"/>
            <w:vAlign w:val="center"/>
          </w:tcPr>
          <w:p w14:paraId="68F0665E" w14:textId="77777777" w:rsidR="00CA7BC8" w:rsidRPr="002E27DD" w:rsidRDefault="00CA7BC8" w:rsidP="00CA7BC8">
            <w:pPr>
              <w:rPr>
                <w:lang w:val="es-ES"/>
              </w:rPr>
            </w:pPr>
            <w:r>
              <w:rPr>
                <w:lang w:val="es-ES"/>
              </w:rPr>
              <w:t>Bienes intangibles, en USD</w:t>
            </w:r>
          </w:p>
        </w:tc>
      </w:tr>
      <w:tr w:rsidR="00CA7BC8" w14:paraId="4B611A0E" w14:textId="77777777" w:rsidTr="00CA7BC8">
        <w:tc>
          <w:tcPr>
            <w:tcW w:w="0" w:type="auto"/>
          </w:tcPr>
          <w:p w14:paraId="71D652CA" w14:textId="77777777" w:rsidR="00CA7BC8" w:rsidRPr="00CA7BC8" w:rsidRDefault="00CA7BC8" w:rsidP="00CA7BC8">
            <w:pPr>
              <w:jc w:val="left"/>
              <w:rPr>
                <w:rFonts w:ascii="Cambria Math" w:hAnsi="Cambria Math"/>
                <w:i/>
                <w:lang w:val="es-ES"/>
              </w:rPr>
            </w:pPr>
            <m:oMathPara>
              <m:oMathParaPr>
                <m:jc m:val="left"/>
              </m:oMathParaPr>
              <m:oMath>
                <m:r>
                  <w:rPr>
                    <w:rFonts w:ascii="Cambria Math" w:hAnsi="Cambria Math"/>
                    <w:lang w:val="es-ES"/>
                  </w:rPr>
                  <m:t>CE</m:t>
                </m:r>
              </m:oMath>
            </m:oMathPara>
          </w:p>
        </w:tc>
        <w:tc>
          <w:tcPr>
            <w:tcW w:w="0" w:type="auto"/>
          </w:tcPr>
          <w:p w14:paraId="4633016C" w14:textId="77777777" w:rsidR="00CA7BC8" w:rsidRDefault="00CA7BC8" w:rsidP="00CA7BC8">
            <w:pPr>
              <w:jc w:val="left"/>
            </w:pPr>
            <w:r>
              <w:t>:</w:t>
            </w:r>
          </w:p>
        </w:tc>
        <w:tc>
          <w:tcPr>
            <w:tcW w:w="0" w:type="auto"/>
            <w:vAlign w:val="center"/>
          </w:tcPr>
          <w:p w14:paraId="2DCA77C2" w14:textId="77777777" w:rsidR="00CA7BC8" w:rsidRPr="002E27DD" w:rsidRDefault="00CA7BC8" w:rsidP="00CA7BC8">
            <w:pPr>
              <w:rPr>
                <w:lang w:val="es-ES"/>
              </w:rPr>
            </w:pPr>
            <w:r>
              <w:rPr>
                <w:lang w:val="es-ES"/>
              </w:rPr>
              <w:t>Capital de explotación, en USD</w:t>
            </w:r>
          </w:p>
        </w:tc>
      </w:tr>
    </w:tbl>
    <w:p w14:paraId="23B738C9" w14:textId="77777777" w:rsidR="003E19A2" w:rsidRDefault="003E19A2" w:rsidP="003E19A2">
      <w:r>
        <w:t>La suma de todos los respectivos VI para cada tramo dará el valor de inversión de cada tramo de transporte y tramo de subestación.</w:t>
      </w:r>
    </w:p>
    <w:p w14:paraId="470A2EFE" w14:textId="214E07EF" w:rsidR="003E19A2" w:rsidRDefault="003E19A2" w:rsidP="003E19A2">
      <w:r>
        <w:t xml:space="preserve">El cálculo ha sido realizado en la base de datos SQL, de tal forma que considera todos los elementos relacionados a un tramo sin la posibilidad de poder omitir elementos ya que se encuentran claramente relacionados. </w:t>
      </w:r>
    </w:p>
    <w:p w14:paraId="6CB9940C" w14:textId="77777777" w:rsidR="003E19A2" w:rsidRPr="004D4185" w:rsidRDefault="003E19A2" w:rsidP="003E19A2">
      <w:r>
        <w:t xml:space="preserve">Se ha creado una nueva tabla que a modo de resumen entrega el V.I. de cada tramo de transporte </w:t>
      </w:r>
      <w:r w:rsidRPr="004D4185">
        <w:t xml:space="preserve">o de subestación. </w:t>
      </w:r>
    </w:p>
    <w:p w14:paraId="0AB860CD" w14:textId="77777777" w:rsidR="00DE5740" w:rsidRPr="004D4185" w:rsidRDefault="00DE5740" w:rsidP="00DE5740">
      <w:r w:rsidRPr="004D4185">
        <w:t>Para los bienes muebles e inmuebles se utilizó la siguiente expresión:</w:t>
      </w:r>
    </w:p>
    <w:p w14:paraId="5E665BE8" w14:textId="187FA6F1" w:rsidR="00DE5740" w:rsidRPr="00CA7BC8" w:rsidRDefault="00DE5740" w:rsidP="00DE5740">
      <m:oMathPara>
        <m:oMath>
          <m:r>
            <w:rPr>
              <w:rFonts w:ascii="Cambria Math" w:hAnsi="Cambria Math"/>
            </w:rPr>
            <m:t>V.I. =Cu+BI+CE</m:t>
          </m:r>
        </m:oMath>
      </m:oMathPara>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9"/>
        <w:gridCol w:w="281"/>
        <w:gridCol w:w="5870"/>
      </w:tblGrid>
      <w:tr w:rsidR="00CA7BC8" w14:paraId="45438AEB" w14:textId="77777777" w:rsidTr="00CA7BC8">
        <w:tc>
          <w:tcPr>
            <w:tcW w:w="0" w:type="auto"/>
          </w:tcPr>
          <w:p w14:paraId="6DC2259B" w14:textId="77777777" w:rsidR="00CA7BC8" w:rsidRPr="00F72CD9" w:rsidRDefault="00CA7BC8" w:rsidP="00CA7BC8">
            <w:pPr>
              <w:jc w:val="left"/>
            </w:pPr>
            <m:oMathPara>
              <m:oMathParaPr>
                <m:jc m:val="left"/>
              </m:oMathParaPr>
              <m:oMath>
                <m:r>
                  <w:rPr>
                    <w:rFonts w:ascii="Cambria Math" w:hAnsi="Cambria Math"/>
                    <w:lang w:val="es-ES"/>
                  </w:rPr>
                  <m:t>Cu</m:t>
                </m:r>
              </m:oMath>
            </m:oMathPara>
          </w:p>
        </w:tc>
        <w:tc>
          <w:tcPr>
            <w:tcW w:w="0" w:type="auto"/>
          </w:tcPr>
          <w:p w14:paraId="4C298DEA" w14:textId="77777777" w:rsidR="00CA7BC8" w:rsidRDefault="00CA7BC8" w:rsidP="00CA7BC8">
            <w:pPr>
              <w:jc w:val="left"/>
            </w:pPr>
            <w:r>
              <w:t>:</w:t>
            </w:r>
          </w:p>
        </w:tc>
        <w:tc>
          <w:tcPr>
            <w:tcW w:w="0" w:type="auto"/>
            <w:vAlign w:val="center"/>
          </w:tcPr>
          <w:p w14:paraId="71362558" w14:textId="0FA3AE8C" w:rsidR="00CA7BC8" w:rsidRPr="00F72CD9" w:rsidRDefault="00CA7BC8" w:rsidP="00CA7BC8">
            <w:pPr>
              <w:rPr>
                <w:bCs/>
              </w:rPr>
            </w:pPr>
            <w:r w:rsidRPr="00CA600B">
              <w:t xml:space="preserve">Costo unitario de los </w:t>
            </w:r>
            <w:r w:rsidRPr="004D4185">
              <w:t>bienes muebles e inmuebles</w:t>
            </w:r>
            <w:r>
              <w:t>, en USD</w:t>
            </w:r>
          </w:p>
        </w:tc>
      </w:tr>
      <w:tr w:rsidR="00CA7BC8" w14:paraId="3C3AC0CE" w14:textId="77777777" w:rsidTr="00CA7BC8">
        <w:tc>
          <w:tcPr>
            <w:tcW w:w="0" w:type="auto"/>
          </w:tcPr>
          <w:p w14:paraId="6DDA8A43" w14:textId="77777777" w:rsidR="00CA7BC8" w:rsidRPr="00CA7BC8" w:rsidRDefault="00CA7BC8" w:rsidP="00CA7BC8">
            <w:pPr>
              <w:jc w:val="left"/>
              <w:rPr>
                <w:rFonts w:ascii="Cambria Math" w:hAnsi="Cambria Math"/>
                <w:i/>
                <w:lang w:val="es-ES"/>
              </w:rPr>
            </w:pPr>
            <m:oMathPara>
              <m:oMathParaPr>
                <m:jc m:val="left"/>
              </m:oMathParaPr>
              <m:oMath>
                <m:r>
                  <w:rPr>
                    <w:rFonts w:ascii="Cambria Math" w:hAnsi="Cambria Math"/>
                    <w:lang w:val="es-ES"/>
                  </w:rPr>
                  <w:lastRenderedPageBreak/>
                  <m:t>BI</m:t>
                </m:r>
              </m:oMath>
            </m:oMathPara>
          </w:p>
        </w:tc>
        <w:tc>
          <w:tcPr>
            <w:tcW w:w="0" w:type="auto"/>
          </w:tcPr>
          <w:p w14:paraId="73F71D7B" w14:textId="77777777" w:rsidR="00CA7BC8" w:rsidRDefault="00CA7BC8" w:rsidP="00CA7BC8">
            <w:pPr>
              <w:jc w:val="left"/>
            </w:pPr>
            <w:r>
              <w:t>:</w:t>
            </w:r>
          </w:p>
        </w:tc>
        <w:tc>
          <w:tcPr>
            <w:tcW w:w="0" w:type="auto"/>
            <w:vAlign w:val="center"/>
          </w:tcPr>
          <w:p w14:paraId="6A32DC4F" w14:textId="77777777" w:rsidR="00CA7BC8" w:rsidRPr="002E27DD" w:rsidRDefault="00CA7BC8" w:rsidP="00CA7BC8">
            <w:pPr>
              <w:rPr>
                <w:lang w:val="es-ES"/>
              </w:rPr>
            </w:pPr>
            <w:r>
              <w:rPr>
                <w:lang w:val="es-ES"/>
              </w:rPr>
              <w:t>Bienes intangibles, en USD</w:t>
            </w:r>
          </w:p>
        </w:tc>
      </w:tr>
      <w:tr w:rsidR="00CA7BC8" w14:paraId="2F80CFF5" w14:textId="77777777" w:rsidTr="00CA7BC8">
        <w:tc>
          <w:tcPr>
            <w:tcW w:w="0" w:type="auto"/>
          </w:tcPr>
          <w:p w14:paraId="35036D36" w14:textId="77777777" w:rsidR="00CA7BC8" w:rsidRPr="00CA7BC8" w:rsidRDefault="00CA7BC8" w:rsidP="00CA7BC8">
            <w:pPr>
              <w:jc w:val="left"/>
              <w:rPr>
                <w:rFonts w:ascii="Cambria Math" w:hAnsi="Cambria Math"/>
                <w:i/>
                <w:lang w:val="es-ES"/>
              </w:rPr>
            </w:pPr>
            <m:oMathPara>
              <m:oMathParaPr>
                <m:jc m:val="left"/>
              </m:oMathParaPr>
              <m:oMath>
                <m:r>
                  <w:rPr>
                    <w:rFonts w:ascii="Cambria Math" w:hAnsi="Cambria Math"/>
                    <w:lang w:val="es-ES"/>
                  </w:rPr>
                  <m:t>CE</m:t>
                </m:r>
              </m:oMath>
            </m:oMathPara>
          </w:p>
        </w:tc>
        <w:tc>
          <w:tcPr>
            <w:tcW w:w="0" w:type="auto"/>
          </w:tcPr>
          <w:p w14:paraId="5F818A4E" w14:textId="77777777" w:rsidR="00CA7BC8" w:rsidRDefault="00CA7BC8" w:rsidP="00CA7BC8">
            <w:pPr>
              <w:jc w:val="left"/>
            </w:pPr>
            <w:r>
              <w:t>:</w:t>
            </w:r>
          </w:p>
        </w:tc>
        <w:tc>
          <w:tcPr>
            <w:tcW w:w="0" w:type="auto"/>
            <w:vAlign w:val="center"/>
          </w:tcPr>
          <w:p w14:paraId="07A3BC70" w14:textId="77777777" w:rsidR="00CA7BC8" w:rsidRPr="002E27DD" w:rsidRDefault="00CA7BC8" w:rsidP="00CA7BC8">
            <w:pPr>
              <w:rPr>
                <w:lang w:val="es-ES"/>
              </w:rPr>
            </w:pPr>
            <w:r>
              <w:rPr>
                <w:lang w:val="es-ES"/>
              </w:rPr>
              <w:t>Capital de explotación, en USD</w:t>
            </w:r>
          </w:p>
        </w:tc>
      </w:tr>
    </w:tbl>
    <w:p w14:paraId="241BB061" w14:textId="379437A3" w:rsidR="00DE5740" w:rsidRDefault="009266E0" w:rsidP="00DE5740">
      <w:r w:rsidRPr="004D4185">
        <w:t>La asignación de BI y CE a cada costo unitarios de bienes muebles e inmuebles se encuentra en el archivo “Precios Insumos No Electricos”</w:t>
      </w:r>
      <w:r w:rsidR="00F836AC">
        <w:t>.</w:t>
      </w:r>
    </w:p>
    <w:p w14:paraId="26717F08" w14:textId="77777777" w:rsidR="003E19A2" w:rsidRDefault="003E19A2" w:rsidP="003E19A2">
      <w:pPr>
        <w:pStyle w:val="Ttulo2"/>
      </w:pPr>
      <w:bookmarkStart w:id="431" w:name="_Toc39797860"/>
      <w:r>
        <w:t>Resultados</w:t>
      </w:r>
      <w:bookmarkEnd w:id="431"/>
    </w:p>
    <w:p w14:paraId="6B231452" w14:textId="15C3FCA4" w:rsidR="003E19A2" w:rsidRDefault="003E19A2" w:rsidP="003E19A2">
      <w:r>
        <w:t xml:space="preserve">Los resultados </w:t>
      </w:r>
      <w:r w:rsidR="00A477D0">
        <w:t>obtenidos</w:t>
      </w:r>
      <w:r>
        <w:t xml:space="preserve"> se encuentran en el </w:t>
      </w:r>
      <w:r w:rsidR="00CA7BC8">
        <w:t>“</w:t>
      </w:r>
      <w:r>
        <w:t>Anexo VI_9 Cálculo del VI</w:t>
      </w:r>
      <w:r w:rsidR="00CA7BC8">
        <w:t>”</w:t>
      </w:r>
      <w:r>
        <w:t>. Se incluye archivos de resultados en detalle y de resumen.</w:t>
      </w:r>
    </w:p>
    <w:p w14:paraId="03C2F3FF" w14:textId="2C2F69D6" w:rsidR="003E19A2" w:rsidRDefault="003E19A2" w:rsidP="003E19A2">
      <w:r>
        <w:t>Los resultados finales totales se muestran en las tablas siguientes:</w:t>
      </w:r>
    </w:p>
    <w:p w14:paraId="330CDA49" w14:textId="77777777" w:rsidR="003E19A2" w:rsidRDefault="003E19A2" w:rsidP="003E19A2">
      <w:pPr>
        <w:pStyle w:val="Ttulo3"/>
      </w:pPr>
      <w:bookmarkStart w:id="432" w:name="_Toc34640155"/>
      <w:bookmarkStart w:id="433" w:name="_Toc34655179"/>
      <w:bookmarkStart w:id="434" w:name="_Toc39797861"/>
      <w:r>
        <w:t>Valor de Inversión por empresa propietaria</w:t>
      </w:r>
      <w:bookmarkEnd w:id="432"/>
      <w:bookmarkEnd w:id="433"/>
      <w:bookmarkEnd w:id="434"/>
    </w:p>
    <w:p w14:paraId="34E6E529" w14:textId="77777777" w:rsidR="00F501EB" w:rsidRPr="00E1571A" w:rsidRDefault="00F501EB" w:rsidP="00F501EB">
      <w:pPr>
        <w:pStyle w:val="Subttulo"/>
      </w:pPr>
      <w:bookmarkStart w:id="435" w:name="_Toc34640122"/>
      <w:bookmarkStart w:id="436" w:name="_Toc34655190"/>
      <w:bookmarkStart w:id="437" w:name="_Toc39795270"/>
      <w:bookmarkStart w:id="438" w:name="_Toc39797950"/>
      <w:r w:rsidRPr="00E1571A">
        <w:t xml:space="preserve">Tabla </w:t>
      </w:r>
      <w:fldSimple w:instr=" SEQ Tabla \* ARABIC ">
        <w:r w:rsidR="001F3E2E">
          <w:rPr>
            <w:noProof/>
          </w:rPr>
          <w:t>40</w:t>
        </w:r>
      </w:fldSimple>
      <w:r w:rsidRPr="00E1571A">
        <w:t>: Valor de Inversión (V.I.) por empresa propietaria</w:t>
      </w:r>
      <w:bookmarkEnd w:id="435"/>
      <w:bookmarkEnd w:id="436"/>
      <w:bookmarkEnd w:id="437"/>
      <w:bookmarkEnd w:id="438"/>
    </w:p>
    <w:tbl>
      <w:tblPr>
        <w:tblW w:w="8506" w:type="dxa"/>
        <w:jc w:val="center"/>
        <w:tblLayout w:type="fixed"/>
        <w:tblCellMar>
          <w:left w:w="57" w:type="dxa"/>
          <w:right w:w="57" w:type="dxa"/>
        </w:tblCellMar>
        <w:tblLook w:val="04A0" w:firstRow="1" w:lastRow="0" w:firstColumn="1" w:lastColumn="0" w:noHBand="0" w:noVBand="1"/>
      </w:tblPr>
      <w:tblGrid>
        <w:gridCol w:w="1985"/>
        <w:gridCol w:w="3969"/>
        <w:gridCol w:w="2552"/>
      </w:tblGrid>
      <w:tr w:rsidR="00F501EB" w:rsidRPr="00A81CB8" w14:paraId="1CBA40EE" w14:textId="77777777" w:rsidTr="006B5A62">
        <w:trPr>
          <w:tblHeader/>
          <w:jc w:val="center"/>
        </w:trPr>
        <w:tc>
          <w:tcPr>
            <w:tcW w:w="1985" w:type="dxa"/>
            <w:tcBorders>
              <w:top w:val="single" w:sz="8" w:space="0" w:color="auto"/>
              <w:left w:val="single" w:sz="8" w:space="0" w:color="auto"/>
              <w:bottom w:val="single" w:sz="8" w:space="0" w:color="auto"/>
              <w:right w:val="single" w:sz="8" w:space="0" w:color="auto"/>
            </w:tcBorders>
            <w:shd w:val="clear" w:color="auto" w:fill="D9D9D9" w:themeFill="background1" w:themeFillShade="D9"/>
            <w:noWrap/>
            <w:vAlign w:val="center"/>
            <w:hideMark/>
          </w:tcPr>
          <w:p w14:paraId="18F2379B" w14:textId="77777777" w:rsidR="00F501EB" w:rsidRPr="00A81CB8" w:rsidRDefault="00F501EB" w:rsidP="006B5A62">
            <w:pPr>
              <w:spacing w:before="20" w:after="20" w:line="240" w:lineRule="auto"/>
              <w:jc w:val="center"/>
              <w:rPr>
                <w:rFonts w:cs="Calibri"/>
                <w:b/>
                <w:bCs/>
                <w:color w:val="000000"/>
                <w:sz w:val="20"/>
                <w:szCs w:val="20"/>
              </w:rPr>
            </w:pPr>
            <w:r w:rsidRPr="00A81CB8">
              <w:rPr>
                <w:rFonts w:cs="Calibri"/>
                <w:b/>
                <w:bCs/>
                <w:color w:val="000000"/>
                <w:sz w:val="20"/>
                <w:szCs w:val="20"/>
              </w:rPr>
              <w:t>IdEmpresaPropietaria</w:t>
            </w:r>
          </w:p>
        </w:tc>
        <w:tc>
          <w:tcPr>
            <w:tcW w:w="3969" w:type="dxa"/>
            <w:tcBorders>
              <w:top w:val="single" w:sz="8" w:space="0" w:color="auto"/>
              <w:left w:val="nil"/>
              <w:bottom w:val="single" w:sz="8" w:space="0" w:color="auto"/>
              <w:right w:val="single" w:sz="8" w:space="0" w:color="auto"/>
            </w:tcBorders>
            <w:shd w:val="clear" w:color="auto" w:fill="D9D9D9" w:themeFill="background1" w:themeFillShade="D9"/>
            <w:noWrap/>
            <w:vAlign w:val="center"/>
            <w:hideMark/>
          </w:tcPr>
          <w:p w14:paraId="1F4BE364" w14:textId="77777777" w:rsidR="00F501EB" w:rsidRPr="00A81CB8" w:rsidRDefault="00F501EB" w:rsidP="006B5A62">
            <w:pPr>
              <w:spacing w:before="20" w:after="20" w:line="240" w:lineRule="auto"/>
              <w:jc w:val="center"/>
              <w:rPr>
                <w:rFonts w:cs="Calibri"/>
                <w:b/>
                <w:bCs/>
                <w:color w:val="000000"/>
                <w:sz w:val="20"/>
                <w:szCs w:val="20"/>
              </w:rPr>
            </w:pPr>
            <w:r w:rsidRPr="00A81CB8">
              <w:rPr>
                <w:rFonts w:cs="Calibri"/>
                <w:b/>
                <w:bCs/>
                <w:color w:val="000000"/>
                <w:sz w:val="20"/>
                <w:szCs w:val="20"/>
              </w:rPr>
              <w:t>Nombre de Empresa</w:t>
            </w:r>
          </w:p>
        </w:tc>
        <w:tc>
          <w:tcPr>
            <w:tcW w:w="2552" w:type="dxa"/>
            <w:tcBorders>
              <w:top w:val="single" w:sz="8" w:space="0" w:color="auto"/>
              <w:left w:val="nil"/>
              <w:bottom w:val="single" w:sz="8" w:space="0" w:color="auto"/>
              <w:right w:val="single" w:sz="8" w:space="0" w:color="auto"/>
            </w:tcBorders>
            <w:shd w:val="clear" w:color="auto" w:fill="D9D9D9" w:themeFill="background1" w:themeFillShade="D9"/>
            <w:vAlign w:val="center"/>
            <w:hideMark/>
          </w:tcPr>
          <w:p w14:paraId="3D5F4201" w14:textId="77777777" w:rsidR="00F501EB" w:rsidRPr="00A81CB8" w:rsidRDefault="00F501EB" w:rsidP="006B5A62">
            <w:pPr>
              <w:spacing w:before="20" w:after="20" w:line="240" w:lineRule="auto"/>
              <w:jc w:val="center"/>
              <w:rPr>
                <w:rFonts w:cs="Calibri"/>
                <w:b/>
                <w:bCs/>
                <w:color w:val="000000"/>
                <w:sz w:val="20"/>
                <w:szCs w:val="20"/>
              </w:rPr>
            </w:pPr>
            <w:r w:rsidRPr="00A81CB8">
              <w:rPr>
                <w:rFonts w:cs="Calibri"/>
                <w:b/>
                <w:bCs/>
                <w:color w:val="000000"/>
                <w:sz w:val="20"/>
                <w:szCs w:val="20"/>
              </w:rPr>
              <w:t>Valor de Inversión (V.I.)</w:t>
            </w:r>
          </w:p>
          <w:p w14:paraId="0A73EF91" w14:textId="77777777" w:rsidR="00F501EB" w:rsidRPr="00A81CB8" w:rsidRDefault="00F501EB" w:rsidP="006B5A62">
            <w:pPr>
              <w:spacing w:before="20" w:after="20" w:line="240" w:lineRule="auto"/>
              <w:jc w:val="center"/>
              <w:rPr>
                <w:rFonts w:cs="Calibri"/>
                <w:b/>
                <w:bCs/>
                <w:color w:val="000000"/>
                <w:sz w:val="20"/>
                <w:szCs w:val="20"/>
              </w:rPr>
            </w:pPr>
            <w:r w:rsidRPr="00A81CB8">
              <w:rPr>
                <w:rFonts w:cs="Calibri"/>
                <w:b/>
                <w:bCs/>
                <w:color w:val="000000"/>
                <w:sz w:val="20"/>
                <w:szCs w:val="20"/>
              </w:rPr>
              <w:t>USD (Dólares de USA)</w:t>
            </w:r>
          </w:p>
        </w:tc>
      </w:tr>
      <w:tr w:rsidR="00F501EB" w:rsidRPr="00A81CB8" w14:paraId="5117AA81"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bottom"/>
            <w:hideMark/>
          </w:tcPr>
          <w:p w14:paraId="3059A73B" w14:textId="77777777" w:rsidR="00F501EB" w:rsidRPr="006D5279"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P_032</w:t>
            </w:r>
          </w:p>
        </w:tc>
        <w:tc>
          <w:tcPr>
            <w:tcW w:w="3969" w:type="dxa"/>
            <w:tcBorders>
              <w:top w:val="nil"/>
              <w:left w:val="nil"/>
              <w:bottom w:val="single" w:sz="4" w:space="0" w:color="auto"/>
              <w:right w:val="single" w:sz="4" w:space="0" w:color="auto"/>
            </w:tcBorders>
            <w:shd w:val="clear" w:color="auto" w:fill="auto"/>
            <w:noWrap/>
            <w:vAlign w:val="bottom"/>
            <w:hideMark/>
          </w:tcPr>
          <w:p w14:paraId="7A7141D2" w14:textId="77777777" w:rsidR="00F501EB" w:rsidRPr="006D5279"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TRANSELEC S.A.</w:t>
            </w:r>
          </w:p>
        </w:tc>
        <w:tc>
          <w:tcPr>
            <w:tcW w:w="2552" w:type="dxa"/>
            <w:tcBorders>
              <w:top w:val="nil"/>
              <w:left w:val="nil"/>
              <w:bottom w:val="single" w:sz="4" w:space="0" w:color="auto"/>
              <w:right w:val="single" w:sz="4" w:space="0" w:color="auto"/>
            </w:tcBorders>
            <w:shd w:val="clear" w:color="auto" w:fill="auto"/>
            <w:noWrap/>
            <w:vAlign w:val="bottom"/>
            <w:hideMark/>
          </w:tcPr>
          <w:p w14:paraId="65F708C0" w14:textId="77777777" w:rsidR="00F501EB" w:rsidRPr="006D5279"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1.619.143.294,55</w:t>
            </w:r>
          </w:p>
        </w:tc>
      </w:tr>
      <w:tr w:rsidR="00F501EB" w:rsidRPr="00A81CB8" w14:paraId="433FCBED"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bottom"/>
            <w:hideMark/>
          </w:tcPr>
          <w:p w14:paraId="13F50144" w14:textId="77777777" w:rsidR="00F501EB" w:rsidRPr="006D5279"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P_079</w:t>
            </w:r>
          </w:p>
        </w:tc>
        <w:tc>
          <w:tcPr>
            <w:tcW w:w="3969" w:type="dxa"/>
            <w:tcBorders>
              <w:top w:val="nil"/>
              <w:left w:val="nil"/>
              <w:bottom w:val="single" w:sz="4" w:space="0" w:color="auto"/>
              <w:right w:val="single" w:sz="4" w:space="0" w:color="auto"/>
            </w:tcBorders>
            <w:shd w:val="clear" w:color="auto" w:fill="auto"/>
            <w:noWrap/>
            <w:vAlign w:val="bottom"/>
            <w:hideMark/>
          </w:tcPr>
          <w:p w14:paraId="393E3E7B" w14:textId="77777777" w:rsidR="00F501EB" w:rsidRPr="006D5279"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AES GENER</w:t>
            </w:r>
          </w:p>
        </w:tc>
        <w:tc>
          <w:tcPr>
            <w:tcW w:w="2552" w:type="dxa"/>
            <w:tcBorders>
              <w:top w:val="nil"/>
              <w:left w:val="nil"/>
              <w:bottom w:val="single" w:sz="4" w:space="0" w:color="auto"/>
              <w:right w:val="single" w:sz="4" w:space="0" w:color="auto"/>
            </w:tcBorders>
            <w:shd w:val="clear" w:color="auto" w:fill="auto"/>
            <w:noWrap/>
            <w:vAlign w:val="bottom"/>
            <w:hideMark/>
          </w:tcPr>
          <w:p w14:paraId="23EFD80A" w14:textId="77777777" w:rsidR="00F501EB" w:rsidRPr="006D5279"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45.817.253,56</w:t>
            </w:r>
          </w:p>
        </w:tc>
      </w:tr>
      <w:tr w:rsidR="00F501EB" w:rsidRPr="00A81CB8" w14:paraId="0DD7CBAF"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bottom"/>
            <w:hideMark/>
          </w:tcPr>
          <w:p w14:paraId="017F2A34" w14:textId="77777777" w:rsidR="00F501EB" w:rsidRPr="006D5279"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P_083</w:t>
            </w:r>
          </w:p>
        </w:tc>
        <w:tc>
          <w:tcPr>
            <w:tcW w:w="3969" w:type="dxa"/>
            <w:tcBorders>
              <w:top w:val="nil"/>
              <w:left w:val="nil"/>
              <w:bottom w:val="single" w:sz="4" w:space="0" w:color="auto"/>
              <w:right w:val="single" w:sz="4" w:space="0" w:color="auto"/>
            </w:tcBorders>
            <w:shd w:val="clear" w:color="auto" w:fill="auto"/>
            <w:noWrap/>
            <w:vAlign w:val="bottom"/>
            <w:hideMark/>
          </w:tcPr>
          <w:p w14:paraId="0682BDF9" w14:textId="77777777" w:rsidR="00F501EB" w:rsidRPr="006D5279"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CGE</w:t>
            </w:r>
          </w:p>
        </w:tc>
        <w:tc>
          <w:tcPr>
            <w:tcW w:w="2552" w:type="dxa"/>
            <w:tcBorders>
              <w:top w:val="nil"/>
              <w:left w:val="nil"/>
              <w:bottom w:val="single" w:sz="4" w:space="0" w:color="auto"/>
              <w:right w:val="single" w:sz="4" w:space="0" w:color="auto"/>
            </w:tcBorders>
            <w:shd w:val="clear" w:color="auto" w:fill="auto"/>
            <w:noWrap/>
            <w:vAlign w:val="bottom"/>
            <w:hideMark/>
          </w:tcPr>
          <w:p w14:paraId="60BEABF5" w14:textId="77777777" w:rsidR="00F501EB" w:rsidRPr="006D5279"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9.918.451,42</w:t>
            </w:r>
          </w:p>
        </w:tc>
      </w:tr>
      <w:tr w:rsidR="00F501EB" w:rsidRPr="00A81CB8" w14:paraId="3C3977BA"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bottom"/>
            <w:hideMark/>
          </w:tcPr>
          <w:p w14:paraId="2AADA323" w14:textId="77777777" w:rsidR="00F501EB" w:rsidRPr="006D5279"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P_100</w:t>
            </w:r>
          </w:p>
        </w:tc>
        <w:tc>
          <w:tcPr>
            <w:tcW w:w="3969" w:type="dxa"/>
            <w:tcBorders>
              <w:top w:val="nil"/>
              <w:left w:val="nil"/>
              <w:bottom w:val="single" w:sz="4" w:space="0" w:color="auto"/>
              <w:right w:val="single" w:sz="4" w:space="0" w:color="auto"/>
            </w:tcBorders>
            <w:shd w:val="clear" w:color="auto" w:fill="auto"/>
            <w:noWrap/>
            <w:vAlign w:val="bottom"/>
            <w:hideMark/>
          </w:tcPr>
          <w:p w14:paraId="62582FC8" w14:textId="77777777" w:rsidR="00F501EB" w:rsidRPr="006D5279"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STS</w:t>
            </w:r>
          </w:p>
        </w:tc>
        <w:tc>
          <w:tcPr>
            <w:tcW w:w="2552" w:type="dxa"/>
            <w:tcBorders>
              <w:top w:val="nil"/>
              <w:left w:val="nil"/>
              <w:bottom w:val="single" w:sz="4" w:space="0" w:color="auto"/>
              <w:right w:val="single" w:sz="4" w:space="0" w:color="auto"/>
            </w:tcBorders>
            <w:shd w:val="clear" w:color="auto" w:fill="auto"/>
            <w:noWrap/>
            <w:vAlign w:val="bottom"/>
            <w:hideMark/>
          </w:tcPr>
          <w:p w14:paraId="6C2E0317" w14:textId="77777777" w:rsidR="00F501EB" w:rsidRPr="006D5279"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30.726.190,16</w:t>
            </w:r>
          </w:p>
        </w:tc>
      </w:tr>
      <w:tr w:rsidR="00F501EB" w:rsidRPr="00A81CB8" w14:paraId="2CCA3BD4"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bottom"/>
            <w:hideMark/>
          </w:tcPr>
          <w:p w14:paraId="03B2E37B" w14:textId="77777777" w:rsidR="00F501EB" w:rsidRPr="006D5279"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P_107</w:t>
            </w:r>
          </w:p>
        </w:tc>
        <w:tc>
          <w:tcPr>
            <w:tcW w:w="3969" w:type="dxa"/>
            <w:tcBorders>
              <w:top w:val="nil"/>
              <w:left w:val="nil"/>
              <w:bottom w:val="single" w:sz="4" w:space="0" w:color="auto"/>
              <w:right w:val="single" w:sz="4" w:space="0" w:color="auto"/>
            </w:tcBorders>
            <w:shd w:val="clear" w:color="auto" w:fill="auto"/>
            <w:noWrap/>
            <w:vAlign w:val="bottom"/>
            <w:hideMark/>
          </w:tcPr>
          <w:p w14:paraId="00CD8F0C" w14:textId="77777777" w:rsidR="00F501EB" w:rsidRPr="006D5279"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CELTA</w:t>
            </w:r>
          </w:p>
        </w:tc>
        <w:tc>
          <w:tcPr>
            <w:tcW w:w="2552" w:type="dxa"/>
            <w:tcBorders>
              <w:top w:val="nil"/>
              <w:left w:val="nil"/>
              <w:bottom w:val="single" w:sz="4" w:space="0" w:color="auto"/>
              <w:right w:val="single" w:sz="4" w:space="0" w:color="auto"/>
            </w:tcBorders>
            <w:shd w:val="clear" w:color="auto" w:fill="auto"/>
            <w:noWrap/>
            <w:vAlign w:val="bottom"/>
            <w:hideMark/>
          </w:tcPr>
          <w:p w14:paraId="68F57D06" w14:textId="77777777" w:rsidR="00F501EB" w:rsidRPr="006D5279"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0,00</w:t>
            </w:r>
          </w:p>
        </w:tc>
      </w:tr>
      <w:tr w:rsidR="00F501EB" w:rsidRPr="00A81CB8" w14:paraId="1B4FE76C"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bottom"/>
            <w:hideMark/>
          </w:tcPr>
          <w:p w14:paraId="6566017D" w14:textId="77777777" w:rsidR="00F501EB" w:rsidRPr="006D5279"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P_111</w:t>
            </w:r>
          </w:p>
        </w:tc>
        <w:tc>
          <w:tcPr>
            <w:tcW w:w="3969" w:type="dxa"/>
            <w:tcBorders>
              <w:top w:val="nil"/>
              <w:left w:val="nil"/>
              <w:bottom w:val="single" w:sz="4" w:space="0" w:color="auto"/>
              <w:right w:val="single" w:sz="4" w:space="0" w:color="auto"/>
            </w:tcBorders>
            <w:shd w:val="clear" w:color="auto" w:fill="auto"/>
            <w:noWrap/>
            <w:vAlign w:val="bottom"/>
            <w:hideMark/>
          </w:tcPr>
          <w:p w14:paraId="15541192" w14:textId="77777777" w:rsidR="00F501EB" w:rsidRPr="006D5279"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ENEL DISTRIBUCION S.A.</w:t>
            </w:r>
          </w:p>
        </w:tc>
        <w:tc>
          <w:tcPr>
            <w:tcW w:w="2552" w:type="dxa"/>
            <w:tcBorders>
              <w:top w:val="nil"/>
              <w:left w:val="nil"/>
              <w:bottom w:val="single" w:sz="4" w:space="0" w:color="auto"/>
              <w:right w:val="single" w:sz="4" w:space="0" w:color="auto"/>
            </w:tcBorders>
            <w:shd w:val="clear" w:color="auto" w:fill="auto"/>
            <w:noWrap/>
            <w:vAlign w:val="bottom"/>
            <w:hideMark/>
          </w:tcPr>
          <w:p w14:paraId="5532DCDD" w14:textId="77777777" w:rsidR="00F501EB" w:rsidRPr="006D5279"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83.526.830,39</w:t>
            </w:r>
          </w:p>
        </w:tc>
      </w:tr>
      <w:tr w:rsidR="00F501EB" w:rsidRPr="00A81CB8" w14:paraId="48FB710F"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bottom"/>
            <w:hideMark/>
          </w:tcPr>
          <w:p w14:paraId="636DEB9B" w14:textId="77777777" w:rsidR="00F501EB" w:rsidRPr="006D5279"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P_113</w:t>
            </w:r>
          </w:p>
        </w:tc>
        <w:tc>
          <w:tcPr>
            <w:tcW w:w="3969" w:type="dxa"/>
            <w:tcBorders>
              <w:top w:val="nil"/>
              <w:left w:val="nil"/>
              <w:bottom w:val="single" w:sz="4" w:space="0" w:color="auto"/>
              <w:right w:val="single" w:sz="4" w:space="0" w:color="auto"/>
            </w:tcBorders>
            <w:shd w:val="clear" w:color="auto" w:fill="auto"/>
            <w:noWrap/>
            <w:vAlign w:val="bottom"/>
            <w:hideMark/>
          </w:tcPr>
          <w:p w14:paraId="0AF47D31" w14:textId="77777777" w:rsidR="00F501EB" w:rsidRPr="006D5279"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CHILQUINTA ENERGÍA</w:t>
            </w:r>
          </w:p>
        </w:tc>
        <w:tc>
          <w:tcPr>
            <w:tcW w:w="2552" w:type="dxa"/>
            <w:tcBorders>
              <w:top w:val="nil"/>
              <w:left w:val="nil"/>
              <w:bottom w:val="single" w:sz="4" w:space="0" w:color="auto"/>
              <w:right w:val="single" w:sz="4" w:space="0" w:color="auto"/>
            </w:tcBorders>
            <w:shd w:val="clear" w:color="auto" w:fill="auto"/>
            <w:noWrap/>
            <w:vAlign w:val="bottom"/>
            <w:hideMark/>
          </w:tcPr>
          <w:p w14:paraId="60737925" w14:textId="77777777" w:rsidR="00F501EB" w:rsidRPr="006D5279"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24.827.562,72</w:t>
            </w:r>
          </w:p>
        </w:tc>
      </w:tr>
      <w:tr w:rsidR="00F501EB" w:rsidRPr="00A81CB8" w14:paraId="62DE9B99"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bottom"/>
            <w:hideMark/>
          </w:tcPr>
          <w:p w14:paraId="712D2683" w14:textId="77777777" w:rsidR="00F501EB" w:rsidRPr="006D5279"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P_120</w:t>
            </w:r>
          </w:p>
        </w:tc>
        <w:tc>
          <w:tcPr>
            <w:tcW w:w="3969" w:type="dxa"/>
            <w:tcBorders>
              <w:top w:val="nil"/>
              <w:left w:val="nil"/>
              <w:bottom w:val="single" w:sz="4" w:space="0" w:color="auto"/>
              <w:right w:val="single" w:sz="4" w:space="0" w:color="auto"/>
            </w:tcBorders>
            <w:shd w:val="clear" w:color="auto" w:fill="auto"/>
            <w:noWrap/>
            <w:vAlign w:val="bottom"/>
            <w:hideMark/>
          </w:tcPr>
          <w:p w14:paraId="6C2B562A" w14:textId="77777777" w:rsidR="00F501EB" w:rsidRPr="006D5279"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TRANSEMEL</w:t>
            </w:r>
          </w:p>
        </w:tc>
        <w:tc>
          <w:tcPr>
            <w:tcW w:w="2552" w:type="dxa"/>
            <w:tcBorders>
              <w:top w:val="nil"/>
              <w:left w:val="nil"/>
              <w:bottom w:val="single" w:sz="4" w:space="0" w:color="auto"/>
              <w:right w:val="single" w:sz="4" w:space="0" w:color="auto"/>
            </w:tcBorders>
            <w:shd w:val="clear" w:color="auto" w:fill="auto"/>
            <w:noWrap/>
            <w:vAlign w:val="bottom"/>
            <w:hideMark/>
          </w:tcPr>
          <w:p w14:paraId="55957CB9" w14:textId="77777777" w:rsidR="00F501EB" w:rsidRPr="006D5279"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19.826.206,84</w:t>
            </w:r>
          </w:p>
        </w:tc>
      </w:tr>
      <w:tr w:rsidR="00F501EB" w:rsidRPr="00A81CB8" w14:paraId="40AB4885"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bottom"/>
            <w:hideMark/>
          </w:tcPr>
          <w:p w14:paraId="110426FC" w14:textId="77777777" w:rsidR="00F501EB" w:rsidRPr="006D5279"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P_122</w:t>
            </w:r>
          </w:p>
        </w:tc>
        <w:tc>
          <w:tcPr>
            <w:tcW w:w="3969" w:type="dxa"/>
            <w:tcBorders>
              <w:top w:val="nil"/>
              <w:left w:val="nil"/>
              <w:bottom w:val="single" w:sz="4" w:space="0" w:color="auto"/>
              <w:right w:val="single" w:sz="4" w:space="0" w:color="auto"/>
            </w:tcBorders>
            <w:shd w:val="clear" w:color="auto" w:fill="auto"/>
            <w:noWrap/>
            <w:vAlign w:val="bottom"/>
            <w:hideMark/>
          </w:tcPr>
          <w:p w14:paraId="67584253" w14:textId="77777777" w:rsidR="00F501EB" w:rsidRPr="006D5279"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SAESA</w:t>
            </w:r>
          </w:p>
        </w:tc>
        <w:tc>
          <w:tcPr>
            <w:tcW w:w="2552" w:type="dxa"/>
            <w:tcBorders>
              <w:top w:val="nil"/>
              <w:left w:val="nil"/>
              <w:bottom w:val="single" w:sz="4" w:space="0" w:color="auto"/>
              <w:right w:val="single" w:sz="4" w:space="0" w:color="auto"/>
            </w:tcBorders>
            <w:shd w:val="clear" w:color="auto" w:fill="auto"/>
            <w:noWrap/>
            <w:vAlign w:val="bottom"/>
            <w:hideMark/>
          </w:tcPr>
          <w:p w14:paraId="3FF54D82" w14:textId="77777777" w:rsidR="00F501EB" w:rsidRPr="006D5279"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2.936.436,05</w:t>
            </w:r>
          </w:p>
        </w:tc>
      </w:tr>
      <w:tr w:rsidR="00F501EB" w:rsidRPr="00A81CB8" w14:paraId="50B9A045"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bottom"/>
            <w:hideMark/>
          </w:tcPr>
          <w:p w14:paraId="0609FD6C" w14:textId="77777777" w:rsidR="00F501EB" w:rsidRPr="006D5279"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P_123</w:t>
            </w:r>
          </w:p>
        </w:tc>
        <w:tc>
          <w:tcPr>
            <w:tcW w:w="3969" w:type="dxa"/>
            <w:tcBorders>
              <w:top w:val="nil"/>
              <w:left w:val="nil"/>
              <w:bottom w:val="single" w:sz="4" w:space="0" w:color="auto"/>
              <w:right w:val="single" w:sz="4" w:space="0" w:color="auto"/>
            </w:tcBorders>
            <w:shd w:val="clear" w:color="auto" w:fill="auto"/>
            <w:noWrap/>
            <w:vAlign w:val="bottom"/>
            <w:hideMark/>
          </w:tcPr>
          <w:p w14:paraId="484BC950" w14:textId="77777777" w:rsidR="00F501EB" w:rsidRPr="006D5279"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FRONTEL</w:t>
            </w:r>
          </w:p>
        </w:tc>
        <w:tc>
          <w:tcPr>
            <w:tcW w:w="2552" w:type="dxa"/>
            <w:tcBorders>
              <w:top w:val="nil"/>
              <w:left w:val="nil"/>
              <w:bottom w:val="single" w:sz="4" w:space="0" w:color="auto"/>
              <w:right w:val="single" w:sz="4" w:space="0" w:color="auto"/>
            </w:tcBorders>
            <w:shd w:val="clear" w:color="auto" w:fill="auto"/>
            <w:noWrap/>
            <w:vAlign w:val="bottom"/>
            <w:hideMark/>
          </w:tcPr>
          <w:p w14:paraId="1E76DAEE" w14:textId="77777777" w:rsidR="00F501EB" w:rsidRPr="006D5279"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51.866,70</w:t>
            </w:r>
          </w:p>
        </w:tc>
      </w:tr>
      <w:tr w:rsidR="00F501EB" w:rsidRPr="00A81CB8" w14:paraId="4BB6A7F2"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bottom"/>
            <w:hideMark/>
          </w:tcPr>
          <w:p w14:paraId="7C465FAA" w14:textId="77777777" w:rsidR="00F501EB" w:rsidRPr="006D5279"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P_126</w:t>
            </w:r>
          </w:p>
        </w:tc>
        <w:tc>
          <w:tcPr>
            <w:tcW w:w="3969" w:type="dxa"/>
            <w:tcBorders>
              <w:top w:val="nil"/>
              <w:left w:val="nil"/>
              <w:bottom w:val="single" w:sz="4" w:space="0" w:color="auto"/>
              <w:right w:val="single" w:sz="4" w:space="0" w:color="auto"/>
            </w:tcBorders>
            <w:shd w:val="clear" w:color="auto" w:fill="auto"/>
            <w:noWrap/>
            <w:vAlign w:val="bottom"/>
            <w:hideMark/>
          </w:tcPr>
          <w:p w14:paraId="32D0EC7A" w14:textId="77777777" w:rsidR="00F501EB" w:rsidRPr="006D5279"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TRANSELEC NORTE</w:t>
            </w:r>
          </w:p>
        </w:tc>
        <w:tc>
          <w:tcPr>
            <w:tcW w:w="2552" w:type="dxa"/>
            <w:tcBorders>
              <w:top w:val="nil"/>
              <w:left w:val="nil"/>
              <w:bottom w:val="single" w:sz="4" w:space="0" w:color="auto"/>
              <w:right w:val="single" w:sz="4" w:space="0" w:color="auto"/>
            </w:tcBorders>
            <w:shd w:val="clear" w:color="auto" w:fill="auto"/>
            <w:noWrap/>
            <w:vAlign w:val="bottom"/>
            <w:hideMark/>
          </w:tcPr>
          <w:p w14:paraId="140CD792" w14:textId="77777777" w:rsidR="00F501EB" w:rsidRPr="006D5279"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11.724,65</w:t>
            </w:r>
          </w:p>
        </w:tc>
      </w:tr>
      <w:tr w:rsidR="00F501EB" w:rsidRPr="00A81CB8" w14:paraId="6622BD31"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bottom"/>
            <w:hideMark/>
          </w:tcPr>
          <w:p w14:paraId="3955D9B0" w14:textId="77777777" w:rsidR="00F501EB" w:rsidRPr="006D5279"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P_133</w:t>
            </w:r>
          </w:p>
        </w:tc>
        <w:tc>
          <w:tcPr>
            <w:tcW w:w="3969" w:type="dxa"/>
            <w:tcBorders>
              <w:top w:val="nil"/>
              <w:left w:val="nil"/>
              <w:bottom w:val="single" w:sz="4" w:space="0" w:color="auto"/>
              <w:right w:val="single" w:sz="4" w:space="0" w:color="auto"/>
            </w:tcBorders>
            <w:shd w:val="clear" w:color="auto" w:fill="auto"/>
            <w:noWrap/>
            <w:vAlign w:val="bottom"/>
            <w:hideMark/>
          </w:tcPr>
          <w:p w14:paraId="2D8D088F" w14:textId="77777777" w:rsidR="00F501EB" w:rsidRPr="006D5279"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CODELCO NORTE</w:t>
            </w:r>
          </w:p>
        </w:tc>
        <w:tc>
          <w:tcPr>
            <w:tcW w:w="2552" w:type="dxa"/>
            <w:tcBorders>
              <w:top w:val="nil"/>
              <w:left w:val="nil"/>
              <w:bottom w:val="single" w:sz="4" w:space="0" w:color="auto"/>
              <w:right w:val="single" w:sz="4" w:space="0" w:color="auto"/>
            </w:tcBorders>
            <w:shd w:val="clear" w:color="auto" w:fill="auto"/>
            <w:noWrap/>
            <w:vAlign w:val="bottom"/>
            <w:hideMark/>
          </w:tcPr>
          <w:p w14:paraId="168E24B4" w14:textId="77777777" w:rsidR="00F501EB" w:rsidRPr="006D5279"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13.075.594,55</w:t>
            </w:r>
          </w:p>
        </w:tc>
      </w:tr>
      <w:tr w:rsidR="00F501EB" w:rsidRPr="00A81CB8" w14:paraId="1443DCDD"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bottom"/>
            <w:hideMark/>
          </w:tcPr>
          <w:p w14:paraId="5DC0FCA8" w14:textId="77777777" w:rsidR="00F501EB" w:rsidRPr="006D5279"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P_164</w:t>
            </w:r>
          </w:p>
        </w:tc>
        <w:tc>
          <w:tcPr>
            <w:tcW w:w="3969" w:type="dxa"/>
            <w:tcBorders>
              <w:top w:val="nil"/>
              <w:left w:val="nil"/>
              <w:bottom w:val="single" w:sz="4" w:space="0" w:color="auto"/>
              <w:right w:val="single" w:sz="4" w:space="0" w:color="auto"/>
            </w:tcBorders>
            <w:shd w:val="clear" w:color="auto" w:fill="auto"/>
            <w:noWrap/>
            <w:vAlign w:val="bottom"/>
            <w:hideMark/>
          </w:tcPr>
          <w:p w14:paraId="4FA99C89" w14:textId="77777777" w:rsidR="00F501EB" w:rsidRPr="006D5279"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E-CL</w:t>
            </w:r>
          </w:p>
        </w:tc>
        <w:tc>
          <w:tcPr>
            <w:tcW w:w="2552" w:type="dxa"/>
            <w:tcBorders>
              <w:top w:val="nil"/>
              <w:left w:val="nil"/>
              <w:bottom w:val="single" w:sz="4" w:space="0" w:color="auto"/>
              <w:right w:val="single" w:sz="4" w:space="0" w:color="auto"/>
            </w:tcBorders>
            <w:shd w:val="clear" w:color="auto" w:fill="auto"/>
            <w:noWrap/>
            <w:vAlign w:val="bottom"/>
            <w:hideMark/>
          </w:tcPr>
          <w:p w14:paraId="38E71600" w14:textId="77777777" w:rsidR="00F501EB" w:rsidRPr="006D5279"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70.376.947,91</w:t>
            </w:r>
          </w:p>
        </w:tc>
      </w:tr>
      <w:tr w:rsidR="00F501EB" w:rsidRPr="00A81CB8" w14:paraId="42076406"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bottom"/>
            <w:hideMark/>
          </w:tcPr>
          <w:p w14:paraId="0A7CBC1E" w14:textId="77777777" w:rsidR="00F501EB" w:rsidRPr="006D5279"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P_202</w:t>
            </w:r>
          </w:p>
        </w:tc>
        <w:tc>
          <w:tcPr>
            <w:tcW w:w="3969" w:type="dxa"/>
            <w:tcBorders>
              <w:top w:val="nil"/>
              <w:left w:val="nil"/>
              <w:bottom w:val="single" w:sz="4" w:space="0" w:color="auto"/>
              <w:right w:val="single" w:sz="4" w:space="0" w:color="auto"/>
            </w:tcBorders>
            <w:shd w:val="clear" w:color="auto" w:fill="auto"/>
            <w:noWrap/>
            <w:vAlign w:val="bottom"/>
            <w:hideMark/>
          </w:tcPr>
          <w:p w14:paraId="6E49765B" w14:textId="77777777" w:rsidR="00F501EB" w:rsidRPr="006D5279"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Agricola Ponce</w:t>
            </w:r>
          </w:p>
        </w:tc>
        <w:tc>
          <w:tcPr>
            <w:tcW w:w="2552" w:type="dxa"/>
            <w:tcBorders>
              <w:top w:val="nil"/>
              <w:left w:val="nil"/>
              <w:bottom w:val="single" w:sz="4" w:space="0" w:color="auto"/>
              <w:right w:val="single" w:sz="4" w:space="0" w:color="auto"/>
            </w:tcBorders>
            <w:shd w:val="clear" w:color="auto" w:fill="auto"/>
            <w:noWrap/>
            <w:vAlign w:val="bottom"/>
            <w:hideMark/>
          </w:tcPr>
          <w:p w14:paraId="134E6863" w14:textId="77777777" w:rsidR="00F501EB" w:rsidRPr="006D5279"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689,35</w:t>
            </w:r>
          </w:p>
        </w:tc>
      </w:tr>
      <w:tr w:rsidR="00F501EB" w:rsidRPr="00A81CB8" w14:paraId="6482E676"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bottom"/>
            <w:hideMark/>
          </w:tcPr>
          <w:p w14:paraId="30950DA7" w14:textId="77777777" w:rsidR="00F501EB" w:rsidRPr="006D5279"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P_206</w:t>
            </w:r>
          </w:p>
        </w:tc>
        <w:tc>
          <w:tcPr>
            <w:tcW w:w="3969" w:type="dxa"/>
            <w:tcBorders>
              <w:top w:val="nil"/>
              <w:left w:val="nil"/>
              <w:bottom w:val="single" w:sz="4" w:space="0" w:color="auto"/>
              <w:right w:val="single" w:sz="4" w:space="0" w:color="auto"/>
            </w:tcBorders>
            <w:shd w:val="clear" w:color="auto" w:fill="auto"/>
            <w:noWrap/>
            <w:vAlign w:val="bottom"/>
            <w:hideMark/>
          </w:tcPr>
          <w:p w14:paraId="6139807B" w14:textId="77777777" w:rsidR="00F501EB" w:rsidRPr="006D5279"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Algorta Norte</w:t>
            </w:r>
          </w:p>
        </w:tc>
        <w:tc>
          <w:tcPr>
            <w:tcW w:w="2552" w:type="dxa"/>
            <w:tcBorders>
              <w:top w:val="nil"/>
              <w:left w:val="nil"/>
              <w:bottom w:val="single" w:sz="4" w:space="0" w:color="auto"/>
              <w:right w:val="single" w:sz="4" w:space="0" w:color="auto"/>
            </w:tcBorders>
            <w:shd w:val="clear" w:color="auto" w:fill="auto"/>
            <w:noWrap/>
            <w:vAlign w:val="bottom"/>
            <w:hideMark/>
          </w:tcPr>
          <w:p w14:paraId="7602CD17" w14:textId="77777777" w:rsidR="00F501EB" w:rsidRPr="006D5279"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102,99</w:t>
            </w:r>
          </w:p>
        </w:tc>
      </w:tr>
      <w:tr w:rsidR="00F501EB" w:rsidRPr="00A81CB8" w14:paraId="3DF0428E"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bottom"/>
            <w:hideMark/>
          </w:tcPr>
          <w:p w14:paraId="0CD0277E" w14:textId="77777777" w:rsidR="00F501EB" w:rsidRPr="006D5279"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P_208</w:t>
            </w:r>
          </w:p>
        </w:tc>
        <w:tc>
          <w:tcPr>
            <w:tcW w:w="3969" w:type="dxa"/>
            <w:tcBorders>
              <w:top w:val="nil"/>
              <w:left w:val="nil"/>
              <w:bottom w:val="single" w:sz="4" w:space="0" w:color="auto"/>
              <w:right w:val="single" w:sz="4" w:space="0" w:color="auto"/>
            </w:tcBorders>
            <w:shd w:val="clear" w:color="auto" w:fill="auto"/>
            <w:noWrap/>
            <w:vAlign w:val="bottom"/>
            <w:hideMark/>
          </w:tcPr>
          <w:p w14:paraId="2887D275" w14:textId="77777777" w:rsidR="00F501EB" w:rsidRPr="006D5279"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AJTE</w:t>
            </w:r>
          </w:p>
        </w:tc>
        <w:tc>
          <w:tcPr>
            <w:tcW w:w="2552" w:type="dxa"/>
            <w:tcBorders>
              <w:top w:val="nil"/>
              <w:left w:val="nil"/>
              <w:bottom w:val="single" w:sz="4" w:space="0" w:color="auto"/>
              <w:right w:val="single" w:sz="4" w:space="0" w:color="auto"/>
            </w:tcBorders>
            <w:shd w:val="clear" w:color="auto" w:fill="auto"/>
            <w:noWrap/>
            <w:vAlign w:val="bottom"/>
            <w:hideMark/>
          </w:tcPr>
          <w:p w14:paraId="7DA1A97E" w14:textId="77777777" w:rsidR="00F501EB" w:rsidRPr="006D5279"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59.632.031,27</w:t>
            </w:r>
          </w:p>
        </w:tc>
      </w:tr>
      <w:tr w:rsidR="00F501EB" w:rsidRPr="00A81CB8" w14:paraId="233B3408"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bottom"/>
            <w:hideMark/>
          </w:tcPr>
          <w:p w14:paraId="45361E1F" w14:textId="77777777" w:rsidR="00F501EB" w:rsidRPr="006D5279"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P_235</w:t>
            </w:r>
          </w:p>
        </w:tc>
        <w:tc>
          <w:tcPr>
            <w:tcW w:w="3969" w:type="dxa"/>
            <w:tcBorders>
              <w:top w:val="nil"/>
              <w:left w:val="nil"/>
              <w:bottom w:val="single" w:sz="4" w:space="0" w:color="auto"/>
              <w:right w:val="single" w:sz="4" w:space="0" w:color="auto"/>
            </w:tcBorders>
            <w:shd w:val="clear" w:color="auto" w:fill="auto"/>
            <w:noWrap/>
            <w:vAlign w:val="bottom"/>
            <w:hideMark/>
          </w:tcPr>
          <w:p w14:paraId="482E719D" w14:textId="77777777" w:rsidR="00F501EB" w:rsidRPr="006D5279"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Chungungo</w:t>
            </w:r>
          </w:p>
        </w:tc>
        <w:tc>
          <w:tcPr>
            <w:tcW w:w="2552" w:type="dxa"/>
            <w:tcBorders>
              <w:top w:val="nil"/>
              <w:left w:val="nil"/>
              <w:bottom w:val="single" w:sz="4" w:space="0" w:color="auto"/>
              <w:right w:val="single" w:sz="4" w:space="0" w:color="auto"/>
            </w:tcBorders>
            <w:shd w:val="clear" w:color="auto" w:fill="auto"/>
            <w:noWrap/>
            <w:vAlign w:val="bottom"/>
            <w:hideMark/>
          </w:tcPr>
          <w:p w14:paraId="38C97285" w14:textId="77777777" w:rsidR="00F501EB" w:rsidRPr="006D5279"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17.926,77</w:t>
            </w:r>
          </w:p>
        </w:tc>
      </w:tr>
      <w:tr w:rsidR="00F501EB" w:rsidRPr="00A81CB8" w14:paraId="738B6193"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bottom"/>
            <w:hideMark/>
          </w:tcPr>
          <w:p w14:paraId="3147D6F9" w14:textId="77777777" w:rsidR="00F501EB" w:rsidRPr="006D5279"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P_241</w:t>
            </w:r>
          </w:p>
        </w:tc>
        <w:tc>
          <w:tcPr>
            <w:tcW w:w="3969" w:type="dxa"/>
            <w:tcBorders>
              <w:top w:val="nil"/>
              <w:left w:val="nil"/>
              <w:bottom w:val="single" w:sz="4" w:space="0" w:color="auto"/>
              <w:right w:val="single" w:sz="4" w:space="0" w:color="auto"/>
            </w:tcBorders>
            <w:shd w:val="clear" w:color="auto" w:fill="auto"/>
            <w:noWrap/>
            <w:vAlign w:val="bottom"/>
            <w:hideMark/>
          </w:tcPr>
          <w:p w14:paraId="2C0ECD8C" w14:textId="77777777" w:rsidR="00F501EB" w:rsidRPr="006D5279"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Codelco Chile - División Andina</w:t>
            </w:r>
          </w:p>
        </w:tc>
        <w:tc>
          <w:tcPr>
            <w:tcW w:w="2552" w:type="dxa"/>
            <w:tcBorders>
              <w:top w:val="nil"/>
              <w:left w:val="nil"/>
              <w:bottom w:val="single" w:sz="4" w:space="0" w:color="auto"/>
              <w:right w:val="single" w:sz="4" w:space="0" w:color="auto"/>
            </w:tcBorders>
            <w:shd w:val="clear" w:color="auto" w:fill="auto"/>
            <w:noWrap/>
            <w:vAlign w:val="bottom"/>
            <w:hideMark/>
          </w:tcPr>
          <w:p w14:paraId="4EF04B73" w14:textId="77777777" w:rsidR="00F501EB" w:rsidRPr="006D5279"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538.959,17</w:t>
            </w:r>
          </w:p>
        </w:tc>
      </w:tr>
      <w:tr w:rsidR="00F501EB" w:rsidRPr="00A81CB8" w14:paraId="1FD7EA6B"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bottom"/>
            <w:hideMark/>
          </w:tcPr>
          <w:p w14:paraId="452B4CB2" w14:textId="77777777" w:rsidR="00F501EB" w:rsidRPr="006D5279"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P_244</w:t>
            </w:r>
          </w:p>
        </w:tc>
        <w:tc>
          <w:tcPr>
            <w:tcW w:w="3969" w:type="dxa"/>
            <w:tcBorders>
              <w:top w:val="nil"/>
              <w:left w:val="nil"/>
              <w:bottom w:val="single" w:sz="4" w:space="0" w:color="auto"/>
              <w:right w:val="single" w:sz="4" w:space="0" w:color="auto"/>
            </w:tcBorders>
            <w:shd w:val="clear" w:color="auto" w:fill="auto"/>
            <w:noWrap/>
            <w:vAlign w:val="bottom"/>
            <w:hideMark/>
          </w:tcPr>
          <w:p w14:paraId="292A3217" w14:textId="77777777" w:rsidR="00F501EB" w:rsidRPr="006D5279"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Colbún Transmisión</w:t>
            </w:r>
          </w:p>
        </w:tc>
        <w:tc>
          <w:tcPr>
            <w:tcW w:w="2552" w:type="dxa"/>
            <w:tcBorders>
              <w:top w:val="nil"/>
              <w:left w:val="nil"/>
              <w:bottom w:val="single" w:sz="4" w:space="0" w:color="auto"/>
              <w:right w:val="single" w:sz="4" w:space="0" w:color="auto"/>
            </w:tcBorders>
            <w:shd w:val="clear" w:color="auto" w:fill="auto"/>
            <w:noWrap/>
            <w:vAlign w:val="bottom"/>
            <w:hideMark/>
          </w:tcPr>
          <w:p w14:paraId="52D065A2" w14:textId="77777777" w:rsidR="00F501EB" w:rsidRPr="006D5279"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161.786.752,29</w:t>
            </w:r>
          </w:p>
        </w:tc>
      </w:tr>
      <w:tr w:rsidR="00F501EB" w:rsidRPr="00A81CB8" w14:paraId="26DA56F9"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bottom"/>
            <w:hideMark/>
          </w:tcPr>
          <w:p w14:paraId="3948DA4C" w14:textId="77777777" w:rsidR="00F501EB" w:rsidRPr="006D5279"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P_255</w:t>
            </w:r>
          </w:p>
        </w:tc>
        <w:tc>
          <w:tcPr>
            <w:tcW w:w="3969" w:type="dxa"/>
            <w:tcBorders>
              <w:top w:val="nil"/>
              <w:left w:val="nil"/>
              <w:bottom w:val="single" w:sz="4" w:space="0" w:color="auto"/>
              <w:right w:val="single" w:sz="4" w:space="0" w:color="auto"/>
            </w:tcBorders>
            <w:shd w:val="clear" w:color="auto" w:fill="auto"/>
            <w:noWrap/>
            <w:vAlign w:val="bottom"/>
            <w:hideMark/>
          </w:tcPr>
          <w:p w14:paraId="3AEB5DC4" w14:textId="77777777" w:rsidR="00F501EB" w:rsidRPr="006D5279"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CAP CMP</w:t>
            </w:r>
          </w:p>
        </w:tc>
        <w:tc>
          <w:tcPr>
            <w:tcW w:w="2552" w:type="dxa"/>
            <w:tcBorders>
              <w:top w:val="nil"/>
              <w:left w:val="nil"/>
              <w:bottom w:val="single" w:sz="4" w:space="0" w:color="auto"/>
              <w:right w:val="single" w:sz="4" w:space="0" w:color="auto"/>
            </w:tcBorders>
            <w:shd w:val="clear" w:color="auto" w:fill="auto"/>
            <w:noWrap/>
            <w:vAlign w:val="bottom"/>
            <w:hideMark/>
          </w:tcPr>
          <w:p w14:paraId="7278FEF8" w14:textId="77777777" w:rsidR="00F501EB" w:rsidRPr="006D5279"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83.515,33</w:t>
            </w:r>
          </w:p>
        </w:tc>
      </w:tr>
      <w:tr w:rsidR="00F501EB" w:rsidRPr="00A81CB8" w14:paraId="4E48863A"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bottom"/>
            <w:hideMark/>
          </w:tcPr>
          <w:p w14:paraId="21475112" w14:textId="77777777" w:rsidR="00F501EB" w:rsidRPr="006D5279"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P_257</w:t>
            </w:r>
          </w:p>
        </w:tc>
        <w:tc>
          <w:tcPr>
            <w:tcW w:w="3969" w:type="dxa"/>
            <w:tcBorders>
              <w:top w:val="nil"/>
              <w:left w:val="nil"/>
              <w:bottom w:val="single" w:sz="4" w:space="0" w:color="auto"/>
              <w:right w:val="single" w:sz="4" w:space="0" w:color="auto"/>
            </w:tcBorders>
            <w:shd w:val="clear" w:color="auto" w:fill="auto"/>
            <w:noWrap/>
            <w:vAlign w:val="bottom"/>
            <w:hideMark/>
          </w:tcPr>
          <w:p w14:paraId="47FDE55F" w14:textId="77777777" w:rsidR="00F501EB" w:rsidRPr="006D5279"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Minera Maricunga</w:t>
            </w:r>
          </w:p>
        </w:tc>
        <w:tc>
          <w:tcPr>
            <w:tcW w:w="2552" w:type="dxa"/>
            <w:tcBorders>
              <w:top w:val="nil"/>
              <w:left w:val="nil"/>
              <w:bottom w:val="single" w:sz="4" w:space="0" w:color="auto"/>
              <w:right w:val="single" w:sz="4" w:space="0" w:color="auto"/>
            </w:tcBorders>
            <w:shd w:val="clear" w:color="auto" w:fill="auto"/>
            <w:noWrap/>
            <w:vAlign w:val="bottom"/>
            <w:hideMark/>
          </w:tcPr>
          <w:p w14:paraId="72555270" w14:textId="77777777" w:rsidR="00F501EB" w:rsidRPr="006D5279"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16.180,61</w:t>
            </w:r>
          </w:p>
        </w:tc>
      </w:tr>
      <w:tr w:rsidR="00F501EB" w:rsidRPr="00A81CB8" w14:paraId="0AFFC97B"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bottom"/>
            <w:hideMark/>
          </w:tcPr>
          <w:p w14:paraId="4F523C5B" w14:textId="77777777" w:rsidR="00F501EB" w:rsidRPr="006D5279"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P_290</w:t>
            </w:r>
          </w:p>
        </w:tc>
        <w:tc>
          <w:tcPr>
            <w:tcW w:w="3969" w:type="dxa"/>
            <w:tcBorders>
              <w:top w:val="nil"/>
              <w:left w:val="nil"/>
              <w:bottom w:val="single" w:sz="4" w:space="0" w:color="auto"/>
              <w:right w:val="single" w:sz="4" w:space="0" w:color="auto"/>
            </w:tcBorders>
            <w:shd w:val="clear" w:color="auto" w:fill="auto"/>
            <w:noWrap/>
            <w:vAlign w:val="bottom"/>
            <w:hideMark/>
          </w:tcPr>
          <w:p w14:paraId="20E24E5F" w14:textId="77777777" w:rsidR="00F501EB" w:rsidRPr="006D5279"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Eletrans</w:t>
            </w:r>
          </w:p>
        </w:tc>
        <w:tc>
          <w:tcPr>
            <w:tcW w:w="2552" w:type="dxa"/>
            <w:tcBorders>
              <w:top w:val="nil"/>
              <w:left w:val="nil"/>
              <w:bottom w:val="single" w:sz="4" w:space="0" w:color="auto"/>
              <w:right w:val="single" w:sz="4" w:space="0" w:color="auto"/>
            </w:tcBorders>
            <w:shd w:val="clear" w:color="auto" w:fill="auto"/>
            <w:noWrap/>
            <w:vAlign w:val="bottom"/>
            <w:hideMark/>
          </w:tcPr>
          <w:p w14:paraId="24E547CA" w14:textId="77777777" w:rsidR="00F501EB" w:rsidRPr="006D5279"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29.239.316,79</w:t>
            </w:r>
          </w:p>
        </w:tc>
      </w:tr>
      <w:tr w:rsidR="00F501EB" w:rsidRPr="00A81CB8" w14:paraId="7D8FD1FA"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bottom"/>
            <w:hideMark/>
          </w:tcPr>
          <w:p w14:paraId="11E136E6" w14:textId="77777777" w:rsidR="00F501EB" w:rsidRPr="006D5279"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P_315</w:t>
            </w:r>
          </w:p>
        </w:tc>
        <w:tc>
          <w:tcPr>
            <w:tcW w:w="3969" w:type="dxa"/>
            <w:tcBorders>
              <w:top w:val="nil"/>
              <w:left w:val="nil"/>
              <w:bottom w:val="single" w:sz="4" w:space="0" w:color="auto"/>
              <w:right w:val="single" w:sz="4" w:space="0" w:color="auto"/>
            </w:tcBorders>
            <w:shd w:val="clear" w:color="auto" w:fill="auto"/>
            <w:noWrap/>
            <w:vAlign w:val="bottom"/>
            <w:hideMark/>
          </w:tcPr>
          <w:p w14:paraId="0803C669" w14:textId="77777777" w:rsidR="00F501EB" w:rsidRPr="006D5279"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Enel Generacion</w:t>
            </w:r>
          </w:p>
        </w:tc>
        <w:tc>
          <w:tcPr>
            <w:tcW w:w="2552" w:type="dxa"/>
            <w:tcBorders>
              <w:top w:val="nil"/>
              <w:left w:val="nil"/>
              <w:bottom w:val="single" w:sz="4" w:space="0" w:color="auto"/>
              <w:right w:val="single" w:sz="4" w:space="0" w:color="auto"/>
            </w:tcBorders>
            <w:shd w:val="clear" w:color="auto" w:fill="auto"/>
            <w:noWrap/>
            <w:vAlign w:val="bottom"/>
            <w:hideMark/>
          </w:tcPr>
          <w:p w14:paraId="13DF6E1C" w14:textId="77777777" w:rsidR="00F501EB" w:rsidRPr="006D5279"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170,47</w:t>
            </w:r>
          </w:p>
        </w:tc>
      </w:tr>
      <w:tr w:rsidR="00F501EB" w:rsidRPr="00A81CB8" w14:paraId="73204E82"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bottom"/>
            <w:hideMark/>
          </w:tcPr>
          <w:p w14:paraId="117771AA" w14:textId="77777777" w:rsidR="00F501EB" w:rsidRPr="006D5279"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lastRenderedPageBreak/>
              <w:t>P_344</w:t>
            </w:r>
          </w:p>
        </w:tc>
        <w:tc>
          <w:tcPr>
            <w:tcW w:w="3969" w:type="dxa"/>
            <w:tcBorders>
              <w:top w:val="nil"/>
              <w:left w:val="nil"/>
              <w:bottom w:val="single" w:sz="4" w:space="0" w:color="auto"/>
              <w:right w:val="single" w:sz="4" w:space="0" w:color="auto"/>
            </w:tcBorders>
            <w:shd w:val="clear" w:color="auto" w:fill="auto"/>
            <w:noWrap/>
            <w:vAlign w:val="bottom"/>
            <w:hideMark/>
          </w:tcPr>
          <w:p w14:paraId="2E503464" w14:textId="77777777" w:rsidR="00F501EB" w:rsidRPr="006D5279"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Solar SpA</w:t>
            </w:r>
          </w:p>
        </w:tc>
        <w:tc>
          <w:tcPr>
            <w:tcW w:w="2552" w:type="dxa"/>
            <w:tcBorders>
              <w:top w:val="nil"/>
              <w:left w:val="nil"/>
              <w:bottom w:val="single" w:sz="4" w:space="0" w:color="auto"/>
              <w:right w:val="single" w:sz="4" w:space="0" w:color="auto"/>
            </w:tcBorders>
            <w:shd w:val="clear" w:color="auto" w:fill="auto"/>
            <w:noWrap/>
            <w:vAlign w:val="bottom"/>
            <w:hideMark/>
          </w:tcPr>
          <w:p w14:paraId="55F6AB8E" w14:textId="77777777" w:rsidR="00F501EB" w:rsidRPr="006D5279"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13.115,39</w:t>
            </w:r>
          </w:p>
        </w:tc>
      </w:tr>
      <w:tr w:rsidR="00F501EB" w:rsidRPr="00A81CB8" w14:paraId="71D2EC0E"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bottom"/>
            <w:hideMark/>
          </w:tcPr>
          <w:p w14:paraId="3970CEF5" w14:textId="77777777" w:rsidR="00F501EB" w:rsidRPr="006D5279"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P_418</w:t>
            </w:r>
          </w:p>
        </w:tc>
        <w:tc>
          <w:tcPr>
            <w:tcW w:w="3969" w:type="dxa"/>
            <w:tcBorders>
              <w:top w:val="nil"/>
              <w:left w:val="nil"/>
              <w:bottom w:val="single" w:sz="4" w:space="0" w:color="auto"/>
              <w:right w:val="single" w:sz="4" w:space="0" w:color="auto"/>
            </w:tcBorders>
            <w:shd w:val="clear" w:color="auto" w:fill="auto"/>
            <w:noWrap/>
            <w:vAlign w:val="bottom"/>
            <w:hideMark/>
          </w:tcPr>
          <w:p w14:paraId="37C05EE7" w14:textId="77777777" w:rsidR="00F501EB" w:rsidRPr="006D5279"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Minera Escondida</w:t>
            </w:r>
          </w:p>
        </w:tc>
        <w:tc>
          <w:tcPr>
            <w:tcW w:w="2552" w:type="dxa"/>
            <w:tcBorders>
              <w:top w:val="nil"/>
              <w:left w:val="nil"/>
              <w:bottom w:val="single" w:sz="4" w:space="0" w:color="auto"/>
              <w:right w:val="single" w:sz="4" w:space="0" w:color="auto"/>
            </w:tcBorders>
            <w:shd w:val="clear" w:color="auto" w:fill="auto"/>
            <w:noWrap/>
            <w:vAlign w:val="bottom"/>
            <w:hideMark/>
          </w:tcPr>
          <w:p w14:paraId="6A058BD9" w14:textId="77777777" w:rsidR="00F501EB" w:rsidRPr="006D5279"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1.642.610,42</w:t>
            </w:r>
          </w:p>
        </w:tc>
      </w:tr>
      <w:tr w:rsidR="00F501EB" w:rsidRPr="00A81CB8" w14:paraId="08CD02F8"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bottom"/>
            <w:hideMark/>
          </w:tcPr>
          <w:p w14:paraId="43B6C853" w14:textId="77777777" w:rsidR="00F501EB" w:rsidRPr="006D5279"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P_440</w:t>
            </w:r>
          </w:p>
        </w:tc>
        <w:tc>
          <w:tcPr>
            <w:tcW w:w="3969" w:type="dxa"/>
            <w:tcBorders>
              <w:top w:val="nil"/>
              <w:left w:val="nil"/>
              <w:bottom w:val="single" w:sz="4" w:space="0" w:color="auto"/>
              <w:right w:val="single" w:sz="4" w:space="0" w:color="auto"/>
            </w:tcBorders>
            <w:shd w:val="clear" w:color="auto" w:fill="auto"/>
            <w:noWrap/>
            <w:vAlign w:val="bottom"/>
            <w:hideMark/>
          </w:tcPr>
          <w:p w14:paraId="562FFFED" w14:textId="77777777" w:rsidR="00F501EB" w:rsidRPr="006D5279"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Parque Eólico El Arrayán</w:t>
            </w:r>
          </w:p>
        </w:tc>
        <w:tc>
          <w:tcPr>
            <w:tcW w:w="2552" w:type="dxa"/>
            <w:tcBorders>
              <w:top w:val="nil"/>
              <w:left w:val="nil"/>
              <w:bottom w:val="single" w:sz="4" w:space="0" w:color="auto"/>
              <w:right w:val="single" w:sz="4" w:space="0" w:color="auto"/>
            </w:tcBorders>
            <w:shd w:val="clear" w:color="auto" w:fill="auto"/>
            <w:noWrap/>
            <w:vAlign w:val="bottom"/>
            <w:hideMark/>
          </w:tcPr>
          <w:p w14:paraId="0A7A16E5" w14:textId="77777777" w:rsidR="00F501EB" w:rsidRPr="006D5279"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8.963,39</w:t>
            </w:r>
          </w:p>
        </w:tc>
      </w:tr>
      <w:tr w:rsidR="00F501EB" w:rsidRPr="00A81CB8" w14:paraId="1929A6C8"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bottom"/>
            <w:hideMark/>
          </w:tcPr>
          <w:p w14:paraId="3BF7AB47" w14:textId="77777777" w:rsidR="00F501EB" w:rsidRPr="006D5279"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P_442</w:t>
            </w:r>
          </w:p>
        </w:tc>
        <w:tc>
          <w:tcPr>
            <w:tcW w:w="3969" w:type="dxa"/>
            <w:tcBorders>
              <w:top w:val="nil"/>
              <w:left w:val="nil"/>
              <w:bottom w:val="single" w:sz="4" w:space="0" w:color="auto"/>
              <w:right w:val="single" w:sz="4" w:space="0" w:color="auto"/>
            </w:tcBorders>
            <w:shd w:val="clear" w:color="auto" w:fill="auto"/>
            <w:noWrap/>
            <w:vAlign w:val="bottom"/>
            <w:hideMark/>
          </w:tcPr>
          <w:p w14:paraId="27728BB3" w14:textId="77777777" w:rsidR="00F501EB" w:rsidRPr="006D5279"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Parque Eólico Los Cururos</w:t>
            </w:r>
          </w:p>
        </w:tc>
        <w:tc>
          <w:tcPr>
            <w:tcW w:w="2552" w:type="dxa"/>
            <w:tcBorders>
              <w:top w:val="nil"/>
              <w:left w:val="nil"/>
              <w:bottom w:val="single" w:sz="4" w:space="0" w:color="auto"/>
              <w:right w:val="single" w:sz="4" w:space="0" w:color="auto"/>
            </w:tcBorders>
            <w:shd w:val="clear" w:color="auto" w:fill="auto"/>
            <w:noWrap/>
            <w:vAlign w:val="bottom"/>
            <w:hideMark/>
          </w:tcPr>
          <w:p w14:paraId="706621C0" w14:textId="77777777" w:rsidR="00F501EB" w:rsidRPr="006D5279"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8.963,39</w:t>
            </w:r>
          </w:p>
        </w:tc>
      </w:tr>
      <w:tr w:rsidR="00F501EB" w:rsidRPr="00A81CB8" w14:paraId="786CA15C"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bottom"/>
            <w:hideMark/>
          </w:tcPr>
          <w:p w14:paraId="6DF00D03" w14:textId="77777777" w:rsidR="00F501EB" w:rsidRPr="006D5279"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P_446</w:t>
            </w:r>
          </w:p>
        </w:tc>
        <w:tc>
          <w:tcPr>
            <w:tcW w:w="3969" w:type="dxa"/>
            <w:tcBorders>
              <w:top w:val="nil"/>
              <w:left w:val="nil"/>
              <w:bottom w:val="single" w:sz="4" w:space="0" w:color="auto"/>
              <w:right w:val="single" w:sz="4" w:space="0" w:color="auto"/>
            </w:tcBorders>
            <w:shd w:val="clear" w:color="auto" w:fill="auto"/>
            <w:noWrap/>
            <w:vAlign w:val="bottom"/>
            <w:hideMark/>
          </w:tcPr>
          <w:p w14:paraId="2D301B6F" w14:textId="77777777" w:rsidR="00F501EB" w:rsidRPr="006D5279"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Luz del Norte</w:t>
            </w:r>
          </w:p>
        </w:tc>
        <w:tc>
          <w:tcPr>
            <w:tcW w:w="2552" w:type="dxa"/>
            <w:tcBorders>
              <w:top w:val="nil"/>
              <w:left w:val="nil"/>
              <w:bottom w:val="single" w:sz="4" w:space="0" w:color="auto"/>
              <w:right w:val="single" w:sz="4" w:space="0" w:color="auto"/>
            </w:tcBorders>
            <w:shd w:val="clear" w:color="auto" w:fill="auto"/>
            <w:noWrap/>
            <w:vAlign w:val="bottom"/>
            <w:hideMark/>
          </w:tcPr>
          <w:p w14:paraId="29994805" w14:textId="77777777" w:rsidR="00F501EB" w:rsidRPr="006D5279"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130.307,75</w:t>
            </w:r>
          </w:p>
        </w:tc>
      </w:tr>
      <w:tr w:rsidR="00F501EB" w:rsidRPr="00A81CB8" w14:paraId="4187B294"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bottom"/>
            <w:hideMark/>
          </w:tcPr>
          <w:p w14:paraId="7A773370" w14:textId="77777777" w:rsidR="00F501EB" w:rsidRPr="006D5279"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P_476</w:t>
            </w:r>
          </w:p>
        </w:tc>
        <w:tc>
          <w:tcPr>
            <w:tcW w:w="3969" w:type="dxa"/>
            <w:tcBorders>
              <w:top w:val="nil"/>
              <w:left w:val="nil"/>
              <w:bottom w:val="single" w:sz="4" w:space="0" w:color="auto"/>
              <w:right w:val="single" w:sz="4" w:space="0" w:color="auto"/>
            </w:tcBorders>
            <w:shd w:val="clear" w:color="auto" w:fill="auto"/>
            <w:noWrap/>
            <w:vAlign w:val="bottom"/>
            <w:hideMark/>
          </w:tcPr>
          <w:p w14:paraId="49FD5AFB" w14:textId="77777777" w:rsidR="00F501EB" w:rsidRPr="006D5279"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STN</w:t>
            </w:r>
          </w:p>
        </w:tc>
        <w:tc>
          <w:tcPr>
            <w:tcW w:w="2552" w:type="dxa"/>
            <w:tcBorders>
              <w:top w:val="nil"/>
              <w:left w:val="nil"/>
              <w:bottom w:val="single" w:sz="4" w:space="0" w:color="auto"/>
              <w:right w:val="single" w:sz="4" w:space="0" w:color="auto"/>
            </w:tcBorders>
            <w:shd w:val="clear" w:color="auto" w:fill="auto"/>
            <w:noWrap/>
            <w:vAlign w:val="bottom"/>
            <w:hideMark/>
          </w:tcPr>
          <w:p w14:paraId="17981C70" w14:textId="77777777" w:rsidR="00F501EB" w:rsidRPr="006D5279"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32.525.573,92</w:t>
            </w:r>
          </w:p>
        </w:tc>
      </w:tr>
      <w:tr w:rsidR="00F501EB" w:rsidRPr="00A81CB8" w14:paraId="58526F47"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bottom"/>
            <w:hideMark/>
          </w:tcPr>
          <w:p w14:paraId="0DDAB2F5" w14:textId="77777777" w:rsidR="00F501EB" w:rsidRPr="006D5279"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P_480</w:t>
            </w:r>
          </w:p>
        </w:tc>
        <w:tc>
          <w:tcPr>
            <w:tcW w:w="3969" w:type="dxa"/>
            <w:tcBorders>
              <w:top w:val="nil"/>
              <w:left w:val="nil"/>
              <w:bottom w:val="single" w:sz="4" w:space="0" w:color="auto"/>
              <w:right w:val="single" w:sz="4" w:space="0" w:color="auto"/>
            </w:tcBorders>
            <w:shd w:val="clear" w:color="auto" w:fill="auto"/>
            <w:noWrap/>
            <w:vAlign w:val="bottom"/>
            <w:hideMark/>
          </w:tcPr>
          <w:p w14:paraId="1A1016A8" w14:textId="77777777" w:rsidR="00F501EB" w:rsidRPr="006D5279"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SATT</w:t>
            </w:r>
          </w:p>
        </w:tc>
        <w:tc>
          <w:tcPr>
            <w:tcW w:w="2552" w:type="dxa"/>
            <w:tcBorders>
              <w:top w:val="nil"/>
              <w:left w:val="nil"/>
              <w:bottom w:val="single" w:sz="4" w:space="0" w:color="auto"/>
              <w:right w:val="single" w:sz="4" w:space="0" w:color="auto"/>
            </w:tcBorders>
            <w:shd w:val="clear" w:color="auto" w:fill="auto"/>
            <w:noWrap/>
            <w:vAlign w:val="bottom"/>
            <w:hideMark/>
          </w:tcPr>
          <w:p w14:paraId="7641E09A" w14:textId="77777777" w:rsidR="00F501EB" w:rsidRPr="006D5279"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20.261.052,90</w:t>
            </w:r>
          </w:p>
        </w:tc>
      </w:tr>
      <w:tr w:rsidR="00F501EB" w:rsidRPr="00A81CB8" w14:paraId="6149BCCF"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bottom"/>
            <w:hideMark/>
          </w:tcPr>
          <w:p w14:paraId="6D83CFE1" w14:textId="77777777" w:rsidR="00F501EB" w:rsidRPr="006D5279"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P_510</w:t>
            </w:r>
          </w:p>
        </w:tc>
        <w:tc>
          <w:tcPr>
            <w:tcW w:w="3969" w:type="dxa"/>
            <w:tcBorders>
              <w:top w:val="nil"/>
              <w:left w:val="nil"/>
              <w:bottom w:val="single" w:sz="4" w:space="0" w:color="auto"/>
              <w:right w:val="single" w:sz="4" w:space="0" w:color="auto"/>
            </w:tcBorders>
            <w:shd w:val="clear" w:color="auto" w:fill="auto"/>
            <w:noWrap/>
            <w:vAlign w:val="bottom"/>
            <w:hideMark/>
          </w:tcPr>
          <w:p w14:paraId="74CAE9D0" w14:textId="77777777" w:rsidR="00F501EB" w:rsidRPr="006D5279"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Transquillota</w:t>
            </w:r>
          </w:p>
        </w:tc>
        <w:tc>
          <w:tcPr>
            <w:tcW w:w="2552" w:type="dxa"/>
            <w:tcBorders>
              <w:top w:val="nil"/>
              <w:left w:val="nil"/>
              <w:bottom w:val="single" w:sz="4" w:space="0" w:color="auto"/>
              <w:right w:val="single" w:sz="4" w:space="0" w:color="auto"/>
            </w:tcBorders>
            <w:shd w:val="clear" w:color="auto" w:fill="auto"/>
            <w:noWrap/>
            <w:vAlign w:val="bottom"/>
            <w:hideMark/>
          </w:tcPr>
          <w:p w14:paraId="2778D32A" w14:textId="77777777" w:rsidR="00F501EB" w:rsidRPr="006D5279"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1.084.701,43</w:t>
            </w:r>
          </w:p>
        </w:tc>
      </w:tr>
      <w:tr w:rsidR="00F501EB" w:rsidRPr="00A81CB8" w14:paraId="5E265ED5"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bottom"/>
            <w:hideMark/>
          </w:tcPr>
          <w:p w14:paraId="64DD4722" w14:textId="77777777" w:rsidR="00F501EB" w:rsidRPr="006D5279"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P_513</w:t>
            </w:r>
          </w:p>
        </w:tc>
        <w:tc>
          <w:tcPr>
            <w:tcW w:w="3969" w:type="dxa"/>
            <w:tcBorders>
              <w:top w:val="nil"/>
              <w:left w:val="nil"/>
              <w:bottom w:val="single" w:sz="4" w:space="0" w:color="auto"/>
              <w:right w:val="single" w:sz="4" w:space="0" w:color="auto"/>
            </w:tcBorders>
            <w:shd w:val="clear" w:color="auto" w:fill="auto"/>
            <w:noWrap/>
            <w:vAlign w:val="bottom"/>
            <w:hideMark/>
          </w:tcPr>
          <w:p w14:paraId="17FEDFCF" w14:textId="77777777" w:rsidR="00F501EB" w:rsidRPr="006D5279"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Chena S. A.</w:t>
            </w:r>
          </w:p>
        </w:tc>
        <w:tc>
          <w:tcPr>
            <w:tcW w:w="2552" w:type="dxa"/>
            <w:tcBorders>
              <w:top w:val="nil"/>
              <w:left w:val="nil"/>
              <w:bottom w:val="single" w:sz="4" w:space="0" w:color="auto"/>
              <w:right w:val="single" w:sz="4" w:space="0" w:color="auto"/>
            </w:tcBorders>
            <w:shd w:val="clear" w:color="auto" w:fill="auto"/>
            <w:noWrap/>
            <w:vAlign w:val="bottom"/>
            <w:hideMark/>
          </w:tcPr>
          <w:p w14:paraId="27DCD6BA" w14:textId="77777777" w:rsidR="00F501EB" w:rsidRPr="006D5279"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1.338.428,46</w:t>
            </w:r>
          </w:p>
        </w:tc>
      </w:tr>
      <w:tr w:rsidR="00F501EB" w:rsidRPr="00A81CB8" w14:paraId="735324E3"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bottom"/>
            <w:hideMark/>
          </w:tcPr>
          <w:p w14:paraId="0110F33D" w14:textId="77777777" w:rsidR="00F501EB" w:rsidRPr="006D5279"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P_514</w:t>
            </w:r>
          </w:p>
        </w:tc>
        <w:tc>
          <w:tcPr>
            <w:tcW w:w="3969" w:type="dxa"/>
            <w:tcBorders>
              <w:top w:val="nil"/>
              <w:left w:val="nil"/>
              <w:bottom w:val="single" w:sz="4" w:space="0" w:color="auto"/>
              <w:right w:val="single" w:sz="4" w:space="0" w:color="auto"/>
            </w:tcBorders>
            <w:shd w:val="clear" w:color="auto" w:fill="auto"/>
            <w:noWrap/>
            <w:vAlign w:val="bottom"/>
            <w:hideMark/>
          </w:tcPr>
          <w:p w14:paraId="0250272F" w14:textId="77777777" w:rsidR="00F501EB" w:rsidRPr="006D5279"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TEN</w:t>
            </w:r>
          </w:p>
        </w:tc>
        <w:tc>
          <w:tcPr>
            <w:tcW w:w="2552" w:type="dxa"/>
            <w:tcBorders>
              <w:top w:val="nil"/>
              <w:left w:val="nil"/>
              <w:bottom w:val="single" w:sz="4" w:space="0" w:color="auto"/>
              <w:right w:val="single" w:sz="4" w:space="0" w:color="auto"/>
            </w:tcBorders>
            <w:shd w:val="clear" w:color="auto" w:fill="auto"/>
            <w:noWrap/>
            <w:vAlign w:val="bottom"/>
            <w:hideMark/>
          </w:tcPr>
          <w:p w14:paraId="57FBD625" w14:textId="77777777" w:rsidR="00F501EB" w:rsidRPr="006D5279"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524.114.189,30</w:t>
            </w:r>
          </w:p>
        </w:tc>
      </w:tr>
      <w:tr w:rsidR="00F501EB" w:rsidRPr="00A81CB8" w14:paraId="51508EA8"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bottom"/>
            <w:hideMark/>
          </w:tcPr>
          <w:p w14:paraId="57BB0915" w14:textId="77777777" w:rsidR="00F501EB" w:rsidRPr="006D5279"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P_517</w:t>
            </w:r>
          </w:p>
        </w:tc>
        <w:tc>
          <w:tcPr>
            <w:tcW w:w="3969" w:type="dxa"/>
            <w:tcBorders>
              <w:top w:val="nil"/>
              <w:left w:val="nil"/>
              <w:bottom w:val="single" w:sz="4" w:space="0" w:color="auto"/>
              <w:right w:val="single" w:sz="4" w:space="0" w:color="auto"/>
            </w:tcBorders>
            <w:shd w:val="clear" w:color="auto" w:fill="auto"/>
            <w:noWrap/>
            <w:vAlign w:val="bottom"/>
            <w:hideMark/>
          </w:tcPr>
          <w:p w14:paraId="3D5844C5" w14:textId="77777777" w:rsidR="00F501EB" w:rsidRPr="006D5279"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Valle de los Vientos</w:t>
            </w:r>
          </w:p>
        </w:tc>
        <w:tc>
          <w:tcPr>
            <w:tcW w:w="2552" w:type="dxa"/>
            <w:tcBorders>
              <w:top w:val="nil"/>
              <w:left w:val="nil"/>
              <w:bottom w:val="single" w:sz="4" w:space="0" w:color="auto"/>
              <w:right w:val="single" w:sz="4" w:space="0" w:color="auto"/>
            </w:tcBorders>
            <w:shd w:val="clear" w:color="auto" w:fill="auto"/>
            <w:noWrap/>
            <w:vAlign w:val="bottom"/>
            <w:hideMark/>
          </w:tcPr>
          <w:p w14:paraId="7E5300BF" w14:textId="77777777" w:rsidR="00F501EB" w:rsidRPr="006D5279"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5.076,43</w:t>
            </w:r>
          </w:p>
        </w:tc>
      </w:tr>
      <w:tr w:rsidR="00F501EB" w:rsidRPr="00A81CB8" w14:paraId="030A88CA"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bottom"/>
            <w:hideMark/>
          </w:tcPr>
          <w:p w14:paraId="1A7D92D5" w14:textId="77777777" w:rsidR="00F501EB" w:rsidRPr="006D5279"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P_521</w:t>
            </w:r>
          </w:p>
        </w:tc>
        <w:tc>
          <w:tcPr>
            <w:tcW w:w="3969" w:type="dxa"/>
            <w:tcBorders>
              <w:top w:val="nil"/>
              <w:left w:val="nil"/>
              <w:bottom w:val="single" w:sz="4" w:space="0" w:color="auto"/>
              <w:right w:val="single" w:sz="4" w:space="0" w:color="auto"/>
            </w:tcBorders>
            <w:shd w:val="clear" w:color="auto" w:fill="auto"/>
            <w:noWrap/>
            <w:vAlign w:val="bottom"/>
            <w:hideMark/>
          </w:tcPr>
          <w:p w14:paraId="5E76BA03" w14:textId="77777777" w:rsidR="00F501EB" w:rsidRPr="006D5279"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ELECTRICA INDUSTRIAL</w:t>
            </w:r>
          </w:p>
        </w:tc>
        <w:tc>
          <w:tcPr>
            <w:tcW w:w="2552" w:type="dxa"/>
            <w:tcBorders>
              <w:top w:val="nil"/>
              <w:left w:val="nil"/>
              <w:bottom w:val="single" w:sz="4" w:space="0" w:color="auto"/>
              <w:right w:val="single" w:sz="4" w:space="0" w:color="auto"/>
            </w:tcBorders>
            <w:shd w:val="clear" w:color="auto" w:fill="auto"/>
            <w:noWrap/>
            <w:vAlign w:val="bottom"/>
            <w:hideMark/>
          </w:tcPr>
          <w:p w14:paraId="0BCAED9E" w14:textId="77777777" w:rsidR="00F501EB" w:rsidRPr="006D5279"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4.202,86</w:t>
            </w:r>
          </w:p>
        </w:tc>
      </w:tr>
      <w:tr w:rsidR="00F501EB" w:rsidRPr="00A81CB8" w14:paraId="2964D14D"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bottom"/>
            <w:hideMark/>
          </w:tcPr>
          <w:p w14:paraId="462E5E50" w14:textId="77777777" w:rsidR="00F501EB" w:rsidRPr="006D5279"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P_524</w:t>
            </w:r>
          </w:p>
        </w:tc>
        <w:tc>
          <w:tcPr>
            <w:tcW w:w="3969" w:type="dxa"/>
            <w:tcBorders>
              <w:top w:val="nil"/>
              <w:left w:val="nil"/>
              <w:bottom w:val="single" w:sz="4" w:space="0" w:color="auto"/>
              <w:right w:val="single" w:sz="4" w:space="0" w:color="auto"/>
            </w:tcBorders>
            <w:shd w:val="clear" w:color="auto" w:fill="auto"/>
            <w:noWrap/>
            <w:vAlign w:val="bottom"/>
            <w:hideMark/>
          </w:tcPr>
          <w:p w14:paraId="7BE4EDFD" w14:textId="77777777" w:rsidR="00F501EB" w:rsidRPr="006D5279"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ENERGÍA COYANCO</w:t>
            </w:r>
          </w:p>
        </w:tc>
        <w:tc>
          <w:tcPr>
            <w:tcW w:w="2552" w:type="dxa"/>
            <w:tcBorders>
              <w:top w:val="nil"/>
              <w:left w:val="nil"/>
              <w:bottom w:val="single" w:sz="4" w:space="0" w:color="auto"/>
              <w:right w:val="single" w:sz="4" w:space="0" w:color="auto"/>
            </w:tcBorders>
            <w:shd w:val="clear" w:color="auto" w:fill="auto"/>
            <w:noWrap/>
            <w:vAlign w:val="bottom"/>
            <w:hideMark/>
          </w:tcPr>
          <w:p w14:paraId="188B0C55" w14:textId="77777777" w:rsidR="00F501EB" w:rsidRPr="006D5279"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19.609,36</w:t>
            </w:r>
          </w:p>
        </w:tc>
      </w:tr>
      <w:tr w:rsidR="00F501EB" w:rsidRPr="00A81CB8" w14:paraId="702F4858"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bottom"/>
            <w:hideMark/>
          </w:tcPr>
          <w:p w14:paraId="1BBE4833" w14:textId="77777777" w:rsidR="00F501EB" w:rsidRPr="006D5279"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P_530</w:t>
            </w:r>
          </w:p>
        </w:tc>
        <w:tc>
          <w:tcPr>
            <w:tcW w:w="3969" w:type="dxa"/>
            <w:tcBorders>
              <w:top w:val="nil"/>
              <w:left w:val="nil"/>
              <w:bottom w:val="single" w:sz="4" w:space="0" w:color="auto"/>
              <w:right w:val="single" w:sz="4" w:space="0" w:color="auto"/>
            </w:tcBorders>
            <w:shd w:val="clear" w:color="auto" w:fill="auto"/>
            <w:noWrap/>
            <w:vAlign w:val="bottom"/>
            <w:hideMark/>
          </w:tcPr>
          <w:p w14:paraId="6DE47C1B" w14:textId="77777777" w:rsidR="00F501EB" w:rsidRPr="006D5279"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INTERCHILE</w:t>
            </w:r>
          </w:p>
        </w:tc>
        <w:tc>
          <w:tcPr>
            <w:tcW w:w="2552" w:type="dxa"/>
            <w:tcBorders>
              <w:top w:val="nil"/>
              <w:left w:val="nil"/>
              <w:bottom w:val="single" w:sz="4" w:space="0" w:color="auto"/>
              <w:right w:val="single" w:sz="4" w:space="0" w:color="auto"/>
            </w:tcBorders>
            <w:shd w:val="clear" w:color="auto" w:fill="auto"/>
            <w:noWrap/>
            <w:vAlign w:val="bottom"/>
            <w:hideMark/>
          </w:tcPr>
          <w:p w14:paraId="7179FEC2" w14:textId="77777777" w:rsidR="00F501EB" w:rsidRPr="006D5279"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15.615.721,57</w:t>
            </w:r>
          </w:p>
        </w:tc>
      </w:tr>
      <w:tr w:rsidR="00F501EB" w:rsidRPr="00A81CB8" w14:paraId="4D050A68"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bottom"/>
            <w:hideMark/>
          </w:tcPr>
          <w:p w14:paraId="60F73926" w14:textId="77777777" w:rsidR="00F501EB" w:rsidRPr="006D5279"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P_537</w:t>
            </w:r>
          </w:p>
        </w:tc>
        <w:tc>
          <w:tcPr>
            <w:tcW w:w="3969" w:type="dxa"/>
            <w:tcBorders>
              <w:top w:val="nil"/>
              <w:left w:val="nil"/>
              <w:bottom w:val="single" w:sz="4" w:space="0" w:color="auto"/>
              <w:right w:val="single" w:sz="4" w:space="0" w:color="auto"/>
            </w:tcBorders>
            <w:shd w:val="clear" w:color="auto" w:fill="auto"/>
            <w:noWrap/>
            <w:vAlign w:val="bottom"/>
            <w:hideMark/>
          </w:tcPr>
          <w:p w14:paraId="07585747" w14:textId="77777777" w:rsidR="00F501EB" w:rsidRPr="006D5279"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PARQUE QUILLAGUA</w:t>
            </w:r>
          </w:p>
        </w:tc>
        <w:tc>
          <w:tcPr>
            <w:tcW w:w="2552" w:type="dxa"/>
            <w:tcBorders>
              <w:top w:val="nil"/>
              <w:left w:val="nil"/>
              <w:bottom w:val="single" w:sz="4" w:space="0" w:color="auto"/>
              <w:right w:val="single" w:sz="4" w:space="0" w:color="auto"/>
            </w:tcBorders>
            <w:shd w:val="clear" w:color="auto" w:fill="auto"/>
            <w:noWrap/>
            <w:vAlign w:val="bottom"/>
            <w:hideMark/>
          </w:tcPr>
          <w:p w14:paraId="6318E48E" w14:textId="77777777" w:rsidR="00F501EB" w:rsidRPr="006D5279"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4.796,25</w:t>
            </w:r>
          </w:p>
        </w:tc>
      </w:tr>
      <w:tr w:rsidR="00F501EB" w:rsidRPr="00A81CB8" w14:paraId="5C2B1701"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bottom"/>
            <w:hideMark/>
          </w:tcPr>
          <w:p w14:paraId="556D040F" w14:textId="77777777" w:rsidR="00F501EB" w:rsidRPr="006D5279"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P_578</w:t>
            </w:r>
          </w:p>
        </w:tc>
        <w:tc>
          <w:tcPr>
            <w:tcW w:w="3969" w:type="dxa"/>
            <w:tcBorders>
              <w:top w:val="nil"/>
              <w:left w:val="nil"/>
              <w:bottom w:val="single" w:sz="4" w:space="0" w:color="auto"/>
              <w:right w:val="single" w:sz="4" w:space="0" w:color="auto"/>
            </w:tcBorders>
            <w:shd w:val="clear" w:color="auto" w:fill="auto"/>
            <w:noWrap/>
            <w:vAlign w:val="bottom"/>
            <w:hideMark/>
          </w:tcPr>
          <w:p w14:paraId="524189D7" w14:textId="77777777" w:rsidR="00F501EB" w:rsidRPr="006D5279"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ANTOFAGASTA MINERALS S.A.</w:t>
            </w:r>
          </w:p>
        </w:tc>
        <w:tc>
          <w:tcPr>
            <w:tcW w:w="2552" w:type="dxa"/>
            <w:tcBorders>
              <w:top w:val="nil"/>
              <w:left w:val="nil"/>
              <w:bottom w:val="single" w:sz="4" w:space="0" w:color="auto"/>
              <w:right w:val="single" w:sz="4" w:space="0" w:color="auto"/>
            </w:tcBorders>
            <w:shd w:val="clear" w:color="auto" w:fill="auto"/>
            <w:noWrap/>
            <w:vAlign w:val="bottom"/>
            <w:hideMark/>
          </w:tcPr>
          <w:p w14:paraId="3751E781" w14:textId="77777777" w:rsidR="00F501EB" w:rsidRPr="006D5279"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28.751.594,12</w:t>
            </w:r>
          </w:p>
        </w:tc>
      </w:tr>
      <w:tr w:rsidR="00F501EB" w:rsidRPr="00A81CB8" w14:paraId="38C04D3D"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bottom"/>
            <w:hideMark/>
          </w:tcPr>
          <w:p w14:paraId="7C1E64B7" w14:textId="77777777" w:rsidR="00F501EB" w:rsidRPr="006D5279"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P_582</w:t>
            </w:r>
          </w:p>
        </w:tc>
        <w:tc>
          <w:tcPr>
            <w:tcW w:w="3969" w:type="dxa"/>
            <w:tcBorders>
              <w:top w:val="nil"/>
              <w:left w:val="nil"/>
              <w:bottom w:val="single" w:sz="4" w:space="0" w:color="auto"/>
              <w:right w:val="single" w:sz="4" w:space="0" w:color="auto"/>
            </w:tcBorders>
            <w:shd w:val="clear" w:color="auto" w:fill="auto"/>
            <w:noWrap/>
            <w:vAlign w:val="bottom"/>
            <w:hideMark/>
          </w:tcPr>
          <w:p w14:paraId="350ABB24" w14:textId="77777777" w:rsidR="00F501EB" w:rsidRPr="006D5279"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 xml:space="preserve">LÍNEA DE TRANSMISIÓN CABO LEONES S.A. </w:t>
            </w:r>
          </w:p>
        </w:tc>
        <w:tc>
          <w:tcPr>
            <w:tcW w:w="2552" w:type="dxa"/>
            <w:tcBorders>
              <w:top w:val="nil"/>
              <w:left w:val="nil"/>
              <w:bottom w:val="single" w:sz="4" w:space="0" w:color="auto"/>
              <w:right w:val="single" w:sz="4" w:space="0" w:color="auto"/>
            </w:tcBorders>
            <w:shd w:val="clear" w:color="auto" w:fill="auto"/>
            <w:noWrap/>
            <w:vAlign w:val="bottom"/>
            <w:hideMark/>
          </w:tcPr>
          <w:p w14:paraId="77BA14E3" w14:textId="77777777" w:rsidR="00F501EB" w:rsidRPr="006D5279"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388.601,43</w:t>
            </w:r>
          </w:p>
        </w:tc>
      </w:tr>
      <w:tr w:rsidR="00F501EB" w:rsidRPr="00C65574" w14:paraId="59BFC0D0" w14:textId="77777777" w:rsidTr="006B5A62">
        <w:trPr>
          <w:jc w:val="center"/>
        </w:trPr>
        <w:tc>
          <w:tcPr>
            <w:tcW w:w="1985" w:type="dxa"/>
            <w:tcBorders>
              <w:top w:val="nil"/>
              <w:left w:val="nil"/>
              <w:bottom w:val="nil"/>
              <w:right w:val="nil"/>
            </w:tcBorders>
            <w:shd w:val="clear" w:color="auto" w:fill="auto"/>
            <w:noWrap/>
            <w:vAlign w:val="center"/>
            <w:hideMark/>
          </w:tcPr>
          <w:p w14:paraId="445FF1E7"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p>
        </w:tc>
        <w:tc>
          <w:tcPr>
            <w:tcW w:w="3969" w:type="dxa"/>
            <w:tcBorders>
              <w:top w:val="nil"/>
              <w:left w:val="single" w:sz="4" w:space="0" w:color="auto"/>
              <w:bottom w:val="single" w:sz="4" w:space="0" w:color="auto"/>
              <w:right w:val="single" w:sz="4" w:space="0" w:color="auto"/>
            </w:tcBorders>
            <w:shd w:val="clear" w:color="auto" w:fill="auto"/>
            <w:noWrap/>
            <w:vAlign w:val="center"/>
            <w:hideMark/>
          </w:tcPr>
          <w:p w14:paraId="2FD01578" w14:textId="77777777" w:rsidR="00F501EB" w:rsidRPr="00C65574" w:rsidRDefault="00F501EB" w:rsidP="006B5A62">
            <w:pPr>
              <w:spacing w:before="20" w:after="20" w:line="240" w:lineRule="auto"/>
              <w:jc w:val="left"/>
              <w:rPr>
                <w:rFonts w:eastAsia="Times New Roman" w:cs="Calibri"/>
                <w:b/>
                <w:color w:val="000000"/>
                <w:sz w:val="20"/>
                <w:szCs w:val="20"/>
                <w:lang w:eastAsia="es-CL"/>
              </w:rPr>
            </w:pPr>
            <w:r w:rsidRPr="00C65574">
              <w:rPr>
                <w:rFonts w:eastAsia="Times New Roman" w:cs="Calibri"/>
                <w:b/>
                <w:color w:val="000000"/>
                <w:sz w:val="20"/>
                <w:szCs w:val="20"/>
                <w:lang w:eastAsia="es-CL"/>
              </w:rPr>
              <w:t>TOTAL</w:t>
            </w:r>
          </w:p>
        </w:tc>
        <w:tc>
          <w:tcPr>
            <w:tcW w:w="2552" w:type="dxa"/>
            <w:tcBorders>
              <w:top w:val="nil"/>
              <w:left w:val="nil"/>
              <w:bottom w:val="single" w:sz="4" w:space="0" w:color="auto"/>
              <w:right w:val="single" w:sz="4" w:space="0" w:color="auto"/>
            </w:tcBorders>
            <w:shd w:val="clear" w:color="auto" w:fill="auto"/>
            <w:noWrap/>
            <w:vAlign w:val="center"/>
            <w:hideMark/>
          </w:tcPr>
          <w:p w14:paraId="5CD45B4F" w14:textId="77777777" w:rsidR="00F501EB" w:rsidRPr="006D5279" w:rsidRDefault="00F501EB" w:rsidP="006B5A62">
            <w:pPr>
              <w:spacing w:after="0" w:line="240" w:lineRule="auto"/>
              <w:jc w:val="right"/>
              <w:rPr>
                <w:rFonts w:cs="Calibri"/>
                <w:b/>
                <w:bCs/>
                <w:color w:val="000000"/>
                <w:sz w:val="20"/>
                <w:szCs w:val="20"/>
                <w:lang w:eastAsia="es-CL"/>
              </w:rPr>
            </w:pPr>
            <w:r w:rsidRPr="006D5279">
              <w:rPr>
                <w:rFonts w:cs="Calibri"/>
                <w:b/>
                <w:bCs/>
                <w:color w:val="000000"/>
                <w:sz w:val="20"/>
                <w:szCs w:val="20"/>
              </w:rPr>
              <w:t>2.797.471.512,88</w:t>
            </w:r>
          </w:p>
        </w:tc>
      </w:tr>
    </w:tbl>
    <w:p w14:paraId="2C54C09C" w14:textId="77777777" w:rsidR="00F501EB" w:rsidRDefault="00F501EB" w:rsidP="00F501EB">
      <w:pPr>
        <w:spacing w:after="0"/>
      </w:pPr>
    </w:p>
    <w:p w14:paraId="4A6DDA5E" w14:textId="77777777" w:rsidR="00F501EB" w:rsidRDefault="00F501EB" w:rsidP="00F501EB">
      <w:pPr>
        <w:pStyle w:val="Ttulo3"/>
        <w:keepNext/>
      </w:pPr>
      <w:bookmarkStart w:id="439" w:name="_Toc38048506"/>
      <w:bookmarkStart w:id="440" w:name="_Toc39795182"/>
      <w:bookmarkStart w:id="441" w:name="_Toc39797862"/>
      <w:r w:rsidRPr="00E1571A">
        <w:t>Valor de Inversión por tramo de subestación calificación naciona</w:t>
      </w:r>
      <w:r>
        <w:t>l</w:t>
      </w:r>
      <w:bookmarkEnd w:id="439"/>
      <w:bookmarkEnd w:id="440"/>
      <w:bookmarkEnd w:id="441"/>
    </w:p>
    <w:p w14:paraId="735F1CBD" w14:textId="77777777" w:rsidR="00F501EB" w:rsidRPr="00C65574" w:rsidRDefault="00F501EB" w:rsidP="00F501EB">
      <w:pPr>
        <w:pStyle w:val="Subttulo"/>
      </w:pPr>
      <w:bookmarkStart w:id="442" w:name="_Toc38047818"/>
      <w:bookmarkStart w:id="443" w:name="_Toc39795271"/>
      <w:bookmarkStart w:id="444" w:name="_Toc39797951"/>
      <w:r w:rsidRPr="00C65574">
        <w:t xml:space="preserve">Tabla </w:t>
      </w:r>
      <w:fldSimple w:instr=" SEQ Tabla \* ARABIC ">
        <w:r w:rsidR="001F3E2E">
          <w:rPr>
            <w:noProof/>
          </w:rPr>
          <w:t>41</w:t>
        </w:r>
      </w:fldSimple>
      <w:r w:rsidRPr="00C65574">
        <w:t>: Valor de Inversión (V.I.) por tramo de subestación calificación nacional</w:t>
      </w:r>
      <w:bookmarkEnd w:id="442"/>
      <w:bookmarkEnd w:id="443"/>
      <w:bookmarkEnd w:id="444"/>
    </w:p>
    <w:tbl>
      <w:tblPr>
        <w:tblW w:w="0" w:type="auto"/>
        <w:jc w:val="center"/>
        <w:tblLayout w:type="fixed"/>
        <w:tblCellMar>
          <w:left w:w="57" w:type="dxa"/>
          <w:right w:w="57" w:type="dxa"/>
        </w:tblCellMar>
        <w:tblLook w:val="04A0" w:firstRow="1" w:lastRow="0" w:firstColumn="1" w:lastColumn="0" w:noHBand="0" w:noVBand="1"/>
      </w:tblPr>
      <w:tblGrid>
        <w:gridCol w:w="1985"/>
        <w:gridCol w:w="3969"/>
        <w:gridCol w:w="2552"/>
      </w:tblGrid>
      <w:tr w:rsidR="00F501EB" w:rsidRPr="00A81CB8" w14:paraId="1463ECC8" w14:textId="77777777" w:rsidTr="006B5A62">
        <w:trPr>
          <w:tblHeader/>
          <w:jc w:val="center"/>
        </w:trPr>
        <w:tc>
          <w:tcPr>
            <w:tcW w:w="1985" w:type="dxa"/>
            <w:tcBorders>
              <w:top w:val="single" w:sz="8" w:space="0" w:color="auto"/>
              <w:left w:val="single" w:sz="8" w:space="0" w:color="auto"/>
              <w:bottom w:val="single" w:sz="8" w:space="0" w:color="auto"/>
              <w:right w:val="single" w:sz="8" w:space="0" w:color="auto"/>
            </w:tcBorders>
            <w:shd w:val="clear" w:color="auto" w:fill="D9D9D9" w:themeFill="background1" w:themeFillShade="D9"/>
            <w:noWrap/>
            <w:vAlign w:val="center"/>
            <w:hideMark/>
          </w:tcPr>
          <w:p w14:paraId="22DE81A3" w14:textId="77777777" w:rsidR="00F501EB" w:rsidRPr="00A81CB8" w:rsidRDefault="00F501EB" w:rsidP="006B5A62">
            <w:pPr>
              <w:spacing w:before="20" w:after="20" w:line="240" w:lineRule="auto"/>
              <w:jc w:val="center"/>
              <w:rPr>
                <w:rFonts w:cs="Calibri"/>
                <w:b/>
                <w:bCs/>
                <w:color w:val="000000"/>
                <w:sz w:val="20"/>
                <w:szCs w:val="20"/>
              </w:rPr>
            </w:pPr>
            <w:r w:rsidRPr="00A81CB8">
              <w:rPr>
                <w:rFonts w:cs="Calibri"/>
                <w:b/>
                <w:bCs/>
                <w:color w:val="000000"/>
                <w:sz w:val="20"/>
                <w:szCs w:val="20"/>
              </w:rPr>
              <w:t>IdCalificacionCodigo</w:t>
            </w:r>
          </w:p>
        </w:tc>
        <w:tc>
          <w:tcPr>
            <w:tcW w:w="3969" w:type="dxa"/>
            <w:tcBorders>
              <w:top w:val="single" w:sz="8" w:space="0" w:color="auto"/>
              <w:left w:val="nil"/>
              <w:bottom w:val="single" w:sz="8" w:space="0" w:color="auto"/>
              <w:right w:val="single" w:sz="8" w:space="0" w:color="auto"/>
            </w:tcBorders>
            <w:shd w:val="clear" w:color="auto" w:fill="D9D9D9" w:themeFill="background1" w:themeFillShade="D9"/>
            <w:noWrap/>
            <w:vAlign w:val="center"/>
            <w:hideMark/>
          </w:tcPr>
          <w:p w14:paraId="4D20112C" w14:textId="77777777" w:rsidR="00F501EB" w:rsidRPr="00A81CB8" w:rsidRDefault="00F501EB" w:rsidP="006B5A62">
            <w:pPr>
              <w:spacing w:before="20" w:after="20" w:line="240" w:lineRule="auto"/>
              <w:jc w:val="center"/>
              <w:rPr>
                <w:rFonts w:cs="Calibri"/>
                <w:b/>
                <w:bCs/>
                <w:color w:val="000000"/>
                <w:sz w:val="20"/>
                <w:szCs w:val="20"/>
              </w:rPr>
            </w:pPr>
            <w:r w:rsidRPr="00A81CB8">
              <w:rPr>
                <w:rFonts w:cs="Calibri"/>
                <w:b/>
                <w:bCs/>
                <w:color w:val="000000"/>
                <w:sz w:val="20"/>
                <w:szCs w:val="20"/>
              </w:rPr>
              <w:t>NombreTramoTransporte</w:t>
            </w:r>
          </w:p>
        </w:tc>
        <w:tc>
          <w:tcPr>
            <w:tcW w:w="2552" w:type="dxa"/>
            <w:tcBorders>
              <w:top w:val="single" w:sz="8" w:space="0" w:color="auto"/>
              <w:left w:val="nil"/>
              <w:bottom w:val="single" w:sz="8" w:space="0" w:color="auto"/>
              <w:right w:val="single" w:sz="8" w:space="0" w:color="auto"/>
            </w:tcBorders>
            <w:shd w:val="clear" w:color="auto" w:fill="D9D9D9" w:themeFill="background1" w:themeFillShade="D9"/>
            <w:vAlign w:val="center"/>
            <w:hideMark/>
          </w:tcPr>
          <w:p w14:paraId="623F9F59" w14:textId="77777777" w:rsidR="00F501EB" w:rsidRPr="00A81CB8" w:rsidRDefault="00F501EB" w:rsidP="006B5A62">
            <w:pPr>
              <w:spacing w:before="20" w:after="20" w:line="240" w:lineRule="auto"/>
              <w:jc w:val="center"/>
              <w:rPr>
                <w:rFonts w:cs="Calibri"/>
                <w:b/>
                <w:bCs/>
                <w:color w:val="000000"/>
                <w:sz w:val="20"/>
                <w:szCs w:val="20"/>
              </w:rPr>
            </w:pPr>
            <w:r w:rsidRPr="00A81CB8">
              <w:rPr>
                <w:rFonts w:cs="Calibri"/>
                <w:b/>
                <w:bCs/>
                <w:color w:val="000000"/>
                <w:sz w:val="20"/>
                <w:szCs w:val="20"/>
              </w:rPr>
              <w:t>Valor de Inversión (V.I.)</w:t>
            </w:r>
          </w:p>
          <w:p w14:paraId="3DD0F56B" w14:textId="77777777" w:rsidR="00F501EB" w:rsidRPr="00A81CB8" w:rsidRDefault="00F501EB" w:rsidP="006B5A62">
            <w:pPr>
              <w:spacing w:before="20" w:after="20" w:line="240" w:lineRule="auto"/>
              <w:jc w:val="center"/>
              <w:rPr>
                <w:rFonts w:cs="Calibri"/>
                <w:b/>
                <w:bCs/>
                <w:color w:val="000000"/>
                <w:sz w:val="20"/>
                <w:szCs w:val="20"/>
              </w:rPr>
            </w:pPr>
            <w:r>
              <w:rPr>
                <w:rFonts w:cs="Calibri"/>
                <w:b/>
                <w:bCs/>
                <w:color w:val="000000"/>
                <w:sz w:val="20"/>
                <w:szCs w:val="20"/>
              </w:rPr>
              <w:t>USD (Dó</w:t>
            </w:r>
            <w:r w:rsidRPr="00A81CB8">
              <w:rPr>
                <w:rFonts w:cs="Calibri"/>
                <w:b/>
                <w:bCs/>
                <w:color w:val="000000"/>
                <w:sz w:val="20"/>
                <w:szCs w:val="20"/>
              </w:rPr>
              <w:t>lares de USA)</w:t>
            </w:r>
          </w:p>
        </w:tc>
      </w:tr>
      <w:tr w:rsidR="00F501EB" w:rsidRPr="00A81CB8" w14:paraId="7A453BEE"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bottom"/>
            <w:hideMark/>
          </w:tcPr>
          <w:p w14:paraId="587F5F24"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SE-N_1</w:t>
            </w:r>
          </w:p>
        </w:tc>
        <w:tc>
          <w:tcPr>
            <w:tcW w:w="3969" w:type="dxa"/>
            <w:tcBorders>
              <w:top w:val="nil"/>
              <w:left w:val="nil"/>
              <w:bottom w:val="single" w:sz="4" w:space="0" w:color="auto"/>
              <w:right w:val="single" w:sz="4" w:space="0" w:color="auto"/>
            </w:tcBorders>
            <w:shd w:val="clear" w:color="auto" w:fill="auto"/>
            <w:noWrap/>
            <w:vAlign w:val="bottom"/>
            <w:hideMark/>
          </w:tcPr>
          <w:p w14:paraId="2971C18B"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ALTO JAHUEL</w:t>
            </w:r>
          </w:p>
        </w:tc>
        <w:tc>
          <w:tcPr>
            <w:tcW w:w="2552" w:type="dxa"/>
            <w:tcBorders>
              <w:top w:val="nil"/>
              <w:left w:val="nil"/>
              <w:bottom w:val="single" w:sz="4" w:space="0" w:color="auto"/>
              <w:right w:val="single" w:sz="4" w:space="0" w:color="auto"/>
            </w:tcBorders>
            <w:shd w:val="clear" w:color="auto" w:fill="auto"/>
            <w:noWrap/>
            <w:vAlign w:val="bottom"/>
            <w:hideMark/>
          </w:tcPr>
          <w:p w14:paraId="0C1AC6B1"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34.711.213,32</w:t>
            </w:r>
          </w:p>
        </w:tc>
      </w:tr>
      <w:tr w:rsidR="00F501EB" w:rsidRPr="00A81CB8" w14:paraId="2F739151"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bottom"/>
            <w:hideMark/>
          </w:tcPr>
          <w:p w14:paraId="4D190C2D"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SE-N_2</w:t>
            </w:r>
          </w:p>
        </w:tc>
        <w:tc>
          <w:tcPr>
            <w:tcW w:w="3969" w:type="dxa"/>
            <w:tcBorders>
              <w:top w:val="nil"/>
              <w:left w:val="nil"/>
              <w:bottom w:val="single" w:sz="4" w:space="0" w:color="auto"/>
              <w:right w:val="single" w:sz="4" w:space="0" w:color="auto"/>
            </w:tcBorders>
            <w:shd w:val="clear" w:color="auto" w:fill="auto"/>
            <w:noWrap/>
            <w:vAlign w:val="bottom"/>
            <w:hideMark/>
          </w:tcPr>
          <w:p w14:paraId="54F4F7C8"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ANCOA</w:t>
            </w:r>
          </w:p>
        </w:tc>
        <w:tc>
          <w:tcPr>
            <w:tcW w:w="2552" w:type="dxa"/>
            <w:tcBorders>
              <w:top w:val="nil"/>
              <w:left w:val="nil"/>
              <w:bottom w:val="single" w:sz="4" w:space="0" w:color="auto"/>
              <w:right w:val="single" w:sz="4" w:space="0" w:color="auto"/>
            </w:tcBorders>
            <w:shd w:val="clear" w:color="auto" w:fill="auto"/>
            <w:noWrap/>
            <w:vAlign w:val="bottom"/>
            <w:hideMark/>
          </w:tcPr>
          <w:p w14:paraId="54D2A0E7"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68.116.851,10</w:t>
            </w:r>
          </w:p>
        </w:tc>
      </w:tr>
      <w:tr w:rsidR="00F501EB" w:rsidRPr="00A81CB8" w14:paraId="2EFCC838"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bottom"/>
            <w:hideMark/>
          </w:tcPr>
          <w:p w14:paraId="7F9A8A44"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SE-N_3</w:t>
            </w:r>
          </w:p>
        </w:tc>
        <w:tc>
          <w:tcPr>
            <w:tcW w:w="3969" w:type="dxa"/>
            <w:tcBorders>
              <w:top w:val="nil"/>
              <w:left w:val="nil"/>
              <w:bottom w:val="single" w:sz="4" w:space="0" w:color="auto"/>
              <w:right w:val="single" w:sz="4" w:space="0" w:color="auto"/>
            </w:tcBorders>
            <w:shd w:val="clear" w:color="auto" w:fill="auto"/>
            <w:noWrap/>
            <w:vAlign w:val="bottom"/>
            <w:hideMark/>
          </w:tcPr>
          <w:p w14:paraId="66B75B98"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ATACAMA</w:t>
            </w:r>
          </w:p>
        </w:tc>
        <w:tc>
          <w:tcPr>
            <w:tcW w:w="2552" w:type="dxa"/>
            <w:tcBorders>
              <w:top w:val="nil"/>
              <w:left w:val="nil"/>
              <w:bottom w:val="single" w:sz="4" w:space="0" w:color="auto"/>
              <w:right w:val="single" w:sz="4" w:space="0" w:color="auto"/>
            </w:tcBorders>
            <w:shd w:val="clear" w:color="auto" w:fill="auto"/>
            <w:noWrap/>
            <w:vAlign w:val="bottom"/>
            <w:hideMark/>
          </w:tcPr>
          <w:p w14:paraId="2341D107"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3.766.417,08</w:t>
            </w:r>
          </w:p>
        </w:tc>
      </w:tr>
      <w:tr w:rsidR="00F501EB" w:rsidRPr="00A81CB8" w14:paraId="276BF5BA"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3299DB8B"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SE-N_4</w:t>
            </w:r>
          </w:p>
        </w:tc>
        <w:tc>
          <w:tcPr>
            <w:tcW w:w="3969" w:type="dxa"/>
            <w:tcBorders>
              <w:top w:val="nil"/>
              <w:left w:val="nil"/>
              <w:bottom w:val="single" w:sz="4" w:space="0" w:color="auto"/>
              <w:right w:val="single" w:sz="4" w:space="0" w:color="auto"/>
            </w:tcBorders>
            <w:shd w:val="clear" w:color="auto" w:fill="auto"/>
            <w:noWrap/>
            <w:vAlign w:val="center"/>
            <w:hideMark/>
          </w:tcPr>
          <w:p w14:paraId="53883D1C"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Bureo</w:t>
            </w:r>
          </w:p>
        </w:tc>
        <w:tc>
          <w:tcPr>
            <w:tcW w:w="2552" w:type="dxa"/>
            <w:tcBorders>
              <w:top w:val="nil"/>
              <w:left w:val="nil"/>
              <w:bottom w:val="single" w:sz="4" w:space="0" w:color="auto"/>
              <w:right w:val="single" w:sz="4" w:space="0" w:color="auto"/>
            </w:tcBorders>
            <w:shd w:val="clear" w:color="auto" w:fill="auto"/>
            <w:noWrap/>
            <w:hideMark/>
          </w:tcPr>
          <w:p w14:paraId="2C9D3E4E"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eastAsia="Times New Roman" w:cs="Calibri"/>
                <w:color w:val="000000"/>
                <w:sz w:val="20"/>
                <w:szCs w:val="20"/>
                <w:lang w:eastAsia="es-CL"/>
              </w:rPr>
              <w:t>-</w:t>
            </w:r>
          </w:p>
        </w:tc>
      </w:tr>
      <w:tr w:rsidR="00F501EB" w:rsidRPr="00A81CB8" w14:paraId="7A66A541"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bottom"/>
            <w:hideMark/>
          </w:tcPr>
          <w:p w14:paraId="73BEADAB"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SE-N_5</w:t>
            </w:r>
          </w:p>
        </w:tc>
        <w:tc>
          <w:tcPr>
            <w:tcW w:w="3969" w:type="dxa"/>
            <w:tcBorders>
              <w:top w:val="nil"/>
              <w:left w:val="nil"/>
              <w:bottom w:val="single" w:sz="4" w:space="0" w:color="auto"/>
              <w:right w:val="single" w:sz="4" w:space="0" w:color="auto"/>
            </w:tcBorders>
            <w:shd w:val="clear" w:color="auto" w:fill="auto"/>
            <w:noWrap/>
            <w:vAlign w:val="bottom"/>
            <w:hideMark/>
          </w:tcPr>
          <w:p w14:paraId="751975CD"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Calama Nueva</w:t>
            </w:r>
          </w:p>
        </w:tc>
        <w:tc>
          <w:tcPr>
            <w:tcW w:w="2552" w:type="dxa"/>
            <w:tcBorders>
              <w:top w:val="nil"/>
              <w:left w:val="nil"/>
              <w:bottom w:val="single" w:sz="4" w:space="0" w:color="auto"/>
              <w:right w:val="single" w:sz="4" w:space="0" w:color="auto"/>
            </w:tcBorders>
            <w:shd w:val="clear" w:color="auto" w:fill="auto"/>
            <w:noWrap/>
            <w:vAlign w:val="bottom"/>
            <w:hideMark/>
          </w:tcPr>
          <w:p w14:paraId="6CC91CE6"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381.314,12</w:t>
            </w:r>
          </w:p>
        </w:tc>
      </w:tr>
      <w:tr w:rsidR="00F501EB" w:rsidRPr="00A81CB8" w14:paraId="59669B8E"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bottom"/>
            <w:hideMark/>
          </w:tcPr>
          <w:p w14:paraId="4EDE98A3"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SE-N_6</w:t>
            </w:r>
          </w:p>
        </w:tc>
        <w:tc>
          <w:tcPr>
            <w:tcW w:w="3969" w:type="dxa"/>
            <w:tcBorders>
              <w:top w:val="nil"/>
              <w:left w:val="nil"/>
              <w:bottom w:val="single" w:sz="4" w:space="0" w:color="auto"/>
              <w:right w:val="single" w:sz="4" w:space="0" w:color="auto"/>
            </w:tcBorders>
            <w:shd w:val="clear" w:color="auto" w:fill="auto"/>
            <w:noWrap/>
            <w:vAlign w:val="bottom"/>
            <w:hideMark/>
          </w:tcPr>
          <w:p w14:paraId="4C927FF4"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Candelaria</w:t>
            </w:r>
          </w:p>
        </w:tc>
        <w:tc>
          <w:tcPr>
            <w:tcW w:w="2552" w:type="dxa"/>
            <w:tcBorders>
              <w:top w:val="nil"/>
              <w:left w:val="nil"/>
              <w:bottom w:val="single" w:sz="4" w:space="0" w:color="auto"/>
              <w:right w:val="single" w:sz="4" w:space="0" w:color="auto"/>
            </w:tcBorders>
            <w:shd w:val="clear" w:color="auto" w:fill="auto"/>
            <w:noWrap/>
            <w:vAlign w:val="bottom"/>
            <w:hideMark/>
          </w:tcPr>
          <w:p w14:paraId="2B438C35"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1.198.670,08</w:t>
            </w:r>
          </w:p>
        </w:tc>
      </w:tr>
      <w:tr w:rsidR="00F501EB" w:rsidRPr="00A81CB8" w14:paraId="1C9BD278"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bottom"/>
            <w:hideMark/>
          </w:tcPr>
          <w:p w14:paraId="506A694E"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SE-N_7</w:t>
            </w:r>
          </w:p>
        </w:tc>
        <w:tc>
          <w:tcPr>
            <w:tcW w:w="3969" w:type="dxa"/>
            <w:tcBorders>
              <w:top w:val="nil"/>
              <w:left w:val="nil"/>
              <w:bottom w:val="single" w:sz="4" w:space="0" w:color="auto"/>
              <w:right w:val="single" w:sz="4" w:space="0" w:color="auto"/>
            </w:tcBorders>
            <w:shd w:val="clear" w:color="auto" w:fill="auto"/>
            <w:noWrap/>
            <w:vAlign w:val="bottom"/>
            <w:hideMark/>
          </w:tcPr>
          <w:p w14:paraId="1D56C38F"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CARDONES</w:t>
            </w:r>
          </w:p>
        </w:tc>
        <w:tc>
          <w:tcPr>
            <w:tcW w:w="2552" w:type="dxa"/>
            <w:tcBorders>
              <w:top w:val="nil"/>
              <w:left w:val="nil"/>
              <w:bottom w:val="single" w:sz="4" w:space="0" w:color="auto"/>
              <w:right w:val="single" w:sz="4" w:space="0" w:color="auto"/>
            </w:tcBorders>
            <w:shd w:val="clear" w:color="auto" w:fill="auto"/>
            <w:noWrap/>
            <w:vAlign w:val="bottom"/>
            <w:hideMark/>
          </w:tcPr>
          <w:p w14:paraId="2498FFD8"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8.127.092,09</w:t>
            </w:r>
          </w:p>
        </w:tc>
      </w:tr>
      <w:tr w:rsidR="00F501EB" w:rsidRPr="00A81CB8" w14:paraId="1C0BDDA8"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bottom"/>
            <w:hideMark/>
          </w:tcPr>
          <w:p w14:paraId="20E606A2"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SE-N_8</w:t>
            </w:r>
          </w:p>
        </w:tc>
        <w:tc>
          <w:tcPr>
            <w:tcW w:w="3969" w:type="dxa"/>
            <w:tcBorders>
              <w:top w:val="nil"/>
              <w:left w:val="nil"/>
              <w:bottom w:val="single" w:sz="4" w:space="0" w:color="auto"/>
              <w:right w:val="single" w:sz="4" w:space="0" w:color="auto"/>
            </w:tcBorders>
            <w:shd w:val="clear" w:color="auto" w:fill="auto"/>
            <w:noWrap/>
            <w:vAlign w:val="bottom"/>
            <w:hideMark/>
          </w:tcPr>
          <w:p w14:paraId="339941CE"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CARRERA PINTO</w:t>
            </w:r>
          </w:p>
        </w:tc>
        <w:tc>
          <w:tcPr>
            <w:tcW w:w="2552" w:type="dxa"/>
            <w:tcBorders>
              <w:top w:val="nil"/>
              <w:left w:val="nil"/>
              <w:bottom w:val="single" w:sz="4" w:space="0" w:color="auto"/>
              <w:right w:val="single" w:sz="4" w:space="0" w:color="auto"/>
            </w:tcBorders>
            <w:shd w:val="clear" w:color="auto" w:fill="auto"/>
            <w:noWrap/>
            <w:vAlign w:val="bottom"/>
            <w:hideMark/>
          </w:tcPr>
          <w:p w14:paraId="197E4438"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3.349.561,35</w:t>
            </w:r>
          </w:p>
        </w:tc>
      </w:tr>
      <w:tr w:rsidR="00F501EB" w:rsidRPr="00A81CB8" w14:paraId="01BF6CF8"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bottom"/>
            <w:hideMark/>
          </w:tcPr>
          <w:p w14:paraId="0E432A2F"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SE-N_9</w:t>
            </w:r>
          </w:p>
        </w:tc>
        <w:tc>
          <w:tcPr>
            <w:tcW w:w="3969" w:type="dxa"/>
            <w:tcBorders>
              <w:top w:val="nil"/>
              <w:left w:val="nil"/>
              <w:bottom w:val="single" w:sz="4" w:space="0" w:color="auto"/>
              <w:right w:val="single" w:sz="4" w:space="0" w:color="auto"/>
            </w:tcBorders>
            <w:shd w:val="clear" w:color="auto" w:fill="auto"/>
            <w:noWrap/>
            <w:vAlign w:val="bottom"/>
            <w:hideMark/>
          </w:tcPr>
          <w:p w14:paraId="41B610BC"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CAUTIN</w:t>
            </w:r>
          </w:p>
        </w:tc>
        <w:tc>
          <w:tcPr>
            <w:tcW w:w="2552" w:type="dxa"/>
            <w:tcBorders>
              <w:top w:val="nil"/>
              <w:left w:val="nil"/>
              <w:bottom w:val="single" w:sz="4" w:space="0" w:color="auto"/>
              <w:right w:val="single" w:sz="4" w:space="0" w:color="auto"/>
            </w:tcBorders>
            <w:shd w:val="clear" w:color="auto" w:fill="auto"/>
            <w:noWrap/>
            <w:vAlign w:val="bottom"/>
            <w:hideMark/>
          </w:tcPr>
          <w:p w14:paraId="00ACD6F7"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5.371.201,13</w:t>
            </w:r>
          </w:p>
        </w:tc>
      </w:tr>
      <w:tr w:rsidR="00F501EB" w:rsidRPr="00A81CB8" w14:paraId="1194CD4D"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bottom"/>
            <w:hideMark/>
          </w:tcPr>
          <w:p w14:paraId="27C41228"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SE-N_10</w:t>
            </w:r>
          </w:p>
        </w:tc>
        <w:tc>
          <w:tcPr>
            <w:tcW w:w="3969" w:type="dxa"/>
            <w:tcBorders>
              <w:top w:val="nil"/>
              <w:left w:val="nil"/>
              <w:bottom w:val="single" w:sz="4" w:space="0" w:color="auto"/>
              <w:right w:val="single" w:sz="4" w:space="0" w:color="auto"/>
            </w:tcBorders>
            <w:shd w:val="clear" w:color="auto" w:fill="auto"/>
            <w:noWrap/>
            <w:vAlign w:val="bottom"/>
            <w:hideMark/>
          </w:tcPr>
          <w:p w14:paraId="27F94004"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CERRO NAVIA</w:t>
            </w:r>
          </w:p>
        </w:tc>
        <w:tc>
          <w:tcPr>
            <w:tcW w:w="2552" w:type="dxa"/>
            <w:tcBorders>
              <w:top w:val="nil"/>
              <w:left w:val="nil"/>
              <w:bottom w:val="single" w:sz="4" w:space="0" w:color="auto"/>
              <w:right w:val="single" w:sz="4" w:space="0" w:color="auto"/>
            </w:tcBorders>
            <w:shd w:val="clear" w:color="auto" w:fill="auto"/>
            <w:noWrap/>
            <w:vAlign w:val="bottom"/>
            <w:hideMark/>
          </w:tcPr>
          <w:p w14:paraId="20199C7B"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43.939.116,67</w:t>
            </w:r>
          </w:p>
        </w:tc>
      </w:tr>
      <w:tr w:rsidR="00F501EB" w:rsidRPr="00A81CB8" w14:paraId="3F29706D"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bottom"/>
            <w:hideMark/>
          </w:tcPr>
          <w:p w14:paraId="1494BE0E"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SE-N_11</w:t>
            </w:r>
          </w:p>
        </w:tc>
        <w:tc>
          <w:tcPr>
            <w:tcW w:w="3969" w:type="dxa"/>
            <w:tcBorders>
              <w:top w:val="nil"/>
              <w:left w:val="nil"/>
              <w:bottom w:val="single" w:sz="4" w:space="0" w:color="auto"/>
              <w:right w:val="single" w:sz="4" w:space="0" w:color="auto"/>
            </w:tcBorders>
            <w:shd w:val="clear" w:color="auto" w:fill="auto"/>
            <w:noWrap/>
            <w:vAlign w:val="bottom"/>
            <w:hideMark/>
          </w:tcPr>
          <w:p w14:paraId="294BEE53"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CHARRUA</w:t>
            </w:r>
          </w:p>
        </w:tc>
        <w:tc>
          <w:tcPr>
            <w:tcW w:w="2552" w:type="dxa"/>
            <w:tcBorders>
              <w:top w:val="nil"/>
              <w:left w:val="nil"/>
              <w:bottom w:val="single" w:sz="4" w:space="0" w:color="auto"/>
              <w:right w:val="single" w:sz="4" w:space="0" w:color="auto"/>
            </w:tcBorders>
            <w:shd w:val="clear" w:color="auto" w:fill="auto"/>
            <w:noWrap/>
            <w:vAlign w:val="bottom"/>
            <w:hideMark/>
          </w:tcPr>
          <w:p w14:paraId="6102B011"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25.269.743,77</w:t>
            </w:r>
          </w:p>
        </w:tc>
      </w:tr>
      <w:tr w:rsidR="00F501EB" w:rsidRPr="00A81CB8" w14:paraId="574DD9A2"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bottom"/>
            <w:hideMark/>
          </w:tcPr>
          <w:p w14:paraId="33CAEB93"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SE-N_12</w:t>
            </w:r>
          </w:p>
        </w:tc>
        <w:tc>
          <w:tcPr>
            <w:tcW w:w="3969" w:type="dxa"/>
            <w:tcBorders>
              <w:top w:val="nil"/>
              <w:left w:val="nil"/>
              <w:bottom w:val="single" w:sz="4" w:space="0" w:color="auto"/>
              <w:right w:val="single" w:sz="4" w:space="0" w:color="auto"/>
            </w:tcBorders>
            <w:shd w:val="clear" w:color="auto" w:fill="auto"/>
            <w:noWrap/>
            <w:vAlign w:val="bottom"/>
            <w:hideMark/>
          </w:tcPr>
          <w:p w14:paraId="0ABC486A"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CHENA</w:t>
            </w:r>
          </w:p>
        </w:tc>
        <w:tc>
          <w:tcPr>
            <w:tcW w:w="2552" w:type="dxa"/>
            <w:tcBorders>
              <w:top w:val="nil"/>
              <w:left w:val="nil"/>
              <w:bottom w:val="single" w:sz="4" w:space="0" w:color="auto"/>
              <w:right w:val="single" w:sz="4" w:space="0" w:color="auto"/>
            </w:tcBorders>
            <w:shd w:val="clear" w:color="auto" w:fill="auto"/>
            <w:noWrap/>
            <w:vAlign w:val="bottom"/>
            <w:hideMark/>
          </w:tcPr>
          <w:p w14:paraId="7432AE19"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19.539.788,36</w:t>
            </w:r>
          </w:p>
        </w:tc>
      </w:tr>
      <w:tr w:rsidR="00F501EB" w:rsidRPr="00A81CB8" w14:paraId="5C737F36"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bottom"/>
            <w:hideMark/>
          </w:tcPr>
          <w:p w14:paraId="60A312E9"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SE-N_13</w:t>
            </w:r>
          </w:p>
        </w:tc>
        <w:tc>
          <w:tcPr>
            <w:tcW w:w="3969" w:type="dxa"/>
            <w:tcBorders>
              <w:top w:val="nil"/>
              <w:left w:val="nil"/>
              <w:bottom w:val="single" w:sz="4" w:space="0" w:color="auto"/>
              <w:right w:val="single" w:sz="4" w:space="0" w:color="auto"/>
            </w:tcBorders>
            <w:shd w:val="clear" w:color="auto" w:fill="auto"/>
            <w:noWrap/>
            <w:vAlign w:val="bottom"/>
            <w:hideMark/>
          </w:tcPr>
          <w:p w14:paraId="6B196689"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Chiloe</w:t>
            </w:r>
          </w:p>
        </w:tc>
        <w:tc>
          <w:tcPr>
            <w:tcW w:w="2552" w:type="dxa"/>
            <w:tcBorders>
              <w:top w:val="nil"/>
              <w:left w:val="nil"/>
              <w:bottom w:val="single" w:sz="4" w:space="0" w:color="auto"/>
              <w:right w:val="single" w:sz="4" w:space="0" w:color="auto"/>
            </w:tcBorders>
            <w:shd w:val="clear" w:color="auto" w:fill="auto"/>
            <w:noWrap/>
            <w:vAlign w:val="bottom"/>
            <w:hideMark/>
          </w:tcPr>
          <w:p w14:paraId="487F7334"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2.499.633,21</w:t>
            </w:r>
          </w:p>
        </w:tc>
      </w:tr>
      <w:tr w:rsidR="00F501EB" w:rsidRPr="00A81CB8" w14:paraId="23223B4F"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bottom"/>
            <w:hideMark/>
          </w:tcPr>
          <w:p w14:paraId="55E414FB"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SE-N_14</w:t>
            </w:r>
          </w:p>
        </w:tc>
        <w:tc>
          <w:tcPr>
            <w:tcW w:w="3969" w:type="dxa"/>
            <w:tcBorders>
              <w:top w:val="nil"/>
              <w:left w:val="nil"/>
              <w:bottom w:val="single" w:sz="4" w:space="0" w:color="auto"/>
              <w:right w:val="single" w:sz="4" w:space="0" w:color="auto"/>
            </w:tcBorders>
            <w:shd w:val="clear" w:color="auto" w:fill="auto"/>
            <w:noWrap/>
            <w:vAlign w:val="bottom"/>
            <w:hideMark/>
          </w:tcPr>
          <w:p w14:paraId="2A05BD46"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Chuquicamata</w:t>
            </w:r>
          </w:p>
        </w:tc>
        <w:tc>
          <w:tcPr>
            <w:tcW w:w="2552" w:type="dxa"/>
            <w:tcBorders>
              <w:top w:val="nil"/>
              <w:left w:val="nil"/>
              <w:bottom w:val="single" w:sz="4" w:space="0" w:color="auto"/>
              <w:right w:val="single" w:sz="4" w:space="0" w:color="auto"/>
            </w:tcBorders>
            <w:shd w:val="clear" w:color="auto" w:fill="auto"/>
            <w:noWrap/>
            <w:vAlign w:val="bottom"/>
            <w:hideMark/>
          </w:tcPr>
          <w:p w14:paraId="393AE2F9"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3.059.992,54</w:t>
            </w:r>
          </w:p>
        </w:tc>
      </w:tr>
      <w:tr w:rsidR="00F501EB" w:rsidRPr="00A81CB8" w14:paraId="4CE69069"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bottom"/>
            <w:hideMark/>
          </w:tcPr>
          <w:p w14:paraId="7349F8CC"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SE-N_15</w:t>
            </w:r>
          </w:p>
        </w:tc>
        <w:tc>
          <w:tcPr>
            <w:tcW w:w="3969" w:type="dxa"/>
            <w:tcBorders>
              <w:top w:val="nil"/>
              <w:left w:val="nil"/>
              <w:bottom w:val="single" w:sz="4" w:space="0" w:color="auto"/>
              <w:right w:val="single" w:sz="4" w:space="0" w:color="auto"/>
            </w:tcBorders>
            <w:shd w:val="clear" w:color="auto" w:fill="auto"/>
            <w:noWrap/>
            <w:vAlign w:val="bottom"/>
            <w:hideMark/>
          </w:tcPr>
          <w:p w14:paraId="77DAA5AA"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CIRUELOS</w:t>
            </w:r>
          </w:p>
        </w:tc>
        <w:tc>
          <w:tcPr>
            <w:tcW w:w="2552" w:type="dxa"/>
            <w:tcBorders>
              <w:top w:val="nil"/>
              <w:left w:val="nil"/>
              <w:bottom w:val="single" w:sz="4" w:space="0" w:color="auto"/>
              <w:right w:val="single" w:sz="4" w:space="0" w:color="auto"/>
            </w:tcBorders>
            <w:shd w:val="clear" w:color="auto" w:fill="auto"/>
            <w:noWrap/>
            <w:vAlign w:val="bottom"/>
            <w:hideMark/>
          </w:tcPr>
          <w:p w14:paraId="1A1258D5"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5.064.808,60</w:t>
            </w:r>
          </w:p>
        </w:tc>
      </w:tr>
      <w:tr w:rsidR="00F501EB" w:rsidRPr="00A81CB8" w14:paraId="461F3AC2"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bottom"/>
            <w:hideMark/>
          </w:tcPr>
          <w:p w14:paraId="443EEC5A"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lastRenderedPageBreak/>
              <w:t>SE-N_16</w:t>
            </w:r>
          </w:p>
        </w:tc>
        <w:tc>
          <w:tcPr>
            <w:tcW w:w="3969" w:type="dxa"/>
            <w:tcBorders>
              <w:top w:val="nil"/>
              <w:left w:val="nil"/>
              <w:bottom w:val="single" w:sz="4" w:space="0" w:color="auto"/>
              <w:right w:val="single" w:sz="4" w:space="0" w:color="auto"/>
            </w:tcBorders>
            <w:shd w:val="clear" w:color="auto" w:fill="auto"/>
            <w:noWrap/>
            <w:vAlign w:val="bottom"/>
            <w:hideMark/>
          </w:tcPr>
          <w:p w14:paraId="3CFE1B3A"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Colbun</w:t>
            </w:r>
          </w:p>
        </w:tc>
        <w:tc>
          <w:tcPr>
            <w:tcW w:w="2552" w:type="dxa"/>
            <w:tcBorders>
              <w:top w:val="nil"/>
              <w:left w:val="nil"/>
              <w:bottom w:val="single" w:sz="4" w:space="0" w:color="auto"/>
              <w:right w:val="single" w:sz="4" w:space="0" w:color="auto"/>
            </w:tcBorders>
            <w:shd w:val="clear" w:color="auto" w:fill="auto"/>
            <w:noWrap/>
            <w:vAlign w:val="bottom"/>
            <w:hideMark/>
          </w:tcPr>
          <w:p w14:paraId="7B675470"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3.121.164,37</w:t>
            </w:r>
          </w:p>
        </w:tc>
      </w:tr>
      <w:tr w:rsidR="00F501EB" w:rsidRPr="00A81CB8" w14:paraId="259289BF"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bottom"/>
            <w:hideMark/>
          </w:tcPr>
          <w:p w14:paraId="371DF7DF"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SE-N_17</w:t>
            </w:r>
          </w:p>
        </w:tc>
        <w:tc>
          <w:tcPr>
            <w:tcW w:w="3969" w:type="dxa"/>
            <w:tcBorders>
              <w:top w:val="nil"/>
              <w:left w:val="nil"/>
              <w:bottom w:val="single" w:sz="4" w:space="0" w:color="auto"/>
              <w:right w:val="single" w:sz="4" w:space="0" w:color="auto"/>
            </w:tcBorders>
            <w:shd w:val="clear" w:color="auto" w:fill="auto"/>
            <w:noWrap/>
            <w:vAlign w:val="bottom"/>
            <w:hideMark/>
          </w:tcPr>
          <w:p w14:paraId="13BB0639"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CONCEPCION</w:t>
            </w:r>
          </w:p>
        </w:tc>
        <w:tc>
          <w:tcPr>
            <w:tcW w:w="2552" w:type="dxa"/>
            <w:tcBorders>
              <w:top w:val="nil"/>
              <w:left w:val="nil"/>
              <w:bottom w:val="single" w:sz="4" w:space="0" w:color="auto"/>
              <w:right w:val="single" w:sz="4" w:space="0" w:color="auto"/>
            </w:tcBorders>
            <w:shd w:val="clear" w:color="auto" w:fill="auto"/>
            <w:noWrap/>
            <w:vAlign w:val="bottom"/>
            <w:hideMark/>
          </w:tcPr>
          <w:p w14:paraId="08EA74E1"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7.373.421,48</w:t>
            </w:r>
          </w:p>
        </w:tc>
      </w:tr>
      <w:tr w:rsidR="00F501EB" w:rsidRPr="00A81CB8" w14:paraId="0B1D08AA"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bottom"/>
            <w:hideMark/>
          </w:tcPr>
          <w:p w14:paraId="01BB2C19"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SE-N_18</w:t>
            </w:r>
          </w:p>
        </w:tc>
        <w:tc>
          <w:tcPr>
            <w:tcW w:w="3969" w:type="dxa"/>
            <w:tcBorders>
              <w:top w:val="nil"/>
              <w:left w:val="nil"/>
              <w:bottom w:val="single" w:sz="4" w:space="0" w:color="auto"/>
              <w:right w:val="single" w:sz="4" w:space="0" w:color="auto"/>
            </w:tcBorders>
            <w:shd w:val="clear" w:color="auto" w:fill="auto"/>
            <w:noWrap/>
            <w:vAlign w:val="bottom"/>
            <w:hideMark/>
          </w:tcPr>
          <w:p w14:paraId="0497680B"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CONDORES</w:t>
            </w:r>
          </w:p>
        </w:tc>
        <w:tc>
          <w:tcPr>
            <w:tcW w:w="2552" w:type="dxa"/>
            <w:tcBorders>
              <w:top w:val="nil"/>
              <w:left w:val="nil"/>
              <w:bottom w:val="single" w:sz="4" w:space="0" w:color="auto"/>
              <w:right w:val="single" w:sz="4" w:space="0" w:color="auto"/>
            </w:tcBorders>
            <w:shd w:val="clear" w:color="auto" w:fill="auto"/>
            <w:noWrap/>
            <w:vAlign w:val="bottom"/>
            <w:hideMark/>
          </w:tcPr>
          <w:p w14:paraId="3F7F20E0"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5.316.328,81</w:t>
            </w:r>
          </w:p>
        </w:tc>
      </w:tr>
      <w:tr w:rsidR="00F501EB" w:rsidRPr="00A81CB8" w14:paraId="428B806D"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bottom"/>
            <w:hideMark/>
          </w:tcPr>
          <w:p w14:paraId="73E2250A"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SE-N_19</w:t>
            </w:r>
          </w:p>
        </w:tc>
        <w:tc>
          <w:tcPr>
            <w:tcW w:w="3969" w:type="dxa"/>
            <w:tcBorders>
              <w:top w:val="nil"/>
              <w:left w:val="nil"/>
              <w:bottom w:val="single" w:sz="4" w:space="0" w:color="auto"/>
              <w:right w:val="single" w:sz="4" w:space="0" w:color="auto"/>
            </w:tcBorders>
            <w:shd w:val="clear" w:color="auto" w:fill="auto"/>
            <w:noWrap/>
            <w:vAlign w:val="bottom"/>
            <w:hideMark/>
          </w:tcPr>
          <w:p w14:paraId="45B3F52E"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CRUCERO</w:t>
            </w:r>
          </w:p>
        </w:tc>
        <w:tc>
          <w:tcPr>
            <w:tcW w:w="2552" w:type="dxa"/>
            <w:tcBorders>
              <w:top w:val="nil"/>
              <w:left w:val="nil"/>
              <w:bottom w:val="single" w:sz="4" w:space="0" w:color="auto"/>
              <w:right w:val="single" w:sz="4" w:space="0" w:color="auto"/>
            </w:tcBorders>
            <w:shd w:val="clear" w:color="auto" w:fill="auto"/>
            <w:noWrap/>
            <w:vAlign w:val="bottom"/>
            <w:hideMark/>
          </w:tcPr>
          <w:p w14:paraId="23D1CBFD"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7.467.386,88</w:t>
            </w:r>
          </w:p>
        </w:tc>
      </w:tr>
      <w:tr w:rsidR="00F501EB" w:rsidRPr="00A81CB8" w14:paraId="005B3903"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bottom"/>
            <w:hideMark/>
          </w:tcPr>
          <w:p w14:paraId="7CCAB56D"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SE-N_20</w:t>
            </w:r>
          </w:p>
        </w:tc>
        <w:tc>
          <w:tcPr>
            <w:tcW w:w="3969" w:type="dxa"/>
            <w:tcBorders>
              <w:top w:val="nil"/>
              <w:left w:val="nil"/>
              <w:bottom w:val="single" w:sz="4" w:space="0" w:color="auto"/>
              <w:right w:val="single" w:sz="4" w:space="0" w:color="auto"/>
            </w:tcBorders>
            <w:shd w:val="clear" w:color="auto" w:fill="auto"/>
            <w:noWrap/>
            <w:vAlign w:val="bottom"/>
            <w:hideMark/>
          </w:tcPr>
          <w:p w14:paraId="079F2304"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Cumbres</w:t>
            </w:r>
          </w:p>
        </w:tc>
        <w:tc>
          <w:tcPr>
            <w:tcW w:w="2552" w:type="dxa"/>
            <w:tcBorders>
              <w:top w:val="nil"/>
              <w:left w:val="nil"/>
              <w:bottom w:val="single" w:sz="4" w:space="0" w:color="auto"/>
              <w:right w:val="single" w:sz="4" w:space="0" w:color="auto"/>
            </w:tcBorders>
            <w:shd w:val="clear" w:color="auto" w:fill="auto"/>
            <w:noWrap/>
            <w:vAlign w:val="bottom"/>
            <w:hideMark/>
          </w:tcPr>
          <w:p w14:paraId="7F0F1310"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6.420.389,39</w:t>
            </w:r>
          </w:p>
        </w:tc>
      </w:tr>
      <w:tr w:rsidR="00F501EB" w:rsidRPr="00A81CB8" w14:paraId="41C2129C"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bottom"/>
            <w:hideMark/>
          </w:tcPr>
          <w:p w14:paraId="46A6E6A8"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SE-N_21</w:t>
            </w:r>
          </w:p>
        </w:tc>
        <w:tc>
          <w:tcPr>
            <w:tcW w:w="3969" w:type="dxa"/>
            <w:tcBorders>
              <w:top w:val="nil"/>
              <w:left w:val="nil"/>
              <w:bottom w:val="single" w:sz="4" w:space="0" w:color="auto"/>
              <w:right w:val="single" w:sz="4" w:space="0" w:color="auto"/>
            </w:tcBorders>
            <w:shd w:val="clear" w:color="auto" w:fill="auto"/>
            <w:noWrap/>
            <w:vAlign w:val="bottom"/>
            <w:hideMark/>
          </w:tcPr>
          <w:p w14:paraId="0BEB8836"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DIEGO DE ALMAGRO</w:t>
            </w:r>
          </w:p>
        </w:tc>
        <w:tc>
          <w:tcPr>
            <w:tcW w:w="2552" w:type="dxa"/>
            <w:tcBorders>
              <w:top w:val="nil"/>
              <w:left w:val="nil"/>
              <w:bottom w:val="single" w:sz="4" w:space="0" w:color="auto"/>
              <w:right w:val="single" w:sz="4" w:space="0" w:color="auto"/>
            </w:tcBorders>
            <w:shd w:val="clear" w:color="auto" w:fill="auto"/>
            <w:noWrap/>
            <w:vAlign w:val="bottom"/>
            <w:hideMark/>
          </w:tcPr>
          <w:p w14:paraId="65D544ED"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24.448.062,61</w:t>
            </w:r>
          </w:p>
        </w:tc>
      </w:tr>
      <w:tr w:rsidR="00F501EB" w:rsidRPr="00A81CB8" w14:paraId="56A415F5"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bottom"/>
            <w:hideMark/>
          </w:tcPr>
          <w:p w14:paraId="4D50D4B2"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SE-N_22</w:t>
            </w:r>
          </w:p>
        </w:tc>
        <w:tc>
          <w:tcPr>
            <w:tcW w:w="3969" w:type="dxa"/>
            <w:tcBorders>
              <w:top w:val="nil"/>
              <w:left w:val="nil"/>
              <w:bottom w:val="single" w:sz="4" w:space="0" w:color="auto"/>
              <w:right w:val="single" w:sz="4" w:space="0" w:color="auto"/>
            </w:tcBorders>
            <w:shd w:val="clear" w:color="auto" w:fill="auto"/>
            <w:noWrap/>
            <w:vAlign w:val="bottom"/>
            <w:hideMark/>
          </w:tcPr>
          <w:p w14:paraId="30FC8B54"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DON GOYO</w:t>
            </w:r>
          </w:p>
        </w:tc>
        <w:tc>
          <w:tcPr>
            <w:tcW w:w="2552" w:type="dxa"/>
            <w:tcBorders>
              <w:top w:val="nil"/>
              <w:left w:val="nil"/>
              <w:bottom w:val="single" w:sz="4" w:space="0" w:color="auto"/>
              <w:right w:val="single" w:sz="4" w:space="0" w:color="auto"/>
            </w:tcBorders>
            <w:shd w:val="clear" w:color="auto" w:fill="auto"/>
            <w:noWrap/>
            <w:vAlign w:val="bottom"/>
            <w:hideMark/>
          </w:tcPr>
          <w:p w14:paraId="6379E71C"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145.978,22</w:t>
            </w:r>
          </w:p>
        </w:tc>
      </w:tr>
      <w:tr w:rsidR="00F501EB" w:rsidRPr="00A81CB8" w14:paraId="2FEEA08B"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bottom"/>
            <w:hideMark/>
          </w:tcPr>
          <w:p w14:paraId="6FEB2A59"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SE-N_23</w:t>
            </w:r>
          </w:p>
        </w:tc>
        <w:tc>
          <w:tcPr>
            <w:tcW w:w="3969" w:type="dxa"/>
            <w:tcBorders>
              <w:top w:val="nil"/>
              <w:left w:val="nil"/>
              <w:bottom w:val="single" w:sz="4" w:space="0" w:color="auto"/>
              <w:right w:val="single" w:sz="4" w:space="0" w:color="auto"/>
            </w:tcBorders>
            <w:shd w:val="clear" w:color="auto" w:fill="auto"/>
            <w:noWrap/>
            <w:vAlign w:val="bottom"/>
            <w:hideMark/>
          </w:tcPr>
          <w:p w14:paraId="2BC48A13"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Don Hector</w:t>
            </w:r>
          </w:p>
        </w:tc>
        <w:tc>
          <w:tcPr>
            <w:tcW w:w="2552" w:type="dxa"/>
            <w:tcBorders>
              <w:top w:val="nil"/>
              <w:left w:val="nil"/>
              <w:bottom w:val="single" w:sz="4" w:space="0" w:color="auto"/>
              <w:right w:val="single" w:sz="4" w:space="0" w:color="auto"/>
            </w:tcBorders>
            <w:shd w:val="clear" w:color="auto" w:fill="auto"/>
            <w:noWrap/>
            <w:vAlign w:val="bottom"/>
            <w:hideMark/>
          </w:tcPr>
          <w:p w14:paraId="2DF1CA67"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2.140.813,99</w:t>
            </w:r>
          </w:p>
        </w:tc>
      </w:tr>
      <w:tr w:rsidR="00F501EB" w:rsidRPr="00A81CB8" w14:paraId="4E7D5FD0"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bottom"/>
            <w:hideMark/>
          </w:tcPr>
          <w:p w14:paraId="7091C724"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SE-N_24</w:t>
            </w:r>
          </w:p>
        </w:tc>
        <w:tc>
          <w:tcPr>
            <w:tcW w:w="3969" w:type="dxa"/>
            <w:tcBorders>
              <w:top w:val="nil"/>
              <w:left w:val="nil"/>
              <w:bottom w:val="single" w:sz="4" w:space="0" w:color="auto"/>
              <w:right w:val="single" w:sz="4" w:space="0" w:color="auto"/>
            </w:tcBorders>
            <w:shd w:val="clear" w:color="auto" w:fill="auto"/>
            <w:noWrap/>
            <w:vAlign w:val="bottom"/>
            <w:hideMark/>
          </w:tcPr>
          <w:p w14:paraId="23919755"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DUQUECO</w:t>
            </w:r>
          </w:p>
        </w:tc>
        <w:tc>
          <w:tcPr>
            <w:tcW w:w="2552" w:type="dxa"/>
            <w:tcBorders>
              <w:top w:val="nil"/>
              <w:left w:val="nil"/>
              <w:bottom w:val="single" w:sz="4" w:space="0" w:color="auto"/>
              <w:right w:val="single" w:sz="4" w:space="0" w:color="auto"/>
            </w:tcBorders>
            <w:shd w:val="clear" w:color="auto" w:fill="auto"/>
            <w:noWrap/>
            <w:vAlign w:val="bottom"/>
            <w:hideMark/>
          </w:tcPr>
          <w:p w14:paraId="236756E5"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4.279.449,14</w:t>
            </w:r>
          </w:p>
        </w:tc>
      </w:tr>
      <w:tr w:rsidR="00F501EB" w:rsidRPr="00A81CB8" w14:paraId="5FB1CBD7"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bottom"/>
            <w:hideMark/>
          </w:tcPr>
          <w:p w14:paraId="3AD1997C"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SE-N_25</w:t>
            </w:r>
          </w:p>
        </w:tc>
        <w:tc>
          <w:tcPr>
            <w:tcW w:w="3969" w:type="dxa"/>
            <w:tcBorders>
              <w:top w:val="nil"/>
              <w:left w:val="nil"/>
              <w:bottom w:val="single" w:sz="4" w:space="0" w:color="auto"/>
              <w:right w:val="single" w:sz="4" w:space="0" w:color="auto"/>
            </w:tcBorders>
            <w:shd w:val="clear" w:color="auto" w:fill="auto"/>
            <w:noWrap/>
            <w:vAlign w:val="bottom"/>
            <w:hideMark/>
          </w:tcPr>
          <w:p w14:paraId="15FA0B9B"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El Cobre (ENGIE)</w:t>
            </w:r>
          </w:p>
        </w:tc>
        <w:tc>
          <w:tcPr>
            <w:tcW w:w="2552" w:type="dxa"/>
            <w:tcBorders>
              <w:top w:val="nil"/>
              <w:left w:val="nil"/>
              <w:bottom w:val="single" w:sz="4" w:space="0" w:color="auto"/>
              <w:right w:val="single" w:sz="4" w:space="0" w:color="auto"/>
            </w:tcBorders>
            <w:shd w:val="clear" w:color="auto" w:fill="auto"/>
            <w:noWrap/>
            <w:vAlign w:val="bottom"/>
            <w:hideMark/>
          </w:tcPr>
          <w:p w14:paraId="349BFFD1"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2.606.686,64</w:t>
            </w:r>
          </w:p>
        </w:tc>
      </w:tr>
      <w:tr w:rsidR="00F501EB" w:rsidRPr="00A81CB8" w14:paraId="62AE2952"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bottom"/>
            <w:hideMark/>
          </w:tcPr>
          <w:p w14:paraId="42E5EBEB"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SE-N_26</w:t>
            </w:r>
          </w:p>
        </w:tc>
        <w:tc>
          <w:tcPr>
            <w:tcW w:w="3969" w:type="dxa"/>
            <w:tcBorders>
              <w:top w:val="nil"/>
              <w:left w:val="nil"/>
              <w:bottom w:val="single" w:sz="4" w:space="0" w:color="auto"/>
              <w:right w:val="single" w:sz="4" w:space="0" w:color="auto"/>
            </w:tcBorders>
            <w:shd w:val="clear" w:color="auto" w:fill="auto"/>
            <w:noWrap/>
            <w:vAlign w:val="bottom"/>
            <w:hideMark/>
          </w:tcPr>
          <w:p w14:paraId="09987708"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ENCUENTRO</w:t>
            </w:r>
          </w:p>
        </w:tc>
        <w:tc>
          <w:tcPr>
            <w:tcW w:w="2552" w:type="dxa"/>
            <w:tcBorders>
              <w:top w:val="nil"/>
              <w:left w:val="nil"/>
              <w:bottom w:val="single" w:sz="4" w:space="0" w:color="auto"/>
              <w:right w:val="single" w:sz="4" w:space="0" w:color="auto"/>
            </w:tcBorders>
            <w:shd w:val="clear" w:color="auto" w:fill="auto"/>
            <w:noWrap/>
            <w:vAlign w:val="bottom"/>
            <w:hideMark/>
          </w:tcPr>
          <w:p w14:paraId="391B2D85"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7.600.858,65</w:t>
            </w:r>
          </w:p>
        </w:tc>
      </w:tr>
      <w:tr w:rsidR="00F501EB" w:rsidRPr="00A81CB8" w14:paraId="0B502B94"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bottom"/>
            <w:hideMark/>
          </w:tcPr>
          <w:p w14:paraId="4E741F1B"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SE-N_27</w:t>
            </w:r>
          </w:p>
        </w:tc>
        <w:tc>
          <w:tcPr>
            <w:tcW w:w="3969" w:type="dxa"/>
            <w:tcBorders>
              <w:top w:val="nil"/>
              <w:left w:val="nil"/>
              <w:bottom w:val="single" w:sz="4" w:space="0" w:color="auto"/>
              <w:right w:val="single" w:sz="4" w:space="0" w:color="auto"/>
            </w:tcBorders>
            <w:shd w:val="clear" w:color="auto" w:fill="auto"/>
            <w:noWrap/>
            <w:vAlign w:val="bottom"/>
            <w:hideMark/>
          </w:tcPr>
          <w:p w14:paraId="57DA335C"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ESPERANZA (MINERA CENTINELA)</w:t>
            </w:r>
          </w:p>
        </w:tc>
        <w:tc>
          <w:tcPr>
            <w:tcW w:w="2552" w:type="dxa"/>
            <w:tcBorders>
              <w:top w:val="nil"/>
              <w:left w:val="nil"/>
              <w:bottom w:val="single" w:sz="4" w:space="0" w:color="auto"/>
              <w:right w:val="single" w:sz="4" w:space="0" w:color="auto"/>
            </w:tcBorders>
            <w:shd w:val="clear" w:color="auto" w:fill="auto"/>
            <w:noWrap/>
            <w:vAlign w:val="bottom"/>
            <w:hideMark/>
          </w:tcPr>
          <w:p w14:paraId="68F1477B"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19.652,10</w:t>
            </w:r>
          </w:p>
        </w:tc>
      </w:tr>
      <w:tr w:rsidR="00F501EB" w:rsidRPr="00A81CB8" w14:paraId="27FD368C"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bottom"/>
            <w:hideMark/>
          </w:tcPr>
          <w:p w14:paraId="1DA483D7"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SE-N_28</w:t>
            </w:r>
          </w:p>
        </w:tc>
        <w:tc>
          <w:tcPr>
            <w:tcW w:w="3969" w:type="dxa"/>
            <w:tcBorders>
              <w:top w:val="nil"/>
              <w:left w:val="nil"/>
              <w:bottom w:val="single" w:sz="4" w:space="0" w:color="auto"/>
              <w:right w:val="single" w:sz="4" w:space="0" w:color="auto"/>
            </w:tcBorders>
            <w:shd w:val="clear" w:color="auto" w:fill="auto"/>
            <w:noWrap/>
            <w:vAlign w:val="bottom"/>
            <w:hideMark/>
          </w:tcPr>
          <w:p w14:paraId="4B6295FD"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HUALPEN</w:t>
            </w:r>
          </w:p>
        </w:tc>
        <w:tc>
          <w:tcPr>
            <w:tcW w:w="2552" w:type="dxa"/>
            <w:tcBorders>
              <w:top w:val="nil"/>
              <w:left w:val="nil"/>
              <w:bottom w:val="single" w:sz="4" w:space="0" w:color="auto"/>
              <w:right w:val="single" w:sz="4" w:space="0" w:color="auto"/>
            </w:tcBorders>
            <w:shd w:val="clear" w:color="auto" w:fill="auto"/>
            <w:noWrap/>
            <w:vAlign w:val="bottom"/>
            <w:hideMark/>
          </w:tcPr>
          <w:p w14:paraId="2020DE4F"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4.017.899,24</w:t>
            </w:r>
          </w:p>
        </w:tc>
      </w:tr>
      <w:tr w:rsidR="00F501EB" w:rsidRPr="00A81CB8" w14:paraId="2BF240CD"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bottom"/>
            <w:hideMark/>
          </w:tcPr>
          <w:p w14:paraId="38225507"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SE-N_29</w:t>
            </w:r>
          </w:p>
        </w:tc>
        <w:tc>
          <w:tcPr>
            <w:tcW w:w="3969" w:type="dxa"/>
            <w:tcBorders>
              <w:top w:val="nil"/>
              <w:left w:val="nil"/>
              <w:bottom w:val="single" w:sz="4" w:space="0" w:color="auto"/>
              <w:right w:val="single" w:sz="4" w:space="0" w:color="auto"/>
            </w:tcBorders>
            <w:shd w:val="clear" w:color="auto" w:fill="auto"/>
            <w:noWrap/>
            <w:vAlign w:val="bottom"/>
            <w:hideMark/>
          </w:tcPr>
          <w:p w14:paraId="1824C1EA"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ITAHUE</w:t>
            </w:r>
          </w:p>
        </w:tc>
        <w:tc>
          <w:tcPr>
            <w:tcW w:w="2552" w:type="dxa"/>
            <w:tcBorders>
              <w:top w:val="nil"/>
              <w:left w:val="nil"/>
              <w:bottom w:val="single" w:sz="4" w:space="0" w:color="auto"/>
              <w:right w:val="single" w:sz="4" w:space="0" w:color="auto"/>
            </w:tcBorders>
            <w:shd w:val="clear" w:color="auto" w:fill="auto"/>
            <w:noWrap/>
            <w:vAlign w:val="bottom"/>
            <w:hideMark/>
          </w:tcPr>
          <w:p w14:paraId="552FF5B7"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8.078.735,89</w:t>
            </w:r>
          </w:p>
        </w:tc>
      </w:tr>
      <w:tr w:rsidR="00F501EB" w:rsidRPr="00A81CB8" w14:paraId="7E695589"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bottom"/>
            <w:hideMark/>
          </w:tcPr>
          <w:p w14:paraId="07ACD1B7"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SE-N_30</w:t>
            </w:r>
          </w:p>
        </w:tc>
        <w:tc>
          <w:tcPr>
            <w:tcW w:w="3969" w:type="dxa"/>
            <w:tcBorders>
              <w:top w:val="nil"/>
              <w:left w:val="nil"/>
              <w:bottom w:val="single" w:sz="4" w:space="0" w:color="auto"/>
              <w:right w:val="single" w:sz="4" w:space="0" w:color="auto"/>
            </w:tcBorders>
            <w:shd w:val="clear" w:color="auto" w:fill="auto"/>
            <w:noWrap/>
            <w:vAlign w:val="bottom"/>
            <w:hideMark/>
          </w:tcPr>
          <w:p w14:paraId="0BF619C6"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Kapatur</w:t>
            </w:r>
          </w:p>
        </w:tc>
        <w:tc>
          <w:tcPr>
            <w:tcW w:w="2552" w:type="dxa"/>
            <w:tcBorders>
              <w:top w:val="nil"/>
              <w:left w:val="nil"/>
              <w:bottom w:val="single" w:sz="4" w:space="0" w:color="auto"/>
              <w:right w:val="single" w:sz="4" w:space="0" w:color="auto"/>
            </w:tcBorders>
            <w:shd w:val="clear" w:color="auto" w:fill="auto"/>
            <w:noWrap/>
            <w:vAlign w:val="bottom"/>
            <w:hideMark/>
          </w:tcPr>
          <w:p w14:paraId="7B476E8F"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4.249.470,02</w:t>
            </w:r>
          </w:p>
        </w:tc>
      </w:tr>
      <w:tr w:rsidR="00F501EB" w:rsidRPr="00A81CB8" w14:paraId="5DCD2079"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bottom"/>
            <w:hideMark/>
          </w:tcPr>
          <w:p w14:paraId="2A03770F"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SE-N_31</w:t>
            </w:r>
          </w:p>
        </w:tc>
        <w:tc>
          <w:tcPr>
            <w:tcW w:w="3969" w:type="dxa"/>
            <w:tcBorders>
              <w:top w:val="nil"/>
              <w:left w:val="nil"/>
              <w:bottom w:val="single" w:sz="4" w:space="0" w:color="auto"/>
              <w:right w:val="single" w:sz="4" w:space="0" w:color="auto"/>
            </w:tcBorders>
            <w:shd w:val="clear" w:color="auto" w:fill="auto"/>
            <w:noWrap/>
            <w:vAlign w:val="bottom"/>
            <w:hideMark/>
          </w:tcPr>
          <w:p w14:paraId="61FB51E4"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CENTRAL LA CEBADA</w:t>
            </w:r>
          </w:p>
        </w:tc>
        <w:tc>
          <w:tcPr>
            <w:tcW w:w="2552" w:type="dxa"/>
            <w:tcBorders>
              <w:top w:val="nil"/>
              <w:left w:val="nil"/>
              <w:bottom w:val="single" w:sz="4" w:space="0" w:color="auto"/>
              <w:right w:val="single" w:sz="4" w:space="0" w:color="auto"/>
            </w:tcBorders>
            <w:shd w:val="clear" w:color="auto" w:fill="auto"/>
            <w:noWrap/>
            <w:vAlign w:val="bottom"/>
            <w:hideMark/>
          </w:tcPr>
          <w:p w14:paraId="018170B2"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108.265,32</w:t>
            </w:r>
          </w:p>
        </w:tc>
      </w:tr>
      <w:tr w:rsidR="00F501EB" w:rsidRPr="00A81CB8" w14:paraId="39C9A7CD"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bottom"/>
            <w:hideMark/>
          </w:tcPr>
          <w:p w14:paraId="2163AA8F"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SE-N_32</w:t>
            </w:r>
          </w:p>
        </w:tc>
        <w:tc>
          <w:tcPr>
            <w:tcW w:w="3969" w:type="dxa"/>
            <w:tcBorders>
              <w:top w:val="nil"/>
              <w:left w:val="nil"/>
              <w:bottom w:val="single" w:sz="4" w:space="0" w:color="auto"/>
              <w:right w:val="single" w:sz="4" w:space="0" w:color="auto"/>
            </w:tcBorders>
            <w:shd w:val="clear" w:color="auto" w:fill="auto"/>
            <w:noWrap/>
            <w:vAlign w:val="bottom"/>
            <w:hideMark/>
          </w:tcPr>
          <w:p w14:paraId="079304C6"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Laberinto</w:t>
            </w:r>
          </w:p>
        </w:tc>
        <w:tc>
          <w:tcPr>
            <w:tcW w:w="2552" w:type="dxa"/>
            <w:tcBorders>
              <w:top w:val="nil"/>
              <w:left w:val="nil"/>
              <w:bottom w:val="single" w:sz="4" w:space="0" w:color="auto"/>
              <w:right w:val="single" w:sz="4" w:space="0" w:color="auto"/>
            </w:tcBorders>
            <w:shd w:val="clear" w:color="auto" w:fill="auto"/>
            <w:noWrap/>
            <w:vAlign w:val="bottom"/>
            <w:hideMark/>
          </w:tcPr>
          <w:p w14:paraId="2E2AC4B9"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552.301,24</w:t>
            </w:r>
          </w:p>
        </w:tc>
      </w:tr>
      <w:tr w:rsidR="00F501EB" w:rsidRPr="00A81CB8" w14:paraId="38A6D2A0"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bottom"/>
            <w:hideMark/>
          </w:tcPr>
          <w:p w14:paraId="08373EF7"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SE-N_33</w:t>
            </w:r>
          </w:p>
        </w:tc>
        <w:tc>
          <w:tcPr>
            <w:tcW w:w="3969" w:type="dxa"/>
            <w:tcBorders>
              <w:top w:val="nil"/>
              <w:left w:val="nil"/>
              <w:bottom w:val="single" w:sz="4" w:space="0" w:color="auto"/>
              <w:right w:val="single" w:sz="4" w:space="0" w:color="auto"/>
            </w:tcBorders>
            <w:shd w:val="clear" w:color="auto" w:fill="auto"/>
            <w:noWrap/>
            <w:vAlign w:val="bottom"/>
            <w:hideMark/>
          </w:tcPr>
          <w:p w14:paraId="4A7734E4"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LAGUNAS</w:t>
            </w:r>
          </w:p>
        </w:tc>
        <w:tc>
          <w:tcPr>
            <w:tcW w:w="2552" w:type="dxa"/>
            <w:tcBorders>
              <w:top w:val="nil"/>
              <w:left w:val="nil"/>
              <w:bottom w:val="single" w:sz="4" w:space="0" w:color="auto"/>
              <w:right w:val="single" w:sz="4" w:space="0" w:color="auto"/>
            </w:tcBorders>
            <w:shd w:val="clear" w:color="auto" w:fill="auto"/>
            <w:noWrap/>
            <w:vAlign w:val="bottom"/>
            <w:hideMark/>
          </w:tcPr>
          <w:p w14:paraId="5A34DA48"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6.852.514,94</w:t>
            </w:r>
          </w:p>
        </w:tc>
      </w:tr>
      <w:tr w:rsidR="00F501EB" w:rsidRPr="00A81CB8" w14:paraId="7DBCC146"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bottom"/>
            <w:hideMark/>
          </w:tcPr>
          <w:p w14:paraId="72EB0F20"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SE-N_34</w:t>
            </w:r>
          </w:p>
        </w:tc>
        <w:tc>
          <w:tcPr>
            <w:tcW w:w="3969" w:type="dxa"/>
            <w:tcBorders>
              <w:top w:val="nil"/>
              <w:left w:val="nil"/>
              <w:bottom w:val="single" w:sz="4" w:space="0" w:color="auto"/>
              <w:right w:val="single" w:sz="4" w:space="0" w:color="auto"/>
            </w:tcBorders>
            <w:shd w:val="clear" w:color="auto" w:fill="auto"/>
            <w:noWrap/>
            <w:vAlign w:val="bottom"/>
            <w:hideMark/>
          </w:tcPr>
          <w:p w14:paraId="3EB03802"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LAGUNILLAS</w:t>
            </w:r>
          </w:p>
        </w:tc>
        <w:tc>
          <w:tcPr>
            <w:tcW w:w="2552" w:type="dxa"/>
            <w:tcBorders>
              <w:top w:val="nil"/>
              <w:left w:val="nil"/>
              <w:bottom w:val="single" w:sz="4" w:space="0" w:color="auto"/>
              <w:right w:val="single" w:sz="4" w:space="0" w:color="auto"/>
            </w:tcBorders>
            <w:shd w:val="clear" w:color="auto" w:fill="auto"/>
            <w:noWrap/>
            <w:vAlign w:val="bottom"/>
            <w:hideMark/>
          </w:tcPr>
          <w:p w14:paraId="09618876"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5.152.675,06</w:t>
            </w:r>
          </w:p>
        </w:tc>
      </w:tr>
      <w:tr w:rsidR="00F501EB" w:rsidRPr="00A81CB8" w14:paraId="401F86C9"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bottom"/>
            <w:hideMark/>
          </w:tcPr>
          <w:p w14:paraId="4D4F934A"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SE-N_35</w:t>
            </w:r>
          </w:p>
        </w:tc>
        <w:tc>
          <w:tcPr>
            <w:tcW w:w="3969" w:type="dxa"/>
            <w:tcBorders>
              <w:top w:val="nil"/>
              <w:left w:val="nil"/>
              <w:bottom w:val="single" w:sz="4" w:space="0" w:color="auto"/>
              <w:right w:val="single" w:sz="4" w:space="0" w:color="auto"/>
            </w:tcBorders>
            <w:shd w:val="clear" w:color="auto" w:fill="auto"/>
            <w:noWrap/>
            <w:vAlign w:val="bottom"/>
            <w:hideMark/>
          </w:tcPr>
          <w:p w14:paraId="00D25747"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LAS PALMAS</w:t>
            </w:r>
          </w:p>
        </w:tc>
        <w:tc>
          <w:tcPr>
            <w:tcW w:w="2552" w:type="dxa"/>
            <w:tcBorders>
              <w:top w:val="nil"/>
              <w:left w:val="nil"/>
              <w:bottom w:val="single" w:sz="4" w:space="0" w:color="auto"/>
              <w:right w:val="single" w:sz="4" w:space="0" w:color="auto"/>
            </w:tcBorders>
            <w:shd w:val="clear" w:color="auto" w:fill="auto"/>
            <w:noWrap/>
            <w:vAlign w:val="bottom"/>
            <w:hideMark/>
          </w:tcPr>
          <w:p w14:paraId="206AE6A8"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2.431.932,24</w:t>
            </w:r>
          </w:p>
        </w:tc>
      </w:tr>
      <w:tr w:rsidR="00F501EB" w:rsidRPr="00A81CB8" w14:paraId="35A9B475"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1482A480"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SE-N_36</w:t>
            </w:r>
          </w:p>
        </w:tc>
        <w:tc>
          <w:tcPr>
            <w:tcW w:w="3969" w:type="dxa"/>
            <w:tcBorders>
              <w:top w:val="nil"/>
              <w:left w:val="nil"/>
              <w:bottom w:val="single" w:sz="4" w:space="0" w:color="auto"/>
              <w:right w:val="single" w:sz="4" w:space="0" w:color="auto"/>
            </w:tcBorders>
            <w:shd w:val="clear" w:color="auto" w:fill="auto"/>
            <w:noWrap/>
            <w:vAlign w:val="center"/>
            <w:hideMark/>
          </w:tcPr>
          <w:p w14:paraId="72ED8BB4"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Lo Aguirre</w:t>
            </w:r>
          </w:p>
        </w:tc>
        <w:tc>
          <w:tcPr>
            <w:tcW w:w="2552" w:type="dxa"/>
            <w:tcBorders>
              <w:top w:val="nil"/>
              <w:left w:val="nil"/>
              <w:bottom w:val="single" w:sz="4" w:space="0" w:color="auto"/>
              <w:right w:val="single" w:sz="4" w:space="0" w:color="auto"/>
            </w:tcBorders>
            <w:shd w:val="clear" w:color="auto" w:fill="auto"/>
            <w:noWrap/>
            <w:hideMark/>
          </w:tcPr>
          <w:p w14:paraId="1E1563FD"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eastAsia="Times New Roman" w:cs="Calibri"/>
                <w:color w:val="000000"/>
                <w:sz w:val="20"/>
                <w:szCs w:val="20"/>
                <w:lang w:eastAsia="es-CL"/>
              </w:rPr>
              <w:t>-</w:t>
            </w:r>
            <w:r w:rsidRPr="00FF0E22">
              <w:rPr>
                <w:rFonts w:eastAsia="Times New Roman" w:cs="Calibri"/>
                <w:color w:val="000000"/>
                <w:sz w:val="20"/>
                <w:szCs w:val="20"/>
                <w:lang w:eastAsia="es-CL"/>
              </w:rPr>
              <w:t xml:space="preserve">                                                           </w:t>
            </w:r>
          </w:p>
        </w:tc>
      </w:tr>
      <w:tr w:rsidR="00F501EB" w:rsidRPr="00A81CB8" w14:paraId="45425A74"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bottom"/>
            <w:hideMark/>
          </w:tcPr>
          <w:p w14:paraId="4A7CB449"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SE-N_37</w:t>
            </w:r>
          </w:p>
        </w:tc>
        <w:tc>
          <w:tcPr>
            <w:tcW w:w="3969" w:type="dxa"/>
            <w:tcBorders>
              <w:top w:val="nil"/>
              <w:left w:val="nil"/>
              <w:bottom w:val="single" w:sz="4" w:space="0" w:color="auto"/>
              <w:right w:val="single" w:sz="4" w:space="0" w:color="auto"/>
            </w:tcBorders>
            <w:shd w:val="clear" w:color="auto" w:fill="auto"/>
            <w:noWrap/>
            <w:vAlign w:val="bottom"/>
            <w:hideMark/>
          </w:tcPr>
          <w:p w14:paraId="2D1D2ECF"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Los Changos</w:t>
            </w:r>
          </w:p>
        </w:tc>
        <w:tc>
          <w:tcPr>
            <w:tcW w:w="2552" w:type="dxa"/>
            <w:tcBorders>
              <w:top w:val="nil"/>
              <w:left w:val="nil"/>
              <w:bottom w:val="single" w:sz="4" w:space="0" w:color="auto"/>
              <w:right w:val="single" w:sz="4" w:space="0" w:color="auto"/>
            </w:tcBorders>
            <w:shd w:val="clear" w:color="auto" w:fill="auto"/>
            <w:noWrap/>
            <w:vAlign w:val="bottom"/>
            <w:hideMark/>
          </w:tcPr>
          <w:p w14:paraId="53999051"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16.491.575,87</w:t>
            </w:r>
          </w:p>
        </w:tc>
      </w:tr>
      <w:tr w:rsidR="00F501EB" w:rsidRPr="00A81CB8" w14:paraId="119FD029"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bottom"/>
            <w:hideMark/>
          </w:tcPr>
          <w:p w14:paraId="1D94E49E"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SE-N_38</w:t>
            </w:r>
          </w:p>
        </w:tc>
        <w:tc>
          <w:tcPr>
            <w:tcW w:w="3969" w:type="dxa"/>
            <w:tcBorders>
              <w:top w:val="nil"/>
              <w:left w:val="nil"/>
              <w:bottom w:val="single" w:sz="4" w:space="0" w:color="auto"/>
              <w:right w:val="single" w:sz="4" w:space="0" w:color="auto"/>
            </w:tcBorders>
            <w:shd w:val="clear" w:color="auto" w:fill="auto"/>
            <w:noWrap/>
            <w:vAlign w:val="bottom"/>
            <w:hideMark/>
          </w:tcPr>
          <w:p w14:paraId="74133805"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LOS MAQUIS</w:t>
            </w:r>
          </w:p>
        </w:tc>
        <w:tc>
          <w:tcPr>
            <w:tcW w:w="2552" w:type="dxa"/>
            <w:tcBorders>
              <w:top w:val="nil"/>
              <w:left w:val="nil"/>
              <w:bottom w:val="single" w:sz="4" w:space="0" w:color="auto"/>
              <w:right w:val="single" w:sz="4" w:space="0" w:color="auto"/>
            </w:tcBorders>
            <w:shd w:val="clear" w:color="auto" w:fill="auto"/>
            <w:noWrap/>
            <w:vAlign w:val="bottom"/>
            <w:hideMark/>
          </w:tcPr>
          <w:p w14:paraId="2059019E"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1.471.924,95</w:t>
            </w:r>
          </w:p>
        </w:tc>
      </w:tr>
      <w:tr w:rsidR="00F501EB" w:rsidRPr="00A81CB8" w14:paraId="4670B89C"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bottom"/>
            <w:hideMark/>
          </w:tcPr>
          <w:p w14:paraId="3B016C7E"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SE-N_39</w:t>
            </w:r>
          </w:p>
        </w:tc>
        <w:tc>
          <w:tcPr>
            <w:tcW w:w="3969" w:type="dxa"/>
            <w:tcBorders>
              <w:top w:val="nil"/>
              <w:left w:val="nil"/>
              <w:bottom w:val="single" w:sz="4" w:space="0" w:color="auto"/>
              <w:right w:val="single" w:sz="4" w:space="0" w:color="auto"/>
            </w:tcBorders>
            <w:shd w:val="clear" w:color="auto" w:fill="auto"/>
            <w:noWrap/>
            <w:vAlign w:val="bottom"/>
            <w:hideMark/>
          </w:tcPr>
          <w:p w14:paraId="40ABEF12"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Los Peumos</w:t>
            </w:r>
          </w:p>
        </w:tc>
        <w:tc>
          <w:tcPr>
            <w:tcW w:w="2552" w:type="dxa"/>
            <w:tcBorders>
              <w:top w:val="nil"/>
              <w:left w:val="nil"/>
              <w:bottom w:val="single" w:sz="4" w:space="0" w:color="auto"/>
              <w:right w:val="single" w:sz="4" w:space="0" w:color="auto"/>
            </w:tcBorders>
            <w:shd w:val="clear" w:color="auto" w:fill="auto"/>
            <w:noWrap/>
            <w:vAlign w:val="bottom"/>
            <w:hideMark/>
          </w:tcPr>
          <w:p w14:paraId="1EFF6274"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3.119.570,68</w:t>
            </w:r>
          </w:p>
        </w:tc>
      </w:tr>
      <w:tr w:rsidR="00F501EB" w:rsidRPr="00A81CB8" w14:paraId="272414D8"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bottom"/>
            <w:hideMark/>
          </w:tcPr>
          <w:p w14:paraId="6D67028C"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SE-N_40</w:t>
            </w:r>
          </w:p>
        </w:tc>
        <w:tc>
          <w:tcPr>
            <w:tcW w:w="3969" w:type="dxa"/>
            <w:tcBorders>
              <w:top w:val="nil"/>
              <w:left w:val="nil"/>
              <w:bottom w:val="single" w:sz="4" w:space="0" w:color="auto"/>
              <w:right w:val="single" w:sz="4" w:space="0" w:color="auto"/>
            </w:tcBorders>
            <w:shd w:val="clear" w:color="auto" w:fill="auto"/>
            <w:noWrap/>
            <w:vAlign w:val="bottom"/>
            <w:hideMark/>
          </w:tcPr>
          <w:p w14:paraId="23D9B8CF"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LOS VILOS</w:t>
            </w:r>
          </w:p>
        </w:tc>
        <w:tc>
          <w:tcPr>
            <w:tcW w:w="2552" w:type="dxa"/>
            <w:tcBorders>
              <w:top w:val="nil"/>
              <w:left w:val="nil"/>
              <w:bottom w:val="single" w:sz="4" w:space="0" w:color="auto"/>
              <w:right w:val="single" w:sz="4" w:space="0" w:color="auto"/>
            </w:tcBorders>
            <w:shd w:val="clear" w:color="auto" w:fill="auto"/>
            <w:noWrap/>
            <w:vAlign w:val="bottom"/>
            <w:hideMark/>
          </w:tcPr>
          <w:p w14:paraId="7293B217"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2.142.806,30</w:t>
            </w:r>
          </w:p>
        </w:tc>
      </w:tr>
      <w:tr w:rsidR="00F501EB" w:rsidRPr="00A81CB8" w14:paraId="32F68183"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bottom"/>
            <w:hideMark/>
          </w:tcPr>
          <w:p w14:paraId="2E4058F1"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SE-N_41</w:t>
            </w:r>
          </w:p>
        </w:tc>
        <w:tc>
          <w:tcPr>
            <w:tcW w:w="3969" w:type="dxa"/>
            <w:tcBorders>
              <w:top w:val="nil"/>
              <w:left w:val="nil"/>
              <w:bottom w:val="single" w:sz="4" w:space="0" w:color="auto"/>
              <w:right w:val="single" w:sz="4" w:space="0" w:color="auto"/>
            </w:tcBorders>
            <w:shd w:val="clear" w:color="auto" w:fill="auto"/>
            <w:noWrap/>
            <w:vAlign w:val="bottom"/>
            <w:hideMark/>
          </w:tcPr>
          <w:p w14:paraId="75A0F169"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Maipo</w:t>
            </w:r>
          </w:p>
        </w:tc>
        <w:tc>
          <w:tcPr>
            <w:tcW w:w="2552" w:type="dxa"/>
            <w:tcBorders>
              <w:top w:val="nil"/>
              <w:left w:val="nil"/>
              <w:bottom w:val="single" w:sz="4" w:space="0" w:color="auto"/>
              <w:right w:val="single" w:sz="4" w:space="0" w:color="auto"/>
            </w:tcBorders>
            <w:shd w:val="clear" w:color="auto" w:fill="auto"/>
            <w:noWrap/>
            <w:vAlign w:val="bottom"/>
            <w:hideMark/>
          </w:tcPr>
          <w:p w14:paraId="3A5A3D82"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9.649.603,29</w:t>
            </w:r>
          </w:p>
        </w:tc>
      </w:tr>
      <w:tr w:rsidR="00F501EB" w:rsidRPr="00A81CB8" w14:paraId="7BD0C48C"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bottom"/>
            <w:hideMark/>
          </w:tcPr>
          <w:p w14:paraId="35D35DE6"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SE-N_42</w:t>
            </w:r>
          </w:p>
        </w:tc>
        <w:tc>
          <w:tcPr>
            <w:tcW w:w="3969" w:type="dxa"/>
            <w:tcBorders>
              <w:top w:val="nil"/>
              <w:left w:val="nil"/>
              <w:bottom w:val="single" w:sz="4" w:space="0" w:color="auto"/>
              <w:right w:val="single" w:sz="4" w:space="0" w:color="auto"/>
            </w:tcBorders>
            <w:shd w:val="clear" w:color="auto" w:fill="auto"/>
            <w:noWrap/>
            <w:vAlign w:val="bottom"/>
            <w:hideMark/>
          </w:tcPr>
          <w:p w14:paraId="08C61C32"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MAITENCILLO</w:t>
            </w:r>
          </w:p>
        </w:tc>
        <w:tc>
          <w:tcPr>
            <w:tcW w:w="2552" w:type="dxa"/>
            <w:tcBorders>
              <w:top w:val="nil"/>
              <w:left w:val="nil"/>
              <w:bottom w:val="single" w:sz="4" w:space="0" w:color="auto"/>
              <w:right w:val="single" w:sz="4" w:space="0" w:color="auto"/>
            </w:tcBorders>
            <w:shd w:val="clear" w:color="auto" w:fill="auto"/>
            <w:noWrap/>
            <w:vAlign w:val="bottom"/>
            <w:hideMark/>
          </w:tcPr>
          <w:p w14:paraId="33346343"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15.393.722,99</w:t>
            </w:r>
          </w:p>
        </w:tc>
      </w:tr>
      <w:tr w:rsidR="00F501EB" w:rsidRPr="00A81CB8" w14:paraId="3908AFD1"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bottom"/>
            <w:hideMark/>
          </w:tcPr>
          <w:p w14:paraId="13112C71"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SE-N_43</w:t>
            </w:r>
          </w:p>
        </w:tc>
        <w:tc>
          <w:tcPr>
            <w:tcW w:w="3969" w:type="dxa"/>
            <w:tcBorders>
              <w:top w:val="nil"/>
              <w:left w:val="nil"/>
              <w:bottom w:val="single" w:sz="4" w:space="0" w:color="auto"/>
              <w:right w:val="single" w:sz="4" w:space="0" w:color="auto"/>
            </w:tcBorders>
            <w:shd w:val="clear" w:color="auto" w:fill="auto"/>
            <w:noWrap/>
            <w:vAlign w:val="bottom"/>
            <w:hideMark/>
          </w:tcPr>
          <w:p w14:paraId="14E2AF04"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María Elena</w:t>
            </w:r>
          </w:p>
        </w:tc>
        <w:tc>
          <w:tcPr>
            <w:tcW w:w="2552" w:type="dxa"/>
            <w:tcBorders>
              <w:top w:val="nil"/>
              <w:left w:val="nil"/>
              <w:bottom w:val="single" w:sz="4" w:space="0" w:color="auto"/>
              <w:right w:val="single" w:sz="4" w:space="0" w:color="auto"/>
            </w:tcBorders>
            <w:shd w:val="clear" w:color="auto" w:fill="auto"/>
            <w:noWrap/>
            <w:vAlign w:val="bottom"/>
            <w:hideMark/>
          </w:tcPr>
          <w:p w14:paraId="5760D643"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4.249.450,92</w:t>
            </w:r>
          </w:p>
        </w:tc>
      </w:tr>
      <w:tr w:rsidR="00F501EB" w:rsidRPr="00A81CB8" w14:paraId="0CBA556A"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bottom"/>
            <w:hideMark/>
          </w:tcPr>
          <w:p w14:paraId="1D4DB8D9"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SE-N_44</w:t>
            </w:r>
          </w:p>
        </w:tc>
        <w:tc>
          <w:tcPr>
            <w:tcW w:w="3969" w:type="dxa"/>
            <w:tcBorders>
              <w:top w:val="nil"/>
              <w:left w:val="nil"/>
              <w:bottom w:val="single" w:sz="4" w:space="0" w:color="auto"/>
              <w:right w:val="single" w:sz="4" w:space="0" w:color="auto"/>
            </w:tcBorders>
            <w:shd w:val="clear" w:color="auto" w:fill="auto"/>
            <w:noWrap/>
            <w:vAlign w:val="bottom"/>
            <w:hideMark/>
          </w:tcPr>
          <w:p w14:paraId="49B92117"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Melipulli</w:t>
            </w:r>
          </w:p>
        </w:tc>
        <w:tc>
          <w:tcPr>
            <w:tcW w:w="2552" w:type="dxa"/>
            <w:tcBorders>
              <w:top w:val="nil"/>
              <w:left w:val="nil"/>
              <w:bottom w:val="single" w:sz="4" w:space="0" w:color="auto"/>
              <w:right w:val="single" w:sz="4" w:space="0" w:color="auto"/>
            </w:tcBorders>
            <w:shd w:val="clear" w:color="auto" w:fill="auto"/>
            <w:noWrap/>
            <w:vAlign w:val="bottom"/>
            <w:hideMark/>
          </w:tcPr>
          <w:p w14:paraId="5E375B67"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6.875.559,01</w:t>
            </w:r>
          </w:p>
        </w:tc>
      </w:tr>
      <w:tr w:rsidR="00F501EB" w:rsidRPr="00A81CB8" w14:paraId="5B58F28F"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bottom"/>
            <w:hideMark/>
          </w:tcPr>
          <w:p w14:paraId="636B7290"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SE-N_45</w:t>
            </w:r>
          </w:p>
        </w:tc>
        <w:tc>
          <w:tcPr>
            <w:tcW w:w="3969" w:type="dxa"/>
            <w:tcBorders>
              <w:top w:val="nil"/>
              <w:left w:val="nil"/>
              <w:bottom w:val="single" w:sz="4" w:space="0" w:color="auto"/>
              <w:right w:val="single" w:sz="4" w:space="0" w:color="auto"/>
            </w:tcBorders>
            <w:shd w:val="clear" w:color="auto" w:fill="auto"/>
            <w:noWrap/>
            <w:vAlign w:val="bottom"/>
            <w:hideMark/>
          </w:tcPr>
          <w:p w14:paraId="2C16DADA"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MIRAJE</w:t>
            </w:r>
          </w:p>
        </w:tc>
        <w:tc>
          <w:tcPr>
            <w:tcW w:w="2552" w:type="dxa"/>
            <w:tcBorders>
              <w:top w:val="nil"/>
              <w:left w:val="nil"/>
              <w:bottom w:val="single" w:sz="4" w:space="0" w:color="auto"/>
              <w:right w:val="single" w:sz="4" w:space="0" w:color="auto"/>
            </w:tcBorders>
            <w:shd w:val="clear" w:color="auto" w:fill="auto"/>
            <w:noWrap/>
            <w:vAlign w:val="bottom"/>
            <w:hideMark/>
          </w:tcPr>
          <w:p w14:paraId="03D69D30"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1.711.595,07</w:t>
            </w:r>
          </w:p>
        </w:tc>
      </w:tr>
      <w:tr w:rsidR="00F501EB" w:rsidRPr="00A81CB8" w14:paraId="38DEB990"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bottom"/>
            <w:hideMark/>
          </w:tcPr>
          <w:p w14:paraId="7E5E33A8"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SE-N_46</w:t>
            </w:r>
          </w:p>
        </w:tc>
        <w:tc>
          <w:tcPr>
            <w:tcW w:w="3969" w:type="dxa"/>
            <w:tcBorders>
              <w:top w:val="nil"/>
              <w:left w:val="nil"/>
              <w:bottom w:val="single" w:sz="4" w:space="0" w:color="auto"/>
              <w:right w:val="single" w:sz="4" w:space="0" w:color="auto"/>
            </w:tcBorders>
            <w:shd w:val="clear" w:color="auto" w:fill="auto"/>
            <w:noWrap/>
            <w:vAlign w:val="bottom"/>
            <w:hideMark/>
          </w:tcPr>
          <w:p w14:paraId="7EF0C0D1"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Mulchén</w:t>
            </w:r>
          </w:p>
        </w:tc>
        <w:tc>
          <w:tcPr>
            <w:tcW w:w="2552" w:type="dxa"/>
            <w:tcBorders>
              <w:top w:val="nil"/>
              <w:left w:val="nil"/>
              <w:bottom w:val="single" w:sz="4" w:space="0" w:color="auto"/>
              <w:right w:val="single" w:sz="4" w:space="0" w:color="auto"/>
            </w:tcBorders>
            <w:shd w:val="clear" w:color="auto" w:fill="auto"/>
            <w:noWrap/>
            <w:vAlign w:val="bottom"/>
            <w:hideMark/>
          </w:tcPr>
          <w:p w14:paraId="75221DD0"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1.725.940,04</w:t>
            </w:r>
          </w:p>
        </w:tc>
      </w:tr>
      <w:tr w:rsidR="00F501EB" w:rsidRPr="00A81CB8" w14:paraId="2EE2E689"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bottom"/>
            <w:hideMark/>
          </w:tcPr>
          <w:p w14:paraId="53818CAC"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SE-N_47</w:t>
            </w:r>
          </w:p>
        </w:tc>
        <w:tc>
          <w:tcPr>
            <w:tcW w:w="3969" w:type="dxa"/>
            <w:tcBorders>
              <w:top w:val="nil"/>
              <w:left w:val="nil"/>
              <w:bottom w:val="single" w:sz="4" w:space="0" w:color="auto"/>
              <w:right w:val="single" w:sz="4" w:space="0" w:color="auto"/>
            </w:tcBorders>
            <w:shd w:val="clear" w:color="auto" w:fill="auto"/>
            <w:noWrap/>
            <w:vAlign w:val="bottom"/>
            <w:hideMark/>
          </w:tcPr>
          <w:p w14:paraId="2BFE87A4"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NEPTUNO</w:t>
            </w:r>
          </w:p>
        </w:tc>
        <w:tc>
          <w:tcPr>
            <w:tcW w:w="2552" w:type="dxa"/>
            <w:tcBorders>
              <w:top w:val="nil"/>
              <w:left w:val="nil"/>
              <w:bottom w:val="single" w:sz="4" w:space="0" w:color="auto"/>
              <w:right w:val="single" w:sz="4" w:space="0" w:color="auto"/>
            </w:tcBorders>
            <w:shd w:val="clear" w:color="auto" w:fill="auto"/>
            <w:noWrap/>
            <w:vAlign w:val="bottom"/>
            <w:hideMark/>
          </w:tcPr>
          <w:p w14:paraId="5EA65A4B"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1.304.002,54</w:t>
            </w:r>
          </w:p>
        </w:tc>
      </w:tr>
      <w:tr w:rsidR="00F501EB" w:rsidRPr="00A81CB8" w14:paraId="110CF3AD"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bottom"/>
            <w:hideMark/>
          </w:tcPr>
          <w:p w14:paraId="51B2CFD7"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SE-N_48</w:t>
            </w:r>
          </w:p>
        </w:tc>
        <w:tc>
          <w:tcPr>
            <w:tcW w:w="3969" w:type="dxa"/>
            <w:tcBorders>
              <w:top w:val="nil"/>
              <w:left w:val="nil"/>
              <w:bottom w:val="single" w:sz="4" w:space="0" w:color="auto"/>
              <w:right w:val="single" w:sz="4" w:space="0" w:color="auto"/>
            </w:tcBorders>
            <w:shd w:val="clear" w:color="auto" w:fill="auto"/>
            <w:noWrap/>
            <w:vAlign w:val="bottom"/>
            <w:hideMark/>
          </w:tcPr>
          <w:p w14:paraId="53DC3C2D"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NOGALES</w:t>
            </w:r>
          </w:p>
        </w:tc>
        <w:tc>
          <w:tcPr>
            <w:tcW w:w="2552" w:type="dxa"/>
            <w:tcBorders>
              <w:top w:val="nil"/>
              <w:left w:val="nil"/>
              <w:bottom w:val="single" w:sz="4" w:space="0" w:color="auto"/>
              <w:right w:val="single" w:sz="4" w:space="0" w:color="auto"/>
            </w:tcBorders>
            <w:shd w:val="clear" w:color="auto" w:fill="auto"/>
            <w:noWrap/>
            <w:vAlign w:val="bottom"/>
            <w:hideMark/>
          </w:tcPr>
          <w:p w14:paraId="42FD78B8"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976.782,37</w:t>
            </w:r>
          </w:p>
        </w:tc>
      </w:tr>
      <w:tr w:rsidR="00F501EB" w:rsidRPr="00A81CB8" w14:paraId="3D9891E2"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38ECFC9B"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SE-N_49</w:t>
            </w:r>
          </w:p>
        </w:tc>
        <w:tc>
          <w:tcPr>
            <w:tcW w:w="3969" w:type="dxa"/>
            <w:tcBorders>
              <w:top w:val="nil"/>
              <w:left w:val="nil"/>
              <w:bottom w:val="single" w:sz="4" w:space="0" w:color="auto"/>
              <w:right w:val="single" w:sz="4" w:space="0" w:color="auto"/>
            </w:tcBorders>
            <w:shd w:val="clear" w:color="auto" w:fill="auto"/>
            <w:noWrap/>
            <w:vAlign w:val="center"/>
            <w:hideMark/>
          </w:tcPr>
          <w:p w14:paraId="76A38818"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Nueva Alto Melipilla</w:t>
            </w:r>
          </w:p>
        </w:tc>
        <w:tc>
          <w:tcPr>
            <w:tcW w:w="2552" w:type="dxa"/>
            <w:tcBorders>
              <w:top w:val="nil"/>
              <w:left w:val="nil"/>
              <w:bottom w:val="single" w:sz="4" w:space="0" w:color="auto"/>
              <w:right w:val="single" w:sz="4" w:space="0" w:color="auto"/>
            </w:tcBorders>
            <w:shd w:val="clear" w:color="auto" w:fill="auto"/>
            <w:noWrap/>
            <w:hideMark/>
          </w:tcPr>
          <w:p w14:paraId="7AA8ECFD"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eastAsia="Times New Roman" w:cs="Calibri"/>
                <w:color w:val="000000"/>
                <w:sz w:val="20"/>
                <w:szCs w:val="20"/>
                <w:lang w:eastAsia="es-CL"/>
              </w:rPr>
              <w:t>-</w:t>
            </w:r>
            <w:r w:rsidRPr="00FF0E22">
              <w:rPr>
                <w:rFonts w:eastAsia="Times New Roman" w:cs="Calibri"/>
                <w:color w:val="000000"/>
                <w:sz w:val="20"/>
                <w:szCs w:val="20"/>
                <w:lang w:eastAsia="es-CL"/>
              </w:rPr>
              <w:t xml:space="preserve">                                                          </w:t>
            </w:r>
          </w:p>
        </w:tc>
      </w:tr>
      <w:tr w:rsidR="00F501EB" w:rsidRPr="00A81CB8" w14:paraId="6492C1F2"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bottom"/>
            <w:hideMark/>
          </w:tcPr>
          <w:p w14:paraId="21215B34"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SE-N_50</w:t>
            </w:r>
          </w:p>
        </w:tc>
        <w:tc>
          <w:tcPr>
            <w:tcW w:w="3969" w:type="dxa"/>
            <w:tcBorders>
              <w:top w:val="nil"/>
              <w:left w:val="nil"/>
              <w:bottom w:val="single" w:sz="4" w:space="0" w:color="auto"/>
              <w:right w:val="single" w:sz="4" w:space="0" w:color="auto"/>
            </w:tcBorders>
            <w:shd w:val="clear" w:color="auto" w:fill="auto"/>
            <w:noWrap/>
            <w:vAlign w:val="bottom"/>
            <w:hideMark/>
          </w:tcPr>
          <w:p w14:paraId="17B4940A"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Nueva Cardones</w:t>
            </w:r>
          </w:p>
        </w:tc>
        <w:tc>
          <w:tcPr>
            <w:tcW w:w="2552" w:type="dxa"/>
            <w:tcBorders>
              <w:top w:val="nil"/>
              <w:left w:val="nil"/>
              <w:bottom w:val="single" w:sz="4" w:space="0" w:color="auto"/>
              <w:right w:val="single" w:sz="4" w:space="0" w:color="auto"/>
            </w:tcBorders>
            <w:shd w:val="clear" w:color="auto" w:fill="auto"/>
            <w:noWrap/>
            <w:vAlign w:val="bottom"/>
            <w:hideMark/>
          </w:tcPr>
          <w:p w14:paraId="059FF550"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11.360.184,50</w:t>
            </w:r>
          </w:p>
        </w:tc>
      </w:tr>
      <w:tr w:rsidR="00F501EB" w:rsidRPr="00A81CB8" w14:paraId="535E042C"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bottom"/>
            <w:hideMark/>
          </w:tcPr>
          <w:p w14:paraId="6D27507B"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SE-N_51</w:t>
            </w:r>
          </w:p>
        </w:tc>
        <w:tc>
          <w:tcPr>
            <w:tcW w:w="3969" w:type="dxa"/>
            <w:tcBorders>
              <w:top w:val="nil"/>
              <w:left w:val="nil"/>
              <w:bottom w:val="single" w:sz="4" w:space="0" w:color="auto"/>
              <w:right w:val="single" w:sz="4" w:space="0" w:color="auto"/>
            </w:tcBorders>
            <w:shd w:val="clear" w:color="auto" w:fill="auto"/>
            <w:noWrap/>
            <w:vAlign w:val="bottom"/>
            <w:hideMark/>
          </w:tcPr>
          <w:p w14:paraId="18476A49"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Nueva Pichirropulli</w:t>
            </w:r>
          </w:p>
        </w:tc>
        <w:tc>
          <w:tcPr>
            <w:tcW w:w="2552" w:type="dxa"/>
            <w:tcBorders>
              <w:top w:val="nil"/>
              <w:left w:val="nil"/>
              <w:bottom w:val="single" w:sz="4" w:space="0" w:color="auto"/>
              <w:right w:val="single" w:sz="4" w:space="0" w:color="auto"/>
            </w:tcBorders>
            <w:shd w:val="clear" w:color="auto" w:fill="auto"/>
            <w:noWrap/>
            <w:vAlign w:val="bottom"/>
            <w:hideMark/>
          </w:tcPr>
          <w:p w14:paraId="06C51FB5"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5.755.478,29</w:t>
            </w:r>
          </w:p>
        </w:tc>
      </w:tr>
      <w:tr w:rsidR="00F501EB" w:rsidRPr="00A81CB8" w14:paraId="3A8B71F0"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58D2E646"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SE-N_52</w:t>
            </w:r>
          </w:p>
        </w:tc>
        <w:tc>
          <w:tcPr>
            <w:tcW w:w="3969" w:type="dxa"/>
            <w:tcBorders>
              <w:top w:val="nil"/>
              <w:left w:val="nil"/>
              <w:bottom w:val="single" w:sz="4" w:space="0" w:color="auto"/>
              <w:right w:val="single" w:sz="4" w:space="0" w:color="auto"/>
            </w:tcBorders>
            <w:shd w:val="clear" w:color="auto" w:fill="auto"/>
            <w:noWrap/>
            <w:vAlign w:val="center"/>
            <w:hideMark/>
          </w:tcPr>
          <w:p w14:paraId="2DD8E08D"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Nueva Victoria</w:t>
            </w:r>
          </w:p>
        </w:tc>
        <w:tc>
          <w:tcPr>
            <w:tcW w:w="2552" w:type="dxa"/>
            <w:tcBorders>
              <w:top w:val="nil"/>
              <w:left w:val="nil"/>
              <w:bottom w:val="single" w:sz="4" w:space="0" w:color="auto"/>
              <w:right w:val="single" w:sz="4" w:space="0" w:color="auto"/>
            </w:tcBorders>
            <w:shd w:val="clear" w:color="auto" w:fill="auto"/>
            <w:noWrap/>
            <w:hideMark/>
          </w:tcPr>
          <w:p w14:paraId="742B41E2"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eastAsia="Times New Roman" w:cs="Calibri"/>
                <w:color w:val="000000"/>
                <w:sz w:val="20"/>
                <w:szCs w:val="20"/>
                <w:lang w:eastAsia="es-CL"/>
              </w:rPr>
              <w:t>-</w:t>
            </w:r>
            <w:r w:rsidRPr="00FF0E22">
              <w:rPr>
                <w:rFonts w:eastAsia="Times New Roman" w:cs="Calibri"/>
                <w:color w:val="000000"/>
                <w:sz w:val="20"/>
                <w:szCs w:val="20"/>
                <w:lang w:eastAsia="es-CL"/>
              </w:rPr>
              <w:t xml:space="preserve">                                                                 </w:t>
            </w:r>
          </w:p>
        </w:tc>
      </w:tr>
      <w:tr w:rsidR="00F501EB" w:rsidRPr="00A81CB8" w14:paraId="2F073254"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bottom"/>
            <w:hideMark/>
          </w:tcPr>
          <w:p w14:paraId="129EE12D"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SE-N_53</w:t>
            </w:r>
          </w:p>
        </w:tc>
        <w:tc>
          <w:tcPr>
            <w:tcW w:w="3969" w:type="dxa"/>
            <w:tcBorders>
              <w:top w:val="nil"/>
              <w:left w:val="nil"/>
              <w:bottom w:val="single" w:sz="4" w:space="0" w:color="auto"/>
              <w:right w:val="single" w:sz="4" w:space="0" w:color="auto"/>
            </w:tcBorders>
            <w:shd w:val="clear" w:color="auto" w:fill="auto"/>
            <w:noWrap/>
            <w:vAlign w:val="bottom"/>
            <w:hideMark/>
          </w:tcPr>
          <w:p w14:paraId="74313EC8"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O'Higgins</w:t>
            </w:r>
          </w:p>
        </w:tc>
        <w:tc>
          <w:tcPr>
            <w:tcW w:w="2552" w:type="dxa"/>
            <w:tcBorders>
              <w:top w:val="nil"/>
              <w:left w:val="nil"/>
              <w:bottom w:val="single" w:sz="4" w:space="0" w:color="auto"/>
              <w:right w:val="single" w:sz="4" w:space="0" w:color="auto"/>
            </w:tcBorders>
            <w:shd w:val="clear" w:color="auto" w:fill="auto"/>
            <w:noWrap/>
            <w:vAlign w:val="bottom"/>
            <w:hideMark/>
          </w:tcPr>
          <w:p w14:paraId="20426AC8"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596.388,42</w:t>
            </w:r>
          </w:p>
        </w:tc>
      </w:tr>
      <w:tr w:rsidR="00F501EB" w:rsidRPr="00A81CB8" w14:paraId="612FC31E"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bottom"/>
            <w:hideMark/>
          </w:tcPr>
          <w:p w14:paraId="422298C8"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SE-N_54</w:t>
            </w:r>
          </w:p>
        </w:tc>
        <w:tc>
          <w:tcPr>
            <w:tcW w:w="3969" w:type="dxa"/>
            <w:tcBorders>
              <w:top w:val="nil"/>
              <w:left w:val="nil"/>
              <w:bottom w:val="single" w:sz="4" w:space="0" w:color="auto"/>
              <w:right w:val="single" w:sz="4" w:space="0" w:color="auto"/>
            </w:tcBorders>
            <w:shd w:val="clear" w:color="auto" w:fill="auto"/>
            <w:noWrap/>
            <w:vAlign w:val="bottom"/>
            <w:hideMark/>
          </w:tcPr>
          <w:p w14:paraId="444C0972"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PAN DE AZUCAR</w:t>
            </w:r>
          </w:p>
        </w:tc>
        <w:tc>
          <w:tcPr>
            <w:tcW w:w="2552" w:type="dxa"/>
            <w:tcBorders>
              <w:top w:val="nil"/>
              <w:left w:val="nil"/>
              <w:bottom w:val="single" w:sz="4" w:space="0" w:color="auto"/>
              <w:right w:val="single" w:sz="4" w:space="0" w:color="auto"/>
            </w:tcBorders>
            <w:shd w:val="clear" w:color="auto" w:fill="auto"/>
            <w:noWrap/>
            <w:vAlign w:val="bottom"/>
            <w:hideMark/>
          </w:tcPr>
          <w:p w14:paraId="34133D9F"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27.910.694,12</w:t>
            </w:r>
          </w:p>
        </w:tc>
      </w:tr>
      <w:tr w:rsidR="00F501EB" w:rsidRPr="00A81CB8" w14:paraId="0C9FCADB"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bottom"/>
            <w:hideMark/>
          </w:tcPr>
          <w:p w14:paraId="005D453F"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lastRenderedPageBreak/>
              <w:t>SE-N_55</w:t>
            </w:r>
          </w:p>
        </w:tc>
        <w:tc>
          <w:tcPr>
            <w:tcW w:w="3969" w:type="dxa"/>
            <w:tcBorders>
              <w:top w:val="nil"/>
              <w:left w:val="nil"/>
              <w:bottom w:val="single" w:sz="4" w:space="0" w:color="auto"/>
              <w:right w:val="single" w:sz="4" w:space="0" w:color="auto"/>
            </w:tcBorders>
            <w:shd w:val="clear" w:color="auto" w:fill="auto"/>
            <w:noWrap/>
            <w:vAlign w:val="bottom"/>
            <w:hideMark/>
          </w:tcPr>
          <w:p w14:paraId="15363238"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PARINACOTA</w:t>
            </w:r>
          </w:p>
        </w:tc>
        <w:tc>
          <w:tcPr>
            <w:tcW w:w="2552" w:type="dxa"/>
            <w:tcBorders>
              <w:top w:val="nil"/>
              <w:left w:val="nil"/>
              <w:bottom w:val="single" w:sz="4" w:space="0" w:color="auto"/>
              <w:right w:val="single" w:sz="4" w:space="0" w:color="auto"/>
            </w:tcBorders>
            <w:shd w:val="clear" w:color="auto" w:fill="auto"/>
            <w:noWrap/>
            <w:vAlign w:val="bottom"/>
            <w:hideMark/>
          </w:tcPr>
          <w:p w14:paraId="5B3147E4"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4.630.990,11</w:t>
            </w:r>
          </w:p>
        </w:tc>
      </w:tr>
      <w:tr w:rsidR="00F501EB" w:rsidRPr="00A81CB8" w14:paraId="452FACE5"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bottom"/>
            <w:hideMark/>
          </w:tcPr>
          <w:p w14:paraId="6935F51E"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SE-N_56</w:t>
            </w:r>
          </w:p>
        </w:tc>
        <w:tc>
          <w:tcPr>
            <w:tcW w:w="3969" w:type="dxa"/>
            <w:tcBorders>
              <w:top w:val="nil"/>
              <w:left w:val="nil"/>
              <w:bottom w:val="single" w:sz="4" w:space="0" w:color="auto"/>
              <w:right w:val="single" w:sz="4" w:space="0" w:color="auto"/>
            </w:tcBorders>
            <w:shd w:val="clear" w:color="auto" w:fill="auto"/>
            <w:noWrap/>
            <w:vAlign w:val="bottom"/>
            <w:hideMark/>
          </w:tcPr>
          <w:p w14:paraId="56097DA1"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POLPAICO</w:t>
            </w:r>
          </w:p>
        </w:tc>
        <w:tc>
          <w:tcPr>
            <w:tcW w:w="2552" w:type="dxa"/>
            <w:tcBorders>
              <w:top w:val="nil"/>
              <w:left w:val="nil"/>
              <w:bottom w:val="single" w:sz="4" w:space="0" w:color="auto"/>
              <w:right w:val="single" w:sz="4" w:space="0" w:color="auto"/>
            </w:tcBorders>
            <w:shd w:val="clear" w:color="auto" w:fill="auto"/>
            <w:noWrap/>
            <w:vAlign w:val="bottom"/>
            <w:hideMark/>
          </w:tcPr>
          <w:p w14:paraId="45255B63"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33.137.862,57</w:t>
            </w:r>
          </w:p>
        </w:tc>
      </w:tr>
      <w:tr w:rsidR="00F501EB" w:rsidRPr="00A81CB8" w14:paraId="32AAE5B0"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bottom"/>
            <w:hideMark/>
          </w:tcPr>
          <w:p w14:paraId="5108B56A"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SE-N_57</w:t>
            </w:r>
          </w:p>
        </w:tc>
        <w:tc>
          <w:tcPr>
            <w:tcW w:w="3969" w:type="dxa"/>
            <w:tcBorders>
              <w:top w:val="nil"/>
              <w:left w:val="nil"/>
              <w:bottom w:val="single" w:sz="4" w:space="0" w:color="auto"/>
              <w:right w:val="single" w:sz="4" w:space="0" w:color="auto"/>
            </w:tcBorders>
            <w:shd w:val="clear" w:color="auto" w:fill="auto"/>
            <w:noWrap/>
            <w:vAlign w:val="bottom"/>
            <w:hideMark/>
          </w:tcPr>
          <w:p w14:paraId="562496BF"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Pozo Almonte</w:t>
            </w:r>
          </w:p>
        </w:tc>
        <w:tc>
          <w:tcPr>
            <w:tcW w:w="2552" w:type="dxa"/>
            <w:tcBorders>
              <w:top w:val="nil"/>
              <w:left w:val="nil"/>
              <w:bottom w:val="single" w:sz="4" w:space="0" w:color="auto"/>
              <w:right w:val="single" w:sz="4" w:space="0" w:color="auto"/>
            </w:tcBorders>
            <w:shd w:val="clear" w:color="auto" w:fill="auto"/>
            <w:noWrap/>
            <w:vAlign w:val="bottom"/>
            <w:hideMark/>
          </w:tcPr>
          <w:p w14:paraId="54B80529"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1.686.394,79</w:t>
            </w:r>
          </w:p>
        </w:tc>
      </w:tr>
      <w:tr w:rsidR="00F501EB" w:rsidRPr="00A81CB8" w14:paraId="42F30A4C"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613A6B13"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SE-N_58</w:t>
            </w:r>
          </w:p>
        </w:tc>
        <w:tc>
          <w:tcPr>
            <w:tcW w:w="3969" w:type="dxa"/>
            <w:tcBorders>
              <w:top w:val="nil"/>
              <w:left w:val="nil"/>
              <w:bottom w:val="single" w:sz="4" w:space="0" w:color="auto"/>
              <w:right w:val="single" w:sz="4" w:space="0" w:color="auto"/>
            </w:tcBorders>
            <w:shd w:val="clear" w:color="auto" w:fill="auto"/>
            <w:noWrap/>
            <w:vAlign w:val="center"/>
            <w:hideMark/>
          </w:tcPr>
          <w:p w14:paraId="192AA573"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Puente Negro</w:t>
            </w:r>
          </w:p>
        </w:tc>
        <w:tc>
          <w:tcPr>
            <w:tcW w:w="2552" w:type="dxa"/>
            <w:tcBorders>
              <w:top w:val="nil"/>
              <w:left w:val="nil"/>
              <w:bottom w:val="single" w:sz="4" w:space="0" w:color="auto"/>
              <w:right w:val="single" w:sz="4" w:space="0" w:color="auto"/>
            </w:tcBorders>
            <w:shd w:val="clear" w:color="auto" w:fill="auto"/>
            <w:noWrap/>
            <w:hideMark/>
          </w:tcPr>
          <w:p w14:paraId="1419F5B0"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eastAsia="Times New Roman" w:cs="Calibri"/>
                <w:color w:val="000000"/>
                <w:sz w:val="20"/>
                <w:szCs w:val="20"/>
                <w:lang w:eastAsia="es-CL"/>
              </w:rPr>
              <w:t>-</w:t>
            </w:r>
            <w:r w:rsidRPr="00FF0E22">
              <w:rPr>
                <w:rFonts w:eastAsia="Times New Roman" w:cs="Calibri"/>
                <w:color w:val="000000"/>
                <w:sz w:val="20"/>
                <w:szCs w:val="20"/>
                <w:lang w:eastAsia="es-CL"/>
              </w:rPr>
              <w:t xml:space="preserve">                                                                 </w:t>
            </w:r>
          </w:p>
        </w:tc>
      </w:tr>
      <w:tr w:rsidR="00F501EB" w:rsidRPr="00A81CB8" w14:paraId="496D17EC"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bottom"/>
            <w:hideMark/>
          </w:tcPr>
          <w:p w14:paraId="00DEE9A5"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SE-N_59</w:t>
            </w:r>
          </w:p>
        </w:tc>
        <w:tc>
          <w:tcPr>
            <w:tcW w:w="3969" w:type="dxa"/>
            <w:tcBorders>
              <w:top w:val="nil"/>
              <w:left w:val="nil"/>
              <w:bottom w:val="single" w:sz="4" w:space="0" w:color="auto"/>
              <w:right w:val="single" w:sz="4" w:space="0" w:color="auto"/>
            </w:tcBorders>
            <w:shd w:val="clear" w:color="auto" w:fill="auto"/>
            <w:noWrap/>
            <w:vAlign w:val="bottom"/>
            <w:hideMark/>
          </w:tcPr>
          <w:p w14:paraId="02B5FEDD"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PUERTO MONTT</w:t>
            </w:r>
          </w:p>
        </w:tc>
        <w:tc>
          <w:tcPr>
            <w:tcW w:w="2552" w:type="dxa"/>
            <w:tcBorders>
              <w:top w:val="nil"/>
              <w:left w:val="nil"/>
              <w:bottom w:val="single" w:sz="4" w:space="0" w:color="auto"/>
              <w:right w:val="single" w:sz="4" w:space="0" w:color="auto"/>
            </w:tcBorders>
            <w:shd w:val="clear" w:color="auto" w:fill="auto"/>
            <w:noWrap/>
            <w:vAlign w:val="bottom"/>
            <w:hideMark/>
          </w:tcPr>
          <w:p w14:paraId="1AFF264D"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8.140.864,79</w:t>
            </w:r>
          </w:p>
        </w:tc>
      </w:tr>
      <w:tr w:rsidR="00F501EB" w:rsidRPr="00A81CB8" w14:paraId="7413E629"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bottom"/>
            <w:hideMark/>
          </w:tcPr>
          <w:p w14:paraId="793B8FE9"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SE-N_60</w:t>
            </w:r>
          </w:p>
        </w:tc>
        <w:tc>
          <w:tcPr>
            <w:tcW w:w="3969" w:type="dxa"/>
            <w:tcBorders>
              <w:top w:val="nil"/>
              <w:left w:val="nil"/>
              <w:bottom w:val="single" w:sz="4" w:space="0" w:color="auto"/>
              <w:right w:val="single" w:sz="4" w:space="0" w:color="auto"/>
            </w:tcBorders>
            <w:shd w:val="clear" w:color="auto" w:fill="auto"/>
            <w:noWrap/>
            <w:vAlign w:val="bottom"/>
            <w:hideMark/>
          </w:tcPr>
          <w:p w14:paraId="7D0CD7B3"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PUNTA COLORADA</w:t>
            </w:r>
          </w:p>
        </w:tc>
        <w:tc>
          <w:tcPr>
            <w:tcW w:w="2552" w:type="dxa"/>
            <w:tcBorders>
              <w:top w:val="nil"/>
              <w:left w:val="nil"/>
              <w:bottom w:val="single" w:sz="4" w:space="0" w:color="auto"/>
              <w:right w:val="single" w:sz="4" w:space="0" w:color="auto"/>
            </w:tcBorders>
            <w:shd w:val="clear" w:color="auto" w:fill="auto"/>
            <w:noWrap/>
            <w:vAlign w:val="bottom"/>
            <w:hideMark/>
          </w:tcPr>
          <w:p w14:paraId="70BBEA2E"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1.733.527,01</w:t>
            </w:r>
          </w:p>
        </w:tc>
      </w:tr>
      <w:tr w:rsidR="00F501EB" w:rsidRPr="00A81CB8" w14:paraId="58064A24"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3A71B20C"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SE-N_61</w:t>
            </w:r>
          </w:p>
        </w:tc>
        <w:tc>
          <w:tcPr>
            <w:tcW w:w="3969" w:type="dxa"/>
            <w:tcBorders>
              <w:top w:val="nil"/>
              <w:left w:val="nil"/>
              <w:bottom w:val="single" w:sz="4" w:space="0" w:color="auto"/>
              <w:right w:val="single" w:sz="4" w:space="0" w:color="auto"/>
            </w:tcBorders>
            <w:shd w:val="clear" w:color="auto" w:fill="auto"/>
            <w:noWrap/>
            <w:vAlign w:val="center"/>
            <w:hideMark/>
          </w:tcPr>
          <w:p w14:paraId="36C859A4"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Punta Sierra</w:t>
            </w:r>
          </w:p>
        </w:tc>
        <w:tc>
          <w:tcPr>
            <w:tcW w:w="2552" w:type="dxa"/>
            <w:tcBorders>
              <w:top w:val="nil"/>
              <w:left w:val="nil"/>
              <w:bottom w:val="single" w:sz="4" w:space="0" w:color="auto"/>
              <w:right w:val="single" w:sz="4" w:space="0" w:color="auto"/>
            </w:tcBorders>
            <w:shd w:val="clear" w:color="auto" w:fill="auto"/>
            <w:noWrap/>
            <w:hideMark/>
          </w:tcPr>
          <w:p w14:paraId="3F23B5E8"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eastAsia="Times New Roman" w:cs="Calibri"/>
                <w:color w:val="000000"/>
                <w:sz w:val="20"/>
                <w:szCs w:val="20"/>
                <w:lang w:eastAsia="es-CL"/>
              </w:rPr>
              <w:t>-</w:t>
            </w:r>
            <w:r w:rsidRPr="00FF0E22">
              <w:rPr>
                <w:rFonts w:eastAsia="Times New Roman" w:cs="Calibri"/>
                <w:color w:val="000000"/>
                <w:sz w:val="20"/>
                <w:szCs w:val="20"/>
                <w:lang w:eastAsia="es-CL"/>
              </w:rPr>
              <w:t xml:space="preserve">                                                                 </w:t>
            </w:r>
          </w:p>
        </w:tc>
      </w:tr>
      <w:tr w:rsidR="00F501EB" w:rsidRPr="00A81CB8" w14:paraId="2941E0B0"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bottom"/>
            <w:hideMark/>
          </w:tcPr>
          <w:p w14:paraId="04571E26"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SE-N_62</w:t>
            </w:r>
          </w:p>
        </w:tc>
        <w:tc>
          <w:tcPr>
            <w:tcW w:w="3969" w:type="dxa"/>
            <w:tcBorders>
              <w:top w:val="nil"/>
              <w:left w:val="nil"/>
              <w:bottom w:val="single" w:sz="4" w:space="0" w:color="auto"/>
              <w:right w:val="single" w:sz="4" w:space="0" w:color="auto"/>
            </w:tcBorders>
            <w:shd w:val="clear" w:color="auto" w:fill="auto"/>
            <w:noWrap/>
            <w:vAlign w:val="bottom"/>
            <w:hideMark/>
          </w:tcPr>
          <w:p w14:paraId="1D2C4DD5"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CENTRAL QUILAPILUN</w:t>
            </w:r>
          </w:p>
        </w:tc>
        <w:tc>
          <w:tcPr>
            <w:tcW w:w="2552" w:type="dxa"/>
            <w:tcBorders>
              <w:top w:val="nil"/>
              <w:left w:val="nil"/>
              <w:bottom w:val="single" w:sz="4" w:space="0" w:color="auto"/>
              <w:right w:val="single" w:sz="4" w:space="0" w:color="auto"/>
            </w:tcBorders>
            <w:shd w:val="clear" w:color="auto" w:fill="auto"/>
            <w:noWrap/>
            <w:vAlign w:val="bottom"/>
            <w:hideMark/>
          </w:tcPr>
          <w:p w14:paraId="47B2966E"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17.926,77</w:t>
            </w:r>
          </w:p>
        </w:tc>
      </w:tr>
      <w:tr w:rsidR="00F501EB" w:rsidRPr="00A81CB8" w14:paraId="577A6787"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bottom"/>
            <w:hideMark/>
          </w:tcPr>
          <w:p w14:paraId="5F559AE6"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SE-N_63</w:t>
            </w:r>
          </w:p>
        </w:tc>
        <w:tc>
          <w:tcPr>
            <w:tcW w:w="3969" w:type="dxa"/>
            <w:tcBorders>
              <w:top w:val="nil"/>
              <w:left w:val="nil"/>
              <w:bottom w:val="single" w:sz="4" w:space="0" w:color="auto"/>
              <w:right w:val="single" w:sz="4" w:space="0" w:color="auto"/>
            </w:tcBorders>
            <w:shd w:val="clear" w:color="auto" w:fill="auto"/>
            <w:noWrap/>
            <w:vAlign w:val="bottom"/>
            <w:hideMark/>
          </w:tcPr>
          <w:p w14:paraId="72245706"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TAP OFF QUILLAGUA</w:t>
            </w:r>
          </w:p>
        </w:tc>
        <w:tc>
          <w:tcPr>
            <w:tcW w:w="2552" w:type="dxa"/>
            <w:tcBorders>
              <w:top w:val="nil"/>
              <w:left w:val="nil"/>
              <w:bottom w:val="single" w:sz="4" w:space="0" w:color="auto"/>
              <w:right w:val="single" w:sz="4" w:space="0" w:color="auto"/>
            </w:tcBorders>
            <w:shd w:val="clear" w:color="auto" w:fill="auto"/>
            <w:noWrap/>
            <w:vAlign w:val="bottom"/>
            <w:hideMark/>
          </w:tcPr>
          <w:p w14:paraId="772B697A"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4.796,25</w:t>
            </w:r>
          </w:p>
        </w:tc>
      </w:tr>
      <w:tr w:rsidR="00F501EB" w:rsidRPr="00A81CB8" w14:paraId="4221A5C8"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bottom"/>
            <w:hideMark/>
          </w:tcPr>
          <w:p w14:paraId="0DE289C7"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SE-N_64</w:t>
            </w:r>
          </w:p>
        </w:tc>
        <w:tc>
          <w:tcPr>
            <w:tcW w:w="3969" w:type="dxa"/>
            <w:tcBorders>
              <w:top w:val="nil"/>
              <w:left w:val="nil"/>
              <w:bottom w:val="single" w:sz="4" w:space="0" w:color="auto"/>
              <w:right w:val="single" w:sz="4" w:space="0" w:color="auto"/>
            </w:tcBorders>
            <w:shd w:val="clear" w:color="auto" w:fill="auto"/>
            <w:noWrap/>
            <w:vAlign w:val="bottom"/>
            <w:hideMark/>
          </w:tcPr>
          <w:p w14:paraId="46CC41B4"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QUILLOTA</w:t>
            </w:r>
          </w:p>
        </w:tc>
        <w:tc>
          <w:tcPr>
            <w:tcW w:w="2552" w:type="dxa"/>
            <w:tcBorders>
              <w:top w:val="nil"/>
              <w:left w:val="nil"/>
              <w:bottom w:val="single" w:sz="4" w:space="0" w:color="auto"/>
              <w:right w:val="single" w:sz="4" w:space="0" w:color="auto"/>
            </w:tcBorders>
            <w:shd w:val="clear" w:color="auto" w:fill="auto"/>
            <w:noWrap/>
            <w:vAlign w:val="bottom"/>
            <w:hideMark/>
          </w:tcPr>
          <w:p w14:paraId="250168E3"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3.098.786,96</w:t>
            </w:r>
          </w:p>
        </w:tc>
      </w:tr>
      <w:tr w:rsidR="00F501EB" w:rsidRPr="00A81CB8" w14:paraId="3A1092CC"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bottom"/>
            <w:hideMark/>
          </w:tcPr>
          <w:p w14:paraId="1FE1B0EA"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SE-N_65</w:t>
            </w:r>
          </w:p>
        </w:tc>
        <w:tc>
          <w:tcPr>
            <w:tcW w:w="3969" w:type="dxa"/>
            <w:tcBorders>
              <w:top w:val="nil"/>
              <w:left w:val="nil"/>
              <w:bottom w:val="single" w:sz="4" w:space="0" w:color="auto"/>
              <w:right w:val="single" w:sz="4" w:space="0" w:color="auto"/>
            </w:tcBorders>
            <w:shd w:val="clear" w:color="auto" w:fill="auto"/>
            <w:noWrap/>
            <w:vAlign w:val="bottom"/>
            <w:hideMark/>
          </w:tcPr>
          <w:p w14:paraId="304CD0E2"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RAHUE</w:t>
            </w:r>
          </w:p>
        </w:tc>
        <w:tc>
          <w:tcPr>
            <w:tcW w:w="2552" w:type="dxa"/>
            <w:tcBorders>
              <w:top w:val="nil"/>
              <w:left w:val="nil"/>
              <w:bottom w:val="single" w:sz="4" w:space="0" w:color="auto"/>
              <w:right w:val="single" w:sz="4" w:space="0" w:color="auto"/>
            </w:tcBorders>
            <w:shd w:val="clear" w:color="auto" w:fill="auto"/>
            <w:noWrap/>
            <w:vAlign w:val="bottom"/>
            <w:hideMark/>
          </w:tcPr>
          <w:p w14:paraId="0DF639B5"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1.992.652,26</w:t>
            </w:r>
          </w:p>
        </w:tc>
      </w:tr>
      <w:tr w:rsidR="00F501EB" w:rsidRPr="00A81CB8" w14:paraId="0219E2E6"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bottom"/>
            <w:hideMark/>
          </w:tcPr>
          <w:p w14:paraId="28DC5EDF"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SE-N_66</w:t>
            </w:r>
          </w:p>
        </w:tc>
        <w:tc>
          <w:tcPr>
            <w:tcW w:w="3969" w:type="dxa"/>
            <w:tcBorders>
              <w:top w:val="nil"/>
              <w:left w:val="nil"/>
              <w:bottom w:val="single" w:sz="4" w:space="0" w:color="auto"/>
              <w:right w:val="single" w:sz="4" w:space="0" w:color="auto"/>
            </w:tcBorders>
            <w:shd w:val="clear" w:color="auto" w:fill="auto"/>
            <w:noWrap/>
            <w:vAlign w:val="bottom"/>
            <w:hideMark/>
          </w:tcPr>
          <w:p w14:paraId="293064C9"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RAPEL</w:t>
            </w:r>
          </w:p>
        </w:tc>
        <w:tc>
          <w:tcPr>
            <w:tcW w:w="2552" w:type="dxa"/>
            <w:tcBorders>
              <w:top w:val="nil"/>
              <w:left w:val="nil"/>
              <w:bottom w:val="single" w:sz="4" w:space="0" w:color="auto"/>
              <w:right w:val="single" w:sz="4" w:space="0" w:color="auto"/>
            </w:tcBorders>
            <w:shd w:val="clear" w:color="auto" w:fill="auto"/>
            <w:noWrap/>
            <w:vAlign w:val="bottom"/>
            <w:hideMark/>
          </w:tcPr>
          <w:p w14:paraId="40972958"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2.435.874,34</w:t>
            </w:r>
          </w:p>
        </w:tc>
      </w:tr>
      <w:tr w:rsidR="00F501EB" w:rsidRPr="00A81CB8" w14:paraId="55824352"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bottom"/>
            <w:hideMark/>
          </w:tcPr>
          <w:p w14:paraId="3622416F"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SE-N_67</w:t>
            </w:r>
          </w:p>
        </w:tc>
        <w:tc>
          <w:tcPr>
            <w:tcW w:w="3969" w:type="dxa"/>
            <w:tcBorders>
              <w:top w:val="nil"/>
              <w:left w:val="nil"/>
              <w:bottom w:val="single" w:sz="4" w:space="0" w:color="auto"/>
              <w:right w:val="single" w:sz="4" w:space="0" w:color="auto"/>
            </w:tcBorders>
            <w:shd w:val="clear" w:color="auto" w:fill="auto"/>
            <w:noWrap/>
            <w:vAlign w:val="bottom"/>
            <w:hideMark/>
          </w:tcPr>
          <w:p w14:paraId="5B351BC9"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SAN ANDRES</w:t>
            </w:r>
          </w:p>
        </w:tc>
        <w:tc>
          <w:tcPr>
            <w:tcW w:w="2552" w:type="dxa"/>
            <w:tcBorders>
              <w:top w:val="nil"/>
              <w:left w:val="nil"/>
              <w:bottom w:val="single" w:sz="4" w:space="0" w:color="auto"/>
              <w:right w:val="single" w:sz="4" w:space="0" w:color="auto"/>
            </w:tcBorders>
            <w:shd w:val="clear" w:color="auto" w:fill="auto"/>
            <w:noWrap/>
            <w:vAlign w:val="bottom"/>
            <w:hideMark/>
          </w:tcPr>
          <w:p w14:paraId="1F77E469"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13.316.357,06</w:t>
            </w:r>
          </w:p>
        </w:tc>
      </w:tr>
      <w:tr w:rsidR="00F501EB" w:rsidRPr="00A81CB8" w14:paraId="69BF2A91"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bottom"/>
            <w:hideMark/>
          </w:tcPr>
          <w:p w14:paraId="015D7CF4"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SE-N_68</w:t>
            </w:r>
          </w:p>
        </w:tc>
        <w:tc>
          <w:tcPr>
            <w:tcW w:w="3969" w:type="dxa"/>
            <w:tcBorders>
              <w:top w:val="nil"/>
              <w:left w:val="nil"/>
              <w:bottom w:val="single" w:sz="4" w:space="0" w:color="auto"/>
              <w:right w:val="single" w:sz="4" w:space="0" w:color="auto"/>
            </w:tcBorders>
            <w:shd w:val="clear" w:color="auto" w:fill="auto"/>
            <w:noWrap/>
            <w:vAlign w:val="bottom"/>
            <w:hideMark/>
          </w:tcPr>
          <w:p w14:paraId="7A8F6026"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Salar</w:t>
            </w:r>
          </w:p>
        </w:tc>
        <w:tc>
          <w:tcPr>
            <w:tcW w:w="2552" w:type="dxa"/>
            <w:tcBorders>
              <w:top w:val="nil"/>
              <w:left w:val="nil"/>
              <w:bottom w:val="single" w:sz="4" w:space="0" w:color="auto"/>
              <w:right w:val="single" w:sz="4" w:space="0" w:color="auto"/>
            </w:tcBorders>
            <w:shd w:val="clear" w:color="auto" w:fill="auto"/>
            <w:noWrap/>
            <w:vAlign w:val="bottom"/>
            <w:hideMark/>
          </w:tcPr>
          <w:p w14:paraId="696884E5"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2.859.714,33</w:t>
            </w:r>
          </w:p>
        </w:tc>
      </w:tr>
      <w:tr w:rsidR="00F501EB" w:rsidRPr="00A81CB8" w14:paraId="7C9A6B0D"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bottom"/>
            <w:hideMark/>
          </w:tcPr>
          <w:p w14:paraId="65D0F3A9"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SE-N_69</w:t>
            </w:r>
          </w:p>
        </w:tc>
        <w:tc>
          <w:tcPr>
            <w:tcW w:w="3969" w:type="dxa"/>
            <w:tcBorders>
              <w:top w:val="nil"/>
              <w:left w:val="nil"/>
              <w:bottom w:val="single" w:sz="4" w:space="0" w:color="auto"/>
              <w:right w:val="single" w:sz="4" w:space="0" w:color="auto"/>
            </w:tcBorders>
            <w:shd w:val="clear" w:color="auto" w:fill="auto"/>
            <w:noWrap/>
            <w:vAlign w:val="bottom"/>
            <w:hideMark/>
          </w:tcPr>
          <w:p w14:paraId="1C208552"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SAN LUIS</w:t>
            </w:r>
          </w:p>
        </w:tc>
        <w:tc>
          <w:tcPr>
            <w:tcW w:w="2552" w:type="dxa"/>
            <w:tcBorders>
              <w:top w:val="nil"/>
              <w:left w:val="nil"/>
              <w:bottom w:val="single" w:sz="4" w:space="0" w:color="auto"/>
              <w:right w:val="single" w:sz="4" w:space="0" w:color="auto"/>
            </w:tcBorders>
            <w:shd w:val="clear" w:color="auto" w:fill="auto"/>
            <w:noWrap/>
            <w:vAlign w:val="bottom"/>
            <w:hideMark/>
          </w:tcPr>
          <w:p w14:paraId="26A755FC"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1.172.215,36</w:t>
            </w:r>
          </w:p>
        </w:tc>
      </w:tr>
      <w:tr w:rsidR="00F501EB" w:rsidRPr="00A81CB8" w14:paraId="1B164553"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4B09CF01"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SE-N_70</w:t>
            </w:r>
          </w:p>
        </w:tc>
        <w:tc>
          <w:tcPr>
            <w:tcW w:w="3969" w:type="dxa"/>
            <w:tcBorders>
              <w:top w:val="nil"/>
              <w:left w:val="nil"/>
              <w:bottom w:val="single" w:sz="4" w:space="0" w:color="auto"/>
              <w:right w:val="single" w:sz="4" w:space="0" w:color="auto"/>
            </w:tcBorders>
            <w:shd w:val="clear" w:color="auto" w:fill="auto"/>
            <w:noWrap/>
            <w:vAlign w:val="center"/>
            <w:hideMark/>
          </w:tcPr>
          <w:p w14:paraId="525727D0"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San Simón</w:t>
            </w:r>
          </w:p>
        </w:tc>
        <w:tc>
          <w:tcPr>
            <w:tcW w:w="2552" w:type="dxa"/>
            <w:tcBorders>
              <w:top w:val="nil"/>
              <w:left w:val="nil"/>
              <w:bottom w:val="single" w:sz="4" w:space="0" w:color="auto"/>
              <w:right w:val="single" w:sz="4" w:space="0" w:color="auto"/>
            </w:tcBorders>
            <w:shd w:val="clear" w:color="auto" w:fill="auto"/>
            <w:noWrap/>
            <w:hideMark/>
          </w:tcPr>
          <w:p w14:paraId="749F3738"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eastAsia="Times New Roman" w:cs="Calibri"/>
                <w:color w:val="000000"/>
                <w:sz w:val="20"/>
                <w:szCs w:val="20"/>
                <w:lang w:eastAsia="es-CL"/>
              </w:rPr>
              <w:t>-</w:t>
            </w:r>
            <w:r w:rsidRPr="00FF0E22">
              <w:rPr>
                <w:rFonts w:eastAsia="Times New Roman" w:cs="Calibri"/>
                <w:color w:val="000000"/>
                <w:sz w:val="20"/>
                <w:szCs w:val="20"/>
                <w:lang w:eastAsia="es-CL"/>
              </w:rPr>
              <w:t xml:space="preserve">                                                          </w:t>
            </w:r>
          </w:p>
        </w:tc>
      </w:tr>
      <w:tr w:rsidR="00F501EB" w:rsidRPr="00A81CB8" w14:paraId="08EF810D"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406E3CDF"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SE-N_71</w:t>
            </w:r>
          </w:p>
        </w:tc>
        <w:tc>
          <w:tcPr>
            <w:tcW w:w="3969" w:type="dxa"/>
            <w:tcBorders>
              <w:top w:val="nil"/>
              <w:left w:val="nil"/>
              <w:bottom w:val="single" w:sz="4" w:space="0" w:color="auto"/>
              <w:right w:val="single" w:sz="4" w:space="0" w:color="auto"/>
            </w:tcBorders>
            <w:shd w:val="clear" w:color="auto" w:fill="auto"/>
            <w:noWrap/>
            <w:vAlign w:val="center"/>
            <w:hideMark/>
          </w:tcPr>
          <w:p w14:paraId="602207EF"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Tap Central Santa Marta</w:t>
            </w:r>
          </w:p>
        </w:tc>
        <w:tc>
          <w:tcPr>
            <w:tcW w:w="2552" w:type="dxa"/>
            <w:tcBorders>
              <w:top w:val="nil"/>
              <w:left w:val="nil"/>
              <w:bottom w:val="single" w:sz="4" w:space="0" w:color="auto"/>
              <w:right w:val="single" w:sz="4" w:space="0" w:color="auto"/>
            </w:tcBorders>
            <w:shd w:val="clear" w:color="auto" w:fill="auto"/>
            <w:noWrap/>
            <w:hideMark/>
          </w:tcPr>
          <w:p w14:paraId="14973C43"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eastAsia="Times New Roman" w:cs="Calibri"/>
                <w:color w:val="000000"/>
                <w:sz w:val="20"/>
                <w:szCs w:val="20"/>
                <w:lang w:eastAsia="es-CL"/>
              </w:rPr>
              <w:t>-</w:t>
            </w:r>
            <w:r w:rsidRPr="00FF0E22">
              <w:rPr>
                <w:rFonts w:eastAsia="Times New Roman" w:cs="Calibri"/>
                <w:color w:val="000000"/>
                <w:sz w:val="20"/>
                <w:szCs w:val="20"/>
                <w:lang w:eastAsia="es-CL"/>
              </w:rPr>
              <w:t xml:space="preserve">                                                                  </w:t>
            </w:r>
          </w:p>
        </w:tc>
      </w:tr>
      <w:tr w:rsidR="00F501EB" w:rsidRPr="00A81CB8" w14:paraId="7F747B27"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673697BA"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SE-N_72</w:t>
            </w:r>
          </w:p>
        </w:tc>
        <w:tc>
          <w:tcPr>
            <w:tcW w:w="3969" w:type="dxa"/>
            <w:tcBorders>
              <w:top w:val="nil"/>
              <w:left w:val="nil"/>
              <w:bottom w:val="single" w:sz="4" w:space="0" w:color="auto"/>
              <w:right w:val="single" w:sz="4" w:space="0" w:color="auto"/>
            </w:tcBorders>
            <w:shd w:val="clear" w:color="auto" w:fill="auto"/>
            <w:noWrap/>
            <w:vAlign w:val="center"/>
            <w:hideMark/>
          </w:tcPr>
          <w:p w14:paraId="3467A9C4"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Tap Chicureo</w:t>
            </w:r>
          </w:p>
        </w:tc>
        <w:tc>
          <w:tcPr>
            <w:tcW w:w="2552" w:type="dxa"/>
            <w:tcBorders>
              <w:top w:val="nil"/>
              <w:left w:val="nil"/>
              <w:bottom w:val="single" w:sz="4" w:space="0" w:color="auto"/>
              <w:right w:val="single" w:sz="4" w:space="0" w:color="auto"/>
            </w:tcBorders>
            <w:shd w:val="clear" w:color="auto" w:fill="auto"/>
            <w:noWrap/>
            <w:hideMark/>
          </w:tcPr>
          <w:p w14:paraId="07E88CF6"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eastAsia="Times New Roman" w:cs="Calibri"/>
                <w:color w:val="000000"/>
                <w:sz w:val="20"/>
                <w:szCs w:val="20"/>
                <w:lang w:eastAsia="es-CL"/>
              </w:rPr>
              <w:t>-</w:t>
            </w:r>
            <w:r w:rsidRPr="00FF0E22">
              <w:rPr>
                <w:rFonts w:eastAsia="Times New Roman" w:cs="Calibri"/>
                <w:color w:val="000000"/>
                <w:sz w:val="20"/>
                <w:szCs w:val="20"/>
                <w:lang w:eastAsia="es-CL"/>
              </w:rPr>
              <w:t xml:space="preserve">                                                                  </w:t>
            </w:r>
          </w:p>
        </w:tc>
      </w:tr>
      <w:tr w:rsidR="00F501EB" w:rsidRPr="00A81CB8" w14:paraId="2D732C69"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32A57371"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SE-N_73</w:t>
            </w:r>
          </w:p>
        </w:tc>
        <w:tc>
          <w:tcPr>
            <w:tcW w:w="3969" w:type="dxa"/>
            <w:tcBorders>
              <w:top w:val="nil"/>
              <w:left w:val="nil"/>
              <w:bottom w:val="single" w:sz="4" w:space="0" w:color="auto"/>
              <w:right w:val="single" w:sz="4" w:space="0" w:color="auto"/>
            </w:tcBorders>
            <w:shd w:val="clear" w:color="auto" w:fill="auto"/>
            <w:noWrap/>
            <w:vAlign w:val="center"/>
            <w:hideMark/>
          </w:tcPr>
          <w:p w14:paraId="104A7BAA"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Tap Doña Carmen</w:t>
            </w:r>
          </w:p>
        </w:tc>
        <w:tc>
          <w:tcPr>
            <w:tcW w:w="2552" w:type="dxa"/>
            <w:tcBorders>
              <w:top w:val="nil"/>
              <w:left w:val="nil"/>
              <w:bottom w:val="single" w:sz="4" w:space="0" w:color="auto"/>
              <w:right w:val="single" w:sz="4" w:space="0" w:color="auto"/>
            </w:tcBorders>
            <w:shd w:val="clear" w:color="auto" w:fill="auto"/>
            <w:noWrap/>
            <w:hideMark/>
          </w:tcPr>
          <w:p w14:paraId="1476D26C"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eastAsia="Times New Roman" w:cs="Calibri"/>
                <w:color w:val="000000"/>
                <w:sz w:val="20"/>
                <w:szCs w:val="20"/>
                <w:lang w:eastAsia="es-CL"/>
              </w:rPr>
              <w:t>-</w:t>
            </w:r>
            <w:r w:rsidRPr="00FF0E22">
              <w:rPr>
                <w:rFonts w:eastAsia="Times New Roman" w:cs="Calibri"/>
                <w:color w:val="000000"/>
                <w:sz w:val="20"/>
                <w:szCs w:val="20"/>
                <w:lang w:eastAsia="es-CL"/>
              </w:rPr>
              <w:t xml:space="preserve">                                                                  </w:t>
            </w:r>
          </w:p>
        </w:tc>
      </w:tr>
      <w:tr w:rsidR="00F501EB" w:rsidRPr="00A81CB8" w14:paraId="7995ABCE"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367B944F"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SE-N_74</w:t>
            </w:r>
          </w:p>
        </w:tc>
        <w:tc>
          <w:tcPr>
            <w:tcW w:w="3969" w:type="dxa"/>
            <w:tcBorders>
              <w:top w:val="nil"/>
              <w:left w:val="nil"/>
              <w:bottom w:val="single" w:sz="4" w:space="0" w:color="auto"/>
              <w:right w:val="single" w:sz="4" w:space="0" w:color="auto"/>
            </w:tcBorders>
            <w:shd w:val="clear" w:color="auto" w:fill="auto"/>
            <w:noWrap/>
            <w:vAlign w:val="center"/>
            <w:hideMark/>
          </w:tcPr>
          <w:p w14:paraId="3DF55E36"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Tap El Manzano</w:t>
            </w:r>
          </w:p>
        </w:tc>
        <w:tc>
          <w:tcPr>
            <w:tcW w:w="2552" w:type="dxa"/>
            <w:tcBorders>
              <w:top w:val="nil"/>
              <w:left w:val="nil"/>
              <w:bottom w:val="single" w:sz="4" w:space="0" w:color="auto"/>
              <w:right w:val="single" w:sz="4" w:space="0" w:color="auto"/>
            </w:tcBorders>
            <w:shd w:val="clear" w:color="auto" w:fill="auto"/>
            <w:noWrap/>
            <w:hideMark/>
          </w:tcPr>
          <w:p w14:paraId="092C0A59"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eastAsia="Times New Roman" w:cs="Calibri"/>
                <w:color w:val="000000"/>
                <w:sz w:val="20"/>
                <w:szCs w:val="20"/>
                <w:lang w:eastAsia="es-CL"/>
              </w:rPr>
              <w:t>-</w:t>
            </w:r>
            <w:r w:rsidRPr="00FF0E22">
              <w:rPr>
                <w:rFonts w:eastAsia="Times New Roman" w:cs="Calibri"/>
                <w:color w:val="000000"/>
                <w:sz w:val="20"/>
                <w:szCs w:val="20"/>
                <w:lang w:eastAsia="es-CL"/>
              </w:rPr>
              <w:t xml:space="preserve">                                                                  </w:t>
            </w:r>
          </w:p>
        </w:tc>
      </w:tr>
      <w:tr w:rsidR="00F501EB" w:rsidRPr="00A81CB8" w14:paraId="6508BB90"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7DECF5DE"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SE-N_75</w:t>
            </w:r>
          </w:p>
        </w:tc>
        <w:tc>
          <w:tcPr>
            <w:tcW w:w="3969" w:type="dxa"/>
            <w:tcBorders>
              <w:top w:val="nil"/>
              <w:left w:val="nil"/>
              <w:bottom w:val="single" w:sz="4" w:space="0" w:color="auto"/>
              <w:right w:val="single" w:sz="4" w:space="0" w:color="auto"/>
            </w:tcBorders>
            <w:shd w:val="clear" w:color="auto" w:fill="auto"/>
            <w:noWrap/>
            <w:vAlign w:val="center"/>
            <w:hideMark/>
          </w:tcPr>
          <w:p w14:paraId="06A14568"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Tap El Romero</w:t>
            </w:r>
          </w:p>
        </w:tc>
        <w:tc>
          <w:tcPr>
            <w:tcW w:w="2552" w:type="dxa"/>
            <w:tcBorders>
              <w:top w:val="nil"/>
              <w:left w:val="nil"/>
              <w:bottom w:val="single" w:sz="4" w:space="0" w:color="auto"/>
              <w:right w:val="single" w:sz="4" w:space="0" w:color="auto"/>
            </w:tcBorders>
            <w:shd w:val="clear" w:color="auto" w:fill="auto"/>
            <w:noWrap/>
            <w:hideMark/>
          </w:tcPr>
          <w:p w14:paraId="73F04EB7"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eastAsia="Times New Roman" w:cs="Calibri"/>
                <w:color w:val="000000"/>
                <w:sz w:val="20"/>
                <w:szCs w:val="20"/>
                <w:lang w:eastAsia="es-CL"/>
              </w:rPr>
              <w:t>-</w:t>
            </w:r>
            <w:r w:rsidRPr="00FF0E22">
              <w:rPr>
                <w:rFonts w:eastAsia="Times New Roman" w:cs="Calibri"/>
                <w:color w:val="000000"/>
                <w:sz w:val="20"/>
                <w:szCs w:val="20"/>
                <w:lang w:eastAsia="es-CL"/>
              </w:rPr>
              <w:t xml:space="preserve">                                                                  </w:t>
            </w:r>
          </w:p>
        </w:tc>
      </w:tr>
      <w:tr w:rsidR="00F501EB" w:rsidRPr="00A81CB8" w14:paraId="427FBC84"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1B107189"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SE-N_76</w:t>
            </w:r>
          </w:p>
        </w:tc>
        <w:tc>
          <w:tcPr>
            <w:tcW w:w="3969" w:type="dxa"/>
            <w:tcBorders>
              <w:top w:val="nil"/>
              <w:left w:val="nil"/>
              <w:bottom w:val="single" w:sz="4" w:space="0" w:color="auto"/>
              <w:right w:val="single" w:sz="4" w:space="0" w:color="auto"/>
            </w:tcBorders>
            <w:shd w:val="clear" w:color="auto" w:fill="auto"/>
            <w:noWrap/>
            <w:vAlign w:val="center"/>
            <w:hideMark/>
          </w:tcPr>
          <w:p w14:paraId="60E04FA9"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Tap Enlace</w:t>
            </w:r>
          </w:p>
        </w:tc>
        <w:tc>
          <w:tcPr>
            <w:tcW w:w="2552" w:type="dxa"/>
            <w:tcBorders>
              <w:top w:val="nil"/>
              <w:left w:val="nil"/>
              <w:bottom w:val="single" w:sz="4" w:space="0" w:color="auto"/>
              <w:right w:val="single" w:sz="4" w:space="0" w:color="auto"/>
            </w:tcBorders>
            <w:shd w:val="clear" w:color="auto" w:fill="auto"/>
            <w:noWrap/>
            <w:hideMark/>
          </w:tcPr>
          <w:p w14:paraId="185CFDC2"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eastAsia="Times New Roman" w:cs="Calibri"/>
                <w:color w:val="000000"/>
                <w:sz w:val="20"/>
                <w:szCs w:val="20"/>
                <w:lang w:eastAsia="es-CL"/>
              </w:rPr>
              <w:t>-</w:t>
            </w:r>
            <w:r w:rsidRPr="00FF0E22">
              <w:rPr>
                <w:rFonts w:eastAsia="Times New Roman" w:cs="Calibri"/>
                <w:color w:val="000000"/>
                <w:sz w:val="20"/>
                <w:szCs w:val="20"/>
                <w:lang w:eastAsia="es-CL"/>
              </w:rPr>
              <w:t xml:space="preserve">                                                                  </w:t>
            </w:r>
          </w:p>
        </w:tc>
      </w:tr>
      <w:tr w:rsidR="00F501EB" w:rsidRPr="00A81CB8" w14:paraId="322E95B1"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396FE0E8"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SE-N_77</w:t>
            </w:r>
          </w:p>
        </w:tc>
        <w:tc>
          <w:tcPr>
            <w:tcW w:w="3969" w:type="dxa"/>
            <w:tcBorders>
              <w:top w:val="nil"/>
              <w:left w:val="nil"/>
              <w:bottom w:val="single" w:sz="4" w:space="0" w:color="auto"/>
              <w:right w:val="single" w:sz="4" w:space="0" w:color="auto"/>
            </w:tcBorders>
            <w:shd w:val="clear" w:color="auto" w:fill="auto"/>
            <w:noWrap/>
            <w:vAlign w:val="center"/>
            <w:hideMark/>
          </w:tcPr>
          <w:p w14:paraId="1413ECAA"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Tap Off Sierra Gorda Eólico</w:t>
            </w:r>
          </w:p>
        </w:tc>
        <w:tc>
          <w:tcPr>
            <w:tcW w:w="2552" w:type="dxa"/>
            <w:tcBorders>
              <w:top w:val="nil"/>
              <w:left w:val="nil"/>
              <w:bottom w:val="single" w:sz="4" w:space="0" w:color="auto"/>
              <w:right w:val="single" w:sz="4" w:space="0" w:color="auto"/>
            </w:tcBorders>
            <w:shd w:val="clear" w:color="auto" w:fill="auto"/>
            <w:noWrap/>
            <w:hideMark/>
          </w:tcPr>
          <w:p w14:paraId="5B6AFB11"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eastAsia="Times New Roman" w:cs="Calibri"/>
                <w:color w:val="000000"/>
                <w:sz w:val="20"/>
                <w:szCs w:val="20"/>
                <w:lang w:eastAsia="es-CL"/>
              </w:rPr>
              <w:t>-</w:t>
            </w:r>
            <w:r w:rsidRPr="00FF0E22">
              <w:rPr>
                <w:rFonts w:eastAsia="Times New Roman" w:cs="Calibri"/>
                <w:color w:val="000000"/>
                <w:sz w:val="20"/>
                <w:szCs w:val="20"/>
                <w:lang w:eastAsia="es-CL"/>
              </w:rPr>
              <w:t xml:space="preserve">                                                                  </w:t>
            </w:r>
          </w:p>
        </w:tc>
      </w:tr>
      <w:tr w:rsidR="00F501EB" w:rsidRPr="00A81CB8" w14:paraId="1478254A"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bottom"/>
            <w:hideMark/>
          </w:tcPr>
          <w:p w14:paraId="40316AF6"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SE-N_78</w:t>
            </w:r>
          </w:p>
        </w:tc>
        <w:tc>
          <w:tcPr>
            <w:tcW w:w="3969" w:type="dxa"/>
            <w:tcBorders>
              <w:top w:val="nil"/>
              <w:left w:val="nil"/>
              <w:bottom w:val="single" w:sz="4" w:space="0" w:color="auto"/>
              <w:right w:val="single" w:sz="4" w:space="0" w:color="auto"/>
            </w:tcBorders>
            <w:shd w:val="clear" w:color="auto" w:fill="auto"/>
            <w:noWrap/>
            <w:vAlign w:val="bottom"/>
            <w:hideMark/>
          </w:tcPr>
          <w:p w14:paraId="42E13A08"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TARAPACA</w:t>
            </w:r>
          </w:p>
        </w:tc>
        <w:tc>
          <w:tcPr>
            <w:tcW w:w="2552" w:type="dxa"/>
            <w:tcBorders>
              <w:top w:val="nil"/>
              <w:left w:val="nil"/>
              <w:bottom w:val="single" w:sz="4" w:space="0" w:color="auto"/>
              <w:right w:val="single" w:sz="4" w:space="0" w:color="auto"/>
            </w:tcBorders>
            <w:shd w:val="clear" w:color="auto" w:fill="auto"/>
            <w:noWrap/>
            <w:vAlign w:val="bottom"/>
            <w:hideMark/>
          </w:tcPr>
          <w:p w14:paraId="557C1681"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1.957.137,19</w:t>
            </w:r>
          </w:p>
        </w:tc>
      </w:tr>
      <w:tr w:rsidR="00F501EB" w:rsidRPr="00A81CB8" w14:paraId="70B9F01E"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bottom"/>
            <w:hideMark/>
          </w:tcPr>
          <w:p w14:paraId="603B33DD"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SE-N_79</w:t>
            </w:r>
          </w:p>
        </w:tc>
        <w:tc>
          <w:tcPr>
            <w:tcW w:w="3969" w:type="dxa"/>
            <w:tcBorders>
              <w:top w:val="nil"/>
              <w:left w:val="nil"/>
              <w:bottom w:val="single" w:sz="4" w:space="0" w:color="auto"/>
              <w:right w:val="single" w:sz="4" w:space="0" w:color="auto"/>
            </w:tcBorders>
            <w:shd w:val="clear" w:color="auto" w:fill="auto"/>
            <w:noWrap/>
            <w:vAlign w:val="bottom"/>
            <w:hideMark/>
          </w:tcPr>
          <w:p w14:paraId="5A419706"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TEMUCO</w:t>
            </w:r>
          </w:p>
        </w:tc>
        <w:tc>
          <w:tcPr>
            <w:tcW w:w="2552" w:type="dxa"/>
            <w:tcBorders>
              <w:top w:val="nil"/>
              <w:left w:val="nil"/>
              <w:bottom w:val="single" w:sz="4" w:space="0" w:color="auto"/>
              <w:right w:val="single" w:sz="4" w:space="0" w:color="auto"/>
            </w:tcBorders>
            <w:shd w:val="clear" w:color="auto" w:fill="auto"/>
            <w:noWrap/>
            <w:vAlign w:val="bottom"/>
            <w:hideMark/>
          </w:tcPr>
          <w:p w14:paraId="214BB70B"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9.230.825,68</w:t>
            </w:r>
          </w:p>
        </w:tc>
      </w:tr>
      <w:tr w:rsidR="00F501EB" w:rsidRPr="00A81CB8" w14:paraId="0C444D89"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bottom"/>
            <w:hideMark/>
          </w:tcPr>
          <w:p w14:paraId="283DA7E9"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SE-N_80</w:t>
            </w:r>
          </w:p>
        </w:tc>
        <w:tc>
          <w:tcPr>
            <w:tcW w:w="3969" w:type="dxa"/>
            <w:tcBorders>
              <w:top w:val="nil"/>
              <w:left w:val="nil"/>
              <w:bottom w:val="single" w:sz="4" w:space="0" w:color="auto"/>
              <w:right w:val="single" w:sz="4" w:space="0" w:color="auto"/>
            </w:tcBorders>
            <w:shd w:val="clear" w:color="auto" w:fill="auto"/>
            <w:noWrap/>
            <w:vAlign w:val="bottom"/>
            <w:hideMark/>
          </w:tcPr>
          <w:p w14:paraId="605F569B"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TINGUIRIRICA</w:t>
            </w:r>
          </w:p>
        </w:tc>
        <w:tc>
          <w:tcPr>
            <w:tcW w:w="2552" w:type="dxa"/>
            <w:tcBorders>
              <w:top w:val="nil"/>
              <w:left w:val="nil"/>
              <w:bottom w:val="single" w:sz="4" w:space="0" w:color="auto"/>
              <w:right w:val="single" w:sz="4" w:space="0" w:color="auto"/>
            </w:tcBorders>
            <w:shd w:val="clear" w:color="auto" w:fill="auto"/>
            <w:noWrap/>
            <w:vAlign w:val="bottom"/>
            <w:hideMark/>
          </w:tcPr>
          <w:p w14:paraId="448A64A8"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2.445.758,81</w:t>
            </w:r>
          </w:p>
        </w:tc>
      </w:tr>
      <w:tr w:rsidR="00F501EB" w:rsidRPr="00A81CB8" w14:paraId="3C3C7813"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bottom"/>
            <w:hideMark/>
          </w:tcPr>
          <w:p w14:paraId="335F45B4"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SE-N_81</w:t>
            </w:r>
          </w:p>
        </w:tc>
        <w:tc>
          <w:tcPr>
            <w:tcW w:w="3969" w:type="dxa"/>
            <w:tcBorders>
              <w:top w:val="nil"/>
              <w:left w:val="nil"/>
              <w:bottom w:val="single" w:sz="4" w:space="0" w:color="auto"/>
              <w:right w:val="single" w:sz="4" w:space="0" w:color="auto"/>
            </w:tcBorders>
            <w:shd w:val="clear" w:color="auto" w:fill="auto"/>
            <w:noWrap/>
            <w:vAlign w:val="bottom"/>
            <w:hideMark/>
          </w:tcPr>
          <w:p w14:paraId="6901E86C"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VALDIVIA</w:t>
            </w:r>
          </w:p>
        </w:tc>
        <w:tc>
          <w:tcPr>
            <w:tcW w:w="2552" w:type="dxa"/>
            <w:tcBorders>
              <w:top w:val="nil"/>
              <w:left w:val="nil"/>
              <w:bottom w:val="single" w:sz="4" w:space="0" w:color="auto"/>
              <w:right w:val="single" w:sz="4" w:space="0" w:color="auto"/>
            </w:tcBorders>
            <w:shd w:val="clear" w:color="auto" w:fill="auto"/>
            <w:noWrap/>
            <w:vAlign w:val="bottom"/>
            <w:hideMark/>
          </w:tcPr>
          <w:p w14:paraId="093E75DE"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3.733.348,37</w:t>
            </w:r>
          </w:p>
        </w:tc>
      </w:tr>
      <w:tr w:rsidR="00F501EB" w:rsidRPr="00A81CB8" w14:paraId="79A62A86" w14:textId="77777777" w:rsidTr="006B5A62">
        <w:trPr>
          <w:jc w:val="center"/>
        </w:trPr>
        <w:tc>
          <w:tcPr>
            <w:tcW w:w="1985" w:type="dxa"/>
            <w:tcBorders>
              <w:top w:val="nil"/>
              <w:left w:val="nil"/>
              <w:bottom w:val="nil"/>
              <w:right w:val="nil"/>
            </w:tcBorders>
            <w:shd w:val="clear" w:color="auto" w:fill="auto"/>
            <w:noWrap/>
            <w:vAlign w:val="center"/>
            <w:hideMark/>
          </w:tcPr>
          <w:p w14:paraId="76D7541B" w14:textId="77777777" w:rsidR="00F501EB" w:rsidRPr="00A81CB8" w:rsidRDefault="00F501EB" w:rsidP="006B5A62">
            <w:pPr>
              <w:spacing w:before="20" w:after="20" w:line="240" w:lineRule="auto"/>
              <w:jc w:val="left"/>
              <w:rPr>
                <w:rFonts w:eastAsia="Times New Roman" w:cs="Calibri"/>
                <w:color w:val="000000"/>
                <w:sz w:val="20"/>
                <w:szCs w:val="20"/>
                <w:lang w:eastAsia="es-CL"/>
              </w:rPr>
            </w:pPr>
          </w:p>
        </w:tc>
        <w:tc>
          <w:tcPr>
            <w:tcW w:w="3969" w:type="dxa"/>
            <w:tcBorders>
              <w:top w:val="nil"/>
              <w:left w:val="single" w:sz="4" w:space="0" w:color="auto"/>
              <w:bottom w:val="single" w:sz="4" w:space="0" w:color="auto"/>
              <w:right w:val="single" w:sz="4" w:space="0" w:color="auto"/>
            </w:tcBorders>
            <w:shd w:val="clear" w:color="auto" w:fill="auto"/>
            <w:noWrap/>
            <w:vAlign w:val="center"/>
            <w:hideMark/>
          </w:tcPr>
          <w:p w14:paraId="3DC27C88" w14:textId="77777777" w:rsidR="00F501EB" w:rsidRPr="00A81CB8" w:rsidRDefault="00F501EB" w:rsidP="006B5A62">
            <w:pPr>
              <w:spacing w:before="20" w:after="20" w:line="240" w:lineRule="auto"/>
              <w:jc w:val="left"/>
              <w:rPr>
                <w:rFonts w:eastAsia="Times New Roman" w:cs="Calibri"/>
                <w:b/>
                <w:bCs/>
                <w:color w:val="000000"/>
                <w:sz w:val="20"/>
                <w:szCs w:val="20"/>
                <w:lang w:eastAsia="es-CL"/>
              </w:rPr>
            </w:pPr>
            <w:r w:rsidRPr="00A81CB8">
              <w:rPr>
                <w:rFonts w:eastAsia="Times New Roman" w:cs="Calibri"/>
                <w:b/>
                <w:bCs/>
                <w:color w:val="000000"/>
                <w:sz w:val="20"/>
                <w:szCs w:val="20"/>
                <w:lang w:eastAsia="es-CL"/>
              </w:rPr>
              <w:t>TOTAL</w:t>
            </w:r>
          </w:p>
        </w:tc>
        <w:tc>
          <w:tcPr>
            <w:tcW w:w="2552" w:type="dxa"/>
            <w:tcBorders>
              <w:top w:val="nil"/>
              <w:left w:val="nil"/>
              <w:bottom w:val="single" w:sz="4" w:space="0" w:color="auto"/>
              <w:right w:val="single" w:sz="4" w:space="0" w:color="auto"/>
            </w:tcBorders>
            <w:shd w:val="clear" w:color="auto" w:fill="auto"/>
            <w:noWrap/>
            <w:hideMark/>
          </w:tcPr>
          <w:p w14:paraId="69303676" w14:textId="77777777" w:rsidR="00F501EB" w:rsidRPr="00540059" w:rsidRDefault="00F501EB" w:rsidP="006B5A62">
            <w:pPr>
              <w:spacing w:after="0" w:line="240" w:lineRule="auto"/>
              <w:jc w:val="right"/>
              <w:rPr>
                <w:rFonts w:cs="Calibri"/>
                <w:b/>
                <w:bCs/>
                <w:color w:val="000000"/>
                <w:sz w:val="20"/>
                <w:szCs w:val="20"/>
                <w:lang w:eastAsia="es-CL"/>
              </w:rPr>
            </w:pPr>
            <w:r>
              <w:rPr>
                <w:rFonts w:cs="Calibri"/>
                <w:b/>
                <w:bCs/>
                <w:color w:val="000000"/>
                <w:sz w:val="20"/>
                <w:szCs w:val="20"/>
              </w:rPr>
              <w:t>529.109.701,64</w:t>
            </w:r>
          </w:p>
        </w:tc>
      </w:tr>
    </w:tbl>
    <w:p w14:paraId="76BA58D4" w14:textId="77777777" w:rsidR="00F501EB" w:rsidRDefault="00F501EB" w:rsidP="00F501EB">
      <w:pPr>
        <w:spacing w:after="0"/>
      </w:pPr>
    </w:p>
    <w:p w14:paraId="65EEAA7C" w14:textId="77777777" w:rsidR="00F501EB" w:rsidRDefault="00F501EB" w:rsidP="00F501EB">
      <w:pPr>
        <w:pStyle w:val="Ttulo3"/>
        <w:keepNext/>
      </w:pPr>
      <w:bookmarkStart w:id="445" w:name="_Toc38048507"/>
      <w:bookmarkStart w:id="446" w:name="_Toc39795183"/>
      <w:bookmarkStart w:id="447" w:name="_Toc39797863"/>
      <w:r w:rsidRPr="00E1571A">
        <w:t>Valor de Inversión</w:t>
      </w:r>
      <w:r>
        <w:t xml:space="preserve"> </w:t>
      </w:r>
      <w:r w:rsidRPr="00E1571A">
        <w:t>por tramo de transporte calificación nacional</w:t>
      </w:r>
      <w:bookmarkEnd w:id="445"/>
      <w:bookmarkEnd w:id="446"/>
      <w:bookmarkEnd w:id="447"/>
    </w:p>
    <w:p w14:paraId="100F3F6D" w14:textId="77777777" w:rsidR="00F501EB" w:rsidRPr="00C65574" w:rsidRDefault="00F501EB" w:rsidP="00F501EB">
      <w:pPr>
        <w:pStyle w:val="Subttulo"/>
      </w:pPr>
      <w:bookmarkStart w:id="448" w:name="_Toc38047819"/>
      <w:bookmarkStart w:id="449" w:name="_Toc39795272"/>
      <w:bookmarkStart w:id="450" w:name="_Toc39797952"/>
      <w:r w:rsidRPr="00C65574">
        <w:t xml:space="preserve">Tabla </w:t>
      </w:r>
      <w:fldSimple w:instr=" SEQ Tabla \* ARABIC ">
        <w:r w:rsidR="001F3E2E">
          <w:rPr>
            <w:noProof/>
          </w:rPr>
          <w:t>42</w:t>
        </w:r>
      </w:fldSimple>
      <w:r w:rsidRPr="00C65574">
        <w:t>: Valor de Inversión (V.I.) por tramo de transporte calificación nacional</w:t>
      </w:r>
      <w:bookmarkEnd w:id="448"/>
      <w:bookmarkEnd w:id="449"/>
      <w:bookmarkEnd w:id="450"/>
    </w:p>
    <w:tbl>
      <w:tblPr>
        <w:tblW w:w="0" w:type="auto"/>
        <w:jc w:val="center"/>
        <w:tblLayout w:type="fixed"/>
        <w:tblCellMar>
          <w:left w:w="57" w:type="dxa"/>
          <w:right w:w="57" w:type="dxa"/>
        </w:tblCellMar>
        <w:tblLook w:val="04A0" w:firstRow="1" w:lastRow="0" w:firstColumn="1" w:lastColumn="0" w:noHBand="0" w:noVBand="1"/>
      </w:tblPr>
      <w:tblGrid>
        <w:gridCol w:w="1928"/>
        <w:gridCol w:w="4441"/>
        <w:gridCol w:w="2080"/>
      </w:tblGrid>
      <w:tr w:rsidR="00F501EB" w:rsidRPr="00A81CB8" w14:paraId="1E1B9F15" w14:textId="77777777" w:rsidTr="006B5A62">
        <w:trPr>
          <w:tblHeader/>
          <w:jc w:val="center"/>
        </w:trPr>
        <w:tc>
          <w:tcPr>
            <w:tcW w:w="1928" w:type="dxa"/>
            <w:tcBorders>
              <w:top w:val="single" w:sz="8" w:space="0" w:color="auto"/>
              <w:left w:val="single" w:sz="8" w:space="0" w:color="auto"/>
              <w:bottom w:val="single" w:sz="8" w:space="0" w:color="auto"/>
              <w:right w:val="single" w:sz="8" w:space="0" w:color="auto"/>
            </w:tcBorders>
            <w:shd w:val="clear" w:color="auto" w:fill="D9D9D9" w:themeFill="background1" w:themeFillShade="D9"/>
            <w:vAlign w:val="center"/>
            <w:hideMark/>
          </w:tcPr>
          <w:p w14:paraId="3400ED0C" w14:textId="77777777" w:rsidR="00F501EB" w:rsidRPr="00A81CB8" w:rsidRDefault="00F501EB" w:rsidP="006B5A62">
            <w:pPr>
              <w:spacing w:before="20" w:after="20" w:line="240" w:lineRule="auto"/>
              <w:jc w:val="center"/>
              <w:rPr>
                <w:rFonts w:eastAsia="Times New Roman" w:cs="Calibri"/>
                <w:b/>
                <w:bCs/>
                <w:color w:val="000000"/>
                <w:sz w:val="20"/>
                <w:szCs w:val="20"/>
                <w:lang w:eastAsia="es-CL"/>
              </w:rPr>
            </w:pPr>
            <w:r w:rsidRPr="00A81CB8">
              <w:rPr>
                <w:rFonts w:eastAsia="Times New Roman" w:cs="Calibri"/>
                <w:b/>
                <w:bCs/>
                <w:color w:val="000000"/>
                <w:sz w:val="20"/>
                <w:szCs w:val="20"/>
                <w:lang w:eastAsia="es-CL"/>
              </w:rPr>
              <w:t>IdCalificacionCodigo</w:t>
            </w:r>
          </w:p>
        </w:tc>
        <w:tc>
          <w:tcPr>
            <w:tcW w:w="4441" w:type="dxa"/>
            <w:tcBorders>
              <w:top w:val="single" w:sz="8" w:space="0" w:color="auto"/>
              <w:left w:val="nil"/>
              <w:bottom w:val="single" w:sz="8" w:space="0" w:color="auto"/>
              <w:right w:val="single" w:sz="8" w:space="0" w:color="auto"/>
            </w:tcBorders>
            <w:shd w:val="clear" w:color="auto" w:fill="D9D9D9" w:themeFill="background1" w:themeFillShade="D9"/>
            <w:noWrap/>
            <w:vAlign w:val="center"/>
            <w:hideMark/>
          </w:tcPr>
          <w:p w14:paraId="2292C4E5" w14:textId="77777777" w:rsidR="00F501EB" w:rsidRPr="00A81CB8" w:rsidRDefault="00F501EB" w:rsidP="006B5A62">
            <w:pPr>
              <w:spacing w:before="20" w:after="20" w:line="240" w:lineRule="auto"/>
              <w:jc w:val="center"/>
              <w:rPr>
                <w:rFonts w:eastAsia="Times New Roman" w:cs="Calibri"/>
                <w:b/>
                <w:bCs/>
                <w:color w:val="000000"/>
                <w:sz w:val="20"/>
                <w:szCs w:val="20"/>
                <w:lang w:eastAsia="es-CL"/>
              </w:rPr>
            </w:pPr>
            <w:r w:rsidRPr="00A81CB8">
              <w:rPr>
                <w:rFonts w:eastAsia="Times New Roman" w:cs="Calibri"/>
                <w:b/>
                <w:bCs/>
                <w:color w:val="000000"/>
                <w:sz w:val="20"/>
                <w:szCs w:val="20"/>
                <w:lang w:eastAsia="es-CL"/>
              </w:rPr>
              <w:t>NombreTramoTransporte</w:t>
            </w:r>
          </w:p>
        </w:tc>
        <w:tc>
          <w:tcPr>
            <w:tcW w:w="2080" w:type="dxa"/>
            <w:tcBorders>
              <w:top w:val="single" w:sz="8" w:space="0" w:color="auto"/>
              <w:left w:val="nil"/>
              <w:bottom w:val="single" w:sz="8" w:space="0" w:color="auto"/>
              <w:right w:val="single" w:sz="8" w:space="0" w:color="auto"/>
            </w:tcBorders>
            <w:shd w:val="clear" w:color="auto" w:fill="D9D9D9" w:themeFill="background1" w:themeFillShade="D9"/>
            <w:vAlign w:val="center"/>
            <w:hideMark/>
          </w:tcPr>
          <w:p w14:paraId="73984F5E" w14:textId="77777777" w:rsidR="00F501EB" w:rsidRPr="00A81CB8" w:rsidRDefault="00F501EB" w:rsidP="006B5A62">
            <w:pPr>
              <w:spacing w:before="20" w:after="20" w:line="240" w:lineRule="auto"/>
              <w:jc w:val="center"/>
              <w:rPr>
                <w:rFonts w:eastAsia="Times New Roman" w:cs="Calibri"/>
                <w:b/>
                <w:bCs/>
                <w:color w:val="000000"/>
                <w:sz w:val="20"/>
                <w:szCs w:val="20"/>
                <w:lang w:eastAsia="es-CL"/>
              </w:rPr>
            </w:pPr>
            <w:r w:rsidRPr="00A81CB8">
              <w:rPr>
                <w:rFonts w:eastAsia="Times New Roman" w:cs="Calibri"/>
                <w:b/>
                <w:bCs/>
                <w:color w:val="000000"/>
                <w:sz w:val="20"/>
                <w:szCs w:val="20"/>
                <w:lang w:eastAsia="es-CL"/>
              </w:rPr>
              <w:t>Valor de Inversión (V.I.)</w:t>
            </w:r>
          </w:p>
          <w:p w14:paraId="3529C29C" w14:textId="77777777" w:rsidR="00F501EB" w:rsidRPr="00A81CB8" w:rsidRDefault="00F501EB" w:rsidP="006B5A62">
            <w:pPr>
              <w:spacing w:before="20" w:after="20" w:line="240" w:lineRule="auto"/>
              <w:jc w:val="center"/>
              <w:rPr>
                <w:rFonts w:eastAsia="Times New Roman" w:cs="Calibri"/>
                <w:b/>
                <w:bCs/>
                <w:color w:val="000000"/>
                <w:sz w:val="20"/>
                <w:szCs w:val="20"/>
                <w:lang w:eastAsia="es-CL"/>
              </w:rPr>
            </w:pPr>
            <w:r w:rsidRPr="00A81CB8">
              <w:rPr>
                <w:rFonts w:eastAsia="Times New Roman" w:cs="Calibri"/>
                <w:b/>
                <w:bCs/>
                <w:color w:val="000000"/>
                <w:sz w:val="20"/>
                <w:szCs w:val="20"/>
                <w:lang w:eastAsia="es-CL"/>
              </w:rPr>
              <w:t>USD (Dólares de USA)</w:t>
            </w:r>
          </w:p>
        </w:tc>
      </w:tr>
      <w:tr w:rsidR="00F501EB" w:rsidRPr="00A81CB8" w14:paraId="0CC2C71E"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24B2BC40"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Pr>
                <w:rFonts w:cs="Calibri"/>
                <w:color w:val="000000"/>
                <w:sz w:val="20"/>
                <w:szCs w:val="20"/>
              </w:rPr>
              <w:t>N_1</w:t>
            </w:r>
          </w:p>
        </w:tc>
        <w:tc>
          <w:tcPr>
            <w:tcW w:w="4441" w:type="dxa"/>
            <w:tcBorders>
              <w:top w:val="nil"/>
              <w:left w:val="nil"/>
              <w:bottom w:val="single" w:sz="4" w:space="0" w:color="auto"/>
              <w:right w:val="single" w:sz="4" w:space="0" w:color="auto"/>
            </w:tcBorders>
            <w:shd w:val="clear" w:color="auto" w:fill="auto"/>
            <w:noWrap/>
            <w:vAlign w:val="bottom"/>
            <w:hideMark/>
          </w:tcPr>
          <w:p w14:paraId="77ECB1FF"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Alto Jahuel 220-&gt;Alto Jahuel 500</w:t>
            </w:r>
          </w:p>
        </w:tc>
        <w:tc>
          <w:tcPr>
            <w:tcW w:w="2080" w:type="dxa"/>
            <w:tcBorders>
              <w:top w:val="nil"/>
              <w:left w:val="nil"/>
              <w:bottom w:val="single" w:sz="4" w:space="0" w:color="auto"/>
              <w:right w:val="single" w:sz="4" w:space="0" w:color="auto"/>
            </w:tcBorders>
            <w:shd w:val="clear" w:color="auto" w:fill="auto"/>
            <w:noWrap/>
            <w:vAlign w:val="bottom"/>
            <w:hideMark/>
          </w:tcPr>
          <w:p w14:paraId="4E75802B"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14.937.187,34</w:t>
            </w:r>
          </w:p>
        </w:tc>
      </w:tr>
      <w:tr w:rsidR="00F501EB" w:rsidRPr="00A81CB8" w14:paraId="248818A2"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275D870B"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Pr>
                <w:rFonts w:cs="Calibri"/>
                <w:color w:val="000000"/>
                <w:sz w:val="20"/>
                <w:szCs w:val="20"/>
              </w:rPr>
              <w:t>N_2</w:t>
            </w:r>
          </w:p>
        </w:tc>
        <w:tc>
          <w:tcPr>
            <w:tcW w:w="4441" w:type="dxa"/>
            <w:tcBorders>
              <w:top w:val="nil"/>
              <w:left w:val="nil"/>
              <w:bottom w:val="single" w:sz="4" w:space="0" w:color="auto"/>
              <w:right w:val="single" w:sz="4" w:space="0" w:color="auto"/>
            </w:tcBorders>
            <w:shd w:val="clear" w:color="auto" w:fill="auto"/>
            <w:noWrap/>
            <w:vAlign w:val="bottom"/>
            <w:hideMark/>
          </w:tcPr>
          <w:p w14:paraId="4A126CDD"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Alto Jahuel 220-&gt;Buin 220</w:t>
            </w:r>
          </w:p>
        </w:tc>
        <w:tc>
          <w:tcPr>
            <w:tcW w:w="2080" w:type="dxa"/>
            <w:tcBorders>
              <w:top w:val="nil"/>
              <w:left w:val="nil"/>
              <w:bottom w:val="single" w:sz="4" w:space="0" w:color="auto"/>
              <w:right w:val="single" w:sz="4" w:space="0" w:color="auto"/>
            </w:tcBorders>
            <w:shd w:val="clear" w:color="auto" w:fill="auto"/>
            <w:noWrap/>
            <w:vAlign w:val="bottom"/>
            <w:hideMark/>
          </w:tcPr>
          <w:p w14:paraId="3FE73925"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393.098,48</w:t>
            </w:r>
          </w:p>
        </w:tc>
      </w:tr>
      <w:tr w:rsidR="00F501EB" w:rsidRPr="00A81CB8" w14:paraId="5132395C"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1425D0AD"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Pr>
                <w:rFonts w:cs="Calibri"/>
                <w:color w:val="000000"/>
                <w:sz w:val="20"/>
                <w:szCs w:val="20"/>
              </w:rPr>
              <w:t>N_3</w:t>
            </w:r>
          </w:p>
        </w:tc>
        <w:tc>
          <w:tcPr>
            <w:tcW w:w="4441" w:type="dxa"/>
            <w:tcBorders>
              <w:top w:val="nil"/>
              <w:left w:val="nil"/>
              <w:bottom w:val="single" w:sz="4" w:space="0" w:color="auto"/>
              <w:right w:val="single" w:sz="4" w:space="0" w:color="auto"/>
            </w:tcBorders>
            <w:shd w:val="clear" w:color="auto" w:fill="auto"/>
            <w:noWrap/>
            <w:vAlign w:val="bottom"/>
            <w:hideMark/>
          </w:tcPr>
          <w:p w14:paraId="09C33DD0"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Alto Jahuel 220-&gt;Chena 220</w:t>
            </w:r>
          </w:p>
        </w:tc>
        <w:tc>
          <w:tcPr>
            <w:tcW w:w="2080" w:type="dxa"/>
            <w:tcBorders>
              <w:top w:val="nil"/>
              <w:left w:val="nil"/>
              <w:bottom w:val="single" w:sz="4" w:space="0" w:color="auto"/>
              <w:right w:val="single" w:sz="4" w:space="0" w:color="auto"/>
            </w:tcBorders>
            <w:shd w:val="clear" w:color="auto" w:fill="auto"/>
            <w:noWrap/>
            <w:vAlign w:val="bottom"/>
            <w:hideMark/>
          </w:tcPr>
          <w:p w14:paraId="22271A8C"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14.473.693,56</w:t>
            </w:r>
          </w:p>
        </w:tc>
      </w:tr>
      <w:tr w:rsidR="00F501EB" w:rsidRPr="00A81CB8" w14:paraId="00DC4C28"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0ECF69B9"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Pr>
                <w:rFonts w:cs="Calibri"/>
                <w:color w:val="000000"/>
                <w:sz w:val="20"/>
                <w:szCs w:val="20"/>
              </w:rPr>
              <w:t>N_4</w:t>
            </w:r>
          </w:p>
        </w:tc>
        <w:tc>
          <w:tcPr>
            <w:tcW w:w="4441" w:type="dxa"/>
            <w:tcBorders>
              <w:top w:val="nil"/>
              <w:left w:val="nil"/>
              <w:bottom w:val="single" w:sz="4" w:space="0" w:color="auto"/>
              <w:right w:val="single" w:sz="4" w:space="0" w:color="auto"/>
            </w:tcBorders>
            <w:shd w:val="clear" w:color="auto" w:fill="auto"/>
            <w:noWrap/>
            <w:vAlign w:val="bottom"/>
            <w:hideMark/>
          </w:tcPr>
          <w:p w14:paraId="461795E1"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Alto Jahuel 220-&gt;Los Almendros 220</w:t>
            </w:r>
          </w:p>
        </w:tc>
        <w:tc>
          <w:tcPr>
            <w:tcW w:w="2080" w:type="dxa"/>
            <w:tcBorders>
              <w:top w:val="nil"/>
              <w:left w:val="nil"/>
              <w:bottom w:val="single" w:sz="4" w:space="0" w:color="auto"/>
              <w:right w:val="single" w:sz="4" w:space="0" w:color="auto"/>
            </w:tcBorders>
            <w:shd w:val="clear" w:color="auto" w:fill="auto"/>
            <w:noWrap/>
            <w:vAlign w:val="bottom"/>
            <w:hideMark/>
          </w:tcPr>
          <w:p w14:paraId="11DDB102"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28.203.856,46</w:t>
            </w:r>
          </w:p>
        </w:tc>
      </w:tr>
      <w:tr w:rsidR="00F501EB" w:rsidRPr="00A81CB8" w14:paraId="3CACB72C"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1E625760"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Pr>
                <w:rFonts w:cs="Calibri"/>
                <w:color w:val="000000"/>
                <w:sz w:val="20"/>
                <w:szCs w:val="20"/>
              </w:rPr>
              <w:t>N_5</w:t>
            </w:r>
          </w:p>
        </w:tc>
        <w:tc>
          <w:tcPr>
            <w:tcW w:w="4441" w:type="dxa"/>
            <w:tcBorders>
              <w:top w:val="nil"/>
              <w:left w:val="nil"/>
              <w:bottom w:val="single" w:sz="4" w:space="0" w:color="auto"/>
              <w:right w:val="single" w:sz="4" w:space="0" w:color="auto"/>
            </w:tcBorders>
            <w:shd w:val="clear" w:color="auto" w:fill="auto"/>
            <w:noWrap/>
            <w:vAlign w:val="bottom"/>
            <w:hideMark/>
          </w:tcPr>
          <w:p w14:paraId="3DBEC43C"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Alto Jahuel 220-&gt;Maipo 220</w:t>
            </w:r>
          </w:p>
        </w:tc>
        <w:tc>
          <w:tcPr>
            <w:tcW w:w="2080" w:type="dxa"/>
            <w:tcBorders>
              <w:top w:val="nil"/>
              <w:left w:val="nil"/>
              <w:bottom w:val="single" w:sz="4" w:space="0" w:color="auto"/>
              <w:right w:val="single" w:sz="4" w:space="0" w:color="auto"/>
            </w:tcBorders>
            <w:shd w:val="clear" w:color="auto" w:fill="auto"/>
            <w:noWrap/>
            <w:vAlign w:val="bottom"/>
            <w:hideMark/>
          </w:tcPr>
          <w:p w14:paraId="5A7B0647"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1.272.612,27</w:t>
            </w:r>
          </w:p>
        </w:tc>
      </w:tr>
      <w:tr w:rsidR="00F501EB" w:rsidRPr="00A81CB8" w14:paraId="145C2AC9"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48FBE39B"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Pr>
                <w:rFonts w:cs="Calibri"/>
                <w:color w:val="000000"/>
                <w:sz w:val="20"/>
                <w:szCs w:val="20"/>
              </w:rPr>
              <w:lastRenderedPageBreak/>
              <w:t>N_6</w:t>
            </w:r>
          </w:p>
        </w:tc>
        <w:tc>
          <w:tcPr>
            <w:tcW w:w="4441" w:type="dxa"/>
            <w:tcBorders>
              <w:top w:val="nil"/>
              <w:left w:val="nil"/>
              <w:bottom w:val="single" w:sz="4" w:space="0" w:color="auto"/>
              <w:right w:val="single" w:sz="4" w:space="0" w:color="auto"/>
            </w:tcBorders>
            <w:shd w:val="clear" w:color="auto" w:fill="auto"/>
            <w:noWrap/>
            <w:vAlign w:val="bottom"/>
            <w:hideMark/>
          </w:tcPr>
          <w:p w14:paraId="02579C3C"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Alto Jahuel 220-&gt;Tap Central Santa Marta 220</w:t>
            </w:r>
          </w:p>
        </w:tc>
        <w:tc>
          <w:tcPr>
            <w:tcW w:w="2080" w:type="dxa"/>
            <w:tcBorders>
              <w:top w:val="nil"/>
              <w:left w:val="nil"/>
              <w:bottom w:val="single" w:sz="4" w:space="0" w:color="auto"/>
              <w:right w:val="single" w:sz="4" w:space="0" w:color="auto"/>
            </w:tcBorders>
            <w:shd w:val="clear" w:color="auto" w:fill="auto"/>
            <w:noWrap/>
            <w:vAlign w:val="bottom"/>
            <w:hideMark/>
          </w:tcPr>
          <w:p w14:paraId="761164FD"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3.775.087,19</w:t>
            </w:r>
          </w:p>
        </w:tc>
      </w:tr>
      <w:tr w:rsidR="00F501EB" w:rsidRPr="00A81CB8" w14:paraId="2D2BD06C"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2EE22894"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Pr>
                <w:rFonts w:cs="Calibri"/>
                <w:color w:val="000000"/>
                <w:sz w:val="20"/>
                <w:szCs w:val="20"/>
              </w:rPr>
              <w:t>N_7</w:t>
            </w:r>
          </w:p>
        </w:tc>
        <w:tc>
          <w:tcPr>
            <w:tcW w:w="4441" w:type="dxa"/>
            <w:tcBorders>
              <w:top w:val="nil"/>
              <w:left w:val="nil"/>
              <w:bottom w:val="single" w:sz="4" w:space="0" w:color="auto"/>
              <w:right w:val="single" w:sz="4" w:space="0" w:color="auto"/>
            </w:tcBorders>
            <w:shd w:val="clear" w:color="auto" w:fill="auto"/>
            <w:noWrap/>
            <w:vAlign w:val="bottom"/>
            <w:hideMark/>
          </w:tcPr>
          <w:p w14:paraId="353B7B26"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Alto Jahuel 500-&gt;Ancoa 500</w:t>
            </w:r>
          </w:p>
        </w:tc>
        <w:tc>
          <w:tcPr>
            <w:tcW w:w="2080" w:type="dxa"/>
            <w:tcBorders>
              <w:top w:val="nil"/>
              <w:left w:val="nil"/>
              <w:bottom w:val="single" w:sz="4" w:space="0" w:color="auto"/>
              <w:right w:val="single" w:sz="4" w:space="0" w:color="auto"/>
            </w:tcBorders>
            <w:shd w:val="clear" w:color="auto" w:fill="auto"/>
            <w:noWrap/>
            <w:vAlign w:val="bottom"/>
            <w:hideMark/>
          </w:tcPr>
          <w:p w14:paraId="45F04249"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295.320.083,83</w:t>
            </w:r>
          </w:p>
        </w:tc>
      </w:tr>
      <w:tr w:rsidR="00F501EB" w:rsidRPr="00A81CB8" w14:paraId="21B81438"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04E79A47"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Pr>
                <w:rFonts w:cs="Calibri"/>
                <w:color w:val="000000"/>
                <w:sz w:val="20"/>
                <w:szCs w:val="20"/>
              </w:rPr>
              <w:t>N_8</w:t>
            </w:r>
          </w:p>
        </w:tc>
        <w:tc>
          <w:tcPr>
            <w:tcW w:w="4441" w:type="dxa"/>
            <w:tcBorders>
              <w:top w:val="nil"/>
              <w:left w:val="nil"/>
              <w:bottom w:val="single" w:sz="4" w:space="0" w:color="auto"/>
              <w:right w:val="single" w:sz="4" w:space="0" w:color="auto"/>
            </w:tcBorders>
            <w:shd w:val="clear" w:color="auto" w:fill="auto"/>
            <w:noWrap/>
            <w:vAlign w:val="bottom"/>
            <w:hideMark/>
          </w:tcPr>
          <w:p w14:paraId="44163D81"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Ancoa 220-&gt;Ancoa 500</w:t>
            </w:r>
          </w:p>
        </w:tc>
        <w:tc>
          <w:tcPr>
            <w:tcW w:w="2080" w:type="dxa"/>
            <w:tcBorders>
              <w:top w:val="nil"/>
              <w:left w:val="nil"/>
              <w:bottom w:val="single" w:sz="4" w:space="0" w:color="auto"/>
              <w:right w:val="single" w:sz="4" w:space="0" w:color="auto"/>
            </w:tcBorders>
            <w:shd w:val="clear" w:color="auto" w:fill="auto"/>
            <w:noWrap/>
            <w:vAlign w:val="bottom"/>
            <w:hideMark/>
          </w:tcPr>
          <w:p w14:paraId="2442620B"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7.632.222,52</w:t>
            </w:r>
          </w:p>
        </w:tc>
      </w:tr>
      <w:tr w:rsidR="00F501EB" w:rsidRPr="00A81CB8" w14:paraId="7EA767BB"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2DEC621D"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Pr>
                <w:rFonts w:cs="Calibri"/>
                <w:color w:val="000000"/>
                <w:sz w:val="20"/>
                <w:szCs w:val="20"/>
              </w:rPr>
              <w:t>N_9</w:t>
            </w:r>
          </w:p>
        </w:tc>
        <w:tc>
          <w:tcPr>
            <w:tcW w:w="4441" w:type="dxa"/>
            <w:tcBorders>
              <w:top w:val="nil"/>
              <w:left w:val="nil"/>
              <w:bottom w:val="single" w:sz="4" w:space="0" w:color="auto"/>
              <w:right w:val="single" w:sz="4" w:space="0" w:color="auto"/>
            </w:tcBorders>
            <w:shd w:val="clear" w:color="auto" w:fill="auto"/>
            <w:noWrap/>
            <w:vAlign w:val="bottom"/>
            <w:hideMark/>
          </w:tcPr>
          <w:p w14:paraId="607CCE19"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Ancoa 220-&gt;Colbun 220</w:t>
            </w:r>
          </w:p>
        </w:tc>
        <w:tc>
          <w:tcPr>
            <w:tcW w:w="2080" w:type="dxa"/>
            <w:tcBorders>
              <w:top w:val="nil"/>
              <w:left w:val="nil"/>
              <w:bottom w:val="single" w:sz="4" w:space="0" w:color="auto"/>
              <w:right w:val="single" w:sz="4" w:space="0" w:color="auto"/>
            </w:tcBorders>
            <w:shd w:val="clear" w:color="auto" w:fill="auto"/>
            <w:noWrap/>
            <w:vAlign w:val="bottom"/>
            <w:hideMark/>
          </w:tcPr>
          <w:p w14:paraId="2EFB6D93"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245.964,11</w:t>
            </w:r>
          </w:p>
        </w:tc>
      </w:tr>
      <w:tr w:rsidR="00F501EB" w:rsidRPr="00A81CB8" w14:paraId="29178B03"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77436E23"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Pr>
                <w:rFonts w:cs="Calibri"/>
                <w:color w:val="000000"/>
                <w:sz w:val="20"/>
                <w:szCs w:val="20"/>
              </w:rPr>
              <w:t>N_10</w:t>
            </w:r>
          </w:p>
        </w:tc>
        <w:tc>
          <w:tcPr>
            <w:tcW w:w="4441" w:type="dxa"/>
            <w:tcBorders>
              <w:top w:val="nil"/>
              <w:left w:val="nil"/>
              <w:bottom w:val="single" w:sz="4" w:space="0" w:color="auto"/>
              <w:right w:val="single" w:sz="4" w:space="0" w:color="auto"/>
            </w:tcBorders>
            <w:shd w:val="clear" w:color="auto" w:fill="auto"/>
            <w:noWrap/>
            <w:vAlign w:val="bottom"/>
            <w:hideMark/>
          </w:tcPr>
          <w:p w14:paraId="70E522A2"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Ancoa 220-&gt;Itahue 220</w:t>
            </w:r>
          </w:p>
        </w:tc>
        <w:tc>
          <w:tcPr>
            <w:tcW w:w="2080" w:type="dxa"/>
            <w:tcBorders>
              <w:top w:val="nil"/>
              <w:left w:val="nil"/>
              <w:bottom w:val="single" w:sz="4" w:space="0" w:color="auto"/>
              <w:right w:val="single" w:sz="4" w:space="0" w:color="auto"/>
            </w:tcBorders>
            <w:shd w:val="clear" w:color="auto" w:fill="auto"/>
            <w:noWrap/>
            <w:vAlign w:val="bottom"/>
            <w:hideMark/>
          </w:tcPr>
          <w:p w14:paraId="216E8CAD"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12.178.737,51</w:t>
            </w:r>
          </w:p>
        </w:tc>
      </w:tr>
      <w:tr w:rsidR="00F501EB" w:rsidRPr="00A81CB8" w14:paraId="2E8B17C9"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073CB47B"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Pr>
                <w:rFonts w:cs="Calibri"/>
                <w:color w:val="000000"/>
                <w:sz w:val="20"/>
                <w:szCs w:val="20"/>
              </w:rPr>
              <w:t>N_11</w:t>
            </w:r>
          </w:p>
        </w:tc>
        <w:tc>
          <w:tcPr>
            <w:tcW w:w="4441" w:type="dxa"/>
            <w:tcBorders>
              <w:top w:val="nil"/>
              <w:left w:val="nil"/>
              <w:bottom w:val="single" w:sz="4" w:space="0" w:color="auto"/>
              <w:right w:val="single" w:sz="4" w:space="0" w:color="auto"/>
            </w:tcBorders>
            <w:shd w:val="clear" w:color="auto" w:fill="auto"/>
            <w:noWrap/>
            <w:vAlign w:val="bottom"/>
            <w:hideMark/>
          </w:tcPr>
          <w:p w14:paraId="3EE4839D" w14:textId="77777777" w:rsidR="00F501EB" w:rsidRPr="00A81CB8" w:rsidRDefault="00F501EB" w:rsidP="006B5A62">
            <w:pPr>
              <w:spacing w:before="20" w:after="20" w:line="240" w:lineRule="auto"/>
              <w:jc w:val="left"/>
              <w:rPr>
                <w:rFonts w:eastAsia="Times New Roman" w:cs="Calibri"/>
                <w:color w:val="000000"/>
                <w:sz w:val="20"/>
                <w:szCs w:val="20"/>
                <w:lang w:val="en-US" w:eastAsia="es-CL"/>
              </w:rPr>
            </w:pPr>
            <w:r w:rsidRPr="003D2D23">
              <w:rPr>
                <w:rFonts w:cs="Calibri"/>
                <w:color w:val="000000"/>
                <w:sz w:val="20"/>
                <w:szCs w:val="20"/>
                <w:lang w:val="en-US"/>
              </w:rPr>
              <w:t>Ancoa 220-&gt;Tap Off Santa Isabel 220</w:t>
            </w:r>
          </w:p>
        </w:tc>
        <w:tc>
          <w:tcPr>
            <w:tcW w:w="2080" w:type="dxa"/>
            <w:tcBorders>
              <w:top w:val="nil"/>
              <w:left w:val="nil"/>
              <w:bottom w:val="single" w:sz="4" w:space="0" w:color="auto"/>
              <w:right w:val="single" w:sz="4" w:space="0" w:color="auto"/>
            </w:tcBorders>
            <w:shd w:val="clear" w:color="auto" w:fill="auto"/>
            <w:noWrap/>
            <w:vAlign w:val="bottom"/>
            <w:hideMark/>
          </w:tcPr>
          <w:p w14:paraId="5F99E8F6"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5.152.736,95</w:t>
            </w:r>
          </w:p>
        </w:tc>
      </w:tr>
      <w:tr w:rsidR="00F501EB" w:rsidRPr="00A81CB8" w14:paraId="03B0ED00"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291C3B82"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N_12</w:t>
            </w:r>
          </w:p>
        </w:tc>
        <w:tc>
          <w:tcPr>
            <w:tcW w:w="4441" w:type="dxa"/>
            <w:tcBorders>
              <w:top w:val="nil"/>
              <w:left w:val="nil"/>
              <w:bottom w:val="single" w:sz="4" w:space="0" w:color="auto"/>
              <w:right w:val="single" w:sz="4" w:space="0" w:color="auto"/>
            </w:tcBorders>
            <w:shd w:val="clear" w:color="auto" w:fill="auto"/>
            <w:noWrap/>
            <w:vAlign w:val="center"/>
            <w:hideMark/>
          </w:tcPr>
          <w:p w14:paraId="3B23BAA0"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Ancoa 500-&gt;Charrúa 500</w:t>
            </w:r>
          </w:p>
        </w:tc>
        <w:tc>
          <w:tcPr>
            <w:tcW w:w="2080" w:type="dxa"/>
            <w:tcBorders>
              <w:top w:val="nil"/>
              <w:left w:val="nil"/>
              <w:bottom w:val="single" w:sz="4" w:space="0" w:color="auto"/>
              <w:right w:val="single" w:sz="4" w:space="0" w:color="auto"/>
            </w:tcBorders>
            <w:shd w:val="clear" w:color="auto" w:fill="auto"/>
            <w:noWrap/>
            <w:hideMark/>
          </w:tcPr>
          <w:p w14:paraId="64BB6224"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eastAsia="Times New Roman" w:cs="Calibri"/>
                <w:color w:val="000000"/>
                <w:sz w:val="20"/>
                <w:szCs w:val="20"/>
                <w:lang w:eastAsia="es-CL"/>
              </w:rPr>
              <w:t>-</w:t>
            </w:r>
          </w:p>
        </w:tc>
      </w:tr>
      <w:tr w:rsidR="00F501EB" w:rsidRPr="00A81CB8" w14:paraId="563D6A71"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3580DE62"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Pr>
                <w:rFonts w:cs="Calibri"/>
                <w:color w:val="000000"/>
                <w:sz w:val="20"/>
                <w:szCs w:val="20"/>
              </w:rPr>
              <w:t>N_13</w:t>
            </w:r>
          </w:p>
        </w:tc>
        <w:tc>
          <w:tcPr>
            <w:tcW w:w="4441" w:type="dxa"/>
            <w:tcBorders>
              <w:top w:val="nil"/>
              <w:left w:val="nil"/>
              <w:bottom w:val="single" w:sz="4" w:space="0" w:color="auto"/>
              <w:right w:val="single" w:sz="4" w:space="0" w:color="auto"/>
            </w:tcBorders>
            <w:shd w:val="clear" w:color="auto" w:fill="auto"/>
            <w:noWrap/>
            <w:vAlign w:val="bottom"/>
            <w:hideMark/>
          </w:tcPr>
          <w:p w14:paraId="2BE03716"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Ancoa 500-&gt;Nueva Charrua 500</w:t>
            </w:r>
          </w:p>
        </w:tc>
        <w:tc>
          <w:tcPr>
            <w:tcW w:w="2080" w:type="dxa"/>
            <w:tcBorders>
              <w:top w:val="nil"/>
              <w:left w:val="nil"/>
              <w:bottom w:val="single" w:sz="4" w:space="0" w:color="auto"/>
              <w:right w:val="single" w:sz="4" w:space="0" w:color="auto"/>
            </w:tcBorders>
            <w:shd w:val="clear" w:color="auto" w:fill="auto"/>
            <w:noWrap/>
            <w:vAlign w:val="bottom"/>
            <w:hideMark/>
          </w:tcPr>
          <w:p w14:paraId="53AE0688"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132.970.084,71</w:t>
            </w:r>
          </w:p>
        </w:tc>
      </w:tr>
      <w:tr w:rsidR="00F501EB" w:rsidRPr="00A81CB8" w14:paraId="573D0A09"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0D29657E"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Pr>
                <w:rFonts w:cs="Calibri"/>
                <w:color w:val="000000"/>
                <w:sz w:val="20"/>
                <w:szCs w:val="20"/>
              </w:rPr>
              <w:t>N_14</w:t>
            </w:r>
          </w:p>
        </w:tc>
        <w:tc>
          <w:tcPr>
            <w:tcW w:w="4441" w:type="dxa"/>
            <w:tcBorders>
              <w:top w:val="nil"/>
              <w:left w:val="nil"/>
              <w:bottom w:val="single" w:sz="4" w:space="0" w:color="auto"/>
              <w:right w:val="single" w:sz="4" w:space="0" w:color="auto"/>
            </w:tcBorders>
            <w:shd w:val="clear" w:color="auto" w:fill="auto"/>
            <w:noWrap/>
            <w:vAlign w:val="bottom"/>
            <w:hideMark/>
          </w:tcPr>
          <w:p w14:paraId="08275098"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Atacama 220-&gt;Tap Enlace 220</w:t>
            </w:r>
          </w:p>
        </w:tc>
        <w:tc>
          <w:tcPr>
            <w:tcW w:w="2080" w:type="dxa"/>
            <w:tcBorders>
              <w:top w:val="nil"/>
              <w:left w:val="nil"/>
              <w:bottom w:val="single" w:sz="4" w:space="0" w:color="auto"/>
              <w:right w:val="single" w:sz="4" w:space="0" w:color="auto"/>
            </w:tcBorders>
            <w:shd w:val="clear" w:color="auto" w:fill="auto"/>
            <w:noWrap/>
            <w:vAlign w:val="bottom"/>
            <w:hideMark/>
          </w:tcPr>
          <w:p w14:paraId="674B8513"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21.917.075,18</w:t>
            </w:r>
          </w:p>
        </w:tc>
      </w:tr>
      <w:tr w:rsidR="00F501EB" w:rsidRPr="00A81CB8" w14:paraId="392C79D0"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5BB6D6D5"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Pr>
                <w:rFonts w:cs="Calibri"/>
                <w:color w:val="000000"/>
                <w:sz w:val="20"/>
                <w:szCs w:val="20"/>
              </w:rPr>
              <w:t>N_15</w:t>
            </w:r>
          </w:p>
        </w:tc>
        <w:tc>
          <w:tcPr>
            <w:tcW w:w="4441" w:type="dxa"/>
            <w:tcBorders>
              <w:top w:val="nil"/>
              <w:left w:val="nil"/>
              <w:bottom w:val="single" w:sz="4" w:space="0" w:color="auto"/>
              <w:right w:val="single" w:sz="4" w:space="0" w:color="auto"/>
            </w:tcBorders>
            <w:shd w:val="clear" w:color="auto" w:fill="auto"/>
            <w:noWrap/>
            <w:vAlign w:val="bottom"/>
            <w:hideMark/>
          </w:tcPr>
          <w:p w14:paraId="105C81DF"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Bureo 220-&gt;Los Peumos 220</w:t>
            </w:r>
          </w:p>
        </w:tc>
        <w:tc>
          <w:tcPr>
            <w:tcW w:w="2080" w:type="dxa"/>
            <w:tcBorders>
              <w:top w:val="nil"/>
              <w:left w:val="nil"/>
              <w:bottom w:val="single" w:sz="4" w:space="0" w:color="auto"/>
              <w:right w:val="single" w:sz="4" w:space="0" w:color="auto"/>
            </w:tcBorders>
            <w:shd w:val="clear" w:color="auto" w:fill="auto"/>
            <w:noWrap/>
            <w:vAlign w:val="bottom"/>
            <w:hideMark/>
          </w:tcPr>
          <w:p w14:paraId="47EF0F58"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12.517.251,97</w:t>
            </w:r>
          </w:p>
        </w:tc>
      </w:tr>
      <w:tr w:rsidR="00F501EB" w:rsidRPr="00A81CB8" w14:paraId="141EB5CF"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7A49E80A"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Pr>
                <w:rFonts w:cs="Calibri"/>
                <w:color w:val="000000"/>
                <w:sz w:val="20"/>
                <w:szCs w:val="20"/>
              </w:rPr>
              <w:t>N_16</w:t>
            </w:r>
          </w:p>
        </w:tc>
        <w:tc>
          <w:tcPr>
            <w:tcW w:w="4441" w:type="dxa"/>
            <w:tcBorders>
              <w:top w:val="nil"/>
              <w:left w:val="nil"/>
              <w:bottom w:val="single" w:sz="4" w:space="0" w:color="auto"/>
              <w:right w:val="single" w:sz="4" w:space="0" w:color="auto"/>
            </w:tcBorders>
            <w:shd w:val="clear" w:color="auto" w:fill="auto"/>
            <w:noWrap/>
            <w:vAlign w:val="bottom"/>
            <w:hideMark/>
          </w:tcPr>
          <w:p w14:paraId="0057D2C7"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Candelaria 220-&gt;Maipo 220</w:t>
            </w:r>
          </w:p>
        </w:tc>
        <w:tc>
          <w:tcPr>
            <w:tcW w:w="2080" w:type="dxa"/>
            <w:tcBorders>
              <w:top w:val="nil"/>
              <w:left w:val="nil"/>
              <w:bottom w:val="single" w:sz="4" w:space="0" w:color="auto"/>
              <w:right w:val="single" w:sz="4" w:space="0" w:color="auto"/>
            </w:tcBorders>
            <w:shd w:val="clear" w:color="auto" w:fill="auto"/>
            <w:noWrap/>
            <w:vAlign w:val="bottom"/>
            <w:hideMark/>
          </w:tcPr>
          <w:p w14:paraId="443DDB9C"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19.923.913,47</w:t>
            </w:r>
          </w:p>
        </w:tc>
      </w:tr>
      <w:tr w:rsidR="00F501EB" w:rsidRPr="00A81CB8" w14:paraId="54696C9B"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793188A8"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Pr>
                <w:rFonts w:cs="Calibri"/>
                <w:color w:val="000000"/>
                <w:sz w:val="20"/>
                <w:szCs w:val="20"/>
              </w:rPr>
              <w:t>N_17</w:t>
            </w:r>
          </w:p>
        </w:tc>
        <w:tc>
          <w:tcPr>
            <w:tcW w:w="4441" w:type="dxa"/>
            <w:tcBorders>
              <w:top w:val="nil"/>
              <w:left w:val="nil"/>
              <w:bottom w:val="single" w:sz="4" w:space="0" w:color="auto"/>
              <w:right w:val="single" w:sz="4" w:space="0" w:color="auto"/>
            </w:tcBorders>
            <w:shd w:val="clear" w:color="auto" w:fill="auto"/>
            <w:noWrap/>
            <w:vAlign w:val="bottom"/>
            <w:hideMark/>
          </w:tcPr>
          <w:p w14:paraId="7C5499A7"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Candelaria 220-&gt;Puente Negro 220</w:t>
            </w:r>
          </w:p>
        </w:tc>
        <w:tc>
          <w:tcPr>
            <w:tcW w:w="2080" w:type="dxa"/>
            <w:tcBorders>
              <w:top w:val="nil"/>
              <w:left w:val="nil"/>
              <w:bottom w:val="single" w:sz="4" w:space="0" w:color="auto"/>
              <w:right w:val="single" w:sz="4" w:space="0" w:color="auto"/>
            </w:tcBorders>
            <w:shd w:val="clear" w:color="auto" w:fill="auto"/>
            <w:noWrap/>
            <w:vAlign w:val="bottom"/>
            <w:hideMark/>
          </w:tcPr>
          <w:p w14:paraId="549788D6"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39.238.561,51</w:t>
            </w:r>
          </w:p>
        </w:tc>
      </w:tr>
      <w:tr w:rsidR="00F501EB" w:rsidRPr="00A81CB8" w14:paraId="45EE5B75"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bottom"/>
          </w:tcPr>
          <w:p w14:paraId="6B78619B"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Pr>
                <w:rFonts w:cs="Calibri"/>
                <w:color w:val="000000"/>
                <w:sz w:val="20"/>
                <w:szCs w:val="20"/>
              </w:rPr>
              <w:t>N_18</w:t>
            </w:r>
          </w:p>
        </w:tc>
        <w:tc>
          <w:tcPr>
            <w:tcW w:w="4441" w:type="dxa"/>
            <w:tcBorders>
              <w:top w:val="nil"/>
              <w:left w:val="nil"/>
              <w:bottom w:val="single" w:sz="4" w:space="0" w:color="auto"/>
              <w:right w:val="single" w:sz="4" w:space="0" w:color="auto"/>
            </w:tcBorders>
            <w:shd w:val="clear" w:color="auto" w:fill="auto"/>
            <w:noWrap/>
            <w:vAlign w:val="bottom"/>
          </w:tcPr>
          <w:p w14:paraId="04455559"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Cardones 220-&gt;Algarrobal 220</w:t>
            </w:r>
          </w:p>
        </w:tc>
        <w:tc>
          <w:tcPr>
            <w:tcW w:w="2080" w:type="dxa"/>
            <w:tcBorders>
              <w:top w:val="nil"/>
              <w:left w:val="nil"/>
              <w:bottom w:val="single" w:sz="4" w:space="0" w:color="auto"/>
              <w:right w:val="single" w:sz="4" w:space="0" w:color="auto"/>
            </w:tcBorders>
            <w:shd w:val="clear" w:color="auto" w:fill="auto"/>
            <w:noWrap/>
            <w:vAlign w:val="bottom"/>
          </w:tcPr>
          <w:p w14:paraId="72E7E94E" w14:textId="77777777" w:rsidR="00F501EB" w:rsidRPr="00C65574"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30.963.795,75</w:t>
            </w:r>
          </w:p>
        </w:tc>
      </w:tr>
      <w:tr w:rsidR="00F501EB" w:rsidRPr="00A81CB8" w14:paraId="0E352084"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64377696"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N_19</w:t>
            </w:r>
          </w:p>
        </w:tc>
        <w:tc>
          <w:tcPr>
            <w:tcW w:w="4441" w:type="dxa"/>
            <w:tcBorders>
              <w:top w:val="nil"/>
              <w:left w:val="nil"/>
              <w:bottom w:val="single" w:sz="4" w:space="0" w:color="auto"/>
              <w:right w:val="single" w:sz="4" w:space="0" w:color="auto"/>
            </w:tcBorders>
            <w:shd w:val="clear" w:color="auto" w:fill="auto"/>
            <w:noWrap/>
            <w:vAlign w:val="center"/>
            <w:hideMark/>
          </w:tcPr>
          <w:p w14:paraId="3ECD4597"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Cardones 220 -&gt;Nueva Cardones 220</w:t>
            </w:r>
          </w:p>
        </w:tc>
        <w:tc>
          <w:tcPr>
            <w:tcW w:w="2080" w:type="dxa"/>
            <w:tcBorders>
              <w:top w:val="nil"/>
              <w:left w:val="nil"/>
              <w:bottom w:val="single" w:sz="4" w:space="0" w:color="auto"/>
              <w:right w:val="single" w:sz="4" w:space="0" w:color="auto"/>
            </w:tcBorders>
            <w:shd w:val="clear" w:color="auto" w:fill="auto"/>
            <w:noWrap/>
            <w:hideMark/>
          </w:tcPr>
          <w:p w14:paraId="63F37750"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eastAsia="Times New Roman" w:cs="Calibri"/>
                <w:color w:val="000000"/>
                <w:sz w:val="20"/>
                <w:szCs w:val="20"/>
                <w:lang w:eastAsia="es-CL"/>
              </w:rPr>
              <w:t>-</w:t>
            </w:r>
          </w:p>
        </w:tc>
      </w:tr>
      <w:tr w:rsidR="00F501EB" w:rsidRPr="00A81CB8" w14:paraId="78BFEA3D"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272D2360"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Pr>
                <w:rFonts w:cs="Calibri"/>
                <w:color w:val="000000"/>
                <w:sz w:val="20"/>
                <w:szCs w:val="20"/>
              </w:rPr>
              <w:t>N_20</w:t>
            </w:r>
          </w:p>
        </w:tc>
        <w:tc>
          <w:tcPr>
            <w:tcW w:w="4441" w:type="dxa"/>
            <w:tcBorders>
              <w:top w:val="nil"/>
              <w:left w:val="nil"/>
              <w:bottom w:val="single" w:sz="4" w:space="0" w:color="auto"/>
              <w:right w:val="single" w:sz="4" w:space="0" w:color="auto"/>
            </w:tcBorders>
            <w:shd w:val="clear" w:color="auto" w:fill="auto"/>
            <w:noWrap/>
            <w:vAlign w:val="bottom"/>
            <w:hideMark/>
          </w:tcPr>
          <w:p w14:paraId="09B2CEEE"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Carrera Pinto 220-&gt;Nueva Diego de Almagro 220</w:t>
            </w:r>
          </w:p>
        </w:tc>
        <w:tc>
          <w:tcPr>
            <w:tcW w:w="2080" w:type="dxa"/>
            <w:tcBorders>
              <w:top w:val="nil"/>
              <w:left w:val="nil"/>
              <w:bottom w:val="single" w:sz="4" w:space="0" w:color="auto"/>
              <w:right w:val="single" w:sz="4" w:space="0" w:color="auto"/>
            </w:tcBorders>
            <w:shd w:val="clear" w:color="auto" w:fill="auto"/>
            <w:noWrap/>
            <w:vAlign w:val="bottom"/>
            <w:hideMark/>
          </w:tcPr>
          <w:p w14:paraId="2BB924A7"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8.897.607,17</w:t>
            </w:r>
          </w:p>
        </w:tc>
      </w:tr>
      <w:tr w:rsidR="00F501EB" w:rsidRPr="00A81CB8" w14:paraId="53E1430A"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758A229D"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Pr>
                <w:rFonts w:cs="Calibri"/>
                <w:color w:val="000000"/>
                <w:sz w:val="20"/>
                <w:szCs w:val="20"/>
              </w:rPr>
              <w:t>N_21</w:t>
            </w:r>
          </w:p>
        </w:tc>
        <w:tc>
          <w:tcPr>
            <w:tcW w:w="4441" w:type="dxa"/>
            <w:tcBorders>
              <w:top w:val="nil"/>
              <w:left w:val="nil"/>
              <w:bottom w:val="single" w:sz="4" w:space="0" w:color="auto"/>
              <w:right w:val="single" w:sz="4" w:space="0" w:color="auto"/>
            </w:tcBorders>
            <w:shd w:val="clear" w:color="auto" w:fill="auto"/>
            <w:noWrap/>
            <w:vAlign w:val="bottom"/>
            <w:hideMark/>
          </w:tcPr>
          <w:p w14:paraId="4F5ED5FF"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Carrera Pinto 220-&gt;S. San Andres 220</w:t>
            </w:r>
          </w:p>
        </w:tc>
        <w:tc>
          <w:tcPr>
            <w:tcW w:w="2080" w:type="dxa"/>
            <w:tcBorders>
              <w:top w:val="nil"/>
              <w:left w:val="nil"/>
              <w:bottom w:val="single" w:sz="4" w:space="0" w:color="auto"/>
              <w:right w:val="single" w:sz="4" w:space="0" w:color="auto"/>
            </w:tcBorders>
            <w:shd w:val="clear" w:color="auto" w:fill="auto"/>
            <w:noWrap/>
            <w:vAlign w:val="bottom"/>
            <w:hideMark/>
          </w:tcPr>
          <w:p w14:paraId="0444864F"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8.305.859,36</w:t>
            </w:r>
          </w:p>
        </w:tc>
      </w:tr>
      <w:tr w:rsidR="00F501EB" w:rsidRPr="00A81CB8" w14:paraId="4E0742F1"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03D5B545"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Pr>
                <w:rFonts w:cs="Calibri"/>
                <w:color w:val="000000"/>
                <w:sz w:val="20"/>
                <w:szCs w:val="20"/>
              </w:rPr>
              <w:t>N_22</w:t>
            </w:r>
          </w:p>
        </w:tc>
        <w:tc>
          <w:tcPr>
            <w:tcW w:w="4441" w:type="dxa"/>
            <w:tcBorders>
              <w:top w:val="nil"/>
              <w:left w:val="nil"/>
              <w:bottom w:val="single" w:sz="4" w:space="0" w:color="auto"/>
              <w:right w:val="single" w:sz="4" w:space="0" w:color="auto"/>
            </w:tcBorders>
            <w:shd w:val="clear" w:color="auto" w:fill="auto"/>
            <w:noWrap/>
            <w:vAlign w:val="bottom"/>
            <w:hideMark/>
          </w:tcPr>
          <w:p w14:paraId="3897DB5A"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Cautin 220-&gt;Metrenco 220</w:t>
            </w:r>
          </w:p>
        </w:tc>
        <w:tc>
          <w:tcPr>
            <w:tcW w:w="2080" w:type="dxa"/>
            <w:tcBorders>
              <w:top w:val="nil"/>
              <w:left w:val="nil"/>
              <w:bottom w:val="single" w:sz="4" w:space="0" w:color="auto"/>
              <w:right w:val="single" w:sz="4" w:space="0" w:color="auto"/>
            </w:tcBorders>
            <w:shd w:val="clear" w:color="auto" w:fill="auto"/>
            <w:noWrap/>
            <w:vAlign w:val="bottom"/>
            <w:hideMark/>
          </w:tcPr>
          <w:p w14:paraId="34C6E9E2"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5.771.899,00</w:t>
            </w:r>
          </w:p>
        </w:tc>
      </w:tr>
      <w:tr w:rsidR="00F501EB" w:rsidRPr="00A81CB8" w14:paraId="7D583968"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079FE81A"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Pr>
                <w:rFonts w:cs="Calibri"/>
                <w:color w:val="000000"/>
                <w:sz w:val="20"/>
                <w:szCs w:val="20"/>
              </w:rPr>
              <w:t>N_23</w:t>
            </w:r>
          </w:p>
        </w:tc>
        <w:tc>
          <w:tcPr>
            <w:tcW w:w="4441" w:type="dxa"/>
            <w:tcBorders>
              <w:top w:val="nil"/>
              <w:left w:val="nil"/>
              <w:bottom w:val="single" w:sz="4" w:space="0" w:color="auto"/>
              <w:right w:val="single" w:sz="4" w:space="0" w:color="auto"/>
            </w:tcBorders>
            <w:shd w:val="clear" w:color="auto" w:fill="auto"/>
            <w:noWrap/>
            <w:vAlign w:val="bottom"/>
            <w:hideMark/>
          </w:tcPr>
          <w:p w14:paraId="1C97EB0A"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Cerro Navia 220-&gt;Cerro Navia Desf 220</w:t>
            </w:r>
          </w:p>
        </w:tc>
        <w:tc>
          <w:tcPr>
            <w:tcW w:w="2080" w:type="dxa"/>
            <w:tcBorders>
              <w:top w:val="nil"/>
              <w:left w:val="nil"/>
              <w:bottom w:val="single" w:sz="4" w:space="0" w:color="auto"/>
              <w:right w:val="single" w:sz="4" w:space="0" w:color="auto"/>
            </w:tcBorders>
            <w:shd w:val="clear" w:color="auto" w:fill="auto"/>
            <w:noWrap/>
            <w:vAlign w:val="bottom"/>
            <w:hideMark/>
          </w:tcPr>
          <w:p w14:paraId="0B209DF3"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8.383.638,21</w:t>
            </w:r>
          </w:p>
        </w:tc>
      </w:tr>
      <w:tr w:rsidR="00F501EB" w:rsidRPr="00A81CB8" w14:paraId="1E3B7E0A"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3C9F4B95"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Pr>
                <w:rFonts w:cs="Calibri"/>
                <w:color w:val="000000"/>
                <w:sz w:val="20"/>
                <w:szCs w:val="20"/>
              </w:rPr>
              <w:t>N_24</w:t>
            </w:r>
          </w:p>
        </w:tc>
        <w:tc>
          <w:tcPr>
            <w:tcW w:w="4441" w:type="dxa"/>
            <w:tcBorders>
              <w:top w:val="nil"/>
              <w:left w:val="nil"/>
              <w:bottom w:val="single" w:sz="4" w:space="0" w:color="auto"/>
              <w:right w:val="single" w:sz="4" w:space="0" w:color="auto"/>
            </w:tcBorders>
            <w:shd w:val="clear" w:color="auto" w:fill="auto"/>
            <w:noWrap/>
            <w:vAlign w:val="bottom"/>
            <w:hideMark/>
          </w:tcPr>
          <w:p w14:paraId="46237642"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Cerro Navia 220-&gt;Chena 220</w:t>
            </w:r>
          </w:p>
        </w:tc>
        <w:tc>
          <w:tcPr>
            <w:tcW w:w="2080" w:type="dxa"/>
            <w:tcBorders>
              <w:top w:val="nil"/>
              <w:left w:val="nil"/>
              <w:bottom w:val="single" w:sz="4" w:space="0" w:color="auto"/>
              <w:right w:val="single" w:sz="4" w:space="0" w:color="auto"/>
            </w:tcBorders>
            <w:shd w:val="clear" w:color="auto" w:fill="auto"/>
            <w:noWrap/>
            <w:vAlign w:val="bottom"/>
            <w:hideMark/>
          </w:tcPr>
          <w:p w14:paraId="597CA7BA"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3.119.560,08</w:t>
            </w:r>
          </w:p>
        </w:tc>
      </w:tr>
      <w:tr w:rsidR="00F501EB" w:rsidRPr="00A81CB8" w14:paraId="28BA1F7D"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6B5EF596"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Pr>
                <w:rFonts w:cs="Calibri"/>
                <w:color w:val="000000"/>
                <w:sz w:val="20"/>
                <w:szCs w:val="20"/>
              </w:rPr>
              <w:t>N_25</w:t>
            </w:r>
          </w:p>
        </w:tc>
        <w:tc>
          <w:tcPr>
            <w:tcW w:w="4441" w:type="dxa"/>
            <w:tcBorders>
              <w:top w:val="nil"/>
              <w:left w:val="nil"/>
              <w:bottom w:val="single" w:sz="4" w:space="0" w:color="auto"/>
              <w:right w:val="single" w:sz="4" w:space="0" w:color="auto"/>
            </w:tcBorders>
            <w:shd w:val="clear" w:color="auto" w:fill="auto"/>
            <w:noWrap/>
            <w:vAlign w:val="bottom"/>
            <w:hideMark/>
          </w:tcPr>
          <w:p w14:paraId="35005EEC"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Cerro Navia 220-&gt;Neptuno 220</w:t>
            </w:r>
          </w:p>
        </w:tc>
        <w:tc>
          <w:tcPr>
            <w:tcW w:w="2080" w:type="dxa"/>
            <w:tcBorders>
              <w:top w:val="nil"/>
              <w:left w:val="nil"/>
              <w:bottom w:val="single" w:sz="4" w:space="0" w:color="auto"/>
              <w:right w:val="single" w:sz="4" w:space="0" w:color="auto"/>
            </w:tcBorders>
            <w:shd w:val="clear" w:color="auto" w:fill="auto"/>
            <w:noWrap/>
            <w:vAlign w:val="bottom"/>
            <w:hideMark/>
          </w:tcPr>
          <w:p w14:paraId="6A465F12"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1.973.509,73</w:t>
            </w:r>
          </w:p>
        </w:tc>
      </w:tr>
      <w:tr w:rsidR="00F501EB" w:rsidRPr="00A81CB8" w14:paraId="021FC43A"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0756D21C"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Pr>
                <w:rFonts w:cs="Calibri"/>
                <w:color w:val="000000"/>
                <w:sz w:val="20"/>
                <w:szCs w:val="20"/>
              </w:rPr>
              <w:t>N_26</w:t>
            </w:r>
          </w:p>
        </w:tc>
        <w:tc>
          <w:tcPr>
            <w:tcW w:w="4441" w:type="dxa"/>
            <w:tcBorders>
              <w:top w:val="nil"/>
              <w:left w:val="nil"/>
              <w:bottom w:val="single" w:sz="4" w:space="0" w:color="auto"/>
              <w:right w:val="single" w:sz="4" w:space="0" w:color="auto"/>
            </w:tcBorders>
            <w:shd w:val="clear" w:color="auto" w:fill="auto"/>
            <w:noWrap/>
            <w:vAlign w:val="bottom"/>
            <w:hideMark/>
          </w:tcPr>
          <w:p w14:paraId="28C72B87"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Cerros de Huichahue 220-&gt;Nueva Pichirropulli 220</w:t>
            </w:r>
          </w:p>
        </w:tc>
        <w:tc>
          <w:tcPr>
            <w:tcW w:w="2080" w:type="dxa"/>
            <w:tcBorders>
              <w:top w:val="nil"/>
              <w:left w:val="nil"/>
              <w:bottom w:val="single" w:sz="4" w:space="0" w:color="auto"/>
              <w:right w:val="single" w:sz="4" w:space="0" w:color="auto"/>
            </w:tcBorders>
            <w:shd w:val="clear" w:color="auto" w:fill="auto"/>
            <w:noWrap/>
            <w:vAlign w:val="bottom"/>
            <w:hideMark/>
          </w:tcPr>
          <w:p w14:paraId="7BDDAC16"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1.965.061,00</w:t>
            </w:r>
          </w:p>
        </w:tc>
      </w:tr>
      <w:tr w:rsidR="00F501EB" w:rsidRPr="00A81CB8" w14:paraId="1938BF43"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17B79EB1"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Pr>
                <w:rFonts w:cs="Calibri"/>
                <w:color w:val="000000"/>
                <w:sz w:val="20"/>
                <w:szCs w:val="20"/>
              </w:rPr>
              <w:t>N_27</w:t>
            </w:r>
          </w:p>
        </w:tc>
        <w:tc>
          <w:tcPr>
            <w:tcW w:w="4441" w:type="dxa"/>
            <w:tcBorders>
              <w:top w:val="nil"/>
              <w:left w:val="nil"/>
              <w:bottom w:val="single" w:sz="4" w:space="0" w:color="auto"/>
              <w:right w:val="single" w:sz="4" w:space="0" w:color="auto"/>
            </w:tcBorders>
            <w:shd w:val="clear" w:color="auto" w:fill="auto"/>
            <w:noWrap/>
            <w:vAlign w:val="bottom"/>
            <w:hideMark/>
          </w:tcPr>
          <w:p w14:paraId="7A4FB9ED"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Charrua 220-&gt;Charrua 500</w:t>
            </w:r>
          </w:p>
        </w:tc>
        <w:tc>
          <w:tcPr>
            <w:tcW w:w="2080" w:type="dxa"/>
            <w:tcBorders>
              <w:top w:val="nil"/>
              <w:left w:val="nil"/>
              <w:bottom w:val="single" w:sz="4" w:space="0" w:color="auto"/>
              <w:right w:val="single" w:sz="4" w:space="0" w:color="auto"/>
            </w:tcBorders>
            <w:shd w:val="clear" w:color="auto" w:fill="auto"/>
            <w:noWrap/>
            <w:vAlign w:val="bottom"/>
            <w:hideMark/>
          </w:tcPr>
          <w:p w14:paraId="5F9CB0D5"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23.924.180,52</w:t>
            </w:r>
          </w:p>
        </w:tc>
      </w:tr>
      <w:tr w:rsidR="00F501EB" w:rsidRPr="00A81CB8" w14:paraId="03BA84DE"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310E25B0"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Pr>
                <w:rFonts w:cs="Calibri"/>
                <w:color w:val="000000"/>
                <w:sz w:val="20"/>
                <w:szCs w:val="20"/>
              </w:rPr>
              <w:t>N_28</w:t>
            </w:r>
          </w:p>
        </w:tc>
        <w:tc>
          <w:tcPr>
            <w:tcW w:w="4441" w:type="dxa"/>
            <w:tcBorders>
              <w:top w:val="nil"/>
              <w:left w:val="nil"/>
              <w:bottom w:val="single" w:sz="4" w:space="0" w:color="auto"/>
              <w:right w:val="single" w:sz="4" w:space="0" w:color="auto"/>
            </w:tcBorders>
            <w:shd w:val="clear" w:color="auto" w:fill="auto"/>
            <w:noWrap/>
            <w:vAlign w:val="bottom"/>
            <w:hideMark/>
          </w:tcPr>
          <w:p w14:paraId="06C89B32"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Charrua 220-&gt;Concepcion 220</w:t>
            </w:r>
          </w:p>
        </w:tc>
        <w:tc>
          <w:tcPr>
            <w:tcW w:w="2080" w:type="dxa"/>
            <w:tcBorders>
              <w:top w:val="nil"/>
              <w:left w:val="nil"/>
              <w:bottom w:val="single" w:sz="4" w:space="0" w:color="auto"/>
              <w:right w:val="single" w:sz="4" w:space="0" w:color="auto"/>
            </w:tcBorders>
            <w:shd w:val="clear" w:color="auto" w:fill="auto"/>
            <w:noWrap/>
            <w:vAlign w:val="bottom"/>
            <w:hideMark/>
          </w:tcPr>
          <w:p w14:paraId="58F680DD"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15.007.037,26</w:t>
            </w:r>
          </w:p>
        </w:tc>
      </w:tr>
      <w:tr w:rsidR="00F501EB" w:rsidRPr="00A81CB8" w14:paraId="2CB4458E"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2587DF50"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Pr>
                <w:rFonts w:cs="Calibri"/>
                <w:color w:val="000000"/>
                <w:sz w:val="20"/>
                <w:szCs w:val="20"/>
              </w:rPr>
              <w:t>N_29</w:t>
            </w:r>
          </w:p>
        </w:tc>
        <w:tc>
          <w:tcPr>
            <w:tcW w:w="4441" w:type="dxa"/>
            <w:tcBorders>
              <w:top w:val="nil"/>
              <w:left w:val="nil"/>
              <w:bottom w:val="single" w:sz="4" w:space="0" w:color="auto"/>
              <w:right w:val="single" w:sz="4" w:space="0" w:color="auto"/>
            </w:tcBorders>
            <w:shd w:val="clear" w:color="auto" w:fill="auto"/>
            <w:noWrap/>
            <w:vAlign w:val="bottom"/>
            <w:hideMark/>
          </w:tcPr>
          <w:p w14:paraId="688ECF69"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Charrua 220-&gt;El Rosal 220</w:t>
            </w:r>
          </w:p>
        </w:tc>
        <w:tc>
          <w:tcPr>
            <w:tcW w:w="2080" w:type="dxa"/>
            <w:tcBorders>
              <w:top w:val="nil"/>
              <w:left w:val="nil"/>
              <w:bottom w:val="single" w:sz="4" w:space="0" w:color="auto"/>
              <w:right w:val="single" w:sz="4" w:space="0" w:color="auto"/>
            </w:tcBorders>
            <w:shd w:val="clear" w:color="auto" w:fill="auto"/>
            <w:noWrap/>
            <w:vAlign w:val="bottom"/>
            <w:hideMark/>
          </w:tcPr>
          <w:p w14:paraId="49B7D6B2"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4.215.492,43</w:t>
            </w:r>
          </w:p>
        </w:tc>
      </w:tr>
      <w:tr w:rsidR="00F501EB" w:rsidRPr="00A81CB8" w14:paraId="6C7BEA2E"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1ADD18BA"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Pr>
                <w:rFonts w:cs="Calibri"/>
                <w:color w:val="000000"/>
                <w:sz w:val="20"/>
                <w:szCs w:val="20"/>
              </w:rPr>
              <w:t>N_30</w:t>
            </w:r>
          </w:p>
        </w:tc>
        <w:tc>
          <w:tcPr>
            <w:tcW w:w="4441" w:type="dxa"/>
            <w:tcBorders>
              <w:top w:val="nil"/>
              <w:left w:val="nil"/>
              <w:bottom w:val="single" w:sz="4" w:space="0" w:color="auto"/>
              <w:right w:val="single" w:sz="4" w:space="0" w:color="auto"/>
            </w:tcBorders>
            <w:shd w:val="clear" w:color="auto" w:fill="auto"/>
            <w:noWrap/>
            <w:vAlign w:val="bottom"/>
            <w:hideMark/>
          </w:tcPr>
          <w:p w14:paraId="2F0A5DA1"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Charrua 220-&gt;Lagunillas 220</w:t>
            </w:r>
          </w:p>
        </w:tc>
        <w:tc>
          <w:tcPr>
            <w:tcW w:w="2080" w:type="dxa"/>
            <w:tcBorders>
              <w:top w:val="nil"/>
              <w:left w:val="nil"/>
              <w:bottom w:val="single" w:sz="4" w:space="0" w:color="auto"/>
              <w:right w:val="single" w:sz="4" w:space="0" w:color="auto"/>
            </w:tcBorders>
            <w:shd w:val="clear" w:color="auto" w:fill="auto"/>
            <w:noWrap/>
            <w:vAlign w:val="bottom"/>
            <w:hideMark/>
          </w:tcPr>
          <w:p w14:paraId="3BB6BCF6"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22.516.679,03</w:t>
            </w:r>
          </w:p>
        </w:tc>
      </w:tr>
      <w:tr w:rsidR="00F501EB" w:rsidRPr="00A81CB8" w14:paraId="6A2442B8"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68D3C51E"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Pr>
                <w:rFonts w:cs="Calibri"/>
                <w:color w:val="000000"/>
                <w:sz w:val="20"/>
                <w:szCs w:val="20"/>
              </w:rPr>
              <w:t>N_31</w:t>
            </w:r>
          </w:p>
        </w:tc>
        <w:tc>
          <w:tcPr>
            <w:tcW w:w="4441" w:type="dxa"/>
            <w:tcBorders>
              <w:top w:val="nil"/>
              <w:left w:val="nil"/>
              <w:bottom w:val="single" w:sz="4" w:space="0" w:color="auto"/>
              <w:right w:val="single" w:sz="4" w:space="0" w:color="auto"/>
            </w:tcBorders>
            <w:shd w:val="clear" w:color="auto" w:fill="auto"/>
            <w:noWrap/>
            <w:vAlign w:val="bottom"/>
            <w:hideMark/>
          </w:tcPr>
          <w:p w14:paraId="1F3E0B02"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Charrua 220-&gt;Mulchen 220</w:t>
            </w:r>
          </w:p>
        </w:tc>
        <w:tc>
          <w:tcPr>
            <w:tcW w:w="2080" w:type="dxa"/>
            <w:tcBorders>
              <w:top w:val="nil"/>
              <w:left w:val="nil"/>
              <w:bottom w:val="single" w:sz="4" w:space="0" w:color="auto"/>
              <w:right w:val="single" w:sz="4" w:space="0" w:color="auto"/>
            </w:tcBorders>
            <w:shd w:val="clear" w:color="auto" w:fill="auto"/>
            <w:noWrap/>
            <w:vAlign w:val="bottom"/>
            <w:hideMark/>
          </w:tcPr>
          <w:p w14:paraId="2A390FEA"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729.215,57</w:t>
            </w:r>
          </w:p>
        </w:tc>
      </w:tr>
      <w:tr w:rsidR="00F501EB" w:rsidRPr="00A81CB8" w14:paraId="09F6B049"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0C208E53"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Pr>
                <w:rFonts w:cs="Calibri"/>
                <w:color w:val="000000"/>
                <w:sz w:val="20"/>
                <w:szCs w:val="20"/>
              </w:rPr>
              <w:t>N_32</w:t>
            </w:r>
          </w:p>
        </w:tc>
        <w:tc>
          <w:tcPr>
            <w:tcW w:w="4441" w:type="dxa"/>
            <w:tcBorders>
              <w:top w:val="nil"/>
              <w:left w:val="nil"/>
              <w:bottom w:val="single" w:sz="4" w:space="0" w:color="auto"/>
              <w:right w:val="single" w:sz="4" w:space="0" w:color="auto"/>
            </w:tcBorders>
            <w:shd w:val="clear" w:color="auto" w:fill="auto"/>
            <w:noWrap/>
            <w:vAlign w:val="bottom"/>
            <w:hideMark/>
          </w:tcPr>
          <w:p w14:paraId="5800B4D5"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Charrua 220-&gt;Trebol 220</w:t>
            </w:r>
          </w:p>
        </w:tc>
        <w:tc>
          <w:tcPr>
            <w:tcW w:w="2080" w:type="dxa"/>
            <w:tcBorders>
              <w:top w:val="nil"/>
              <w:left w:val="nil"/>
              <w:bottom w:val="single" w:sz="4" w:space="0" w:color="auto"/>
              <w:right w:val="single" w:sz="4" w:space="0" w:color="auto"/>
            </w:tcBorders>
            <w:shd w:val="clear" w:color="auto" w:fill="auto"/>
            <w:noWrap/>
            <w:vAlign w:val="bottom"/>
            <w:hideMark/>
          </w:tcPr>
          <w:p w14:paraId="2E262F70"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17.529.448,87</w:t>
            </w:r>
          </w:p>
        </w:tc>
      </w:tr>
      <w:tr w:rsidR="00F501EB" w:rsidRPr="00A81CB8" w14:paraId="522CEF15"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57D596C4"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Pr>
                <w:rFonts w:cs="Calibri"/>
                <w:color w:val="000000"/>
                <w:sz w:val="20"/>
                <w:szCs w:val="20"/>
              </w:rPr>
              <w:t>N_33</w:t>
            </w:r>
          </w:p>
        </w:tc>
        <w:tc>
          <w:tcPr>
            <w:tcW w:w="4441" w:type="dxa"/>
            <w:tcBorders>
              <w:top w:val="nil"/>
              <w:left w:val="nil"/>
              <w:bottom w:val="single" w:sz="4" w:space="0" w:color="auto"/>
              <w:right w:val="single" w:sz="4" w:space="0" w:color="auto"/>
            </w:tcBorders>
            <w:shd w:val="clear" w:color="auto" w:fill="auto"/>
            <w:noWrap/>
            <w:vAlign w:val="bottom"/>
            <w:hideMark/>
          </w:tcPr>
          <w:p w14:paraId="3805CA86"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Charrua 500-&gt;Nueva Charrua 500</w:t>
            </w:r>
          </w:p>
        </w:tc>
        <w:tc>
          <w:tcPr>
            <w:tcW w:w="2080" w:type="dxa"/>
            <w:tcBorders>
              <w:top w:val="nil"/>
              <w:left w:val="nil"/>
              <w:bottom w:val="single" w:sz="4" w:space="0" w:color="auto"/>
              <w:right w:val="single" w:sz="4" w:space="0" w:color="auto"/>
            </w:tcBorders>
            <w:shd w:val="clear" w:color="auto" w:fill="auto"/>
            <w:noWrap/>
            <w:vAlign w:val="bottom"/>
            <w:hideMark/>
          </w:tcPr>
          <w:p w14:paraId="5137510B"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30.518.644,82</w:t>
            </w:r>
          </w:p>
        </w:tc>
      </w:tr>
      <w:tr w:rsidR="00F501EB" w:rsidRPr="00A81CB8" w14:paraId="26E5007B"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20DCDB89"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Pr>
                <w:rFonts w:cs="Calibri"/>
                <w:color w:val="000000"/>
                <w:sz w:val="20"/>
                <w:szCs w:val="20"/>
              </w:rPr>
              <w:t>N_34</w:t>
            </w:r>
          </w:p>
        </w:tc>
        <w:tc>
          <w:tcPr>
            <w:tcW w:w="4441" w:type="dxa"/>
            <w:tcBorders>
              <w:top w:val="nil"/>
              <w:left w:val="nil"/>
              <w:bottom w:val="single" w:sz="4" w:space="0" w:color="auto"/>
              <w:right w:val="single" w:sz="4" w:space="0" w:color="auto"/>
            </w:tcBorders>
            <w:shd w:val="clear" w:color="auto" w:fill="auto"/>
            <w:noWrap/>
            <w:vAlign w:val="bottom"/>
            <w:hideMark/>
          </w:tcPr>
          <w:p w14:paraId="53DEE79E"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Chena 220-&gt;Neptuno 220</w:t>
            </w:r>
          </w:p>
        </w:tc>
        <w:tc>
          <w:tcPr>
            <w:tcW w:w="2080" w:type="dxa"/>
            <w:tcBorders>
              <w:top w:val="nil"/>
              <w:left w:val="nil"/>
              <w:bottom w:val="single" w:sz="4" w:space="0" w:color="auto"/>
              <w:right w:val="single" w:sz="4" w:space="0" w:color="auto"/>
            </w:tcBorders>
            <w:shd w:val="clear" w:color="auto" w:fill="auto"/>
            <w:noWrap/>
            <w:vAlign w:val="bottom"/>
            <w:hideMark/>
          </w:tcPr>
          <w:p w14:paraId="296871DD"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2.630.178,04</w:t>
            </w:r>
          </w:p>
        </w:tc>
      </w:tr>
      <w:tr w:rsidR="00F501EB" w:rsidRPr="00A81CB8" w14:paraId="1F6934F3"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3A503651"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Pr>
                <w:rFonts w:cs="Calibri"/>
                <w:color w:val="000000"/>
                <w:sz w:val="20"/>
                <w:szCs w:val="20"/>
              </w:rPr>
              <w:t>N_35</w:t>
            </w:r>
          </w:p>
        </w:tc>
        <w:tc>
          <w:tcPr>
            <w:tcW w:w="4441" w:type="dxa"/>
            <w:tcBorders>
              <w:top w:val="nil"/>
              <w:left w:val="nil"/>
              <w:bottom w:val="single" w:sz="4" w:space="0" w:color="auto"/>
              <w:right w:val="single" w:sz="4" w:space="0" w:color="auto"/>
            </w:tcBorders>
            <w:shd w:val="clear" w:color="auto" w:fill="auto"/>
            <w:noWrap/>
            <w:vAlign w:val="bottom"/>
            <w:hideMark/>
          </w:tcPr>
          <w:p w14:paraId="32408DC7"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Chena 220-&gt;Tap Central Santa Marta 220</w:t>
            </w:r>
          </w:p>
        </w:tc>
        <w:tc>
          <w:tcPr>
            <w:tcW w:w="2080" w:type="dxa"/>
            <w:tcBorders>
              <w:top w:val="nil"/>
              <w:left w:val="nil"/>
              <w:bottom w:val="single" w:sz="4" w:space="0" w:color="auto"/>
              <w:right w:val="single" w:sz="4" w:space="0" w:color="auto"/>
            </w:tcBorders>
            <w:shd w:val="clear" w:color="auto" w:fill="auto"/>
            <w:noWrap/>
            <w:vAlign w:val="bottom"/>
            <w:hideMark/>
          </w:tcPr>
          <w:p w14:paraId="718BE8A7"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8.360.072,41</w:t>
            </w:r>
          </w:p>
        </w:tc>
      </w:tr>
      <w:tr w:rsidR="00F501EB" w:rsidRPr="00A81CB8" w14:paraId="6552A649"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2220FF82"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Pr>
                <w:rFonts w:cs="Calibri"/>
                <w:color w:val="000000"/>
                <w:sz w:val="20"/>
                <w:szCs w:val="20"/>
              </w:rPr>
              <w:t>N_36</w:t>
            </w:r>
          </w:p>
        </w:tc>
        <w:tc>
          <w:tcPr>
            <w:tcW w:w="4441" w:type="dxa"/>
            <w:tcBorders>
              <w:top w:val="nil"/>
              <w:left w:val="nil"/>
              <w:bottom w:val="single" w:sz="4" w:space="0" w:color="auto"/>
              <w:right w:val="single" w:sz="4" w:space="0" w:color="auto"/>
            </w:tcBorders>
            <w:shd w:val="clear" w:color="auto" w:fill="auto"/>
            <w:noWrap/>
            <w:vAlign w:val="bottom"/>
            <w:hideMark/>
          </w:tcPr>
          <w:p w14:paraId="66F6DEAA"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Chiloe 220-&gt;Nueva Ancud 220</w:t>
            </w:r>
          </w:p>
        </w:tc>
        <w:tc>
          <w:tcPr>
            <w:tcW w:w="2080" w:type="dxa"/>
            <w:tcBorders>
              <w:top w:val="nil"/>
              <w:left w:val="nil"/>
              <w:bottom w:val="single" w:sz="4" w:space="0" w:color="auto"/>
              <w:right w:val="single" w:sz="4" w:space="0" w:color="auto"/>
            </w:tcBorders>
            <w:shd w:val="clear" w:color="auto" w:fill="auto"/>
            <w:noWrap/>
            <w:vAlign w:val="bottom"/>
            <w:hideMark/>
          </w:tcPr>
          <w:p w14:paraId="27C901B1"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3.035.948,80</w:t>
            </w:r>
          </w:p>
        </w:tc>
      </w:tr>
      <w:tr w:rsidR="00F501EB" w:rsidRPr="00A81CB8" w14:paraId="53D99D8B"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2EC22732"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Pr>
                <w:rFonts w:cs="Calibri"/>
                <w:color w:val="000000"/>
                <w:sz w:val="20"/>
                <w:szCs w:val="20"/>
              </w:rPr>
              <w:t>N_37</w:t>
            </w:r>
          </w:p>
        </w:tc>
        <w:tc>
          <w:tcPr>
            <w:tcW w:w="4441" w:type="dxa"/>
            <w:tcBorders>
              <w:top w:val="nil"/>
              <w:left w:val="nil"/>
              <w:bottom w:val="single" w:sz="4" w:space="0" w:color="auto"/>
              <w:right w:val="single" w:sz="4" w:space="0" w:color="auto"/>
            </w:tcBorders>
            <w:shd w:val="clear" w:color="auto" w:fill="auto"/>
            <w:noWrap/>
            <w:vAlign w:val="bottom"/>
            <w:hideMark/>
          </w:tcPr>
          <w:p w14:paraId="6966797C"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Chuquicamata 220-&gt;Nueva Chuquicamata 220</w:t>
            </w:r>
          </w:p>
        </w:tc>
        <w:tc>
          <w:tcPr>
            <w:tcW w:w="2080" w:type="dxa"/>
            <w:tcBorders>
              <w:top w:val="nil"/>
              <w:left w:val="nil"/>
              <w:bottom w:val="single" w:sz="4" w:space="0" w:color="auto"/>
              <w:right w:val="single" w:sz="4" w:space="0" w:color="auto"/>
            </w:tcBorders>
            <w:shd w:val="clear" w:color="auto" w:fill="auto"/>
            <w:noWrap/>
            <w:vAlign w:val="bottom"/>
            <w:hideMark/>
          </w:tcPr>
          <w:p w14:paraId="1B4F7F76"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9.806.859,19</w:t>
            </w:r>
          </w:p>
        </w:tc>
      </w:tr>
      <w:tr w:rsidR="00F501EB" w:rsidRPr="00A81CB8" w14:paraId="0D804FBB"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5E7DC8DE"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Pr>
                <w:rFonts w:cs="Calibri"/>
                <w:color w:val="000000"/>
                <w:sz w:val="20"/>
                <w:szCs w:val="20"/>
              </w:rPr>
              <w:t>N_38</w:t>
            </w:r>
          </w:p>
        </w:tc>
        <w:tc>
          <w:tcPr>
            <w:tcW w:w="4441" w:type="dxa"/>
            <w:tcBorders>
              <w:top w:val="nil"/>
              <w:left w:val="nil"/>
              <w:bottom w:val="single" w:sz="4" w:space="0" w:color="auto"/>
              <w:right w:val="single" w:sz="4" w:space="0" w:color="auto"/>
            </w:tcBorders>
            <w:shd w:val="clear" w:color="auto" w:fill="auto"/>
            <w:noWrap/>
            <w:vAlign w:val="bottom"/>
            <w:hideMark/>
          </w:tcPr>
          <w:p w14:paraId="1A8FD1A8"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Ciruelos 220-&gt;Cerros de Huichahue 220</w:t>
            </w:r>
          </w:p>
        </w:tc>
        <w:tc>
          <w:tcPr>
            <w:tcW w:w="2080" w:type="dxa"/>
            <w:tcBorders>
              <w:top w:val="nil"/>
              <w:left w:val="nil"/>
              <w:bottom w:val="single" w:sz="4" w:space="0" w:color="auto"/>
              <w:right w:val="single" w:sz="4" w:space="0" w:color="auto"/>
            </w:tcBorders>
            <w:shd w:val="clear" w:color="auto" w:fill="auto"/>
            <w:noWrap/>
            <w:vAlign w:val="bottom"/>
            <w:hideMark/>
          </w:tcPr>
          <w:p w14:paraId="1A6AC7D1"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3.281.738,32</w:t>
            </w:r>
          </w:p>
        </w:tc>
      </w:tr>
      <w:tr w:rsidR="00F501EB" w:rsidRPr="00A81CB8" w14:paraId="7327D177"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0E7F7242"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Pr>
                <w:rFonts w:cs="Calibri"/>
                <w:color w:val="000000"/>
                <w:sz w:val="20"/>
                <w:szCs w:val="20"/>
              </w:rPr>
              <w:t>N_39</w:t>
            </w:r>
          </w:p>
        </w:tc>
        <w:tc>
          <w:tcPr>
            <w:tcW w:w="4441" w:type="dxa"/>
            <w:tcBorders>
              <w:top w:val="nil"/>
              <w:left w:val="nil"/>
              <w:bottom w:val="single" w:sz="4" w:space="0" w:color="auto"/>
              <w:right w:val="single" w:sz="4" w:space="0" w:color="auto"/>
            </w:tcBorders>
            <w:shd w:val="clear" w:color="auto" w:fill="auto"/>
            <w:noWrap/>
            <w:vAlign w:val="bottom"/>
            <w:hideMark/>
          </w:tcPr>
          <w:p w14:paraId="4A4EFFBB"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Ciruelos 220-&gt;Lastarria 220</w:t>
            </w:r>
          </w:p>
        </w:tc>
        <w:tc>
          <w:tcPr>
            <w:tcW w:w="2080" w:type="dxa"/>
            <w:tcBorders>
              <w:top w:val="nil"/>
              <w:left w:val="nil"/>
              <w:bottom w:val="single" w:sz="4" w:space="0" w:color="auto"/>
              <w:right w:val="single" w:sz="4" w:space="0" w:color="auto"/>
            </w:tcBorders>
            <w:shd w:val="clear" w:color="auto" w:fill="auto"/>
            <w:noWrap/>
            <w:vAlign w:val="bottom"/>
            <w:hideMark/>
          </w:tcPr>
          <w:p w14:paraId="53B573C9"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9.042.697,32</w:t>
            </w:r>
          </w:p>
        </w:tc>
      </w:tr>
      <w:tr w:rsidR="00F501EB" w:rsidRPr="00A81CB8" w14:paraId="2F6592EA"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599BAE33"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Pr>
                <w:rFonts w:cs="Calibri"/>
                <w:color w:val="000000"/>
                <w:sz w:val="20"/>
                <w:szCs w:val="20"/>
              </w:rPr>
              <w:t>N_40</w:t>
            </w:r>
          </w:p>
        </w:tc>
        <w:tc>
          <w:tcPr>
            <w:tcW w:w="4441" w:type="dxa"/>
            <w:tcBorders>
              <w:top w:val="nil"/>
              <w:left w:val="nil"/>
              <w:bottom w:val="single" w:sz="4" w:space="0" w:color="auto"/>
              <w:right w:val="single" w:sz="4" w:space="0" w:color="auto"/>
            </w:tcBorders>
            <w:shd w:val="clear" w:color="auto" w:fill="auto"/>
            <w:noWrap/>
            <w:vAlign w:val="bottom"/>
            <w:hideMark/>
          </w:tcPr>
          <w:p w14:paraId="4476D0FD"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Ciruelos 220-&gt;Valdivia 220</w:t>
            </w:r>
          </w:p>
        </w:tc>
        <w:tc>
          <w:tcPr>
            <w:tcW w:w="2080" w:type="dxa"/>
            <w:tcBorders>
              <w:top w:val="nil"/>
              <w:left w:val="nil"/>
              <w:bottom w:val="single" w:sz="4" w:space="0" w:color="auto"/>
              <w:right w:val="single" w:sz="4" w:space="0" w:color="auto"/>
            </w:tcBorders>
            <w:shd w:val="clear" w:color="auto" w:fill="auto"/>
            <w:noWrap/>
            <w:vAlign w:val="bottom"/>
            <w:hideMark/>
          </w:tcPr>
          <w:p w14:paraId="1D3C5A6C"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11.282.291,03</w:t>
            </w:r>
          </w:p>
        </w:tc>
      </w:tr>
      <w:tr w:rsidR="00F501EB" w:rsidRPr="00A81CB8" w14:paraId="13C3C06E"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66C1DEE4"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Pr>
                <w:rFonts w:cs="Calibri"/>
                <w:color w:val="000000"/>
                <w:sz w:val="20"/>
                <w:szCs w:val="20"/>
              </w:rPr>
              <w:t>N_41</w:t>
            </w:r>
          </w:p>
        </w:tc>
        <w:tc>
          <w:tcPr>
            <w:tcW w:w="4441" w:type="dxa"/>
            <w:tcBorders>
              <w:top w:val="nil"/>
              <w:left w:val="nil"/>
              <w:bottom w:val="single" w:sz="4" w:space="0" w:color="auto"/>
              <w:right w:val="single" w:sz="4" w:space="0" w:color="auto"/>
            </w:tcBorders>
            <w:shd w:val="clear" w:color="auto" w:fill="auto"/>
            <w:noWrap/>
            <w:vAlign w:val="bottom"/>
            <w:hideMark/>
          </w:tcPr>
          <w:p w14:paraId="3690C066"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Condores 220-&gt;Parinacota 220</w:t>
            </w:r>
          </w:p>
        </w:tc>
        <w:tc>
          <w:tcPr>
            <w:tcW w:w="2080" w:type="dxa"/>
            <w:tcBorders>
              <w:top w:val="nil"/>
              <w:left w:val="nil"/>
              <w:bottom w:val="single" w:sz="4" w:space="0" w:color="auto"/>
              <w:right w:val="single" w:sz="4" w:space="0" w:color="auto"/>
            </w:tcBorders>
            <w:shd w:val="clear" w:color="auto" w:fill="auto"/>
            <w:noWrap/>
            <w:vAlign w:val="bottom"/>
            <w:hideMark/>
          </w:tcPr>
          <w:p w14:paraId="6A31CE49"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29.220.385,82</w:t>
            </w:r>
          </w:p>
        </w:tc>
      </w:tr>
      <w:tr w:rsidR="00F501EB" w:rsidRPr="00A81CB8" w14:paraId="66F74FBC"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57BA03BE"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Pr>
                <w:rFonts w:cs="Calibri"/>
                <w:color w:val="000000"/>
                <w:sz w:val="20"/>
                <w:szCs w:val="20"/>
              </w:rPr>
              <w:t>N_42</w:t>
            </w:r>
          </w:p>
        </w:tc>
        <w:tc>
          <w:tcPr>
            <w:tcW w:w="4441" w:type="dxa"/>
            <w:tcBorders>
              <w:top w:val="nil"/>
              <w:left w:val="nil"/>
              <w:bottom w:val="single" w:sz="4" w:space="0" w:color="auto"/>
              <w:right w:val="single" w:sz="4" w:space="0" w:color="auto"/>
            </w:tcBorders>
            <w:shd w:val="clear" w:color="auto" w:fill="auto"/>
            <w:noWrap/>
            <w:vAlign w:val="bottom"/>
            <w:hideMark/>
          </w:tcPr>
          <w:p w14:paraId="162E6A51"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Crucero 220-&gt;Kimal 220</w:t>
            </w:r>
          </w:p>
        </w:tc>
        <w:tc>
          <w:tcPr>
            <w:tcW w:w="2080" w:type="dxa"/>
            <w:tcBorders>
              <w:top w:val="nil"/>
              <w:left w:val="nil"/>
              <w:bottom w:val="single" w:sz="4" w:space="0" w:color="auto"/>
              <w:right w:val="single" w:sz="4" w:space="0" w:color="auto"/>
            </w:tcBorders>
            <w:shd w:val="clear" w:color="auto" w:fill="auto"/>
            <w:noWrap/>
            <w:vAlign w:val="bottom"/>
            <w:hideMark/>
          </w:tcPr>
          <w:p w14:paraId="0DB1542F"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1.259.138,56</w:t>
            </w:r>
          </w:p>
        </w:tc>
      </w:tr>
      <w:tr w:rsidR="00F501EB" w:rsidRPr="00A81CB8" w14:paraId="0AAC6FC2"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38BAD622"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Pr>
                <w:rFonts w:cs="Calibri"/>
                <w:color w:val="000000"/>
                <w:sz w:val="20"/>
                <w:szCs w:val="20"/>
              </w:rPr>
              <w:t>N_43</w:t>
            </w:r>
          </w:p>
        </w:tc>
        <w:tc>
          <w:tcPr>
            <w:tcW w:w="4441" w:type="dxa"/>
            <w:tcBorders>
              <w:top w:val="nil"/>
              <w:left w:val="nil"/>
              <w:bottom w:val="single" w:sz="4" w:space="0" w:color="auto"/>
              <w:right w:val="single" w:sz="4" w:space="0" w:color="auto"/>
            </w:tcBorders>
            <w:shd w:val="clear" w:color="auto" w:fill="auto"/>
            <w:noWrap/>
            <w:vAlign w:val="bottom"/>
            <w:hideMark/>
          </w:tcPr>
          <w:p w14:paraId="72B5B356"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Cumbre 500-&gt;Nueva Cardones 500</w:t>
            </w:r>
          </w:p>
        </w:tc>
        <w:tc>
          <w:tcPr>
            <w:tcW w:w="2080" w:type="dxa"/>
            <w:tcBorders>
              <w:top w:val="nil"/>
              <w:left w:val="nil"/>
              <w:bottom w:val="single" w:sz="4" w:space="0" w:color="auto"/>
              <w:right w:val="single" w:sz="4" w:space="0" w:color="auto"/>
            </w:tcBorders>
            <w:shd w:val="clear" w:color="auto" w:fill="auto"/>
            <w:noWrap/>
            <w:vAlign w:val="bottom"/>
            <w:hideMark/>
          </w:tcPr>
          <w:p w14:paraId="3FADD40B"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171.890.684,29</w:t>
            </w:r>
          </w:p>
        </w:tc>
      </w:tr>
      <w:tr w:rsidR="00F501EB" w:rsidRPr="00A81CB8" w14:paraId="45959385"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14481D14"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Pr>
                <w:rFonts w:cs="Calibri"/>
                <w:color w:val="000000"/>
                <w:sz w:val="20"/>
                <w:szCs w:val="20"/>
              </w:rPr>
              <w:t>N_44</w:t>
            </w:r>
          </w:p>
        </w:tc>
        <w:tc>
          <w:tcPr>
            <w:tcW w:w="4441" w:type="dxa"/>
            <w:tcBorders>
              <w:top w:val="nil"/>
              <w:left w:val="nil"/>
              <w:bottom w:val="single" w:sz="4" w:space="0" w:color="auto"/>
              <w:right w:val="single" w:sz="4" w:space="0" w:color="auto"/>
            </w:tcBorders>
            <w:shd w:val="clear" w:color="auto" w:fill="auto"/>
            <w:noWrap/>
            <w:vAlign w:val="bottom"/>
            <w:hideMark/>
          </w:tcPr>
          <w:p w14:paraId="2D903333"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Don Goyo 220-&gt;La Cebada 220</w:t>
            </w:r>
          </w:p>
        </w:tc>
        <w:tc>
          <w:tcPr>
            <w:tcW w:w="2080" w:type="dxa"/>
            <w:tcBorders>
              <w:top w:val="nil"/>
              <w:left w:val="nil"/>
              <w:bottom w:val="single" w:sz="4" w:space="0" w:color="auto"/>
              <w:right w:val="single" w:sz="4" w:space="0" w:color="auto"/>
            </w:tcBorders>
            <w:shd w:val="clear" w:color="auto" w:fill="auto"/>
            <w:noWrap/>
            <w:vAlign w:val="bottom"/>
            <w:hideMark/>
          </w:tcPr>
          <w:p w14:paraId="10090871"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12.112.837,22</w:t>
            </w:r>
          </w:p>
        </w:tc>
      </w:tr>
      <w:tr w:rsidR="00F501EB" w:rsidRPr="00A81CB8" w14:paraId="71EBAC30"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16491F33"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Pr>
                <w:rFonts w:cs="Calibri"/>
                <w:color w:val="000000"/>
                <w:sz w:val="20"/>
                <w:szCs w:val="20"/>
              </w:rPr>
              <w:lastRenderedPageBreak/>
              <w:t>N_45</w:t>
            </w:r>
          </w:p>
        </w:tc>
        <w:tc>
          <w:tcPr>
            <w:tcW w:w="4441" w:type="dxa"/>
            <w:tcBorders>
              <w:top w:val="nil"/>
              <w:left w:val="nil"/>
              <w:bottom w:val="single" w:sz="4" w:space="0" w:color="auto"/>
              <w:right w:val="single" w:sz="4" w:space="0" w:color="auto"/>
            </w:tcBorders>
            <w:shd w:val="clear" w:color="auto" w:fill="auto"/>
            <w:noWrap/>
            <w:vAlign w:val="bottom"/>
            <w:hideMark/>
          </w:tcPr>
          <w:p w14:paraId="0E3E9EC1"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Don Hector 220-&gt;Punta Colorada 220</w:t>
            </w:r>
          </w:p>
        </w:tc>
        <w:tc>
          <w:tcPr>
            <w:tcW w:w="2080" w:type="dxa"/>
            <w:tcBorders>
              <w:top w:val="nil"/>
              <w:left w:val="nil"/>
              <w:bottom w:val="single" w:sz="4" w:space="0" w:color="auto"/>
              <w:right w:val="single" w:sz="4" w:space="0" w:color="auto"/>
            </w:tcBorders>
            <w:shd w:val="clear" w:color="auto" w:fill="auto"/>
            <w:noWrap/>
            <w:vAlign w:val="bottom"/>
            <w:hideMark/>
          </w:tcPr>
          <w:p w14:paraId="135D0092"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16.504.211,95</w:t>
            </w:r>
          </w:p>
        </w:tc>
      </w:tr>
      <w:tr w:rsidR="00F501EB" w:rsidRPr="00A81CB8" w14:paraId="4B7662F0"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7939B4C1"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Pr>
                <w:rFonts w:cs="Calibri"/>
                <w:color w:val="000000"/>
                <w:sz w:val="20"/>
                <w:szCs w:val="20"/>
              </w:rPr>
              <w:t>N_46</w:t>
            </w:r>
          </w:p>
        </w:tc>
        <w:tc>
          <w:tcPr>
            <w:tcW w:w="4441" w:type="dxa"/>
            <w:tcBorders>
              <w:top w:val="nil"/>
              <w:left w:val="nil"/>
              <w:bottom w:val="single" w:sz="4" w:space="0" w:color="auto"/>
              <w:right w:val="single" w:sz="4" w:space="0" w:color="auto"/>
            </w:tcBorders>
            <w:shd w:val="clear" w:color="auto" w:fill="auto"/>
            <w:noWrap/>
            <w:vAlign w:val="bottom"/>
            <w:hideMark/>
          </w:tcPr>
          <w:p w14:paraId="35D851F7"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Duqueco 220-&gt;Bureo 220</w:t>
            </w:r>
          </w:p>
        </w:tc>
        <w:tc>
          <w:tcPr>
            <w:tcW w:w="2080" w:type="dxa"/>
            <w:tcBorders>
              <w:top w:val="nil"/>
              <w:left w:val="nil"/>
              <w:bottom w:val="single" w:sz="4" w:space="0" w:color="auto"/>
              <w:right w:val="single" w:sz="4" w:space="0" w:color="auto"/>
            </w:tcBorders>
            <w:shd w:val="clear" w:color="auto" w:fill="auto"/>
            <w:noWrap/>
            <w:vAlign w:val="bottom"/>
            <w:hideMark/>
          </w:tcPr>
          <w:p w14:paraId="46CD4254"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6.784.450,36</w:t>
            </w:r>
          </w:p>
        </w:tc>
      </w:tr>
      <w:tr w:rsidR="00F501EB" w:rsidRPr="00A81CB8" w14:paraId="51787689"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17BE6389"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Pr>
                <w:rFonts w:cs="Calibri"/>
                <w:color w:val="000000"/>
                <w:sz w:val="20"/>
                <w:szCs w:val="20"/>
              </w:rPr>
              <w:t>N_47</w:t>
            </w:r>
          </w:p>
        </w:tc>
        <w:tc>
          <w:tcPr>
            <w:tcW w:w="4441" w:type="dxa"/>
            <w:tcBorders>
              <w:top w:val="nil"/>
              <w:left w:val="nil"/>
              <w:bottom w:val="single" w:sz="4" w:space="0" w:color="auto"/>
              <w:right w:val="single" w:sz="4" w:space="0" w:color="auto"/>
            </w:tcBorders>
            <w:shd w:val="clear" w:color="auto" w:fill="auto"/>
            <w:noWrap/>
            <w:vAlign w:val="bottom"/>
            <w:hideMark/>
          </w:tcPr>
          <w:p w14:paraId="7DFD4A25"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Duqueco 220-&gt;Los Varones 220</w:t>
            </w:r>
          </w:p>
        </w:tc>
        <w:tc>
          <w:tcPr>
            <w:tcW w:w="2080" w:type="dxa"/>
            <w:tcBorders>
              <w:top w:val="nil"/>
              <w:left w:val="nil"/>
              <w:bottom w:val="single" w:sz="4" w:space="0" w:color="auto"/>
              <w:right w:val="single" w:sz="4" w:space="0" w:color="auto"/>
            </w:tcBorders>
            <w:shd w:val="clear" w:color="auto" w:fill="auto"/>
            <w:noWrap/>
            <w:vAlign w:val="bottom"/>
            <w:hideMark/>
          </w:tcPr>
          <w:p w14:paraId="7912634D"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2.612.220,43</w:t>
            </w:r>
          </w:p>
        </w:tc>
      </w:tr>
      <w:tr w:rsidR="00F501EB" w:rsidRPr="00A81CB8" w14:paraId="69E3B93D"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15683F76"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Pr>
                <w:rFonts w:cs="Calibri"/>
                <w:color w:val="000000"/>
                <w:sz w:val="20"/>
                <w:szCs w:val="20"/>
              </w:rPr>
              <w:t>N_48</w:t>
            </w:r>
          </w:p>
        </w:tc>
        <w:tc>
          <w:tcPr>
            <w:tcW w:w="4441" w:type="dxa"/>
            <w:tcBorders>
              <w:top w:val="nil"/>
              <w:left w:val="nil"/>
              <w:bottom w:val="single" w:sz="4" w:space="0" w:color="auto"/>
              <w:right w:val="single" w:sz="4" w:space="0" w:color="auto"/>
            </w:tcBorders>
            <w:shd w:val="clear" w:color="auto" w:fill="auto"/>
            <w:noWrap/>
            <w:vAlign w:val="bottom"/>
            <w:hideMark/>
          </w:tcPr>
          <w:p w14:paraId="5B57559A"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El Cobre 220-&gt;Esperanza SING 220</w:t>
            </w:r>
          </w:p>
        </w:tc>
        <w:tc>
          <w:tcPr>
            <w:tcW w:w="2080" w:type="dxa"/>
            <w:tcBorders>
              <w:top w:val="nil"/>
              <w:left w:val="nil"/>
              <w:bottom w:val="single" w:sz="4" w:space="0" w:color="auto"/>
              <w:right w:val="single" w:sz="4" w:space="0" w:color="auto"/>
            </w:tcBorders>
            <w:shd w:val="clear" w:color="auto" w:fill="auto"/>
            <w:noWrap/>
            <w:vAlign w:val="bottom"/>
            <w:hideMark/>
          </w:tcPr>
          <w:p w14:paraId="407BD694"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16.481.683,22</w:t>
            </w:r>
          </w:p>
        </w:tc>
      </w:tr>
      <w:tr w:rsidR="00F501EB" w:rsidRPr="00A81CB8" w14:paraId="7AFF2F5A"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60465251"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Pr>
                <w:rFonts w:cs="Calibri"/>
                <w:color w:val="000000"/>
                <w:sz w:val="20"/>
                <w:szCs w:val="20"/>
              </w:rPr>
              <w:t>N_49</w:t>
            </w:r>
          </w:p>
        </w:tc>
        <w:tc>
          <w:tcPr>
            <w:tcW w:w="4441" w:type="dxa"/>
            <w:tcBorders>
              <w:top w:val="nil"/>
              <w:left w:val="nil"/>
              <w:bottom w:val="single" w:sz="4" w:space="0" w:color="auto"/>
              <w:right w:val="single" w:sz="4" w:space="0" w:color="auto"/>
            </w:tcBorders>
            <w:shd w:val="clear" w:color="auto" w:fill="auto"/>
            <w:noWrap/>
            <w:vAlign w:val="bottom"/>
            <w:hideMark/>
          </w:tcPr>
          <w:p w14:paraId="04D0E29E"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El Rosal 220-&gt;Los Varones 220</w:t>
            </w:r>
          </w:p>
        </w:tc>
        <w:tc>
          <w:tcPr>
            <w:tcW w:w="2080" w:type="dxa"/>
            <w:tcBorders>
              <w:top w:val="nil"/>
              <w:left w:val="nil"/>
              <w:bottom w:val="single" w:sz="4" w:space="0" w:color="auto"/>
              <w:right w:val="single" w:sz="4" w:space="0" w:color="auto"/>
            </w:tcBorders>
            <w:shd w:val="clear" w:color="auto" w:fill="auto"/>
            <w:noWrap/>
            <w:vAlign w:val="bottom"/>
            <w:hideMark/>
          </w:tcPr>
          <w:p w14:paraId="5C927E2B"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4.388.658,10</w:t>
            </w:r>
          </w:p>
        </w:tc>
      </w:tr>
      <w:tr w:rsidR="00F501EB" w:rsidRPr="00A81CB8" w14:paraId="674E2027"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2AC899F1"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Pr>
                <w:rFonts w:cs="Calibri"/>
                <w:color w:val="000000"/>
                <w:sz w:val="20"/>
                <w:szCs w:val="20"/>
              </w:rPr>
              <w:t>N_50</w:t>
            </w:r>
          </w:p>
        </w:tc>
        <w:tc>
          <w:tcPr>
            <w:tcW w:w="4441" w:type="dxa"/>
            <w:tcBorders>
              <w:top w:val="nil"/>
              <w:left w:val="nil"/>
              <w:bottom w:val="single" w:sz="4" w:space="0" w:color="auto"/>
              <w:right w:val="single" w:sz="4" w:space="0" w:color="auto"/>
            </w:tcBorders>
            <w:shd w:val="clear" w:color="auto" w:fill="auto"/>
            <w:noWrap/>
            <w:vAlign w:val="bottom"/>
            <w:hideMark/>
          </w:tcPr>
          <w:p w14:paraId="6CC66AF8"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El Salto 220-&gt;Tap Chicureo 220</w:t>
            </w:r>
          </w:p>
        </w:tc>
        <w:tc>
          <w:tcPr>
            <w:tcW w:w="2080" w:type="dxa"/>
            <w:tcBorders>
              <w:top w:val="nil"/>
              <w:left w:val="nil"/>
              <w:bottom w:val="single" w:sz="4" w:space="0" w:color="auto"/>
              <w:right w:val="single" w:sz="4" w:space="0" w:color="auto"/>
            </w:tcBorders>
            <w:shd w:val="clear" w:color="auto" w:fill="auto"/>
            <w:noWrap/>
            <w:vAlign w:val="bottom"/>
            <w:hideMark/>
          </w:tcPr>
          <w:p w14:paraId="1302A3AF"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5.328.377,84</w:t>
            </w:r>
          </w:p>
        </w:tc>
      </w:tr>
      <w:tr w:rsidR="00F501EB" w:rsidRPr="00A81CB8" w14:paraId="4F15391F"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3B345F1F"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Pr>
                <w:rFonts w:cs="Calibri"/>
                <w:color w:val="000000"/>
                <w:sz w:val="20"/>
                <w:szCs w:val="20"/>
              </w:rPr>
              <w:t>N_51</w:t>
            </w:r>
          </w:p>
        </w:tc>
        <w:tc>
          <w:tcPr>
            <w:tcW w:w="4441" w:type="dxa"/>
            <w:tcBorders>
              <w:top w:val="nil"/>
              <w:left w:val="nil"/>
              <w:bottom w:val="single" w:sz="4" w:space="0" w:color="auto"/>
              <w:right w:val="single" w:sz="4" w:space="0" w:color="auto"/>
            </w:tcBorders>
            <w:shd w:val="clear" w:color="auto" w:fill="auto"/>
            <w:noWrap/>
            <w:vAlign w:val="bottom"/>
            <w:hideMark/>
          </w:tcPr>
          <w:p w14:paraId="6331F1C4"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Encuentro 220-&gt;Kimal 220</w:t>
            </w:r>
          </w:p>
        </w:tc>
        <w:tc>
          <w:tcPr>
            <w:tcW w:w="2080" w:type="dxa"/>
            <w:tcBorders>
              <w:top w:val="nil"/>
              <w:left w:val="nil"/>
              <w:bottom w:val="single" w:sz="4" w:space="0" w:color="auto"/>
              <w:right w:val="single" w:sz="4" w:space="0" w:color="auto"/>
            </w:tcBorders>
            <w:shd w:val="clear" w:color="auto" w:fill="auto"/>
            <w:noWrap/>
            <w:vAlign w:val="bottom"/>
            <w:hideMark/>
          </w:tcPr>
          <w:p w14:paraId="0E14CD50"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970.410,24</w:t>
            </w:r>
          </w:p>
        </w:tc>
      </w:tr>
      <w:tr w:rsidR="00F501EB" w:rsidRPr="00A81CB8" w14:paraId="7D439AFB"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7C3D49E7"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Pr>
                <w:rFonts w:cs="Calibri"/>
                <w:color w:val="000000"/>
                <w:sz w:val="20"/>
                <w:szCs w:val="20"/>
              </w:rPr>
              <w:t>N_52</w:t>
            </w:r>
          </w:p>
        </w:tc>
        <w:tc>
          <w:tcPr>
            <w:tcW w:w="4441" w:type="dxa"/>
            <w:tcBorders>
              <w:top w:val="nil"/>
              <w:left w:val="nil"/>
              <w:bottom w:val="single" w:sz="4" w:space="0" w:color="auto"/>
              <w:right w:val="single" w:sz="4" w:space="0" w:color="auto"/>
            </w:tcBorders>
            <w:shd w:val="clear" w:color="auto" w:fill="auto"/>
            <w:noWrap/>
            <w:vAlign w:val="bottom"/>
            <w:hideMark/>
          </w:tcPr>
          <w:p w14:paraId="5649157B"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Encuentro 220-&gt;Miraje 220</w:t>
            </w:r>
          </w:p>
        </w:tc>
        <w:tc>
          <w:tcPr>
            <w:tcW w:w="2080" w:type="dxa"/>
            <w:tcBorders>
              <w:top w:val="nil"/>
              <w:left w:val="nil"/>
              <w:bottom w:val="single" w:sz="4" w:space="0" w:color="auto"/>
              <w:right w:val="single" w:sz="4" w:space="0" w:color="auto"/>
            </w:tcBorders>
            <w:shd w:val="clear" w:color="auto" w:fill="auto"/>
            <w:noWrap/>
            <w:vAlign w:val="bottom"/>
            <w:hideMark/>
          </w:tcPr>
          <w:p w14:paraId="4CCA058C"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7.980.803,21</w:t>
            </w:r>
          </w:p>
        </w:tc>
      </w:tr>
      <w:tr w:rsidR="00F501EB" w:rsidRPr="00A81CB8" w14:paraId="2E87B6F6"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259D8832"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Pr>
                <w:rFonts w:cs="Calibri"/>
                <w:color w:val="000000"/>
                <w:sz w:val="20"/>
                <w:szCs w:val="20"/>
              </w:rPr>
              <w:t>N_53</w:t>
            </w:r>
          </w:p>
        </w:tc>
        <w:tc>
          <w:tcPr>
            <w:tcW w:w="4441" w:type="dxa"/>
            <w:tcBorders>
              <w:top w:val="nil"/>
              <w:left w:val="nil"/>
              <w:bottom w:val="single" w:sz="4" w:space="0" w:color="auto"/>
              <w:right w:val="single" w:sz="4" w:space="0" w:color="auto"/>
            </w:tcBorders>
            <w:shd w:val="clear" w:color="auto" w:fill="auto"/>
            <w:noWrap/>
            <w:vAlign w:val="bottom"/>
            <w:hideMark/>
          </w:tcPr>
          <w:p w14:paraId="277EA721"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Encuentro 220-&gt;Tap off Sierra Gorda Eolico 220</w:t>
            </w:r>
          </w:p>
        </w:tc>
        <w:tc>
          <w:tcPr>
            <w:tcW w:w="2080" w:type="dxa"/>
            <w:tcBorders>
              <w:top w:val="nil"/>
              <w:left w:val="nil"/>
              <w:bottom w:val="single" w:sz="4" w:space="0" w:color="auto"/>
              <w:right w:val="single" w:sz="4" w:space="0" w:color="auto"/>
            </w:tcBorders>
            <w:shd w:val="clear" w:color="auto" w:fill="auto"/>
            <w:noWrap/>
            <w:vAlign w:val="bottom"/>
            <w:hideMark/>
          </w:tcPr>
          <w:p w14:paraId="40DE62F9"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10.436.407,84</w:t>
            </w:r>
          </w:p>
        </w:tc>
      </w:tr>
      <w:tr w:rsidR="00F501EB" w:rsidRPr="00A81CB8" w14:paraId="70D06510"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2782C04E"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Pr>
                <w:rFonts w:cs="Calibri"/>
                <w:color w:val="000000"/>
                <w:sz w:val="20"/>
                <w:szCs w:val="20"/>
              </w:rPr>
              <w:t>N_54</w:t>
            </w:r>
          </w:p>
        </w:tc>
        <w:tc>
          <w:tcPr>
            <w:tcW w:w="4441" w:type="dxa"/>
            <w:tcBorders>
              <w:top w:val="nil"/>
              <w:left w:val="nil"/>
              <w:bottom w:val="single" w:sz="4" w:space="0" w:color="auto"/>
              <w:right w:val="single" w:sz="4" w:space="0" w:color="auto"/>
            </w:tcBorders>
            <w:shd w:val="clear" w:color="auto" w:fill="auto"/>
            <w:noWrap/>
            <w:vAlign w:val="bottom"/>
            <w:hideMark/>
          </w:tcPr>
          <w:p w14:paraId="5E182802"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Esperanza SING 220-&gt;Centinela 220</w:t>
            </w:r>
          </w:p>
        </w:tc>
        <w:tc>
          <w:tcPr>
            <w:tcW w:w="2080" w:type="dxa"/>
            <w:tcBorders>
              <w:top w:val="nil"/>
              <w:left w:val="nil"/>
              <w:bottom w:val="single" w:sz="4" w:space="0" w:color="auto"/>
              <w:right w:val="single" w:sz="4" w:space="0" w:color="auto"/>
            </w:tcBorders>
            <w:shd w:val="clear" w:color="auto" w:fill="auto"/>
            <w:noWrap/>
            <w:vAlign w:val="bottom"/>
            <w:hideMark/>
          </w:tcPr>
          <w:p w14:paraId="5FC3ACFE"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1.771.769,25</w:t>
            </w:r>
          </w:p>
        </w:tc>
      </w:tr>
      <w:tr w:rsidR="00F501EB" w:rsidRPr="00A81CB8" w14:paraId="40E19035"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05C1FA05"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Pr>
                <w:rFonts w:cs="Calibri"/>
                <w:color w:val="000000"/>
                <w:sz w:val="20"/>
                <w:szCs w:val="20"/>
              </w:rPr>
              <w:t>N_55</w:t>
            </w:r>
          </w:p>
        </w:tc>
        <w:tc>
          <w:tcPr>
            <w:tcW w:w="4441" w:type="dxa"/>
            <w:tcBorders>
              <w:top w:val="nil"/>
              <w:left w:val="nil"/>
              <w:bottom w:val="single" w:sz="4" w:space="0" w:color="auto"/>
              <w:right w:val="single" w:sz="4" w:space="0" w:color="auto"/>
            </w:tcBorders>
            <w:shd w:val="clear" w:color="auto" w:fill="auto"/>
            <w:noWrap/>
            <w:vAlign w:val="bottom"/>
            <w:hideMark/>
          </w:tcPr>
          <w:p w14:paraId="7DA1582C"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Hualpen 220-&gt;Guindo 220</w:t>
            </w:r>
          </w:p>
        </w:tc>
        <w:tc>
          <w:tcPr>
            <w:tcW w:w="2080" w:type="dxa"/>
            <w:tcBorders>
              <w:top w:val="nil"/>
              <w:left w:val="nil"/>
              <w:bottom w:val="single" w:sz="4" w:space="0" w:color="auto"/>
              <w:right w:val="single" w:sz="4" w:space="0" w:color="auto"/>
            </w:tcBorders>
            <w:shd w:val="clear" w:color="auto" w:fill="auto"/>
            <w:noWrap/>
            <w:vAlign w:val="bottom"/>
            <w:hideMark/>
          </w:tcPr>
          <w:p w14:paraId="31C07F54"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2.946.333,35</w:t>
            </w:r>
          </w:p>
        </w:tc>
      </w:tr>
      <w:tr w:rsidR="00F501EB" w:rsidRPr="00A81CB8" w14:paraId="6543E37E"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2866212A"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Pr>
                <w:rFonts w:cs="Calibri"/>
                <w:color w:val="000000"/>
                <w:sz w:val="20"/>
                <w:szCs w:val="20"/>
              </w:rPr>
              <w:t>N_56</w:t>
            </w:r>
          </w:p>
        </w:tc>
        <w:tc>
          <w:tcPr>
            <w:tcW w:w="4441" w:type="dxa"/>
            <w:tcBorders>
              <w:top w:val="nil"/>
              <w:left w:val="nil"/>
              <w:bottom w:val="single" w:sz="4" w:space="0" w:color="auto"/>
              <w:right w:val="single" w:sz="4" w:space="0" w:color="auto"/>
            </w:tcBorders>
            <w:shd w:val="clear" w:color="auto" w:fill="auto"/>
            <w:noWrap/>
            <w:vAlign w:val="bottom"/>
            <w:hideMark/>
          </w:tcPr>
          <w:p w14:paraId="71130EEA"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Hualpen 220-&gt;Trebol 220</w:t>
            </w:r>
          </w:p>
        </w:tc>
        <w:tc>
          <w:tcPr>
            <w:tcW w:w="2080" w:type="dxa"/>
            <w:tcBorders>
              <w:top w:val="nil"/>
              <w:left w:val="nil"/>
              <w:bottom w:val="single" w:sz="4" w:space="0" w:color="auto"/>
              <w:right w:val="single" w:sz="4" w:space="0" w:color="auto"/>
            </w:tcBorders>
            <w:shd w:val="clear" w:color="auto" w:fill="auto"/>
            <w:noWrap/>
            <w:vAlign w:val="bottom"/>
            <w:hideMark/>
          </w:tcPr>
          <w:p w14:paraId="03300BDE"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3.358.692,00</w:t>
            </w:r>
          </w:p>
        </w:tc>
      </w:tr>
      <w:tr w:rsidR="00F501EB" w:rsidRPr="00A81CB8" w14:paraId="0F138195"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787B3A2E"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N_57</w:t>
            </w:r>
          </w:p>
        </w:tc>
        <w:tc>
          <w:tcPr>
            <w:tcW w:w="4441" w:type="dxa"/>
            <w:tcBorders>
              <w:top w:val="nil"/>
              <w:left w:val="nil"/>
              <w:bottom w:val="single" w:sz="4" w:space="0" w:color="auto"/>
              <w:right w:val="single" w:sz="4" w:space="0" w:color="auto"/>
            </w:tcBorders>
            <w:shd w:val="clear" w:color="auto" w:fill="auto"/>
            <w:noWrap/>
            <w:vAlign w:val="center"/>
            <w:hideMark/>
          </w:tcPr>
          <w:p w14:paraId="2A73ECA6"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Kapatur 220-&gt;Los Changos 220</w:t>
            </w:r>
          </w:p>
        </w:tc>
        <w:tc>
          <w:tcPr>
            <w:tcW w:w="2080" w:type="dxa"/>
            <w:tcBorders>
              <w:top w:val="nil"/>
              <w:left w:val="nil"/>
              <w:bottom w:val="single" w:sz="4" w:space="0" w:color="auto"/>
              <w:right w:val="single" w:sz="4" w:space="0" w:color="auto"/>
            </w:tcBorders>
            <w:shd w:val="clear" w:color="auto" w:fill="auto"/>
            <w:noWrap/>
            <w:hideMark/>
          </w:tcPr>
          <w:p w14:paraId="3C4A7266"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eastAsia="Times New Roman" w:cs="Calibri"/>
                <w:color w:val="000000"/>
                <w:sz w:val="20"/>
                <w:szCs w:val="20"/>
                <w:lang w:eastAsia="es-CL"/>
              </w:rPr>
              <w:t>-</w:t>
            </w:r>
          </w:p>
        </w:tc>
      </w:tr>
      <w:tr w:rsidR="00F501EB" w:rsidRPr="00A81CB8" w14:paraId="6B3B6FEF"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7A5EF263"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Pr>
                <w:rFonts w:cs="Calibri"/>
                <w:color w:val="000000"/>
                <w:sz w:val="20"/>
                <w:szCs w:val="20"/>
              </w:rPr>
              <w:t>N_58</w:t>
            </w:r>
          </w:p>
        </w:tc>
        <w:tc>
          <w:tcPr>
            <w:tcW w:w="4441" w:type="dxa"/>
            <w:tcBorders>
              <w:top w:val="nil"/>
              <w:left w:val="nil"/>
              <w:bottom w:val="single" w:sz="4" w:space="0" w:color="auto"/>
              <w:right w:val="single" w:sz="4" w:space="0" w:color="auto"/>
            </w:tcBorders>
            <w:shd w:val="clear" w:color="auto" w:fill="auto"/>
            <w:noWrap/>
            <w:vAlign w:val="bottom"/>
            <w:hideMark/>
          </w:tcPr>
          <w:p w14:paraId="2785C830"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Kimal 220-&gt;Nueva Chuquicamata 220</w:t>
            </w:r>
          </w:p>
        </w:tc>
        <w:tc>
          <w:tcPr>
            <w:tcW w:w="2080" w:type="dxa"/>
            <w:tcBorders>
              <w:top w:val="nil"/>
              <w:left w:val="nil"/>
              <w:bottom w:val="single" w:sz="4" w:space="0" w:color="auto"/>
              <w:right w:val="single" w:sz="4" w:space="0" w:color="auto"/>
            </w:tcBorders>
            <w:shd w:val="clear" w:color="auto" w:fill="auto"/>
            <w:noWrap/>
            <w:vAlign w:val="bottom"/>
            <w:hideMark/>
          </w:tcPr>
          <w:p w14:paraId="525D9574"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23.442.337,01</w:t>
            </w:r>
          </w:p>
        </w:tc>
      </w:tr>
      <w:tr w:rsidR="00F501EB" w:rsidRPr="00A81CB8" w14:paraId="2E4F76DD"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62421A22"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Pr>
                <w:rFonts w:cs="Calibri"/>
                <w:color w:val="000000"/>
                <w:sz w:val="20"/>
                <w:szCs w:val="20"/>
              </w:rPr>
              <w:t>N_59</w:t>
            </w:r>
          </w:p>
        </w:tc>
        <w:tc>
          <w:tcPr>
            <w:tcW w:w="4441" w:type="dxa"/>
            <w:tcBorders>
              <w:top w:val="nil"/>
              <w:left w:val="nil"/>
              <w:bottom w:val="single" w:sz="4" w:space="0" w:color="auto"/>
              <w:right w:val="single" w:sz="4" w:space="0" w:color="auto"/>
            </w:tcBorders>
            <w:shd w:val="clear" w:color="auto" w:fill="auto"/>
            <w:noWrap/>
            <w:vAlign w:val="bottom"/>
            <w:hideMark/>
          </w:tcPr>
          <w:p w14:paraId="1CF1835D"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Laberinto 220-&gt;El Cobre 220</w:t>
            </w:r>
          </w:p>
        </w:tc>
        <w:tc>
          <w:tcPr>
            <w:tcW w:w="2080" w:type="dxa"/>
            <w:tcBorders>
              <w:top w:val="nil"/>
              <w:left w:val="nil"/>
              <w:bottom w:val="single" w:sz="4" w:space="0" w:color="auto"/>
              <w:right w:val="single" w:sz="4" w:space="0" w:color="auto"/>
            </w:tcBorders>
            <w:shd w:val="clear" w:color="auto" w:fill="auto"/>
            <w:noWrap/>
            <w:vAlign w:val="bottom"/>
            <w:hideMark/>
          </w:tcPr>
          <w:p w14:paraId="784947AC"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1.142.478,74</w:t>
            </w:r>
          </w:p>
        </w:tc>
      </w:tr>
      <w:tr w:rsidR="00F501EB" w:rsidRPr="00A81CB8" w14:paraId="3F47317D"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398FCCFC"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Pr>
                <w:rFonts w:cs="Calibri"/>
                <w:color w:val="000000"/>
                <w:sz w:val="20"/>
                <w:szCs w:val="20"/>
              </w:rPr>
              <w:t>N_60</w:t>
            </w:r>
          </w:p>
        </w:tc>
        <w:tc>
          <w:tcPr>
            <w:tcW w:w="4441" w:type="dxa"/>
            <w:tcBorders>
              <w:top w:val="nil"/>
              <w:left w:val="nil"/>
              <w:bottom w:val="single" w:sz="4" w:space="0" w:color="auto"/>
              <w:right w:val="single" w:sz="4" w:space="0" w:color="auto"/>
            </w:tcBorders>
            <w:shd w:val="clear" w:color="auto" w:fill="auto"/>
            <w:noWrap/>
            <w:vAlign w:val="bottom"/>
            <w:hideMark/>
          </w:tcPr>
          <w:p w14:paraId="5CB7AB13"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Laberinto 220-&gt;Kapatur 220</w:t>
            </w:r>
          </w:p>
        </w:tc>
        <w:tc>
          <w:tcPr>
            <w:tcW w:w="2080" w:type="dxa"/>
            <w:tcBorders>
              <w:top w:val="nil"/>
              <w:left w:val="nil"/>
              <w:bottom w:val="single" w:sz="4" w:space="0" w:color="auto"/>
              <w:right w:val="single" w:sz="4" w:space="0" w:color="auto"/>
            </w:tcBorders>
            <w:shd w:val="clear" w:color="auto" w:fill="auto"/>
            <w:noWrap/>
            <w:vAlign w:val="bottom"/>
            <w:hideMark/>
          </w:tcPr>
          <w:p w14:paraId="0D2AD557"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44.258.696,71</w:t>
            </w:r>
          </w:p>
        </w:tc>
      </w:tr>
      <w:tr w:rsidR="00F501EB" w:rsidRPr="00A81CB8" w14:paraId="6058357C"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29425BCF"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Pr>
                <w:rFonts w:cs="Calibri"/>
                <w:color w:val="000000"/>
                <w:sz w:val="20"/>
                <w:szCs w:val="20"/>
              </w:rPr>
              <w:t>N_61</w:t>
            </w:r>
          </w:p>
        </w:tc>
        <w:tc>
          <w:tcPr>
            <w:tcW w:w="4441" w:type="dxa"/>
            <w:tcBorders>
              <w:top w:val="nil"/>
              <w:left w:val="nil"/>
              <w:bottom w:val="single" w:sz="4" w:space="0" w:color="auto"/>
              <w:right w:val="single" w:sz="4" w:space="0" w:color="auto"/>
            </w:tcBorders>
            <w:shd w:val="clear" w:color="auto" w:fill="auto"/>
            <w:noWrap/>
            <w:vAlign w:val="bottom"/>
            <w:hideMark/>
          </w:tcPr>
          <w:p w14:paraId="71C8CE0B"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Laberinto 220-&gt;Kimal 220</w:t>
            </w:r>
          </w:p>
        </w:tc>
        <w:tc>
          <w:tcPr>
            <w:tcW w:w="2080" w:type="dxa"/>
            <w:tcBorders>
              <w:top w:val="nil"/>
              <w:left w:val="nil"/>
              <w:bottom w:val="single" w:sz="4" w:space="0" w:color="auto"/>
              <w:right w:val="single" w:sz="4" w:space="0" w:color="auto"/>
            </w:tcBorders>
            <w:shd w:val="clear" w:color="auto" w:fill="auto"/>
            <w:noWrap/>
            <w:vAlign w:val="bottom"/>
            <w:hideMark/>
          </w:tcPr>
          <w:p w14:paraId="3F955E87"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700.022,53</w:t>
            </w:r>
          </w:p>
        </w:tc>
      </w:tr>
      <w:tr w:rsidR="00F501EB" w:rsidRPr="00A81CB8" w14:paraId="6810BCA3"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3308CB16"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Pr>
                <w:rFonts w:cs="Calibri"/>
                <w:color w:val="000000"/>
                <w:sz w:val="20"/>
                <w:szCs w:val="20"/>
              </w:rPr>
              <w:t>N_62</w:t>
            </w:r>
          </w:p>
        </w:tc>
        <w:tc>
          <w:tcPr>
            <w:tcW w:w="4441" w:type="dxa"/>
            <w:tcBorders>
              <w:top w:val="nil"/>
              <w:left w:val="nil"/>
              <w:bottom w:val="single" w:sz="4" w:space="0" w:color="auto"/>
              <w:right w:val="single" w:sz="4" w:space="0" w:color="auto"/>
            </w:tcBorders>
            <w:shd w:val="clear" w:color="auto" w:fill="auto"/>
            <w:noWrap/>
            <w:vAlign w:val="bottom"/>
            <w:hideMark/>
          </w:tcPr>
          <w:p w14:paraId="7363DA30"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Laberinto 220-&gt;Nueva Zaldivar 220</w:t>
            </w:r>
          </w:p>
        </w:tc>
        <w:tc>
          <w:tcPr>
            <w:tcW w:w="2080" w:type="dxa"/>
            <w:tcBorders>
              <w:top w:val="nil"/>
              <w:left w:val="nil"/>
              <w:bottom w:val="single" w:sz="4" w:space="0" w:color="auto"/>
              <w:right w:val="single" w:sz="4" w:space="0" w:color="auto"/>
            </w:tcBorders>
            <w:shd w:val="clear" w:color="auto" w:fill="auto"/>
            <w:noWrap/>
            <w:vAlign w:val="bottom"/>
            <w:hideMark/>
          </w:tcPr>
          <w:p w14:paraId="58B6636A"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1.226.778,40</w:t>
            </w:r>
          </w:p>
        </w:tc>
      </w:tr>
      <w:tr w:rsidR="00F501EB" w:rsidRPr="00A81CB8" w14:paraId="73A7DB1C"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65219EF7"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Pr>
                <w:rFonts w:cs="Calibri"/>
                <w:color w:val="000000"/>
                <w:sz w:val="20"/>
                <w:szCs w:val="20"/>
              </w:rPr>
              <w:t>N_63</w:t>
            </w:r>
          </w:p>
        </w:tc>
        <w:tc>
          <w:tcPr>
            <w:tcW w:w="4441" w:type="dxa"/>
            <w:tcBorders>
              <w:top w:val="nil"/>
              <w:left w:val="nil"/>
              <w:bottom w:val="single" w:sz="4" w:space="0" w:color="auto"/>
              <w:right w:val="single" w:sz="4" w:space="0" w:color="auto"/>
            </w:tcBorders>
            <w:shd w:val="clear" w:color="auto" w:fill="auto"/>
            <w:noWrap/>
            <w:vAlign w:val="bottom"/>
            <w:hideMark/>
          </w:tcPr>
          <w:p w14:paraId="55DC5D32"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Lagunas 220-&gt;Encuentro 220</w:t>
            </w:r>
          </w:p>
        </w:tc>
        <w:tc>
          <w:tcPr>
            <w:tcW w:w="2080" w:type="dxa"/>
            <w:tcBorders>
              <w:top w:val="nil"/>
              <w:left w:val="nil"/>
              <w:bottom w:val="single" w:sz="4" w:space="0" w:color="auto"/>
              <w:right w:val="single" w:sz="4" w:space="0" w:color="auto"/>
            </w:tcBorders>
            <w:shd w:val="clear" w:color="auto" w:fill="auto"/>
            <w:noWrap/>
            <w:vAlign w:val="bottom"/>
            <w:hideMark/>
          </w:tcPr>
          <w:p w14:paraId="01F01D7C"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13.490.397,84</w:t>
            </w:r>
          </w:p>
        </w:tc>
      </w:tr>
      <w:tr w:rsidR="00F501EB" w:rsidRPr="00A81CB8" w14:paraId="35F988DF"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098DC2CE"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Pr>
                <w:rFonts w:cs="Calibri"/>
                <w:color w:val="000000"/>
                <w:sz w:val="20"/>
                <w:szCs w:val="20"/>
              </w:rPr>
              <w:t>N_64</w:t>
            </w:r>
          </w:p>
        </w:tc>
        <w:tc>
          <w:tcPr>
            <w:tcW w:w="4441" w:type="dxa"/>
            <w:tcBorders>
              <w:top w:val="nil"/>
              <w:left w:val="nil"/>
              <w:bottom w:val="single" w:sz="4" w:space="0" w:color="auto"/>
              <w:right w:val="single" w:sz="4" w:space="0" w:color="auto"/>
            </w:tcBorders>
            <w:shd w:val="clear" w:color="auto" w:fill="auto"/>
            <w:noWrap/>
            <w:vAlign w:val="bottom"/>
            <w:hideMark/>
          </w:tcPr>
          <w:p w14:paraId="1E770605"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Lagunas 220-&gt;Nueva Pozo Almonte 220</w:t>
            </w:r>
          </w:p>
        </w:tc>
        <w:tc>
          <w:tcPr>
            <w:tcW w:w="2080" w:type="dxa"/>
            <w:tcBorders>
              <w:top w:val="nil"/>
              <w:left w:val="nil"/>
              <w:bottom w:val="single" w:sz="4" w:space="0" w:color="auto"/>
              <w:right w:val="single" w:sz="4" w:space="0" w:color="auto"/>
            </w:tcBorders>
            <w:shd w:val="clear" w:color="auto" w:fill="auto"/>
            <w:noWrap/>
            <w:vAlign w:val="bottom"/>
            <w:hideMark/>
          </w:tcPr>
          <w:p w14:paraId="572EB599"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11.546.205,00</w:t>
            </w:r>
          </w:p>
        </w:tc>
      </w:tr>
      <w:tr w:rsidR="00F501EB" w:rsidRPr="00A81CB8" w14:paraId="22352F16"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4104A821"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Pr>
                <w:rFonts w:cs="Calibri"/>
                <w:color w:val="000000"/>
                <w:sz w:val="20"/>
                <w:szCs w:val="20"/>
              </w:rPr>
              <w:t>N_65</w:t>
            </w:r>
          </w:p>
        </w:tc>
        <w:tc>
          <w:tcPr>
            <w:tcW w:w="4441" w:type="dxa"/>
            <w:tcBorders>
              <w:top w:val="nil"/>
              <w:left w:val="nil"/>
              <w:bottom w:val="single" w:sz="4" w:space="0" w:color="auto"/>
              <w:right w:val="single" w:sz="4" w:space="0" w:color="auto"/>
            </w:tcBorders>
            <w:shd w:val="clear" w:color="auto" w:fill="auto"/>
            <w:noWrap/>
            <w:vAlign w:val="bottom"/>
            <w:hideMark/>
          </w:tcPr>
          <w:p w14:paraId="6AB2E103"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Lagunas 220-&gt;Nueva Victoria 220</w:t>
            </w:r>
          </w:p>
        </w:tc>
        <w:tc>
          <w:tcPr>
            <w:tcW w:w="2080" w:type="dxa"/>
            <w:tcBorders>
              <w:top w:val="nil"/>
              <w:left w:val="nil"/>
              <w:bottom w:val="single" w:sz="4" w:space="0" w:color="auto"/>
              <w:right w:val="single" w:sz="4" w:space="0" w:color="auto"/>
            </w:tcBorders>
            <w:shd w:val="clear" w:color="auto" w:fill="auto"/>
            <w:noWrap/>
            <w:vAlign w:val="bottom"/>
            <w:hideMark/>
          </w:tcPr>
          <w:p w14:paraId="6B6F26EC"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2.845.808,16</w:t>
            </w:r>
          </w:p>
        </w:tc>
      </w:tr>
      <w:tr w:rsidR="00F501EB" w:rsidRPr="00A81CB8" w14:paraId="021A6358"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6D5C2280"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Pr>
                <w:rFonts w:cs="Calibri"/>
                <w:color w:val="000000"/>
                <w:sz w:val="20"/>
                <w:szCs w:val="20"/>
              </w:rPr>
              <w:t>N_66</w:t>
            </w:r>
          </w:p>
        </w:tc>
        <w:tc>
          <w:tcPr>
            <w:tcW w:w="4441" w:type="dxa"/>
            <w:tcBorders>
              <w:top w:val="nil"/>
              <w:left w:val="nil"/>
              <w:bottom w:val="single" w:sz="4" w:space="0" w:color="auto"/>
              <w:right w:val="single" w:sz="4" w:space="0" w:color="auto"/>
            </w:tcBorders>
            <w:shd w:val="clear" w:color="auto" w:fill="auto"/>
            <w:noWrap/>
            <w:vAlign w:val="bottom"/>
            <w:hideMark/>
          </w:tcPr>
          <w:p w14:paraId="02A47B98"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Lagunas 220-&gt;San Simon 220</w:t>
            </w:r>
          </w:p>
        </w:tc>
        <w:tc>
          <w:tcPr>
            <w:tcW w:w="2080" w:type="dxa"/>
            <w:tcBorders>
              <w:top w:val="nil"/>
              <w:left w:val="nil"/>
              <w:bottom w:val="single" w:sz="4" w:space="0" w:color="auto"/>
              <w:right w:val="single" w:sz="4" w:space="0" w:color="auto"/>
            </w:tcBorders>
            <w:shd w:val="clear" w:color="auto" w:fill="auto"/>
            <w:noWrap/>
            <w:vAlign w:val="bottom"/>
            <w:hideMark/>
          </w:tcPr>
          <w:p w14:paraId="7B2629B1"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6.287.759,98</w:t>
            </w:r>
          </w:p>
        </w:tc>
      </w:tr>
      <w:tr w:rsidR="00F501EB" w:rsidRPr="00A81CB8" w14:paraId="63F59D23"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4961CA8F"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Pr>
                <w:rFonts w:cs="Calibri"/>
                <w:color w:val="000000"/>
                <w:sz w:val="20"/>
                <w:szCs w:val="20"/>
              </w:rPr>
              <w:t>N_67</w:t>
            </w:r>
          </w:p>
        </w:tc>
        <w:tc>
          <w:tcPr>
            <w:tcW w:w="4441" w:type="dxa"/>
            <w:tcBorders>
              <w:top w:val="nil"/>
              <w:left w:val="nil"/>
              <w:bottom w:val="single" w:sz="4" w:space="0" w:color="auto"/>
              <w:right w:val="single" w:sz="4" w:space="0" w:color="auto"/>
            </w:tcBorders>
            <w:shd w:val="clear" w:color="auto" w:fill="auto"/>
            <w:noWrap/>
            <w:vAlign w:val="bottom"/>
            <w:hideMark/>
          </w:tcPr>
          <w:p w14:paraId="47A4B481"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Lagunillas 220-&gt;Guindo 220</w:t>
            </w:r>
          </w:p>
        </w:tc>
        <w:tc>
          <w:tcPr>
            <w:tcW w:w="2080" w:type="dxa"/>
            <w:tcBorders>
              <w:top w:val="nil"/>
              <w:left w:val="nil"/>
              <w:bottom w:val="single" w:sz="4" w:space="0" w:color="auto"/>
              <w:right w:val="single" w:sz="4" w:space="0" w:color="auto"/>
            </w:tcBorders>
            <w:shd w:val="clear" w:color="auto" w:fill="auto"/>
            <w:noWrap/>
            <w:vAlign w:val="bottom"/>
            <w:hideMark/>
          </w:tcPr>
          <w:p w14:paraId="14ADA091"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3.738.949,69</w:t>
            </w:r>
          </w:p>
        </w:tc>
      </w:tr>
      <w:tr w:rsidR="00F501EB" w:rsidRPr="00A81CB8" w14:paraId="36074F56"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609A25F9"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N_68</w:t>
            </w:r>
          </w:p>
        </w:tc>
        <w:tc>
          <w:tcPr>
            <w:tcW w:w="4441" w:type="dxa"/>
            <w:tcBorders>
              <w:top w:val="nil"/>
              <w:left w:val="nil"/>
              <w:bottom w:val="single" w:sz="4" w:space="0" w:color="auto"/>
              <w:right w:val="single" w:sz="4" w:space="0" w:color="auto"/>
            </w:tcBorders>
            <w:shd w:val="clear" w:color="auto" w:fill="auto"/>
            <w:noWrap/>
            <w:vAlign w:val="center"/>
            <w:hideMark/>
          </w:tcPr>
          <w:p w14:paraId="14AFAEA1"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Lo Aguirre 220-&gt;Cerro Navia 220</w:t>
            </w:r>
          </w:p>
        </w:tc>
        <w:tc>
          <w:tcPr>
            <w:tcW w:w="2080" w:type="dxa"/>
            <w:tcBorders>
              <w:top w:val="nil"/>
              <w:left w:val="nil"/>
              <w:bottom w:val="single" w:sz="4" w:space="0" w:color="auto"/>
              <w:right w:val="single" w:sz="4" w:space="0" w:color="auto"/>
            </w:tcBorders>
            <w:shd w:val="clear" w:color="auto" w:fill="auto"/>
            <w:noWrap/>
            <w:hideMark/>
          </w:tcPr>
          <w:p w14:paraId="32CB22EB"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eastAsia="Times New Roman" w:cs="Calibri"/>
                <w:color w:val="000000"/>
                <w:sz w:val="20"/>
                <w:szCs w:val="20"/>
                <w:lang w:eastAsia="es-CL"/>
              </w:rPr>
              <w:t>-</w:t>
            </w:r>
          </w:p>
        </w:tc>
      </w:tr>
      <w:tr w:rsidR="00F501EB" w:rsidRPr="00A81CB8" w14:paraId="288C9A85"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517B7866"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Pr>
                <w:rFonts w:cs="Calibri"/>
                <w:color w:val="000000"/>
                <w:sz w:val="20"/>
                <w:szCs w:val="20"/>
              </w:rPr>
              <w:t>N_69</w:t>
            </w:r>
          </w:p>
        </w:tc>
        <w:tc>
          <w:tcPr>
            <w:tcW w:w="4441" w:type="dxa"/>
            <w:tcBorders>
              <w:top w:val="nil"/>
              <w:left w:val="nil"/>
              <w:bottom w:val="single" w:sz="4" w:space="0" w:color="auto"/>
              <w:right w:val="single" w:sz="4" w:space="0" w:color="auto"/>
            </w:tcBorders>
            <w:shd w:val="clear" w:color="auto" w:fill="auto"/>
            <w:noWrap/>
            <w:vAlign w:val="bottom"/>
            <w:hideMark/>
          </w:tcPr>
          <w:p w14:paraId="08C6B8F3"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Lo Aguirre 220-&gt;Nueva Alto Melipilla 220</w:t>
            </w:r>
          </w:p>
        </w:tc>
        <w:tc>
          <w:tcPr>
            <w:tcW w:w="2080" w:type="dxa"/>
            <w:tcBorders>
              <w:top w:val="nil"/>
              <w:left w:val="nil"/>
              <w:bottom w:val="single" w:sz="4" w:space="0" w:color="auto"/>
              <w:right w:val="single" w:sz="4" w:space="0" w:color="auto"/>
            </w:tcBorders>
            <w:shd w:val="clear" w:color="auto" w:fill="auto"/>
            <w:noWrap/>
            <w:vAlign w:val="bottom"/>
            <w:hideMark/>
          </w:tcPr>
          <w:p w14:paraId="4AB1F83A"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11.987.850,61</w:t>
            </w:r>
          </w:p>
        </w:tc>
      </w:tr>
      <w:tr w:rsidR="00F501EB" w:rsidRPr="00A81CB8" w14:paraId="13F2D499"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3510A4CD"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Pr>
                <w:rFonts w:cs="Calibri"/>
                <w:color w:val="000000"/>
                <w:sz w:val="20"/>
                <w:szCs w:val="20"/>
              </w:rPr>
              <w:t>N_70</w:t>
            </w:r>
          </w:p>
        </w:tc>
        <w:tc>
          <w:tcPr>
            <w:tcW w:w="4441" w:type="dxa"/>
            <w:tcBorders>
              <w:top w:val="nil"/>
              <w:left w:val="nil"/>
              <w:bottom w:val="single" w:sz="4" w:space="0" w:color="auto"/>
              <w:right w:val="single" w:sz="4" w:space="0" w:color="auto"/>
            </w:tcBorders>
            <w:shd w:val="clear" w:color="auto" w:fill="auto"/>
            <w:noWrap/>
            <w:vAlign w:val="bottom"/>
            <w:hideMark/>
          </w:tcPr>
          <w:p w14:paraId="5A8F270F"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Lo Aguirre 500-&gt;Alto Jahuel 500</w:t>
            </w:r>
          </w:p>
        </w:tc>
        <w:tc>
          <w:tcPr>
            <w:tcW w:w="2080" w:type="dxa"/>
            <w:tcBorders>
              <w:top w:val="nil"/>
              <w:left w:val="nil"/>
              <w:bottom w:val="single" w:sz="4" w:space="0" w:color="auto"/>
              <w:right w:val="single" w:sz="4" w:space="0" w:color="auto"/>
            </w:tcBorders>
            <w:shd w:val="clear" w:color="auto" w:fill="auto"/>
            <w:noWrap/>
            <w:vAlign w:val="bottom"/>
            <w:hideMark/>
          </w:tcPr>
          <w:p w14:paraId="40DA5B71"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36.700.697,21</w:t>
            </w:r>
          </w:p>
        </w:tc>
      </w:tr>
      <w:tr w:rsidR="00F501EB" w:rsidRPr="00A81CB8" w14:paraId="494E479A"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65D29D30"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N_71</w:t>
            </w:r>
          </w:p>
        </w:tc>
        <w:tc>
          <w:tcPr>
            <w:tcW w:w="4441" w:type="dxa"/>
            <w:tcBorders>
              <w:top w:val="nil"/>
              <w:left w:val="nil"/>
              <w:bottom w:val="single" w:sz="4" w:space="0" w:color="auto"/>
              <w:right w:val="single" w:sz="4" w:space="0" w:color="auto"/>
            </w:tcBorders>
            <w:shd w:val="clear" w:color="auto" w:fill="auto"/>
            <w:noWrap/>
            <w:vAlign w:val="center"/>
            <w:hideMark/>
          </w:tcPr>
          <w:p w14:paraId="5BE52FB3"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Lo Aguirre 500-&gt;Lo Aguirre 220</w:t>
            </w:r>
          </w:p>
        </w:tc>
        <w:tc>
          <w:tcPr>
            <w:tcW w:w="2080" w:type="dxa"/>
            <w:tcBorders>
              <w:top w:val="nil"/>
              <w:left w:val="nil"/>
              <w:bottom w:val="single" w:sz="4" w:space="0" w:color="auto"/>
              <w:right w:val="single" w:sz="4" w:space="0" w:color="auto"/>
            </w:tcBorders>
            <w:shd w:val="clear" w:color="auto" w:fill="auto"/>
            <w:noWrap/>
            <w:hideMark/>
          </w:tcPr>
          <w:p w14:paraId="0263CA23"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eastAsia="Times New Roman" w:cs="Calibri"/>
                <w:color w:val="000000"/>
                <w:sz w:val="20"/>
                <w:szCs w:val="20"/>
                <w:lang w:eastAsia="es-CL"/>
              </w:rPr>
              <w:t>-</w:t>
            </w:r>
          </w:p>
        </w:tc>
      </w:tr>
      <w:tr w:rsidR="00F501EB" w:rsidRPr="00A81CB8" w14:paraId="18AA6826"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5B1DC333"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Pr>
                <w:rFonts w:cs="Calibri"/>
                <w:color w:val="000000"/>
                <w:sz w:val="20"/>
                <w:szCs w:val="20"/>
              </w:rPr>
              <w:t>N_72</w:t>
            </w:r>
          </w:p>
        </w:tc>
        <w:tc>
          <w:tcPr>
            <w:tcW w:w="4441" w:type="dxa"/>
            <w:tcBorders>
              <w:top w:val="nil"/>
              <w:left w:val="nil"/>
              <w:bottom w:val="single" w:sz="4" w:space="0" w:color="auto"/>
              <w:right w:val="single" w:sz="4" w:space="0" w:color="auto"/>
            </w:tcBorders>
            <w:shd w:val="clear" w:color="auto" w:fill="auto"/>
            <w:noWrap/>
            <w:vAlign w:val="bottom"/>
            <w:hideMark/>
          </w:tcPr>
          <w:p w14:paraId="1FD66DB8"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Los Changos 500-&gt;Cumbre 500</w:t>
            </w:r>
          </w:p>
        </w:tc>
        <w:tc>
          <w:tcPr>
            <w:tcW w:w="2080" w:type="dxa"/>
            <w:tcBorders>
              <w:top w:val="nil"/>
              <w:left w:val="nil"/>
              <w:bottom w:val="single" w:sz="4" w:space="0" w:color="auto"/>
              <w:right w:val="single" w:sz="4" w:space="0" w:color="auto"/>
            </w:tcBorders>
            <w:shd w:val="clear" w:color="auto" w:fill="auto"/>
            <w:noWrap/>
            <w:vAlign w:val="bottom"/>
            <w:hideMark/>
          </w:tcPr>
          <w:p w14:paraId="003BFECB"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303.274.483,09</w:t>
            </w:r>
          </w:p>
        </w:tc>
      </w:tr>
      <w:tr w:rsidR="00F501EB" w:rsidRPr="00A81CB8" w14:paraId="098A3921"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5C6A2856"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Pr>
                <w:rFonts w:cs="Calibri"/>
                <w:color w:val="000000"/>
                <w:sz w:val="20"/>
                <w:szCs w:val="20"/>
              </w:rPr>
              <w:t>N_73</w:t>
            </w:r>
          </w:p>
        </w:tc>
        <w:tc>
          <w:tcPr>
            <w:tcW w:w="4441" w:type="dxa"/>
            <w:tcBorders>
              <w:top w:val="nil"/>
              <w:left w:val="nil"/>
              <w:bottom w:val="single" w:sz="4" w:space="0" w:color="auto"/>
              <w:right w:val="single" w:sz="4" w:space="0" w:color="auto"/>
            </w:tcBorders>
            <w:shd w:val="clear" w:color="auto" w:fill="auto"/>
            <w:noWrap/>
            <w:vAlign w:val="bottom"/>
            <w:hideMark/>
          </w:tcPr>
          <w:p w14:paraId="6F9A4BBB"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Los Changos 500-&gt;Los Changos 220</w:t>
            </w:r>
          </w:p>
        </w:tc>
        <w:tc>
          <w:tcPr>
            <w:tcW w:w="2080" w:type="dxa"/>
            <w:tcBorders>
              <w:top w:val="nil"/>
              <w:left w:val="nil"/>
              <w:bottom w:val="single" w:sz="4" w:space="0" w:color="auto"/>
              <w:right w:val="single" w:sz="4" w:space="0" w:color="auto"/>
            </w:tcBorders>
            <w:shd w:val="clear" w:color="auto" w:fill="auto"/>
            <w:noWrap/>
            <w:vAlign w:val="bottom"/>
            <w:hideMark/>
          </w:tcPr>
          <w:p w14:paraId="0D5824D8"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16.332.177,85</w:t>
            </w:r>
          </w:p>
        </w:tc>
      </w:tr>
      <w:tr w:rsidR="00F501EB" w:rsidRPr="00A81CB8" w14:paraId="077905BC"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16BE657B"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Pr>
                <w:rFonts w:cs="Calibri"/>
                <w:color w:val="000000"/>
                <w:sz w:val="20"/>
                <w:szCs w:val="20"/>
              </w:rPr>
              <w:t>N_74</w:t>
            </w:r>
          </w:p>
        </w:tc>
        <w:tc>
          <w:tcPr>
            <w:tcW w:w="4441" w:type="dxa"/>
            <w:tcBorders>
              <w:top w:val="nil"/>
              <w:left w:val="nil"/>
              <w:bottom w:val="single" w:sz="4" w:space="0" w:color="auto"/>
              <w:right w:val="single" w:sz="4" w:space="0" w:color="auto"/>
            </w:tcBorders>
            <w:shd w:val="clear" w:color="auto" w:fill="auto"/>
            <w:noWrap/>
            <w:vAlign w:val="bottom"/>
            <w:hideMark/>
          </w:tcPr>
          <w:p w14:paraId="2147E5E5"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Los Maquis 220-&gt;Quilapilun 220</w:t>
            </w:r>
          </w:p>
        </w:tc>
        <w:tc>
          <w:tcPr>
            <w:tcW w:w="2080" w:type="dxa"/>
            <w:tcBorders>
              <w:top w:val="nil"/>
              <w:left w:val="nil"/>
              <w:bottom w:val="single" w:sz="4" w:space="0" w:color="auto"/>
              <w:right w:val="single" w:sz="4" w:space="0" w:color="auto"/>
            </w:tcBorders>
            <w:shd w:val="clear" w:color="auto" w:fill="auto"/>
            <w:noWrap/>
            <w:vAlign w:val="bottom"/>
            <w:hideMark/>
          </w:tcPr>
          <w:p w14:paraId="5E4B3D3C"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15.393.451,84</w:t>
            </w:r>
          </w:p>
        </w:tc>
      </w:tr>
      <w:tr w:rsidR="00F501EB" w:rsidRPr="00A81CB8" w14:paraId="59F89DDD"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48DDB618"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Pr>
                <w:rFonts w:cs="Calibri"/>
                <w:color w:val="000000"/>
                <w:sz w:val="20"/>
                <w:szCs w:val="20"/>
              </w:rPr>
              <w:t>N_75</w:t>
            </w:r>
          </w:p>
        </w:tc>
        <w:tc>
          <w:tcPr>
            <w:tcW w:w="4441" w:type="dxa"/>
            <w:tcBorders>
              <w:top w:val="nil"/>
              <w:left w:val="nil"/>
              <w:bottom w:val="single" w:sz="4" w:space="0" w:color="auto"/>
              <w:right w:val="single" w:sz="4" w:space="0" w:color="auto"/>
            </w:tcBorders>
            <w:shd w:val="clear" w:color="auto" w:fill="auto"/>
            <w:noWrap/>
            <w:vAlign w:val="bottom"/>
            <w:hideMark/>
          </w:tcPr>
          <w:p w14:paraId="7C9F846B"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Los Vilos 220-&gt;Las Palmas 220</w:t>
            </w:r>
          </w:p>
        </w:tc>
        <w:tc>
          <w:tcPr>
            <w:tcW w:w="2080" w:type="dxa"/>
            <w:tcBorders>
              <w:top w:val="nil"/>
              <w:left w:val="nil"/>
              <w:bottom w:val="single" w:sz="4" w:space="0" w:color="auto"/>
              <w:right w:val="single" w:sz="4" w:space="0" w:color="auto"/>
            </w:tcBorders>
            <w:shd w:val="clear" w:color="auto" w:fill="auto"/>
            <w:noWrap/>
            <w:vAlign w:val="bottom"/>
            <w:hideMark/>
          </w:tcPr>
          <w:p w14:paraId="0EA7E493"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17.929.355,64</w:t>
            </w:r>
          </w:p>
        </w:tc>
      </w:tr>
      <w:tr w:rsidR="00F501EB" w:rsidRPr="00A81CB8" w14:paraId="2805BD31"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31CD058C"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Pr>
                <w:rFonts w:cs="Calibri"/>
                <w:color w:val="000000"/>
                <w:sz w:val="20"/>
                <w:szCs w:val="20"/>
              </w:rPr>
              <w:t>N_76</w:t>
            </w:r>
          </w:p>
        </w:tc>
        <w:tc>
          <w:tcPr>
            <w:tcW w:w="4441" w:type="dxa"/>
            <w:tcBorders>
              <w:top w:val="nil"/>
              <w:left w:val="nil"/>
              <w:bottom w:val="single" w:sz="4" w:space="0" w:color="auto"/>
              <w:right w:val="single" w:sz="4" w:space="0" w:color="auto"/>
            </w:tcBorders>
            <w:shd w:val="clear" w:color="auto" w:fill="auto"/>
            <w:noWrap/>
            <w:vAlign w:val="bottom"/>
            <w:hideMark/>
          </w:tcPr>
          <w:p w14:paraId="215A92AB"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Los Vilos 220-&gt;Nogales 220</w:t>
            </w:r>
          </w:p>
        </w:tc>
        <w:tc>
          <w:tcPr>
            <w:tcW w:w="2080" w:type="dxa"/>
            <w:tcBorders>
              <w:top w:val="nil"/>
              <w:left w:val="nil"/>
              <w:bottom w:val="single" w:sz="4" w:space="0" w:color="auto"/>
              <w:right w:val="single" w:sz="4" w:space="0" w:color="auto"/>
            </w:tcBorders>
            <w:shd w:val="clear" w:color="auto" w:fill="auto"/>
            <w:noWrap/>
            <w:vAlign w:val="bottom"/>
            <w:hideMark/>
          </w:tcPr>
          <w:p w14:paraId="2AB9768D"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12.535.662,91</w:t>
            </w:r>
          </w:p>
        </w:tc>
      </w:tr>
      <w:tr w:rsidR="00F501EB" w:rsidRPr="00A81CB8" w14:paraId="2FB9DF5E"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7F37BC97"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Pr>
                <w:rFonts w:cs="Calibri"/>
                <w:color w:val="000000"/>
                <w:sz w:val="20"/>
                <w:szCs w:val="20"/>
              </w:rPr>
              <w:t>N_77</w:t>
            </w:r>
          </w:p>
        </w:tc>
        <w:tc>
          <w:tcPr>
            <w:tcW w:w="4441" w:type="dxa"/>
            <w:tcBorders>
              <w:top w:val="nil"/>
              <w:left w:val="nil"/>
              <w:bottom w:val="single" w:sz="4" w:space="0" w:color="auto"/>
              <w:right w:val="single" w:sz="4" w:space="0" w:color="auto"/>
            </w:tcBorders>
            <w:shd w:val="clear" w:color="auto" w:fill="auto"/>
            <w:noWrap/>
            <w:vAlign w:val="bottom"/>
            <w:hideMark/>
          </w:tcPr>
          <w:p w14:paraId="184AEB1D"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Los Vilos 220-&gt;Tap Doña Carmen 220</w:t>
            </w:r>
          </w:p>
        </w:tc>
        <w:tc>
          <w:tcPr>
            <w:tcW w:w="2080" w:type="dxa"/>
            <w:tcBorders>
              <w:top w:val="nil"/>
              <w:left w:val="nil"/>
              <w:bottom w:val="single" w:sz="4" w:space="0" w:color="auto"/>
              <w:right w:val="single" w:sz="4" w:space="0" w:color="auto"/>
            </w:tcBorders>
            <w:shd w:val="clear" w:color="auto" w:fill="auto"/>
            <w:noWrap/>
            <w:vAlign w:val="bottom"/>
            <w:hideMark/>
          </w:tcPr>
          <w:p w14:paraId="0D2A6D90"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8.293.811,86</w:t>
            </w:r>
          </w:p>
        </w:tc>
      </w:tr>
      <w:tr w:rsidR="00F501EB" w:rsidRPr="00A81CB8" w14:paraId="50D61D9A"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08BAD984"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Pr>
                <w:rFonts w:cs="Calibri"/>
                <w:color w:val="000000"/>
                <w:sz w:val="20"/>
                <w:szCs w:val="20"/>
              </w:rPr>
              <w:t>N_78</w:t>
            </w:r>
          </w:p>
        </w:tc>
        <w:tc>
          <w:tcPr>
            <w:tcW w:w="4441" w:type="dxa"/>
            <w:tcBorders>
              <w:top w:val="nil"/>
              <w:left w:val="nil"/>
              <w:bottom w:val="single" w:sz="4" w:space="0" w:color="auto"/>
              <w:right w:val="single" w:sz="4" w:space="0" w:color="auto"/>
            </w:tcBorders>
            <w:shd w:val="clear" w:color="auto" w:fill="auto"/>
            <w:noWrap/>
            <w:vAlign w:val="bottom"/>
            <w:hideMark/>
          </w:tcPr>
          <w:p w14:paraId="0337518F"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Maitencillo 220-&gt;Algarrobal 220</w:t>
            </w:r>
          </w:p>
        </w:tc>
        <w:tc>
          <w:tcPr>
            <w:tcW w:w="2080" w:type="dxa"/>
            <w:tcBorders>
              <w:top w:val="nil"/>
              <w:left w:val="nil"/>
              <w:bottom w:val="single" w:sz="4" w:space="0" w:color="auto"/>
              <w:right w:val="single" w:sz="4" w:space="0" w:color="auto"/>
            </w:tcBorders>
            <w:shd w:val="clear" w:color="auto" w:fill="auto"/>
            <w:noWrap/>
            <w:vAlign w:val="bottom"/>
            <w:hideMark/>
          </w:tcPr>
          <w:p w14:paraId="7C407BB1"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23.647.369,94</w:t>
            </w:r>
          </w:p>
        </w:tc>
      </w:tr>
      <w:tr w:rsidR="00F501EB" w:rsidRPr="00A81CB8" w14:paraId="0628636E"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413A87B8"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Pr>
                <w:rFonts w:cs="Calibri"/>
                <w:color w:val="000000"/>
                <w:sz w:val="20"/>
                <w:szCs w:val="20"/>
              </w:rPr>
              <w:t>N_79</w:t>
            </w:r>
          </w:p>
        </w:tc>
        <w:tc>
          <w:tcPr>
            <w:tcW w:w="4441" w:type="dxa"/>
            <w:tcBorders>
              <w:top w:val="nil"/>
              <w:left w:val="nil"/>
              <w:bottom w:val="single" w:sz="4" w:space="0" w:color="auto"/>
              <w:right w:val="single" w:sz="4" w:space="0" w:color="auto"/>
            </w:tcBorders>
            <w:shd w:val="clear" w:color="auto" w:fill="auto"/>
            <w:noWrap/>
            <w:vAlign w:val="bottom"/>
            <w:hideMark/>
          </w:tcPr>
          <w:p w14:paraId="7D757176"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Maitencillo 220-&gt;Don Hector 220</w:t>
            </w:r>
          </w:p>
        </w:tc>
        <w:tc>
          <w:tcPr>
            <w:tcW w:w="2080" w:type="dxa"/>
            <w:tcBorders>
              <w:top w:val="nil"/>
              <w:left w:val="nil"/>
              <w:bottom w:val="single" w:sz="4" w:space="0" w:color="auto"/>
              <w:right w:val="single" w:sz="4" w:space="0" w:color="auto"/>
            </w:tcBorders>
            <w:shd w:val="clear" w:color="auto" w:fill="auto"/>
            <w:noWrap/>
            <w:vAlign w:val="bottom"/>
            <w:hideMark/>
          </w:tcPr>
          <w:p w14:paraId="1D8EB0FC"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8.031.066,59</w:t>
            </w:r>
          </w:p>
        </w:tc>
      </w:tr>
      <w:tr w:rsidR="00F501EB" w:rsidRPr="00A81CB8" w14:paraId="1E5B72E3"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567B290F"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Pr>
                <w:rFonts w:cs="Calibri"/>
                <w:color w:val="000000"/>
                <w:sz w:val="20"/>
                <w:szCs w:val="20"/>
              </w:rPr>
              <w:t>N_80</w:t>
            </w:r>
          </w:p>
        </w:tc>
        <w:tc>
          <w:tcPr>
            <w:tcW w:w="4441" w:type="dxa"/>
            <w:tcBorders>
              <w:top w:val="nil"/>
              <w:left w:val="nil"/>
              <w:bottom w:val="single" w:sz="4" w:space="0" w:color="auto"/>
              <w:right w:val="single" w:sz="4" w:space="0" w:color="auto"/>
            </w:tcBorders>
            <w:shd w:val="clear" w:color="auto" w:fill="auto"/>
            <w:noWrap/>
            <w:vAlign w:val="bottom"/>
            <w:hideMark/>
          </w:tcPr>
          <w:p w14:paraId="4DE303D5"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Maitencillo 220-&gt;Tap El Romero 220</w:t>
            </w:r>
          </w:p>
        </w:tc>
        <w:tc>
          <w:tcPr>
            <w:tcW w:w="2080" w:type="dxa"/>
            <w:tcBorders>
              <w:top w:val="nil"/>
              <w:left w:val="nil"/>
              <w:bottom w:val="single" w:sz="4" w:space="0" w:color="auto"/>
              <w:right w:val="single" w:sz="4" w:space="0" w:color="auto"/>
            </w:tcBorders>
            <w:shd w:val="clear" w:color="auto" w:fill="auto"/>
            <w:noWrap/>
            <w:vAlign w:val="bottom"/>
            <w:hideMark/>
          </w:tcPr>
          <w:p w14:paraId="1916E4FD"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7.140.131,82</w:t>
            </w:r>
          </w:p>
        </w:tc>
      </w:tr>
      <w:tr w:rsidR="00F501EB" w:rsidRPr="00A81CB8" w14:paraId="5E0B88E7"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3553320D"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Pr>
                <w:rFonts w:cs="Calibri"/>
                <w:color w:val="000000"/>
                <w:sz w:val="20"/>
                <w:szCs w:val="20"/>
              </w:rPr>
              <w:t>N_81</w:t>
            </w:r>
          </w:p>
        </w:tc>
        <w:tc>
          <w:tcPr>
            <w:tcW w:w="4441" w:type="dxa"/>
            <w:tcBorders>
              <w:top w:val="nil"/>
              <w:left w:val="nil"/>
              <w:bottom w:val="single" w:sz="4" w:space="0" w:color="auto"/>
              <w:right w:val="single" w:sz="4" w:space="0" w:color="auto"/>
            </w:tcBorders>
            <w:shd w:val="clear" w:color="auto" w:fill="auto"/>
            <w:noWrap/>
            <w:vAlign w:val="bottom"/>
            <w:hideMark/>
          </w:tcPr>
          <w:p w14:paraId="53B3F06B"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Maria Elena 220-&gt;Kimal 220</w:t>
            </w:r>
          </w:p>
        </w:tc>
        <w:tc>
          <w:tcPr>
            <w:tcW w:w="2080" w:type="dxa"/>
            <w:tcBorders>
              <w:top w:val="nil"/>
              <w:left w:val="nil"/>
              <w:bottom w:val="single" w:sz="4" w:space="0" w:color="auto"/>
              <w:right w:val="single" w:sz="4" w:space="0" w:color="auto"/>
            </w:tcBorders>
            <w:shd w:val="clear" w:color="auto" w:fill="auto"/>
            <w:noWrap/>
            <w:vAlign w:val="bottom"/>
            <w:hideMark/>
          </w:tcPr>
          <w:p w14:paraId="391B0E97"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2.880.473,28</w:t>
            </w:r>
          </w:p>
        </w:tc>
      </w:tr>
      <w:tr w:rsidR="00F501EB" w:rsidRPr="00A81CB8" w14:paraId="7CE86F83"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7B8FDBC8"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Pr>
                <w:rFonts w:cs="Calibri"/>
                <w:color w:val="000000"/>
                <w:sz w:val="20"/>
                <w:szCs w:val="20"/>
              </w:rPr>
              <w:t>N_82</w:t>
            </w:r>
          </w:p>
        </w:tc>
        <w:tc>
          <w:tcPr>
            <w:tcW w:w="4441" w:type="dxa"/>
            <w:tcBorders>
              <w:top w:val="nil"/>
              <w:left w:val="nil"/>
              <w:bottom w:val="single" w:sz="4" w:space="0" w:color="auto"/>
              <w:right w:val="single" w:sz="4" w:space="0" w:color="auto"/>
            </w:tcBorders>
            <w:shd w:val="clear" w:color="auto" w:fill="auto"/>
            <w:noWrap/>
            <w:vAlign w:val="bottom"/>
            <w:hideMark/>
          </w:tcPr>
          <w:p w14:paraId="58EF8E00"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Maria Elena 220-&gt;Quillagua 220</w:t>
            </w:r>
          </w:p>
        </w:tc>
        <w:tc>
          <w:tcPr>
            <w:tcW w:w="2080" w:type="dxa"/>
            <w:tcBorders>
              <w:top w:val="nil"/>
              <w:left w:val="nil"/>
              <w:bottom w:val="single" w:sz="4" w:space="0" w:color="auto"/>
              <w:right w:val="single" w:sz="4" w:space="0" w:color="auto"/>
            </w:tcBorders>
            <w:shd w:val="clear" w:color="auto" w:fill="auto"/>
            <w:noWrap/>
            <w:vAlign w:val="bottom"/>
            <w:hideMark/>
          </w:tcPr>
          <w:p w14:paraId="79278A10"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14.832.414,20</w:t>
            </w:r>
          </w:p>
        </w:tc>
      </w:tr>
      <w:tr w:rsidR="00F501EB" w:rsidRPr="00A81CB8" w14:paraId="023B2611"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7C0ADD69"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Pr>
                <w:rFonts w:cs="Calibri"/>
                <w:color w:val="000000"/>
                <w:sz w:val="20"/>
                <w:szCs w:val="20"/>
              </w:rPr>
              <w:t>N_83</w:t>
            </w:r>
          </w:p>
        </w:tc>
        <w:tc>
          <w:tcPr>
            <w:tcW w:w="4441" w:type="dxa"/>
            <w:tcBorders>
              <w:top w:val="nil"/>
              <w:left w:val="nil"/>
              <w:bottom w:val="single" w:sz="4" w:space="0" w:color="auto"/>
              <w:right w:val="single" w:sz="4" w:space="0" w:color="auto"/>
            </w:tcBorders>
            <w:shd w:val="clear" w:color="auto" w:fill="auto"/>
            <w:noWrap/>
            <w:vAlign w:val="bottom"/>
            <w:hideMark/>
          </w:tcPr>
          <w:p w14:paraId="47DD09D8"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Melipulli 220-&gt;Pargua 220</w:t>
            </w:r>
          </w:p>
        </w:tc>
        <w:tc>
          <w:tcPr>
            <w:tcW w:w="2080" w:type="dxa"/>
            <w:tcBorders>
              <w:top w:val="nil"/>
              <w:left w:val="nil"/>
              <w:bottom w:val="single" w:sz="4" w:space="0" w:color="auto"/>
              <w:right w:val="single" w:sz="4" w:space="0" w:color="auto"/>
            </w:tcBorders>
            <w:shd w:val="clear" w:color="auto" w:fill="auto"/>
            <w:noWrap/>
            <w:vAlign w:val="bottom"/>
            <w:hideMark/>
          </w:tcPr>
          <w:p w14:paraId="05CF7153"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16.108.276,61</w:t>
            </w:r>
          </w:p>
        </w:tc>
      </w:tr>
      <w:tr w:rsidR="00F501EB" w:rsidRPr="00A81CB8" w14:paraId="1CB3A269"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32301465"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Pr>
                <w:rFonts w:cs="Calibri"/>
                <w:color w:val="000000"/>
                <w:sz w:val="20"/>
                <w:szCs w:val="20"/>
              </w:rPr>
              <w:lastRenderedPageBreak/>
              <w:t>N_84</w:t>
            </w:r>
          </w:p>
        </w:tc>
        <w:tc>
          <w:tcPr>
            <w:tcW w:w="4441" w:type="dxa"/>
            <w:tcBorders>
              <w:top w:val="nil"/>
              <w:left w:val="nil"/>
              <w:bottom w:val="single" w:sz="4" w:space="0" w:color="auto"/>
              <w:right w:val="single" w:sz="4" w:space="0" w:color="auto"/>
            </w:tcBorders>
            <w:shd w:val="clear" w:color="auto" w:fill="auto"/>
            <w:noWrap/>
            <w:vAlign w:val="bottom"/>
            <w:hideMark/>
          </w:tcPr>
          <w:p w14:paraId="798B45B3"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Melipulli 220-&gt;Puerto Montt 220</w:t>
            </w:r>
          </w:p>
        </w:tc>
        <w:tc>
          <w:tcPr>
            <w:tcW w:w="2080" w:type="dxa"/>
            <w:tcBorders>
              <w:top w:val="nil"/>
              <w:left w:val="nil"/>
              <w:bottom w:val="single" w:sz="4" w:space="0" w:color="auto"/>
              <w:right w:val="single" w:sz="4" w:space="0" w:color="auto"/>
            </w:tcBorders>
            <w:shd w:val="clear" w:color="auto" w:fill="auto"/>
            <w:noWrap/>
            <w:vAlign w:val="bottom"/>
            <w:hideMark/>
          </w:tcPr>
          <w:p w14:paraId="6EFDE128"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57.064,00</w:t>
            </w:r>
          </w:p>
        </w:tc>
      </w:tr>
      <w:tr w:rsidR="00F501EB" w:rsidRPr="00A81CB8" w14:paraId="18092CAB"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326A58C2"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Pr>
                <w:rFonts w:cs="Calibri"/>
                <w:color w:val="000000"/>
                <w:sz w:val="20"/>
                <w:szCs w:val="20"/>
              </w:rPr>
              <w:t>N_85</w:t>
            </w:r>
          </w:p>
        </w:tc>
        <w:tc>
          <w:tcPr>
            <w:tcW w:w="4441" w:type="dxa"/>
            <w:tcBorders>
              <w:top w:val="nil"/>
              <w:left w:val="nil"/>
              <w:bottom w:val="single" w:sz="4" w:space="0" w:color="auto"/>
              <w:right w:val="single" w:sz="4" w:space="0" w:color="auto"/>
            </w:tcBorders>
            <w:shd w:val="clear" w:color="auto" w:fill="auto"/>
            <w:noWrap/>
            <w:vAlign w:val="bottom"/>
            <w:hideMark/>
          </w:tcPr>
          <w:p w14:paraId="34DBD050"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Miraje 220-&gt;Atacama 220</w:t>
            </w:r>
          </w:p>
        </w:tc>
        <w:tc>
          <w:tcPr>
            <w:tcW w:w="2080" w:type="dxa"/>
            <w:tcBorders>
              <w:top w:val="nil"/>
              <w:left w:val="nil"/>
              <w:bottom w:val="single" w:sz="4" w:space="0" w:color="auto"/>
              <w:right w:val="single" w:sz="4" w:space="0" w:color="auto"/>
            </w:tcBorders>
            <w:shd w:val="clear" w:color="auto" w:fill="auto"/>
            <w:noWrap/>
            <w:vAlign w:val="bottom"/>
            <w:hideMark/>
          </w:tcPr>
          <w:p w14:paraId="6FD34BA0"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26.411.952,50</w:t>
            </w:r>
          </w:p>
        </w:tc>
      </w:tr>
      <w:tr w:rsidR="00F501EB" w:rsidRPr="00A81CB8" w14:paraId="4A3EBAEA"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3303530B"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Pr>
                <w:rFonts w:cs="Calibri"/>
                <w:color w:val="000000"/>
                <w:sz w:val="20"/>
                <w:szCs w:val="20"/>
              </w:rPr>
              <w:t>N_86</w:t>
            </w:r>
          </w:p>
        </w:tc>
        <w:tc>
          <w:tcPr>
            <w:tcW w:w="4441" w:type="dxa"/>
            <w:tcBorders>
              <w:top w:val="nil"/>
              <w:left w:val="nil"/>
              <w:bottom w:val="single" w:sz="4" w:space="0" w:color="auto"/>
              <w:right w:val="single" w:sz="4" w:space="0" w:color="auto"/>
            </w:tcBorders>
            <w:shd w:val="clear" w:color="auto" w:fill="auto"/>
            <w:noWrap/>
            <w:vAlign w:val="bottom"/>
            <w:hideMark/>
          </w:tcPr>
          <w:p w14:paraId="2195AC4F"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Miraje 220-&gt;Tap Enlace 220</w:t>
            </w:r>
          </w:p>
        </w:tc>
        <w:tc>
          <w:tcPr>
            <w:tcW w:w="2080" w:type="dxa"/>
            <w:tcBorders>
              <w:top w:val="nil"/>
              <w:left w:val="nil"/>
              <w:bottom w:val="single" w:sz="4" w:space="0" w:color="auto"/>
              <w:right w:val="single" w:sz="4" w:space="0" w:color="auto"/>
            </w:tcBorders>
            <w:shd w:val="clear" w:color="auto" w:fill="auto"/>
            <w:noWrap/>
            <w:vAlign w:val="bottom"/>
            <w:hideMark/>
          </w:tcPr>
          <w:p w14:paraId="060007FA"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8.112.880,64</w:t>
            </w:r>
          </w:p>
        </w:tc>
      </w:tr>
      <w:tr w:rsidR="00F501EB" w:rsidRPr="00A81CB8" w14:paraId="5916FE7E"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63958C94"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Pr>
                <w:rFonts w:cs="Calibri"/>
                <w:color w:val="000000"/>
                <w:sz w:val="20"/>
                <w:szCs w:val="20"/>
              </w:rPr>
              <w:t>N_87</w:t>
            </w:r>
          </w:p>
        </w:tc>
        <w:tc>
          <w:tcPr>
            <w:tcW w:w="4441" w:type="dxa"/>
            <w:tcBorders>
              <w:top w:val="nil"/>
              <w:left w:val="nil"/>
              <w:bottom w:val="single" w:sz="4" w:space="0" w:color="auto"/>
              <w:right w:val="single" w:sz="4" w:space="0" w:color="auto"/>
            </w:tcBorders>
            <w:shd w:val="clear" w:color="auto" w:fill="auto"/>
            <w:noWrap/>
            <w:vAlign w:val="bottom"/>
            <w:hideMark/>
          </w:tcPr>
          <w:p w14:paraId="7B3F0758"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Mulchen 220-&gt;Rio Malleco 220</w:t>
            </w:r>
          </w:p>
        </w:tc>
        <w:tc>
          <w:tcPr>
            <w:tcW w:w="2080" w:type="dxa"/>
            <w:tcBorders>
              <w:top w:val="nil"/>
              <w:left w:val="nil"/>
              <w:bottom w:val="single" w:sz="4" w:space="0" w:color="auto"/>
              <w:right w:val="single" w:sz="4" w:space="0" w:color="auto"/>
            </w:tcBorders>
            <w:shd w:val="clear" w:color="auto" w:fill="auto"/>
            <w:noWrap/>
            <w:vAlign w:val="bottom"/>
            <w:hideMark/>
          </w:tcPr>
          <w:p w14:paraId="3C09A54B"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713.949,98</w:t>
            </w:r>
          </w:p>
        </w:tc>
      </w:tr>
      <w:tr w:rsidR="00F501EB" w:rsidRPr="00A81CB8" w14:paraId="6DB7136D"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622E1637"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Pr>
                <w:rFonts w:cs="Calibri"/>
                <w:color w:val="000000"/>
                <w:sz w:val="20"/>
                <w:szCs w:val="20"/>
              </w:rPr>
              <w:t>N_88</w:t>
            </w:r>
          </w:p>
        </w:tc>
        <w:tc>
          <w:tcPr>
            <w:tcW w:w="4441" w:type="dxa"/>
            <w:tcBorders>
              <w:top w:val="nil"/>
              <w:left w:val="nil"/>
              <w:bottom w:val="single" w:sz="4" w:space="0" w:color="auto"/>
              <w:right w:val="single" w:sz="4" w:space="0" w:color="auto"/>
            </w:tcBorders>
            <w:shd w:val="clear" w:color="auto" w:fill="auto"/>
            <w:noWrap/>
            <w:vAlign w:val="bottom"/>
            <w:hideMark/>
          </w:tcPr>
          <w:p w14:paraId="1D173225"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Nogales 220-&gt;Quillota 220</w:t>
            </w:r>
          </w:p>
        </w:tc>
        <w:tc>
          <w:tcPr>
            <w:tcW w:w="2080" w:type="dxa"/>
            <w:tcBorders>
              <w:top w:val="nil"/>
              <w:left w:val="nil"/>
              <w:bottom w:val="single" w:sz="4" w:space="0" w:color="auto"/>
              <w:right w:val="single" w:sz="4" w:space="0" w:color="auto"/>
            </w:tcBorders>
            <w:shd w:val="clear" w:color="auto" w:fill="auto"/>
            <w:noWrap/>
            <w:vAlign w:val="bottom"/>
            <w:hideMark/>
          </w:tcPr>
          <w:p w14:paraId="1DEB7A14"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8.905.719,55</w:t>
            </w:r>
          </w:p>
        </w:tc>
      </w:tr>
      <w:tr w:rsidR="00F501EB" w:rsidRPr="00A81CB8" w14:paraId="2F8C8424"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23712559"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N_89</w:t>
            </w:r>
          </w:p>
        </w:tc>
        <w:tc>
          <w:tcPr>
            <w:tcW w:w="4441" w:type="dxa"/>
            <w:tcBorders>
              <w:top w:val="nil"/>
              <w:left w:val="nil"/>
              <w:bottom w:val="single" w:sz="4" w:space="0" w:color="auto"/>
              <w:right w:val="single" w:sz="4" w:space="0" w:color="auto"/>
            </w:tcBorders>
            <w:shd w:val="clear" w:color="auto" w:fill="auto"/>
            <w:noWrap/>
            <w:vAlign w:val="center"/>
            <w:hideMark/>
          </w:tcPr>
          <w:p w14:paraId="46B29EA0"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Nogales 220-&gt;Rio Aconcagua 220</w:t>
            </w:r>
          </w:p>
        </w:tc>
        <w:tc>
          <w:tcPr>
            <w:tcW w:w="2080" w:type="dxa"/>
            <w:tcBorders>
              <w:top w:val="nil"/>
              <w:left w:val="nil"/>
              <w:bottom w:val="single" w:sz="4" w:space="0" w:color="auto"/>
              <w:right w:val="single" w:sz="4" w:space="0" w:color="auto"/>
            </w:tcBorders>
            <w:shd w:val="clear" w:color="auto" w:fill="auto"/>
            <w:noWrap/>
            <w:vAlign w:val="bottom"/>
            <w:hideMark/>
          </w:tcPr>
          <w:p w14:paraId="4D7C2B0E"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eastAsia="Times New Roman" w:cs="Calibri"/>
                <w:color w:val="000000"/>
                <w:sz w:val="20"/>
                <w:szCs w:val="20"/>
                <w:lang w:eastAsia="es-CL"/>
              </w:rPr>
              <w:t>-</w:t>
            </w:r>
          </w:p>
        </w:tc>
      </w:tr>
      <w:tr w:rsidR="00F501EB" w:rsidRPr="00A81CB8" w14:paraId="2953004B"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3CB61A91"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Pr>
                <w:rFonts w:cs="Calibri"/>
                <w:color w:val="000000"/>
                <w:sz w:val="20"/>
                <w:szCs w:val="20"/>
              </w:rPr>
              <w:t>N_90</w:t>
            </w:r>
          </w:p>
        </w:tc>
        <w:tc>
          <w:tcPr>
            <w:tcW w:w="4441" w:type="dxa"/>
            <w:tcBorders>
              <w:top w:val="nil"/>
              <w:left w:val="nil"/>
              <w:bottom w:val="single" w:sz="4" w:space="0" w:color="auto"/>
              <w:right w:val="single" w:sz="4" w:space="0" w:color="auto"/>
            </w:tcBorders>
            <w:shd w:val="clear" w:color="auto" w:fill="auto"/>
            <w:noWrap/>
            <w:vAlign w:val="bottom"/>
            <w:hideMark/>
          </w:tcPr>
          <w:p w14:paraId="3125FD13"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Nogales 220-&gt;Tap Doña Carmen 220</w:t>
            </w:r>
          </w:p>
        </w:tc>
        <w:tc>
          <w:tcPr>
            <w:tcW w:w="2080" w:type="dxa"/>
            <w:tcBorders>
              <w:top w:val="nil"/>
              <w:left w:val="nil"/>
              <w:bottom w:val="single" w:sz="4" w:space="0" w:color="auto"/>
              <w:right w:val="single" w:sz="4" w:space="0" w:color="auto"/>
            </w:tcBorders>
            <w:shd w:val="clear" w:color="auto" w:fill="auto"/>
            <w:noWrap/>
            <w:vAlign w:val="bottom"/>
            <w:hideMark/>
          </w:tcPr>
          <w:p w14:paraId="196A97EC"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4.362.125,88</w:t>
            </w:r>
          </w:p>
        </w:tc>
      </w:tr>
      <w:tr w:rsidR="00F501EB" w:rsidRPr="00A81CB8" w14:paraId="5C35378B"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703F02A1"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Pr>
                <w:rFonts w:cs="Calibri"/>
                <w:color w:val="000000"/>
                <w:sz w:val="20"/>
                <w:szCs w:val="20"/>
              </w:rPr>
              <w:t>N_91</w:t>
            </w:r>
          </w:p>
        </w:tc>
        <w:tc>
          <w:tcPr>
            <w:tcW w:w="4441" w:type="dxa"/>
            <w:tcBorders>
              <w:top w:val="nil"/>
              <w:left w:val="nil"/>
              <w:bottom w:val="single" w:sz="4" w:space="0" w:color="auto"/>
              <w:right w:val="single" w:sz="4" w:space="0" w:color="auto"/>
            </w:tcBorders>
            <w:shd w:val="clear" w:color="auto" w:fill="auto"/>
            <w:noWrap/>
            <w:vAlign w:val="bottom"/>
            <w:hideMark/>
          </w:tcPr>
          <w:p w14:paraId="3C54BBF8"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Nueva Alto Melipilla 220-&gt;Alto Melipilla 220</w:t>
            </w:r>
          </w:p>
        </w:tc>
        <w:tc>
          <w:tcPr>
            <w:tcW w:w="2080" w:type="dxa"/>
            <w:tcBorders>
              <w:top w:val="nil"/>
              <w:left w:val="nil"/>
              <w:bottom w:val="single" w:sz="4" w:space="0" w:color="auto"/>
              <w:right w:val="single" w:sz="4" w:space="0" w:color="auto"/>
            </w:tcBorders>
            <w:shd w:val="clear" w:color="auto" w:fill="auto"/>
            <w:noWrap/>
            <w:vAlign w:val="bottom"/>
            <w:hideMark/>
          </w:tcPr>
          <w:p w14:paraId="19BBFF13"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917.326,97</w:t>
            </w:r>
          </w:p>
        </w:tc>
      </w:tr>
      <w:tr w:rsidR="00F501EB" w:rsidRPr="00A81CB8" w14:paraId="54EBC29C"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00A0BFD1"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Pr>
                <w:rFonts w:cs="Calibri"/>
                <w:color w:val="000000"/>
                <w:sz w:val="20"/>
                <w:szCs w:val="20"/>
              </w:rPr>
              <w:t>N_92</w:t>
            </w:r>
          </w:p>
        </w:tc>
        <w:tc>
          <w:tcPr>
            <w:tcW w:w="4441" w:type="dxa"/>
            <w:tcBorders>
              <w:top w:val="nil"/>
              <w:left w:val="nil"/>
              <w:bottom w:val="single" w:sz="4" w:space="0" w:color="auto"/>
              <w:right w:val="single" w:sz="4" w:space="0" w:color="auto"/>
            </w:tcBorders>
            <w:shd w:val="clear" w:color="auto" w:fill="auto"/>
            <w:noWrap/>
            <w:vAlign w:val="bottom"/>
            <w:hideMark/>
          </w:tcPr>
          <w:p w14:paraId="31EB731E"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Nueva Alto Melipilla 220-&gt;Rapel 220</w:t>
            </w:r>
          </w:p>
        </w:tc>
        <w:tc>
          <w:tcPr>
            <w:tcW w:w="2080" w:type="dxa"/>
            <w:tcBorders>
              <w:top w:val="nil"/>
              <w:left w:val="nil"/>
              <w:bottom w:val="single" w:sz="4" w:space="0" w:color="auto"/>
              <w:right w:val="single" w:sz="4" w:space="0" w:color="auto"/>
            </w:tcBorders>
            <w:shd w:val="clear" w:color="auto" w:fill="auto"/>
            <w:noWrap/>
            <w:vAlign w:val="bottom"/>
            <w:hideMark/>
          </w:tcPr>
          <w:p w14:paraId="30AC1699"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14.667.726,20</w:t>
            </w:r>
          </w:p>
        </w:tc>
      </w:tr>
      <w:tr w:rsidR="00F501EB" w:rsidRPr="00A81CB8" w14:paraId="1352987B"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7395C6C1"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N_93</w:t>
            </w:r>
          </w:p>
        </w:tc>
        <w:tc>
          <w:tcPr>
            <w:tcW w:w="4441" w:type="dxa"/>
            <w:tcBorders>
              <w:top w:val="nil"/>
              <w:left w:val="nil"/>
              <w:bottom w:val="single" w:sz="4" w:space="0" w:color="auto"/>
              <w:right w:val="single" w:sz="4" w:space="0" w:color="auto"/>
            </w:tcBorders>
            <w:shd w:val="clear" w:color="auto" w:fill="auto"/>
            <w:noWrap/>
            <w:vAlign w:val="center"/>
            <w:hideMark/>
          </w:tcPr>
          <w:p w14:paraId="53F6C7CF"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Nueva Cardones 220-&gt;Nueva Cardones 500</w:t>
            </w:r>
          </w:p>
        </w:tc>
        <w:tc>
          <w:tcPr>
            <w:tcW w:w="2080" w:type="dxa"/>
            <w:tcBorders>
              <w:top w:val="nil"/>
              <w:left w:val="nil"/>
              <w:bottom w:val="single" w:sz="4" w:space="0" w:color="auto"/>
              <w:right w:val="single" w:sz="4" w:space="0" w:color="auto"/>
            </w:tcBorders>
            <w:shd w:val="clear" w:color="auto" w:fill="auto"/>
            <w:noWrap/>
            <w:hideMark/>
          </w:tcPr>
          <w:p w14:paraId="3D5C270B"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eastAsia="Times New Roman" w:cs="Calibri"/>
                <w:color w:val="000000"/>
                <w:sz w:val="20"/>
                <w:szCs w:val="20"/>
                <w:lang w:eastAsia="es-CL"/>
              </w:rPr>
              <w:t>-</w:t>
            </w:r>
          </w:p>
        </w:tc>
      </w:tr>
      <w:tr w:rsidR="00F501EB" w:rsidRPr="00A81CB8" w14:paraId="275FC402"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62B06519"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Pr>
                <w:rFonts w:cs="Calibri"/>
                <w:color w:val="000000"/>
                <w:sz w:val="20"/>
                <w:szCs w:val="20"/>
              </w:rPr>
              <w:t>N_94</w:t>
            </w:r>
          </w:p>
        </w:tc>
        <w:tc>
          <w:tcPr>
            <w:tcW w:w="4441" w:type="dxa"/>
            <w:tcBorders>
              <w:top w:val="nil"/>
              <w:left w:val="nil"/>
              <w:bottom w:val="single" w:sz="4" w:space="0" w:color="auto"/>
              <w:right w:val="single" w:sz="4" w:space="0" w:color="auto"/>
            </w:tcBorders>
            <w:shd w:val="clear" w:color="auto" w:fill="auto"/>
            <w:noWrap/>
            <w:vAlign w:val="bottom"/>
            <w:hideMark/>
          </w:tcPr>
          <w:p w14:paraId="242355B0"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Nueva Diego de Almagro 220-&gt;Diego de Almagro 220</w:t>
            </w:r>
          </w:p>
        </w:tc>
        <w:tc>
          <w:tcPr>
            <w:tcW w:w="2080" w:type="dxa"/>
            <w:tcBorders>
              <w:top w:val="nil"/>
              <w:left w:val="nil"/>
              <w:bottom w:val="single" w:sz="4" w:space="0" w:color="auto"/>
              <w:right w:val="single" w:sz="4" w:space="0" w:color="auto"/>
            </w:tcBorders>
            <w:shd w:val="clear" w:color="auto" w:fill="auto"/>
            <w:noWrap/>
            <w:vAlign w:val="bottom"/>
            <w:hideMark/>
          </w:tcPr>
          <w:p w14:paraId="7A9B0019"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6.392.478,08</w:t>
            </w:r>
          </w:p>
        </w:tc>
      </w:tr>
      <w:tr w:rsidR="00F501EB" w:rsidRPr="00A81CB8" w14:paraId="52AAD88B"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1FEF3D0C"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Pr>
                <w:rFonts w:cs="Calibri"/>
                <w:color w:val="000000"/>
                <w:sz w:val="20"/>
                <w:szCs w:val="20"/>
              </w:rPr>
              <w:t>N_95</w:t>
            </w:r>
          </w:p>
        </w:tc>
        <w:tc>
          <w:tcPr>
            <w:tcW w:w="4441" w:type="dxa"/>
            <w:tcBorders>
              <w:top w:val="nil"/>
              <w:left w:val="nil"/>
              <w:bottom w:val="single" w:sz="4" w:space="0" w:color="auto"/>
              <w:right w:val="single" w:sz="4" w:space="0" w:color="auto"/>
            </w:tcBorders>
            <w:shd w:val="clear" w:color="auto" w:fill="auto"/>
            <w:noWrap/>
            <w:vAlign w:val="bottom"/>
            <w:hideMark/>
          </w:tcPr>
          <w:p w14:paraId="3805B14E"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Nueva Lampa 220-&gt;Cerro Navia Desf 220</w:t>
            </w:r>
          </w:p>
        </w:tc>
        <w:tc>
          <w:tcPr>
            <w:tcW w:w="2080" w:type="dxa"/>
            <w:tcBorders>
              <w:top w:val="nil"/>
              <w:left w:val="nil"/>
              <w:bottom w:val="single" w:sz="4" w:space="0" w:color="auto"/>
              <w:right w:val="single" w:sz="4" w:space="0" w:color="auto"/>
            </w:tcBorders>
            <w:shd w:val="clear" w:color="auto" w:fill="auto"/>
            <w:noWrap/>
            <w:vAlign w:val="bottom"/>
            <w:hideMark/>
          </w:tcPr>
          <w:p w14:paraId="4D6FBCCD"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4.314.056,07</w:t>
            </w:r>
          </w:p>
        </w:tc>
      </w:tr>
      <w:tr w:rsidR="00F501EB" w:rsidRPr="00A81CB8" w14:paraId="50E53699"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7F421EB0"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Pr>
                <w:rFonts w:cs="Calibri"/>
                <w:color w:val="000000"/>
                <w:sz w:val="20"/>
                <w:szCs w:val="20"/>
              </w:rPr>
              <w:t>N_96</w:t>
            </w:r>
          </w:p>
        </w:tc>
        <w:tc>
          <w:tcPr>
            <w:tcW w:w="4441" w:type="dxa"/>
            <w:tcBorders>
              <w:top w:val="nil"/>
              <w:left w:val="nil"/>
              <w:bottom w:val="single" w:sz="4" w:space="0" w:color="auto"/>
              <w:right w:val="single" w:sz="4" w:space="0" w:color="auto"/>
            </w:tcBorders>
            <w:shd w:val="clear" w:color="auto" w:fill="auto"/>
            <w:noWrap/>
            <w:vAlign w:val="bottom"/>
            <w:hideMark/>
          </w:tcPr>
          <w:p w14:paraId="26A0501B"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Nueva Lampa 220-&gt;Polpaico 220</w:t>
            </w:r>
          </w:p>
        </w:tc>
        <w:tc>
          <w:tcPr>
            <w:tcW w:w="2080" w:type="dxa"/>
            <w:tcBorders>
              <w:top w:val="nil"/>
              <w:left w:val="nil"/>
              <w:bottom w:val="single" w:sz="4" w:space="0" w:color="auto"/>
              <w:right w:val="single" w:sz="4" w:space="0" w:color="auto"/>
            </w:tcBorders>
            <w:shd w:val="clear" w:color="auto" w:fill="auto"/>
            <w:noWrap/>
            <w:vAlign w:val="bottom"/>
            <w:hideMark/>
          </w:tcPr>
          <w:p w14:paraId="6F2DF38C"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5.252.463,37</w:t>
            </w:r>
          </w:p>
        </w:tc>
      </w:tr>
      <w:tr w:rsidR="00F501EB" w:rsidRPr="00A81CB8" w14:paraId="3CF2F64E"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046C6546"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N_97</w:t>
            </w:r>
          </w:p>
        </w:tc>
        <w:tc>
          <w:tcPr>
            <w:tcW w:w="4441" w:type="dxa"/>
            <w:tcBorders>
              <w:top w:val="nil"/>
              <w:left w:val="nil"/>
              <w:bottom w:val="single" w:sz="4" w:space="0" w:color="auto"/>
              <w:right w:val="single" w:sz="4" w:space="0" w:color="auto"/>
            </w:tcBorders>
            <w:shd w:val="clear" w:color="auto" w:fill="auto"/>
            <w:noWrap/>
            <w:vAlign w:val="center"/>
            <w:hideMark/>
          </w:tcPr>
          <w:p w14:paraId="4D75F22A"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Nueva Pan de Azúcar 500-&gt;Polpaico 500</w:t>
            </w:r>
          </w:p>
        </w:tc>
        <w:tc>
          <w:tcPr>
            <w:tcW w:w="2080" w:type="dxa"/>
            <w:tcBorders>
              <w:top w:val="nil"/>
              <w:left w:val="nil"/>
              <w:bottom w:val="single" w:sz="4" w:space="0" w:color="auto"/>
              <w:right w:val="single" w:sz="4" w:space="0" w:color="auto"/>
            </w:tcBorders>
            <w:shd w:val="clear" w:color="auto" w:fill="auto"/>
            <w:noWrap/>
            <w:hideMark/>
          </w:tcPr>
          <w:p w14:paraId="40D816E4"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eastAsia="Times New Roman" w:cs="Calibri"/>
                <w:color w:val="000000"/>
                <w:sz w:val="20"/>
                <w:szCs w:val="20"/>
                <w:lang w:eastAsia="es-CL"/>
              </w:rPr>
              <w:t>-</w:t>
            </w:r>
          </w:p>
        </w:tc>
      </w:tr>
      <w:tr w:rsidR="00F501EB" w:rsidRPr="00A81CB8" w14:paraId="1601796C"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4FDFE122"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Pr>
                <w:rFonts w:cs="Calibri"/>
                <w:color w:val="000000"/>
                <w:sz w:val="20"/>
                <w:szCs w:val="20"/>
              </w:rPr>
              <w:t>N_98</w:t>
            </w:r>
          </w:p>
        </w:tc>
        <w:tc>
          <w:tcPr>
            <w:tcW w:w="4441" w:type="dxa"/>
            <w:tcBorders>
              <w:top w:val="nil"/>
              <w:left w:val="nil"/>
              <w:bottom w:val="single" w:sz="4" w:space="0" w:color="auto"/>
              <w:right w:val="single" w:sz="4" w:space="0" w:color="auto"/>
            </w:tcBorders>
            <w:shd w:val="clear" w:color="auto" w:fill="auto"/>
            <w:noWrap/>
            <w:vAlign w:val="bottom"/>
            <w:hideMark/>
          </w:tcPr>
          <w:p w14:paraId="5ACCA42D"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Nueva Pichirropulli 220-&gt;Nueva Valdivia 220</w:t>
            </w:r>
          </w:p>
        </w:tc>
        <w:tc>
          <w:tcPr>
            <w:tcW w:w="2080" w:type="dxa"/>
            <w:tcBorders>
              <w:top w:val="nil"/>
              <w:left w:val="nil"/>
              <w:bottom w:val="single" w:sz="4" w:space="0" w:color="auto"/>
              <w:right w:val="single" w:sz="4" w:space="0" w:color="auto"/>
            </w:tcBorders>
            <w:shd w:val="clear" w:color="auto" w:fill="auto"/>
            <w:noWrap/>
            <w:vAlign w:val="bottom"/>
            <w:hideMark/>
          </w:tcPr>
          <w:p w14:paraId="77C32F7B"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12.025.443,54</w:t>
            </w:r>
          </w:p>
        </w:tc>
      </w:tr>
      <w:tr w:rsidR="00F501EB" w:rsidRPr="00A81CB8" w14:paraId="3BB29D53"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519BE1C0"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Pr>
                <w:rFonts w:cs="Calibri"/>
                <w:color w:val="000000"/>
                <w:sz w:val="20"/>
                <w:szCs w:val="20"/>
              </w:rPr>
              <w:t>N_99</w:t>
            </w:r>
          </w:p>
        </w:tc>
        <w:tc>
          <w:tcPr>
            <w:tcW w:w="4441" w:type="dxa"/>
            <w:tcBorders>
              <w:top w:val="nil"/>
              <w:left w:val="nil"/>
              <w:bottom w:val="single" w:sz="4" w:space="0" w:color="auto"/>
              <w:right w:val="single" w:sz="4" w:space="0" w:color="auto"/>
            </w:tcBorders>
            <w:shd w:val="clear" w:color="auto" w:fill="auto"/>
            <w:noWrap/>
            <w:vAlign w:val="bottom"/>
            <w:hideMark/>
          </w:tcPr>
          <w:p w14:paraId="64306175"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Nueva Puerto Montt 220-&gt;Frutillar Norte 220</w:t>
            </w:r>
          </w:p>
        </w:tc>
        <w:tc>
          <w:tcPr>
            <w:tcW w:w="2080" w:type="dxa"/>
            <w:tcBorders>
              <w:top w:val="nil"/>
              <w:left w:val="nil"/>
              <w:bottom w:val="single" w:sz="4" w:space="0" w:color="auto"/>
              <w:right w:val="single" w:sz="4" w:space="0" w:color="auto"/>
            </w:tcBorders>
            <w:shd w:val="clear" w:color="auto" w:fill="auto"/>
            <w:noWrap/>
            <w:vAlign w:val="bottom"/>
            <w:hideMark/>
          </w:tcPr>
          <w:p w14:paraId="2F17B61F"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4.905.267,64</w:t>
            </w:r>
          </w:p>
        </w:tc>
      </w:tr>
      <w:tr w:rsidR="00F501EB" w:rsidRPr="00A81CB8" w14:paraId="6E7E8D07"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4E4A5FBB"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Pr>
                <w:rFonts w:cs="Calibri"/>
                <w:color w:val="000000"/>
                <w:sz w:val="20"/>
                <w:szCs w:val="20"/>
              </w:rPr>
              <w:t>N_100</w:t>
            </w:r>
          </w:p>
        </w:tc>
        <w:tc>
          <w:tcPr>
            <w:tcW w:w="4441" w:type="dxa"/>
            <w:tcBorders>
              <w:top w:val="nil"/>
              <w:left w:val="nil"/>
              <w:bottom w:val="single" w:sz="4" w:space="0" w:color="auto"/>
              <w:right w:val="single" w:sz="4" w:space="0" w:color="auto"/>
            </w:tcBorders>
            <w:shd w:val="clear" w:color="auto" w:fill="auto"/>
            <w:noWrap/>
            <w:vAlign w:val="bottom"/>
            <w:hideMark/>
          </w:tcPr>
          <w:p w14:paraId="164755F6"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Nueva Puerto Montt 220-&gt;Llanquihue 220</w:t>
            </w:r>
          </w:p>
        </w:tc>
        <w:tc>
          <w:tcPr>
            <w:tcW w:w="2080" w:type="dxa"/>
            <w:tcBorders>
              <w:top w:val="nil"/>
              <w:left w:val="nil"/>
              <w:bottom w:val="single" w:sz="4" w:space="0" w:color="auto"/>
              <w:right w:val="single" w:sz="4" w:space="0" w:color="auto"/>
            </w:tcBorders>
            <w:shd w:val="clear" w:color="auto" w:fill="auto"/>
            <w:noWrap/>
            <w:vAlign w:val="bottom"/>
            <w:hideMark/>
          </w:tcPr>
          <w:p w14:paraId="49B98DB7"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27.039,14</w:t>
            </w:r>
          </w:p>
        </w:tc>
      </w:tr>
      <w:tr w:rsidR="00F501EB" w:rsidRPr="00A81CB8" w14:paraId="29549D10"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07F546CC"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Pr>
                <w:rFonts w:cs="Calibri"/>
                <w:color w:val="000000"/>
                <w:sz w:val="20"/>
                <w:szCs w:val="20"/>
              </w:rPr>
              <w:t>N_101</w:t>
            </w:r>
          </w:p>
        </w:tc>
        <w:tc>
          <w:tcPr>
            <w:tcW w:w="4441" w:type="dxa"/>
            <w:tcBorders>
              <w:top w:val="nil"/>
              <w:left w:val="nil"/>
              <w:bottom w:val="single" w:sz="4" w:space="0" w:color="auto"/>
              <w:right w:val="single" w:sz="4" w:space="0" w:color="auto"/>
            </w:tcBorders>
            <w:shd w:val="clear" w:color="auto" w:fill="auto"/>
            <w:noWrap/>
            <w:vAlign w:val="bottom"/>
            <w:hideMark/>
          </w:tcPr>
          <w:p w14:paraId="67A9C052"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Nueva Puerto Montt 220-&gt;Puerto Montt 220</w:t>
            </w:r>
          </w:p>
        </w:tc>
        <w:tc>
          <w:tcPr>
            <w:tcW w:w="2080" w:type="dxa"/>
            <w:tcBorders>
              <w:top w:val="nil"/>
              <w:left w:val="nil"/>
              <w:bottom w:val="single" w:sz="4" w:space="0" w:color="auto"/>
              <w:right w:val="single" w:sz="4" w:space="0" w:color="auto"/>
            </w:tcBorders>
            <w:shd w:val="clear" w:color="auto" w:fill="auto"/>
            <w:noWrap/>
            <w:vAlign w:val="bottom"/>
            <w:hideMark/>
          </w:tcPr>
          <w:p w14:paraId="7643FD2D"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4.625.148,61</w:t>
            </w:r>
          </w:p>
        </w:tc>
      </w:tr>
      <w:tr w:rsidR="00F501EB" w:rsidRPr="00A81CB8" w14:paraId="41515C5B"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2E1A3014"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Pr>
                <w:rFonts w:cs="Calibri"/>
                <w:color w:val="000000"/>
                <w:sz w:val="20"/>
                <w:szCs w:val="20"/>
              </w:rPr>
              <w:t>N_102</w:t>
            </w:r>
          </w:p>
        </w:tc>
        <w:tc>
          <w:tcPr>
            <w:tcW w:w="4441" w:type="dxa"/>
            <w:tcBorders>
              <w:top w:val="nil"/>
              <w:left w:val="nil"/>
              <w:bottom w:val="single" w:sz="4" w:space="0" w:color="auto"/>
              <w:right w:val="single" w:sz="4" w:space="0" w:color="auto"/>
            </w:tcBorders>
            <w:shd w:val="clear" w:color="auto" w:fill="auto"/>
            <w:noWrap/>
            <w:vAlign w:val="bottom"/>
            <w:hideMark/>
          </w:tcPr>
          <w:p w14:paraId="3DB32AC2"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O Higgins 220-&gt;Atacama 220</w:t>
            </w:r>
          </w:p>
        </w:tc>
        <w:tc>
          <w:tcPr>
            <w:tcW w:w="2080" w:type="dxa"/>
            <w:tcBorders>
              <w:top w:val="nil"/>
              <w:left w:val="nil"/>
              <w:bottom w:val="single" w:sz="4" w:space="0" w:color="auto"/>
              <w:right w:val="single" w:sz="4" w:space="0" w:color="auto"/>
            </w:tcBorders>
            <w:shd w:val="clear" w:color="auto" w:fill="auto"/>
            <w:noWrap/>
            <w:vAlign w:val="bottom"/>
            <w:hideMark/>
          </w:tcPr>
          <w:p w14:paraId="1D7C36DC"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651.853,79</w:t>
            </w:r>
          </w:p>
        </w:tc>
      </w:tr>
      <w:tr w:rsidR="00F501EB" w:rsidRPr="00A81CB8" w14:paraId="24EE1D54"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6950DF01"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Pr>
                <w:rFonts w:cs="Calibri"/>
                <w:color w:val="000000"/>
                <w:sz w:val="20"/>
                <w:szCs w:val="20"/>
              </w:rPr>
              <w:t>N_103</w:t>
            </w:r>
          </w:p>
        </w:tc>
        <w:tc>
          <w:tcPr>
            <w:tcW w:w="4441" w:type="dxa"/>
            <w:tcBorders>
              <w:top w:val="nil"/>
              <w:left w:val="nil"/>
              <w:bottom w:val="single" w:sz="4" w:space="0" w:color="auto"/>
              <w:right w:val="single" w:sz="4" w:space="0" w:color="auto"/>
            </w:tcBorders>
            <w:shd w:val="clear" w:color="auto" w:fill="auto"/>
            <w:noWrap/>
            <w:vAlign w:val="bottom"/>
            <w:hideMark/>
          </w:tcPr>
          <w:p w14:paraId="5E88224C"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O Higgins 220-&gt;Kapatur 220</w:t>
            </w:r>
          </w:p>
        </w:tc>
        <w:tc>
          <w:tcPr>
            <w:tcW w:w="2080" w:type="dxa"/>
            <w:tcBorders>
              <w:top w:val="nil"/>
              <w:left w:val="nil"/>
              <w:bottom w:val="single" w:sz="4" w:space="0" w:color="auto"/>
              <w:right w:val="single" w:sz="4" w:space="0" w:color="auto"/>
            </w:tcBorders>
            <w:shd w:val="clear" w:color="auto" w:fill="auto"/>
            <w:noWrap/>
            <w:vAlign w:val="bottom"/>
            <w:hideMark/>
          </w:tcPr>
          <w:p w14:paraId="27989DE5"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26.917.793,38</w:t>
            </w:r>
          </w:p>
        </w:tc>
      </w:tr>
      <w:tr w:rsidR="00F501EB" w:rsidRPr="00A81CB8" w14:paraId="0A5D186D"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5DE7EFC3"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Pr>
                <w:rFonts w:cs="Calibri"/>
                <w:color w:val="000000"/>
                <w:sz w:val="20"/>
                <w:szCs w:val="20"/>
              </w:rPr>
              <w:t>N_104</w:t>
            </w:r>
          </w:p>
        </w:tc>
        <w:tc>
          <w:tcPr>
            <w:tcW w:w="4441" w:type="dxa"/>
            <w:tcBorders>
              <w:top w:val="nil"/>
              <w:left w:val="nil"/>
              <w:bottom w:val="single" w:sz="4" w:space="0" w:color="auto"/>
              <w:right w:val="single" w:sz="4" w:space="0" w:color="auto"/>
            </w:tcBorders>
            <w:shd w:val="clear" w:color="auto" w:fill="auto"/>
            <w:noWrap/>
            <w:vAlign w:val="bottom"/>
            <w:hideMark/>
          </w:tcPr>
          <w:p w14:paraId="25E5FA49"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Pan de Azucar 220-&gt;Don Goyo 220</w:t>
            </w:r>
          </w:p>
        </w:tc>
        <w:tc>
          <w:tcPr>
            <w:tcW w:w="2080" w:type="dxa"/>
            <w:tcBorders>
              <w:top w:val="nil"/>
              <w:left w:val="nil"/>
              <w:bottom w:val="single" w:sz="4" w:space="0" w:color="auto"/>
              <w:right w:val="single" w:sz="4" w:space="0" w:color="auto"/>
            </w:tcBorders>
            <w:shd w:val="clear" w:color="auto" w:fill="auto"/>
            <w:noWrap/>
            <w:vAlign w:val="bottom"/>
            <w:hideMark/>
          </w:tcPr>
          <w:p w14:paraId="02BF9252"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16.618.175,71</w:t>
            </w:r>
          </w:p>
        </w:tc>
      </w:tr>
      <w:tr w:rsidR="00F501EB" w:rsidRPr="00A81CB8" w14:paraId="0D3CCBE6"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307ECFC3"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Pr>
                <w:rFonts w:cs="Calibri"/>
                <w:color w:val="000000"/>
                <w:sz w:val="20"/>
                <w:szCs w:val="20"/>
              </w:rPr>
              <w:t>N_105</w:t>
            </w:r>
          </w:p>
        </w:tc>
        <w:tc>
          <w:tcPr>
            <w:tcW w:w="4441" w:type="dxa"/>
            <w:tcBorders>
              <w:top w:val="nil"/>
              <w:left w:val="nil"/>
              <w:bottom w:val="single" w:sz="4" w:space="0" w:color="auto"/>
              <w:right w:val="single" w:sz="4" w:space="0" w:color="auto"/>
            </w:tcBorders>
            <w:shd w:val="clear" w:color="auto" w:fill="auto"/>
            <w:noWrap/>
            <w:vAlign w:val="bottom"/>
            <w:hideMark/>
          </w:tcPr>
          <w:p w14:paraId="0BF54539"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Pan de Azucar 220-&gt;Punta Colorada 220</w:t>
            </w:r>
          </w:p>
        </w:tc>
        <w:tc>
          <w:tcPr>
            <w:tcW w:w="2080" w:type="dxa"/>
            <w:tcBorders>
              <w:top w:val="nil"/>
              <w:left w:val="nil"/>
              <w:bottom w:val="single" w:sz="4" w:space="0" w:color="auto"/>
              <w:right w:val="single" w:sz="4" w:space="0" w:color="auto"/>
            </w:tcBorders>
            <w:shd w:val="clear" w:color="auto" w:fill="auto"/>
            <w:noWrap/>
            <w:vAlign w:val="bottom"/>
            <w:hideMark/>
          </w:tcPr>
          <w:p w14:paraId="5B6D5AAF"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21.576.889,93</w:t>
            </w:r>
          </w:p>
        </w:tc>
      </w:tr>
      <w:tr w:rsidR="00F501EB" w:rsidRPr="00A81CB8" w14:paraId="339E0DC2"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7066EA07"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Pr>
                <w:rFonts w:cs="Calibri"/>
                <w:color w:val="000000"/>
                <w:sz w:val="20"/>
                <w:szCs w:val="20"/>
              </w:rPr>
              <w:t>N_106</w:t>
            </w:r>
          </w:p>
        </w:tc>
        <w:tc>
          <w:tcPr>
            <w:tcW w:w="4441" w:type="dxa"/>
            <w:tcBorders>
              <w:top w:val="nil"/>
              <w:left w:val="nil"/>
              <w:bottom w:val="single" w:sz="4" w:space="0" w:color="auto"/>
              <w:right w:val="single" w:sz="4" w:space="0" w:color="auto"/>
            </w:tcBorders>
            <w:shd w:val="clear" w:color="auto" w:fill="auto"/>
            <w:noWrap/>
            <w:vAlign w:val="bottom"/>
            <w:hideMark/>
          </w:tcPr>
          <w:p w14:paraId="372D0694"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Pargua 220-&gt;Nueva Ancud 220</w:t>
            </w:r>
          </w:p>
        </w:tc>
        <w:tc>
          <w:tcPr>
            <w:tcW w:w="2080" w:type="dxa"/>
            <w:tcBorders>
              <w:top w:val="nil"/>
              <w:left w:val="nil"/>
              <w:bottom w:val="single" w:sz="4" w:space="0" w:color="auto"/>
              <w:right w:val="single" w:sz="4" w:space="0" w:color="auto"/>
            </w:tcBorders>
            <w:shd w:val="clear" w:color="auto" w:fill="auto"/>
            <w:noWrap/>
            <w:vAlign w:val="bottom"/>
            <w:hideMark/>
          </w:tcPr>
          <w:p w14:paraId="55623527"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8.541.191,72</w:t>
            </w:r>
          </w:p>
        </w:tc>
      </w:tr>
      <w:tr w:rsidR="00F501EB" w:rsidRPr="00A81CB8" w14:paraId="2099D810"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5182973A"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Pr>
                <w:rFonts w:cs="Calibri"/>
                <w:color w:val="000000"/>
                <w:sz w:val="20"/>
                <w:szCs w:val="20"/>
              </w:rPr>
              <w:t>N_107</w:t>
            </w:r>
          </w:p>
        </w:tc>
        <w:tc>
          <w:tcPr>
            <w:tcW w:w="4441" w:type="dxa"/>
            <w:tcBorders>
              <w:top w:val="nil"/>
              <w:left w:val="nil"/>
              <w:bottom w:val="single" w:sz="4" w:space="0" w:color="auto"/>
              <w:right w:val="single" w:sz="4" w:space="0" w:color="auto"/>
            </w:tcBorders>
            <w:shd w:val="clear" w:color="auto" w:fill="auto"/>
            <w:noWrap/>
            <w:vAlign w:val="bottom"/>
            <w:hideMark/>
          </w:tcPr>
          <w:p w14:paraId="19F07E6A"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Polpaico 220-&gt;Quilapilun 220</w:t>
            </w:r>
          </w:p>
        </w:tc>
        <w:tc>
          <w:tcPr>
            <w:tcW w:w="2080" w:type="dxa"/>
            <w:tcBorders>
              <w:top w:val="nil"/>
              <w:left w:val="nil"/>
              <w:bottom w:val="single" w:sz="4" w:space="0" w:color="auto"/>
              <w:right w:val="single" w:sz="4" w:space="0" w:color="auto"/>
            </w:tcBorders>
            <w:shd w:val="clear" w:color="auto" w:fill="auto"/>
            <w:noWrap/>
            <w:vAlign w:val="bottom"/>
            <w:hideMark/>
          </w:tcPr>
          <w:p w14:paraId="3A2E6307"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7.669.815,14</w:t>
            </w:r>
          </w:p>
        </w:tc>
      </w:tr>
      <w:tr w:rsidR="00F501EB" w:rsidRPr="00A81CB8" w14:paraId="5CA8BE81"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4902B375"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N_108</w:t>
            </w:r>
          </w:p>
        </w:tc>
        <w:tc>
          <w:tcPr>
            <w:tcW w:w="4441" w:type="dxa"/>
            <w:tcBorders>
              <w:top w:val="nil"/>
              <w:left w:val="nil"/>
              <w:bottom w:val="single" w:sz="4" w:space="0" w:color="auto"/>
              <w:right w:val="single" w:sz="4" w:space="0" w:color="auto"/>
            </w:tcBorders>
            <w:shd w:val="clear" w:color="auto" w:fill="auto"/>
            <w:noWrap/>
            <w:vAlign w:val="center"/>
            <w:hideMark/>
          </w:tcPr>
          <w:p w14:paraId="07AB5A96"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Polpaico 220-&gt;Rio Aconcagua 220</w:t>
            </w:r>
          </w:p>
        </w:tc>
        <w:tc>
          <w:tcPr>
            <w:tcW w:w="2080" w:type="dxa"/>
            <w:tcBorders>
              <w:top w:val="nil"/>
              <w:left w:val="nil"/>
              <w:bottom w:val="single" w:sz="4" w:space="0" w:color="auto"/>
              <w:right w:val="single" w:sz="4" w:space="0" w:color="auto"/>
            </w:tcBorders>
            <w:shd w:val="clear" w:color="auto" w:fill="auto"/>
            <w:noWrap/>
            <w:hideMark/>
          </w:tcPr>
          <w:p w14:paraId="53BEE01E"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sidRPr="00C65574">
              <w:rPr>
                <w:rFonts w:eastAsia="Times New Roman" w:cs="Calibri"/>
                <w:color w:val="000000"/>
                <w:sz w:val="20"/>
                <w:szCs w:val="20"/>
                <w:lang w:eastAsia="es-CL"/>
              </w:rPr>
              <w:t xml:space="preserve">  </w:t>
            </w:r>
          </w:p>
        </w:tc>
      </w:tr>
      <w:tr w:rsidR="00F501EB" w:rsidRPr="00A81CB8" w14:paraId="54E7F369"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50A15260"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Pr>
                <w:rFonts w:cs="Calibri"/>
                <w:color w:val="000000"/>
                <w:sz w:val="20"/>
                <w:szCs w:val="20"/>
              </w:rPr>
              <w:t>N_109</w:t>
            </w:r>
          </w:p>
        </w:tc>
        <w:tc>
          <w:tcPr>
            <w:tcW w:w="4441" w:type="dxa"/>
            <w:tcBorders>
              <w:top w:val="nil"/>
              <w:left w:val="nil"/>
              <w:bottom w:val="single" w:sz="4" w:space="0" w:color="auto"/>
              <w:right w:val="single" w:sz="4" w:space="0" w:color="auto"/>
            </w:tcBorders>
            <w:shd w:val="clear" w:color="auto" w:fill="auto"/>
            <w:noWrap/>
            <w:vAlign w:val="bottom"/>
            <w:hideMark/>
          </w:tcPr>
          <w:p w14:paraId="57E1FBD9"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Polpaico 220-&gt;Tap El Manzano 220</w:t>
            </w:r>
          </w:p>
        </w:tc>
        <w:tc>
          <w:tcPr>
            <w:tcW w:w="2080" w:type="dxa"/>
            <w:tcBorders>
              <w:top w:val="nil"/>
              <w:left w:val="nil"/>
              <w:bottom w:val="single" w:sz="4" w:space="0" w:color="auto"/>
              <w:right w:val="single" w:sz="4" w:space="0" w:color="auto"/>
            </w:tcBorders>
            <w:shd w:val="clear" w:color="auto" w:fill="auto"/>
            <w:noWrap/>
            <w:vAlign w:val="bottom"/>
            <w:hideMark/>
          </w:tcPr>
          <w:p w14:paraId="13879EE8"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6.998.601,02</w:t>
            </w:r>
          </w:p>
        </w:tc>
      </w:tr>
      <w:tr w:rsidR="00F501EB" w:rsidRPr="00A81CB8" w14:paraId="00AC89B9"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6171E7C6"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Pr>
                <w:rFonts w:cs="Calibri"/>
                <w:color w:val="000000"/>
                <w:sz w:val="20"/>
                <w:szCs w:val="20"/>
              </w:rPr>
              <w:t>N_110</w:t>
            </w:r>
          </w:p>
        </w:tc>
        <w:tc>
          <w:tcPr>
            <w:tcW w:w="4441" w:type="dxa"/>
            <w:tcBorders>
              <w:top w:val="nil"/>
              <w:left w:val="nil"/>
              <w:bottom w:val="single" w:sz="4" w:space="0" w:color="auto"/>
              <w:right w:val="single" w:sz="4" w:space="0" w:color="auto"/>
            </w:tcBorders>
            <w:shd w:val="clear" w:color="auto" w:fill="auto"/>
            <w:noWrap/>
            <w:vAlign w:val="bottom"/>
            <w:hideMark/>
          </w:tcPr>
          <w:p w14:paraId="69D56E98"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Polpaico 500-&gt;Lo Aguirre 500</w:t>
            </w:r>
          </w:p>
        </w:tc>
        <w:tc>
          <w:tcPr>
            <w:tcW w:w="2080" w:type="dxa"/>
            <w:tcBorders>
              <w:top w:val="nil"/>
              <w:left w:val="nil"/>
              <w:bottom w:val="single" w:sz="4" w:space="0" w:color="auto"/>
              <w:right w:val="single" w:sz="4" w:space="0" w:color="auto"/>
            </w:tcBorders>
            <w:shd w:val="clear" w:color="auto" w:fill="auto"/>
            <w:noWrap/>
            <w:vAlign w:val="bottom"/>
            <w:hideMark/>
          </w:tcPr>
          <w:p w14:paraId="3C00AAFD"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27.103.968,36</w:t>
            </w:r>
          </w:p>
        </w:tc>
      </w:tr>
      <w:tr w:rsidR="00F501EB" w:rsidRPr="00A81CB8" w14:paraId="10050317"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762C4191"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Pr>
                <w:rFonts w:cs="Calibri"/>
                <w:color w:val="000000"/>
                <w:sz w:val="20"/>
                <w:szCs w:val="20"/>
              </w:rPr>
              <w:t>N_111</w:t>
            </w:r>
          </w:p>
        </w:tc>
        <w:tc>
          <w:tcPr>
            <w:tcW w:w="4441" w:type="dxa"/>
            <w:tcBorders>
              <w:top w:val="nil"/>
              <w:left w:val="nil"/>
              <w:bottom w:val="single" w:sz="4" w:space="0" w:color="auto"/>
              <w:right w:val="single" w:sz="4" w:space="0" w:color="auto"/>
            </w:tcBorders>
            <w:shd w:val="clear" w:color="auto" w:fill="auto"/>
            <w:noWrap/>
            <w:vAlign w:val="bottom"/>
            <w:hideMark/>
          </w:tcPr>
          <w:p w14:paraId="1ADC3CD5"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Polpaico 500-&gt;Polpaico 220</w:t>
            </w:r>
          </w:p>
        </w:tc>
        <w:tc>
          <w:tcPr>
            <w:tcW w:w="2080" w:type="dxa"/>
            <w:tcBorders>
              <w:top w:val="nil"/>
              <w:left w:val="nil"/>
              <w:bottom w:val="single" w:sz="4" w:space="0" w:color="auto"/>
              <w:right w:val="single" w:sz="4" w:space="0" w:color="auto"/>
            </w:tcBorders>
            <w:shd w:val="clear" w:color="auto" w:fill="auto"/>
            <w:noWrap/>
            <w:vAlign w:val="bottom"/>
            <w:hideMark/>
          </w:tcPr>
          <w:p w14:paraId="0E167EA4"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15.311.980,02</w:t>
            </w:r>
          </w:p>
        </w:tc>
      </w:tr>
      <w:tr w:rsidR="00F501EB" w:rsidRPr="00A81CB8" w14:paraId="43E4B50D"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2B5454F6"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Pr>
                <w:rFonts w:cs="Calibri"/>
                <w:color w:val="000000"/>
                <w:sz w:val="20"/>
                <w:szCs w:val="20"/>
              </w:rPr>
              <w:t>N_112</w:t>
            </w:r>
          </w:p>
        </w:tc>
        <w:tc>
          <w:tcPr>
            <w:tcW w:w="4441" w:type="dxa"/>
            <w:tcBorders>
              <w:top w:val="nil"/>
              <w:left w:val="nil"/>
              <w:bottom w:val="single" w:sz="4" w:space="0" w:color="auto"/>
              <w:right w:val="single" w:sz="4" w:space="0" w:color="auto"/>
            </w:tcBorders>
            <w:shd w:val="clear" w:color="auto" w:fill="auto"/>
            <w:noWrap/>
            <w:vAlign w:val="bottom"/>
            <w:hideMark/>
          </w:tcPr>
          <w:p w14:paraId="5D4C1F68"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Pozo Almonte 220-&gt;Nueva Pozo Almonte 220</w:t>
            </w:r>
          </w:p>
        </w:tc>
        <w:tc>
          <w:tcPr>
            <w:tcW w:w="2080" w:type="dxa"/>
            <w:tcBorders>
              <w:top w:val="nil"/>
              <w:left w:val="nil"/>
              <w:bottom w:val="single" w:sz="4" w:space="0" w:color="auto"/>
              <w:right w:val="single" w:sz="4" w:space="0" w:color="auto"/>
            </w:tcBorders>
            <w:shd w:val="clear" w:color="auto" w:fill="auto"/>
            <w:noWrap/>
            <w:vAlign w:val="bottom"/>
            <w:hideMark/>
          </w:tcPr>
          <w:p w14:paraId="4C5DC1E8"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5.643.225,15</w:t>
            </w:r>
          </w:p>
        </w:tc>
      </w:tr>
      <w:tr w:rsidR="00F501EB" w:rsidRPr="00A81CB8" w14:paraId="57D6671E"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38029069"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Pr>
                <w:rFonts w:cs="Calibri"/>
                <w:color w:val="000000"/>
                <w:sz w:val="20"/>
                <w:szCs w:val="20"/>
              </w:rPr>
              <w:t>N_113</w:t>
            </w:r>
          </w:p>
        </w:tc>
        <w:tc>
          <w:tcPr>
            <w:tcW w:w="4441" w:type="dxa"/>
            <w:tcBorders>
              <w:top w:val="nil"/>
              <w:left w:val="nil"/>
              <w:bottom w:val="single" w:sz="4" w:space="0" w:color="auto"/>
              <w:right w:val="single" w:sz="4" w:space="0" w:color="auto"/>
            </w:tcBorders>
            <w:shd w:val="clear" w:color="auto" w:fill="auto"/>
            <w:noWrap/>
            <w:vAlign w:val="bottom"/>
            <w:hideMark/>
          </w:tcPr>
          <w:p w14:paraId="556ADA12"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Puente Negro 220-&gt;Colbun 220</w:t>
            </w:r>
          </w:p>
        </w:tc>
        <w:tc>
          <w:tcPr>
            <w:tcW w:w="2080" w:type="dxa"/>
            <w:tcBorders>
              <w:top w:val="nil"/>
              <w:left w:val="nil"/>
              <w:bottom w:val="single" w:sz="4" w:space="0" w:color="auto"/>
              <w:right w:val="single" w:sz="4" w:space="0" w:color="auto"/>
            </w:tcBorders>
            <w:shd w:val="clear" w:color="auto" w:fill="auto"/>
            <w:noWrap/>
            <w:vAlign w:val="bottom"/>
            <w:hideMark/>
          </w:tcPr>
          <w:p w14:paraId="7F3CBAC7"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54.839.932,26</w:t>
            </w:r>
          </w:p>
        </w:tc>
      </w:tr>
      <w:tr w:rsidR="00F501EB" w:rsidRPr="00A81CB8" w14:paraId="3828E54C"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573EC948"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N_114</w:t>
            </w:r>
          </w:p>
        </w:tc>
        <w:tc>
          <w:tcPr>
            <w:tcW w:w="4441" w:type="dxa"/>
            <w:tcBorders>
              <w:top w:val="nil"/>
              <w:left w:val="nil"/>
              <w:bottom w:val="single" w:sz="4" w:space="0" w:color="auto"/>
              <w:right w:val="single" w:sz="4" w:space="0" w:color="auto"/>
            </w:tcBorders>
            <w:shd w:val="clear" w:color="auto" w:fill="auto"/>
            <w:noWrap/>
            <w:vAlign w:val="center"/>
            <w:hideMark/>
          </w:tcPr>
          <w:p w14:paraId="1EBCB1C4"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Puente Negro 220-&gt;Tinguiririca 220</w:t>
            </w:r>
          </w:p>
        </w:tc>
        <w:tc>
          <w:tcPr>
            <w:tcW w:w="2080" w:type="dxa"/>
            <w:tcBorders>
              <w:top w:val="nil"/>
              <w:left w:val="nil"/>
              <w:bottom w:val="single" w:sz="4" w:space="0" w:color="auto"/>
              <w:right w:val="single" w:sz="4" w:space="0" w:color="auto"/>
            </w:tcBorders>
            <w:shd w:val="clear" w:color="auto" w:fill="auto"/>
            <w:noWrap/>
            <w:hideMark/>
          </w:tcPr>
          <w:p w14:paraId="47FC612D"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eastAsia="Times New Roman" w:cs="Calibri"/>
                <w:color w:val="000000"/>
                <w:sz w:val="20"/>
                <w:szCs w:val="20"/>
                <w:lang w:eastAsia="es-CL"/>
              </w:rPr>
              <w:t>-</w:t>
            </w:r>
          </w:p>
        </w:tc>
      </w:tr>
      <w:tr w:rsidR="00F501EB" w:rsidRPr="00A81CB8" w14:paraId="36858B38"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13F1684F"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Pr>
                <w:rFonts w:cs="Calibri"/>
                <w:color w:val="000000"/>
                <w:sz w:val="20"/>
                <w:szCs w:val="20"/>
              </w:rPr>
              <w:t>N_115</w:t>
            </w:r>
          </w:p>
        </w:tc>
        <w:tc>
          <w:tcPr>
            <w:tcW w:w="4441" w:type="dxa"/>
            <w:tcBorders>
              <w:top w:val="nil"/>
              <w:left w:val="nil"/>
              <w:bottom w:val="single" w:sz="4" w:space="0" w:color="auto"/>
              <w:right w:val="single" w:sz="4" w:space="0" w:color="auto"/>
            </w:tcBorders>
            <w:shd w:val="clear" w:color="auto" w:fill="auto"/>
            <w:noWrap/>
            <w:vAlign w:val="bottom"/>
            <w:hideMark/>
          </w:tcPr>
          <w:p w14:paraId="2F3B4E0E"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Puerto Montt 220-&gt;Llanquihue 220</w:t>
            </w:r>
          </w:p>
        </w:tc>
        <w:tc>
          <w:tcPr>
            <w:tcW w:w="2080" w:type="dxa"/>
            <w:tcBorders>
              <w:top w:val="nil"/>
              <w:left w:val="nil"/>
              <w:bottom w:val="single" w:sz="4" w:space="0" w:color="auto"/>
              <w:right w:val="single" w:sz="4" w:space="0" w:color="auto"/>
            </w:tcBorders>
            <w:shd w:val="clear" w:color="auto" w:fill="auto"/>
            <w:noWrap/>
            <w:vAlign w:val="bottom"/>
            <w:hideMark/>
          </w:tcPr>
          <w:p w14:paraId="112E4123"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3.768.524,23</w:t>
            </w:r>
          </w:p>
        </w:tc>
      </w:tr>
      <w:tr w:rsidR="00F501EB" w:rsidRPr="00A81CB8" w14:paraId="174E5626"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3C3AC354"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Pr>
                <w:rFonts w:cs="Calibri"/>
                <w:color w:val="000000"/>
                <w:sz w:val="20"/>
                <w:szCs w:val="20"/>
              </w:rPr>
              <w:t>N_116</w:t>
            </w:r>
          </w:p>
        </w:tc>
        <w:tc>
          <w:tcPr>
            <w:tcW w:w="4441" w:type="dxa"/>
            <w:tcBorders>
              <w:top w:val="nil"/>
              <w:left w:val="nil"/>
              <w:bottom w:val="single" w:sz="4" w:space="0" w:color="auto"/>
              <w:right w:val="single" w:sz="4" w:space="0" w:color="auto"/>
            </w:tcBorders>
            <w:shd w:val="clear" w:color="auto" w:fill="auto"/>
            <w:noWrap/>
            <w:vAlign w:val="bottom"/>
            <w:hideMark/>
          </w:tcPr>
          <w:p w14:paraId="35643B24"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Punta Sierra 220-&gt;La Cebada 220</w:t>
            </w:r>
          </w:p>
        </w:tc>
        <w:tc>
          <w:tcPr>
            <w:tcW w:w="2080" w:type="dxa"/>
            <w:tcBorders>
              <w:top w:val="nil"/>
              <w:left w:val="nil"/>
              <w:bottom w:val="single" w:sz="4" w:space="0" w:color="auto"/>
              <w:right w:val="single" w:sz="4" w:space="0" w:color="auto"/>
            </w:tcBorders>
            <w:shd w:val="clear" w:color="auto" w:fill="auto"/>
            <w:noWrap/>
            <w:vAlign w:val="bottom"/>
            <w:hideMark/>
          </w:tcPr>
          <w:p w14:paraId="613DB4CF"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3.394.193,91</w:t>
            </w:r>
          </w:p>
        </w:tc>
      </w:tr>
      <w:tr w:rsidR="00F501EB" w:rsidRPr="00A81CB8" w14:paraId="14A89709"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334BA754"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Pr>
                <w:rFonts w:cs="Calibri"/>
                <w:color w:val="000000"/>
                <w:sz w:val="20"/>
                <w:szCs w:val="20"/>
              </w:rPr>
              <w:t>N_117</w:t>
            </w:r>
          </w:p>
        </w:tc>
        <w:tc>
          <w:tcPr>
            <w:tcW w:w="4441" w:type="dxa"/>
            <w:tcBorders>
              <w:top w:val="nil"/>
              <w:left w:val="nil"/>
              <w:bottom w:val="single" w:sz="4" w:space="0" w:color="auto"/>
              <w:right w:val="single" w:sz="4" w:space="0" w:color="auto"/>
            </w:tcBorders>
            <w:shd w:val="clear" w:color="auto" w:fill="auto"/>
            <w:noWrap/>
            <w:vAlign w:val="bottom"/>
            <w:hideMark/>
          </w:tcPr>
          <w:p w14:paraId="785F0BD7"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Punta Sierra 220-&gt;Las Palmas 220</w:t>
            </w:r>
          </w:p>
        </w:tc>
        <w:tc>
          <w:tcPr>
            <w:tcW w:w="2080" w:type="dxa"/>
            <w:tcBorders>
              <w:top w:val="nil"/>
              <w:left w:val="nil"/>
              <w:bottom w:val="single" w:sz="4" w:space="0" w:color="auto"/>
              <w:right w:val="single" w:sz="4" w:space="0" w:color="auto"/>
            </w:tcBorders>
            <w:shd w:val="clear" w:color="auto" w:fill="auto"/>
            <w:noWrap/>
            <w:vAlign w:val="bottom"/>
            <w:hideMark/>
          </w:tcPr>
          <w:p w14:paraId="71563E80"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5.545.835,32</w:t>
            </w:r>
          </w:p>
        </w:tc>
      </w:tr>
      <w:tr w:rsidR="00F501EB" w:rsidRPr="00A81CB8" w14:paraId="71C36BBB"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22B6E25A"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Pr>
                <w:rFonts w:cs="Calibri"/>
                <w:color w:val="000000"/>
                <w:sz w:val="20"/>
                <w:szCs w:val="20"/>
              </w:rPr>
              <w:t>N_118</w:t>
            </w:r>
          </w:p>
        </w:tc>
        <w:tc>
          <w:tcPr>
            <w:tcW w:w="4441" w:type="dxa"/>
            <w:tcBorders>
              <w:top w:val="nil"/>
              <w:left w:val="nil"/>
              <w:bottom w:val="single" w:sz="4" w:space="0" w:color="auto"/>
              <w:right w:val="single" w:sz="4" w:space="0" w:color="auto"/>
            </w:tcBorders>
            <w:shd w:val="clear" w:color="auto" w:fill="auto"/>
            <w:noWrap/>
            <w:vAlign w:val="bottom"/>
            <w:hideMark/>
          </w:tcPr>
          <w:p w14:paraId="5D16655E"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Quillota 220-&gt;Polpaico 220</w:t>
            </w:r>
          </w:p>
        </w:tc>
        <w:tc>
          <w:tcPr>
            <w:tcW w:w="2080" w:type="dxa"/>
            <w:tcBorders>
              <w:top w:val="nil"/>
              <w:left w:val="nil"/>
              <w:bottom w:val="single" w:sz="4" w:space="0" w:color="auto"/>
              <w:right w:val="single" w:sz="4" w:space="0" w:color="auto"/>
            </w:tcBorders>
            <w:shd w:val="clear" w:color="auto" w:fill="auto"/>
            <w:noWrap/>
            <w:vAlign w:val="bottom"/>
            <w:hideMark/>
          </w:tcPr>
          <w:p w14:paraId="3F3BBCB6"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33.988.799,15</w:t>
            </w:r>
          </w:p>
        </w:tc>
      </w:tr>
      <w:tr w:rsidR="00F501EB" w:rsidRPr="00A81CB8" w14:paraId="6CD5C872"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7108C810"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Pr>
                <w:rFonts w:cs="Calibri"/>
                <w:color w:val="000000"/>
                <w:sz w:val="20"/>
                <w:szCs w:val="20"/>
              </w:rPr>
              <w:t>N_119</w:t>
            </w:r>
          </w:p>
        </w:tc>
        <w:tc>
          <w:tcPr>
            <w:tcW w:w="4441" w:type="dxa"/>
            <w:tcBorders>
              <w:top w:val="nil"/>
              <w:left w:val="nil"/>
              <w:bottom w:val="single" w:sz="4" w:space="0" w:color="auto"/>
              <w:right w:val="single" w:sz="4" w:space="0" w:color="auto"/>
            </w:tcBorders>
            <w:shd w:val="clear" w:color="auto" w:fill="auto"/>
            <w:noWrap/>
            <w:vAlign w:val="bottom"/>
            <w:hideMark/>
          </w:tcPr>
          <w:p w14:paraId="78EFF3A3"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Quillota 220-&gt;San Luis 220</w:t>
            </w:r>
          </w:p>
        </w:tc>
        <w:tc>
          <w:tcPr>
            <w:tcW w:w="2080" w:type="dxa"/>
            <w:tcBorders>
              <w:top w:val="nil"/>
              <w:left w:val="nil"/>
              <w:bottom w:val="single" w:sz="4" w:space="0" w:color="auto"/>
              <w:right w:val="single" w:sz="4" w:space="0" w:color="auto"/>
            </w:tcBorders>
            <w:shd w:val="clear" w:color="auto" w:fill="auto"/>
            <w:noWrap/>
            <w:vAlign w:val="bottom"/>
            <w:hideMark/>
          </w:tcPr>
          <w:p w14:paraId="2862AEB9"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5.698.879,43</w:t>
            </w:r>
          </w:p>
        </w:tc>
      </w:tr>
      <w:tr w:rsidR="00F501EB" w:rsidRPr="00A81CB8" w14:paraId="113A8A8C"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6077A410"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Pr>
                <w:rFonts w:cs="Calibri"/>
                <w:color w:val="000000"/>
                <w:sz w:val="20"/>
                <w:szCs w:val="20"/>
              </w:rPr>
              <w:t>N_120</w:t>
            </w:r>
          </w:p>
        </w:tc>
        <w:tc>
          <w:tcPr>
            <w:tcW w:w="4441" w:type="dxa"/>
            <w:tcBorders>
              <w:top w:val="nil"/>
              <w:left w:val="nil"/>
              <w:bottom w:val="single" w:sz="4" w:space="0" w:color="auto"/>
              <w:right w:val="single" w:sz="4" w:space="0" w:color="auto"/>
            </w:tcBorders>
            <w:shd w:val="clear" w:color="auto" w:fill="auto"/>
            <w:noWrap/>
            <w:vAlign w:val="bottom"/>
            <w:hideMark/>
          </w:tcPr>
          <w:p w14:paraId="68DDF42B"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Rahue 220-&gt;Frutillar Norte 220</w:t>
            </w:r>
          </w:p>
        </w:tc>
        <w:tc>
          <w:tcPr>
            <w:tcW w:w="2080" w:type="dxa"/>
            <w:tcBorders>
              <w:top w:val="nil"/>
              <w:left w:val="nil"/>
              <w:bottom w:val="single" w:sz="4" w:space="0" w:color="auto"/>
              <w:right w:val="single" w:sz="4" w:space="0" w:color="auto"/>
            </w:tcBorders>
            <w:shd w:val="clear" w:color="auto" w:fill="auto"/>
            <w:noWrap/>
            <w:vAlign w:val="bottom"/>
            <w:hideMark/>
          </w:tcPr>
          <w:p w14:paraId="25ED0737"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12.011.019,04</w:t>
            </w:r>
          </w:p>
        </w:tc>
      </w:tr>
      <w:tr w:rsidR="00F501EB" w:rsidRPr="00A81CB8" w14:paraId="58652696"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0DE1CDDE"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Pr>
                <w:rFonts w:cs="Calibri"/>
                <w:color w:val="000000"/>
                <w:sz w:val="20"/>
                <w:szCs w:val="20"/>
              </w:rPr>
              <w:t>N_121</w:t>
            </w:r>
          </w:p>
        </w:tc>
        <w:tc>
          <w:tcPr>
            <w:tcW w:w="4441" w:type="dxa"/>
            <w:tcBorders>
              <w:top w:val="nil"/>
              <w:left w:val="nil"/>
              <w:bottom w:val="single" w:sz="4" w:space="0" w:color="auto"/>
              <w:right w:val="single" w:sz="4" w:space="0" w:color="auto"/>
            </w:tcBorders>
            <w:shd w:val="clear" w:color="auto" w:fill="auto"/>
            <w:noWrap/>
            <w:vAlign w:val="bottom"/>
            <w:hideMark/>
          </w:tcPr>
          <w:p w14:paraId="2AA3692F"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Rahue 220-&gt;Nueva Pichirropulli 220</w:t>
            </w:r>
          </w:p>
        </w:tc>
        <w:tc>
          <w:tcPr>
            <w:tcW w:w="2080" w:type="dxa"/>
            <w:tcBorders>
              <w:top w:val="nil"/>
              <w:left w:val="nil"/>
              <w:bottom w:val="single" w:sz="4" w:space="0" w:color="auto"/>
              <w:right w:val="single" w:sz="4" w:space="0" w:color="auto"/>
            </w:tcBorders>
            <w:shd w:val="clear" w:color="auto" w:fill="auto"/>
            <w:noWrap/>
            <w:vAlign w:val="bottom"/>
            <w:hideMark/>
          </w:tcPr>
          <w:p w14:paraId="5A06F801"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11.613.294,29</w:t>
            </w:r>
          </w:p>
        </w:tc>
      </w:tr>
      <w:tr w:rsidR="00F501EB" w:rsidRPr="00A81CB8" w14:paraId="70BB83FF"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3B863BBC"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N_122</w:t>
            </w:r>
          </w:p>
        </w:tc>
        <w:tc>
          <w:tcPr>
            <w:tcW w:w="4441" w:type="dxa"/>
            <w:tcBorders>
              <w:top w:val="nil"/>
              <w:left w:val="nil"/>
              <w:bottom w:val="single" w:sz="4" w:space="0" w:color="auto"/>
              <w:right w:val="single" w:sz="4" w:space="0" w:color="auto"/>
            </w:tcBorders>
            <w:shd w:val="clear" w:color="auto" w:fill="auto"/>
            <w:noWrap/>
            <w:vAlign w:val="center"/>
            <w:hideMark/>
          </w:tcPr>
          <w:p w14:paraId="27AE5CB6"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Rio Malleco 220-&gt;Cautín 220</w:t>
            </w:r>
          </w:p>
        </w:tc>
        <w:tc>
          <w:tcPr>
            <w:tcW w:w="2080" w:type="dxa"/>
            <w:tcBorders>
              <w:top w:val="nil"/>
              <w:left w:val="nil"/>
              <w:bottom w:val="single" w:sz="4" w:space="0" w:color="auto"/>
              <w:right w:val="single" w:sz="4" w:space="0" w:color="auto"/>
            </w:tcBorders>
            <w:shd w:val="clear" w:color="auto" w:fill="auto"/>
            <w:noWrap/>
            <w:hideMark/>
          </w:tcPr>
          <w:p w14:paraId="67277B8B"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eastAsia="Times New Roman" w:cs="Calibri"/>
                <w:color w:val="000000"/>
                <w:sz w:val="20"/>
                <w:szCs w:val="20"/>
                <w:lang w:eastAsia="es-CL"/>
              </w:rPr>
              <w:t>-</w:t>
            </w:r>
          </w:p>
        </w:tc>
      </w:tr>
      <w:tr w:rsidR="00F501EB" w:rsidRPr="00A81CB8" w14:paraId="4DCB364F"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64C3BB2E"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Pr>
                <w:rFonts w:cs="Calibri"/>
                <w:color w:val="000000"/>
                <w:sz w:val="20"/>
                <w:szCs w:val="20"/>
              </w:rPr>
              <w:lastRenderedPageBreak/>
              <w:t>N_123</w:t>
            </w:r>
          </w:p>
        </w:tc>
        <w:tc>
          <w:tcPr>
            <w:tcW w:w="4441" w:type="dxa"/>
            <w:tcBorders>
              <w:top w:val="nil"/>
              <w:left w:val="nil"/>
              <w:bottom w:val="single" w:sz="4" w:space="0" w:color="auto"/>
              <w:right w:val="single" w:sz="4" w:space="0" w:color="auto"/>
            </w:tcBorders>
            <w:shd w:val="clear" w:color="auto" w:fill="auto"/>
            <w:noWrap/>
            <w:vAlign w:val="bottom"/>
            <w:hideMark/>
          </w:tcPr>
          <w:p w14:paraId="43F0C2FB"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Rio Tolten 220-&gt;Lastarria 220</w:t>
            </w:r>
          </w:p>
        </w:tc>
        <w:tc>
          <w:tcPr>
            <w:tcW w:w="2080" w:type="dxa"/>
            <w:tcBorders>
              <w:top w:val="nil"/>
              <w:left w:val="nil"/>
              <w:bottom w:val="single" w:sz="4" w:space="0" w:color="auto"/>
              <w:right w:val="single" w:sz="4" w:space="0" w:color="auto"/>
            </w:tcBorders>
            <w:shd w:val="clear" w:color="auto" w:fill="auto"/>
            <w:noWrap/>
            <w:vAlign w:val="bottom"/>
            <w:hideMark/>
          </w:tcPr>
          <w:p w14:paraId="0674E6E9"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9.665.088,27</w:t>
            </w:r>
          </w:p>
        </w:tc>
      </w:tr>
      <w:tr w:rsidR="00F501EB" w:rsidRPr="00A81CB8" w14:paraId="62C63730"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07EF6159"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Pr>
                <w:rFonts w:cs="Calibri"/>
                <w:color w:val="000000"/>
                <w:sz w:val="20"/>
                <w:szCs w:val="20"/>
              </w:rPr>
              <w:t>N_124</w:t>
            </w:r>
          </w:p>
        </w:tc>
        <w:tc>
          <w:tcPr>
            <w:tcW w:w="4441" w:type="dxa"/>
            <w:tcBorders>
              <w:top w:val="nil"/>
              <w:left w:val="nil"/>
              <w:bottom w:val="single" w:sz="4" w:space="0" w:color="auto"/>
              <w:right w:val="single" w:sz="4" w:space="0" w:color="auto"/>
            </w:tcBorders>
            <w:shd w:val="clear" w:color="auto" w:fill="auto"/>
            <w:noWrap/>
            <w:vAlign w:val="bottom"/>
            <w:hideMark/>
          </w:tcPr>
          <w:p w14:paraId="05765559"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Rio Tolten 220-&gt;Metrenco 220</w:t>
            </w:r>
          </w:p>
        </w:tc>
        <w:tc>
          <w:tcPr>
            <w:tcW w:w="2080" w:type="dxa"/>
            <w:tcBorders>
              <w:top w:val="nil"/>
              <w:left w:val="nil"/>
              <w:bottom w:val="single" w:sz="4" w:space="0" w:color="auto"/>
              <w:right w:val="single" w:sz="4" w:space="0" w:color="auto"/>
            </w:tcBorders>
            <w:shd w:val="clear" w:color="auto" w:fill="auto"/>
            <w:noWrap/>
            <w:vAlign w:val="bottom"/>
            <w:hideMark/>
          </w:tcPr>
          <w:p w14:paraId="27B4EBC9"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4.640.584,36</w:t>
            </w:r>
          </w:p>
        </w:tc>
      </w:tr>
      <w:tr w:rsidR="00F501EB" w:rsidRPr="00A81CB8" w14:paraId="512CC06D"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69401CFA"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Pr>
                <w:rFonts w:cs="Calibri"/>
                <w:color w:val="000000"/>
                <w:sz w:val="20"/>
                <w:szCs w:val="20"/>
              </w:rPr>
              <w:t>N_125</w:t>
            </w:r>
          </w:p>
        </w:tc>
        <w:tc>
          <w:tcPr>
            <w:tcW w:w="4441" w:type="dxa"/>
            <w:tcBorders>
              <w:top w:val="nil"/>
              <w:left w:val="nil"/>
              <w:bottom w:val="single" w:sz="4" w:space="0" w:color="auto"/>
              <w:right w:val="single" w:sz="4" w:space="0" w:color="auto"/>
            </w:tcBorders>
            <w:shd w:val="clear" w:color="auto" w:fill="auto"/>
            <w:noWrap/>
            <w:vAlign w:val="bottom"/>
            <w:hideMark/>
          </w:tcPr>
          <w:p w14:paraId="5BA49C47"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S. San Andres 220-&gt;Cardones 220</w:t>
            </w:r>
          </w:p>
        </w:tc>
        <w:tc>
          <w:tcPr>
            <w:tcW w:w="2080" w:type="dxa"/>
            <w:tcBorders>
              <w:top w:val="nil"/>
              <w:left w:val="nil"/>
              <w:bottom w:val="single" w:sz="4" w:space="0" w:color="auto"/>
              <w:right w:val="single" w:sz="4" w:space="0" w:color="auto"/>
            </w:tcBorders>
            <w:shd w:val="clear" w:color="auto" w:fill="auto"/>
            <w:noWrap/>
            <w:vAlign w:val="bottom"/>
            <w:hideMark/>
          </w:tcPr>
          <w:p w14:paraId="550C3A7D"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9.277.358,58</w:t>
            </w:r>
          </w:p>
        </w:tc>
      </w:tr>
      <w:tr w:rsidR="00F501EB" w:rsidRPr="00A81CB8" w14:paraId="182E45EF"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3CDEE878"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Pr>
                <w:rFonts w:cs="Calibri"/>
                <w:color w:val="000000"/>
                <w:sz w:val="20"/>
                <w:szCs w:val="20"/>
              </w:rPr>
              <w:t>N_126</w:t>
            </w:r>
          </w:p>
        </w:tc>
        <w:tc>
          <w:tcPr>
            <w:tcW w:w="4441" w:type="dxa"/>
            <w:tcBorders>
              <w:top w:val="nil"/>
              <w:left w:val="nil"/>
              <w:bottom w:val="single" w:sz="4" w:space="0" w:color="auto"/>
              <w:right w:val="single" w:sz="4" w:space="0" w:color="auto"/>
            </w:tcBorders>
            <w:shd w:val="clear" w:color="auto" w:fill="auto"/>
            <w:noWrap/>
            <w:vAlign w:val="bottom"/>
            <w:hideMark/>
          </w:tcPr>
          <w:p w14:paraId="4E891963"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Salar 220-&gt;Calama Nueva 220</w:t>
            </w:r>
          </w:p>
        </w:tc>
        <w:tc>
          <w:tcPr>
            <w:tcW w:w="2080" w:type="dxa"/>
            <w:tcBorders>
              <w:top w:val="nil"/>
              <w:left w:val="nil"/>
              <w:bottom w:val="single" w:sz="4" w:space="0" w:color="auto"/>
              <w:right w:val="single" w:sz="4" w:space="0" w:color="auto"/>
            </w:tcBorders>
            <w:shd w:val="clear" w:color="auto" w:fill="auto"/>
            <w:noWrap/>
            <w:vAlign w:val="bottom"/>
            <w:hideMark/>
          </w:tcPr>
          <w:p w14:paraId="7C9FC3FA"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5.695.612,28</w:t>
            </w:r>
          </w:p>
        </w:tc>
      </w:tr>
      <w:tr w:rsidR="00F501EB" w:rsidRPr="00A81CB8" w14:paraId="0AB7DFF3"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423D9BE5"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Pr>
                <w:rFonts w:cs="Calibri"/>
                <w:color w:val="000000"/>
                <w:sz w:val="20"/>
                <w:szCs w:val="20"/>
              </w:rPr>
              <w:t>N_127</w:t>
            </w:r>
          </w:p>
        </w:tc>
        <w:tc>
          <w:tcPr>
            <w:tcW w:w="4441" w:type="dxa"/>
            <w:tcBorders>
              <w:top w:val="nil"/>
              <w:left w:val="nil"/>
              <w:bottom w:val="single" w:sz="4" w:space="0" w:color="auto"/>
              <w:right w:val="single" w:sz="4" w:space="0" w:color="auto"/>
            </w:tcBorders>
            <w:shd w:val="clear" w:color="auto" w:fill="auto"/>
            <w:noWrap/>
            <w:vAlign w:val="bottom"/>
            <w:hideMark/>
          </w:tcPr>
          <w:p w14:paraId="50927143"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Salar 220-&gt;Chuquicamata 220</w:t>
            </w:r>
          </w:p>
        </w:tc>
        <w:tc>
          <w:tcPr>
            <w:tcW w:w="2080" w:type="dxa"/>
            <w:tcBorders>
              <w:top w:val="nil"/>
              <w:left w:val="nil"/>
              <w:bottom w:val="single" w:sz="4" w:space="0" w:color="auto"/>
              <w:right w:val="single" w:sz="4" w:space="0" w:color="auto"/>
            </w:tcBorders>
            <w:shd w:val="clear" w:color="auto" w:fill="auto"/>
            <w:noWrap/>
            <w:vAlign w:val="bottom"/>
            <w:hideMark/>
          </w:tcPr>
          <w:p w14:paraId="1D1005B6"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8.102.242,64</w:t>
            </w:r>
          </w:p>
        </w:tc>
      </w:tr>
      <w:tr w:rsidR="00F501EB" w:rsidRPr="00A81CB8" w14:paraId="12F3A0F5"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4B173608"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Pr>
                <w:rFonts w:cs="Calibri"/>
                <w:color w:val="000000"/>
                <w:sz w:val="20"/>
                <w:szCs w:val="20"/>
              </w:rPr>
              <w:t>N_128</w:t>
            </w:r>
          </w:p>
        </w:tc>
        <w:tc>
          <w:tcPr>
            <w:tcW w:w="4441" w:type="dxa"/>
            <w:tcBorders>
              <w:top w:val="nil"/>
              <w:left w:val="nil"/>
              <w:bottom w:val="single" w:sz="4" w:space="0" w:color="auto"/>
              <w:right w:val="single" w:sz="4" w:space="0" w:color="auto"/>
            </w:tcBorders>
            <w:shd w:val="clear" w:color="auto" w:fill="auto"/>
            <w:noWrap/>
            <w:vAlign w:val="bottom"/>
            <w:hideMark/>
          </w:tcPr>
          <w:p w14:paraId="5480B90E"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Salar 220-&gt;Nueva Chuquicamata 220</w:t>
            </w:r>
          </w:p>
        </w:tc>
        <w:tc>
          <w:tcPr>
            <w:tcW w:w="2080" w:type="dxa"/>
            <w:tcBorders>
              <w:top w:val="nil"/>
              <w:left w:val="nil"/>
              <w:bottom w:val="single" w:sz="4" w:space="0" w:color="auto"/>
              <w:right w:val="single" w:sz="4" w:space="0" w:color="auto"/>
            </w:tcBorders>
            <w:shd w:val="clear" w:color="auto" w:fill="auto"/>
            <w:noWrap/>
            <w:vAlign w:val="bottom"/>
            <w:hideMark/>
          </w:tcPr>
          <w:p w14:paraId="69483A5B"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7.156.473,15</w:t>
            </w:r>
          </w:p>
        </w:tc>
      </w:tr>
      <w:tr w:rsidR="00F501EB" w:rsidRPr="00A81CB8" w14:paraId="34D5427A"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2772A010"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Pr>
                <w:rFonts w:cs="Calibri"/>
                <w:color w:val="000000"/>
                <w:sz w:val="20"/>
                <w:szCs w:val="20"/>
              </w:rPr>
              <w:t>N_129</w:t>
            </w:r>
          </w:p>
        </w:tc>
        <w:tc>
          <w:tcPr>
            <w:tcW w:w="4441" w:type="dxa"/>
            <w:tcBorders>
              <w:top w:val="nil"/>
              <w:left w:val="nil"/>
              <w:bottom w:val="single" w:sz="4" w:space="0" w:color="auto"/>
              <w:right w:val="single" w:sz="4" w:space="0" w:color="auto"/>
            </w:tcBorders>
            <w:shd w:val="clear" w:color="auto" w:fill="auto"/>
            <w:noWrap/>
            <w:vAlign w:val="bottom"/>
            <w:hideMark/>
          </w:tcPr>
          <w:p w14:paraId="73733D1B"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San Luis 220-&gt;Agua Santa 220</w:t>
            </w:r>
          </w:p>
        </w:tc>
        <w:tc>
          <w:tcPr>
            <w:tcW w:w="2080" w:type="dxa"/>
            <w:tcBorders>
              <w:top w:val="nil"/>
              <w:left w:val="nil"/>
              <w:bottom w:val="single" w:sz="4" w:space="0" w:color="auto"/>
              <w:right w:val="single" w:sz="4" w:space="0" w:color="auto"/>
            </w:tcBorders>
            <w:shd w:val="clear" w:color="auto" w:fill="auto"/>
            <w:noWrap/>
            <w:vAlign w:val="bottom"/>
            <w:hideMark/>
          </w:tcPr>
          <w:p w14:paraId="26FC36F6"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23.053.085,33</w:t>
            </w:r>
          </w:p>
        </w:tc>
      </w:tr>
      <w:tr w:rsidR="00F501EB" w:rsidRPr="00A81CB8" w14:paraId="57D7BF97"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74640441"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Pr>
                <w:rFonts w:cs="Calibri"/>
                <w:color w:val="000000"/>
                <w:sz w:val="20"/>
                <w:szCs w:val="20"/>
              </w:rPr>
              <w:t>N_130</w:t>
            </w:r>
          </w:p>
        </w:tc>
        <w:tc>
          <w:tcPr>
            <w:tcW w:w="4441" w:type="dxa"/>
            <w:tcBorders>
              <w:top w:val="nil"/>
              <w:left w:val="nil"/>
              <w:bottom w:val="single" w:sz="4" w:space="0" w:color="auto"/>
              <w:right w:val="single" w:sz="4" w:space="0" w:color="auto"/>
            </w:tcBorders>
            <w:shd w:val="clear" w:color="auto" w:fill="auto"/>
            <w:noWrap/>
            <w:vAlign w:val="bottom"/>
            <w:hideMark/>
          </w:tcPr>
          <w:p w14:paraId="3C042BD2"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San Simon 220-&gt;Nueva Victoria 220</w:t>
            </w:r>
          </w:p>
        </w:tc>
        <w:tc>
          <w:tcPr>
            <w:tcW w:w="2080" w:type="dxa"/>
            <w:tcBorders>
              <w:top w:val="nil"/>
              <w:left w:val="nil"/>
              <w:bottom w:val="single" w:sz="4" w:space="0" w:color="auto"/>
              <w:right w:val="single" w:sz="4" w:space="0" w:color="auto"/>
            </w:tcBorders>
            <w:shd w:val="clear" w:color="auto" w:fill="auto"/>
            <w:noWrap/>
            <w:vAlign w:val="bottom"/>
            <w:hideMark/>
          </w:tcPr>
          <w:p w14:paraId="0711FB06"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3.500.967,66</w:t>
            </w:r>
          </w:p>
        </w:tc>
      </w:tr>
      <w:tr w:rsidR="00F501EB" w:rsidRPr="00A81CB8" w14:paraId="3034EC48"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0ADDD65B"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Pr>
                <w:rFonts w:cs="Calibri"/>
                <w:color w:val="000000"/>
                <w:sz w:val="20"/>
                <w:szCs w:val="20"/>
              </w:rPr>
              <w:t>N_131</w:t>
            </w:r>
          </w:p>
        </w:tc>
        <w:tc>
          <w:tcPr>
            <w:tcW w:w="4441" w:type="dxa"/>
            <w:tcBorders>
              <w:top w:val="nil"/>
              <w:left w:val="nil"/>
              <w:bottom w:val="single" w:sz="4" w:space="0" w:color="auto"/>
              <w:right w:val="single" w:sz="4" w:space="0" w:color="auto"/>
            </w:tcBorders>
            <w:shd w:val="clear" w:color="auto" w:fill="auto"/>
            <w:noWrap/>
            <w:vAlign w:val="bottom"/>
            <w:hideMark/>
          </w:tcPr>
          <w:p w14:paraId="7B751402"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San Simon 220-&gt;Quillagua 220</w:t>
            </w:r>
          </w:p>
        </w:tc>
        <w:tc>
          <w:tcPr>
            <w:tcW w:w="2080" w:type="dxa"/>
            <w:tcBorders>
              <w:top w:val="nil"/>
              <w:left w:val="nil"/>
              <w:bottom w:val="single" w:sz="4" w:space="0" w:color="auto"/>
              <w:right w:val="single" w:sz="4" w:space="0" w:color="auto"/>
            </w:tcBorders>
            <w:shd w:val="clear" w:color="auto" w:fill="auto"/>
            <w:noWrap/>
            <w:vAlign w:val="bottom"/>
            <w:hideMark/>
          </w:tcPr>
          <w:p w14:paraId="558D7E58"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11.662.723,08</w:t>
            </w:r>
          </w:p>
        </w:tc>
      </w:tr>
      <w:tr w:rsidR="00F501EB" w:rsidRPr="00A81CB8" w14:paraId="5B30CFDB"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795958B9"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Pr>
                <w:rFonts w:cs="Calibri"/>
                <w:color w:val="000000"/>
                <w:sz w:val="20"/>
                <w:szCs w:val="20"/>
              </w:rPr>
              <w:t>N_132</w:t>
            </w:r>
          </w:p>
        </w:tc>
        <w:tc>
          <w:tcPr>
            <w:tcW w:w="4441" w:type="dxa"/>
            <w:tcBorders>
              <w:top w:val="nil"/>
              <w:left w:val="nil"/>
              <w:bottom w:val="single" w:sz="4" w:space="0" w:color="auto"/>
              <w:right w:val="single" w:sz="4" w:space="0" w:color="auto"/>
            </w:tcBorders>
            <w:shd w:val="clear" w:color="auto" w:fill="auto"/>
            <w:noWrap/>
            <w:vAlign w:val="bottom"/>
            <w:hideMark/>
          </w:tcPr>
          <w:p w14:paraId="73ADB7DA"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Tap El Manzano 220-&gt;Tap Chicureo 220</w:t>
            </w:r>
          </w:p>
        </w:tc>
        <w:tc>
          <w:tcPr>
            <w:tcW w:w="2080" w:type="dxa"/>
            <w:tcBorders>
              <w:top w:val="nil"/>
              <w:left w:val="nil"/>
              <w:bottom w:val="single" w:sz="4" w:space="0" w:color="auto"/>
              <w:right w:val="single" w:sz="4" w:space="0" w:color="auto"/>
            </w:tcBorders>
            <w:shd w:val="clear" w:color="auto" w:fill="auto"/>
            <w:noWrap/>
            <w:vAlign w:val="bottom"/>
            <w:hideMark/>
          </w:tcPr>
          <w:p w14:paraId="6A730FC4"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20.692.755,68</w:t>
            </w:r>
          </w:p>
        </w:tc>
      </w:tr>
      <w:tr w:rsidR="00F501EB" w:rsidRPr="00A81CB8" w14:paraId="177E32EF"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7AA2F5D9"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Pr>
                <w:rFonts w:cs="Calibri"/>
                <w:color w:val="000000"/>
                <w:sz w:val="20"/>
                <w:szCs w:val="20"/>
              </w:rPr>
              <w:t>N_133</w:t>
            </w:r>
          </w:p>
        </w:tc>
        <w:tc>
          <w:tcPr>
            <w:tcW w:w="4441" w:type="dxa"/>
            <w:tcBorders>
              <w:top w:val="nil"/>
              <w:left w:val="nil"/>
              <w:bottom w:val="single" w:sz="4" w:space="0" w:color="auto"/>
              <w:right w:val="single" w:sz="4" w:space="0" w:color="auto"/>
            </w:tcBorders>
            <w:shd w:val="clear" w:color="auto" w:fill="auto"/>
            <w:noWrap/>
            <w:vAlign w:val="bottom"/>
            <w:hideMark/>
          </w:tcPr>
          <w:p w14:paraId="58BE783F"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Tap El Romero 220-&gt;Don Hector 220</w:t>
            </w:r>
          </w:p>
        </w:tc>
        <w:tc>
          <w:tcPr>
            <w:tcW w:w="2080" w:type="dxa"/>
            <w:tcBorders>
              <w:top w:val="nil"/>
              <w:left w:val="nil"/>
              <w:bottom w:val="single" w:sz="4" w:space="0" w:color="auto"/>
              <w:right w:val="single" w:sz="4" w:space="0" w:color="auto"/>
            </w:tcBorders>
            <w:shd w:val="clear" w:color="auto" w:fill="auto"/>
            <w:noWrap/>
            <w:vAlign w:val="bottom"/>
            <w:hideMark/>
          </w:tcPr>
          <w:p w14:paraId="1E17F0D1"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1.046.488,93</w:t>
            </w:r>
          </w:p>
        </w:tc>
      </w:tr>
      <w:tr w:rsidR="00F501EB" w:rsidRPr="00A81CB8" w14:paraId="437E959C"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5F74A65B"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Pr>
                <w:rFonts w:cs="Calibri"/>
                <w:color w:val="000000"/>
                <w:sz w:val="20"/>
                <w:szCs w:val="20"/>
              </w:rPr>
              <w:t>N_134</w:t>
            </w:r>
          </w:p>
        </w:tc>
        <w:tc>
          <w:tcPr>
            <w:tcW w:w="4441" w:type="dxa"/>
            <w:tcBorders>
              <w:top w:val="nil"/>
              <w:left w:val="nil"/>
              <w:bottom w:val="single" w:sz="4" w:space="0" w:color="auto"/>
              <w:right w:val="single" w:sz="4" w:space="0" w:color="auto"/>
            </w:tcBorders>
            <w:shd w:val="clear" w:color="auto" w:fill="auto"/>
            <w:noWrap/>
            <w:vAlign w:val="bottom"/>
            <w:hideMark/>
          </w:tcPr>
          <w:p w14:paraId="191EDF5B" w14:textId="77777777" w:rsidR="00F501EB" w:rsidRPr="00A81CB8" w:rsidRDefault="00F501EB" w:rsidP="006B5A62">
            <w:pPr>
              <w:spacing w:before="20" w:after="20" w:line="240" w:lineRule="auto"/>
              <w:jc w:val="left"/>
              <w:rPr>
                <w:rFonts w:eastAsia="Times New Roman" w:cs="Calibri"/>
                <w:color w:val="000000"/>
                <w:sz w:val="20"/>
                <w:szCs w:val="20"/>
                <w:lang w:val="en-US" w:eastAsia="es-CL"/>
              </w:rPr>
            </w:pPr>
            <w:r w:rsidRPr="003D2D23">
              <w:rPr>
                <w:rFonts w:cs="Calibri"/>
                <w:color w:val="000000"/>
                <w:sz w:val="20"/>
                <w:szCs w:val="20"/>
                <w:lang w:val="en-US"/>
              </w:rPr>
              <w:t>Tap Off Santa Isabel 220-&gt;Itahue 220</w:t>
            </w:r>
          </w:p>
        </w:tc>
        <w:tc>
          <w:tcPr>
            <w:tcW w:w="2080" w:type="dxa"/>
            <w:tcBorders>
              <w:top w:val="nil"/>
              <w:left w:val="nil"/>
              <w:bottom w:val="single" w:sz="4" w:space="0" w:color="auto"/>
              <w:right w:val="single" w:sz="4" w:space="0" w:color="auto"/>
            </w:tcBorders>
            <w:shd w:val="clear" w:color="auto" w:fill="auto"/>
            <w:noWrap/>
            <w:vAlign w:val="bottom"/>
            <w:hideMark/>
          </w:tcPr>
          <w:p w14:paraId="506B67EB"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7.218.331,78</w:t>
            </w:r>
          </w:p>
        </w:tc>
      </w:tr>
      <w:tr w:rsidR="00F501EB" w:rsidRPr="00A81CB8" w14:paraId="174EA2F3"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center"/>
            <w:hideMark/>
          </w:tcPr>
          <w:p w14:paraId="6A3E6972"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sidRPr="00A81CB8">
              <w:rPr>
                <w:rFonts w:eastAsia="Times New Roman" w:cs="Calibri"/>
                <w:color w:val="000000"/>
                <w:sz w:val="20"/>
                <w:szCs w:val="20"/>
                <w:lang w:eastAsia="es-CL"/>
              </w:rPr>
              <w:t>N_135</w:t>
            </w:r>
          </w:p>
        </w:tc>
        <w:tc>
          <w:tcPr>
            <w:tcW w:w="4441" w:type="dxa"/>
            <w:tcBorders>
              <w:top w:val="nil"/>
              <w:left w:val="nil"/>
              <w:bottom w:val="single" w:sz="4" w:space="0" w:color="auto"/>
              <w:right w:val="single" w:sz="4" w:space="0" w:color="auto"/>
            </w:tcBorders>
            <w:shd w:val="clear" w:color="auto" w:fill="auto"/>
            <w:noWrap/>
            <w:vAlign w:val="center"/>
            <w:hideMark/>
          </w:tcPr>
          <w:p w14:paraId="77602A34"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sidRPr="00A81CB8">
              <w:rPr>
                <w:rFonts w:eastAsia="Times New Roman" w:cs="Calibri"/>
                <w:color w:val="000000"/>
                <w:sz w:val="20"/>
                <w:szCs w:val="20"/>
                <w:lang w:eastAsia="es-CL"/>
              </w:rPr>
              <w:t>Tap off Sierra Gorda Eólico 220-&gt;Centinela 220</w:t>
            </w:r>
          </w:p>
        </w:tc>
        <w:tc>
          <w:tcPr>
            <w:tcW w:w="2080" w:type="dxa"/>
            <w:tcBorders>
              <w:top w:val="nil"/>
              <w:left w:val="nil"/>
              <w:bottom w:val="single" w:sz="4" w:space="0" w:color="auto"/>
              <w:right w:val="single" w:sz="4" w:space="0" w:color="auto"/>
            </w:tcBorders>
            <w:shd w:val="clear" w:color="auto" w:fill="auto"/>
            <w:noWrap/>
            <w:hideMark/>
          </w:tcPr>
          <w:p w14:paraId="3F400D65"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eastAsia="Times New Roman" w:cs="Calibri"/>
                <w:color w:val="000000"/>
                <w:sz w:val="20"/>
                <w:szCs w:val="20"/>
                <w:lang w:eastAsia="es-CL"/>
              </w:rPr>
              <w:t>-</w:t>
            </w:r>
          </w:p>
        </w:tc>
      </w:tr>
      <w:tr w:rsidR="00F501EB" w:rsidRPr="00A81CB8" w14:paraId="1BCF9739"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3ECE1427"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Pr>
                <w:rFonts w:cs="Calibri"/>
                <w:color w:val="000000"/>
                <w:sz w:val="20"/>
                <w:szCs w:val="20"/>
              </w:rPr>
              <w:t>N_136</w:t>
            </w:r>
          </w:p>
        </w:tc>
        <w:tc>
          <w:tcPr>
            <w:tcW w:w="4441" w:type="dxa"/>
            <w:tcBorders>
              <w:top w:val="nil"/>
              <w:left w:val="nil"/>
              <w:bottom w:val="single" w:sz="4" w:space="0" w:color="auto"/>
              <w:right w:val="single" w:sz="4" w:space="0" w:color="auto"/>
            </w:tcBorders>
            <w:shd w:val="clear" w:color="auto" w:fill="auto"/>
            <w:noWrap/>
            <w:vAlign w:val="bottom"/>
            <w:hideMark/>
          </w:tcPr>
          <w:p w14:paraId="02E7E7C6"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Tarapaca 220-&gt;Condores 220</w:t>
            </w:r>
          </w:p>
        </w:tc>
        <w:tc>
          <w:tcPr>
            <w:tcW w:w="2080" w:type="dxa"/>
            <w:tcBorders>
              <w:top w:val="nil"/>
              <w:left w:val="nil"/>
              <w:bottom w:val="single" w:sz="4" w:space="0" w:color="auto"/>
              <w:right w:val="single" w:sz="4" w:space="0" w:color="auto"/>
            </w:tcBorders>
            <w:shd w:val="clear" w:color="auto" w:fill="auto"/>
            <w:noWrap/>
            <w:vAlign w:val="bottom"/>
            <w:hideMark/>
          </w:tcPr>
          <w:p w14:paraId="15B354F9"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13.027.681,12</w:t>
            </w:r>
          </w:p>
        </w:tc>
      </w:tr>
      <w:tr w:rsidR="00F501EB" w:rsidRPr="00A81CB8" w14:paraId="6E833F57"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05E92A1F"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Pr>
                <w:rFonts w:cs="Calibri"/>
                <w:color w:val="000000"/>
                <w:sz w:val="20"/>
                <w:szCs w:val="20"/>
              </w:rPr>
              <w:t>N_137</w:t>
            </w:r>
          </w:p>
        </w:tc>
        <w:tc>
          <w:tcPr>
            <w:tcW w:w="4441" w:type="dxa"/>
            <w:tcBorders>
              <w:top w:val="nil"/>
              <w:left w:val="nil"/>
              <w:bottom w:val="single" w:sz="4" w:space="0" w:color="auto"/>
              <w:right w:val="single" w:sz="4" w:space="0" w:color="auto"/>
            </w:tcBorders>
            <w:shd w:val="clear" w:color="auto" w:fill="auto"/>
            <w:noWrap/>
            <w:vAlign w:val="bottom"/>
            <w:hideMark/>
          </w:tcPr>
          <w:p w14:paraId="5D019484"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Tarapaca 220-&gt;Lagunas 220</w:t>
            </w:r>
          </w:p>
        </w:tc>
        <w:tc>
          <w:tcPr>
            <w:tcW w:w="2080" w:type="dxa"/>
            <w:tcBorders>
              <w:top w:val="nil"/>
              <w:left w:val="nil"/>
              <w:bottom w:val="single" w:sz="4" w:space="0" w:color="auto"/>
              <w:right w:val="single" w:sz="4" w:space="0" w:color="auto"/>
            </w:tcBorders>
            <w:shd w:val="clear" w:color="auto" w:fill="auto"/>
            <w:noWrap/>
            <w:vAlign w:val="bottom"/>
            <w:hideMark/>
          </w:tcPr>
          <w:p w14:paraId="20AB8111"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15.591.081,32</w:t>
            </w:r>
          </w:p>
        </w:tc>
      </w:tr>
      <w:tr w:rsidR="00F501EB" w:rsidRPr="00A81CB8" w14:paraId="1571D1C7"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3C21E876"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Pr>
                <w:rFonts w:cs="Calibri"/>
                <w:color w:val="000000"/>
                <w:sz w:val="20"/>
                <w:szCs w:val="20"/>
              </w:rPr>
              <w:t>N_138</w:t>
            </w:r>
          </w:p>
        </w:tc>
        <w:tc>
          <w:tcPr>
            <w:tcW w:w="4441" w:type="dxa"/>
            <w:tcBorders>
              <w:top w:val="nil"/>
              <w:left w:val="nil"/>
              <w:bottom w:val="single" w:sz="4" w:space="0" w:color="auto"/>
              <w:right w:val="single" w:sz="4" w:space="0" w:color="auto"/>
            </w:tcBorders>
            <w:shd w:val="clear" w:color="auto" w:fill="auto"/>
            <w:noWrap/>
            <w:vAlign w:val="bottom"/>
            <w:hideMark/>
          </w:tcPr>
          <w:p w14:paraId="7BDFDA72"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Temuco 220-&gt;Cautin 220</w:t>
            </w:r>
          </w:p>
        </w:tc>
        <w:tc>
          <w:tcPr>
            <w:tcW w:w="2080" w:type="dxa"/>
            <w:tcBorders>
              <w:top w:val="nil"/>
              <w:left w:val="nil"/>
              <w:bottom w:val="single" w:sz="4" w:space="0" w:color="auto"/>
              <w:right w:val="single" w:sz="4" w:space="0" w:color="auto"/>
            </w:tcBorders>
            <w:shd w:val="clear" w:color="auto" w:fill="auto"/>
            <w:noWrap/>
            <w:vAlign w:val="bottom"/>
            <w:hideMark/>
          </w:tcPr>
          <w:p w14:paraId="55CC309D"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3.126.888,00</w:t>
            </w:r>
          </w:p>
        </w:tc>
      </w:tr>
      <w:tr w:rsidR="00F501EB" w:rsidRPr="00A81CB8" w14:paraId="48D40E00"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4A89717F"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Pr>
                <w:rFonts w:cs="Calibri"/>
                <w:color w:val="000000"/>
                <w:sz w:val="20"/>
                <w:szCs w:val="20"/>
              </w:rPr>
              <w:t>N_139</w:t>
            </w:r>
          </w:p>
        </w:tc>
        <w:tc>
          <w:tcPr>
            <w:tcW w:w="4441" w:type="dxa"/>
            <w:tcBorders>
              <w:top w:val="nil"/>
              <w:left w:val="nil"/>
              <w:bottom w:val="single" w:sz="4" w:space="0" w:color="auto"/>
              <w:right w:val="single" w:sz="4" w:space="0" w:color="auto"/>
            </w:tcBorders>
            <w:shd w:val="clear" w:color="auto" w:fill="auto"/>
            <w:noWrap/>
            <w:vAlign w:val="bottom"/>
            <w:hideMark/>
          </w:tcPr>
          <w:p w14:paraId="15D3E371"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Temuco 220-&gt;Los Peumos 220</w:t>
            </w:r>
          </w:p>
        </w:tc>
        <w:tc>
          <w:tcPr>
            <w:tcW w:w="2080" w:type="dxa"/>
            <w:tcBorders>
              <w:top w:val="nil"/>
              <w:left w:val="nil"/>
              <w:bottom w:val="single" w:sz="4" w:space="0" w:color="auto"/>
              <w:right w:val="single" w:sz="4" w:space="0" w:color="auto"/>
            </w:tcBorders>
            <w:shd w:val="clear" w:color="auto" w:fill="auto"/>
            <w:noWrap/>
            <w:vAlign w:val="bottom"/>
            <w:hideMark/>
          </w:tcPr>
          <w:p w14:paraId="7CC91268"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13.022.202,70</w:t>
            </w:r>
          </w:p>
        </w:tc>
      </w:tr>
      <w:tr w:rsidR="00F501EB" w:rsidRPr="00A81CB8" w14:paraId="58633713" w14:textId="77777777" w:rsidTr="006B5A62">
        <w:trPr>
          <w:jc w:val="center"/>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0A29F756" w14:textId="77777777" w:rsidR="00F501EB" w:rsidRPr="00A81CB8" w:rsidRDefault="00F501EB" w:rsidP="006B5A62">
            <w:pPr>
              <w:spacing w:before="20" w:after="20" w:line="240" w:lineRule="auto"/>
              <w:ind w:firstLineChars="100" w:firstLine="200"/>
              <w:jc w:val="left"/>
              <w:rPr>
                <w:rFonts w:eastAsia="Times New Roman" w:cs="Calibri"/>
                <w:color w:val="000000"/>
                <w:sz w:val="20"/>
                <w:szCs w:val="20"/>
                <w:lang w:eastAsia="es-CL"/>
              </w:rPr>
            </w:pPr>
            <w:r>
              <w:rPr>
                <w:rFonts w:cs="Calibri"/>
                <w:color w:val="000000"/>
                <w:sz w:val="20"/>
                <w:szCs w:val="20"/>
              </w:rPr>
              <w:t>N_140</w:t>
            </w:r>
          </w:p>
        </w:tc>
        <w:tc>
          <w:tcPr>
            <w:tcW w:w="4441" w:type="dxa"/>
            <w:tcBorders>
              <w:top w:val="nil"/>
              <w:left w:val="nil"/>
              <w:bottom w:val="single" w:sz="4" w:space="0" w:color="auto"/>
              <w:right w:val="single" w:sz="4" w:space="0" w:color="auto"/>
            </w:tcBorders>
            <w:shd w:val="clear" w:color="auto" w:fill="auto"/>
            <w:noWrap/>
            <w:vAlign w:val="bottom"/>
            <w:hideMark/>
          </w:tcPr>
          <w:p w14:paraId="07024FD9" w14:textId="77777777" w:rsidR="00F501EB" w:rsidRPr="00A81CB8" w:rsidRDefault="00F501EB"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Valdivia 220-&gt;Nueva Valdivia 220</w:t>
            </w:r>
          </w:p>
        </w:tc>
        <w:tc>
          <w:tcPr>
            <w:tcW w:w="2080" w:type="dxa"/>
            <w:tcBorders>
              <w:top w:val="nil"/>
              <w:left w:val="nil"/>
              <w:bottom w:val="single" w:sz="4" w:space="0" w:color="auto"/>
              <w:right w:val="single" w:sz="4" w:space="0" w:color="auto"/>
            </w:tcBorders>
            <w:shd w:val="clear" w:color="auto" w:fill="auto"/>
            <w:noWrap/>
            <w:vAlign w:val="bottom"/>
            <w:hideMark/>
          </w:tcPr>
          <w:p w14:paraId="7EBDF4BF" w14:textId="77777777" w:rsidR="00F501EB" w:rsidRPr="00A81CB8" w:rsidRDefault="00F501EB" w:rsidP="006B5A62">
            <w:pPr>
              <w:spacing w:before="20" w:after="20" w:line="240" w:lineRule="auto"/>
              <w:jc w:val="right"/>
              <w:rPr>
                <w:rFonts w:eastAsia="Times New Roman" w:cs="Calibri"/>
                <w:color w:val="000000"/>
                <w:sz w:val="20"/>
                <w:szCs w:val="20"/>
                <w:lang w:eastAsia="es-CL"/>
              </w:rPr>
            </w:pPr>
            <w:r>
              <w:rPr>
                <w:rFonts w:cs="Calibri"/>
                <w:color w:val="000000"/>
                <w:sz w:val="20"/>
                <w:szCs w:val="20"/>
              </w:rPr>
              <w:t>3.070.330,22</w:t>
            </w:r>
          </w:p>
        </w:tc>
      </w:tr>
      <w:tr w:rsidR="00F501EB" w:rsidRPr="00A81CB8" w14:paraId="4D03BF6D" w14:textId="77777777" w:rsidTr="006B5A62">
        <w:trPr>
          <w:jc w:val="center"/>
        </w:trPr>
        <w:tc>
          <w:tcPr>
            <w:tcW w:w="1928" w:type="dxa"/>
            <w:tcBorders>
              <w:top w:val="nil"/>
              <w:left w:val="nil"/>
              <w:bottom w:val="nil"/>
              <w:right w:val="nil"/>
            </w:tcBorders>
            <w:shd w:val="clear" w:color="auto" w:fill="auto"/>
            <w:noWrap/>
            <w:vAlign w:val="center"/>
            <w:hideMark/>
          </w:tcPr>
          <w:p w14:paraId="7144BF1F" w14:textId="77777777" w:rsidR="00F501EB" w:rsidRPr="00A81CB8" w:rsidRDefault="00F501EB" w:rsidP="006B5A62">
            <w:pPr>
              <w:spacing w:before="20" w:after="20" w:line="240" w:lineRule="auto"/>
              <w:jc w:val="left"/>
              <w:rPr>
                <w:rFonts w:eastAsia="Times New Roman" w:cs="Calibri"/>
                <w:color w:val="000000"/>
                <w:sz w:val="20"/>
                <w:szCs w:val="20"/>
                <w:lang w:eastAsia="es-CL"/>
              </w:rPr>
            </w:pPr>
          </w:p>
        </w:tc>
        <w:tc>
          <w:tcPr>
            <w:tcW w:w="4441" w:type="dxa"/>
            <w:tcBorders>
              <w:top w:val="nil"/>
              <w:left w:val="single" w:sz="4" w:space="0" w:color="auto"/>
              <w:bottom w:val="single" w:sz="4" w:space="0" w:color="auto"/>
              <w:right w:val="single" w:sz="4" w:space="0" w:color="auto"/>
            </w:tcBorders>
            <w:shd w:val="clear" w:color="auto" w:fill="auto"/>
            <w:noWrap/>
            <w:vAlign w:val="center"/>
            <w:hideMark/>
          </w:tcPr>
          <w:p w14:paraId="756505B0" w14:textId="77777777" w:rsidR="00F501EB" w:rsidRPr="00A81CB8" w:rsidRDefault="00F501EB" w:rsidP="006B5A62">
            <w:pPr>
              <w:spacing w:before="20" w:after="20" w:line="240" w:lineRule="auto"/>
              <w:jc w:val="left"/>
              <w:rPr>
                <w:rFonts w:eastAsia="Times New Roman" w:cs="Calibri"/>
                <w:b/>
                <w:bCs/>
                <w:color w:val="000000"/>
                <w:sz w:val="20"/>
                <w:szCs w:val="20"/>
                <w:lang w:eastAsia="es-CL"/>
              </w:rPr>
            </w:pPr>
            <w:r w:rsidRPr="00A81CB8">
              <w:rPr>
                <w:rFonts w:eastAsia="Times New Roman" w:cs="Calibri"/>
                <w:b/>
                <w:bCs/>
                <w:color w:val="000000"/>
                <w:sz w:val="20"/>
                <w:szCs w:val="20"/>
                <w:lang w:eastAsia="es-CL"/>
              </w:rPr>
              <w:t>TOTAL</w:t>
            </w:r>
          </w:p>
        </w:tc>
        <w:tc>
          <w:tcPr>
            <w:tcW w:w="2080" w:type="dxa"/>
            <w:tcBorders>
              <w:top w:val="nil"/>
              <w:left w:val="nil"/>
              <w:bottom w:val="single" w:sz="4" w:space="0" w:color="auto"/>
              <w:right w:val="single" w:sz="4" w:space="0" w:color="auto"/>
            </w:tcBorders>
            <w:shd w:val="clear" w:color="auto" w:fill="auto"/>
            <w:noWrap/>
            <w:hideMark/>
          </w:tcPr>
          <w:p w14:paraId="3F9833B0" w14:textId="77777777" w:rsidR="00F501EB" w:rsidRPr="00540059" w:rsidRDefault="00F501EB" w:rsidP="006B5A62">
            <w:pPr>
              <w:spacing w:after="0" w:line="240" w:lineRule="auto"/>
              <w:jc w:val="right"/>
              <w:rPr>
                <w:rFonts w:cs="Calibri"/>
                <w:b/>
                <w:color w:val="000000"/>
                <w:sz w:val="20"/>
                <w:szCs w:val="20"/>
                <w:lang w:eastAsia="es-CL"/>
              </w:rPr>
            </w:pPr>
            <w:r w:rsidRPr="00540059">
              <w:rPr>
                <w:rFonts w:cs="Calibri"/>
                <w:b/>
                <w:color w:val="000000"/>
                <w:sz w:val="20"/>
                <w:szCs w:val="20"/>
              </w:rPr>
              <w:t>2.268.361.811,24</w:t>
            </w:r>
          </w:p>
        </w:tc>
      </w:tr>
    </w:tbl>
    <w:p w14:paraId="75EB8760" w14:textId="77777777" w:rsidR="004D4185" w:rsidRDefault="004D4185" w:rsidP="003E19A2">
      <w:pPr>
        <w:spacing w:after="0"/>
      </w:pPr>
    </w:p>
    <w:p w14:paraId="67B567B5" w14:textId="77777777" w:rsidR="004D4185" w:rsidRDefault="004D4185" w:rsidP="003E19A2">
      <w:pPr>
        <w:spacing w:after="0"/>
      </w:pPr>
    </w:p>
    <w:p w14:paraId="355871EE" w14:textId="77777777" w:rsidR="004D4185" w:rsidRDefault="004D4185" w:rsidP="003E19A2">
      <w:pPr>
        <w:spacing w:after="0"/>
      </w:pPr>
    </w:p>
    <w:p w14:paraId="1D1795DF" w14:textId="77777777" w:rsidR="004D4185" w:rsidRDefault="004D4185" w:rsidP="003E19A2">
      <w:pPr>
        <w:spacing w:after="0"/>
      </w:pPr>
    </w:p>
    <w:p w14:paraId="1653C869" w14:textId="77777777" w:rsidR="003E19A2" w:rsidRDefault="003E19A2" w:rsidP="003E19A2">
      <w:pPr>
        <w:sectPr w:rsidR="003E19A2" w:rsidSect="00191EBB">
          <w:headerReference w:type="default" r:id="rId31"/>
          <w:headerReference w:type="first" r:id="rId32"/>
          <w:pgSz w:w="12242" w:h="15842" w:code="1"/>
          <w:pgMar w:top="1134" w:right="1134" w:bottom="1134" w:left="1418" w:header="851" w:footer="1134" w:gutter="0"/>
          <w:cols w:space="708"/>
          <w:titlePg/>
          <w:docGrid w:linePitch="360"/>
        </w:sectPr>
      </w:pPr>
    </w:p>
    <w:p w14:paraId="5B1134D6" w14:textId="77777777" w:rsidR="003E19A2" w:rsidRDefault="003E19A2" w:rsidP="003E19A2">
      <w:pPr>
        <w:pStyle w:val="Ttulo3"/>
      </w:pPr>
      <w:bookmarkStart w:id="451" w:name="_Toc34640158"/>
      <w:bookmarkStart w:id="452" w:name="_Toc34655182"/>
      <w:bookmarkStart w:id="453" w:name="_Toc39797864"/>
      <w:r w:rsidRPr="00F277BC">
        <w:lastRenderedPageBreak/>
        <w:t xml:space="preserve">Valor de Inversión por </w:t>
      </w:r>
      <w:r>
        <w:t>tramo de subestación y por propietario calificación nacional</w:t>
      </w:r>
      <w:bookmarkEnd w:id="451"/>
      <w:bookmarkEnd w:id="452"/>
      <w:bookmarkEnd w:id="453"/>
    </w:p>
    <w:p w14:paraId="3E24E190" w14:textId="3653287C" w:rsidR="003E19A2" w:rsidRDefault="003E19A2" w:rsidP="00CA7BC8">
      <w:pPr>
        <w:pStyle w:val="Subttulo"/>
      </w:pPr>
      <w:bookmarkStart w:id="454" w:name="_Toc34640125"/>
      <w:bookmarkStart w:id="455" w:name="_Toc34655193"/>
      <w:bookmarkStart w:id="456" w:name="_Toc39797953"/>
      <w:r w:rsidRPr="00E1571A">
        <w:t xml:space="preserve">Tabla </w:t>
      </w:r>
      <w:fldSimple w:instr=" SEQ Tabla \* ARABIC ">
        <w:r w:rsidR="001F3E2E">
          <w:rPr>
            <w:noProof/>
          </w:rPr>
          <w:t>43</w:t>
        </w:r>
      </w:fldSimple>
      <w:r w:rsidRPr="00E1571A">
        <w:t>: Valor de Inversión (V.I.) por tramo de subestación y por propietario calificación nacional</w:t>
      </w:r>
      <w:bookmarkEnd w:id="454"/>
      <w:bookmarkEnd w:id="455"/>
      <w:bookmarkEnd w:id="456"/>
    </w:p>
    <w:tbl>
      <w:tblPr>
        <w:tblW w:w="0" w:type="auto"/>
        <w:jc w:val="center"/>
        <w:tblLayout w:type="fixed"/>
        <w:tblCellMar>
          <w:left w:w="57" w:type="dxa"/>
          <w:right w:w="57" w:type="dxa"/>
        </w:tblCellMar>
        <w:tblLook w:val="04A0" w:firstRow="1" w:lastRow="0" w:firstColumn="1" w:lastColumn="0" w:noHBand="0" w:noVBand="1"/>
      </w:tblPr>
      <w:tblGrid>
        <w:gridCol w:w="1985"/>
        <w:gridCol w:w="3969"/>
        <w:gridCol w:w="1077"/>
        <w:gridCol w:w="3969"/>
        <w:gridCol w:w="2154"/>
      </w:tblGrid>
      <w:tr w:rsidR="004864FF" w:rsidRPr="00A81CB8" w14:paraId="00EBB041" w14:textId="77777777" w:rsidTr="006B5A62">
        <w:trPr>
          <w:tblHeader/>
          <w:jc w:val="center"/>
        </w:trPr>
        <w:tc>
          <w:tcPr>
            <w:tcW w:w="1985" w:type="dxa"/>
            <w:tcBorders>
              <w:top w:val="single" w:sz="8" w:space="0" w:color="auto"/>
              <w:left w:val="single" w:sz="8" w:space="0" w:color="auto"/>
              <w:bottom w:val="single" w:sz="8" w:space="0" w:color="auto"/>
              <w:right w:val="single" w:sz="8" w:space="0" w:color="auto"/>
            </w:tcBorders>
            <w:shd w:val="clear" w:color="auto" w:fill="D9D9D9" w:themeFill="background1" w:themeFillShade="D9"/>
            <w:vAlign w:val="center"/>
            <w:hideMark/>
          </w:tcPr>
          <w:p w14:paraId="1F8CC344" w14:textId="77777777" w:rsidR="004864FF" w:rsidRPr="00A81CB8" w:rsidRDefault="004864FF" w:rsidP="006B5A62">
            <w:pPr>
              <w:spacing w:before="20" w:after="20" w:line="240" w:lineRule="auto"/>
              <w:jc w:val="center"/>
              <w:rPr>
                <w:rFonts w:asciiTheme="minorHAnsi" w:eastAsia="Times New Roman" w:hAnsiTheme="minorHAnsi" w:cs="Calibri"/>
                <w:b/>
                <w:bCs/>
                <w:color w:val="000000"/>
                <w:sz w:val="20"/>
                <w:szCs w:val="20"/>
                <w:lang w:eastAsia="es-CL"/>
              </w:rPr>
            </w:pPr>
            <w:r w:rsidRPr="00A81CB8">
              <w:rPr>
                <w:rFonts w:asciiTheme="minorHAnsi" w:eastAsia="Times New Roman" w:hAnsiTheme="minorHAnsi" w:cs="Calibri"/>
                <w:b/>
                <w:bCs/>
                <w:color w:val="000000"/>
                <w:sz w:val="20"/>
                <w:szCs w:val="20"/>
                <w:lang w:eastAsia="es-CL"/>
              </w:rPr>
              <w:t>IdCalificacionCodigo</w:t>
            </w:r>
          </w:p>
        </w:tc>
        <w:tc>
          <w:tcPr>
            <w:tcW w:w="3969" w:type="dxa"/>
            <w:tcBorders>
              <w:top w:val="single" w:sz="8" w:space="0" w:color="auto"/>
              <w:left w:val="single" w:sz="8" w:space="0" w:color="auto"/>
              <w:bottom w:val="single" w:sz="8" w:space="0" w:color="auto"/>
              <w:right w:val="single" w:sz="8" w:space="0" w:color="auto"/>
            </w:tcBorders>
            <w:shd w:val="clear" w:color="auto" w:fill="D9D9D9" w:themeFill="background1" w:themeFillShade="D9"/>
            <w:vAlign w:val="center"/>
            <w:hideMark/>
          </w:tcPr>
          <w:p w14:paraId="762BCFA2" w14:textId="77777777" w:rsidR="004864FF" w:rsidRPr="00A81CB8" w:rsidRDefault="004864FF" w:rsidP="006B5A62">
            <w:pPr>
              <w:spacing w:before="20" w:after="20" w:line="240" w:lineRule="auto"/>
              <w:jc w:val="center"/>
              <w:rPr>
                <w:rFonts w:asciiTheme="minorHAnsi" w:eastAsia="Times New Roman" w:hAnsiTheme="minorHAnsi" w:cs="Calibri"/>
                <w:b/>
                <w:bCs/>
                <w:color w:val="000000"/>
                <w:sz w:val="20"/>
                <w:szCs w:val="20"/>
                <w:lang w:eastAsia="es-CL"/>
              </w:rPr>
            </w:pPr>
            <w:r w:rsidRPr="00A81CB8">
              <w:rPr>
                <w:rFonts w:asciiTheme="minorHAnsi" w:eastAsia="Times New Roman" w:hAnsiTheme="minorHAnsi" w:cs="Calibri"/>
                <w:b/>
                <w:bCs/>
                <w:color w:val="000000"/>
                <w:sz w:val="20"/>
                <w:szCs w:val="20"/>
                <w:lang w:eastAsia="es-CL"/>
              </w:rPr>
              <w:t>Nombre del Tramo</w:t>
            </w:r>
          </w:p>
        </w:tc>
        <w:tc>
          <w:tcPr>
            <w:tcW w:w="1077" w:type="dxa"/>
            <w:tcBorders>
              <w:top w:val="single" w:sz="8" w:space="0" w:color="auto"/>
              <w:left w:val="nil"/>
              <w:bottom w:val="single" w:sz="8" w:space="0" w:color="auto"/>
              <w:right w:val="single" w:sz="8" w:space="0" w:color="auto"/>
            </w:tcBorders>
            <w:shd w:val="clear" w:color="auto" w:fill="D9D9D9" w:themeFill="background1" w:themeFillShade="D9"/>
            <w:vAlign w:val="center"/>
            <w:hideMark/>
          </w:tcPr>
          <w:p w14:paraId="09C96215" w14:textId="77777777" w:rsidR="004864FF" w:rsidRPr="00A81CB8" w:rsidRDefault="004864FF" w:rsidP="006B5A62">
            <w:pPr>
              <w:spacing w:before="20" w:after="20" w:line="240" w:lineRule="auto"/>
              <w:jc w:val="center"/>
              <w:rPr>
                <w:rFonts w:asciiTheme="minorHAnsi" w:eastAsia="Times New Roman" w:hAnsiTheme="minorHAnsi" w:cs="Calibri"/>
                <w:b/>
                <w:bCs/>
                <w:color w:val="000000"/>
                <w:sz w:val="20"/>
                <w:szCs w:val="20"/>
                <w:lang w:eastAsia="es-CL"/>
              </w:rPr>
            </w:pPr>
            <w:r w:rsidRPr="00A81CB8">
              <w:rPr>
                <w:rFonts w:asciiTheme="minorHAnsi" w:eastAsia="Times New Roman" w:hAnsiTheme="minorHAnsi" w:cs="Calibri"/>
                <w:b/>
                <w:bCs/>
                <w:color w:val="000000"/>
                <w:sz w:val="20"/>
                <w:szCs w:val="20"/>
                <w:lang w:eastAsia="es-CL"/>
              </w:rPr>
              <w:t>IdEmpresaPropietaria</w:t>
            </w:r>
          </w:p>
        </w:tc>
        <w:tc>
          <w:tcPr>
            <w:tcW w:w="3969" w:type="dxa"/>
            <w:tcBorders>
              <w:top w:val="single" w:sz="8" w:space="0" w:color="auto"/>
              <w:left w:val="nil"/>
              <w:bottom w:val="single" w:sz="8" w:space="0" w:color="auto"/>
              <w:right w:val="single" w:sz="8" w:space="0" w:color="auto"/>
            </w:tcBorders>
            <w:shd w:val="clear" w:color="auto" w:fill="D9D9D9" w:themeFill="background1" w:themeFillShade="D9"/>
            <w:noWrap/>
            <w:vAlign w:val="center"/>
            <w:hideMark/>
          </w:tcPr>
          <w:p w14:paraId="0DC46638" w14:textId="77777777" w:rsidR="004864FF" w:rsidRPr="00A81CB8" w:rsidRDefault="004864FF" w:rsidP="006B5A62">
            <w:pPr>
              <w:spacing w:before="20" w:after="20" w:line="240" w:lineRule="auto"/>
              <w:jc w:val="center"/>
              <w:rPr>
                <w:rFonts w:asciiTheme="minorHAnsi" w:eastAsia="Times New Roman" w:hAnsiTheme="minorHAnsi" w:cs="Calibri"/>
                <w:b/>
                <w:bCs/>
                <w:color w:val="000000"/>
                <w:sz w:val="20"/>
                <w:szCs w:val="20"/>
                <w:lang w:eastAsia="es-CL"/>
              </w:rPr>
            </w:pPr>
            <w:r w:rsidRPr="00A81CB8">
              <w:rPr>
                <w:rFonts w:asciiTheme="minorHAnsi" w:eastAsia="Times New Roman" w:hAnsiTheme="minorHAnsi" w:cs="Calibri"/>
                <w:b/>
                <w:bCs/>
                <w:color w:val="000000"/>
                <w:sz w:val="20"/>
                <w:szCs w:val="20"/>
                <w:lang w:eastAsia="es-CL"/>
              </w:rPr>
              <w:t>Nombre de Empresa</w:t>
            </w:r>
          </w:p>
        </w:tc>
        <w:tc>
          <w:tcPr>
            <w:tcW w:w="2154" w:type="dxa"/>
            <w:tcBorders>
              <w:top w:val="single" w:sz="8" w:space="0" w:color="auto"/>
              <w:left w:val="nil"/>
              <w:bottom w:val="single" w:sz="8" w:space="0" w:color="auto"/>
              <w:right w:val="single" w:sz="8" w:space="0" w:color="auto"/>
            </w:tcBorders>
            <w:shd w:val="clear" w:color="auto" w:fill="D9D9D9" w:themeFill="background1" w:themeFillShade="D9"/>
            <w:vAlign w:val="center"/>
            <w:hideMark/>
          </w:tcPr>
          <w:p w14:paraId="42923ABA" w14:textId="77777777" w:rsidR="004864FF" w:rsidRPr="00A81CB8" w:rsidRDefault="004864FF" w:rsidP="006B5A62">
            <w:pPr>
              <w:spacing w:before="20" w:after="20" w:line="240" w:lineRule="auto"/>
              <w:jc w:val="center"/>
              <w:rPr>
                <w:rFonts w:asciiTheme="minorHAnsi" w:eastAsia="Times New Roman" w:hAnsiTheme="minorHAnsi" w:cs="Calibri"/>
                <w:b/>
                <w:bCs/>
                <w:color w:val="000000"/>
                <w:sz w:val="20"/>
                <w:szCs w:val="20"/>
                <w:lang w:eastAsia="es-CL"/>
              </w:rPr>
            </w:pPr>
            <w:r w:rsidRPr="00A81CB8">
              <w:rPr>
                <w:rFonts w:asciiTheme="minorHAnsi" w:eastAsia="Times New Roman" w:hAnsiTheme="minorHAnsi" w:cs="Calibri"/>
                <w:b/>
                <w:bCs/>
                <w:color w:val="000000"/>
                <w:sz w:val="20"/>
                <w:szCs w:val="20"/>
                <w:lang w:eastAsia="es-CL"/>
              </w:rPr>
              <w:t xml:space="preserve">Valor de Inversión (V.I.) </w:t>
            </w:r>
          </w:p>
          <w:p w14:paraId="7EE3B6E0" w14:textId="77777777" w:rsidR="004864FF" w:rsidRPr="00A81CB8" w:rsidRDefault="004864FF" w:rsidP="006B5A62">
            <w:pPr>
              <w:spacing w:before="20" w:after="20" w:line="240" w:lineRule="auto"/>
              <w:jc w:val="center"/>
              <w:rPr>
                <w:rFonts w:asciiTheme="minorHAnsi" w:eastAsia="Times New Roman" w:hAnsiTheme="minorHAnsi" w:cs="Calibri"/>
                <w:b/>
                <w:bCs/>
                <w:color w:val="000000"/>
                <w:sz w:val="20"/>
                <w:szCs w:val="20"/>
                <w:lang w:eastAsia="es-CL"/>
              </w:rPr>
            </w:pPr>
            <w:r w:rsidRPr="00A81CB8">
              <w:rPr>
                <w:rFonts w:asciiTheme="minorHAnsi" w:eastAsia="Times New Roman" w:hAnsiTheme="minorHAnsi" w:cs="Calibri"/>
                <w:b/>
                <w:bCs/>
                <w:color w:val="000000"/>
                <w:sz w:val="20"/>
                <w:szCs w:val="20"/>
                <w:lang w:eastAsia="es-CL"/>
              </w:rPr>
              <w:t>USD (Dólares de USA)</w:t>
            </w:r>
          </w:p>
        </w:tc>
      </w:tr>
      <w:tr w:rsidR="004864FF" w:rsidRPr="00A81CB8" w14:paraId="39066E51" w14:textId="77777777" w:rsidTr="006B5A62">
        <w:trPr>
          <w:jc w:val="center"/>
        </w:trPr>
        <w:tc>
          <w:tcPr>
            <w:tcW w:w="1985"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6CD57145"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SE-N_1</w:t>
            </w:r>
          </w:p>
        </w:tc>
        <w:tc>
          <w:tcPr>
            <w:tcW w:w="3969" w:type="dxa"/>
            <w:vMerge w:val="restart"/>
            <w:tcBorders>
              <w:top w:val="nil"/>
              <w:left w:val="single" w:sz="4" w:space="0" w:color="auto"/>
              <w:bottom w:val="single" w:sz="4" w:space="0" w:color="auto"/>
              <w:right w:val="single" w:sz="4" w:space="0" w:color="auto"/>
            </w:tcBorders>
            <w:shd w:val="clear" w:color="auto" w:fill="auto"/>
            <w:vAlign w:val="center"/>
            <w:hideMark/>
          </w:tcPr>
          <w:p w14:paraId="53676518"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ALTO JAHUEL</w:t>
            </w:r>
          </w:p>
        </w:tc>
        <w:tc>
          <w:tcPr>
            <w:tcW w:w="1077" w:type="dxa"/>
            <w:tcBorders>
              <w:top w:val="nil"/>
              <w:left w:val="nil"/>
              <w:bottom w:val="single" w:sz="4" w:space="0" w:color="auto"/>
              <w:right w:val="single" w:sz="4" w:space="0" w:color="auto"/>
            </w:tcBorders>
            <w:shd w:val="clear" w:color="auto" w:fill="auto"/>
            <w:noWrap/>
            <w:vAlign w:val="bottom"/>
            <w:hideMark/>
          </w:tcPr>
          <w:p w14:paraId="409E26DB"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P_032</w:t>
            </w:r>
          </w:p>
        </w:tc>
        <w:tc>
          <w:tcPr>
            <w:tcW w:w="3969" w:type="dxa"/>
            <w:tcBorders>
              <w:top w:val="nil"/>
              <w:left w:val="nil"/>
              <w:bottom w:val="single" w:sz="4" w:space="0" w:color="auto"/>
              <w:right w:val="single" w:sz="4" w:space="0" w:color="auto"/>
            </w:tcBorders>
            <w:shd w:val="clear" w:color="auto" w:fill="auto"/>
            <w:noWrap/>
            <w:vAlign w:val="bottom"/>
            <w:hideMark/>
          </w:tcPr>
          <w:p w14:paraId="0E4570EF"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TRANSELEC S.A.</w:t>
            </w:r>
          </w:p>
        </w:tc>
        <w:tc>
          <w:tcPr>
            <w:tcW w:w="2154" w:type="dxa"/>
            <w:tcBorders>
              <w:top w:val="nil"/>
              <w:left w:val="nil"/>
              <w:bottom w:val="single" w:sz="4" w:space="0" w:color="auto"/>
              <w:right w:val="single" w:sz="4" w:space="0" w:color="auto"/>
            </w:tcBorders>
            <w:shd w:val="clear" w:color="auto" w:fill="auto"/>
            <w:noWrap/>
            <w:vAlign w:val="bottom"/>
            <w:hideMark/>
          </w:tcPr>
          <w:p w14:paraId="190A3E58"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34.042.217,53</w:t>
            </w:r>
          </w:p>
        </w:tc>
      </w:tr>
      <w:tr w:rsidR="004864FF" w:rsidRPr="00A81CB8" w14:paraId="539EBE6B" w14:textId="77777777" w:rsidTr="006B5A62">
        <w:trPr>
          <w:jc w:val="center"/>
        </w:trPr>
        <w:tc>
          <w:tcPr>
            <w:tcW w:w="1985" w:type="dxa"/>
            <w:vMerge/>
            <w:tcBorders>
              <w:top w:val="nil"/>
              <w:left w:val="single" w:sz="4" w:space="0" w:color="auto"/>
              <w:bottom w:val="single" w:sz="4" w:space="0" w:color="auto"/>
              <w:right w:val="single" w:sz="4" w:space="0" w:color="auto"/>
            </w:tcBorders>
            <w:vAlign w:val="center"/>
            <w:hideMark/>
          </w:tcPr>
          <w:p w14:paraId="46C2E3AE"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3DA56446"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bottom"/>
            <w:hideMark/>
          </w:tcPr>
          <w:p w14:paraId="0D04B803"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P_083</w:t>
            </w:r>
          </w:p>
        </w:tc>
        <w:tc>
          <w:tcPr>
            <w:tcW w:w="3969" w:type="dxa"/>
            <w:tcBorders>
              <w:top w:val="nil"/>
              <w:left w:val="nil"/>
              <w:bottom w:val="single" w:sz="4" w:space="0" w:color="auto"/>
              <w:right w:val="single" w:sz="4" w:space="0" w:color="auto"/>
            </w:tcBorders>
            <w:shd w:val="clear" w:color="auto" w:fill="auto"/>
            <w:noWrap/>
            <w:vAlign w:val="bottom"/>
            <w:hideMark/>
          </w:tcPr>
          <w:p w14:paraId="0913F1C2"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CGE</w:t>
            </w:r>
          </w:p>
        </w:tc>
        <w:tc>
          <w:tcPr>
            <w:tcW w:w="2154" w:type="dxa"/>
            <w:tcBorders>
              <w:top w:val="nil"/>
              <w:left w:val="nil"/>
              <w:bottom w:val="single" w:sz="4" w:space="0" w:color="auto"/>
              <w:right w:val="single" w:sz="4" w:space="0" w:color="auto"/>
            </w:tcBorders>
            <w:shd w:val="clear" w:color="auto" w:fill="auto"/>
            <w:noWrap/>
            <w:vAlign w:val="bottom"/>
            <w:hideMark/>
          </w:tcPr>
          <w:p w14:paraId="5D2E4876"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15.781,78</w:t>
            </w:r>
          </w:p>
        </w:tc>
      </w:tr>
      <w:tr w:rsidR="004864FF" w:rsidRPr="00A81CB8" w14:paraId="4BC3B630" w14:textId="77777777" w:rsidTr="006B5A62">
        <w:trPr>
          <w:jc w:val="center"/>
        </w:trPr>
        <w:tc>
          <w:tcPr>
            <w:tcW w:w="1985" w:type="dxa"/>
            <w:vMerge/>
            <w:tcBorders>
              <w:top w:val="nil"/>
              <w:left w:val="single" w:sz="4" w:space="0" w:color="auto"/>
              <w:bottom w:val="single" w:sz="4" w:space="0" w:color="auto"/>
              <w:right w:val="single" w:sz="4" w:space="0" w:color="auto"/>
            </w:tcBorders>
            <w:vAlign w:val="center"/>
            <w:hideMark/>
          </w:tcPr>
          <w:p w14:paraId="0BFBE9C3"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5A439DFA"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bottom"/>
            <w:hideMark/>
          </w:tcPr>
          <w:p w14:paraId="6F106C3D"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P_111</w:t>
            </w:r>
          </w:p>
        </w:tc>
        <w:tc>
          <w:tcPr>
            <w:tcW w:w="3969" w:type="dxa"/>
            <w:tcBorders>
              <w:top w:val="nil"/>
              <w:left w:val="nil"/>
              <w:bottom w:val="single" w:sz="4" w:space="0" w:color="auto"/>
              <w:right w:val="single" w:sz="4" w:space="0" w:color="auto"/>
            </w:tcBorders>
            <w:shd w:val="clear" w:color="auto" w:fill="auto"/>
            <w:noWrap/>
            <w:vAlign w:val="bottom"/>
            <w:hideMark/>
          </w:tcPr>
          <w:p w14:paraId="641559FE"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ENEL DISTRIBUCION S.A.</w:t>
            </w:r>
          </w:p>
        </w:tc>
        <w:tc>
          <w:tcPr>
            <w:tcW w:w="2154" w:type="dxa"/>
            <w:tcBorders>
              <w:top w:val="nil"/>
              <w:left w:val="nil"/>
              <w:bottom w:val="single" w:sz="4" w:space="0" w:color="auto"/>
              <w:right w:val="single" w:sz="4" w:space="0" w:color="auto"/>
            </w:tcBorders>
            <w:shd w:val="clear" w:color="auto" w:fill="auto"/>
            <w:noWrap/>
            <w:vAlign w:val="bottom"/>
            <w:hideMark/>
          </w:tcPr>
          <w:p w14:paraId="222A4C74"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624.001,40</w:t>
            </w:r>
          </w:p>
        </w:tc>
      </w:tr>
      <w:tr w:rsidR="004864FF" w:rsidRPr="00A81CB8" w14:paraId="15478A1A" w14:textId="77777777" w:rsidTr="006B5A62">
        <w:trPr>
          <w:jc w:val="center"/>
        </w:trPr>
        <w:tc>
          <w:tcPr>
            <w:tcW w:w="1985" w:type="dxa"/>
            <w:vMerge/>
            <w:tcBorders>
              <w:top w:val="nil"/>
              <w:left w:val="single" w:sz="4" w:space="0" w:color="auto"/>
              <w:bottom w:val="single" w:sz="4" w:space="0" w:color="auto"/>
              <w:right w:val="single" w:sz="4" w:space="0" w:color="auto"/>
            </w:tcBorders>
            <w:vAlign w:val="center"/>
            <w:hideMark/>
          </w:tcPr>
          <w:p w14:paraId="2E31242F"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2E45E343"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bottom"/>
            <w:hideMark/>
          </w:tcPr>
          <w:p w14:paraId="4A2C400E"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P_126</w:t>
            </w:r>
          </w:p>
        </w:tc>
        <w:tc>
          <w:tcPr>
            <w:tcW w:w="3969" w:type="dxa"/>
            <w:tcBorders>
              <w:top w:val="nil"/>
              <w:left w:val="nil"/>
              <w:bottom w:val="single" w:sz="4" w:space="0" w:color="auto"/>
              <w:right w:val="single" w:sz="4" w:space="0" w:color="auto"/>
            </w:tcBorders>
            <w:shd w:val="clear" w:color="auto" w:fill="auto"/>
            <w:noWrap/>
            <w:vAlign w:val="bottom"/>
            <w:hideMark/>
          </w:tcPr>
          <w:p w14:paraId="1EA23433"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TRANSELEC NORTE</w:t>
            </w:r>
          </w:p>
        </w:tc>
        <w:tc>
          <w:tcPr>
            <w:tcW w:w="2154" w:type="dxa"/>
            <w:tcBorders>
              <w:top w:val="nil"/>
              <w:left w:val="nil"/>
              <w:bottom w:val="single" w:sz="4" w:space="0" w:color="auto"/>
              <w:right w:val="single" w:sz="4" w:space="0" w:color="auto"/>
            </w:tcBorders>
            <w:shd w:val="clear" w:color="auto" w:fill="auto"/>
            <w:noWrap/>
            <w:vAlign w:val="bottom"/>
            <w:hideMark/>
          </w:tcPr>
          <w:p w14:paraId="4FB95D92"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11.724,65</w:t>
            </w:r>
          </w:p>
        </w:tc>
      </w:tr>
      <w:tr w:rsidR="004864FF" w:rsidRPr="00A81CB8" w14:paraId="1295061E" w14:textId="77777777" w:rsidTr="006B5A62">
        <w:trPr>
          <w:jc w:val="center"/>
        </w:trPr>
        <w:tc>
          <w:tcPr>
            <w:tcW w:w="1985" w:type="dxa"/>
            <w:vMerge/>
            <w:tcBorders>
              <w:top w:val="nil"/>
              <w:left w:val="single" w:sz="4" w:space="0" w:color="auto"/>
              <w:bottom w:val="single" w:sz="4" w:space="0" w:color="auto"/>
              <w:right w:val="single" w:sz="4" w:space="0" w:color="auto"/>
            </w:tcBorders>
            <w:vAlign w:val="center"/>
            <w:hideMark/>
          </w:tcPr>
          <w:p w14:paraId="7489B5AC"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620B8A75"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bottom"/>
            <w:hideMark/>
          </w:tcPr>
          <w:p w14:paraId="6FCB97D2"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P_244</w:t>
            </w:r>
          </w:p>
        </w:tc>
        <w:tc>
          <w:tcPr>
            <w:tcW w:w="3969" w:type="dxa"/>
            <w:tcBorders>
              <w:top w:val="nil"/>
              <w:left w:val="nil"/>
              <w:bottom w:val="single" w:sz="4" w:space="0" w:color="auto"/>
              <w:right w:val="single" w:sz="4" w:space="0" w:color="auto"/>
            </w:tcBorders>
            <w:shd w:val="clear" w:color="auto" w:fill="auto"/>
            <w:noWrap/>
            <w:vAlign w:val="bottom"/>
            <w:hideMark/>
          </w:tcPr>
          <w:p w14:paraId="708C5403"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Colbún Transmisión</w:t>
            </w:r>
          </w:p>
        </w:tc>
        <w:tc>
          <w:tcPr>
            <w:tcW w:w="2154" w:type="dxa"/>
            <w:tcBorders>
              <w:top w:val="nil"/>
              <w:left w:val="nil"/>
              <w:bottom w:val="single" w:sz="4" w:space="0" w:color="auto"/>
              <w:right w:val="single" w:sz="4" w:space="0" w:color="auto"/>
            </w:tcBorders>
            <w:shd w:val="clear" w:color="auto" w:fill="auto"/>
            <w:noWrap/>
            <w:vAlign w:val="bottom"/>
            <w:hideMark/>
          </w:tcPr>
          <w:p w14:paraId="527FF98A"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17.487,95</w:t>
            </w:r>
          </w:p>
        </w:tc>
      </w:tr>
      <w:tr w:rsidR="004864FF" w:rsidRPr="00A81CB8" w14:paraId="0E76EF9D" w14:textId="77777777" w:rsidTr="006B5A62">
        <w:trPr>
          <w:jc w:val="center"/>
        </w:trPr>
        <w:tc>
          <w:tcPr>
            <w:tcW w:w="1985"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7A185E59"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SE-N_2</w:t>
            </w:r>
          </w:p>
        </w:tc>
        <w:tc>
          <w:tcPr>
            <w:tcW w:w="3969" w:type="dxa"/>
            <w:vMerge w:val="restart"/>
            <w:tcBorders>
              <w:top w:val="nil"/>
              <w:left w:val="single" w:sz="4" w:space="0" w:color="auto"/>
              <w:bottom w:val="single" w:sz="4" w:space="0" w:color="auto"/>
              <w:right w:val="single" w:sz="4" w:space="0" w:color="auto"/>
            </w:tcBorders>
            <w:shd w:val="clear" w:color="auto" w:fill="auto"/>
            <w:vAlign w:val="center"/>
            <w:hideMark/>
          </w:tcPr>
          <w:p w14:paraId="13E8780B"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ANCOA</w:t>
            </w:r>
          </w:p>
        </w:tc>
        <w:tc>
          <w:tcPr>
            <w:tcW w:w="1077" w:type="dxa"/>
            <w:tcBorders>
              <w:top w:val="nil"/>
              <w:left w:val="nil"/>
              <w:bottom w:val="single" w:sz="4" w:space="0" w:color="auto"/>
              <w:right w:val="single" w:sz="4" w:space="0" w:color="auto"/>
            </w:tcBorders>
            <w:shd w:val="clear" w:color="auto" w:fill="auto"/>
            <w:noWrap/>
            <w:vAlign w:val="bottom"/>
            <w:hideMark/>
          </w:tcPr>
          <w:p w14:paraId="5851ED46"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P_032</w:t>
            </w:r>
          </w:p>
        </w:tc>
        <w:tc>
          <w:tcPr>
            <w:tcW w:w="3969" w:type="dxa"/>
            <w:tcBorders>
              <w:top w:val="nil"/>
              <w:left w:val="nil"/>
              <w:bottom w:val="single" w:sz="4" w:space="0" w:color="auto"/>
              <w:right w:val="single" w:sz="4" w:space="0" w:color="auto"/>
            </w:tcBorders>
            <w:shd w:val="clear" w:color="auto" w:fill="auto"/>
            <w:noWrap/>
            <w:vAlign w:val="bottom"/>
            <w:hideMark/>
          </w:tcPr>
          <w:p w14:paraId="5A0887DF"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TRANSELEC S.A.</w:t>
            </w:r>
          </w:p>
        </w:tc>
        <w:tc>
          <w:tcPr>
            <w:tcW w:w="2154" w:type="dxa"/>
            <w:tcBorders>
              <w:top w:val="nil"/>
              <w:left w:val="nil"/>
              <w:bottom w:val="single" w:sz="4" w:space="0" w:color="auto"/>
              <w:right w:val="single" w:sz="4" w:space="0" w:color="auto"/>
            </w:tcBorders>
            <w:shd w:val="clear" w:color="auto" w:fill="auto"/>
            <w:noWrap/>
            <w:vAlign w:val="bottom"/>
            <w:hideMark/>
          </w:tcPr>
          <w:p w14:paraId="14515001"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68.078.162,51</w:t>
            </w:r>
          </w:p>
        </w:tc>
      </w:tr>
      <w:tr w:rsidR="004864FF" w:rsidRPr="00A81CB8" w14:paraId="095F5A23" w14:textId="77777777" w:rsidTr="006B5A62">
        <w:trPr>
          <w:jc w:val="center"/>
        </w:trPr>
        <w:tc>
          <w:tcPr>
            <w:tcW w:w="1985" w:type="dxa"/>
            <w:vMerge/>
            <w:tcBorders>
              <w:top w:val="nil"/>
              <w:left w:val="single" w:sz="4" w:space="0" w:color="auto"/>
              <w:bottom w:val="single" w:sz="4" w:space="0" w:color="auto"/>
              <w:right w:val="single" w:sz="4" w:space="0" w:color="auto"/>
            </w:tcBorders>
            <w:vAlign w:val="center"/>
            <w:hideMark/>
          </w:tcPr>
          <w:p w14:paraId="03D304D3"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516CBB43"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bottom"/>
            <w:hideMark/>
          </w:tcPr>
          <w:p w14:paraId="5358E469"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P_083</w:t>
            </w:r>
          </w:p>
        </w:tc>
        <w:tc>
          <w:tcPr>
            <w:tcW w:w="3969" w:type="dxa"/>
            <w:tcBorders>
              <w:top w:val="nil"/>
              <w:left w:val="nil"/>
              <w:bottom w:val="single" w:sz="4" w:space="0" w:color="auto"/>
              <w:right w:val="single" w:sz="4" w:space="0" w:color="auto"/>
            </w:tcBorders>
            <w:shd w:val="clear" w:color="auto" w:fill="auto"/>
            <w:noWrap/>
            <w:vAlign w:val="bottom"/>
            <w:hideMark/>
          </w:tcPr>
          <w:p w14:paraId="143F7FA4"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CGE</w:t>
            </w:r>
          </w:p>
        </w:tc>
        <w:tc>
          <w:tcPr>
            <w:tcW w:w="2154" w:type="dxa"/>
            <w:tcBorders>
              <w:top w:val="nil"/>
              <w:left w:val="nil"/>
              <w:bottom w:val="single" w:sz="4" w:space="0" w:color="auto"/>
              <w:right w:val="single" w:sz="4" w:space="0" w:color="auto"/>
            </w:tcBorders>
            <w:shd w:val="clear" w:color="auto" w:fill="auto"/>
            <w:noWrap/>
            <w:vAlign w:val="bottom"/>
            <w:hideMark/>
          </w:tcPr>
          <w:p w14:paraId="631074D7"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21.533,06</w:t>
            </w:r>
          </w:p>
        </w:tc>
      </w:tr>
      <w:tr w:rsidR="004864FF" w:rsidRPr="00A81CB8" w14:paraId="08D4778F" w14:textId="77777777" w:rsidTr="006B5A62">
        <w:trPr>
          <w:jc w:val="center"/>
        </w:trPr>
        <w:tc>
          <w:tcPr>
            <w:tcW w:w="1985" w:type="dxa"/>
            <w:vMerge/>
            <w:tcBorders>
              <w:top w:val="nil"/>
              <w:left w:val="single" w:sz="4" w:space="0" w:color="auto"/>
              <w:bottom w:val="single" w:sz="4" w:space="0" w:color="auto"/>
              <w:right w:val="single" w:sz="4" w:space="0" w:color="auto"/>
            </w:tcBorders>
            <w:vAlign w:val="center"/>
            <w:hideMark/>
          </w:tcPr>
          <w:p w14:paraId="2A11B820"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04D15B13"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bottom"/>
            <w:hideMark/>
          </w:tcPr>
          <w:p w14:paraId="6E9FAB43"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P_244</w:t>
            </w:r>
          </w:p>
        </w:tc>
        <w:tc>
          <w:tcPr>
            <w:tcW w:w="3969" w:type="dxa"/>
            <w:tcBorders>
              <w:top w:val="nil"/>
              <w:left w:val="nil"/>
              <w:bottom w:val="single" w:sz="4" w:space="0" w:color="auto"/>
              <w:right w:val="single" w:sz="4" w:space="0" w:color="auto"/>
            </w:tcBorders>
            <w:shd w:val="clear" w:color="auto" w:fill="auto"/>
            <w:noWrap/>
            <w:vAlign w:val="bottom"/>
            <w:hideMark/>
          </w:tcPr>
          <w:p w14:paraId="7E7A0E7D"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Colbún Transmisión</w:t>
            </w:r>
          </w:p>
        </w:tc>
        <w:tc>
          <w:tcPr>
            <w:tcW w:w="2154" w:type="dxa"/>
            <w:tcBorders>
              <w:top w:val="nil"/>
              <w:left w:val="nil"/>
              <w:bottom w:val="single" w:sz="4" w:space="0" w:color="auto"/>
              <w:right w:val="single" w:sz="4" w:space="0" w:color="auto"/>
            </w:tcBorders>
            <w:shd w:val="clear" w:color="auto" w:fill="auto"/>
            <w:noWrap/>
            <w:vAlign w:val="bottom"/>
            <w:hideMark/>
          </w:tcPr>
          <w:p w14:paraId="2B8AD9DB"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17.155,53</w:t>
            </w:r>
          </w:p>
        </w:tc>
      </w:tr>
      <w:tr w:rsidR="004864FF" w:rsidRPr="00A81CB8" w14:paraId="7253DFFA"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59FB69FC"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SE-N_3</w:t>
            </w:r>
          </w:p>
        </w:tc>
        <w:tc>
          <w:tcPr>
            <w:tcW w:w="3969" w:type="dxa"/>
            <w:tcBorders>
              <w:top w:val="nil"/>
              <w:left w:val="nil"/>
              <w:bottom w:val="single" w:sz="4" w:space="0" w:color="auto"/>
              <w:right w:val="single" w:sz="4" w:space="0" w:color="auto"/>
            </w:tcBorders>
            <w:shd w:val="clear" w:color="auto" w:fill="auto"/>
            <w:vAlign w:val="center"/>
            <w:hideMark/>
          </w:tcPr>
          <w:p w14:paraId="1D1DDBDD"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ATACAMA</w:t>
            </w:r>
          </w:p>
        </w:tc>
        <w:tc>
          <w:tcPr>
            <w:tcW w:w="1077" w:type="dxa"/>
            <w:tcBorders>
              <w:top w:val="nil"/>
              <w:left w:val="nil"/>
              <w:bottom w:val="single" w:sz="4" w:space="0" w:color="auto"/>
              <w:right w:val="single" w:sz="4" w:space="0" w:color="auto"/>
            </w:tcBorders>
            <w:shd w:val="clear" w:color="auto" w:fill="auto"/>
            <w:noWrap/>
            <w:vAlign w:val="bottom"/>
            <w:hideMark/>
          </w:tcPr>
          <w:p w14:paraId="1D8875AB"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P_032</w:t>
            </w:r>
          </w:p>
        </w:tc>
        <w:tc>
          <w:tcPr>
            <w:tcW w:w="3969" w:type="dxa"/>
            <w:tcBorders>
              <w:top w:val="nil"/>
              <w:left w:val="nil"/>
              <w:bottom w:val="single" w:sz="4" w:space="0" w:color="auto"/>
              <w:right w:val="single" w:sz="4" w:space="0" w:color="auto"/>
            </w:tcBorders>
            <w:shd w:val="clear" w:color="auto" w:fill="auto"/>
            <w:noWrap/>
            <w:vAlign w:val="bottom"/>
            <w:hideMark/>
          </w:tcPr>
          <w:p w14:paraId="1716E66F"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TRANSELEC S.A.</w:t>
            </w:r>
          </w:p>
        </w:tc>
        <w:tc>
          <w:tcPr>
            <w:tcW w:w="2154" w:type="dxa"/>
            <w:tcBorders>
              <w:top w:val="nil"/>
              <w:left w:val="nil"/>
              <w:bottom w:val="single" w:sz="4" w:space="0" w:color="auto"/>
              <w:right w:val="single" w:sz="4" w:space="0" w:color="auto"/>
            </w:tcBorders>
            <w:shd w:val="clear" w:color="auto" w:fill="auto"/>
            <w:noWrap/>
            <w:vAlign w:val="bottom"/>
            <w:hideMark/>
          </w:tcPr>
          <w:p w14:paraId="6492E479"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3.766.417,08</w:t>
            </w:r>
          </w:p>
        </w:tc>
      </w:tr>
      <w:tr w:rsidR="004864FF" w:rsidRPr="00A81CB8" w14:paraId="4D563488"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16C47ADA"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SE-N_5</w:t>
            </w:r>
          </w:p>
        </w:tc>
        <w:tc>
          <w:tcPr>
            <w:tcW w:w="3969" w:type="dxa"/>
            <w:tcBorders>
              <w:top w:val="nil"/>
              <w:left w:val="nil"/>
              <w:bottom w:val="single" w:sz="4" w:space="0" w:color="auto"/>
              <w:right w:val="single" w:sz="4" w:space="0" w:color="auto"/>
            </w:tcBorders>
            <w:shd w:val="clear" w:color="auto" w:fill="auto"/>
            <w:vAlign w:val="center"/>
            <w:hideMark/>
          </w:tcPr>
          <w:p w14:paraId="0AA9A86F"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Calama Nueva</w:t>
            </w:r>
          </w:p>
        </w:tc>
        <w:tc>
          <w:tcPr>
            <w:tcW w:w="1077" w:type="dxa"/>
            <w:tcBorders>
              <w:top w:val="nil"/>
              <w:left w:val="nil"/>
              <w:bottom w:val="single" w:sz="4" w:space="0" w:color="auto"/>
              <w:right w:val="single" w:sz="4" w:space="0" w:color="auto"/>
            </w:tcBorders>
            <w:shd w:val="clear" w:color="auto" w:fill="auto"/>
            <w:noWrap/>
            <w:vAlign w:val="bottom"/>
            <w:hideMark/>
          </w:tcPr>
          <w:p w14:paraId="29AF5662"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P_120</w:t>
            </w:r>
          </w:p>
        </w:tc>
        <w:tc>
          <w:tcPr>
            <w:tcW w:w="3969" w:type="dxa"/>
            <w:tcBorders>
              <w:top w:val="nil"/>
              <w:left w:val="nil"/>
              <w:bottom w:val="single" w:sz="4" w:space="0" w:color="auto"/>
              <w:right w:val="single" w:sz="4" w:space="0" w:color="auto"/>
            </w:tcBorders>
            <w:shd w:val="clear" w:color="auto" w:fill="auto"/>
            <w:noWrap/>
            <w:vAlign w:val="bottom"/>
            <w:hideMark/>
          </w:tcPr>
          <w:p w14:paraId="4691BFF3"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TRANSEMEL</w:t>
            </w:r>
          </w:p>
        </w:tc>
        <w:tc>
          <w:tcPr>
            <w:tcW w:w="2154" w:type="dxa"/>
            <w:tcBorders>
              <w:top w:val="nil"/>
              <w:left w:val="nil"/>
              <w:bottom w:val="single" w:sz="4" w:space="0" w:color="auto"/>
              <w:right w:val="single" w:sz="4" w:space="0" w:color="auto"/>
            </w:tcBorders>
            <w:shd w:val="clear" w:color="auto" w:fill="auto"/>
            <w:noWrap/>
            <w:vAlign w:val="bottom"/>
            <w:hideMark/>
          </w:tcPr>
          <w:p w14:paraId="607D98A7"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381.314,12</w:t>
            </w:r>
          </w:p>
        </w:tc>
      </w:tr>
      <w:tr w:rsidR="004864FF" w:rsidRPr="00A81CB8" w14:paraId="544C16E9"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7F2A1487"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SE-N_6</w:t>
            </w:r>
          </w:p>
        </w:tc>
        <w:tc>
          <w:tcPr>
            <w:tcW w:w="3969" w:type="dxa"/>
            <w:tcBorders>
              <w:top w:val="nil"/>
              <w:left w:val="nil"/>
              <w:bottom w:val="single" w:sz="4" w:space="0" w:color="auto"/>
              <w:right w:val="single" w:sz="4" w:space="0" w:color="auto"/>
            </w:tcBorders>
            <w:shd w:val="clear" w:color="auto" w:fill="auto"/>
            <w:vAlign w:val="center"/>
            <w:hideMark/>
          </w:tcPr>
          <w:p w14:paraId="0C62780E"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Candelaria</w:t>
            </w:r>
          </w:p>
        </w:tc>
        <w:tc>
          <w:tcPr>
            <w:tcW w:w="1077" w:type="dxa"/>
            <w:tcBorders>
              <w:top w:val="nil"/>
              <w:left w:val="nil"/>
              <w:bottom w:val="single" w:sz="4" w:space="0" w:color="auto"/>
              <w:right w:val="single" w:sz="4" w:space="0" w:color="auto"/>
            </w:tcBorders>
            <w:shd w:val="clear" w:color="auto" w:fill="auto"/>
            <w:noWrap/>
            <w:vAlign w:val="bottom"/>
            <w:hideMark/>
          </w:tcPr>
          <w:p w14:paraId="38A4720D"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P_244</w:t>
            </w:r>
          </w:p>
        </w:tc>
        <w:tc>
          <w:tcPr>
            <w:tcW w:w="3969" w:type="dxa"/>
            <w:tcBorders>
              <w:top w:val="nil"/>
              <w:left w:val="nil"/>
              <w:bottom w:val="single" w:sz="4" w:space="0" w:color="auto"/>
              <w:right w:val="single" w:sz="4" w:space="0" w:color="auto"/>
            </w:tcBorders>
            <w:shd w:val="clear" w:color="auto" w:fill="auto"/>
            <w:noWrap/>
            <w:vAlign w:val="bottom"/>
            <w:hideMark/>
          </w:tcPr>
          <w:p w14:paraId="17B822B5"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Colbún Transmisión</w:t>
            </w:r>
          </w:p>
        </w:tc>
        <w:tc>
          <w:tcPr>
            <w:tcW w:w="2154" w:type="dxa"/>
            <w:tcBorders>
              <w:top w:val="nil"/>
              <w:left w:val="nil"/>
              <w:bottom w:val="single" w:sz="4" w:space="0" w:color="auto"/>
              <w:right w:val="single" w:sz="4" w:space="0" w:color="auto"/>
            </w:tcBorders>
            <w:shd w:val="clear" w:color="auto" w:fill="auto"/>
            <w:noWrap/>
            <w:vAlign w:val="bottom"/>
            <w:hideMark/>
          </w:tcPr>
          <w:p w14:paraId="0E184642"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1.198.670,08</w:t>
            </w:r>
          </w:p>
        </w:tc>
      </w:tr>
      <w:tr w:rsidR="004864FF" w:rsidRPr="00A81CB8" w14:paraId="76D4B48F" w14:textId="77777777" w:rsidTr="006B5A62">
        <w:trPr>
          <w:jc w:val="center"/>
        </w:trPr>
        <w:tc>
          <w:tcPr>
            <w:tcW w:w="1985"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0617C6AF"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SE-N_7</w:t>
            </w:r>
          </w:p>
        </w:tc>
        <w:tc>
          <w:tcPr>
            <w:tcW w:w="3969" w:type="dxa"/>
            <w:vMerge w:val="restart"/>
            <w:tcBorders>
              <w:top w:val="nil"/>
              <w:left w:val="single" w:sz="4" w:space="0" w:color="auto"/>
              <w:bottom w:val="single" w:sz="4" w:space="0" w:color="auto"/>
              <w:right w:val="single" w:sz="4" w:space="0" w:color="auto"/>
            </w:tcBorders>
            <w:shd w:val="clear" w:color="auto" w:fill="auto"/>
            <w:vAlign w:val="center"/>
            <w:hideMark/>
          </w:tcPr>
          <w:p w14:paraId="592DD97A"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CARDONES</w:t>
            </w:r>
          </w:p>
        </w:tc>
        <w:tc>
          <w:tcPr>
            <w:tcW w:w="1077" w:type="dxa"/>
            <w:tcBorders>
              <w:top w:val="nil"/>
              <w:left w:val="nil"/>
              <w:bottom w:val="single" w:sz="4" w:space="0" w:color="auto"/>
              <w:right w:val="single" w:sz="4" w:space="0" w:color="auto"/>
            </w:tcBorders>
            <w:shd w:val="clear" w:color="auto" w:fill="auto"/>
            <w:noWrap/>
            <w:vAlign w:val="bottom"/>
            <w:hideMark/>
          </w:tcPr>
          <w:p w14:paraId="4EFCF61C"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P_032</w:t>
            </w:r>
          </w:p>
        </w:tc>
        <w:tc>
          <w:tcPr>
            <w:tcW w:w="3969" w:type="dxa"/>
            <w:tcBorders>
              <w:top w:val="nil"/>
              <w:left w:val="nil"/>
              <w:bottom w:val="single" w:sz="4" w:space="0" w:color="auto"/>
              <w:right w:val="single" w:sz="4" w:space="0" w:color="auto"/>
            </w:tcBorders>
            <w:shd w:val="clear" w:color="auto" w:fill="auto"/>
            <w:noWrap/>
            <w:vAlign w:val="bottom"/>
            <w:hideMark/>
          </w:tcPr>
          <w:p w14:paraId="597A7360"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TRANSELEC S.A.</w:t>
            </w:r>
          </w:p>
        </w:tc>
        <w:tc>
          <w:tcPr>
            <w:tcW w:w="2154" w:type="dxa"/>
            <w:tcBorders>
              <w:top w:val="nil"/>
              <w:left w:val="nil"/>
              <w:bottom w:val="single" w:sz="4" w:space="0" w:color="auto"/>
              <w:right w:val="single" w:sz="4" w:space="0" w:color="auto"/>
            </w:tcBorders>
            <w:shd w:val="clear" w:color="auto" w:fill="auto"/>
            <w:noWrap/>
            <w:vAlign w:val="bottom"/>
            <w:hideMark/>
          </w:tcPr>
          <w:p w14:paraId="49A91698"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7.123.620,85</w:t>
            </w:r>
          </w:p>
        </w:tc>
      </w:tr>
      <w:tr w:rsidR="004864FF" w:rsidRPr="00A81CB8" w14:paraId="21820469" w14:textId="77777777" w:rsidTr="006B5A62">
        <w:trPr>
          <w:jc w:val="center"/>
        </w:trPr>
        <w:tc>
          <w:tcPr>
            <w:tcW w:w="1985" w:type="dxa"/>
            <w:vMerge/>
            <w:tcBorders>
              <w:top w:val="nil"/>
              <w:left w:val="single" w:sz="4" w:space="0" w:color="auto"/>
              <w:bottom w:val="single" w:sz="4" w:space="0" w:color="auto"/>
              <w:right w:val="single" w:sz="4" w:space="0" w:color="auto"/>
            </w:tcBorders>
            <w:vAlign w:val="center"/>
            <w:hideMark/>
          </w:tcPr>
          <w:p w14:paraId="591FCF01"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34553959"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bottom"/>
            <w:hideMark/>
          </w:tcPr>
          <w:p w14:paraId="4485D8F5"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P_079</w:t>
            </w:r>
          </w:p>
        </w:tc>
        <w:tc>
          <w:tcPr>
            <w:tcW w:w="3969" w:type="dxa"/>
            <w:tcBorders>
              <w:top w:val="nil"/>
              <w:left w:val="nil"/>
              <w:bottom w:val="single" w:sz="4" w:space="0" w:color="auto"/>
              <w:right w:val="single" w:sz="4" w:space="0" w:color="auto"/>
            </w:tcBorders>
            <w:shd w:val="clear" w:color="auto" w:fill="auto"/>
            <w:noWrap/>
            <w:vAlign w:val="bottom"/>
            <w:hideMark/>
          </w:tcPr>
          <w:p w14:paraId="5DE10FBC"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AES GENER</w:t>
            </w:r>
          </w:p>
        </w:tc>
        <w:tc>
          <w:tcPr>
            <w:tcW w:w="2154" w:type="dxa"/>
            <w:tcBorders>
              <w:top w:val="nil"/>
              <w:left w:val="nil"/>
              <w:bottom w:val="single" w:sz="4" w:space="0" w:color="auto"/>
              <w:right w:val="single" w:sz="4" w:space="0" w:color="auto"/>
            </w:tcBorders>
            <w:shd w:val="clear" w:color="auto" w:fill="auto"/>
            <w:noWrap/>
            <w:vAlign w:val="bottom"/>
            <w:hideMark/>
          </w:tcPr>
          <w:p w14:paraId="1E258C3F"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305.395,59</w:t>
            </w:r>
          </w:p>
        </w:tc>
      </w:tr>
      <w:tr w:rsidR="004864FF" w:rsidRPr="00A81CB8" w14:paraId="548229AB" w14:textId="77777777" w:rsidTr="006B5A62">
        <w:trPr>
          <w:jc w:val="center"/>
        </w:trPr>
        <w:tc>
          <w:tcPr>
            <w:tcW w:w="1985" w:type="dxa"/>
            <w:vMerge/>
            <w:tcBorders>
              <w:top w:val="nil"/>
              <w:left w:val="single" w:sz="4" w:space="0" w:color="auto"/>
              <w:bottom w:val="single" w:sz="4" w:space="0" w:color="auto"/>
              <w:right w:val="single" w:sz="4" w:space="0" w:color="auto"/>
            </w:tcBorders>
            <w:vAlign w:val="center"/>
            <w:hideMark/>
          </w:tcPr>
          <w:p w14:paraId="13EFFA7A"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7868D4FC"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bottom"/>
            <w:hideMark/>
          </w:tcPr>
          <w:p w14:paraId="68BFD05D"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P_255</w:t>
            </w:r>
          </w:p>
        </w:tc>
        <w:tc>
          <w:tcPr>
            <w:tcW w:w="3969" w:type="dxa"/>
            <w:tcBorders>
              <w:top w:val="nil"/>
              <w:left w:val="nil"/>
              <w:bottom w:val="single" w:sz="4" w:space="0" w:color="auto"/>
              <w:right w:val="single" w:sz="4" w:space="0" w:color="auto"/>
            </w:tcBorders>
            <w:shd w:val="clear" w:color="auto" w:fill="auto"/>
            <w:noWrap/>
            <w:vAlign w:val="bottom"/>
            <w:hideMark/>
          </w:tcPr>
          <w:p w14:paraId="21A9738D"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CAP CMP</w:t>
            </w:r>
          </w:p>
        </w:tc>
        <w:tc>
          <w:tcPr>
            <w:tcW w:w="2154" w:type="dxa"/>
            <w:tcBorders>
              <w:top w:val="nil"/>
              <w:left w:val="nil"/>
              <w:bottom w:val="single" w:sz="4" w:space="0" w:color="auto"/>
              <w:right w:val="single" w:sz="4" w:space="0" w:color="auto"/>
            </w:tcBorders>
            <w:shd w:val="clear" w:color="auto" w:fill="auto"/>
            <w:noWrap/>
            <w:vAlign w:val="bottom"/>
            <w:hideMark/>
          </w:tcPr>
          <w:p w14:paraId="7CC2B40C"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83.515,33</w:t>
            </w:r>
          </w:p>
        </w:tc>
      </w:tr>
      <w:tr w:rsidR="004864FF" w:rsidRPr="00A81CB8" w14:paraId="3BBFFB14" w14:textId="77777777" w:rsidTr="006B5A62">
        <w:trPr>
          <w:jc w:val="center"/>
        </w:trPr>
        <w:tc>
          <w:tcPr>
            <w:tcW w:w="1985" w:type="dxa"/>
            <w:vMerge/>
            <w:tcBorders>
              <w:top w:val="nil"/>
              <w:left w:val="single" w:sz="4" w:space="0" w:color="auto"/>
              <w:bottom w:val="single" w:sz="4" w:space="0" w:color="auto"/>
              <w:right w:val="single" w:sz="4" w:space="0" w:color="auto"/>
            </w:tcBorders>
            <w:vAlign w:val="center"/>
            <w:hideMark/>
          </w:tcPr>
          <w:p w14:paraId="208561F6"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380BCFDE"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bottom"/>
            <w:hideMark/>
          </w:tcPr>
          <w:p w14:paraId="383245A6"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P_257</w:t>
            </w:r>
          </w:p>
        </w:tc>
        <w:tc>
          <w:tcPr>
            <w:tcW w:w="3969" w:type="dxa"/>
            <w:tcBorders>
              <w:top w:val="nil"/>
              <w:left w:val="nil"/>
              <w:bottom w:val="single" w:sz="4" w:space="0" w:color="auto"/>
              <w:right w:val="single" w:sz="4" w:space="0" w:color="auto"/>
            </w:tcBorders>
            <w:shd w:val="clear" w:color="auto" w:fill="auto"/>
            <w:noWrap/>
            <w:vAlign w:val="bottom"/>
            <w:hideMark/>
          </w:tcPr>
          <w:p w14:paraId="7BA6CE83"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Minera Maricunga</w:t>
            </w:r>
          </w:p>
        </w:tc>
        <w:tc>
          <w:tcPr>
            <w:tcW w:w="2154" w:type="dxa"/>
            <w:tcBorders>
              <w:top w:val="nil"/>
              <w:left w:val="nil"/>
              <w:bottom w:val="single" w:sz="4" w:space="0" w:color="auto"/>
              <w:right w:val="single" w:sz="4" w:space="0" w:color="auto"/>
            </w:tcBorders>
            <w:shd w:val="clear" w:color="auto" w:fill="auto"/>
            <w:noWrap/>
            <w:vAlign w:val="bottom"/>
            <w:hideMark/>
          </w:tcPr>
          <w:p w14:paraId="494D764B"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16.180,61</w:t>
            </w:r>
          </w:p>
        </w:tc>
      </w:tr>
      <w:tr w:rsidR="004864FF" w:rsidRPr="00A81CB8" w14:paraId="4B9DE3C0" w14:textId="77777777" w:rsidTr="006B5A62">
        <w:trPr>
          <w:jc w:val="center"/>
        </w:trPr>
        <w:tc>
          <w:tcPr>
            <w:tcW w:w="1985" w:type="dxa"/>
            <w:vMerge/>
            <w:tcBorders>
              <w:top w:val="nil"/>
              <w:left w:val="single" w:sz="4" w:space="0" w:color="auto"/>
              <w:bottom w:val="single" w:sz="4" w:space="0" w:color="auto"/>
              <w:right w:val="single" w:sz="4" w:space="0" w:color="auto"/>
            </w:tcBorders>
            <w:vAlign w:val="center"/>
            <w:hideMark/>
          </w:tcPr>
          <w:p w14:paraId="4F101451"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36E85067"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bottom"/>
            <w:hideMark/>
          </w:tcPr>
          <w:p w14:paraId="09614541"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P_290</w:t>
            </w:r>
          </w:p>
        </w:tc>
        <w:tc>
          <w:tcPr>
            <w:tcW w:w="3969" w:type="dxa"/>
            <w:tcBorders>
              <w:top w:val="nil"/>
              <w:left w:val="nil"/>
              <w:bottom w:val="single" w:sz="4" w:space="0" w:color="auto"/>
              <w:right w:val="single" w:sz="4" w:space="0" w:color="auto"/>
            </w:tcBorders>
            <w:shd w:val="clear" w:color="auto" w:fill="auto"/>
            <w:noWrap/>
            <w:vAlign w:val="bottom"/>
            <w:hideMark/>
          </w:tcPr>
          <w:p w14:paraId="73AA8D2D"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Eletrans</w:t>
            </w:r>
          </w:p>
        </w:tc>
        <w:tc>
          <w:tcPr>
            <w:tcW w:w="2154" w:type="dxa"/>
            <w:tcBorders>
              <w:top w:val="nil"/>
              <w:left w:val="nil"/>
              <w:bottom w:val="single" w:sz="4" w:space="0" w:color="auto"/>
              <w:right w:val="single" w:sz="4" w:space="0" w:color="auto"/>
            </w:tcBorders>
            <w:shd w:val="clear" w:color="auto" w:fill="auto"/>
            <w:noWrap/>
            <w:vAlign w:val="bottom"/>
            <w:hideMark/>
          </w:tcPr>
          <w:p w14:paraId="70F6EAE2"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598.379,71</w:t>
            </w:r>
          </w:p>
        </w:tc>
      </w:tr>
      <w:tr w:rsidR="004864FF" w:rsidRPr="00A81CB8" w14:paraId="2995164F" w14:textId="77777777" w:rsidTr="006B5A62">
        <w:trPr>
          <w:jc w:val="center"/>
        </w:trPr>
        <w:tc>
          <w:tcPr>
            <w:tcW w:w="1985"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03371C23"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SE-N_8</w:t>
            </w:r>
          </w:p>
        </w:tc>
        <w:tc>
          <w:tcPr>
            <w:tcW w:w="3969" w:type="dxa"/>
            <w:vMerge w:val="restart"/>
            <w:tcBorders>
              <w:top w:val="nil"/>
              <w:left w:val="single" w:sz="4" w:space="0" w:color="auto"/>
              <w:bottom w:val="single" w:sz="4" w:space="0" w:color="auto"/>
              <w:right w:val="single" w:sz="4" w:space="0" w:color="auto"/>
            </w:tcBorders>
            <w:shd w:val="clear" w:color="auto" w:fill="auto"/>
            <w:vAlign w:val="center"/>
            <w:hideMark/>
          </w:tcPr>
          <w:p w14:paraId="743F26F4"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CARRERA PINTO</w:t>
            </w:r>
          </w:p>
        </w:tc>
        <w:tc>
          <w:tcPr>
            <w:tcW w:w="1077" w:type="dxa"/>
            <w:tcBorders>
              <w:top w:val="nil"/>
              <w:left w:val="nil"/>
              <w:bottom w:val="single" w:sz="4" w:space="0" w:color="auto"/>
              <w:right w:val="single" w:sz="4" w:space="0" w:color="auto"/>
            </w:tcBorders>
            <w:shd w:val="clear" w:color="auto" w:fill="auto"/>
            <w:noWrap/>
            <w:vAlign w:val="bottom"/>
            <w:hideMark/>
          </w:tcPr>
          <w:p w14:paraId="35C66058"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P_032</w:t>
            </w:r>
          </w:p>
        </w:tc>
        <w:tc>
          <w:tcPr>
            <w:tcW w:w="3969" w:type="dxa"/>
            <w:tcBorders>
              <w:top w:val="nil"/>
              <w:left w:val="nil"/>
              <w:bottom w:val="single" w:sz="4" w:space="0" w:color="auto"/>
              <w:right w:val="single" w:sz="4" w:space="0" w:color="auto"/>
            </w:tcBorders>
            <w:shd w:val="clear" w:color="auto" w:fill="auto"/>
            <w:noWrap/>
            <w:vAlign w:val="bottom"/>
            <w:hideMark/>
          </w:tcPr>
          <w:p w14:paraId="166AEA8F"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TRANSELEC S.A.</w:t>
            </w:r>
          </w:p>
        </w:tc>
        <w:tc>
          <w:tcPr>
            <w:tcW w:w="2154" w:type="dxa"/>
            <w:tcBorders>
              <w:top w:val="nil"/>
              <w:left w:val="nil"/>
              <w:bottom w:val="single" w:sz="4" w:space="0" w:color="auto"/>
              <w:right w:val="single" w:sz="4" w:space="0" w:color="auto"/>
            </w:tcBorders>
            <w:shd w:val="clear" w:color="auto" w:fill="auto"/>
            <w:noWrap/>
            <w:vAlign w:val="bottom"/>
            <w:hideMark/>
          </w:tcPr>
          <w:p w14:paraId="1EB53A95"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2.106.409,05</w:t>
            </w:r>
          </w:p>
        </w:tc>
      </w:tr>
      <w:tr w:rsidR="004864FF" w:rsidRPr="00A81CB8" w14:paraId="0A295189" w14:textId="77777777" w:rsidTr="006B5A62">
        <w:trPr>
          <w:jc w:val="center"/>
        </w:trPr>
        <w:tc>
          <w:tcPr>
            <w:tcW w:w="1985" w:type="dxa"/>
            <w:vMerge/>
            <w:tcBorders>
              <w:top w:val="nil"/>
              <w:left w:val="single" w:sz="4" w:space="0" w:color="auto"/>
              <w:bottom w:val="single" w:sz="4" w:space="0" w:color="auto"/>
              <w:right w:val="single" w:sz="4" w:space="0" w:color="auto"/>
            </w:tcBorders>
            <w:vAlign w:val="center"/>
            <w:hideMark/>
          </w:tcPr>
          <w:p w14:paraId="5785A6AB"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3D57E362"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bottom"/>
            <w:hideMark/>
          </w:tcPr>
          <w:p w14:paraId="6FBB0AB4"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P_290</w:t>
            </w:r>
          </w:p>
        </w:tc>
        <w:tc>
          <w:tcPr>
            <w:tcW w:w="3969" w:type="dxa"/>
            <w:tcBorders>
              <w:top w:val="nil"/>
              <w:left w:val="nil"/>
              <w:bottom w:val="single" w:sz="4" w:space="0" w:color="auto"/>
              <w:right w:val="single" w:sz="4" w:space="0" w:color="auto"/>
            </w:tcBorders>
            <w:shd w:val="clear" w:color="auto" w:fill="auto"/>
            <w:noWrap/>
            <w:vAlign w:val="bottom"/>
            <w:hideMark/>
          </w:tcPr>
          <w:p w14:paraId="75968F01"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Eletrans</w:t>
            </w:r>
          </w:p>
        </w:tc>
        <w:tc>
          <w:tcPr>
            <w:tcW w:w="2154" w:type="dxa"/>
            <w:tcBorders>
              <w:top w:val="nil"/>
              <w:left w:val="nil"/>
              <w:bottom w:val="single" w:sz="4" w:space="0" w:color="auto"/>
              <w:right w:val="single" w:sz="4" w:space="0" w:color="auto"/>
            </w:tcBorders>
            <w:shd w:val="clear" w:color="auto" w:fill="auto"/>
            <w:noWrap/>
            <w:vAlign w:val="bottom"/>
            <w:hideMark/>
          </w:tcPr>
          <w:p w14:paraId="2BF8FDB2"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1.112.844,56</w:t>
            </w:r>
          </w:p>
        </w:tc>
      </w:tr>
      <w:tr w:rsidR="004864FF" w:rsidRPr="00A81CB8" w14:paraId="415CCE43" w14:textId="77777777" w:rsidTr="006B5A62">
        <w:trPr>
          <w:jc w:val="center"/>
        </w:trPr>
        <w:tc>
          <w:tcPr>
            <w:tcW w:w="1985" w:type="dxa"/>
            <w:vMerge/>
            <w:tcBorders>
              <w:top w:val="nil"/>
              <w:left w:val="single" w:sz="4" w:space="0" w:color="auto"/>
              <w:bottom w:val="single" w:sz="4" w:space="0" w:color="auto"/>
              <w:right w:val="single" w:sz="4" w:space="0" w:color="auto"/>
            </w:tcBorders>
            <w:vAlign w:val="center"/>
            <w:hideMark/>
          </w:tcPr>
          <w:p w14:paraId="6E29AD43"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4FE8E1E5"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bottom"/>
            <w:hideMark/>
          </w:tcPr>
          <w:p w14:paraId="342EE017"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P_446</w:t>
            </w:r>
          </w:p>
        </w:tc>
        <w:tc>
          <w:tcPr>
            <w:tcW w:w="3969" w:type="dxa"/>
            <w:tcBorders>
              <w:top w:val="nil"/>
              <w:left w:val="nil"/>
              <w:bottom w:val="single" w:sz="4" w:space="0" w:color="auto"/>
              <w:right w:val="single" w:sz="4" w:space="0" w:color="auto"/>
            </w:tcBorders>
            <w:shd w:val="clear" w:color="auto" w:fill="auto"/>
            <w:noWrap/>
            <w:vAlign w:val="bottom"/>
            <w:hideMark/>
          </w:tcPr>
          <w:p w14:paraId="05579A4A"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Luz del Norte</w:t>
            </w:r>
          </w:p>
        </w:tc>
        <w:tc>
          <w:tcPr>
            <w:tcW w:w="2154" w:type="dxa"/>
            <w:tcBorders>
              <w:top w:val="nil"/>
              <w:left w:val="nil"/>
              <w:bottom w:val="single" w:sz="4" w:space="0" w:color="auto"/>
              <w:right w:val="single" w:sz="4" w:space="0" w:color="auto"/>
            </w:tcBorders>
            <w:shd w:val="clear" w:color="auto" w:fill="auto"/>
            <w:noWrap/>
            <w:vAlign w:val="bottom"/>
            <w:hideMark/>
          </w:tcPr>
          <w:p w14:paraId="0CC6CAC0"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130.307,75</w:t>
            </w:r>
          </w:p>
        </w:tc>
      </w:tr>
      <w:tr w:rsidR="004864FF" w:rsidRPr="00A81CB8" w14:paraId="701FB630"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2061C81E"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SE-N_9</w:t>
            </w:r>
          </w:p>
        </w:tc>
        <w:tc>
          <w:tcPr>
            <w:tcW w:w="3969" w:type="dxa"/>
            <w:tcBorders>
              <w:top w:val="nil"/>
              <w:left w:val="nil"/>
              <w:bottom w:val="single" w:sz="4" w:space="0" w:color="auto"/>
              <w:right w:val="single" w:sz="4" w:space="0" w:color="auto"/>
            </w:tcBorders>
            <w:shd w:val="clear" w:color="auto" w:fill="auto"/>
            <w:vAlign w:val="center"/>
            <w:hideMark/>
          </w:tcPr>
          <w:p w14:paraId="6246F054"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CAUTIN</w:t>
            </w:r>
          </w:p>
        </w:tc>
        <w:tc>
          <w:tcPr>
            <w:tcW w:w="1077" w:type="dxa"/>
            <w:tcBorders>
              <w:top w:val="nil"/>
              <w:left w:val="nil"/>
              <w:bottom w:val="single" w:sz="4" w:space="0" w:color="auto"/>
              <w:right w:val="single" w:sz="4" w:space="0" w:color="auto"/>
            </w:tcBorders>
            <w:shd w:val="clear" w:color="auto" w:fill="auto"/>
            <w:noWrap/>
            <w:vAlign w:val="bottom"/>
            <w:hideMark/>
          </w:tcPr>
          <w:p w14:paraId="567EA0A7"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P_032</w:t>
            </w:r>
          </w:p>
        </w:tc>
        <w:tc>
          <w:tcPr>
            <w:tcW w:w="3969" w:type="dxa"/>
            <w:tcBorders>
              <w:top w:val="nil"/>
              <w:left w:val="nil"/>
              <w:bottom w:val="single" w:sz="4" w:space="0" w:color="auto"/>
              <w:right w:val="single" w:sz="4" w:space="0" w:color="auto"/>
            </w:tcBorders>
            <w:shd w:val="clear" w:color="auto" w:fill="auto"/>
            <w:noWrap/>
            <w:vAlign w:val="bottom"/>
            <w:hideMark/>
          </w:tcPr>
          <w:p w14:paraId="52E61436"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TRANSELEC S.A.</w:t>
            </w:r>
          </w:p>
        </w:tc>
        <w:tc>
          <w:tcPr>
            <w:tcW w:w="2154" w:type="dxa"/>
            <w:tcBorders>
              <w:top w:val="nil"/>
              <w:left w:val="nil"/>
              <w:bottom w:val="single" w:sz="4" w:space="0" w:color="auto"/>
              <w:right w:val="single" w:sz="4" w:space="0" w:color="auto"/>
            </w:tcBorders>
            <w:shd w:val="clear" w:color="auto" w:fill="auto"/>
            <w:noWrap/>
            <w:vAlign w:val="bottom"/>
            <w:hideMark/>
          </w:tcPr>
          <w:p w14:paraId="5FA24AE2"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5.371.201,13</w:t>
            </w:r>
          </w:p>
        </w:tc>
      </w:tr>
      <w:tr w:rsidR="004864FF" w:rsidRPr="00A81CB8" w14:paraId="1A61B262" w14:textId="77777777" w:rsidTr="006B5A62">
        <w:trPr>
          <w:jc w:val="center"/>
        </w:trPr>
        <w:tc>
          <w:tcPr>
            <w:tcW w:w="1985"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0B9D3378"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SE-N_10</w:t>
            </w:r>
          </w:p>
        </w:tc>
        <w:tc>
          <w:tcPr>
            <w:tcW w:w="3969" w:type="dxa"/>
            <w:vMerge w:val="restart"/>
            <w:tcBorders>
              <w:top w:val="nil"/>
              <w:left w:val="single" w:sz="4" w:space="0" w:color="auto"/>
              <w:bottom w:val="single" w:sz="4" w:space="0" w:color="auto"/>
              <w:right w:val="single" w:sz="4" w:space="0" w:color="auto"/>
            </w:tcBorders>
            <w:shd w:val="clear" w:color="auto" w:fill="auto"/>
            <w:vAlign w:val="center"/>
            <w:hideMark/>
          </w:tcPr>
          <w:p w14:paraId="28CC48F4"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CERRO NAVIA</w:t>
            </w:r>
          </w:p>
        </w:tc>
        <w:tc>
          <w:tcPr>
            <w:tcW w:w="1077" w:type="dxa"/>
            <w:tcBorders>
              <w:top w:val="nil"/>
              <w:left w:val="nil"/>
              <w:bottom w:val="single" w:sz="4" w:space="0" w:color="auto"/>
              <w:right w:val="single" w:sz="4" w:space="0" w:color="auto"/>
            </w:tcBorders>
            <w:shd w:val="clear" w:color="auto" w:fill="auto"/>
            <w:noWrap/>
            <w:vAlign w:val="bottom"/>
            <w:hideMark/>
          </w:tcPr>
          <w:p w14:paraId="4017819F"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P_032</w:t>
            </w:r>
          </w:p>
        </w:tc>
        <w:tc>
          <w:tcPr>
            <w:tcW w:w="3969" w:type="dxa"/>
            <w:tcBorders>
              <w:top w:val="nil"/>
              <w:left w:val="nil"/>
              <w:bottom w:val="single" w:sz="4" w:space="0" w:color="auto"/>
              <w:right w:val="single" w:sz="4" w:space="0" w:color="auto"/>
            </w:tcBorders>
            <w:shd w:val="clear" w:color="auto" w:fill="auto"/>
            <w:noWrap/>
            <w:vAlign w:val="bottom"/>
            <w:hideMark/>
          </w:tcPr>
          <w:p w14:paraId="60D48774"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TRANSELEC S.A.</w:t>
            </w:r>
          </w:p>
        </w:tc>
        <w:tc>
          <w:tcPr>
            <w:tcW w:w="2154" w:type="dxa"/>
            <w:tcBorders>
              <w:top w:val="nil"/>
              <w:left w:val="nil"/>
              <w:bottom w:val="single" w:sz="4" w:space="0" w:color="auto"/>
              <w:right w:val="single" w:sz="4" w:space="0" w:color="auto"/>
            </w:tcBorders>
            <w:shd w:val="clear" w:color="auto" w:fill="auto"/>
            <w:noWrap/>
            <w:vAlign w:val="bottom"/>
            <w:hideMark/>
          </w:tcPr>
          <w:p w14:paraId="545D4D0C"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42.224.955,50</w:t>
            </w:r>
          </w:p>
        </w:tc>
      </w:tr>
      <w:tr w:rsidR="004864FF" w:rsidRPr="00A81CB8" w14:paraId="7EF42BC3" w14:textId="77777777" w:rsidTr="006B5A62">
        <w:trPr>
          <w:jc w:val="center"/>
        </w:trPr>
        <w:tc>
          <w:tcPr>
            <w:tcW w:w="1985" w:type="dxa"/>
            <w:vMerge/>
            <w:tcBorders>
              <w:top w:val="nil"/>
              <w:left w:val="single" w:sz="4" w:space="0" w:color="auto"/>
              <w:bottom w:val="single" w:sz="4" w:space="0" w:color="auto"/>
              <w:right w:val="single" w:sz="4" w:space="0" w:color="auto"/>
            </w:tcBorders>
            <w:vAlign w:val="center"/>
            <w:hideMark/>
          </w:tcPr>
          <w:p w14:paraId="31051818"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2B7A16EE"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bottom"/>
            <w:hideMark/>
          </w:tcPr>
          <w:p w14:paraId="05CE6382"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P_079</w:t>
            </w:r>
          </w:p>
        </w:tc>
        <w:tc>
          <w:tcPr>
            <w:tcW w:w="3969" w:type="dxa"/>
            <w:tcBorders>
              <w:top w:val="nil"/>
              <w:left w:val="nil"/>
              <w:bottom w:val="single" w:sz="4" w:space="0" w:color="auto"/>
              <w:right w:val="single" w:sz="4" w:space="0" w:color="auto"/>
            </w:tcBorders>
            <w:shd w:val="clear" w:color="auto" w:fill="auto"/>
            <w:noWrap/>
            <w:vAlign w:val="bottom"/>
            <w:hideMark/>
          </w:tcPr>
          <w:p w14:paraId="59CC2ACC"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AES GENER</w:t>
            </w:r>
          </w:p>
        </w:tc>
        <w:tc>
          <w:tcPr>
            <w:tcW w:w="2154" w:type="dxa"/>
            <w:tcBorders>
              <w:top w:val="nil"/>
              <w:left w:val="nil"/>
              <w:bottom w:val="single" w:sz="4" w:space="0" w:color="auto"/>
              <w:right w:val="single" w:sz="4" w:space="0" w:color="auto"/>
            </w:tcBorders>
            <w:shd w:val="clear" w:color="auto" w:fill="auto"/>
            <w:noWrap/>
            <w:vAlign w:val="bottom"/>
            <w:hideMark/>
          </w:tcPr>
          <w:p w14:paraId="0892B346"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97.385,83</w:t>
            </w:r>
          </w:p>
        </w:tc>
      </w:tr>
      <w:tr w:rsidR="004864FF" w:rsidRPr="00A81CB8" w14:paraId="0ACBB516" w14:textId="77777777" w:rsidTr="006B5A62">
        <w:trPr>
          <w:jc w:val="center"/>
        </w:trPr>
        <w:tc>
          <w:tcPr>
            <w:tcW w:w="1985" w:type="dxa"/>
            <w:vMerge/>
            <w:tcBorders>
              <w:top w:val="nil"/>
              <w:left w:val="single" w:sz="4" w:space="0" w:color="auto"/>
              <w:bottom w:val="single" w:sz="4" w:space="0" w:color="auto"/>
              <w:right w:val="single" w:sz="4" w:space="0" w:color="auto"/>
            </w:tcBorders>
            <w:vAlign w:val="center"/>
            <w:hideMark/>
          </w:tcPr>
          <w:p w14:paraId="783FE5E7"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4663B7BE"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bottom"/>
            <w:hideMark/>
          </w:tcPr>
          <w:p w14:paraId="7A8CD25B"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P_111</w:t>
            </w:r>
          </w:p>
        </w:tc>
        <w:tc>
          <w:tcPr>
            <w:tcW w:w="3969" w:type="dxa"/>
            <w:tcBorders>
              <w:top w:val="nil"/>
              <w:left w:val="nil"/>
              <w:bottom w:val="single" w:sz="4" w:space="0" w:color="auto"/>
              <w:right w:val="single" w:sz="4" w:space="0" w:color="auto"/>
            </w:tcBorders>
            <w:shd w:val="clear" w:color="auto" w:fill="auto"/>
            <w:noWrap/>
            <w:vAlign w:val="bottom"/>
            <w:hideMark/>
          </w:tcPr>
          <w:p w14:paraId="076EE134"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ENEL DISTRIBUCION S.A.</w:t>
            </w:r>
          </w:p>
        </w:tc>
        <w:tc>
          <w:tcPr>
            <w:tcW w:w="2154" w:type="dxa"/>
            <w:tcBorders>
              <w:top w:val="nil"/>
              <w:left w:val="nil"/>
              <w:bottom w:val="single" w:sz="4" w:space="0" w:color="auto"/>
              <w:right w:val="single" w:sz="4" w:space="0" w:color="auto"/>
            </w:tcBorders>
            <w:shd w:val="clear" w:color="auto" w:fill="auto"/>
            <w:noWrap/>
            <w:vAlign w:val="bottom"/>
            <w:hideMark/>
          </w:tcPr>
          <w:p w14:paraId="43C229D5"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1.616.775,34</w:t>
            </w:r>
          </w:p>
        </w:tc>
      </w:tr>
      <w:tr w:rsidR="004864FF" w:rsidRPr="00A81CB8" w14:paraId="79DCFE1B" w14:textId="77777777" w:rsidTr="006B5A62">
        <w:trPr>
          <w:jc w:val="center"/>
        </w:trPr>
        <w:tc>
          <w:tcPr>
            <w:tcW w:w="1985" w:type="dxa"/>
            <w:tcBorders>
              <w:top w:val="single" w:sz="4" w:space="0" w:color="auto"/>
            </w:tcBorders>
            <w:shd w:val="clear" w:color="auto" w:fill="auto"/>
            <w:noWrap/>
            <w:vAlign w:val="center"/>
          </w:tcPr>
          <w:p w14:paraId="43EEC543"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p>
        </w:tc>
        <w:tc>
          <w:tcPr>
            <w:tcW w:w="3969" w:type="dxa"/>
            <w:tcBorders>
              <w:top w:val="single" w:sz="4" w:space="0" w:color="auto"/>
            </w:tcBorders>
            <w:shd w:val="clear" w:color="auto" w:fill="auto"/>
            <w:vAlign w:val="center"/>
          </w:tcPr>
          <w:p w14:paraId="3A1284FD"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p>
        </w:tc>
        <w:tc>
          <w:tcPr>
            <w:tcW w:w="1077" w:type="dxa"/>
            <w:tcBorders>
              <w:top w:val="single" w:sz="4" w:space="0" w:color="auto"/>
            </w:tcBorders>
            <w:shd w:val="clear" w:color="auto" w:fill="auto"/>
            <w:noWrap/>
            <w:vAlign w:val="bottom"/>
          </w:tcPr>
          <w:p w14:paraId="7384BC18"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p>
        </w:tc>
        <w:tc>
          <w:tcPr>
            <w:tcW w:w="3969" w:type="dxa"/>
            <w:tcBorders>
              <w:top w:val="single" w:sz="4" w:space="0" w:color="auto"/>
            </w:tcBorders>
            <w:shd w:val="clear" w:color="auto" w:fill="auto"/>
            <w:noWrap/>
            <w:vAlign w:val="bottom"/>
          </w:tcPr>
          <w:p w14:paraId="4630CAEC"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2154" w:type="dxa"/>
            <w:tcBorders>
              <w:top w:val="single" w:sz="4" w:space="0" w:color="auto"/>
            </w:tcBorders>
            <w:shd w:val="clear" w:color="auto" w:fill="auto"/>
            <w:noWrap/>
            <w:vAlign w:val="bottom"/>
          </w:tcPr>
          <w:p w14:paraId="58E59048" w14:textId="77777777" w:rsidR="004864FF" w:rsidRPr="00CF1373" w:rsidRDefault="004864FF" w:rsidP="006B5A62">
            <w:pPr>
              <w:spacing w:before="20" w:after="20" w:line="240" w:lineRule="auto"/>
              <w:jc w:val="right"/>
              <w:rPr>
                <w:rFonts w:asciiTheme="minorHAnsi" w:hAnsiTheme="minorHAnsi" w:cstheme="minorHAnsi"/>
                <w:color w:val="000000"/>
                <w:sz w:val="20"/>
                <w:szCs w:val="20"/>
              </w:rPr>
            </w:pPr>
          </w:p>
        </w:tc>
      </w:tr>
      <w:tr w:rsidR="004864FF" w:rsidRPr="00A81CB8" w14:paraId="7EB3385D" w14:textId="77777777" w:rsidTr="006B5A62">
        <w:trPr>
          <w:jc w:val="center"/>
        </w:trPr>
        <w:tc>
          <w:tcPr>
            <w:tcW w:w="1985" w:type="dxa"/>
            <w:vMerge w:val="restart"/>
            <w:tcBorders>
              <w:left w:val="single" w:sz="4" w:space="0" w:color="auto"/>
              <w:bottom w:val="single" w:sz="4" w:space="0" w:color="auto"/>
              <w:right w:val="single" w:sz="4" w:space="0" w:color="auto"/>
            </w:tcBorders>
            <w:shd w:val="clear" w:color="auto" w:fill="auto"/>
            <w:noWrap/>
            <w:vAlign w:val="center"/>
            <w:hideMark/>
          </w:tcPr>
          <w:p w14:paraId="2E0D5DDA"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lastRenderedPageBreak/>
              <w:t>SE-N_11</w:t>
            </w:r>
          </w:p>
        </w:tc>
        <w:tc>
          <w:tcPr>
            <w:tcW w:w="3969" w:type="dxa"/>
            <w:vMerge w:val="restart"/>
            <w:tcBorders>
              <w:left w:val="single" w:sz="4" w:space="0" w:color="auto"/>
              <w:bottom w:val="single" w:sz="4" w:space="0" w:color="auto"/>
              <w:right w:val="single" w:sz="4" w:space="0" w:color="auto"/>
            </w:tcBorders>
            <w:shd w:val="clear" w:color="auto" w:fill="auto"/>
            <w:vAlign w:val="center"/>
            <w:hideMark/>
          </w:tcPr>
          <w:p w14:paraId="51D63A67"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CHARRUA</w:t>
            </w:r>
          </w:p>
        </w:tc>
        <w:tc>
          <w:tcPr>
            <w:tcW w:w="1077" w:type="dxa"/>
            <w:tcBorders>
              <w:left w:val="nil"/>
              <w:bottom w:val="single" w:sz="4" w:space="0" w:color="auto"/>
              <w:right w:val="single" w:sz="4" w:space="0" w:color="auto"/>
            </w:tcBorders>
            <w:shd w:val="clear" w:color="auto" w:fill="auto"/>
            <w:noWrap/>
            <w:vAlign w:val="bottom"/>
          </w:tcPr>
          <w:p w14:paraId="228B62D4"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P_032</w:t>
            </w:r>
          </w:p>
        </w:tc>
        <w:tc>
          <w:tcPr>
            <w:tcW w:w="3969" w:type="dxa"/>
            <w:tcBorders>
              <w:left w:val="nil"/>
              <w:bottom w:val="single" w:sz="4" w:space="0" w:color="auto"/>
              <w:right w:val="single" w:sz="4" w:space="0" w:color="auto"/>
            </w:tcBorders>
            <w:shd w:val="clear" w:color="auto" w:fill="auto"/>
            <w:noWrap/>
            <w:vAlign w:val="bottom"/>
          </w:tcPr>
          <w:p w14:paraId="585B1796"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TRANSELEC S.A.</w:t>
            </w:r>
          </w:p>
        </w:tc>
        <w:tc>
          <w:tcPr>
            <w:tcW w:w="2154" w:type="dxa"/>
            <w:tcBorders>
              <w:left w:val="nil"/>
              <w:bottom w:val="single" w:sz="4" w:space="0" w:color="auto"/>
              <w:right w:val="single" w:sz="4" w:space="0" w:color="auto"/>
            </w:tcBorders>
            <w:shd w:val="clear" w:color="auto" w:fill="auto"/>
            <w:noWrap/>
            <w:vAlign w:val="bottom"/>
          </w:tcPr>
          <w:p w14:paraId="39A4B4A7"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24.821.195,66</w:t>
            </w:r>
          </w:p>
        </w:tc>
      </w:tr>
      <w:tr w:rsidR="004864FF" w:rsidRPr="00A81CB8" w14:paraId="7F66BFEB" w14:textId="77777777" w:rsidTr="006B5A62">
        <w:trPr>
          <w:jc w:val="center"/>
        </w:trPr>
        <w:tc>
          <w:tcPr>
            <w:tcW w:w="1985" w:type="dxa"/>
            <w:vMerge/>
            <w:tcBorders>
              <w:top w:val="nil"/>
              <w:left w:val="single" w:sz="4" w:space="0" w:color="auto"/>
              <w:bottom w:val="single" w:sz="4" w:space="0" w:color="auto"/>
              <w:right w:val="single" w:sz="4" w:space="0" w:color="auto"/>
            </w:tcBorders>
            <w:vAlign w:val="center"/>
            <w:hideMark/>
          </w:tcPr>
          <w:p w14:paraId="3C8655DA"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08984EA9"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bottom"/>
          </w:tcPr>
          <w:p w14:paraId="560E614A"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P_079</w:t>
            </w:r>
          </w:p>
        </w:tc>
        <w:tc>
          <w:tcPr>
            <w:tcW w:w="3969" w:type="dxa"/>
            <w:tcBorders>
              <w:top w:val="nil"/>
              <w:left w:val="nil"/>
              <w:bottom w:val="single" w:sz="4" w:space="0" w:color="auto"/>
              <w:right w:val="single" w:sz="4" w:space="0" w:color="auto"/>
            </w:tcBorders>
            <w:shd w:val="clear" w:color="auto" w:fill="auto"/>
            <w:noWrap/>
            <w:vAlign w:val="bottom"/>
          </w:tcPr>
          <w:p w14:paraId="00B7410F"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AES GENER</w:t>
            </w:r>
          </w:p>
        </w:tc>
        <w:tc>
          <w:tcPr>
            <w:tcW w:w="2154" w:type="dxa"/>
            <w:tcBorders>
              <w:top w:val="nil"/>
              <w:left w:val="nil"/>
              <w:bottom w:val="single" w:sz="4" w:space="0" w:color="auto"/>
              <w:right w:val="single" w:sz="4" w:space="0" w:color="auto"/>
            </w:tcBorders>
            <w:shd w:val="clear" w:color="auto" w:fill="auto"/>
            <w:noWrap/>
            <w:vAlign w:val="bottom"/>
          </w:tcPr>
          <w:p w14:paraId="11478284"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42.238,43</w:t>
            </w:r>
          </w:p>
        </w:tc>
      </w:tr>
      <w:tr w:rsidR="004864FF" w:rsidRPr="00A81CB8" w14:paraId="3664BF70" w14:textId="77777777" w:rsidTr="006B5A62">
        <w:trPr>
          <w:jc w:val="center"/>
        </w:trPr>
        <w:tc>
          <w:tcPr>
            <w:tcW w:w="1985" w:type="dxa"/>
            <w:vMerge/>
            <w:tcBorders>
              <w:top w:val="nil"/>
              <w:left w:val="single" w:sz="4" w:space="0" w:color="auto"/>
              <w:bottom w:val="single" w:sz="4" w:space="0" w:color="auto"/>
              <w:right w:val="single" w:sz="4" w:space="0" w:color="auto"/>
            </w:tcBorders>
            <w:vAlign w:val="center"/>
            <w:hideMark/>
          </w:tcPr>
          <w:p w14:paraId="23DD8808"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04B85B20"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bottom"/>
          </w:tcPr>
          <w:p w14:paraId="2F8C814A"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P_083</w:t>
            </w:r>
          </w:p>
        </w:tc>
        <w:tc>
          <w:tcPr>
            <w:tcW w:w="3969" w:type="dxa"/>
            <w:tcBorders>
              <w:top w:val="nil"/>
              <w:left w:val="nil"/>
              <w:bottom w:val="single" w:sz="4" w:space="0" w:color="auto"/>
              <w:right w:val="single" w:sz="4" w:space="0" w:color="auto"/>
            </w:tcBorders>
            <w:shd w:val="clear" w:color="auto" w:fill="auto"/>
            <w:noWrap/>
            <w:vAlign w:val="bottom"/>
          </w:tcPr>
          <w:p w14:paraId="3C48C33C"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CGE</w:t>
            </w:r>
          </w:p>
        </w:tc>
        <w:tc>
          <w:tcPr>
            <w:tcW w:w="2154" w:type="dxa"/>
            <w:tcBorders>
              <w:top w:val="nil"/>
              <w:left w:val="nil"/>
              <w:bottom w:val="single" w:sz="4" w:space="0" w:color="auto"/>
              <w:right w:val="single" w:sz="4" w:space="0" w:color="auto"/>
            </w:tcBorders>
            <w:shd w:val="clear" w:color="auto" w:fill="auto"/>
            <w:noWrap/>
            <w:vAlign w:val="bottom"/>
          </w:tcPr>
          <w:p w14:paraId="4E7695FC"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18.830,08</w:t>
            </w:r>
          </w:p>
        </w:tc>
      </w:tr>
      <w:tr w:rsidR="004864FF" w:rsidRPr="00A81CB8" w14:paraId="5EEB9213" w14:textId="77777777" w:rsidTr="006B5A62">
        <w:trPr>
          <w:jc w:val="center"/>
        </w:trPr>
        <w:tc>
          <w:tcPr>
            <w:tcW w:w="1985" w:type="dxa"/>
            <w:vMerge/>
            <w:tcBorders>
              <w:top w:val="nil"/>
              <w:left w:val="single" w:sz="4" w:space="0" w:color="auto"/>
              <w:bottom w:val="single" w:sz="4" w:space="0" w:color="auto"/>
              <w:right w:val="single" w:sz="4" w:space="0" w:color="auto"/>
            </w:tcBorders>
            <w:vAlign w:val="center"/>
            <w:hideMark/>
          </w:tcPr>
          <w:p w14:paraId="5210EBD3"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6E33EA12"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bottom"/>
          </w:tcPr>
          <w:p w14:paraId="58A7AE5F"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P_244</w:t>
            </w:r>
          </w:p>
        </w:tc>
        <w:tc>
          <w:tcPr>
            <w:tcW w:w="3969" w:type="dxa"/>
            <w:tcBorders>
              <w:top w:val="nil"/>
              <w:left w:val="nil"/>
              <w:bottom w:val="single" w:sz="4" w:space="0" w:color="auto"/>
              <w:right w:val="single" w:sz="4" w:space="0" w:color="auto"/>
            </w:tcBorders>
            <w:shd w:val="clear" w:color="auto" w:fill="auto"/>
            <w:noWrap/>
            <w:vAlign w:val="bottom"/>
          </w:tcPr>
          <w:p w14:paraId="33D959B0"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Colbún Transmisión</w:t>
            </w:r>
          </w:p>
        </w:tc>
        <w:tc>
          <w:tcPr>
            <w:tcW w:w="2154" w:type="dxa"/>
            <w:tcBorders>
              <w:top w:val="nil"/>
              <w:left w:val="nil"/>
              <w:bottom w:val="single" w:sz="4" w:space="0" w:color="auto"/>
              <w:right w:val="single" w:sz="4" w:space="0" w:color="auto"/>
            </w:tcBorders>
            <w:shd w:val="clear" w:color="auto" w:fill="auto"/>
            <w:noWrap/>
            <w:vAlign w:val="bottom"/>
          </w:tcPr>
          <w:p w14:paraId="34529359"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387.479,61</w:t>
            </w:r>
          </w:p>
        </w:tc>
      </w:tr>
      <w:tr w:rsidR="004864FF" w:rsidRPr="00A81CB8" w14:paraId="4401810A" w14:textId="77777777" w:rsidTr="006B5A62">
        <w:trPr>
          <w:jc w:val="center"/>
        </w:trPr>
        <w:tc>
          <w:tcPr>
            <w:tcW w:w="1985"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0E4FCD74"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SE-N_12</w:t>
            </w:r>
          </w:p>
        </w:tc>
        <w:tc>
          <w:tcPr>
            <w:tcW w:w="3969" w:type="dxa"/>
            <w:vMerge w:val="restart"/>
            <w:tcBorders>
              <w:top w:val="nil"/>
              <w:left w:val="single" w:sz="4" w:space="0" w:color="auto"/>
              <w:bottom w:val="single" w:sz="4" w:space="0" w:color="auto"/>
              <w:right w:val="single" w:sz="4" w:space="0" w:color="auto"/>
            </w:tcBorders>
            <w:shd w:val="clear" w:color="auto" w:fill="auto"/>
            <w:vAlign w:val="center"/>
            <w:hideMark/>
          </w:tcPr>
          <w:p w14:paraId="268999DC"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CHENA</w:t>
            </w:r>
          </w:p>
        </w:tc>
        <w:tc>
          <w:tcPr>
            <w:tcW w:w="1077" w:type="dxa"/>
            <w:tcBorders>
              <w:top w:val="nil"/>
              <w:left w:val="nil"/>
              <w:bottom w:val="single" w:sz="4" w:space="0" w:color="auto"/>
              <w:right w:val="single" w:sz="4" w:space="0" w:color="auto"/>
            </w:tcBorders>
            <w:shd w:val="clear" w:color="auto" w:fill="auto"/>
            <w:noWrap/>
            <w:vAlign w:val="bottom"/>
          </w:tcPr>
          <w:p w14:paraId="07E041AD"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P_032</w:t>
            </w:r>
          </w:p>
        </w:tc>
        <w:tc>
          <w:tcPr>
            <w:tcW w:w="3969" w:type="dxa"/>
            <w:tcBorders>
              <w:top w:val="nil"/>
              <w:left w:val="nil"/>
              <w:bottom w:val="single" w:sz="4" w:space="0" w:color="auto"/>
              <w:right w:val="single" w:sz="4" w:space="0" w:color="auto"/>
            </w:tcBorders>
            <w:shd w:val="clear" w:color="auto" w:fill="auto"/>
            <w:noWrap/>
            <w:vAlign w:val="bottom"/>
          </w:tcPr>
          <w:p w14:paraId="41443887"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TRANSELEC S.A.</w:t>
            </w:r>
          </w:p>
        </w:tc>
        <w:tc>
          <w:tcPr>
            <w:tcW w:w="2154" w:type="dxa"/>
            <w:tcBorders>
              <w:top w:val="nil"/>
              <w:left w:val="nil"/>
              <w:bottom w:val="single" w:sz="4" w:space="0" w:color="auto"/>
              <w:right w:val="single" w:sz="4" w:space="0" w:color="auto"/>
            </w:tcBorders>
            <w:shd w:val="clear" w:color="auto" w:fill="auto"/>
            <w:noWrap/>
            <w:vAlign w:val="bottom"/>
          </w:tcPr>
          <w:p w14:paraId="71397319"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463.819,70</w:t>
            </w:r>
          </w:p>
        </w:tc>
      </w:tr>
      <w:tr w:rsidR="004864FF" w:rsidRPr="00A81CB8" w14:paraId="1DBB2D79" w14:textId="77777777" w:rsidTr="006B5A62">
        <w:trPr>
          <w:jc w:val="center"/>
        </w:trPr>
        <w:tc>
          <w:tcPr>
            <w:tcW w:w="1985" w:type="dxa"/>
            <w:vMerge/>
            <w:tcBorders>
              <w:top w:val="nil"/>
              <w:left w:val="single" w:sz="4" w:space="0" w:color="auto"/>
              <w:bottom w:val="single" w:sz="4" w:space="0" w:color="auto"/>
              <w:right w:val="single" w:sz="4" w:space="0" w:color="auto"/>
            </w:tcBorders>
            <w:vAlign w:val="center"/>
            <w:hideMark/>
          </w:tcPr>
          <w:p w14:paraId="08C03953"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5163CCB7"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bottom"/>
          </w:tcPr>
          <w:p w14:paraId="7CB15EB8"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P_111</w:t>
            </w:r>
          </w:p>
        </w:tc>
        <w:tc>
          <w:tcPr>
            <w:tcW w:w="3969" w:type="dxa"/>
            <w:tcBorders>
              <w:top w:val="nil"/>
              <w:left w:val="nil"/>
              <w:bottom w:val="single" w:sz="4" w:space="0" w:color="auto"/>
              <w:right w:val="single" w:sz="4" w:space="0" w:color="auto"/>
            </w:tcBorders>
            <w:shd w:val="clear" w:color="auto" w:fill="auto"/>
            <w:noWrap/>
            <w:vAlign w:val="bottom"/>
          </w:tcPr>
          <w:p w14:paraId="3B8BBBAB"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ENEL DISTRIBUCION S.A.</w:t>
            </w:r>
          </w:p>
        </w:tc>
        <w:tc>
          <w:tcPr>
            <w:tcW w:w="2154" w:type="dxa"/>
            <w:tcBorders>
              <w:top w:val="nil"/>
              <w:left w:val="nil"/>
              <w:bottom w:val="single" w:sz="4" w:space="0" w:color="auto"/>
              <w:right w:val="single" w:sz="4" w:space="0" w:color="auto"/>
            </w:tcBorders>
            <w:shd w:val="clear" w:color="auto" w:fill="auto"/>
            <w:noWrap/>
            <w:vAlign w:val="bottom"/>
          </w:tcPr>
          <w:p w14:paraId="7AAB6E80"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18.944.322,72</w:t>
            </w:r>
          </w:p>
        </w:tc>
      </w:tr>
      <w:tr w:rsidR="004864FF" w:rsidRPr="00A81CB8" w14:paraId="62EBAFE5" w14:textId="77777777" w:rsidTr="006B5A62">
        <w:trPr>
          <w:jc w:val="center"/>
        </w:trPr>
        <w:tc>
          <w:tcPr>
            <w:tcW w:w="1985" w:type="dxa"/>
            <w:vMerge/>
            <w:tcBorders>
              <w:top w:val="nil"/>
              <w:left w:val="single" w:sz="4" w:space="0" w:color="auto"/>
              <w:bottom w:val="single" w:sz="4" w:space="0" w:color="auto"/>
              <w:right w:val="single" w:sz="4" w:space="0" w:color="auto"/>
            </w:tcBorders>
            <w:vAlign w:val="center"/>
            <w:hideMark/>
          </w:tcPr>
          <w:p w14:paraId="30CC2FEF"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2457A769"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bottom"/>
          </w:tcPr>
          <w:p w14:paraId="51BE3AD7"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P_513</w:t>
            </w:r>
          </w:p>
        </w:tc>
        <w:tc>
          <w:tcPr>
            <w:tcW w:w="3969" w:type="dxa"/>
            <w:tcBorders>
              <w:top w:val="nil"/>
              <w:left w:val="nil"/>
              <w:bottom w:val="single" w:sz="4" w:space="0" w:color="auto"/>
              <w:right w:val="single" w:sz="4" w:space="0" w:color="auto"/>
            </w:tcBorders>
            <w:shd w:val="clear" w:color="auto" w:fill="auto"/>
            <w:noWrap/>
            <w:vAlign w:val="bottom"/>
          </w:tcPr>
          <w:p w14:paraId="09E41FD4"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Chena S. A.</w:t>
            </w:r>
          </w:p>
        </w:tc>
        <w:tc>
          <w:tcPr>
            <w:tcW w:w="2154" w:type="dxa"/>
            <w:tcBorders>
              <w:top w:val="nil"/>
              <w:left w:val="nil"/>
              <w:bottom w:val="single" w:sz="4" w:space="0" w:color="auto"/>
              <w:right w:val="single" w:sz="4" w:space="0" w:color="auto"/>
            </w:tcBorders>
            <w:shd w:val="clear" w:color="auto" w:fill="auto"/>
            <w:noWrap/>
            <w:vAlign w:val="bottom"/>
          </w:tcPr>
          <w:p w14:paraId="0FA5B3B4"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131.645,95</w:t>
            </w:r>
          </w:p>
        </w:tc>
      </w:tr>
      <w:tr w:rsidR="004864FF" w:rsidRPr="00A81CB8" w14:paraId="360630BD"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06C7C42E"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SE-N_13</w:t>
            </w:r>
          </w:p>
        </w:tc>
        <w:tc>
          <w:tcPr>
            <w:tcW w:w="3969" w:type="dxa"/>
            <w:tcBorders>
              <w:top w:val="nil"/>
              <w:left w:val="nil"/>
              <w:bottom w:val="single" w:sz="4" w:space="0" w:color="auto"/>
              <w:right w:val="single" w:sz="4" w:space="0" w:color="auto"/>
            </w:tcBorders>
            <w:shd w:val="clear" w:color="auto" w:fill="auto"/>
            <w:vAlign w:val="center"/>
            <w:hideMark/>
          </w:tcPr>
          <w:p w14:paraId="38BDBFF9"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Chiloé</w:t>
            </w:r>
          </w:p>
        </w:tc>
        <w:tc>
          <w:tcPr>
            <w:tcW w:w="1077" w:type="dxa"/>
            <w:tcBorders>
              <w:top w:val="nil"/>
              <w:left w:val="nil"/>
              <w:bottom w:val="single" w:sz="4" w:space="0" w:color="auto"/>
              <w:right w:val="single" w:sz="4" w:space="0" w:color="auto"/>
            </w:tcBorders>
            <w:shd w:val="clear" w:color="auto" w:fill="auto"/>
            <w:noWrap/>
            <w:vAlign w:val="bottom"/>
          </w:tcPr>
          <w:p w14:paraId="627A9430"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P_100</w:t>
            </w:r>
          </w:p>
        </w:tc>
        <w:tc>
          <w:tcPr>
            <w:tcW w:w="3969" w:type="dxa"/>
            <w:tcBorders>
              <w:top w:val="nil"/>
              <w:left w:val="nil"/>
              <w:bottom w:val="single" w:sz="4" w:space="0" w:color="auto"/>
              <w:right w:val="single" w:sz="4" w:space="0" w:color="auto"/>
            </w:tcBorders>
            <w:shd w:val="clear" w:color="auto" w:fill="auto"/>
            <w:noWrap/>
            <w:vAlign w:val="bottom"/>
          </w:tcPr>
          <w:p w14:paraId="1393E263"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STS</w:t>
            </w:r>
          </w:p>
        </w:tc>
        <w:tc>
          <w:tcPr>
            <w:tcW w:w="2154" w:type="dxa"/>
            <w:tcBorders>
              <w:top w:val="nil"/>
              <w:left w:val="nil"/>
              <w:bottom w:val="single" w:sz="4" w:space="0" w:color="auto"/>
              <w:right w:val="single" w:sz="4" w:space="0" w:color="auto"/>
            </w:tcBorders>
            <w:shd w:val="clear" w:color="auto" w:fill="auto"/>
            <w:noWrap/>
            <w:vAlign w:val="bottom"/>
          </w:tcPr>
          <w:p w14:paraId="2B60A77D"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2.499.633,21</w:t>
            </w:r>
          </w:p>
        </w:tc>
      </w:tr>
      <w:tr w:rsidR="004864FF" w:rsidRPr="00A81CB8" w14:paraId="621BEE85" w14:textId="77777777" w:rsidTr="006B5A62">
        <w:trPr>
          <w:jc w:val="center"/>
        </w:trPr>
        <w:tc>
          <w:tcPr>
            <w:tcW w:w="1985"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2688A3B2"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SE-N_14</w:t>
            </w:r>
          </w:p>
        </w:tc>
        <w:tc>
          <w:tcPr>
            <w:tcW w:w="3969" w:type="dxa"/>
            <w:vMerge w:val="restart"/>
            <w:tcBorders>
              <w:top w:val="nil"/>
              <w:left w:val="single" w:sz="4" w:space="0" w:color="auto"/>
              <w:bottom w:val="single" w:sz="4" w:space="0" w:color="auto"/>
              <w:right w:val="single" w:sz="4" w:space="0" w:color="auto"/>
            </w:tcBorders>
            <w:shd w:val="clear" w:color="auto" w:fill="auto"/>
            <w:vAlign w:val="center"/>
            <w:hideMark/>
          </w:tcPr>
          <w:p w14:paraId="62FC9FC1"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Chuquicamata</w:t>
            </w:r>
          </w:p>
        </w:tc>
        <w:tc>
          <w:tcPr>
            <w:tcW w:w="1077" w:type="dxa"/>
            <w:tcBorders>
              <w:top w:val="nil"/>
              <w:left w:val="nil"/>
              <w:bottom w:val="single" w:sz="4" w:space="0" w:color="auto"/>
              <w:right w:val="single" w:sz="4" w:space="0" w:color="auto"/>
            </w:tcBorders>
            <w:shd w:val="clear" w:color="auto" w:fill="auto"/>
            <w:noWrap/>
            <w:vAlign w:val="bottom"/>
          </w:tcPr>
          <w:p w14:paraId="1089A2E1"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P_133</w:t>
            </w:r>
          </w:p>
        </w:tc>
        <w:tc>
          <w:tcPr>
            <w:tcW w:w="3969" w:type="dxa"/>
            <w:tcBorders>
              <w:top w:val="nil"/>
              <w:left w:val="nil"/>
              <w:bottom w:val="single" w:sz="4" w:space="0" w:color="auto"/>
              <w:right w:val="single" w:sz="4" w:space="0" w:color="auto"/>
            </w:tcBorders>
            <w:shd w:val="clear" w:color="auto" w:fill="auto"/>
            <w:noWrap/>
            <w:vAlign w:val="bottom"/>
          </w:tcPr>
          <w:p w14:paraId="0B3A5D92"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CODELCO NORTE</w:t>
            </w:r>
          </w:p>
        </w:tc>
        <w:tc>
          <w:tcPr>
            <w:tcW w:w="2154" w:type="dxa"/>
            <w:tcBorders>
              <w:top w:val="nil"/>
              <w:left w:val="nil"/>
              <w:bottom w:val="single" w:sz="4" w:space="0" w:color="auto"/>
              <w:right w:val="single" w:sz="4" w:space="0" w:color="auto"/>
            </w:tcBorders>
            <w:shd w:val="clear" w:color="auto" w:fill="auto"/>
            <w:noWrap/>
            <w:vAlign w:val="bottom"/>
          </w:tcPr>
          <w:p w14:paraId="5924569F"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3.054.916,11</w:t>
            </w:r>
          </w:p>
        </w:tc>
      </w:tr>
      <w:tr w:rsidR="004864FF" w:rsidRPr="00A81CB8" w14:paraId="4F25704F" w14:textId="77777777" w:rsidTr="006B5A62">
        <w:trPr>
          <w:jc w:val="center"/>
        </w:trPr>
        <w:tc>
          <w:tcPr>
            <w:tcW w:w="1985" w:type="dxa"/>
            <w:vMerge/>
            <w:tcBorders>
              <w:top w:val="nil"/>
              <w:left w:val="single" w:sz="4" w:space="0" w:color="auto"/>
              <w:bottom w:val="single" w:sz="4" w:space="0" w:color="auto"/>
              <w:right w:val="single" w:sz="4" w:space="0" w:color="auto"/>
            </w:tcBorders>
            <w:vAlign w:val="center"/>
            <w:hideMark/>
          </w:tcPr>
          <w:p w14:paraId="649A5F92"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11515C87"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bottom"/>
          </w:tcPr>
          <w:p w14:paraId="79575D83"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P_517</w:t>
            </w:r>
          </w:p>
        </w:tc>
        <w:tc>
          <w:tcPr>
            <w:tcW w:w="3969" w:type="dxa"/>
            <w:tcBorders>
              <w:top w:val="nil"/>
              <w:left w:val="nil"/>
              <w:bottom w:val="single" w:sz="4" w:space="0" w:color="auto"/>
              <w:right w:val="single" w:sz="4" w:space="0" w:color="auto"/>
            </w:tcBorders>
            <w:shd w:val="clear" w:color="auto" w:fill="auto"/>
            <w:noWrap/>
            <w:vAlign w:val="bottom"/>
          </w:tcPr>
          <w:p w14:paraId="27AB6CD1"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Valle de los Vientos</w:t>
            </w:r>
          </w:p>
        </w:tc>
        <w:tc>
          <w:tcPr>
            <w:tcW w:w="2154" w:type="dxa"/>
            <w:tcBorders>
              <w:top w:val="nil"/>
              <w:left w:val="nil"/>
              <w:bottom w:val="single" w:sz="4" w:space="0" w:color="auto"/>
              <w:right w:val="single" w:sz="4" w:space="0" w:color="auto"/>
            </w:tcBorders>
            <w:shd w:val="clear" w:color="auto" w:fill="auto"/>
            <w:noWrap/>
            <w:vAlign w:val="bottom"/>
          </w:tcPr>
          <w:p w14:paraId="767A5BEC"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5.076,43</w:t>
            </w:r>
          </w:p>
        </w:tc>
      </w:tr>
      <w:tr w:rsidR="004864FF" w:rsidRPr="00A81CB8" w14:paraId="3899DC86" w14:textId="77777777" w:rsidTr="006B5A62">
        <w:trPr>
          <w:jc w:val="center"/>
        </w:trPr>
        <w:tc>
          <w:tcPr>
            <w:tcW w:w="1985"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6A525F0A"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SE-N_15</w:t>
            </w:r>
          </w:p>
        </w:tc>
        <w:tc>
          <w:tcPr>
            <w:tcW w:w="3969" w:type="dxa"/>
            <w:vMerge w:val="restart"/>
            <w:tcBorders>
              <w:top w:val="nil"/>
              <w:left w:val="single" w:sz="4" w:space="0" w:color="auto"/>
              <w:bottom w:val="single" w:sz="4" w:space="0" w:color="auto"/>
              <w:right w:val="single" w:sz="4" w:space="0" w:color="auto"/>
            </w:tcBorders>
            <w:shd w:val="clear" w:color="auto" w:fill="auto"/>
            <w:vAlign w:val="center"/>
            <w:hideMark/>
          </w:tcPr>
          <w:p w14:paraId="7514E263"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CIRUELOS</w:t>
            </w:r>
          </w:p>
        </w:tc>
        <w:tc>
          <w:tcPr>
            <w:tcW w:w="1077" w:type="dxa"/>
            <w:tcBorders>
              <w:top w:val="nil"/>
              <w:left w:val="nil"/>
              <w:bottom w:val="single" w:sz="4" w:space="0" w:color="auto"/>
              <w:right w:val="single" w:sz="4" w:space="0" w:color="auto"/>
            </w:tcBorders>
            <w:shd w:val="clear" w:color="auto" w:fill="auto"/>
            <w:noWrap/>
            <w:vAlign w:val="bottom"/>
          </w:tcPr>
          <w:p w14:paraId="3D3DF56A"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P_032</w:t>
            </w:r>
          </w:p>
        </w:tc>
        <w:tc>
          <w:tcPr>
            <w:tcW w:w="3969" w:type="dxa"/>
            <w:tcBorders>
              <w:top w:val="nil"/>
              <w:left w:val="nil"/>
              <w:bottom w:val="single" w:sz="4" w:space="0" w:color="auto"/>
              <w:right w:val="single" w:sz="4" w:space="0" w:color="auto"/>
            </w:tcBorders>
            <w:shd w:val="clear" w:color="auto" w:fill="auto"/>
            <w:noWrap/>
            <w:vAlign w:val="bottom"/>
          </w:tcPr>
          <w:p w14:paraId="0CFCAA52"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TRANSELEC S.A.</w:t>
            </w:r>
          </w:p>
        </w:tc>
        <w:tc>
          <w:tcPr>
            <w:tcW w:w="2154" w:type="dxa"/>
            <w:tcBorders>
              <w:top w:val="nil"/>
              <w:left w:val="nil"/>
              <w:bottom w:val="single" w:sz="4" w:space="0" w:color="auto"/>
              <w:right w:val="single" w:sz="4" w:space="0" w:color="auto"/>
            </w:tcBorders>
            <w:shd w:val="clear" w:color="auto" w:fill="auto"/>
            <w:noWrap/>
            <w:vAlign w:val="bottom"/>
          </w:tcPr>
          <w:p w14:paraId="541EB1DA"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2.316.550,29</w:t>
            </w:r>
          </w:p>
        </w:tc>
      </w:tr>
      <w:tr w:rsidR="004864FF" w:rsidRPr="00A81CB8" w14:paraId="782D0C11" w14:textId="77777777" w:rsidTr="006B5A62">
        <w:trPr>
          <w:jc w:val="center"/>
        </w:trPr>
        <w:tc>
          <w:tcPr>
            <w:tcW w:w="1985" w:type="dxa"/>
            <w:vMerge/>
            <w:tcBorders>
              <w:top w:val="nil"/>
              <w:left w:val="single" w:sz="4" w:space="0" w:color="auto"/>
              <w:bottom w:val="single" w:sz="4" w:space="0" w:color="auto"/>
              <w:right w:val="single" w:sz="4" w:space="0" w:color="auto"/>
            </w:tcBorders>
            <w:vAlign w:val="center"/>
            <w:hideMark/>
          </w:tcPr>
          <w:p w14:paraId="01ADE2D7"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06E403A3"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bottom"/>
          </w:tcPr>
          <w:p w14:paraId="746C3A2A"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P_100</w:t>
            </w:r>
          </w:p>
        </w:tc>
        <w:tc>
          <w:tcPr>
            <w:tcW w:w="3969" w:type="dxa"/>
            <w:tcBorders>
              <w:top w:val="nil"/>
              <w:left w:val="nil"/>
              <w:bottom w:val="single" w:sz="4" w:space="0" w:color="auto"/>
              <w:right w:val="single" w:sz="4" w:space="0" w:color="auto"/>
            </w:tcBorders>
            <w:shd w:val="clear" w:color="auto" w:fill="auto"/>
            <w:noWrap/>
            <w:vAlign w:val="bottom"/>
          </w:tcPr>
          <w:p w14:paraId="770045B2"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STS</w:t>
            </w:r>
          </w:p>
        </w:tc>
        <w:tc>
          <w:tcPr>
            <w:tcW w:w="2154" w:type="dxa"/>
            <w:tcBorders>
              <w:top w:val="nil"/>
              <w:left w:val="nil"/>
              <w:bottom w:val="single" w:sz="4" w:space="0" w:color="auto"/>
              <w:right w:val="single" w:sz="4" w:space="0" w:color="auto"/>
            </w:tcBorders>
            <w:shd w:val="clear" w:color="auto" w:fill="auto"/>
            <w:noWrap/>
            <w:vAlign w:val="bottom"/>
          </w:tcPr>
          <w:p w14:paraId="607EB686"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1.298,32</w:t>
            </w:r>
          </w:p>
        </w:tc>
      </w:tr>
      <w:tr w:rsidR="004864FF" w:rsidRPr="00A81CB8" w14:paraId="204E2083" w14:textId="77777777" w:rsidTr="006B5A62">
        <w:trPr>
          <w:jc w:val="center"/>
        </w:trPr>
        <w:tc>
          <w:tcPr>
            <w:tcW w:w="1985" w:type="dxa"/>
            <w:vMerge/>
            <w:tcBorders>
              <w:top w:val="nil"/>
              <w:left w:val="single" w:sz="4" w:space="0" w:color="auto"/>
              <w:bottom w:val="single" w:sz="4" w:space="0" w:color="auto"/>
              <w:right w:val="single" w:sz="4" w:space="0" w:color="auto"/>
            </w:tcBorders>
            <w:vAlign w:val="center"/>
            <w:hideMark/>
          </w:tcPr>
          <w:p w14:paraId="7334DCC3"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4E0616F5"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bottom"/>
          </w:tcPr>
          <w:p w14:paraId="5AAB810E"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P_202</w:t>
            </w:r>
          </w:p>
        </w:tc>
        <w:tc>
          <w:tcPr>
            <w:tcW w:w="3969" w:type="dxa"/>
            <w:tcBorders>
              <w:top w:val="nil"/>
              <w:left w:val="nil"/>
              <w:bottom w:val="single" w:sz="4" w:space="0" w:color="auto"/>
              <w:right w:val="single" w:sz="4" w:space="0" w:color="auto"/>
            </w:tcBorders>
            <w:shd w:val="clear" w:color="auto" w:fill="auto"/>
            <w:noWrap/>
            <w:vAlign w:val="bottom"/>
          </w:tcPr>
          <w:p w14:paraId="0082DDF1"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Agricola Ponce</w:t>
            </w:r>
          </w:p>
        </w:tc>
        <w:tc>
          <w:tcPr>
            <w:tcW w:w="2154" w:type="dxa"/>
            <w:tcBorders>
              <w:top w:val="nil"/>
              <w:left w:val="nil"/>
              <w:bottom w:val="single" w:sz="4" w:space="0" w:color="auto"/>
              <w:right w:val="single" w:sz="4" w:space="0" w:color="auto"/>
            </w:tcBorders>
            <w:shd w:val="clear" w:color="auto" w:fill="auto"/>
            <w:noWrap/>
            <w:vAlign w:val="bottom"/>
          </w:tcPr>
          <w:p w14:paraId="37891096"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689,35</w:t>
            </w:r>
          </w:p>
        </w:tc>
      </w:tr>
      <w:tr w:rsidR="004864FF" w:rsidRPr="00A81CB8" w14:paraId="306AA98F" w14:textId="77777777" w:rsidTr="006B5A62">
        <w:trPr>
          <w:jc w:val="center"/>
        </w:trPr>
        <w:tc>
          <w:tcPr>
            <w:tcW w:w="1985" w:type="dxa"/>
            <w:vMerge/>
            <w:tcBorders>
              <w:top w:val="nil"/>
              <w:left w:val="single" w:sz="4" w:space="0" w:color="auto"/>
              <w:bottom w:val="single" w:sz="4" w:space="0" w:color="auto"/>
              <w:right w:val="single" w:sz="4" w:space="0" w:color="auto"/>
            </w:tcBorders>
            <w:vAlign w:val="center"/>
            <w:hideMark/>
          </w:tcPr>
          <w:p w14:paraId="7042149C"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321D8867"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bottom"/>
          </w:tcPr>
          <w:p w14:paraId="3206A844"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P_206</w:t>
            </w:r>
          </w:p>
        </w:tc>
        <w:tc>
          <w:tcPr>
            <w:tcW w:w="3969" w:type="dxa"/>
            <w:tcBorders>
              <w:top w:val="nil"/>
              <w:left w:val="nil"/>
              <w:bottom w:val="single" w:sz="4" w:space="0" w:color="auto"/>
              <w:right w:val="single" w:sz="4" w:space="0" w:color="auto"/>
            </w:tcBorders>
            <w:shd w:val="clear" w:color="auto" w:fill="auto"/>
            <w:noWrap/>
            <w:vAlign w:val="bottom"/>
          </w:tcPr>
          <w:p w14:paraId="4472122B"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Algorta Norte</w:t>
            </w:r>
          </w:p>
        </w:tc>
        <w:tc>
          <w:tcPr>
            <w:tcW w:w="2154" w:type="dxa"/>
            <w:tcBorders>
              <w:top w:val="nil"/>
              <w:left w:val="nil"/>
              <w:bottom w:val="single" w:sz="4" w:space="0" w:color="auto"/>
              <w:right w:val="single" w:sz="4" w:space="0" w:color="auto"/>
            </w:tcBorders>
            <w:shd w:val="clear" w:color="auto" w:fill="auto"/>
            <w:noWrap/>
            <w:vAlign w:val="bottom"/>
          </w:tcPr>
          <w:p w14:paraId="672FD0D0"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102,99</w:t>
            </w:r>
          </w:p>
        </w:tc>
      </w:tr>
      <w:tr w:rsidR="004864FF" w:rsidRPr="00A81CB8" w14:paraId="06F038DB" w14:textId="77777777" w:rsidTr="006B5A62">
        <w:trPr>
          <w:jc w:val="center"/>
        </w:trPr>
        <w:tc>
          <w:tcPr>
            <w:tcW w:w="1985" w:type="dxa"/>
            <w:vMerge/>
            <w:tcBorders>
              <w:top w:val="nil"/>
              <w:left w:val="single" w:sz="4" w:space="0" w:color="auto"/>
              <w:bottom w:val="single" w:sz="4" w:space="0" w:color="auto"/>
              <w:right w:val="single" w:sz="4" w:space="0" w:color="auto"/>
            </w:tcBorders>
            <w:vAlign w:val="center"/>
            <w:hideMark/>
          </w:tcPr>
          <w:p w14:paraId="06F79F4E"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64A72A55"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bottom"/>
          </w:tcPr>
          <w:p w14:paraId="7C0FE527"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P_290</w:t>
            </w:r>
          </w:p>
        </w:tc>
        <w:tc>
          <w:tcPr>
            <w:tcW w:w="3969" w:type="dxa"/>
            <w:tcBorders>
              <w:top w:val="nil"/>
              <w:left w:val="nil"/>
              <w:bottom w:val="single" w:sz="4" w:space="0" w:color="auto"/>
              <w:right w:val="single" w:sz="4" w:space="0" w:color="auto"/>
            </w:tcBorders>
            <w:shd w:val="clear" w:color="auto" w:fill="auto"/>
            <w:noWrap/>
            <w:vAlign w:val="bottom"/>
          </w:tcPr>
          <w:p w14:paraId="08D7070D"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Eletrans</w:t>
            </w:r>
          </w:p>
        </w:tc>
        <w:tc>
          <w:tcPr>
            <w:tcW w:w="2154" w:type="dxa"/>
            <w:tcBorders>
              <w:top w:val="nil"/>
              <w:left w:val="nil"/>
              <w:bottom w:val="single" w:sz="4" w:space="0" w:color="auto"/>
              <w:right w:val="single" w:sz="4" w:space="0" w:color="auto"/>
            </w:tcBorders>
            <w:shd w:val="clear" w:color="auto" w:fill="auto"/>
            <w:noWrap/>
            <w:vAlign w:val="bottom"/>
          </w:tcPr>
          <w:p w14:paraId="3C363731"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2.746.167,64</w:t>
            </w:r>
          </w:p>
        </w:tc>
      </w:tr>
      <w:tr w:rsidR="004864FF" w:rsidRPr="00A81CB8" w14:paraId="3CF6FD83"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48C1EC2B"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SE-N_16</w:t>
            </w:r>
          </w:p>
        </w:tc>
        <w:tc>
          <w:tcPr>
            <w:tcW w:w="3969" w:type="dxa"/>
            <w:tcBorders>
              <w:top w:val="nil"/>
              <w:left w:val="nil"/>
              <w:bottom w:val="single" w:sz="4" w:space="0" w:color="auto"/>
              <w:right w:val="single" w:sz="4" w:space="0" w:color="auto"/>
            </w:tcBorders>
            <w:shd w:val="clear" w:color="auto" w:fill="auto"/>
            <w:vAlign w:val="center"/>
            <w:hideMark/>
          </w:tcPr>
          <w:p w14:paraId="528E19D1"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Colbún</w:t>
            </w:r>
          </w:p>
        </w:tc>
        <w:tc>
          <w:tcPr>
            <w:tcW w:w="1077" w:type="dxa"/>
            <w:tcBorders>
              <w:top w:val="nil"/>
              <w:left w:val="nil"/>
              <w:bottom w:val="single" w:sz="4" w:space="0" w:color="auto"/>
              <w:right w:val="single" w:sz="4" w:space="0" w:color="auto"/>
            </w:tcBorders>
            <w:shd w:val="clear" w:color="auto" w:fill="auto"/>
            <w:noWrap/>
            <w:vAlign w:val="bottom"/>
          </w:tcPr>
          <w:p w14:paraId="30814BDB"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P_244</w:t>
            </w:r>
          </w:p>
        </w:tc>
        <w:tc>
          <w:tcPr>
            <w:tcW w:w="3969" w:type="dxa"/>
            <w:tcBorders>
              <w:top w:val="nil"/>
              <w:left w:val="nil"/>
              <w:bottom w:val="single" w:sz="4" w:space="0" w:color="auto"/>
              <w:right w:val="single" w:sz="4" w:space="0" w:color="auto"/>
            </w:tcBorders>
            <w:shd w:val="clear" w:color="auto" w:fill="auto"/>
            <w:noWrap/>
            <w:vAlign w:val="bottom"/>
          </w:tcPr>
          <w:p w14:paraId="6B47DDBB"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Colbún Transmisión</w:t>
            </w:r>
          </w:p>
        </w:tc>
        <w:tc>
          <w:tcPr>
            <w:tcW w:w="2154" w:type="dxa"/>
            <w:tcBorders>
              <w:top w:val="nil"/>
              <w:left w:val="nil"/>
              <w:bottom w:val="single" w:sz="4" w:space="0" w:color="auto"/>
              <w:right w:val="single" w:sz="4" w:space="0" w:color="auto"/>
            </w:tcBorders>
            <w:shd w:val="clear" w:color="auto" w:fill="auto"/>
            <w:noWrap/>
            <w:vAlign w:val="bottom"/>
          </w:tcPr>
          <w:p w14:paraId="3F125295"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3.121.164,37</w:t>
            </w:r>
          </w:p>
        </w:tc>
      </w:tr>
      <w:tr w:rsidR="004864FF" w:rsidRPr="00A81CB8" w14:paraId="51452AC4" w14:textId="77777777" w:rsidTr="006B5A62">
        <w:trPr>
          <w:jc w:val="center"/>
        </w:trPr>
        <w:tc>
          <w:tcPr>
            <w:tcW w:w="1985"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6A686D31"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SE-N_17</w:t>
            </w:r>
          </w:p>
        </w:tc>
        <w:tc>
          <w:tcPr>
            <w:tcW w:w="3969" w:type="dxa"/>
            <w:vMerge w:val="restart"/>
            <w:tcBorders>
              <w:top w:val="nil"/>
              <w:left w:val="single" w:sz="4" w:space="0" w:color="auto"/>
              <w:bottom w:val="single" w:sz="4" w:space="0" w:color="auto"/>
              <w:right w:val="single" w:sz="4" w:space="0" w:color="auto"/>
            </w:tcBorders>
            <w:shd w:val="clear" w:color="auto" w:fill="auto"/>
            <w:vAlign w:val="center"/>
            <w:hideMark/>
          </w:tcPr>
          <w:p w14:paraId="4331F280"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CONCEPCION</w:t>
            </w:r>
          </w:p>
        </w:tc>
        <w:tc>
          <w:tcPr>
            <w:tcW w:w="1077" w:type="dxa"/>
            <w:tcBorders>
              <w:top w:val="nil"/>
              <w:left w:val="nil"/>
              <w:bottom w:val="single" w:sz="4" w:space="0" w:color="auto"/>
              <w:right w:val="single" w:sz="4" w:space="0" w:color="auto"/>
            </w:tcBorders>
            <w:shd w:val="clear" w:color="auto" w:fill="auto"/>
            <w:noWrap/>
            <w:vAlign w:val="bottom"/>
          </w:tcPr>
          <w:p w14:paraId="6E310272"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P_032</w:t>
            </w:r>
          </w:p>
        </w:tc>
        <w:tc>
          <w:tcPr>
            <w:tcW w:w="3969" w:type="dxa"/>
            <w:tcBorders>
              <w:top w:val="nil"/>
              <w:left w:val="nil"/>
              <w:bottom w:val="single" w:sz="4" w:space="0" w:color="auto"/>
              <w:right w:val="single" w:sz="4" w:space="0" w:color="auto"/>
            </w:tcBorders>
            <w:shd w:val="clear" w:color="auto" w:fill="auto"/>
            <w:noWrap/>
            <w:vAlign w:val="bottom"/>
          </w:tcPr>
          <w:p w14:paraId="6937C978"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TRANSELEC S.A.</w:t>
            </w:r>
          </w:p>
        </w:tc>
        <w:tc>
          <w:tcPr>
            <w:tcW w:w="2154" w:type="dxa"/>
            <w:tcBorders>
              <w:top w:val="nil"/>
              <w:left w:val="nil"/>
              <w:bottom w:val="single" w:sz="4" w:space="0" w:color="auto"/>
              <w:right w:val="single" w:sz="4" w:space="0" w:color="auto"/>
            </w:tcBorders>
            <w:shd w:val="clear" w:color="auto" w:fill="auto"/>
            <w:noWrap/>
            <w:vAlign w:val="bottom"/>
          </w:tcPr>
          <w:p w14:paraId="1C38FCC1"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4.946.199,29</w:t>
            </w:r>
          </w:p>
        </w:tc>
      </w:tr>
      <w:tr w:rsidR="004864FF" w:rsidRPr="00A81CB8" w14:paraId="6CD4222E" w14:textId="77777777" w:rsidTr="006B5A62">
        <w:trPr>
          <w:jc w:val="center"/>
        </w:trPr>
        <w:tc>
          <w:tcPr>
            <w:tcW w:w="1985" w:type="dxa"/>
            <w:vMerge/>
            <w:tcBorders>
              <w:top w:val="nil"/>
              <w:left w:val="single" w:sz="4" w:space="0" w:color="auto"/>
              <w:bottom w:val="single" w:sz="4" w:space="0" w:color="auto"/>
              <w:right w:val="single" w:sz="4" w:space="0" w:color="auto"/>
            </w:tcBorders>
            <w:vAlign w:val="center"/>
            <w:hideMark/>
          </w:tcPr>
          <w:p w14:paraId="658672F3"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71F4B4A2"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bottom"/>
          </w:tcPr>
          <w:p w14:paraId="53C29B51"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P_083</w:t>
            </w:r>
          </w:p>
        </w:tc>
        <w:tc>
          <w:tcPr>
            <w:tcW w:w="3969" w:type="dxa"/>
            <w:tcBorders>
              <w:top w:val="nil"/>
              <w:left w:val="nil"/>
              <w:bottom w:val="single" w:sz="4" w:space="0" w:color="auto"/>
              <w:right w:val="single" w:sz="4" w:space="0" w:color="auto"/>
            </w:tcBorders>
            <w:shd w:val="clear" w:color="auto" w:fill="auto"/>
            <w:noWrap/>
            <w:vAlign w:val="bottom"/>
          </w:tcPr>
          <w:p w14:paraId="6BCD64FD"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CGE</w:t>
            </w:r>
          </w:p>
        </w:tc>
        <w:tc>
          <w:tcPr>
            <w:tcW w:w="2154" w:type="dxa"/>
            <w:tcBorders>
              <w:top w:val="nil"/>
              <w:left w:val="nil"/>
              <w:bottom w:val="single" w:sz="4" w:space="0" w:color="auto"/>
              <w:right w:val="single" w:sz="4" w:space="0" w:color="auto"/>
            </w:tcBorders>
            <w:shd w:val="clear" w:color="auto" w:fill="auto"/>
            <w:noWrap/>
            <w:vAlign w:val="bottom"/>
          </w:tcPr>
          <w:p w14:paraId="41A833B3"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2.427.222,19</w:t>
            </w:r>
          </w:p>
        </w:tc>
      </w:tr>
      <w:tr w:rsidR="004864FF" w:rsidRPr="00A81CB8" w14:paraId="19E5547A" w14:textId="77777777" w:rsidTr="006B5A62">
        <w:trPr>
          <w:jc w:val="center"/>
        </w:trPr>
        <w:tc>
          <w:tcPr>
            <w:tcW w:w="1985"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21303BD8"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SE-N_18</w:t>
            </w:r>
          </w:p>
        </w:tc>
        <w:tc>
          <w:tcPr>
            <w:tcW w:w="3969" w:type="dxa"/>
            <w:vMerge w:val="restart"/>
            <w:tcBorders>
              <w:top w:val="nil"/>
              <w:left w:val="single" w:sz="4" w:space="0" w:color="auto"/>
              <w:bottom w:val="single" w:sz="4" w:space="0" w:color="auto"/>
              <w:right w:val="single" w:sz="4" w:space="0" w:color="auto"/>
            </w:tcBorders>
            <w:shd w:val="clear" w:color="auto" w:fill="auto"/>
            <w:vAlign w:val="center"/>
            <w:hideMark/>
          </w:tcPr>
          <w:p w14:paraId="52748DFB"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CONDORES</w:t>
            </w:r>
          </w:p>
        </w:tc>
        <w:tc>
          <w:tcPr>
            <w:tcW w:w="1077" w:type="dxa"/>
            <w:tcBorders>
              <w:top w:val="nil"/>
              <w:left w:val="nil"/>
              <w:bottom w:val="single" w:sz="4" w:space="0" w:color="auto"/>
              <w:right w:val="single" w:sz="4" w:space="0" w:color="auto"/>
            </w:tcBorders>
            <w:shd w:val="clear" w:color="auto" w:fill="auto"/>
            <w:noWrap/>
            <w:vAlign w:val="bottom"/>
          </w:tcPr>
          <w:p w14:paraId="5C77BF15"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P_032</w:t>
            </w:r>
          </w:p>
        </w:tc>
        <w:tc>
          <w:tcPr>
            <w:tcW w:w="3969" w:type="dxa"/>
            <w:tcBorders>
              <w:top w:val="nil"/>
              <w:left w:val="nil"/>
              <w:bottom w:val="single" w:sz="4" w:space="0" w:color="auto"/>
              <w:right w:val="single" w:sz="4" w:space="0" w:color="auto"/>
            </w:tcBorders>
            <w:shd w:val="clear" w:color="auto" w:fill="auto"/>
            <w:noWrap/>
            <w:vAlign w:val="bottom"/>
          </w:tcPr>
          <w:p w14:paraId="78EA6DDB"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TRANSELEC S.A.</w:t>
            </w:r>
          </w:p>
        </w:tc>
        <w:tc>
          <w:tcPr>
            <w:tcW w:w="2154" w:type="dxa"/>
            <w:tcBorders>
              <w:top w:val="nil"/>
              <w:left w:val="nil"/>
              <w:bottom w:val="single" w:sz="4" w:space="0" w:color="auto"/>
              <w:right w:val="single" w:sz="4" w:space="0" w:color="auto"/>
            </w:tcBorders>
            <w:shd w:val="clear" w:color="auto" w:fill="auto"/>
            <w:noWrap/>
            <w:vAlign w:val="bottom"/>
          </w:tcPr>
          <w:p w14:paraId="5485539B"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144.748,63</w:t>
            </w:r>
          </w:p>
        </w:tc>
      </w:tr>
      <w:tr w:rsidR="004864FF" w:rsidRPr="00A81CB8" w14:paraId="77686329" w14:textId="77777777" w:rsidTr="006B5A62">
        <w:trPr>
          <w:jc w:val="center"/>
        </w:trPr>
        <w:tc>
          <w:tcPr>
            <w:tcW w:w="1985" w:type="dxa"/>
            <w:vMerge/>
            <w:tcBorders>
              <w:top w:val="nil"/>
              <w:left w:val="single" w:sz="4" w:space="0" w:color="auto"/>
              <w:bottom w:val="single" w:sz="4" w:space="0" w:color="auto"/>
              <w:right w:val="single" w:sz="4" w:space="0" w:color="auto"/>
            </w:tcBorders>
            <w:vAlign w:val="center"/>
            <w:hideMark/>
          </w:tcPr>
          <w:p w14:paraId="0DE686C5"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5FCCDAC1"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bottom"/>
          </w:tcPr>
          <w:p w14:paraId="50F0F7E0"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P_083</w:t>
            </w:r>
          </w:p>
        </w:tc>
        <w:tc>
          <w:tcPr>
            <w:tcW w:w="3969" w:type="dxa"/>
            <w:tcBorders>
              <w:top w:val="nil"/>
              <w:left w:val="nil"/>
              <w:bottom w:val="single" w:sz="4" w:space="0" w:color="auto"/>
              <w:right w:val="single" w:sz="4" w:space="0" w:color="auto"/>
            </w:tcBorders>
            <w:shd w:val="clear" w:color="auto" w:fill="auto"/>
            <w:noWrap/>
            <w:vAlign w:val="bottom"/>
          </w:tcPr>
          <w:p w14:paraId="47623D71"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CGE</w:t>
            </w:r>
          </w:p>
        </w:tc>
        <w:tc>
          <w:tcPr>
            <w:tcW w:w="2154" w:type="dxa"/>
            <w:tcBorders>
              <w:top w:val="nil"/>
              <w:left w:val="nil"/>
              <w:bottom w:val="single" w:sz="4" w:space="0" w:color="auto"/>
              <w:right w:val="single" w:sz="4" w:space="0" w:color="auto"/>
            </w:tcBorders>
            <w:shd w:val="clear" w:color="auto" w:fill="auto"/>
            <w:noWrap/>
            <w:vAlign w:val="bottom"/>
          </w:tcPr>
          <w:p w14:paraId="1EDBF590"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6.843,87</w:t>
            </w:r>
          </w:p>
        </w:tc>
      </w:tr>
      <w:tr w:rsidR="004864FF" w:rsidRPr="00A81CB8" w14:paraId="07333470" w14:textId="77777777" w:rsidTr="006B5A62">
        <w:trPr>
          <w:jc w:val="center"/>
        </w:trPr>
        <w:tc>
          <w:tcPr>
            <w:tcW w:w="1985" w:type="dxa"/>
            <w:vMerge/>
            <w:tcBorders>
              <w:top w:val="nil"/>
              <w:left w:val="single" w:sz="4" w:space="0" w:color="auto"/>
              <w:bottom w:val="single" w:sz="4" w:space="0" w:color="auto"/>
              <w:right w:val="single" w:sz="4" w:space="0" w:color="auto"/>
            </w:tcBorders>
            <w:vAlign w:val="center"/>
            <w:hideMark/>
          </w:tcPr>
          <w:p w14:paraId="7AB11187"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75FA6EFC"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bottom"/>
          </w:tcPr>
          <w:p w14:paraId="2380BEFF"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P_120</w:t>
            </w:r>
          </w:p>
        </w:tc>
        <w:tc>
          <w:tcPr>
            <w:tcW w:w="3969" w:type="dxa"/>
            <w:tcBorders>
              <w:top w:val="nil"/>
              <w:left w:val="nil"/>
              <w:bottom w:val="single" w:sz="4" w:space="0" w:color="auto"/>
              <w:right w:val="single" w:sz="4" w:space="0" w:color="auto"/>
            </w:tcBorders>
            <w:shd w:val="clear" w:color="auto" w:fill="auto"/>
            <w:noWrap/>
            <w:vAlign w:val="bottom"/>
          </w:tcPr>
          <w:p w14:paraId="1D2C0372"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TRANSEMEL</w:t>
            </w:r>
          </w:p>
        </w:tc>
        <w:tc>
          <w:tcPr>
            <w:tcW w:w="2154" w:type="dxa"/>
            <w:tcBorders>
              <w:top w:val="nil"/>
              <w:left w:val="nil"/>
              <w:bottom w:val="single" w:sz="4" w:space="0" w:color="auto"/>
              <w:right w:val="single" w:sz="4" w:space="0" w:color="auto"/>
            </w:tcBorders>
            <w:shd w:val="clear" w:color="auto" w:fill="auto"/>
            <w:noWrap/>
            <w:vAlign w:val="bottom"/>
          </w:tcPr>
          <w:p w14:paraId="3C8CF8D7"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5.158.458,61</w:t>
            </w:r>
          </w:p>
        </w:tc>
      </w:tr>
      <w:tr w:rsidR="004864FF" w:rsidRPr="00A81CB8" w14:paraId="63F9D680" w14:textId="77777777" w:rsidTr="006B5A62">
        <w:trPr>
          <w:jc w:val="center"/>
        </w:trPr>
        <w:tc>
          <w:tcPr>
            <w:tcW w:w="1985" w:type="dxa"/>
            <w:vMerge/>
            <w:tcBorders>
              <w:top w:val="nil"/>
              <w:left w:val="single" w:sz="4" w:space="0" w:color="auto"/>
              <w:bottom w:val="single" w:sz="4" w:space="0" w:color="auto"/>
              <w:right w:val="single" w:sz="4" w:space="0" w:color="auto"/>
            </w:tcBorders>
            <w:vAlign w:val="center"/>
            <w:hideMark/>
          </w:tcPr>
          <w:p w14:paraId="526F687B"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17080E94"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bottom"/>
          </w:tcPr>
          <w:p w14:paraId="2B23F9B7"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P_164</w:t>
            </w:r>
          </w:p>
        </w:tc>
        <w:tc>
          <w:tcPr>
            <w:tcW w:w="3969" w:type="dxa"/>
            <w:tcBorders>
              <w:top w:val="nil"/>
              <w:left w:val="nil"/>
              <w:bottom w:val="single" w:sz="4" w:space="0" w:color="auto"/>
              <w:right w:val="single" w:sz="4" w:space="0" w:color="auto"/>
            </w:tcBorders>
            <w:shd w:val="clear" w:color="auto" w:fill="auto"/>
            <w:noWrap/>
            <w:vAlign w:val="bottom"/>
          </w:tcPr>
          <w:p w14:paraId="1E2FB2EE"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E-CL</w:t>
            </w:r>
          </w:p>
        </w:tc>
        <w:tc>
          <w:tcPr>
            <w:tcW w:w="2154" w:type="dxa"/>
            <w:tcBorders>
              <w:top w:val="nil"/>
              <w:left w:val="nil"/>
              <w:bottom w:val="single" w:sz="4" w:space="0" w:color="auto"/>
              <w:right w:val="single" w:sz="4" w:space="0" w:color="auto"/>
            </w:tcBorders>
            <w:shd w:val="clear" w:color="auto" w:fill="auto"/>
            <w:noWrap/>
            <w:vAlign w:val="bottom"/>
          </w:tcPr>
          <w:p w14:paraId="26F018F2"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6.277,70</w:t>
            </w:r>
          </w:p>
        </w:tc>
      </w:tr>
      <w:tr w:rsidR="004864FF" w:rsidRPr="00A81CB8" w14:paraId="536B3612" w14:textId="77777777" w:rsidTr="006B5A62">
        <w:trPr>
          <w:jc w:val="center"/>
        </w:trPr>
        <w:tc>
          <w:tcPr>
            <w:tcW w:w="1985"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02A6DD7F"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SE-N_19</w:t>
            </w:r>
          </w:p>
        </w:tc>
        <w:tc>
          <w:tcPr>
            <w:tcW w:w="3969" w:type="dxa"/>
            <w:vMerge w:val="restart"/>
            <w:tcBorders>
              <w:top w:val="nil"/>
              <w:left w:val="single" w:sz="4" w:space="0" w:color="auto"/>
              <w:bottom w:val="single" w:sz="4" w:space="0" w:color="auto"/>
              <w:right w:val="single" w:sz="4" w:space="0" w:color="auto"/>
            </w:tcBorders>
            <w:shd w:val="clear" w:color="auto" w:fill="auto"/>
            <w:vAlign w:val="center"/>
            <w:hideMark/>
          </w:tcPr>
          <w:p w14:paraId="568C0151"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CRUCERO</w:t>
            </w:r>
          </w:p>
        </w:tc>
        <w:tc>
          <w:tcPr>
            <w:tcW w:w="1077" w:type="dxa"/>
            <w:tcBorders>
              <w:top w:val="nil"/>
              <w:left w:val="nil"/>
              <w:bottom w:val="single" w:sz="4" w:space="0" w:color="auto"/>
              <w:right w:val="single" w:sz="4" w:space="0" w:color="auto"/>
            </w:tcBorders>
            <w:shd w:val="clear" w:color="auto" w:fill="auto"/>
            <w:noWrap/>
            <w:vAlign w:val="bottom"/>
          </w:tcPr>
          <w:p w14:paraId="541B5266"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P_032</w:t>
            </w:r>
          </w:p>
        </w:tc>
        <w:tc>
          <w:tcPr>
            <w:tcW w:w="3969" w:type="dxa"/>
            <w:tcBorders>
              <w:top w:val="nil"/>
              <w:left w:val="nil"/>
              <w:bottom w:val="single" w:sz="4" w:space="0" w:color="auto"/>
              <w:right w:val="single" w:sz="4" w:space="0" w:color="auto"/>
            </w:tcBorders>
            <w:shd w:val="clear" w:color="auto" w:fill="auto"/>
            <w:noWrap/>
            <w:vAlign w:val="bottom"/>
          </w:tcPr>
          <w:p w14:paraId="3734F8F5"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TRANSELEC S.A.</w:t>
            </w:r>
          </w:p>
        </w:tc>
        <w:tc>
          <w:tcPr>
            <w:tcW w:w="2154" w:type="dxa"/>
            <w:tcBorders>
              <w:top w:val="nil"/>
              <w:left w:val="nil"/>
              <w:bottom w:val="single" w:sz="4" w:space="0" w:color="auto"/>
              <w:right w:val="single" w:sz="4" w:space="0" w:color="auto"/>
            </w:tcBorders>
            <w:shd w:val="clear" w:color="auto" w:fill="auto"/>
            <w:noWrap/>
            <w:vAlign w:val="bottom"/>
          </w:tcPr>
          <w:p w14:paraId="063FAA0C"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910.799,65</w:t>
            </w:r>
          </w:p>
        </w:tc>
      </w:tr>
      <w:tr w:rsidR="004864FF" w:rsidRPr="00A81CB8" w14:paraId="373E7DE5" w14:textId="77777777" w:rsidTr="006B5A62">
        <w:trPr>
          <w:jc w:val="center"/>
        </w:trPr>
        <w:tc>
          <w:tcPr>
            <w:tcW w:w="1985" w:type="dxa"/>
            <w:vMerge/>
            <w:tcBorders>
              <w:top w:val="nil"/>
              <w:left w:val="single" w:sz="4" w:space="0" w:color="auto"/>
              <w:bottom w:val="single" w:sz="4" w:space="0" w:color="auto"/>
              <w:right w:val="single" w:sz="4" w:space="0" w:color="auto"/>
            </w:tcBorders>
            <w:vAlign w:val="center"/>
            <w:hideMark/>
          </w:tcPr>
          <w:p w14:paraId="530634B8"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30214B10"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bottom"/>
          </w:tcPr>
          <w:p w14:paraId="084984F3"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P_079</w:t>
            </w:r>
          </w:p>
        </w:tc>
        <w:tc>
          <w:tcPr>
            <w:tcW w:w="3969" w:type="dxa"/>
            <w:tcBorders>
              <w:top w:val="nil"/>
              <w:left w:val="nil"/>
              <w:bottom w:val="single" w:sz="4" w:space="0" w:color="auto"/>
              <w:right w:val="single" w:sz="4" w:space="0" w:color="auto"/>
            </w:tcBorders>
            <w:shd w:val="clear" w:color="auto" w:fill="auto"/>
            <w:noWrap/>
            <w:vAlign w:val="bottom"/>
          </w:tcPr>
          <w:p w14:paraId="077E137B"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AES GENER</w:t>
            </w:r>
          </w:p>
        </w:tc>
        <w:tc>
          <w:tcPr>
            <w:tcW w:w="2154" w:type="dxa"/>
            <w:tcBorders>
              <w:top w:val="nil"/>
              <w:left w:val="nil"/>
              <w:bottom w:val="single" w:sz="4" w:space="0" w:color="auto"/>
              <w:right w:val="single" w:sz="4" w:space="0" w:color="auto"/>
            </w:tcBorders>
            <w:shd w:val="clear" w:color="auto" w:fill="auto"/>
            <w:noWrap/>
            <w:vAlign w:val="bottom"/>
          </w:tcPr>
          <w:p w14:paraId="0ABE07D0"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187.585,05</w:t>
            </w:r>
          </w:p>
        </w:tc>
      </w:tr>
      <w:tr w:rsidR="004864FF" w:rsidRPr="00A81CB8" w14:paraId="3EC06C27" w14:textId="77777777" w:rsidTr="006B5A62">
        <w:trPr>
          <w:jc w:val="center"/>
        </w:trPr>
        <w:tc>
          <w:tcPr>
            <w:tcW w:w="1985" w:type="dxa"/>
            <w:vMerge/>
            <w:tcBorders>
              <w:top w:val="nil"/>
              <w:left w:val="single" w:sz="4" w:space="0" w:color="auto"/>
              <w:bottom w:val="single" w:sz="4" w:space="0" w:color="auto"/>
              <w:right w:val="single" w:sz="4" w:space="0" w:color="auto"/>
            </w:tcBorders>
            <w:vAlign w:val="center"/>
            <w:hideMark/>
          </w:tcPr>
          <w:p w14:paraId="73709108"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4078CDC0"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bottom"/>
          </w:tcPr>
          <w:p w14:paraId="757A2387"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P_164</w:t>
            </w:r>
          </w:p>
        </w:tc>
        <w:tc>
          <w:tcPr>
            <w:tcW w:w="3969" w:type="dxa"/>
            <w:tcBorders>
              <w:top w:val="nil"/>
              <w:left w:val="nil"/>
              <w:bottom w:val="single" w:sz="4" w:space="0" w:color="auto"/>
              <w:right w:val="single" w:sz="4" w:space="0" w:color="auto"/>
            </w:tcBorders>
            <w:shd w:val="clear" w:color="auto" w:fill="auto"/>
            <w:noWrap/>
            <w:vAlign w:val="bottom"/>
          </w:tcPr>
          <w:p w14:paraId="69B1D7A5"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E-CL</w:t>
            </w:r>
          </w:p>
        </w:tc>
        <w:tc>
          <w:tcPr>
            <w:tcW w:w="2154" w:type="dxa"/>
            <w:tcBorders>
              <w:top w:val="nil"/>
              <w:left w:val="nil"/>
              <w:bottom w:val="single" w:sz="4" w:space="0" w:color="auto"/>
              <w:right w:val="single" w:sz="4" w:space="0" w:color="auto"/>
            </w:tcBorders>
            <w:shd w:val="clear" w:color="auto" w:fill="auto"/>
            <w:noWrap/>
            <w:vAlign w:val="bottom"/>
          </w:tcPr>
          <w:p w14:paraId="66AABA78"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6.364.799,32</w:t>
            </w:r>
          </w:p>
        </w:tc>
      </w:tr>
      <w:tr w:rsidR="004864FF" w:rsidRPr="00A81CB8" w14:paraId="1B6D9BE5" w14:textId="77777777" w:rsidTr="006B5A62">
        <w:trPr>
          <w:jc w:val="center"/>
        </w:trPr>
        <w:tc>
          <w:tcPr>
            <w:tcW w:w="1985" w:type="dxa"/>
            <w:vMerge/>
            <w:tcBorders>
              <w:top w:val="nil"/>
              <w:left w:val="single" w:sz="4" w:space="0" w:color="auto"/>
              <w:bottom w:val="single" w:sz="4" w:space="0" w:color="auto"/>
              <w:right w:val="single" w:sz="4" w:space="0" w:color="auto"/>
            </w:tcBorders>
            <w:vAlign w:val="center"/>
            <w:hideMark/>
          </w:tcPr>
          <w:p w14:paraId="7701F6D8"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2167C524"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bottom"/>
          </w:tcPr>
          <w:p w14:paraId="2502B58B"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P_521</w:t>
            </w:r>
          </w:p>
        </w:tc>
        <w:tc>
          <w:tcPr>
            <w:tcW w:w="3969" w:type="dxa"/>
            <w:tcBorders>
              <w:top w:val="nil"/>
              <w:left w:val="nil"/>
              <w:bottom w:val="single" w:sz="4" w:space="0" w:color="auto"/>
              <w:right w:val="single" w:sz="4" w:space="0" w:color="auto"/>
            </w:tcBorders>
            <w:shd w:val="clear" w:color="auto" w:fill="auto"/>
            <w:noWrap/>
            <w:vAlign w:val="bottom"/>
          </w:tcPr>
          <w:p w14:paraId="73FB6990"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ELECTRICA INDUSTRIAL</w:t>
            </w:r>
          </w:p>
        </w:tc>
        <w:tc>
          <w:tcPr>
            <w:tcW w:w="2154" w:type="dxa"/>
            <w:tcBorders>
              <w:top w:val="nil"/>
              <w:left w:val="nil"/>
              <w:bottom w:val="single" w:sz="4" w:space="0" w:color="auto"/>
              <w:right w:val="single" w:sz="4" w:space="0" w:color="auto"/>
            </w:tcBorders>
            <w:shd w:val="clear" w:color="auto" w:fill="auto"/>
            <w:noWrap/>
            <w:vAlign w:val="bottom"/>
          </w:tcPr>
          <w:p w14:paraId="0F0DB1E0"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4.202,86</w:t>
            </w:r>
          </w:p>
        </w:tc>
      </w:tr>
      <w:tr w:rsidR="004864FF" w:rsidRPr="00A81CB8" w14:paraId="4B25FB3B"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57025889"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SE-N_20</w:t>
            </w:r>
          </w:p>
        </w:tc>
        <w:tc>
          <w:tcPr>
            <w:tcW w:w="3969" w:type="dxa"/>
            <w:tcBorders>
              <w:top w:val="nil"/>
              <w:left w:val="nil"/>
              <w:bottom w:val="single" w:sz="4" w:space="0" w:color="auto"/>
              <w:right w:val="single" w:sz="4" w:space="0" w:color="auto"/>
            </w:tcBorders>
            <w:shd w:val="clear" w:color="auto" w:fill="auto"/>
            <w:vAlign w:val="center"/>
            <w:hideMark/>
          </w:tcPr>
          <w:p w14:paraId="100B7064"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Cumbres</w:t>
            </w:r>
          </w:p>
        </w:tc>
        <w:tc>
          <w:tcPr>
            <w:tcW w:w="1077" w:type="dxa"/>
            <w:tcBorders>
              <w:top w:val="nil"/>
              <w:left w:val="nil"/>
              <w:bottom w:val="single" w:sz="4" w:space="0" w:color="auto"/>
              <w:right w:val="single" w:sz="4" w:space="0" w:color="auto"/>
            </w:tcBorders>
            <w:shd w:val="clear" w:color="auto" w:fill="auto"/>
            <w:noWrap/>
            <w:vAlign w:val="bottom"/>
          </w:tcPr>
          <w:p w14:paraId="21E36008"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P_514</w:t>
            </w:r>
          </w:p>
        </w:tc>
        <w:tc>
          <w:tcPr>
            <w:tcW w:w="3969" w:type="dxa"/>
            <w:tcBorders>
              <w:top w:val="nil"/>
              <w:left w:val="nil"/>
              <w:bottom w:val="single" w:sz="4" w:space="0" w:color="auto"/>
              <w:right w:val="single" w:sz="4" w:space="0" w:color="auto"/>
            </w:tcBorders>
            <w:shd w:val="clear" w:color="auto" w:fill="auto"/>
            <w:noWrap/>
            <w:vAlign w:val="bottom"/>
          </w:tcPr>
          <w:p w14:paraId="2AE7D31F"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TEN</w:t>
            </w:r>
          </w:p>
        </w:tc>
        <w:tc>
          <w:tcPr>
            <w:tcW w:w="2154" w:type="dxa"/>
            <w:tcBorders>
              <w:top w:val="nil"/>
              <w:left w:val="nil"/>
              <w:bottom w:val="single" w:sz="4" w:space="0" w:color="auto"/>
              <w:right w:val="single" w:sz="4" w:space="0" w:color="auto"/>
            </w:tcBorders>
            <w:shd w:val="clear" w:color="auto" w:fill="auto"/>
            <w:noWrap/>
            <w:vAlign w:val="bottom"/>
          </w:tcPr>
          <w:p w14:paraId="1A9B194A"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6.420.389,39</w:t>
            </w:r>
          </w:p>
        </w:tc>
      </w:tr>
      <w:tr w:rsidR="004864FF" w:rsidRPr="00A81CB8" w14:paraId="7CF3D1AF" w14:textId="77777777" w:rsidTr="006B5A62">
        <w:trPr>
          <w:jc w:val="center"/>
        </w:trPr>
        <w:tc>
          <w:tcPr>
            <w:tcW w:w="1985"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0B23EDFD"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lastRenderedPageBreak/>
              <w:t>SE-N_21</w:t>
            </w:r>
          </w:p>
        </w:tc>
        <w:tc>
          <w:tcPr>
            <w:tcW w:w="3969" w:type="dxa"/>
            <w:vMerge w:val="restart"/>
            <w:tcBorders>
              <w:top w:val="nil"/>
              <w:left w:val="single" w:sz="4" w:space="0" w:color="auto"/>
              <w:bottom w:val="single" w:sz="4" w:space="0" w:color="auto"/>
              <w:right w:val="single" w:sz="4" w:space="0" w:color="auto"/>
            </w:tcBorders>
            <w:shd w:val="clear" w:color="auto" w:fill="auto"/>
            <w:vAlign w:val="center"/>
            <w:hideMark/>
          </w:tcPr>
          <w:p w14:paraId="7C6DB76E"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DIEGO DE ALMAGRO</w:t>
            </w:r>
          </w:p>
        </w:tc>
        <w:tc>
          <w:tcPr>
            <w:tcW w:w="1077" w:type="dxa"/>
            <w:tcBorders>
              <w:top w:val="nil"/>
              <w:left w:val="nil"/>
              <w:bottom w:val="single" w:sz="4" w:space="0" w:color="auto"/>
              <w:right w:val="single" w:sz="4" w:space="0" w:color="auto"/>
            </w:tcBorders>
            <w:shd w:val="clear" w:color="auto" w:fill="auto"/>
            <w:noWrap/>
            <w:vAlign w:val="bottom"/>
          </w:tcPr>
          <w:p w14:paraId="182303D4"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P_032</w:t>
            </w:r>
          </w:p>
        </w:tc>
        <w:tc>
          <w:tcPr>
            <w:tcW w:w="3969" w:type="dxa"/>
            <w:tcBorders>
              <w:top w:val="nil"/>
              <w:left w:val="nil"/>
              <w:bottom w:val="single" w:sz="4" w:space="0" w:color="auto"/>
              <w:right w:val="single" w:sz="4" w:space="0" w:color="auto"/>
            </w:tcBorders>
            <w:shd w:val="clear" w:color="auto" w:fill="auto"/>
            <w:noWrap/>
            <w:vAlign w:val="bottom"/>
          </w:tcPr>
          <w:p w14:paraId="1256A214"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TRANSELEC S.A.</w:t>
            </w:r>
          </w:p>
        </w:tc>
        <w:tc>
          <w:tcPr>
            <w:tcW w:w="2154" w:type="dxa"/>
            <w:tcBorders>
              <w:top w:val="nil"/>
              <w:left w:val="nil"/>
              <w:bottom w:val="single" w:sz="4" w:space="0" w:color="auto"/>
              <w:right w:val="single" w:sz="4" w:space="0" w:color="auto"/>
            </w:tcBorders>
            <w:shd w:val="clear" w:color="auto" w:fill="auto"/>
            <w:noWrap/>
            <w:vAlign w:val="bottom"/>
          </w:tcPr>
          <w:p w14:paraId="20948660"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23.764.275,47</w:t>
            </w:r>
          </w:p>
        </w:tc>
      </w:tr>
      <w:tr w:rsidR="004864FF" w:rsidRPr="00A81CB8" w14:paraId="3E59F087" w14:textId="77777777" w:rsidTr="006B5A62">
        <w:trPr>
          <w:jc w:val="center"/>
        </w:trPr>
        <w:tc>
          <w:tcPr>
            <w:tcW w:w="1985" w:type="dxa"/>
            <w:vMerge/>
            <w:tcBorders>
              <w:top w:val="nil"/>
              <w:left w:val="single" w:sz="4" w:space="0" w:color="auto"/>
              <w:bottom w:val="single" w:sz="4" w:space="0" w:color="auto"/>
              <w:right w:val="single" w:sz="4" w:space="0" w:color="auto"/>
            </w:tcBorders>
            <w:vAlign w:val="center"/>
            <w:hideMark/>
          </w:tcPr>
          <w:p w14:paraId="30C02B59"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574BCA13"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bottom"/>
          </w:tcPr>
          <w:p w14:paraId="11942574"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P_100</w:t>
            </w:r>
          </w:p>
        </w:tc>
        <w:tc>
          <w:tcPr>
            <w:tcW w:w="3969" w:type="dxa"/>
            <w:tcBorders>
              <w:top w:val="nil"/>
              <w:left w:val="nil"/>
              <w:bottom w:val="single" w:sz="4" w:space="0" w:color="auto"/>
              <w:right w:val="single" w:sz="4" w:space="0" w:color="auto"/>
            </w:tcBorders>
            <w:shd w:val="clear" w:color="auto" w:fill="auto"/>
            <w:noWrap/>
            <w:vAlign w:val="bottom"/>
          </w:tcPr>
          <w:p w14:paraId="7B6D91DA"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STS</w:t>
            </w:r>
          </w:p>
        </w:tc>
        <w:tc>
          <w:tcPr>
            <w:tcW w:w="2154" w:type="dxa"/>
            <w:tcBorders>
              <w:top w:val="nil"/>
              <w:left w:val="nil"/>
              <w:bottom w:val="single" w:sz="4" w:space="0" w:color="auto"/>
              <w:right w:val="single" w:sz="4" w:space="0" w:color="auto"/>
            </w:tcBorders>
            <w:shd w:val="clear" w:color="auto" w:fill="auto"/>
            <w:noWrap/>
            <w:vAlign w:val="bottom"/>
          </w:tcPr>
          <w:p w14:paraId="358159AC"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79.315,70</w:t>
            </w:r>
          </w:p>
        </w:tc>
      </w:tr>
      <w:tr w:rsidR="004864FF" w:rsidRPr="00A81CB8" w14:paraId="2CDE6378" w14:textId="77777777" w:rsidTr="006B5A62">
        <w:trPr>
          <w:jc w:val="center"/>
        </w:trPr>
        <w:tc>
          <w:tcPr>
            <w:tcW w:w="1985" w:type="dxa"/>
            <w:vMerge/>
            <w:tcBorders>
              <w:top w:val="nil"/>
              <w:left w:val="single" w:sz="4" w:space="0" w:color="auto"/>
              <w:bottom w:val="single" w:sz="4" w:space="0" w:color="auto"/>
              <w:right w:val="single" w:sz="4" w:space="0" w:color="auto"/>
            </w:tcBorders>
            <w:vAlign w:val="center"/>
            <w:hideMark/>
          </w:tcPr>
          <w:p w14:paraId="1B6D4B1B"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4AE6F90A"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bottom"/>
          </w:tcPr>
          <w:p w14:paraId="19ECD13F"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P_290</w:t>
            </w:r>
          </w:p>
        </w:tc>
        <w:tc>
          <w:tcPr>
            <w:tcW w:w="3969" w:type="dxa"/>
            <w:tcBorders>
              <w:top w:val="nil"/>
              <w:left w:val="nil"/>
              <w:bottom w:val="single" w:sz="4" w:space="0" w:color="auto"/>
              <w:right w:val="single" w:sz="4" w:space="0" w:color="auto"/>
            </w:tcBorders>
            <w:shd w:val="clear" w:color="auto" w:fill="auto"/>
            <w:noWrap/>
            <w:vAlign w:val="bottom"/>
          </w:tcPr>
          <w:p w14:paraId="2D2424D8"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Eletrans</w:t>
            </w:r>
          </w:p>
        </w:tc>
        <w:tc>
          <w:tcPr>
            <w:tcW w:w="2154" w:type="dxa"/>
            <w:tcBorders>
              <w:top w:val="nil"/>
              <w:left w:val="nil"/>
              <w:bottom w:val="single" w:sz="4" w:space="0" w:color="auto"/>
              <w:right w:val="single" w:sz="4" w:space="0" w:color="auto"/>
            </w:tcBorders>
            <w:shd w:val="clear" w:color="auto" w:fill="auto"/>
            <w:noWrap/>
            <w:vAlign w:val="bottom"/>
          </w:tcPr>
          <w:p w14:paraId="5EA64CD5"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604.471,44</w:t>
            </w:r>
          </w:p>
        </w:tc>
      </w:tr>
      <w:tr w:rsidR="004864FF" w:rsidRPr="00A81CB8" w14:paraId="4B0E8B59" w14:textId="77777777" w:rsidTr="006B5A62">
        <w:trPr>
          <w:jc w:val="center"/>
        </w:trPr>
        <w:tc>
          <w:tcPr>
            <w:tcW w:w="1985"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6A9AAF22"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SE-N_22</w:t>
            </w:r>
          </w:p>
        </w:tc>
        <w:tc>
          <w:tcPr>
            <w:tcW w:w="3969" w:type="dxa"/>
            <w:vMerge w:val="restart"/>
            <w:tcBorders>
              <w:top w:val="nil"/>
              <w:left w:val="single" w:sz="4" w:space="0" w:color="auto"/>
              <w:bottom w:val="single" w:sz="4" w:space="0" w:color="auto"/>
              <w:right w:val="single" w:sz="4" w:space="0" w:color="auto"/>
            </w:tcBorders>
            <w:shd w:val="clear" w:color="auto" w:fill="auto"/>
            <w:vAlign w:val="center"/>
            <w:hideMark/>
          </w:tcPr>
          <w:p w14:paraId="4B3DA290"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DON GOYO</w:t>
            </w:r>
          </w:p>
        </w:tc>
        <w:tc>
          <w:tcPr>
            <w:tcW w:w="1077" w:type="dxa"/>
            <w:tcBorders>
              <w:top w:val="nil"/>
              <w:left w:val="nil"/>
              <w:bottom w:val="single" w:sz="4" w:space="0" w:color="auto"/>
              <w:right w:val="single" w:sz="4" w:space="0" w:color="auto"/>
            </w:tcBorders>
            <w:shd w:val="clear" w:color="auto" w:fill="auto"/>
            <w:noWrap/>
            <w:vAlign w:val="bottom"/>
          </w:tcPr>
          <w:p w14:paraId="169247C8"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P_032</w:t>
            </w:r>
          </w:p>
        </w:tc>
        <w:tc>
          <w:tcPr>
            <w:tcW w:w="3969" w:type="dxa"/>
            <w:tcBorders>
              <w:top w:val="nil"/>
              <w:left w:val="nil"/>
              <w:bottom w:val="single" w:sz="4" w:space="0" w:color="auto"/>
              <w:right w:val="single" w:sz="4" w:space="0" w:color="auto"/>
            </w:tcBorders>
            <w:shd w:val="clear" w:color="auto" w:fill="auto"/>
            <w:noWrap/>
            <w:vAlign w:val="bottom"/>
          </w:tcPr>
          <w:p w14:paraId="04D8727E"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TRANSELEC S.A.</w:t>
            </w:r>
          </w:p>
        </w:tc>
        <w:tc>
          <w:tcPr>
            <w:tcW w:w="2154" w:type="dxa"/>
            <w:tcBorders>
              <w:top w:val="nil"/>
              <w:left w:val="nil"/>
              <w:bottom w:val="single" w:sz="4" w:space="0" w:color="auto"/>
              <w:right w:val="single" w:sz="4" w:space="0" w:color="auto"/>
            </w:tcBorders>
            <w:shd w:val="clear" w:color="auto" w:fill="auto"/>
            <w:noWrap/>
            <w:vAlign w:val="bottom"/>
          </w:tcPr>
          <w:p w14:paraId="7EACED0A"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137.014,83</w:t>
            </w:r>
          </w:p>
        </w:tc>
      </w:tr>
      <w:tr w:rsidR="004864FF" w:rsidRPr="00A81CB8" w14:paraId="096AFC40" w14:textId="77777777" w:rsidTr="006B5A62">
        <w:trPr>
          <w:jc w:val="center"/>
        </w:trPr>
        <w:tc>
          <w:tcPr>
            <w:tcW w:w="1985" w:type="dxa"/>
            <w:vMerge/>
            <w:tcBorders>
              <w:top w:val="nil"/>
              <w:left w:val="single" w:sz="4" w:space="0" w:color="auto"/>
              <w:bottom w:val="single" w:sz="4" w:space="0" w:color="auto"/>
              <w:right w:val="single" w:sz="4" w:space="0" w:color="auto"/>
            </w:tcBorders>
            <w:vAlign w:val="center"/>
            <w:hideMark/>
          </w:tcPr>
          <w:p w14:paraId="0804B2C5"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374AF673"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bottom"/>
          </w:tcPr>
          <w:p w14:paraId="51DD6D2C"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P_440</w:t>
            </w:r>
          </w:p>
        </w:tc>
        <w:tc>
          <w:tcPr>
            <w:tcW w:w="3969" w:type="dxa"/>
            <w:tcBorders>
              <w:top w:val="nil"/>
              <w:left w:val="nil"/>
              <w:bottom w:val="single" w:sz="4" w:space="0" w:color="auto"/>
              <w:right w:val="single" w:sz="4" w:space="0" w:color="auto"/>
            </w:tcBorders>
            <w:shd w:val="clear" w:color="auto" w:fill="auto"/>
            <w:noWrap/>
            <w:vAlign w:val="bottom"/>
          </w:tcPr>
          <w:p w14:paraId="36B21131"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Parque Eólico El Arrayán</w:t>
            </w:r>
          </w:p>
        </w:tc>
        <w:tc>
          <w:tcPr>
            <w:tcW w:w="2154" w:type="dxa"/>
            <w:tcBorders>
              <w:top w:val="nil"/>
              <w:left w:val="nil"/>
              <w:bottom w:val="single" w:sz="4" w:space="0" w:color="auto"/>
              <w:right w:val="single" w:sz="4" w:space="0" w:color="auto"/>
            </w:tcBorders>
            <w:shd w:val="clear" w:color="auto" w:fill="auto"/>
            <w:noWrap/>
            <w:vAlign w:val="bottom"/>
          </w:tcPr>
          <w:p w14:paraId="684A6754"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8.963,39</w:t>
            </w:r>
          </w:p>
        </w:tc>
      </w:tr>
      <w:tr w:rsidR="004864FF" w:rsidRPr="00A81CB8" w14:paraId="7458E7F0"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685BEAF4"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SE-N_23</w:t>
            </w:r>
          </w:p>
        </w:tc>
        <w:tc>
          <w:tcPr>
            <w:tcW w:w="3969" w:type="dxa"/>
            <w:tcBorders>
              <w:top w:val="nil"/>
              <w:left w:val="nil"/>
              <w:bottom w:val="single" w:sz="4" w:space="0" w:color="auto"/>
              <w:right w:val="single" w:sz="4" w:space="0" w:color="auto"/>
            </w:tcBorders>
            <w:shd w:val="clear" w:color="auto" w:fill="auto"/>
            <w:vAlign w:val="center"/>
            <w:hideMark/>
          </w:tcPr>
          <w:p w14:paraId="29518C53"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Don Héctor</w:t>
            </w:r>
          </w:p>
        </w:tc>
        <w:tc>
          <w:tcPr>
            <w:tcW w:w="1077" w:type="dxa"/>
            <w:tcBorders>
              <w:top w:val="nil"/>
              <w:left w:val="nil"/>
              <w:bottom w:val="single" w:sz="4" w:space="0" w:color="auto"/>
              <w:right w:val="single" w:sz="4" w:space="0" w:color="auto"/>
            </w:tcBorders>
            <w:shd w:val="clear" w:color="auto" w:fill="auto"/>
            <w:noWrap/>
            <w:vAlign w:val="bottom"/>
          </w:tcPr>
          <w:p w14:paraId="38812565"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P_032</w:t>
            </w:r>
          </w:p>
        </w:tc>
        <w:tc>
          <w:tcPr>
            <w:tcW w:w="3969" w:type="dxa"/>
            <w:tcBorders>
              <w:top w:val="nil"/>
              <w:left w:val="nil"/>
              <w:bottom w:val="single" w:sz="4" w:space="0" w:color="auto"/>
              <w:right w:val="single" w:sz="4" w:space="0" w:color="auto"/>
            </w:tcBorders>
            <w:shd w:val="clear" w:color="auto" w:fill="auto"/>
            <w:noWrap/>
            <w:vAlign w:val="bottom"/>
          </w:tcPr>
          <w:p w14:paraId="4D8453FB"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TRANSELEC S.A.</w:t>
            </w:r>
          </w:p>
        </w:tc>
        <w:tc>
          <w:tcPr>
            <w:tcW w:w="2154" w:type="dxa"/>
            <w:tcBorders>
              <w:top w:val="nil"/>
              <w:left w:val="nil"/>
              <w:bottom w:val="single" w:sz="4" w:space="0" w:color="auto"/>
              <w:right w:val="single" w:sz="4" w:space="0" w:color="auto"/>
            </w:tcBorders>
            <w:shd w:val="clear" w:color="auto" w:fill="auto"/>
            <w:noWrap/>
            <w:vAlign w:val="bottom"/>
          </w:tcPr>
          <w:p w14:paraId="6896982D"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2.140.813,99</w:t>
            </w:r>
          </w:p>
        </w:tc>
      </w:tr>
      <w:tr w:rsidR="004864FF" w:rsidRPr="00A81CB8" w14:paraId="09EC0524" w14:textId="77777777" w:rsidTr="006B5A62">
        <w:trPr>
          <w:jc w:val="center"/>
        </w:trPr>
        <w:tc>
          <w:tcPr>
            <w:tcW w:w="1985"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11C6CA1E"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SE-N_24</w:t>
            </w:r>
          </w:p>
        </w:tc>
        <w:tc>
          <w:tcPr>
            <w:tcW w:w="3969" w:type="dxa"/>
            <w:vMerge w:val="restart"/>
            <w:tcBorders>
              <w:top w:val="nil"/>
              <w:left w:val="single" w:sz="4" w:space="0" w:color="auto"/>
              <w:bottom w:val="single" w:sz="4" w:space="0" w:color="auto"/>
              <w:right w:val="single" w:sz="4" w:space="0" w:color="auto"/>
            </w:tcBorders>
            <w:shd w:val="clear" w:color="auto" w:fill="auto"/>
            <w:vAlign w:val="center"/>
            <w:hideMark/>
          </w:tcPr>
          <w:p w14:paraId="124491FB"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DUQUECO</w:t>
            </w:r>
          </w:p>
        </w:tc>
        <w:tc>
          <w:tcPr>
            <w:tcW w:w="1077" w:type="dxa"/>
            <w:tcBorders>
              <w:top w:val="nil"/>
              <w:left w:val="nil"/>
              <w:bottom w:val="single" w:sz="4" w:space="0" w:color="auto"/>
              <w:right w:val="single" w:sz="4" w:space="0" w:color="auto"/>
            </w:tcBorders>
            <w:shd w:val="clear" w:color="auto" w:fill="auto"/>
            <w:noWrap/>
            <w:vAlign w:val="bottom"/>
          </w:tcPr>
          <w:p w14:paraId="6BA0FCAF"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P_032</w:t>
            </w:r>
          </w:p>
        </w:tc>
        <w:tc>
          <w:tcPr>
            <w:tcW w:w="3969" w:type="dxa"/>
            <w:tcBorders>
              <w:top w:val="nil"/>
              <w:left w:val="nil"/>
              <w:bottom w:val="single" w:sz="4" w:space="0" w:color="auto"/>
              <w:right w:val="single" w:sz="4" w:space="0" w:color="auto"/>
            </w:tcBorders>
            <w:shd w:val="clear" w:color="auto" w:fill="auto"/>
            <w:noWrap/>
            <w:vAlign w:val="bottom"/>
          </w:tcPr>
          <w:p w14:paraId="1A0AAFC0"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TRANSELEC S.A.</w:t>
            </w:r>
          </w:p>
        </w:tc>
        <w:tc>
          <w:tcPr>
            <w:tcW w:w="2154" w:type="dxa"/>
            <w:tcBorders>
              <w:top w:val="nil"/>
              <w:left w:val="nil"/>
              <w:bottom w:val="single" w:sz="4" w:space="0" w:color="auto"/>
              <w:right w:val="single" w:sz="4" w:space="0" w:color="auto"/>
            </w:tcBorders>
            <w:shd w:val="clear" w:color="auto" w:fill="auto"/>
            <w:noWrap/>
            <w:vAlign w:val="bottom"/>
          </w:tcPr>
          <w:p w14:paraId="27051B10"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360.120,19</w:t>
            </w:r>
          </w:p>
        </w:tc>
      </w:tr>
      <w:tr w:rsidR="004864FF" w:rsidRPr="00A81CB8" w14:paraId="113FD2F1" w14:textId="77777777" w:rsidTr="006B5A62">
        <w:trPr>
          <w:jc w:val="center"/>
        </w:trPr>
        <w:tc>
          <w:tcPr>
            <w:tcW w:w="1985" w:type="dxa"/>
            <w:vMerge/>
            <w:tcBorders>
              <w:top w:val="nil"/>
              <w:left w:val="single" w:sz="4" w:space="0" w:color="auto"/>
              <w:bottom w:val="single" w:sz="4" w:space="0" w:color="auto"/>
              <w:right w:val="single" w:sz="4" w:space="0" w:color="auto"/>
            </w:tcBorders>
            <w:vAlign w:val="center"/>
            <w:hideMark/>
          </w:tcPr>
          <w:p w14:paraId="3E8DDEC4"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63A7D0E1"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bottom"/>
          </w:tcPr>
          <w:p w14:paraId="3805331D"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P_083</w:t>
            </w:r>
          </w:p>
        </w:tc>
        <w:tc>
          <w:tcPr>
            <w:tcW w:w="3969" w:type="dxa"/>
            <w:tcBorders>
              <w:top w:val="nil"/>
              <w:left w:val="nil"/>
              <w:bottom w:val="single" w:sz="4" w:space="0" w:color="auto"/>
              <w:right w:val="single" w:sz="4" w:space="0" w:color="auto"/>
            </w:tcBorders>
            <w:shd w:val="clear" w:color="auto" w:fill="auto"/>
            <w:noWrap/>
            <w:vAlign w:val="bottom"/>
          </w:tcPr>
          <w:p w14:paraId="3A869E2D"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CGE</w:t>
            </w:r>
          </w:p>
        </w:tc>
        <w:tc>
          <w:tcPr>
            <w:tcW w:w="2154" w:type="dxa"/>
            <w:tcBorders>
              <w:top w:val="nil"/>
              <w:left w:val="nil"/>
              <w:bottom w:val="single" w:sz="4" w:space="0" w:color="auto"/>
              <w:right w:val="single" w:sz="4" w:space="0" w:color="auto"/>
            </w:tcBorders>
            <w:shd w:val="clear" w:color="auto" w:fill="auto"/>
            <w:noWrap/>
            <w:vAlign w:val="bottom"/>
          </w:tcPr>
          <w:p w14:paraId="596EF87E"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77.836,15</w:t>
            </w:r>
          </w:p>
        </w:tc>
      </w:tr>
      <w:tr w:rsidR="004864FF" w:rsidRPr="00A81CB8" w14:paraId="6FD4812F" w14:textId="77777777" w:rsidTr="006B5A62">
        <w:trPr>
          <w:jc w:val="center"/>
        </w:trPr>
        <w:tc>
          <w:tcPr>
            <w:tcW w:w="1985" w:type="dxa"/>
            <w:vMerge/>
            <w:tcBorders>
              <w:top w:val="nil"/>
              <w:left w:val="single" w:sz="4" w:space="0" w:color="auto"/>
              <w:bottom w:val="single" w:sz="4" w:space="0" w:color="auto"/>
              <w:right w:val="single" w:sz="4" w:space="0" w:color="auto"/>
            </w:tcBorders>
            <w:vAlign w:val="center"/>
            <w:hideMark/>
          </w:tcPr>
          <w:p w14:paraId="588C20DF"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12D5E321"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bottom"/>
          </w:tcPr>
          <w:p w14:paraId="327733D8"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P_120</w:t>
            </w:r>
          </w:p>
        </w:tc>
        <w:tc>
          <w:tcPr>
            <w:tcW w:w="3969" w:type="dxa"/>
            <w:tcBorders>
              <w:top w:val="nil"/>
              <w:left w:val="nil"/>
              <w:bottom w:val="single" w:sz="4" w:space="0" w:color="auto"/>
              <w:right w:val="single" w:sz="4" w:space="0" w:color="auto"/>
            </w:tcBorders>
            <w:shd w:val="clear" w:color="auto" w:fill="auto"/>
            <w:noWrap/>
            <w:vAlign w:val="bottom"/>
          </w:tcPr>
          <w:p w14:paraId="220CAA8E"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TRANSEMEL</w:t>
            </w:r>
          </w:p>
        </w:tc>
        <w:tc>
          <w:tcPr>
            <w:tcW w:w="2154" w:type="dxa"/>
            <w:tcBorders>
              <w:top w:val="nil"/>
              <w:left w:val="nil"/>
              <w:bottom w:val="single" w:sz="4" w:space="0" w:color="auto"/>
              <w:right w:val="single" w:sz="4" w:space="0" w:color="auto"/>
            </w:tcBorders>
            <w:shd w:val="clear" w:color="auto" w:fill="auto"/>
            <w:noWrap/>
            <w:vAlign w:val="bottom"/>
          </w:tcPr>
          <w:p w14:paraId="5AF7CF31"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3.841.492,81</w:t>
            </w:r>
          </w:p>
        </w:tc>
      </w:tr>
      <w:tr w:rsidR="004864FF" w:rsidRPr="00A81CB8" w14:paraId="570FCE6C" w14:textId="77777777" w:rsidTr="006B5A62">
        <w:trPr>
          <w:jc w:val="center"/>
        </w:trPr>
        <w:tc>
          <w:tcPr>
            <w:tcW w:w="1985"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66CE7FA"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SE-N_25</w:t>
            </w:r>
          </w:p>
        </w:tc>
        <w:tc>
          <w:tcPr>
            <w:tcW w:w="3969" w:type="dxa"/>
            <w:vMerge w:val="restart"/>
            <w:tcBorders>
              <w:top w:val="nil"/>
              <w:left w:val="single" w:sz="4" w:space="0" w:color="auto"/>
              <w:bottom w:val="single" w:sz="4" w:space="0" w:color="auto"/>
              <w:right w:val="single" w:sz="4" w:space="0" w:color="auto"/>
            </w:tcBorders>
            <w:shd w:val="clear" w:color="auto" w:fill="auto"/>
            <w:vAlign w:val="center"/>
            <w:hideMark/>
          </w:tcPr>
          <w:p w14:paraId="5B0C3E0E"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El Cobre (ENGIE)</w:t>
            </w:r>
          </w:p>
        </w:tc>
        <w:tc>
          <w:tcPr>
            <w:tcW w:w="1077" w:type="dxa"/>
            <w:tcBorders>
              <w:top w:val="nil"/>
              <w:left w:val="nil"/>
              <w:bottom w:val="single" w:sz="4" w:space="0" w:color="auto"/>
              <w:right w:val="single" w:sz="4" w:space="0" w:color="auto"/>
            </w:tcBorders>
            <w:shd w:val="clear" w:color="auto" w:fill="auto"/>
            <w:noWrap/>
            <w:vAlign w:val="bottom"/>
          </w:tcPr>
          <w:p w14:paraId="7FB58FED"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P_164</w:t>
            </w:r>
          </w:p>
        </w:tc>
        <w:tc>
          <w:tcPr>
            <w:tcW w:w="3969" w:type="dxa"/>
            <w:tcBorders>
              <w:top w:val="nil"/>
              <w:left w:val="nil"/>
              <w:bottom w:val="single" w:sz="4" w:space="0" w:color="auto"/>
              <w:right w:val="single" w:sz="4" w:space="0" w:color="auto"/>
            </w:tcBorders>
            <w:shd w:val="clear" w:color="auto" w:fill="auto"/>
            <w:noWrap/>
            <w:vAlign w:val="bottom"/>
          </w:tcPr>
          <w:p w14:paraId="735F6610"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E-CL</w:t>
            </w:r>
          </w:p>
        </w:tc>
        <w:tc>
          <w:tcPr>
            <w:tcW w:w="2154" w:type="dxa"/>
            <w:tcBorders>
              <w:top w:val="nil"/>
              <w:left w:val="nil"/>
              <w:bottom w:val="single" w:sz="4" w:space="0" w:color="auto"/>
              <w:right w:val="single" w:sz="4" w:space="0" w:color="auto"/>
            </w:tcBorders>
            <w:shd w:val="clear" w:color="auto" w:fill="auto"/>
            <w:noWrap/>
            <w:vAlign w:val="bottom"/>
          </w:tcPr>
          <w:p w14:paraId="2DDB7477"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2.460.487,94</w:t>
            </w:r>
          </w:p>
        </w:tc>
      </w:tr>
      <w:tr w:rsidR="004864FF" w:rsidRPr="00A81CB8" w14:paraId="3930BB6E" w14:textId="77777777" w:rsidTr="006B5A62">
        <w:trPr>
          <w:jc w:val="center"/>
        </w:trPr>
        <w:tc>
          <w:tcPr>
            <w:tcW w:w="1985" w:type="dxa"/>
            <w:vMerge/>
            <w:tcBorders>
              <w:top w:val="nil"/>
              <w:left w:val="single" w:sz="4" w:space="0" w:color="auto"/>
              <w:bottom w:val="single" w:sz="4" w:space="0" w:color="auto"/>
              <w:right w:val="single" w:sz="4" w:space="0" w:color="auto"/>
            </w:tcBorders>
            <w:vAlign w:val="center"/>
            <w:hideMark/>
          </w:tcPr>
          <w:p w14:paraId="146EF33B"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7F75EAC8"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bottom"/>
          </w:tcPr>
          <w:p w14:paraId="69BCFE61"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P_578</w:t>
            </w:r>
          </w:p>
        </w:tc>
        <w:tc>
          <w:tcPr>
            <w:tcW w:w="3969" w:type="dxa"/>
            <w:tcBorders>
              <w:top w:val="nil"/>
              <w:left w:val="nil"/>
              <w:bottom w:val="single" w:sz="4" w:space="0" w:color="auto"/>
              <w:right w:val="single" w:sz="4" w:space="0" w:color="auto"/>
            </w:tcBorders>
            <w:shd w:val="clear" w:color="auto" w:fill="auto"/>
            <w:noWrap/>
            <w:vAlign w:val="bottom"/>
          </w:tcPr>
          <w:p w14:paraId="1277B585"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ANTOFAGASTA MINERALS S.A.</w:t>
            </w:r>
          </w:p>
        </w:tc>
        <w:tc>
          <w:tcPr>
            <w:tcW w:w="2154" w:type="dxa"/>
            <w:tcBorders>
              <w:top w:val="nil"/>
              <w:left w:val="nil"/>
              <w:bottom w:val="single" w:sz="4" w:space="0" w:color="auto"/>
              <w:right w:val="single" w:sz="4" w:space="0" w:color="auto"/>
            </w:tcBorders>
            <w:shd w:val="clear" w:color="auto" w:fill="auto"/>
            <w:noWrap/>
            <w:vAlign w:val="bottom"/>
          </w:tcPr>
          <w:p w14:paraId="157B6079"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146.198,70</w:t>
            </w:r>
          </w:p>
        </w:tc>
      </w:tr>
      <w:tr w:rsidR="004864FF" w:rsidRPr="00A81CB8" w14:paraId="0225FC72" w14:textId="77777777" w:rsidTr="006B5A62">
        <w:trPr>
          <w:jc w:val="center"/>
        </w:trPr>
        <w:tc>
          <w:tcPr>
            <w:tcW w:w="1985"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1D932AA7"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SE-N_26</w:t>
            </w:r>
          </w:p>
        </w:tc>
        <w:tc>
          <w:tcPr>
            <w:tcW w:w="3969" w:type="dxa"/>
            <w:vMerge w:val="restart"/>
            <w:tcBorders>
              <w:top w:val="nil"/>
              <w:left w:val="single" w:sz="4" w:space="0" w:color="auto"/>
              <w:bottom w:val="single" w:sz="4" w:space="0" w:color="auto"/>
              <w:right w:val="single" w:sz="4" w:space="0" w:color="auto"/>
            </w:tcBorders>
            <w:shd w:val="clear" w:color="auto" w:fill="auto"/>
            <w:vAlign w:val="center"/>
            <w:hideMark/>
          </w:tcPr>
          <w:p w14:paraId="31D80B48"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ENCUENTRO</w:t>
            </w:r>
          </w:p>
        </w:tc>
        <w:tc>
          <w:tcPr>
            <w:tcW w:w="1077" w:type="dxa"/>
            <w:tcBorders>
              <w:top w:val="nil"/>
              <w:left w:val="nil"/>
              <w:bottom w:val="single" w:sz="4" w:space="0" w:color="auto"/>
              <w:right w:val="single" w:sz="4" w:space="0" w:color="auto"/>
            </w:tcBorders>
            <w:shd w:val="clear" w:color="auto" w:fill="auto"/>
            <w:noWrap/>
            <w:vAlign w:val="bottom"/>
          </w:tcPr>
          <w:p w14:paraId="48358EFD"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P_032</w:t>
            </w:r>
          </w:p>
        </w:tc>
        <w:tc>
          <w:tcPr>
            <w:tcW w:w="3969" w:type="dxa"/>
            <w:tcBorders>
              <w:top w:val="nil"/>
              <w:left w:val="nil"/>
              <w:bottom w:val="single" w:sz="4" w:space="0" w:color="auto"/>
              <w:right w:val="single" w:sz="4" w:space="0" w:color="auto"/>
            </w:tcBorders>
            <w:shd w:val="clear" w:color="auto" w:fill="auto"/>
            <w:noWrap/>
            <w:vAlign w:val="bottom"/>
          </w:tcPr>
          <w:p w14:paraId="49BB64D7"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TRANSELEC S.A.</w:t>
            </w:r>
          </w:p>
        </w:tc>
        <w:tc>
          <w:tcPr>
            <w:tcW w:w="2154" w:type="dxa"/>
            <w:tcBorders>
              <w:top w:val="nil"/>
              <w:left w:val="nil"/>
              <w:bottom w:val="single" w:sz="4" w:space="0" w:color="auto"/>
              <w:right w:val="single" w:sz="4" w:space="0" w:color="auto"/>
            </w:tcBorders>
            <w:shd w:val="clear" w:color="auto" w:fill="auto"/>
            <w:noWrap/>
            <w:vAlign w:val="bottom"/>
          </w:tcPr>
          <w:p w14:paraId="35185948"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7.288.225,63</w:t>
            </w:r>
          </w:p>
        </w:tc>
      </w:tr>
      <w:tr w:rsidR="004864FF" w:rsidRPr="00A81CB8" w14:paraId="61AF45A2" w14:textId="77777777" w:rsidTr="006B5A62">
        <w:trPr>
          <w:jc w:val="center"/>
        </w:trPr>
        <w:tc>
          <w:tcPr>
            <w:tcW w:w="1985" w:type="dxa"/>
            <w:vMerge/>
            <w:tcBorders>
              <w:top w:val="nil"/>
              <w:left w:val="single" w:sz="4" w:space="0" w:color="auto"/>
              <w:bottom w:val="single" w:sz="4" w:space="0" w:color="auto"/>
              <w:right w:val="single" w:sz="4" w:space="0" w:color="auto"/>
            </w:tcBorders>
            <w:vAlign w:val="center"/>
            <w:hideMark/>
          </w:tcPr>
          <w:p w14:paraId="06525A5D"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20615710"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bottom"/>
          </w:tcPr>
          <w:p w14:paraId="5155D0E8"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P_079</w:t>
            </w:r>
          </w:p>
        </w:tc>
        <w:tc>
          <w:tcPr>
            <w:tcW w:w="3969" w:type="dxa"/>
            <w:tcBorders>
              <w:top w:val="nil"/>
              <w:left w:val="nil"/>
              <w:bottom w:val="single" w:sz="4" w:space="0" w:color="auto"/>
              <w:right w:val="single" w:sz="4" w:space="0" w:color="auto"/>
            </w:tcBorders>
            <w:shd w:val="clear" w:color="auto" w:fill="auto"/>
            <w:noWrap/>
            <w:vAlign w:val="bottom"/>
          </w:tcPr>
          <w:p w14:paraId="643C2D25"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AES GENER</w:t>
            </w:r>
          </w:p>
        </w:tc>
        <w:tc>
          <w:tcPr>
            <w:tcW w:w="2154" w:type="dxa"/>
            <w:tcBorders>
              <w:top w:val="nil"/>
              <w:left w:val="nil"/>
              <w:bottom w:val="single" w:sz="4" w:space="0" w:color="auto"/>
              <w:right w:val="single" w:sz="4" w:space="0" w:color="auto"/>
            </w:tcBorders>
            <w:shd w:val="clear" w:color="auto" w:fill="auto"/>
            <w:noWrap/>
            <w:vAlign w:val="bottom"/>
          </w:tcPr>
          <w:p w14:paraId="739CCE9D"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260.821,09</w:t>
            </w:r>
          </w:p>
        </w:tc>
      </w:tr>
      <w:tr w:rsidR="004864FF" w:rsidRPr="00A81CB8" w14:paraId="4BDD428C" w14:textId="77777777" w:rsidTr="006B5A62">
        <w:trPr>
          <w:jc w:val="center"/>
        </w:trPr>
        <w:tc>
          <w:tcPr>
            <w:tcW w:w="1985" w:type="dxa"/>
            <w:vMerge/>
            <w:tcBorders>
              <w:top w:val="nil"/>
              <w:left w:val="single" w:sz="4" w:space="0" w:color="auto"/>
              <w:bottom w:val="single" w:sz="4" w:space="0" w:color="auto"/>
              <w:right w:val="single" w:sz="4" w:space="0" w:color="auto"/>
            </w:tcBorders>
            <w:vAlign w:val="center"/>
            <w:hideMark/>
          </w:tcPr>
          <w:p w14:paraId="1C0F4792"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11397F36"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bottom"/>
          </w:tcPr>
          <w:p w14:paraId="65D205EB"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P_578</w:t>
            </w:r>
          </w:p>
        </w:tc>
        <w:tc>
          <w:tcPr>
            <w:tcW w:w="3969" w:type="dxa"/>
            <w:tcBorders>
              <w:top w:val="nil"/>
              <w:left w:val="nil"/>
              <w:bottom w:val="single" w:sz="4" w:space="0" w:color="auto"/>
              <w:right w:val="single" w:sz="4" w:space="0" w:color="auto"/>
            </w:tcBorders>
            <w:shd w:val="clear" w:color="auto" w:fill="auto"/>
            <w:noWrap/>
            <w:vAlign w:val="bottom"/>
          </w:tcPr>
          <w:p w14:paraId="4539F744"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ANTOFAGASTA MINERALS S.A.</w:t>
            </w:r>
          </w:p>
        </w:tc>
        <w:tc>
          <w:tcPr>
            <w:tcW w:w="2154" w:type="dxa"/>
            <w:tcBorders>
              <w:top w:val="nil"/>
              <w:left w:val="nil"/>
              <w:bottom w:val="single" w:sz="4" w:space="0" w:color="auto"/>
              <w:right w:val="single" w:sz="4" w:space="0" w:color="auto"/>
            </w:tcBorders>
            <w:shd w:val="clear" w:color="auto" w:fill="auto"/>
            <w:noWrap/>
            <w:vAlign w:val="bottom"/>
          </w:tcPr>
          <w:p w14:paraId="5BCFBEF2"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51.811,93</w:t>
            </w:r>
          </w:p>
        </w:tc>
      </w:tr>
      <w:tr w:rsidR="004864FF" w:rsidRPr="00A81CB8" w14:paraId="797ED201" w14:textId="77777777" w:rsidTr="006B5A62">
        <w:trPr>
          <w:jc w:val="center"/>
        </w:trPr>
        <w:tc>
          <w:tcPr>
            <w:tcW w:w="1985"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024EDFA3"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SE-N_27</w:t>
            </w:r>
          </w:p>
        </w:tc>
        <w:tc>
          <w:tcPr>
            <w:tcW w:w="3969" w:type="dxa"/>
            <w:vMerge w:val="restart"/>
            <w:tcBorders>
              <w:top w:val="nil"/>
              <w:left w:val="single" w:sz="4" w:space="0" w:color="auto"/>
              <w:bottom w:val="single" w:sz="4" w:space="0" w:color="auto"/>
              <w:right w:val="single" w:sz="4" w:space="0" w:color="auto"/>
            </w:tcBorders>
            <w:shd w:val="clear" w:color="auto" w:fill="auto"/>
            <w:vAlign w:val="center"/>
            <w:hideMark/>
          </w:tcPr>
          <w:p w14:paraId="26E61D79"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ESPERANZA (MINERA CENTINELA)</w:t>
            </w:r>
          </w:p>
        </w:tc>
        <w:tc>
          <w:tcPr>
            <w:tcW w:w="1077" w:type="dxa"/>
            <w:tcBorders>
              <w:top w:val="nil"/>
              <w:left w:val="nil"/>
              <w:bottom w:val="single" w:sz="4" w:space="0" w:color="auto"/>
              <w:right w:val="single" w:sz="4" w:space="0" w:color="auto"/>
            </w:tcBorders>
            <w:shd w:val="clear" w:color="auto" w:fill="auto"/>
            <w:noWrap/>
            <w:vAlign w:val="bottom"/>
          </w:tcPr>
          <w:p w14:paraId="650579B5"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P_524</w:t>
            </w:r>
          </w:p>
        </w:tc>
        <w:tc>
          <w:tcPr>
            <w:tcW w:w="3969" w:type="dxa"/>
            <w:tcBorders>
              <w:top w:val="nil"/>
              <w:left w:val="nil"/>
              <w:bottom w:val="single" w:sz="4" w:space="0" w:color="auto"/>
              <w:right w:val="single" w:sz="4" w:space="0" w:color="auto"/>
            </w:tcBorders>
            <w:shd w:val="clear" w:color="auto" w:fill="auto"/>
            <w:noWrap/>
            <w:vAlign w:val="bottom"/>
          </w:tcPr>
          <w:p w14:paraId="1E1B01ED"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ENERGÍA COYANCO</w:t>
            </w:r>
          </w:p>
        </w:tc>
        <w:tc>
          <w:tcPr>
            <w:tcW w:w="2154" w:type="dxa"/>
            <w:tcBorders>
              <w:top w:val="nil"/>
              <w:left w:val="nil"/>
              <w:bottom w:val="single" w:sz="4" w:space="0" w:color="auto"/>
              <w:right w:val="single" w:sz="4" w:space="0" w:color="auto"/>
            </w:tcBorders>
            <w:shd w:val="clear" w:color="auto" w:fill="auto"/>
            <w:noWrap/>
            <w:vAlign w:val="bottom"/>
          </w:tcPr>
          <w:p w14:paraId="0D25AD87"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19.609,36</w:t>
            </w:r>
          </w:p>
        </w:tc>
      </w:tr>
      <w:tr w:rsidR="004864FF" w:rsidRPr="00A81CB8" w14:paraId="7EC2A9DB" w14:textId="77777777" w:rsidTr="006B5A62">
        <w:trPr>
          <w:jc w:val="center"/>
        </w:trPr>
        <w:tc>
          <w:tcPr>
            <w:tcW w:w="1985" w:type="dxa"/>
            <w:vMerge/>
            <w:tcBorders>
              <w:top w:val="nil"/>
              <w:left w:val="single" w:sz="4" w:space="0" w:color="auto"/>
              <w:bottom w:val="single" w:sz="4" w:space="0" w:color="auto"/>
              <w:right w:val="single" w:sz="4" w:space="0" w:color="auto"/>
            </w:tcBorders>
            <w:vAlign w:val="center"/>
            <w:hideMark/>
          </w:tcPr>
          <w:p w14:paraId="114B78E3"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17694DFF"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bottom"/>
          </w:tcPr>
          <w:p w14:paraId="3DE1E596"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P_578</w:t>
            </w:r>
          </w:p>
        </w:tc>
        <w:tc>
          <w:tcPr>
            <w:tcW w:w="3969" w:type="dxa"/>
            <w:tcBorders>
              <w:top w:val="nil"/>
              <w:left w:val="nil"/>
              <w:bottom w:val="single" w:sz="4" w:space="0" w:color="auto"/>
              <w:right w:val="single" w:sz="4" w:space="0" w:color="auto"/>
            </w:tcBorders>
            <w:shd w:val="clear" w:color="auto" w:fill="auto"/>
            <w:noWrap/>
            <w:vAlign w:val="bottom"/>
          </w:tcPr>
          <w:p w14:paraId="1E317CF1"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ANTOFAGASTA MINERALS S.A.</w:t>
            </w:r>
          </w:p>
        </w:tc>
        <w:tc>
          <w:tcPr>
            <w:tcW w:w="2154" w:type="dxa"/>
            <w:tcBorders>
              <w:top w:val="nil"/>
              <w:left w:val="nil"/>
              <w:bottom w:val="single" w:sz="4" w:space="0" w:color="auto"/>
              <w:right w:val="single" w:sz="4" w:space="0" w:color="auto"/>
            </w:tcBorders>
            <w:shd w:val="clear" w:color="auto" w:fill="auto"/>
            <w:noWrap/>
            <w:vAlign w:val="bottom"/>
          </w:tcPr>
          <w:p w14:paraId="6B92EE08"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42,74</w:t>
            </w:r>
          </w:p>
        </w:tc>
      </w:tr>
      <w:tr w:rsidR="004864FF" w:rsidRPr="00A81CB8" w14:paraId="7F9EE7CC"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0CFB27A1"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SE-N_28</w:t>
            </w:r>
          </w:p>
        </w:tc>
        <w:tc>
          <w:tcPr>
            <w:tcW w:w="3969" w:type="dxa"/>
            <w:tcBorders>
              <w:top w:val="nil"/>
              <w:left w:val="nil"/>
              <w:bottom w:val="single" w:sz="4" w:space="0" w:color="auto"/>
              <w:right w:val="single" w:sz="4" w:space="0" w:color="auto"/>
            </w:tcBorders>
            <w:shd w:val="clear" w:color="auto" w:fill="auto"/>
            <w:vAlign w:val="center"/>
            <w:hideMark/>
          </w:tcPr>
          <w:p w14:paraId="1A2C02B7"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HUALPEN</w:t>
            </w:r>
          </w:p>
        </w:tc>
        <w:tc>
          <w:tcPr>
            <w:tcW w:w="1077" w:type="dxa"/>
            <w:tcBorders>
              <w:top w:val="nil"/>
              <w:left w:val="nil"/>
              <w:bottom w:val="single" w:sz="4" w:space="0" w:color="auto"/>
              <w:right w:val="single" w:sz="4" w:space="0" w:color="auto"/>
            </w:tcBorders>
            <w:shd w:val="clear" w:color="auto" w:fill="auto"/>
            <w:noWrap/>
            <w:vAlign w:val="bottom"/>
          </w:tcPr>
          <w:p w14:paraId="2570D4F0"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P_032</w:t>
            </w:r>
          </w:p>
        </w:tc>
        <w:tc>
          <w:tcPr>
            <w:tcW w:w="3969" w:type="dxa"/>
            <w:tcBorders>
              <w:top w:val="nil"/>
              <w:left w:val="nil"/>
              <w:bottom w:val="single" w:sz="4" w:space="0" w:color="auto"/>
              <w:right w:val="single" w:sz="4" w:space="0" w:color="auto"/>
            </w:tcBorders>
            <w:shd w:val="clear" w:color="auto" w:fill="auto"/>
            <w:noWrap/>
            <w:vAlign w:val="bottom"/>
          </w:tcPr>
          <w:p w14:paraId="74A5C656"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TRANSELEC S.A.</w:t>
            </w:r>
          </w:p>
        </w:tc>
        <w:tc>
          <w:tcPr>
            <w:tcW w:w="2154" w:type="dxa"/>
            <w:tcBorders>
              <w:top w:val="nil"/>
              <w:left w:val="nil"/>
              <w:bottom w:val="single" w:sz="4" w:space="0" w:color="auto"/>
              <w:right w:val="single" w:sz="4" w:space="0" w:color="auto"/>
            </w:tcBorders>
            <w:shd w:val="clear" w:color="auto" w:fill="auto"/>
            <w:noWrap/>
            <w:vAlign w:val="bottom"/>
          </w:tcPr>
          <w:p w14:paraId="16B6D891"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4.017.899,24</w:t>
            </w:r>
          </w:p>
        </w:tc>
      </w:tr>
      <w:tr w:rsidR="004864FF" w:rsidRPr="00A81CB8" w14:paraId="7762B573" w14:textId="77777777" w:rsidTr="006B5A62">
        <w:trPr>
          <w:jc w:val="center"/>
        </w:trPr>
        <w:tc>
          <w:tcPr>
            <w:tcW w:w="1985"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0E2F74FF"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SE-N_29</w:t>
            </w:r>
          </w:p>
        </w:tc>
        <w:tc>
          <w:tcPr>
            <w:tcW w:w="3969" w:type="dxa"/>
            <w:vMerge w:val="restart"/>
            <w:tcBorders>
              <w:top w:val="nil"/>
              <w:left w:val="single" w:sz="4" w:space="0" w:color="auto"/>
              <w:bottom w:val="single" w:sz="4" w:space="0" w:color="auto"/>
              <w:right w:val="single" w:sz="4" w:space="0" w:color="auto"/>
            </w:tcBorders>
            <w:shd w:val="clear" w:color="auto" w:fill="auto"/>
            <w:vAlign w:val="center"/>
            <w:hideMark/>
          </w:tcPr>
          <w:p w14:paraId="4DA82617"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ITAHUE</w:t>
            </w:r>
          </w:p>
        </w:tc>
        <w:tc>
          <w:tcPr>
            <w:tcW w:w="1077" w:type="dxa"/>
            <w:tcBorders>
              <w:top w:val="nil"/>
              <w:left w:val="nil"/>
              <w:bottom w:val="single" w:sz="4" w:space="0" w:color="auto"/>
              <w:right w:val="single" w:sz="4" w:space="0" w:color="auto"/>
            </w:tcBorders>
            <w:shd w:val="clear" w:color="auto" w:fill="auto"/>
            <w:noWrap/>
            <w:vAlign w:val="bottom"/>
          </w:tcPr>
          <w:p w14:paraId="46CA16D3"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P_032</w:t>
            </w:r>
          </w:p>
        </w:tc>
        <w:tc>
          <w:tcPr>
            <w:tcW w:w="3969" w:type="dxa"/>
            <w:tcBorders>
              <w:top w:val="nil"/>
              <w:left w:val="nil"/>
              <w:bottom w:val="single" w:sz="4" w:space="0" w:color="auto"/>
              <w:right w:val="single" w:sz="4" w:space="0" w:color="auto"/>
            </w:tcBorders>
            <w:shd w:val="clear" w:color="auto" w:fill="auto"/>
            <w:noWrap/>
            <w:vAlign w:val="bottom"/>
          </w:tcPr>
          <w:p w14:paraId="51DA67A8"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TRANSELEC S.A.</w:t>
            </w:r>
          </w:p>
        </w:tc>
        <w:tc>
          <w:tcPr>
            <w:tcW w:w="2154" w:type="dxa"/>
            <w:tcBorders>
              <w:top w:val="nil"/>
              <w:left w:val="nil"/>
              <w:bottom w:val="single" w:sz="4" w:space="0" w:color="auto"/>
              <w:right w:val="single" w:sz="4" w:space="0" w:color="auto"/>
            </w:tcBorders>
            <w:shd w:val="clear" w:color="auto" w:fill="auto"/>
            <w:noWrap/>
            <w:vAlign w:val="bottom"/>
          </w:tcPr>
          <w:p w14:paraId="42C76B0D"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6.994.698,40</w:t>
            </w:r>
          </w:p>
        </w:tc>
      </w:tr>
      <w:tr w:rsidR="004864FF" w:rsidRPr="00A81CB8" w14:paraId="585DDDB2" w14:textId="77777777" w:rsidTr="006B5A62">
        <w:trPr>
          <w:jc w:val="center"/>
        </w:trPr>
        <w:tc>
          <w:tcPr>
            <w:tcW w:w="1985" w:type="dxa"/>
            <w:vMerge/>
            <w:tcBorders>
              <w:top w:val="nil"/>
              <w:left w:val="single" w:sz="4" w:space="0" w:color="auto"/>
              <w:bottom w:val="single" w:sz="4" w:space="0" w:color="auto"/>
              <w:right w:val="single" w:sz="4" w:space="0" w:color="auto"/>
            </w:tcBorders>
            <w:vAlign w:val="center"/>
            <w:hideMark/>
          </w:tcPr>
          <w:p w14:paraId="20D7F3EA"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17B52A82"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bottom"/>
          </w:tcPr>
          <w:p w14:paraId="1C2C702E"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P_083</w:t>
            </w:r>
          </w:p>
        </w:tc>
        <w:tc>
          <w:tcPr>
            <w:tcW w:w="3969" w:type="dxa"/>
            <w:tcBorders>
              <w:top w:val="nil"/>
              <w:left w:val="nil"/>
              <w:bottom w:val="single" w:sz="4" w:space="0" w:color="auto"/>
              <w:right w:val="single" w:sz="4" w:space="0" w:color="auto"/>
            </w:tcBorders>
            <w:shd w:val="clear" w:color="auto" w:fill="auto"/>
            <w:noWrap/>
            <w:vAlign w:val="bottom"/>
          </w:tcPr>
          <w:p w14:paraId="6FD85BF7"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CGE</w:t>
            </w:r>
          </w:p>
        </w:tc>
        <w:tc>
          <w:tcPr>
            <w:tcW w:w="2154" w:type="dxa"/>
            <w:tcBorders>
              <w:top w:val="nil"/>
              <w:left w:val="nil"/>
              <w:bottom w:val="single" w:sz="4" w:space="0" w:color="auto"/>
              <w:right w:val="single" w:sz="4" w:space="0" w:color="auto"/>
            </w:tcBorders>
            <w:shd w:val="clear" w:color="auto" w:fill="auto"/>
            <w:noWrap/>
            <w:vAlign w:val="bottom"/>
          </w:tcPr>
          <w:p w14:paraId="5A4D08F7"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1.084.037,49</w:t>
            </w:r>
          </w:p>
        </w:tc>
      </w:tr>
      <w:tr w:rsidR="004864FF" w:rsidRPr="00A81CB8" w14:paraId="4A75A53D" w14:textId="77777777" w:rsidTr="006B5A62">
        <w:trPr>
          <w:jc w:val="center"/>
        </w:trPr>
        <w:tc>
          <w:tcPr>
            <w:tcW w:w="1985"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240EDA12"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SE-N_30</w:t>
            </w:r>
          </w:p>
        </w:tc>
        <w:tc>
          <w:tcPr>
            <w:tcW w:w="3969" w:type="dxa"/>
            <w:vMerge w:val="restart"/>
            <w:tcBorders>
              <w:top w:val="nil"/>
              <w:left w:val="single" w:sz="4" w:space="0" w:color="auto"/>
              <w:bottom w:val="single" w:sz="4" w:space="0" w:color="auto"/>
              <w:right w:val="single" w:sz="4" w:space="0" w:color="auto"/>
            </w:tcBorders>
            <w:shd w:val="clear" w:color="auto" w:fill="auto"/>
            <w:vAlign w:val="center"/>
            <w:hideMark/>
          </w:tcPr>
          <w:p w14:paraId="68D0A74C"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Kapatur</w:t>
            </w:r>
          </w:p>
        </w:tc>
        <w:tc>
          <w:tcPr>
            <w:tcW w:w="1077" w:type="dxa"/>
            <w:tcBorders>
              <w:top w:val="nil"/>
              <w:left w:val="nil"/>
              <w:bottom w:val="single" w:sz="4" w:space="0" w:color="auto"/>
              <w:right w:val="single" w:sz="4" w:space="0" w:color="auto"/>
            </w:tcBorders>
            <w:shd w:val="clear" w:color="auto" w:fill="auto"/>
            <w:noWrap/>
            <w:vAlign w:val="bottom"/>
          </w:tcPr>
          <w:p w14:paraId="27AF08BF"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P_032</w:t>
            </w:r>
          </w:p>
        </w:tc>
        <w:tc>
          <w:tcPr>
            <w:tcW w:w="3969" w:type="dxa"/>
            <w:tcBorders>
              <w:top w:val="nil"/>
              <w:left w:val="nil"/>
              <w:bottom w:val="single" w:sz="4" w:space="0" w:color="auto"/>
              <w:right w:val="single" w:sz="4" w:space="0" w:color="auto"/>
            </w:tcBorders>
            <w:shd w:val="clear" w:color="auto" w:fill="auto"/>
            <w:noWrap/>
            <w:vAlign w:val="bottom"/>
          </w:tcPr>
          <w:p w14:paraId="00EF3DB7"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TRANSELEC S.A.</w:t>
            </w:r>
          </w:p>
        </w:tc>
        <w:tc>
          <w:tcPr>
            <w:tcW w:w="2154" w:type="dxa"/>
            <w:tcBorders>
              <w:top w:val="nil"/>
              <w:left w:val="nil"/>
              <w:bottom w:val="single" w:sz="4" w:space="0" w:color="auto"/>
              <w:right w:val="single" w:sz="4" w:space="0" w:color="auto"/>
            </w:tcBorders>
            <w:shd w:val="clear" w:color="auto" w:fill="auto"/>
            <w:noWrap/>
            <w:vAlign w:val="bottom"/>
          </w:tcPr>
          <w:p w14:paraId="751F3D0A"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172.130,61</w:t>
            </w:r>
          </w:p>
        </w:tc>
      </w:tr>
      <w:tr w:rsidR="004864FF" w:rsidRPr="00A81CB8" w14:paraId="7AE65A6A" w14:textId="77777777" w:rsidTr="006B5A62">
        <w:trPr>
          <w:jc w:val="center"/>
        </w:trPr>
        <w:tc>
          <w:tcPr>
            <w:tcW w:w="1985" w:type="dxa"/>
            <w:vMerge/>
            <w:tcBorders>
              <w:top w:val="nil"/>
              <w:left w:val="single" w:sz="4" w:space="0" w:color="auto"/>
              <w:bottom w:val="single" w:sz="4" w:space="0" w:color="auto"/>
              <w:right w:val="single" w:sz="4" w:space="0" w:color="auto"/>
            </w:tcBorders>
            <w:vAlign w:val="center"/>
            <w:hideMark/>
          </w:tcPr>
          <w:p w14:paraId="1E50FD17"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240A0C5C"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bottom"/>
          </w:tcPr>
          <w:p w14:paraId="3088F752"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P_476</w:t>
            </w:r>
          </w:p>
        </w:tc>
        <w:tc>
          <w:tcPr>
            <w:tcW w:w="3969" w:type="dxa"/>
            <w:tcBorders>
              <w:top w:val="nil"/>
              <w:left w:val="nil"/>
              <w:bottom w:val="single" w:sz="4" w:space="0" w:color="auto"/>
              <w:right w:val="single" w:sz="4" w:space="0" w:color="auto"/>
            </w:tcBorders>
            <w:shd w:val="clear" w:color="auto" w:fill="auto"/>
            <w:noWrap/>
            <w:vAlign w:val="bottom"/>
          </w:tcPr>
          <w:p w14:paraId="1184CCB9"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STN</w:t>
            </w:r>
          </w:p>
        </w:tc>
        <w:tc>
          <w:tcPr>
            <w:tcW w:w="2154" w:type="dxa"/>
            <w:tcBorders>
              <w:top w:val="nil"/>
              <w:left w:val="nil"/>
              <w:bottom w:val="single" w:sz="4" w:space="0" w:color="auto"/>
              <w:right w:val="single" w:sz="4" w:space="0" w:color="auto"/>
            </w:tcBorders>
            <w:shd w:val="clear" w:color="auto" w:fill="auto"/>
            <w:noWrap/>
            <w:vAlign w:val="bottom"/>
          </w:tcPr>
          <w:p w14:paraId="2EAE9712"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4.077.339,40</w:t>
            </w:r>
          </w:p>
        </w:tc>
      </w:tr>
      <w:tr w:rsidR="004864FF" w:rsidRPr="00A81CB8" w14:paraId="2CE4A776" w14:textId="77777777" w:rsidTr="006B5A62">
        <w:trPr>
          <w:jc w:val="center"/>
        </w:trPr>
        <w:tc>
          <w:tcPr>
            <w:tcW w:w="1985"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72277C48"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SE-N_31</w:t>
            </w:r>
          </w:p>
        </w:tc>
        <w:tc>
          <w:tcPr>
            <w:tcW w:w="3969" w:type="dxa"/>
            <w:vMerge w:val="restart"/>
            <w:tcBorders>
              <w:top w:val="nil"/>
              <w:left w:val="single" w:sz="4" w:space="0" w:color="auto"/>
              <w:bottom w:val="single" w:sz="4" w:space="0" w:color="auto"/>
              <w:right w:val="single" w:sz="4" w:space="0" w:color="auto"/>
            </w:tcBorders>
            <w:shd w:val="clear" w:color="auto" w:fill="auto"/>
            <w:vAlign w:val="center"/>
            <w:hideMark/>
          </w:tcPr>
          <w:p w14:paraId="6FD7C606"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CENTRAL LA CEBADA</w:t>
            </w:r>
          </w:p>
        </w:tc>
        <w:tc>
          <w:tcPr>
            <w:tcW w:w="1077" w:type="dxa"/>
            <w:tcBorders>
              <w:top w:val="nil"/>
              <w:left w:val="nil"/>
              <w:bottom w:val="single" w:sz="4" w:space="0" w:color="auto"/>
              <w:right w:val="single" w:sz="4" w:space="0" w:color="auto"/>
            </w:tcBorders>
            <w:shd w:val="clear" w:color="auto" w:fill="auto"/>
            <w:noWrap/>
            <w:vAlign w:val="bottom"/>
          </w:tcPr>
          <w:p w14:paraId="43D4B55D"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P_032</w:t>
            </w:r>
          </w:p>
        </w:tc>
        <w:tc>
          <w:tcPr>
            <w:tcW w:w="3969" w:type="dxa"/>
            <w:tcBorders>
              <w:top w:val="nil"/>
              <w:left w:val="nil"/>
              <w:bottom w:val="single" w:sz="4" w:space="0" w:color="auto"/>
              <w:right w:val="single" w:sz="4" w:space="0" w:color="auto"/>
            </w:tcBorders>
            <w:shd w:val="clear" w:color="auto" w:fill="auto"/>
            <w:noWrap/>
            <w:vAlign w:val="bottom"/>
          </w:tcPr>
          <w:p w14:paraId="523E7AE3"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TRANSELEC S.A.</w:t>
            </w:r>
          </w:p>
        </w:tc>
        <w:tc>
          <w:tcPr>
            <w:tcW w:w="2154" w:type="dxa"/>
            <w:tcBorders>
              <w:top w:val="nil"/>
              <w:left w:val="nil"/>
              <w:bottom w:val="single" w:sz="4" w:space="0" w:color="auto"/>
              <w:right w:val="single" w:sz="4" w:space="0" w:color="auto"/>
            </w:tcBorders>
            <w:shd w:val="clear" w:color="auto" w:fill="auto"/>
            <w:noWrap/>
            <w:vAlign w:val="bottom"/>
          </w:tcPr>
          <w:p w14:paraId="41FD48F5"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99.301,93</w:t>
            </w:r>
          </w:p>
        </w:tc>
      </w:tr>
      <w:tr w:rsidR="004864FF" w:rsidRPr="00A81CB8" w14:paraId="01C27182" w14:textId="77777777" w:rsidTr="006B5A62">
        <w:trPr>
          <w:jc w:val="center"/>
        </w:trPr>
        <w:tc>
          <w:tcPr>
            <w:tcW w:w="1985" w:type="dxa"/>
            <w:vMerge/>
            <w:tcBorders>
              <w:top w:val="nil"/>
              <w:left w:val="single" w:sz="4" w:space="0" w:color="auto"/>
              <w:bottom w:val="single" w:sz="4" w:space="0" w:color="auto"/>
              <w:right w:val="single" w:sz="4" w:space="0" w:color="auto"/>
            </w:tcBorders>
            <w:vAlign w:val="center"/>
            <w:hideMark/>
          </w:tcPr>
          <w:p w14:paraId="5AF92625"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23392FD6"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bottom"/>
          </w:tcPr>
          <w:p w14:paraId="63ECE8C6"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P_442</w:t>
            </w:r>
          </w:p>
        </w:tc>
        <w:tc>
          <w:tcPr>
            <w:tcW w:w="3969" w:type="dxa"/>
            <w:tcBorders>
              <w:top w:val="nil"/>
              <w:left w:val="nil"/>
              <w:bottom w:val="single" w:sz="4" w:space="0" w:color="auto"/>
              <w:right w:val="single" w:sz="4" w:space="0" w:color="auto"/>
            </w:tcBorders>
            <w:shd w:val="clear" w:color="auto" w:fill="auto"/>
            <w:noWrap/>
            <w:vAlign w:val="bottom"/>
          </w:tcPr>
          <w:p w14:paraId="12AAF170"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Parque Eólico Los Cururos</w:t>
            </w:r>
          </w:p>
        </w:tc>
        <w:tc>
          <w:tcPr>
            <w:tcW w:w="2154" w:type="dxa"/>
            <w:tcBorders>
              <w:top w:val="nil"/>
              <w:left w:val="nil"/>
              <w:bottom w:val="single" w:sz="4" w:space="0" w:color="auto"/>
              <w:right w:val="single" w:sz="4" w:space="0" w:color="auto"/>
            </w:tcBorders>
            <w:shd w:val="clear" w:color="auto" w:fill="auto"/>
            <w:noWrap/>
            <w:vAlign w:val="bottom"/>
          </w:tcPr>
          <w:p w14:paraId="42FD12AE"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8.963,39</w:t>
            </w:r>
          </w:p>
        </w:tc>
      </w:tr>
      <w:tr w:rsidR="004864FF" w:rsidRPr="00A81CB8" w14:paraId="5D174539" w14:textId="77777777" w:rsidTr="006B5A62">
        <w:trPr>
          <w:jc w:val="center"/>
        </w:trPr>
        <w:tc>
          <w:tcPr>
            <w:tcW w:w="1985"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1B8948F8"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SE-N_32</w:t>
            </w:r>
          </w:p>
        </w:tc>
        <w:tc>
          <w:tcPr>
            <w:tcW w:w="3969" w:type="dxa"/>
            <w:vMerge w:val="restart"/>
            <w:tcBorders>
              <w:top w:val="nil"/>
              <w:left w:val="single" w:sz="4" w:space="0" w:color="auto"/>
              <w:bottom w:val="single" w:sz="4" w:space="0" w:color="auto"/>
              <w:right w:val="single" w:sz="4" w:space="0" w:color="auto"/>
            </w:tcBorders>
            <w:shd w:val="clear" w:color="auto" w:fill="auto"/>
            <w:vAlign w:val="center"/>
            <w:hideMark/>
          </w:tcPr>
          <w:p w14:paraId="7CC1032C"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Laberinto</w:t>
            </w:r>
          </w:p>
        </w:tc>
        <w:tc>
          <w:tcPr>
            <w:tcW w:w="1077" w:type="dxa"/>
            <w:tcBorders>
              <w:top w:val="nil"/>
              <w:left w:val="nil"/>
              <w:bottom w:val="single" w:sz="4" w:space="0" w:color="auto"/>
              <w:right w:val="single" w:sz="4" w:space="0" w:color="auto"/>
            </w:tcBorders>
            <w:shd w:val="clear" w:color="auto" w:fill="auto"/>
            <w:noWrap/>
            <w:vAlign w:val="bottom"/>
          </w:tcPr>
          <w:p w14:paraId="13A39EDB"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P_079</w:t>
            </w:r>
          </w:p>
        </w:tc>
        <w:tc>
          <w:tcPr>
            <w:tcW w:w="3969" w:type="dxa"/>
            <w:tcBorders>
              <w:top w:val="nil"/>
              <w:left w:val="nil"/>
              <w:bottom w:val="single" w:sz="4" w:space="0" w:color="auto"/>
              <w:right w:val="single" w:sz="4" w:space="0" w:color="auto"/>
            </w:tcBorders>
            <w:shd w:val="clear" w:color="auto" w:fill="auto"/>
            <w:noWrap/>
            <w:vAlign w:val="bottom"/>
          </w:tcPr>
          <w:p w14:paraId="0711F262"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AES GENER</w:t>
            </w:r>
          </w:p>
        </w:tc>
        <w:tc>
          <w:tcPr>
            <w:tcW w:w="2154" w:type="dxa"/>
            <w:tcBorders>
              <w:top w:val="nil"/>
              <w:left w:val="nil"/>
              <w:bottom w:val="single" w:sz="4" w:space="0" w:color="auto"/>
              <w:right w:val="single" w:sz="4" w:space="0" w:color="auto"/>
            </w:tcBorders>
            <w:shd w:val="clear" w:color="auto" w:fill="auto"/>
            <w:noWrap/>
            <w:vAlign w:val="bottom"/>
          </w:tcPr>
          <w:p w14:paraId="568C3D44"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379.413,52</w:t>
            </w:r>
          </w:p>
        </w:tc>
      </w:tr>
      <w:tr w:rsidR="004864FF" w:rsidRPr="00A81CB8" w14:paraId="1F502546" w14:textId="77777777" w:rsidTr="006B5A62">
        <w:trPr>
          <w:jc w:val="center"/>
        </w:trPr>
        <w:tc>
          <w:tcPr>
            <w:tcW w:w="1985" w:type="dxa"/>
            <w:vMerge/>
            <w:tcBorders>
              <w:top w:val="nil"/>
              <w:left w:val="single" w:sz="4" w:space="0" w:color="auto"/>
              <w:bottom w:val="single" w:sz="4" w:space="0" w:color="auto"/>
              <w:right w:val="single" w:sz="4" w:space="0" w:color="auto"/>
            </w:tcBorders>
            <w:vAlign w:val="center"/>
            <w:hideMark/>
          </w:tcPr>
          <w:p w14:paraId="60C78EA5"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62B84235"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bottom"/>
          </w:tcPr>
          <w:p w14:paraId="51D0C52B"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P_133</w:t>
            </w:r>
          </w:p>
        </w:tc>
        <w:tc>
          <w:tcPr>
            <w:tcW w:w="3969" w:type="dxa"/>
            <w:tcBorders>
              <w:top w:val="nil"/>
              <w:left w:val="nil"/>
              <w:bottom w:val="single" w:sz="4" w:space="0" w:color="auto"/>
              <w:right w:val="single" w:sz="4" w:space="0" w:color="auto"/>
            </w:tcBorders>
            <w:shd w:val="clear" w:color="auto" w:fill="auto"/>
            <w:noWrap/>
            <w:vAlign w:val="bottom"/>
          </w:tcPr>
          <w:p w14:paraId="5128DB43"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CODELCO NORTE</w:t>
            </w:r>
          </w:p>
        </w:tc>
        <w:tc>
          <w:tcPr>
            <w:tcW w:w="2154" w:type="dxa"/>
            <w:tcBorders>
              <w:top w:val="nil"/>
              <w:left w:val="nil"/>
              <w:bottom w:val="single" w:sz="4" w:space="0" w:color="auto"/>
              <w:right w:val="single" w:sz="4" w:space="0" w:color="auto"/>
            </w:tcBorders>
            <w:shd w:val="clear" w:color="auto" w:fill="auto"/>
            <w:noWrap/>
            <w:vAlign w:val="bottom"/>
          </w:tcPr>
          <w:p w14:paraId="27706E9C"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172.887,73</w:t>
            </w:r>
          </w:p>
        </w:tc>
      </w:tr>
      <w:tr w:rsidR="004864FF" w:rsidRPr="00A81CB8" w14:paraId="5BF89DDE" w14:textId="77777777" w:rsidTr="006B5A62">
        <w:trPr>
          <w:jc w:val="center"/>
        </w:trPr>
        <w:tc>
          <w:tcPr>
            <w:tcW w:w="1985" w:type="dxa"/>
            <w:tcBorders>
              <w:top w:val="single" w:sz="4" w:space="0" w:color="auto"/>
            </w:tcBorders>
            <w:shd w:val="clear" w:color="auto" w:fill="auto"/>
            <w:noWrap/>
            <w:vAlign w:val="center"/>
          </w:tcPr>
          <w:p w14:paraId="60B2B6A9"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p>
        </w:tc>
        <w:tc>
          <w:tcPr>
            <w:tcW w:w="3969" w:type="dxa"/>
            <w:tcBorders>
              <w:top w:val="single" w:sz="4" w:space="0" w:color="auto"/>
            </w:tcBorders>
            <w:shd w:val="clear" w:color="auto" w:fill="auto"/>
            <w:vAlign w:val="center"/>
          </w:tcPr>
          <w:p w14:paraId="43164F21"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p>
        </w:tc>
        <w:tc>
          <w:tcPr>
            <w:tcW w:w="1077" w:type="dxa"/>
            <w:tcBorders>
              <w:top w:val="single" w:sz="4" w:space="0" w:color="auto"/>
            </w:tcBorders>
            <w:shd w:val="clear" w:color="auto" w:fill="auto"/>
            <w:noWrap/>
            <w:vAlign w:val="bottom"/>
          </w:tcPr>
          <w:p w14:paraId="49E687BE"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p>
        </w:tc>
        <w:tc>
          <w:tcPr>
            <w:tcW w:w="3969" w:type="dxa"/>
            <w:tcBorders>
              <w:top w:val="single" w:sz="4" w:space="0" w:color="auto"/>
            </w:tcBorders>
            <w:shd w:val="clear" w:color="auto" w:fill="auto"/>
            <w:noWrap/>
            <w:vAlign w:val="bottom"/>
          </w:tcPr>
          <w:p w14:paraId="2BF26D4D"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2154" w:type="dxa"/>
            <w:tcBorders>
              <w:top w:val="single" w:sz="4" w:space="0" w:color="auto"/>
            </w:tcBorders>
            <w:shd w:val="clear" w:color="auto" w:fill="auto"/>
            <w:noWrap/>
            <w:vAlign w:val="bottom"/>
          </w:tcPr>
          <w:p w14:paraId="0E57DE52" w14:textId="77777777" w:rsidR="004864FF" w:rsidRPr="00CF1373" w:rsidRDefault="004864FF" w:rsidP="006B5A62">
            <w:pPr>
              <w:spacing w:before="20" w:after="20" w:line="240" w:lineRule="auto"/>
              <w:jc w:val="right"/>
              <w:rPr>
                <w:rFonts w:asciiTheme="minorHAnsi" w:hAnsiTheme="minorHAnsi" w:cstheme="minorHAnsi"/>
                <w:color w:val="000000"/>
                <w:sz w:val="20"/>
                <w:szCs w:val="20"/>
              </w:rPr>
            </w:pPr>
          </w:p>
        </w:tc>
      </w:tr>
      <w:tr w:rsidR="004864FF" w:rsidRPr="00A81CB8" w14:paraId="138C7EF9" w14:textId="77777777" w:rsidTr="006B5A62">
        <w:trPr>
          <w:jc w:val="center"/>
        </w:trPr>
        <w:tc>
          <w:tcPr>
            <w:tcW w:w="1985" w:type="dxa"/>
            <w:shd w:val="clear" w:color="auto" w:fill="auto"/>
            <w:noWrap/>
            <w:vAlign w:val="center"/>
          </w:tcPr>
          <w:p w14:paraId="6BCD42AF"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p>
        </w:tc>
        <w:tc>
          <w:tcPr>
            <w:tcW w:w="3969" w:type="dxa"/>
            <w:shd w:val="clear" w:color="auto" w:fill="auto"/>
            <w:vAlign w:val="center"/>
          </w:tcPr>
          <w:p w14:paraId="3C842923"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p>
        </w:tc>
        <w:tc>
          <w:tcPr>
            <w:tcW w:w="1077" w:type="dxa"/>
            <w:shd w:val="clear" w:color="auto" w:fill="auto"/>
            <w:noWrap/>
            <w:vAlign w:val="bottom"/>
          </w:tcPr>
          <w:p w14:paraId="352AFD68"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p>
        </w:tc>
        <w:tc>
          <w:tcPr>
            <w:tcW w:w="3969" w:type="dxa"/>
            <w:shd w:val="clear" w:color="auto" w:fill="auto"/>
            <w:noWrap/>
            <w:vAlign w:val="bottom"/>
          </w:tcPr>
          <w:p w14:paraId="4D484284"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2154" w:type="dxa"/>
            <w:shd w:val="clear" w:color="auto" w:fill="auto"/>
            <w:noWrap/>
            <w:vAlign w:val="bottom"/>
          </w:tcPr>
          <w:p w14:paraId="682CA395" w14:textId="77777777" w:rsidR="004864FF" w:rsidRPr="00CF1373" w:rsidRDefault="004864FF" w:rsidP="006B5A62">
            <w:pPr>
              <w:spacing w:before="20" w:after="20" w:line="240" w:lineRule="auto"/>
              <w:jc w:val="right"/>
              <w:rPr>
                <w:rFonts w:asciiTheme="minorHAnsi" w:hAnsiTheme="minorHAnsi" w:cstheme="minorHAnsi"/>
                <w:color w:val="000000"/>
                <w:sz w:val="20"/>
                <w:szCs w:val="20"/>
              </w:rPr>
            </w:pPr>
          </w:p>
        </w:tc>
      </w:tr>
      <w:tr w:rsidR="004864FF" w:rsidRPr="00A81CB8" w14:paraId="7ED143F3" w14:textId="77777777" w:rsidTr="006B5A62">
        <w:trPr>
          <w:jc w:val="center"/>
        </w:trPr>
        <w:tc>
          <w:tcPr>
            <w:tcW w:w="1985" w:type="dxa"/>
            <w:vMerge w:val="restart"/>
            <w:tcBorders>
              <w:left w:val="single" w:sz="4" w:space="0" w:color="auto"/>
              <w:bottom w:val="single" w:sz="4" w:space="0" w:color="auto"/>
              <w:right w:val="single" w:sz="4" w:space="0" w:color="auto"/>
            </w:tcBorders>
            <w:shd w:val="clear" w:color="auto" w:fill="auto"/>
            <w:noWrap/>
            <w:vAlign w:val="center"/>
            <w:hideMark/>
          </w:tcPr>
          <w:p w14:paraId="0FEFC2E5"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lastRenderedPageBreak/>
              <w:t>SE-N_33</w:t>
            </w:r>
          </w:p>
        </w:tc>
        <w:tc>
          <w:tcPr>
            <w:tcW w:w="3969" w:type="dxa"/>
            <w:vMerge w:val="restart"/>
            <w:tcBorders>
              <w:left w:val="single" w:sz="4" w:space="0" w:color="auto"/>
              <w:bottom w:val="single" w:sz="4" w:space="0" w:color="auto"/>
              <w:right w:val="single" w:sz="4" w:space="0" w:color="auto"/>
            </w:tcBorders>
            <w:shd w:val="clear" w:color="auto" w:fill="auto"/>
            <w:vAlign w:val="center"/>
            <w:hideMark/>
          </w:tcPr>
          <w:p w14:paraId="7C1473A6"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LAGUNAS</w:t>
            </w:r>
          </w:p>
        </w:tc>
        <w:tc>
          <w:tcPr>
            <w:tcW w:w="1077" w:type="dxa"/>
            <w:tcBorders>
              <w:left w:val="nil"/>
              <w:bottom w:val="single" w:sz="4" w:space="0" w:color="auto"/>
              <w:right w:val="single" w:sz="4" w:space="0" w:color="auto"/>
            </w:tcBorders>
            <w:shd w:val="clear" w:color="auto" w:fill="auto"/>
            <w:noWrap/>
            <w:vAlign w:val="bottom"/>
          </w:tcPr>
          <w:p w14:paraId="37A5AACE"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P_032</w:t>
            </w:r>
          </w:p>
        </w:tc>
        <w:tc>
          <w:tcPr>
            <w:tcW w:w="3969" w:type="dxa"/>
            <w:tcBorders>
              <w:left w:val="nil"/>
              <w:bottom w:val="single" w:sz="4" w:space="0" w:color="auto"/>
              <w:right w:val="single" w:sz="4" w:space="0" w:color="auto"/>
            </w:tcBorders>
            <w:shd w:val="clear" w:color="auto" w:fill="auto"/>
            <w:noWrap/>
            <w:vAlign w:val="bottom"/>
          </w:tcPr>
          <w:p w14:paraId="69967248"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TRANSELEC S.A.</w:t>
            </w:r>
          </w:p>
        </w:tc>
        <w:tc>
          <w:tcPr>
            <w:tcW w:w="2154" w:type="dxa"/>
            <w:tcBorders>
              <w:left w:val="nil"/>
              <w:bottom w:val="single" w:sz="4" w:space="0" w:color="auto"/>
              <w:right w:val="single" w:sz="4" w:space="0" w:color="auto"/>
            </w:tcBorders>
            <w:shd w:val="clear" w:color="auto" w:fill="auto"/>
            <w:noWrap/>
            <w:vAlign w:val="bottom"/>
          </w:tcPr>
          <w:p w14:paraId="4BAB1F01"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5.959.757,13</w:t>
            </w:r>
          </w:p>
        </w:tc>
      </w:tr>
      <w:tr w:rsidR="004864FF" w:rsidRPr="00A81CB8" w14:paraId="3DB059DE" w14:textId="77777777" w:rsidTr="006B5A62">
        <w:trPr>
          <w:jc w:val="center"/>
        </w:trPr>
        <w:tc>
          <w:tcPr>
            <w:tcW w:w="1985" w:type="dxa"/>
            <w:vMerge/>
            <w:tcBorders>
              <w:top w:val="nil"/>
              <w:left w:val="single" w:sz="4" w:space="0" w:color="auto"/>
              <w:bottom w:val="single" w:sz="4" w:space="0" w:color="auto"/>
              <w:right w:val="single" w:sz="4" w:space="0" w:color="auto"/>
            </w:tcBorders>
            <w:vAlign w:val="center"/>
            <w:hideMark/>
          </w:tcPr>
          <w:p w14:paraId="3D28B245"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5D4BD79B"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bottom"/>
          </w:tcPr>
          <w:p w14:paraId="419B4DA5"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P_164</w:t>
            </w:r>
          </w:p>
        </w:tc>
        <w:tc>
          <w:tcPr>
            <w:tcW w:w="3969" w:type="dxa"/>
            <w:tcBorders>
              <w:top w:val="nil"/>
              <w:left w:val="nil"/>
              <w:bottom w:val="single" w:sz="4" w:space="0" w:color="auto"/>
              <w:right w:val="single" w:sz="4" w:space="0" w:color="auto"/>
            </w:tcBorders>
            <w:shd w:val="clear" w:color="auto" w:fill="auto"/>
            <w:noWrap/>
            <w:vAlign w:val="bottom"/>
          </w:tcPr>
          <w:p w14:paraId="7DFE81D6"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E-CL</w:t>
            </w:r>
          </w:p>
        </w:tc>
        <w:tc>
          <w:tcPr>
            <w:tcW w:w="2154" w:type="dxa"/>
            <w:tcBorders>
              <w:top w:val="nil"/>
              <w:left w:val="nil"/>
              <w:bottom w:val="single" w:sz="4" w:space="0" w:color="auto"/>
              <w:right w:val="single" w:sz="4" w:space="0" w:color="auto"/>
            </w:tcBorders>
            <w:shd w:val="clear" w:color="auto" w:fill="auto"/>
            <w:noWrap/>
            <w:vAlign w:val="bottom"/>
          </w:tcPr>
          <w:p w14:paraId="27C7F936"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69.795,42</w:t>
            </w:r>
          </w:p>
        </w:tc>
      </w:tr>
      <w:tr w:rsidR="004864FF" w:rsidRPr="00A81CB8" w14:paraId="3676FFB9" w14:textId="77777777" w:rsidTr="006B5A62">
        <w:trPr>
          <w:jc w:val="center"/>
        </w:trPr>
        <w:tc>
          <w:tcPr>
            <w:tcW w:w="1985" w:type="dxa"/>
            <w:vMerge/>
            <w:tcBorders>
              <w:top w:val="nil"/>
              <w:left w:val="single" w:sz="4" w:space="0" w:color="auto"/>
              <w:bottom w:val="single" w:sz="4" w:space="0" w:color="auto"/>
              <w:right w:val="single" w:sz="4" w:space="0" w:color="auto"/>
            </w:tcBorders>
            <w:vAlign w:val="center"/>
            <w:hideMark/>
          </w:tcPr>
          <w:p w14:paraId="31747DE7"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5D0EE21B"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bottom"/>
          </w:tcPr>
          <w:p w14:paraId="1F0501D3"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P_530</w:t>
            </w:r>
          </w:p>
        </w:tc>
        <w:tc>
          <w:tcPr>
            <w:tcW w:w="3969" w:type="dxa"/>
            <w:tcBorders>
              <w:top w:val="nil"/>
              <w:left w:val="nil"/>
              <w:bottom w:val="single" w:sz="4" w:space="0" w:color="auto"/>
              <w:right w:val="single" w:sz="4" w:space="0" w:color="auto"/>
            </w:tcBorders>
            <w:shd w:val="clear" w:color="auto" w:fill="auto"/>
            <w:noWrap/>
            <w:vAlign w:val="bottom"/>
          </w:tcPr>
          <w:p w14:paraId="1E23B13A"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INTERCHILE</w:t>
            </w:r>
          </w:p>
        </w:tc>
        <w:tc>
          <w:tcPr>
            <w:tcW w:w="2154" w:type="dxa"/>
            <w:tcBorders>
              <w:top w:val="nil"/>
              <w:left w:val="nil"/>
              <w:bottom w:val="single" w:sz="4" w:space="0" w:color="auto"/>
              <w:right w:val="single" w:sz="4" w:space="0" w:color="auto"/>
            </w:tcBorders>
            <w:shd w:val="clear" w:color="auto" w:fill="auto"/>
            <w:noWrap/>
            <w:vAlign w:val="bottom"/>
          </w:tcPr>
          <w:p w14:paraId="5A52D30A"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822.962,39</w:t>
            </w:r>
          </w:p>
        </w:tc>
      </w:tr>
      <w:tr w:rsidR="004864FF" w:rsidRPr="00A81CB8" w14:paraId="09E1E285" w14:textId="77777777" w:rsidTr="006B5A62">
        <w:trPr>
          <w:jc w:val="center"/>
        </w:trPr>
        <w:tc>
          <w:tcPr>
            <w:tcW w:w="1985"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0E3D34ED"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SE-N_34</w:t>
            </w:r>
          </w:p>
        </w:tc>
        <w:tc>
          <w:tcPr>
            <w:tcW w:w="3969" w:type="dxa"/>
            <w:vMerge w:val="restart"/>
            <w:tcBorders>
              <w:top w:val="nil"/>
              <w:left w:val="single" w:sz="4" w:space="0" w:color="auto"/>
              <w:bottom w:val="single" w:sz="4" w:space="0" w:color="auto"/>
              <w:right w:val="single" w:sz="4" w:space="0" w:color="auto"/>
            </w:tcBorders>
            <w:shd w:val="clear" w:color="auto" w:fill="auto"/>
            <w:vAlign w:val="center"/>
            <w:hideMark/>
          </w:tcPr>
          <w:p w14:paraId="5D241DF8"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LAGUNILLAS</w:t>
            </w:r>
          </w:p>
        </w:tc>
        <w:tc>
          <w:tcPr>
            <w:tcW w:w="1077" w:type="dxa"/>
            <w:tcBorders>
              <w:top w:val="nil"/>
              <w:left w:val="nil"/>
              <w:bottom w:val="single" w:sz="4" w:space="0" w:color="auto"/>
              <w:right w:val="single" w:sz="4" w:space="0" w:color="auto"/>
            </w:tcBorders>
            <w:shd w:val="clear" w:color="auto" w:fill="auto"/>
            <w:noWrap/>
            <w:vAlign w:val="bottom"/>
          </w:tcPr>
          <w:p w14:paraId="4D9EA3EF"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P_032</w:t>
            </w:r>
          </w:p>
        </w:tc>
        <w:tc>
          <w:tcPr>
            <w:tcW w:w="3969" w:type="dxa"/>
            <w:tcBorders>
              <w:top w:val="nil"/>
              <w:left w:val="nil"/>
              <w:bottom w:val="single" w:sz="4" w:space="0" w:color="auto"/>
              <w:right w:val="single" w:sz="4" w:space="0" w:color="auto"/>
            </w:tcBorders>
            <w:shd w:val="clear" w:color="auto" w:fill="auto"/>
            <w:noWrap/>
            <w:vAlign w:val="bottom"/>
          </w:tcPr>
          <w:p w14:paraId="5A03F6CB"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TRANSELEC S.A.</w:t>
            </w:r>
          </w:p>
        </w:tc>
        <w:tc>
          <w:tcPr>
            <w:tcW w:w="2154" w:type="dxa"/>
            <w:tcBorders>
              <w:top w:val="nil"/>
              <w:left w:val="nil"/>
              <w:bottom w:val="single" w:sz="4" w:space="0" w:color="auto"/>
              <w:right w:val="single" w:sz="4" w:space="0" w:color="auto"/>
            </w:tcBorders>
            <w:shd w:val="clear" w:color="auto" w:fill="auto"/>
            <w:noWrap/>
            <w:vAlign w:val="bottom"/>
          </w:tcPr>
          <w:p w14:paraId="651FA3F5"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5.146.120,09</w:t>
            </w:r>
          </w:p>
        </w:tc>
      </w:tr>
      <w:tr w:rsidR="004864FF" w:rsidRPr="00A81CB8" w14:paraId="31524354" w14:textId="77777777" w:rsidTr="006B5A62">
        <w:trPr>
          <w:jc w:val="center"/>
        </w:trPr>
        <w:tc>
          <w:tcPr>
            <w:tcW w:w="1985" w:type="dxa"/>
            <w:vMerge/>
            <w:tcBorders>
              <w:top w:val="nil"/>
              <w:left w:val="single" w:sz="4" w:space="0" w:color="auto"/>
              <w:bottom w:val="single" w:sz="4" w:space="0" w:color="auto"/>
              <w:right w:val="single" w:sz="4" w:space="0" w:color="auto"/>
            </w:tcBorders>
            <w:vAlign w:val="center"/>
            <w:hideMark/>
          </w:tcPr>
          <w:p w14:paraId="39BBCD1A"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74B82E8A"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bottom"/>
          </w:tcPr>
          <w:p w14:paraId="58DE6B01"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P_083</w:t>
            </w:r>
          </w:p>
        </w:tc>
        <w:tc>
          <w:tcPr>
            <w:tcW w:w="3969" w:type="dxa"/>
            <w:tcBorders>
              <w:top w:val="nil"/>
              <w:left w:val="nil"/>
              <w:bottom w:val="single" w:sz="4" w:space="0" w:color="auto"/>
              <w:right w:val="single" w:sz="4" w:space="0" w:color="auto"/>
            </w:tcBorders>
            <w:shd w:val="clear" w:color="auto" w:fill="auto"/>
            <w:noWrap/>
            <w:vAlign w:val="bottom"/>
          </w:tcPr>
          <w:p w14:paraId="67BBDD67"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CGE</w:t>
            </w:r>
          </w:p>
        </w:tc>
        <w:tc>
          <w:tcPr>
            <w:tcW w:w="2154" w:type="dxa"/>
            <w:tcBorders>
              <w:top w:val="nil"/>
              <w:left w:val="nil"/>
              <w:bottom w:val="single" w:sz="4" w:space="0" w:color="auto"/>
              <w:right w:val="single" w:sz="4" w:space="0" w:color="auto"/>
            </w:tcBorders>
            <w:shd w:val="clear" w:color="auto" w:fill="auto"/>
            <w:noWrap/>
            <w:vAlign w:val="bottom"/>
          </w:tcPr>
          <w:p w14:paraId="2D29A2AB"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6.554,96</w:t>
            </w:r>
          </w:p>
        </w:tc>
      </w:tr>
      <w:tr w:rsidR="004864FF" w:rsidRPr="00A81CB8" w14:paraId="4BE758DA" w14:textId="77777777" w:rsidTr="006B5A62">
        <w:trPr>
          <w:jc w:val="center"/>
        </w:trPr>
        <w:tc>
          <w:tcPr>
            <w:tcW w:w="1985"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3BEDB2C0"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SE-N_35</w:t>
            </w:r>
          </w:p>
        </w:tc>
        <w:tc>
          <w:tcPr>
            <w:tcW w:w="3969" w:type="dxa"/>
            <w:vMerge w:val="restart"/>
            <w:tcBorders>
              <w:top w:val="nil"/>
              <w:left w:val="single" w:sz="4" w:space="0" w:color="auto"/>
              <w:bottom w:val="single" w:sz="4" w:space="0" w:color="auto"/>
              <w:right w:val="single" w:sz="4" w:space="0" w:color="auto"/>
            </w:tcBorders>
            <w:shd w:val="clear" w:color="auto" w:fill="auto"/>
            <w:vAlign w:val="center"/>
            <w:hideMark/>
          </w:tcPr>
          <w:p w14:paraId="28EF434C"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LAS PALMAS</w:t>
            </w:r>
          </w:p>
        </w:tc>
        <w:tc>
          <w:tcPr>
            <w:tcW w:w="1077" w:type="dxa"/>
            <w:tcBorders>
              <w:top w:val="nil"/>
              <w:left w:val="nil"/>
              <w:bottom w:val="single" w:sz="4" w:space="0" w:color="auto"/>
              <w:right w:val="single" w:sz="4" w:space="0" w:color="auto"/>
            </w:tcBorders>
            <w:shd w:val="clear" w:color="auto" w:fill="auto"/>
            <w:noWrap/>
            <w:vAlign w:val="bottom"/>
          </w:tcPr>
          <w:p w14:paraId="7DF58263"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P_032</w:t>
            </w:r>
          </w:p>
        </w:tc>
        <w:tc>
          <w:tcPr>
            <w:tcW w:w="3969" w:type="dxa"/>
            <w:tcBorders>
              <w:top w:val="nil"/>
              <w:left w:val="nil"/>
              <w:bottom w:val="single" w:sz="4" w:space="0" w:color="auto"/>
              <w:right w:val="single" w:sz="4" w:space="0" w:color="auto"/>
            </w:tcBorders>
            <w:shd w:val="clear" w:color="auto" w:fill="auto"/>
            <w:noWrap/>
            <w:vAlign w:val="bottom"/>
          </w:tcPr>
          <w:p w14:paraId="4E98109E"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TRANSELEC S.A.</w:t>
            </w:r>
          </w:p>
        </w:tc>
        <w:tc>
          <w:tcPr>
            <w:tcW w:w="2154" w:type="dxa"/>
            <w:tcBorders>
              <w:top w:val="nil"/>
              <w:left w:val="nil"/>
              <w:bottom w:val="single" w:sz="4" w:space="0" w:color="auto"/>
              <w:right w:val="single" w:sz="4" w:space="0" w:color="auto"/>
            </w:tcBorders>
            <w:shd w:val="clear" w:color="auto" w:fill="auto"/>
            <w:noWrap/>
            <w:vAlign w:val="bottom"/>
          </w:tcPr>
          <w:p w14:paraId="3AC25298"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2.431.820,61</w:t>
            </w:r>
          </w:p>
        </w:tc>
      </w:tr>
      <w:tr w:rsidR="004864FF" w:rsidRPr="00A81CB8" w14:paraId="5A81472D" w14:textId="77777777" w:rsidTr="006B5A62">
        <w:trPr>
          <w:jc w:val="center"/>
        </w:trPr>
        <w:tc>
          <w:tcPr>
            <w:tcW w:w="1985" w:type="dxa"/>
            <w:vMerge/>
            <w:tcBorders>
              <w:top w:val="nil"/>
              <w:left w:val="single" w:sz="4" w:space="0" w:color="auto"/>
              <w:bottom w:val="single" w:sz="4" w:space="0" w:color="auto"/>
              <w:right w:val="single" w:sz="4" w:space="0" w:color="auto"/>
            </w:tcBorders>
            <w:vAlign w:val="center"/>
            <w:hideMark/>
          </w:tcPr>
          <w:p w14:paraId="05486F8D"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46EC2B38"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bottom"/>
          </w:tcPr>
          <w:p w14:paraId="6D42E99E"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P_315</w:t>
            </w:r>
          </w:p>
        </w:tc>
        <w:tc>
          <w:tcPr>
            <w:tcW w:w="3969" w:type="dxa"/>
            <w:tcBorders>
              <w:top w:val="nil"/>
              <w:left w:val="nil"/>
              <w:bottom w:val="single" w:sz="4" w:space="0" w:color="auto"/>
              <w:right w:val="single" w:sz="4" w:space="0" w:color="auto"/>
            </w:tcBorders>
            <w:shd w:val="clear" w:color="auto" w:fill="auto"/>
            <w:noWrap/>
            <w:vAlign w:val="bottom"/>
          </w:tcPr>
          <w:p w14:paraId="3B095047"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Enel Generacion</w:t>
            </w:r>
          </w:p>
        </w:tc>
        <w:tc>
          <w:tcPr>
            <w:tcW w:w="2154" w:type="dxa"/>
            <w:tcBorders>
              <w:top w:val="nil"/>
              <w:left w:val="nil"/>
              <w:bottom w:val="single" w:sz="4" w:space="0" w:color="auto"/>
              <w:right w:val="single" w:sz="4" w:space="0" w:color="auto"/>
            </w:tcBorders>
            <w:shd w:val="clear" w:color="auto" w:fill="auto"/>
            <w:noWrap/>
            <w:vAlign w:val="bottom"/>
          </w:tcPr>
          <w:p w14:paraId="6F5993A0"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111,62</w:t>
            </w:r>
          </w:p>
        </w:tc>
      </w:tr>
      <w:tr w:rsidR="004864FF" w:rsidRPr="00A81CB8" w14:paraId="56E3D38B" w14:textId="77777777" w:rsidTr="006B5A62">
        <w:trPr>
          <w:jc w:val="center"/>
        </w:trPr>
        <w:tc>
          <w:tcPr>
            <w:tcW w:w="1985"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2C947253"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SE-N_37</w:t>
            </w:r>
          </w:p>
        </w:tc>
        <w:tc>
          <w:tcPr>
            <w:tcW w:w="3969" w:type="dxa"/>
            <w:vMerge w:val="restart"/>
            <w:tcBorders>
              <w:top w:val="nil"/>
              <w:left w:val="single" w:sz="4" w:space="0" w:color="auto"/>
              <w:bottom w:val="single" w:sz="4" w:space="0" w:color="auto"/>
              <w:right w:val="single" w:sz="4" w:space="0" w:color="auto"/>
            </w:tcBorders>
            <w:shd w:val="clear" w:color="auto" w:fill="auto"/>
            <w:vAlign w:val="center"/>
            <w:hideMark/>
          </w:tcPr>
          <w:p w14:paraId="55F29FFC"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Los Changos</w:t>
            </w:r>
          </w:p>
        </w:tc>
        <w:tc>
          <w:tcPr>
            <w:tcW w:w="1077" w:type="dxa"/>
            <w:tcBorders>
              <w:top w:val="nil"/>
              <w:left w:val="nil"/>
              <w:bottom w:val="single" w:sz="4" w:space="0" w:color="auto"/>
              <w:right w:val="single" w:sz="4" w:space="0" w:color="auto"/>
            </w:tcBorders>
            <w:shd w:val="clear" w:color="auto" w:fill="auto"/>
            <w:noWrap/>
            <w:vAlign w:val="bottom"/>
          </w:tcPr>
          <w:p w14:paraId="57F06B79"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P_032</w:t>
            </w:r>
          </w:p>
        </w:tc>
        <w:tc>
          <w:tcPr>
            <w:tcW w:w="3969" w:type="dxa"/>
            <w:tcBorders>
              <w:top w:val="nil"/>
              <w:left w:val="nil"/>
              <w:bottom w:val="single" w:sz="4" w:space="0" w:color="auto"/>
              <w:right w:val="single" w:sz="4" w:space="0" w:color="auto"/>
            </w:tcBorders>
            <w:shd w:val="clear" w:color="auto" w:fill="auto"/>
            <w:noWrap/>
            <w:vAlign w:val="bottom"/>
          </w:tcPr>
          <w:p w14:paraId="3D57F47F"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TRANSELEC S.A.</w:t>
            </w:r>
          </w:p>
        </w:tc>
        <w:tc>
          <w:tcPr>
            <w:tcW w:w="2154" w:type="dxa"/>
            <w:tcBorders>
              <w:top w:val="nil"/>
              <w:left w:val="nil"/>
              <w:bottom w:val="single" w:sz="4" w:space="0" w:color="auto"/>
              <w:right w:val="single" w:sz="4" w:space="0" w:color="auto"/>
            </w:tcBorders>
            <w:shd w:val="clear" w:color="auto" w:fill="auto"/>
            <w:noWrap/>
            <w:vAlign w:val="bottom"/>
          </w:tcPr>
          <w:p w14:paraId="724B896B"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352.944,35</w:t>
            </w:r>
          </w:p>
        </w:tc>
      </w:tr>
      <w:tr w:rsidR="004864FF" w:rsidRPr="00A81CB8" w14:paraId="0C4B6361" w14:textId="77777777" w:rsidTr="006B5A62">
        <w:trPr>
          <w:jc w:val="center"/>
        </w:trPr>
        <w:tc>
          <w:tcPr>
            <w:tcW w:w="1985" w:type="dxa"/>
            <w:vMerge/>
            <w:tcBorders>
              <w:top w:val="nil"/>
              <w:left w:val="single" w:sz="4" w:space="0" w:color="auto"/>
              <w:bottom w:val="single" w:sz="4" w:space="0" w:color="auto"/>
              <w:right w:val="single" w:sz="4" w:space="0" w:color="auto"/>
            </w:tcBorders>
            <w:vAlign w:val="center"/>
            <w:hideMark/>
          </w:tcPr>
          <w:p w14:paraId="7D375721"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4F1692CF"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bottom"/>
          </w:tcPr>
          <w:p w14:paraId="300AF8C6"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P_514</w:t>
            </w:r>
          </w:p>
        </w:tc>
        <w:tc>
          <w:tcPr>
            <w:tcW w:w="3969" w:type="dxa"/>
            <w:tcBorders>
              <w:top w:val="nil"/>
              <w:left w:val="nil"/>
              <w:bottom w:val="single" w:sz="4" w:space="0" w:color="auto"/>
              <w:right w:val="single" w:sz="4" w:space="0" w:color="auto"/>
            </w:tcBorders>
            <w:shd w:val="clear" w:color="auto" w:fill="auto"/>
            <w:noWrap/>
            <w:vAlign w:val="bottom"/>
          </w:tcPr>
          <w:p w14:paraId="2FF69B26"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TEN</w:t>
            </w:r>
          </w:p>
        </w:tc>
        <w:tc>
          <w:tcPr>
            <w:tcW w:w="2154" w:type="dxa"/>
            <w:tcBorders>
              <w:top w:val="nil"/>
              <w:left w:val="nil"/>
              <w:bottom w:val="single" w:sz="4" w:space="0" w:color="auto"/>
              <w:right w:val="single" w:sz="4" w:space="0" w:color="auto"/>
            </w:tcBorders>
            <w:shd w:val="clear" w:color="auto" w:fill="auto"/>
            <w:noWrap/>
            <w:vAlign w:val="bottom"/>
          </w:tcPr>
          <w:p w14:paraId="22AAC4C4"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16.138.631,52</w:t>
            </w:r>
          </w:p>
        </w:tc>
      </w:tr>
      <w:tr w:rsidR="004864FF" w:rsidRPr="00A81CB8" w14:paraId="0D0BCA66"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4330415A"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SE-N_38</w:t>
            </w:r>
          </w:p>
        </w:tc>
        <w:tc>
          <w:tcPr>
            <w:tcW w:w="3969" w:type="dxa"/>
            <w:tcBorders>
              <w:top w:val="nil"/>
              <w:left w:val="nil"/>
              <w:bottom w:val="single" w:sz="4" w:space="0" w:color="auto"/>
              <w:right w:val="single" w:sz="4" w:space="0" w:color="auto"/>
            </w:tcBorders>
            <w:shd w:val="clear" w:color="auto" w:fill="auto"/>
            <w:vAlign w:val="center"/>
            <w:hideMark/>
          </w:tcPr>
          <w:p w14:paraId="2D47ED9E"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LOS MAQUIS</w:t>
            </w:r>
          </w:p>
        </w:tc>
        <w:tc>
          <w:tcPr>
            <w:tcW w:w="1077" w:type="dxa"/>
            <w:tcBorders>
              <w:top w:val="nil"/>
              <w:left w:val="nil"/>
              <w:bottom w:val="single" w:sz="4" w:space="0" w:color="auto"/>
              <w:right w:val="single" w:sz="4" w:space="0" w:color="auto"/>
            </w:tcBorders>
            <w:shd w:val="clear" w:color="auto" w:fill="auto"/>
            <w:noWrap/>
            <w:vAlign w:val="bottom"/>
          </w:tcPr>
          <w:p w14:paraId="3B738AA9"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P_244</w:t>
            </w:r>
          </w:p>
        </w:tc>
        <w:tc>
          <w:tcPr>
            <w:tcW w:w="3969" w:type="dxa"/>
            <w:tcBorders>
              <w:top w:val="nil"/>
              <w:left w:val="nil"/>
              <w:bottom w:val="single" w:sz="4" w:space="0" w:color="auto"/>
              <w:right w:val="single" w:sz="4" w:space="0" w:color="auto"/>
            </w:tcBorders>
            <w:shd w:val="clear" w:color="auto" w:fill="auto"/>
            <w:noWrap/>
            <w:vAlign w:val="bottom"/>
          </w:tcPr>
          <w:p w14:paraId="5A9B3B14"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Colbún Transmisión</w:t>
            </w:r>
          </w:p>
        </w:tc>
        <w:tc>
          <w:tcPr>
            <w:tcW w:w="2154" w:type="dxa"/>
            <w:tcBorders>
              <w:top w:val="nil"/>
              <w:left w:val="nil"/>
              <w:bottom w:val="single" w:sz="4" w:space="0" w:color="auto"/>
              <w:right w:val="single" w:sz="4" w:space="0" w:color="auto"/>
            </w:tcBorders>
            <w:shd w:val="clear" w:color="auto" w:fill="auto"/>
            <w:noWrap/>
            <w:vAlign w:val="bottom"/>
          </w:tcPr>
          <w:p w14:paraId="10364543"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1.471.924,95</w:t>
            </w:r>
          </w:p>
        </w:tc>
      </w:tr>
      <w:tr w:rsidR="004864FF" w:rsidRPr="00A81CB8" w14:paraId="2AD0C18B"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1860613B"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SE-N_39</w:t>
            </w:r>
          </w:p>
        </w:tc>
        <w:tc>
          <w:tcPr>
            <w:tcW w:w="3969" w:type="dxa"/>
            <w:tcBorders>
              <w:top w:val="nil"/>
              <w:left w:val="nil"/>
              <w:bottom w:val="single" w:sz="4" w:space="0" w:color="auto"/>
              <w:right w:val="single" w:sz="4" w:space="0" w:color="auto"/>
            </w:tcBorders>
            <w:shd w:val="clear" w:color="auto" w:fill="auto"/>
            <w:vAlign w:val="center"/>
            <w:hideMark/>
          </w:tcPr>
          <w:p w14:paraId="447ED46C"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Los Peumos</w:t>
            </w:r>
          </w:p>
        </w:tc>
        <w:tc>
          <w:tcPr>
            <w:tcW w:w="1077" w:type="dxa"/>
            <w:tcBorders>
              <w:top w:val="nil"/>
              <w:left w:val="nil"/>
              <w:bottom w:val="single" w:sz="4" w:space="0" w:color="auto"/>
              <w:right w:val="single" w:sz="4" w:space="0" w:color="auto"/>
            </w:tcBorders>
            <w:shd w:val="clear" w:color="auto" w:fill="auto"/>
            <w:noWrap/>
            <w:vAlign w:val="bottom"/>
          </w:tcPr>
          <w:p w14:paraId="50A811B8"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P_083</w:t>
            </w:r>
          </w:p>
        </w:tc>
        <w:tc>
          <w:tcPr>
            <w:tcW w:w="3969" w:type="dxa"/>
            <w:tcBorders>
              <w:top w:val="nil"/>
              <w:left w:val="nil"/>
              <w:bottom w:val="single" w:sz="4" w:space="0" w:color="auto"/>
              <w:right w:val="single" w:sz="4" w:space="0" w:color="auto"/>
            </w:tcBorders>
            <w:shd w:val="clear" w:color="auto" w:fill="auto"/>
            <w:noWrap/>
            <w:vAlign w:val="bottom"/>
          </w:tcPr>
          <w:p w14:paraId="5ABC9B8E"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CGE</w:t>
            </w:r>
          </w:p>
        </w:tc>
        <w:tc>
          <w:tcPr>
            <w:tcW w:w="2154" w:type="dxa"/>
            <w:tcBorders>
              <w:top w:val="nil"/>
              <w:left w:val="nil"/>
              <w:bottom w:val="single" w:sz="4" w:space="0" w:color="auto"/>
              <w:right w:val="single" w:sz="4" w:space="0" w:color="auto"/>
            </w:tcBorders>
            <w:shd w:val="clear" w:color="auto" w:fill="auto"/>
            <w:noWrap/>
            <w:vAlign w:val="bottom"/>
          </w:tcPr>
          <w:p w14:paraId="10A87D04"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3.119.570,68</w:t>
            </w:r>
          </w:p>
        </w:tc>
      </w:tr>
      <w:tr w:rsidR="004864FF" w:rsidRPr="00A81CB8" w14:paraId="203C846E"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259DC917"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SE-N_40</w:t>
            </w:r>
          </w:p>
        </w:tc>
        <w:tc>
          <w:tcPr>
            <w:tcW w:w="3969" w:type="dxa"/>
            <w:tcBorders>
              <w:top w:val="nil"/>
              <w:left w:val="nil"/>
              <w:bottom w:val="single" w:sz="4" w:space="0" w:color="auto"/>
              <w:right w:val="single" w:sz="4" w:space="0" w:color="auto"/>
            </w:tcBorders>
            <w:shd w:val="clear" w:color="auto" w:fill="auto"/>
            <w:vAlign w:val="center"/>
            <w:hideMark/>
          </w:tcPr>
          <w:p w14:paraId="313837CC"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LOS VILOS</w:t>
            </w:r>
          </w:p>
        </w:tc>
        <w:tc>
          <w:tcPr>
            <w:tcW w:w="1077" w:type="dxa"/>
            <w:tcBorders>
              <w:top w:val="nil"/>
              <w:left w:val="nil"/>
              <w:bottom w:val="single" w:sz="4" w:space="0" w:color="auto"/>
              <w:right w:val="single" w:sz="4" w:space="0" w:color="auto"/>
            </w:tcBorders>
            <w:shd w:val="clear" w:color="auto" w:fill="auto"/>
            <w:noWrap/>
            <w:vAlign w:val="bottom"/>
          </w:tcPr>
          <w:p w14:paraId="54C148AD"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P_032</w:t>
            </w:r>
          </w:p>
        </w:tc>
        <w:tc>
          <w:tcPr>
            <w:tcW w:w="3969" w:type="dxa"/>
            <w:tcBorders>
              <w:top w:val="nil"/>
              <w:left w:val="nil"/>
              <w:bottom w:val="single" w:sz="4" w:space="0" w:color="auto"/>
              <w:right w:val="single" w:sz="4" w:space="0" w:color="auto"/>
            </w:tcBorders>
            <w:shd w:val="clear" w:color="auto" w:fill="auto"/>
            <w:noWrap/>
            <w:vAlign w:val="bottom"/>
          </w:tcPr>
          <w:p w14:paraId="160DFE33"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TRANSELEC S.A.</w:t>
            </w:r>
          </w:p>
        </w:tc>
        <w:tc>
          <w:tcPr>
            <w:tcW w:w="2154" w:type="dxa"/>
            <w:tcBorders>
              <w:top w:val="nil"/>
              <w:left w:val="nil"/>
              <w:bottom w:val="single" w:sz="4" w:space="0" w:color="auto"/>
              <w:right w:val="single" w:sz="4" w:space="0" w:color="auto"/>
            </w:tcBorders>
            <w:shd w:val="clear" w:color="auto" w:fill="auto"/>
            <w:noWrap/>
            <w:vAlign w:val="bottom"/>
          </w:tcPr>
          <w:p w14:paraId="31DDACD7"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2.142.806,30</w:t>
            </w:r>
          </w:p>
        </w:tc>
      </w:tr>
      <w:tr w:rsidR="004864FF" w:rsidRPr="00A81CB8" w14:paraId="0C803157"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4CB13F03"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SE-N_41</w:t>
            </w:r>
          </w:p>
        </w:tc>
        <w:tc>
          <w:tcPr>
            <w:tcW w:w="3969" w:type="dxa"/>
            <w:tcBorders>
              <w:top w:val="nil"/>
              <w:left w:val="nil"/>
              <w:bottom w:val="single" w:sz="4" w:space="0" w:color="auto"/>
              <w:right w:val="single" w:sz="4" w:space="0" w:color="auto"/>
            </w:tcBorders>
            <w:shd w:val="clear" w:color="auto" w:fill="auto"/>
            <w:vAlign w:val="center"/>
            <w:hideMark/>
          </w:tcPr>
          <w:p w14:paraId="46CB21C4"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Maipo</w:t>
            </w:r>
          </w:p>
        </w:tc>
        <w:tc>
          <w:tcPr>
            <w:tcW w:w="1077" w:type="dxa"/>
            <w:tcBorders>
              <w:top w:val="nil"/>
              <w:left w:val="nil"/>
              <w:bottom w:val="single" w:sz="4" w:space="0" w:color="auto"/>
              <w:right w:val="single" w:sz="4" w:space="0" w:color="auto"/>
            </w:tcBorders>
            <w:shd w:val="clear" w:color="auto" w:fill="auto"/>
            <w:noWrap/>
            <w:vAlign w:val="bottom"/>
          </w:tcPr>
          <w:p w14:paraId="79DB4792"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P_244</w:t>
            </w:r>
          </w:p>
        </w:tc>
        <w:tc>
          <w:tcPr>
            <w:tcW w:w="3969" w:type="dxa"/>
            <w:tcBorders>
              <w:top w:val="nil"/>
              <w:left w:val="nil"/>
              <w:bottom w:val="single" w:sz="4" w:space="0" w:color="auto"/>
              <w:right w:val="single" w:sz="4" w:space="0" w:color="auto"/>
            </w:tcBorders>
            <w:shd w:val="clear" w:color="auto" w:fill="auto"/>
            <w:noWrap/>
            <w:vAlign w:val="bottom"/>
          </w:tcPr>
          <w:p w14:paraId="6C55B767"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Colbún Transmisión</w:t>
            </w:r>
          </w:p>
        </w:tc>
        <w:tc>
          <w:tcPr>
            <w:tcW w:w="2154" w:type="dxa"/>
            <w:tcBorders>
              <w:top w:val="nil"/>
              <w:left w:val="nil"/>
              <w:bottom w:val="single" w:sz="4" w:space="0" w:color="auto"/>
              <w:right w:val="single" w:sz="4" w:space="0" w:color="auto"/>
            </w:tcBorders>
            <w:shd w:val="clear" w:color="auto" w:fill="auto"/>
            <w:noWrap/>
            <w:vAlign w:val="bottom"/>
          </w:tcPr>
          <w:p w14:paraId="2F69E4ED"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9.649.603,29</w:t>
            </w:r>
          </w:p>
        </w:tc>
      </w:tr>
      <w:tr w:rsidR="004864FF" w:rsidRPr="00A81CB8" w14:paraId="65F4E772" w14:textId="77777777" w:rsidTr="006B5A62">
        <w:trPr>
          <w:jc w:val="center"/>
        </w:trPr>
        <w:tc>
          <w:tcPr>
            <w:tcW w:w="1985"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2CF196E5"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SE-N_42</w:t>
            </w:r>
          </w:p>
        </w:tc>
        <w:tc>
          <w:tcPr>
            <w:tcW w:w="3969" w:type="dxa"/>
            <w:vMerge w:val="restart"/>
            <w:tcBorders>
              <w:top w:val="nil"/>
              <w:left w:val="single" w:sz="4" w:space="0" w:color="auto"/>
              <w:bottom w:val="single" w:sz="4" w:space="0" w:color="auto"/>
              <w:right w:val="single" w:sz="4" w:space="0" w:color="auto"/>
            </w:tcBorders>
            <w:shd w:val="clear" w:color="auto" w:fill="auto"/>
            <w:vAlign w:val="center"/>
            <w:hideMark/>
          </w:tcPr>
          <w:p w14:paraId="4B36A330"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MAITENCILLO</w:t>
            </w:r>
          </w:p>
        </w:tc>
        <w:tc>
          <w:tcPr>
            <w:tcW w:w="1077" w:type="dxa"/>
            <w:tcBorders>
              <w:top w:val="nil"/>
              <w:left w:val="nil"/>
              <w:bottom w:val="single" w:sz="4" w:space="0" w:color="auto"/>
              <w:right w:val="single" w:sz="4" w:space="0" w:color="auto"/>
            </w:tcBorders>
            <w:shd w:val="clear" w:color="auto" w:fill="auto"/>
            <w:noWrap/>
            <w:vAlign w:val="bottom"/>
          </w:tcPr>
          <w:p w14:paraId="0A1F33AB"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P_032</w:t>
            </w:r>
          </w:p>
        </w:tc>
        <w:tc>
          <w:tcPr>
            <w:tcW w:w="3969" w:type="dxa"/>
            <w:tcBorders>
              <w:top w:val="nil"/>
              <w:left w:val="nil"/>
              <w:bottom w:val="single" w:sz="4" w:space="0" w:color="auto"/>
              <w:right w:val="single" w:sz="4" w:space="0" w:color="auto"/>
            </w:tcBorders>
            <w:shd w:val="clear" w:color="auto" w:fill="auto"/>
            <w:noWrap/>
            <w:vAlign w:val="bottom"/>
          </w:tcPr>
          <w:p w14:paraId="6A0DE8AE"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TRANSELEC S.A.</w:t>
            </w:r>
          </w:p>
        </w:tc>
        <w:tc>
          <w:tcPr>
            <w:tcW w:w="2154" w:type="dxa"/>
            <w:tcBorders>
              <w:top w:val="nil"/>
              <w:left w:val="nil"/>
              <w:bottom w:val="single" w:sz="4" w:space="0" w:color="auto"/>
              <w:right w:val="single" w:sz="4" w:space="0" w:color="auto"/>
            </w:tcBorders>
            <w:shd w:val="clear" w:color="auto" w:fill="auto"/>
            <w:noWrap/>
            <w:vAlign w:val="bottom"/>
          </w:tcPr>
          <w:p w14:paraId="32A458F1"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14.757.336,91</w:t>
            </w:r>
          </w:p>
        </w:tc>
      </w:tr>
      <w:tr w:rsidR="004864FF" w:rsidRPr="00A81CB8" w14:paraId="3EE868D8" w14:textId="77777777" w:rsidTr="006B5A62">
        <w:trPr>
          <w:jc w:val="center"/>
        </w:trPr>
        <w:tc>
          <w:tcPr>
            <w:tcW w:w="1985" w:type="dxa"/>
            <w:vMerge/>
            <w:tcBorders>
              <w:top w:val="nil"/>
              <w:left w:val="single" w:sz="4" w:space="0" w:color="auto"/>
              <w:bottom w:val="single" w:sz="4" w:space="0" w:color="auto"/>
              <w:right w:val="single" w:sz="4" w:space="0" w:color="auto"/>
            </w:tcBorders>
            <w:vAlign w:val="center"/>
            <w:hideMark/>
          </w:tcPr>
          <w:p w14:paraId="7F5FEEB4"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1E557DFB"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bottom"/>
          </w:tcPr>
          <w:p w14:paraId="50CED322"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P_079</w:t>
            </w:r>
          </w:p>
        </w:tc>
        <w:tc>
          <w:tcPr>
            <w:tcW w:w="3969" w:type="dxa"/>
            <w:tcBorders>
              <w:top w:val="nil"/>
              <w:left w:val="nil"/>
              <w:bottom w:val="single" w:sz="4" w:space="0" w:color="auto"/>
              <w:right w:val="single" w:sz="4" w:space="0" w:color="auto"/>
            </w:tcBorders>
            <w:shd w:val="clear" w:color="auto" w:fill="auto"/>
            <w:noWrap/>
            <w:vAlign w:val="bottom"/>
          </w:tcPr>
          <w:p w14:paraId="2986AE19"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AES GENER</w:t>
            </w:r>
          </w:p>
        </w:tc>
        <w:tc>
          <w:tcPr>
            <w:tcW w:w="2154" w:type="dxa"/>
            <w:tcBorders>
              <w:top w:val="nil"/>
              <w:left w:val="nil"/>
              <w:bottom w:val="single" w:sz="4" w:space="0" w:color="auto"/>
              <w:right w:val="single" w:sz="4" w:space="0" w:color="auto"/>
            </w:tcBorders>
            <w:shd w:val="clear" w:color="auto" w:fill="auto"/>
            <w:noWrap/>
            <w:vAlign w:val="bottom"/>
          </w:tcPr>
          <w:p w14:paraId="2ED1BA64"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246.418,69</w:t>
            </w:r>
          </w:p>
        </w:tc>
      </w:tr>
      <w:tr w:rsidR="004864FF" w:rsidRPr="00A81CB8" w14:paraId="5B39E5D5" w14:textId="77777777" w:rsidTr="006B5A62">
        <w:trPr>
          <w:jc w:val="center"/>
        </w:trPr>
        <w:tc>
          <w:tcPr>
            <w:tcW w:w="1985" w:type="dxa"/>
            <w:vMerge/>
            <w:tcBorders>
              <w:top w:val="nil"/>
              <w:left w:val="single" w:sz="4" w:space="0" w:color="auto"/>
              <w:bottom w:val="single" w:sz="4" w:space="0" w:color="auto"/>
              <w:right w:val="single" w:sz="4" w:space="0" w:color="auto"/>
            </w:tcBorders>
            <w:vAlign w:val="center"/>
            <w:hideMark/>
          </w:tcPr>
          <w:p w14:paraId="750AEA20"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3EC4CEA7"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bottom"/>
          </w:tcPr>
          <w:p w14:paraId="1F38AE44"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P_476</w:t>
            </w:r>
          </w:p>
        </w:tc>
        <w:tc>
          <w:tcPr>
            <w:tcW w:w="3969" w:type="dxa"/>
            <w:tcBorders>
              <w:top w:val="nil"/>
              <w:left w:val="nil"/>
              <w:bottom w:val="single" w:sz="4" w:space="0" w:color="auto"/>
              <w:right w:val="single" w:sz="4" w:space="0" w:color="auto"/>
            </w:tcBorders>
            <w:shd w:val="clear" w:color="auto" w:fill="auto"/>
            <w:noWrap/>
            <w:vAlign w:val="bottom"/>
          </w:tcPr>
          <w:p w14:paraId="5C82391F"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STN</w:t>
            </w:r>
          </w:p>
        </w:tc>
        <w:tc>
          <w:tcPr>
            <w:tcW w:w="2154" w:type="dxa"/>
            <w:tcBorders>
              <w:top w:val="nil"/>
              <w:left w:val="nil"/>
              <w:bottom w:val="single" w:sz="4" w:space="0" w:color="auto"/>
              <w:right w:val="single" w:sz="4" w:space="0" w:color="auto"/>
            </w:tcBorders>
            <w:shd w:val="clear" w:color="auto" w:fill="auto"/>
            <w:noWrap/>
            <w:vAlign w:val="bottom"/>
          </w:tcPr>
          <w:p w14:paraId="0AD652FA"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1.365,96</w:t>
            </w:r>
          </w:p>
        </w:tc>
      </w:tr>
      <w:tr w:rsidR="004864FF" w:rsidRPr="00A81CB8" w14:paraId="5BD0C5DB" w14:textId="77777777" w:rsidTr="006B5A62">
        <w:trPr>
          <w:jc w:val="center"/>
        </w:trPr>
        <w:tc>
          <w:tcPr>
            <w:tcW w:w="1985" w:type="dxa"/>
            <w:vMerge/>
            <w:tcBorders>
              <w:top w:val="nil"/>
              <w:left w:val="single" w:sz="4" w:space="0" w:color="auto"/>
              <w:bottom w:val="single" w:sz="4" w:space="0" w:color="auto"/>
              <w:right w:val="single" w:sz="4" w:space="0" w:color="auto"/>
            </w:tcBorders>
            <w:vAlign w:val="center"/>
            <w:hideMark/>
          </w:tcPr>
          <w:p w14:paraId="5733123D"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5D4FA3A5"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bottom"/>
          </w:tcPr>
          <w:p w14:paraId="5345E9F3"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P_582</w:t>
            </w:r>
          </w:p>
        </w:tc>
        <w:tc>
          <w:tcPr>
            <w:tcW w:w="3969" w:type="dxa"/>
            <w:tcBorders>
              <w:top w:val="nil"/>
              <w:left w:val="nil"/>
              <w:bottom w:val="single" w:sz="4" w:space="0" w:color="auto"/>
              <w:right w:val="single" w:sz="4" w:space="0" w:color="auto"/>
            </w:tcBorders>
            <w:shd w:val="clear" w:color="auto" w:fill="auto"/>
            <w:noWrap/>
            <w:vAlign w:val="bottom"/>
          </w:tcPr>
          <w:p w14:paraId="3C2CF687"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 xml:space="preserve">LÍNEA DE TRANSMISIÓN CABO LEONES S.A. </w:t>
            </w:r>
          </w:p>
        </w:tc>
        <w:tc>
          <w:tcPr>
            <w:tcW w:w="2154" w:type="dxa"/>
            <w:tcBorders>
              <w:top w:val="nil"/>
              <w:left w:val="nil"/>
              <w:bottom w:val="single" w:sz="4" w:space="0" w:color="auto"/>
              <w:right w:val="single" w:sz="4" w:space="0" w:color="auto"/>
            </w:tcBorders>
            <w:shd w:val="clear" w:color="auto" w:fill="auto"/>
            <w:noWrap/>
            <w:vAlign w:val="bottom"/>
          </w:tcPr>
          <w:p w14:paraId="23FA7E6C"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388.601,43</w:t>
            </w:r>
          </w:p>
        </w:tc>
      </w:tr>
      <w:tr w:rsidR="004864FF" w:rsidRPr="00A81CB8" w14:paraId="4FA3C7FE" w14:textId="77777777" w:rsidTr="006B5A62">
        <w:trPr>
          <w:jc w:val="center"/>
        </w:trPr>
        <w:tc>
          <w:tcPr>
            <w:tcW w:w="1985"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73434D7A"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SE-N_43</w:t>
            </w:r>
          </w:p>
        </w:tc>
        <w:tc>
          <w:tcPr>
            <w:tcW w:w="3969" w:type="dxa"/>
            <w:vMerge w:val="restart"/>
            <w:tcBorders>
              <w:top w:val="nil"/>
              <w:left w:val="single" w:sz="4" w:space="0" w:color="auto"/>
              <w:bottom w:val="single" w:sz="4" w:space="0" w:color="auto"/>
              <w:right w:val="single" w:sz="4" w:space="0" w:color="auto"/>
            </w:tcBorders>
            <w:shd w:val="clear" w:color="auto" w:fill="auto"/>
            <w:vAlign w:val="center"/>
            <w:hideMark/>
          </w:tcPr>
          <w:p w14:paraId="7800493D"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María Elena</w:t>
            </w:r>
          </w:p>
        </w:tc>
        <w:tc>
          <w:tcPr>
            <w:tcW w:w="1077" w:type="dxa"/>
            <w:tcBorders>
              <w:top w:val="nil"/>
              <w:left w:val="nil"/>
              <w:bottom w:val="single" w:sz="4" w:space="0" w:color="auto"/>
              <w:right w:val="single" w:sz="4" w:space="0" w:color="auto"/>
            </w:tcBorders>
            <w:shd w:val="clear" w:color="auto" w:fill="auto"/>
            <w:noWrap/>
            <w:vAlign w:val="bottom"/>
          </w:tcPr>
          <w:p w14:paraId="3E069608"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P_100</w:t>
            </w:r>
          </w:p>
        </w:tc>
        <w:tc>
          <w:tcPr>
            <w:tcW w:w="3969" w:type="dxa"/>
            <w:tcBorders>
              <w:top w:val="nil"/>
              <w:left w:val="nil"/>
              <w:bottom w:val="single" w:sz="4" w:space="0" w:color="auto"/>
              <w:right w:val="single" w:sz="4" w:space="0" w:color="auto"/>
            </w:tcBorders>
            <w:shd w:val="clear" w:color="auto" w:fill="auto"/>
            <w:noWrap/>
            <w:vAlign w:val="bottom"/>
          </w:tcPr>
          <w:p w14:paraId="1DB687E7"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STS</w:t>
            </w:r>
          </w:p>
        </w:tc>
        <w:tc>
          <w:tcPr>
            <w:tcW w:w="2154" w:type="dxa"/>
            <w:tcBorders>
              <w:top w:val="nil"/>
              <w:left w:val="nil"/>
              <w:bottom w:val="single" w:sz="4" w:space="0" w:color="auto"/>
              <w:right w:val="single" w:sz="4" w:space="0" w:color="auto"/>
            </w:tcBorders>
            <w:shd w:val="clear" w:color="auto" w:fill="auto"/>
            <w:noWrap/>
            <w:vAlign w:val="bottom"/>
          </w:tcPr>
          <w:p w14:paraId="7E8857F8"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237.575,12</w:t>
            </w:r>
          </w:p>
        </w:tc>
      </w:tr>
      <w:tr w:rsidR="004864FF" w:rsidRPr="00A81CB8" w14:paraId="1932BF07" w14:textId="77777777" w:rsidTr="006B5A62">
        <w:trPr>
          <w:jc w:val="center"/>
        </w:trPr>
        <w:tc>
          <w:tcPr>
            <w:tcW w:w="1985" w:type="dxa"/>
            <w:vMerge/>
            <w:tcBorders>
              <w:top w:val="nil"/>
              <w:left w:val="single" w:sz="4" w:space="0" w:color="auto"/>
              <w:bottom w:val="single" w:sz="4" w:space="0" w:color="auto"/>
              <w:right w:val="single" w:sz="4" w:space="0" w:color="auto"/>
            </w:tcBorders>
            <w:vAlign w:val="center"/>
            <w:hideMark/>
          </w:tcPr>
          <w:p w14:paraId="593C41B3"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77B1557A"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bottom"/>
          </w:tcPr>
          <w:p w14:paraId="69292746"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P_344</w:t>
            </w:r>
          </w:p>
        </w:tc>
        <w:tc>
          <w:tcPr>
            <w:tcW w:w="3969" w:type="dxa"/>
            <w:tcBorders>
              <w:top w:val="nil"/>
              <w:left w:val="nil"/>
              <w:bottom w:val="single" w:sz="4" w:space="0" w:color="auto"/>
              <w:right w:val="single" w:sz="4" w:space="0" w:color="auto"/>
            </w:tcBorders>
            <w:shd w:val="clear" w:color="auto" w:fill="auto"/>
            <w:noWrap/>
            <w:vAlign w:val="bottom"/>
          </w:tcPr>
          <w:p w14:paraId="6AD48F4E"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Solar SpA</w:t>
            </w:r>
          </w:p>
        </w:tc>
        <w:tc>
          <w:tcPr>
            <w:tcW w:w="2154" w:type="dxa"/>
            <w:tcBorders>
              <w:top w:val="nil"/>
              <w:left w:val="nil"/>
              <w:bottom w:val="single" w:sz="4" w:space="0" w:color="auto"/>
              <w:right w:val="single" w:sz="4" w:space="0" w:color="auto"/>
            </w:tcBorders>
            <w:shd w:val="clear" w:color="auto" w:fill="auto"/>
            <w:noWrap/>
            <w:vAlign w:val="bottom"/>
          </w:tcPr>
          <w:p w14:paraId="778A8C3C"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13.115,39</w:t>
            </w:r>
          </w:p>
        </w:tc>
      </w:tr>
      <w:tr w:rsidR="004864FF" w:rsidRPr="00A81CB8" w14:paraId="68225D8C" w14:textId="77777777" w:rsidTr="006B5A62">
        <w:trPr>
          <w:jc w:val="center"/>
        </w:trPr>
        <w:tc>
          <w:tcPr>
            <w:tcW w:w="1985" w:type="dxa"/>
            <w:vMerge/>
            <w:tcBorders>
              <w:top w:val="nil"/>
              <w:left w:val="single" w:sz="4" w:space="0" w:color="auto"/>
              <w:bottom w:val="single" w:sz="4" w:space="0" w:color="auto"/>
              <w:right w:val="single" w:sz="4" w:space="0" w:color="auto"/>
            </w:tcBorders>
            <w:vAlign w:val="center"/>
            <w:hideMark/>
          </w:tcPr>
          <w:p w14:paraId="4AD7324E"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3CB1AE1B"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bottom"/>
          </w:tcPr>
          <w:p w14:paraId="07711E80"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P_480</w:t>
            </w:r>
          </w:p>
        </w:tc>
        <w:tc>
          <w:tcPr>
            <w:tcW w:w="3969" w:type="dxa"/>
            <w:tcBorders>
              <w:top w:val="nil"/>
              <w:left w:val="nil"/>
              <w:bottom w:val="single" w:sz="4" w:space="0" w:color="auto"/>
              <w:right w:val="single" w:sz="4" w:space="0" w:color="auto"/>
            </w:tcBorders>
            <w:shd w:val="clear" w:color="auto" w:fill="auto"/>
            <w:noWrap/>
            <w:vAlign w:val="bottom"/>
          </w:tcPr>
          <w:p w14:paraId="19ABBC11"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SATT</w:t>
            </w:r>
          </w:p>
        </w:tc>
        <w:tc>
          <w:tcPr>
            <w:tcW w:w="2154" w:type="dxa"/>
            <w:tcBorders>
              <w:top w:val="nil"/>
              <w:left w:val="nil"/>
              <w:bottom w:val="single" w:sz="4" w:space="0" w:color="auto"/>
              <w:right w:val="single" w:sz="4" w:space="0" w:color="auto"/>
            </w:tcBorders>
            <w:shd w:val="clear" w:color="auto" w:fill="auto"/>
            <w:noWrap/>
            <w:vAlign w:val="bottom"/>
          </w:tcPr>
          <w:p w14:paraId="6C5A880D"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3.998.760,41</w:t>
            </w:r>
          </w:p>
        </w:tc>
      </w:tr>
      <w:tr w:rsidR="004864FF" w:rsidRPr="00A81CB8" w14:paraId="2FBD8B03"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096BA33F"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SE-N_44</w:t>
            </w:r>
          </w:p>
        </w:tc>
        <w:tc>
          <w:tcPr>
            <w:tcW w:w="3969" w:type="dxa"/>
            <w:tcBorders>
              <w:top w:val="nil"/>
              <w:left w:val="nil"/>
              <w:bottom w:val="single" w:sz="4" w:space="0" w:color="auto"/>
              <w:right w:val="single" w:sz="4" w:space="0" w:color="auto"/>
            </w:tcBorders>
            <w:shd w:val="clear" w:color="auto" w:fill="auto"/>
            <w:vAlign w:val="center"/>
            <w:hideMark/>
          </w:tcPr>
          <w:p w14:paraId="01626422"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Melipulli</w:t>
            </w:r>
          </w:p>
        </w:tc>
        <w:tc>
          <w:tcPr>
            <w:tcW w:w="1077" w:type="dxa"/>
            <w:tcBorders>
              <w:top w:val="nil"/>
              <w:left w:val="nil"/>
              <w:bottom w:val="single" w:sz="4" w:space="0" w:color="auto"/>
              <w:right w:val="single" w:sz="4" w:space="0" w:color="auto"/>
            </w:tcBorders>
            <w:shd w:val="clear" w:color="auto" w:fill="auto"/>
            <w:noWrap/>
            <w:vAlign w:val="bottom"/>
          </w:tcPr>
          <w:p w14:paraId="36A82154"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P_100</w:t>
            </w:r>
          </w:p>
        </w:tc>
        <w:tc>
          <w:tcPr>
            <w:tcW w:w="3969" w:type="dxa"/>
            <w:tcBorders>
              <w:top w:val="nil"/>
              <w:left w:val="nil"/>
              <w:bottom w:val="single" w:sz="4" w:space="0" w:color="auto"/>
              <w:right w:val="single" w:sz="4" w:space="0" w:color="auto"/>
            </w:tcBorders>
            <w:shd w:val="clear" w:color="auto" w:fill="auto"/>
            <w:noWrap/>
            <w:vAlign w:val="bottom"/>
          </w:tcPr>
          <w:p w14:paraId="6B13571A"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STS</w:t>
            </w:r>
          </w:p>
        </w:tc>
        <w:tc>
          <w:tcPr>
            <w:tcW w:w="2154" w:type="dxa"/>
            <w:tcBorders>
              <w:top w:val="nil"/>
              <w:left w:val="nil"/>
              <w:bottom w:val="single" w:sz="4" w:space="0" w:color="auto"/>
              <w:right w:val="single" w:sz="4" w:space="0" w:color="auto"/>
            </w:tcBorders>
            <w:shd w:val="clear" w:color="auto" w:fill="auto"/>
            <w:noWrap/>
            <w:vAlign w:val="bottom"/>
          </w:tcPr>
          <w:p w14:paraId="60015F9A"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6.875.559,01</w:t>
            </w:r>
          </w:p>
        </w:tc>
      </w:tr>
      <w:tr w:rsidR="004864FF" w:rsidRPr="00A81CB8" w14:paraId="4BC211EF"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158AB36E"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SE-N_45</w:t>
            </w:r>
          </w:p>
        </w:tc>
        <w:tc>
          <w:tcPr>
            <w:tcW w:w="3969" w:type="dxa"/>
            <w:tcBorders>
              <w:top w:val="nil"/>
              <w:left w:val="nil"/>
              <w:bottom w:val="single" w:sz="4" w:space="0" w:color="auto"/>
              <w:right w:val="single" w:sz="4" w:space="0" w:color="auto"/>
            </w:tcBorders>
            <w:shd w:val="clear" w:color="auto" w:fill="auto"/>
            <w:vAlign w:val="center"/>
            <w:hideMark/>
          </w:tcPr>
          <w:p w14:paraId="0512456D"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MIRAJE</w:t>
            </w:r>
          </w:p>
        </w:tc>
        <w:tc>
          <w:tcPr>
            <w:tcW w:w="1077" w:type="dxa"/>
            <w:tcBorders>
              <w:top w:val="nil"/>
              <w:left w:val="nil"/>
              <w:bottom w:val="single" w:sz="4" w:space="0" w:color="auto"/>
              <w:right w:val="single" w:sz="4" w:space="0" w:color="auto"/>
            </w:tcBorders>
            <w:shd w:val="clear" w:color="auto" w:fill="auto"/>
            <w:noWrap/>
            <w:vAlign w:val="bottom"/>
          </w:tcPr>
          <w:p w14:paraId="28FE1E7F"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P_032</w:t>
            </w:r>
          </w:p>
        </w:tc>
        <w:tc>
          <w:tcPr>
            <w:tcW w:w="3969" w:type="dxa"/>
            <w:tcBorders>
              <w:top w:val="nil"/>
              <w:left w:val="nil"/>
              <w:bottom w:val="single" w:sz="4" w:space="0" w:color="auto"/>
              <w:right w:val="single" w:sz="4" w:space="0" w:color="auto"/>
            </w:tcBorders>
            <w:shd w:val="clear" w:color="auto" w:fill="auto"/>
            <w:noWrap/>
            <w:vAlign w:val="bottom"/>
          </w:tcPr>
          <w:p w14:paraId="37E4B4F2"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TRANSELEC S.A.</w:t>
            </w:r>
          </w:p>
        </w:tc>
        <w:tc>
          <w:tcPr>
            <w:tcW w:w="2154" w:type="dxa"/>
            <w:tcBorders>
              <w:top w:val="nil"/>
              <w:left w:val="nil"/>
              <w:bottom w:val="single" w:sz="4" w:space="0" w:color="auto"/>
              <w:right w:val="single" w:sz="4" w:space="0" w:color="auto"/>
            </w:tcBorders>
            <w:shd w:val="clear" w:color="auto" w:fill="auto"/>
            <w:noWrap/>
            <w:vAlign w:val="bottom"/>
          </w:tcPr>
          <w:p w14:paraId="5BFE7457"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1.711.595,07</w:t>
            </w:r>
          </w:p>
        </w:tc>
      </w:tr>
      <w:tr w:rsidR="004864FF" w:rsidRPr="00A81CB8" w14:paraId="40B1C835" w14:textId="77777777" w:rsidTr="006B5A62">
        <w:trPr>
          <w:jc w:val="center"/>
        </w:trPr>
        <w:tc>
          <w:tcPr>
            <w:tcW w:w="1985" w:type="dxa"/>
            <w:vMerge w:val="restart"/>
            <w:tcBorders>
              <w:top w:val="nil"/>
              <w:left w:val="single" w:sz="4" w:space="0" w:color="auto"/>
              <w:right w:val="single" w:sz="4" w:space="0" w:color="auto"/>
            </w:tcBorders>
            <w:shd w:val="clear" w:color="auto" w:fill="auto"/>
            <w:noWrap/>
            <w:vAlign w:val="center"/>
            <w:hideMark/>
          </w:tcPr>
          <w:p w14:paraId="6F36DFFA"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SE-N_46</w:t>
            </w:r>
          </w:p>
        </w:tc>
        <w:tc>
          <w:tcPr>
            <w:tcW w:w="3969" w:type="dxa"/>
            <w:vMerge w:val="restart"/>
            <w:tcBorders>
              <w:top w:val="nil"/>
              <w:left w:val="single" w:sz="4" w:space="0" w:color="auto"/>
              <w:right w:val="single" w:sz="4" w:space="0" w:color="auto"/>
            </w:tcBorders>
            <w:shd w:val="clear" w:color="auto" w:fill="auto"/>
            <w:vAlign w:val="center"/>
            <w:hideMark/>
          </w:tcPr>
          <w:p w14:paraId="273B7814"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Mulchén</w:t>
            </w:r>
          </w:p>
        </w:tc>
        <w:tc>
          <w:tcPr>
            <w:tcW w:w="1077" w:type="dxa"/>
            <w:tcBorders>
              <w:top w:val="nil"/>
              <w:left w:val="nil"/>
              <w:bottom w:val="single" w:sz="4" w:space="0" w:color="auto"/>
              <w:right w:val="single" w:sz="4" w:space="0" w:color="auto"/>
            </w:tcBorders>
            <w:shd w:val="clear" w:color="auto" w:fill="auto"/>
            <w:noWrap/>
            <w:vAlign w:val="bottom"/>
          </w:tcPr>
          <w:p w14:paraId="2F7A4D4A"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P_032</w:t>
            </w:r>
          </w:p>
        </w:tc>
        <w:tc>
          <w:tcPr>
            <w:tcW w:w="3969" w:type="dxa"/>
            <w:tcBorders>
              <w:top w:val="nil"/>
              <w:left w:val="nil"/>
              <w:bottom w:val="single" w:sz="4" w:space="0" w:color="auto"/>
              <w:right w:val="single" w:sz="4" w:space="0" w:color="auto"/>
            </w:tcBorders>
            <w:shd w:val="clear" w:color="auto" w:fill="auto"/>
            <w:noWrap/>
            <w:vAlign w:val="bottom"/>
          </w:tcPr>
          <w:p w14:paraId="01F3E84D"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TRANSELEC S.A.</w:t>
            </w:r>
          </w:p>
        </w:tc>
        <w:tc>
          <w:tcPr>
            <w:tcW w:w="2154" w:type="dxa"/>
            <w:tcBorders>
              <w:top w:val="nil"/>
              <w:left w:val="nil"/>
              <w:bottom w:val="single" w:sz="4" w:space="0" w:color="auto"/>
              <w:right w:val="single" w:sz="4" w:space="0" w:color="auto"/>
            </w:tcBorders>
            <w:shd w:val="clear" w:color="auto" w:fill="auto"/>
            <w:noWrap/>
            <w:vAlign w:val="bottom"/>
          </w:tcPr>
          <w:p w14:paraId="05239257"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135.385,21</w:t>
            </w:r>
          </w:p>
        </w:tc>
      </w:tr>
      <w:tr w:rsidR="004864FF" w:rsidRPr="00A81CB8" w14:paraId="3F3ACB88" w14:textId="77777777" w:rsidTr="006B5A62">
        <w:trPr>
          <w:jc w:val="center"/>
        </w:trPr>
        <w:tc>
          <w:tcPr>
            <w:tcW w:w="1985" w:type="dxa"/>
            <w:vMerge/>
            <w:tcBorders>
              <w:left w:val="single" w:sz="4" w:space="0" w:color="auto"/>
              <w:right w:val="single" w:sz="4" w:space="0" w:color="auto"/>
            </w:tcBorders>
            <w:vAlign w:val="center"/>
            <w:hideMark/>
          </w:tcPr>
          <w:p w14:paraId="7F5A775B"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left w:val="single" w:sz="4" w:space="0" w:color="auto"/>
              <w:right w:val="single" w:sz="4" w:space="0" w:color="auto"/>
            </w:tcBorders>
            <w:vAlign w:val="center"/>
            <w:hideMark/>
          </w:tcPr>
          <w:p w14:paraId="4CA1DC03"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bottom"/>
          </w:tcPr>
          <w:p w14:paraId="788245F7"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P_123</w:t>
            </w:r>
          </w:p>
        </w:tc>
        <w:tc>
          <w:tcPr>
            <w:tcW w:w="3969" w:type="dxa"/>
            <w:tcBorders>
              <w:top w:val="nil"/>
              <w:left w:val="nil"/>
              <w:bottom w:val="single" w:sz="4" w:space="0" w:color="auto"/>
              <w:right w:val="single" w:sz="4" w:space="0" w:color="auto"/>
            </w:tcBorders>
            <w:shd w:val="clear" w:color="auto" w:fill="auto"/>
            <w:noWrap/>
            <w:vAlign w:val="bottom"/>
          </w:tcPr>
          <w:p w14:paraId="38C2FDA1"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FRONTEL</w:t>
            </w:r>
          </w:p>
        </w:tc>
        <w:tc>
          <w:tcPr>
            <w:tcW w:w="2154" w:type="dxa"/>
            <w:tcBorders>
              <w:top w:val="nil"/>
              <w:left w:val="nil"/>
              <w:bottom w:val="single" w:sz="4" w:space="0" w:color="auto"/>
              <w:right w:val="single" w:sz="4" w:space="0" w:color="auto"/>
            </w:tcBorders>
            <w:shd w:val="clear" w:color="auto" w:fill="auto"/>
            <w:noWrap/>
            <w:vAlign w:val="bottom"/>
          </w:tcPr>
          <w:p w14:paraId="2B88EEB8"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46.907,10</w:t>
            </w:r>
          </w:p>
        </w:tc>
      </w:tr>
      <w:tr w:rsidR="004864FF" w:rsidRPr="00A81CB8" w14:paraId="59A06B9B" w14:textId="77777777" w:rsidTr="006B5A62">
        <w:trPr>
          <w:jc w:val="center"/>
        </w:trPr>
        <w:tc>
          <w:tcPr>
            <w:tcW w:w="1985" w:type="dxa"/>
            <w:vMerge/>
            <w:tcBorders>
              <w:left w:val="single" w:sz="4" w:space="0" w:color="auto"/>
              <w:bottom w:val="single" w:sz="4" w:space="0" w:color="auto"/>
              <w:right w:val="single" w:sz="4" w:space="0" w:color="auto"/>
            </w:tcBorders>
            <w:vAlign w:val="center"/>
          </w:tcPr>
          <w:p w14:paraId="4D9EED35"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left w:val="single" w:sz="4" w:space="0" w:color="auto"/>
              <w:bottom w:val="single" w:sz="4" w:space="0" w:color="auto"/>
              <w:right w:val="single" w:sz="4" w:space="0" w:color="auto"/>
            </w:tcBorders>
            <w:vAlign w:val="center"/>
          </w:tcPr>
          <w:p w14:paraId="64FEEB0F"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bottom"/>
          </w:tcPr>
          <w:p w14:paraId="228C925E"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P_244</w:t>
            </w:r>
          </w:p>
        </w:tc>
        <w:tc>
          <w:tcPr>
            <w:tcW w:w="3969" w:type="dxa"/>
            <w:tcBorders>
              <w:top w:val="nil"/>
              <w:left w:val="nil"/>
              <w:bottom w:val="single" w:sz="4" w:space="0" w:color="auto"/>
              <w:right w:val="single" w:sz="4" w:space="0" w:color="auto"/>
            </w:tcBorders>
            <w:shd w:val="clear" w:color="auto" w:fill="auto"/>
            <w:noWrap/>
            <w:vAlign w:val="bottom"/>
          </w:tcPr>
          <w:p w14:paraId="05D7D38E"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Colbún Transmisión</w:t>
            </w:r>
          </w:p>
        </w:tc>
        <w:tc>
          <w:tcPr>
            <w:tcW w:w="2154" w:type="dxa"/>
            <w:tcBorders>
              <w:top w:val="nil"/>
              <w:left w:val="nil"/>
              <w:bottom w:val="single" w:sz="4" w:space="0" w:color="auto"/>
              <w:right w:val="single" w:sz="4" w:space="0" w:color="auto"/>
            </w:tcBorders>
            <w:shd w:val="clear" w:color="auto" w:fill="auto"/>
            <w:noWrap/>
            <w:vAlign w:val="bottom"/>
          </w:tcPr>
          <w:p w14:paraId="43DB92ED" w14:textId="77777777" w:rsidR="004864FF" w:rsidRPr="00CF1373" w:rsidRDefault="004864FF" w:rsidP="006B5A62">
            <w:pPr>
              <w:spacing w:before="20" w:after="20" w:line="240" w:lineRule="auto"/>
              <w:jc w:val="right"/>
              <w:rPr>
                <w:rFonts w:asciiTheme="minorHAnsi" w:hAnsiTheme="minorHAnsi" w:cstheme="minorHAnsi"/>
                <w:color w:val="000000"/>
                <w:sz w:val="20"/>
                <w:szCs w:val="20"/>
              </w:rPr>
            </w:pPr>
            <w:r w:rsidRPr="00CF1373">
              <w:rPr>
                <w:rFonts w:cs="Calibri"/>
                <w:color w:val="000000"/>
                <w:sz w:val="20"/>
                <w:szCs w:val="20"/>
              </w:rPr>
              <w:t>1.543.647,72</w:t>
            </w:r>
          </w:p>
        </w:tc>
      </w:tr>
      <w:tr w:rsidR="004864FF" w:rsidRPr="00A81CB8" w14:paraId="7DE24002"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7A4D0D85"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SE-N_47</w:t>
            </w:r>
          </w:p>
        </w:tc>
        <w:tc>
          <w:tcPr>
            <w:tcW w:w="3969" w:type="dxa"/>
            <w:tcBorders>
              <w:top w:val="nil"/>
              <w:left w:val="nil"/>
              <w:bottom w:val="single" w:sz="4" w:space="0" w:color="auto"/>
              <w:right w:val="single" w:sz="4" w:space="0" w:color="auto"/>
            </w:tcBorders>
            <w:shd w:val="clear" w:color="auto" w:fill="auto"/>
            <w:vAlign w:val="center"/>
            <w:hideMark/>
          </w:tcPr>
          <w:p w14:paraId="790C9CF3"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NEPTUNO</w:t>
            </w:r>
          </w:p>
        </w:tc>
        <w:tc>
          <w:tcPr>
            <w:tcW w:w="1077" w:type="dxa"/>
            <w:tcBorders>
              <w:top w:val="nil"/>
              <w:left w:val="nil"/>
              <w:bottom w:val="single" w:sz="4" w:space="0" w:color="auto"/>
              <w:right w:val="single" w:sz="4" w:space="0" w:color="auto"/>
            </w:tcBorders>
            <w:shd w:val="clear" w:color="auto" w:fill="auto"/>
            <w:noWrap/>
            <w:vAlign w:val="bottom"/>
          </w:tcPr>
          <w:p w14:paraId="73EE1D38"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P_032</w:t>
            </w:r>
          </w:p>
        </w:tc>
        <w:tc>
          <w:tcPr>
            <w:tcW w:w="3969" w:type="dxa"/>
            <w:tcBorders>
              <w:top w:val="nil"/>
              <w:left w:val="nil"/>
              <w:bottom w:val="single" w:sz="4" w:space="0" w:color="auto"/>
              <w:right w:val="single" w:sz="4" w:space="0" w:color="auto"/>
            </w:tcBorders>
            <w:shd w:val="clear" w:color="auto" w:fill="auto"/>
            <w:noWrap/>
            <w:vAlign w:val="bottom"/>
          </w:tcPr>
          <w:p w14:paraId="10E3F2CB"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TRANSELEC S.A.</w:t>
            </w:r>
          </w:p>
        </w:tc>
        <w:tc>
          <w:tcPr>
            <w:tcW w:w="2154" w:type="dxa"/>
            <w:tcBorders>
              <w:top w:val="nil"/>
              <w:left w:val="nil"/>
              <w:bottom w:val="single" w:sz="4" w:space="0" w:color="auto"/>
              <w:right w:val="single" w:sz="4" w:space="0" w:color="auto"/>
            </w:tcBorders>
            <w:shd w:val="clear" w:color="auto" w:fill="auto"/>
            <w:noWrap/>
            <w:vAlign w:val="bottom"/>
          </w:tcPr>
          <w:p w14:paraId="13E61C8E"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1.304.002,54</w:t>
            </w:r>
          </w:p>
        </w:tc>
      </w:tr>
      <w:tr w:rsidR="004864FF" w:rsidRPr="00A81CB8" w14:paraId="65E0F3D0"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6BBE976B"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SE-N_48</w:t>
            </w:r>
          </w:p>
        </w:tc>
        <w:tc>
          <w:tcPr>
            <w:tcW w:w="3969" w:type="dxa"/>
            <w:tcBorders>
              <w:top w:val="nil"/>
              <w:left w:val="nil"/>
              <w:bottom w:val="single" w:sz="4" w:space="0" w:color="auto"/>
              <w:right w:val="single" w:sz="4" w:space="0" w:color="auto"/>
            </w:tcBorders>
            <w:shd w:val="clear" w:color="auto" w:fill="auto"/>
            <w:vAlign w:val="center"/>
            <w:hideMark/>
          </w:tcPr>
          <w:p w14:paraId="09C3C61B"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NOGALES</w:t>
            </w:r>
          </w:p>
        </w:tc>
        <w:tc>
          <w:tcPr>
            <w:tcW w:w="1077" w:type="dxa"/>
            <w:tcBorders>
              <w:top w:val="nil"/>
              <w:left w:val="nil"/>
              <w:bottom w:val="single" w:sz="4" w:space="0" w:color="auto"/>
              <w:right w:val="single" w:sz="4" w:space="0" w:color="auto"/>
            </w:tcBorders>
            <w:shd w:val="clear" w:color="auto" w:fill="auto"/>
            <w:noWrap/>
            <w:vAlign w:val="bottom"/>
          </w:tcPr>
          <w:p w14:paraId="3693B261"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P_032</w:t>
            </w:r>
          </w:p>
        </w:tc>
        <w:tc>
          <w:tcPr>
            <w:tcW w:w="3969" w:type="dxa"/>
            <w:tcBorders>
              <w:top w:val="nil"/>
              <w:left w:val="nil"/>
              <w:bottom w:val="single" w:sz="4" w:space="0" w:color="auto"/>
              <w:right w:val="single" w:sz="4" w:space="0" w:color="auto"/>
            </w:tcBorders>
            <w:shd w:val="clear" w:color="auto" w:fill="auto"/>
            <w:noWrap/>
            <w:vAlign w:val="bottom"/>
          </w:tcPr>
          <w:p w14:paraId="5B2F1265"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TRANSELEC S.A.</w:t>
            </w:r>
          </w:p>
        </w:tc>
        <w:tc>
          <w:tcPr>
            <w:tcW w:w="2154" w:type="dxa"/>
            <w:tcBorders>
              <w:top w:val="nil"/>
              <w:left w:val="nil"/>
              <w:bottom w:val="single" w:sz="4" w:space="0" w:color="auto"/>
              <w:right w:val="single" w:sz="4" w:space="0" w:color="auto"/>
            </w:tcBorders>
            <w:shd w:val="clear" w:color="auto" w:fill="auto"/>
            <w:noWrap/>
            <w:vAlign w:val="bottom"/>
          </w:tcPr>
          <w:p w14:paraId="37E1A0C2"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976.782,37</w:t>
            </w:r>
          </w:p>
        </w:tc>
      </w:tr>
      <w:tr w:rsidR="004864FF" w:rsidRPr="00A81CB8" w14:paraId="71D39614" w14:textId="77777777" w:rsidTr="006B5A62">
        <w:trPr>
          <w:jc w:val="center"/>
        </w:trPr>
        <w:tc>
          <w:tcPr>
            <w:tcW w:w="1985"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01F65B64"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lastRenderedPageBreak/>
              <w:t>SE-N_50</w:t>
            </w:r>
          </w:p>
        </w:tc>
        <w:tc>
          <w:tcPr>
            <w:tcW w:w="3969" w:type="dxa"/>
            <w:vMerge w:val="restart"/>
            <w:tcBorders>
              <w:top w:val="nil"/>
              <w:left w:val="single" w:sz="4" w:space="0" w:color="auto"/>
              <w:bottom w:val="single" w:sz="4" w:space="0" w:color="auto"/>
              <w:right w:val="single" w:sz="4" w:space="0" w:color="auto"/>
            </w:tcBorders>
            <w:shd w:val="clear" w:color="auto" w:fill="auto"/>
            <w:vAlign w:val="center"/>
            <w:hideMark/>
          </w:tcPr>
          <w:p w14:paraId="631CC339"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Nueva Cardones</w:t>
            </w:r>
          </w:p>
        </w:tc>
        <w:tc>
          <w:tcPr>
            <w:tcW w:w="1077" w:type="dxa"/>
            <w:tcBorders>
              <w:top w:val="nil"/>
              <w:left w:val="nil"/>
              <w:bottom w:val="single" w:sz="4" w:space="0" w:color="auto"/>
              <w:right w:val="single" w:sz="4" w:space="0" w:color="auto"/>
            </w:tcBorders>
            <w:shd w:val="clear" w:color="auto" w:fill="auto"/>
            <w:noWrap/>
            <w:vAlign w:val="bottom"/>
          </w:tcPr>
          <w:p w14:paraId="617A4EE1"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P_514</w:t>
            </w:r>
          </w:p>
        </w:tc>
        <w:tc>
          <w:tcPr>
            <w:tcW w:w="3969" w:type="dxa"/>
            <w:tcBorders>
              <w:top w:val="nil"/>
              <w:left w:val="nil"/>
              <w:bottom w:val="single" w:sz="4" w:space="0" w:color="auto"/>
              <w:right w:val="single" w:sz="4" w:space="0" w:color="auto"/>
            </w:tcBorders>
            <w:shd w:val="clear" w:color="auto" w:fill="auto"/>
            <w:noWrap/>
            <w:vAlign w:val="bottom"/>
          </w:tcPr>
          <w:p w14:paraId="2C30F12B"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TEN</w:t>
            </w:r>
          </w:p>
        </w:tc>
        <w:tc>
          <w:tcPr>
            <w:tcW w:w="2154" w:type="dxa"/>
            <w:tcBorders>
              <w:top w:val="nil"/>
              <w:left w:val="nil"/>
              <w:bottom w:val="single" w:sz="4" w:space="0" w:color="auto"/>
              <w:right w:val="single" w:sz="4" w:space="0" w:color="auto"/>
            </w:tcBorders>
            <w:shd w:val="clear" w:color="auto" w:fill="auto"/>
            <w:noWrap/>
            <w:vAlign w:val="bottom"/>
          </w:tcPr>
          <w:p w14:paraId="6CA0D9E2"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10.057.823,16</w:t>
            </w:r>
          </w:p>
        </w:tc>
      </w:tr>
      <w:tr w:rsidR="004864FF" w:rsidRPr="00A81CB8" w14:paraId="681F48E6" w14:textId="77777777" w:rsidTr="006B5A62">
        <w:trPr>
          <w:jc w:val="center"/>
        </w:trPr>
        <w:tc>
          <w:tcPr>
            <w:tcW w:w="1985" w:type="dxa"/>
            <w:vMerge/>
            <w:tcBorders>
              <w:top w:val="nil"/>
              <w:left w:val="single" w:sz="4" w:space="0" w:color="auto"/>
              <w:bottom w:val="single" w:sz="4" w:space="0" w:color="auto"/>
              <w:right w:val="single" w:sz="4" w:space="0" w:color="auto"/>
            </w:tcBorders>
            <w:vAlign w:val="center"/>
            <w:hideMark/>
          </w:tcPr>
          <w:p w14:paraId="5D317B85"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4E5C79B4"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bottom"/>
          </w:tcPr>
          <w:p w14:paraId="4CB5C6CE"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P_530</w:t>
            </w:r>
          </w:p>
        </w:tc>
        <w:tc>
          <w:tcPr>
            <w:tcW w:w="3969" w:type="dxa"/>
            <w:tcBorders>
              <w:top w:val="nil"/>
              <w:left w:val="nil"/>
              <w:bottom w:val="single" w:sz="4" w:space="0" w:color="auto"/>
              <w:right w:val="single" w:sz="4" w:space="0" w:color="auto"/>
            </w:tcBorders>
            <w:shd w:val="clear" w:color="auto" w:fill="auto"/>
            <w:noWrap/>
            <w:vAlign w:val="bottom"/>
          </w:tcPr>
          <w:p w14:paraId="7498B38F"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INTERCHILE</w:t>
            </w:r>
          </w:p>
        </w:tc>
        <w:tc>
          <w:tcPr>
            <w:tcW w:w="2154" w:type="dxa"/>
            <w:tcBorders>
              <w:top w:val="nil"/>
              <w:left w:val="nil"/>
              <w:bottom w:val="single" w:sz="4" w:space="0" w:color="auto"/>
              <w:right w:val="single" w:sz="4" w:space="0" w:color="auto"/>
            </w:tcBorders>
            <w:shd w:val="clear" w:color="auto" w:fill="auto"/>
            <w:noWrap/>
            <w:vAlign w:val="bottom"/>
          </w:tcPr>
          <w:p w14:paraId="212D7647"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1.302.361,34</w:t>
            </w:r>
          </w:p>
        </w:tc>
      </w:tr>
      <w:tr w:rsidR="004864FF" w:rsidRPr="00A81CB8" w14:paraId="523CF473"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133C87DC"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SE-N_51</w:t>
            </w:r>
          </w:p>
        </w:tc>
        <w:tc>
          <w:tcPr>
            <w:tcW w:w="3969" w:type="dxa"/>
            <w:tcBorders>
              <w:top w:val="nil"/>
              <w:left w:val="nil"/>
              <w:bottom w:val="single" w:sz="4" w:space="0" w:color="auto"/>
              <w:right w:val="single" w:sz="4" w:space="0" w:color="auto"/>
            </w:tcBorders>
            <w:shd w:val="clear" w:color="auto" w:fill="auto"/>
            <w:vAlign w:val="center"/>
            <w:hideMark/>
          </w:tcPr>
          <w:p w14:paraId="1434B068"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Nueva Pichirropulli</w:t>
            </w:r>
          </w:p>
        </w:tc>
        <w:tc>
          <w:tcPr>
            <w:tcW w:w="1077" w:type="dxa"/>
            <w:tcBorders>
              <w:top w:val="nil"/>
              <w:left w:val="nil"/>
              <w:bottom w:val="single" w:sz="4" w:space="0" w:color="auto"/>
              <w:right w:val="single" w:sz="4" w:space="0" w:color="auto"/>
            </w:tcBorders>
            <w:shd w:val="clear" w:color="auto" w:fill="auto"/>
            <w:noWrap/>
            <w:vAlign w:val="bottom"/>
          </w:tcPr>
          <w:p w14:paraId="44604313"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P_290</w:t>
            </w:r>
          </w:p>
        </w:tc>
        <w:tc>
          <w:tcPr>
            <w:tcW w:w="3969" w:type="dxa"/>
            <w:tcBorders>
              <w:top w:val="nil"/>
              <w:left w:val="nil"/>
              <w:bottom w:val="single" w:sz="4" w:space="0" w:color="auto"/>
              <w:right w:val="single" w:sz="4" w:space="0" w:color="auto"/>
            </w:tcBorders>
            <w:shd w:val="clear" w:color="auto" w:fill="auto"/>
            <w:noWrap/>
            <w:vAlign w:val="bottom"/>
          </w:tcPr>
          <w:p w14:paraId="3BF9F9B5"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Eletrans</w:t>
            </w:r>
          </w:p>
        </w:tc>
        <w:tc>
          <w:tcPr>
            <w:tcW w:w="2154" w:type="dxa"/>
            <w:tcBorders>
              <w:top w:val="nil"/>
              <w:left w:val="nil"/>
              <w:bottom w:val="single" w:sz="4" w:space="0" w:color="auto"/>
              <w:right w:val="single" w:sz="4" w:space="0" w:color="auto"/>
            </w:tcBorders>
            <w:shd w:val="clear" w:color="auto" w:fill="auto"/>
            <w:noWrap/>
            <w:vAlign w:val="bottom"/>
          </w:tcPr>
          <w:p w14:paraId="7FED6B5E"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5.755.478,29</w:t>
            </w:r>
          </w:p>
        </w:tc>
      </w:tr>
      <w:tr w:rsidR="004864FF" w:rsidRPr="00A81CB8" w14:paraId="6E4F5F16"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077AD0FF"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SE-N_53</w:t>
            </w:r>
          </w:p>
        </w:tc>
        <w:tc>
          <w:tcPr>
            <w:tcW w:w="3969" w:type="dxa"/>
            <w:tcBorders>
              <w:top w:val="nil"/>
              <w:left w:val="nil"/>
              <w:bottom w:val="single" w:sz="4" w:space="0" w:color="auto"/>
              <w:right w:val="single" w:sz="4" w:space="0" w:color="auto"/>
            </w:tcBorders>
            <w:shd w:val="clear" w:color="auto" w:fill="auto"/>
            <w:vAlign w:val="center"/>
            <w:hideMark/>
          </w:tcPr>
          <w:p w14:paraId="0DB08BB9"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O'Higgins</w:t>
            </w:r>
          </w:p>
        </w:tc>
        <w:tc>
          <w:tcPr>
            <w:tcW w:w="1077" w:type="dxa"/>
            <w:tcBorders>
              <w:top w:val="nil"/>
              <w:left w:val="nil"/>
              <w:bottom w:val="single" w:sz="4" w:space="0" w:color="auto"/>
              <w:right w:val="single" w:sz="4" w:space="0" w:color="auto"/>
            </w:tcBorders>
            <w:shd w:val="clear" w:color="auto" w:fill="auto"/>
            <w:noWrap/>
            <w:vAlign w:val="bottom"/>
          </w:tcPr>
          <w:p w14:paraId="48ECFDD1"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P_418</w:t>
            </w:r>
          </w:p>
        </w:tc>
        <w:tc>
          <w:tcPr>
            <w:tcW w:w="3969" w:type="dxa"/>
            <w:tcBorders>
              <w:top w:val="nil"/>
              <w:left w:val="nil"/>
              <w:bottom w:val="single" w:sz="4" w:space="0" w:color="auto"/>
              <w:right w:val="single" w:sz="4" w:space="0" w:color="auto"/>
            </w:tcBorders>
            <w:shd w:val="clear" w:color="auto" w:fill="auto"/>
            <w:noWrap/>
            <w:vAlign w:val="bottom"/>
          </w:tcPr>
          <w:p w14:paraId="46D20AF3"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Minera Escondida</w:t>
            </w:r>
          </w:p>
        </w:tc>
        <w:tc>
          <w:tcPr>
            <w:tcW w:w="2154" w:type="dxa"/>
            <w:tcBorders>
              <w:top w:val="nil"/>
              <w:left w:val="nil"/>
              <w:bottom w:val="single" w:sz="4" w:space="0" w:color="auto"/>
              <w:right w:val="single" w:sz="4" w:space="0" w:color="auto"/>
            </w:tcBorders>
            <w:shd w:val="clear" w:color="auto" w:fill="auto"/>
            <w:noWrap/>
            <w:vAlign w:val="bottom"/>
          </w:tcPr>
          <w:p w14:paraId="02FAE5D2"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596.388,42</w:t>
            </w:r>
          </w:p>
        </w:tc>
      </w:tr>
      <w:tr w:rsidR="004864FF" w:rsidRPr="00A81CB8" w14:paraId="1ABE9C8D" w14:textId="77777777" w:rsidTr="006B5A62">
        <w:trPr>
          <w:jc w:val="center"/>
        </w:trPr>
        <w:tc>
          <w:tcPr>
            <w:tcW w:w="1985"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75FFB8DE"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SE-N_54</w:t>
            </w:r>
          </w:p>
        </w:tc>
        <w:tc>
          <w:tcPr>
            <w:tcW w:w="3969" w:type="dxa"/>
            <w:vMerge w:val="restart"/>
            <w:tcBorders>
              <w:top w:val="nil"/>
              <w:left w:val="single" w:sz="4" w:space="0" w:color="auto"/>
              <w:bottom w:val="single" w:sz="4" w:space="0" w:color="auto"/>
              <w:right w:val="single" w:sz="4" w:space="0" w:color="auto"/>
            </w:tcBorders>
            <w:shd w:val="clear" w:color="auto" w:fill="auto"/>
            <w:vAlign w:val="center"/>
            <w:hideMark/>
          </w:tcPr>
          <w:p w14:paraId="6E640060"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PAN DE AZUCAR</w:t>
            </w:r>
          </w:p>
        </w:tc>
        <w:tc>
          <w:tcPr>
            <w:tcW w:w="1077" w:type="dxa"/>
            <w:tcBorders>
              <w:top w:val="nil"/>
              <w:left w:val="nil"/>
              <w:bottom w:val="single" w:sz="4" w:space="0" w:color="auto"/>
              <w:right w:val="single" w:sz="4" w:space="0" w:color="auto"/>
            </w:tcBorders>
            <w:shd w:val="clear" w:color="auto" w:fill="auto"/>
            <w:noWrap/>
            <w:vAlign w:val="bottom"/>
          </w:tcPr>
          <w:p w14:paraId="0D6F5A17"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P_032</w:t>
            </w:r>
          </w:p>
        </w:tc>
        <w:tc>
          <w:tcPr>
            <w:tcW w:w="3969" w:type="dxa"/>
            <w:tcBorders>
              <w:top w:val="nil"/>
              <w:left w:val="nil"/>
              <w:bottom w:val="single" w:sz="4" w:space="0" w:color="auto"/>
              <w:right w:val="single" w:sz="4" w:space="0" w:color="auto"/>
            </w:tcBorders>
            <w:shd w:val="clear" w:color="auto" w:fill="auto"/>
            <w:noWrap/>
            <w:vAlign w:val="bottom"/>
          </w:tcPr>
          <w:p w14:paraId="03DFD789"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TRANSELEC S.A.</w:t>
            </w:r>
          </w:p>
        </w:tc>
        <w:tc>
          <w:tcPr>
            <w:tcW w:w="2154" w:type="dxa"/>
            <w:tcBorders>
              <w:top w:val="nil"/>
              <w:left w:val="nil"/>
              <w:bottom w:val="single" w:sz="4" w:space="0" w:color="auto"/>
              <w:right w:val="single" w:sz="4" w:space="0" w:color="auto"/>
            </w:tcBorders>
            <w:shd w:val="clear" w:color="auto" w:fill="auto"/>
            <w:noWrap/>
            <w:vAlign w:val="bottom"/>
          </w:tcPr>
          <w:p w14:paraId="3D5C5892"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26.278.706,33</w:t>
            </w:r>
          </w:p>
        </w:tc>
      </w:tr>
      <w:tr w:rsidR="004864FF" w:rsidRPr="00A81CB8" w14:paraId="2E898210" w14:textId="77777777" w:rsidTr="006B5A62">
        <w:trPr>
          <w:jc w:val="center"/>
        </w:trPr>
        <w:tc>
          <w:tcPr>
            <w:tcW w:w="1985" w:type="dxa"/>
            <w:vMerge/>
            <w:tcBorders>
              <w:top w:val="nil"/>
              <w:left w:val="single" w:sz="4" w:space="0" w:color="auto"/>
              <w:bottom w:val="single" w:sz="4" w:space="0" w:color="auto"/>
              <w:right w:val="single" w:sz="4" w:space="0" w:color="auto"/>
            </w:tcBorders>
            <w:vAlign w:val="center"/>
            <w:hideMark/>
          </w:tcPr>
          <w:p w14:paraId="1D8899F4"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1C86D91E"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bottom"/>
          </w:tcPr>
          <w:p w14:paraId="7C442591"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P_083</w:t>
            </w:r>
          </w:p>
        </w:tc>
        <w:tc>
          <w:tcPr>
            <w:tcW w:w="3969" w:type="dxa"/>
            <w:tcBorders>
              <w:top w:val="nil"/>
              <w:left w:val="nil"/>
              <w:bottom w:val="single" w:sz="4" w:space="0" w:color="auto"/>
              <w:right w:val="single" w:sz="4" w:space="0" w:color="auto"/>
            </w:tcBorders>
            <w:shd w:val="clear" w:color="auto" w:fill="auto"/>
            <w:noWrap/>
            <w:vAlign w:val="bottom"/>
          </w:tcPr>
          <w:p w14:paraId="5D622B6D"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CGE</w:t>
            </w:r>
          </w:p>
        </w:tc>
        <w:tc>
          <w:tcPr>
            <w:tcW w:w="2154" w:type="dxa"/>
            <w:tcBorders>
              <w:top w:val="nil"/>
              <w:left w:val="nil"/>
              <w:bottom w:val="single" w:sz="4" w:space="0" w:color="auto"/>
              <w:right w:val="single" w:sz="4" w:space="0" w:color="auto"/>
            </w:tcBorders>
            <w:shd w:val="clear" w:color="auto" w:fill="auto"/>
            <w:noWrap/>
            <w:vAlign w:val="bottom"/>
          </w:tcPr>
          <w:p w14:paraId="1A28E943"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1.631.987,78</w:t>
            </w:r>
          </w:p>
        </w:tc>
      </w:tr>
      <w:tr w:rsidR="004864FF" w:rsidRPr="00A81CB8" w14:paraId="36E97F11" w14:textId="77777777" w:rsidTr="006B5A62">
        <w:trPr>
          <w:jc w:val="center"/>
        </w:trPr>
        <w:tc>
          <w:tcPr>
            <w:tcW w:w="1985"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6C4F67AB"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SE-N_55</w:t>
            </w:r>
          </w:p>
        </w:tc>
        <w:tc>
          <w:tcPr>
            <w:tcW w:w="3969" w:type="dxa"/>
            <w:vMerge w:val="restart"/>
            <w:tcBorders>
              <w:top w:val="nil"/>
              <w:left w:val="single" w:sz="4" w:space="0" w:color="auto"/>
              <w:bottom w:val="single" w:sz="4" w:space="0" w:color="auto"/>
              <w:right w:val="single" w:sz="4" w:space="0" w:color="auto"/>
            </w:tcBorders>
            <w:shd w:val="clear" w:color="auto" w:fill="auto"/>
            <w:vAlign w:val="center"/>
            <w:hideMark/>
          </w:tcPr>
          <w:p w14:paraId="3D48EC61"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PARINACOTA</w:t>
            </w:r>
          </w:p>
        </w:tc>
        <w:tc>
          <w:tcPr>
            <w:tcW w:w="1077" w:type="dxa"/>
            <w:tcBorders>
              <w:top w:val="nil"/>
              <w:left w:val="nil"/>
              <w:bottom w:val="single" w:sz="4" w:space="0" w:color="auto"/>
              <w:right w:val="single" w:sz="4" w:space="0" w:color="auto"/>
            </w:tcBorders>
            <w:shd w:val="clear" w:color="auto" w:fill="auto"/>
            <w:noWrap/>
            <w:vAlign w:val="bottom"/>
          </w:tcPr>
          <w:p w14:paraId="31A1163D"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P_032</w:t>
            </w:r>
          </w:p>
        </w:tc>
        <w:tc>
          <w:tcPr>
            <w:tcW w:w="3969" w:type="dxa"/>
            <w:tcBorders>
              <w:top w:val="nil"/>
              <w:left w:val="nil"/>
              <w:bottom w:val="single" w:sz="4" w:space="0" w:color="auto"/>
              <w:right w:val="single" w:sz="4" w:space="0" w:color="auto"/>
            </w:tcBorders>
            <w:shd w:val="clear" w:color="auto" w:fill="auto"/>
            <w:noWrap/>
            <w:vAlign w:val="bottom"/>
          </w:tcPr>
          <w:p w14:paraId="0BDEE334"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TRANSELEC S.A.</w:t>
            </w:r>
          </w:p>
        </w:tc>
        <w:tc>
          <w:tcPr>
            <w:tcW w:w="2154" w:type="dxa"/>
            <w:tcBorders>
              <w:top w:val="nil"/>
              <w:left w:val="nil"/>
              <w:bottom w:val="single" w:sz="4" w:space="0" w:color="auto"/>
              <w:right w:val="single" w:sz="4" w:space="0" w:color="auto"/>
            </w:tcBorders>
            <w:shd w:val="clear" w:color="auto" w:fill="auto"/>
            <w:noWrap/>
            <w:vAlign w:val="bottom"/>
          </w:tcPr>
          <w:p w14:paraId="00BEE87C"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35.106,84</w:t>
            </w:r>
          </w:p>
        </w:tc>
      </w:tr>
      <w:tr w:rsidR="004864FF" w:rsidRPr="00A81CB8" w14:paraId="1BEAD8CD" w14:textId="77777777" w:rsidTr="006B5A62">
        <w:trPr>
          <w:jc w:val="center"/>
        </w:trPr>
        <w:tc>
          <w:tcPr>
            <w:tcW w:w="1985" w:type="dxa"/>
            <w:vMerge/>
            <w:tcBorders>
              <w:top w:val="nil"/>
              <w:left w:val="single" w:sz="4" w:space="0" w:color="auto"/>
              <w:bottom w:val="single" w:sz="4" w:space="0" w:color="auto"/>
              <w:right w:val="single" w:sz="4" w:space="0" w:color="auto"/>
            </w:tcBorders>
            <w:vAlign w:val="center"/>
            <w:hideMark/>
          </w:tcPr>
          <w:p w14:paraId="36BC747D"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76CD9F05"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bottom"/>
          </w:tcPr>
          <w:p w14:paraId="495A8B30"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P_120</w:t>
            </w:r>
          </w:p>
        </w:tc>
        <w:tc>
          <w:tcPr>
            <w:tcW w:w="3969" w:type="dxa"/>
            <w:tcBorders>
              <w:top w:val="nil"/>
              <w:left w:val="nil"/>
              <w:bottom w:val="single" w:sz="4" w:space="0" w:color="auto"/>
              <w:right w:val="single" w:sz="4" w:space="0" w:color="auto"/>
            </w:tcBorders>
            <w:shd w:val="clear" w:color="auto" w:fill="auto"/>
            <w:noWrap/>
            <w:vAlign w:val="bottom"/>
          </w:tcPr>
          <w:p w14:paraId="319A7A65"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TRANSEMEL</w:t>
            </w:r>
          </w:p>
        </w:tc>
        <w:tc>
          <w:tcPr>
            <w:tcW w:w="2154" w:type="dxa"/>
            <w:tcBorders>
              <w:top w:val="nil"/>
              <w:left w:val="nil"/>
              <w:bottom w:val="single" w:sz="4" w:space="0" w:color="auto"/>
              <w:right w:val="single" w:sz="4" w:space="0" w:color="auto"/>
            </w:tcBorders>
            <w:shd w:val="clear" w:color="auto" w:fill="auto"/>
            <w:noWrap/>
            <w:vAlign w:val="bottom"/>
          </w:tcPr>
          <w:p w14:paraId="0E5632E3"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4.589.332,46</w:t>
            </w:r>
          </w:p>
        </w:tc>
      </w:tr>
      <w:tr w:rsidR="004864FF" w:rsidRPr="00A81CB8" w14:paraId="03A855F1" w14:textId="77777777" w:rsidTr="006B5A62">
        <w:trPr>
          <w:jc w:val="center"/>
        </w:trPr>
        <w:tc>
          <w:tcPr>
            <w:tcW w:w="1985" w:type="dxa"/>
            <w:vMerge/>
            <w:tcBorders>
              <w:top w:val="nil"/>
              <w:left w:val="single" w:sz="4" w:space="0" w:color="auto"/>
              <w:bottom w:val="single" w:sz="4" w:space="0" w:color="auto"/>
              <w:right w:val="single" w:sz="4" w:space="0" w:color="auto"/>
            </w:tcBorders>
            <w:vAlign w:val="center"/>
            <w:hideMark/>
          </w:tcPr>
          <w:p w14:paraId="1B8BFC01"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644F696F"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bottom"/>
          </w:tcPr>
          <w:p w14:paraId="558CB492"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P_164</w:t>
            </w:r>
          </w:p>
        </w:tc>
        <w:tc>
          <w:tcPr>
            <w:tcW w:w="3969" w:type="dxa"/>
            <w:tcBorders>
              <w:top w:val="nil"/>
              <w:left w:val="nil"/>
              <w:bottom w:val="single" w:sz="4" w:space="0" w:color="auto"/>
              <w:right w:val="single" w:sz="4" w:space="0" w:color="auto"/>
            </w:tcBorders>
            <w:shd w:val="clear" w:color="auto" w:fill="auto"/>
            <w:noWrap/>
            <w:vAlign w:val="bottom"/>
          </w:tcPr>
          <w:p w14:paraId="11F81870"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E-CL</w:t>
            </w:r>
          </w:p>
        </w:tc>
        <w:tc>
          <w:tcPr>
            <w:tcW w:w="2154" w:type="dxa"/>
            <w:tcBorders>
              <w:top w:val="nil"/>
              <w:left w:val="nil"/>
              <w:bottom w:val="single" w:sz="4" w:space="0" w:color="auto"/>
              <w:right w:val="single" w:sz="4" w:space="0" w:color="auto"/>
            </w:tcBorders>
            <w:shd w:val="clear" w:color="auto" w:fill="auto"/>
            <w:noWrap/>
            <w:vAlign w:val="bottom"/>
          </w:tcPr>
          <w:p w14:paraId="75CE3A87"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6.550,81</w:t>
            </w:r>
          </w:p>
        </w:tc>
      </w:tr>
      <w:tr w:rsidR="004864FF" w:rsidRPr="00A81CB8" w14:paraId="298E1839" w14:textId="77777777" w:rsidTr="006B5A62">
        <w:trPr>
          <w:jc w:val="center"/>
        </w:trPr>
        <w:tc>
          <w:tcPr>
            <w:tcW w:w="1985"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6BF5ACA1"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SE-N_56</w:t>
            </w:r>
          </w:p>
        </w:tc>
        <w:tc>
          <w:tcPr>
            <w:tcW w:w="3969" w:type="dxa"/>
            <w:vMerge w:val="restart"/>
            <w:tcBorders>
              <w:top w:val="nil"/>
              <w:left w:val="single" w:sz="4" w:space="0" w:color="auto"/>
              <w:bottom w:val="single" w:sz="4" w:space="0" w:color="auto"/>
              <w:right w:val="single" w:sz="4" w:space="0" w:color="auto"/>
            </w:tcBorders>
            <w:shd w:val="clear" w:color="auto" w:fill="auto"/>
            <w:vAlign w:val="center"/>
            <w:hideMark/>
          </w:tcPr>
          <w:p w14:paraId="4AEC9187"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POLPAICO</w:t>
            </w:r>
          </w:p>
        </w:tc>
        <w:tc>
          <w:tcPr>
            <w:tcW w:w="1077" w:type="dxa"/>
            <w:tcBorders>
              <w:top w:val="nil"/>
              <w:left w:val="nil"/>
              <w:bottom w:val="single" w:sz="4" w:space="0" w:color="auto"/>
              <w:right w:val="single" w:sz="4" w:space="0" w:color="auto"/>
            </w:tcBorders>
            <w:shd w:val="clear" w:color="auto" w:fill="auto"/>
            <w:noWrap/>
            <w:vAlign w:val="bottom"/>
          </w:tcPr>
          <w:p w14:paraId="7097B73D"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P_032</w:t>
            </w:r>
          </w:p>
        </w:tc>
        <w:tc>
          <w:tcPr>
            <w:tcW w:w="3969" w:type="dxa"/>
            <w:tcBorders>
              <w:top w:val="nil"/>
              <w:left w:val="nil"/>
              <w:bottom w:val="single" w:sz="4" w:space="0" w:color="auto"/>
              <w:right w:val="single" w:sz="4" w:space="0" w:color="auto"/>
            </w:tcBorders>
            <w:shd w:val="clear" w:color="auto" w:fill="auto"/>
            <w:noWrap/>
            <w:vAlign w:val="bottom"/>
          </w:tcPr>
          <w:p w14:paraId="075D9F24"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TRANSELEC S.A.</w:t>
            </w:r>
          </w:p>
        </w:tc>
        <w:tc>
          <w:tcPr>
            <w:tcW w:w="2154" w:type="dxa"/>
            <w:tcBorders>
              <w:top w:val="nil"/>
              <w:left w:val="nil"/>
              <w:bottom w:val="single" w:sz="4" w:space="0" w:color="auto"/>
              <w:right w:val="single" w:sz="4" w:space="0" w:color="auto"/>
            </w:tcBorders>
            <w:shd w:val="clear" w:color="auto" w:fill="auto"/>
            <w:noWrap/>
            <w:vAlign w:val="bottom"/>
          </w:tcPr>
          <w:p w14:paraId="2DAEE4D9"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32.054.276,35</w:t>
            </w:r>
          </w:p>
        </w:tc>
      </w:tr>
      <w:tr w:rsidR="004864FF" w:rsidRPr="00A81CB8" w14:paraId="6FA0C497" w14:textId="77777777" w:rsidTr="006B5A62">
        <w:trPr>
          <w:jc w:val="center"/>
        </w:trPr>
        <w:tc>
          <w:tcPr>
            <w:tcW w:w="1985" w:type="dxa"/>
            <w:vMerge/>
            <w:tcBorders>
              <w:top w:val="nil"/>
              <w:left w:val="single" w:sz="4" w:space="0" w:color="auto"/>
              <w:bottom w:val="single" w:sz="4" w:space="0" w:color="auto"/>
              <w:right w:val="single" w:sz="4" w:space="0" w:color="auto"/>
            </w:tcBorders>
            <w:vAlign w:val="center"/>
            <w:hideMark/>
          </w:tcPr>
          <w:p w14:paraId="4B440FCF"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0D1F4E85"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bottom"/>
          </w:tcPr>
          <w:p w14:paraId="05140163"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P_079</w:t>
            </w:r>
          </w:p>
        </w:tc>
        <w:tc>
          <w:tcPr>
            <w:tcW w:w="3969" w:type="dxa"/>
            <w:tcBorders>
              <w:top w:val="nil"/>
              <w:left w:val="nil"/>
              <w:bottom w:val="single" w:sz="4" w:space="0" w:color="auto"/>
              <w:right w:val="single" w:sz="4" w:space="0" w:color="auto"/>
            </w:tcBorders>
            <w:shd w:val="clear" w:color="auto" w:fill="auto"/>
            <w:noWrap/>
            <w:vAlign w:val="bottom"/>
          </w:tcPr>
          <w:p w14:paraId="6B85E7DD"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AES GENER</w:t>
            </w:r>
          </w:p>
        </w:tc>
        <w:tc>
          <w:tcPr>
            <w:tcW w:w="2154" w:type="dxa"/>
            <w:tcBorders>
              <w:top w:val="nil"/>
              <w:left w:val="nil"/>
              <w:bottom w:val="single" w:sz="4" w:space="0" w:color="auto"/>
              <w:right w:val="single" w:sz="4" w:space="0" w:color="auto"/>
            </w:tcBorders>
            <w:shd w:val="clear" w:color="auto" w:fill="auto"/>
            <w:noWrap/>
            <w:vAlign w:val="bottom"/>
          </w:tcPr>
          <w:p w14:paraId="0B1CEC45"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188,54</w:t>
            </w:r>
          </w:p>
        </w:tc>
      </w:tr>
      <w:tr w:rsidR="004864FF" w:rsidRPr="00A81CB8" w14:paraId="1DF5B7AD" w14:textId="77777777" w:rsidTr="006B5A62">
        <w:trPr>
          <w:jc w:val="center"/>
        </w:trPr>
        <w:tc>
          <w:tcPr>
            <w:tcW w:w="1985" w:type="dxa"/>
            <w:vMerge/>
            <w:tcBorders>
              <w:top w:val="nil"/>
              <w:left w:val="single" w:sz="4" w:space="0" w:color="auto"/>
              <w:bottom w:val="single" w:sz="4" w:space="0" w:color="auto"/>
              <w:right w:val="single" w:sz="4" w:space="0" w:color="auto"/>
            </w:tcBorders>
            <w:vAlign w:val="center"/>
            <w:hideMark/>
          </w:tcPr>
          <w:p w14:paraId="05A2D789"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53334DDA"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bottom"/>
          </w:tcPr>
          <w:p w14:paraId="723E8F0A"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P_111</w:t>
            </w:r>
          </w:p>
        </w:tc>
        <w:tc>
          <w:tcPr>
            <w:tcW w:w="3969" w:type="dxa"/>
            <w:tcBorders>
              <w:top w:val="nil"/>
              <w:left w:val="nil"/>
              <w:bottom w:val="single" w:sz="4" w:space="0" w:color="auto"/>
              <w:right w:val="single" w:sz="4" w:space="0" w:color="auto"/>
            </w:tcBorders>
            <w:shd w:val="clear" w:color="auto" w:fill="auto"/>
            <w:noWrap/>
            <w:vAlign w:val="bottom"/>
          </w:tcPr>
          <w:p w14:paraId="65027395"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ENEL DISTRIBUCION S.A.</w:t>
            </w:r>
          </w:p>
        </w:tc>
        <w:tc>
          <w:tcPr>
            <w:tcW w:w="2154" w:type="dxa"/>
            <w:tcBorders>
              <w:top w:val="nil"/>
              <w:left w:val="nil"/>
              <w:bottom w:val="single" w:sz="4" w:space="0" w:color="auto"/>
              <w:right w:val="single" w:sz="4" w:space="0" w:color="auto"/>
            </w:tcBorders>
            <w:shd w:val="clear" w:color="auto" w:fill="auto"/>
            <w:noWrap/>
            <w:vAlign w:val="bottom"/>
          </w:tcPr>
          <w:p w14:paraId="2A190C33"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1.065.956,89</w:t>
            </w:r>
          </w:p>
        </w:tc>
      </w:tr>
      <w:tr w:rsidR="004864FF" w:rsidRPr="00A81CB8" w14:paraId="1A9033EA" w14:textId="77777777" w:rsidTr="006B5A62">
        <w:trPr>
          <w:jc w:val="center"/>
        </w:trPr>
        <w:tc>
          <w:tcPr>
            <w:tcW w:w="1985" w:type="dxa"/>
            <w:vMerge/>
            <w:tcBorders>
              <w:top w:val="nil"/>
              <w:left w:val="single" w:sz="4" w:space="0" w:color="auto"/>
              <w:bottom w:val="single" w:sz="4" w:space="0" w:color="auto"/>
              <w:right w:val="single" w:sz="4" w:space="0" w:color="auto"/>
            </w:tcBorders>
            <w:vAlign w:val="center"/>
            <w:hideMark/>
          </w:tcPr>
          <w:p w14:paraId="769435B2"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2EDCE34E"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bottom"/>
          </w:tcPr>
          <w:p w14:paraId="6B08E18E"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P_244</w:t>
            </w:r>
          </w:p>
        </w:tc>
        <w:tc>
          <w:tcPr>
            <w:tcW w:w="3969" w:type="dxa"/>
            <w:tcBorders>
              <w:top w:val="nil"/>
              <w:left w:val="nil"/>
              <w:bottom w:val="single" w:sz="4" w:space="0" w:color="auto"/>
              <w:right w:val="single" w:sz="4" w:space="0" w:color="auto"/>
            </w:tcBorders>
            <w:shd w:val="clear" w:color="auto" w:fill="auto"/>
            <w:noWrap/>
            <w:vAlign w:val="bottom"/>
          </w:tcPr>
          <w:p w14:paraId="4EC1E398"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Colbún Transmisión</w:t>
            </w:r>
          </w:p>
        </w:tc>
        <w:tc>
          <w:tcPr>
            <w:tcW w:w="2154" w:type="dxa"/>
            <w:tcBorders>
              <w:top w:val="nil"/>
              <w:left w:val="nil"/>
              <w:bottom w:val="single" w:sz="4" w:space="0" w:color="auto"/>
              <w:right w:val="single" w:sz="4" w:space="0" w:color="auto"/>
            </w:tcBorders>
            <w:shd w:val="clear" w:color="auto" w:fill="auto"/>
            <w:noWrap/>
            <w:vAlign w:val="bottom"/>
          </w:tcPr>
          <w:p w14:paraId="7F452458"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17.440,79</w:t>
            </w:r>
          </w:p>
        </w:tc>
      </w:tr>
      <w:tr w:rsidR="004864FF" w:rsidRPr="00A81CB8" w14:paraId="0FD8F8EB"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292459B9"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SE-N_57</w:t>
            </w:r>
          </w:p>
        </w:tc>
        <w:tc>
          <w:tcPr>
            <w:tcW w:w="3969" w:type="dxa"/>
            <w:tcBorders>
              <w:top w:val="nil"/>
              <w:left w:val="nil"/>
              <w:bottom w:val="single" w:sz="4" w:space="0" w:color="auto"/>
              <w:right w:val="single" w:sz="4" w:space="0" w:color="auto"/>
            </w:tcBorders>
            <w:shd w:val="clear" w:color="auto" w:fill="auto"/>
            <w:vAlign w:val="center"/>
            <w:hideMark/>
          </w:tcPr>
          <w:p w14:paraId="7292CD25"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Pozo Almonte</w:t>
            </w:r>
          </w:p>
        </w:tc>
        <w:tc>
          <w:tcPr>
            <w:tcW w:w="1077" w:type="dxa"/>
            <w:tcBorders>
              <w:top w:val="nil"/>
              <w:left w:val="nil"/>
              <w:bottom w:val="single" w:sz="4" w:space="0" w:color="auto"/>
              <w:right w:val="single" w:sz="4" w:space="0" w:color="auto"/>
            </w:tcBorders>
            <w:shd w:val="clear" w:color="auto" w:fill="auto"/>
            <w:noWrap/>
            <w:vAlign w:val="bottom"/>
          </w:tcPr>
          <w:p w14:paraId="04D4F477"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P_164</w:t>
            </w:r>
          </w:p>
        </w:tc>
        <w:tc>
          <w:tcPr>
            <w:tcW w:w="3969" w:type="dxa"/>
            <w:tcBorders>
              <w:top w:val="nil"/>
              <w:left w:val="nil"/>
              <w:bottom w:val="single" w:sz="4" w:space="0" w:color="auto"/>
              <w:right w:val="single" w:sz="4" w:space="0" w:color="auto"/>
            </w:tcBorders>
            <w:shd w:val="clear" w:color="auto" w:fill="auto"/>
            <w:noWrap/>
            <w:vAlign w:val="bottom"/>
          </w:tcPr>
          <w:p w14:paraId="78B31B9F"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E-CL</w:t>
            </w:r>
          </w:p>
        </w:tc>
        <w:tc>
          <w:tcPr>
            <w:tcW w:w="2154" w:type="dxa"/>
            <w:tcBorders>
              <w:top w:val="nil"/>
              <w:left w:val="nil"/>
              <w:bottom w:val="single" w:sz="4" w:space="0" w:color="auto"/>
              <w:right w:val="single" w:sz="4" w:space="0" w:color="auto"/>
            </w:tcBorders>
            <w:shd w:val="clear" w:color="auto" w:fill="auto"/>
            <w:noWrap/>
            <w:vAlign w:val="bottom"/>
          </w:tcPr>
          <w:p w14:paraId="0A378AEA"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1.686.394,79</w:t>
            </w:r>
          </w:p>
        </w:tc>
      </w:tr>
      <w:tr w:rsidR="004864FF" w:rsidRPr="00A81CB8" w14:paraId="47A2F05A" w14:textId="77777777" w:rsidTr="006B5A62">
        <w:trPr>
          <w:jc w:val="center"/>
        </w:trPr>
        <w:tc>
          <w:tcPr>
            <w:tcW w:w="1985"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11D214E8"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SE-N_59</w:t>
            </w:r>
          </w:p>
        </w:tc>
        <w:tc>
          <w:tcPr>
            <w:tcW w:w="3969" w:type="dxa"/>
            <w:vMerge w:val="restart"/>
            <w:tcBorders>
              <w:top w:val="nil"/>
              <w:left w:val="single" w:sz="4" w:space="0" w:color="auto"/>
              <w:bottom w:val="single" w:sz="4" w:space="0" w:color="auto"/>
              <w:right w:val="single" w:sz="4" w:space="0" w:color="auto"/>
            </w:tcBorders>
            <w:shd w:val="clear" w:color="auto" w:fill="auto"/>
            <w:vAlign w:val="center"/>
            <w:hideMark/>
          </w:tcPr>
          <w:p w14:paraId="4378D156"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PUERTO MONTT</w:t>
            </w:r>
          </w:p>
        </w:tc>
        <w:tc>
          <w:tcPr>
            <w:tcW w:w="1077" w:type="dxa"/>
            <w:tcBorders>
              <w:top w:val="nil"/>
              <w:left w:val="nil"/>
              <w:bottom w:val="single" w:sz="4" w:space="0" w:color="auto"/>
              <w:right w:val="single" w:sz="4" w:space="0" w:color="auto"/>
            </w:tcBorders>
            <w:shd w:val="clear" w:color="auto" w:fill="auto"/>
            <w:noWrap/>
            <w:vAlign w:val="bottom"/>
          </w:tcPr>
          <w:p w14:paraId="0D03ADE8"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P_032</w:t>
            </w:r>
          </w:p>
        </w:tc>
        <w:tc>
          <w:tcPr>
            <w:tcW w:w="3969" w:type="dxa"/>
            <w:tcBorders>
              <w:top w:val="nil"/>
              <w:left w:val="nil"/>
              <w:bottom w:val="single" w:sz="4" w:space="0" w:color="auto"/>
              <w:right w:val="single" w:sz="4" w:space="0" w:color="auto"/>
            </w:tcBorders>
            <w:shd w:val="clear" w:color="auto" w:fill="auto"/>
            <w:noWrap/>
            <w:vAlign w:val="bottom"/>
          </w:tcPr>
          <w:p w14:paraId="613352B4"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TRANSELEC S.A.</w:t>
            </w:r>
          </w:p>
        </w:tc>
        <w:tc>
          <w:tcPr>
            <w:tcW w:w="2154" w:type="dxa"/>
            <w:tcBorders>
              <w:top w:val="nil"/>
              <w:left w:val="nil"/>
              <w:bottom w:val="single" w:sz="4" w:space="0" w:color="auto"/>
              <w:right w:val="single" w:sz="4" w:space="0" w:color="auto"/>
            </w:tcBorders>
            <w:shd w:val="clear" w:color="auto" w:fill="auto"/>
            <w:noWrap/>
            <w:vAlign w:val="bottom"/>
          </w:tcPr>
          <w:p w14:paraId="08F8B0CA"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7.946.481,09</w:t>
            </w:r>
          </w:p>
        </w:tc>
      </w:tr>
      <w:tr w:rsidR="004864FF" w:rsidRPr="00A81CB8" w14:paraId="6655952C" w14:textId="77777777" w:rsidTr="006B5A62">
        <w:trPr>
          <w:jc w:val="center"/>
        </w:trPr>
        <w:tc>
          <w:tcPr>
            <w:tcW w:w="1985" w:type="dxa"/>
            <w:vMerge/>
            <w:tcBorders>
              <w:top w:val="nil"/>
              <w:left w:val="single" w:sz="4" w:space="0" w:color="auto"/>
              <w:bottom w:val="single" w:sz="4" w:space="0" w:color="auto"/>
              <w:right w:val="single" w:sz="4" w:space="0" w:color="auto"/>
            </w:tcBorders>
            <w:vAlign w:val="center"/>
            <w:hideMark/>
          </w:tcPr>
          <w:p w14:paraId="50EB84A9"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764D2AAC"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bottom"/>
          </w:tcPr>
          <w:p w14:paraId="096AFC2D"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P_100</w:t>
            </w:r>
          </w:p>
        </w:tc>
        <w:tc>
          <w:tcPr>
            <w:tcW w:w="3969" w:type="dxa"/>
            <w:tcBorders>
              <w:top w:val="nil"/>
              <w:left w:val="nil"/>
              <w:bottom w:val="single" w:sz="4" w:space="0" w:color="auto"/>
              <w:right w:val="single" w:sz="4" w:space="0" w:color="auto"/>
            </w:tcBorders>
            <w:shd w:val="clear" w:color="auto" w:fill="auto"/>
            <w:noWrap/>
            <w:vAlign w:val="bottom"/>
          </w:tcPr>
          <w:p w14:paraId="68590F34"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STS</w:t>
            </w:r>
          </w:p>
        </w:tc>
        <w:tc>
          <w:tcPr>
            <w:tcW w:w="2154" w:type="dxa"/>
            <w:tcBorders>
              <w:top w:val="nil"/>
              <w:left w:val="nil"/>
              <w:bottom w:val="single" w:sz="4" w:space="0" w:color="auto"/>
              <w:right w:val="single" w:sz="4" w:space="0" w:color="auto"/>
            </w:tcBorders>
            <w:shd w:val="clear" w:color="auto" w:fill="auto"/>
            <w:noWrap/>
            <w:vAlign w:val="bottom"/>
          </w:tcPr>
          <w:p w14:paraId="3BA93B52"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194.383,70</w:t>
            </w:r>
          </w:p>
        </w:tc>
      </w:tr>
      <w:tr w:rsidR="004864FF" w:rsidRPr="00A81CB8" w14:paraId="0703FF6D"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7C48B7C2"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SE-N_60</w:t>
            </w:r>
          </w:p>
        </w:tc>
        <w:tc>
          <w:tcPr>
            <w:tcW w:w="3969" w:type="dxa"/>
            <w:tcBorders>
              <w:top w:val="nil"/>
              <w:left w:val="nil"/>
              <w:bottom w:val="single" w:sz="4" w:space="0" w:color="auto"/>
              <w:right w:val="single" w:sz="4" w:space="0" w:color="auto"/>
            </w:tcBorders>
            <w:shd w:val="clear" w:color="auto" w:fill="auto"/>
            <w:vAlign w:val="center"/>
            <w:hideMark/>
          </w:tcPr>
          <w:p w14:paraId="0CBE9A92"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PUNTA COLORADA</w:t>
            </w:r>
          </w:p>
        </w:tc>
        <w:tc>
          <w:tcPr>
            <w:tcW w:w="1077" w:type="dxa"/>
            <w:tcBorders>
              <w:top w:val="nil"/>
              <w:left w:val="nil"/>
              <w:bottom w:val="single" w:sz="4" w:space="0" w:color="auto"/>
              <w:right w:val="single" w:sz="4" w:space="0" w:color="auto"/>
            </w:tcBorders>
            <w:shd w:val="clear" w:color="auto" w:fill="auto"/>
            <w:noWrap/>
            <w:vAlign w:val="bottom"/>
          </w:tcPr>
          <w:p w14:paraId="073C87B8"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P_032</w:t>
            </w:r>
          </w:p>
        </w:tc>
        <w:tc>
          <w:tcPr>
            <w:tcW w:w="3969" w:type="dxa"/>
            <w:tcBorders>
              <w:top w:val="nil"/>
              <w:left w:val="nil"/>
              <w:bottom w:val="single" w:sz="4" w:space="0" w:color="auto"/>
              <w:right w:val="single" w:sz="4" w:space="0" w:color="auto"/>
            </w:tcBorders>
            <w:shd w:val="clear" w:color="auto" w:fill="auto"/>
            <w:noWrap/>
            <w:vAlign w:val="bottom"/>
          </w:tcPr>
          <w:p w14:paraId="382F458E"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TRANSELEC S.A.</w:t>
            </w:r>
          </w:p>
        </w:tc>
        <w:tc>
          <w:tcPr>
            <w:tcW w:w="2154" w:type="dxa"/>
            <w:tcBorders>
              <w:top w:val="nil"/>
              <w:left w:val="nil"/>
              <w:bottom w:val="single" w:sz="4" w:space="0" w:color="auto"/>
              <w:right w:val="single" w:sz="4" w:space="0" w:color="auto"/>
            </w:tcBorders>
            <w:shd w:val="clear" w:color="auto" w:fill="auto"/>
            <w:noWrap/>
            <w:vAlign w:val="bottom"/>
          </w:tcPr>
          <w:p w14:paraId="088C3CC5"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1.733.527,01</w:t>
            </w:r>
          </w:p>
        </w:tc>
      </w:tr>
      <w:tr w:rsidR="004864FF" w:rsidRPr="00A81CB8" w14:paraId="613994A0"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3F6AB25E"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SE-N_62</w:t>
            </w:r>
          </w:p>
        </w:tc>
        <w:tc>
          <w:tcPr>
            <w:tcW w:w="3969" w:type="dxa"/>
            <w:tcBorders>
              <w:top w:val="nil"/>
              <w:left w:val="nil"/>
              <w:bottom w:val="single" w:sz="4" w:space="0" w:color="auto"/>
              <w:right w:val="single" w:sz="4" w:space="0" w:color="auto"/>
            </w:tcBorders>
            <w:shd w:val="clear" w:color="auto" w:fill="auto"/>
            <w:vAlign w:val="center"/>
            <w:hideMark/>
          </w:tcPr>
          <w:p w14:paraId="7B499BB5"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CENTRAL QUILAPILUN</w:t>
            </w:r>
          </w:p>
        </w:tc>
        <w:tc>
          <w:tcPr>
            <w:tcW w:w="1077" w:type="dxa"/>
            <w:tcBorders>
              <w:top w:val="nil"/>
              <w:left w:val="nil"/>
              <w:bottom w:val="single" w:sz="4" w:space="0" w:color="auto"/>
              <w:right w:val="single" w:sz="4" w:space="0" w:color="auto"/>
            </w:tcBorders>
            <w:shd w:val="clear" w:color="auto" w:fill="auto"/>
            <w:noWrap/>
            <w:vAlign w:val="bottom"/>
          </w:tcPr>
          <w:p w14:paraId="51E76D9B"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P_235</w:t>
            </w:r>
          </w:p>
        </w:tc>
        <w:tc>
          <w:tcPr>
            <w:tcW w:w="3969" w:type="dxa"/>
            <w:tcBorders>
              <w:top w:val="nil"/>
              <w:left w:val="nil"/>
              <w:bottom w:val="single" w:sz="4" w:space="0" w:color="auto"/>
              <w:right w:val="single" w:sz="4" w:space="0" w:color="auto"/>
            </w:tcBorders>
            <w:shd w:val="clear" w:color="auto" w:fill="auto"/>
            <w:noWrap/>
            <w:vAlign w:val="bottom"/>
          </w:tcPr>
          <w:p w14:paraId="3664C114"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Chungungo</w:t>
            </w:r>
          </w:p>
        </w:tc>
        <w:tc>
          <w:tcPr>
            <w:tcW w:w="2154" w:type="dxa"/>
            <w:tcBorders>
              <w:top w:val="nil"/>
              <w:left w:val="nil"/>
              <w:bottom w:val="single" w:sz="4" w:space="0" w:color="auto"/>
              <w:right w:val="single" w:sz="4" w:space="0" w:color="auto"/>
            </w:tcBorders>
            <w:shd w:val="clear" w:color="auto" w:fill="auto"/>
            <w:noWrap/>
            <w:vAlign w:val="bottom"/>
          </w:tcPr>
          <w:p w14:paraId="524FFA13"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17.926,77</w:t>
            </w:r>
          </w:p>
        </w:tc>
      </w:tr>
      <w:tr w:rsidR="004864FF" w:rsidRPr="00A81CB8" w14:paraId="357CCFC0"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7907A346"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SE-N_63</w:t>
            </w:r>
          </w:p>
        </w:tc>
        <w:tc>
          <w:tcPr>
            <w:tcW w:w="3969" w:type="dxa"/>
            <w:tcBorders>
              <w:top w:val="nil"/>
              <w:left w:val="nil"/>
              <w:bottom w:val="single" w:sz="4" w:space="0" w:color="auto"/>
              <w:right w:val="single" w:sz="4" w:space="0" w:color="auto"/>
            </w:tcBorders>
            <w:shd w:val="clear" w:color="auto" w:fill="auto"/>
            <w:vAlign w:val="center"/>
            <w:hideMark/>
          </w:tcPr>
          <w:p w14:paraId="350FBCE0"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TAP OFF QUILLAGUA</w:t>
            </w:r>
          </w:p>
        </w:tc>
        <w:tc>
          <w:tcPr>
            <w:tcW w:w="1077" w:type="dxa"/>
            <w:tcBorders>
              <w:top w:val="nil"/>
              <w:left w:val="nil"/>
              <w:bottom w:val="single" w:sz="4" w:space="0" w:color="auto"/>
              <w:right w:val="single" w:sz="4" w:space="0" w:color="auto"/>
            </w:tcBorders>
            <w:shd w:val="clear" w:color="auto" w:fill="auto"/>
            <w:noWrap/>
            <w:vAlign w:val="bottom"/>
          </w:tcPr>
          <w:p w14:paraId="37CDAE60"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P_537</w:t>
            </w:r>
          </w:p>
        </w:tc>
        <w:tc>
          <w:tcPr>
            <w:tcW w:w="3969" w:type="dxa"/>
            <w:tcBorders>
              <w:top w:val="nil"/>
              <w:left w:val="nil"/>
              <w:bottom w:val="single" w:sz="4" w:space="0" w:color="auto"/>
              <w:right w:val="single" w:sz="4" w:space="0" w:color="auto"/>
            </w:tcBorders>
            <w:shd w:val="clear" w:color="auto" w:fill="auto"/>
            <w:noWrap/>
            <w:vAlign w:val="bottom"/>
          </w:tcPr>
          <w:p w14:paraId="68A759E9"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PARQUE QUILLAGUA</w:t>
            </w:r>
          </w:p>
        </w:tc>
        <w:tc>
          <w:tcPr>
            <w:tcW w:w="2154" w:type="dxa"/>
            <w:tcBorders>
              <w:top w:val="nil"/>
              <w:left w:val="nil"/>
              <w:bottom w:val="single" w:sz="4" w:space="0" w:color="auto"/>
              <w:right w:val="single" w:sz="4" w:space="0" w:color="auto"/>
            </w:tcBorders>
            <w:shd w:val="clear" w:color="auto" w:fill="auto"/>
            <w:noWrap/>
            <w:vAlign w:val="bottom"/>
          </w:tcPr>
          <w:p w14:paraId="773132F5"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4.796,25</w:t>
            </w:r>
          </w:p>
        </w:tc>
      </w:tr>
      <w:tr w:rsidR="004864FF" w:rsidRPr="00A81CB8" w14:paraId="12A63270" w14:textId="77777777" w:rsidTr="006B5A62">
        <w:trPr>
          <w:jc w:val="center"/>
        </w:trPr>
        <w:tc>
          <w:tcPr>
            <w:tcW w:w="1985"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103ABE10"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SE-N_64</w:t>
            </w:r>
          </w:p>
        </w:tc>
        <w:tc>
          <w:tcPr>
            <w:tcW w:w="3969" w:type="dxa"/>
            <w:vMerge w:val="restart"/>
            <w:tcBorders>
              <w:top w:val="nil"/>
              <w:left w:val="single" w:sz="4" w:space="0" w:color="auto"/>
              <w:bottom w:val="single" w:sz="4" w:space="0" w:color="auto"/>
              <w:right w:val="single" w:sz="4" w:space="0" w:color="auto"/>
            </w:tcBorders>
            <w:shd w:val="clear" w:color="auto" w:fill="auto"/>
            <w:vAlign w:val="center"/>
            <w:hideMark/>
          </w:tcPr>
          <w:p w14:paraId="389A1FF7"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QUILLOTA</w:t>
            </w:r>
          </w:p>
        </w:tc>
        <w:tc>
          <w:tcPr>
            <w:tcW w:w="1077" w:type="dxa"/>
            <w:tcBorders>
              <w:top w:val="nil"/>
              <w:left w:val="nil"/>
              <w:bottom w:val="single" w:sz="4" w:space="0" w:color="auto"/>
              <w:right w:val="single" w:sz="4" w:space="0" w:color="auto"/>
            </w:tcBorders>
            <w:shd w:val="clear" w:color="auto" w:fill="auto"/>
            <w:noWrap/>
            <w:vAlign w:val="bottom"/>
          </w:tcPr>
          <w:p w14:paraId="0BC90A65"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P_032</w:t>
            </w:r>
          </w:p>
        </w:tc>
        <w:tc>
          <w:tcPr>
            <w:tcW w:w="3969" w:type="dxa"/>
            <w:tcBorders>
              <w:top w:val="nil"/>
              <w:left w:val="nil"/>
              <w:bottom w:val="single" w:sz="4" w:space="0" w:color="auto"/>
              <w:right w:val="single" w:sz="4" w:space="0" w:color="auto"/>
            </w:tcBorders>
            <w:shd w:val="clear" w:color="auto" w:fill="auto"/>
            <w:noWrap/>
            <w:vAlign w:val="bottom"/>
          </w:tcPr>
          <w:p w14:paraId="3AA078FE"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TRANSELEC S.A.</w:t>
            </w:r>
          </w:p>
        </w:tc>
        <w:tc>
          <w:tcPr>
            <w:tcW w:w="2154" w:type="dxa"/>
            <w:tcBorders>
              <w:top w:val="nil"/>
              <w:left w:val="nil"/>
              <w:bottom w:val="single" w:sz="4" w:space="0" w:color="auto"/>
              <w:right w:val="single" w:sz="4" w:space="0" w:color="auto"/>
            </w:tcBorders>
            <w:shd w:val="clear" w:color="auto" w:fill="auto"/>
            <w:noWrap/>
            <w:vAlign w:val="bottom"/>
          </w:tcPr>
          <w:p w14:paraId="394E79DF"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2.949.700,04</w:t>
            </w:r>
          </w:p>
        </w:tc>
      </w:tr>
      <w:tr w:rsidR="004864FF" w:rsidRPr="00A81CB8" w14:paraId="2891E923" w14:textId="77777777" w:rsidTr="006B5A62">
        <w:trPr>
          <w:jc w:val="center"/>
        </w:trPr>
        <w:tc>
          <w:tcPr>
            <w:tcW w:w="1985" w:type="dxa"/>
            <w:vMerge/>
            <w:tcBorders>
              <w:top w:val="nil"/>
              <w:left w:val="single" w:sz="4" w:space="0" w:color="auto"/>
              <w:bottom w:val="single" w:sz="4" w:space="0" w:color="auto"/>
              <w:right w:val="single" w:sz="4" w:space="0" w:color="auto"/>
            </w:tcBorders>
            <w:vAlign w:val="center"/>
            <w:hideMark/>
          </w:tcPr>
          <w:p w14:paraId="0CE99EAD"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7978F7DC"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bottom"/>
          </w:tcPr>
          <w:p w14:paraId="30C9A8C9"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P_079</w:t>
            </w:r>
          </w:p>
        </w:tc>
        <w:tc>
          <w:tcPr>
            <w:tcW w:w="3969" w:type="dxa"/>
            <w:tcBorders>
              <w:top w:val="nil"/>
              <w:left w:val="nil"/>
              <w:bottom w:val="single" w:sz="4" w:space="0" w:color="auto"/>
              <w:right w:val="single" w:sz="4" w:space="0" w:color="auto"/>
            </w:tcBorders>
            <w:shd w:val="clear" w:color="auto" w:fill="auto"/>
            <w:noWrap/>
            <w:vAlign w:val="bottom"/>
          </w:tcPr>
          <w:p w14:paraId="435CF638"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AES GENER</w:t>
            </w:r>
          </w:p>
        </w:tc>
        <w:tc>
          <w:tcPr>
            <w:tcW w:w="2154" w:type="dxa"/>
            <w:tcBorders>
              <w:top w:val="nil"/>
              <w:left w:val="nil"/>
              <w:bottom w:val="single" w:sz="4" w:space="0" w:color="auto"/>
              <w:right w:val="single" w:sz="4" w:space="0" w:color="auto"/>
            </w:tcBorders>
            <w:shd w:val="clear" w:color="auto" w:fill="auto"/>
            <w:noWrap/>
            <w:vAlign w:val="bottom"/>
          </w:tcPr>
          <w:p w14:paraId="605E9BF5"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35.752,58</w:t>
            </w:r>
          </w:p>
        </w:tc>
      </w:tr>
      <w:tr w:rsidR="004864FF" w:rsidRPr="00A81CB8" w14:paraId="507065A5" w14:textId="77777777" w:rsidTr="006B5A62">
        <w:trPr>
          <w:jc w:val="center"/>
        </w:trPr>
        <w:tc>
          <w:tcPr>
            <w:tcW w:w="1985" w:type="dxa"/>
            <w:vMerge/>
            <w:tcBorders>
              <w:top w:val="nil"/>
              <w:left w:val="single" w:sz="4" w:space="0" w:color="auto"/>
              <w:bottom w:val="single" w:sz="4" w:space="0" w:color="auto"/>
              <w:right w:val="single" w:sz="4" w:space="0" w:color="auto"/>
            </w:tcBorders>
            <w:vAlign w:val="center"/>
            <w:hideMark/>
          </w:tcPr>
          <w:p w14:paraId="00A9A31C"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06E30FEA"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bottom"/>
          </w:tcPr>
          <w:p w14:paraId="4FE633F6"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P_083</w:t>
            </w:r>
          </w:p>
        </w:tc>
        <w:tc>
          <w:tcPr>
            <w:tcW w:w="3969" w:type="dxa"/>
            <w:tcBorders>
              <w:top w:val="nil"/>
              <w:left w:val="nil"/>
              <w:bottom w:val="single" w:sz="4" w:space="0" w:color="auto"/>
              <w:right w:val="single" w:sz="4" w:space="0" w:color="auto"/>
            </w:tcBorders>
            <w:shd w:val="clear" w:color="auto" w:fill="auto"/>
            <w:noWrap/>
            <w:vAlign w:val="bottom"/>
          </w:tcPr>
          <w:p w14:paraId="4D64534C"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CGE</w:t>
            </w:r>
          </w:p>
        </w:tc>
        <w:tc>
          <w:tcPr>
            <w:tcW w:w="2154" w:type="dxa"/>
            <w:tcBorders>
              <w:top w:val="nil"/>
              <w:left w:val="nil"/>
              <w:bottom w:val="single" w:sz="4" w:space="0" w:color="auto"/>
              <w:right w:val="single" w:sz="4" w:space="0" w:color="auto"/>
            </w:tcBorders>
            <w:shd w:val="clear" w:color="auto" w:fill="auto"/>
            <w:noWrap/>
            <w:vAlign w:val="bottom"/>
          </w:tcPr>
          <w:p w14:paraId="1CDC748F"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113.334,34</w:t>
            </w:r>
          </w:p>
        </w:tc>
      </w:tr>
      <w:tr w:rsidR="004864FF" w:rsidRPr="00A81CB8" w14:paraId="1A553D8E" w14:textId="77777777" w:rsidTr="006B5A62">
        <w:trPr>
          <w:jc w:val="center"/>
        </w:trPr>
        <w:tc>
          <w:tcPr>
            <w:tcW w:w="1985"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02F840AA"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SE-N_65</w:t>
            </w:r>
          </w:p>
        </w:tc>
        <w:tc>
          <w:tcPr>
            <w:tcW w:w="3969" w:type="dxa"/>
            <w:vMerge w:val="restart"/>
            <w:tcBorders>
              <w:top w:val="nil"/>
              <w:left w:val="single" w:sz="4" w:space="0" w:color="auto"/>
              <w:bottom w:val="single" w:sz="4" w:space="0" w:color="auto"/>
              <w:right w:val="single" w:sz="4" w:space="0" w:color="auto"/>
            </w:tcBorders>
            <w:shd w:val="clear" w:color="auto" w:fill="auto"/>
            <w:vAlign w:val="center"/>
            <w:hideMark/>
          </w:tcPr>
          <w:p w14:paraId="08D56572"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RAHUE</w:t>
            </w:r>
          </w:p>
        </w:tc>
        <w:tc>
          <w:tcPr>
            <w:tcW w:w="1077" w:type="dxa"/>
            <w:tcBorders>
              <w:top w:val="nil"/>
              <w:left w:val="nil"/>
              <w:bottom w:val="single" w:sz="4" w:space="0" w:color="auto"/>
              <w:right w:val="single" w:sz="4" w:space="0" w:color="auto"/>
            </w:tcBorders>
            <w:shd w:val="clear" w:color="auto" w:fill="auto"/>
            <w:noWrap/>
            <w:vAlign w:val="bottom"/>
          </w:tcPr>
          <w:p w14:paraId="7DA175EB"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P_032</w:t>
            </w:r>
          </w:p>
        </w:tc>
        <w:tc>
          <w:tcPr>
            <w:tcW w:w="3969" w:type="dxa"/>
            <w:tcBorders>
              <w:top w:val="nil"/>
              <w:left w:val="nil"/>
              <w:bottom w:val="single" w:sz="4" w:space="0" w:color="auto"/>
              <w:right w:val="single" w:sz="4" w:space="0" w:color="auto"/>
            </w:tcBorders>
            <w:shd w:val="clear" w:color="auto" w:fill="auto"/>
            <w:noWrap/>
            <w:vAlign w:val="bottom"/>
          </w:tcPr>
          <w:p w14:paraId="3635AF59"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TRANSELEC S.A.</w:t>
            </w:r>
          </w:p>
        </w:tc>
        <w:tc>
          <w:tcPr>
            <w:tcW w:w="2154" w:type="dxa"/>
            <w:tcBorders>
              <w:top w:val="nil"/>
              <w:left w:val="nil"/>
              <w:bottom w:val="single" w:sz="4" w:space="0" w:color="auto"/>
              <w:right w:val="single" w:sz="4" w:space="0" w:color="auto"/>
            </w:tcBorders>
            <w:shd w:val="clear" w:color="auto" w:fill="auto"/>
            <w:noWrap/>
            <w:vAlign w:val="bottom"/>
          </w:tcPr>
          <w:p w14:paraId="4494C4F8"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1.988.589,60</w:t>
            </w:r>
          </w:p>
        </w:tc>
      </w:tr>
      <w:tr w:rsidR="004864FF" w:rsidRPr="00A81CB8" w14:paraId="0DD6FA2C" w14:textId="77777777" w:rsidTr="006B5A62">
        <w:trPr>
          <w:jc w:val="center"/>
        </w:trPr>
        <w:tc>
          <w:tcPr>
            <w:tcW w:w="1985" w:type="dxa"/>
            <w:vMerge/>
            <w:tcBorders>
              <w:top w:val="nil"/>
              <w:left w:val="single" w:sz="4" w:space="0" w:color="auto"/>
              <w:bottom w:val="single" w:sz="4" w:space="0" w:color="auto"/>
              <w:right w:val="single" w:sz="4" w:space="0" w:color="auto"/>
            </w:tcBorders>
            <w:vAlign w:val="center"/>
            <w:hideMark/>
          </w:tcPr>
          <w:p w14:paraId="532733CC"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21FAF054"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bottom"/>
          </w:tcPr>
          <w:p w14:paraId="32E28A7A"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P_100</w:t>
            </w:r>
          </w:p>
        </w:tc>
        <w:tc>
          <w:tcPr>
            <w:tcW w:w="3969" w:type="dxa"/>
            <w:tcBorders>
              <w:top w:val="nil"/>
              <w:left w:val="nil"/>
              <w:bottom w:val="single" w:sz="4" w:space="0" w:color="auto"/>
              <w:right w:val="single" w:sz="4" w:space="0" w:color="auto"/>
            </w:tcBorders>
            <w:shd w:val="clear" w:color="auto" w:fill="auto"/>
            <w:noWrap/>
            <w:vAlign w:val="bottom"/>
          </w:tcPr>
          <w:p w14:paraId="37E73A7F"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STS</w:t>
            </w:r>
          </w:p>
        </w:tc>
        <w:tc>
          <w:tcPr>
            <w:tcW w:w="2154" w:type="dxa"/>
            <w:tcBorders>
              <w:top w:val="nil"/>
              <w:left w:val="nil"/>
              <w:bottom w:val="single" w:sz="4" w:space="0" w:color="auto"/>
              <w:right w:val="single" w:sz="4" w:space="0" w:color="auto"/>
            </w:tcBorders>
            <w:shd w:val="clear" w:color="auto" w:fill="auto"/>
            <w:noWrap/>
            <w:vAlign w:val="bottom"/>
          </w:tcPr>
          <w:p w14:paraId="3CBBDB40"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4.062,66</w:t>
            </w:r>
          </w:p>
        </w:tc>
      </w:tr>
      <w:tr w:rsidR="004864FF" w:rsidRPr="00A81CB8" w14:paraId="08B6D82F" w14:textId="77777777" w:rsidTr="006B5A62">
        <w:trPr>
          <w:jc w:val="center"/>
        </w:trPr>
        <w:tc>
          <w:tcPr>
            <w:tcW w:w="1985"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0B482E3F"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SE-N_66</w:t>
            </w:r>
          </w:p>
        </w:tc>
        <w:tc>
          <w:tcPr>
            <w:tcW w:w="3969" w:type="dxa"/>
            <w:vMerge w:val="restart"/>
            <w:tcBorders>
              <w:top w:val="nil"/>
              <w:left w:val="single" w:sz="4" w:space="0" w:color="auto"/>
              <w:bottom w:val="single" w:sz="4" w:space="0" w:color="auto"/>
              <w:right w:val="single" w:sz="4" w:space="0" w:color="auto"/>
            </w:tcBorders>
            <w:shd w:val="clear" w:color="auto" w:fill="auto"/>
            <w:vAlign w:val="center"/>
            <w:hideMark/>
          </w:tcPr>
          <w:p w14:paraId="6B22EC91"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RAPEL</w:t>
            </w:r>
          </w:p>
        </w:tc>
        <w:tc>
          <w:tcPr>
            <w:tcW w:w="1077" w:type="dxa"/>
            <w:tcBorders>
              <w:top w:val="nil"/>
              <w:left w:val="nil"/>
              <w:bottom w:val="single" w:sz="4" w:space="0" w:color="auto"/>
              <w:right w:val="single" w:sz="4" w:space="0" w:color="auto"/>
            </w:tcBorders>
            <w:shd w:val="clear" w:color="auto" w:fill="auto"/>
            <w:noWrap/>
            <w:vAlign w:val="bottom"/>
          </w:tcPr>
          <w:p w14:paraId="35DA7408"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P_032</w:t>
            </w:r>
          </w:p>
        </w:tc>
        <w:tc>
          <w:tcPr>
            <w:tcW w:w="3969" w:type="dxa"/>
            <w:tcBorders>
              <w:top w:val="nil"/>
              <w:left w:val="nil"/>
              <w:bottom w:val="single" w:sz="4" w:space="0" w:color="auto"/>
              <w:right w:val="single" w:sz="4" w:space="0" w:color="auto"/>
            </w:tcBorders>
            <w:shd w:val="clear" w:color="auto" w:fill="auto"/>
            <w:noWrap/>
            <w:vAlign w:val="bottom"/>
          </w:tcPr>
          <w:p w14:paraId="18A22C67"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TRANSELEC S.A.</w:t>
            </w:r>
          </w:p>
        </w:tc>
        <w:tc>
          <w:tcPr>
            <w:tcW w:w="2154" w:type="dxa"/>
            <w:tcBorders>
              <w:top w:val="nil"/>
              <w:left w:val="nil"/>
              <w:bottom w:val="single" w:sz="4" w:space="0" w:color="auto"/>
              <w:right w:val="single" w:sz="4" w:space="0" w:color="auto"/>
            </w:tcBorders>
            <w:shd w:val="clear" w:color="auto" w:fill="auto"/>
            <w:noWrap/>
            <w:vAlign w:val="bottom"/>
          </w:tcPr>
          <w:p w14:paraId="208E2890"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1.884.412,46</w:t>
            </w:r>
          </w:p>
        </w:tc>
      </w:tr>
      <w:tr w:rsidR="004864FF" w:rsidRPr="00A81CB8" w14:paraId="53878FCF" w14:textId="77777777" w:rsidTr="006B5A62">
        <w:trPr>
          <w:jc w:val="center"/>
        </w:trPr>
        <w:tc>
          <w:tcPr>
            <w:tcW w:w="1985" w:type="dxa"/>
            <w:vMerge/>
            <w:tcBorders>
              <w:top w:val="nil"/>
              <w:left w:val="single" w:sz="4" w:space="0" w:color="auto"/>
              <w:bottom w:val="single" w:sz="4" w:space="0" w:color="auto"/>
              <w:right w:val="single" w:sz="4" w:space="0" w:color="auto"/>
            </w:tcBorders>
            <w:vAlign w:val="center"/>
            <w:hideMark/>
          </w:tcPr>
          <w:p w14:paraId="69903B91"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5D4A283A"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bottom"/>
          </w:tcPr>
          <w:p w14:paraId="00F63142"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P_083</w:t>
            </w:r>
          </w:p>
        </w:tc>
        <w:tc>
          <w:tcPr>
            <w:tcW w:w="3969" w:type="dxa"/>
            <w:tcBorders>
              <w:top w:val="nil"/>
              <w:left w:val="nil"/>
              <w:bottom w:val="single" w:sz="4" w:space="0" w:color="auto"/>
              <w:right w:val="single" w:sz="4" w:space="0" w:color="auto"/>
            </w:tcBorders>
            <w:shd w:val="clear" w:color="auto" w:fill="auto"/>
            <w:noWrap/>
            <w:vAlign w:val="bottom"/>
          </w:tcPr>
          <w:p w14:paraId="7FCC71F0"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CGE</w:t>
            </w:r>
          </w:p>
        </w:tc>
        <w:tc>
          <w:tcPr>
            <w:tcW w:w="2154" w:type="dxa"/>
            <w:tcBorders>
              <w:top w:val="nil"/>
              <w:left w:val="nil"/>
              <w:bottom w:val="single" w:sz="4" w:space="0" w:color="auto"/>
              <w:right w:val="single" w:sz="4" w:space="0" w:color="auto"/>
            </w:tcBorders>
            <w:shd w:val="clear" w:color="auto" w:fill="auto"/>
            <w:noWrap/>
            <w:vAlign w:val="bottom"/>
          </w:tcPr>
          <w:p w14:paraId="613BF089"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551.403,03</w:t>
            </w:r>
          </w:p>
        </w:tc>
      </w:tr>
      <w:tr w:rsidR="004864FF" w:rsidRPr="00A81CB8" w14:paraId="6678FCC5" w14:textId="77777777" w:rsidTr="006B5A62">
        <w:trPr>
          <w:jc w:val="center"/>
        </w:trPr>
        <w:tc>
          <w:tcPr>
            <w:tcW w:w="1985" w:type="dxa"/>
            <w:vMerge/>
            <w:tcBorders>
              <w:top w:val="nil"/>
              <w:left w:val="single" w:sz="4" w:space="0" w:color="auto"/>
              <w:bottom w:val="single" w:sz="4" w:space="0" w:color="auto"/>
              <w:right w:val="single" w:sz="4" w:space="0" w:color="auto"/>
            </w:tcBorders>
            <w:vAlign w:val="center"/>
            <w:hideMark/>
          </w:tcPr>
          <w:p w14:paraId="12A4E273"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5A901EFB"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bottom"/>
          </w:tcPr>
          <w:p w14:paraId="66016EC7"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P_315</w:t>
            </w:r>
          </w:p>
        </w:tc>
        <w:tc>
          <w:tcPr>
            <w:tcW w:w="3969" w:type="dxa"/>
            <w:tcBorders>
              <w:top w:val="nil"/>
              <w:left w:val="nil"/>
              <w:bottom w:val="single" w:sz="4" w:space="0" w:color="auto"/>
              <w:right w:val="single" w:sz="4" w:space="0" w:color="auto"/>
            </w:tcBorders>
            <w:shd w:val="clear" w:color="auto" w:fill="auto"/>
            <w:noWrap/>
            <w:vAlign w:val="bottom"/>
          </w:tcPr>
          <w:p w14:paraId="6003C233"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Enel Generacion</w:t>
            </w:r>
          </w:p>
        </w:tc>
        <w:tc>
          <w:tcPr>
            <w:tcW w:w="2154" w:type="dxa"/>
            <w:tcBorders>
              <w:top w:val="nil"/>
              <w:left w:val="nil"/>
              <w:bottom w:val="single" w:sz="4" w:space="0" w:color="auto"/>
              <w:right w:val="single" w:sz="4" w:space="0" w:color="auto"/>
            </w:tcBorders>
            <w:shd w:val="clear" w:color="auto" w:fill="auto"/>
            <w:noWrap/>
            <w:vAlign w:val="bottom"/>
          </w:tcPr>
          <w:p w14:paraId="0B3E0CAD"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58,85</w:t>
            </w:r>
          </w:p>
        </w:tc>
      </w:tr>
      <w:tr w:rsidR="004864FF" w:rsidRPr="00A81CB8" w14:paraId="18429D48" w14:textId="77777777" w:rsidTr="006B5A62">
        <w:trPr>
          <w:jc w:val="center"/>
        </w:trPr>
        <w:tc>
          <w:tcPr>
            <w:tcW w:w="1985"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A860D0C"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lastRenderedPageBreak/>
              <w:t>SE-N_67</w:t>
            </w:r>
          </w:p>
        </w:tc>
        <w:tc>
          <w:tcPr>
            <w:tcW w:w="3969" w:type="dxa"/>
            <w:vMerge w:val="restart"/>
            <w:tcBorders>
              <w:top w:val="nil"/>
              <w:left w:val="single" w:sz="4" w:space="0" w:color="auto"/>
              <w:bottom w:val="single" w:sz="4" w:space="0" w:color="auto"/>
              <w:right w:val="single" w:sz="4" w:space="0" w:color="auto"/>
            </w:tcBorders>
            <w:shd w:val="clear" w:color="auto" w:fill="auto"/>
            <w:vAlign w:val="center"/>
            <w:hideMark/>
          </w:tcPr>
          <w:p w14:paraId="13AF6C64"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SAN ANDRES</w:t>
            </w:r>
          </w:p>
        </w:tc>
        <w:tc>
          <w:tcPr>
            <w:tcW w:w="1077" w:type="dxa"/>
            <w:tcBorders>
              <w:top w:val="nil"/>
              <w:left w:val="nil"/>
              <w:bottom w:val="single" w:sz="4" w:space="0" w:color="auto"/>
              <w:right w:val="single" w:sz="4" w:space="0" w:color="auto"/>
            </w:tcBorders>
            <w:shd w:val="clear" w:color="auto" w:fill="auto"/>
            <w:noWrap/>
            <w:vAlign w:val="bottom"/>
          </w:tcPr>
          <w:p w14:paraId="4BDDE270"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P_032</w:t>
            </w:r>
          </w:p>
        </w:tc>
        <w:tc>
          <w:tcPr>
            <w:tcW w:w="3969" w:type="dxa"/>
            <w:tcBorders>
              <w:top w:val="nil"/>
              <w:left w:val="nil"/>
              <w:bottom w:val="single" w:sz="4" w:space="0" w:color="auto"/>
              <w:right w:val="single" w:sz="4" w:space="0" w:color="auto"/>
            </w:tcBorders>
            <w:shd w:val="clear" w:color="auto" w:fill="auto"/>
            <w:noWrap/>
            <w:vAlign w:val="bottom"/>
          </w:tcPr>
          <w:p w14:paraId="1A44BFAD"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TRANSELEC S.A.</w:t>
            </w:r>
          </w:p>
        </w:tc>
        <w:tc>
          <w:tcPr>
            <w:tcW w:w="2154" w:type="dxa"/>
            <w:tcBorders>
              <w:top w:val="nil"/>
              <w:left w:val="nil"/>
              <w:bottom w:val="single" w:sz="4" w:space="0" w:color="auto"/>
              <w:right w:val="single" w:sz="4" w:space="0" w:color="auto"/>
            </w:tcBorders>
            <w:shd w:val="clear" w:color="auto" w:fill="auto"/>
            <w:noWrap/>
            <w:vAlign w:val="bottom"/>
          </w:tcPr>
          <w:p w14:paraId="5A7A1348"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3.034,82</w:t>
            </w:r>
          </w:p>
        </w:tc>
      </w:tr>
      <w:tr w:rsidR="004864FF" w:rsidRPr="00A81CB8" w14:paraId="5586D0B5" w14:textId="77777777" w:rsidTr="006B5A62">
        <w:trPr>
          <w:jc w:val="center"/>
        </w:trPr>
        <w:tc>
          <w:tcPr>
            <w:tcW w:w="1985" w:type="dxa"/>
            <w:vMerge/>
            <w:tcBorders>
              <w:top w:val="nil"/>
              <w:left w:val="single" w:sz="4" w:space="0" w:color="auto"/>
              <w:bottom w:val="single" w:sz="4" w:space="0" w:color="auto"/>
              <w:right w:val="single" w:sz="4" w:space="0" w:color="auto"/>
            </w:tcBorders>
            <w:vAlign w:val="center"/>
            <w:hideMark/>
          </w:tcPr>
          <w:p w14:paraId="4E988AC1"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4D0FDF69"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bottom"/>
          </w:tcPr>
          <w:p w14:paraId="74FA9C0D"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P_480</w:t>
            </w:r>
          </w:p>
        </w:tc>
        <w:tc>
          <w:tcPr>
            <w:tcW w:w="3969" w:type="dxa"/>
            <w:tcBorders>
              <w:top w:val="nil"/>
              <w:left w:val="nil"/>
              <w:bottom w:val="single" w:sz="4" w:space="0" w:color="auto"/>
              <w:right w:val="single" w:sz="4" w:space="0" w:color="auto"/>
            </w:tcBorders>
            <w:shd w:val="clear" w:color="auto" w:fill="auto"/>
            <w:noWrap/>
            <w:vAlign w:val="bottom"/>
          </w:tcPr>
          <w:p w14:paraId="4D41A7EA"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SATT</w:t>
            </w:r>
          </w:p>
        </w:tc>
        <w:tc>
          <w:tcPr>
            <w:tcW w:w="2154" w:type="dxa"/>
            <w:tcBorders>
              <w:top w:val="nil"/>
              <w:left w:val="nil"/>
              <w:bottom w:val="single" w:sz="4" w:space="0" w:color="auto"/>
              <w:right w:val="single" w:sz="4" w:space="0" w:color="auto"/>
            </w:tcBorders>
            <w:shd w:val="clear" w:color="auto" w:fill="auto"/>
            <w:noWrap/>
            <w:vAlign w:val="bottom"/>
          </w:tcPr>
          <w:p w14:paraId="6AD3AC53"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13.313.322,24</w:t>
            </w:r>
          </w:p>
        </w:tc>
      </w:tr>
      <w:tr w:rsidR="004864FF" w:rsidRPr="00A81CB8" w14:paraId="0C681437" w14:textId="77777777" w:rsidTr="006B5A62">
        <w:trPr>
          <w:jc w:val="center"/>
        </w:trPr>
        <w:tc>
          <w:tcPr>
            <w:tcW w:w="1985"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30018074"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SE-N_68</w:t>
            </w:r>
          </w:p>
        </w:tc>
        <w:tc>
          <w:tcPr>
            <w:tcW w:w="3969" w:type="dxa"/>
            <w:vMerge w:val="restart"/>
            <w:tcBorders>
              <w:top w:val="nil"/>
              <w:left w:val="single" w:sz="4" w:space="0" w:color="auto"/>
              <w:bottom w:val="single" w:sz="4" w:space="0" w:color="auto"/>
              <w:right w:val="single" w:sz="4" w:space="0" w:color="auto"/>
            </w:tcBorders>
            <w:shd w:val="clear" w:color="auto" w:fill="auto"/>
            <w:vAlign w:val="center"/>
            <w:hideMark/>
          </w:tcPr>
          <w:p w14:paraId="44A9ADAB"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Salar</w:t>
            </w:r>
          </w:p>
        </w:tc>
        <w:tc>
          <w:tcPr>
            <w:tcW w:w="1077" w:type="dxa"/>
            <w:tcBorders>
              <w:top w:val="nil"/>
              <w:left w:val="nil"/>
              <w:bottom w:val="single" w:sz="4" w:space="0" w:color="auto"/>
              <w:right w:val="single" w:sz="4" w:space="0" w:color="auto"/>
            </w:tcBorders>
            <w:shd w:val="clear" w:color="auto" w:fill="auto"/>
            <w:noWrap/>
            <w:vAlign w:val="bottom"/>
          </w:tcPr>
          <w:p w14:paraId="3C78568F"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P_133</w:t>
            </w:r>
          </w:p>
        </w:tc>
        <w:tc>
          <w:tcPr>
            <w:tcW w:w="3969" w:type="dxa"/>
            <w:tcBorders>
              <w:top w:val="nil"/>
              <w:left w:val="nil"/>
              <w:bottom w:val="single" w:sz="4" w:space="0" w:color="auto"/>
              <w:right w:val="single" w:sz="4" w:space="0" w:color="auto"/>
            </w:tcBorders>
            <w:shd w:val="clear" w:color="auto" w:fill="auto"/>
            <w:noWrap/>
            <w:vAlign w:val="bottom"/>
          </w:tcPr>
          <w:p w14:paraId="6F9D72D4"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CODELCO NORTE</w:t>
            </w:r>
          </w:p>
        </w:tc>
        <w:tc>
          <w:tcPr>
            <w:tcW w:w="2154" w:type="dxa"/>
            <w:tcBorders>
              <w:top w:val="nil"/>
              <w:left w:val="nil"/>
              <w:bottom w:val="single" w:sz="4" w:space="0" w:color="auto"/>
              <w:right w:val="single" w:sz="4" w:space="0" w:color="auto"/>
            </w:tcBorders>
            <w:shd w:val="clear" w:color="auto" w:fill="auto"/>
            <w:noWrap/>
            <w:vAlign w:val="bottom"/>
          </w:tcPr>
          <w:p w14:paraId="064B28C7"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2.769.103,39</w:t>
            </w:r>
          </w:p>
        </w:tc>
      </w:tr>
      <w:tr w:rsidR="004864FF" w:rsidRPr="00A81CB8" w14:paraId="697DFDC4" w14:textId="77777777" w:rsidTr="006B5A62">
        <w:trPr>
          <w:jc w:val="center"/>
        </w:trPr>
        <w:tc>
          <w:tcPr>
            <w:tcW w:w="1985" w:type="dxa"/>
            <w:vMerge/>
            <w:tcBorders>
              <w:top w:val="nil"/>
              <w:left w:val="single" w:sz="4" w:space="0" w:color="auto"/>
              <w:bottom w:val="single" w:sz="4" w:space="0" w:color="auto"/>
              <w:right w:val="single" w:sz="4" w:space="0" w:color="auto"/>
            </w:tcBorders>
            <w:vAlign w:val="center"/>
            <w:hideMark/>
          </w:tcPr>
          <w:p w14:paraId="0FDC451F"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10546026"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bottom"/>
          </w:tcPr>
          <w:p w14:paraId="0FF959E4"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P_164</w:t>
            </w:r>
          </w:p>
        </w:tc>
        <w:tc>
          <w:tcPr>
            <w:tcW w:w="3969" w:type="dxa"/>
            <w:tcBorders>
              <w:top w:val="nil"/>
              <w:left w:val="nil"/>
              <w:bottom w:val="single" w:sz="4" w:space="0" w:color="auto"/>
              <w:right w:val="single" w:sz="4" w:space="0" w:color="auto"/>
            </w:tcBorders>
            <w:shd w:val="clear" w:color="auto" w:fill="auto"/>
            <w:noWrap/>
            <w:vAlign w:val="bottom"/>
          </w:tcPr>
          <w:p w14:paraId="6BFA2943"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E-CL</w:t>
            </w:r>
          </w:p>
        </w:tc>
        <w:tc>
          <w:tcPr>
            <w:tcW w:w="2154" w:type="dxa"/>
            <w:tcBorders>
              <w:top w:val="nil"/>
              <w:left w:val="nil"/>
              <w:bottom w:val="single" w:sz="4" w:space="0" w:color="auto"/>
              <w:right w:val="single" w:sz="4" w:space="0" w:color="auto"/>
            </w:tcBorders>
            <w:shd w:val="clear" w:color="auto" w:fill="auto"/>
            <w:noWrap/>
            <w:vAlign w:val="bottom"/>
          </w:tcPr>
          <w:p w14:paraId="770DDA56"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90.610,94</w:t>
            </w:r>
          </w:p>
        </w:tc>
      </w:tr>
      <w:tr w:rsidR="004864FF" w:rsidRPr="00A81CB8" w14:paraId="4192D27A" w14:textId="77777777" w:rsidTr="006B5A62">
        <w:trPr>
          <w:jc w:val="center"/>
        </w:trPr>
        <w:tc>
          <w:tcPr>
            <w:tcW w:w="1985"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217D3108"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SE-N_69</w:t>
            </w:r>
          </w:p>
        </w:tc>
        <w:tc>
          <w:tcPr>
            <w:tcW w:w="3969" w:type="dxa"/>
            <w:vMerge w:val="restart"/>
            <w:tcBorders>
              <w:top w:val="nil"/>
              <w:left w:val="single" w:sz="4" w:space="0" w:color="auto"/>
              <w:bottom w:val="single" w:sz="4" w:space="0" w:color="auto"/>
              <w:right w:val="single" w:sz="4" w:space="0" w:color="auto"/>
            </w:tcBorders>
            <w:shd w:val="clear" w:color="auto" w:fill="auto"/>
            <w:vAlign w:val="center"/>
            <w:hideMark/>
          </w:tcPr>
          <w:p w14:paraId="5ACEB7CD"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SAN LUIS</w:t>
            </w:r>
          </w:p>
        </w:tc>
        <w:tc>
          <w:tcPr>
            <w:tcW w:w="1077" w:type="dxa"/>
            <w:tcBorders>
              <w:top w:val="nil"/>
              <w:left w:val="nil"/>
              <w:bottom w:val="single" w:sz="4" w:space="0" w:color="auto"/>
              <w:right w:val="single" w:sz="4" w:space="0" w:color="auto"/>
            </w:tcBorders>
            <w:shd w:val="clear" w:color="auto" w:fill="auto"/>
            <w:noWrap/>
            <w:vAlign w:val="bottom"/>
          </w:tcPr>
          <w:p w14:paraId="476E20A5"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P_032</w:t>
            </w:r>
          </w:p>
        </w:tc>
        <w:tc>
          <w:tcPr>
            <w:tcW w:w="3969" w:type="dxa"/>
            <w:tcBorders>
              <w:top w:val="nil"/>
              <w:left w:val="nil"/>
              <w:bottom w:val="single" w:sz="4" w:space="0" w:color="auto"/>
              <w:right w:val="single" w:sz="4" w:space="0" w:color="auto"/>
            </w:tcBorders>
            <w:shd w:val="clear" w:color="auto" w:fill="auto"/>
            <w:noWrap/>
            <w:vAlign w:val="bottom"/>
          </w:tcPr>
          <w:p w14:paraId="66E7265E"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TRANSELEC S.A.</w:t>
            </w:r>
          </w:p>
        </w:tc>
        <w:tc>
          <w:tcPr>
            <w:tcW w:w="2154" w:type="dxa"/>
            <w:tcBorders>
              <w:top w:val="nil"/>
              <w:left w:val="nil"/>
              <w:bottom w:val="single" w:sz="4" w:space="0" w:color="auto"/>
              <w:right w:val="single" w:sz="4" w:space="0" w:color="auto"/>
            </w:tcBorders>
            <w:shd w:val="clear" w:color="auto" w:fill="auto"/>
            <w:noWrap/>
            <w:vAlign w:val="bottom"/>
          </w:tcPr>
          <w:p w14:paraId="4CB7C87A"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55.521,92</w:t>
            </w:r>
          </w:p>
        </w:tc>
      </w:tr>
      <w:tr w:rsidR="004864FF" w:rsidRPr="00A81CB8" w14:paraId="68B66764" w14:textId="77777777" w:rsidTr="006B5A62">
        <w:trPr>
          <w:jc w:val="center"/>
        </w:trPr>
        <w:tc>
          <w:tcPr>
            <w:tcW w:w="1985" w:type="dxa"/>
            <w:vMerge/>
            <w:tcBorders>
              <w:top w:val="nil"/>
              <w:left w:val="single" w:sz="4" w:space="0" w:color="auto"/>
              <w:bottom w:val="single" w:sz="4" w:space="0" w:color="auto"/>
              <w:right w:val="single" w:sz="4" w:space="0" w:color="auto"/>
            </w:tcBorders>
            <w:vAlign w:val="center"/>
            <w:hideMark/>
          </w:tcPr>
          <w:p w14:paraId="38A16A36"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237475EE"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bottom"/>
          </w:tcPr>
          <w:p w14:paraId="45DCFCE8"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P_113</w:t>
            </w:r>
          </w:p>
        </w:tc>
        <w:tc>
          <w:tcPr>
            <w:tcW w:w="3969" w:type="dxa"/>
            <w:tcBorders>
              <w:top w:val="nil"/>
              <w:left w:val="nil"/>
              <w:bottom w:val="single" w:sz="4" w:space="0" w:color="auto"/>
              <w:right w:val="single" w:sz="4" w:space="0" w:color="auto"/>
            </w:tcBorders>
            <w:shd w:val="clear" w:color="auto" w:fill="auto"/>
            <w:noWrap/>
            <w:vAlign w:val="bottom"/>
          </w:tcPr>
          <w:p w14:paraId="49DF3B21"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CHILQUINTA ENERGÍA</w:t>
            </w:r>
          </w:p>
        </w:tc>
        <w:tc>
          <w:tcPr>
            <w:tcW w:w="2154" w:type="dxa"/>
            <w:tcBorders>
              <w:top w:val="nil"/>
              <w:left w:val="nil"/>
              <w:bottom w:val="single" w:sz="4" w:space="0" w:color="auto"/>
              <w:right w:val="single" w:sz="4" w:space="0" w:color="auto"/>
            </w:tcBorders>
            <w:shd w:val="clear" w:color="auto" w:fill="auto"/>
            <w:noWrap/>
            <w:vAlign w:val="bottom"/>
          </w:tcPr>
          <w:p w14:paraId="13EC3B94"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857.150,42</w:t>
            </w:r>
          </w:p>
        </w:tc>
      </w:tr>
      <w:tr w:rsidR="004864FF" w:rsidRPr="00A81CB8" w14:paraId="2F152E1B" w14:textId="77777777" w:rsidTr="006B5A62">
        <w:trPr>
          <w:jc w:val="center"/>
        </w:trPr>
        <w:tc>
          <w:tcPr>
            <w:tcW w:w="1985" w:type="dxa"/>
            <w:vMerge/>
            <w:tcBorders>
              <w:top w:val="nil"/>
              <w:left w:val="single" w:sz="4" w:space="0" w:color="auto"/>
              <w:bottom w:val="single" w:sz="4" w:space="0" w:color="auto"/>
              <w:right w:val="single" w:sz="4" w:space="0" w:color="auto"/>
            </w:tcBorders>
            <w:vAlign w:val="center"/>
            <w:hideMark/>
          </w:tcPr>
          <w:p w14:paraId="38A9643C"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557723C4"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bottom"/>
          </w:tcPr>
          <w:p w14:paraId="56A40B77"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P_244</w:t>
            </w:r>
          </w:p>
        </w:tc>
        <w:tc>
          <w:tcPr>
            <w:tcW w:w="3969" w:type="dxa"/>
            <w:tcBorders>
              <w:top w:val="nil"/>
              <w:left w:val="nil"/>
              <w:bottom w:val="single" w:sz="4" w:space="0" w:color="auto"/>
              <w:right w:val="single" w:sz="4" w:space="0" w:color="auto"/>
            </w:tcBorders>
            <w:shd w:val="clear" w:color="auto" w:fill="auto"/>
            <w:noWrap/>
            <w:vAlign w:val="bottom"/>
          </w:tcPr>
          <w:p w14:paraId="6E58B855"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Colbún Transmisión</w:t>
            </w:r>
          </w:p>
        </w:tc>
        <w:tc>
          <w:tcPr>
            <w:tcW w:w="2154" w:type="dxa"/>
            <w:tcBorders>
              <w:top w:val="nil"/>
              <w:left w:val="nil"/>
              <w:bottom w:val="single" w:sz="4" w:space="0" w:color="auto"/>
              <w:right w:val="single" w:sz="4" w:space="0" w:color="auto"/>
            </w:tcBorders>
            <w:shd w:val="clear" w:color="auto" w:fill="auto"/>
            <w:noWrap/>
            <w:vAlign w:val="bottom"/>
          </w:tcPr>
          <w:p w14:paraId="5CA4887E"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20.480,93</w:t>
            </w:r>
          </w:p>
        </w:tc>
      </w:tr>
      <w:tr w:rsidR="004864FF" w:rsidRPr="00A81CB8" w14:paraId="5DBD2833" w14:textId="77777777" w:rsidTr="006B5A62">
        <w:trPr>
          <w:jc w:val="center"/>
        </w:trPr>
        <w:tc>
          <w:tcPr>
            <w:tcW w:w="1985" w:type="dxa"/>
            <w:vMerge/>
            <w:tcBorders>
              <w:top w:val="nil"/>
              <w:left w:val="single" w:sz="4" w:space="0" w:color="auto"/>
              <w:bottom w:val="single" w:sz="4" w:space="0" w:color="auto"/>
              <w:right w:val="single" w:sz="4" w:space="0" w:color="auto"/>
            </w:tcBorders>
            <w:vAlign w:val="center"/>
            <w:hideMark/>
          </w:tcPr>
          <w:p w14:paraId="5A967D9A"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5A5D54D6"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bottom"/>
          </w:tcPr>
          <w:p w14:paraId="498C720E"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P_510</w:t>
            </w:r>
          </w:p>
        </w:tc>
        <w:tc>
          <w:tcPr>
            <w:tcW w:w="3969" w:type="dxa"/>
            <w:tcBorders>
              <w:top w:val="nil"/>
              <w:left w:val="nil"/>
              <w:bottom w:val="single" w:sz="4" w:space="0" w:color="auto"/>
              <w:right w:val="single" w:sz="4" w:space="0" w:color="auto"/>
            </w:tcBorders>
            <w:shd w:val="clear" w:color="auto" w:fill="auto"/>
            <w:noWrap/>
            <w:vAlign w:val="bottom"/>
          </w:tcPr>
          <w:p w14:paraId="2C005489"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Transquillota</w:t>
            </w:r>
          </w:p>
        </w:tc>
        <w:tc>
          <w:tcPr>
            <w:tcW w:w="2154" w:type="dxa"/>
            <w:tcBorders>
              <w:top w:val="nil"/>
              <w:left w:val="nil"/>
              <w:bottom w:val="single" w:sz="4" w:space="0" w:color="auto"/>
              <w:right w:val="single" w:sz="4" w:space="0" w:color="auto"/>
            </w:tcBorders>
            <w:shd w:val="clear" w:color="auto" w:fill="auto"/>
            <w:noWrap/>
            <w:vAlign w:val="bottom"/>
          </w:tcPr>
          <w:p w14:paraId="23B7D042"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239.062,09</w:t>
            </w:r>
          </w:p>
        </w:tc>
      </w:tr>
      <w:tr w:rsidR="004864FF" w:rsidRPr="00A81CB8" w14:paraId="416DA41E" w14:textId="77777777" w:rsidTr="006B5A62">
        <w:trPr>
          <w:jc w:val="center"/>
        </w:trPr>
        <w:tc>
          <w:tcPr>
            <w:tcW w:w="1985"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3CBC1D85"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SE-N_78</w:t>
            </w:r>
          </w:p>
        </w:tc>
        <w:tc>
          <w:tcPr>
            <w:tcW w:w="3969" w:type="dxa"/>
            <w:vMerge w:val="restart"/>
            <w:tcBorders>
              <w:top w:val="nil"/>
              <w:left w:val="single" w:sz="4" w:space="0" w:color="auto"/>
              <w:bottom w:val="single" w:sz="4" w:space="0" w:color="auto"/>
              <w:right w:val="single" w:sz="4" w:space="0" w:color="auto"/>
            </w:tcBorders>
            <w:shd w:val="clear" w:color="auto" w:fill="auto"/>
            <w:vAlign w:val="center"/>
            <w:hideMark/>
          </w:tcPr>
          <w:p w14:paraId="17C54DDD"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TARAPACA</w:t>
            </w:r>
          </w:p>
        </w:tc>
        <w:tc>
          <w:tcPr>
            <w:tcW w:w="1077" w:type="dxa"/>
            <w:tcBorders>
              <w:top w:val="nil"/>
              <w:left w:val="nil"/>
              <w:bottom w:val="single" w:sz="4" w:space="0" w:color="auto"/>
              <w:right w:val="single" w:sz="4" w:space="0" w:color="auto"/>
            </w:tcBorders>
            <w:shd w:val="clear" w:color="auto" w:fill="auto"/>
            <w:noWrap/>
            <w:vAlign w:val="bottom"/>
          </w:tcPr>
          <w:p w14:paraId="0748C2E6"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P_032</w:t>
            </w:r>
          </w:p>
        </w:tc>
        <w:tc>
          <w:tcPr>
            <w:tcW w:w="3969" w:type="dxa"/>
            <w:tcBorders>
              <w:top w:val="nil"/>
              <w:left w:val="nil"/>
              <w:bottom w:val="single" w:sz="4" w:space="0" w:color="auto"/>
              <w:right w:val="single" w:sz="4" w:space="0" w:color="auto"/>
            </w:tcBorders>
            <w:shd w:val="clear" w:color="auto" w:fill="auto"/>
            <w:noWrap/>
            <w:vAlign w:val="bottom"/>
          </w:tcPr>
          <w:p w14:paraId="0D699A18"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TRANSELEC S.A.</w:t>
            </w:r>
          </w:p>
        </w:tc>
        <w:tc>
          <w:tcPr>
            <w:tcW w:w="2154" w:type="dxa"/>
            <w:tcBorders>
              <w:top w:val="nil"/>
              <w:left w:val="nil"/>
              <w:bottom w:val="single" w:sz="4" w:space="0" w:color="auto"/>
              <w:right w:val="single" w:sz="4" w:space="0" w:color="auto"/>
            </w:tcBorders>
            <w:shd w:val="clear" w:color="auto" w:fill="auto"/>
            <w:noWrap/>
            <w:vAlign w:val="bottom"/>
          </w:tcPr>
          <w:p w14:paraId="27494876"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1.957.137,19</w:t>
            </w:r>
          </w:p>
        </w:tc>
      </w:tr>
      <w:tr w:rsidR="004864FF" w:rsidRPr="00A81CB8" w14:paraId="73873FF8" w14:textId="77777777" w:rsidTr="006B5A62">
        <w:trPr>
          <w:jc w:val="center"/>
        </w:trPr>
        <w:tc>
          <w:tcPr>
            <w:tcW w:w="1985" w:type="dxa"/>
            <w:vMerge/>
            <w:tcBorders>
              <w:top w:val="nil"/>
              <w:left w:val="single" w:sz="4" w:space="0" w:color="auto"/>
              <w:bottom w:val="single" w:sz="4" w:space="0" w:color="auto"/>
              <w:right w:val="single" w:sz="4" w:space="0" w:color="auto"/>
            </w:tcBorders>
            <w:vAlign w:val="center"/>
            <w:hideMark/>
          </w:tcPr>
          <w:p w14:paraId="263DF728"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323F6E5B"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bottom"/>
          </w:tcPr>
          <w:p w14:paraId="46797512"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P_107</w:t>
            </w:r>
          </w:p>
        </w:tc>
        <w:tc>
          <w:tcPr>
            <w:tcW w:w="3969" w:type="dxa"/>
            <w:tcBorders>
              <w:top w:val="nil"/>
              <w:left w:val="nil"/>
              <w:bottom w:val="single" w:sz="4" w:space="0" w:color="auto"/>
              <w:right w:val="single" w:sz="4" w:space="0" w:color="auto"/>
            </w:tcBorders>
            <w:shd w:val="clear" w:color="auto" w:fill="auto"/>
            <w:noWrap/>
            <w:vAlign w:val="bottom"/>
          </w:tcPr>
          <w:p w14:paraId="3C8D0F7A"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CELTA</w:t>
            </w:r>
          </w:p>
        </w:tc>
        <w:tc>
          <w:tcPr>
            <w:tcW w:w="2154" w:type="dxa"/>
            <w:tcBorders>
              <w:top w:val="nil"/>
              <w:left w:val="nil"/>
              <w:bottom w:val="single" w:sz="4" w:space="0" w:color="auto"/>
              <w:right w:val="single" w:sz="4" w:space="0" w:color="auto"/>
            </w:tcBorders>
            <w:shd w:val="clear" w:color="auto" w:fill="auto"/>
            <w:noWrap/>
            <w:vAlign w:val="bottom"/>
          </w:tcPr>
          <w:p w14:paraId="0A97904B"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0,00</w:t>
            </w:r>
          </w:p>
        </w:tc>
      </w:tr>
      <w:tr w:rsidR="004864FF" w:rsidRPr="00A81CB8" w14:paraId="15EC28C5" w14:textId="77777777" w:rsidTr="006B5A62">
        <w:trPr>
          <w:jc w:val="center"/>
        </w:trPr>
        <w:tc>
          <w:tcPr>
            <w:tcW w:w="1985"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26AE0C2D"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SE-N_79</w:t>
            </w:r>
          </w:p>
        </w:tc>
        <w:tc>
          <w:tcPr>
            <w:tcW w:w="3969" w:type="dxa"/>
            <w:vMerge w:val="restart"/>
            <w:tcBorders>
              <w:top w:val="nil"/>
              <w:left w:val="single" w:sz="4" w:space="0" w:color="auto"/>
              <w:bottom w:val="single" w:sz="4" w:space="0" w:color="auto"/>
              <w:right w:val="single" w:sz="4" w:space="0" w:color="auto"/>
            </w:tcBorders>
            <w:shd w:val="clear" w:color="auto" w:fill="auto"/>
            <w:vAlign w:val="center"/>
            <w:hideMark/>
          </w:tcPr>
          <w:p w14:paraId="7E15D038"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TEMUCO</w:t>
            </w:r>
          </w:p>
        </w:tc>
        <w:tc>
          <w:tcPr>
            <w:tcW w:w="1077" w:type="dxa"/>
            <w:tcBorders>
              <w:top w:val="nil"/>
              <w:left w:val="nil"/>
              <w:bottom w:val="single" w:sz="4" w:space="0" w:color="auto"/>
              <w:right w:val="single" w:sz="4" w:space="0" w:color="auto"/>
            </w:tcBorders>
            <w:shd w:val="clear" w:color="auto" w:fill="auto"/>
            <w:noWrap/>
            <w:vAlign w:val="bottom"/>
          </w:tcPr>
          <w:p w14:paraId="25E1E530"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P_032</w:t>
            </w:r>
          </w:p>
        </w:tc>
        <w:tc>
          <w:tcPr>
            <w:tcW w:w="3969" w:type="dxa"/>
            <w:tcBorders>
              <w:top w:val="nil"/>
              <w:left w:val="nil"/>
              <w:bottom w:val="single" w:sz="4" w:space="0" w:color="auto"/>
              <w:right w:val="single" w:sz="4" w:space="0" w:color="auto"/>
            </w:tcBorders>
            <w:shd w:val="clear" w:color="auto" w:fill="auto"/>
            <w:noWrap/>
            <w:vAlign w:val="bottom"/>
          </w:tcPr>
          <w:p w14:paraId="66222B0A"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TRANSELEC S.A.</w:t>
            </w:r>
          </w:p>
        </w:tc>
        <w:tc>
          <w:tcPr>
            <w:tcW w:w="2154" w:type="dxa"/>
            <w:tcBorders>
              <w:top w:val="nil"/>
              <w:left w:val="nil"/>
              <w:bottom w:val="single" w:sz="4" w:space="0" w:color="auto"/>
              <w:right w:val="single" w:sz="4" w:space="0" w:color="auto"/>
            </w:tcBorders>
            <w:shd w:val="clear" w:color="auto" w:fill="auto"/>
            <w:noWrap/>
            <w:vAlign w:val="bottom"/>
          </w:tcPr>
          <w:p w14:paraId="47DA1F36"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9.050.164,85</w:t>
            </w:r>
          </w:p>
        </w:tc>
      </w:tr>
      <w:tr w:rsidR="004864FF" w:rsidRPr="00A81CB8" w14:paraId="36A73694" w14:textId="77777777" w:rsidTr="006B5A62">
        <w:trPr>
          <w:jc w:val="center"/>
        </w:trPr>
        <w:tc>
          <w:tcPr>
            <w:tcW w:w="1985" w:type="dxa"/>
            <w:vMerge/>
            <w:tcBorders>
              <w:top w:val="nil"/>
              <w:left w:val="single" w:sz="4" w:space="0" w:color="auto"/>
              <w:bottom w:val="single" w:sz="4" w:space="0" w:color="auto"/>
              <w:right w:val="single" w:sz="4" w:space="0" w:color="auto"/>
            </w:tcBorders>
            <w:vAlign w:val="center"/>
            <w:hideMark/>
          </w:tcPr>
          <w:p w14:paraId="1FE4D25A"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286696CC"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bottom"/>
          </w:tcPr>
          <w:p w14:paraId="02B3CA42"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P_083</w:t>
            </w:r>
          </w:p>
        </w:tc>
        <w:tc>
          <w:tcPr>
            <w:tcW w:w="3969" w:type="dxa"/>
            <w:tcBorders>
              <w:top w:val="nil"/>
              <w:left w:val="nil"/>
              <w:bottom w:val="single" w:sz="4" w:space="0" w:color="auto"/>
              <w:right w:val="single" w:sz="4" w:space="0" w:color="auto"/>
            </w:tcBorders>
            <w:shd w:val="clear" w:color="auto" w:fill="auto"/>
            <w:noWrap/>
            <w:vAlign w:val="bottom"/>
          </w:tcPr>
          <w:p w14:paraId="4662F7A7"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CGE</w:t>
            </w:r>
          </w:p>
        </w:tc>
        <w:tc>
          <w:tcPr>
            <w:tcW w:w="2154" w:type="dxa"/>
            <w:tcBorders>
              <w:top w:val="nil"/>
              <w:left w:val="nil"/>
              <w:bottom w:val="single" w:sz="4" w:space="0" w:color="auto"/>
              <w:right w:val="single" w:sz="4" w:space="0" w:color="auto"/>
            </w:tcBorders>
            <w:shd w:val="clear" w:color="auto" w:fill="auto"/>
            <w:noWrap/>
            <w:vAlign w:val="bottom"/>
          </w:tcPr>
          <w:p w14:paraId="5DC3ABEB"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180.660,84</w:t>
            </w:r>
          </w:p>
        </w:tc>
      </w:tr>
      <w:tr w:rsidR="004864FF" w:rsidRPr="00A81CB8" w14:paraId="4B446AA6"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47E5AE4C"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SE-N_80</w:t>
            </w:r>
          </w:p>
        </w:tc>
        <w:tc>
          <w:tcPr>
            <w:tcW w:w="3969" w:type="dxa"/>
            <w:tcBorders>
              <w:top w:val="nil"/>
              <w:left w:val="nil"/>
              <w:bottom w:val="single" w:sz="4" w:space="0" w:color="auto"/>
              <w:right w:val="single" w:sz="4" w:space="0" w:color="auto"/>
            </w:tcBorders>
            <w:shd w:val="clear" w:color="auto" w:fill="auto"/>
            <w:vAlign w:val="center"/>
            <w:hideMark/>
          </w:tcPr>
          <w:p w14:paraId="515C6DFA"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TINGUIRIRICA</w:t>
            </w:r>
          </w:p>
        </w:tc>
        <w:tc>
          <w:tcPr>
            <w:tcW w:w="1077" w:type="dxa"/>
            <w:tcBorders>
              <w:top w:val="nil"/>
              <w:left w:val="nil"/>
              <w:bottom w:val="single" w:sz="4" w:space="0" w:color="auto"/>
              <w:right w:val="single" w:sz="4" w:space="0" w:color="auto"/>
            </w:tcBorders>
            <w:shd w:val="clear" w:color="auto" w:fill="auto"/>
            <w:noWrap/>
            <w:vAlign w:val="bottom"/>
          </w:tcPr>
          <w:p w14:paraId="61F3FDE3"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P_032</w:t>
            </w:r>
          </w:p>
        </w:tc>
        <w:tc>
          <w:tcPr>
            <w:tcW w:w="3969" w:type="dxa"/>
            <w:tcBorders>
              <w:top w:val="nil"/>
              <w:left w:val="nil"/>
              <w:bottom w:val="single" w:sz="4" w:space="0" w:color="auto"/>
              <w:right w:val="single" w:sz="4" w:space="0" w:color="auto"/>
            </w:tcBorders>
            <w:shd w:val="clear" w:color="auto" w:fill="auto"/>
            <w:noWrap/>
            <w:vAlign w:val="bottom"/>
          </w:tcPr>
          <w:p w14:paraId="685FE725"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TRANSELEC S.A.</w:t>
            </w:r>
          </w:p>
        </w:tc>
        <w:tc>
          <w:tcPr>
            <w:tcW w:w="2154" w:type="dxa"/>
            <w:tcBorders>
              <w:top w:val="nil"/>
              <w:left w:val="nil"/>
              <w:bottom w:val="single" w:sz="4" w:space="0" w:color="auto"/>
              <w:right w:val="single" w:sz="4" w:space="0" w:color="auto"/>
            </w:tcBorders>
            <w:shd w:val="clear" w:color="auto" w:fill="auto"/>
            <w:noWrap/>
            <w:vAlign w:val="bottom"/>
          </w:tcPr>
          <w:p w14:paraId="4233760B"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2.445.758,81</w:t>
            </w:r>
          </w:p>
        </w:tc>
      </w:tr>
      <w:tr w:rsidR="004864FF" w:rsidRPr="00A81CB8" w14:paraId="10C86C8F" w14:textId="77777777" w:rsidTr="006B5A62">
        <w:trPr>
          <w:jc w:val="center"/>
        </w:trPr>
        <w:tc>
          <w:tcPr>
            <w:tcW w:w="1985"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1ABC364D"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SE-N_81</w:t>
            </w:r>
          </w:p>
        </w:tc>
        <w:tc>
          <w:tcPr>
            <w:tcW w:w="3969" w:type="dxa"/>
            <w:vMerge w:val="restart"/>
            <w:tcBorders>
              <w:top w:val="nil"/>
              <w:left w:val="single" w:sz="4" w:space="0" w:color="auto"/>
              <w:bottom w:val="single" w:sz="4" w:space="0" w:color="auto"/>
              <w:right w:val="single" w:sz="4" w:space="0" w:color="auto"/>
            </w:tcBorders>
            <w:shd w:val="clear" w:color="auto" w:fill="auto"/>
            <w:vAlign w:val="center"/>
            <w:hideMark/>
          </w:tcPr>
          <w:p w14:paraId="417BF333" w14:textId="77777777" w:rsidR="004864FF" w:rsidRPr="00A81CB8"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A81CB8">
              <w:rPr>
                <w:rFonts w:asciiTheme="minorHAnsi" w:eastAsia="Times New Roman" w:hAnsiTheme="minorHAnsi" w:cs="Calibri"/>
                <w:color w:val="000000"/>
                <w:sz w:val="20"/>
                <w:szCs w:val="20"/>
                <w:lang w:eastAsia="es-CL"/>
              </w:rPr>
              <w:t>VALDIVIA</w:t>
            </w:r>
          </w:p>
        </w:tc>
        <w:tc>
          <w:tcPr>
            <w:tcW w:w="1077" w:type="dxa"/>
            <w:tcBorders>
              <w:top w:val="nil"/>
              <w:left w:val="nil"/>
              <w:bottom w:val="single" w:sz="4" w:space="0" w:color="auto"/>
              <w:right w:val="single" w:sz="4" w:space="0" w:color="auto"/>
            </w:tcBorders>
            <w:shd w:val="clear" w:color="auto" w:fill="auto"/>
            <w:noWrap/>
            <w:vAlign w:val="bottom"/>
            <w:hideMark/>
          </w:tcPr>
          <w:p w14:paraId="4B2DD374"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P_032</w:t>
            </w:r>
          </w:p>
        </w:tc>
        <w:tc>
          <w:tcPr>
            <w:tcW w:w="3969" w:type="dxa"/>
            <w:tcBorders>
              <w:top w:val="nil"/>
              <w:left w:val="nil"/>
              <w:bottom w:val="single" w:sz="4" w:space="0" w:color="auto"/>
              <w:right w:val="single" w:sz="4" w:space="0" w:color="auto"/>
            </w:tcBorders>
            <w:shd w:val="clear" w:color="auto" w:fill="auto"/>
            <w:noWrap/>
            <w:vAlign w:val="bottom"/>
            <w:hideMark/>
          </w:tcPr>
          <w:p w14:paraId="3815E082"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TRANSELEC S.A.</w:t>
            </w:r>
          </w:p>
        </w:tc>
        <w:tc>
          <w:tcPr>
            <w:tcW w:w="2154" w:type="dxa"/>
            <w:tcBorders>
              <w:top w:val="nil"/>
              <w:left w:val="nil"/>
              <w:bottom w:val="single" w:sz="4" w:space="0" w:color="auto"/>
              <w:right w:val="single" w:sz="4" w:space="0" w:color="auto"/>
            </w:tcBorders>
            <w:shd w:val="clear" w:color="auto" w:fill="auto"/>
            <w:noWrap/>
            <w:vAlign w:val="bottom"/>
            <w:hideMark/>
          </w:tcPr>
          <w:p w14:paraId="3A52AD20"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3.126.381,65</w:t>
            </w:r>
          </w:p>
        </w:tc>
      </w:tr>
      <w:tr w:rsidR="004864FF" w:rsidRPr="00A81CB8" w14:paraId="559BACF4" w14:textId="77777777" w:rsidTr="006B5A62">
        <w:trPr>
          <w:jc w:val="center"/>
        </w:trPr>
        <w:tc>
          <w:tcPr>
            <w:tcW w:w="1985" w:type="dxa"/>
            <w:vMerge/>
            <w:tcBorders>
              <w:top w:val="nil"/>
              <w:left w:val="single" w:sz="4" w:space="0" w:color="auto"/>
              <w:bottom w:val="single" w:sz="4" w:space="0" w:color="auto"/>
              <w:right w:val="single" w:sz="4" w:space="0" w:color="auto"/>
            </w:tcBorders>
            <w:vAlign w:val="center"/>
            <w:hideMark/>
          </w:tcPr>
          <w:p w14:paraId="73F96BCF"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42A9D770" w14:textId="77777777" w:rsidR="004864FF" w:rsidRPr="00A81CB8" w:rsidRDefault="004864FF" w:rsidP="006B5A62">
            <w:pPr>
              <w:spacing w:before="20" w:after="20" w:line="240" w:lineRule="auto"/>
              <w:jc w:val="left"/>
              <w:rPr>
                <w:rFonts w:asciiTheme="minorHAnsi" w:eastAsia="Times New Roman" w:hAnsiTheme="minorHAnsi" w:cs="Calibri"/>
                <w:color w:val="000000"/>
                <w:sz w:val="20"/>
                <w:szCs w:val="20"/>
                <w:lang w:eastAsia="es-CL"/>
              </w:rPr>
            </w:pPr>
          </w:p>
        </w:tc>
        <w:tc>
          <w:tcPr>
            <w:tcW w:w="1077" w:type="dxa"/>
            <w:tcBorders>
              <w:top w:val="nil"/>
              <w:left w:val="nil"/>
              <w:bottom w:val="single" w:sz="4" w:space="0" w:color="auto"/>
              <w:right w:val="single" w:sz="4" w:space="0" w:color="auto"/>
            </w:tcBorders>
            <w:shd w:val="clear" w:color="auto" w:fill="auto"/>
            <w:noWrap/>
            <w:vAlign w:val="bottom"/>
            <w:hideMark/>
          </w:tcPr>
          <w:p w14:paraId="08BACB78" w14:textId="77777777" w:rsidR="004864FF" w:rsidRPr="00CF1373" w:rsidRDefault="004864FF" w:rsidP="006B5A62">
            <w:pPr>
              <w:spacing w:before="20" w:after="20" w:line="240" w:lineRule="auto"/>
              <w:jc w:val="center"/>
              <w:rPr>
                <w:rFonts w:asciiTheme="minorHAnsi" w:eastAsia="Times New Roman" w:hAnsiTheme="minorHAnsi" w:cs="Calibri"/>
                <w:color w:val="000000"/>
                <w:sz w:val="20"/>
                <w:szCs w:val="20"/>
                <w:lang w:eastAsia="es-CL"/>
              </w:rPr>
            </w:pPr>
            <w:r w:rsidRPr="00CF1373">
              <w:rPr>
                <w:rFonts w:cs="Calibri"/>
                <w:color w:val="000000"/>
                <w:sz w:val="20"/>
                <w:szCs w:val="20"/>
              </w:rPr>
              <w:t>P_100</w:t>
            </w:r>
          </w:p>
        </w:tc>
        <w:tc>
          <w:tcPr>
            <w:tcW w:w="3969" w:type="dxa"/>
            <w:tcBorders>
              <w:top w:val="nil"/>
              <w:left w:val="nil"/>
              <w:bottom w:val="single" w:sz="4" w:space="0" w:color="auto"/>
              <w:right w:val="single" w:sz="4" w:space="0" w:color="auto"/>
            </w:tcBorders>
            <w:shd w:val="clear" w:color="auto" w:fill="auto"/>
            <w:noWrap/>
            <w:vAlign w:val="bottom"/>
            <w:hideMark/>
          </w:tcPr>
          <w:p w14:paraId="011C5DAA" w14:textId="77777777" w:rsidR="004864FF" w:rsidRPr="00CF1373" w:rsidRDefault="004864FF" w:rsidP="006B5A62">
            <w:pPr>
              <w:spacing w:before="20" w:after="20" w:line="240" w:lineRule="auto"/>
              <w:jc w:val="left"/>
              <w:rPr>
                <w:rFonts w:asciiTheme="minorHAnsi" w:eastAsia="Times New Roman" w:hAnsiTheme="minorHAnsi" w:cs="Calibri"/>
                <w:color w:val="000000"/>
                <w:sz w:val="20"/>
                <w:szCs w:val="20"/>
                <w:lang w:eastAsia="es-CL"/>
              </w:rPr>
            </w:pPr>
            <w:r w:rsidRPr="00CF1373">
              <w:rPr>
                <w:rFonts w:cs="Calibri"/>
                <w:color w:val="000000"/>
                <w:sz w:val="20"/>
                <w:szCs w:val="20"/>
              </w:rPr>
              <w:t>STS</w:t>
            </w:r>
          </w:p>
        </w:tc>
        <w:tc>
          <w:tcPr>
            <w:tcW w:w="2154" w:type="dxa"/>
            <w:tcBorders>
              <w:top w:val="nil"/>
              <w:left w:val="nil"/>
              <w:bottom w:val="single" w:sz="4" w:space="0" w:color="auto"/>
              <w:right w:val="single" w:sz="4" w:space="0" w:color="auto"/>
            </w:tcBorders>
            <w:shd w:val="clear" w:color="auto" w:fill="auto"/>
            <w:noWrap/>
            <w:vAlign w:val="bottom"/>
            <w:hideMark/>
          </w:tcPr>
          <w:p w14:paraId="3841F689" w14:textId="77777777" w:rsidR="004864FF" w:rsidRPr="00CF1373" w:rsidRDefault="004864FF" w:rsidP="006B5A62">
            <w:pPr>
              <w:spacing w:before="20" w:after="20" w:line="240" w:lineRule="auto"/>
              <w:jc w:val="right"/>
              <w:rPr>
                <w:rFonts w:asciiTheme="minorHAnsi" w:eastAsia="Times New Roman" w:hAnsiTheme="minorHAnsi" w:cstheme="minorHAnsi"/>
                <w:bCs/>
                <w:color w:val="000000"/>
                <w:sz w:val="20"/>
                <w:szCs w:val="20"/>
                <w:lang w:eastAsia="es-CL"/>
              </w:rPr>
            </w:pPr>
            <w:r w:rsidRPr="00CF1373">
              <w:rPr>
                <w:rFonts w:cs="Calibri"/>
                <w:color w:val="000000"/>
                <w:sz w:val="20"/>
                <w:szCs w:val="20"/>
              </w:rPr>
              <w:t>606.966,72</w:t>
            </w:r>
          </w:p>
        </w:tc>
      </w:tr>
    </w:tbl>
    <w:p w14:paraId="5046E102" w14:textId="77777777" w:rsidR="004864FF" w:rsidRDefault="004864FF" w:rsidP="004864FF">
      <w:pPr>
        <w:jc w:val="center"/>
      </w:pPr>
    </w:p>
    <w:p w14:paraId="4A32F7CC" w14:textId="77777777" w:rsidR="004864FF" w:rsidRDefault="004864FF" w:rsidP="004864FF">
      <w:pPr>
        <w:spacing w:after="160" w:line="259" w:lineRule="auto"/>
        <w:jc w:val="left"/>
      </w:pPr>
      <w:r>
        <w:br w:type="page"/>
      </w:r>
    </w:p>
    <w:p w14:paraId="2059206F" w14:textId="77777777" w:rsidR="004864FF" w:rsidRDefault="004864FF" w:rsidP="004864FF">
      <w:pPr>
        <w:pStyle w:val="Ttulo3"/>
        <w:keepNext/>
      </w:pPr>
      <w:bookmarkStart w:id="457" w:name="_Toc34640159"/>
      <w:bookmarkStart w:id="458" w:name="_Toc34655183"/>
      <w:bookmarkStart w:id="459" w:name="_Toc39795185"/>
      <w:bookmarkStart w:id="460" w:name="_Toc39797865"/>
      <w:r w:rsidRPr="009B2440">
        <w:lastRenderedPageBreak/>
        <w:t>Valor de Inversión por tramo de transporte y por propietario calificación nacional</w:t>
      </w:r>
      <w:bookmarkEnd w:id="457"/>
      <w:bookmarkEnd w:id="458"/>
      <w:bookmarkEnd w:id="459"/>
      <w:bookmarkEnd w:id="460"/>
    </w:p>
    <w:p w14:paraId="163DF534" w14:textId="77777777" w:rsidR="004864FF" w:rsidRPr="00E804A2" w:rsidRDefault="004864FF" w:rsidP="004864FF">
      <w:pPr>
        <w:pStyle w:val="Subttulo"/>
      </w:pPr>
      <w:bookmarkStart w:id="461" w:name="_Toc34640126"/>
      <w:bookmarkStart w:id="462" w:name="_Toc34655194"/>
      <w:bookmarkStart w:id="463" w:name="_Toc39795274"/>
      <w:bookmarkStart w:id="464" w:name="_Toc39797954"/>
      <w:r w:rsidRPr="00E804A2">
        <w:t xml:space="preserve">Tabla </w:t>
      </w:r>
      <w:fldSimple w:instr=" SEQ Tabla \* ARABIC ">
        <w:r w:rsidR="001F3E2E">
          <w:rPr>
            <w:noProof/>
          </w:rPr>
          <w:t>44</w:t>
        </w:r>
      </w:fldSimple>
      <w:r w:rsidRPr="00E804A2">
        <w:t>: Valor de Inversión (V.I.) por tramo de transporte y por propietario calificación nacional</w:t>
      </w:r>
      <w:bookmarkEnd w:id="461"/>
      <w:bookmarkEnd w:id="462"/>
      <w:bookmarkEnd w:id="463"/>
      <w:bookmarkEnd w:id="464"/>
    </w:p>
    <w:tbl>
      <w:tblPr>
        <w:tblW w:w="0" w:type="auto"/>
        <w:jc w:val="center"/>
        <w:tblLayout w:type="fixed"/>
        <w:tblCellMar>
          <w:left w:w="57" w:type="dxa"/>
          <w:right w:w="57" w:type="dxa"/>
        </w:tblCellMar>
        <w:tblLook w:val="04A0" w:firstRow="1" w:lastRow="0" w:firstColumn="1" w:lastColumn="0" w:noHBand="0" w:noVBand="1"/>
      </w:tblPr>
      <w:tblGrid>
        <w:gridCol w:w="1985"/>
        <w:gridCol w:w="3969"/>
        <w:gridCol w:w="1134"/>
        <w:gridCol w:w="3686"/>
        <w:gridCol w:w="2268"/>
      </w:tblGrid>
      <w:tr w:rsidR="004864FF" w:rsidRPr="0069558B" w14:paraId="36C523F8" w14:textId="77777777" w:rsidTr="006B5A62">
        <w:trPr>
          <w:tblHeader/>
          <w:jc w:val="center"/>
        </w:trPr>
        <w:tc>
          <w:tcPr>
            <w:tcW w:w="1985" w:type="dxa"/>
            <w:tcBorders>
              <w:top w:val="single" w:sz="8" w:space="0" w:color="auto"/>
              <w:left w:val="single" w:sz="8" w:space="0" w:color="auto"/>
              <w:bottom w:val="single" w:sz="8" w:space="0" w:color="auto"/>
              <w:right w:val="single" w:sz="8" w:space="0" w:color="auto"/>
            </w:tcBorders>
            <w:shd w:val="clear" w:color="auto" w:fill="D9D9D9" w:themeFill="background1" w:themeFillShade="D9"/>
            <w:vAlign w:val="center"/>
            <w:hideMark/>
          </w:tcPr>
          <w:p w14:paraId="61F48C2D" w14:textId="77777777" w:rsidR="004864FF" w:rsidRPr="0069558B" w:rsidRDefault="004864FF" w:rsidP="006B5A62">
            <w:pPr>
              <w:spacing w:before="20" w:after="20" w:line="240" w:lineRule="auto"/>
              <w:jc w:val="center"/>
              <w:rPr>
                <w:rFonts w:eastAsia="Times New Roman" w:cs="Calibri"/>
                <w:b/>
                <w:bCs/>
                <w:color w:val="000000"/>
                <w:sz w:val="20"/>
                <w:szCs w:val="20"/>
                <w:lang w:eastAsia="es-CL"/>
              </w:rPr>
            </w:pPr>
            <w:r w:rsidRPr="0069558B">
              <w:rPr>
                <w:rFonts w:eastAsia="Times New Roman" w:cs="Calibri"/>
                <w:b/>
                <w:bCs/>
                <w:color w:val="000000"/>
                <w:sz w:val="20"/>
                <w:szCs w:val="20"/>
                <w:lang w:eastAsia="es-CL"/>
              </w:rPr>
              <w:t>IdCalificacionCodigo</w:t>
            </w:r>
          </w:p>
        </w:tc>
        <w:tc>
          <w:tcPr>
            <w:tcW w:w="3969" w:type="dxa"/>
            <w:tcBorders>
              <w:top w:val="single" w:sz="8" w:space="0" w:color="auto"/>
              <w:left w:val="single" w:sz="8" w:space="0" w:color="auto"/>
              <w:bottom w:val="single" w:sz="8" w:space="0" w:color="auto"/>
              <w:right w:val="single" w:sz="8" w:space="0" w:color="auto"/>
            </w:tcBorders>
            <w:shd w:val="clear" w:color="auto" w:fill="D9D9D9" w:themeFill="background1" w:themeFillShade="D9"/>
            <w:vAlign w:val="center"/>
            <w:hideMark/>
          </w:tcPr>
          <w:p w14:paraId="7DB294B4" w14:textId="77777777" w:rsidR="004864FF" w:rsidRPr="0069558B" w:rsidRDefault="004864FF" w:rsidP="006B5A62">
            <w:pPr>
              <w:spacing w:before="20" w:after="20" w:line="240" w:lineRule="auto"/>
              <w:jc w:val="center"/>
              <w:rPr>
                <w:rFonts w:eastAsia="Times New Roman" w:cs="Calibri"/>
                <w:b/>
                <w:bCs/>
                <w:color w:val="000000"/>
                <w:sz w:val="20"/>
                <w:szCs w:val="20"/>
                <w:lang w:eastAsia="es-CL"/>
              </w:rPr>
            </w:pPr>
            <w:r w:rsidRPr="0069558B">
              <w:rPr>
                <w:rFonts w:eastAsia="Times New Roman" w:cs="Calibri"/>
                <w:b/>
                <w:bCs/>
                <w:color w:val="000000"/>
                <w:sz w:val="20"/>
                <w:szCs w:val="20"/>
                <w:lang w:eastAsia="es-CL"/>
              </w:rPr>
              <w:t>Nombre del Tramo</w:t>
            </w:r>
          </w:p>
        </w:tc>
        <w:tc>
          <w:tcPr>
            <w:tcW w:w="1134" w:type="dxa"/>
            <w:tcBorders>
              <w:top w:val="single" w:sz="8" w:space="0" w:color="auto"/>
              <w:left w:val="nil"/>
              <w:bottom w:val="single" w:sz="8" w:space="0" w:color="auto"/>
              <w:right w:val="single" w:sz="8" w:space="0" w:color="auto"/>
            </w:tcBorders>
            <w:shd w:val="clear" w:color="auto" w:fill="D9D9D9" w:themeFill="background1" w:themeFillShade="D9"/>
            <w:vAlign w:val="center"/>
            <w:hideMark/>
          </w:tcPr>
          <w:p w14:paraId="46FFAEFB" w14:textId="77777777" w:rsidR="004864FF" w:rsidRDefault="004864FF" w:rsidP="006B5A62">
            <w:pPr>
              <w:spacing w:before="20" w:after="20" w:line="240" w:lineRule="auto"/>
              <w:jc w:val="center"/>
              <w:rPr>
                <w:rFonts w:eastAsia="Times New Roman" w:cs="Calibri"/>
                <w:b/>
                <w:bCs/>
                <w:color w:val="000000"/>
                <w:sz w:val="20"/>
                <w:szCs w:val="20"/>
                <w:lang w:eastAsia="es-CL"/>
              </w:rPr>
            </w:pPr>
            <w:r w:rsidRPr="0069558B">
              <w:rPr>
                <w:rFonts w:eastAsia="Times New Roman" w:cs="Calibri"/>
                <w:b/>
                <w:bCs/>
                <w:color w:val="000000"/>
                <w:sz w:val="20"/>
                <w:szCs w:val="20"/>
                <w:lang w:eastAsia="es-CL"/>
              </w:rPr>
              <w:t>IdEmpresa</w:t>
            </w:r>
          </w:p>
          <w:p w14:paraId="59E8BB1C" w14:textId="77777777" w:rsidR="004864FF" w:rsidRPr="0069558B" w:rsidRDefault="004864FF" w:rsidP="006B5A62">
            <w:pPr>
              <w:spacing w:before="20" w:after="20" w:line="240" w:lineRule="auto"/>
              <w:jc w:val="center"/>
              <w:rPr>
                <w:rFonts w:eastAsia="Times New Roman" w:cs="Calibri"/>
                <w:b/>
                <w:bCs/>
                <w:color w:val="000000"/>
                <w:sz w:val="20"/>
                <w:szCs w:val="20"/>
                <w:lang w:eastAsia="es-CL"/>
              </w:rPr>
            </w:pPr>
            <w:r w:rsidRPr="0069558B">
              <w:rPr>
                <w:rFonts w:eastAsia="Times New Roman" w:cs="Calibri"/>
                <w:b/>
                <w:bCs/>
                <w:color w:val="000000"/>
                <w:sz w:val="20"/>
                <w:szCs w:val="20"/>
                <w:lang w:eastAsia="es-CL"/>
              </w:rPr>
              <w:t>Propietaria</w:t>
            </w:r>
          </w:p>
        </w:tc>
        <w:tc>
          <w:tcPr>
            <w:tcW w:w="3686" w:type="dxa"/>
            <w:tcBorders>
              <w:top w:val="single" w:sz="8" w:space="0" w:color="auto"/>
              <w:left w:val="nil"/>
              <w:bottom w:val="single" w:sz="8" w:space="0" w:color="auto"/>
              <w:right w:val="single" w:sz="8" w:space="0" w:color="auto"/>
            </w:tcBorders>
            <w:shd w:val="clear" w:color="auto" w:fill="D9D9D9" w:themeFill="background1" w:themeFillShade="D9"/>
            <w:noWrap/>
            <w:vAlign w:val="center"/>
            <w:hideMark/>
          </w:tcPr>
          <w:p w14:paraId="505EF88A" w14:textId="77777777" w:rsidR="004864FF" w:rsidRPr="0069558B" w:rsidRDefault="004864FF" w:rsidP="006B5A62">
            <w:pPr>
              <w:spacing w:before="20" w:after="20" w:line="240" w:lineRule="auto"/>
              <w:jc w:val="center"/>
              <w:rPr>
                <w:rFonts w:eastAsia="Times New Roman" w:cs="Calibri"/>
                <w:b/>
                <w:bCs/>
                <w:color w:val="000000"/>
                <w:sz w:val="20"/>
                <w:szCs w:val="20"/>
                <w:lang w:eastAsia="es-CL"/>
              </w:rPr>
            </w:pPr>
            <w:r w:rsidRPr="0069558B">
              <w:rPr>
                <w:rFonts w:eastAsia="Times New Roman" w:cs="Calibri"/>
                <w:b/>
                <w:bCs/>
                <w:color w:val="000000"/>
                <w:sz w:val="20"/>
                <w:szCs w:val="20"/>
                <w:lang w:eastAsia="es-CL"/>
              </w:rPr>
              <w:t>Nombre de Empresa</w:t>
            </w:r>
          </w:p>
        </w:tc>
        <w:tc>
          <w:tcPr>
            <w:tcW w:w="2268" w:type="dxa"/>
            <w:tcBorders>
              <w:top w:val="single" w:sz="8" w:space="0" w:color="auto"/>
              <w:left w:val="nil"/>
              <w:bottom w:val="single" w:sz="8" w:space="0" w:color="auto"/>
              <w:right w:val="single" w:sz="8" w:space="0" w:color="auto"/>
            </w:tcBorders>
            <w:shd w:val="clear" w:color="auto" w:fill="D9D9D9" w:themeFill="background1" w:themeFillShade="D9"/>
            <w:vAlign w:val="center"/>
            <w:hideMark/>
          </w:tcPr>
          <w:p w14:paraId="66719807" w14:textId="77777777" w:rsidR="004864FF" w:rsidRPr="0069558B" w:rsidRDefault="004864FF" w:rsidP="006B5A62">
            <w:pPr>
              <w:spacing w:before="20" w:after="20" w:line="240" w:lineRule="auto"/>
              <w:jc w:val="center"/>
              <w:rPr>
                <w:rFonts w:eastAsia="Times New Roman" w:cs="Calibri"/>
                <w:b/>
                <w:bCs/>
                <w:color w:val="000000"/>
                <w:sz w:val="20"/>
                <w:szCs w:val="20"/>
                <w:lang w:eastAsia="es-CL"/>
              </w:rPr>
            </w:pPr>
            <w:r w:rsidRPr="0069558B">
              <w:rPr>
                <w:rFonts w:eastAsia="Times New Roman" w:cs="Calibri"/>
                <w:b/>
                <w:bCs/>
                <w:color w:val="000000"/>
                <w:sz w:val="20"/>
                <w:szCs w:val="20"/>
                <w:lang w:eastAsia="es-CL"/>
              </w:rPr>
              <w:t>Valor de Inversión (V.I.)</w:t>
            </w:r>
          </w:p>
          <w:p w14:paraId="2EE232D7" w14:textId="77777777" w:rsidR="004864FF" w:rsidRPr="0069558B" w:rsidRDefault="004864FF" w:rsidP="006B5A62">
            <w:pPr>
              <w:spacing w:before="20" w:after="20" w:line="240" w:lineRule="auto"/>
              <w:jc w:val="center"/>
              <w:rPr>
                <w:rFonts w:eastAsia="Times New Roman" w:cs="Calibri"/>
                <w:b/>
                <w:bCs/>
                <w:color w:val="000000"/>
                <w:sz w:val="20"/>
                <w:szCs w:val="20"/>
                <w:lang w:eastAsia="es-CL"/>
              </w:rPr>
            </w:pPr>
            <w:r w:rsidRPr="0069558B">
              <w:rPr>
                <w:rFonts w:eastAsia="Times New Roman" w:cs="Calibri"/>
                <w:b/>
                <w:bCs/>
                <w:color w:val="000000"/>
                <w:sz w:val="20"/>
                <w:szCs w:val="20"/>
                <w:lang w:eastAsia="es-CL"/>
              </w:rPr>
              <w:t>USD (Dólares de USA)</w:t>
            </w:r>
          </w:p>
        </w:tc>
      </w:tr>
      <w:tr w:rsidR="004864FF" w:rsidRPr="0069558B" w14:paraId="68945173" w14:textId="77777777" w:rsidTr="006B5A62">
        <w:trPr>
          <w:jc w:val="center"/>
        </w:trPr>
        <w:tc>
          <w:tcPr>
            <w:tcW w:w="1985"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4401ADF8"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N_1</w:t>
            </w:r>
          </w:p>
        </w:tc>
        <w:tc>
          <w:tcPr>
            <w:tcW w:w="3969" w:type="dxa"/>
            <w:vMerge w:val="restart"/>
            <w:tcBorders>
              <w:top w:val="nil"/>
              <w:left w:val="single" w:sz="4" w:space="0" w:color="auto"/>
              <w:bottom w:val="single" w:sz="4" w:space="0" w:color="000000"/>
              <w:right w:val="single" w:sz="4" w:space="0" w:color="auto"/>
            </w:tcBorders>
            <w:shd w:val="clear" w:color="auto" w:fill="auto"/>
            <w:vAlign w:val="center"/>
            <w:hideMark/>
          </w:tcPr>
          <w:p w14:paraId="0F7BEADF"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Alto Jahuel 220-&gt;Alto Jahuel 500</w:t>
            </w:r>
          </w:p>
        </w:tc>
        <w:tc>
          <w:tcPr>
            <w:tcW w:w="1134" w:type="dxa"/>
            <w:tcBorders>
              <w:top w:val="nil"/>
              <w:left w:val="nil"/>
              <w:bottom w:val="single" w:sz="4" w:space="0" w:color="auto"/>
              <w:right w:val="single" w:sz="4" w:space="0" w:color="auto"/>
            </w:tcBorders>
            <w:shd w:val="clear" w:color="auto" w:fill="auto"/>
            <w:noWrap/>
            <w:vAlign w:val="bottom"/>
            <w:hideMark/>
          </w:tcPr>
          <w:p w14:paraId="1FEE3672"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P_032</w:t>
            </w:r>
          </w:p>
        </w:tc>
        <w:tc>
          <w:tcPr>
            <w:tcW w:w="3686" w:type="dxa"/>
            <w:tcBorders>
              <w:top w:val="nil"/>
              <w:left w:val="nil"/>
              <w:bottom w:val="single" w:sz="4" w:space="0" w:color="auto"/>
              <w:right w:val="single" w:sz="4" w:space="0" w:color="auto"/>
            </w:tcBorders>
            <w:shd w:val="clear" w:color="auto" w:fill="auto"/>
            <w:noWrap/>
            <w:vAlign w:val="bottom"/>
            <w:hideMark/>
          </w:tcPr>
          <w:p w14:paraId="10AB6731"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TRANSELEC S.A.</w:t>
            </w:r>
          </w:p>
        </w:tc>
        <w:tc>
          <w:tcPr>
            <w:tcW w:w="2268" w:type="dxa"/>
            <w:tcBorders>
              <w:top w:val="nil"/>
              <w:left w:val="nil"/>
              <w:bottom w:val="single" w:sz="4" w:space="0" w:color="auto"/>
              <w:right w:val="single" w:sz="4" w:space="0" w:color="auto"/>
            </w:tcBorders>
            <w:shd w:val="clear" w:color="auto" w:fill="auto"/>
            <w:noWrap/>
            <w:vAlign w:val="bottom"/>
            <w:hideMark/>
          </w:tcPr>
          <w:p w14:paraId="1AA289FC"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14.936.186,54</w:t>
            </w:r>
          </w:p>
        </w:tc>
      </w:tr>
      <w:tr w:rsidR="004864FF" w:rsidRPr="0069558B" w14:paraId="4B5E7102" w14:textId="77777777" w:rsidTr="006B5A62">
        <w:trPr>
          <w:jc w:val="center"/>
        </w:trPr>
        <w:tc>
          <w:tcPr>
            <w:tcW w:w="1985" w:type="dxa"/>
            <w:vMerge/>
            <w:tcBorders>
              <w:top w:val="nil"/>
              <w:left w:val="single" w:sz="4" w:space="0" w:color="auto"/>
              <w:bottom w:val="single" w:sz="4" w:space="0" w:color="000000"/>
              <w:right w:val="single" w:sz="4" w:space="0" w:color="auto"/>
            </w:tcBorders>
            <w:vAlign w:val="center"/>
            <w:hideMark/>
          </w:tcPr>
          <w:p w14:paraId="1D059EDE" w14:textId="77777777" w:rsidR="004864FF" w:rsidRPr="0069558B" w:rsidRDefault="004864FF" w:rsidP="006B5A62">
            <w:pPr>
              <w:spacing w:before="20" w:after="20" w:line="240" w:lineRule="auto"/>
              <w:jc w:val="left"/>
              <w:rPr>
                <w:rFonts w:eastAsia="Times New Roman" w:cs="Calibri"/>
                <w:color w:val="000000"/>
                <w:sz w:val="20"/>
                <w:szCs w:val="20"/>
                <w:lang w:eastAsia="es-CL"/>
              </w:rPr>
            </w:pPr>
          </w:p>
        </w:tc>
        <w:tc>
          <w:tcPr>
            <w:tcW w:w="3969" w:type="dxa"/>
            <w:vMerge/>
            <w:tcBorders>
              <w:top w:val="nil"/>
              <w:left w:val="single" w:sz="4" w:space="0" w:color="auto"/>
              <w:bottom w:val="single" w:sz="4" w:space="0" w:color="000000"/>
              <w:right w:val="single" w:sz="4" w:space="0" w:color="auto"/>
            </w:tcBorders>
            <w:vAlign w:val="center"/>
            <w:hideMark/>
          </w:tcPr>
          <w:p w14:paraId="7BAC6850" w14:textId="77777777" w:rsidR="004864FF" w:rsidRPr="0069558B" w:rsidRDefault="004864FF" w:rsidP="006B5A62">
            <w:pPr>
              <w:spacing w:before="20" w:after="20" w:line="240" w:lineRule="auto"/>
              <w:jc w:val="left"/>
              <w:rPr>
                <w:rFonts w:eastAsia="Times New Roman" w:cs="Calibri"/>
                <w:color w:val="000000"/>
                <w:sz w:val="20"/>
                <w:szCs w:val="20"/>
                <w:lang w:eastAsia="es-CL"/>
              </w:rPr>
            </w:pPr>
          </w:p>
        </w:tc>
        <w:tc>
          <w:tcPr>
            <w:tcW w:w="1134" w:type="dxa"/>
            <w:tcBorders>
              <w:top w:val="nil"/>
              <w:left w:val="nil"/>
              <w:bottom w:val="single" w:sz="4" w:space="0" w:color="auto"/>
              <w:right w:val="single" w:sz="4" w:space="0" w:color="auto"/>
            </w:tcBorders>
            <w:shd w:val="clear" w:color="auto" w:fill="auto"/>
            <w:noWrap/>
            <w:vAlign w:val="bottom"/>
            <w:hideMark/>
          </w:tcPr>
          <w:p w14:paraId="202AB1B6"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P_083</w:t>
            </w:r>
          </w:p>
        </w:tc>
        <w:tc>
          <w:tcPr>
            <w:tcW w:w="3686" w:type="dxa"/>
            <w:tcBorders>
              <w:top w:val="nil"/>
              <w:left w:val="nil"/>
              <w:bottom w:val="single" w:sz="4" w:space="0" w:color="auto"/>
              <w:right w:val="single" w:sz="4" w:space="0" w:color="auto"/>
            </w:tcBorders>
            <w:shd w:val="clear" w:color="auto" w:fill="auto"/>
            <w:noWrap/>
            <w:vAlign w:val="bottom"/>
            <w:hideMark/>
          </w:tcPr>
          <w:p w14:paraId="20F05522"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CGE</w:t>
            </w:r>
          </w:p>
        </w:tc>
        <w:tc>
          <w:tcPr>
            <w:tcW w:w="2268" w:type="dxa"/>
            <w:tcBorders>
              <w:top w:val="nil"/>
              <w:left w:val="nil"/>
              <w:bottom w:val="single" w:sz="4" w:space="0" w:color="auto"/>
              <w:right w:val="single" w:sz="4" w:space="0" w:color="auto"/>
            </w:tcBorders>
            <w:shd w:val="clear" w:color="auto" w:fill="auto"/>
            <w:noWrap/>
            <w:vAlign w:val="bottom"/>
            <w:hideMark/>
          </w:tcPr>
          <w:p w14:paraId="3EFEADCD"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1.000,81</w:t>
            </w:r>
          </w:p>
        </w:tc>
      </w:tr>
      <w:tr w:rsidR="004864FF" w:rsidRPr="0069558B" w14:paraId="692F7CF2" w14:textId="77777777" w:rsidTr="006B5A62">
        <w:trPr>
          <w:jc w:val="center"/>
        </w:trPr>
        <w:tc>
          <w:tcPr>
            <w:tcW w:w="1985"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012223E9"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N_2</w:t>
            </w:r>
          </w:p>
        </w:tc>
        <w:tc>
          <w:tcPr>
            <w:tcW w:w="3969" w:type="dxa"/>
            <w:vMerge w:val="restart"/>
            <w:tcBorders>
              <w:top w:val="nil"/>
              <w:left w:val="single" w:sz="4" w:space="0" w:color="auto"/>
              <w:bottom w:val="single" w:sz="4" w:space="0" w:color="000000"/>
              <w:right w:val="single" w:sz="4" w:space="0" w:color="auto"/>
            </w:tcBorders>
            <w:shd w:val="clear" w:color="auto" w:fill="auto"/>
            <w:vAlign w:val="center"/>
            <w:hideMark/>
          </w:tcPr>
          <w:p w14:paraId="15C84E61"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Alto Jahuel 220-&gt;Buin 220</w:t>
            </w:r>
          </w:p>
        </w:tc>
        <w:tc>
          <w:tcPr>
            <w:tcW w:w="1134" w:type="dxa"/>
            <w:tcBorders>
              <w:top w:val="nil"/>
              <w:left w:val="nil"/>
              <w:bottom w:val="single" w:sz="4" w:space="0" w:color="auto"/>
              <w:right w:val="single" w:sz="4" w:space="0" w:color="auto"/>
            </w:tcBorders>
            <w:shd w:val="clear" w:color="auto" w:fill="auto"/>
            <w:noWrap/>
            <w:vAlign w:val="bottom"/>
            <w:hideMark/>
          </w:tcPr>
          <w:p w14:paraId="4073A393"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P_032</w:t>
            </w:r>
          </w:p>
        </w:tc>
        <w:tc>
          <w:tcPr>
            <w:tcW w:w="3686" w:type="dxa"/>
            <w:tcBorders>
              <w:top w:val="nil"/>
              <w:left w:val="nil"/>
              <w:bottom w:val="single" w:sz="4" w:space="0" w:color="auto"/>
              <w:right w:val="single" w:sz="4" w:space="0" w:color="auto"/>
            </w:tcBorders>
            <w:shd w:val="clear" w:color="auto" w:fill="auto"/>
            <w:noWrap/>
            <w:vAlign w:val="bottom"/>
            <w:hideMark/>
          </w:tcPr>
          <w:p w14:paraId="2F57168F"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TRANSELEC S.A.</w:t>
            </w:r>
          </w:p>
        </w:tc>
        <w:tc>
          <w:tcPr>
            <w:tcW w:w="2268" w:type="dxa"/>
            <w:tcBorders>
              <w:top w:val="nil"/>
              <w:left w:val="nil"/>
              <w:bottom w:val="single" w:sz="4" w:space="0" w:color="auto"/>
              <w:right w:val="single" w:sz="4" w:space="0" w:color="auto"/>
            </w:tcBorders>
            <w:shd w:val="clear" w:color="auto" w:fill="auto"/>
            <w:noWrap/>
            <w:vAlign w:val="bottom"/>
            <w:hideMark/>
          </w:tcPr>
          <w:p w14:paraId="3B092725"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340.915,44</w:t>
            </w:r>
          </w:p>
        </w:tc>
      </w:tr>
      <w:tr w:rsidR="004864FF" w:rsidRPr="0069558B" w14:paraId="6130F76D" w14:textId="77777777" w:rsidTr="006B5A62">
        <w:trPr>
          <w:jc w:val="center"/>
        </w:trPr>
        <w:tc>
          <w:tcPr>
            <w:tcW w:w="1985" w:type="dxa"/>
            <w:vMerge/>
            <w:tcBorders>
              <w:top w:val="nil"/>
              <w:left w:val="single" w:sz="4" w:space="0" w:color="auto"/>
              <w:bottom w:val="single" w:sz="4" w:space="0" w:color="000000"/>
              <w:right w:val="single" w:sz="4" w:space="0" w:color="auto"/>
            </w:tcBorders>
            <w:vAlign w:val="center"/>
            <w:hideMark/>
          </w:tcPr>
          <w:p w14:paraId="5DD94D31" w14:textId="77777777" w:rsidR="004864FF" w:rsidRPr="0069558B" w:rsidRDefault="004864FF" w:rsidP="006B5A62">
            <w:pPr>
              <w:spacing w:before="20" w:after="20" w:line="240" w:lineRule="auto"/>
              <w:jc w:val="left"/>
              <w:rPr>
                <w:rFonts w:eastAsia="Times New Roman" w:cs="Calibri"/>
                <w:color w:val="000000"/>
                <w:sz w:val="20"/>
                <w:szCs w:val="20"/>
                <w:lang w:eastAsia="es-CL"/>
              </w:rPr>
            </w:pPr>
          </w:p>
        </w:tc>
        <w:tc>
          <w:tcPr>
            <w:tcW w:w="3969" w:type="dxa"/>
            <w:vMerge/>
            <w:tcBorders>
              <w:top w:val="nil"/>
              <w:left w:val="single" w:sz="4" w:space="0" w:color="auto"/>
              <w:bottom w:val="single" w:sz="4" w:space="0" w:color="000000"/>
              <w:right w:val="single" w:sz="4" w:space="0" w:color="auto"/>
            </w:tcBorders>
            <w:vAlign w:val="center"/>
            <w:hideMark/>
          </w:tcPr>
          <w:p w14:paraId="7473459C" w14:textId="77777777" w:rsidR="004864FF" w:rsidRPr="0069558B" w:rsidRDefault="004864FF" w:rsidP="006B5A62">
            <w:pPr>
              <w:spacing w:before="20" w:after="20" w:line="240" w:lineRule="auto"/>
              <w:jc w:val="left"/>
              <w:rPr>
                <w:rFonts w:eastAsia="Times New Roman" w:cs="Calibri"/>
                <w:color w:val="000000"/>
                <w:sz w:val="20"/>
                <w:szCs w:val="20"/>
                <w:lang w:eastAsia="es-CL"/>
              </w:rPr>
            </w:pPr>
          </w:p>
        </w:tc>
        <w:tc>
          <w:tcPr>
            <w:tcW w:w="1134" w:type="dxa"/>
            <w:tcBorders>
              <w:top w:val="nil"/>
              <w:left w:val="nil"/>
              <w:bottom w:val="single" w:sz="4" w:space="0" w:color="auto"/>
              <w:right w:val="single" w:sz="4" w:space="0" w:color="auto"/>
            </w:tcBorders>
            <w:shd w:val="clear" w:color="auto" w:fill="auto"/>
            <w:noWrap/>
            <w:vAlign w:val="bottom"/>
            <w:hideMark/>
          </w:tcPr>
          <w:p w14:paraId="054278B2"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P_111</w:t>
            </w:r>
          </w:p>
        </w:tc>
        <w:tc>
          <w:tcPr>
            <w:tcW w:w="3686" w:type="dxa"/>
            <w:tcBorders>
              <w:top w:val="nil"/>
              <w:left w:val="nil"/>
              <w:bottom w:val="single" w:sz="4" w:space="0" w:color="auto"/>
              <w:right w:val="single" w:sz="4" w:space="0" w:color="auto"/>
            </w:tcBorders>
            <w:shd w:val="clear" w:color="auto" w:fill="auto"/>
            <w:noWrap/>
            <w:vAlign w:val="bottom"/>
            <w:hideMark/>
          </w:tcPr>
          <w:p w14:paraId="621D0447"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ENEL DISTRIBUCION S.A.</w:t>
            </w:r>
          </w:p>
        </w:tc>
        <w:tc>
          <w:tcPr>
            <w:tcW w:w="2268" w:type="dxa"/>
            <w:tcBorders>
              <w:top w:val="nil"/>
              <w:left w:val="nil"/>
              <w:bottom w:val="single" w:sz="4" w:space="0" w:color="auto"/>
              <w:right w:val="single" w:sz="4" w:space="0" w:color="auto"/>
            </w:tcBorders>
            <w:shd w:val="clear" w:color="auto" w:fill="auto"/>
            <w:noWrap/>
            <w:vAlign w:val="bottom"/>
            <w:hideMark/>
          </w:tcPr>
          <w:p w14:paraId="0E39F9CD"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52.183,04</w:t>
            </w:r>
          </w:p>
        </w:tc>
      </w:tr>
      <w:tr w:rsidR="004864FF" w:rsidRPr="0069558B" w14:paraId="1EEE9E51" w14:textId="77777777" w:rsidTr="006B5A62">
        <w:trPr>
          <w:jc w:val="center"/>
        </w:trPr>
        <w:tc>
          <w:tcPr>
            <w:tcW w:w="1985"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2E90F527"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N_3</w:t>
            </w:r>
          </w:p>
        </w:tc>
        <w:tc>
          <w:tcPr>
            <w:tcW w:w="3969" w:type="dxa"/>
            <w:vMerge w:val="restart"/>
            <w:tcBorders>
              <w:top w:val="nil"/>
              <w:left w:val="single" w:sz="4" w:space="0" w:color="auto"/>
              <w:bottom w:val="single" w:sz="4" w:space="0" w:color="000000"/>
              <w:right w:val="single" w:sz="4" w:space="0" w:color="auto"/>
            </w:tcBorders>
            <w:shd w:val="clear" w:color="auto" w:fill="auto"/>
            <w:vAlign w:val="center"/>
            <w:hideMark/>
          </w:tcPr>
          <w:p w14:paraId="0A19A9DF"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Alto Jahuel 220-&gt;Chena 220</w:t>
            </w:r>
          </w:p>
        </w:tc>
        <w:tc>
          <w:tcPr>
            <w:tcW w:w="1134" w:type="dxa"/>
            <w:tcBorders>
              <w:top w:val="nil"/>
              <w:left w:val="nil"/>
              <w:bottom w:val="single" w:sz="4" w:space="0" w:color="auto"/>
              <w:right w:val="single" w:sz="4" w:space="0" w:color="auto"/>
            </w:tcBorders>
            <w:shd w:val="clear" w:color="auto" w:fill="auto"/>
            <w:noWrap/>
            <w:vAlign w:val="bottom"/>
            <w:hideMark/>
          </w:tcPr>
          <w:p w14:paraId="1596752E"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P_032</w:t>
            </w:r>
          </w:p>
        </w:tc>
        <w:tc>
          <w:tcPr>
            <w:tcW w:w="3686" w:type="dxa"/>
            <w:tcBorders>
              <w:top w:val="nil"/>
              <w:left w:val="nil"/>
              <w:bottom w:val="single" w:sz="4" w:space="0" w:color="auto"/>
              <w:right w:val="single" w:sz="4" w:space="0" w:color="auto"/>
            </w:tcBorders>
            <w:shd w:val="clear" w:color="auto" w:fill="auto"/>
            <w:noWrap/>
            <w:vAlign w:val="bottom"/>
            <w:hideMark/>
          </w:tcPr>
          <w:p w14:paraId="481A1CC8"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TRANSELEC S.A.</w:t>
            </w:r>
          </w:p>
        </w:tc>
        <w:tc>
          <w:tcPr>
            <w:tcW w:w="2268" w:type="dxa"/>
            <w:tcBorders>
              <w:top w:val="nil"/>
              <w:left w:val="nil"/>
              <w:bottom w:val="single" w:sz="4" w:space="0" w:color="auto"/>
              <w:right w:val="single" w:sz="4" w:space="0" w:color="auto"/>
            </w:tcBorders>
            <w:shd w:val="clear" w:color="auto" w:fill="auto"/>
            <w:noWrap/>
            <w:vAlign w:val="bottom"/>
            <w:hideMark/>
          </w:tcPr>
          <w:p w14:paraId="2CCF11E7"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14.084.586,21</w:t>
            </w:r>
          </w:p>
        </w:tc>
      </w:tr>
      <w:tr w:rsidR="004864FF" w:rsidRPr="0069558B" w14:paraId="6ED031E8" w14:textId="77777777" w:rsidTr="006B5A62">
        <w:trPr>
          <w:jc w:val="center"/>
        </w:trPr>
        <w:tc>
          <w:tcPr>
            <w:tcW w:w="1985" w:type="dxa"/>
            <w:vMerge/>
            <w:tcBorders>
              <w:top w:val="nil"/>
              <w:left w:val="single" w:sz="4" w:space="0" w:color="auto"/>
              <w:bottom w:val="single" w:sz="4" w:space="0" w:color="000000"/>
              <w:right w:val="single" w:sz="4" w:space="0" w:color="auto"/>
            </w:tcBorders>
            <w:vAlign w:val="center"/>
            <w:hideMark/>
          </w:tcPr>
          <w:p w14:paraId="433C4345" w14:textId="77777777" w:rsidR="004864FF" w:rsidRPr="0069558B" w:rsidRDefault="004864FF" w:rsidP="006B5A62">
            <w:pPr>
              <w:spacing w:before="20" w:after="20" w:line="240" w:lineRule="auto"/>
              <w:jc w:val="left"/>
              <w:rPr>
                <w:rFonts w:eastAsia="Times New Roman" w:cs="Calibri"/>
                <w:color w:val="000000"/>
                <w:sz w:val="20"/>
                <w:szCs w:val="20"/>
                <w:lang w:eastAsia="es-CL"/>
              </w:rPr>
            </w:pPr>
          </w:p>
        </w:tc>
        <w:tc>
          <w:tcPr>
            <w:tcW w:w="3969" w:type="dxa"/>
            <w:vMerge/>
            <w:tcBorders>
              <w:top w:val="nil"/>
              <w:left w:val="single" w:sz="4" w:space="0" w:color="auto"/>
              <w:bottom w:val="single" w:sz="4" w:space="0" w:color="000000"/>
              <w:right w:val="single" w:sz="4" w:space="0" w:color="auto"/>
            </w:tcBorders>
            <w:vAlign w:val="center"/>
            <w:hideMark/>
          </w:tcPr>
          <w:p w14:paraId="79ED9098" w14:textId="77777777" w:rsidR="004864FF" w:rsidRPr="0069558B" w:rsidRDefault="004864FF" w:rsidP="006B5A62">
            <w:pPr>
              <w:spacing w:before="20" w:after="20" w:line="240" w:lineRule="auto"/>
              <w:jc w:val="left"/>
              <w:rPr>
                <w:rFonts w:eastAsia="Times New Roman" w:cs="Calibri"/>
                <w:color w:val="000000"/>
                <w:sz w:val="20"/>
                <w:szCs w:val="20"/>
                <w:lang w:eastAsia="es-CL"/>
              </w:rPr>
            </w:pPr>
          </w:p>
        </w:tc>
        <w:tc>
          <w:tcPr>
            <w:tcW w:w="1134" w:type="dxa"/>
            <w:tcBorders>
              <w:top w:val="nil"/>
              <w:left w:val="nil"/>
              <w:bottom w:val="single" w:sz="4" w:space="0" w:color="auto"/>
              <w:right w:val="single" w:sz="4" w:space="0" w:color="auto"/>
            </w:tcBorders>
            <w:shd w:val="clear" w:color="auto" w:fill="auto"/>
            <w:noWrap/>
            <w:vAlign w:val="bottom"/>
            <w:hideMark/>
          </w:tcPr>
          <w:p w14:paraId="29D111F4"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P_513</w:t>
            </w:r>
          </w:p>
        </w:tc>
        <w:tc>
          <w:tcPr>
            <w:tcW w:w="3686" w:type="dxa"/>
            <w:tcBorders>
              <w:top w:val="nil"/>
              <w:left w:val="nil"/>
              <w:bottom w:val="single" w:sz="4" w:space="0" w:color="auto"/>
              <w:right w:val="single" w:sz="4" w:space="0" w:color="auto"/>
            </w:tcBorders>
            <w:shd w:val="clear" w:color="auto" w:fill="auto"/>
            <w:noWrap/>
            <w:vAlign w:val="bottom"/>
            <w:hideMark/>
          </w:tcPr>
          <w:p w14:paraId="54AA8559"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Chena S. A.</w:t>
            </w:r>
          </w:p>
        </w:tc>
        <w:tc>
          <w:tcPr>
            <w:tcW w:w="2268" w:type="dxa"/>
            <w:tcBorders>
              <w:top w:val="nil"/>
              <w:left w:val="nil"/>
              <w:bottom w:val="single" w:sz="4" w:space="0" w:color="auto"/>
              <w:right w:val="single" w:sz="4" w:space="0" w:color="auto"/>
            </w:tcBorders>
            <w:shd w:val="clear" w:color="auto" w:fill="auto"/>
            <w:noWrap/>
            <w:vAlign w:val="bottom"/>
            <w:hideMark/>
          </w:tcPr>
          <w:p w14:paraId="2CCA7AA7"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389.107,35</w:t>
            </w:r>
          </w:p>
        </w:tc>
      </w:tr>
      <w:tr w:rsidR="004864FF" w:rsidRPr="0069558B" w14:paraId="241595B5"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441777EF"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N_4</w:t>
            </w:r>
          </w:p>
        </w:tc>
        <w:tc>
          <w:tcPr>
            <w:tcW w:w="3969" w:type="dxa"/>
            <w:tcBorders>
              <w:top w:val="nil"/>
              <w:left w:val="nil"/>
              <w:bottom w:val="single" w:sz="4" w:space="0" w:color="auto"/>
              <w:right w:val="single" w:sz="4" w:space="0" w:color="auto"/>
            </w:tcBorders>
            <w:shd w:val="clear" w:color="auto" w:fill="auto"/>
            <w:vAlign w:val="center"/>
            <w:hideMark/>
          </w:tcPr>
          <w:p w14:paraId="5360DFD1"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Alto Jahuel 220-&gt;Los Almendros 220</w:t>
            </w:r>
          </w:p>
        </w:tc>
        <w:tc>
          <w:tcPr>
            <w:tcW w:w="1134" w:type="dxa"/>
            <w:tcBorders>
              <w:top w:val="nil"/>
              <w:left w:val="nil"/>
              <w:bottom w:val="single" w:sz="4" w:space="0" w:color="auto"/>
              <w:right w:val="single" w:sz="4" w:space="0" w:color="auto"/>
            </w:tcBorders>
            <w:shd w:val="clear" w:color="auto" w:fill="auto"/>
            <w:noWrap/>
            <w:vAlign w:val="bottom"/>
            <w:hideMark/>
          </w:tcPr>
          <w:p w14:paraId="46774684"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P_111</w:t>
            </w:r>
          </w:p>
        </w:tc>
        <w:tc>
          <w:tcPr>
            <w:tcW w:w="3686" w:type="dxa"/>
            <w:tcBorders>
              <w:top w:val="nil"/>
              <w:left w:val="nil"/>
              <w:bottom w:val="single" w:sz="4" w:space="0" w:color="auto"/>
              <w:right w:val="single" w:sz="4" w:space="0" w:color="auto"/>
            </w:tcBorders>
            <w:shd w:val="clear" w:color="auto" w:fill="auto"/>
            <w:noWrap/>
            <w:vAlign w:val="bottom"/>
            <w:hideMark/>
          </w:tcPr>
          <w:p w14:paraId="68D91DE0"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ENEL DISTRIBUCION S.A.</w:t>
            </w:r>
          </w:p>
        </w:tc>
        <w:tc>
          <w:tcPr>
            <w:tcW w:w="2268" w:type="dxa"/>
            <w:tcBorders>
              <w:top w:val="nil"/>
              <w:left w:val="nil"/>
              <w:bottom w:val="single" w:sz="4" w:space="0" w:color="auto"/>
              <w:right w:val="single" w:sz="4" w:space="0" w:color="auto"/>
            </w:tcBorders>
            <w:shd w:val="clear" w:color="auto" w:fill="auto"/>
            <w:noWrap/>
            <w:vAlign w:val="bottom"/>
            <w:hideMark/>
          </w:tcPr>
          <w:p w14:paraId="6C5C181A"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28.203.856,46</w:t>
            </w:r>
          </w:p>
        </w:tc>
      </w:tr>
      <w:tr w:rsidR="004864FF" w:rsidRPr="0069558B" w14:paraId="4312FFFE"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6B1D08C2"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N_5</w:t>
            </w:r>
          </w:p>
        </w:tc>
        <w:tc>
          <w:tcPr>
            <w:tcW w:w="3969" w:type="dxa"/>
            <w:tcBorders>
              <w:top w:val="nil"/>
              <w:left w:val="nil"/>
              <w:bottom w:val="single" w:sz="4" w:space="0" w:color="auto"/>
              <w:right w:val="single" w:sz="4" w:space="0" w:color="auto"/>
            </w:tcBorders>
            <w:shd w:val="clear" w:color="auto" w:fill="auto"/>
            <w:vAlign w:val="center"/>
            <w:hideMark/>
          </w:tcPr>
          <w:p w14:paraId="53E5E9AB"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Alto Jahuel 220-&gt;Maipo 220</w:t>
            </w:r>
          </w:p>
        </w:tc>
        <w:tc>
          <w:tcPr>
            <w:tcW w:w="1134" w:type="dxa"/>
            <w:tcBorders>
              <w:top w:val="nil"/>
              <w:left w:val="nil"/>
              <w:bottom w:val="single" w:sz="4" w:space="0" w:color="auto"/>
              <w:right w:val="single" w:sz="4" w:space="0" w:color="auto"/>
            </w:tcBorders>
            <w:shd w:val="clear" w:color="auto" w:fill="auto"/>
            <w:noWrap/>
            <w:vAlign w:val="bottom"/>
            <w:hideMark/>
          </w:tcPr>
          <w:p w14:paraId="3642343E"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P_244</w:t>
            </w:r>
          </w:p>
        </w:tc>
        <w:tc>
          <w:tcPr>
            <w:tcW w:w="3686" w:type="dxa"/>
            <w:tcBorders>
              <w:top w:val="nil"/>
              <w:left w:val="nil"/>
              <w:bottom w:val="single" w:sz="4" w:space="0" w:color="auto"/>
              <w:right w:val="single" w:sz="4" w:space="0" w:color="auto"/>
            </w:tcBorders>
            <w:shd w:val="clear" w:color="auto" w:fill="auto"/>
            <w:noWrap/>
            <w:vAlign w:val="bottom"/>
            <w:hideMark/>
          </w:tcPr>
          <w:p w14:paraId="24DAF050"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Colbún Transmisión</w:t>
            </w:r>
          </w:p>
        </w:tc>
        <w:tc>
          <w:tcPr>
            <w:tcW w:w="2268" w:type="dxa"/>
            <w:tcBorders>
              <w:top w:val="nil"/>
              <w:left w:val="nil"/>
              <w:bottom w:val="single" w:sz="4" w:space="0" w:color="auto"/>
              <w:right w:val="single" w:sz="4" w:space="0" w:color="auto"/>
            </w:tcBorders>
            <w:shd w:val="clear" w:color="auto" w:fill="auto"/>
            <w:noWrap/>
            <w:vAlign w:val="bottom"/>
            <w:hideMark/>
          </w:tcPr>
          <w:p w14:paraId="7E41F2F8"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1.272.612,27</w:t>
            </w:r>
          </w:p>
        </w:tc>
      </w:tr>
      <w:tr w:rsidR="004864FF" w:rsidRPr="0069558B" w14:paraId="77F8C3B2"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4AF37C54"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N_6</w:t>
            </w:r>
          </w:p>
        </w:tc>
        <w:tc>
          <w:tcPr>
            <w:tcW w:w="3969" w:type="dxa"/>
            <w:tcBorders>
              <w:top w:val="nil"/>
              <w:left w:val="nil"/>
              <w:bottom w:val="single" w:sz="4" w:space="0" w:color="auto"/>
              <w:right w:val="single" w:sz="4" w:space="0" w:color="auto"/>
            </w:tcBorders>
            <w:shd w:val="clear" w:color="auto" w:fill="auto"/>
            <w:vAlign w:val="center"/>
            <w:hideMark/>
          </w:tcPr>
          <w:p w14:paraId="79F5802C"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Alto Jahuel 220-&gt;Tap Central Santa Marta 220</w:t>
            </w:r>
          </w:p>
        </w:tc>
        <w:tc>
          <w:tcPr>
            <w:tcW w:w="1134" w:type="dxa"/>
            <w:tcBorders>
              <w:top w:val="nil"/>
              <w:left w:val="nil"/>
              <w:bottom w:val="single" w:sz="4" w:space="0" w:color="auto"/>
              <w:right w:val="single" w:sz="4" w:space="0" w:color="auto"/>
            </w:tcBorders>
            <w:shd w:val="clear" w:color="auto" w:fill="auto"/>
            <w:noWrap/>
            <w:vAlign w:val="bottom"/>
            <w:hideMark/>
          </w:tcPr>
          <w:p w14:paraId="5A431A22"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P_032</w:t>
            </w:r>
          </w:p>
        </w:tc>
        <w:tc>
          <w:tcPr>
            <w:tcW w:w="3686" w:type="dxa"/>
            <w:tcBorders>
              <w:top w:val="nil"/>
              <w:left w:val="nil"/>
              <w:bottom w:val="single" w:sz="4" w:space="0" w:color="auto"/>
              <w:right w:val="single" w:sz="4" w:space="0" w:color="auto"/>
            </w:tcBorders>
            <w:shd w:val="clear" w:color="auto" w:fill="auto"/>
            <w:noWrap/>
            <w:vAlign w:val="bottom"/>
            <w:hideMark/>
          </w:tcPr>
          <w:p w14:paraId="5B4E77D2"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TRANSELEC S.A.</w:t>
            </w:r>
          </w:p>
        </w:tc>
        <w:tc>
          <w:tcPr>
            <w:tcW w:w="2268" w:type="dxa"/>
            <w:tcBorders>
              <w:top w:val="nil"/>
              <w:left w:val="nil"/>
              <w:bottom w:val="single" w:sz="4" w:space="0" w:color="auto"/>
              <w:right w:val="single" w:sz="4" w:space="0" w:color="auto"/>
            </w:tcBorders>
            <w:shd w:val="clear" w:color="auto" w:fill="auto"/>
            <w:noWrap/>
            <w:vAlign w:val="bottom"/>
            <w:hideMark/>
          </w:tcPr>
          <w:p w14:paraId="6C579B96"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3.775.087,19</w:t>
            </w:r>
          </w:p>
        </w:tc>
      </w:tr>
      <w:tr w:rsidR="004864FF" w:rsidRPr="0069558B" w14:paraId="0104688D" w14:textId="77777777" w:rsidTr="006B5A62">
        <w:trPr>
          <w:jc w:val="center"/>
        </w:trPr>
        <w:tc>
          <w:tcPr>
            <w:tcW w:w="1985"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1D788DC2"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N_7</w:t>
            </w:r>
          </w:p>
        </w:tc>
        <w:tc>
          <w:tcPr>
            <w:tcW w:w="3969" w:type="dxa"/>
            <w:vMerge w:val="restart"/>
            <w:tcBorders>
              <w:top w:val="nil"/>
              <w:left w:val="single" w:sz="4" w:space="0" w:color="auto"/>
              <w:bottom w:val="single" w:sz="4" w:space="0" w:color="000000"/>
              <w:right w:val="single" w:sz="4" w:space="0" w:color="auto"/>
            </w:tcBorders>
            <w:shd w:val="clear" w:color="auto" w:fill="auto"/>
            <w:vAlign w:val="center"/>
            <w:hideMark/>
          </w:tcPr>
          <w:p w14:paraId="34E31C53"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Alto Jahuel 500-&gt;Ancoa 500</w:t>
            </w:r>
          </w:p>
        </w:tc>
        <w:tc>
          <w:tcPr>
            <w:tcW w:w="1134" w:type="dxa"/>
            <w:tcBorders>
              <w:top w:val="nil"/>
              <w:left w:val="nil"/>
              <w:bottom w:val="single" w:sz="4" w:space="0" w:color="auto"/>
              <w:right w:val="single" w:sz="4" w:space="0" w:color="auto"/>
            </w:tcBorders>
            <w:shd w:val="clear" w:color="auto" w:fill="auto"/>
            <w:noWrap/>
            <w:vAlign w:val="bottom"/>
            <w:hideMark/>
          </w:tcPr>
          <w:p w14:paraId="07C2759F"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P_032</w:t>
            </w:r>
          </w:p>
        </w:tc>
        <w:tc>
          <w:tcPr>
            <w:tcW w:w="3686" w:type="dxa"/>
            <w:tcBorders>
              <w:top w:val="nil"/>
              <w:left w:val="nil"/>
              <w:bottom w:val="single" w:sz="4" w:space="0" w:color="auto"/>
              <w:right w:val="single" w:sz="4" w:space="0" w:color="auto"/>
            </w:tcBorders>
            <w:shd w:val="clear" w:color="auto" w:fill="auto"/>
            <w:noWrap/>
            <w:vAlign w:val="bottom"/>
            <w:hideMark/>
          </w:tcPr>
          <w:p w14:paraId="4A270397"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TRANSELEC S.A.</w:t>
            </w:r>
          </w:p>
        </w:tc>
        <w:tc>
          <w:tcPr>
            <w:tcW w:w="2268" w:type="dxa"/>
            <w:tcBorders>
              <w:top w:val="nil"/>
              <w:left w:val="nil"/>
              <w:bottom w:val="single" w:sz="4" w:space="0" w:color="auto"/>
              <w:right w:val="single" w:sz="4" w:space="0" w:color="auto"/>
            </w:tcBorders>
            <w:shd w:val="clear" w:color="auto" w:fill="auto"/>
            <w:noWrap/>
            <w:vAlign w:val="bottom"/>
            <w:hideMark/>
          </w:tcPr>
          <w:p w14:paraId="55C1A5D9"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235.688.052,56</w:t>
            </w:r>
          </w:p>
        </w:tc>
      </w:tr>
      <w:tr w:rsidR="004864FF" w:rsidRPr="0069558B" w14:paraId="13834A63" w14:textId="77777777" w:rsidTr="006B5A62">
        <w:trPr>
          <w:jc w:val="center"/>
        </w:trPr>
        <w:tc>
          <w:tcPr>
            <w:tcW w:w="1985" w:type="dxa"/>
            <w:vMerge/>
            <w:tcBorders>
              <w:top w:val="nil"/>
              <w:left w:val="single" w:sz="4" w:space="0" w:color="auto"/>
              <w:bottom w:val="single" w:sz="4" w:space="0" w:color="000000"/>
              <w:right w:val="single" w:sz="4" w:space="0" w:color="auto"/>
            </w:tcBorders>
            <w:vAlign w:val="center"/>
            <w:hideMark/>
          </w:tcPr>
          <w:p w14:paraId="212BA039" w14:textId="77777777" w:rsidR="004864FF" w:rsidRPr="0069558B" w:rsidRDefault="004864FF" w:rsidP="006B5A62">
            <w:pPr>
              <w:spacing w:before="20" w:after="20" w:line="240" w:lineRule="auto"/>
              <w:jc w:val="left"/>
              <w:rPr>
                <w:rFonts w:eastAsia="Times New Roman" w:cs="Calibri"/>
                <w:color w:val="000000"/>
                <w:sz w:val="20"/>
                <w:szCs w:val="20"/>
                <w:lang w:eastAsia="es-CL"/>
              </w:rPr>
            </w:pPr>
          </w:p>
        </w:tc>
        <w:tc>
          <w:tcPr>
            <w:tcW w:w="3969" w:type="dxa"/>
            <w:vMerge/>
            <w:tcBorders>
              <w:top w:val="nil"/>
              <w:left w:val="single" w:sz="4" w:space="0" w:color="auto"/>
              <w:bottom w:val="single" w:sz="4" w:space="0" w:color="000000"/>
              <w:right w:val="single" w:sz="4" w:space="0" w:color="auto"/>
            </w:tcBorders>
            <w:vAlign w:val="center"/>
            <w:hideMark/>
          </w:tcPr>
          <w:p w14:paraId="21AE6AA0" w14:textId="77777777" w:rsidR="004864FF" w:rsidRPr="0069558B" w:rsidRDefault="004864FF" w:rsidP="006B5A62">
            <w:pPr>
              <w:spacing w:before="20" w:after="20" w:line="240" w:lineRule="auto"/>
              <w:jc w:val="left"/>
              <w:rPr>
                <w:rFonts w:eastAsia="Times New Roman" w:cs="Calibri"/>
                <w:color w:val="000000"/>
                <w:sz w:val="20"/>
                <w:szCs w:val="20"/>
                <w:lang w:eastAsia="es-CL"/>
              </w:rPr>
            </w:pPr>
          </w:p>
        </w:tc>
        <w:tc>
          <w:tcPr>
            <w:tcW w:w="1134" w:type="dxa"/>
            <w:tcBorders>
              <w:top w:val="nil"/>
              <w:left w:val="nil"/>
              <w:bottom w:val="single" w:sz="4" w:space="0" w:color="auto"/>
              <w:right w:val="single" w:sz="4" w:space="0" w:color="auto"/>
            </w:tcBorders>
            <w:shd w:val="clear" w:color="auto" w:fill="auto"/>
            <w:noWrap/>
            <w:vAlign w:val="bottom"/>
            <w:hideMark/>
          </w:tcPr>
          <w:p w14:paraId="3B3D38C8"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P_208</w:t>
            </w:r>
          </w:p>
        </w:tc>
        <w:tc>
          <w:tcPr>
            <w:tcW w:w="3686" w:type="dxa"/>
            <w:tcBorders>
              <w:top w:val="nil"/>
              <w:left w:val="nil"/>
              <w:bottom w:val="single" w:sz="4" w:space="0" w:color="auto"/>
              <w:right w:val="single" w:sz="4" w:space="0" w:color="auto"/>
            </w:tcBorders>
            <w:shd w:val="clear" w:color="auto" w:fill="auto"/>
            <w:noWrap/>
            <w:vAlign w:val="bottom"/>
            <w:hideMark/>
          </w:tcPr>
          <w:p w14:paraId="36B818C7"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AJTE</w:t>
            </w:r>
          </w:p>
        </w:tc>
        <w:tc>
          <w:tcPr>
            <w:tcW w:w="2268" w:type="dxa"/>
            <w:tcBorders>
              <w:top w:val="nil"/>
              <w:left w:val="nil"/>
              <w:bottom w:val="single" w:sz="4" w:space="0" w:color="auto"/>
              <w:right w:val="single" w:sz="4" w:space="0" w:color="auto"/>
            </w:tcBorders>
            <w:shd w:val="clear" w:color="auto" w:fill="auto"/>
            <w:noWrap/>
            <w:vAlign w:val="bottom"/>
            <w:hideMark/>
          </w:tcPr>
          <w:p w14:paraId="4F9B4A6E"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59.632.031,27</w:t>
            </w:r>
          </w:p>
        </w:tc>
      </w:tr>
      <w:tr w:rsidR="004864FF" w:rsidRPr="0069558B" w14:paraId="46953192"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2EC96513"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N_8</w:t>
            </w:r>
          </w:p>
        </w:tc>
        <w:tc>
          <w:tcPr>
            <w:tcW w:w="3969" w:type="dxa"/>
            <w:tcBorders>
              <w:top w:val="nil"/>
              <w:left w:val="nil"/>
              <w:bottom w:val="single" w:sz="4" w:space="0" w:color="auto"/>
              <w:right w:val="single" w:sz="4" w:space="0" w:color="auto"/>
            </w:tcBorders>
            <w:shd w:val="clear" w:color="auto" w:fill="auto"/>
            <w:vAlign w:val="center"/>
            <w:hideMark/>
          </w:tcPr>
          <w:p w14:paraId="7F374AB6"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Ancoa 220-&gt;Ancoa 500</w:t>
            </w:r>
          </w:p>
        </w:tc>
        <w:tc>
          <w:tcPr>
            <w:tcW w:w="1134" w:type="dxa"/>
            <w:tcBorders>
              <w:top w:val="nil"/>
              <w:left w:val="nil"/>
              <w:bottom w:val="single" w:sz="4" w:space="0" w:color="auto"/>
              <w:right w:val="single" w:sz="4" w:space="0" w:color="auto"/>
            </w:tcBorders>
            <w:shd w:val="clear" w:color="auto" w:fill="auto"/>
            <w:noWrap/>
            <w:vAlign w:val="bottom"/>
            <w:hideMark/>
          </w:tcPr>
          <w:p w14:paraId="073A2CE5"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P_032</w:t>
            </w:r>
          </w:p>
        </w:tc>
        <w:tc>
          <w:tcPr>
            <w:tcW w:w="3686" w:type="dxa"/>
            <w:tcBorders>
              <w:top w:val="nil"/>
              <w:left w:val="nil"/>
              <w:bottom w:val="single" w:sz="4" w:space="0" w:color="auto"/>
              <w:right w:val="single" w:sz="4" w:space="0" w:color="auto"/>
            </w:tcBorders>
            <w:shd w:val="clear" w:color="auto" w:fill="auto"/>
            <w:noWrap/>
            <w:vAlign w:val="bottom"/>
            <w:hideMark/>
          </w:tcPr>
          <w:p w14:paraId="5DD8FB92"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TRANSELEC S.A.</w:t>
            </w:r>
          </w:p>
        </w:tc>
        <w:tc>
          <w:tcPr>
            <w:tcW w:w="2268" w:type="dxa"/>
            <w:tcBorders>
              <w:top w:val="nil"/>
              <w:left w:val="nil"/>
              <w:bottom w:val="single" w:sz="4" w:space="0" w:color="auto"/>
              <w:right w:val="single" w:sz="4" w:space="0" w:color="auto"/>
            </w:tcBorders>
            <w:shd w:val="clear" w:color="auto" w:fill="auto"/>
            <w:noWrap/>
            <w:vAlign w:val="bottom"/>
            <w:hideMark/>
          </w:tcPr>
          <w:p w14:paraId="6837FA96"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7.632.222,52</w:t>
            </w:r>
          </w:p>
        </w:tc>
      </w:tr>
      <w:tr w:rsidR="004864FF" w:rsidRPr="0069558B" w14:paraId="03DA6DB8"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649B8926"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N_9</w:t>
            </w:r>
          </w:p>
        </w:tc>
        <w:tc>
          <w:tcPr>
            <w:tcW w:w="3969" w:type="dxa"/>
            <w:tcBorders>
              <w:top w:val="nil"/>
              <w:left w:val="nil"/>
              <w:bottom w:val="single" w:sz="4" w:space="0" w:color="auto"/>
              <w:right w:val="single" w:sz="4" w:space="0" w:color="auto"/>
            </w:tcBorders>
            <w:shd w:val="clear" w:color="auto" w:fill="auto"/>
            <w:vAlign w:val="center"/>
            <w:hideMark/>
          </w:tcPr>
          <w:p w14:paraId="3DE97236"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Ancoa 220-&gt;Colbún 220</w:t>
            </w:r>
          </w:p>
        </w:tc>
        <w:tc>
          <w:tcPr>
            <w:tcW w:w="1134" w:type="dxa"/>
            <w:tcBorders>
              <w:top w:val="nil"/>
              <w:left w:val="nil"/>
              <w:bottom w:val="single" w:sz="4" w:space="0" w:color="auto"/>
              <w:right w:val="single" w:sz="4" w:space="0" w:color="auto"/>
            </w:tcBorders>
            <w:shd w:val="clear" w:color="auto" w:fill="auto"/>
            <w:noWrap/>
            <w:vAlign w:val="bottom"/>
            <w:hideMark/>
          </w:tcPr>
          <w:p w14:paraId="3FCF61AD"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P_244</w:t>
            </w:r>
          </w:p>
        </w:tc>
        <w:tc>
          <w:tcPr>
            <w:tcW w:w="3686" w:type="dxa"/>
            <w:tcBorders>
              <w:top w:val="nil"/>
              <w:left w:val="nil"/>
              <w:bottom w:val="single" w:sz="4" w:space="0" w:color="auto"/>
              <w:right w:val="single" w:sz="4" w:space="0" w:color="auto"/>
            </w:tcBorders>
            <w:shd w:val="clear" w:color="auto" w:fill="auto"/>
            <w:noWrap/>
            <w:vAlign w:val="bottom"/>
            <w:hideMark/>
          </w:tcPr>
          <w:p w14:paraId="11E2FE72"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Colbún Transmisión</w:t>
            </w:r>
          </w:p>
        </w:tc>
        <w:tc>
          <w:tcPr>
            <w:tcW w:w="2268" w:type="dxa"/>
            <w:tcBorders>
              <w:top w:val="nil"/>
              <w:left w:val="nil"/>
              <w:bottom w:val="single" w:sz="4" w:space="0" w:color="auto"/>
              <w:right w:val="single" w:sz="4" w:space="0" w:color="auto"/>
            </w:tcBorders>
            <w:shd w:val="clear" w:color="auto" w:fill="auto"/>
            <w:noWrap/>
            <w:vAlign w:val="bottom"/>
            <w:hideMark/>
          </w:tcPr>
          <w:p w14:paraId="4C4811A9"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245.964,11</w:t>
            </w:r>
          </w:p>
        </w:tc>
      </w:tr>
      <w:tr w:rsidR="004864FF" w:rsidRPr="0069558B" w14:paraId="2B021078"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6DAFDFD7"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N_10</w:t>
            </w:r>
          </w:p>
        </w:tc>
        <w:tc>
          <w:tcPr>
            <w:tcW w:w="3969" w:type="dxa"/>
            <w:tcBorders>
              <w:top w:val="nil"/>
              <w:left w:val="nil"/>
              <w:bottom w:val="single" w:sz="4" w:space="0" w:color="auto"/>
              <w:right w:val="single" w:sz="4" w:space="0" w:color="auto"/>
            </w:tcBorders>
            <w:shd w:val="clear" w:color="auto" w:fill="auto"/>
            <w:vAlign w:val="center"/>
            <w:hideMark/>
          </w:tcPr>
          <w:p w14:paraId="0F2B3D8F"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Ancoa 220-&gt;Itahue 220</w:t>
            </w:r>
          </w:p>
        </w:tc>
        <w:tc>
          <w:tcPr>
            <w:tcW w:w="1134" w:type="dxa"/>
            <w:tcBorders>
              <w:top w:val="nil"/>
              <w:left w:val="nil"/>
              <w:bottom w:val="single" w:sz="4" w:space="0" w:color="auto"/>
              <w:right w:val="single" w:sz="4" w:space="0" w:color="auto"/>
            </w:tcBorders>
            <w:shd w:val="clear" w:color="auto" w:fill="auto"/>
            <w:noWrap/>
            <w:vAlign w:val="bottom"/>
            <w:hideMark/>
          </w:tcPr>
          <w:p w14:paraId="08E55392"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P_032</w:t>
            </w:r>
          </w:p>
        </w:tc>
        <w:tc>
          <w:tcPr>
            <w:tcW w:w="3686" w:type="dxa"/>
            <w:tcBorders>
              <w:top w:val="nil"/>
              <w:left w:val="nil"/>
              <w:bottom w:val="single" w:sz="4" w:space="0" w:color="auto"/>
              <w:right w:val="single" w:sz="4" w:space="0" w:color="auto"/>
            </w:tcBorders>
            <w:shd w:val="clear" w:color="auto" w:fill="auto"/>
            <w:noWrap/>
            <w:vAlign w:val="bottom"/>
            <w:hideMark/>
          </w:tcPr>
          <w:p w14:paraId="60C3B97D"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TRANSELEC S.A.</w:t>
            </w:r>
          </w:p>
        </w:tc>
        <w:tc>
          <w:tcPr>
            <w:tcW w:w="2268" w:type="dxa"/>
            <w:tcBorders>
              <w:top w:val="nil"/>
              <w:left w:val="nil"/>
              <w:bottom w:val="single" w:sz="4" w:space="0" w:color="auto"/>
              <w:right w:val="single" w:sz="4" w:space="0" w:color="auto"/>
            </w:tcBorders>
            <w:shd w:val="clear" w:color="auto" w:fill="auto"/>
            <w:noWrap/>
            <w:vAlign w:val="bottom"/>
            <w:hideMark/>
          </w:tcPr>
          <w:p w14:paraId="4FAFEC1E"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12.178.737,51</w:t>
            </w:r>
          </w:p>
        </w:tc>
      </w:tr>
      <w:tr w:rsidR="004864FF" w:rsidRPr="0069558B" w14:paraId="0A72D5E7"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093E8FB5"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N_11</w:t>
            </w:r>
          </w:p>
        </w:tc>
        <w:tc>
          <w:tcPr>
            <w:tcW w:w="3969" w:type="dxa"/>
            <w:tcBorders>
              <w:top w:val="nil"/>
              <w:left w:val="nil"/>
              <w:bottom w:val="single" w:sz="4" w:space="0" w:color="auto"/>
              <w:right w:val="single" w:sz="4" w:space="0" w:color="auto"/>
            </w:tcBorders>
            <w:shd w:val="clear" w:color="auto" w:fill="auto"/>
            <w:vAlign w:val="center"/>
            <w:hideMark/>
          </w:tcPr>
          <w:p w14:paraId="401BCA80" w14:textId="77777777" w:rsidR="004864FF" w:rsidRPr="0069558B" w:rsidRDefault="004864FF" w:rsidP="006B5A62">
            <w:pPr>
              <w:spacing w:before="20" w:after="20" w:line="240" w:lineRule="auto"/>
              <w:jc w:val="center"/>
              <w:rPr>
                <w:rFonts w:eastAsia="Times New Roman" w:cs="Calibri"/>
                <w:color w:val="000000"/>
                <w:sz w:val="20"/>
                <w:szCs w:val="20"/>
                <w:lang w:val="en-US" w:eastAsia="es-CL"/>
              </w:rPr>
            </w:pPr>
            <w:r w:rsidRPr="0069558B">
              <w:rPr>
                <w:rFonts w:eastAsia="Times New Roman" w:cs="Calibri"/>
                <w:color w:val="000000"/>
                <w:sz w:val="20"/>
                <w:szCs w:val="20"/>
                <w:lang w:val="en-US" w:eastAsia="es-CL"/>
              </w:rPr>
              <w:t>Ancoa 220-&gt;Tap Off Santa Isabel 220</w:t>
            </w:r>
          </w:p>
        </w:tc>
        <w:tc>
          <w:tcPr>
            <w:tcW w:w="1134" w:type="dxa"/>
            <w:tcBorders>
              <w:top w:val="nil"/>
              <w:left w:val="nil"/>
              <w:bottom w:val="single" w:sz="4" w:space="0" w:color="auto"/>
              <w:right w:val="single" w:sz="4" w:space="0" w:color="auto"/>
            </w:tcBorders>
            <w:shd w:val="clear" w:color="auto" w:fill="auto"/>
            <w:noWrap/>
            <w:vAlign w:val="bottom"/>
            <w:hideMark/>
          </w:tcPr>
          <w:p w14:paraId="05346FBD"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P_032</w:t>
            </w:r>
          </w:p>
        </w:tc>
        <w:tc>
          <w:tcPr>
            <w:tcW w:w="3686" w:type="dxa"/>
            <w:tcBorders>
              <w:top w:val="nil"/>
              <w:left w:val="nil"/>
              <w:bottom w:val="single" w:sz="4" w:space="0" w:color="auto"/>
              <w:right w:val="single" w:sz="4" w:space="0" w:color="auto"/>
            </w:tcBorders>
            <w:shd w:val="clear" w:color="auto" w:fill="auto"/>
            <w:noWrap/>
            <w:vAlign w:val="bottom"/>
            <w:hideMark/>
          </w:tcPr>
          <w:p w14:paraId="47AF53F7"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TRANSELEC S.A.</w:t>
            </w:r>
          </w:p>
        </w:tc>
        <w:tc>
          <w:tcPr>
            <w:tcW w:w="2268" w:type="dxa"/>
            <w:tcBorders>
              <w:top w:val="nil"/>
              <w:left w:val="nil"/>
              <w:bottom w:val="single" w:sz="4" w:space="0" w:color="auto"/>
              <w:right w:val="single" w:sz="4" w:space="0" w:color="auto"/>
            </w:tcBorders>
            <w:shd w:val="clear" w:color="auto" w:fill="auto"/>
            <w:noWrap/>
            <w:vAlign w:val="bottom"/>
            <w:hideMark/>
          </w:tcPr>
          <w:p w14:paraId="2C350E50"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5.152.736,95</w:t>
            </w:r>
          </w:p>
        </w:tc>
      </w:tr>
      <w:tr w:rsidR="004864FF" w:rsidRPr="0069558B" w14:paraId="1FA86B63"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7284B34A"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N_13</w:t>
            </w:r>
          </w:p>
        </w:tc>
        <w:tc>
          <w:tcPr>
            <w:tcW w:w="3969" w:type="dxa"/>
            <w:tcBorders>
              <w:top w:val="nil"/>
              <w:left w:val="nil"/>
              <w:bottom w:val="single" w:sz="4" w:space="0" w:color="auto"/>
              <w:right w:val="single" w:sz="4" w:space="0" w:color="auto"/>
            </w:tcBorders>
            <w:shd w:val="clear" w:color="auto" w:fill="auto"/>
            <w:vAlign w:val="center"/>
            <w:hideMark/>
          </w:tcPr>
          <w:p w14:paraId="67DF1CCF"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Ancoa 500-&gt;Nueva Charrúa 500</w:t>
            </w:r>
          </w:p>
        </w:tc>
        <w:tc>
          <w:tcPr>
            <w:tcW w:w="1134" w:type="dxa"/>
            <w:tcBorders>
              <w:top w:val="nil"/>
              <w:left w:val="nil"/>
              <w:bottom w:val="single" w:sz="4" w:space="0" w:color="auto"/>
              <w:right w:val="single" w:sz="4" w:space="0" w:color="auto"/>
            </w:tcBorders>
            <w:shd w:val="clear" w:color="auto" w:fill="auto"/>
            <w:noWrap/>
            <w:vAlign w:val="bottom"/>
            <w:hideMark/>
          </w:tcPr>
          <w:p w14:paraId="756125DC"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P_032</w:t>
            </w:r>
          </w:p>
        </w:tc>
        <w:tc>
          <w:tcPr>
            <w:tcW w:w="3686" w:type="dxa"/>
            <w:tcBorders>
              <w:top w:val="nil"/>
              <w:left w:val="nil"/>
              <w:bottom w:val="single" w:sz="4" w:space="0" w:color="auto"/>
              <w:right w:val="single" w:sz="4" w:space="0" w:color="auto"/>
            </w:tcBorders>
            <w:shd w:val="clear" w:color="auto" w:fill="auto"/>
            <w:noWrap/>
            <w:vAlign w:val="bottom"/>
            <w:hideMark/>
          </w:tcPr>
          <w:p w14:paraId="2AF66202"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TRANSELEC S.A.</w:t>
            </w:r>
          </w:p>
        </w:tc>
        <w:tc>
          <w:tcPr>
            <w:tcW w:w="2268" w:type="dxa"/>
            <w:tcBorders>
              <w:top w:val="nil"/>
              <w:left w:val="nil"/>
              <w:bottom w:val="single" w:sz="4" w:space="0" w:color="auto"/>
              <w:right w:val="single" w:sz="4" w:space="0" w:color="auto"/>
            </w:tcBorders>
            <w:shd w:val="clear" w:color="auto" w:fill="auto"/>
            <w:noWrap/>
            <w:vAlign w:val="bottom"/>
            <w:hideMark/>
          </w:tcPr>
          <w:p w14:paraId="491AAE95"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132.970.084,71</w:t>
            </w:r>
          </w:p>
        </w:tc>
      </w:tr>
      <w:tr w:rsidR="004864FF" w:rsidRPr="0069558B" w14:paraId="3D5C9AC2"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1B2C85F7"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N_14</w:t>
            </w:r>
          </w:p>
        </w:tc>
        <w:tc>
          <w:tcPr>
            <w:tcW w:w="3969" w:type="dxa"/>
            <w:tcBorders>
              <w:top w:val="nil"/>
              <w:left w:val="nil"/>
              <w:bottom w:val="single" w:sz="4" w:space="0" w:color="auto"/>
              <w:right w:val="single" w:sz="4" w:space="0" w:color="auto"/>
            </w:tcBorders>
            <w:shd w:val="clear" w:color="auto" w:fill="auto"/>
            <w:vAlign w:val="center"/>
            <w:hideMark/>
          </w:tcPr>
          <w:p w14:paraId="161C15C5"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Atacama 220-&gt;Tap Enlace 220</w:t>
            </w:r>
          </w:p>
        </w:tc>
        <w:tc>
          <w:tcPr>
            <w:tcW w:w="1134" w:type="dxa"/>
            <w:tcBorders>
              <w:top w:val="nil"/>
              <w:left w:val="nil"/>
              <w:bottom w:val="single" w:sz="4" w:space="0" w:color="auto"/>
              <w:right w:val="single" w:sz="4" w:space="0" w:color="auto"/>
            </w:tcBorders>
            <w:shd w:val="clear" w:color="auto" w:fill="auto"/>
            <w:noWrap/>
            <w:vAlign w:val="bottom"/>
            <w:hideMark/>
          </w:tcPr>
          <w:p w14:paraId="4E7BF384"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P_032</w:t>
            </w:r>
          </w:p>
        </w:tc>
        <w:tc>
          <w:tcPr>
            <w:tcW w:w="3686" w:type="dxa"/>
            <w:tcBorders>
              <w:top w:val="nil"/>
              <w:left w:val="nil"/>
              <w:bottom w:val="single" w:sz="4" w:space="0" w:color="auto"/>
              <w:right w:val="single" w:sz="4" w:space="0" w:color="auto"/>
            </w:tcBorders>
            <w:shd w:val="clear" w:color="auto" w:fill="auto"/>
            <w:noWrap/>
            <w:vAlign w:val="bottom"/>
            <w:hideMark/>
          </w:tcPr>
          <w:p w14:paraId="0439FDB3"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TRANSELEC S.A.</w:t>
            </w:r>
          </w:p>
        </w:tc>
        <w:tc>
          <w:tcPr>
            <w:tcW w:w="2268" w:type="dxa"/>
            <w:tcBorders>
              <w:top w:val="nil"/>
              <w:left w:val="nil"/>
              <w:bottom w:val="single" w:sz="4" w:space="0" w:color="auto"/>
              <w:right w:val="single" w:sz="4" w:space="0" w:color="auto"/>
            </w:tcBorders>
            <w:shd w:val="clear" w:color="auto" w:fill="auto"/>
            <w:noWrap/>
            <w:vAlign w:val="bottom"/>
            <w:hideMark/>
          </w:tcPr>
          <w:p w14:paraId="3FC68156"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21.917.075,18</w:t>
            </w:r>
          </w:p>
        </w:tc>
      </w:tr>
      <w:tr w:rsidR="004864FF" w:rsidRPr="0069558B" w14:paraId="03B2E5C4" w14:textId="77777777" w:rsidTr="006B5A62">
        <w:trPr>
          <w:jc w:val="center"/>
        </w:trPr>
        <w:tc>
          <w:tcPr>
            <w:tcW w:w="1985"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24A9C824"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N_15</w:t>
            </w:r>
          </w:p>
        </w:tc>
        <w:tc>
          <w:tcPr>
            <w:tcW w:w="3969" w:type="dxa"/>
            <w:vMerge w:val="restart"/>
            <w:tcBorders>
              <w:top w:val="nil"/>
              <w:left w:val="single" w:sz="4" w:space="0" w:color="auto"/>
              <w:bottom w:val="single" w:sz="4" w:space="0" w:color="000000"/>
              <w:right w:val="single" w:sz="4" w:space="0" w:color="auto"/>
            </w:tcBorders>
            <w:shd w:val="clear" w:color="auto" w:fill="auto"/>
            <w:vAlign w:val="center"/>
            <w:hideMark/>
          </w:tcPr>
          <w:p w14:paraId="206FC161"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Bureo 220-&gt;Los Peumos 220</w:t>
            </w:r>
          </w:p>
        </w:tc>
        <w:tc>
          <w:tcPr>
            <w:tcW w:w="1134" w:type="dxa"/>
            <w:tcBorders>
              <w:top w:val="nil"/>
              <w:left w:val="nil"/>
              <w:bottom w:val="single" w:sz="4" w:space="0" w:color="auto"/>
              <w:right w:val="single" w:sz="4" w:space="0" w:color="auto"/>
            </w:tcBorders>
            <w:shd w:val="clear" w:color="auto" w:fill="auto"/>
            <w:noWrap/>
            <w:vAlign w:val="bottom"/>
            <w:hideMark/>
          </w:tcPr>
          <w:p w14:paraId="7A5A77D5"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P_032</w:t>
            </w:r>
          </w:p>
        </w:tc>
        <w:tc>
          <w:tcPr>
            <w:tcW w:w="3686" w:type="dxa"/>
            <w:tcBorders>
              <w:top w:val="nil"/>
              <w:left w:val="nil"/>
              <w:bottom w:val="single" w:sz="4" w:space="0" w:color="auto"/>
              <w:right w:val="single" w:sz="4" w:space="0" w:color="auto"/>
            </w:tcBorders>
            <w:shd w:val="clear" w:color="auto" w:fill="auto"/>
            <w:noWrap/>
            <w:vAlign w:val="bottom"/>
            <w:hideMark/>
          </w:tcPr>
          <w:p w14:paraId="7BB41F29"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TRANSELEC S.A.</w:t>
            </w:r>
          </w:p>
        </w:tc>
        <w:tc>
          <w:tcPr>
            <w:tcW w:w="2268" w:type="dxa"/>
            <w:tcBorders>
              <w:top w:val="nil"/>
              <w:left w:val="nil"/>
              <w:bottom w:val="single" w:sz="4" w:space="0" w:color="auto"/>
              <w:right w:val="single" w:sz="4" w:space="0" w:color="auto"/>
            </w:tcBorders>
            <w:shd w:val="clear" w:color="auto" w:fill="auto"/>
            <w:noWrap/>
            <w:vAlign w:val="bottom"/>
            <w:hideMark/>
          </w:tcPr>
          <w:p w14:paraId="481C609B"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12.199.778,84</w:t>
            </w:r>
          </w:p>
        </w:tc>
      </w:tr>
      <w:tr w:rsidR="004864FF" w:rsidRPr="0069558B" w14:paraId="5E139074" w14:textId="77777777" w:rsidTr="006B5A62">
        <w:trPr>
          <w:jc w:val="center"/>
        </w:trPr>
        <w:tc>
          <w:tcPr>
            <w:tcW w:w="1985" w:type="dxa"/>
            <w:vMerge/>
            <w:tcBorders>
              <w:top w:val="nil"/>
              <w:left w:val="single" w:sz="4" w:space="0" w:color="auto"/>
              <w:bottom w:val="single" w:sz="4" w:space="0" w:color="000000"/>
              <w:right w:val="single" w:sz="4" w:space="0" w:color="auto"/>
            </w:tcBorders>
            <w:vAlign w:val="center"/>
            <w:hideMark/>
          </w:tcPr>
          <w:p w14:paraId="01254050" w14:textId="77777777" w:rsidR="004864FF" w:rsidRPr="0069558B" w:rsidRDefault="004864FF" w:rsidP="006B5A62">
            <w:pPr>
              <w:spacing w:before="20" w:after="20" w:line="240" w:lineRule="auto"/>
              <w:jc w:val="left"/>
              <w:rPr>
                <w:rFonts w:eastAsia="Times New Roman" w:cs="Calibri"/>
                <w:color w:val="000000"/>
                <w:sz w:val="20"/>
                <w:szCs w:val="20"/>
                <w:lang w:eastAsia="es-CL"/>
              </w:rPr>
            </w:pPr>
          </w:p>
        </w:tc>
        <w:tc>
          <w:tcPr>
            <w:tcW w:w="3969" w:type="dxa"/>
            <w:vMerge/>
            <w:tcBorders>
              <w:top w:val="nil"/>
              <w:left w:val="single" w:sz="4" w:space="0" w:color="auto"/>
              <w:bottom w:val="single" w:sz="4" w:space="0" w:color="000000"/>
              <w:right w:val="single" w:sz="4" w:space="0" w:color="auto"/>
            </w:tcBorders>
            <w:vAlign w:val="center"/>
            <w:hideMark/>
          </w:tcPr>
          <w:p w14:paraId="0D20E1B5" w14:textId="77777777" w:rsidR="004864FF" w:rsidRPr="0069558B" w:rsidRDefault="004864FF" w:rsidP="006B5A62">
            <w:pPr>
              <w:spacing w:before="20" w:after="20" w:line="240" w:lineRule="auto"/>
              <w:jc w:val="left"/>
              <w:rPr>
                <w:rFonts w:eastAsia="Times New Roman" w:cs="Calibri"/>
                <w:color w:val="000000"/>
                <w:sz w:val="20"/>
                <w:szCs w:val="20"/>
                <w:lang w:eastAsia="es-CL"/>
              </w:rPr>
            </w:pPr>
          </w:p>
        </w:tc>
        <w:tc>
          <w:tcPr>
            <w:tcW w:w="1134" w:type="dxa"/>
            <w:tcBorders>
              <w:top w:val="nil"/>
              <w:left w:val="nil"/>
              <w:bottom w:val="single" w:sz="4" w:space="0" w:color="auto"/>
              <w:right w:val="single" w:sz="4" w:space="0" w:color="auto"/>
            </w:tcBorders>
            <w:shd w:val="clear" w:color="auto" w:fill="auto"/>
            <w:noWrap/>
            <w:vAlign w:val="bottom"/>
            <w:hideMark/>
          </w:tcPr>
          <w:p w14:paraId="417F896A"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P_083</w:t>
            </w:r>
          </w:p>
        </w:tc>
        <w:tc>
          <w:tcPr>
            <w:tcW w:w="3686" w:type="dxa"/>
            <w:tcBorders>
              <w:top w:val="nil"/>
              <w:left w:val="nil"/>
              <w:bottom w:val="single" w:sz="4" w:space="0" w:color="auto"/>
              <w:right w:val="single" w:sz="4" w:space="0" w:color="auto"/>
            </w:tcBorders>
            <w:shd w:val="clear" w:color="auto" w:fill="auto"/>
            <w:noWrap/>
            <w:vAlign w:val="bottom"/>
            <w:hideMark/>
          </w:tcPr>
          <w:p w14:paraId="54C77060"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CGE</w:t>
            </w:r>
          </w:p>
        </w:tc>
        <w:tc>
          <w:tcPr>
            <w:tcW w:w="2268" w:type="dxa"/>
            <w:tcBorders>
              <w:top w:val="nil"/>
              <w:left w:val="nil"/>
              <w:bottom w:val="single" w:sz="4" w:space="0" w:color="auto"/>
              <w:right w:val="single" w:sz="4" w:space="0" w:color="auto"/>
            </w:tcBorders>
            <w:shd w:val="clear" w:color="auto" w:fill="auto"/>
            <w:noWrap/>
            <w:vAlign w:val="bottom"/>
            <w:hideMark/>
          </w:tcPr>
          <w:p w14:paraId="022EF256"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317.473,13</w:t>
            </w:r>
          </w:p>
        </w:tc>
      </w:tr>
      <w:tr w:rsidR="004864FF" w:rsidRPr="0069558B" w14:paraId="1DD000EF"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2F99895C"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N_16</w:t>
            </w:r>
          </w:p>
        </w:tc>
        <w:tc>
          <w:tcPr>
            <w:tcW w:w="3969" w:type="dxa"/>
            <w:tcBorders>
              <w:top w:val="nil"/>
              <w:left w:val="nil"/>
              <w:bottom w:val="single" w:sz="4" w:space="0" w:color="auto"/>
              <w:right w:val="single" w:sz="4" w:space="0" w:color="auto"/>
            </w:tcBorders>
            <w:shd w:val="clear" w:color="auto" w:fill="auto"/>
            <w:vAlign w:val="center"/>
            <w:hideMark/>
          </w:tcPr>
          <w:p w14:paraId="30376963"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Candelaria 220-&gt;Maipo 220</w:t>
            </w:r>
          </w:p>
        </w:tc>
        <w:tc>
          <w:tcPr>
            <w:tcW w:w="1134" w:type="dxa"/>
            <w:tcBorders>
              <w:top w:val="nil"/>
              <w:left w:val="nil"/>
              <w:bottom w:val="single" w:sz="4" w:space="0" w:color="auto"/>
              <w:right w:val="single" w:sz="4" w:space="0" w:color="auto"/>
            </w:tcBorders>
            <w:shd w:val="clear" w:color="auto" w:fill="auto"/>
            <w:noWrap/>
            <w:vAlign w:val="bottom"/>
            <w:hideMark/>
          </w:tcPr>
          <w:p w14:paraId="58D2C212"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P_244</w:t>
            </w:r>
          </w:p>
        </w:tc>
        <w:tc>
          <w:tcPr>
            <w:tcW w:w="3686" w:type="dxa"/>
            <w:tcBorders>
              <w:top w:val="nil"/>
              <w:left w:val="nil"/>
              <w:bottom w:val="single" w:sz="4" w:space="0" w:color="auto"/>
              <w:right w:val="single" w:sz="4" w:space="0" w:color="auto"/>
            </w:tcBorders>
            <w:shd w:val="clear" w:color="auto" w:fill="auto"/>
            <w:noWrap/>
            <w:vAlign w:val="bottom"/>
            <w:hideMark/>
          </w:tcPr>
          <w:p w14:paraId="286C14D7"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Colbún Transmisión</w:t>
            </w:r>
          </w:p>
        </w:tc>
        <w:tc>
          <w:tcPr>
            <w:tcW w:w="2268" w:type="dxa"/>
            <w:tcBorders>
              <w:top w:val="nil"/>
              <w:left w:val="nil"/>
              <w:bottom w:val="single" w:sz="4" w:space="0" w:color="auto"/>
              <w:right w:val="single" w:sz="4" w:space="0" w:color="auto"/>
            </w:tcBorders>
            <w:shd w:val="clear" w:color="auto" w:fill="auto"/>
            <w:noWrap/>
            <w:vAlign w:val="bottom"/>
            <w:hideMark/>
          </w:tcPr>
          <w:p w14:paraId="55684FF3"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19.923.913,47</w:t>
            </w:r>
          </w:p>
        </w:tc>
      </w:tr>
      <w:tr w:rsidR="004864FF" w:rsidRPr="0069558B" w14:paraId="541EDE69"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4FC09AA1"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N_17</w:t>
            </w:r>
          </w:p>
        </w:tc>
        <w:tc>
          <w:tcPr>
            <w:tcW w:w="3969" w:type="dxa"/>
            <w:tcBorders>
              <w:top w:val="nil"/>
              <w:left w:val="nil"/>
              <w:bottom w:val="single" w:sz="4" w:space="0" w:color="auto"/>
              <w:right w:val="single" w:sz="4" w:space="0" w:color="auto"/>
            </w:tcBorders>
            <w:shd w:val="clear" w:color="auto" w:fill="auto"/>
            <w:vAlign w:val="center"/>
            <w:hideMark/>
          </w:tcPr>
          <w:p w14:paraId="2AF8E91B"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Candelaria 220-&gt;Puente Negro 220</w:t>
            </w:r>
          </w:p>
        </w:tc>
        <w:tc>
          <w:tcPr>
            <w:tcW w:w="1134" w:type="dxa"/>
            <w:tcBorders>
              <w:top w:val="nil"/>
              <w:left w:val="nil"/>
              <w:bottom w:val="single" w:sz="4" w:space="0" w:color="auto"/>
              <w:right w:val="single" w:sz="4" w:space="0" w:color="auto"/>
            </w:tcBorders>
            <w:shd w:val="clear" w:color="auto" w:fill="auto"/>
            <w:noWrap/>
            <w:vAlign w:val="bottom"/>
            <w:hideMark/>
          </w:tcPr>
          <w:p w14:paraId="2A1389C0"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P_244</w:t>
            </w:r>
          </w:p>
        </w:tc>
        <w:tc>
          <w:tcPr>
            <w:tcW w:w="3686" w:type="dxa"/>
            <w:tcBorders>
              <w:top w:val="nil"/>
              <w:left w:val="nil"/>
              <w:bottom w:val="single" w:sz="4" w:space="0" w:color="auto"/>
              <w:right w:val="single" w:sz="4" w:space="0" w:color="auto"/>
            </w:tcBorders>
            <w:shd w:val="clear" w:color="auto" w:fill="auto"/>
            <w:noWrap/>
            <w:vAlign w:val="bottom"/>
            <w:hideMark/>
          </w:tcPr>
          <w:p w14:paraId="4A985587"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Colbún Transmisión</w:t>
            </w:r>
          </w:p>
        </w:tc>
        <w:tc>
          <w:tcPr>
            <w:tcW w:w="2268" w:type="dxa"/>
            <w:tcBorders>
              <w:top w:val="nil"/>
              <w:left w:val="nil"/>
              <w:bottom w:val="single" w:sz="4" w:space="0" w:color="auto"/>
              <w:right w:val="single" w:sz="4" w:space="0" w:color="auto"/>
            </w:tcBorders>
            <w:shd w:val="clear" w:color="auto" w:fill="auto"/>
            <w:noWrap/>
            <w:vAlign w:val="bottom"/>
            <w:hideMark/>
          </w:tcPr>
          <w:p w14:paraId="51160085"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39.238.561,51</w:t>
            </w:r>
          </w:p>
        </w:tc>
      </w:tr>
      <w:tr w:rsidR="004864FF" w:rsidRPr="0069558B" w14:paraId="0D500207"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3F4731CB"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N_18</w:t>
            </w:r>
          </w:p>
        </w:tc>
        <w:tc>
          <w:tcPr>
            <w:tcW w:w="3969" w:type="dxa"/>
            <w:tcBorders>
              <w:top w:val="nil"/>
              <w:left w:val="nil"/>
              <w:bottom w:val="single" w:sz="4" w:space="0" w:color="auto"/>
              <w:right w:val="single" w:sz="4" w:space="0" w:color="auto"/>
            </w:tcBorders>
            <w:shd w:val="clear" w:color="auto" w:fill="auto"/>
            <w:vAlign w:val="center"/>
            <w:hideMark/>
          </w:tcPr>
          <w:p w14:paraId="294E15CF"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Cardones 220-&gt;Algarrobal 220</w:t>
            </w:r>
          </w:p>
        </w:tc>
        <w:tc>
          <w:tcPr>
            <w:tcW w:w="1134" w:type="dxa"/>
            <w:tcBorders>
              <w:top w:val="nil"/>
              <w:left w:val="nil"/>
              <w:bottom w:val="single" w:sz="4" w:space="0" w:color="auto"/>
              <w:right w:val="single" w:sz="4" w:space="0" w:color="auto"/>
            </w:tcBorders>
            <w:shd w:val="clear" w:color="auto" w:fill="auto"/>
            <w:noWrap/>
            <w:vAlign w:val="bottom"/>
            <w:hideMark/>
          </w:tcPr>
          <w:p w14:paraId="33A7709B"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P_032</w:t>
            </w:r>
          </w:p>
        </w:tc>
        <w:tc>
          <w:tcPr>
            <w:tcW w:w="3686" w:type="dxa"/>
            <w:tcBorders>
              <w:top w:val="nil"/>
              <w:left w:val="nil"/>
              <w:bottom w:val="single" w:sz="4" w:space="0" w:color="auto"/>
              <w:right w:val="single" w:sz="4" w:space="0" w:color="auto"/>
            </w:tcBorders>
            <w:shd w:val="clear" w:color="auto" w:fill="auto"/>
            <w:noWrap/>
            <w:vAlign w:val="bottom"/>
            <w:hideMark/>
          </w:tcPr>
          <w:p w14:paraId="3997ABF2"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TRANSELEC S.A.</w:t>
            </w:r>
          </w:p>
        </w:tc>
        <w:tc>
          <w:tcPr>
            <w:tcW w:w="2268" w:type="dxa"/>
            <w:tcBorders>
              <w:top w:val="nil"/>
              <w:left w:val="nil"/>
              <w:bottom w:val="single" w:sz="4" w:space="0" w:color="auto"/>
              <w:right w:val="single" w:sz="4" w:space="0" w:color="auto"/>
            </w:tcBorders>
            <w:shd w:val="clear" w:color="auto" w:fill="auto"/>
            <w:noWrap/>
            <w:vAlign w:val="bottom"/>
            <w:hideMark/>
          </w:tcPr>
          <w:p w14:paraId="0AAC4141"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30.963.795,75</w:t>
            </w:r>
          </w:p>
        </w:tc>
      </w:tr>
      <w:tr w:rsidR="004864FF" w:rsidRPr="0069558B" w14:paraId="3043A984" w14:textId="77777777" w:rsidTr="006B5A62">
        <w:trPr>
          <w:jc w:val="center"/>
        </w:trPr>
        <w:tc>
          <w:tcPr>
            <w:tcW w:w="1985"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516A8ED9"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N_20</w:t>
            </w:r>
          </w:p>
        </w:tc>
        <w:tc>
          <w:tcPr>
            <w:tcW w:w="3969" w:type="dxa"/>
            <w:vMerge w:val="restart"/>
            <w:tcBorders>
              <w:top w:val="nil"/>
              <w:left w:val="single" w:sz="4" w:space="0" w:color="auto"/>
              <w:bottom w:val="single" w:sz="4" w:space="0" w:color="000000"/>
              <w:right w:val="single" w:sz="4" w:space="0" w:color="auto"/>
            </w:tcBorders>
            <w:shd w:val="clear" w:color="auto" w:fill="auto"/>
            <w:vAlign w:val="center"/>
            <w:hideMark/>
          </w:tcPr>
          <w:p w14:paraId="7FF6FF88"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Carrera Pinto 220-&gt;Nueva Diego de Almagro 220</w:t>
            </w:r>
          </w:p>
        </w:tc>
        <w:tc>
          <w:tcPr>
            <w:tcW w:w="1134" w:type="dxa"/>
            <w:tcBorders>
              <w:top w:val="nil"/>
              <w:left w:val="nil"/>
              <w:bottom w:val="single" w:sz="4" w:space="0" w:color="auto"/>
              <w:right w:val="single" w:sz="4" w:space="0" w:color="auto"/>
            </w:tcBorders>
            <w:shd w:val="clear" w:color="auto" w:fill="auto"/>
            <w:noWrap/>
            <w:vAlign w:val="bottom"/>
            <w:hideMark/>
          </w:tcPr>
          <w:p w14:paraId="41B60967"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P_032</w:t>
            </w:r>
          </w:p>
        </w:tc>
        <w:tc>
          <w:tcPr>
            <w:tcW w:w="3686" w:type="dxa"/>
            <w:tcBorders>
              <w:top w:val="nil"/>
              <w:left w:val="nil"/>
              <w:bottom w:val="single" w:sz="4" w:space="0" w:color="auto"/>
              <w:right w:val="single" w:sz="4" w:space="0" w:color="auto"/>
            </w:tcBorders>
            <w:shd w:val="clear" w:color="auto" w:fill="auto"/>
            <w:noWrap/>
            <w:vAlign w:val="bottom"/>
            <w:hideMark/>
          </w:tcPr>
          <w:p w14:paraId="7F939E23"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TRANSELEC S.A.</w:t>
            </w:r>
          </w:p>
        </w:tc>
        <w:tc>
          <w:tcPr>
            <w:tcW w:w="2268" w:type="dxa"/>
            <w:tcBorders>
              <w:top w:val="nil"/>
              <w:left w:val="nil"/>
              <w:bottom w:val="single" w:sz="4" w:space="0" w:color="auto"/>
              <w:right w:val="single" w:sz="4" w:space="0" w:color="auto"/>
            </w:tcBorders>
            <w:shd w:val="clear" w:color="auto" w:fill="auto"/>
            <w:noWrap/>
            <w:vAlign w:val="bottom"/>
            <w:hideMark/>
          </w:tcPr>
          <w:p w14:paraId="5D26B03B"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5.766.776,79</w:t>
            </w:r>
          </w:p>
        </w:tc>
      </w:tr>
      <w:tr w:rsidR="004864FF" w:rsidRPr="0069558B" w14:paraId="49BF3912" w14:textId="77777777" w:rsidTr="006B5A62">
        <w:trPr>
          <w:jc w:val="center"/>
        </w:trPr>
        <w:tc>
          <w:tcPr>
            <w:tcW w:w="1985" w:type="dxa"/>
            <w:vMerge/>
            <w:tcBorders>
              <w:top w:val="nil"/>
              <w:left w:val="single" w:sz="4" w:space="0" w:color="auto"/>
              <w:bottom w:val="single" w:sz="4" w:space="0" w:color="auto"/>
              <w:right w:val="single" w:sz="4" w:space="0" w:color="auto"/>
            </w:tcBorders>
            <w:vAlign w:val="center"/>
            <w:hideMark/>
          </w:tcPr>
          <w:p w14:paraId="2ECAFDE1" w14:textId="77777777" w:rsidR="004864FF" w:rsidRPr="0069558B" w:rsidRDefault="004864FF" w:rsidP="006B5A62">
            <w:pPr>
              <w:spacing w:before="20" w:after="20" w:line="240" w:lineRule="auto"/>
              <w:jc w:val="left"/>
              <w:rPr>
                <w:rFonts w:eastAsia="Times New Roman"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3C7A5ACF" w14:textId="77777777" w:rsidR="004864FF" w:rsidRPr="0069558B" w:rsidRDefault="004864FF" w:rsidP="006B5A62">
            <w:pPr>
              <w:spacing w:before="20" w:after="20" w:line="240" w:lineRule="auto"/>
              <w:jc w:val="left"/>
              <w:rPr>
                <w:rFonts w:eastAsia="Times New Roman" w:cs="Calibri"/>
                <w:color w:val="000000"/>
                <w:sz w:val="20"/>
                <w:szCs w:val="20"/>
                <w:lang w:eastAsia="es-CL"/>
              </w:rPr>
            </w:pPr>
          </w:p>
        </w:tc>
        <w:tc>
          <w:tcPr>
            <w:tcW w:w="1134" w:type="dxa"/>
            <w:tcBorders>
              <w:top w:val="nil"/>
              <w:left w:val="nil"/>
              <w:bottom w:val="single" w:sz="4" w:space="0" w:color="auto"/>
              <w:right w:val="single" w:sz="4" w:space="0" w:color="auto"/>
            </w:tcBorders>
            <w:shd w:val="clear" w:color="auto" w:fill="auto"/>
            <w:noWrap/>
            <w:vAlign w:val="bottom"/>
            <w:hideMark/>
          </w:tcPr>
          <w:p w14:paraId="3CFA8846"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P_290</w:t>
            </w:r>
          </w:p>
        </w:tc>
        <w:tc>
          <w:tcPr>
            <w:tcW w:w="3686" w:type="dxa"/>
            <w:tcBorders>
              <w:top w:val="nil"/>
              <w:left w:val="nil"/>
              <w:bottom w:val="single" w:sz="4" w:space="0" w:color="auto"/>
              <w:right w:val="single" w:sz="4" w:space="0" w:color="auto"/>
            </w:tcBorders>
            <w:shd w:val="clear" w:color="auto" w:fill="auto"/>
            <w:noWrap/>
            <w:vAlign w:val="bottom"/>
            <w:hideMark/>
          </w:tcPr>
          <w:p w14:paraId="724AAD6F"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Eletrans</w:t>
            </w:r>
          </w:p>
        </w:tc>
        <w:tc>
          <w:tcPr>
            <w:tcW w:w="2268" w:type="dxa"/>
            <w:tcBorders>
              <w:top w:val="nil"/>
              <w:left w:val="nil"/>
              <w:bottom w:val="single" w:sz="4" w:space="0" w:color="auto"/>
              <w:right w:val="single" w:sz="4" w:space="0" w:color="auto"/>
            </w:tcBorders>
            <w:shd w:val="clear" w:color="auto" w:fill="auto"/>
            <w:noWrap/>
            <w:vAlign w:val="bottom"/>
            <w:hideMark/>
          </w:tcPr>
          <w:p w14:paraId="35EC6A85"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3.130.830,38</w:t>
            </w:r>
          </w:p>
        </w:tc>
      </w:tr>
      <w:tr w:rsidR="004864FF" w:rsidRPr="0069558B" w14:paraId="140EA2F0" w14:textId="77777777" w:rsidTr="006B5A62">
        <w:trPr>
          <w:jc w:val="center"/>
        </w:trPr>
        <w:tc>
          <w:tcPr>
            <w:tcW w:w="1985" w:type="dxa"/>
            <w:vMerge w:val="restart"/>
            <w:tcBorders>
              <w:left w:val="single" w:sz="4" w:space="0" w:color="auto"/>
              <w:bottom w:val="single" w:sz="4" w:space="0" w:color="000000"/>
              <w:right w:val="single" w:sz="4" w:space="0" w:color="auto"/>
            </w:tcBorders>
            <w:shd w:val="clear" w:color="auto" w:fill="auto"/>
            <w:noWrap/>
            <w:vAlign w:val="center"/>
            <w:hideMark/>
          </w:tcPr>
          <w:p w14:paraId="47FD4FB0"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lastRenderedPageBreak/>
              <w:t>N_21</w:t>
            </w:r>
          </w:p>
        </w:tc>
        <w:tc>
          <w:tcPr>
            <w:tcW w:w="3969" w:type="dxa"/>
            <w:vMerge w:val="restart"/>
            <w:tcBorders>
              <w:left w:val="single" w:sz="4" w:space="0" w:color="auto"/>
              <w:bottom w:val="single" w:sz="4" w:space="0" w:color="000000"/>
              <w:right w:val="single" w:sz="4" w:space="0" w:color="auto"/>
            </w:tcBorders>
            <w:shd w:val="clear" w:color="auto" w:fill="auto"/>
            <w:vAlign w:val="center"/>
            <w:hideMark/>
          </w:tcPr>
          <w:p w14:paraId="5BE6FF35"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Carrera Pinto 220-&gt;S. San Andrés 220</w:t>
            </w:r>
          </w:p>
        </w:tc>
        <w:tc>
          <w:tcPr>
            <w:tcW w:w="1134" w:type="dxa"/>
            <w:tcBorders>
              <w:left w:val="nil"/>
              <w:bottom w:val="single" w:sz="4" w:space="0" w:color="auto"/>
              <w:right w:val="single" w:sz="4" w:space="0" w:color="auto"/>
            </w:tcBorders>
            <w:shd w:val="clear" w:color="auto" w:fill="auto"/>
            <w:noWrap/>
            <w:vAlign w:val="bottom"/>
            <w:hideMark/>
          </w:tcPr>
          <w:p w14:paraId="47D98027"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P_032</w:t>
            </w:r>
          </w:p>
        </w:tc>
        <w:tc>
          <w:tcPr>
            <w:tcW w:w="3686" w:type="dxa"/>
            <w:tcBorders>
              <w:left w:val="nil"/>
              <w:bottom w:val="single" w:sz="4" w:space="0" w:color="auto"/>
              <w:right w:val="single" w:sz="4" w:space="0" w:color="auto"/>
            </w:tcBorders>
            <w:shd w:val="clear" w:color="auto" w:fill="auto"/>
            <w:noWrap/>
            <w:vAlign w:val="bottom"/>
            <w:hideMark/>
          </w:tcPr>
          <w:p w14:paraId="7E162138"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TRANSELEC S.A.</w:t>
            </w:r>
          </w:p>
        </w:tc>
        <w:tc>
          <w:tcPr>
            <w:tcW w:w="2268" w:type="dxa"/>
            <w:tcBorders>
              <w:left w:val="nil"/>
              <w:bottom w:val="single" w:sz="4" w:space="0" w:color="auto"/>
              <w:right w:val="single" w:sz="4" w:space="0" w:color="auto"/>
            </w:tcBorders>
            <w:shd w:val="clear" w:color="auto" w:fill="auto"/>
            <w:noWrap/>
            <w:vAlign w:val="bottom"/>
            <w:hideMark/>
          </w:tcPr>
          <w:p w14:paraId="3205655E"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4.801.698,19</w:t>
            </w:r>
          </w:p>
        </w:tc>
      </w:tr>
      <w:tr w:rsidR="004864FF" w:rsidRPr="0069558B" w14:paraId="439AD4F8" w14:textId="77777777" w:rsidTr="006B5A62">
        <w:trPr>
          <w:jc w:val="center"/>
        </w:trPr>
        <w:tc>
          <w:tcPr>
            <w:tcW w:w="1985" w:type="dxa"/>
            <w:vMerge/>
            <w:tcBorders>
              <w:top w:val="nil"/>
              <w:left w:val="single" w:sz="4" w:space="0" w:color="auto"/>
              <w:bottom w:val="single" w:sz="4" w:space="0" w:color="000000"/>
              <w:right w:val="single" w:sz="4" w:space="0" w:color="auto"/>
            </w:tcBorders>
            <w:vAlign w:val="center"/>
            <w:hideMark/>
          </w:tcPr>
          <w:p w14:paraId="108D9839" w14:textId="77777777" w:rsidR="004864FF" w:rsidRPr="0069558B" w:rsidRDefault="004864FF" w:rsidP="006B5A62">
            <w:pPr>
              <w:spacing w:before="20" w:after="20" w:line="240" w:lineRule="auto"/>
              <w:jc w:val="left"/>
              <w:rPr>
                <w:rFonts w:eastAsia="Times New Roman" w:cs="Calibri"/>
                <w:color w:val="000000"/>
                <w:sz w:val="20"/>
                <w:szCs w:val="20"/>
                <w:lang w:eastAsia="es-CL"/>
              </w:rPr>
            </w:pPr>
          </w:p>
        </w:tc>
        <w:tc>
          <w:tcPr>
            <w:tcW w:w="3969" w:type="dxa"/>
            <w:vMerge/>
            <w:tcBorders>
              <w:top w:val="nil"/>
              <w:left w:val="single" w:sz="4" w:space="0" w:color="auto"/>
              <w:bottom w:val="single" w:sz="4" w:space="0" w:color="000000"/>
              <w:right w:val="single" w:sz="4" w:space="0" w:color="auto"/>
            </w:tcBorders>
            <w:vAlign w:val="center"/>
            <w:hideMark/>
          </w:tcPr>
          <w:p w14:paraId="23157DAD" w14:textId="77777777" w:rsidR="004864FF" w:rsidRPr="0069558B" w:rsidRDefault="004864FF" w:rsidP="006B5A62">
            <w:pPr>
              <w:spacing w:before="20" w:after="20" w:line="240" w:lineRule="auto"/>
              <w:jc w:val="left"/>
              <w:rPr>
                <w:rFonts w:eastAsia="Times New Roman" w:cs="Calibri"/>
                <w:color w:val="000000"/>
                <w:sz w:val="20"/>
                <w:szCs w:val="20"/>
                <w:lang w:eastAsia="es-CL"/>
              </w:rPr>
            </w:pPr>
          </w:p>
        </w:tc>
        <w:tc>
          <w:tcPr>
            <w:tcW w:w="1134" w:type="dxa"/>
            <w:tcBorders>
              <w:top w:val="nil"/>
              <w:left w:val="nil"/>
              <w:bottom w:val="single" w:sz="4" w:space="0" w:color="auto"/>
              <w:right w:val="single" w:sz="4" w:space="0" w:color="auto"/>
            </w:tcBorders>
            <w:shd w:val="clear" w:color="auto" w:fill="auto"/>
            <w:noWrap/>
            <w:vAlign w:val="bottom"/>
            <w:hideMark/>
          </w:tcPr>
          <w:p w14:paraId="0A832DD1"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P_290</w:t>
            </w:r>
          </w:p>
        </w:tc>
        <w:tc>
          <w:tcPr>
            <w:tcW w:w="3686" w:type="dxa"/>
            <w:tcBorders>
              <w:top w:val="nil"/>
              <w:left w:val="nil"/>
              <w:bottom w:val="single" w:sz="4" w:space="0" w:color="auto"/>
              <w:right w:val="single" w:sz="4" w:space="0" w:color="auto"/>
            </w:tcBorders>
            <w:shd w:val="clear" w:color="auto" w:fill="auto"/>
            <w:noWrap/>
            <w:vAlign w:val="bottom"/>
            <w:hideMark/>
          </w:tcPr>
          <w:p w14:paraId="658167D7"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Eletrans</w:t>
            </w:r>
          </w:p>
        </w:tc>
        <w:tc>
          <w:tcPr>
            <w:tcW w:w="2268" w:type="dxa"/>
            <w:tcBorders>
              <w:top w:val="nil"/>
              <w:left w:val="nil"/>
              <w:bottom w:val="single" w:sz="4" w:space="0" w:color="auto"/>
              <w:right w:val="single" w:sz="4" w:space="0" w:color="auto"/>
            </w:tcBorders>
            <w:shd w:val="clear" w:color="auto" w:fill="auto"/>
            <w:noWrap/>
            <w:vAlign w:val="bottom"/>
            <w:hideMark/>
          </w:tcPr>
          <w:p w14:paraId="307996CC"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2.782.926,53</w:t>
            </w:r>
          </w:p>
        </w:tc>
      </w:tr>
      <w:tr w:rsidR="004864FF" w:rsidRPr="0069558B" w14:paraId="349625BB" w14:textId="77777777" w:rsidTr="006B5A62">
        <w:trPr>
          <w:jc w:val="center"/>
        </w:trPr>
        <w:tc>
          <w:tcPr>
            <w:tcW w:w="1985" w:type="dxa"/>
            <w:vMerge/>
            <w:tcBorders>
              <w:top w:val="nil"/>
              <w:left w:val="single" w:sz="4" w:space="0" w:color="auto"/>
              <w:bottom w:val="single" w:sz="4" w:space="0" w:color="000000"/>
              <w:right w:val="single" w:sz="4" w:space="0" w:color="auto"/>
            </w:tcBorders>
            <w:vAlign w:val="center"/>
            <w:hideMark/>
          </w:tcPr>
          <w:p w14:paraId="25E9052A" w14:textId="77777777" w:rsidR="004864FF" w:rsidRPr="0069558B" w:rsidRDefault="004864FF" w:rsidP="006B5A62">
            <w:pPr>
              <w:spacing w:before="20" w:after="20" w:line="240" w:lineRule="auto"/>
              <w:jc w:val="left"/>
              <w:rPr>
                <w:rFonts w:eastAsia="Times New Roman" w:cs="Calibri"/>
                <w:color w:val="000000"/>
                <w:sz w:val="20"/>
                <w:szCs w:val="20"/>
                <w:lang w:eastAsia="es-CL"/>
              </w:rPr>
            </w:pPr>
          </w:p>
        </w:tc>
        <w:tc>
          <w:tcPr>
            <w:tcW w:w="3969" w:type="dxa"/>
            <w:vMerge/>
            <w:tcBorders>
              <w:top w:val="nil"/>
              <w:left w:val="single" w:sz="4" w:space="0" w:color="auto"/>
              <w:bottom w:val="single" w:sz="4" w:space="0" w:color="000000"/>
              <w:right w:val="single" w:sz="4" w:space="0" w:color="auto"/>
            </w:tcBorders>
            <w:vAlign w:val="center"/>
            <w:hideMark/>
          </w:tcPr>
          <w:p w14:paraId="7777D247" w14:textId="77777777" w:rsidR="004864FF" w:rsidRPr="0069558B" w:rsidRDefault="004864FF" w:rsidP="006B5A62">
            <w:pPr>
              <w:spacing w:before="20" w:after="20" w:line="240" w:lineRule="auto"/>
              <w:jc w:val="left"/>
              <w:rPr>
                <w:rFonts w:eastAsia="Times New Roman" w:cs="Calibri"/>
                <w:color w:val="000000"/>
                <w:sz w:val="20"/>
                <w:szCs w:val="20"/>
                <w:lang w:eastAsia="es-CL"/>
              </w:rPr>
            </w:pPr>
          </w:p>
        </w:tc>
        <w:tc>
          <w:tcPr>
            <w:tcW w:w="1134" w:type="dxa"/>
            <w:tcBorders>
              <w:top w:val="nil"/>
              <w:left w:val="nil"/>
              <w:bottom w:val="single" w:sz="4" w:space="0" w:color="auto"/>
              <w:right w:val="single" w:sz="4" w:space="0" w:color="auto"/>
            </w:tcBorders>
            <w:shd w:val="clear" w:color="auto" w:fill="auto"/>
            <w:noWrap/>
            <w:vAlign w:val="bottom"/>
            <w:hideMark/>
          </w:tcPr>
          <w:p w14:paraId="4ACAEC92"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P_480</w:t>
            </w:r>
          </w:p>
        </w:tc>
        <w:tc>
          <w:tcPr>
            <w:tcW w:w="3686" w:type="dxa"/>
            <w:tcBorders>
              <w:top w:val="nil"/>
              <w:left w:val="nil"/>
              <w:bottom w:val="single" w:sz="4" w:space="0" w:color="auto"/>
              <w:right w:val="single" w:sz="4" w:space="0" w:color="auto"/>
            </w:tcBorders>
            <w:shd w:val="clear" w:color="auto" w:fill="auto"/>
            <w:noWrap/>
            <w:vAlign w:val="bottom"/>
            <w:hideMark/>
          </w:tcPr>
          <w:p w14:paraId="65E283C4"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SATT</w:t>
            </w:r>
          </w:p>
        </w:tc>
        <w:tc>
          <w:tcPr>
            <w:tcW w:w="2268" w:type="dxa"/>
            <w:tcBorders>
              <w:top w:val="nil"/>
              <w:left w:val="nil"/>
              <w:bottom w:val="single" w:sz="4" w:space="0" w:color="auto"/>
              <w:right w:val="single" w:sz="4" w:space="0" w:color="auto"/>
            </w:tcBorders>
            <w:shd w:val="clear" w:color="auto" w:fill="auto"/>
            <w:noWrap/>
            <w:vAlign w:val="bottom"/>
            <w:hideMark/>
          </w:tcPr>
          <w:p w14:paraId="3DE5D12B"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721.234,64</w:t>
            </w:r>
          </w:p>
        </w:tc>
      </w:tr>
      <w:tr w:rsidR="004864FF" w:rsidRPr="0069558B" w14:paraId="0AB5155C"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7F3238DE"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N_22</w:t>
            </w:r>
          </w:p>
        </w:tc>
        <w:tc>
          <w:tcPr>
            <w:tcW w:w="3969" w:type="dxa"/>
            <w:tcBorders>
              <w:top w:val="nil"/>
              <w:left w:val="nil"/>
              <w:bottom w:val="single" w:sz="4" w:space="0" w:color="auto"/>
              <w:right w:val="single" w:sz="4" w:space="0" w:color="auto"/>
            </w:tcBorders>
            <w:shd w:val="clear" w:color="auto" w:fill="auto"/>
            <w:vAlign w:val="center"/>
            <w:hideMark/>
          </w:tcPr>
          <w:p w14:paraId="44BC96DB"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Cautín 220-&gt;Metrenco 220</w:t>
            </w:r>
          </w:p>
        </w:tc>
        <w:tc>
          <w:tcPr>
            <w:tcW w:w="1134" w:type="dxa"/>
            <w:tcBorders>
              <w:top w:val="nil"/>
              <w:left w:val="nil"/>
              <w:bottom w:val="single" w:sz="4" w:space="0" w:color="auto"/>
              <w:right w:val="single" w:sz="4" w:space="0" w:color="auto"/>
            </w:tcBorders>
            <w:shd w:val="clear" w:color="auto" w:fill="auto"/>
            <w:noWrap/>
            <w:vAlign w:val="bottom"/>
            <w:hideMark/>
          </w:tcPr>
          <w:p w14:paraId="11F4334B"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P_032</w:t>
            </w:r>
          </w:p>
        </w:tc>
        <w:tc>
          <w:tcPr>
            <w:tcW w:w="3686" w:type="dxa"/>
            <w:tcBorders>
              <w:top w:val="nil"/>
              <w:left w:val="nil"/>
              <w:bottom w:val="single" w:sz="4" w:space="0" w:color="auto"/>
              <w:right w:val="single" w:sz="4" w:space="0" w:color="auto"/>
            </w:tcBorders>
            <w:shd w:val="clear" w:color="auto" w:fill="auto"/>
            <w:noWrap/>
            <w:vAlign w:val="bottom"/>
            <w:hideMark/>
          </w:tcPr>
          <w:p w14:paraId="60606EA7"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TRANSELEC S.A.</w:t>
            </w:r>
          </w:p>
        </w:tc>
        <w:tc>
          <w:tcPr>
            <w:tcW w:w="2268" w:type="dxa"/>
            <w:tcBorders>
              <w:top w:val="nil"/>
              <w:left w:val="nil"/>
              <w:bottom w:val="single" w:sz="4" w:space="0" w:color="auto"/>
              <w:right w:val="single" w:sz="4" w:space="0" w:color="auto"/>
            </w:tcBorders>
            <w:shd w:val="clear" w:color="auto" w:fill="auto"/>
            <w:noWrap/>
            <w:vAlign w:val="bottom"/>
            <w:hideMark/>
          </w:tcPr>
          <w:p w14:paraId="6E81F586"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5.771.899,00</w:t>
            </w:r>
          </w:p>
        </w:tc>
      </w:tr>
      <w:tr w:rsidR="004864FF" w:rsidRPr="0069558B" w14:paraId="72228A3B"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600131AD"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N_23</w:t>
            </w:r>
          </w:p>
        </w:tc>
        <w:tc>
          <w:tcPr>
            <w:tcW w:w="3969" w:type="dxa"/>
            <w:tcBorders>
              <w:top w:val="nil"/>
              <w:left w:val="nil"/>
              <w:bottom w:val="single" w:sz="4" w:space="0" w:color="auto"/>
              <w:right w:val="single" w:sz="4" w:space="0" w:color="auto"/>
            </w:tcBorders>
            <w:shd w:val="clear" w:color="auto" w:fill="auto"/>
            <w:vAlign w:val="center"/>
            <w:hideMark/>
          </w:tcPr>
          <w:p w14:paraId="28DBB016"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Cerro Navia 220-&gt;Cerro Navia Desf 220</w:t>
            </w:r>
          </w:p>
        </w:tc>
        <w:tc>
          <w:tcPr>
            <w:tcW w:w="1134" w:type="dxa"/>
            <w:tcBorders>
              <w:top w:val="nil"/>
              <w:left w:val="nil"/>
              <w:bottom w:val="single" w:sz="4" w:space="0" w:color="auto"/>
              <w:right w:val="single" w:sz="4" w:space="0" w:color="auto"/>
            </w:tcBorders>
            <w:shd w:val="clear" w:color="auto" w:fill="auto"/>
            <w:noWrap/>
            <w:vAlign w:val="bottom"/>
            <w:hideMark/>
          </w:tcPr>
          <w:p w14:paraId="0EFF0799"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P_032</w:t>
            </w:r>
          </w:p>
        </w:tc>
        <w:tc>
          <w:tcPr>
            <w:tcW w:w="3686" w:type="dxa"/>
            <w:tcBorders>
              <w:top w:val="nil"/>
              <w:left w:val="nil"/>
              <w:bottom w:val="single" w:sz="4" w:space="0" w:color="auto"/>
              <w:right w:val="single" w:sz="4" w:space="0" w:color="auto"/>
            </w:tcBorders>
            <w:shd w:val="clear" w:color="auto" w:fill="auto"/>
            <w:noWrap/>
            <w:vAlign w:val="bottom"/>
            <w:hideMark/>
          </w:tcPr>
          <w:p w14:paraId="68D3369F"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TRANSELEC S.A.</w:t>
            </w:r>
          </w:p>
        </w:tc>
        <w:tc>
          <w:tcPr>
            <w:tcW w:w="2268" w:type="dxa"/>
            <w:tcBorders>
              <w:top w:val="nil"/>
              <w:left w:val="nil"/>
              <w:bottom w:val="single" w:sz="4" w:space="0" w:color="auto"/>
              <w:right w:val="single" w:sz="4" w:space="0" w:color="auto"/>
            </w:tcBorders>
            <w:shd w:val="clear" w:color="auto" w:fill="auto"/>
            <w:noWrap/>
            <w:vAlign w:val="bottom"/>
            <w:hideMark/>
          </w:tcPr>
          <w:p w14:paraId="09E35AE4"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8.383.638,21</w:t>
            </w:r>
          </w:p>
        </w:tc>
      </w:tr>
      <w:tr w:rsidR="004864FF" w:rsidRPr="0069558B" w14:paraId="1C088AB9" w14:textId="77777777" w:rsidTr="006B5A62">
        <w:trPr>
          <w:jc w:val="center"/>
        </w:trPr>
        <w:tc>
          <w:tcPr>
            <w:tcW w:w="1985"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321DFC7C"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N_24</w:t>
            </w:r>
          </w:p>
        </w:tc>
        <w:tc>
          <w:tcPr>
            <w:tcW w:w="3969" w:type="dxa"/>
            <w:vMerge w:val="restart"/>
            <w:tcBorders>
              <w:top w:val="nil"/>
              <w:left w:val="single" w:sz="4" w:space="0" w:color="auto"/>
              <w:bottom w:val="single" w:sz="4" w:space="0" w:color="000000"/>
              <w:right w:val="single" w:sz="4" w:space="0" w:color="auto"/>
            </w:tcBorders>
            <w:shd w:val="clear" w:color="auto" w:fill="auto"/>
            <w:vAlign w:val="center"/>
            <w:hideMark/>
          </w:tcPr>
          <w:p w14:paraId="436BEF0C"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Cerro Navia 220-&gt;Chena 220</w:t>
            </w:r>
          </w:p>
        </w:tc>
        <w:tc>
          <w:tcPr>
            <w:tcW w:w="1134" w:type="dxa"/>
            <w:tcBorders>
              <w:top w:val="nil"/>
              <w:left w:val="nil"/>
              <w:bottom w:val="single" w:sz="4" w:space="0" w:color="auto"/>
              <w:right w:val="single" w:sz="4" w:space="0" w:color="auto"/>
            </w:tcBorders>
            <w:shd w:val="clear" w:color="auto" w:fill="auto"/>
            <w:noWrap/>
            <w:vAlign w:val="bottom"/>
            <w:hideMark/>
          </w:tcPr>
          <w:p w14:paraId="1EBE7C93"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P_032</w:t>
            </w:r>
          </w:p>
        </w:tc>
        <w:tc>
          <w:tcPr>
            <w:tcW w:w="3686" w:type="dxa"/>
            <w:tcBorders>
              <w:top w:val="nil"/>
              <w:left w:val="nil"/>
              <w:bottom w:val="single" w:sz="4" w:space="0" w:color="auto"/>
              <w:right w:val="single" w:sz="4" w:space="0" w:color="auto"/>
            </w:tcBorders>
            <w:shd w:val="clear" w:color="auto" w:fill="auto"/>
            <w:noWrap/>
            <w:vAlign w:val="bottom"/>
            <w:hideMark/>
          </w:tcPr>
          <w:p w14:paraId="0CBDC562"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TRANSELEC S.A.</w:t>
            </w:r>
          </w:p>
        </w:tc>
        <w:tc>
          <w:tcPr>
            <w:tcW w:w="2268" w:type="dxa"/>
            <w:tcBorders>
              <w:top w:val="nil"/>
              <w:left w:val="nil"/>
              <w:bottom w:val="single" w:sz="4" w:space="0" w:color="auto"/>
              <w:right w:val="single" w:sz="4" w:space="0" w:color="auto"/>
            </w:tcBorders>
            <w:shd w:val="clear" w:color="auto" w:fill="auto"/>
            <w:noWrap/>
            <w:vAlign w:val="bottom"/>
            <w:hideMark/>
          </w:tcPr>
          <w:p w14:paraId="6749F9FF"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2.515.028,92</w:t>
            </w:r>
          </w:p>
        </w:tc>
      </w:tr>
      <w:tr w:rsidR="004864FF" w:rsidRPr="0069558B" w14:paraId="0D29BBFA" w14:textId="77777777" w:rsidTr="006B5A62">
        <w:trPr>
          <w:jc w:val="center"/>
        </w:trPr>
        <w:tc>
          <w:tcPr>
            <w:tcW w:w="1985" w:type="dxa"/>
            <w:vMerge/>
            <w:tcBorders>
              <w:top w:val="nil"/>
              <w:left w:val="single" w:sz="4" w:space="0" w:color="auto"/>
              <w:bottom w:val="single" w:sz="4" w:space="0" w:color="000000"/>
              <w:right w:val="single" w:sz="4" w:space="0" w:color="auto"/>
            </w:tcBorders>
            <w:vAlign w:val="center"/>
            <w:hideMark/>
          </w:tcPr>
          <w:p w14:paraId="0EBEA1F1" w14:textId="77777777" w:rsidR="004864FF" w:rsidRPr="0069558B" w:rsidRDefault="004864FF" w:rsidP="006B5A62">
            <w:pPr>
              <w:spacing w:before="20" w:after="20" w:line="240" w:lineRule="auto"/>
              <w:jc w:val="left"/>
              <w:rPr>
                <w:rFonts w:eastAsia="Times New Roman" w:cs="Calibri"/>
                <w:color w:val="000000"/>
                <w:sz w:val="20"/>
                <w:szCs w:val="20"/>
                <w:lang w:eastAsia="es-CL"/>
              </w:rPr>
            </w:pPr>
          </w:p>
        </w:tc>
        <w:tc>
          <w:tcPr>
            <w:tcW w:w="3969" w:type="dxa"/>
            <w:vMerge/>
            <w:tcBorders>
              <w:top w:val="nil"/>
              <w:left w:val="single" w:sz="4" w:space="0" w:color="auto"/>
              <w:bottom w:val="single" w:sz="4" w:space="0" w:color="000000"/>
              <w:right w:val="single" w:sz="4" w:space="0" w:color="auto"/>
            </w:tcBorders>
            <w:vAlign w:val="center"/>
            <w:hideMark/>
          </w:tcPr>
          <w:p w14:paraId="42576002" w14:textId="77777777" w:rsidR="004864FF" w:rsidRPr="0069558B" w:rsidRDefault="004864FF" w:rsidP="006B5A62">
            <w:pPr>
              <w:spacing w:before="20" w:after="20" w:line="240" w:lineRule="auto"/>
              <w:jc w:val="left"/>
              <w:rPr>
                <w:rFonts w:eastAsia="Times New Roman" w:cs="Calibri"/>
                <w:color w:val="000000"/>
                <w:sz w:val="20"/>
                <w:szCs w:val="20"/>
                <w:lang w:eastAsia="es-CL"/>
              </w:rPr>
            </w:pPr>
          </w:p>
        </w:tc>
        <w:tc>
          <w:tcPr>
            <w:tcW w:w="1134" w:type="dxa"/>
            <w:tcBorders>
              <w:top w:val="nil"/>
              <w:left w:val="nil"/>
              <w:bottom w:val="single" w:sz="4" w:space="0" w:color="auto"/>
              <w:right w:val="single" w:sz="4" w:space="0" w:color="auto"/>
            </w:tcBorders>
            <w:shd w:val="clear" w:color="auto" w:fill="auto"/>
            <w:noWrap/>
            <w:vAlign w:val="bottom"/>
            <w:hideMark/>
          </w:tcPr>
          <w:p w14:paraId="2D0B152E"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P_513</w:t>
            </w:r>
          </w:p>
        </w:tc>
        <w:tc>
          <w:tcPr>
            <w:tcW w:w="3686" w:type="dxa"/>
            <w:tcBorders>
              <w:top w:val="nil"/>
              <w:left w:val="nil"/>
              <w:bottom w:val="single" w:sz="4" w:space="0" w:color="auto"/>
              <w:right w:val="single" w:sz="4" w:space="0" w:color="auto"/>
            </w:tcBorders>
            <w:shd w:val="clear" w:color="auto" w:fill="auto"/>
            <w:noWrap/>
            <w:vAlign w:val="bottom"/>
            <w:hideMark/>
          </w:tcPr>
          <w:p w14:paraId="1D384122"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Chena S. A.</w:t>
            </w:r>
          </w:p>
        </w:tc>
        <w:tc>
          <w:tcPr>
            <w:tcW w:w="2268" w:type="dxa"/>
            <w:tcBorders>
              <w:top w:val="nil"/>
              <w:left w:val="nil"/>
              <w:bottom w:val="single" w:sz="4" w:space="0" w:color="auto"/>
              <w:right w:val="single" w:sz="4" w:space="0" w:color="auto"/>
            </w:tcBorders>
            <w:shd w:val="clear" w:color="auto" w:fill="auto"/>
            <w:noWrap/>
            <w:vAlign w:val="bottom"/>
            <w:hideMark/>
          </w:tcPr>
          <w:p w14:paraId="12276A67"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604.531,16</w:t>
            </w:r>
          </w:p>
        </w:tc>
      </w:tr>
      <w:tr w:rsidR="004864FF" w:rsidRPr="0069558B" w14:paraId="06CE622F"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151D0F09"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N_25</w:t>
            </w:r>
          </w:p>
        </w:tc>
        <w:tc>
          <w:tcPr>
            <w:tcW w:w="3969" w:type="dxa"/>
            <w:tcBorders>
              <w:top w:val="nil"/>
              <w:left w:val="nil"/>
              <w:bottom w:val="single" w:sz="4" w:space="0" w:color="auto"/>
              <w:right w:val="single" w:sz="4" w:space="0" w:color="auto"/>
            </w:tcBorders>
            <w:shd w:val="clear" w:color="auto" w:fill="auto"/>
            <w:vAlign w:val="center"/>
            <w:hideMark/>
          </w:tcPr>
          <w:p w14:paraId="16D67C00"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Cerro Navia 220-&gt;Neptuno 220</w:t>
            </w:r>
          </w:p>
        </w:tc>
        <w:tc>
          <w:tcPr>
            <w:tcW w:w="1134" w:type="dxa"/>
            <w:tcBorders>
              <w:top w:val="nil"/>
              <w:left w:val="nil"/>
              <w:bottom w:val="single" w:sz="4" w:space="0" w:color="auto"/>
              <w:right w:val="single" w:sz="4" w:space="0" w:color="auto"/>
            </w:tcBorders>
            <w:shd w:val="clear" w:color="auto" w:fill="auto"/>
            <w:noWrap/>
            <w:vAlign w:val="bottom"/>
            <w:hideMark/>
          </w:tcPr>
          <w:p w14:paraId="3D5FDA86"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P_032</w:t>
            </w:r>
          </w:p>
        </w:tc>
        <w:tc>
          <w:tcPr>
            <w:tcW w:w="3686" w:type="dxa"/>
            <w:tcBorders>
              <w:top w:val="nil"/>
              <w:left w:val="nil"/>
              <w:bottom w:val="single" w:sz="4" w:space="0" w:color="auto"/>
              <w:right w:val="single" w:sz="4" w:space="0" w:color="auto"/>
            </w:tcBorders>
            <w:shd w:val="clear" w:color="auto" w:fill="auto"/>
            <w:noWrap/>
            <w:vAlign w:val="bottom"/>
            <w:hideMark/>
          </w:tcPr>
          <w:p w14:paraId="214F2E4F"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TRANSELEC S.A.</w:t>
            </w:r>
          </w:p>
        </w:tc>
        <w:tc>
          <w:tcPr>
            <w:tcW w:w="2268" w:type="dxa"/>
            <w:tcBorders>
              <w:top w:val="nil"/>
              <w:left w:val="nil"/>
              <w:bottom w:val="single" w:sz="4" w:space="0" w:color="auto"/>
              <w:right w:val="single" w:sz="4" w:space="0" w:color="auto"/>
            </w:tcBorders>
            <w:shd w:val="clear" w:color="auto" w:fill="auto"/>
            <w:noWrap/>
            <w:vAlign w:val="bottom"/>
            <w:hideMark/>
          </w:tcPr>
          <w:p w14:paraId="75B04830"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1.973.509,73</w:t>
            </w:r>
          </w:p>
        </w:tc>
      </w:tr>
      <w:tr w:rsidR="004864FF" w:rsidRPr="0069558B" w14:paraId="58A6DDC6"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36996B95"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N_26</w:t>
            </w:r>
          </w:p>
        </w:tc>
        <w:tc>
          <w:tcPr>
            <w:tcW w:w="3969" w:type="dxa"/>
            <w:tcBorders>
              <w:top w:val="nil"/>
              <w:left w:val="nil"/>
              <w:bottom w:val="single" w:sz="4" w:space="0" w:color="auto"/>
              <w:right w:val="single" w:sz="4" w:space="0" w:color="auto"/>
            </w:tcBorders>
            <w:shd w:val="clear" w:color="auto" w:fill="auto"/>
            <w:vAlign w:val="center"/>
            <w:hideMark/>
          </w:tcPr>
          <w:p w14:paraId="36C10A0C"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Cerros de Huichahue 220-&gt;Nueva Pichirropulli 220</w:t>
            </w:r>
          </w:p>
        </w:tc>
        <w:tc>
          <w:tcPr>
            <w:tcW w:w="1134" w:type="dxa"/>
            <w:tcBorders>
              <w:top w:val="nil"/>
              <w:left w:val="nil"/>
              <w:bottom w:val="single" w:sz="4" w:space="0" w:color="auto"/>
              <w:right w:val="single" w:sz="4" w:space="0" w:color="auto"/>
            </w:tcBorders>
            <w:shd w:val="clear" w:color="auto" w:fill="auto"/>
            <w:noWrap/>
            <w:vAlign w:val="bottom"/>
            <w:hideMark/>
          </w:tcPr>
          <w:p w14:paraId="26AB3CD0"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P_290</w:t>
            </w:r>
          </w:p>
        </w:tc>
        <w:tc>
          <w:tcPr>
            <w:tcW w:w="3686" w:type="dxa"/>
            <w:tcBorders>
              <w:top w:val="nil"/>
              <w:left w:val="nil"/>
              <w:bottom w:val="single" w:sz="4" w:space="0" w:color="auto"/>
              <w:right w:val="single" w:sz="4" w:space="0" w:color="auto"/>
            </w:tcBorders>
            <w:shd w:val="clear" w:color="auto" w:fill="auto"/>
            <w:noWrap/>
            <w:vAlign w:val="bottom"/>
            <w:hideMark/>
          </w:tcPr>
          <w:p w14:paraId="1248B1DC"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Eletrans</w:t>
            </w:r>
          </w:p>
        </w:tc>
        <w:tc>
          <w:tcPr>
            <w:tcW w:w="2268" w:type="dxa"/>
            <w:tcBorders>
              <w:top w:val="nil"/>
              <w:left w:val="nil"/>
              <w:bottom w:val="single" w:sz="4" w:space="0" w:color="auto"/>
              <w:right w:val="single" w:sz="4" w:space="0" w:color="auto"/>
            </w:tcBorders>
            <w:shd w:val="clear" w:color="auto" w:fill="auto"/>
            <w:noWrap/>
            <w:vAlign w:val="bottom"/>
            <w:hideMark/>
          </w:tcPr>
          <w:p w14:paraId="09DC048A"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1.965.061,00</w:t>
            </w:r>
          </w:p>
        </w:tc>
      </w:tr>
      <w:tr w:rsidR="004864FF" w:rsidRPr="0069558B" w14:paraId="01D4DF36"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1496E540"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N_27</w:t>
            </w:r>
          </w:p>
        </w:tc>
        <w:tc>
          <w:tcPr>
            <w:tcW w:w="3969" w:type="dxa"/>
            <w:tcBorders>
              <w:top w:val="nil"/>
              <w:left w:val="nil"/>
              <w:bottom w:val="single" w:sz="4" w:space="0" w:color="auto"/>
              <w:right w:val="single" w:sz="4" w:space="0" w:color="auto"/>
            </w:tcBorders>
            <w:shd w:val="clear" w:color="auto" w:fill="auto"/>
            <w:vAlign w:val="center"/>
            <w:hideMark/>
          </w:tcPr>
          <w:p w14:paraId="7BE58670"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Charrúa 220-&gt;Charrúa 500</w:t>
            </w:r>
          </w:p>
        </w:tc>
        <w:tc>
          <w:tcPr>
            <w:tcW w:w="1134" w:type="dxa"/>
            <w:tcBorders>
              <w:top w:val="nil"/>
              <w:left w:val="nil"/>
              <w:bottom w:val="single" w:sz="4" w:space="0" w:color="auto"/>
              <w:right w:val="single" w:sz="4" w:space="0" w:color="auto"/>
            </w:tcBorders>
            <w:shd w:val="clear" w:color="auto" w:fill="auto"/>
            <w:noWrap/>
            <w:vAlign w:val="bottom"/>
            <w:hideMark/>
          </w:tcPr>
          <w:p w14:paraId="2F636DC0"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P_032</w:t>
            </w:r>
          </w:p>
        </w:tc>
        <w:tc>
          <w:tcPr>
            <w:tcW w:w="3686" w:type="dxa"/>
            <w:tcBorders>
              <w:top w:val="nil"/>
              <w:left w:val="nil"/>
              <w:bottom w:val="single" w:sz="4" w:space="0" w:color="auto"/>
              <w:right w:val="single" w:sz="4" w:space="0" w:color="auto"/>
            </w:tcBorders>
            <w:shd w:val="clear" w:color="auto" w:fill="auto"/>
            <w:noWrap/>
            <w:vAlign w:val="bottom"/>
            <w:hideMark/>
          </w:tcPr>
          <w:p w14:paraId="14762A5B"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TRANSELEC S.A.</w:t>
            </w:r>
          </w:p>
        </w:tc>
        <w:tc>
          <w:tcPr>
            <w:tcW w:w="2268" w:type="dxa"/>
            <w:tcBorders>
              <w:top w:val="nil"/>
              <w:left w:val="nil"/>
              <w:bottom w:val="single" w:sz="4" w:space="0" w:color="auto"/>
              <w:right w:val="single" w:sz="4" w:space="0" w:color="auto"/>
            </w:tcBorders>
            <w:shd w:val="clear" w:color="auto" w:fill="auto"/>
            <w:noWrap/>
            <w:vAlign w:val="bottom"/>
            <w:hideMark/>
          </w:tcPr>
          <w:p w14:paraId="1443A31A"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23.924.180,52</w:t>
            </w:r>
          </w:p>
        </w:tc>
      </w:tr>
      <w:tr w:rsidR="004864FF" w:rsidRPr="0069558B" w14:paraId="62EDA033"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5E83C806"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N_28</w:t>
            </w:r>
          </w:p>
        </w:tc>
        <w:tc>
          <w:tcPr>
            <w:tcW w:w="3969" w:type="dxa"/>
            <w:tcBorders>
              <w:top w:val="nil"/>
              <w:left w:val="nil"/>
              <w:bottom w:val="single" w:sz="4" w:space="0" w:color="auto"/>
              <w:right w:val="single" w:sz="4" w:space="0" w:color="auto"/>
            </w:tcBorders>
            <w:shd w:val="clear" w:color="auto" w:fill="auto"/>
            <w:vAlign w:val="center"/>
            <w:hideMark/>
          </w:tcPr>
          <w:p w14:paraId="009D6ADF"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Charrúa 220-&gt;Concepción 220</w:t>
            </w:r>
          </w:p>
        </w:tc>
        <w:tc>
          <w:tcPr>
            <w:tcW w:w="1134" w:type="dxa"/>
            <w:tcBorders>
              <w:top w:val="nil"/>
              <w:left w:val="nil"/>
              <w:bottom w:val="single" w:sz="4" w:space="0" w:color="auto"/>
              <w:right w:val="single" w:sz="4" w:space="0" w:color="auto"/>
            </w:tcBorders>
            <w:shd w:val="clear" w:color="auto" w:fill="auto"/>
            <w:noWrap/>
            <w:vAlign w:val="bottom"/>
            <w:hideMark/>
          </w:tcPr>
          <w:p w14:paraId="3219AB94"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P_032</w:t>
            </w:r>
          </w:p>
        </w:tc>
        <w:tc>
          <w:tcPr>
            <w:tcW w:w="3686" w:type="dxa"/>
            <w:tcBorders>
              <w:top w:val="nil"/>
              <w:left w:val="nil"/>
              <w:bottom w:val="single" w:sz="4" w:space="0" w:color="auto"/>
              <w:right w:val="single" w:sz="4" w:space="0" w:color="auto"/>
            </w:tcBorders>
            <w:shd w:val="clear" w:color="auto" w:fill="auto"/>
            <w:noWrap/>
            <w:vAlign w:val="bottom"/>
            <w:hideMark/>
          </w:tcPr>
          <w:p w14:paraId="1DD819F2"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TRANSELEC S.A.</w:t>
            </w:r>
          </w:p>
        </w:tc>
        <w:tc>
          <w:tcPr>
            <w:tcW w:w="2268" w:type="dxa"/>
            <w:tcBorders>
              <w:top w:val="nil"/>
              <w:left w:val="nil"/>
              <w:bottom w:val="single" w:sz="4" w:space="0" w:color="auto"/>
              <w:right w:val="single" w:sz="4" w:space="0" w:color="auto"/>
            </w:tcBorders>
            <w:shd w:val="clear" w:color="auto" w:fill="auto"/>
            <w:noWrap/>
            <w:vAlign w:val="bottom"/>
            <w:hideMark/>
          </w:tcPr>
          <w:p w14:paraId="06681B58"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15.007.037,26</w:t>
            </w:r>
          </w:p>
        </w:tc>
      </w:tr>
      <w:tr w:rsidR="004864FF" w:rsidRPr="0069558B" w14:paraId="629A30D8"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5127A093"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N_29</w:t>
            </w:r>
          </w:p>
        </w:tc>
        <w:tc>
          <w:tcPr>
            <w:tcW w:w="3969" w:type="dxa"/>
            <w:tcBorders>
              <w:top w:val="nil"/>
              <w:left w:val="nil"/>
              <w:bottom w:val="single" w:sz="4" w:space="0" w:color="auto"/>
              <w:right w:val="single" w:sz="4" w:space="0" w:color="auto"/>
            </w:tcBorders>
            <w:shd w:val="clear" w:color="auto" w:fill="auto"/>
            <w:vAlign w:val="center"/>
            <w:hideMark/>
          </w:tcPr>
          <w:p w14:paraId="78481A0A"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Charrúa 220-&gt;El Rosal 220</w:t>
            </w:r>
          </w:p>
        </w:tc>
        <w:tc>
          <w:tcPr>
            <w:tcW w:w="1134" w:type="dxa"/>
            <w:tcBorders>
              <w:top w:val="nil"/>
              <w:left w:val="nil"/>
              <w:bottom w:val="single" w:sz="4" w:space="0" w:color="auto"/>
              <w:right w:val="single" w:sz="4" w:space="0" w:color="auto"/>
            </w:tcBorders>
            <w:shd w:val="clear" w:color="auto" w:fill="auto"/>
            <w:noWrap/>
            <w:vAlign w:val="bottom"/>
            <w:hideMark/>
          </w:tcPr>
          <w:p w14:paraId="011BEE65"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P_032</w:t>
            </w:r>
          </w:p>
        </w:tc>
        <w:tc>
          <w:tcPr>
            <w:tcW w:w="3686" w:type="dxa"/>
            <w:tcBorders>
              <w:top w:val="nil"/>
              <w:left w:val="nil"/>
              <w:bottom w:val="single" w:sz="4" w:space="0" w:color="auto"/>
              <w:right w:val="single" w:sz="4" w:space="0" w:color="auto"/>
            </w:tcBorders>
            <w:shd w:val="clear" w:color="auto" w:fill="auto"/>
            <w:noWrap/>
            <w:vAlign w:val="bottom"/>
            <w:hideMark/>
          </w:tcPr>
          <w:p w14:paraId="27953671"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TRANSELEC S.A.</w:t>
            </w:r>
          </w:p>
        </w:tc>
        <w:tc>
          <w:tcPr>
            <w:tcW w:w="2268" w:type="dxa"/>
            <w:tcBorders>
              <w:top w:val="nil"/>
              <w:left w:val="nil"/>
              <w:bottom w:val="single" w:sz="4" w:space="0" w:color="auto"/>
              <w:right w:val="single" w:sz="4" w:space="0" w:color="auto"/>
            </w:tcBorders>
            <w:shd w:val="clear" w:color="auto" w:fill="auto"/>
            <w:noWrap/>
            <w:vAlign w:val="bottom"/>
            <w:hideMark/>
          </w:tcPr>
          <w:p w14:paraId="225644CD"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4.215.492,43</w:t>
            </w:r>
          </w:p>
        </w:tc>
      </w:tr>
      <w:tr w:rsidR="004864FF" w:rsidRPr="0069558B" w14:paraId="322C457E"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5050B1C9"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N_30</w:t>
            </w:r>
          </w:p>
        </w:tc>
        <w:tc>
          <w:tcPr>
            <w:tcW w:w="3969" w:type="dxa"/>
            <w:tcBorders>
              <w:top w:val="nil"/>
              <w:left w:val="nil"/>
              <w:bottom w:val="single" w:sz="4" w:space="0" w:color="auto"/>
              <w:right w:val="single" w:sz="4" w:space="0" w:color="auto"/>
            </w:tcBorders>
            <w:shd w:val="clear" w:color="auto" w:fill="auto"/>
            <w:vAlign w:val="center"/>
            <w:hideMark/>
          </w:tcPr>
          <w:p w14:paraId="42C1500D"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Charrúa 220-&gt;Lagunillas 220</w:t>
            </w:r>
          </w:p>
        </w:tc>
        <w:tc>
          <w:tcPr>
            <w:tcW w:w="1134" w:type="dxa"/>
            <w:tcBorders>
              <w:top w:val="nil"/>
              <w:left w:val="nil"/>
              <w:bottom w:val="single" w:sz="4" w:space="0" w:color="auto"/>
              <w:right w:val="single" w:sz="4" w:space="0" w:color="auto"/>
            </w:tcBorders>
            <w:shd w:val="clear" w:color="auto" w:fill="auto"/>
            <w:noWrap/>
            <w:vAlign w:val="bottom"/>
            <w:hideMark/>
          </w:tcPr>
          <w:p w14:paraId="0D28C902"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P_032</w:t>
            </w:r>
          </w:p>
        </w:tc>
        <w:tc>
          <w:tcPr>
            <w:tcW w:w="3686" w:type="dxa"/>
            <w:tcBorders>
              <w:top w:val="nil"/>
              <w:left w:val="nil"/>
              <w:bottom w:val="single" w:sz="4" w:space="0" w:color="auto"/>
              <w:right w:val="single" w:sz="4" w:space="0" w:color="auto"/>
            </w:tcBorders>
            <w:shd w:val="clear" w:color="auto" w:fill="auto"/>
            <w:noWrap/>
            <w:vAlign w:val="bottom"/>
            <w:hideMark/>
          </w:tcPr>
          <w:p w14:paraId="70B413BC"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TRANSELEC S.A.</w:t>
            </w:r>
          </w:p>
        </w:tc>
        <w:tc>
          <w:tcPr>
            <w:tcW w:w="2268" w:type="dxa"/>
            <w:tcBorders>
              <w:top w:val="nil"/>
              <w:left w:val="nil"/>
              <w:bottom w:val="single" w:sz="4" w:space="0" w:color="auto"/>
              <w:right w:val="single" w:sz="4" w:space="0" w:color="auto"/>
            </w:tcBorders>
            <w:shd w:val="clear" w:color="auto" w:fill="auto"/>
            <w:noWrap/>
            <w:vAlign w:val="bottom"/>
            <w:hideMark/>
          </w:tcPr>
          <w:p w14:paraId="47661479"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22.516.679,03</w:t>
            </w:r>
          </w:p>
        </w:tc>
      </w:tr>
      <w:tr w:rsidR="004864FF" w:rsidRPr="0069558B" w14:paraId="452025E9"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6772BCF3"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N_31</w:t>
            </w:r>
          </w:p>
        </w:tc>
        <w:tc>
          <w:tcPr>
            <w:tcW w:w="3969" w:type="dxa"/>
            <w:tcBorders>
              <w:top w:val="nil"/>
              <w:left w:val="nil"/>
              <w:bottom w:val="single" w:sz="4" w:space="0" w:color="auto"/>
              <w:right w:val="single" w:sz="4" w:space="0" w:color="auto"/>
            </w:tcBorders>
            <w:shd w:val="clear" w:color="auto" w:fill="auto"/>
            <w:vAlign w:val="center"/>
            <w:hideMark/>
          </w:tcPr>
          <w:p w14:paraId="37C7AFBD"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Charrúa 220-&gt;Mulchen 220</w:t>
            </w:r>
          </w:p>
        </w:tc>
        <w:tc>
          <w:tcPr>
            <w:tcW w:w="1134" w:type="dxa"/>
            <w:tcBorders>
              <w:top w:val="nil"/>
              <w:left w:val="nil"/>
              <w:bottom w:val="single" w:sz="4" w:space="0" w:color="auto"/>
              <w:right w:val="single" w:sz="4" w:space="0" w:color="auto"/>
            </w:tcBorders>
            <w:shd w:val="clear" w:color="auto" w:fill="auto"/>
            <w:noWrap/>
            <w:vAlign w:val="bottom"/>
            <w:hideMark/>
          </w:tcPr>
          <w:p w14:paraId="02ADAA00"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P_244</w:t>
            </w:r>
          </w:p>
        </w:tc>
        <w:tc>
          <w:tcPr>
            <w:tcW w:w="3686" w:type="dxa"/>
            <w:tcBorders>
              <w:top w:val="nil"/>
              <w:left w:val="nil"/>
              <w:bottom w:val="single" w:sz="4" w:space="0" w:color="auto"/>
              <w:right w:val="single" w:sz="4" w:space="0" w:color="auto"/>
            </w:tcBorders>
            <w:shd w:val="clear" w:color="auto" w:fill="auto"/>
            <w:noWrap/>
            <w:vAlign w:val="bottom"/>
            <w:hideMark/>
          </w:tcPr>
          <w:p w14:paraId="5B5F6849"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Colbún Transmisión</w:t>
            </w:r>
          </w:p>
        </w:tc>
        <w:tc>
          <w:tcPr>
            <w:tcW w:w="2268" w:type="dxa"/>
            <w:tcBorders>
              <w:top w:val="nil"/>
              <w:left w:val="nil"/>
              <w:bottom w:val="single" w:sz="4" w:space="0" w:color="auto"/>
              <w:right w:val="single" w:sz="4" w:space="0" w:color="auto"/>
            </w:tcBorders>
            <w:shd w:val="clear" w:color="auto" w:fill="auto"/>
            <w:noWrap/>
            <w:vAlign w:val="bottom"/>
            <w:hideMark/>
          </w:tcPr>
          <w:p w14:paraId="7630B1C1"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729.215,57</w:t>
            </w:r>
          </w:p>
        </w:tc>
      </w:tr>
      <w:tr w:rsidR="004864FF" w:rsidRPr="0069558B" w14:paraId="67A10926"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7D5B2B97"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N_32</w:t>
            </w:r>
          </w:p>
        </w:tc>
        <w:tc>
          <w:tcPr>
            <w:tcW w:w="3969" w:type="dxa"/>
            <w:tcBorders>
              <w:top w:val="nil"/>
              <w:left w:val="nil"/>
              <w:bottom w:val="single" w:sz="4" w:space="0" w:color="auto"/>
              <w:right w:val="single" w:sz="4" w:space="0" w:color="auto"/>
            </w:tcBorders>
            <w:shd w:val="clear" w:color="auto" w:fill="auto"/>
            <w:vAlign w:val="center"/>
            <w:hideMark/>
          </w:tcPr>
          <w:p w14:paraId="2DA438CB"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Charrúa 220-&gt;Trébol 220</w:t>
            </w:r>
          </w:p>
        </w:tc>
        <w:tc>
          <w:tcPr>
            <w:tcW w:w="1134" w:type="dxa"/>
            <w:tcBorders>
              <w:top w:val="nil"/>
              <w:left w:val="nil"/>
              <w:bottom w:val="single" w:sz="4" w:space="0" w:color="auto"/>
              <w:right w:val="single" w:sz="4" w:space="0" w:color="auto"/>
            </w:tcBorders>
            <w:shd w:val="clear" w:color="auto" w:fill="auto"/>
            <w:noWrap/>
            <w:vAlign w:val="bottom"/>
            <w:hideMark/>
          </w:tcPr>
          <w:p w14:paraId="10237DAB"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P_032</w:t>
            </w:r>
          </w:p>
        </w:tc>
        <w:tc>
          <w:tcPr>
            <w:tcW w:w="3686" w:type="dxa"/>
            <w:tcBorders>
              <w:top w:val="nil"/>
              <w:left w:val="nil"/>
              <w:bottom w:val="single" w:sz="4" w:space="0" w:color="auto"/>
              <w:right w:val="single" w:sz="4" w:space="0" w:color="auto"/>
            </w:tcBorders>
            <w:shd w:val="clear" w:color="auto" w:fill="auto"/>
            <w:noWrap/>
            <w:vAlign w:val="bottom"/>
            <w:hideMark/>
          </w:tcPr>
          <w:p w14:paraId="3C98CC42"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TRANSELEC S.A.</w:t>
            </w:r>
          </w:p>
        </w:tc>
        <w:tc>
          <w:tcPr>
            <w:tcW w:w="2268" w:type="dxa"/>
            <w:tcBorders>
              <w:top w:val="nil"/>
              <w:left w:val="nil"/>
              <w:bottom w:val="single" w:sz="4" w:space="0" w:color="auto"/>
              <w:right w:val="single" w:sz="4" w:space="0" w:color="auto"/>
            </w:tcBorders>
            <w:shd w:val="clear" w:color="auto" w:fill="auto"/>
            <w:noWrap/>
            <w:vAlign w:val="bottom"/>
            <w:hideMark/>
          </w:tcPr>
          <w:p w14:paraId="4CE0D039"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17.529.448,87</w:t>
            </w:r>
          </w:p>
        </w:tc>
      </w:tr>
      <w:tr w:rsidR="004864FF" w:rsidRPr="0069558B" w14:paraId="65431464"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27E8ECF8"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N_33</w:t>
            </w:r>
          </w:p>
        </w:tc>
        <w:tc>
          <w:tcPr>
            <w:tcW w:w="3969" w:type="dxa"/>
            <w:tcBorders>
              <w:top w:val="nil"/>
              <w:left w:val="nil"/>
              <w:bottom w:val="single" w:sz="4" w:space="0" w:color="auto"/>
              <w:right w:val="single" w:sz="4" w:space="0" w:color="auto"/>
            </w:tcBorders>
            <w:shd w:val="clear" w:color="auto" w:fill="auto"/>
            <w:vAlign w:val="center"/>
            <w:hideMark/>
          </w:tcPr>
          <w:p w14:paraId="2DD7AABB"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Charrúa 500-&gt;Nueva Charrúa 500</w:t>
            </w:r>
          </w:p>
        </w:tc>
        <w:tc>
          <w:tcPr>
            <w:tcW w:w="1134" w:type="dxa"/>
            <w:tcBorders>
              <w:top w:val="nil"/>
              <w:left w:val="nil"/>
              <w:bottom w:val="single" w:sz="4" w:space="0" w:color="auto"/>
              <w:right w:val="single" w:sz="4" w:space="0" w:color="auto"/>
            </w:tcBorders>
            <w:shd w:val="clear" w:color="auto" w:fill="auto"/>
            <w:noWrap/>
            <w:vAlign w:val="bottom"/>
            <w:hideMark/>
          </w:tcPr>
          <w:p w14:paraId="45BD8A18"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P_032</w:t>
            </w:r>
          </w:p>
        </w:tc>
        <w:tc>
          <w:tcPr>
            <w:tcW w:w="3686" w:type="dxa"/>
            <w:tcBorders>
              <w:top w:val="nil"/>
              <w:left w:val="nil"/>
              <w:bottom w:val="single" w:sz="4" w:space="0" w:color="auto"/>
              <w:right w:val="single" w:sz="4" w:space="0" w:color="auto"/>
            </w:tcBorders>
            <w:shd w:val="clear" w:color="auto" w:fill="auto"/>
            <w:noWrap/>
            <w:vAlign w:val="bottom"/>
            <w:hideMark/>
          </w:tcPr>
          <w:p w14:paraId="1367A379"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TRANSELEC S.A.</w:t>
            </w:r>
          </w:p>
        </w:tc>
        <w:tc>
          <w:tcPr>
            <w:tcW w:w="2268" w:type="dxa"/>
            <w:tcBorders>
              <w:top w:val="nil"/>
              <w:left w:val="nil"/>
              <w:bottom w:val="single" w:sz="4" w:space="0" w:color="auto"/>
              <w:right w:val="single" w:sz="4" w:space="0" w:color="auto"/>
            </w:tcBorders>
            <w:shd w:val="clear" w:color="auto" w:fill="auto"/>
            <w:noWrap/>
            <w:vAlign w:val="bottom"/>
            <w:hideMark/>
          </w:tcPr>
          <w:p w14:paraId="09F709E4"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30.518.644,82</w:t>
            </w:r>
          </w:p>
        </w:tc>
      </w:tr>
      <w:tr w:rsidR="004864FF" w:rsidRPr="0069558B" w14:paraId="6E757C20" w14:textId="77777777" w:rsidTr="006B5A62">
        <w:trPr>
          <w:jc w:val="center"/>
        </w:trPr>
        <w:tc>
          <w:tcPr>
            <w:tcW w:w="1985"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597232BE"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N_34</w:t>
            </w:r>
          </w:p>
        </w:tc>
        <w:tc>
          <w:tcPr>
            <w:tcW w:w="3969" w:type="dxa"/>
            <w:vMerge w:val="restart"/>
            <w:tcBorders>
              <w:top w:val="nil"/>
              <w:left w:val="single" w:sz="4" w:space="0" w:color="auto"/>
              <w:bottom w:val="single" w:sz="4" w:space="0" w:color="000000"/>
              <w:right w:val="single" w:sz="4" w:space="0" w:color="auto"/>
            </w:tcBorders>
            <w:shd w:val="clear" w:color="auto" w:fill="auto"/>
            <w:vAlign w:val="center"/>
            <w:hideMark/>
          </w:tcPr>
          <w:p w14:paraId="0D118AE1"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Chena 220-&gt;Neptuno 220</w:t>
            </w:r>
          </w:p>
        </w:tc>
        <w:tc>
          <w:tcPr>
            <w:tcW w:w="1134" w:type="dxa"/>
            <w:tcBorders>
              <w:top w:val="nil"/>
              <w:left w:val="nil"/>
              <w:bottom w:val="single" w:sz="4" w:space="0" w:color="auto"/>
              <w:right w:val="single" w:sz="4" w:space="0" w:color="auto"/>
            </w:tcBorders>
            <w:shd w:val="clear" w:color="auto" w:fill="auto"/>
            <w:noWrap/>
            <w:vAlign w:val="bottom"/>
            <w:hideMark/>
          </w:tcPr>
          <w:p w14:paraId="750983C5"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P_032</w:t>
            </w:r>
          </w:p>
        </w:tc>
        <w:tc>
          <w:tcPr>
            <w:tcW w:w="3686" w:type="dxa"/>
            <w:tcBorders>
              <w:top w:val="nil"/>
              <w:left w:val="nil"/>
              <w:bottom w:val="single" w:sz="4" w:space="0" w:color="auto"/>
              <w:right w:val="single" w:sz="4" w:space="0" w:color="auto"/>
            </w:tcBorders>
            <w:shd w:val="clear" w:color="auto" w:fill="auto"/>
            <w:noWrap/>
            <w:vAlign w:val="bottom"/>
            <w:hideMark/>
          </w:tcPr>
          <w:p w14:paraId="091118F3"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TRANSELEC S.A.</w:t>
            </w:r>
          </w:p>
        </w:tc>
        <w:tc>
          <w:tcPr>
            <w:tcW w:w="2268" w:type="dxa"/>
            <w:tcBorders>
              <w:top w:val="nil"/>
              <w:left w:val="nil"/>
              <w:bottom w:val="single" w:sz="4" w:space="0" w:color="auto"/>
              <w:right w:val="single" w:sz="4" w:space="0" w:color="auto"/>
            </w:tcBorders>
            <w:shd w:val="clear" w:color="auto" w:fill="auto"/>
            <w:noWrap/>
            <w:vAlign w:val="bottom"/>
            <w:hideMark/>
          </w:tcPr>
          <w:p w14:paraId="6FF6E9D5"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2.417.034,03</w:t>
            </w:r>
          </w:p>
        </w:tc>
      </w:tr>
      <w:tr w:rsidR="004864FF" w:rsidRPr="0069558B" w14:paraId="19B303DF" w14:textId="77777777" w:rsidTr="006B5A62">
        <w:trPr>
          <w:jc w:val="center"/>
        </w:trPr>
        <w:tc>
          <w:tcPr>
            <w:tcW w:w="1985" w:type="dxa"/>
            <w:vMerge/>
            <w:tcBorders>
              <w:top w:val="nil"/>
              <w:left w:val="single" w:sz="4" w:space="0" w:color="auto"/>
              <w:bottom w:val="single" w:sz="4" w:space="0" w:color="000000"/>
              <w:right w:val="single" w:sz="4" w:space="0" w:color="auto"/>
            </w:tcBorders>
            <w:vAlign w:val="center"/>
            <w:hideMark/>
          </w:tcPr>
          <w:p w14:paraId="2C27B91C" w14:textId="77777777" w:rsidR="004864FF" w:rsidRPr="0069558B" w:rsidRDefault="004864FF" w:rsidP="006B5A62">
            <w:pPr>
              <w:spacing w:before="20" w:after="20" w:line="240" w:lineRule="auto"/>
              <w:jc w:val="left"/>
              <w:rPr>
                <w:rFonts w:eastAsia="Times New Roman" w:cs="Calibri"/>
                <w:color w:val="000000"/>
                <w:sz w:val="20"/>
                <w:szCs w:val="20"/>
                <w:lang w:eastAsia="es-CL"/>
              </w:rPr>
            </w:pPr>
          </w:p>
        </w:tc>
        <w:tc>
          <w:tcPr>
            <w:tcW w:w="3969" w:type="dxa"/>
            <w:vMerge/>
            <w:tcBorders>
              <w:top w:val="nil"/>
              <w:left w:val="single" w:sz="4" w:space="0" w:color="auto"/>
              <w:bottom w:val="single" w:sz="4" w:space="0" w:color="000000"/>
              <w:right w:val="single" w:sz="4" w:space="0" w:color="auto"/>
            </w:tcBorders>
            <w:vAlign w:val="center"/>
            <w:hideMark/>
          </w:tcPr>
          <w:p w14:paraId="0AF526CA" w14:textId="77777777" w:rsidR="004864FF" w:rsidRPr="0069558B" w:rsidRDefault="004864FF" w:rsidP="006B5A62">
            <w:pPr>
              <w:spacing w:before="20" w:after="20" w:line="240" w:lineRule="auto"/>
              <w:jc w:val="left"/>
              <w:rPr>
                <w:rFonts w:eastAsia="Times New Roman" w:cs="Calibri"/>
                <w:color w:val="000000"/>
                <w:sz w:val="20"/>
                <w:szCs w:val="20"/>
                <w:lang w:eastAsia="es-CL"/>
              </w:rPr>
            </w:pPr>
          </w:p>
        </w:tc>
        <w:tc>
          <w:tcPr>
            <w:tcW w:w="1134" w:type="dxa"/>
            <w:tcBorders>
              <w:top w:val="nil"/>
              <w:left w:val="nil"/>
              <w:bottom w:val="single" w:sz="4" w:space="0" w:color="auto"/>
              <w:right w:val="single" w:sz="4" w:space="0" w:color="auto"/>
            </w:tcBorders>
            <w:shd w:val="clear" w:color="auto" w:fill="auto"/>
            <w:noWrap/>
            <w:vAlign w:val="bottom"/>
            <w:hideMark/>
          </w:tcPr>
          <w:p w14:paraId="79DDCF06"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P_513</w:t>
            </w:r>
          </w:p>
        </w:tc>
        <w:tc>
          <w:tcPr>
            <w:tcW w:w="3686" w:type="dxa"/>
            <w:tcBorders>
              <w:top w:val="nil"/>
              <w:left w:val="nil"/>
              <w:bottom w:val="single" w:sz="4" w:space="0" w:color="auto"/>
              <w:right w:val="single" w:sz="4" w:space="0" w:color="auto"/>
            </w:tcBorders>
            <w:shd w:val="clear" w:color="auto" w:fill="auto"/>
            <w:noWrap/>
            <w:vAlign w:val="bottom"/>
            <w:hideMark/>
          </w:tcPr>
          <w:p w14:paraId="4D5C097F"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Chena S. A.</w:t>
            </w:r>
          </w:p>
        </w:tc>
        <w:tc>
          <w:tcPr>
            <w:tcW w:w="2268" w:type="dxa"/>
            <w:tcBorders>
              <w:top w:val="nil"/>
              <w:left w:val="nil"/>
              <w:bottom w:val="single" w:sz="4" w:space="0" w:color="auto"/>
              <w:right w:val="single" w:sz="4" w:space="0" w:color="auto"/>
            </w:tcBorders>
            <w:shd w:val="clear" w:color="auto" w:fill="auto"/>
            <w:noWrap/>
            <w:vAlign w:val="bottom"/>
            <w:hideMark/>
          </w:tcPr>
          <w:p w14:paraId="5EE531C4"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213.144,01</w:t>
            </w:r>
          </w:p>
        </w:tc>
      </w:tr>
      <w:tr w:rsidR="004864FF" w:rsidRPr="0069558B" w14:paraId="1994CAD8"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03A8496C"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N_35</w:t>
            </w:r>
          </w:p>
        </w:tc>
        <w:tc>
          <w:tcPr>
            <w:tcW w:w="3969" w:type="dxa"/>
            <w:tcBorders>
              <w:top w:val="nil"/>
              <w:left w:val="nil"/>
              <w:bottom w:val="single" w:sz="4" w:space="0" w:color="auto"/>
              <w:right w:val="single" w:sz="4" w:space="0" w:color="auto"/>
            </w:tcBorders>
            <w:shd w:val="clear" w:color="auto" w:fill="auto"/>
            <w:vAlign w:val="center"/>
            <w:hideMark/>
          </w:tcPr>
          <w:p w14:paraId="6A156BAE"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Chena 220-&gt;Tap Central Santa Marta 220</w:t>
            </w:r>
          </w:p>
        </w:tc>
        <w:tc>
          <w:tcPr>
            <w:tcW w:w="1134" w:type="dxa"/>
            <w:tcBorders>
              <w:top w:val="nil"/>
              <w:left w:val="nil"/>
              <w:bottom w:val="single" w:sz="4" w:space="0" w:color="auto"/>
              <w:right w:val="single" w:sz="4" w:space="0" w:color="auto"/>
            </w:tcBorders>
            <w:shd w:val="clear" w:color="auto" w:fill="auto"/>
            <w:noWrap/>
            <w:vAlign w:val="bottom"/>
            <w:hideMark/>
          </w:tcPr>
          <w:p w14:paraId="52D0DBEF"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P_032</w:t>
            </w:r>
          </w:p>
        </w:tc>
        <w:tc>
          <w:tcPr>
            <w:tcW w:w="3686" w:type="dxa"/>
            <w:tcBorders>
              <w:top w:val="nil"/>
              <w:left w:val="nil"/>
              <w:bottom w:val="single" w:sz="4" w:space="0" w:color="auto"/>
              <w:right w:val="single" w:sz="4" w:space="0" w:color="auto"/>
            </w:tcBorders>
            <w:shd w:val="clear" w:color="auto" w:fill="auto"/>
            <w:noWrap/>
            <w:vAlign w:val="bottom"/>
            <w:hideMark/>
          </w:tcPr>
          <w:p w14:paraId="319244FB"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TRANSELEC S.A.</w:t>
            </w:r>
          </w:p>
        </w:tc>
        <w:tc>
          <w:tcPr>
            <w:tcW w:w="2268" w:type="dxa"/>
            <w:tcBorders>
              <w:top w:val="nil"/>
              <w:left w:val="nil"/>
              <w:bottom w:val="single" w:sz="4" w:space="0" w:color="auto"/>
              <w:right w:val="single" w:sz="4" w:space="0" w:color="auto"/>
            </w:tcBorders>
            <w:shd w:val="clear" w:color="auto" w:fill="auto"/>
            <w:noWrap/>
            <w:vAlign w:val="bottom"/>
            <w:hideMark/>
          </w:tcPr>
          <w:p w14:paraId="536D0CE7"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8.360.072,41</w:t>
            </w:r>
          </w:p>
        </w:tc>
      </w:tr>
      <w:tr w:rsidR="004864FF" w:rsidRPr="0069558B" w14:paraId="7C8E03CF"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7C367A89"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N_36</w:t>
            </w:r>
          </w:p>
        </w:tc>
        <w:tc>
          <w:tcPr>
            <w:tcW w:w="3969" w:type="dxa"/>
            <w:tcBorders>
              <w:top w:val="nil"/>
              <w:left w:val="nil"/>
              <w:bottom w:val="single" w:sz="4" w:space="0" w:color="auto"/>
              <w:right w:val="single" w:sz="4" w:space="0" w:color="auto"/>
            </w:tcBorders>
            <w:shd w:val="clear" w:color="auto" w:fill="auto"/>
            <w:vAlign w:val="center"/>
            <w:hideMark/>
          </w:tcPr>
          <w:p w14:paraId="5107D134"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Chiloé 220-&gt;Nueva Ancud 220</w:t>
            </w:r>
          </w:p>
        </w:tc>
        <w:tc>
          <w:tcPr>
            <w:tcW w:w="1134" w:type="dxa"/>
            <w:tcBorders>
              <w:top w:val="nil"/>
              <w:left w:val="nil"/>
              <w:bottom w:val="single" w:sz="4" w:space="0" w:color="auto"/>
              <w:right w:val="single" w:sz="4" w:space="0" w:color="auto"/>
            </w:tcBorders>
            <w:shd w:val="clear" w:color="auto" w:fill="auto"/>
            <w:noWrap/>
            <w:vAlign w:val="bottom"/>
            <w:hideMark/>
          </w:tcPr>
          <w:p w14:paraId="33F1A643"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P_100</w:t>
            </w:r>
          </w:p>
        </w:tc>
        <w:tc>
          <w:tcPr>
            <w:tcW w:w="3686" w:type="dxa"/>
            <w:tcBorders>
              <w:top w:val="nil"/>
              <w:left w:val="nil"/>
              <w:bottom w:val="single" w:sz="4" w:space="0" w:color="auto"/>
              <w:right w:val="single" w:sz="4" w:space="0" w:color="auto"/>
            </w:tcBorders>
            <w:shd w:val="clear" w:color="auto" w:fill="auto"/>
            <w:noWrap/>
            <w:vAlign w:val="bottom"/>
            <w:hideMark/>
          </w:tcPr>
          <w:p w14:paraId="5884212B"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STS</w:t>
            </w:r>
          </w:p>
        </w:tc>
        <w:tc>
          <w:tcPr>
            <w:tcW w:w="2268" w:type="dxa"/>
            <w:tcBorders>
              <w:top w:val="nil"/>
              <w:left w:val="nil"/>
              <w:bottom w:val="single" w:sz="4" w:space="0" w:color="auto"/>
              <w:right w:val="single" w:sz="4" w:space="0" w:color="auto"/>
            </w:tcBorders>
            <w:shd w:val="clear" w:color="auto" w:fill="auto"/>
            <w:noWrap/>
            <w:vAlign w:val="bottom"/>
            <w:hideMark/>
          </w:tcPr>
          <w:p w14:paraId="5FF95DBD"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3.035.948,80</w:t>
            </w:r>
          </w:p>
        </w:tc>
      </w:tr>
      <w:tr w:rsidR="004864FF" w:rsidRPr="0069558B" w14:paraId="171086D2" w14:textId="77777777" w:rsidTr="006B5A62">
        <w:trPr>
          <w:jc w:val="center"/>
        </w:trPr>
        <w:tc>
          <w:tcPr>
            <w:tcW w:w="1985"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6F350878"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N_37</w:t>
            </w:r>
          </w:p>
        </w:tc>
        <w:tc>
          <w:tcPr>
            <w:tcW w:w="3969" w:type="dxa"/>
            <w:vMerge w:val="restart"/>
            <w:tcBorders>
              <w:top w:val="nil"/>
              <w:left w:val="single" w:sz="4" w:space="0" w:color="auto"/>
              <w:bottom w:val="single" w:sz="4" w:space="0" w:color="000000"/>
              <w:right w:val="single" w:sz="4" w:space="0" w:color="auto"/>
            </w:tcBorders>
            <w:shd w:val="clear" w:color="auto" w:fill="auto"/>
            <w:vAlign w:val="center"/>
            <w:hideMark/>
          </w:tcPr>
          <w:p w14:paraId="6092CF90"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Chuquicamata 220-&gt;Nueva Chuquicamata 220</w:t>
            </w:r>
          </w:p>
        </w:tc>
        <w:tc>
          <w:tcPr>
            <w:tcW w:w="1134" w:type="dxa"/>
            <w:tcBorders>
              <w:top w:val="nil"/>
              <w:left w:val="nil"/>
              <w:bottom w:val="single" w:sz="4" w:space="0" w:color="auto"/>
              <w:right w:val="single" w:sz="4" w:space="0" w:color="auto"/>
            </w:tcBorders>
            <w:shd w:val="clear" w:color="auto" w:fill="auto"/>
            <w:noWrap/>
            <w:vAlign w:val="bottom"/>
            <w:hideMark/>
          </w:tcPr>
          <w:p w14:paraId="7B31BDC5"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P_133</w:t>
            </w:r>
          </w:p>
        </w:tc>
        <w:tc>
          <w:tcPr>
            <w:tcW w:w="3686" w:type="dxa"/>
            <w:tcBorders>
              <w:top w:val="nil"/>
              <w:left w:val="nil"/>
              <w:bottom w:val="single" w:sz="4" w:space="0" w:color="auto"/>
              <w:right w:val="single" w:sz="4" w:space="0" w:color="auto"/>
            </w:tcBorders>
            <w:shd w:val="clear" w:color="auto" w:fill="auto"/>
            <w:noWrap/>
            <w:vAlign w:val="bottom"/>
            <w:hideMark/>
          </w:tcPr>
          <w:p w14:paraId="3E4A3570"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CODELCO NORTE</w:t>
            </w:r>
          </w:p>
        </w:tc>
        <w:tc>
          <w:tcPr>
            <w:tcW w:w="2268" w:type="dxa"/>
            <w:tcBorders>
              <w:top w:val="nil"/>
              <w:left w:val="nil"/>
              <w:bottom w:val="single" w:sz="4" w:space="0" w:color="auto"/>
              <w:right w:val="single" w:sz="4" w:space="0" w:color="auto"/>
            </w:tcBorders>
            <w:shd w:val="clear" w:color="auto" w:fill="auto"/>
            <w:noWrap/>
            <w:vAlign w:val="bottom"/>
            <w:hideMark/>
          </w:tcPr>
          <w:p w14:paraId="3FF0E1BB"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266.917,66</w:t>
            </w:r>
          </w:p>
        </w:tc>
      </w:tr>
      <w:tr w:rsidR="004864FF" w:rsidRPr="0069558B" w14:paraId="47F14A53" w14:textId="77777777" w:rsidTr="006B5A62">
        <w:trPr>
          <w:jc w:val="center"/>
        </w:trPr>
        <w:tc>
          <w:tcPr>
            <w:tcW w:w="1985" w:type="dxa"/>
            <w:vMerge/>
            <w:tcBorders>
              <w:top w:val="nil"/>
              <w:left w:val="single" w:sz="4" w:space="0" w:color="auto"/>
              <w:bottom w:val="single" w:sz="4" w:space="0" w:color="000000"/>
              <w:right w:val="single" w:sz="4" w:space="0" w:color="auto"/>
            </w:tcBorders>
            <w:vAlign w:val="center"/>
            <w:hideMark/>
          </w:tcPr>
          <w:p w14:paraId="7010EF7E" w14:textId="77777777" w:rsidR="004864FF" w:rsidRPr="0069558B" w:rsidRDefault="004864FF" w:rsidP="006B5A62">
            <w:pPr>
              <w:spacing w:before="20" w:after="20" w:line="240" w:lineRule="auto"/>
              <w:jc w:val="left"/>
              <w:rPr>
                <w:rFonts w:eastAsia="Times New Roman" w:cs="Calibri"/>
                <w:color w:val="000000"/>
                <w:sz w:val="20"/>
                <w:szCs w:val="20"/>
                <w:lang w:eastAsia="es-CL"/>
              </w:rPr>
            </w:pPr>
          </w:p>
        </w:tc>
        <w:tc>
          <w:tcPr>
            <w:tcW w:w="3969" w:type="dxa"/>
            <w:vMerge/>
            <w:tcBorders>
              <w:top w:val="nil"/>
              <w:left w:val="single" w:sz="4" w:space="0" w:color="auto"/>
              <w:bottom w:val="single" w:sz="4" w:space="0" w:color="000000"/>
              <w:right w:val="single" w:sz="4" w:space="0" w:color="auto"/>
            </w:tcBorders>
            <w:vAlign w:val="center"/>
            <w:hideMark/>
          </w:tcPr>
          <w:p w14:paraId="54C0A05F" w14:textId="77777777" w:rsidR="004864FF" w:rsidRPr="0069558B" w:rsidRDefault="004864FF" w:rsidP="006B5A62">
            <w:pPr>
              <w:spacing w:before="20" w:after="20" w:line="240" w:lineRule="auto"/>
              <w:jc w:val="left"/>
              <w:rPr>
                <w:rFonts w:eastAsia="Times New Roman" w:cs="Calibri"/>
                <w:color w:val="000000"/>
                <w:sz w:val="20"/>
                <w:szCs w:val="20"/>
                <w:lang w:eastAsia="es-CL"/>
              </w:rPr>
            </w:pPr>
          </w:p>
        </w:tc>
        <w:tc>
          <w:tcPr>
            <w:tcW w:w="1134" w:type="dxa"/>
            <w:tcBorders>
              <w:top w:val="nil"/>
              <w:left w:val="nil"/>
              <w:bottom w:val="single" w:sz="4" w:space="0" w:color="auto"/>
              <w:right w:val="single" w:sz="4" w:space="0" w:color="auto"/>
            </w:tcBorders>
            <w:shd w:val="clear" w:color="auto" w:fill="auto"/>
            <w:noWrap/>
            <w:vAlign w:val="bottom"/>
            <w:hideMark/>
          </w:tcPr>
          <w:p w14:paraId="7CD5300E"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P_164</w:t>
            </w:r>
          </w:p>
        </w:tc>
        <w:tc>
          <w:tcPr>
            <w:tcW w:w="3686" w:type="dxa"/>
            <w:tcBorders>
              <w:top w:val="nil"/>
              <w:left w:val="nil"/>
              <w:bottom w:val="single" w:sz="4" w:space="0" w:color="auto"/>
              <w:right w:val="single" w:sz="4" w:space="0" w:color="auto"/>
            </w:tcBorders>
            <w:shd w:val="clear" w:color="auto" w:fill="auto"/>
            <w:noWrap/>
            <w:vAlign w:val="bottom"/>
            <w:hideMark/>
          </w:tcPr>
          <w:p w14:paraId="19A1773C"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E-CL</w:t>
            </w:r>
          </w:p>
        </w:tc>
        <w:tc>
          <w:tcPr>
            <w:tcW w:w="2268" w:type="dxa"/>
            <w:tcBorders>
              <w:top w:val="nil"/>
              <w:left w:val="nil"/>
              <w:bottom w:val="single" w:sz="4" w:space="0" w:color="auto"/>
              <w:right w:val="single" w:sz="4" w:space="0" w:color="auto"/>
            </w:tcBorders>
            <w:shd w:val="clear" w:color="auto" w:fill="auto"/>
            <w:noWrap/>
            <w:vAlign w:val="bottom"/>
            <w:hideMark/>
          </w:tcPr>
          <w:p w14:paraId="6267ECB8"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9.539.941,53</w:t>
            </w:r>
          </w:p>
        </w:tc>
      </w:tr>
      <w:tr w:rsidR="004864FF" w:rsidRPr="0069558B" w14:paraId="19BE36B0"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0EBD392F"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N_38</w:t>
            </w:r>
          </w:p>
        </w:tc>
        <w:tc>
          <w:tcPr>
            <w:tcW w:w="3969" w:type="dxa"/>
            <w:tcBorders>
              <w:top w:val="nil"/>
              <w:left w:val="nil"/>
              <w:bottom w:val="single" w:sz="4" w:space="0" w:color="auto"/>
              <w:right w:val="single" w:sz="4" w:space="0" w:color="auto"/>
            </w:tcBorders>
            <w:shd w:val="clear" w:color="auto" w:fill="auto"/>
            <w:vAlign w:val="center"/>
            <w:hideMark/>
          </w:tcPr>
          <w:p w14:paraId="0C476A30"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Ciruelos 220-&gt;Cerros de Huichahue 220</w:t>
            </w:r>
          </w:p>
        </w:tc>
        <w:tc>
          <w:tcPr>
            <w:tcW w:w="1134" w:type="dxa"/>
            <w:tcBorders>
              <w:top w:val="nil"/>
              <w:left w:val="nil"/>
              <w:bottom w:val="single" w:sz="4" w:space="0" w:color="auto"/>
              <w:right w:val="single" w:sz="4" w:space="0" w:color="auto"/>
            </w:tcBorders>
            <w:shd w:val="clear" w:color="auto" w:fill="auto"/>
            <w:noWrap/>
            <w:vAlign w:val="bottom"/>
            <w:hideMark/>
          </w:tcPr>
          <w:p w14:paraId="2AC16A10"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P_290</w:t>
            </w:r>
          </w:p>
        </w:tc>
        <w:tc>
          <w:tcPr>
            <w:tcW w:w="3686" w:type="dxa"/>
            <w:tcBorders>
              <w:top w:val="nil"/>
              <w:left w:val="nil"/>
              <w:bottom w:val="single" w:sz="4" w:space="0" w:color="auto"/>
              <w:right w:val="single" w:sz="4" w:space="0" w:color="auto"/>
            </w:tcBorders>
            <w:shd w:val="clear" w:color="auto" w:fill="auto"/>
            <w:noWrap/>
            <w:vAlign w:val="bottom"/>
            <w:hideMark/>
          </w:tcPr>
          <w:p w14:paraId="590EAB3F"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Eletrans</w:t>
            </w:r>
          </w:p>
        </w:tc>
        <w:tc>
          <w:tcPr>
            <w:tcW w:w="2268" w:type="dxa"/>
            <w:tcBorders>
              <w:top w:val="nil"/>
              <w:left w:val="nil"/>
              <w:bottom w:val="single" w:sz="4" w:space="0" w:color="auto"/>
              <w:right w:val="single" w:sz="4" w:space="0" w:color="auto"/>
            </w:tcBorders>
            <w:shd w:val="clear" w:color="auto" w:fill="auto"/>
            <w:noWrap/>
            <w:vAlign w:val="bottom"/>
            <w:hideMark/>
          </w:tcPr>
          <w:p w14:paraId="22CC7C03"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3.281.738,32</w:t>
            </w:r>
          </w:p>
        </w:tc>
      </w:tr>
      <w:tr w:rsidR="004864FF" w:rsidRPr="0069558B" w14:paraId="7B4610E6"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3144CF3C"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N_39</w:t>
            </w:r>
          </w:p>
        </w:tc>
        <w:tc>
          <w:tcPr>
            <w:tcW w:w="3969" w:type="dxa"/>
            <w:tcBorders>
              <w:top w:val="nil"/>
              <w:left w:val="nil"/>
              <w:bottom w:val="single" w:sz="4" w:space="0" w:color="auto"/>
              <w:right w:val="single" w:sz="4" w:space="0" w:color="auto"/>
            </w:tcBorders>
            <w:shd w:val="clear" w:color="auto" w:fill="auto"/>
            <w:vAlign w:val="center"/>
            <w:hideMark/>
          </w:tcPr>
          <w:p w14:paraId="37CF0DB5"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Ciruelos 220-&gt;Lastarria 220</w:t>
            </w:r>
          </w:p>
        </w:tc>
        <w:tc>
          <w:tcPr>
            <w:tcW w:w="1134" w:type="dxa"/>
            <w:tcBorders>
              <w:top w:val="nil"/>
              <w:left w:val="nil"/>
              <w:bottom w:val="single" w:sz="4" w:space="0" w:color="auto"/>
              <w:right w:val="single" w:sz="4" w:space="0" w:color="auto"/>
            </w:tcBorders>
            <w:shd w:val="clear" w:color="auto" w:fill="auto"/>
            <w:noWrap/>
            <w:vAlign w:val="bottom"/>
            <w:hideMark/>
          </w:tcPr>
          <w:p w14:paraId="1D4DBB96"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P_032</w:t>
            </w:r>
          </w:p>
        </w:tc>
        <w:tc>
          <w:tcPr>
            <w:tcW w:w="3686" w:type="dxa"/>
            <w:tcBorders>
              <w:top w:val="nil"/>
              <w:left w:val="nil"/>
              <w:bottom w:val="single" w:sz="4" w:space="0" w:color="auto"/>
              <w:right w:val="single" w:sz="4" w:space="0" w:color="auto"/>
            </w:tcBorders>
            <w:shd w:val="clear" w:color="auto" w:fill="auto"/>
            <w:noWrap/>
            <w:vAlign w:val="bottom"/>
            <w:hideMark/>
          </w:tcPr>
          <w:p w14:paraId="4A22335F"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TRANSELEC S.A.</w:t>
            </w:r>
          </w:p>
        </w:tc>
        <w:tc>
          <w:tcPr>
            <w:tcW w:w="2268" w:type="dxa"/>
            <w:tcBorders>
              <w:top w:val="nil"/>
              <w:left w:val="nil"/>
              <w:bottom w:val="single" w:sz="4" w:space="0" w:color="auto"/>
              <w:right w:val="single" w:sz="4" w:space="0" w:color="auto"/>
            </w:tcBorders>
            <w:shd w:val="clear" w:color="auto" w:fill="auto"/>
            <w:noWrap/>
            <w:vAlign w:val="bottom"/>
            <w:hideMark/>
          </w:tcPr>
          <w:p w14:paraId="1D19A11A"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9.042.697,32</w:t>
            </w:r>
          </w:p>
        </w:tc>
      </w:tr>
      <w:tr w:rsidR="004864FF" w:rsidRPr="0069558B" w14:paraId="6B49794F"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4A033912"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N_40</w:t>
            </w:r>
          </w:p>
        </w:tc>
        <w:tc>
          <w:tcPr>
            <w:tcW w:w="3969" w:type="dxa"/>
            <w:tcBorders>
              <w:top w:val="nil"/>
              <w:left w:val="nil"/>
              <w:bottom w:val="single" w:sz="4" w:space="0" w:color="auto"/>
              <w:right w:val="single" w:sz="4" w:space="0" w:color="auto"/>
            </w:tcBorders>
            <w:shd w:val="clear" w:color="auto" w:fill="auto"/>
            <w:vAlign w:val="center"/>
            <w:hideMark/>
          </w:tcPr>
          <w:p w14:paraId="78B14891"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Ciruelos 220-&gt;Valdivia 220</w:t>
            </w:r>
          </w:p>
        </w:tc>
        <w:tc>
          <w:tcPr>
            <w:tcW w:w="1134" w:type="dxa"/>
            <w:tcBorders>
              <w:top w:val="nil"/>
              <w:left w:val="nil"/>
              <w:bottom w:val="single" w:sz="4" w:space="0" w:color="auto"/>
              <w:right w:val="single" w:sz="4" w:space="0" w:color="auto"/>
            </w:tcBorders>
            <w:shd w:val="clear" w:color="auto" w:fill="auto"/>
            <w:noWrap/>
            <w:vAlign w:val="bottom"/>
            <w:hideMark/>
          </w:tcPr>
          <w:p w14:paraId="4439EB7F"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P_032</w:t>
            </w:r>
          </w:p>
        </w:tc>
        <w:tc>
          <w:tcPr>
            <w:tcW w:w="3686" w:type="dxa"/>
            <w:tcBorders>
              <w:top w:val="nil"/>
              <w:left w:val="nil"/>
              <w:bottom w:val="single" w:sz="4" w:space="0" w:color="auto"/>
              <w:right w:val="single" w:sz="4" w:space="0" w:color="auto"/>
            </w:tcBorders>
            <w:shd w:val="clear" w:color="auto" w:fill="auto"/>
            <w:noWrap/>
            <w:vAlign w:val="bottom"/>
            <w:hideMark/>
          </w:tcPr>
          <w:p w14:paraId="7D0C3489"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TRANSELEC S.A.</w:t>
            </w:r>
          </w:p>
        </w:tc>
        <w:tc>
          <w:tcPr>
            <w:tcW w:w="2268" w:type="dxa"/>
            <w:tcBorders>
              <w:top w:val="nil"/>
              <w:left w:val="nil"/>
              <w:bottom w:val="single" w:sz="4" w:space="0" w:color="auto"/>
              <w:right w:val="single" w:sz="4" w:space="0" w:color="auto"/>
            </w:tcBorders>
            <w:shd w:val="clear" w:color="auto" w:fill="auto"/>
            <w:noWrap/>
            <w:vAlign w:val="bottom"/>
            <w:hideMark/>
          </w:tcPr>
          <w:p w14:paraId="58485DF6"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11.282.291,03</w:t>
            </w:r>
          </w:p>
        </w:tc>
      </w:tr>
      <w:tr w:rsidR="004864FF" w:rsidRPr="0069558B" w14:paraId="7D8BDF69"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7CBFCED2"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N_41</w:t>
            </w:r>
          </w:p>
        </w:tc>
        <w:tc>
          <w:tcPr>
            <w:tcW w:w="3969" w:type="dxa"/>
            <w:tcBorders>
              <w:top w:val="nil"/>
              <w:left w:val="nil"/>
              <w:bottom w:val="single" w:sz="4" w:space="0" w:color="auto"/>
              <w:right w:val="single" w:sz="4" w:space="0" w:color="auto"/>
            </w:tcBorders>
            <w:shd w:val="clear" w:color="auto" w:fill="auto"/>
            <w:vAlign w:val="center"/>
            <w:hideMark/>
          </w:tcPr>
          <w:p w14:paraId="656E498B"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Cóndores 220-&gt;Parinacota 220</w:t>
            </w:r>
          </w:p>
        </w:tc>
        <w:tc>
          <w:tcPr>
            <w:tcW w:w="1134" w:type="dxa"/>
            <w:tcBorders>
              <w:top w:val="nil"/>
              <w:left w:val="nil"/>
              <w:bottom w:val="single" w:sz="4" w:space="0" w:color="auto"/>
              <w:right w:val="single" w:sz="4" w:space="0" w:color="auto"/>
            </w:tcBorders>
            <w:shd w:val="clear" w:color="auto" w:fill="auto"/>
            <w:noWrap/>
            <w:vAlign w:val="bottom"/>
            <w:hideMark/>
          </w:tcPr>
          <w:p w14:paraId="5308520E"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P_032</w:t>
            </w:r>
          </w:p>
        </w:tc>
        <w:tc>
          <w:tcPr>
            <w:tcW w:w="3686" w:type="dxa"/>
            <w:tcBorders>
              <w:top w:val="nil"/>
              <w:left w:val="nil"/>
              <w:bottom w:val="single" w:sz="4" w:space="0" w:color="auto"/>
              <w:right w:val="single" w:sz="4" w:space="0" w:color="auto"/>
            </w:tcBorders>
            <w:shd w:val="clear" w:color="auto" w:fill="auto"/>
            <w:noWrap/>
            <w:vAlign w:val="bottom"/>
            <w:hideMark/>
          </w:tcPr>
          <w:p w14:paraId="0140C6E5"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TRANSELEC S.A.</w:t>
            </w:r>
          </w:p>
        </w:tc>
        <w:tc>
          <w:tcPr>
            <w:tcW w:w="2268" w:type="dxa"/>
            <w:tcBorders>
              <w:top w:val="nil"/>
              <w:left w:val="nil"/>
              <w:bottom w:val="single" w:sz="4" w:space="0" w:color="auto"/>
              <w:right w:val="single" w:sz="4" w:space="0" w:color="auto"/>
            </w:tcBorders>
            <w:shd w:val="clear" w:color="auto" w:fill="auto"/>
            <w:noWrap/>
            <w:vAlign w:val="bottom"/>
            <w:hideMark/>
          </w:tcPr>
          <w:p w14:paraId="2D1AF092"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29.220.385,82</w:t>
            </w:r>
          </w:p>
        </w:tc>
      </w:tr>
      <w:tr w:rsidR="004864FF" w:rsidRPr="0069558B" w14:paraId="38655D22"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7A06CAB2"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lastRenderedPageBreak/>
              <w:t>N_42</w:t>
            </w:r>
          </w:p>
        </w:tc>
        <w:tc>
          <w:tcPr>
            <w:tcW w:w="3969" w:type="dxa"/>
            <w:tcBorders>
              <w:top w:val="nil"/>
              <w:left w:val="nil"/>
              <w:bottom w:val="single" w:sz="4" w:space="0" w:color="auto"/>
              <w:right w:val="single" w:sz="4" w:space="0" w:color="auto"/>
            </w:tcBorders>
            <w:shd w:val="clear" w:color="auto" w:fill="auto"/>
            <w:vAlign w:val="center"/>
            <w:hideMark/>
          </w:tcPr>
          <w:p w14:paraId="719B075F"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Crucero 220-&gt;Kimal 220</w:t>
            </w:r>
          </w:p>
        </w:tc>
        <w:tc>
          <w:tcPr>
            <w:tcW w:w="1134" w:type="dxa"/>
            <w:tcBorders>
              <w:top w:val="nil"/>
              <w:left w:val="nil"/>
              <w:bottom w:val="single" w:sz="4" w:space="0" w:color="auto"/>
              <w:right w:val="single" w:sz="4" w:space="0" w:color="auto"/>
            </w:tcBorders>
            <w:shd w:val="clear" w:color="auto" w:fill="auto"/>
            <w:noWrap/>
            <w:vAlign w:val="bottom"/>
            <w:hideMark/>
          </w:tcPr>
          <w:p w14:paraId="6376B953"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P_032</w:t>
            </w:r>
          </w:p>
        </w:tc>
        <w:tc>
          <w:tcPr>
            <w:tcW w:w="3686" w:type="dxa"/>
            <w:tcBorders>
              <w:top w:val="nil"/>
              <w:left w:val="nil"/>
              <w:bottom w:val="single" w:sz="4" w:space="0" w:color="auto"/>
              <w:right w:val="single" w:sz="4" w:space="0" w:color="auto"/>
            </w:tcBorders>
            <w:shd w:val="clear" w:color="auto" w:fill="auto"/>
            <w:noWrap/>
            <w:vAlign w:val="bottom"/>
            <w:hideMark/>
          </w:tcPr>
          <w:p w14:paraId="5CB0A20E"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TRANSELEC S.A.</w:t>
            </w:r>
          </w:p>
        </w:tc>
        <w:tc>
          <w:tcPr>
            <w:tcW w:w="2268" w:type="dxa"/>
            <w:tcBorders>
              <w:top w:val="nil"/>
              <w:left w:val="nil"/>
              <w:bottom w:val="single" w:sz="4" w:space="0" w:color="auto"/>
              <w:right w:val="single" w:sz="4" w:space="0" w:color="auto"/>
            </w:tcBorders>
            <w:shd w:val="clear" w:color="auto" w:fill="auto"/>
            <w:noWrap/>
            <w:vAlign w:val="bottom"/>
            <w:hideMark/>
          </w:tcPr>
          <w:p w14:paraId="7F45EB6B"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1.259.138,56</w:t>
            </w:r>
          </w:p>
        </w:tc>
      </w:tr>
      <w:tr w:rsidR="004864FF" w:rsidRPr="0069558B" w14:paraId="5EB94E75"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23B2C588"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N_43</w:t>
            </w:r>
          </w:p>
        </w:tc>
        <w:tc>
          <w:tcPr>
            <w:tcW w:w="3969" w:type="dxa"/>
            <w:tcBorders>
              <w:top w:val="nil"/>
              <w:left w:val="nil"/>
              <w:bottom w:val="single" w:sz="4" w:space="0" w:color="auto"/>
              <w:right w:val="single" w:sz="4" w:space="0" w:color="auto"/>
            </w:tcBorders>
            <w:shd w:val="clear" w:color="auto" w:fill="auto"/>
            <w:vAlign w:val="center"/>
            <w:hideMark/>
          </w:tcPr>
          <w:p w14:paraId="1C50C6A1"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Cumbre 500-&gt;Nueva Cardones 500</w:t>
            </w:r>
          </w:p>
        </w:tc>
        <w:tc>
          <w:tcPr>
            <w:tcW w:w="1134" w:type="dxa"/>
            <w:tcBorders>
              <w:top w:val="nil"/>
              <w:left w:val="nil"/>
              <w:bottom w:val="single" w:sz="4" w:space="0" w:color="auto"/>
              <w:right w:val="single" w:sz="4" w:space="0" w:color="auto"/>
            </w:tcBorders>
            <w:shd w:val="clear" w:color="auto" w:fill="auto"/>
            <w:noWrap/>
            <w:vAlign w:val="bottom"/>
            <w:hideMark/>
          </w:tcPr>
          <w:p w14:paraId="61E0C842"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P_514</w:t>
            </w:r>
          </w:p>
        </w:tc>
        <w:tc>
          <w:tcPr>
            <w:tcW w:w="3686" w:type="dxa"/>
            <w:tcBorders>
              <w:top w:val="nil"/>
              <w:left w:val="nil"/>
              <w:bottom w:val="single" w:sz="4" w:space="0" w:color="auto"/>
              <w:right w:val="single" w:sz="4" w:space="0" w:color="auto"/>
            </w:tcBorders>
            <w:shd w:val="clear" w:color="auto" w:fill="auto"/>
            <w:noWrap/>
            <w:vAlign w:val="bottom"/>
            <w:hideMark/>
          </w:tcPr>
          <w:p w14:paraId="076F678B"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TEN</w:t>
            </w:r>
          </w:p>
        </w:tc>
        <w:tc>
          <w:tcPr>
            <w:tcW w:w="2268" w:type="dxa"/>
            <w:tcBorders>
              <w:top w:val="nil"/>
              <w:left w:val="nil"/>
              <w:bottom w:val="single" w:sz="4" w:space="0" w:color="auto"/>
              <w:right w:val="single" w:sz="4" w:space="0" w:color="auto"/>
            </w:tcBorders>
            <w:shd w:val="clear" w:color="auto" w:fill="auto"/>
            <w:noWrap/>
            <w:vAlign w:val="bottom"/>
            <w:hideMark/>
          </w:tcPr>
          <w:p w14:paraId="57E3F19F"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171.890.684,29</w:t>
            </w:r>
          </w:p>
        </w:tc>
      </w:tr>
      <w:tr w:rsidR="004864FF" w:rsidRPr="0069558B" w14:paraId="7E03CA36"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0603B55A"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N_44</w:t>
            </w:r>
          </w:p>
        </w:tc>
        <w:tc>
          <w:tcPr>
            <w:tcW w:w="3969" w:type="dxa"/>
            <w:tcBorders>
              <w:top w:val="nil"/>
              <w:left w:val="nil"/>
              <w:bottom w:val="single" w:sz="4" w:space="0" w:color="auto"/>
              <w:right w:val="single" w:sz="4" w:space="0" w:color="auto"/>
            </w:tcBorders>
            <w:shd w:val="clear" w:color="auto" w:fill="auto"/>
            <w:vAlign w:val="center"/>
            <w:hideMark/>
          </w:tcPr>
          <w:p w14:paraId="5750DED0"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Don Goyo 220-&gt;La Cebada 220</w:t>
            </w:r>
          </w:p>
        </w:tc>
        <w:tc>
          <w:tcPr>
            <w:tcW w:w="1134" w:type="dxa"/>
            <w:tcBorders>
              <w:top w:val="nil"/>
              <w:left w:val="nil"/>
              <w:bottom w:val="single" w:sz="4" w:space="0" w:color="auto"/>
              <w:right w:val="single" w:sz="4" w:space="0" w:color="auto"/>
            </w:tcBorders>
            <w:shd w:val="clear" w:color="auto" w:fill="auto"/>
            <w:noWrap/>
            <w:vAlign w:val="bottom"/>
            <w:hideMark/>
          </w:tcPr>
          <w:p w14:paraId="5480B657"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P_032</w:t>
            </w:r>
          </w:p>
        </w:tc>
        <w:tc>
          <w:tcPr>
            <w:tcW w:w="3686" w:type="dxa"/>
            <w:tcBorders>
              <w:top w:val="nil"/>
              <w:left w:val="nil"/>
              <w:bottom w:val="single" w:sz="4" w:space="0" w:color="auto"/>
              <w:right w:val="single" w:sz="4" w:space="0" w:color="auto"/>
            </w:tcBorders>
            <w:shd w:val="clear" w:color="auto" w:fill="auto"/>
            <w:noWrap/>
            <w:vAlign w:val="bottom"/>
            <w:hideMark/>
          </w:tcPr>
          <w:p w14:paraId="68E00D35"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TRANSELEC S.A.</w:t>
            </w:r>
          </w:p>
        </w:tc>
        <w:tc>
          <w:tcPr>
            <w:tcW w:w="2268" w:type="dxa"/>
            <w:tcBorders>
              <w:top w:val="nil"/>
              <w:left w:val="nil"/>
              <w:bottom w:val="single" w:sz="4" w:space="0" w:color="auto"/>
              <w:right w:val="single" w:sz="4" w:space="0" w:color="auto"/>
            </w:tcBorders>
            <w:shd w:val="clear" w:color="auto" w:fill="auto"/>
            <w:noWrap/>
            <w:vAlign w:val="bottom"/>
            <w:hideMark/>
          </w:tcPr>
          <w:p w14:paraId="76678FC7"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12.112.837,22</w:t>
            </w:r>
          </w:p>
        </w:tc>
      </w:tr>
      <w:tr w:rsidR="004864FF" w:rsidRPr="0069558B" w14:paraId="2DABF307"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727182A9"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N_45</w:t>
            </w:r>
          </w:p>
        </w:tc>
        <w:tc>
          <w:tcPr>
            <w:tcW w:w="3969" w:type="dxa"/>
            <w:tcBorders>
              <w:top w:val="nil"/>
              <w:left w:val="nil"/>
              <w:bottom w:val="single" w:sz="4" w:space="0" w:color="auto"/>
              <w:right w:val="single" w:sz="4" w:space="0" w:color="auto"/>
            </w:tcBorders>
            <w:shd w:val="clear" w:color="auto" w:fill="auto"/>
            <w:vAlign w:val="center"/>
            <w:hideMark/>
          </w:tcPr>
          <w:p w14:paraId="07AE6FC7"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Don Héctor 220-&gt;Punta Colorada 220</w:t>
            </w:r>
          </w:p>
        </w:tc>
        <w:tc>
          <w:tcPr>
            <w:tcW w:w="1134" w:type="dxa"/>
            <w:tcBorders>
              <w:top w:val="nil"/>
              <w:left w:val="nil"/>
              <w:bottom w:val="single" w:sz="4" w:space="0" w:color="auto"/>
              <w:right w:val="single" w:sz="4" w:space="0" w:color="auto"/>
            </w:tcBorders>
            <w:shd w:val="clear" w:color="auto" w:fill="auto"/>
            <w:noWrap/>
            <w:vAlign w:val="bottom"/>
            <w:hideMark/>
          </w:tcPr>
          <w:p w14:paraId="4A02EBCD"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P_032</w:t>
            </w:r>
          </w:p>
        </w:tc>
        <w:tc>
          <w:tcPr>
            <w:tcW w:w="3686" w:type="dxa"/>
            <w:tcBorders>
              <w:top w:val="nil"/>
              <w:left w:val="nil"/>
              <w:bottom w:val="single" w:sz="4" w:space="0" w:color="auto"/>
              <w:right w:val="single" w:sz="4" w:space="0" w:color="auto"/>
            </w:tcBorders>
            <w:shd w:val="clear" w:color="auto" w:fill="auto"/>
            <w:noWrap/>
            <w:vAlign w:val="bottom"/>
            <w:hideMark/>
          </w:tcPr>
          <w:p w14:paraId="6D1CEE63"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TRANSELEC S.A.</w:t>
            </w:r>
          </w:p>
        </w:tc>
        <w:tc>
          <w:tcPr>
            <w:tcW w:w="2268" w:type="dxa"/>
            <w:tcBorders>
              <w:top w:val="nil"/>
              <w:left w:val="nil"/>
              <w:bottom w:val="single" w:sz="4" w:space="0" w:color="auto"/>
              <w:right w:val="single" w:sz="4" w:space="0" w:color="auto"/>
            </w:tcBorders>
            <w:shd w:val="clear" w:color="auto" w:fill="auto"/>
            <w:noWrap/>
            <w:vAlign w:val="bottom"/>
            <w:hideMark/>
          </w:tcPr>
          <w:p w14:paraId="09F240C8"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16.504.211,95</w:t>
            </w:r>
          </w:p>
        </w:tc>
      </w:tr>
      <w:tr w:rsidR="004864FF" w:rsidRPr="0069558B" w14:paraId="529AA5A5" w14:textId="77777777" w:rsidTr="006B5A62">
        <w:trPr>
          <w:jc w:val="center"/>
        </w:trPr>
        <w:tc>
          <w:tcPr>
            <w:tcW w:w="1985"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38971A20"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N_46</w:t>
            </w:r>
          </w:p>
        </w:tc>
        <w:tc>
          <w:tcPr>
            <w:tcW w:w="3969" w:type="dxa"/>
            <w:vMerge w:val="restart"/>
            <w:tcBorders>
              <w:top w:val="nil"/>
              <w:left w:val="single" w:sz="4" w:space="0" w:color="auto"/>
              <w:bottom w:val="single" w:sz="4" w:space="0" w:color="000000"/>
              <w:right w:val="single" w:sz="4" w:space="0" w:color="auto"/>
            </w:tcBorders>
            <w:shd w:val="clear" w:color="auto" w:fill="auto"/>
            <w:vAlign w:val="center"/>
            <w:hideMark/>
          </w:tcPr>
          <w:p w14:paraId="17D21B83"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Duqueco 220-&gt;Bureo 220</w:t>
            </w:r>
          </w:p>
        </w:tc>
        <w:tc>
          <w:tcPr>
            <w:tcW w:w="1134" w:type="dxa"/>
            <w:tcBorders>
              <w:top w:val="nil"/>
              <w:left w:val="nil"/>
              <w:bottom w:val="single" w:sz="4" w:space="0" w:color="auto"/>
              <w:right w:val="single" w:sz="4" w:space="0" w:color="auto"/>
            </w:tcBorders>
            <w:shd w:val="clear" w:color="auto" w:fill="auto"/>
            <w:noWrap/>
            <w:vAlign w:val="bottom"/>
            <w:hideMark/>
          </w:tcPr>
          <w:p w14:paraId="72763AEA"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P_032</w:t>
            </w:r>
          </w:p>
        </w:tc>
        <w:tc>
          <w:tcPr>
            <w:tcW w:w="3686" w:type="dxa"/>
            <w:tcBorders>
              <w:top w:val="nil"/>
              <w:left w:val="nil"/>
              <w:bottom w:val="single" w:sz="4" w:space="0" w:color="auto"/>
              <w:right w:val="single" w:sz="4" w:space="0" w:color="auto"/>
            </w:tcBorders>
            <w:shd w:val="clear" w:color="auto" w:fill="auto"/>
            <w:noWrap/>
            <w:vAlign w:val="bottom"/>
            <w:hideMark/>
          </w:tcPr>
          <w:p w14:paraId="3CBF2A67"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TRANSELEC S.A.</w:t>
            </w:r>
          </w:p>
        </w:tc>
        <w:tc>
          <w:tcPr>
            <w:tcW w:w="2268" w:type="dxa"/>
            <w:tcBorders>
              <w:top w:val="nil"/>
              <w:left w:val="nil"/>
              <w:bottom w:val="single" w:sz="4" w:space="0" w:color="auto"/>
              <w:right w:val="single" w:sz="4" w:space="0" w:color="auto"/>
            </w:tcBorders>
            <w:shd w:val="clear" w:color="auto" w:fill="auto"/>
            <w:noWrap/>
            <w:vAlign w:val="bottom"/>
            <w:hideMark/>
          </w:tcPr>
          <w:p w14:paraId="0CCA93F4"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6.552.553,52</w:t>
            </w:r>
          </w:p>
        </w:tc>
      </w:tr>
      <w:tr w:rsidR="004864FF" w:rsidRPr="0069558B" w14:paraId="1DA152E7" w14:textId="77777777" w:rsidTr="006B5A62">
        <w:trPr>
          <w:jc w:val="center"/>
        </w:trPr>
        <w:tc>
          <w:tcPr>
            <w:tcW w:w="1985" w:type="dxa"/>
            <w:vMerge/>
            <w:tcBorders>
              <w:top w:val="nil"/>
              <w:left w:val="single" w:sz="4" w:space="0" w:color="auto"/>
              <w:bottom w:val="single" w:sz="4" w:space="0" w:color="000000"/>
              <w:right w:val="single" w:sz="4" w:space="0" w:color="auto"/>
            </w:tcBorders>
            <w:vAlign w:val="center"/>
            <w:hideMark/>
          </w:tcPr>
          <w:p w14:paraId="11D19904" w14:textId="77777777" w:rsidR="004864FF" w:rsidRPr="0069558B" w:rsidRDefault="004864FF" w:rsidP="006B5A62">
            <w:pPr>
              <w:spacing w:before="20" w:after="20" w:line="240" w:lineRule="auto"/>
              <w:jc w:val="left"/>
              <w:rPr>
                <w:rFonts w:eastAsia="Times New Roman" w:cs="Calibri"/>
                <w:color w:val="000000"/>
                <w:sz w:val="20"/>
                <w:szCs w:val="20"/>
                <w:lang w:eastAsia="es-CL"/>
              </w:rPr>
            </w:pPr>
          </w:p>
        </w:tc>
        <w:tc>
          <w:tcPr>
            <w:tcW w:w="3969" w:type="dxa"/>
            <w:vMerge/>
            <w:tcBorders>
              <w:top w:val="nil"/>
              <w:left w:val="single" w:sz="4" w:space="0" w:color="auto"/>
              <w:bottom w:val="single" w:sz="4" w:space="0" w:color="000000"/>
              <w:right w:val="single" w:sz="4" w:space="0" w:color="auto"/>
            </w:tcBorders>
            <w:vAlign w:val="center"/>
            <w:hideMark/>
          </w:tcPr>
          <w:p w14:paraId="30E7DB69" w14:textId="77777777" w:rsidR="004864FF" w:rsidRPr="0069558B" w:rsidRDefault="004864FF" w:rsidP="006B5A62">
            <w:pPr>
              <w:spacing w:before="20" w:after="20" w:line="240" w:lineRule="auto"/>
              <w:jc w:val="left"/>
              <w:rPr>
                <w:rFonts w:eastAsia="Times New Roman" w:cs="Calibri"/>
                <w:color w:val="000000"/>
                <w:sz w:val="20"/>
                <w:szCs w:val="20"/>
                <w:lang w:eastAsia="es-CL"/>
              </w:rPr>
            </w:pPr>
          </w:p>
        </w:tc>
        <w:tc>
          <w:tcPr>
            <w:tcW w:w="1134" w:type="dxa"/>
            <w:tcBorders>
              <w:top w:val="nil"/>
              <w:left w:val="nil"/>
              <w:bottom w:val="single" w:sz="4" w:space="0" w:color="auto"/>
              <w:right w:val="single" w:sz="4" w:space="0" w:color="auto"/>
            </w:tcBorders>
            <w:shd w:val="clear" w:color="auto" w:fill="auto"/>
            <w:noWrap/>
            <w:vAlign w:val="bottom"/>
            <w:hideMark/>
          </w:tcPr>
          <w:p w14:paraId="49D92462"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P_120</w:t>
            </w:r>
          </w:p>
        </w:tc>
        <w:tc>
          <w:tcPr>
            <w:tcW w:w="3686" w:type="dxa"/>
            <w:tcBorders>
              <w:top w:val="nil"/>
              <w:left w:val="nil"/>
              <w:bottom w:val="single" w:sz="4" w:space="0" w:color="auto"/>
              <w:right w:val="single" w:sz="4" w:space="0" w:color="auto"/>
            </w:tcBorders>
            <w:shd w:val="clear" w:color="auto" w:fill="auto"/>
            <w:noWrap/>
            <w:vAlign w:val="bottom"/>
            <w:hideMark/>
          </w:tcPr>
          <w:p w14:paraId="2A55AA41"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TRANSEMEL</w:t>
            </w:r>
          </w:p>
        </w:tc>
        <w:tc>
          <w:tcPr>
            <w:tcW w:w="2268" w:type="dxa"/>
            <w:tcBorders>
              <w:top w:val="nil"/>
              <w:left w:val="nil"/>
              <w:bottom w:val="single" w:sz="4" w:space="0" w:color="auto"/>
              <w:right w:val="single" w:sz="4" w:space="0" w:color="auto"/>
            </w:tcBorders>
            <w:shd w:val="clear" w:color="auto" w:fill="auto"/>
            <w:noWrap/>
            <w:vAlign w:val="bottom"/>
            <w:hideMark/>
          </w:tcPr>
          <w:p w14:paraId="3371539C"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231.896,83</w:t>
            </w:r>
          </w:p>
        </w:tc>
      </w:tr>
      <w:tr w:rsidR="004864FF" w:rsidRPr="0069558B" w14:paraId="7C109FFE" w14:textId="77777777" w:rsidTr="006B5A62">
        <w:trPr>
          <w:jc w:val="center"/>
        </w:trPr>
        <w:tc>
          <w:tcPr>
            <w:tcW w:w="1985"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50F6297B"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N_47</w:t>
            </w:r>
          </w:p>
        </w:tc>
        <w:tc>
          <w:tcPr>
            <w:tcW w:w="3969" w:type="dxa"/>
            <w:vMerge w:val="restart"/>
            <w:tcBorders>
              <w:top w:val="nil"/>
              <w:left w:val="single" w:sz="4" w:space="0" w:color="auto"/>
              <w:bottom w:val="single" w:sz="4" w:space="0" w:color="000000"/>
              <w:right w:val="single" w:sz="4" w:space="0" w:color="auto"/>
            </w:tcBorders>
            <w:shd w:val="clear" w:color="auto" w:fill="auto"/>
            <w:vAlign w:val="center"/>
            <w:hideMark/>
          </w:tcPr>
          <w:p w14:paraId="0EA22B0E"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Duqueco 220-&gt;Los Varones 220</w:t>
            </w:r>
          </w:p>
        </w:tc>
        <w:tc>
          <w:tcPr>
            <w:tcW w:w="1134" w:type="dxa"/>
            <w:tcBorders>
              <w:top w:val="nil"/>
              <w:left w:val="nil"/>
              <w:bottom w:val="single" w:sz="4" w:space="0" w:color="auto"/>
              <w:right w:val="single" w:sz="4" w:space="0" w:color="auto"/>
            </w:tcBorders>
            <w:shd w:val="clear" w:color="auto" w:fill="auto"/>
            <w:noWrap/>
            <w:vAlign w:val="bottom"/>
            <w:hideMark/>
          </w:tcPr>
          <w:p w14:paraId="7E5A639E"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P_032</w:t>
            </w:r>
          </w:p>
        </w:tc>
        <w:tc>
          <w:tcPr>
            <w:tcW w:w="3686" w:type="dxa"/>
            <w:tcBorders>
              <w:top w:val="nil"/>
              <w:left w:val="nil"/>
              <w:bottom w:val="single" w:sz="4" w:space="0" w:color="auto"/>
              <w:right w:val="single" w:sz="4" w:space="0" w:color="auto"/>
            </w:tcBorders>
            <w:shd w:val="clear" w:color="auto" w:fill="auto"/>
            <w:noWrap/>
            <w:vAlign w:val="bottom"/>
            <w:hideMark/>
          </w:tcPr>
          <w:p w14:paraId="6CAC92B1"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TRANSELEC S.A.</w:t>
            </w:r>
          </w:p>
        </w:tc>
        <w:tc>
          <w:tcPr>
            <w:tcW w:w="2268" w:type="dxa"/>
            <w:tcBorders>
              <w:top w:val="nil"/>
              <w:left w:val="nil"/>
              <w:bottom w:val="single" w:sz="4" w:space="0" w:color="auto"/>
              <w:right w:val="single" w:sz="4" w:space="0" w:color="auto"/>
            </w:tcBorders>
            <w:shd w:val="clear" w:color="auto" w:fill="auto"/>
            <w:noWrap/>
            <w:vAlign w:val="bottom"/>
            <w:hideMark/>
          </w:tcPr>
          <w:p w14:paraId="33847887"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2.350.780,02</w:t>
            </w:r>
          </w:p>
        </w:tc>
      </w:tr>
      <w:tr w:rsidR="004864FF" w:rsidRPr="0069558B" w14:paraId="0D646FC1" w14:textId="77777777" w:rsidTr="006B5A62">
        <w:trPr>
          <w:jc w:val="center"/>
        </w:trPr>
        <w:tc>
          <w:tcPr>
            <w:tcW w:w="1985" w:type="dxa"/>
            <w:vMerge/>
            <w:tcBorders>
              <w:top w:val="nil"/>
              <w:left w:val="single" w:sz="4" w:space="0" w:color="auto"/>
              <w:bottom w:val="single" w:sz="4" w:space="0" w:color="000000"/>
              <w:right w:val="single" w:sz="4" w:space="0" w:color="auto"/>
            </w:tcBorders>
            <w:vAlign w:val="center"/>
            <w:hideMark/>
          </w:tcPr>
          <w:p w14:paraId="24D6C205" w14:textId="77777777" w:rsidR="004864FF" w:rsidRPr="0069558B" w:rsidRDefault="004864FF" w:rsidP="006B5A62">
            <w:pPr>
              <w:spacing w:before="20" w:after="20" w:line="240" w:lineRule="auto"/>
              <w:jc w:val="left"/>
              <w:rPr>
                <w:rFonts w:eastAsia="Times New Roman" w:cs="Calibri"/>
                <w:color w:val="000000"/>
                <w:sz w:val="20"/>
                <w:szCs w:val="20"/>
                <w:lang w:eastAsia="es-CL"/>
              </w:rPr>
            </w:pPr>
          </w:p>
        </w:tc>
        <w:tc>
          <w:tcPr>
            <w:tcW w:w="3969" w:type="dxa"/>
            <w:vMerge/>
            <w:tcBorders>
              <w:top w:val="nil"/>
              <w:left w:val="single" w:sz="4" w:space="0" w:color="auto"/>
              <w:bottom w:val="single" w:sz="4" w:space="0" w:color="000000"/>
              <w:right w:val="single" w:sz="4" w:space="0" w:color="auto"/>
            </w:tcBorders>
            <w:vAlign w:val="center"/>
            <w:hideMark/>
          </w:tcPr>
          <w:p w14:paraId="5DDDFF20" w14:textId="77777777" w:rsidR="004864FF" w:rsidRPr="0069558B" w:rsidRDefault="004864FF" w:rsidP="006B5A62">
            <w:pPr>
              <w:spacing w:before="20" w:after="20" w:line="240" w:lineRule="auto"/>
              <w:jc w:val="left"/>
              <w:rPr>
                <w:rFonts w:eastAsia="Times New Roman" w:cs="Calibri"/>
                <w:color w:val="000000"/>
                <w:sz w:val="20"/>
                <w:szCs w:val="20"/>
                <w:lang w:eastAsia="es-CL"/>
              </w:rPr>
            </w:pPr>
          </w:p>
        </w:tc>
        <w:tc>
          <w:tcPr>
            <w:tcW w:w="1134" w:type="dxa"/>
            <w:tcBorders>
              <w:top w:val="nil"/>
              <w:left w:val="nil"/>
              <w:bottom w:val="single" w:sz="4" w:space="0" w:color="auto"/>
              <w:right w:val="single" w:sz="4" w:space="0" w:color="auto"/>
            </w:tcBorders>
            <w:shd w:val="clear" w:color="auto" w:fill="auto"/>
            <w:noWrap/>
            <w:vAlign w:val="bottom"/>
            <w:hideMark/>
          </w:tcPr>
          <w:p w14:paraId="28914924"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P_083</w:t>
            </w:r>
          </w:p>
        </w:tc>
        <w:tc>
          <w:tcPr>
            <w:tcW w:w="3686" w:type="dxa"/>
            <w:tcBorders>
              <w:top w:val="nil"/>
              <w:left w:val="nil"/>
              <w:bottom w:val="single" w:sz="4" w:space="0" w:color="auto"/>
              <w:right w:val="single" w:sz="4" w:space="0" w:color="auto"/>
            </w:tcBorders>
            <w:shd w:val="clear" w:color="auto" w:fill="auto"/>
            <w:noWrap/>
            <w:vAlign w:val="bottom"/>
            <w:hideMark/>
          </w:tcPr>
          <w:p w14:paraId="68AFADBC"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CGE</w:t>
            </w:r>
          </w:p>
        </w:tc>
        <w:tc>
          <w:tcPr>
            <w:tcW w:w="2268" w:type="dxa"/>
            <w:tcBorders>
              <w:top w:val="nil"/>
              <w:left w:val="nil"/>
              <w:bottom w:val="single" w:sz="4" w:space="0" w:color="auto"/>
              <w:right w:val="single" w:sz="4" w:space="0" w:color="auto"/>
            </w:tcBorders>
            <w:shd w:val="clear" w:color="auto" w:fill="auto"/>
            <w:noWrap/>
            <w:vAlign w:val="bottom"/>
            <w:hideMark/>
          </w:tcPr>
          <w:p w14:paraId="36A90653"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31.186,20</w:t>
            </w:r>
          </w:p>
        </w:tc>
      </w:tr>
      <w:tr w:rsidR="004864FF" w:rsidRPr="0069558B" w14:paraId="782F6F01" w14:textId="77777777" w:rsidTr="006B5A62">
        <w:trPr>
          <w:jc w:val="center"/>
        </w:trPr>
        <w:tc>
          <w:tcPr>
            <w:tcW w:w="1985" w:type="dxa"/>
            <w:vMerge/>
            <w:tcBorders>
              <w:top w:val="nil"/>
              <w:left w:val="single" w:sz="4" w:space="0" w:color="auto"/>
              <w:bottom w:val="single" w:sz="4" w:space="0" w:color="000000"/>
              <w:right w:val="single" w:sz="4" w:space="0" w:color="auto"/>
            </w:tcBorders>
            <w:vAlign w:val="center"/>
            <w:hideMark/>
          </w:tcPr>
          <w:p w14:paraId="611FEB2B" w14:textId="77777777" w:rsidR="004864FF" w:rsidRPr="0069558B" w:rsidRDefault="004864FF" w:rsidP="006B5A62">
            <w:pPr>
              <w:spacing w:before="20" w:after="20" w:line="240" w:lineRule="auto"/>
              <w:jc w:val="left"/>
              <w:rPr>
                <w:rFonts w:eastAsia="Times New Roman" w:cs="Calibri"/>
                <w:color w:val="000000"/>
                <w:sz w:val="20"/>
                <w:szCs w:val="20"/>
                <w:lang w:eastAsia="es-CL"/>
              </w:rPr>
            </w:pPr>
          </w:p>
        </w:tc>
        <w:tc>
          <w:tcPr>
            <w:tcW w:w="3969" w:type="dxa"/>
            <w:vMerge/>
            <w:tcBorders>
              <w:top w:val="nil"/>
              <w:left w:val="single" w:sz="4" w:space="0" w:color="auto"/>
              <w:bottom w:val="single" w:sz="4" w:space="0" w:color="000000"/>
              <w:right w:val="single" w:sz="4" w:space="0" w:color="auto"/>
            </w:tcBorders>
            <w:vAlign w:val="center"/>
            <w:hideMark/>
          </w:tcPr>
          <w:p w14:paraId="208DC955" w14:textId="77777777" w:rsidR="004864FF" w:rsidRPr="0069558B" w:rsidRDefault="004864FF" w:rsidP="006B5A62">
            <w:pPr>
              <w:spacing w:before="20" w:after="20" w:line="240" w:lineRule="auto"/>
              <w:jc w:val="left"/>
              <w:rPr>
                <w:rFonts w:eastAsia="Times New Roman" w:cs="Calibri"/>
                <w:color w:val="000000"/>
                <w:sz w:val="20"/>
                <w:szCs w:val="20"/>
                <w:lang w:eastAsia="es-CL"/>
              </w:rPr>
            </w:pPr>
          </w:p>
        </w:tc>
        <w:tc>
          <w:tcPr>
            <w:tcW w:w="1134" w:type="dxa"/>
            <w:tcBorders>
              <w:top w:val="nil"/>
              <w:left w:val="nil"/>
              <w:bottom w:val="single" w:sz="4" w:space="0" w:color="auto"/>
              <w:right w:val="single" w:sz="4" w:space="0" w:color="auto"/>
            </w:tcBorders>
            <w:shd w:val="clear" w:color="auto" w:fill="auto"/>
            <w:noWrap/>
            <w:vAlign w:val="bottom"/>
            <w:hideMark/>
          </w:tcPr>
          <w:p w14:paraId="7A718D41"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P_120</w:t>
            </w:r>
          </w:p>
        </w:tc>
        <w:tc>
          <w:tcPr>
            <w:tcW w:w="3686" w:type="dxa"/>
            <w:tcBorders>
              <w:top w:val="nil"/>
              <w:left w:val="nil"/>
              <w:bottom w:val="single" w:sz="4" w:space="0" w:color="auto"/>
              <w:right w:val="single" w:sz="4" w:space="0" w:color="auto"/>
            </w:tcBorders>
            <w:shd w:val="clear" w:color="auto" w:fill="auto"/>
            <w:noWrap/>
            <w:vAlign w:val="bottom"/>
            <w:hideMark/>
          </w:tcPr>
          <w:p w14:paraId="7144EC79"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TRANSEMEL</w:t>
            </w:r>
          </w:p>
        </w:tc>
        <w:tc>
          <w:tcPr>
            <w:tcW w:w="2268" w:type="dxa"/>
            <w:tcBorders>
              <w:top w:val="nil"/>
              <w:left w:val="nil"/>
              <w:bottom w:val="single" w:sz="4" w:space="0" w:color="auto"/>
              <w:right w:val="single" w:sz="4" w:space="0" w:color="auto"/>
            </w:tcBorders>
            <w:shd w:val="clear" w:color="auto" w:fill="auto"/>
            <w:noWrap/>
            <w:vAlign w:val="bottom"/>
            <w:hideMark/>
          </w:tcPr>
          <w:p w14:paraId="7C30D384"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230.254,22</w:t>
            </w:r>
          </w:p>
        </w:tc>
      </w:tr>
      <w:tr w:rsidR="004864FF" w:rsidRPr="0069558B" w14:paraId="6B6AFD1E" w14:textId="77777777" w:rsidTr="006B5A62">
        <w:trPr>
          <w:jc w:val="center"/>
        </w:trPr>
        <w:tc>
          <w:tcPr>
            <w:tcW w:w="1985"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4EC26389"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N_48</w:t>
            </w:r>
          </w:p>
        </w:tc>
        <w:tc>
          <w:tcPr>
            <w:tcW w:w="3969" w:type="dxa"/>
            <w:vMerge w:val="restart"/>
            <w:tcBorders>
              <w:top w:val="nil"/>
              <w:left w:val="single" w:sz="4" w:space="0" w:color="auto"/>
              <w:bottom w:val="single" w:sz="4" w:space="0" w:color="000000"/>
              <w:right w:val="single" w:sz="4" w:space="0" w:color="auto"/>
            </w:tcBorders>
            <w:shd w:val="clear" w:color="auto" w:fill="auto"/>
            <w:vAlign w:val="center"/>
            <w:hideMark/>
          </w:tcPr>
          <w:p w14:paraId="12716773"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El Cobre 220-&gt;Esperanza SING 220</w:t>
            </w:r>
          </w:p>
        </w:tc>
        <w:tc>
          <w:tcPr>
            <w:tcW w:w="1134" w:type="dxa"/>
            <w:tcBorders>
              <w:top w:val="nil"/>
              <w:left w:val="nil"/>
              <w:bottom w:val="single" w:sz="4" w:space="0" w:color="auto"/>
              <w:right w:val="single" w:sz="4" w:space="0" w:color="auto"/>
            </w:tcBorders>
            <w:shd w:val="clear" w:color="auto" w:fill="auto"/>
            <w:noWrap/>
            <w:vAlign w:val="bottom"/>
            <w:hideMark/>
          </w:tcPr>
          <w:p w14:paraId="239A50BD"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P_164</w:t>
            </w:r>
          </w:p>
        </w:tc>
        <w:tc>
          <w:tcPr>
            <w:tcW w:w="3686" w:type="dxa"/>
            <w:tcBorders>
              <w:top w:val="nil"/>
              <w:left w:val="nil"/>
              <w:bottom w:val="single" w:sz="4" w:space="0" w:color="auto"/>
              <w:right w:val="single" w:sz="4" w:space="0" w:color="auto"/>
            </w:tcBorders>
            <w:shd w:val="clear" w:color="auto" w:fill="auto"/>
            <w:noWrap/>
            <w:vAlign w:val="bottom"/>
            <w:hideMark/>
          </w:tcPr>
          <w:p w14:paraId="721831B5"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E-CL</w:t>
            </w:r>
          </w:p>
        </w:tc>
        <w:tc>
          <w:tcPr>
            <w:tcW w:w="2268" w:type="dxa"/>
            <w:tcBorders>
              <w:top w:val="nil"/>
              <w:left w:val="nil"/>
              <w:bottom w:val="single" w:sz="4" w:space="0" w:color="auto"/>
              <w:right w:val="single" w:sz="4" w:space="0" w:color="auto"/>
            </w:tcBorders>
            <w:shd w:val="clear" w:color="auto" w:fill="auto"/>
            <w:noWrap/>
            <w:vAlign w:val="bottom"/>
            <w:hideMark/>
          </w:tcPr>
          <w:p w14:paraId="2537DECC"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136.319,56</w:t>
            </w:r>
          </w:p>
        </w:tc>
      </w:tr>
      <w:tr w:rsidR="004864FF" w:rsidRPr="0069558B" w14:paraId="35048A79" w14:textId="77777777" w:rsidTr="006B5A62">
        <w:trPr>
          <w:jc w:val="center"/>
        </w:trPr>
        <w:tc>
          <w:tcPr>
            <w:tcW w:w="1985" w:type="dxa"/>
            <w:vMerge/>
            <w:tcBorders>
              <w:top w:val="nil"/>
              <w:left w:val="single" w:sz="4" w:space="0" w:color="auto"/>
              <w:bottom w:val="single" w:sz="4" w:space="0" w:color="000000"/>
              <w:right w:val="single" w:sz="4" w:space="0" w:color="auto"/>
            </w:tcBorders>
            <w:vAlign w:val="center"/>
            <w:hideMark/>
          </w:tcPr>
          <w:p w14:paraId="027D4CE8" w14:textId="77777777" w:rsidR="004864FF" w:rsidRPr="0069558B" w:rsidRDefault="004864FF" w:rsidP="006B5A62">
            <w:pPr>
              <w:spacing w:before="20" w:after="20" w:line="240" w:lineRule="auto"/>
              <w:jc w:val="left"/>
              <w:rPr>
                <w:rFonts w:eastAsia="Times New Roman" w:cs="Calibri"/>
                <w:color w:val="000000"/>
                <w:sz w:val="20"/>
                <w:szCs w:val="20"/>
                <w:lang w:eastAsia="es-CL"/>
              </w:rPr>
            </w:pPr>
          </w:p>
        </w:tc>
        <w:tc>
          <w:tcPr>
            <w:tcW w:w="3969" w:type="dxa"/>
            <w:vMerge/>
            <w:tcBorders>
              <w:top w:val="nil"/>
              <w:left w:val="single" w:sz="4" w:space="0" w:color="auto"/>
              <w:bottom w:val="single" w:sz="4" w:space="0" w:color="000000"/>
              <w:right w:val="single" w:sz="4" w:space="0" w:color="auto"/>
            </w:tcBorders>
            <w:vAlign w:val="center"/>
            <w:hideMark/>
          </w:tcPr>
          <w:p w14:paraId="1BFC0E11" w14:textId="77777777" w:rsidR="004864FF" w:rsidRPr="0069558B" w:rsidRDefault="004864FF" w:rsidP="006B5A62">
            <w:pPr>
              <w:spacing w:before="20" w:after="20" w:line="240" w:lineRule="auto"/>
              <w:jc w:val="left"/>
              <w:rPr>
                <w:rFonts w:eastAsia="Times New Roman" w:cs="Calibri"/>
                <w:color w:val="000000"/>
                <w:sz w:val="20"/>
                <w:szCs w:val="20"/>
                <w:lang w:eastAsia="es-CL"/>
              </w:rPr>
            </w:pPr>
          </w:p>
        </w:tc>
        <w:tc>
          <w:tcPr>
            <w:tcW w:w="1134" w:type="dxa"/>
            <w:tcBorders>
              <w:top w:val="nil"/>
              <w:left w:val="nil"/>
              <w:bottom w:val="single" w:sz="4" w:space="0" w:color="auto"/>
              <w:right w:val="single" w:sz="4" w:space="0" w:color="auto"/>
            </w:tcBorders>
            <w:shd w:val="clear" w:color="auto" w:fill="auto"/>
            <w:noWrap/>
            <w:vAlign w:val="bottom"/>
            <w:hideMark/>
          </w:tcPr>
          <w:p w14:paraId="2FB454FB"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P_578</w:t>
            </w:r>
          </w:p>
        </w:tc>
        <w:tc>
          <w:tcPr>
            <w:tcW w:w="3686" w:type="dxa"/>
            <w:tcBorders>
              <w:top w:val="nil"/>
              <w:left w:val="nil"/>
              <w:bottom w:val="single" w:sz="4" w:space="0" w:color="auto"/>
              <w:right w:val="single" w:sz="4" w:space="0" w:color="auto"/>
            </w:tcBorders>
            <w:shd w:val="clear" w:color="auto" w:fill="auto"/>
            <w:noWrap/>
            <w:vAlign w:val="bottom"/>
            <w:hideMark/>
          </w:tcPr>
          <w:p w14:paraId="342CF182"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ANTOFAGASTA MINERALS S.A.</w:t>
            </w:r>
          </w:p>
        </w:tc>
        <w:tc>
          <w:tcPr>
            <w:tcW w:w="2268" w:type="dxa"/>
            <w:tcBorders>
              <w:top w:val="nil"/>
              <w:left w:val="nil"/>
              <w:bottom w:val="single" w:sz="4" w:space="0" w:color="auto"/>
              <w:right w:val="single" w:sz="4" w:space="0" w:color="auto"/>
            </w:tcBorders>
            <w:shd w:val="clear" w:color="auto" w:fill="auto"/>
            <w:noWrap/>
            <w:vAlign w:val="bottom"/>
            <w:hideMark/>
          </w:tcPr>
          <w:p w14:paraId="3B39D747"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16.345.363,66</w:t>
            </w:r>
          </w:p>
        </w:tc>
      </w:tr>
      <w:tr w:rsidR="004864FF" w:rsidRPr="0069558B" w14:paraId="096AFCB7"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0A4108F8"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N_49</w:t>
            </w:r>
          </w:p>
        </w:tc>
        <w:tc>
          <w:tcPr>
            <w:tcW w:w="3969" w:type="dxa"/>
            <w:tcBorders>
              <w:top w:val="nil"/>
              <w:left w:val="nil"/>
              <w:bottom w:val="single" w:sz="4" w:space="0" w:color="auto"/>
              <w:right w:val="single" w:sz="4" w:space="0" w:color="auto"/>
            </w:tcBorders>
            <w:shd w:val="clear" w:color="auto" w:fill="auto"/>
            <w:vAlign w:val="center"/>
            <w:hideMark/>
          </w:tcPr>
          <w:p w14:paraId="7C01D0BB"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El Rosal 220-&gt;Los Varones 220</w:t>
            </w:r>
          </w:p>
        </w:tc>
        <w:tc>
          <w:tcPr>
            <w:tcW w:w="1134" w:type="dxa"/>
            <w:tcBorders>
              <w:top w:val="nil"/>
              <w:left w:val="nil"/>
              <w:bottom w:val="single" w:sz="4" w:space="0" w:color="auto"/>
              <w:right w:val="single" w:sz="4" w:space="0" w:color="auto"/>
            </w:tcBorders>
            <w:shd w:val="clear" w:color="auto" w:fill="auto"/>
            <w:noWrap/>
            <w:vAlign w:val="bottom"/>
            <w:hideMark/>
          </w:tcPr>
          <w:p w14:paraId="6CB19070"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P_032</w:t>
            </w:r>
          </w:p>
        </w:tc>
        <w:tc>
          <w:tcPr>
            <w:tcW w:w="3686" w:type="dxa"/>
            <w:tcBorders>
              <w:top w:val="nil"/>
              <w:left w:val="nil"/>
              <w:bottom w:val="single" w:sz="4" w:space="0" w:color="auto"/>
              <w:right w:val="single" w:sz="4" w:space="0" w:color="auto"/>
            </w:tcBorders>
            <w:shd w:val="clear" w:color="auto" w:fill="auto"/>
            <w:noWrap/>
            <w:vAlign w:val="bottom"/>
            <w:hideMark/>
          </w:tcPr>
          <w:p w14:paraId="72FF184A"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TRANSELEC S.A.</w:t>
            </w:r>
          </w:p>
        </w:tc>
        <w:tc>
          <w:tcPr>
            <w:tcW w:w="2268" w:type="dxa"/>
            <w:tcBorders>
              <w:top w:val="nil"/>
              <w:left w:val="nil"/>
              <w:bottom w:val="single" w:sz="4" w:space="0" w:color="auto"/>
              <w:right w:val="single" w:sz="4" w:space="0" w:color="auto"/>
            </w:tcBorders>
            <w:shd w:val="clear" w:color="auto" w:fill="auto"/>
            <w:noWrap/>
            <w:vAlign w:val="bottom"/>
            <w:hideMark/>
          </w:tcPr>
          <w:p w14:paraId="3F53B59C"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4.388.658,10</w:t>
            </w:r>
          </w:p>
        </w:tc>
      </w:tr>
      <w:tr w:rsidR="004864FF" w:rsidRPr="0069558B" w14:paraId="43FB0A83"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686DA031"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N_50</w:t>
            </w:r>
          </w:p>
        </w:tc>
        <w:tc>
          <w:tcPr>
            <w:tcW w:w="3969" w:type="dxa"/>
            <w:tcBorders>
              <w:top w:val="nil"/>
              <w:left w:val="nil"/>
              <w:bottom w:val="single" w:sz="4" w:space="0" w:color="auto"/>
              <w:right w:val="single" w:sz="4" w:space="0" w:color="auto"/>
            </w:tcBorders>
            <w:shd w:val="clear" w:color="auto" w:fill="auto"/>
            <w:vAlign w:val="center"/>
            <w:hideMark/>
          </w:tcPr>
          <w:p w14:paraId="50A75BFB"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El Salto 220-&gt;Tap Chicureo 220</w:t>
            </w:r>
          </w:p>
        </w:tc>
        <w:tc>
          <w:tcPr>
            <w:tcW w:w="1134" w:type="dxa"/>
            <w:tcBorders>
              <w:top w:val="nil"/>
              <w:left w:val="nil"/>
              <w:bottom w:val="single" w:sz="4" w:space="0" w:color="auto"/>
              <w:right w:val="single" w:sz="4" w:space="0" w:color="auto"/>
            </w:tcBorders>
            <w:shd w:val="clear" w:color="auto" w:fill="auto"/>
            <w:noWrap/>
            <w:vAlign w:val="bottom"/>
            <w:hideMark/>
          </w:tcPr>
          <w:p w14:paraId="3F808067"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P_111</w:t>
            </w:r>
          </w:p>
        </w:tc>
        <w:tc>
          <w:tcPr>
            <w:tcW w:w="3686" w:type="dxa"/>
            <w:tcBorders>
              <w:top w:val="nil"/>
              <w:left w:val="nil"/>
              <w:bottom w:val="single" w:sz="4" w:space="0" w:color="auto"/>
              <w:right w:val="single" w:sz="4" w:space="0" w:color="auto"/>
            </w:tcBorders>
            <w:shd w:val="clear" w:color="auto" w:fill="auto"/>
            <w:noWrap/>
            <w:vAlign w:val="bottom"/>
            <w:hideMark/>
          </w:tcPr>
          <w:p w14:paraId="3FCACF8D"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ENEL DISTRIBUCION S.A.</w:t>
            </w:r>
          </w:p>
        </w:tc>
        <w:tc>
          <w:tcPr>
            <w:tcW w:w="2268" w:type="dxa"/>
            <w:tcBorders>
              <w:top w:val="nil"/>
              <w:left w:val="nil"/>
              <w:bottom w:val="single" w:sz="4" w:space="0" w:color="auto"/>
              <w:right w:val="single" w:sz="4" w:space="0" w:color="auto"/>
            </w:tcBorders>
            <w:shd w:val="clear" w:color="auto" w:fill="auto"/>
            <w:noWrap/>
            <w:vAlign w:val="bottom"/>
            <w:hideMark/>
          </w:tcPr>
          <w:p w14:paraId="62892FC9"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5.328.377,84</w:t>
            </w:r>
          </w:p>
        </w:tc>
      </w:tr>
      <w:tr w:rsidR="004864FF" w:rsidRPr="0069558B" w14:paraId="1AD06DF4"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10CF0AED"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N_51</w:t>
            </w:r>
          </w:p>
        </w:tc>
        <w:tc>
          <w:tcPr>
            <w:tcW w:w="3969" w:type="dxa"/>
            <w:tcBorders>
              <w:top w:val="nil"/>
              <w:left w:val="nil"/>
              <w:bottom w:val="single" w:sz="4" w:space="0" w:color="auto"/>
              <w:right w:val="single" w:sz="4" w:space="0" w:color="auto"/>
            </w:tcBorders>
            <w:shd w:val="clear" w:color="auto" w:fill="auto"/>
            <w:vAlign w:val="center"/>
            <w:hideMark/>
          </w:tcPr>
          <w:p w14:paraId="71E2D693"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Encuentro 220-&gt;Kimal 220</w:t>
            </w:r>
          </w:p>
        </w:tc>
        <w:tc>
          <w:tcPr>
            <w:tcW w:w="1134" w:type="dxa"/>
            <w:tcBorders>
              <w:top w:val="nil"/>
              <w:left w:val="nil"/>
              <w:bottom w:val="single" w:sz="4" w:space="0" w:color="auto"/>
              <w:right w:val="single" w:sz="4" w:space="0" w:color="auto"/>
            </w:tcBorders>
            <w:shd w:val="clear" w:color="auto" w:fill="auto"/>
            <w:noWrap/>
            <w:vAlign w:val="bottom"/>
            <w:hideMark/>
          </w:tcPr>
          <w:p w14:paraId="264EB340"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P_032</w:t>
            </w:r>
          </w:p>
        </w:tc>
        <w:tc>
          <w:tcPr>
            <w:tcW w:w="3686" w:type="dxa"/>
            <w:tcBorders>
              <w:top w:val="nil"/>
              <w:left w:val="nil"/>
              <w:bottom w:val="single" w:sz="4" w:space="0" w:color="auto"/>
              <w:right w:val="single" w:sz="4" w:space="0" w:color="auto"/>
            </w:tcBorders>
            <w:shd w:val="clear" w:color="auto" w:fill="auto"/>
            <w:noWrap/>
            <w:vAlign w:val="bottom"/>
            <w:hideMark/>
          </w:tcPr>
          <w:p w14:paraId="343F5CAB"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TRANSELEC S.A.</w:t>
            </w:r>
          </w:p>
        </w:tc>
        <w:tc>
          <w:tcPr>
            <w:tcW w:w="2268" w:type="dxa"/>
            <w:tcBorders>
              <w:top w:val="nil"/>
              <w:left w:val="nil"/>
              <w:bottom w:val="single" w:sz="4" w:space="0" w:color="auto"/>
              <w:right w:val="single" w:sz="4" w:space="0" w:color="auto"/>
            </w:tcBorders>
            <w:shd w:val="clear" w:color="auto" w:fill="auto"/>
            <w:noWrap/>
            <w:vAlign w:val="bottom"/>
            <w:hideMark/>
          </w:tcPr>
          <w:p w14:paraId="7DD2CB5B"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970.410,24</w:t>
            </w:r>
          </w:p>
        </w:tc>
      </w:tr>
      <w:tr w:rsidR="004864FF" w:rsidRPr="0069558B" w14:paraId="53DD6BCA"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4916E1E9"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N_52</w:t>
            </w:r>
          </w:p>
        </w:tc>
        <w:tc>
          <w:tcPr>
            <w:tcW w:w="3969" w:type="dxa"/>
            <w:tcBorders>
              <w:top w:val="nil"/>
              <w:left w:val="nil"/>
              <w:bottom w:val="single" w:sz="4" w:space="0" w:color="auto"/>
              <w:right w:val="single" w:sz="4" w:space="0" w:color="auto"/>
            </w:tcBorders>
            <w:shd w:val="clear" w:color="auto" w:fill="auto"/>
            <w:vAlign w:val="center"/>
            <w:hideMark/>
          </w:tcPr>
          <w:p w14:paraId="0DE5914C"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Encuentro 220-&gt;Miraje 220</w:t>
            </w:r>
          </w:p>
        </w:tc>
        <w:tc>
          <w:tcPr>
            <w:tcW w:w="1134" w:type="dxa"/>
            <w:tcBorders>
              <w:top w:val="nil"/>
              <w:left w:val="nil"/>
              <w:bottom w:val="single" w:sz="4" w:space="0" w:color="auto"/>
              <w:right w:val="single" w:sz="4" w:space="0" w:color="auto"/>
            </w:tcBorders>
            <w:shd w:val="clear" w:color="auto" w:fill="auto"/>
            <w:noWrap/>
            <w:vAlign w:val="bottom"/>
            <w:hideMark/>
          </w:tcPr>
          <w:p w14:paraId="3B03C86E"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P_032</w:t>
            </w:r>
          </w:p>
        </w:tc>
        <w:tc>
          <w:tcPr>
            <w:tcW w:w="3686" w:type="dxa"/>
            <w:tcBorders>
              <w:top w:val="nil"/>
              <w:left w:val="nil"/>
              <w:bottom w:val="single" w:sz="4" w:space="0" w:color="auto"/>
              <w:right w:val="single" w:sz="4" w:space="0" w:color="auto"/>
            </w:tcBorders>
            <w:shd w:val="clear" w:color="auto" w:fill="auto"/>
            <w:noWrap/>
            <w:vAlign w:val="bottom"/>
            <w:hideMark/>
          </w:tcPr>
          <w:p w14:paraId="1B2D0A2A"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TRANSELEC S.A.</w:t>
            </w:r>
          </w:p>
        </w:tc>
        <w:tc>
          <w:tcPr>
            <w:tcW w:w="2268" w:type="dxa"/>
            <w:tcBorders>
              <w:top w:val="nil"/>
              <w:left w:val="nil"/>
              <w:bottom w:val="single" w:sz="4" w:space="0" w:color="auto"/>
              <w:right w:val="single" w:sz="4" w:space="0" w:color="auto"/>
            </w:tcBorders>
            <w:shd w:val="clear" w:color="auto" w:fill="auto"/>
            <w:noWrap/>
            <w:vAlign w:val="bottom"/>
            <w:hideMark/>
          </w:tcPr>
          <w:p w14:paraId="29EBBDCF"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7.980.803,21</w:t>
            </w:r>
          </w:p>
        </w:tc>
      </w:tr>
      <w:tr w:rsidR="004864FF" w:rsidRPr="0069558B" w14:paraId="3EA07711"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707D0A0F"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N_53</w:t>
            </w:r>
          </w:p>
        </w:tc>
        <w:tc>
          <w:tcPr>
            <w:tcW w:w="3969" w:type="dxa"/>
            <w:tcBorders>
              <w:top w:val="nil"/>
              <w:left w:val="nil"/>
              <w:bottom w:val="single" w:sz="4" w:space="0" w:color="auto"/>
              <w:right w:val="single" w:sz="4" w:space="0" w:color="auto"/>
            </w:tcBorders>
            <w:shd w:val="clear" w:color="auto" w:fill="auto"/>
            <w:vAlign w:val="center"/>
            <w:hideMark/>
          </w:tcPr>
          <w:p w14:paraId="07F7CDF3"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Encuentro 220-&gt;Tap off Sierra Gorda Eólico 220</w:t>
            </w:r>
          </w:p>
        </w:tc>
        <w:tc>
          <w:tcPr>
            <w:tcW w:w="1134" w:type="dxa"/>
            <w:tcBorders>
              <w:top w:val="nil"/>
              <w:left w:val="nil"/>
              <w:bottom w:val="single" w:sz="4" w:space="0" w:color="auto"/>
              <w:right w:val="single" w:sz="4" w:space="0" w:color="auto"/>
            </w:tcBorders>
            <w:shd w:val="clear" w:color="auto" w:fill="auto"/>
            <w:noWrap/>
            <w:vAlign w:val="bottom"/>
            <w:hideMark/>
          </w:tcPr>
          <w:p w14:paraId="48A4975A"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P_578</w:t>
            </w:r>
          </w:p>
        </w:tc>
        <w:tc>
          <w:tcPr>
            <w:tcW w:w="3686" w:type="dxa"/>
            <w:tcBorders>
              <w:top w:val="nil"/>
              <w:left w:val="nil"/>
              <w:bottom w:val="single" w:sz="4" w:space="0" w:color="auto"/>
              <w:right w:val="single" w:sz="4" w:space="0" w:color="auto"/>
            </w:tcBorders>
            <w:shd w:val="clear" w:color="auto" w:fill="auto"/>
            <w:noWrap/>
            <w:vAlign w:val="bottom"/>
            <w:hideMark/>
          </w:tcPr>
          <w:p w14:paraId="6D4F3AC0"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ANTOFAGASTA MINERALS S.A.</w:t>
            </w:r>
          </w:p>
        </w:tc>
        <w:tc>
          <w:tcPr>
            <w:tcW w:w="2268" w:type="dxa"/>
            <w:tcBorders>
              <w:top w:val="nil"/>
              <w:left w:val="nil"/>
              <w:bottom w:val="single" w:sz="4" w:space="0" w:color="auto"/>
              <w:right w:val="single" w:sz="4" w:space="0" w:color="auto"/>
            </w:tcBorders>
            <w:shd w:val="clear" w:color="auto" w:fill="auto"/>
            <w:noWrap/>
            <w:vAlign w:val="bottom"/>
            <w:hideMark/>
          </w:tcPr>
          <w:p w14:paraId="138DB68A"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10.436.407,84</w:t>
            </w:r>
          </w:p>
        </w:tc>
      </w:tr>
      <w:tr w:rsidR="004864FF" w:rsidRPr="0069558B" w14:paraId="7DFF8CBD"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2D04A417"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N_54</w:t>
            </w:r>
          </w:p>
        </w:tc>
        <w:tc>
          <w:tcPr>
            <w:tcW w:w="3969" w:type="dxa"/>
            <w:tcBorders>
              <w:top w:val="nil"/>
              <w:left w:val="nil"/>
              <w:bottom w:val="single" w:sz="4" w:space="0" w:color="auto"/>
              <w:right w:val="single" w:sz="4" w:space="0" w:color="auto"/>
            </w:tcBorders>
            <w:shd w:val="clear" w:color="auto" w:fill="auto"/>
            <w:vAlign w:val="center"/>
            <w:hideMark/>
          </w:tcPr>
          <w:p w14:paraId="2617C2D3"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Esperanza SING 220-&gt;Centinela 220</w:t>
            </w:r>
          </w:p>
        </w:tc>
        <w:tc>
          <w:tcPr>
            <w:tcW w:w="1134" w:type="dxa"/>
            <w:tcBorders>
              <w:top w:val="nil"/>
              <w:left w:val="nil"/>
              <w:bottom w:val="single" w:sz="4" w:space="0" w:color="auto"/>
              <w:right w:val="single" w:sz="4" w:space="0" w:color="auto"/>
            </w:tcBorders>
            <w:shd w:val="clear" w:color="auto" w:fill="auto"/>
            <w:noWrap/>
            <w:vAlign w:val="bottom"/>
            <w:hideMark/>
          </w:tcPr>
          <w:p w14:paraId="7899E287"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P_578</w:t>
            </w:r>
          </w:p>
        </w:tc>
        <w:tc>
          <w:tcPr>
            <w:tcW w:w="3686" w:type="dxa"/>
            <w:tcBorders>
              <w:top w:val="nil"/>
              <w:left w:val="nil"/>
              <w:bottom w:val="single" w:sz="4" w:space="0" w:color="auto"/>
              <w:right w:val="single" w:sz="4" w:space="0" w:color="auto"/>
            </w:tcBorders>
            <w:shd w:val="clear" w:color="auto" w:fill="auto"/>
            <w:noWrap/>
            <w:vAlign w:val="bottom"/>
            <w:hideMark/>
          </w:tcPr>
          <w:p w14:paraId="429458FE"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ANTOFAGASTA MINERALS S.A.</w:t>
            </w:r>
          </w:p>
        </w:tc>
        <w:tc>
          <w:tcPr>
            <w:tcW w:w="2268" w:type="dxa"/>
            <w:tcBorders>
              <w:top w:val="nil"/>
              <w:left w:val="nil"/>
              <w:bottom w:val="single" w:sz="4" w:space="0" w:color="auto"/>
              <w:right w:val="single" w:sz="4" w:space="0" w:color="auto"/>
            </w:tcBorders>
            <w:shd w:val="clear" w:color="auto" w:fill="auto"/>
            <w:noWrap/>
            <w:vAlign w:val="bottom"/>
            <w:hideMark/>
          </w:tcPr>
          <w:p w14:paraId="5026DD2B"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1.771.769,25</w:t>
            </w:r>
          </w:p>
        </w:tc>
      </w:tr>
      <w:tr w:rsidR="004864FF" w:rsidRPr="0069558B" w14:paraId="4CFDEF3A"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4FC731DC"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N_55</w:t>
            </w:r>
          </w:p>
        </w:tc>
        <w:tc>
          <w:tcPr>
            <w:tcW w:w="3969" w:type="dxa"/>
            <w:tcBorders>
              <w:top w:val="nil"/>
              <w:left w:val="nil"/>
              <w:bottom w:val="single" w:sz="4" w:space="0" w:color="auto"/>
              <w:right w:val="single" w:sz="4" w:space="0" w:color="auto"/>
            </w:tcBorders>
            <w:shd w:val="clear" w:color="auto" w:fill="auto"/>
            <w:vAlign w:val="center"/>
            <w:hideMark/>
          </w:tcPr>
          <w:p w14:paraId="27D0A0DC"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Hualpen 220-&gt;Guindo 220</w:t>
            </w:r>
          </w:p>
        </w:tc>
        <w:tc>
          <w:tcPr>
            <w:tcW w:w="1134" w:type="dxa"/>
            <w:tcBorders>
              <w:top w:val="nil"/>
              <w:left w:val="nil"/>
              <w:bottom w:val="single" w:sz="4" w:space="0" w:color="auto"/>
              <w:right w:val="single" w:sz="4" w:space="0" w:color="auto"/>
            </w:tcBorders>
            <w:shd w:val="clear" w:color="auto" w:fill="auto"/>
            <w:noWrap/>
            <w:vAlign w:val="bottom"/>
            <w:hideMark/>
          </w:tcPr>
          <w:p w14:paraId="09B7ECE5"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P_032</w:t>
            </w:r>
          </w:p>
        </w:tc>
        <w:tc>
          <w:tcPr>
            <w:tcW w:w="3686" w:type="dxa"/>
            <w:tcBorders>
              <w:top w:val="nil"/>
              <w:left w:val="nil"/>
              <w:bottom w:val="single" w:sz="4" w:space="0" w:color="auto"/>
              <w:right w:val="single" w:sz="4" w:space="0" w:color="auto"/>
            </w:tcBorders>
            <w:shd w:val="clear" w:color="auto" w:fill="auto"/>
            <w:noWrap/>
            <w:vAlign w:val="bottom"/>
            <w:hideMark/>
          </w:tcPr>
          <w:p w14:paraId="7007BFEA"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TRANSELEC S.A.</w:t>
            </w:r>
          </w:p>
        </w:tc>
        <w:tc>
          <w:tcPr>
            <w:tcW w:w="2268" w:type="dxa"/>
            <w:tcBorders>
              <w:top w:val="nil"/>
              <w:left w:val="nil"/>
              <w:bottom w:val="single" w:sz="4" w:space="0" w:color="auto"/>
              <w:right w:val="single" w:sz="4" w:space="0" w:color="auto"/>
            </w:tcBorders>
            <w:shd w:val="clear" w:color="auto" w:fill="auto"/>
            <w:noWrap/>
            <w:vAlign w:val="bottom"/>
            <w:hideMark/>
          </w:tcPr>
          <w:p w14:paraId="745A7315"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2.946.333,35</w:t>
            </w:r>
          </w:p>
        </w:tc>
      </w:tr>
      <w:tr w:rsidR="004864FF" w:rsidRPr="0069558B" w14:paraId="72B380F8"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44CF74FD"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N_56</w:t>
            </w:r>
          </w:p>
        </w:tc>
        <w:tc>
          <w:tcPr>
            <w:tcW w:w="3969" w:type="dxa"/>
            <w:tcBorders>
              <w:top w:val="nil"/>
              <w:left w:val="nil"/>
              <w:bottom w:val="single" w:sz="4" w:space="0" w:color="auto"/>
              <w:right w:val="single" w:sz="4" w:space="0" w:color="auto"/>
            </w:tcBorders>
            <w:shd w:val="clear" w:color="auto" w:fill="auto"/>
            <w:vAlign w:val="center"/>
            <w:hideMark/>
          </w:tcPr>
          <w:p w14:paraId="65C7DD7B"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Hualpen 220-&gt;Trébol 220</w:t>
            </w:r>
          </w:p>
        </w:tc>
        <w:tc>
          <w:tcPr>
            <w:tcW w:w="1134" w:type="dxa"/>
            <w:tcBorders>
              <w:top w:val="nil"/>
              <w:left w:val="nil"/>
              <w:bottom w:val="single" w:sz="4" w:space="0" w:color="auto"/>
              <w:right w:val="single" w:sz="4" w:space="0" w:color="auto"/>
            </w:tcBorders>
            <w:shd w:val="clear" w:color="auto" w:fill="auto"/>
            <w:noWrap/>
            <w:vAlign w:val="bottom"/>
            <w:hideMark/>
          </w:tcPr>
          <w:p w14:paraId="3F88B424"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P_032</w:t>
            </w:r>
          </w:p>
        </w:tc>
        <w:tc>
          <w:tcPr>
            <w:tcW w:w="3686" w:type="dxa"/>
            <w:tcBorders>
              <w:top w:val="nil"/>
              <w:left w:val="nil"/>
              <w:bottom w:val="single" w:sz="4" w:space="0" w:color="auto"/>
              <w:right w:val="single" w:sz="4" w:space="0" w:color="auto"/>
            </w:tcBorders>
            <w:shd w:val="clear" w:color="auto" w:fill="auto"/>
            <w:noWrap/>
            <w:vAlign w:val="bottom"/>
            <w:hideMark/>
          </w:tcPr>
          <w:p w14:paraId="7A73979A"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TRANSELEC S.A.</w:t>
            </w:r>
          </w:p>
        </w:tc>
        <w:tc>
          <w:tcPr>
            <w:tcW w:w="2268" w:type="dxa"/>
            <w:tcBorders>
              <w:top w:val="nil"/>
              <w:left w:val="nil"/>
              <w:bottom w:val="single" w:sz="4" w:space="0" w:color="auto"/>
              <w:right w:val="single" w:sz="4" w:space="0" w:color="auto"/>
            </w:tcBorders>
            <w:shd w:val="clear" w:color="auto" w:fill="auto"/>
            <w:noWrap/>
            <w:vAlign w:val="bottom"/>
            <w:hideMark/>
          </w:tcPr>
          <w:p w14:paraId="3F8BD692"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3.358.692,00</w:t>
            </w:r>
          </w:p>
        </w:tc>
      </w:tr>
      <w:tr w:rsidR="004864FF" w:rsidRPr="0069558B" w14:paraId="28C970FF"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6B679371"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N_58</w:t>
            </w:r>
          </w:p>
        </w:tc>
        <w:tc>
          <w:tcPr>
            <w:tcW w:w="3969" w:type="dxa"/>
            <w:tcBorders>
              <w:top w:val="nil"/>
              <w:left w:val="nil"/>
              <w:bottom w:val="single" w:sz="4" w:space="0" w:color="auto"/>
              <w:right w:val="single" w:sz="4" w:space="0" w:color="auto"/>
            </w:tcBorders>
            <w:shd w:val="clear" w:color="auto" w:fill="auto"/>
            <w:vAlign w:val="center"/>
            <w:hideMark/>
          </w:tcPr>
          <w:p w14:paraId="7F903EB9"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Kimal 220-&gt;Nueva Chuquicamata 220</w:t>
            </w:r>
          </w:p>
        </w:tc>
        <w:tc>
          <w:tcPr>
            <w:tcW w:w="1134" w:type="dxa"/>
            <w:tcBorders>
              <w:top w:val="nil"/>
              <w:left w:val="nil"/>
              <w:bottom w:val="single" w:sz="4" w:space="0" w:color="auto"/>
              <w:right w:val="single" w:sz="4" w:space="0" w:color="auto"/>
            </w:tcBorders>
            <w:shd w:val="clear" w:color="auto" w:fill="auto"/>
            <w:noWrap/>
            <w:vAlign w:val="bottom"/>
            <w:hideMark/>
          </w:tcPr>
          <w:p w14:paraId="5BC335F8"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P_164</w:t>
            </w:r>
          </w:p>
        </w:tc>
        <w:tc>
          <w:tcPr>
            <w:tcW w:w="3686" w:type="dxa"/>
            <w:tcBorders>
              <w:top w:val="nil"/>
              <w:left w:val="nil"/>
              <w:bottom w:val="single" w:sz="4" w:space="0" w:color="auto"/>
              <w:right w:val="single" w:sz="4" w:space="0" w:color="auto"/>
            </w:tcBorders>
            <w:shd w:val="clear" w:color="auto" w:fill="auto"/>
            <w:noWrap/>
            <w:vAlign w:val="bottom"/>
            <w:hideMark/>
          </w:tcPr>
          <w:p w14:paraId="6AFA412F"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E-CL</w:t>
            </w:r>
          </w:p>
        </w:tc>
        <w:tc>
          <w:tcPr>
            <w:tcW w:w="2268" w:type="dxa"/>
            <w:tcBorders>
              <w:top w:val="nil"/>
              <w:left w:val="nil"/>
              <w:bottom w:val="single" w:sz="4" w:space="0" w:color="auto"/>
              <w:right w:val="single" w:sz="4" w:space="0" w:color="auto"/>
            </w:tcBorders>
            <w:shd w:val="clear" w:color="auto" w:fill="auto"/>
            <w:noWrap/>
            <w:vAlign w:val="bottom"/>
            <w:hideMark/>
          </w:tcPr>
          <w:p w14:paraId="1DA39CF7"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23.442.337,01</w:t>
            </w:r>
          </w:p>
        </w:tc>
      </w:tr>
      <w:tr w:rsidR="004864FF" w:rsidRPr="0069558B" w14:paraId="058BE4D8" w14:textId="77777777" w:rsidTr="006B5A62">
        <w:trPr>
          <w:jc w:val="center"/>
        </w:trPr>
        <w:tc>
          <w:tcPr>
            <w:tcW w:w="1985"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5300A221"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N_59</w:t>
            </w:r>
          </w:p>
        </w:tc>
        <w:tc>
          <w:tcPr>
            <w:tcW w:w="3969" w:type="dxa"/>
            <w:vMerge w:val="restart"/>
            <w:tcBorders>
              <w:top w:val="nil"/>
              <w:left w:val="single" w:sz="4" w:space="0" w:color="auto"/>
              <w:bottom w:val="single" w:sz="4" w:space="0" w:color="000000"/>
              <w:right w:val="single" w:sz="4" w:space="0" w:color="auto"/>
            </w:tcBorders>
            <w:shd w:val="clear" w:color="auto" w:fill="auto"/>
            <w:vAlign w:val="center"/>
            <w:hideMark/>
          </w:tcPr>
          <w:p w14:paraId="5A58AE5E"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Laberinto 220-&gt;El Cobre 220</w:t>
            </w:r>
          </w:p>
        </w:tc>
        <w:tc>
          <w:tcPr>
            <w:tcW w:w="1134" w:type="dxa"/>
            <w:tcBorders>
              <w:top w:val="nil"/>
              <w:left w:val="nil"/>
              <w:bottom w:val="single" w:sz="4" w:space="0" w:color="auto"/>
              <w:right w:val="single" w:sz="4" w:space="0" w:color="auto"/>
            </w:tcBorders>
            <w:shd w:val="clear" w:color="auto" w:fill="auto"/>
            <w:noWrap/>
            <w:vAlign w:val="bottom"/>
            <w:hideMark/>
          </w:tcPr>
          <w:p w14:paraId="172638F2"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P_133</w:t>
            </w:r>
          </w:p>
        </w:tc>
        <w:tc>
          <w:tcPr>
            <w:tcW w:w="3686" w:type="dxa"/>
            <w:tcBorders>
              <w:top w:val="nil"/>
              <w:left w:val="nil"/>
              <w:bottom w:val="single" w:sz="4" w:space="0" w:color="auto"/>
              <w:right w:val="single" w:sz="4" w:space="0" w:color="auto"/>
            </w:tcBorders>
            <w:shd w:val="clear" w:color="auto" w:fill="auto"/>
            <w:noWrap/>
            <w:vAlign w:val="bottom"/>
            <w:hideMark/>
          </w:tcPr>
          <w:p w14:paraId="30636BDD"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CODELCO NORTE</w:t>
            </w:r>
          </w:p>
        </w:tc>
        <w:tc>
          <w:tcPr>
            <w:tcW w:w="2268" w:type="dxa"/>
            <w:tcBorders>
              <w:top w:val="nil"/>
              <w:left w:val="nil"/>
              <w:bottom w:val="single" w:sz="4" w:space="0" w:color="auto"/>
              <w:right w:val="single" w:sz="4" w:space="0" w:color="auto"/>
            </w:tcBorders>
            <w:shd w:val="clear" w:color="auto" w:fill="auto"/>
            <w:noWrap/>
            <w:vAlign w:val="bottom"/>
            <w:hideMark/>
          </w:tcPr>
          <w:p w14:paraId="712DCFDA"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784.470,91</w:t>
            </w:r>
          </w:p>
        </w:tc>
      </w:tr>
      <w:tr w:rsidR="004864FF" w:rsidRPr="0069558B" w14:paraId="3DD1DA4A" w14:textId="77777777" w:rsidTr="006B5A62">
        <w:trPr>
          <w:jc w:val="center"/>
        </w:trPr>
        <w:tc>
          <w:tcPr>
            <w:tcW w:w="1985" w:type="dxa"/>
            <w:vMerge/>
            <w:tcBorders>
              <w:top w:val="nil"/>
              <w:left w:val="single" w:sz="4" w:space="0" w:color="auto"/>
              <w:bottom w:val="single" w:sz="4" w:space="0" w:color="000000"/>
              <w:right w:val="single" w:sz="4" w:space="0" w:color="auto"/>
            </w:tcBorders>
            <w:vAlign w:val="center"/>
            <w:hideMark/>
          </w:tcPr>
          <w:p w14:paraId="62D6F5AD" w14:textId="77777777" w:rsidR="004864FF" w:rsidRPr="0069558B" w:rsidRDefault="004864FF" w:rsidP="006B5A62">
            <w:pPr>
              <w:spacing w:before="20" w:after="20" w:line="240" w:lineRule="auto"/>
              <w:jc w:val="left"/>
              <w:rPr>
                <w:rFonts w:eastAsia="Times New Roman" w:cs="Calibri"/>
                <w:color w:val="000000"/>
                <w:sz w:val="20"/>
                <w:szCs w:val="20"/>
                <w:lang w:eastAsia="es-CL"/>
              </w:rPr>
            </w:pPr>
          </w:p>
        </w:tc>
        <w:tc>
          <w:tcPr>
            <w:tcW w:w="3969" w:type="dxa"/>
            <w:vMerge/>
            <w:tcBorders>
              <w:top w:val="nil"/>
              <w:left w:val="single" w:sz="4" w:space="0" w:color="auto"/>
              <w:bottom w:val="single" w:sz="4" w:space="0" w:color="000000"/>
              <w:right w:val="single" w:sz="4" w:space="0" w:color="auto"/>
            </w:tcBorders>
            <w:vAlign w:val="center"/>
            <w:hideMark/>
          </w:tcPr>
          <w:p w14:paraId="6B9BEB6D" w14:textId="77777777" w:rsidR="004864FF" w:rsidRPr="0069558B" w:rsidRDefault="004864FF" w:rsidP="006B5A62">
            <w:pPr>
              <w:spacing w:before="20" w:after="20" w:line="240" w:lineRule="auto"/>
              <w:jc w:val="left"/>
              <w:rPr>
                <w:rFonts w:eastAsia="Times New Roman" w:cs="Calibri"/>
                <w:color w:val="000000"/>
                <w:sz w:val="20"/>
                <w:szCs w:val="20"/>
                <w:lang w:eastAsia="es-CL"/>
              </w:rPr>
            </w:pPr>
          </w:p>
        </w:tc>
        <w:tc>
          <w:tcPr>
            <w:tcW w:w="1134" w:type="dxa"/>
            <w:tcBorders>
              <w:top w:val="nil"/>
              <w:left w:val="nil"/>
              <w:bottom w:val="single" w:sz="4" w:space="0" w:color="auto"/>
              <w:right w:val="single" w:sz="4" w:space="0" w:color="auto"/>
            </w:tcBorders>
            <w:shd w:val="clear" w:color="auto" w:fill="auto"/>
            <w:noWrap/>
            <w:vAlign w:val="bottom"/>
            <w:hideMark/>
          </w:tcPr>
          <w:p w14:paraId="57A39EEB"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P_164</w:t>
            </w:r>
          </w:p>
        </w:tc>
        <w:tc>
          <w:tcPr>
            <w:tcW w:w="3686" w:type="dxa"/>
            <w:tcBorders>
              <w:top w:val="nil"/>
              <w:left w:val="nil"/>
              <w:bottom w:val="single" w:sz="4" w:space="0" w:color="auto"/>
              <w:right w:val="single" w:sz="4" w:space="0" w:color="auto"/>
            </w:tcBorders>
            <w:shd w:val="clear" w:color="auto" w:fill="auto"/>
            <w:noWrap/>
            <w:vAlign w:val="bottom"/>
            <w:hideMark/>
          </w:tcPr>
          <w:p w14:paraId="3B1493FC"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E-CL</w:t>
            </w:r>
          </w:p>
        </w:tc>
        <w:tc>
          <w:tcPr>
            <w:tcW w:w="2268" w:type="dxa"/>
            <w:tcBorders>
              <w:top w:val="nil"/>
              <w:left w:val="nil"/>
              <w:bottom w:val="single" w:sz="4" w:space="0" w:color="auto"/>
              <w:right w:val="single" w:sz="4" w:space="0" w:color="auto"/>
            </w:tcBorders>
            <w:shd w:val="clear" w:color="auto" w:fill="auto"/>
            <w:noWrap/>
            <w:vAlign w:val="bottom"/>
            <w:hideMark/>
          </w:tcPr>
          <w:p w14:paraId="1F7DF2A1"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358.007,83</w:t>
            </w:r>
          </w:p>
        </w:tc>
      </w:tr>
      <w:tr w:rsidR="004864FF" w:rsidRPr="0069558B" w14:paraId="61A0DF9F" w14:textId="77777777" w:rsidTr="006B5A62">
        <w:trPr>
          <w:jc w:val="center"/>
        </w:trPr>
        <w:tc>
          <w:tcPr>
            <w:tcW w:w="1985"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36B00D85"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N_60</w:t>
            </w:r>
          </w:p>
        </w:tc>
        <w:tc>
          <w:tcPr>
            <w:tcW w:w="3969" w:type="dxa"/>
            <w:vMerge w:val="restart"/>
            <w:tcBorders>
              <w:top w:val="nil"/>
              <w:left w:val="single" w:sz="4" w:space="0" w:color="auto"/>
              <w:bottom w:val="single" w:sz="4" w:space="0" w:color="000000"/>
              <w:right w:val="single" w:sz="4" w:space="0" w:color="auto"/>
            </w:tcBorders>
            <w:shd w:val="clear" w:color="auto" w:fill="auto"/>
            <w:vAlign w:val="center"/>
            <w:hideMark/>
          </w:tcPr>
          <w:p w14:paraId="1B03697B"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Laberinto 220-&gt;Kapatur 220</w:t>
            </w:r>
          </w:p>
        </w:tc>
        <w:tc>
          <w:tcPr>
            <w:tcW w:w="1134" w:type="dxa"/>
            <w:tcBorders>
              <w:top w:val="nil"/>
              <w:left w:val="nil"/>
              <w:bottom w:val="single" w:sz="4" w:space="0" w:color="auto"/>
              <w:right w:val="single" w:sz="4" w:space="0" w:color="auto"/>
            </w:tcBorders>
            <w:shd w:val="clear" w:color="auto" w:fill="auto"/>
            <w:noWrap/>
            <w:vAlign w:val="bottom"/>
            <w:hideMark/>
          </w:tcPr>
          <w:p w14:paraId="6CF25611"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P_079</w:t>
            </w:r>
          </w:p>
        </w:tc>
        <w:tc>
          <w:tcPr>
            <w:tcW w:w="3686" w:type="dxa"/>
            <w:tcBorders>
              <w:top w:val="nil"/>
              <w:left w:val="nil"/>
              <w:bottom w:val="single" w:sz="4" w:space="0" w:color="auto"/>
              <w:right w:val="single" w:sz="4" w:space="0" w:color="auto"/>
            </w:tcBorders>
            <w:shd w:val="clear" w:color="auto" w:fill="auto"/>
            <w:noWrap/>
            <w:vAlign w:val="bottom"/>
            <w:hideMark/>
          </w:tcPr>
          <w:p w14:paraId="27DCC7D5"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AES GENER</w:t>
            </w:r>
          </w:p>
        </w:tc>
        <w:tc>
          <w:tcPr>
            <w:tcW w:w="2268" w:type="dxa"/>
            <w:tcBorders>
              <w:top w:val="nil"/>
              <w:left w:val="nil"/>
              <w:bottom w:val="single" w:sz="4" w:space="0" w:color="auto"/>
              <w:right w:val="single" w:sz="4" w:space="0" w:color="auto"/>
            </w:tcBorders>
            <w:shd w:val="clear" w:color="auto" w:fill="auto"/>
            <w:noWrap/>
            <w:vAlign w:val="bottom"/>
            <w:hideMark/>
          </w:tcPr>
          <w:p w14:paraId="5BEB0161"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42.335.253,32</w:t>
            </w:r>
          </w:p>
        </w:tc>
      </w:tr>
      <w:tr w:rsidR="004864FF" w:rsidRPr="0069558B" w14:paraId="741A16B0" w14:textId="77777777" w:rsidTr="006B5A62">
        <w:trPr>
          <w:jc w:val="center"/>
        </w:trPr>
        <w:tc>
          <w:tcPr>
            <w:tcW w:w="1985" w:type="dxa"/>
            <w:vMerge/>
            <w:tcBorders>
              <w:top w:val="nil"/>
              <w:left w:val="single" w:sz="4" w:space="0" w:color="auto"/>
              <w:bottom w:val="single" w:sz="4" w:space="0" w:color="auto"/>
              <w:right w:val="single" w:sz="4" w:space="0" w:color="auto"/>
            </w:tcBorders>
            <w:vAlign w:val="center"/>
            <w:hideMark/>
          </w:tcPr>
          <w:p w14:paraId="73AFBA7D" w14:textId="77777777" w:rsidR="004864FF" w:rsidRPr="0069558B" w:rsidRDefault="004864FF" w:rsidP="006B5A62">
            <w:pPr>
              <w:spacing w:before="20" w:after="20" w:line="240" w:lineRule="auto"/>
              <w:jc w:val="left"/>
              <w:rPr>
                <w:rFonts w:eastAsia="Times New Roman" w:cs="Calibri"/>
                <w:color w:val="000000"/>
                <w:sz w:val="20"/>
                <w:szCs w:val="20"/>
                <w:lang w:eastAsia="es-CL"/>
              </w:rPr>
            </w:pPr>
          </w:p>
        </w:tc>
        <w:tc>
          <w:tcPr>
            <w:tcW w:w="3969" w:type="dxa"/>
            <w:vMerge/>
            <w:tcBorders>
              <w:top w:val="nil"/>
              <w:left w:val="single" w:sz="4" w:space="0" w:color="auto"/>
              <w:bottom w:val="single" w:sz="4" w:space="0" w:color="auto"/>
              <w:right w:val="single" w:sz="4" w:space="0" w:color="auto"/>
            </w:tcBorders>
            <w:vAlign w:val="center"/>
            <w:hideMark/>
          </w:tcPr>
          <w:p w14:paraId="3792448C" w14:textId="77777777" w:rsidR="004864FF" w:rsidRPr="0069558B" w:rsidRDefault="004864FF" w:rsidP="006B5A62">
            <w:pPr>
              <w:spacing w:before="20" w:after="20" w:line="240" w:lineRule="auto"/>
              <w:jc w:val="left"/>
              <w:rPr>
                <w:rFonts w:eastAsia="Times New Roman" w:cs="Calibri"/>
                <w:color w:val="000000"/>
                <w:sz w:val="20"/>
                <w:szCs w:val="20"/>
                <w:lang w:eastAsia="es-CL"/>
              </w:rPr>
            </w:pPr>
          </w:p>
        </w:tc>
        <w:tc>
          <w:tcPr>
            <w:tcW w:w="1134" w:type="dxa"/>
            <w:tcBorders>
              <w:top w:val="nil"/>
              <w:left w:val="nil"/>
              <w:bottom w:val="single" w:sz="4" w:space="0" w:color="auto"/>
              <w:right w:val="single" w:sz="4" w:space="0" w:color="auto"/>
            </w:tcBorders>
            <w:shd w:val="clear" w:color="auto" w:fill="auto"/>
            <w:noWrap/>
            <w:vAlign w:val="bottom"/>
            <w:hideMark/>
          </w:tcPr>
          <w:p w14:paraId="015C815C"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P_476</w:t>
            </w:r>
          </w:p>
        </w:tc>
        <w:tc>
          <w:tcPr>
            <w:tcW w:w="3686" w:type="dxa"/>
            <w:tcBorders>
              <w:top w:val="nil"/>
              <w:left w:val="nil"/>
              <w:bottom w:val="single" w:sz="4" w:space="0" w:color="auto"/>
              <w:right w:val="single" w:sz="4" w:space="0" w:color="auto"/>
            </w:tcBorders>
            <w:shd w:val="clear" w:color="auto" w:fill="auto"/>
            <w:noWrap/>
            <w:vAlign w:val="bottom"/>
            <w:hideMark/>
          </w:tcPr>
          <w:p w14:paraId="54DB595F"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STN</w:t>
            </w:r>
          </w:p>
        </w:tc>
        <w:tc>
          <w:tcPr>
            <w:tcW w:w="2268" w:type="dxa"/>
            <w:tcBorders>
              <w:top w:val="nil"/>
              <w:left w:val="nil"/>
              <w:bottom w:val="single" w:sz="4" w:space="0" w:color="auto"/>
              <w:right w:val="single" w:sz="4" w:space="0" w:color="auto"/>
            </w:tcBorders>
            <w:shd w:val="clear" w:color="auto" w:fill="auto"/>
            <w:noWrap/>
            <w:vAlign w:val="bottom"/>
            <w:hideMark/>
          </w:tcPr>
          <w:p w14:paraId="7E007F21"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1.923.443,39</w:t>
            </w:r>
          </w:p>
        </w:tc>
      </w:tr>
      <w:tr w:rsidR="004864FF" w:rsidRPr="0069558B" w14:paraId="2EB4E744" w14:textId="77777777" w:rsidTr="006B5A62">
        <w:trPr>
          <w:jc w:val="center"/>
        </w:trPr>
        <w:tc>
          <w:tcPr>
            <w:tcW w:w="19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7E547F6"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cs="Calibri"/>
                <w:color w:val="000000"/>
                <w:sz w:val="20"/>
                <w:szCs w:val="20"/>
              </w:rPr>
              <w:t>N_61</w:t>
            </w:r>
          </w:p>
        </w:tc>
        <w:tc>
          <w:tcPr>
            <w:tcW w:w="3969" w:type="dxa"/>
            <w:tcBorders>
              <w:top w:val="single" w:sz="4" w:space="0" w:color="auto"/>
              <w:left w:val="nil"/>
              <w:bottom w:val="single" w:sz="4" w:space="0" w:color="auto"/>
              <w:right w:val="single" w:sz="4" w:space="0" w:color="auto"/>
            </w:tcBorders>
            <w:shd w:val="clear" w:color="auto" w:fill="auto"/>
            <w:vAlign w:val="center"/>
            <w:hideMark/>
          </w:tcPr>
          <w:p w14:paraId="2206831C"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cs="Calibri"/>
                <w:color w:val="000000"/>
                <w:sz w:val="20"/>
                <w:szCs w:val="20"/>
              </w:rPr>
              <w:t>Laberinto 220-&gt;Kimal 220</w:t>
            </w:r>
          </w:p>
        </w:tc>
        <w:tc>
          <w:tcPr>
            <w:tcW w:w="1134" w:type="dxa"/>
            <w:tcBorders>
              <w:top w:val="nil"/>
              <w:left w:val="nil"/>
              <w:bottom w:val="single" w:sz="4" w:space="0" w:color="auto"/>
              <w:right w:val="single" w:sz="4" w:space="0" w:color="auto"/>
            </w:tcBorders>
            <w:shd w:val="clear" w:color="auto" w:fill="auto"/>
            <w:noWrap/>
            <w:vAlign w:val="bottom"/>
            <w:hideMark/>
          </w:tcPr>
          <w:p w14:paraId="6EE07B5F"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P_079</w:t>
            </w:r>
          </w:p>
        </w:tc>
        <w:tc>
          <w:tcPr>
            <w:tcW w:w="3686" w:type="dxa"/>
            <w:tcBorders>
              <w:top w:val="nil"/>
              <w:left w:val="nil"/>
              <w:bottom w:val="single" w:sz="4" w:space="0" w:color="auto"/>
              <w:right w:val="single" w:sz="4" w:space="0" w:color="auto"/>
            </w:tcBorders>
            <w:shd w:val="clear" w:color="auto" w:fill="auto"/>
            <w:noWrap/>
            <w:vAlign w:val="bottom"/>
            <w:hideMark/>
          </w:tcPr>
          <w:p w14:paraId="34E9E02D"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AES GENER</w:t>
            </w:r>
          </w:p>
        </w:tc>
        <w:tc>
          <w:tcPr>
            <w:tcW w:w="2268" w:type="dxa"/>
            <w:tcBorders>
              <w:top w:val="nil"/>
              <w:left w:val="nil"/>
              <w:bottom w:val="single" w:sz="4" w:space="0" w:color="auto"/>
              <w:right w:val="single" w:sz="4" w:space="0" w:color="auto"/>
            </w:tcBorders>
            <w:shd w:val="clear" w:color="auto" w:fill="auto"/>
            <w:noWrap/>
            <w:vAlign w:val="bottom"/>
            <w:hideMark/>
          </w:tcPr>
          <w:p w14:paraId="0B49F126"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700.022,53</w:t>
            </w:r>
          </w:p>
        </w:tc>
      </w:tr>
      <w:tr w:rsidR="004864FF" w:rsidRPr="0069558B" w14:paraId="411D4476" w14:textId="77777777" w:rsidTr="006B5A62">
        <w:trPr>
          <w:jc w:val="center"/>
        </w:trPr>
        <w:tc>
          <w:tcPr>
            <w:tcW w:w="198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D18F8D6"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cs="Calibri"/>
                <w:color w:val="000000"/>
                <w:sz w:val="20"/>
                <w:szCs w:val="20"/>
              </w:rPr>
              <w:t>N_62</w:t>
            </w:r>
          </w:p>
        </w:tc>
        <w:tc>
          <w:tcPr>
            <w:tcW w:w="3969" w:type="dxa"/>
            <w:tcBorders>
              <w:top w:val="single" w:sz="4" w:space="0" w:color="auto"/>
              <w:left w:val="nil"/>
              <w:bottom w:val="single" w:sz="4" w:space="0" w:color="auto"/>
              <w:right w:val="single" w:sz="4" w:space="0" w:color="auto"/>
            </w:tcBorders>
            <w:shd w:val="clear" w:color="auto" w:fill="auto"/>
            <w:vAlign w:val="center"/>
          </w:tcPr>
          <w:p w14:paraId="720F217A"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cs="Calibri"/>
                <w:color w:val="000000"/>
                <w:sz w:val="20"/>
                <w:szCs w:val="20"/>
              </w:rPr>
              <w:t>Laberinto 220-&gt;Nueva Zaldívar 220</w:t>
            </w:r>
          </w:p>
        </w:tc>
        <w:tc>
          <w:tcPr>
            <w:tcW w:w="1134" w:type="dxa"/>
            <w:tcBorders>
              <w:top w:val="nil"/>
              <w:left w:val="nil"/>
              <w:bottom w:val="single" w:sz="4" w:space="0" w:color="auto"/>
              <w:right w:val="single" w:sz="4" w:space="0" w:color="auto"/>
            </w:tcBorders>
            <w:shd w:val="clear" w:color="auto" w:fill="auto"/>
            <w:noWrap/>
            <w:vAlign w:val="bottom"/>
          </w:tcPr>
          <w:p w14:paraId="49842933"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P_079</w:t>
            </w:r>
          </w:p>
        </w:tc>
        <w:tc>
          <w:tcPr>
            <w:tcW w:w="3686" w:type="dxa"/>
            <w:tcBorders>
              <w:top w:val="nil"/>
              <w:left w:val="nil"/>
              <w:bottom w:val="single" w:sz="4" w:space="0" w:color="auto"/>
              <w:right w:val="single" w:sz="4" w:space="0" w:color="auto"/>
            </w:tcBorders>
            <w:shd w:val="clear" w:color="auto" w:fill="auto"/>
            <w:noWrap/>
            <w:vAlign w:val="bottom"/>
          </w:tcPr>
          <w:p w14:paraId="6E2D684F"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AES GENER</w:t>
            </w:r>
          </w:p>
        </w:tc>
        <w:tc>
          <w:tcPr>
            <w:tcW w:w="2268" w:type="dxa"/>
            <w:tcBorders>
              <w:top w:val="nil"/>
              <w:left w:val="nil"/>
              <w:bottom w:val="single" w:sz="4" w:space="0" w:color="auto"/>
              <w:right w:val="single" w:sz="4" w:space="0" w:color="auto"/>
            </w:tcBorders>
            <w:shd w:val="clear" w:color="auto" w:fill="auto"/>
            <w:noWrap/>
            <w:vAlign w:val="bottom"/>
          </w:tcPr>
          <w:p w14:paraId="5F079648"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1.226.778,40</w:t>
            </w:r>
          </w:p>
        </w:tc>
      </w:tr>
      <w:tr w:rsidR="004864FF" w:rsidRPr="0069558B" w14:paraId="3A0ED133"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1AD849D2"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lastRenderedPageBreak/>
              <w:t>N_63</w:t>
            </w:r>
          </w:p>
        </w:tc>
        <w:tc>
          <w:tcPr>
            <w:tcW w:w="3969" w:type="dxa"/>
            <w:tcBorders>
              <w:top w:val="nil"/>
              <w:left w:val="nil"/>
              <w:bottom w:val="single" w:sz="4" w:space="0" w:color="auto"/>
              <w:right w:val="single" w:sz="4" w:space="0" w:color="auto"/>
            </w:tcBorders>
            <w:shd w:val="clear" w:color="auto" w:fill="auto"/>
            <w:vAlign w:val="center"/>
            <w:hideMark/>
          </w:tcPr>
          <w:p w14:paraId="7694C6CA"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Lagunas 220-&gt;Encuentro 220</w:t>
            </w:r>
          </w:p>
        </w:tc>
        <w:tc>
          <w:tcPr>
            <w:tcW w:w="1134" w:type="dxa"/>
            <w:tcBorders>
              <w:top w:val="nil"/>
              <w:left w:val="nil"/>
              <w:bottom w:val="single" w:sz="4" w:space="0" w:color="auto"/>
              <w:right w:val="single" w:sz="4" w:space="0" w:color="auto"/>
            </w:tcBorders>
            <w:shd w:val="clear" w:color="auto" w:fill="auto"/>
            <w:noWrap/>
            <w:vAlign w:val="bottom"/>
          </w:tcPr>
          <w:p w14:paraId="449B3ADA"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P_530</w:t>
            </w:r>
          </w:p>
        </w:tc>
        <w:tc>
          <w:tcPr>
            <w:tcW w:w="3686" w:type="dxa"/>
            <w:tcBorders>
              <w:top w:val="nil"/>
              <w:left w:val="nil"/>
              <w:bottom w:val="single" w:sz="4" w:space="0" w:color="auto"/>
              <w:right w:val="single" w:sz="4" w:space="0" w:color="auto"/>
            </w:tcBorders>
            <w:shd w:val="clear" w:color="auto" w:fill="auto"/>
            <w:noWrap/>
            <w:vAlign w:val="bottom"/>
          </w:tcPr>
          <w:p w14:paraId="122DA69F"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INTERCHILE</w:t>
            </w:r>
          </w:p>
        </w:tc>
        <w:tc>
          <w:tcPr>
            <w:tcW w:w="2268" w:type="dxa"/>
            <w:tcBorders>
              <w:top w:val="nil"/>
              <w:left w:val="nil"/>
              <w:bottom w:val="single" w:sz="4" w:space="0" w:color="auto"/>
              <w:right w:val="single" w:sz="4" w:space="0" w:color="auto"/>
            </w:tcBorders>
            <w:shd w:val="clear" w:color="auto" w:fill="auto"/>
            <w:noWrap/>
            <w:vAlign w:val="bottom"/>
          </w:tcPr>
          <w:p w14:paraId="7C5DEB0A"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13.490.397,84</w:t>
            </w:r>
          </w:p>
        </w:tc>
      </w:tr>
      <w:tr w:rsidR="004864FF" w:rsidRPr="0069558B" w14:paraId="6F6EBBD4" w14:textId="77777777" w:rsidTr="006B5A62">
        <w:trPr>
          <w:jc w:val="center"/>
        </w:trPr>
        <w:tc>
          <w:tcPr>
            <w:tcW w:w="1985"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657C6106"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N_64</w:t>
            </w:r>
          </w:p>
        </w:tc>
        <w:tc>
          <w:tcPr>
            <w:tcW w:w="3969" w:type="dxa"/>
            <w:vMerge w:val="restart"/>
            <w:tcBorders>
              <w:top w:val="nil"/>
              <w:left w:val="single" w:sz="4" w:space="0" w:color="auto"/>
              <w:bottom w:val="single" w:sz="4" w:space="0" w:color="000000"/>
              <w:right w:val="single" w:sz="4" w:space="0" w:color="auto"/>
            </w:tcBorders>
            <w:shd w:val="clear" w:color="auto" w:fill="auto"/>
            <w:vAlign w:val="center"/>
            <w:hideMark/>
          </w:tcPr>
          <w:p w14:paraId="6FA318AA"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Lagunas 220-&gt;Nueva Pozo Almonte 220</w:t>
            </w:r>
          </w:p>
        </w:tc>
        <w:tc>
          <w:tcPr>
            <w:tcW w:w="1134" w:type="dxa"/>
            <w:tcBorders>
              <w:top w:val="nil"/>
              <w:left w:val="nil"/>
              <w:bottom w:val="single" w:sz="4" w:space="0" w:color="auto"/>
              <w:right w:val="single" w:sz="4" w:space="0" w:color="auto"/>
            </w:tcBorders>
            <w:shd w:val="clear" w:color="auto" w:fill="auto"/>
            <w:noWrap/>
            <w:vAlign w:val="bottom"/>
          </w:tcPr>
          <w:p w14:paraId="5EF62AC4"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P_032</w:t>
            </w:r>
          </w:p>
        </w:tc>
        <w:tc>
          <w:tcPr>
            <w:tcW w:w="3686" w:type="dxa"/>
            <w:tcBorders>
              <w:top w:val="nil"/>
              <w:left w:val="nil"/>
              <w:bottom w:val="single" w:sz="4" w:space="0" w:color="auto"/>
              <w:right w:val="single" w:sz="4" w:space="0" w:color="auto"/>
            </w:tcBorders>
            <w:shd w:val="clear" w:color="auto" w:fill="auto"/>
            <w:noWrap/>
            <w:vAlign w:val="bottom"/>
          </w:tcPr>
          <w:p w14:paraId="24D38888"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TRANSELEC S.A.</w:t>
            </w:r>
          </w:p>
        </w:tc>
        <w:tc>
          <w:tcPr>
            <w:tcW w:w="2268" w:type="dxa"/>
            <w:tcBorders>
              <w:top w:val="nil"/>
              <w:left w:val="nil"/>
              <w:bottom w:val="single" w:sz="4" w:space="0" w:color="auto"/>
              <w:right w:val="single" w:sz="4" w:space="0" w:color="auto"/>
            </w:tcBorders>
            <w:shd w:val="clear" w:color="auto" w:fill="auto"/>
            <w:noWrap/>
            <w:vAlign w:val="bottom"/>
          </w:tcPr>
          <w:p w14:paraId="62298F63"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482.432,44</w:t>
            </w:r>
          </w:p>
        </w:tc>
      </w:tr>
      <w:tr w:rsidR="004864FF" w:rsidRPr="0069558B" w14:paraId="440101F4" w14:textId="77777777" w:rsidTr="006B5A62">
        <w:trPr>
          <w:jc w:val="center"/>
        </w:trPr>
        <w:tc>
          <w:tcPr>
            <w:tcW w:w="1985" w:type="dxa"/>
            <w:vMerge/>
            <w:tcBorders>
              <w:top w:val="nil"/>
              <w:left w:val="single" w:sz="4" w:space="0" w:color="auto"/>
              <w:bottom w:val="single" w:sz="4" w:space="0" w:color="000000"/>
              <w:right w:val="single" w:sz="4" w:space="0" w:color="auto"/>
            </w:tcBorders>
            <w:vAlign w:val="center"/>
            <w:hideMark/>
          </w:tcPr>
          <w:p w14:paraId="06289F51" w14:textId="77777777" w:rsidR="004864FF" w:rsidRPr="0069558B" w:rsidRDefault="004864FF" w:rsidP="006B5A62">
            <w:pPr>
              <w:spacing w:before="20" w:after="20" w:line="240" w:lineRule="auto"/>
              <w:jc w:val="left"/>
              <w:rPr>
                <w:rFonts w:eastAsia="Times New Roman" w:cs="Calibri"/>
                <w:color w:val="000000"/>
                <w:sz w:val="20"/>
                <w:szCs w:val="20"/>
                <w:lang w:eastAsia="es-CL"/>
              </w:rPr>
            </w:pPr>
          </w:p>
        </w:tc>
        <w:tc>
          <w:tcPr>
            <w:tcW w:w="3969" w:type="dxa"/>
            <w:vMerge/>
            <w:tcBorders>
              <w:top w:val="nil"/>
              <w:left w:val="single" w:sz="4" w:space="0" w:color="auto"/>
              <w:bottom w:val="single" w:sz="4" w:space="0" w:color="000000"/>
              <w:right w:val="single" w:sz="4" w:space="0" w:color="auto"/>
            </w:tcBorders>
            <w:vAlign w:val="center"/>
            <w:hideMark/>
          </w:tcPr>
          <w:p w14:paraId="5F749E19" w14:textId="77777777" w:rsidR="004864FF" w:rsidRPr="0069558B" w:rsidRDefault="004864FF" w:rsidP="006B5A62">
            <w:pPr>
              <w:spacing w:before="20" w:after="20" w:line="240" w:lineRule="auto"/>
              <w:jc w:val="left"/>
              <w:rPr>
                <w:rFonts w:eastAsia="Times New Roman" w:cs="Calibri"/>
                <w:color w:val="000000"/>
                <w:sz w:val="20"/>
                <w:szCs w:val="20"/>
                <w:lang w:eastAsia="es-CL"/>
              </w:rPr>
            </w:pPr>
          </w:p>
        </w:tc>
        <w:tc>
          <w:tcPr>
            <w:tcW w:w="1134" w:type="dxa"/>
            <w:tcBorders>
              <w:top w:val="nil"/>
              <w:left w:val="nil"/>
              <w:bottom w:val="single" w:sz="4" w:space="0" w:color="auto"/>
              <w:right w:val="single" w:sz="4" w:space="0" w:color="auto"/>
            </w:tcBorders>
            <w:shd w:val="clear" w:color="auto" w:fill="auto"/>
            <w:noWrap/>
            <w:vAlign w:val="bottom"/>
          </w:tcPr>
          <w:p w14:paraId="17E1FD5A"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P_164</w:t>
            </w:r>
          </w:p>
        </w:tc>
        <w:tc>
          <w:tcPr>
            <w:tcW w:w="3686" w:type="dxa"/>
            <w:tcBorders>
              <w:top w:val="nil"/>
              <w:left w:val="nil"/>
              <w:bottom w:val="single" w:sz="4" w:space="0" w:color="auto"/>
              <w:right w:val="single" w:sz="4" w:space="0" w:color="auto"/>
            </w:tcBorders>
            <w:shd w:val="clear" w:color="auto" w:fill="auto"/>
            <w:noWrap/>
            <w:vAlign w:val="bottom"/>
          </w:tcPr>
          <w:p w14:paraId="53C1181F"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E-CL</w:t>
            </w:r>
          </w:p>
        </w:tc>
        <w:tc>
          <w:tcPr>
            <w:tcW w:w="2268" w:type="dxa"/>
            <w:tcBorders>
              <w:top w:val="nil"/>
              <w:left w:val="nil"/>
              <w:bottom w:val="single" w:sz="4" w:space="0" w:color="auto"/>
              <w:right w:val="single" w:sz="4" w:space="0" w:color="auto"/>
            </w:tcBorders>
            <w:shd w:val="clear" w:color="auto" w:fill="auto"/>
            <w:noWrap/>
            <w:vAlign w:val="bottom"/>
          </w:tcPr>
          <w:p w14:paraId="31C74078"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11.063.772,56</w:t>
            </w:r>
          </w:p>
        </w:tc>
      </w:tr>
      <w:tr w:rsidR="004864FF" w:rsidRPr="0069558B" w14:paraId="4A3C7821"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75B4B69E"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N_65</w:t>
            </w:r>
          </w:p>
        </w:tc>
        <w:tc>
          <w:tcPr>
            <w:tcW w:w="3969" w:type="dxa"/>
            <w:tcBorders>
              <w:top w:val="nil"/>
              <w:left w:val="nil"/>
              <w:bottom w:val="single" w:sz="4" w:space="0" w:color="auto"/>
              <w:right w:val="single" w:sz="4" w:space="0" w:color="auto"/>
            </w:tcBorders>
            <w:shd w:val="clear" w:color="auto" w:fill="auto"/>
            <w:vAlign w:val="center"/>
            <w:hideMark/>
          </w:tcPr>
          <w:p w14:paraId="30CEC874"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Lagunas 220-&gt;Nueva Victoria 220</w:t>
            </w:r>
          </w:p>
        </w:tc>
        <w:tc>
          <w:tcPr>
            <w:tcW w:w="1134" w:type="dxa"/>
            <w:tcBorders>
              <w:top w:val="nil"/>
              <w:left w:val="nil"/>
              <w:bottom w:val="single" w:sz="4" w:space="0" w:color="auto"/>
              <w:right w:val="single" w:sz="4" w:space="0" w:color="auto"/>
            </w:tcBorders>
            <w:shd w:val="clear" w:color="auto" w:fill="auto"/>
            <w:noWrap/>
            <w:vAlign w:val="bottom"/>
          </w:tcPr>
          <w:p w14:paraId="07ECEA21"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P_032</w:t>
            </w:r>
          </w:p>
        </w:tc>
        <w:tc>
          <w:tcPr>
            <w:tcW w:w="3686" w:type="dxa"/>
            <w:tcBorders>
              <w:top w:val="nil"/>
              <w:left w:val="nil"/>
              <w:bottom w:val="single" w:sz="4" w:space="0" w:color="auto"/>
              <w:right w:val="single" w:sz="4" w:space="0" w:color="auto"/>
            </w:tcBorders>
            <w:shd w:val="clear" w:color="auto" w:fill="auto"/>
            <w:noWrap/>
            <w:vAlign w:val="bottom"/>
          </w:tcPr>
          <w:p w14:paraId="26DE9B41"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TRANSELEC S.A.</w:t>
            </w:r>
          </w:p>
        </w:tc>
        <w:tc>
          <w:tcPr>
            <w:tcW w:w="2268" w:type="dxa"/>
            <w:tcBorders>
              <w:top w:val="nil"/>
              <w:left w:val="nil"/>
              <w:bottom w:val="single" w:sz="4" w:space="0" w:color="auto"/>
              <w:right w:val="single" w:sz="4" w:space="0" w:color="auto"/>
            </w:tcBorders>
            <w:shd w:val="clear" w:color="auto" w:fill="auto"/>
            <w:noWrap/>
            <w:vAlign w:val="bottom"/>
          </w:tcPr>
          <w:p w14:paraId="44F6C6FC"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2.845.808,16</w:t>
            </w:r>
          </w:p>
        </w:tc>
      </w:tr>
      <w:tr w:rsidR="004864FF" w:rsidRPr="0069558B" w14:paraId="5B972D37"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0CD967E0"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N_66</w:t>
            </w:r>
          </w:p>
        </w:tc>
        <w:tc>
          <w:tcPr>
            <w:tcW w:w="3969" w:type="dxa"/>
            <w:tcBorders>
              <w:top w:val="nil"/>
              <w:left w:val="nil"/>
              <w:bottom w:val="single" w:sz="4" w:space="0" w:color="auto"/>
              <w:right w:val="single" w:sz="4" w:space="0" w:color="auto"/>
            </w:tcBorders>
            <w:shd w:val="clear" w:color="auto" w:fill="auto"/>
            <w:vAlign w:val="center"/>
            <w:hideMark/>
          </w:tcPr>
          <w:p w14:paraId="0B72C6B5"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Lagunas 220-&gt;San Simón 220</w:t>
            </w:r>
          </w:p>
        </w:tc>
        <w:tc>
          <w:tcPr>
            <w:tcW w:w="1134" w:type="dxa"/>
            <w:tcBorders>
              <w:top w:val="nil"/>
              <w:left w:val="nil"/>
              <w:bottom w:val="single" w:sz="4" w:space="0" w:color="auto"/>
              <w:right w:val="single" w:sz="4" w:space="0" w:color="auto"/>
            </w:tcBorders>
            <w:shd w:val="clear" w:color="auto" w:fill="auto"/>
            <w:noWrap/>
            <w:vAlign w:val="bottom"/>
          </w:tcPr>
          <w:p w14:paraId="4D3DC86C"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P_032</w:t>
            </w:r>
          </w:p>
        </w:tc>
        <w:tc>
          <w:tcPr>
            <w:tcW w:w="3686" w:type="dxa"/>
            <w:tcBorders>
              <w:top w:val="nil"/>
              <w:left w:val="nil"/>
              <w:bottom w:val="single" w:sz="4" w:space="0" w:color="auto"/>
              <w:right w:val="single" w:sz="4" w:space="0" w:color="auto"/>
            </w:tcBorders>
            <w:shd w:val="clear" w:color="auto" w:fill="auto"/>
            <w:noWrap/>
            <w:vAlign w:val="bottom"/>
          </w:tcPr>
          <w:p w14:paraId="563EB9B0"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TRANSELEC S.A.</w:t>
            </w:r>
          </w:p>
        </w:tc>
        <w:tc>
          <w:tcPr>
            <w:tcW w:w="2268" w:type="dxa"/>
            <w:tcBorders>
              <w:top w:val="nil"/>
              <w:left w:val="nil"/>
              <w:bottom w:val="single" w:sz="4" w:space="0" w:color="auto"/>
              <w:right w:val="single" w:sz="4" w:space="0" w:color="auto"/>
            </w:tcBorders>
            <w:shd w:val="clear" w:color="auto" w:fill="auto"/>
            <w:noWrap/>
            <w:vAlign w:val="bottom"/>
          </w:tcPr>
          <w:p w14:paraId="3F6688B4"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6.287.759,98</w:t>
            </w:r>
          </w:p>
        </w:tc>
      </w:tr>
      <w:tr w:rsidR="004864FF" w:rsidRPr="0069558B" w14:paraId="5F366432"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51AE904A"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N_67</w:t>
            </w:r>
          </w:p>
        </w:tc>
        <w:tc>
          <w:tcPr>
            <w:tcW w:w="3969" w:type="dxa"/>
            <w:tcBorders>
              <w:top w:val="nil"/>
              <w:left w:val="nil"/>
              <w:bottom w:val="single" w:sz="4" w:space="0" w:color="auto"/>
              <w:right w:val="single" w:sz="4" w:space="0" w:color="auto"/>
            </w:tcBorders>
            <w:shd w:val="clear" w:color="auto" w:fill="auto"/>
            <w:vAlign w:val="center"/>
            <w:hideMark/>
          </w:tcPr>
          <w:p w14:paraId="30E243A5"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Lagunillas 220-&gt;Guindo 220</w:t>
            </w:r>
          </w:p>
        </w:tc>
        <w:tc>
          <w:tcPr>
            <w:tcW w:w="1134" w:type="dxa"/>
            <w:tcBorders>
              <w:top w:val="nil"/>
              <w:left w:val="nil"/>
              <w:bottom w:val="single" w:sz="4" w:space="0" w:color="auto"/>
              <w:right w:val="single" w:sz="4" w:space="0" w:color="auto"/>
            </w:tcBorders>
            <w:shd w:val="clear" w:color="auto" w:fill="auto"/>
            <w:noWrap/>
            <w:vAlign w:val="bottom"/>
          </w:tcPr>
          <w:p w14:paraId="7349E5D5"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P_032</w:t>
            </w:r>
          </w:p>
        </w:tc>
        <w:tc>
          <w:tcPr>
            <w:tcW w:w="3686" w:type="dxa"/>
            <w:tcBorders>
              <w:top w:val="nil"/>
              <w:left w:val="nil"/>
              <w:bottom w:val="single" w:sz="4" w:space="0" w:color="auto"/>
              <w:right w:val="single" w:sz="4" w:space="0" w:color="auto"/>
            </w:tcBorders>
            <w:shd w:val="clear" w:color="auto" w:fill="auto"/>
            <w:noWrap/>
            <w:vAlign w:val="bottom"/>
          </w:tcPr>
          <w:p w14:paraId="750314DC"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TRANSELEC S.A.</w:t>
            </w:r>
          </w:p>
        </w:tc>
        <w:tc>
          <w:tcPr>
            <w:tcW w:w="2268" w:type="dxa"/>
            <w:tcBorders>
              <w:top w:val="nil"/>
              <w:left w:val="nil"/>
              <w:bottom w:val="single" w:sz="4" w:space="0" w:color="auto"/>
              <w:right w:val="single" w:sz="4" w:space="0" w:color="auto"/>
            </w:tcBorders>
            <w:shd w:val="clear" w:color="auto" w:fill="auto"/>
            <w:noWrap/>
            <w:vAlign w:val="bottom"/>
          </w:tcPr>
          <w:p w14:paraId="12443F20"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3.738.949,69</w:t>
            </w:r>
          </w:p>
        </w:tc>
      </w:tr>
      <w:tr w:rsidR="004864FF" w:rsidRPr="0069558B" w14:paraId="4F57FD4B"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44AECD7F"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N_69</w:t>
            </w:r>
          </w:p>
        </w:tc>
        <w:tc>
          <w:tcPr>
            <w:tcW w:w="3969" w:type="dxa"/>
            <w:tcBorders>
              <w:top w:val="nil"/>
              <w:left w:val="nil"/>
              <w:bottom w:val="single" w:sz="4" w:space="0" w:color="auto"/>
              <w:right w:val="single" w:sz="4" w:space="0" w:color="auto"/>
            </w:tcBorders>
            <w:shd w:val="clear" w:color="auto" w:fill="auto"/>
            <w:vAlign w:val="center"/>
            <w:hideMark/>
          </w:tcPr>
          <w:p w14:paraId="010E5A3B"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Lo Aguirre 220-&gt;Nueva Alto Melipilla 220</w:t>
            </w:r>
          </w:p>
        </w:tc>
        <w:tc>
          <w:tcPr>
            <w:tcW w:w="1134" w:type="dxa"/>
            <w:tcBorders>
              <w:top w:val="nil"/>
              <w:left w:val="nil"/>
              <w:bottom w:val="single" w:sz="4" w:space="0" w:color="auto"/>
              <w:right w:val="single" w:sz="4" w:space="0" w:color="auto"/>
            </w:tcBorders>
            <w:shd w:val="clear" w:color="auto" w:fill="auto"/>
            <w:noWrap/>
            <w:vAlign w:val="bottom"/>
          </w:tcPr>
          <w:p w14:paraId="1EA83BCA"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P_032</w:t>
            </w:r>
          </w:p>
        </w:tc>
        <w:tc>
          <w:tcPr>
            <w:tcW w:w="3686" w:type="dxa"/>
            <w:tcBorders>
              <w:top w:val="nil"/>
              <w:left w:val="nil"/>
              <w:bottom w:val="single" w:sz="4" w:space="0" w:color="auto"/>
              <w:right w:val="single" w:sz="4" w:space="0" w:color="auto"/>
            </w:tcBorders>
            <w:shd w:val="clear" w:color="auto" w:fill="auto"/>
            <w:noWrap/>
            <w:vAlign w:val="bottom"/>
          </w:tcPr>
          <w:p w14:paraId="370A6A42"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TRANSELEC S.A.</w:t>
            </w:r>
          </w:p>
        </w:tc>
        <w:tc>
          <w:tcPr>
            <w:tcW w:w="2268" w:type="dxa"/>
            <w:tcBorders>
              <w:top w:val="nil"/>
              <w:left w:val="nil"/>
              <w:bottom w:val="single" w:sz="4" w:space="0" w:color="auto"/>
              <w:right w:val="single" w:sz="4" w:space="0" w:color="auto"/>
            </w:tcBorders>
            <w:shd w:val="clear" w:color="auto" w:fill="auto"/>
            <w:noWrap/>
            <w:vAlign w:val="bottom"/>
          </w:tcPr>
          <w:p w14:paraId="259B3BF5"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11.987.850,61</w:t>
            </w:r>
          </w:p>
        </w:tc>
      </w:tr>
      <w:tr w:rsidR="004864FF" w:rsidRPr="0069558B" w14:paraId="210D4F4B"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7D9D1789"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N_70</w:t>
            </w:r>
          </w:p>
        </w:tc>
        <w:tc>
          <w:tcPr>
            <w:tcW w:w="3969" w:type="dxa"/>
            <w:tcBorders>
              <w:top w:val="nil"/>
              <w:left w:val="nil"/>
              <w:bottom w:val="single" w:sz="4" w:space="0" w:color="auto"/>
              <w:right w:val="single" w:sz="4" w:space="0" w:color="auto"/>
            </w:tcBorders>
            <w:shd w:val="clear" w:color="auto" w:fill="auto"/>
            <w:vAlign w:val="center"/>
            <w:hideMark/>
          </w:tcPr>
          <w:p w14:paraId="0E9CD530"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Lo Aguirre 500-&gt;Alto Jahuel 500</w:t>
            </w:r>
          </w:p>
        </w:tc>
        <w:tc>
          <w:tcPr>
            <w:tcW w:w="1134" w:type="dxa"/>
            <w:tcBorders>
              <w:top w:val="nil"/>
              <w:left w:val="nil"/>
              <w:bottom w:val="single" w:sz="4" w:space="0" w:color="auto"/>
              <w:right w:val="single" w:sz="4" w:space="0" w:color="auto"/>
            </w:tcBorders>
            <w:shd w:val="clear" w:color="auto" w:fill="auto"/>
            <w:noWrap/>
            <w:vAlign w:val="bottom"/>
          </w:tcPr>
          <w:p w14:paraId="31AB5400"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P_032</w:t>
            </w:r>
          </w:p>
        </w:tc>
        <w:tc>
          <w:tcPr>
            <w:tcW w:w="3686" w:type="dxa"/>
            <w:tcBorders>
              <w:top w:val="nil"/>
              <w:left w:val="nil"/>
              <w:bottom w:val="single" w:sz="4" w:space="0" w:color="auto"/>
              <w:right w:val="single" w:sz="4" w:space="0" w:color="auto"/>
            </w:tcBorders>
            <w:shd w:val="clear" w:color="auto" w:fill="auto"/>
            <w:noWrap/>
            <w:vAlign w:val="bottom"/>
          </w:tcPr>
          <w:p w14:paraId="14C25B5F"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TRANSELEC S.A.</w:t>
            </w:r>
          </w:p>
        </w:tc>
        <w:tc>
          <w:tcPr>
            <w:tcW w:w="2268" w:type="dxa"/>
            <w:tcBorders>
              <w:top w:val="nil"/>
              <w:left w:val="nil"/>
              <w:bottom w:val="single" w:sz="4" w:space="0" w:color="auto"/>
              <w:right w:val="single" w:sz="4" w:space="0" w:color="auto"/>
            </w:tcBorders>
            <w:shd w:val="clear" w:color="auto" w:fill="auto"/>
            <w:noWrap/>
            <w:vAlign w:val="bottom"/>
          </w:tcPr>
          <w:p w14:paraId="7F37F70B"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36.700.697,21</w:t>
            </w:r>
          </w:p>
        </w:tc>
      </w:tr>
      <w:tr w:rsidR="004864FF" w:rsidRPr="0069558B" w14:paraId="003A9151"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16A7B21C"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N_72</w:t>
            </w:r>
          </w:p>
        </w:tc>
        <w:tc>
          <w:tcPr>
            <w:tcW w:w="3969" w:type="dxa"/>
            <w:tcBorders>
              <w:top w:val="nil"/>
              <w:left w:val="nil"/>
              <w:bottom w:val="single" w:sz="4" w:space="0" w:color="auto"/>
              <w:right w:val="single" w:sz="4" w:space="0" w:color="auto"/>
            </w:tcBorders>
            <w:shd w:val="clear" w:color="auto" w:fill="auto"/>
            <w:vAlign w:val="center"/>
            <w:hideMark/>
          </w:tcPr>
          <w:p w14:paraId="3A68A90D"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Los Changos 500-&gt;Cumbre 500</w:t>
            </w:r>
          </w:p>
        </w:tc>
        <w:tc>
          <w:tcPr>
            <w:tcW w:w="1134" w:type="dxa"/>
            <w:tcBorders>
              <w:top w:val="nil"/>
              <w:left w:val="nil"/>
              <w:bottom w:val="single" w:sz="4" w:space="0" w:color="auto"/>
              <w:right w:val="single" w:sz="4" w:space="0" w:color="auto"/>
            </w:tcBorders>
            <w:shd w:val="clear" w:color="auto" w:fill="auto"/>
            <w:noWrap/>
            <w:vAlign w:val="bottom"/>
          </w:tcPr>
          <w:p w14:paraId="5C2A1922"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P_514</w:t>
            </w:r>
          </w:p>
        </w:tc>
        <w:tc>
          <w:tcPr>
            <w:tcW w:w="3686" w:type="dxa"/>
            <w:tcBorders>
              <w:top w:val="nil"/>
              <w:left w:val="nil"/>
              <w:bottom w:val="single" w:sz="4" w:space="0" w:color="auto"/>
              <w:right w:val="single" w:sz="4" w:space="0" w:color="auto"/>
            </w:tcBorders>
            <w:shd w:val="clear" w:color="auto" w:fill="auto"/>
            <w:noWrap/>
            <w:vAlign w:val="bottom"/>
          </w:tcPr>
          <w:p w14:paraId="56131D25"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TEN</w:t>
            </w:r>
          </w:p>
        </w:tc>
        <w:tc>
          <w:tcPr>
            <w:tcW w:w="2268" w:type="dxa"/>
            <w:tcBorders>
              <w:top w:val="nil"/>
              <w:left w:val="nil"/>
              <w:bottom w:val="single" w:sz="4" w:space="0" w:color="auto"/>
              <w:right w:val="single" w:sz="4" w:space="0" w:color="auto"/>
            </w:tcBorders>
            <w:shd w:val="clear" w:color="auto" w:fill="auto"/>
            <w:noWrap/>
            <w:vAlign w:val="bottom"/>
          </w:tcPr>
          <w:p w14:paraId="3651EE95"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303.274.483,09</w:t>
            </w:r>
          </w:p>
        </w:tc>
      </w:tr>
      <w:tr w:rsidR="004864FF" w:rsidRPr="0069558B" w14:paraId="68ABCBEF"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61E572F7"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N_73</w:t>
            </w:r>
          </w:p>
        </w:tc>
        <w:tc>
          <w:tcPr>
            <w:tcW w:w="3969" w:type="dxa"/>
            <w:tcBorders>
              <w:top w:val="nil"/>
              <w:left w:val="nil"/>
              <w:bottom w:val="single" w:sz="4" w:space="0" w:color="auto"/>
              <w:right w:val="single" w:sz="4" w:space="0" w:color="auto"/>
            </w:tcBorders>
            <w:shd w:val="clear" w:color="auto" w:fill="auto"/>
            <w:vAlign w:val="center"/>
            <w:hideMark/>
          </w:tcPr>
          <w:p w14:paraId="3A7863D2"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Los Changos 500-&gt;Los Changos 220</w:t>
            </w:r>
          </w:p>
        </w:tc>
        <w:tc>
          <w:tcPr>
            <w:tcW w:w="1134" w:type="dxa"/>
            <w:tcBorders>
              <w:top w:val="nil"/>
              <w:left w:val="nil"/>
              <w:bottom w:val="single" w:sz="4" w:space="0" w:color="auto"/>
              <w:right w:val="single" w:sz="4" w:space="0" w:color="auto"/>
            </w:tcBorders>
            <w:shd w:val="clear" w:color="auto" w:fill="auto"/>
            <w:noWrap/>
            <w:vAlign w:val="bottom"/>
          </w:tcPr>
          <w:p w14:paraId="379A3B58"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P_514</w:t>
            </w:r>
          </w:p>
        </w:tc>
        <w:tc>
          <w:tcPr>
            <w:tcW w:w="3686" w:type="dxa"/>
            <w:tcBorders>
              <w:top w:val="nil"/>
              <w:left w:val="nil"/>
              <w:bottom w:val="single" w:sz="4" w:space="0" w:color="auto"/>
              <w:right w:val="single" w:sz="4" w:space="0" w:color="auto"/>
            </w:tcBorders>
            <w:shd w:val="clear" w:color="auto" w:fill="auto"/>
            <w:noWrap/>
            <w:vAlign w:val="bottom"/>
          </w:tcPr>
          <w:p w14:paraId="32E36075"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TEN</w:t>
            </w:r>
          </w:p>
        </w:tc>
        <w:tc>
          <w:tcPr>
            <w:tcW w:w="2268" w:type="dxa"/>
            <w:tcBorders>
              <w:top w:val="nil"/>
              <w:left w:val="nil"/>
              <w:bottom w:val="single" w:sz="4" w:space="0" w:color="auto"/>
              <w:right w:val="single" w:sz="4" w:space="0" w:color="auto"/>
            </w:tcBorders>
            <w:shd w:val="clear" w:color="auto" w:fill="auto"/>
            <w:noWrap/>
            <w:vAlign w:val="bottom"/>
          </w:tcPr>
          <w:p w14:paraId="57F838E7"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16.332.177,85</w:t>
            </w:r>
          </w:p>
        </w:tc>
      </w:tr>
      <w:tr w:rsidR="004864FF" w:rsidRPr="0069558B" w14:paraId="000FAA65"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21BB7DBF"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N_74</w:t>
            </w:r>
          </w:p>
        </w:tc>
        <w:tc>
          <w:tcPr>
            <w:tcW w:w="3969" w:type="dxa"/>
            <w:tcBorders>
              <w:top w:val="nil"/>
              <w:left w:val="nil"/>
              <w:bottom w:val="single" w:sz="4" w:space="0" w:color="auto"/>
              <w:right w:val="single" w:sz="4" w:space="0" w:color="auto"/>
            </w:tcBorders>
            <w:shd w:val="clear" w:color="auto" w:fill="auto"/>
            <w:vAlign w:val="center"/>
            <w:hideMark/>
          </w:tcPr>
          <w:p w14:paraId="30D3CDC6"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Los Maquis 220-&gt;Quilapilun 220</w:t>
            </w:r>
          </w:p>
        </w:tc>
        <w:tc>
          <w:tcPr>
            <w:tcW w:w="1134" w:type="dxa"/>
            <w:tcBorders>
              <w:top w:val="nil"/>
              <w:left w:val="nil"/>
              <w:bottom w:val="single" w:sz="4" w:space="0" w:color="auto"/>
              <w:right w:val="single" w:sz="4" w:space="0" w:color="auto"/>
            </w:tcBorders>
            <w:shd w:val="clear" w:color="auto" w:fill="auto"/>
            <w:noWrap/>
            <w:vAlign w:val="bottom"/>
          </w:tcPr>
          <w:p w14:paraId="4889E00C"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P_244</w:t>
            </w:r>
          </w:p>
        </w:tc>
        <w:tc>
          <w:tcPr>
            <w:tcW w:w="3686" w:type="dxa"/>
            <w:tcBorders>
              <w:top w:val="nil"/>
              <w:left w:val="nil"/>
              <w:bottom w:val="single" w:sz="4" w:space="0" w:color="auto"/>
              <w:right w:val="single" w:sz="4" w:space="0" w:color="auto"/>
            </w:tcBorders>
            <w:shd w:val="clear" w:color="auto" w:fill="auto"/>
            <w:noWrap/>
            <w:vAlign w:val="bottom"/>
          </w:tcPr>
          <w:p w14:paraId="6C651242"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Colbún Transmisión</w:t>
            </w:r>
          </w:p>
        </w:tc>
        <w:tc>
          <w:tcPr>
            <w:tcW w:w="2268" w:type="dxa"/>
            <w:tcBorders>
              <w:top w:val="nil"/>
              <w:left w:val="nil"/>
              <w:bottom w:val="single" w:sz="4" w:space="0" w:color="auto"/>
              <w:right w:val="single" w:sz="4" w:space="0" w:color="auto"/>
            </w:tcBorders>
            <w:shd w:val="clear" w:color="auto" w:fill="auto"/>
            <w:noWrap/>
            <w:vAlign w:val="bottom"/>
          </w:tcPr>
          <w:p w14:paraId="7C7A6F60"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15.393.451,84</w:t>
            </w:r>
          </w:p>
        </w:tc>
      </w:tr>
      <w:tr w:rsidR="004864FF" w:rsidRPr="0069558B" w14:paraId="19B23FEA"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7408832F"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N_75</w:t>
            </w:r>
          </w:p>
        </w:tc>
        <w:tc>
          <w:tcPr>
            <w:tcW w:w="3969" w:type="dxa"/>
            <w:tcBorders>
              <w:top w:val="nil"/>
              <w:left w:val="nil"/>
              <w:bottom w:val="single" w:sz="4" w:space="0" w:color="auto"/>
              <w:right w:val="single" w:sz="4" w:space="0" w:color="auto"/>
            </w:tcBorders>
            <w:shd w:val="clear" w:color="auto" w:fill="auto"/>
            <w:vAlign w:val="center"/>
            <w:hideMark/>
          </w:tcPr>
          <w:p w14:paraId="059D9F82"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Los Vilos 220-&gt;Las Palmas 220</w:t>
            </w:r>
          </w:p>
        </w:tc>
        <w:tc>
          <w:tcPr>
            <w:tcW w:w="1134" w:type="dxa"/>
            <w:tcBorders>
              <w:top w:val="nil"/>
              <w:left w:val="nil"/>
              <w:bottom w:val="single" w:sz="4" w:space="0" w:color="auto"/>
              <w:right w:val="single" w:sz="4" w:space="0" w:color="auto"/>
            </w:tcBorders>
            <w:shd w:val="clear" w:color="auto" w:fill="auto"/>
            <w:noWrap/>
            <w:vAlign w:val="bottom"/>
          </w:tcPr>
          <w:p w14:paraId="0AFD01E4"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P_032</w:t>
            </w:r>
          </w:p>
        </w:tc>
        <w:tc>
          <w:tcPr>
            <w:tcW w:w="3686" w:type="dxa"/>
            <w:tcBorders>
              <w:top w:val="nil"/>
              <w:left w:val="nil"/>
              <w:bottom w:val="single" w:sz="4" w:space="0" w:color="auto"/>
              <w:right w:val="single" w:sz="4" w:space="0" w:color="auto"/>
            </w:tcBorders>
            <w:shd w:val="clear" w:color="auto" w:fill="auto"/>
            <w:noWrap/>
            <w:vAlign w:val="bottom"/>
          </w:tcPr>
          <w:p w14:paraId="273E3C21"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TRANSELEC S.A.</w:t>
            </w:r>
          </w:p>
        </w:tc>
        <w:tc>
          <w:tcPr>
            <w:tcW w:w="2268" w:type="dxa"/>
            <w:tcBorders>
              <w:top w:val="nil"/>
              <w:left w:val="nil"/>
              <w:bottom w:val="single" w:sz="4" w:space="0" w:color="auto"/>
              <w:right w:val="single" w:sz="4" w:space="0" w:color="auto"/>
            </w:tcBorders>
            <w:shd w:val="clear" w:color="auto" w:fill="auto"/>
            <w:noWrap/>
            <w:vAlign w:val="bottom"/>
          </w:tcPr>
          <w:p w14:paraId="19958F96"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17.929.355,64</w:t>
            </w:r>
          </w:p>
        </w:tc>
      </w:tr>
      <w:tr w:rsidR="004864FF" w:rsidRPr="0069558B" w14:paraId="3A53C041"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664AC65A"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N_76</w:t>
            </w:r>
          </w:p>
        </w:tc>
        <w:tc>
          <w:tcPr>
            <w:tcW w:w="3969" w:type="dxa"/>
            <w:tcBorders>
              <w:top w:val="nil"/>
              <w:left w:val="nil"/>
              <w:bottom w:val="single" w:sz="4" w:space="0" w:color="auto"/>
              <w:right w:val="single" w:sz="4" w:space="0" w:color="auto"/>
            </w:tcBorders>
            <w:shd w:val="clear" w:color="auto" w:fill="auto"/>
            <w:vAlign w:val="center"/>
            <w:hideMark/>
          </w:tcPr>
          <w:p w14:paraId="5DA85C6F"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Los Vilos 220-&gt;Nogales 220</w:t>
            </w:r>
          </w:p>
        </w:tc>
        <w:tc>
          <w:tcPr>
            <w:tcW w:w="1134" w:type="dxa"/>
            <w:tcBorders>
              <w:top w:val="nil"/>
              <w:left w:val="nil"/>
              <w:bottom w:val="single" w:sz="4" w:space="0" w:color="auto"/>
              <w:right w:val="single" w:sz="4" w:space="0" w:color="auto"/>
            </w:tcBorders>
            <w:shd w:val="clear" w:color="auto" w:fill="auto"/>
            <w:noWrap/>
            <w:vAlign w:val="bottom"/>
          </w:tcPr>
          <w:p w14:paraId="1EEF0430"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P_032</w:t>
            </w:r>
          </w:p>
        </w:tc>
        <w:tc>
          <w:tcPr>
            <w:tcW w:w="3686" w:type="dxa"/>
            <w:tcBorders>
              <w:top w:val="nil"/>
              <w:left w:val="nil"/>
              <w:bottom w:val="single" w:sz="4" w:space="0" w:color="auto"/>
              <w:right w:val="single" w:sz="4" w:space="0" w:color="auto"/>
            </w:tcBorders>
            <w:shd w:val="clear" w:color="auto" w:fill="auto"/>
            <w:noWrap/>
            <w:vAlign w:val="bottom"/>
          </w:tcPr>
          <w:p w14:paraId="52807490"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TRANSELEC S.A.</w:t>
            </w:r>
          </w:p>
        </w:tc>
        <w:tc>
          <w:tcPr>
            <w:tcW w:w="2268" w:type="dxa"/>
            <w:tcBorders>
              <w:top w:val="nil"/>
              <w:left w:val="nil"/>
              <w:bottom w:val="single" w:sz="4" w:space="0" w:color="auto"/>
              <w:right w:val="single" w:sz="4" w:space="0" w:color="auto"/>
            </w:tcBorders>
            <w:shd w:val="clear" w:color="auto" w:fill="auto"/>
            <w:noWrap/>
            <w:vAlign w:val="bottom"/>
          </w:tcPr>
          <w:p w14:paraId="25048AF6"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12.535.662,91</w:t>
            </w:r>
          </w:p>
        </w:tc>
      </w:tr>
      <w:tr w:rsidR="004864FF" w:rsidRPr="0069558B" w14:paraId="79095AFC"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3A0362FE"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N_77</w:t>
            </w:r>
          </w:p>
        </w:tc>
        <w:tc>
          <w:tcPr>
            <w:tcW w:w="3969" w:type="dxa"/>
            <w:tcBorders>
              <w:top w:val="nil"/>
              <w:left w:val="nil"/>
              <w:bottom w:val="single" w:sz="4" w:space="0" w:color="auto"/>
              <w:right w:val="single" w:sz="4" w:space="0" w:color="auto"/>
            </w:tcBorders>
            <w:shd w:val="clear" w:color="auto" w:fill="auto"/>
            <w:vAlign w:val="center"/>
            <w:hideMark/>
          </w:tcPr>
          <w:p w14:paraId="2EF97AE6"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Los Vilos 220-&gt;Tap Doña Carmen 220</w:t>
            </w:r>
          </w:p>
        </w:tc>
        <w:tc>
          <w:tcPr>
            <w:tcW w:w="1134" w:type="dxa"/>
            <w:tcBorders>
              <w:top w:val="nil"/>
              <w:left w:val="nil"/>
              <w:bottom w:val="single" w:sz="4" w:space="0" w:color="auto"/>
              <w:right w:val="single" w:sz="4" w:space="0" w:color="auto"/>
            </w:tcBorders>
            <w:shd w:val="clear" w:color="auto" w:fill="auto"/>
            <w:noWrap/>
            <w:vAlign w:val="bottom"/>
          </w:tcPr>
          <w:p w14:paraId="33EC8E1D"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P_032</w:t>
            </w:r>
          </w:p>
        </w:tc>
        <w:tc>
          <w:tcPr>
            <w:tcW w:w="3686" w:type="dxa"/>
            <w:tcBorders>
              <w:top w:val="nil"/>
              <w:left w:val="nil"/>
              <w:bottom w:val="single" w:sz="4" w:space="0" w:color="auto"/>
              <w:right w:val="single" w:sz="4" w:space="0" w:color="auto"/>
            </w:tcBorders>
            <w:shd w:val="clear" w:color="auto" w:fill="auto"/>
            <w:noWrap/>
            <w:vAlign w:val="bottom"/>
          </w:tcPr>
          <w:p w14:paraId="1514D018"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TRANSELEC S.A.</w:t>
            </w:r>
          </w:p>
        </w:tc>
        <w:tc>
          <w:tcPr>
            <w:tcW w:w="2268" w:type="dxa"/>
            <w:tcBorders>
              <w:top w:val="nil"/>
              <w:left w:val="nil"/>
              <w:bottom w:val="single" w:sz="4" w:space="0" w:color="auto"/>
              <w:right w:val="single" w:sz="4" w:space="0" w:color="auto"/>
            </w:tcBorders>
            <w:shd w:val="clear" w:color="auto" w:fill="auto"/>
            <w:noWrap/>
            <w:vAlign w:val="bottom"/>
          </w:tcPr>
          <w:p w14:paraId="5A7FEF3A"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8.293.811,86</w:t>
            </w:r>
          </w:p>
        </w:tc>
      </w:tr>
      <w:tr w:rsidR="004864FF" w:rsidRPr="0069558B" w14:paraId="59DB658C"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76F46A5B"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N_78</w:t>
            </w:r>
          </w:p>
        </w:tc>
        <w:tc>
          <w:tcPr>
            <w:tcW w:w="3969" w:type="dxa"/>
            <w:tcBorders>
              <w:top w:val="nil"/>
              <w:left w:val="nil"/>
              <w:bottom w:val="single" w:sz="4" w:space="0" w:color="auto"/>
              <w:right w:val="single" w:sz="4" w:space="0" w:color="auto"/>
            </w:tcBorders>
            <w:shd w:val="clear" w:color="auto" w:fill="auto"/>
            <w:vAlign w:val="center"/>
            <w:hideMark/>
          </w:tcPr>
          <w:p w14:paraId="19A12C28"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Maitencillo 220-&gt;Algarrobal 220</w:t>
            </w:r>
          </w:p>
        </w:tc>
        <w:tc>
          <w:tcPr>
            <w:tcW w:w="1134" w:type="dxa"/>
            <w:tcBorders>
              <w:top w:val="nil"/>
              <w:left w:val="nil"/>
              <w:bottom w:val="single" w:sz="4" w:space="0" w:color="auto"/>
              <w:right w:val="single" w:sz="4" w:space="0" w:color="auto"/>
            </w:tcBorders>
            <w:shd w:val="clear" w:color="auto" w:fill="auto"/>
            <w:noWrap/>
            <w:vAlign w:val="bottom"/>
          </w:tcPr>
          <w:p w14:paraId="5727C130"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P_032</w:t>
            </w:r>
          </w:p>
        </w:tc>
        <w:tc>
          <w:tcPr>
            <w:tcW w:w="3686" w:type="dxa"/>
            <w:tcBorders>
              <w:top w:val="nil"/>
              <w:left w:val="nil"/>
              <w:bottom w:val="single" w:sz="4" w:space="0" w:color="auto"/>
              <w:right w:val="single" w:sz="4" w:space="0" w:color="auto"/>
            </w:tcBorders>
            <w:shd w:val="clear" w:color="auto" w:fill="auto"/>
            <w:noWrap/>
            <w:vAlign w:val="bottom"/>
          </w:tcPr>
          <w:p w14:paraId="2B2B334B"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TRANSELEC S.A.</w:t>
            </w:r>
          </w:p>
        </w:tc>
        <w:tc>
          <w:tcPr>
            <w:tcW w:w="2268" w:type="dxa"/>
            <w:tcBorders>
              <w:top w:val="nil"/>
              <w:left w:val="nil"/>
              <w:bottom w:val="single" w:sz="4" w:space="0" w:color="auto"/>
              <w:right w:val="single" w:sz="4" w:space="0" w:color="auto"/>
            </w:tcBorders>
            <w:shd w:val="clear" w:color="auto" w:fill="auto"/>
            <w:noWrap/>
            <w:vAlign w:val="bottom"/>
          </w:tcPr>
          <w:p w14:paraId="335B8A74"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23.647.369,94</w:t>
            </w:r>
          </w:p>
        </w:tc>
      </w:tr>
      <w:tr w:rsidR="004864FF" w:rsidRPr="0069558B" w14:paraId="1531F55C"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50D38ACB"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N_79</w:t>
            </w:r>
          </w:p>
        </w:tc>
        <w:tc>
          <w:tcPr>
            <w:tcW w:w="3969" w:type="dxa"/>
            <w:tcBorders>
              <w:top w:val="nil"/>
              <w:left w:val="nil"/>
              <w:bottom w:val="single" w:sz="4" w:space="0" w:color="auto"/>
              <w:right w:val="single" w:sz="4" w:space="0" w:color="auto"/>
            </w:tcBorders>
            <w:shd w:val="clear" w:color="auto" w:fill="auto"/>
            <w:vAlign w:val="center"/>
            <w:hideMark/>
          </w:tcPr>
          <w:p w14:paraId="5E806CE7"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Maitencillo 220-&gt;Don Héctor 220</w:t>
            </w:r>
          </w:p>
        </w:tc>
        <w:tc>
          <w:tcPr>
            <w:tcW w:w="1134" w:type="dxa"/>
            <w:tcBorders>
              <w:top w:val="nil"/>
              <w:left w:val="nil"/>
              <w:bottom w:val="single" w:sz="4" w:space="0" w:color="auto"/>
              <w:right w:val="single" w:sz="4" w:space="0" w:color="auto"/>
            </w:tcBorders>
            <w:shd w:val="clear" w:color="auto" w:fill="auto"/>
            <w:noWrap/>
            <w:vAlign w:val="bottom"/>
          </w:tcPr>
          <w:p w14:paraId="7FDECDFA"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P_032</w:t>
            </w:r>
          </w:p>
        </w:tc>
        <w:tc>
          <w:tcPr>
            <w:tcW w:w="3686" w:type="dxa"/>
            <w:tcBorders>
              <w:top w:val="nil"/>
              <w:left w:val="nil"/>
              <w:bottom w:val="single" w:sz="4" w:space="0" w:color="auto"/>
              <w:right w:val="single" w:sz="4" w:space="0" w:color="auto"/>
            </w:tcBorders>
            <w:shd w:val="clear" w:color="auto" w:fill="auto"/>
            <w:noWrap/>
            <w:vAlign w:val="bottom"/>
          </w:tcPr>
          <w:p w14:paraId="2190FDE3"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TRANSELEC S.A.</w:t>
            </w:r>
          </w:p>
        </w:tc>
        <w:tc>
          <w:tcPr>
            <w:tcW w:w="2268" w:type="dxa"/>
            <w:tcBorders>
              <w:top w:val="nil"/>
              <w:left w:val="nil"/>
              <w:bottom w:val="single" w:sz="4" w:space="0" w:color="auto"/>
              <w:right w:val="single" w:sz="4" w:space="0" w:color="auto"/>
            </w:tcBorders>
            <w:shd w:val="clear" w:color="auto" w:fill="auto"/>
            <w:noWrap/>
            <w:vAlign w:val="bottom"/>
          </w:tcPr>
          <w:p w14:paraId="5268AFED"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8.031.066,59</w:t>
            </w:r>
          </w:p>
        </w:tc>
      </w:tr>
      <w:tr w:rsidR="004864FF" w:rsidRPr="0069558B" w14:paraId="1BEED8CC"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389E913B"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N_80</w:t>
            </w:r>
          </w:p>
        </w:tc>
        <w:tc>
          <w:tcPr>
            <w:tcW w:w="3969" w:type="dxa"/>
            <w:tcBorders>
              <w:top w:val="nil"/>
              <w:left w:val="nil"/>
              <w:bottom w:val="single" w:sz="4" w:space="0" w:color="auto"/>
              <w:right w:val="single" w:sz="4" w:space="0" w:color="auto"/>
            </w:tcBorders>
            <w:shd w:val="clear" w:color="auto" w:fill="auto"/>
            <w:vAlign w:val="center"/>
            <w:hideMark/>
          </w:tcPr>
          <w:p w14:paraId="363650DD"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Maitencillo 220-&gt;Tap El Romero 220</w:t>
            </w:r>
          </w:p>
        </w:tc>
        <w:tc>
          <w:tcPr>
            <w:tcW w:w="1134" w:type="dxa"/>
            <w:tcBorders>
              <w:top w:val="nil"/>
              <w:left w:val="nil"/>
              <w:bottom w:val="single" w:sz="4" w:space="0" w:color="auto"/>
              <w:right w:val="single" w:sz="4" w:space="0" w:color="auto"/>
            </w:tcBorders>
            <w:shd w:val="clear" w:color="auto" w:fill="auto"/>
            <w:noWrap/>
            <w:vAlign w:val="bottom"/>
          </w:tcPr>
          <w:p w14:paraId="5CC8EC40"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P_032</w:t>
            </w:r>
          </w:p>
        </w:tc>
        <w:tc>
          <w:tcPr>
            <w:tcW w:w="3686" w:type="dxa"/>
            <w:tcBorders>
              <w:top w:val="nil"/>
              <w:left w:val="nil"/>
              <w:bottom w:val="single" w:sz="4" w:space="0" w:color="auto"/>
              <w:right w:val="single" w:sz="4" w:space="0" w:color="auto"/>
            </w:tcBorders>
            <w:shd w:val="clear" w:color="auto" w:fill="auto"/>
            <w:noWrap/>
            <w:vAlign w:val="bottom"/>
          </w:tcPr>
          <w:p w14:paraId="231C3568"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TRANSELEC S.A.</w:t>
            </w:r>
          </w:p>
        </w:tc>
        <w:tc>
          <w:tcPr>
            <w:tcW w:w="2268" w:type="dxa"/>
            <w:tcBorders>
              <w:top w:val="nil"/>
              <w:left w:val="nil"/>
              <w:bottom w:val="single" w:sz="4" w:space="0" w:color="auto"/>
              <w:right w:val="single" w:sz="4" w:space="0" w:color="auto"/>
            </w:tcBorders>
            <w:shd w:val="clear" w:color="auto" w:fill="auto"/>
            <w:noWrap/>
            <w:vAlign w:val="bottom"/>
          </w:tcPr>
          <w:p w14:paraId="0C39AEAD"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7.140.131,82</w:t>
            </w:r>
          </w:p>
        </w:tc>
      </w:tr>
      <w:tr w:rsidR="004864FF" w:rsidRPr="0069558B" w14:paraId="4F152B73" w14:textId="77777777" w:rsidTr="006B5A62">
        <w:trPr>
          <w:jc w:val="center"/>
        </w:trPr>
        <w:tc>
          <w:tcPr>
            <w:tcW w:w="1985"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34FFDB8F"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N_81</w:t>
            </w:r>
          </w:p>
        </w:tc>
        <w:tc>
          <w:tcPr>
            <w:tcW w:w="3969" w:type="dxa"/>
            <w:vMerge w:val="restart"/>
            <w:tcBorders>
              <w:top w:val="nil"/>
              <w:left w:val="single" w:sz="4" w:space="0" w:color="auto"/>
              <w:bottom w:val="single" w:sz="4" w:space="0" w:color="000000"/>
              <w:right w:val="single" w:sz="4" w:space="0" w:color="auto"/>
            </w:tcBorders>
            <w:shd w:val="clear" w:color="auto" w:fill="auto"/>
            <w:vAlign w:val="center"/>
            <w:hideMark/>
          </w:tcPr>
          <w:p w14:paraId="5696C16F"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María Elena 220-&gt;Kimal 220</w:t>
            </w:r>
          </w:p>
        </w:tc>
        <w:tc>
          <w:tcPr>
            <w:tcW w:w="1134" w:type="dxa"/>
            <w:tcBorders>
              <w:top w:val="nil"/>
              <w:left w:val="nil"/>
              <w:bottom w:val="single" w:sz="4" w:space="0" w:color="auto"/>
              <w:right w:val="single" w:sz="4" w:space="0" w:color="auto"/>
            </w:tcBorders>
            <w:shd w:val="clear" w:color="auto" w:fill="auto"/>
            <w:noWrap/>
            <w:vAlign w:val="bottom"/>
          </w:tcPr>
          <w:p w14:paraId="708799E9"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P_032</w:t>
            </w:r>
          </w:p>
        </w:tc>
        <w:tc>
          <w:tcPr>
            <w:tcW w:w="3686" w:type="dxa"/>
            <w:tcBorders>
              <w:top w:val="nil"/>
              <w:left w:val="nil"/>
              <w:bottom w:val="single" w:sz="4" w:space="0" w:color="auto"/>
              <w:right w:val="single" w:sz="4" w:space="0" w:color="auto"/>
            </w:tcBorders>
            <w:shd w:val="clear" w:color="auto" w:fill="auto"/>
            <w:noWrap/>
            <w:vAlign w:val="bottom"/>
          </w:tcPr>
          <w:p w14:paraId="1D2870A4"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TRANSELEC S.A.</w:t>
            </w:r>
          </w:p>
        </w:tc>
        <w:tc>
          <w:tcPr>
            <w:tcW w:w="2268" w:type="dxa"/>
            <w:tcBorders>
              <w:top w:val="nil"/>
              <w:left w:val="nil"/>
              <w:bottom w:val="single" w:sz="4" w:space="0" w:color="auto"/>
              <w:right w:val="single" w:sz="4" w:space="0" w:color="auto"/>
            </w:tcBorders>
            <w:shd w:val="clear" w:color="auto" w:fill="auto"/>
            <w:noWrap/>
            <w:vAlign w:val="bottom"/>
          </w:tcPr>
          <w:p w14:paraId="3375F3C2"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2.141.860,23</w:t>
            </w:r>
          </w:p>
        </w:tc>
      </w:tr>
      <w:tr w:rsidR="004864FF" w:rsidRPr="0069558B" w14:paraId="58290AF0" w14:textId="77777777" w:rsidTr="006B5A62">
        <w:trPr>
          <w:jc w:val="center"/>
        </w:trPr>
        <w:tc>
          <w:tcPr>
            <w:tcW w:w="1985" w:type="dxa"/>
            <w:vMerge/>
            <w:tcBorders>
              <w:top w:val="nil"/>
              <w:left w:val="single" w:sz="4" w:space="0" w:color="auto"/>
              <w:bottom w:val="single" w:sz="4" w:space="0" w:color="000000"/>
              <w:right w:val="single" w:sz="4" w:space="0" w:color="auto"/>
            </w:tcBorders>
            <w:vAlign w:val="center"/>
            <w:hideMark/>
          </w:tcPr>
          <w:p w14:paraId="7A30A9AC" w14:textId="77777777" w:rsidR="004864FF" w:rsidRPr="0069558B" w:rsidRDefault="004864FF" w:rsidP="006B5A62">
            <w:pPr>
              <w:spacing w:before="20" w:after="20" w:line="240" w:lineRule="auto"/>
              <w:jc w:val="left"/>
              <w:rPr>
                <w:rFonts w:eastAsia="Times New Roman" w:cs="Calibri"/>
                <w:color w:val="000000"/>
                <w:sz w:val="20"/>
                <w:szCs w:val="20"/>
                <w:lang w:eastAsia="es-CL"/>
              </w:rPr>
            </w:pPr>
          </w:p>
        </w:tc>
        <w:tc>
          <w:tcPr>
            <w:tcW w:w="3969" w:type="dxa"/>
            <w:vMerge/>
            <w:tcBorders>
              <w:top w:val="nil"/>
              <w:left w:val="single" w:sz="4" w:space="0" w:color="auto"/>
              <w:bottom w:val="single" w:sz="4" w:space="0" w:color="000000"/>
              <w:right w:val="single" w:sz="4" w:space="0" w:color="auto"/>
            </w:tcBorders>
            <w:vAlign w:val="center"/>
            <w:hideMark/>
          </w:tcPr>
          <w:p w14:paraId="37EA35F4" w14:textId="77777777" w:rsidR="004864FF" w:rsidRPr="0069558B" w:rsidRDefault="004864FF" w:rsidP="006B5A62">
            <w:pPr>
              <w:spacing w:before="20" w:after="20" w:line="240" w:lineRule="auto"/>
              <w:jc w:val="left"/>
              <w:rPr>
                <w:rFonts w:eastAsia="Times New Roman" w:cs="Calibri"/>
                <w:color w:val="000000"/>
                <w:sz w:val="20"/>
                <w:szCs w:val="20"/>
                <w:lang w:eastAsia="es-CL"/>
              </w:rPr>
            </w:pPr>
          </w:p>
        </w:tc>
        <w:tc>
          <w:tcPr>
            <w:tcW w:w="1134" w:type="dxa"/>
            <w:tcBorders>
              <w:top w:val="nil"/>
              <w:left w:val="nil"/>
              <w:bottom w:val="single" w:sz="4" w:space="0" w:color="auto"/>
              <w:right w:val="single" w:sz="4" w:space="0" w:color="auto"/>
            </w:tcBorders>
            <w:shd w:val="clear" w:color="auto" w:fill="auto"/>
            <w:noWrap/>
            <w:vAlign w:val="bottom"/>
          </w:tcPr>
          <w:p w14:paraId="2F249EE5"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P_480</w:t>
            </w:r>
          </w:p>
        </w:tc>
        <w:tc>
          <w:tcPr>
            <w:tcW w:w="3686" w:type="dxa"/>
            <w:tcBorders>
              <w:top w:val="nil"/>
              <w:left w:val="nil"/>
              <w:bottom w:val="single" w:sz="4" w:space="0" w:color="auto"/>
              <w:right w:val="single" w:sz="4" w:space="0" w:color="auto"/>
            </w:tcBorders>
            <w:shd w:val="clear" w:color="auto" w:fill="auto"/>
            <w:noWrap/>
            <w:vAlign w:val="bottom"/>
          </w:tcPr>
          <w:p w14:paraId="2AF07515"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SATT</w:t>
            </w:r>
          </w:p>
        </w:tc>
        <w:tc>
          <w:tcPr>
            <w:tcW w:w="2268" w:type="dxa"/>
            <w:tcBorders>
              <w:top w:val="nil"/>
              <w:left w:val="nil"/>
              <w:bottom w:val="single" w:sz="4" w:space="0" w:color="auto"/>
              <w:right w:val="single" w:sz="4" w:space="0" w:color="auto"/>
            </w:tcBorders>
            <w:shd w:val="clear" w:color="auto" w:fill="auto"/>
            <w:noWrap/>
            <w:vAlign w:val="bottom"/>
          </w:tcPr>
          <w:p w14:paraId="65C881D1"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738.613,05</w:t>
            </w:r>
          </w:p>
        </w:tc>
      </w:tr>
      <w:tr w:rsidR="004864FF" w:rsidRPr="0069558B" w14:paraId="4E21E7DD" w14:textId="77777777" w:rsidTr="006B5A62">
        <w:trPr>
          <w:jc w:val="center"/>
        </w:trPr>
        <w:tc>
          <w:tcPr>
            <w:tcW w:w="1985"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39957520"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N_82</w:t>
            </w:r>
          </w:p>
        </w:tc>
        <w:tc>
          <w:tcPr>
            <w:tcW w:w="3969" w:type="dxa"/>
            <w:vMerge w:val="restart"/>
            <w:tcBorders>
              <w:top w:val="nil"/>
              <w:left w:val="single" w:sz="4" w:space="0" w:color="auto"/>
              <w:bottom w:val="single" w:sz="4" w:space="0" w:color="000000"/>
              <w:right w:val="single" w:sz="4" w:space="0" w:color="auto"/>
            </w:tcBorders>
            <w:shd w:val="clear" w:color="auto" w:fill="auto"/>
            <w:vAlign w:val="center"/>
            <w:hideMark/>
          </w:tcPr>
          <w:p w14:paraId="35BB2198"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María Elena 220-&gt;Quillagua 220</w:t>
            </w:r>
          </w:p>
        </w:tc>
        <w:tc>
          <w:tcPr>
            <w:tcW w:w="1134" w:type="dxa"/>
            <w:tcBorders>
              <w:top w:val="nil"/>
              <w:left w:val="nil"/>
              <w:bottom w:val="single" w:sz="4" w:space="0" w:color="auto"/>
              <w:right w:val="single" w:sz="4" w:space="0" w:color="auto"/>
            </w:tcBorders>
            <w:shd w:val="clear" w:color="auto" w:fill="auto"/>
            <w:noWrap/>
            <w:vAlign w:val="bottom"/>
          </w:tcPr>
          <w:p w14:paraId="67049D4E"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P_032</w:t>
            </w:r>
          </w:p>
        </w:tc>
        <w:tc>
          <w:tcPr>
            <w:tcW w:w="3686" w:type="dxa"/>
            <w:tcBorders>
              <w:top w:val="nil"/>
              <w:left w:val="nil"/>
              <w:bottom w:val="single" w:sz="4" w:space="0" w:color="auto"/>
              <w:right w:val="single" w:sz="4" w:space="0" w:color="auto"/>
            </w:tcBorders>
            <w:shd w:val="clear" w:color="auto" w:fill="auto"/>
            <w:noWrap/>
            <w:vAlign w:val="bottom"/>
          </w:tcPr>
          <w:p w14:paraId="3713B86A"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TRANSELEC S.A.</w:t>
            </w:r>
          </w:p>
        </w:tc>
        <w:tc>
          <w:tcPr>
            <w:tcW w:w="2268" w:type="dxa"/>
            <w:tcBorders>
              <w:top w:val="nil"/>
              <w:left w:val="nil"/>
              <w:bottom w:val="single" w:sz="4" w:space="0" w:color="auto"/>
              <w:right w:val="single" w:sz="4" w:space="0" w:color="auto"/>
            </w:tcBorders>
            <w:shd w:val="clear" w:color="auto" w:fill="auto"/>
            <w:noWrap/>
            <w:vAlign w:val="bottom"/>
          </w:tcPr>
          <w:p w14:paraId="0A9696C0"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14.088.841,55</w:t>
            </w:r>
          </w:p>
        </w:tc>
      </w:tr>
      <w:tr w:rsidR="004864FF" w:rsidRPr="0069558B" w14:paraId="7F876D3E" w14:textId="77777777" w:rsidTr="006B5A62">
        <w:trPr>
          <w:jc w:val="center"/>
        </w:trPr>
        <w:tc>
          <w:tcPr>
            <w:tcW w:w="1985" w:type="dxa"/>
            <w:vMerge/>
            <w:tcBorders>
              <w:top w:val="nil"/>
              <w:left w:val="single" w:sz="4" w:space="0" w:color="auto"/>
              <w:bottom w:val="single" w:sz="4" w:space="0" w:color="000000"/>
              <w:right w:val="single" w:sz="4" w:space="0" w:color="auto"/>
            </w:tcBorders>
            <w:vAlign w:val="center"/>
            <w:hideMark/>
          </w:tcPr>
          <w:p w14:paraId="05C8F842" w14:textId="77777777" w:rsidR="004864FF" w:rsidRPr="0069558B" w:rsidRDefault="004864FF" w:rsidP="006B5A62">
            <w:pPr>
              <w:spacing w:before="20" w:after="20" w:line="240" w:lineRule="auto"/>
              <w:jc w:val="left"/>
              <w:rPr>
                <w:rFonts w:eastAsia="Times New Roman" w:cs="Calibri"/>
                <w:color w:val="000000"/>
                <w:sz w:val="20"/>
                <w:szCs w:val="20"/>
                <w:lang w:eastAsia="es-CL"/>
              </w:rPr>
            </w:pPr>
          </w:p>
        </w:tc>
        <w:tc>
          <w:tcPr>
            <w:tcW w:w="3969" w:type="dxa"/>
            <w:vMerge/>
            <w:tcBorders>
              <w:top w:val="nil"/>
              <w:left w:val="single" w:sz="4" w:space="0" w:color="auto"/>
              <w:bottom w:val="single" w:sz="4" w:space="0" w:color="000000"/>
              <w:right w:val="single" w:sz="4" w:space="0" w:color="auto"/>
            </w:tcBorders>
            <w:vAlign w:val="center"/>
            <w:hideMark/>
          </w:tcPr>
          <w:p w14:paraId="09E8AFD5" w14:textId="77777777" w:rsidR="004864FF" w:rsidRPr="0069558B" w:rsidRDefault="004864FF" w:rsidP="006B5A62">
            <w:pPr>
              <w:spacing w:before="20" w:after="20" w:line="240" w:lineRule="auto"/>
              <w:jc w:val="left"/>
              <w:rPr>
                <w:rFonts w:eastAsia="Times New Roman" w:cs="Calibri"/>
                <w:color w:val="000000"/>
                <w:sz w:val="20"/>
                <w:szCs w:val="20"/>
                <w:lang w:eastAsia="es-CL"/>
              </w:rPr>
            </w:pPr>
          </w:p>
        </w:tc>
        <w:tc>
          <w:tcPr>
            <w:tcW w:w="1134" w:type="dxa"/>
            <w:tcBorders>
              <w:top w:val="nil"/>
              <w:left w:val="nil"/>
              <w:bottom w:val="single" w:sz="4" w:space="0" w:color="auto"/>
              <w:right w:val="single" w:sz="4" w:space="0" w:color="auto"/>
            </w:tcBorders>
            <w:shd w:val="clear" w:color="auto" w:fill="auto"/>
            <w:noWrap/>
            <w:vAlign w:val="bottom"/>
          </w:tcPr>
          <w:p w14:paraId="3EAE262B"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P_123</w:t>
            </w:r>
          </w:p>
        </w:tc>
        <w:tc>
          <w:tcPr>
            <w:tcW w:w="3686" w:type="dxa"/>
            <w:tcBorders>
              <w:top w:val="nil"/>
              <w:left w:val="nil"/>
              <w:bottom w:val="single" w:sz="4" w:space="0" w:color="auto"/>
              <w:right w:val="single" w:sz="4" w:space="0" w:color="auto"/>
            </w:tcBorders>
            <w:shd w:val="clear" w:color="auto" w:fill="auto"/>
            <w:noWrap/>
            <w:vAlign w:val="bottom"/>
          </w:tcPr>
          <w:p w14:paraId="39FB0468"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FRONTEL</w:t>
            </w:r>
          </w:p>
        </w:tc>
        <w:tc>
          <w:tcPr>
            <w:tcW w:w="2268" w:type="dxa"/>
            <w:tcBorders>
              <w:top w:val="nil"/>
              <w:left w:val="nil"/>
              <w:bottom w:val="single" w:sz="4" w:space="0" w:color="auto"/>
              <w:right w:val="single" w:sz="4" w:space="0" w:color="auto"/>
            </w:tcBorders>
            <w:shd w:val="clear" w:color="auto" w:fill="auto"/>
            <w:noWrap/>
            <w:vAlign w:val="bottom"/>
          </w:tcPr>
          <w:p w14:paraId="6DE4D9E1"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4.959,60</w:t>
            </w:r>
          </w:p>
        </w:tc>
      </w:tr>
      <w:tr w:rsidR="004864FF" w:rsidRPr="0069558B" w14:paraId="2F1FF1D1" w14:textId="77777777" w:rsidTr="006B5A62">
        <w:trPr>
          <w:jc w:val="center"/>
        </w:trPr>
        <w:tc>
          <w:tcPr>
            <w:tcW w:w="1985" w:type="dxa"/>
            <w:vMerge/>
            <w:tcBorders>
              <w:top w:val="nil"/>
              <w:left w:val="single" w:sz="4" w:space="0" w:color="auto"/>
              <w:bottom w:val="single" w:sz="4" w:space="0" w:color="000000"/>
              <w:right w:val="single" w:sz="4" w:space="0" w:color="auto"/>
            </w:tcBorders>
            <w:vAlign w:val="center"/>
            <w:hideMark/>
          </w:tcPr>
          <w:p w14:paraId="0976E1EE" w14:textId="77777777" w:rsidR="004864FF" w:rsidRPr="0069558B" w:rsidRDefault="004864FF" w:rsidP="006B5A62">
            <w:pPr>
              <w:spacing w:before="20" w:after="20" w:line="240" w:lineRule="auto"/>
              <w:jc w:val="left"/>
              <w:rPr>
                <w:rFonts w:eastAsia="Times New Roman" w:cs="Calibri"/>
                <w:color w:val="000000"/>
                <w:sz w:val="20"/>
                <w:szCs w:val="20"/>
                <w:lang w:eastAsia="es-CL"/>
              </w:rPr>
            </w:pPr>
          </w:p>
        </w:tc>
        <w:tc>
          <w:tcPr>
            <w:tcW w:w="3969" w:type="dxa"/>
            <w:vMerge/>
            <w:tcBorders>
              <w:top w:val="nil"/>
              <w:left w:val="single" w:sz="4" w:space="0" w:color="auto"/>
              <w:bottom w:val="single" w:sz="4" w:space="0" w:color="000000"/>
              <w:right w:val="single" w:sz="4" w:space="0" w:color="auto"/>
            </w:tcBorders>
            <w:vAlign w:val="center"/>
            <w:hideMark/>
          </w:tcPr>
          <w:p w14:paraId="30C62B6C" w14:textId="77777777" w:rsidR="004864FF" w:rsidRPr="0069558B" w:rsidRDefault="004864FF" w:rsidP="006B5A62">
            <w:pPr>
              <w:spacing w:before="20" w:after="20" w:line="240" w:lineRule="auto"/>
              <w:jc w:val="left"/>
              <w:rPr>
                <w:rFonts w:eastAsia="Times New Roman" w:cs="Calibri"/>
                <w:color w:val="000000"/>
                <w:sz w:val="20"/>
                <w:szCs w:val="20"/>
                <w:lang w:eastAsia="es-CL"/>
              </w:rPr>
            </w:pPr>
          </w:p>
        </w:tc>
        <w:tc>
          <w:tcPr>
            <w:tcW w:w="1134" w:type="dxa"/>
            <w:tcBorders>
              <w:top w:val="nil"/>
              <w:left w:val="nil"/>
              <w:bottom w:val="single" w:sz="4" w:space="0" w:color="auto"/>
              <w:right w:val="single" w:sz="4" w:space="0" w:color="auto"/>
            </w:tcBorders>
            <w:shd w:val="clear" w:color="auto" w:fill="auto"/>
            <w:noWrap/>
            <w:vAlign w:val="bottom"/>
          </w:tcPr>
          <w:p w14:paraId="3D7C9E68"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P_480</w:t>
            </w:r>
          </w:p>
        </w:tc>
        <w:tc>
          <w:tcPr>
            <w:tcW w:w="3686" w:type="dxa"/>
            <w:tcBorders>
              <w:top w:val="nil"/>
              <w:left w:val="nil"/>
              <w:bottom w:val="single" w:sz="4" w:space="0" w:color="auto"/>
              <w:right w:val="single" w:sz="4" w:space="0" w:color="auto"/>
            </w:tcBorders>
            <w:shd w:val="clear" w:color="auto" w:fill="auto"/>
            <w:noWrap/>
            <w:vAlign w:val="bottom"/>
          </w:tcPr>
          <w:p w14:paraId="70D5E341"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SATT</w:t>
            </w:r>
          </w:p>
        </w:tc>
        <w:tc>
          <w:tcPr>
            <w:tcW w:w="2268" w:type="dxa"/>
            <w:tcBorders>
              <w:top w:val="nil"/>
              <w:left w:val="nil"/>
              <w:bottom w:val="single" w:sz="4" w:space="0" w:color="auto"/>
              <w:right w:val="single" w:sz="4" w:space="0" w:color="auto"/>
            </w:tcBorders>
            <w:shd w:val="clear" w:color="auto" w:fill="auto"/>
            <w:noWrap/>
            <w:vAlign w:val="bottom"/>
          </w:tcPr>
          <w:p w14:paraId="587C2EE5"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738.613,05</w:t>
            </w:r>
          </w:p>
        </w:tc>
      </w:tr>
      <w:tr w:rsidR="004864FF" w:rsidRPr="0069558B" w14:paraId="2B62F4D4" w14:textId="77777777" w:rsidTr="006B5A62">
        <w:trPr>
          <w:jc w:val="center"/>
        </w:trPr>
        <w:tc>
          <w:tcPr>
            <w:tcW w:w="1985"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778CA49B"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N_83</w:t>
            </w:r>
          </w:p>
        </w:tc>
        <w:tc>
          <w:tcPr>
            <w:tcW w:w="3969" w:type="dxa"/>
            <w:vMerge w:val="restart"/>
            <w:tcBorders>
              <w:top w:val="nil"/>
              <w:left w:val="single" w:sz="4" w:space="0" w:color="auto"/>
              <w:bottom w:val="single" w:sz="4" w:space="0" w:color="000000"/>
              <w:right w:val="single" w:sz="4" w:space="0" w:color="auto"/>
            </w:tcBorders>
            <w:shd w:val="clear" w:color="auto" w:fill="auto"/>
            <w:vAlign w:val="center"/>
            <w:hideMark/>
          </w:tcPr>
          <w:p w14:paraId="6993CBA9"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Melipulli 220-&gt;Pargua 220</w:t>
            </w:r>
          </w:p>
        </w:tc>
        <w:tc>
          <w:tcPr>
            <w:tcW w:w="1134" w:type="dxa"/>
            <w:tcBorders>
              <w:top w:val="nil"/>
              <w:left w:val="nil"/>
              <w:bottom w:val="single" w:sz="4" w:space="0" w:color="auto"/>
              <w:right w:val="single" w:sz="4" w:space="0" w:color="auto"/>
            </w:tcBorders>
            <w:shd w:val="clear" w:color="auto" w:fill="auto"/>
            <w:noWrap/>
            <w:vAlign w:val="bottom"/>
          </w:tcPr>
          <w:p w14:paraId="65F90E40"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P_100</w:t>
            </w:r>
          </w:p>
        </w:tc>
        <w:tc>
          <w:tcPr>
            <w:tcW w:w="3686" w:type="dxa"/>
            <w:tcBorders>
              <w:top w:val="nil"/>
              <w:left w:val="nil"/>
              <w:bottom w:val="single" w:sz="4" w:space="0" w:color="auto"/>
              <w:right w:val="single" w:sz="4" w:space="0" w:color="auto"/>
            </w:tcBorders>
            <w:shd w:val="clear" w:color="auto" w:fill="auto"/>
            <w:noWrap/>
            <w:vAlign w:val="bottom"/>
          </w:tcPr>
          <w:p w14:paraId="1EA490C2"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STS</w:t>
            </w:r>
          </w:p>
        </w:tc>
        <w:tc>
          <w:tcPr>
            <w:tcW w:w="2268" w:type="dxa"/>
            <w:tcBorders>
              <w:top w:val="nil"/>
              <w:left w:val="nil"/>
              <w:bottom w:val="single" w:sz="4" w:space="0" w:color="auto"/>
              <w:right w:val="single" w:sz="4" w:space="0" w:color="auto"/>
            </w:tcBorders>
            <w:shd w:val="clear" w:color="auto" w:fill="auto"/>
            <w:noWrap/>
            <w:vAlign w:val="bottom"/>
          </w:tcPr>
          <w:p w14:paraId="2A521E59"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13.171.840,56</w:t>
            </w:r>
          </w:p>
        </w:tc>
      </w:tr>
      <w:tr w:rsidR="004864FF" w:rsidRPr="0069558B" w14:paraId="0C4DEDD0" w14:textId="77777777" w:rsidTr="006B5A62">
        <w:trPr>
          <w:jc w:val="center"/>
        </w:trPr>
        <w:tc>
          <w:tcPr>
            <w:tcW w:w="1985" w:type="dxa"/>
            <w:vMerge/>
            <w:tcBorders>
              <w:top w:val="nil"/>
              <w:left w:val="single" w:sz="4" w:space="0" w:color="auto"/>
              <w:bottom w:val="single" w:sz="4" w:space="0" w:color="000000"/>
              <w:right w:val="single" w:sz="4" w:space="0" w:color="auto"/>
            </w:tcBorders>
            <w:vAlign w:val="center"/>
            <w:hideMark/>
          </w:tcPr>
          <w:p w14:paraId="0E574136" w14:textId="77777777" w:rsidR="004864FF" w:rsidRPr="0069558B" w:rsidRDefault="004864FF" w:rsidP="006B5A62">
            <w:pPr>
              <w:spacing w:before="20" w:after="20" w:line="240" w:lineRule="auto"/>
              <w:jc w:val="left"/>
              <w:rPr>
                <w:rFonts w:eastAsia="Times New Roman" w:cs="Calibri"/>
                <w:color w:val="000000"/>
                <w:sz w:val="20"/>
                <w:szCs w:val="20"/>
                <w:lang w:eastAsia="es-CL"/>
              </w:rPr>
            </w:pPr>
          </w:p>
        </w:tc>
        <w:tc>
          <w:tcPr>
            <w:tcW w:w="3969" w:type="dxa"/>
            <w:vMerge/>
            <w:tcBorders>
              <w:top w:val="nil"/>
              <w:left w:val="single" w:sz="4" w:space="0" w:color="auto"/>
              <w:bottom w:val="single" w:sz="4" w:space="0" w:color="000000"/>
              <w:right w:val="single" w:sz="4" w:space="0" w:color="auto"/>
            </w:tcBorders>
            <w:vAlign w:val="center"/>
            <w:hideMark/>
          </w:tcPr>
          <w:p w14:paraId="446D6013" w14:textId="77777777" w:rsidR="004864FF" w:rsidRPr="0069558B" w:rsidRDefault="004864FF" w:rsidP="006B5A62">
            <w:pPr>
              <w:spacing w:before="20" w:after="20" w:line="240" w:lineRule="auto"/>
              <w:jc w:val="left"/>
              <w:rPr>
                <w:rFonts w:eastAsia="Times New Roman" w:cs="Calibri"/>
                <w:color w:val="000000"/>
                <w:sz w:val="20"/>
                <w:szCs w:val="20"/>
                <w:lang w:eastAsia="es-CL"/>
              </w:rPr>
            </w:pPr>
          </w:p>
        </w:tc>
        <w:tc>
          <w:tcPr>
            <w:tcW w:w="1134" w:type="dxa"/>
            <w:tcBorders>
              <w:top w:val="nil"/>
              <w:left w:val="nil"/>
              <w:bottom w:val="single" w:sz="4" w:space="0" w:color="auto"/>
              <w:right w:val="single" w:sz="4" w:space="0" w:color="auto"/>
            </w:tcBorders>
            <w:shd w:val="clear" w:color="auto" w:fill="auto"/>
            <w:noWrap/>
            <w:vAlign w:val="bottom"/>
          </w:tcPr>
          <w:p w14:paraId="330BA03B"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P_122</w:t>
            </w:r>
          </w:p>
        </w:tc>
        <w:tc>
          <w:tcPr>
            <w:tcW w:w="3686" w:type="dxa"/>
            <w:tcBorders>
              <w:top w:val="nil"/>
              <w:left w:val="nil"/>
              <w:bottom w:val="single" w:sz="4" w:space="0" w:color="auto"/>
              <w:right w:val="single" w:sz="4" w:space="0" w:color="auto"/>
            </w:tcBorders>
            <w:shd w:val="clear" w:color="auto" w:fill="auto"/>
            <w:noWrap/>
            <w:vAlign w:val="bottom"/>
          </w:tcPr>
          <w:p w14:paraId="600EBD6A"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SAESA</w:t>
            </w:r>
          </w:p>
        </w:tc>
        <w:tc>
          <w:tcPr>
            <w:tcW w:w="2268" w:type="dxa"/>
            <w:tcBorders>
              <w:top w:val="nil"/>
              <w:left w:val="nil"/>
              <w:bottom w:val="single" w:sz="4" w:space="0" w:color="auto"/>
              <w:right w:val="single" w:sz="4" w:space="0" w:color="auto"/>
            </w:tcBorders>
            <w:shd w:val="clear" w:color="auto" w:fill="auto"/>
            <w:noWrap/>
            <w:vAlign w:val="bottom"/>
          </w:tcPr>
          <w:p w14:paraId="30857E60"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2.936.436,05</w:t>
            </w:r>
          </w:p>
        </w:tc>
      </w:tr>
      <w:tr w:rsidR="004864FF" w:rsidRPr="0069558B" w14:paraId="5E8E0952"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24A8FC3C"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N_84</w:t>
            </w:r>
          </w:p>
        </w:tc>
        <w:tc>
          <w:tcPr>
            <w:tcW w:w="3969" w:type="dxa"/>
            <w:tcBorders>
              <w:top w:val="nil"/>
              <w:left w:val="nil"/>
              <w:bottom w:val="single" w:sz="4" w:space="0" w:color="auto"/>
              <w:right w:val="single" w:sz="4" w:space="0" w:color="auto"/>
            </w:tcBorders>
            <w:shd w:val="clear" w:color="auto" w:fill="auto"/>
            <w:vAlign w:val="center"/>
            <w:hideMark/>
          </w:tcPr>
          <w:p w14:paraId="01E16211"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Melipulli 220-&gt;Puerto Montt 220</w:t>
            </w:r>
          </w:p>
        </w:tc>
        <w:tc>
          <w:tcPr>
            <w:tcW w:w="1134" w:type="dxa"/>
            <w:tcBorders>
              <w:top w:val="nil"/>
              <w:left w:val="nil"/>
              <w:bottom w:val="single" w:sz="4" w:space="0" w:color="auto"/>
              <w:right w:val="single" w:sz="4" w:space="0" w:color="auto"/>
            </w:tcBorders>
            <w:shd w:val="clear" w:color="auto" w:fill="auto"/>
            <w:noWrap/>
            <w:vAlign w:val="bottom"/>
          </w:tcPr>
          <w:p w14:paraId="3E7BD89A"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P_100</w:t>
            </w:r>
          </w:p>
        </w:tc>
        <w:tc>
          <w:tcPr>
            <w:tcW w:w="3686" w:type="dxa"/>
            <w:tcBorders>
              <w:top w:val="nil"/>
              <w:left w:val="nil"/>
              <w:bottom w:val="single" w:sz="4" w:space="0" w:color="auto"/>
              <w:right w:val="single" w:sz="4" w:space="0" w:color="auto"/>
            </w:tcBorders>
            <w:shd w:val="clear" w:color="auto" w:fill="auto"/>
            <w:noWrap/>
            <w:vAlign w:val="bottom"/>
          </w:tcPr>
          <w:p w14:paraId="30316F27"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STS</w:t>
            </w:r>
          </w:p>
        </w:tc>
        <w:tc>
          <w:tcPr>
            <w:tcW w:w="2268" w:type="dxa"/>
            <w:tcBorders>
              <w:top w:val="nil"/>
              <w:left w:val="nil"/>
              <w:bottom w:val="single" w:sz="4" w:space="0" w:color="auto"/>
              <w:right w:val="single" w:sz="4" w:space="0" w:color="auto"/>
            </w:tcBorders>
            <w:shd w:val="clear" w:color="auto" w:fill="auto"/>
            <w:noWrap/>
            <w:vAlign w:val="bottom"/>
          </w:tcPr>
          <w:p w14:paraId="73820887"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57.064,00</w:t>
            </w:r>
          </w:p>
        </w:tc>
      </w:tr>
      <w:tr w:rsidR="004864FF" w:rsidRPr="0069558B" w14:paraId="44B3A0C1"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0A086662"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N_85</w:t>
            </w:r>
          </w:p>
        </w:tc>
        <w:tc>
          <w:tcPr>
            <w:tcW w:w="3969" w:type="dxa"/>
            <w:tcBorders>
              <w:top w:val="nil"/>
              <w:left w:val="nil"/>
              <w:bottom w:val="single" w:sz="4" w:space="0" w:color="auto"/>
              <w:right w:val="single" w:sz="4" w:space="0" w:color="auto"/>
            </w:tcBorders>
            <w:shd w:val="clear" w:color="auto" w:fill="auto"/>
            <w:vAlign w:val="center"/>
            <w:hideMark/>
          </w:tcPr>
          <w:p w14:paraId="7F4C7E09"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Miraje 220-&gt;Atacama 220</w:t>
            </w:r>
          </w:p>
        </w:tc>
        <w:tc>
          <w:tcPr>
            <w:tcW w:w="1134" w:type="dxa"/>
            <w:tcBorders>
              <w:top w:val="nil"/>
              <w:left w:val="nil"/>
              <w:bottom w:val="single" w:sz="4" w:space="0" w:color="auto"/>
              <w:right w:val="single" w:sz="4" w:space="0" w:color="auto"/>
            </w:tcBorders>
            <w:shd w:val="clear" w:color="auto" w:fill="auto"/>
            <w:noWrap/>
            <w:vAlign w:val="bottom"/>
          </w:tcPr>
          <w:p w14:paraId="348C2791"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P_032</w:t>
            </w:r>
          </w:p>
        </w:tc>
        <w:tc>
          <w:tcPr>
            <w:tcW w:w="3686" w:type="dxa"/>
            <w:tcBorders>
              <w:top w:val="nil"/>
              <w:left w:val="nil"/>
              <w:bottom w:val="single" w:sz="4" w:space="0" w:color="auto"/>
              <w:right w:val="single" w:sz="4" w:space="0" w:color="auto"/>
            </w:tcBorders>
            <w:shd w:val="clear" w:color="auto" w:fill="auto"/>
            <w:noWrap/>
            <w:vAlign w:val="bottom"/>
          </w:tcPr>
          <w:p w14:paraId="7FD6A8BC"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TRANSELEC S.A.</w:t>
            </w:r>
          </w:p>
        </w:tc>
        <w:tc>
          <w:tcPr>
            <w:tcW w:w="2268" w:type="dxa"/>
            <w:tcBorders>
              <w:top w:val="nil"/>
              <w:left w:val="nil"/>
              <w:bottom w:val="single" w:sz="4" w:space="0" w:color="auto"/>
              <w:right w:val="single" w:sz="4" w:space="0" w:color="auto"/>
            </w:tcBorders>
            <w:shd w:val="clear" w:color="auto" w:fill="auto"/>
            <w:noWrap/>
            <w:vAlign w:val="bottom"/>
          </w:tcPr>
          <w:p w14:paraId="691423F0"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26.411.952,50</w:t>
            </w:r>
          </w:p>
        </w:tc>
      </w:tr>
      <w:tr w:rsidR="004864FF" w:rsidRPr="0069558B" w14:paraId="2843B3E7"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3A2ADB8A"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N_86</w:t>
            </w:r>
          </w:p>
        </w:tc>
        <w:tc>
          <w:tcPr>
            <w:tcW w:w="3969" w:type="dxa"/>
            <w:tcBorders>
              <w:top w:val="nil"/>
              <w:left w:val="nil"/>
              <w:bottom w:val="single" w:sz="4" w:space="0" w:color="auto"/>
              <w:right w:val="single" w:sz="4" w:space="0" w:color="auto"/>
            </w:tcBorders>
            <w:shd w:val="clear" w:color="auto" w:fill="auto"/>
            <w:vAlign w:val="center"/>
            <w:hideMark/>
          </w:tcPr>
          <w:p w14:paraId="1935054B"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Miraje 220-&gt;Tap Enlace 220</w:t>
            </w:r>
          </w:p>
        </w:tc>
        <w:tc>
          <w:tcPr>
            <w:tcW w:w="1134" w:type="dxa"/>
            <w:tcBorders>
              <w:top w:val="nil"/>
              <w:left w:val="nil"/>
              <w:bottom w:val="single" w:sz="4" w:space="0" w:color="auto"/>
              <w:right w:val="single" w:sz="4" w:space="0" w:color="auto"/>
            </w:tcBorders>
            <w:shd w:val="clear" w:color="auto" w:fill="auto"/>
            <w:noWrap/>
            <w:vAlign w:val="bottom"/>
          </w:tcPr>
          <w:p w14:paraId="2218BEA7"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P_032</w:t>
            </w:r>
          </w:p>
        </w:tc>
        <w:tc>
          <w:tcPr>
            <w:tcW w:w="3686" w:type="dxa"/>
            <w:tcBorders>
              <w:top w:val="nil"/>
              <w:left w:val="nil"/>
              <w:bottom w:val="single" w:sz="4" w:space="0" w:color="auto"/>
              <w:right w:val="single" w:sz="4" w:space="0" w:color="auto"/>
            </w:tcBorders>
            <w:shd w:val="clear" w:color="auto" w:fill="auto"/>
            <w:noWrap/>
            <w:vAlign w:val="bottom"/>
          </w:tcPr>
          <w:p w14:paraId="2A56CD2F"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TRANSELEC S.A.</w:t>
            </w:r>
          </w:p>
        </w:tc>
        <w:tc>
          <w:tcPr>
            <w:tcW w:w="2268" w:type="dxa"/>
            <w:tcBorders>
              <w:top w:val="nil"/>
              <w:left w:val="nil"/>
              <w:bottom w:val="single" w:sz="4" w:space="0" w:color="auto"/>
              <w:right w:val="single" w:sz="4" w:space="0" w:color="auto"/>
            </w:tcBorders>
            <w:shd w:val="clear" w:color="auto" w:fill="auto"/>
            <w:noWrap/>
            <w:vAlign w:val="bottom"/>
          </w:tcPr>
          <w:p w14:paraId="5F0A469C"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8.112.880,64</w:t>
            </w:r>
          </w:p>
        </w:tc>
      </w:tr>
      <w:tr w:rsidR="004864FF" w:rsidRPr="0069558B" w14:paraId="17BCE464"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4859679B"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lastRenderedPageBreak/>
              <w:t>N_87</w:t>
            </w:r>
          </w:p>
        </w:tc>
        <w:tc>
          <w:tcPr>
            <w:tcW w:w="3969" w:type="dxa"/>
            <w:tcBorders>
              <w:top w:val="nil"/>
              <w:left w:val="nil"/>
              <w:bottom w:val="single" w:sz="4" w:space="0" w:color="auto"/>
              <w:right w:val="single" w:sz="4" w:space="0" w:color="auto"/>
            </w:tcBorders>
            <w:shd w:val="clear" w:color="auto" w:fill="auto"/>
            <w:vAlign w:val="center"/>
            <w:hideMark/>
          </w:tcPr>
          <w:p w14:paraId="28E8721D"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Mulchen 220-&gt;Rio Malleco 220</w:t>
            </w:r>
          </w:p>
        </w:tc>
        <w:tc>
          <w:tcPr>
            <w:tcW w:w="1134" w:type="dxa"/>
            <w:tcBorders>
              <w:top w:val="nil"/>
              <w:left w:val="nil"/>
              <w:bottom w:val="single" w:sz="4" w:space="0" w:color="auto"/>
              <w:right w:val="single" w:sz="4" w:space="0" w:color="auto"/>
            </w:tcBorders>
            <w:shd w:val="clear" w:color="auto" w:fill="auto"/>
            <w:noWrap/>
            <w:vAlign w:val="bottom"/>
          </w:tcPr>
          <w:p w14:paraId="786E7CFA"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P_244</w:t>
            </w:r>
          </w:p>
        </w:tc>
        <w:tc>
          <w:tcPr>
            <w:tcW w:w="3686" w:type="dxa"/>
            <w:tcBorders>
              <w:top w:val="nil"/>
              <w:left w:val="nil"/>
              <w:bottom w:val="single" w:sz="4" w:space="0" w:color="auto"/>
              <w:right w:val="single" w:sz="4" w:space="0" w:color="auto"/>
            </w:tcBorders>
            <w:shd w:val="clear" w:color="auto" w:fill="auto"/>
            <w:noWrap/>
            <w:vAlign w:val="bottom"/>
          </w:tcPr>
          <w:p w14:paraId="41BD76BC"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Colbún Transmisión</w:t>
            </w:r>
          </w:p>
        </w:tc>
        <w:tc>
          <w:tcPr>
            <w:tcW w:w="2268" w:type="dxa"/>
            <w:tcBorders>
              <w:top w:val="nil"/>
              <w:left w:val="nil"/>
              <w:bottom w:val="single" w:sz="4" w:space="0" w:color="auto"/>
              <w:right w:val="single" w:sz="4" w:space="0" w:color="auto"/>
            </w:tcBorders>
            <w:shd w:val="clear" w:color="auto" w:fill="auto"/>
            <w:noWrap/>
            <w:vAlign w:val="bottom"/>
          </w:tcPr>
          <w:p w14:paraId="1C80E423"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713.949,98</w:t>
            </w:r>
          </w:p>
        </w:tc>
      </w:tr>
      <w:tr w:rsidR="004864FF" w:rsidRPr="0069558B" w14:paraId="2369B147"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4492835B"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N_88</w:t>
            </w:r>
          </w:p>
        </w:tc>
        <w:tc>
          <w:tcPr>
            <w:tcW w:w="3969" w:type="dxa"/>
            <w:tcBorders>
              <w:top w:val="nil"/>
              <w:left w:val="nil"/>
              <w:bottom w:val="single" w:sz="4" w:space="0" w:color="auto"/>
              <w:right w:val="single" w:sz="4" w:space="0" w:color="auto"/>
            </w:tcBorders>
            <w:shd w:val="clear" w:color="auto" w:fill="auto"/>
            <w:vAlign w:val="center"/>
            <w:hideMark/>
          </w:tcPr>
          <w:p w14:paraId="43C60849"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Nogales 220-&gt;Quillota 220</w:t>
            </w:r>
          </w:p>
        </w:tc>
        <w:tc>
          <w:tcPr>
            <w:tcW w:w="1134" w:type="dxa"/>
            <w:tcBorders>
              <w:top w:val="nil"/>
              <w:left w:val="nil"/>
              <w:bottom w:val="single" w:sz="4" w:space="0" w:color="auto"/>
              <w:right w:val="single" w:sz="4" w:space="0" w:color="auto"/>
            </w:tcBorders>
            <w:shd w:val="clear" w:color="auto" w:fill="auto"/>
            <w:noWrap/>
            <w:vAlign w:val="bottom"/>
          </w:tcPr>
          <w:p w14:paraId="1F38A446"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P_032</w:t>
            </w:r>
          </w:p>
        </w:tc>
        <w:tc>
          <w:tcPr>
            <w:tcW w:w="3686" w:type="dxa"/>
            <w:tcBorders>
              <w:top w:val="nil"/>
              <w:left w:val="nil"/>
              <w:bottom w:val="single" w:sz="4" w:space="0" w:color="auto"/>
              <w:right w:val="single" w:sz="4" w:space="0" w:color="auto"/>
            </w:tcBorders>
            <w:shd w:val="clear" w:color="auto" w:fill="auto"/>
            <w:noWrap/>
            <w:vAlign w:val="bottom"/>
          </w:tcPr>
          <w:p w14:paraId="5B02DD68"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TRANSELEC S.A.</w:t>
            </w:r>
          </w:p>
        </w:tc>
        <w:tc>
          <w:tcPr>
            <w:tcW w:w="2268" w:type="dxa"/>
            <w:tcBorders>
              <w:top w:val="nil"/>
              <w:left w:val="nil"/>
              <w:bottom w:val="single" w:sz="4" w:space="0" w:color="auto"/>
              <w:right w:val="single" w:sz="4" w:space="0" w:color="auto"/>
            </w:tcBorders>
            <w:shd w:val="clear" w:color="auto" w:fill="auto"/>
            <w:noWrap/>
            <w:vAlign w:val="bottom"/>
          </w:tcPr>
          <w:p w14:paraId="17F4BFAB"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8.905.719,55</w:t>
            </w:r>
          </w:p>
        </w:tc>
      </w:tr>
      <w:tr w:rsidR="004864FF" w:rsidRPr="0069558B" w14:paraId="2C3DE239"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28C2C670"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N_90</w:t>
            </w:r>
          </w:p>
        </w:tc>
        <w:tc>
          <w:tcPr>
            <w:tcW w:w="3969" w:type="dxa"/>
            <w:tcBorders>
              <w:top w:val="nil"/>
              <w:left w:val="nil"/>
              <w:bottom w:val="single" w:sz="4" w:space="0" w:color="auto"/>
              <w:right w:val="single" w:sz="4" w:space="0" w:color="auto"/>
            </w:tcBorders>
            <w:shd w:val="clear" w:color="auto" w:fill="auto"/>
            <w:vAlign w:val="center"/>
            <w:hideMark/>
          </w:tcPr>
          <w:p w14:paraId="534381C4"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Nogales 220-&gt;Tap Doña Carmen 220</w:t>
            </w:r>
          </w:p>
        </w:tc>
        <w:tc>
          <w:tcPr>
            <w:tcW w:w="1134" w:type="dxa"/>
            <w:tcBorders>
              <w:top w:val="nil"/>
              <w:left w:val="nil"/>
              <w:bottom w:val="single" w:sz="4" w:space="0" w:color="auto"/>
              <w:right w:val="single" w:sz="4" w:space="0" w:color="auto"/>
            </w:tcBorders>
            <w:shd w:val="clear" w:color="auto" w:fill="auto"/>
            <w:noWrap/>
            <w:vAlign w:val="bottom"/>
          </w:tcPr>
          <w:p w14:paraId="5FD61631"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P_032</w:t>
            </w:r>
          </w:p>
        </w:tc>
        <w:tc>
          <w:tcPr>
            <w:tcW w:w="3686" w:type="dxa"/>
            <w:tcBorders>
              <w:top w:val="nil"/>
              <w:left w:val="nil"/>
              <w:bottom w:val="single" w:sz="4" w:space="0" w:color="auto"/>
              <w:right w:val="single" w:sz="4" w:space="0" w:color="auto"/>
            </w:tcBorders>
            <w:shd w:val="clear" w:color="auto" w:fill="auto"/>
            <w:noWrap/>
            <w:vAlign w:val="bottom"/>
          </w:tcPr>
          <w:p w14:paraId="331E3569"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TRANSELEC S.A.</w:t>
            </w:r>
          </w:p>
        </w:tc>
        <w:tc>
          <w:tcPr>
            <w:tcW w:w="2268" w:type="dxa"/>
            <w:tcBorders>
              <w:top w:val="nil"/>
              <w:left w:val="nil"/>
              <w:bottom w:val="single" w:sz="4" w:space="0" w:color="auto"/>
              <w:right w:val="single" w:sz="4" w:space="0" w:color="auto"/>
            </w:tcBorders>
            <w:shd w:val="clear" w:color="auto" w:fill="auto"/>
            <w:noWrap/>
            <w:vAlign w:val="bottom"/>
          </w:tcPr>
          <w:p w14:paraId="28F3CE4B"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4.362.125,88</w:t>
            </w:r>
          </w:p>
        </w:tc>
      </w:tr>
      <w:tr w:rsidR="004864FF" w:rsidRPr="0069558B" w14:paraId="4C2E38FF"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5D1C696A"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N_91</w:t>
            </w:r>
          </w:p>
        </w:tc>
        <w:tc>
          <w:tcPr>
            <w:tcW w:w="3969" w:type="dxa"/>
            <w:tcBorders>
              <w:top w:val="nil"/>
              <w:left w:val="nil"/>
              <w:bottom w:val="single" w:sz="4" w:space="0" w:color="auto"/>
              <w:right w:val="single" w:sz="4" w:space="0" w:color="auto"/>
            </w:tcBorders>
            <w:shd w:val="clear" w:color="auto" w:fill="auto"/>
            <w:vAlign w:val="center"/>
            <w:hideMark/>
          </w:tcPr>
          <w:p w14:paraId="2604F701"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Nueva Alto Melipilla 220-&gt;Alto Melipilla 220</w:t>
            </w:r>
          </w:p>
        </w:tc>
        <w:tc>
          <w:tcPr>
            <w:tcW w:w="1134" w:type="dxa"/>
            <w:tcBorders>
              <w:top w:val="nil"/>
              <w:left w:val="nil"/>
              <w:bottom w:val="single" w:sz="4" w:space="0" w:color="auto"/>
              <w:right w:val="single" w:sz="4" w:space="0" w:color="auto"/>
            </w:tcBorders>
            <w:shd w:val="clear" w:color="auto" w:fill="auto"/>
            <w:noWrap/>
            <w:vAlign w:val="bottom"/>
          </w:tcPr>
          <w:p w14:paraId="27849FA1"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P_113</w:t>
            </w:r>
          </w:p>
        </w:tc>
        <w:tc>
          <w:tcPr>
            <w:tcW w:w="3686" w:type="dxa"/>
            <w:tcBorders>
              <w:top w:val="nil"/>
              <w:left w:val="nil"/>
              <w:bottom w:val="single" w:sz="4" w:space="0" w:color="auto"/>
              <w:right w:val="single" w:sz="4" w:space="0" w:color="auto"/>
            </w:tcBorders>
            <w:shd w:val="clear" w:color="auto" w:fill="auto"/>
            <w:noWrap/>
            <w:vAlign w:val="bottom"/>
          </w:tcPr>
          <w:p w14:paraId="25ECBB28"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CHILQUINTA ENERGÍA</w:t>
            </w:r>
          </w:p>
        </w:tc>
        <w:tc>
          <w:tcPr>
            <w:tcW w:w="2268" w:type="dxa"/>
            <w:tcBorders>
              <w:top w:val="nil"/>
              <w:left w:val="nil"/>
              <w:bottom w:val="single" w:sz="4" w:space="0" w:color="auto"/>
              <w:right w:val="single" w:sz="4" w:space="0" w:color="auto"/>
            </w:tcBorders>
            <w:shd w:val="clear" w:color="auto" w:fill="auto"/>
            <w:noWrap/>
            <w:vAlign w:val="bottom"/>
          </w:tcPr>
          <w:p w14:paraId="05D4B4F1"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917.326,97</w:t>
            </w:r>
          </w:p>
        </w:tc>
      </w:tr>
      <w:tr w:rsidR="004864FF" w:rsidRPr="0069558B" w14:paraId="435AAE1E"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244D785D"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N_92</w:t>
            </w:r>
          </w:p>
        </w:tc>
        <w:tc>
          <w:tcPr>
            <w:tcW w:w="3969" w:type="dxa"/>
            <w:tcBorders>
              <w:top w:val="nil"/>
              <w:left w:val="nil"/>
              <w:bottom w:val="single" w:sz="4" w:space="0" w:color="auto"/>
              <w:right w:val="single" w:sz="4" w:space="0" w:color="auto"/>
            </w:tcBorders>
            <w:shd w:val="clear" w:color="auto" w:fill="auto"/>
            <w:vAlign w:val="center"/>
            <w:hideMark/>
          </w:tcPr>
          <w:p w14:paraId="4B0F4693"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Nueva Alto Melipilla 220-&gt;Rapel 220</w:t>
            </w:r>
          </w:p>
        </w:tc>
        <w:tc>
          <w:tcPr>
            <w:tcW w:w="1134" w:type="dxa"/>
            <w:tcBorders>
              <w:top w:val="nil"/>
              <w:left w:val="nil"/>
              <w:bottom w:val="single" w:sz="4" w:space="0" w:color="auto"/>
              <w:right w:val="single" w:sz="4" w:space="0" w:color="auto"/>
            </w:tcBorders>
            <w:shd w:val="clear" w:color="auto" w:fill="auto"/>
            <w:noWrap/>
            <w:vAlign w:val="bottom"/>
          </w:tcPr>
          <w:p w14:paraId="2413577C"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P_032</w:t>
            </w:r>
          </w:p>
        </w:tc>
        <w:tc>
          <w:tcPr>
            <w:tcW w:w="3686" w:type="dxa"/>
            <w:tcBorders>
              <w:top w:val="nil"/>
              <w:left w:val="nil"/>
              <w:bottom w:val="single" w:sz="4" w:space="0" w:color="auto"/>
              <w:right w:val="single" w:sz="4" w:space="0" w:color="auto"/>
            </w:tcBorders>
            <w:shd w:val="clear" w:color="auto" w:fill="auto"/>
            <w:noWrap/>
            <w:vAlign w:val="bottom"/>
          </w:tcPr>
          <w:p w14:paraId="151000F9"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TRANSELEC S.A.</w:t>
            </w:r>
          </w:p>
        </w:tc>
        <w:tc>
          <w:tcPr>
            <w:tcW w:w="2268" w:type="dxa"/>
            <w:tcBorders>
              <w:top w:val="nil"/>
              <w:left w:val="nil"/>
              <w:bottom w:val="single" w:sz="4" w:space="0" w:color="auto"/>
              <w:right w:val="single" w:sz="4" w:space="0" w:color="auto"/>
            </w:tcBorders>
            <w:shd w:val="clear" w:color="auto" w:fill="auto"/>
            <w:noWrap/>
            <w:vAlign w:val="bottom"/>
          </w:tcPr>
          <w:p w14:paraId="22020A87"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14.667.726,20</w:t>
            </w:r>
          </w:p>
        </w:tc>
      </w:tr>
      <w:tr w:rsidR="004864FF" w:rsidRPr="0069558B" w14:paraId="4F34B23E" w14:textId="77777777" w:rsidTr="006B5A62">
        <w:trPr>
          <w:jc w:val="center"/>
        </w:trPr>
        <w:tc>
          <w:tcPr>
            <w:tcW w:w="1985"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08D67CE9"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N_94</w:t>
            </w:r>
          </w:p>
        </w:tc>
        <w:tc>
          <w:tcPr>
            <w:tcW w:w="3969" w:type="dxa"/>
            <w:vMerge w:val="restart"/>
            <w:tcBorders>
              <w:top w:val="nil"/>
              <w:left w:val="single" w:sz="4" w:space="0" w:color="auto"/>
              <w:bottom w:val="single" w:sz="4" w:space="0" w:color="000000"/>
              <w:right w:val="single" w:sz="4" w:space="0" w:color="auto"/>
            </w:tcBorders>
            <w:shd w:val="clear" w:color="auto" w:fill="auto"/>
            <w:vAlign w:val="center"/>
            <w:hideMark/>
          </w:tcPr>
          <w:p w14:paraId="2782991D"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Nueva Diego de Almagro 220-&gt;Diego de Almagro 220</w:t>
            </w:r>
          </w:p>
        </w:tc>
        <w:tc>
          <w:tcPr>
            <w:tcW w:w="1134" w:type="dxa"/>
            <w:tcBorders>
              <w:top w:val="nil"/>
              <w:left w:val="nil"/>
              <w:bottom w:val="single" w:sz="4" w:space="0" w:color="auto"/>
              <w:right w:val="single" w:sz="4" w:space="0" w:color="auto"/>
            </w:tcBorders>
            <w:shd w:val="clear" w:color="auto" w:fill="auto"/>
            <w:noWrap/>
            <w:vAlign w:val="bottom"/>
          </w:tcPr>
          <w:p w14:paraId="5838B64A"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P_032</w:t>
            </w:r>
          </w:p>
        </w:tc>
        <w:tc>
          <w:tcPr>
            <w:tcW w:w="3686" w:type="dxa"/>
            <w:tcBorders>
              <w:top w:val="nil"/>
              <w:left w:val="nil"/>
              <w:bottom w:val="single" w:sz="4" w:space="0" w:color="auto"/>
              <w:right w:val="single" w:sz="4" w:space="0" w:color="auto"/>
            </w:tcBorders>
            <w:shd w:val="clear" w:color="auto" w:fill="auto"/>
            <w:noWrap/>
            <w:vAlign w:val="bottom"/>
          </w:tcPr>
          <w:p w14:paraId="12B61D09"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TRANSELEC S.A.</w:t>
            </w:r>
          </w:p>
        </w:tc>
        <w:tc>
          <w:tcPr>
            <w:tcW w:w="2268" w:type="dxa"/>
            <w:tcBorders>
              <w:top w:val="nil"/>
              <w:left w:val="nil"/>
              <w:bottom w:val="single" w:sz="4" w:space="0" w:color="auto"/>
              <w:right w:val="single" w:sz="4" w:space="0" w:color="auto"/>
            </w:tcBorders>
            <w:shd w:val="clear" w:color="auto" w:fill="auto"/>
            <w:noWrap/>
            <w:vAlign w:val="bottom"/>
          </w:tcPr>
          <w:p w14:paraId="6F84A82D"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4.123.323,88</w:t>
            </w:r>
          </w:p>
        </w:tc>
      </w:tr>
      <w:tr w:rsidR="004864FF" w:rsidRPr="0069558B" w14:paraId="01969229" w14:textId="77777777" w:rsidTr="006B5A62">
        <w:trPr>
          <w:jc w:val="center"/>
        </w:trPr>
        <w:tc>
          <w:tcPr>
            <w:tcW w:w="1985" w:type="dxa"/>
            <w:vMerge/>
            <w:tcBorders>
              <w:top w:val="nil"/>
              <w:left w:val="single" w:sz="4" w:space="0" w:color="auto"/>
              <w:bottom w:val="single" w:sz="4" w:space="0" w:color="000000"/>
              <w:right w:val="single" w:sz="4" w:space="0" w:color="auto"/>
            </w:tcBorders>
            <w:vAlign w:val="center"/>
            <w:hideMark/>
          </w:tcPr>
          <w:p w14:paraId="33A6E3F1" w14:textId="77777777" w:rsidR="004864FF" w:rsidRPr="0069558B" w:rsidRDefault="004864FF" w:rsidP="006B5A62">
            <w:pPr>
              <w:spacing w:before="20" w:after="20" w:line="240" w:lineRule="auto"/>
              <w:jc w:val="left"/>
              <w:rPr>
                <w:rFonts w:eastAsia="Times New Roman" w:cs="Calibri"/>
                <w:color w:val="000000"/>
                <w:sz w:val="20"/>
                <w:szCs w:val="20"/>
                <w:lang w:eastAsia="es-CL"/>
              </w:rPr>
            </w:pPr>
          </w:p>
        </w:tc>
        <w:tc>
          <w:tcPr>
            <w:tcW w:w="3969" w:type="dxa"/>
            <w:vMerge/>
            <w:tcBorders>
              <w:top w:val="nil"/>
              <w:left w:val="single" w:sz="4" w:space="0" w:color="auto"/>
              <w:bottom w:val="single" w:sz="4" w:space="0" w:color="000000"/>
              <w:right w:val="single" w:sz="4" w:space="0" w:color="auto"/>
            </w:tcBorders>
            <w:vAlign w:val="center"/>
            <w:hideMark/>
          </w:tcPr>
          <w:p w14:paraId="24837237" w14:textId="77777777" w:rsidR="004864FF" w:rsidRPr="0069558B" w:rsidRDefault="004864FF" w:rsidP="006B5A62">
            <w:pPr>
              <w:spacing w:before="20" w:after="20" w:line="240" w:lineRule="auto"/>
              <w:jc w:val="left"/>
              <w:rPr>
                <w:rFonts w:eastAsia="Times New Roman" w:cs="Calibri"/>
                <w:color w:val="000000"/>
                <w:sz w:val="20"/>
                <w:szCs w:val="20"/>
                <w:lang w:eastAsia="es-CL"/>
              </w:rPr>
            </w:pPr>
          </w:p>
        </w:tc>
        <w:tc>
          <w:tcPr>
            <w:tcW w:w="1134" w:type="dxa"/>
            <w:tcBorders>
              <w:top w:val="nil"/>
              <w:left w:val="nil"/>
              <w:bottom w:val="single" w:sz="4" w:space="0" w:color="auto"/>
              <w:right w:val="single" w:sz="4" w:space="0" w:color="auto"/>
            </w:tcBorders>
            <w:shd w:val="clear" w:color="auto" w:fill="auto"/>
            <w:noWrap/>
            <w:vAlign w:val="bottom"/>
          </w:tcPr>
          <w:p w14:paraId="61C15D67"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P_290</w:t>
            </w:r>
          </w:p>
        </w:tc>
        <w:tc>
          <w:tcPr>
            <w:tcW w:w="3686" w:type="dxa"/>
            <w:tcBorders>
              <w:top w:val="nil"/>
              <w:left w:val="nil"/>
              <w:bottom w:val="single" w:sz="4" w:space="0" w:color="auto"/>
              <w:right w:val="single" w:sz="4" w:space="0" w:color="auto"/>
            </w:tcBorders>
            <w:shd w:val="clear" w:color="auto" w:fill="auto"/>
            <w:noWrap/>
            <w:vAlign w:val="bottom"/>
          </w:tcPr>
          <w:p w14:paraId="522925D0"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Eletrans</w:t>
            </w:r>
          </w:p>
        </w:tc>
        <w:tc>
          <w:tcPr>
            <w:tcW w:w="2268" w:type="dxa"/>
            <w:tcBorders>
              <w:top w:val="nil"/>
              <w:left w:val="nil"/>
              <w:bottom w:val="single" w:sz="4" w:space="0" w:color="auto"/>
              <w:right w:val="single" w:sz="4" w:space="0" w:color="auto"/>
            </w:tcBorders>
            <w:shd w:val="clear" w:color="auto" w:fill="auto"/>
            <w:noWrap/>
            <w:vAlign w:val="bottom"/>
          </w:tcPr>
          <w:p w14:paraId="0F9C7DE6"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2.269.154,20</w:t>
            </w:r>
          </w:p>
        </w:tc>
      </w:tr>
      <w:tr w:rsidR="004864FF" w:rsidRPr="0069558B" w14:paraId="2931504B"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0871EBD1"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N_95</w:t>
            </w:r>
          </w:p>
        </w:tc>
        <w:tc>
          <w:tcPr>
            <w:tcW w:w="3969" w:type="dxa"/>
            <w:tcBorders>
              <w:top w:val="nil"/>
              <w:left w:val="nil"/>
              <w:bottom w:val="single" w:sz="4" w:space="0" w:color="auto"/>
              <w:right w:val="single" w:sz="4" w:space="0" w:color="auto"/>
            </w:tcBorders>
            <w:shd w:val="clear" w:color="auto" w:fill="auto"/>
            <w:vAlign w:val="center"/>
            <w:hideMark/>
          </w:tcPr>
          <w:p w14:paraId="157057E5"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Nueva Lampa 220-&gt;Cerro Navia Desf 220</w:t>
            </w:r>
          </w:p>
        </w:tc>
        <w:tc>
          <w:tcPr>
            <w:tcW w:w="1134" w:type="dxa"/>
            <w:tcBorders>
              <w:top w:val="nil"/>
              <w:left w:val="nil"/>
              <w:bottom w:val="single" w:sz="4" w:space="0" w:color="auto"/>
              <w:right w:val="single" w:sz="4" w:space="0" w:color="auto"/>
            </w:tcBorders>
            <w:shd w:val="clear" w:color="auto" w:fill="auto"/>
            <w:noWrap/>
            <w:vAlign w:val="bottom"/>
          </w:tcPr>
          <w:p w14:paraId="11E89631"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P_032</w:t>
            </w:r>
          </w:p>
        </w:tc>
        <w:tc>
          <w:tcPr>
            <w:tcW w:w="3686" w:type="dxa"/>
            <w:tcBorders>
              <w:top w:val="nil"/>
              <w:left w:val="nil"/>
              <w:bottom w:val="single" w:sz="4" w:space="0" w:color="auto"/>
              <w:right w:val="single" w:sz="4" w:space="0" w:color="auto"/>
            </w:tcBorders>
            <w:shd w:val="clear" w:color="auto" w:fill="auto"/>
            <w:noWrap/>
            <w:vAlign w:val="bottom"/>
          </w:tcPr>
          <w:p w14:paraId="22D69528"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TRANSELEC S.A.</w:t>
            </w:r>
          </w:p>
        </w:tc>
        <w:tc>
          <w:tcPr>
            <w:tcW w:w="2268" w:type="dxa"/>
            <w:tcBorders>
              <w:top w:val="nil"/>
              <w:left w:val="nil"/>
              <w:bottom w:val="single" w:sz="4" w:space="0" w:color="auto"/>
              <w:right w:val="single" w:sz="4" w:space="0" w:color="auto"/>
            </w:tcBorders>
            <w:shd w:val="clear" w:color="auto" w:fill="auto"/>
            <w:noWrap/>
            <w:vAlign w:val="bottom"/>
          </w:tcPr>
          <w:p w14:paraId="1D24D5F8"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4.314.056,07</w:t>
            </w:r>
          </w:p>
        </w:tc>
      </w:tr>
      <w:tr w:rsidR="004864FF" w:rsidRPr="0069558B" w14:paraId="72EADB06"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63E20A20"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N_96</w:t>
            </w:r>
          </w:p>
        </w:tc>
        <w:tc>
          <w:tcPr>
            <w:tcW w:w="3969" w:type="dxa"/>
            <w:tcBorders>
              <w:top w:val="nil"/>
              <w:left w:val="nil"/>
              <w:bottom w:val="single" w:sz="4" w:space="0" w:color="auto"/>
              <w:right w:val="single" w:sz="4" w:space="0" w:color="auto"/>
            </w:tcBorders>
            <w:shd w:val="clear" w:color="auto" w:fill="auto"/>
            <w:vAlign w:val="center"/>
            <w:hideMark/>
          </w:tcPr>
          <w:p w14:paraId="71AB4AA5"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Nueva Lampa 220-&gt;Polpaico 220</w:t>
            </w:r>
          </w:p>
        </w:tc>
        <w:tc>
          <w:tcPr>
            <w:tcW w:w="1134" w:type="dxa"/>
            <w:tcBorders>
              <w:top w:val="nil"/>
              <w:left w:val="nil"/>
              <w:bottom w:val="single" w:sz="4" w:space="0" w:color="auto"/>
              <w:right w:val="single" w:sz="4" w:space="0" w:color="auto"/>
            </w:tcBorders>
            <w:shd w:val="clear" w:color="auto" w:fill="auto"/>
            <w:noWrap/>
            <w:vAlign w:val="bottom"/>
          </w:tcPr>
          <w:p w14:paraId="535B9C71"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P_032</w:t>
            </w:r>
          </w:p>
        </w:tc>
        <w:tc>
          <w:tcPr>
            <w:tcW w:w="3686" w:type="dxa"/>
            <w:tcBorders>
              <w:top w:val="nil"/>
              <w:left w:val="nil"/>
              <w:bottom w:val="single" w:sz="4" w:space="0" w:color="auto"/>
              <w:right w:val="single" w:sz="4" w:space="0" w:color="auto"/>
            </w:tcBorders>
            <w:shd w:val="clear" w:color="auto" w:fill="auto"/>
            <w:noWrap/>
            <w:vAlign w:val="bottom"/>
          </w:tcPr>
          <w:p w14:paraId="7C8D88AB"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TRANSELEC S.A.</w:t>
            </w:r>
          </w:p>
        </w:tc>
        <w:tc>
          <w:tcPr>
            <w:tcW w:w="2268" w:type="dxa"/>
            <w:tcBorders>
              <w:top w:val="nil"/>
              <w:left w:val="nil"/>
              <w:bottom w:val="single" w:sz="4" w:space="0" w:color="auto"/>
              <w:right w:val="single" w:sz="4" w:space="0" w:color="auto"/>
            </w:tcBorders>
            <w:shd w:val="clear" w:color="auto" w:fill="auto"/>
            <w:noWrap/>
            <w:vAlign w:val="bottom"/>
          </w:tcPr>
          <w:p w14:paraId="5CC0FE5B"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5.252.463,37</w:t>
            </w:r>
          </w:p>
        </w:tc>
      </w:tr>
      <w:tr w:rsidR="004864FF" w:rsidRPr="0069558B" w14:paraId="7CB2A270" w14:textId="77777777" w:rsidTr="006B5A62">
        <w:trPr>
          <w:jc w:val="center"/>
        </w:trPr>
        <w:tc>
          <w:tcPr>
            <w:tcW w:w="1985"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36E15996"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N_98</w:t>
            </w:r>
          </w:p>
        </w:tc>
        <w:tc>
          <w:tcPr>
            <w:tcW w:w="3969" w:type="dxa"/>
            <w:vMerge w:val="restart"/>
            <w:tcBorders>
              <w:top w:val="nil"/>
              <w:left w:val="single" w:sz="4" w:space="0" w:color="auto"/>
              <w:bottom w:val="single" w:sz="4" w:space="0" w:color="000000"/>
              <w:right w:val="single" w:sz="4" w:space="0" w:color="auto"/>
            </w:tcBorders>
            <w:shd w:val="clear" w:color="auto" w:fill="auto"/>
            <w:vAlign w:val="center"/>
            <w:hideMark/>
          </w:tcPr>
          <w:p w14:paraId="7E369240"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Nueva Pichirropulli 220-&gt;Nueva Valdivia 220</w:t>
            </w:r>
          </w:p>
        </w:tc>
        <w:tc>
          <w:tcPr>
            <w:tcW w:w="1134" w:type="dxa"/>
            <w:tcBorders>
              <w:top w:val="nil"/>
              <w:left w:val="nil"/>
              <w:bottom w:val="single" w:sz="4" w:space="0" w:color="auto"/>
              <w:right w:val="single" w:sz="4" w:space="0" w:color="auto"/>
            </w:tcBorders>
            <w:shd w:val="clear" w:color="auto" w:fill="auto"/>
            <w:noWrap/>
            <w:vAlign w:val="bottom"/>
          </w:tcPr>
          <w:p w14:paraId="0E959B63"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P_032</w:t>
            </w:r>
          </w:p>
        </w:tc>
        <w:tc>
          <w:tcPr>
            <w:tcW w:w="3686" w:type="dxa"/>
            <w:tcBorders>
              <w:top w:val="nil"/>
              <w:left w:val="nil"/>
              <w:bottom w:val="single" w:sz="4" w:space="0" w:color="auto"/>
              <w:right w:val="single" w:sz="4" w:space="0" w:color="auto"/>
            </w:tcBorders>
            <w:shd w:val="clear" w:color="auto" w:fill="auto"/>
            <w:noWrap/>
            <w:vAlign w:val="bottom"/>
          </w:tcPr>
          <w:p w14:paraId="1C76DB4A"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TRANSELEC S.A.</w:t>
            </w:r>
          </w:p>
        </w:tc>
        <w:tc>
          <w:tcPr>
            <w:tcW w:w="2268" w:type="dxa"/>
            <w:tcBorders>
              <w:top w:val="nil"/>
              <w:left w:val="nil"/>
              <w:bottom w:val="single" w:sz="4" w:space="0" w:color="auto"/>
              <w:right w:val="single" w:sz="4" w:space="0" w:color="auto"/>
            </w:tcBorders>
            <w:shd w:val="clear" w:color="auto" w:fill="auto"/>
            <w:noWrap/>
            <w:vAlign w:val="bottom"/>
          </w:tcPr>
          <w:p w14:paraId="16C773D0"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11.228.027,44</w:t>
            </w:r>
          </w:p>
        </w:tc>
      </w:tr>
      <w:tr w:rsidR="004864FF" w:rsidRPr="0069558B" w14:paraId="2AC7A803" w14:textId="77777777" w:rsidTr="006B5A62">
        <w:trPr>
          <w:jc w:val="center"/>
        </w:trPr>
        <w:tc>
          <w:tcPr>
            <w:tcW w:w="1985" w:type="dxa"/>
            <w:vMerge/>
            <w:tcBorders>
              <w:top w:val="nil"/>
              <w:left w:val="single" w:sz="4" w:space="0" w:color="auto"/>
              <w:bottom w:val="single" w:sz="4" w:space="0" w:color="000000"/>
              <w:right w:val="single" w:sz="4" w:space="0" w:color="auto"/>
            </w:tcBorders>
            <w:vAlign w:val="center"/>
            <w:hideMark/>
          </w:tcPr>
          <w:p w14:paraId="6C0EA583" w14:textId="77777777" w:rsidR="004864FF" w:rsidRPr="0069558B" w:rsidRDefault="004864FF" w:rsidP="006B5A62">
            <w:pPr>
              <w:spacing w:before="20" w:after="20" w:line="240" w:lineRule="auto"/>
              <w:jc w:val="left"/>
              <w:rPr>
                <w:rFonts w:eastAsia="Times New Roman" w:cs="Calibri"/>
                <w:color w:val="000000"/>
                <w:sz w:val="20"/>
                <w:szCs w:val="20"/>
                <w:lang w:eastAsia="es-CL"/>
              </w:rPr>
            </w:pPr>
          </w:p>
        </w:tc>
        <w:tc>
          <w:tcPr>
            <w:tcW w:w="3969" w:type="dxa"/>
            <w:vMerge/>
            <w:tcBorders>
              <w:top w:val="nil"/>
              <w:left w:val="single" w:sz="4" w:space="0" w:color="auto"/>
              <w:bottom w:val="single" w:sz="4" w:space="0" w:color="000000"/>
              <w:right w:val="single" w:sz="4" w:space="0" w:color="auto"/>
            </w:tcBorders>
            <w:vAlign w:val="center"/>
            <w:hideMark/>
          </w:tcPr>
          <w:p w14:paraId="08F071FA" w14:textId="77777777" w:rsidR="004864FF" w:rsidRPr="0069558B" w:rsidRDefault="004864FF" w:rsidP="006B5A62">
            <w:pPr>
              <w:spacing w:before="20" w:after="20" w:line="240" w:lineRule="auto"/>
              <w:jc w:val="left"/>
              <w:rPr>
                <w:rFonts w:eastAsia="Times New Roman" w:cs="Calibri"/>
                <w:color w:val="000000"/>
                <w:sz w:val="20"/>
                <w:szCs w:val="20"/>
                <w:lang w:eastAsia="es-CL"/>
              </w:rPr>
            </w:pPr>
          </w:p>
        </w:tc>
        <w:tc>
          <w:tcPr>
            <w:tcW w:w="1134" w:type="dxa"/>
            <w:tcBorders>
              <w:top w:val="nil"/>
              <w:left w:val="nil"/>
              <w:bottom w:val="single" w:sz="4" w:space="0" w:color="auto"/>
              <w:right w:val="single" w:sz="4" w:space="0" w:color="auto"/>
            </w:tcBorders>
            <w:shd w:val="clear" w:color="auto" w:fill="auto"/>
            <w:noWrap/>
            <w:vAlign w:val="bottom"/>
          </w:tcPr>
          <w:p w14:paraId="0B514024"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P_290</w:t>
            </w:r>
          </w:p>
        </w:tc>
        <w:tc>
          <w:tcPr>
            <w:tcW w:w="3686" w:type="dxa"/>
            <w:tcBorders>
              <w:top w:val="nil"/>
              <w:left w:val="nil"/>
              <w:bottom w:val="single" w:sz="4" w:space="0" w:color="auto"/>
              <w:right w:val="single" w:sz="4" w:space="0" w:color="auto"/>
            </w:tcBorders>
            <w:shd w:val="clear" w:color="auto" w:fill="auto"/>
            <w:noWrap/>
            <w:vAlign w:val="bottom"/>
          </w:tcPr>
          <w:p w14:paraId="47166105"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Eletrans</w:t>
            </w:r>
          </w:p>
        </w:tc>
        <w:tc>
          <w:tcPr>
            <w:tcW w:w="2268" w:type="dxa"/>
            <w:tcBorders>
              <w:top w:val="nil"/>
              <w:left w:val="nil"/>
              <w:bottom w:val="single" w:sz="4" w:space="0" w:color="auto"/>
              <w:right w:val="single" w:sz="4" w:space="0" w:color="auto"/>
            </w:tcBorders>
            <w:shd w:val="clear" w:color="auto" w:fill="auto"/>
            <w:noWrap/>
            <w:vAlign w:val="bottom"/>
          </w:tcPr>
          <w:p w14:paraId="4094E2A5"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797.416,10</w:t>
            </w:r>
          </w:p>
        </w:tc>
      </w:tr>
      <w:tr w:rsidR="004864FF" w:rsidRPr="0069558B" w14:paraId="3A2FB4E2"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48854D49"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N_99</w:t>
            </w:r>
          </w:p>
        </w:tc>
        <w:tc>
          <w:tcPr>
            <w:tcW w:w="3969" w:type="dxa"/>
            <w:tcBorders>
              <w:top w:val="nil"/>
              <w:left w:val="nil"/>
              <w:bottom w:val="single" w:sz="4" w:space="0" w:color="auto"/>
              <w:right w:val="single" w:sz="4" w:space="0" w:color="auto"/>
            </w:tcBorders>
            <w:shd w:val="clear" w:color="auto" w:fill="auto"/>
            <w:vAlign w:val="center"/>
            <w:hideMark/>
          </w:tcPr>
          <w:p w14:paraId="3CF2CD53"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Nueva Puerto Montt 220-&gt;Frutillar Norte 220</w:t>
            </w:r>
          </w:p>
        </w:tc>
        <w:tc>
          <w:tcPr>
            <w:tcW w:w="1134" w:type="dxa"/>
            <w:tcBorders>
              <w:top w:val="nil"/>
              <w:left w:val="nil"/>
              <w:bottom w:val="single" w:sz="4" w:space="0" w:color="auto"/>
              <w:right w:val="single" w:sz="4" w:space="0" w:color="auto"/>
            </w:tcBorders>
            <w:shd w:val="clear" w:color="auto" w:fill="auto"/>
            <w:noWrap/>
            <w:vAlign w:val="bottom"/>
          </w:tcPr>
          <w:p w14:paraId="49BBC0E5"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P_032</w:t>
            </w:r>
          </w:p>
        </w:tc>
        <w:tc>
          <w:tcPr>
            <w:tcW w:w="3686" w:type="dxa"/>
            <w:tcBorders>
              <w:top w:val="nil"/>
              <w:left w:val="nil"/>
              <w:bottom w:val="single" w:sz="4" w:space="0" w:color="auto"/>
              <w:right w:val="single" w:sz="4" w:space="0" w:color="auto"/>
            </w:tcBorders>
            <w:shd w:val="clear" w:color="auto" w:fill="auto"/>
            <w:noWrap/>
            <w:vAlign w:val="bottom"/>
          </w:tcPr>
          <w:p w14:paraId="42E3DF91"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TRANSELEC S.A.</w:t>
            </w:r>
          </w:p>
        </w:tc>
        <w:tc>
          <w:tcPr>
            <w:tcW w:w="2268" w:type="dxa"/>
            <w:tcBorders>
              <w:top w:val="nil"/>
              <w:left w:val="nil"/>
              <w:bottom w:val="single" w:sz="4" w:space="0" w:color="auto"/>
              <w:right w:val="single" w:sz="4" w:space="0" w:color="auto"/>
            </w:tcBorders>
            <w:shd w:val="clear" w:color="auto" w:fill="auto"/>
            <w:noWrap/>
            <w:vAlign w:val="bottom"/>
          </w:tcPr>
          <w:p w14:paraId="3B04975E"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4.905.267,64</w:t>
            </w:r>
          </w:p>
        </w:tc>
      </w:tr>
      <w:tr w:rsidR="004864FF" w:rsidRPr="0069558B" w14:paraId="6BF2FD63"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533B23BB"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N_100</w:t>
            </w:r>
          </w:p>
        </w:tc>
        <w:tc>
          <w:tcPr>
            <w:tcW w:w="3969" w:type="dxa"/>
            <w:tcBorders>
              <w:top w:val="nil"/>
              <w:left w:val="nil"/>
              <w:bottom w:val="single" w:sz="4" w:space="0" w:color="auto"/>
              <w:right w:val="single" w:sz="4" w:space="0" w:color="auto"/>
            </w:tcBorders>
            <w:shd w:val="clear" w:color="auto" w:fill="auto"/>
            <w:vAlign w:val="center"/>
            <w:hideMark/>
          </w:tcPr>
          <w:p w14:paraId="1ED6B0C6"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Nueva Puerto Montt 220-&gt;Llanquihue 220</w:t>
            </w:r>
          </w:p>
        </w:tc>
        <w:tc>
          <w:tcPr>
            <w:tcW w:w="1134" w:type="dxa"/>
            <w:tcBorders>
              <w:top w:val="nil"/>
              <w:left w:val="nil"/>
              <w:bottom w:val="single" w:sz="4" w:space="0" w:color="auto"/>
              <w:right w:val="single" w:sz="4" w:space="0" w:color="auto"/>
            </w:tcBorders>
            <w:shd w:val="clear" w:color="auto" w:fill="auto"/>
            <w:noWrap/>
            <w:vAlign w:val="bottom"/>
          </w:tcPr>
          <w:p w14:paraId="2D486EBA"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P_032</w:t>
            </w:r>
          </w:p>
        </w:tc>
        <w:tc>
          <w:tcPr>
            <w:tcW w:w="3686" w:type="dxa"/>
            <w:tcBorders>
              <w:top w:val="nil"/>
              <w:left w:val="nil"/>
              <w:bottom w:val="single" w:sz="4" w:space="0" w:color="auto"/>
              <w:right w:val="single" w:sz="4" w:space="0" w:color="auto"/>
            </w:tcBorders>
            <w:shd w:val="clear" w:color="auto" w:fill="auto"/>
            <w:noWrap/>
            <w:vAlign w:val="bottom"/>
          </w:tcPr>
          <w:p w14:paraId="4ECCA465"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TRANSELEC S.A.</w:t>
            </w:r>
          </w:p>
        </w:tc>
        <w:tc>
          <w:tcPr>
            <w:tcW w:w="2268" w:type="dxa"/>
            <w:tcBorders>
              <w:top w:val="nil"/>
              <w:left w:val="nil"/>
              <w:bottom w:val="single" w:sz="4" w:space="0" w:color="auto"/>
              <w:right w:val="single" w:sz="4" w:space="0" w:color="auto"/>
            </w:tcBorders>
            <w:shd w:val="clear" w:color="auto" w:fill="auto"/>
            <w:noWrap/>
            <w:vAlign w:val="bottom"/>
          </w:tcPr>
          <w:p w14:paraId="1BCB93D4"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27.039,14</w:t>
            </w:r>
          </w:p>
        </w:tc>
      </w:tr>
      <w:tr w:rsidR="004864FF" w:rsidRPr="0069558B" w14:paraId="6C92706A"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63EFA2D8"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N_101</w:t>
            </w:r>
          </w:p>
        </w:tc>
        <w:tc>
          <w:tcPr>
            <w:tcW w:w="3969" w:type="dxa"/>
            <w:tcBorders>
              <w:top w:val="nil"/>
              <w:left w:val="nil"/>
              <w:bottom w:val="single" w:sz="4" w:space="0" w:color="auto"/>
              <w:right w:val="single" w:sz="4" w:space="0" w:color="auto"/>
            </w:tcBorders>
            <w:shd w:val="clear" w:color="auto" w:fill="auto"/>
            <w:vAlign w:val="center"/>
            <w:hideMark/>
          </w:tcPr>
          <w:p w14:paraId="7B471740"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Nueva Puerto Montt 220-&gt;Puerto Montt 220</w:t>
            </w:r>
          </w:p>
        </w:tc>
        <w:tc>
          <w:tcPr>
            <w:tcW w:w="1134" w:type="dxa"/>
            <w:tcBorders>
              <w:top w:val="nil"/>
              <w:left w:val="nil"/>
              <w:bottom w:val="single" w:sz="4" w:space="0" w:color="auto"/>
              <w:right w:val="single" w:sz="4" w:space="0" w:color="auto"/>
            </w:tcBorders>
            <w:shd w:val="clear" w:color="auto" w:fill="auto"/>
            <w:noWrap/>
            <w:vAlign w:val="bottom"/>
          </w:tcPr>
          <w:p w14:paraId="7153E9D5"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P_032</w:t>
            </w:r>
          </w:p>
        </w:tc>
        <w:tc>
          <w:tcPr>
            <w:tcW w:w="3686" w:type="dxa"/>
            <w:tcBorders>
              <w:top w:val="nil"/>
              <w:left w:val="nil"/>
              <w:bottom w:val="single" w:sz="4" w:space="0" w:color="auto"/>
              <w:right w:val="single" w:sz="4" w:space="0" w:color="auto"/>
            </w:tcBorders>
            <w:shd w:val="clear" w:color="auto" w:fill="auto"/>
            <w:noWrap/>
            <w:vAlign w:val="bottom"/>
          </w:tcPr>
          <w:p w14:paraId="3B3E8CB0"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TRANSELEC S.A.</w:t>
            </w:r>
          </w:p>
        </w:tc>
        <w:tc>
          <w:tcPr>
            <w:tcW w:w="2268" w:type="dxa"/>
            <w:tcBorders>
              <w:top w:val="nil"/>
              <w:left w:val="nil"/>
              <w:bottom w:val="single" w:sz="4" w:space="0" w:color="auto"/>
              <w:right w:val="single" w:sz="4" w:space="0" w:color="auto"/>
            </w:tcBorders>
            <w:shd w:val="clear" w:color="auto" w:fill="auto"/>
            <w:noWrap/>
            <w:vAlign w:val="bottom"/>
          </w:tcPr>
          <w:p w14:paraId="69A7FC99"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4.625.148,61</w:t>
            </w:r>
          </w:p>
        </w:tc>
      </w:tr>
      <w:tr w:rsidR="004864FF" w:rsidRPr="0069558B" w14:paraId="280040F0"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48EF95DB"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N_102</w:t>
            </w:r>
          </w:p>
        </w:tc>
        <w:tc>
          <w:tcPr>
            <w:tcW w:w="3969" w:type="dxa"/>
            <w:tcBorders>
              <w:top w:val="nil"/>
              <w:left w:val="nil"/>
              <w:bottom w:val="single" w:sz="4" w:space="0" w:color="auto"/>
              <w:right w:val="single" w:sz="4" w:space="0" w:color="auto"/>
            </w:tcBorders>
            <w:shd w:val="clear" w:color="auto" w:fill="auto"/>
            <w:vAlign w:val="center"/>
            <w:hideMark/>
          </w:tcPr>
          <w:p w14:paraId="2A54DC6F"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O Higgins 220-&gt;Atacama 220</w:t>
            </w:r>
          </w:p>
        </w:tc>
        <w:tc>
          <w:tcPr>
            <w:tcW w:w="1134" w:type="dxa"/>
            <w:tcBorders>
              <w:top w:val="nil"/>
              <w:left w:val="nil"/>
              <w:bottom w:val="single" w:sz="4" w:space="0" w:color="auto"/>
              <w:right w:val="single" w:sz="4" w:space="0" w:color="auto"/>
            </w:tcBorders>
            <w:shd w:val="clear" w:color="auto" w:fill="auto"/>
            <w:noWrap/>
            <w:vAlign w:val="bottom"/>
          </w:tcPr>
          <w:p w14:paraId="14995B0E"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P_418</w:t>
            </w:r>
          </w:p>
        </w:tc>
        <w:tc>
          <w:tcPr>
            <w:tcW w:w="3686" w:type="dxa"/>
            <w:tcBorders>
              <w:top w:val="nil"/>
              <w:left w:val="nil"/>
              <w:bottom w:val="single" w:sz="4" w:space="0" w:color="auto"/>
              <w:right w:val="single" w:sz="4" w:space="0" w:color="auto"/>
            </w:tcBorders>
            <w:shd w:val="clear" w:color="auto" w:fill="auto"/>
            <w:noWrap/>
            <w:vAlign w:val="bottom"/>
          </w:tcPr>
          <w:p w14:paraId="5A46DB8F"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Minera Escondida</w:t>
            </w:r>
          </w:p>
        </w:tc>
        <w:tc>
          <w:tcPr>
            <w:tcW w:w="2268" w:type="dxa"/>
            <w:tcBorders>
              <w:top w:val="nil"/>
              <w:left w:val="nil"/>
              <w:bottom w:val="single" w:sz="4" w:space="0" w:color="auto"/>
              <w:right w:val="single" w:sz="4" w:space="0" w:color="auto"/>
            </w:tcBorders>
            <w:shd w:val="clear" w:color="auto" w:fill="auto"/>
            <w:noWrap/>
            <w:vAlign w:val="bottom"/>
          </w:tcPr>
          <w:p w14:paraId="6B61F4FB"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651.853,79</w:t>
            </w:r>
          </w:p>
        </w:tc>
      </w:tr>
      <w:tr w:rsidR="004864FF" w:rsidRPr="0069558B" w14:paraId="0B529CE6" w14:textId="77777777" w:rsidTr="006B5A62">
        <w:trPr>
          <w:jc w:val="center"/>
        </w:trPr>
        <w:tc>
          <w:tcPr>
            <w:tcW w:w="1985"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2CC8057D"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N_103</w:t>
            </w:r>
          </w:p>
        </w:tc>
        <w:tc>
          <w:tcPr>
            <w:tcW w:w="3969" w:type="dxa"/>
            <w:vMerge w:val="restart"/>
            <w:tcBorders>
              <w:top w:val="nil"/>
              <w:left w:val="single" w:sz="4" w:space="0" w:color="auto"/>
              <w:bottom w:val="single" w:sz="4" w:space="0" w:color="000000"/>
              <w:right w:val="single" w:sz="4" w:space="0" w:color="auto"/>
            </w:tcBorders>
            <w:shd w:val="clear" w:color="auto" w:fill="auto"/>
            <w:vAlign w:val="center"/>
            <w:hideMark/>
          </w:tcPr>
          <w:p w14:paraId="10875F22"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O Higgins 220-&gt;Kapatur 220</w:t>
            </w:r>
          </w:p>
        </w:tc>
        <w:tc>
          <w:tcPr>
            <w:tcW w:w="1134" w:type="dxa"/>
            <w:tcBorders>
              <w:top w:val="nil"/>
              <w:left w:val="nil"/>
              <w:bottom w:val="single" w:sz="4" w:space="0" w:color="auto"/>
              <w:right w:val="single" w:sz="4" w:space="0" w:color="auto"/>
            </w:tcBorders>
            <w:shd w:val="clear" w:color="auto" w:fill="auto"/>
            <w:noWrap/>
            <w:vAlign w:val="bottom"/>
          </w:tcPr>
          <w:p w14:paraId="34596335"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P_418</w:t>
            </w:r>
          </w:p>
        </w:tc>
        <w:tc>
          <w:tcPr>
            <w:tcW w:w="3686" w:type="dxa"/>
            <w:tcBorders>
              <w:top w:val="nil"/>
              <w:left w:val="nil"/>
              <w:bottom w:val="single" w:sz="4" w:space="0" w:color="auto"/>
              <w:right w:val="single" w:sz="4" w:space="0" w:color="auto"/>
            </w:tcBorders>
            <w:shd w:val="clear" w:color="auto" w:fill="auto"/>
            <w:noWrap/>
            <w:vAlign w:val="bottom"/>
          </w:tcPr>
          <w:p w14:paraId="643FC982"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Minera Escondida</w:t>
            </w:r>
          </w:p>
        </w:tc>
        <w:tc>
          <w:tcPr>
            <w:tcW w:w="2268" w:type="dxa"/>
            <w:tcBorders>
              <w:top w:val="nil"/>
              <w:left w:val="nil"/>
              <w:bottom w:val="single" w:sz="4" w:space="0" w:color="auto"/>
              <w:right w:val="single" w:sz="4" w:space="0" w:color="auto"/>
            </w:tcBorders>
            <w:shd w:val="clear" w:color="auto" w:fill="auto"/>
            <w:noWrap/>
            <w:vAlign w:val="bottom"/>
          </w:tcPr>
          <w:p w14:paraId="7E227795"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394.368,21</w:t>
            </w:r>
          </w:p>
        </w:tc>
      </w:tr>
      <w:tr w:rsidR="004864FF" w:rsidRPr="0069558B" w14:paraId="142D0A82" w14:textId="77777777" w:rsidTr="006B5A62">
        <w:trPr>
          <w:jc w:val="center"/>
        </w:trPr>
        <w:tc>
          <w:tcPr>
            <w:tcW w:w="1985" w:type="dxa"/>
            <w:vMerge/>
            <w:tcBorders>
              <w:top w:val="nil"/>
              <w:left w:val="single" w:sz="4" w:space="0" w:color="auto"/>
              <w:bottom w:val="single" w:sz="4" w:space="0" w:color="000000"/>
              <w:right w:val="single" w:sz="4" w:space="0" w:color="auto"/>
            </w:tcBorders>
            <w:vAlign w:val="center"/>
            <w:hideMark/>
          </w:tcPr>
          <w:p w14:paraId="7B59CA24" w14:textId="77777777" w:rsidR="004864FF" w:rsidRPr="0069558B" w:rsidRDefault="004864FF" w:rsidP="006B5A62">
            <w:pPr>
              <w:spacing w:before="20" w:after="20" w:line="240" w:lineRule="auto"/>
              <w:jc w:val="left"/>
              <w:rPr>
                <w:rFonts w:eastAsia="Times New Roman" w:cs="Calibri"/>
                <w:color w:val="000000"/>
                <w:sz w:val="20"/>
                <w:szCs w:val="20"/>
                <w:lang w:eastAsia="es-CL"/>
              </w:rPr>
            </w:pPr>
          </w:p>
        </w:tc>
        <w:tc>
          <w:tcPr>
            <w:tcW w:w="3969" w:type="dxa"/>
            <w:vMerge/>
            <w:tcBorders>
              <w:top w:val="nil"/>
              <w:left w:val="single" w:sz="4" w:space="0" w:color="auto"/>
              <w:bottom w:val="single" w:sz="4" w:space="0" w:color="000000"/>
              <w:right w:val="single" w:sz="4" w:space="0" w:color="auto"/>
            </w:tcBorders>
            <w:vAlign w:val="center"/>
            <w:hideMark/>
          </w:tcPr>
          <w:p w14:paraId="3EACB5D3" w14:textId="77777777" w:rsidR="004864FF" w:rsidRPr="0069558B" w:rsidRDefault="004864FF" w:rsidP="006B5A62">
            <w:pPr>
              <w:spacing w:before="20" w:after="20" w:line="240" w:lineRule="auto"/>
              <w:jc w:val="left"/>
              <w:rPr>
                <w:rFonts w:eastAsia="Times New Roman" w:cs="Calibri"/>
                <w:color w:val="000000"/>
                <w:sz w:val="20"/>
                <w:szCs w:val="20"/>
                <w:lang w:eastAsia="es-CL"/>
              </w:rPr>
            </w:pPr>
          </w:p>
        </w:tc>
        <w:tc>
          <w:tcPr>
            <w:tcW w:w="1134" w:type="dxa"/>
            <w:tcBorders>
              <w:top w:val="nil"/>
              <w:left w:val="nil"/>
              <w:bottom w:val="single" w:sz="4" w:space="0" w:color="auto"/>
              <w:right w:val="single" w:sz="4" w:space="0" w:color="auto"/>
            </w:tcBorders>
            <w:shd w:val="clear" w:color="auto" w:fill="auto"/>
            <w:noWrap/>
            <w:vAlign w:val="bottom"/>
          </w:tcPr>
          <w:p w14:paraId="02C824F7"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P_476</w:t>
            </w:r>
          </w:p>
        </w:tc>
        <w:tc>
          <w:tcPr>
            <w:tcW w:w="3686" w:type="dxa"/>
            <w:tcBorders>
              <w:top w:val="nil"/>
              <w:left w:val="nil"/>
              <w:bottom w:val="single" w:sz="4" w:space="0" w:color="auto"/>
              <w:right w:val="single" w:sz="4" w:space="0" w:color="auto"/>
            </w:tcBorders>
            <w:shd w:val="clear" w:color="auto" w:fill="auto"/>
            <w:noWrap/>
            <w:vAlign w:val="bottom"/>
          </w:tcPr>
          <w:p w14:paraId="533ECBE1"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STN</w:t>
            </w:r>
          </w:p>
        </w:tc>
        <w:tc>
          <w:tcPr>
            <w:tcW w:w="2268" w:type="dxa"/>
            <w:tcBorders>
              <w:top w:val="nil"/>
              <w:left w:val="nil"/>
              <w:bottom w:val="single" w:sz="4" w:space="0" w:color="auto"/>
              <w:right w:val="single" w:sz="4" w:space="0" w:color="auto"/>
            </w:tcBorders>
            <w:shd w:val="clear" w:color="auto" w:fill="auto"/>
            <w:noWrap/>
            <w:vAlign w:val="bottom"/>
          </w:tcPr>
          <w:p w14:paraId="2B2060C4"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26.523.425,17</w:t>
            </w:r>
          </w:p>
        </w:tc>
      </w:tr>
      <w:tr w:rsidR="004864FF" w:rsidRPr="0069558B" w14:paraId="4990CC5B"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1EF8E5C2"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N_104</w:t>
            </w:r>
          </w:p>
        </w:tc>
        <w:tc>
          <w:tcPr>
            <w:tcW w:w="3969" w:type="dxa"/>
            <w:tcBorders>
              <w:top w:val="nil"/>
              <w:left w:val="nil"/>
              <w:bottom w:val="single" w:sz="4" w:space="0" w:color="auto"/>
              <w:right w:val="single" w:sz="4" w:space="0" w:color="auto"/>
            </w:tcBorders>
            <w:shd w:val="clear" w:color="auto" w:fill="auto"/>
            <w:vAlign w:val="center"/>
            <w:hideMark/>
          </w:tcPr>
          <w:p w14:paraId="4D9316B9"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Pan de Azúcar 220-&gt;Don Goyo 220</w:t>
            </w:r>
          </w:p>
        </w:tc>
        <w:tc>
          <w:tcPr>
            <w:tcW w:w="1134" w:type="dxa"/>
            <w:tcBorders>
              <w:top w:val="nil"/>
              <w:left w:val="nil"/>
              <w:bottom w:val="single" w:sz="4" w:space="0" w:color="auto"/>
              <w:right w:val="single" w:sz="4" w:space="0" w:color="auto"/>
            </w:tcBorders>
            <w:shd w:val="clear" w:color="auto" w:fill="auto"/>
            <w:noWrap/>
            <w:vAlign w:val="bottom"/>
          </w:tcPr>
          <w:p w14:paraId="1EDB897B"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P_032</w:t>
            </w:r>
          </w:p>
        </w:tc>
        <w:tc>
          <w:tcPr>
            <w:tcW w:w="3686" w:type="dxa"/>
            <w:tcBorders>
              <w:top w:val="nil"/>
              <w:left w:val="nil"/>
              <w:bottom w:val="single" w:sz="4" w:space="0" w:color="auto"/>
              <w:right w:val="single" w:sz="4" w:space="0" w:color="auto"/>
            </w:tcBorders>
            <w:shd w:val="clear" w:color="auto" w:fill="auto"/>
            <w:noWrap/>
            <w:vAlign w:val="bottom"/>
          </w:tcPr>
          <w:p w14:paraId="6735F817"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TRANSELEC S.A.</w:t>
            </w:r>
          </w:p>
        </w:tc>
        <w:tc>
          <w:tcPr>
            <w:tcW w:w="2268" w:type="dxa"/>
            <w:tcBorders>
              <w:top w:val="nil"/>
              <w:left w:val="nil"/>
              <w:bottom w:val="single" w:sz="4" w:space="0" w:color="auto"/>
              <w:right w:val="single" w:sz="4" w:space="0" w:color="auto"/>
            </w:tcBorders>
            <w:shd w:val="clear" w:color="auto" w:fill="auto"/>
            <w:noWrap/>
            <w:vAlign w:val="bottom"/>
          </w:tcPr>
          <w:p w14:paraId="1C7B8457"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16.618.175,71</w:t>
            </w:r>
          </w:p>
        </w:tc>
      </w:tr>
      <w:tr w:rsidR="004864FF" w:rsidRPr="0069558B" w14:paraId="28427B77"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52FC953A"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N_105</w:t>
            </w:r>
          </w:p>
        </w:tc>
        <w:tc>
          <w:tcPr>
            <w:tcW w:w="3969" w:type="dxa"/>
            <w:tcBorders>
              <w:top w:val="nil"/>
              <w:left w:val="nil"/>
              <w:bottom w:val="single" w:sz="4" w:space="0" w:color="auto"/>
              <w:right w:val="single" w:sz="4" w:space="0" w:color="auto"/>
            </w:tcBorders>
            <w:shd w:val="clear" w:color="auto" w:fill="auto"/>
            <w:vAlign w:val="center"/>
            <w:hideMark/>
          </w:tcPr>
          <w:p w14:paraId="3EF5A790"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Pan de Azúcar 220-&gt;Punta Colorada 220</w:t>
            </w:r>
          </w:p>
        </w:tc>
        <w:tc>
          <w:tcPr>
            <w:tcW w:w="1134" w:type="dxa"/>
            <w:tcBorders>
              <w:top w:val="nil"/>
              <w:left w:val="nil"/>
              <w:bottom w:val="single" w:sz="4" w:space="0" w:color="auto"/>
              <w:right w:val="single" w:sz="4" w:space="0" w:color="auto"/>
            </w:tcBorders>
            <w:shd w:val="clear" w:color="auto" w:fill="auto"/>
            <w:noWrap/>
            <w:vAlign w:val="bottom"/>
          </w:tcPr>
          <w:p w14:paraId="712A22D1"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P_032</w:t>
            </w:r>
          </w:p>
        </w:tc>
        <w:tc>
          <w:tcPr>
            <w:tcW w:w="3686" w:type="dxa"/>
            <w:tcBorders>
              <w:top w:val="nil"/>
              <w:left w:val="nil"/>
              <w:bottom w:val="single" w:sz="4" w:space="0" w:color="auto"/>
              <w:right w:val="single" w:sz="4" w:space="0" w:color="auto"/>
            </w:tcBorders>
            <w:shd w:val="clear" w:color="auto" w:fill="auto"/>
            <w:noWrap/>
            <w:vAlign w:val="bottom"/>
          </w:tcPr>
          <w:p w14:paraId="78868E27"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TRANSELEC S.A.</w:t>
            </w:r>
          </w:p>
        </w:tc>
        <w:tc>
          <w:tcPr>
            <w:tcW w:w="2268" w:type="dxa"/>
            <w:tcBorders>
              <w:top w:val="nil"/>
              <w:left w:val="nil"/>
              <w:bottom w:val="single" w:sz="4" w:space="0" w:color="auto"/>
              <w:right w:val="single" w:sz="4" w:space="0" w:color="auto"/>
            </w:tcBorders>
            <w:shd w:val="clear" w:color="auto" w:fill="auto"/>
            <w:noWrap/>
            <w:vAlign w:val="bottom"/>
          </w:tcPr>
          <w:p w14:paraId="5D087377"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21.576.889,93</w:t>
            </w:r>
          </w:p>
        </w:tc>
      </w:tr>
      <w:tr w:rsidR="004864FF" w:rsidRPr="0069558B" w14:paraId="676F3B1F" w14:textId="77777777" w:rsidTr="006B5A62">
        <w:trPr>
          <w:jc w:val="center"/>
        </w:trPr>
        <w:tc>
          <w:tcPr>
            <w:tcW w:w="1985"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198758E7"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N_106</w:t>
            </w:r>
          </w:p>
        </w:tc>
        <w:tc>
          <w:tcPr>
            <w:tcW w:w="3969" w:type="dxa"/>
            <w:vMerge w:val="restart"/>
            <w:tcBorders>
              <w:top w:val="nil"/>
              <w:left w:val="single" w:sz="4" w:space="0" w:color="auto"/>
              <w:bottom w:val="single" w:sz="4" w:space="0" w:color="000000"/>
              <w:right w:val="single" w:sz="4" w:space="0" w:color="auto"/>
            </w:tcBorders>
            <w:shd w:val="clear" w:color="auto" w:fill="auto"/>
            <w:vAlign w:val="center"/>
            <w:hideMark/>
          </w:tcPr>
          <w:p w14:paraId="786A5322"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Pargua 220-&gt;Nueva Ancud 220</w:t>
            </w:r>
          </w:p>
        </w:tc>
        <w:tc>
          <w:tcPr>
            <w:tcW w:w="1134" w:type="dxa"/>
            <w:tcBorders>
              <w:top w:val="nil"/>
              <w:left w:val="nil"/>
              <w:bottom w:val="single" w:sz="4" w:space="0" w:color="auto"/>
              <w:right w:val="single" w:sz="4" w:space="0" w:color="auto"/>
            </w:tcBorders>
            <w:shd w:val="clear" w:color="auto" w:fill="auto"/>
            <w:noWrap/>
            <w:vAlign w:val="bottom"/>
          </w:tcPr>
          <w:p w14:paraId="2204288E"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P_032</w:t>
            </w:r>
          </w:p>
        </w:tc>
        <w:tc>
          <w:tcPr>
            <w:tcW w:w="3686" w:type="dxa"/>
            <w:tcBorders>
              <w:top w:val="nil"/>
              <w:left w:val="nil"/>
              <w:bottom w:val="single" w:sz="4" w:space="0" w:color="auto"/>
              <w:right w:val="single" w:sz="4" w:space="0" w:color="auto"/>
            </w:tcBorders>
            <w:shd w:val="clear" w:color="auto" w:fill="auto"/>
            <w:noWrap/>
            <w:vAlign w:val="bottom"/>
          </w:tcPr>
          <w:p w14:paraId="149483F7"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TRANSELEC S.A.</w:t>
            </w:r>
          </w:p>
        </w:tc>
        <w:tc>
          <w:tcPr>
            <w:tcW w:w="2268" w:type="dxa"/>
            <w:tcBorders>
              <w:top w:val="nil"/>
              <w:left w:val="nil"/>
              <w:bottom w:val="single" w:sz="4" w:space="0" w:color="auto"/>
              <w:right w:val="single" w:sz="4" w:space="0" w:color="auto"/>
            </w:tcBorders>
            <w:shd w:val="clear" w:color="auto" w:fill="auto"/>
            <w:noWrap/>
            <w:vAlign w:val="bottom"/>
          </w:tcPr>
          <w:p w14:paraId="20974CEF"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4.578.649,38</w:t>
            </w:r>
          </w:p>
        </w:tc>
      </w:tr>
      <w:tr w:rsidR="004864FF" w:rsidRPr="0069558B" w14:paraId="52F1770F" w14:textId="77777777" w:rsidTr="006B5A62">
        <w:trPr>
          <w:jc w:val="center"/>
        </w:trPr>
        <w:tc>
          <w:tcPr>
            <w:tcW w:w="1985" w:type="dxa"/>
            <w:vMerge/>
            <w:tcBorders>
              <w:top w:val="nil"/>
              <w:left w:val="single" w:sz="4" w:space="0" w:color="auto"/>
              <w:bottom w:val="single" w:sz="4" w:space="0" w:color="000000"/>
              <w:right w:val="single" w:sz="4" w:space="0" w:color="auto"/>
            </w:tcBorders>
            <w:vAlign w:val="center"/>
            <w:hideMark/>
          </w:tcPr>
          <w:p w14:paraId="313C0D59" w14:textId="77777777" w:rsidR="004864FF" w:rsidRPr="0069558B" w:rsidRDefault="004864FF" w:rsidP="006B5A62">
            <w:pPr>
              <w:spacing w:before="20" w:after="20" w:line="240" w:lineRule="auto"/>
              <w:jc w:val="left"/>
              <w:rPr>
                <w:rFonts w:eastAsia="Times New Roman" w:cs="Calibri"/>
                <w:color w:val="000000"/>
                <w:sz w:val="20"/>
                <w:szCs w:val="20"/>
                <w:lang w:eastAsia="es-CL"/>
              </w:rPr>
            </w:pPr>
          </w:p>
        </w:tc>
        <w:tc>
          <w:tcPr>
            <w:tcW w:w="3969" w:type="dxa"/>
            <w:vMerge/>
            <w:tcBorders>
              <w:top w:val="nil"/>
              <w:left w:val="single" w:sz="4" w:space="0" w:color="auto"/>
              <w:bottom w:val="single" w:sz="4" w:space="0" w:color="000000"/>
              <w:right w:val="single" w:sz="4" w:space="0" w:color="auto"/>
            </w:tcBorders>
            <w:vAlign w:val="center"/>
            <w:hideMark/>
          </w:tcPr>
          <w:p w14:paraId="67D8D730" w14:textId="77777777" w:rsidR="004864FF" w:rsidRPr="0069558B" w:rsidRDefault="004864FF" w:rsidP="006B5A62">
            <w:pPr>
              <w:spacing w:before="20" w:after="20" w:line="240" w:lineRule="auto"/>
              <w:jc w:val="left"/>
              <w:rPr>
                <w:rFonts w:eastAsia="Times New Roman" w:cs="Calibri"/>
                <w:color w:val="000000"/>
                <w:sz w:val="20"/>
                <w:szCs w:val="20"/>
                <w:lang w:eastAsia="es-CL"/>
              </w:rPr>
            </w:pPr>
          </w:p>
        </w:tc>
        <w:tc>
          <w:tcPr>
            <w:tcW w:w="1134" w:type="dxa"/>
            <w:tcBorders>
              <w:top w:val="nil"/>
              <w:left w:val="nil"/>
              <w:bottom w:val="single" w:sz="4" w:space="0" w:color="auto"/>
              <w:right w:val="single" w:sz="4" w:space="0" w:color="auto"/>
            </w:tcBorders>
            <w:shd w:val="clear" w:color="auto" w:fill="auto"/>
            <w:noWrap/>
            <w:vAlign w:val="bottom"/>
          </w:tcPr>
          <w:p w14:paraId="04C42DB3"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P_100</w:t>
            </w:r>
          </w:p>
        </w:tc>
        <w:tc>
          <w:tcPr>
            <w:tcW w:w="3686" w:type="dxa"/>
            <w:tcBorders>
              <w:top w:val="nil"/>
              <w:left w:val="nil"/>
              <w:bottom w:val="single" w:sz="4" w:space="0" w:color="auto"/>
              <w:right w:val="single" w:sz="4" w:space="0" w:color="auto"/>
            </w:tcBorders>
            <w:shd w:val="clear" w:color="auto" w:fill="auto"/>
            <w:noWrap/>
            <w:vAlign w:val="bottom"/>
          </w:tcPr>
          <w:p w14:paraId="7519D6A9"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STS</w:t>
            </w:r>
          </w:p>
        </w:tc>
        <w:tc>
          <w:tcPr>
            <w:tcW w:w="2268" w:type="dxa"/>
            <w:tcBorders>
              <w:top w:val="nil"/>
              <w:left w:val="nil"/>
              <w:bottom w:val="single" w:sz="4" w:space="0" w:color="auto"/>
              <w:right w:val="single" w:sz="4" w:space="0" w:color="auto"/>
            </w:tcBorders>
            <w:shd w:val="clear" w:color="auto" w:fill="auto"/>
            <w:noWrap/>
            <w:vAlign w:val="bottom"/>
          </w:tcPr>
          <w:p w14:paraId="7B4CF8CB"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3.962.542,35</w:t>
            </w:r>
          </w:p>
        </w:tc>
      </w:tr>
      <w:tr w:rsidR="004864FF" w:rsidRPr="0069558B" w14:paraId="485291B4" w14:textId="77777777" w:rsidTr="006B5A62">
        <w:trPr>
          <w:jc w:val="center"/>
        </w:trPr>
        <w:tc>
          <w:tcPr>
            <w:tcW w:w="1985"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14716945"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N_107</w:t>
            </w:r>
          </w:p>
        </w:tc>
        <w:tc>
          <w:tcPr>
            <w:tcW w:w="3969" w:type="dxa"/>
            <w:vMerge w:val="restart"/>
            <w:tcBorders>
              <w:top w:val="nil"/>
              <w:left w:val="single" w:sz="4" w:space="0" w:color="auto"/>
              <w:bottom w:val="single" w:sz="4" w:space="0" w:color="000000"/>
              <w:right w:val="single" w:sz="4" w:space="0" w:color="auto"/>
            </w:tcBorders>
            <w:shd w:val="clear" w:color="auto" w:fill="auto"/>
            <w:vAlign w:val="center"/>
            <w:hideMark/>
          </w:tcPr>
          <w:p w14:paraId="5DE04858"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Polpaico 220-&gt;Quilapilun 220</w:t>
            </w:r>
          </w:p>
        </w:tc>
        <w:tc>
          <w:tcPr>
            <w:tcW w:w="1134" w:type="dxa"/>
            <w:tcBorders>
              <w:top w:val="nil"/>
              <w:left w:val="nil"/>
              <w:bottom w:val="single" w:sz="4" w:space="0" w:color="auto"/>
              <w:right w:val="single" w:sz="4" w:space="0" w:color="auto"/>
            </w:tcBorders>
            <w:shd w:val="clear" w:color="auto" w:fill="auto"/>
            <w:noWrap/>
            <w:vAlign w:val="bottom"/>
          </w:tcPr>
          <w:p w14:paraId="00442E5E"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P_241</w:t>
            </w:r>
          </w:p>
        </w:tc>
        <w:tc>
          <w:tcPr>
            <w:tcW w:w="3686" w:type="dxa"/>
            <w:tcBorders>
              <w:top w:val="nil"/>
              <w:left w:val="nil"/>
              <w:bottom w:val="single" w:sz="4" w:space="0" w:color="auto"/>
              <w:right w:val="single" w:sz="4" w:space="0" w:color="auto"/>
            </w:tcBorders>
            <w:shd w:val="clear" w:color="auto" w:fill="auto"/>
            <w:noWrap/>
            <w:vAlign w:val="bottom"/>
          </w:tcPr>
          <w:p w14:paraId="52B369D2"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Codelco Chile - División Andina</w:t>
            </w:r>
          </w:p>
        </w:tc>
        <w:tc>
          <w:tcPr>
            <w:tcW w:w="2268" w:type="dxa"/>
            <w:tcBorders>
              <w:top w:val="nil"/>
              <w:left w:val="nil"/>
              <w:bottom w:val="single" w:sz="4" w:space="0" w:color="auto"/>
              <w:right w:val="single" w:sz="4" w:space="0" w:color="auto"/>
            </w:tcBorders>
            <w:shd w:val="clear" w:color="auto" w:fill="auto"/>
            <w:noWrap/>
            <w:vAlign w:val="bottom"/>
          </w:tcPr>
          <w:p w14:paraId="47EF746F"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538.959,17</w:t>
            </w:r>
          </w:p>
        </w:tc>
      </w:tr>
      <w:tr w:rsidR="004864FF" w:rsidRPr="0069558B" w14:paraId="4133EE9D" w14:textId="77777777" w:rsidTr="006B5A62">
        <w:trPr>
          <w:jc w:val="center"/>
        </w:trPr>
        <w:tc>
          <w:tcPr>
            <w:tcW w:w="1985" w:type="dxa"/>
            <w:vMerge/>
            <w:tcBorders>
              <w:top w:val="nil"/>
              <w:left w:val="single" w:sz="4" w:space="0" w:color="auto"/>
              <w:bottom w:val="single" w:sz="4" w:space="0" w:color="000000"/>
              <w:right w:val="single" w:sz="4" w:space="0" w:color="auto"/>
            </w:tcBorders>
            <w:vAlign w:val="center"/>
            <w:hideMark/>
          </w:tcPr>
          <w:p w14:paraId="22AC75E4" w14:textId="77777777" w:rsidR="004864FF" w:rsidRPr="0069558B" w:rsidRDefault="004864FF" w:rsidP="006B5A62">
            <w:pPr>
              <w:spacing w:before="20" w:after="20" w:line="240" w:lineRule="auto"/>
              <w:jc w:val="left"/>
              <w:rPr>
                <w:rFonts w:eastAsia="Times New Roman" w:cs="Calibri"/>
                <w:color w:val="000000"/>
                <w:sz w:val="20"/>
                <w:szCs w:val="20"/>
                <w:lang w:eastAsia="es-CL"/>
              </w:rPr>
            </w:pPr>
          </w:p>
        </w:tc>
        <w:tc>
          <w:tcPr>
            <w:tcW w:w="3969" w:type="dxa"/>
            <w:vMerge/>
            <w:tcBorders>
              <w:top w:val="nil"/>
              <w:left w:val="single" w:sz="4" w:space="0" w:color="auto"/>
              <w:bottom w:val="single" w:sz="4" w:space="0" w:color="000000"/>
              <w:right w:val="single" w:sz="4" w:space="0" w:color="auto"/>
            </w:tcBorders>
            <w:vAlign w:val="center"/>
            <w:hideMark/>
          </w:tcPr>
          <w:p w14:paraId="4D337AF4" w14:textId="77777777" w:rsidR="004864FF" w:rsidRPr="0069558B" w:rsidRDefault="004864FF" w:rsidP="006B5A62">
            <w:pPr>
              <w:spacing w:before="20" w:after="20" w:line="240" w:lineRule="auto"/>
              <w:jc w:val="left"/>
              <w:rPr>
                <w:rFonts w:eastAsia="Times New Roman" w:cs="Calibri"/>
                <w:color w:val="000000"/>
                <w:sz w:val="20"/>
                <w:szCs w:val="20"/>
                <w:lang w:eastAsia="es-CL"/>
              </w:rPr>
            </w:pPr>
          </w:p>
        </w:tc>
        <w:tc>
          <w:tcPr>
            <w:tcW w:w="1134" w:type="dxa"/>
            <w:tcBorders>
              <w:top w:val="nil"/>
              <w:left w:val="nil"/>
              <w:bottom w:val="single" w:sz="4" w:space="0" w:color="auto"/>
              <w:right w:val="single" w:sz="4" w:space="0" w:color="auto"/>
            </w:tcBorders>
            <w:shd w:val="clear" w:color="auto" w:fill="auto"/>
            <w:noWrap/>
            <w:vAlign w:val="bottom"/>
          </w:tcPr>
          <w:p w14:paraId="4B00B549"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P_244</w:t>
            </w:r>
          </w:p>
        </w:tc>
        <w:tc>
          <w:tcPr>
            <w:tcW w:w="3686" w:type="dxa"/>
            <w:tcBorders>
              <w:top w:val="nil"/>
              <w:left w:val="nil"/>
              <w:bottom w:val="single" w:sz="4" w:space="0" w:color="auto"/>
              <w:right w:val="single" w:sz="4" w:space="0" w:color="auto"/>
            </w:tcBorders>
            <w:shd w:val="clear" w:color="auto" w:fill="auto"/>
            <w:noWrap/>
            <w:vAlign w:val="bottom"/>
          </w:tcPr>
          <w:p w14:paraId="753798C5"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Colbún Transmisión</w:t>
            </w:r>
          </w:p>
        </w:tc>
        <w:tc>
          <w:tcPr>
            <w:tcW w:w="2268" w:type="dxa"/>
            <w:tcBorders>
              <w:top w:val="nil"/>
              <w:left w:val="nil"/>
              <w:bottom w:val="single" w:sz="4" w:space="0" w:color="auto"/>
              <w:right w:val="single" w:sz="4" w:space="0" w:color="auto"/>
            </w:tcBorders>
            <w:shd w:val="clear" w:color="auto" w:fill="auto"/>
            <w:noWrap/>
            <w:vAlign w:val="bottom"/>
          </w:tcPr>
          <w:p w14:paraId="70ECA2F1"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7.130.855,98</w:t>
            </w:r>
          </w:p>
        </w:tc>
      </w:tr>
      <w:tr w:rsidR="004864FF" w:rsidRPr="0069558B" w14:paraId="2D83BB46"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0055C8A4"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N_109</w:t>
            </w:r>
          </w:p>
        </w:tc>
        <w:tc>
          <w:tcPr>
            <w:tcW w:w="3969" w:type="dxa"/>
            <w:tcBorders>
              <w:top w:val="nil"/>
              <w:left w:val="nil"/>
              <w:bottom w:val="single" w:sz="4" w:space="0" w:color="auto"/>
              <w:right w:val="single" w:sz="4" w:space="0" w:color="auto"/>
            </w:tcBorders>
            <w:shd w:val="clear" w:color="auto" w:fill="auto"/>
            <w:vAlign w:val="center"/>
            <w:hideMark/>
          </w:tcPr>
          <w:p w14:paraId="75FEF99E"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Polpaico 220-&gt;Tap El Manzano 220</w:t>
            </w:r>
          </w:p>
        </w:tc>
        <w:tc>
          <w:tcPr>
            <w:tcW w:w="1134" w:type="dxa"/>
            <w:tcBorders>
              <w:top w:val="nil"/>
              <w:left w:val="nil"/>
              <w:bottom w:val="single" w:sz="4" w:space="0" w:color="auto"/>
              <w:right w:val="single" w:sz="4" w:space="0" w:color="auto"/>
            </w:tcBorders>
            <w:shd w:val="clear" w:color="auto" w:fill="auto"/>
            <w:noWrap/>
            <w:vAlign w:val="bottom"/>
          </w:tcPr>
          <w:p w14:paraId="51BB0B86"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P_111</w:t>
            </w:r>
          </w:p>
        </w:tc>
        <w:tc>
          <w:tcPr>
            <w:tcW w:w="3686" w:type="dxa"/>
            <w:tcBorders>
              <w:top w:val="nil"/>
              <w:left w:val="nil"/>
              <w:bottom w:val="single" w:sz="4" w:space="0" w:color="auto"/>
              <w:right w:val="single" w:sz="4" w:space="0" w:color="auto"/>
            </w:tcBorders>
            <w:shd w:val="clear" w:color="auto" w:fill="auto"/>
            <w:noWrap/>
            <w:vAlign w:val="bottom"/>
          </w:tcPr>
          <w:p w14:paraId="0FB5F5C4"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ENEL DISTRIBUCION S.A.</w:t>
            </w:r>
          </w:p>
        </w:tc>
        <w:tc>
          <w:tcPr>
            <w:tcW w:w="2268" w:type="dxa"/>
            <w:tcBorders>
              <w:top w:val="nil"/>
              <w:left w:val="nil"/>
              <w:bottom w:val="single" w:sz="4" w:space="0" w:color="auto"/>
              <w:right w:val="single" w:sz="4" w:space="0" w:color="auto"/>
            </w:tcBorders>
            <w:shd w:val="clear" w:color="auto" w:fill="auto"/>
            <w:noWrap/>
            <w:vAlign w:val="bottom"/>
          </w:tcPr>
          <w:p w14:paraId="52A20AC3"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6.998.601,02</w:t>
            </w:r>
          </w:p>
        </w:tc>
      </w:tr>
      <w:tr w:rsidR="004864FF" w:rsidRPr="0069558B" w14:paraId="76051AD4"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31B43D81"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N_110</w:t>
            </w:r>
          </w:p>
        </w:tc>
        <w:tc>
          <w:tcPr>
            <w:tcW w:w="3969" w:type="dxa"/>
            <w:tcBorders>
              <w:top w:val="nil"/>
              <w:left w:val="nil"/>
              <w:bottom w:val="single" w:sz="4" w:space="0" w:color="auto"/>
              <w:right w:val="single" w:sz="4" w:space="0" w:color="auto"/>
            </w:tcBorders>
            <w:shd w:val="clear" w:color="auto" w:fill="auto"/>
            <w:vAlign w:val="center"/>
            <w:hideMark/>
          </w:tcPr>
          <w:p w14:paraId="6AA845DE"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Polpaico 500-&gt;Lo Aguirre 500</w:t>
            </w:r>
          </w:p>
        </w:tc>
        <w:tc>
          <w:tcPr>
            <w:tcW w:w="1134" w:type="dxa"/>
            <w:tcBorders>
              <w:top w:val="nil"/>
              <w:left w:val="nil"/>
              <w:bottom w:val="single" w:sz="4" w:space="0" w:color="auto"/>
              <w:right w:val="single" w:sz="4" w:space="0" w:color="auto"/>
            </w:tcBorders>
            <w:shd w:val="clear" w:color="auto" w:fill="auto"/>
            <w:noWrap/>
            <w:vAlign w:val="bottom"/>
          </w:tcPr>
          <w:p w14:paraId="548D44D7"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P_032</w:t>
            </w:r>
          </w:p>
        </w:tc>
        <w:tc>
          <w:tcPr>
            <w:tcW w:w="3686" w:type="dxa"/>
            <w:tcBorders>
              <w:top w:val="nil"/>
              <w:left w:val="nil"/>
              <w:bottom w:val="single" w:sz="4" w:space="0" w:color="auto"/>
              <w:right w:val="single" w:sz="4" w:space="0" w:color="auto"/>
            </w:tcBorders>
            <w:shd w:val="clear" w:color="auto" w:fill="auto"/>
            <w:noWrap/>
            <w:vAlign w:val="bottom"/>
          </w:tcPr>
          <w:p w14:paraId="4A96DB39"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TRANSELEC S.A.</w:t>
            </w:r>
          </w:p>
        </w:tc>
        <w:tc>
          <w:tcPr>
            <w:tcW w:w="2268" w:type="dxa"/>
            <w:tcBorders>
              <w:top w:val="nil"/>
              <w:left w:val="nil"/>
              <w:bottom w:val="single" w:sz="4" w:space="0" w:color="auto"/>
              <w:right w:val="single" w:sz="4" w:space="0" w:color="auto"/>
            </w:tcBorders>
            <w:shd w:val="clear" w:color="auto" w:fill="auto"/>
            <w:noWrap/>
            <w:vAlign w:val="bottom"/>
          </w:tcPr>
          <w:p w14:paraId="186501DC"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27.103.968,36</w:t>
            </w:r>
          </w:p>
        </w:tc>
      </w:tr>
      <w:tr w:rsidR="004864FF" w:rsidRPr="0069558B" w14:paraId="34154013"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3CE322EA"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N_111</w:t>
            </w:r>
          </w:p>
        </w:tc>
        <w:tc>
          <w:tcPr>
            <w:tcW w:w="3969" w:type="dxa"/>
            <w:tcBorders>
              <w:top w:val="nil"/>
              <w:left w:val="nil"/>
              <w:bottom w:val="single" w:sz="4" w:space="0" w:color="auto"/>
              <w:right w:val="single" w:sz="4" w:space="0" w:color="auto"/>
            </w:tcBorders>
            <w:shd w:val="clear" w:color="auto" w:fill="auto"/>
            <w:vAlign w:val="center"/>
            <w:hideMark/>
          </w:tcPr>
          <w:p w14:paraId="70BF340F"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Polpaico 500-&gt;Polpaico 220</w:t>
            </w:r>
          </w:p>
        </w:tc>
        <w:tc>
          <w:tcPr>
            <w:tcW w:w="1134" w:type="dxa"/>
            <w:tcBorders>
              <w:top w:val="nil"/>
              <w:left w:val="nil"/>
              <w:bottom w:val="single" w:sz="4" w:space="0" w:color="auto"/>
              <w:right w:val="single" w:sz="4" w:space="0" w:color="auto"/>
            </w:tcBorders>
            <w:shd w:val="clear" w:color="auto" w:fill="auto"/>
            <w:noWrap/>
            <w:vAlign w:val="bottom"/>
          </w:tcPr>
          <w:p w14:paraId="723D2778"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P_032</w:t>
            </w:r>
          </w:p>
        </w:tc>
        <w:tc>
          <w:tcPr>
            <w:tcW w:w="3686" w:type="dxa"/>
            <w:tcBorders>
              <w:top w:val="nil"/>
              <w:left w:val="nil"/>
              <w:bottom w:val="single" w:sz="4" w:space="0" w:color="auto"/>
              <w:right w:val="single" w:sz="4" w:space="0" w:color="auto"/>
            </w:tcBorders>
            <w:shd w:val="clear" w:color="auto" w:fill="auto"/>
            <w:noWrap/>
            <w:vAlign w:val="bottom"/>
          </w:tcPr>
          <w:p w14:paraId="2F2028BF"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TRANSELEC S.A.</w:t>
            </w:r>
          </w:p>
        </w:tc>
        <w:tc>
          <w:tcPr>
            <w:tcW w:w="2268" w:type="dxa"/>
            <w:tcBorders>
              <w:top w:val="nil"/>
              <w:left w:val="nil"/>
              <w:bottom w:val="single" w:sz="4" w:space="0" w:color="auto"/>
              <w:right w:val="single" w:sz="4" w:space="0" w:color="auto"/>
            </w:tcBorders>
            <w:shd w:val="clear" w:color="auto" w:fill="auto"/>
            <w:noWrap/>
            <w:vAlign w:val="bottom"/>
          </w:tcPr>
          <w:p w14:paraId="7FC7EE7D"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15.311.980,02</w:t>
            </w:r>
          </w:p>
        </w:tc>
      </w:tr>
      <w:tr w:rsidR="004864FF" w:rsidRPr="0069558B" w14:paraId="276A4E64"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2E47ECC0"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N_112</w:t>
            </w:r>
          </w:p>
        </w:tc>
        <w:tc>
          <w:tcPr>
            <w:tcW w:w="3969" w:type="dxa"/>
            <w:tcBorders>
              <w:top w:val="nil"/>
              <w:left w:val="nil"/>
              <w:bottom w:val="single" w:sz="4" w:space="0" w:color="auto"/>
              <w:right w:val="single" w:sz="4" w:space="0" w:color="auto"/>
            </w:tcBorders>
            <w:shd w:val="clear" w:color="auto" w:fill="auto"/>
            <w:vAlign w:val="center"/>
            <w:hideMark/>
          </w:tcPr>
          <w:p w14:paraId="18523F0B"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Pozo Almonte 220-&gt;Nueva Pozo Almonte 220</w:t>
            </w:r>
          </w:p>
        </w:tc>
        <w:tc>
          <w:tcPr>
            <w:tcW w:w="1134" w:type="dxa"/>
            <w:tcBorders>
              <w:top w:val="nil"/>
              <w:left w:val="nil"/>
              <w:bottom w:val="single" w:sz="4" w:space="0" w:color="auto"/>
              <w:right w:val="single" w:sz="4" w:space="0" w:color="auto"/>
            </w:tcBorders>
            <w:shd w:val="clear" w:color="auto" w:fill="auto"/>
            <w:noWrap/>
            <w:vAlign w:val="bottom"/>
          </w:tcPr>
          <w:p w14:paraId="264952CD"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P_164</w:t>
            </w:r>
          </w:p>
        </w:tc>
        <w:tc>
          <w:tcPr>
            <w:tcW w:w="3686" w:type="dxa"/>
            <w:tcBorders>
              <w:top w:val="nil"/>
              <w:left w:val="nil"/>
              <w:bottom w:val="single" w:sz="4" w:space="0" w:color="auto"/>
              <w:right w:val="single" w:sz="4" w:space="0" w:color="auto"/>
            </w:tcBorders>
            <w:shd w:val="clear" w:color="auto" w:fill="auto"/>
            <w:noWrap/>
            <w:vAlign w:val="bottom"/>
          </w:tcPr>
          <w:p w14:paraId="65FA5916"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E-CL</w:t>
            </w:r>
          </w:p>
        </w:tc>
        <w:tc>
          <w:tcPr>
            <w:tcW w:w="2268" w:type="dxa"/>
            <w:tcBorders>
              <w:top w:val="nil"/>
              <w:left w:val="nil"/>
              <w:bottom w:val="single" w:sz="4" w:space="0" w:color="auto"/>
              <w:right w:val="single" w:sz="4" w:space="0" w:color="auto"/>
            </w:tcBorders>
            <w:shd w:val="clear" w:color="auto" w:fill="auto"/>
            <w:noWrap/>
            <w:vAlign w:val="bottom"/>
          </w:tcPr>
          <w:p w14:paraId="5038A04B"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5.643.225,15</w:t>
            </w:r>
          </w:p>
        </w:tc>
      </w:tr>
      <w:tr w:rsidR="004864FF" w:rsidRPr="0069558B" w14:paraId="7E97B96D"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344E1072"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lastRenderedPageBreak/>
              <w:t>N_113</w:t>
            </w:r>
          </w:p>
        </w:tc>
        <w:tc>
          <w:tcPr>
            <w:tcW w:w="3969" w:type="dxa"/>
            <w:tcBorders>
              <w:top w:val="nil"/>
              <w:left w:val="nil"/>
              <w:bottom w:val="single" w:sz="4" w:space="0" w:color="auto"/>
              <w:right w:val="single" w:sz="4" w:space="0" w:color="auto"/>
            </w:tcBorders>
            <w:shd w:val="clear" w:color="auto" w:fill="auto"/>
            <w:vAlign w:val="center"/>
            <w:hideMark/>
          </w:tcPr>
          <w:p w14:paraId="31D9AF25"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Puente Negro 220-&gt;Colbún 220</w:t>
            </w:r>
          </w:p>
        </w:tc>
        <w:tc>
          <w:tcPr>
            <w:tcW w:w="1134" w:type="dxa"/>
            <w:tcBorders>
              <w:top w:val="nil"/>
              <w:left w:val="nil"/>
              <w:bottom w:val="single" w:sz="4" w:space="0" w:color="auto"/>
              <w:right w:val="single" w:sz="4" w:space="0" w:color="auto"/>
            </w:tcBorders>
            <w:shd w:val="clear" w:color="auto" w:fill="auto"/>
            <w:noWrap/>
            <w:vAlign w:val="bottom"/>
          </w:tcPr>
          <w:p w14:paraId="0720EE18"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P_244</w:t>
            </w:r>
          </w:p>
        </w:tc>
        <w:tc>
          <w:tcPr>
            <w:tcW w:w="3686" w:type="dxa"/>
            <w:tcBorders>
              <w:top w:val="nil"/>
              <w:left w:val="nil"/>
              <w:bottom w:val="single" w:sz="4" w:space="0" w:color="auto"/>
              <w:right w:val="single" w:sz="4" w:space="0" w:color="auto"/>
            </w:tcBorders>
            <w:shd w:val="clear" w:color="auto" w:fill="auto"/>
            <w:noWrap/>
            <w:vAlign w:val="bottom"/>
          </w:tcPr>
          <w:p w14:paraId="155AC56B"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Colbún Transmisión</w:t>
            </w:r>
          </w:p>
        </w:tc>
        <w:tc>
          <w:tcPr>
            <w:tcW w:w="2268" w:type="dxa"/>
            <w:tcBorders>
              <w:top w:val="nil"/>
              <w:left w:val="nil"/>
              <w:bottom w:val="single" w:sz="4" w:space="0" w:color="auto"/>
              <w:right w:val="single" w:sz="4" w:space="0" w:color="auto"/>
            </w:tcBorders>
            <w:shd w:val="clear" w:color="auto" w:fill="auto"/>
            <w:noWrap/>
            <w:vAlign w:val="bottom"/>
          </w:tcPr>
          <w:p w14:paraId="56546446"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54.839.932,26</w:t>
            </w:r>
          </w:p>
        </w:tc>
      </w:tr>
      <w:tr w:rsidR="004864FF" w:rsidRPr="0069558B" w14:paraId="1F96868C"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1DB18F4C"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N_115</w:t>
            </w:r>
          </w:p>
        </w:tc>
        <w:tc>
          <w:tcPr>
            <w:tcW w:w="3969" w:type="dxa"/>
            <w:tcBorders>
              <w:top w:val="nil"/>
              <w:left w:val="nil"/>
              <w:bottom w:val="single" w:sz="4" w:space="0" w:color="auto"/>
              <w:right w:val="single" w:sz="4" w:space="0" w:color="auto"/>
            </w:tcBorders>
            <w:shd w:val="clear" w:color="auto" w:fill="auto"/>
            <w:vAlign w:val="center"/>
            <w:hideMark/>
          </w:tcPr>
          <w:p w14:paraId="3FD32476"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Puerto Montt 220-&gt;Llanquihue 220</w:t>
            </w:r>
          </w:p>
        </w:tc>
        <w:tc>
          <w:tcPr>
            <w:tcW w:w="1134" w:type="dxa"/>
            <w:tcBorders>
              <w:top w:val="nil"/>
              <w:left w:val="nil"/>
              <w:bottom w:val="single" w:sz="4" w:space="0" w:color="auto"/>
              <w:right w:val="single" w:sz="4" w:space="0" w:color="auto"/>
            </w:tcBorders>
            <w:shd w:val="clear" w:color="auto" w:fill="auto"/>
            <w:noWrap/>
            <w:vAlign w:val="bottom"/>
          </w:tcPr>
          <w:p w14:paraId="222A9225"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P_032</w:t>
            </w:r>
          </w:p>
        </w:tc>
        <w:tc>
          <w:tcPr>
            <w:tcW w:w="3686" w:type="dxa"/>
            <w:tcBorders>
              <w:top w:val="nil"/>
              <w:left w:val="nil"/>
              <w:bottom w:val="single" w:sz="4" w:space="0" w:color="auto"/>
              <w:right w:val="single" w:sz="4" w:space="0" w:color="auto"/>
            </w:tcBorders>
            <w:shd w:val="clear" w:color="auto" w:fill="auto"/>
            <w:noWrap/>
            <w:vAlign w:val="bottom"/>
          </w:tcPr>
          <w:p w14:paraId="56354FA9"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TRANSELEC S.A.</w:t>
            </w:r>
          </w:p>
        </w:tc>
        <w:tc>
          <w:tcPr>
            <w:tcW w:w="2268" w:type="dxa"/>
            <w:tcBorders>
              <w:top w:val="nil"/>
              <w:left w:val="nil"/>
              <w:bottom w:val="single" w:sz="4" w:space="0" w:color="auto"/>
              <w:right w:val="single" w:sz="4" w:space="0" w:color="auto"/>
            </w:tcBorders>
            <w:shd w:val="clear" w:color="auto" w:fill="auto"/>
            <w:noWrap/>
            <w:vAlign w:val="bottom"/>
          </w:tcPr>
          <w:p w14:paraId="563DE567"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3.768.524,23</w:t>
            </w:r>
          </w:p>
        </w:tc>
      </w:tr>
      <w:tr w:rsidR="004864FF" w:rsidRPr="0069558B" w14:paraId="7DBC0239"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6CB47270"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N_116</w:t>
            </w:r>
          </w:p>
        </w:tc>
        <w:tc>
          <w:tcPr>
            <w:tcW w:w="3969" w:type="dxa"/>
            <w:tcBorders>
              <w:top w:val="nil"/>
              <w:left w:val="nil"/>
              <w:bottom w:val="single" w:sz="4" w:space="0" w:color="auto"/>
              <w:right w:val="single" w:sz="4" w:space="0" w:color="auto"/>
            </w:tcBorders>
            <w:shd w:val="clear" w:color="auto" w:fill="auto"/>
            <w:vAlign w:val="center"/>
            <w:hideMark/>
          </w:tcPr>
          <w:p w14:paraId="61971AC3"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Punta Sierra 220-&gt;La Cebada 220</w:t>
            </w:r>
          </w:p>
        </w:tc>
        <w:tc>
          <w:tcPr>
            <w:tcW w:w="1134" w:type="dxa"/>
            <w:tcBorders>
              <w:top w:val="nil"/>
              <w:left w:val="nil"/>
              <w:bottom w:val="single" w:sz="4" w:space="0" w:color="auto"/>
              <w:right w:val="single" w:sz="4" w:space="0" w:color="auto"/>
            </w:tcBorders>
            <w:shd w:val="clear" w:color="auto" w:fill="auto"/>
            <w:noWrap/>
            <w:vAlign w:val="bottom"/>
          </w:tcPr>
          <w:p w14:paraId="7CEA9037"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P_032</w:t>
            </w:r>
          </w:p>
        </w:tc>
        <w:tc>
          <w:tcPr>
            <w:tcW w:w="3686" w:type="dxa"/>
            <w:tcBorders>
              <w:top w:val="nil"/>
              <w:left w:val="nil"/>
              <w:bottom w:val="single" w:sz="4" w:space="0" w:color="auto"/>
              <w:right w:val="single" w:sz="4" w:space="0" w:color="auto"/>
            </w:tcBorders>
            <w:shd w:val="clear" w:color="auto" w:fill="auto"/>
            <w:noWrap/>
            <w:vAlign w:val="bottom"/>
          </w:tcPr>
          <w:p w14:paraId="4DAB84F7"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TRANSELEC S.A.</w:t>
            </w:r>
          </w:p>
        </w:tc>
        <w:tc>
          <w:tcPr>
            <w:tcW w:w="2268" w:type="dxa"/>
            <w:tcBorders>
              <w:top w:val="nil"/>
              <w:left w:val="nil"/>
              <w:bottom w:val="single" w:sz="4" w:space="0" w:color="auto"/>
              <w:right w:val="single" w:sz="4" w:space="0" w:color="auto"/>
            </w:tcBorders>
            <w:shd w:val="clear" w:color="auto" w:fill="auto"/>
            <w:noWrap/>
            <w:vAlign w:val="bottom"/>
          </w:tcPr>
          <w:p w14:paraId="4818E2A7"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3.394.193,91</w:t>
            </w:r>
          </w:p>
        </w:tc>
      </w:tr>
      <w:tr w:rsidR="004864FF" w:rsidRPr="0069558B" w14:paraId="783C4637"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30AE3194"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N_117</w:t>
            </w:r>
          </w:p>
        </w:tc>
        <w:tc>
          <w:tcPr>
            <w:tcW w:w="3969" w:type="dxa"/>
            <w:tcBorders>
              <w:top w:val="nil"/>
              <w:left w:val="nil"/>
              <w:bottom w:val="single" w:sz="4" w:space="0" w:color="auto"/>
              <w:right w:val="single" w:sz="4" w:space="0" w:color="auto"/>
            </w:tcBorders>
            <w:shd w:val="clear" w:color="auto" w:fill="auto"/>
            <w:vAlign w:val="center"/>
            <w:hideMark/>
          </w:tcPr>
          <w:p w14:paraId="25B0D1C2"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Punta Sierra 220-&gt;Las Palmas 220</w:t>
            </w:r>
          </w:p>
        </w:tc>
        <w:tc>
          <w:tcPr>
            <w:tcW w:w="1134" w:type="dxa"/>
            <w:tcBorders>
              <w:top w:val="nil"/>
              <w:left w:val="nil"/>
              <w:bottom w:val="single" w:sz="4" w:space="0" w:color="auto"/>
              <w:right w:val="single" w:sz="4" w:space="0" w:color="auto"/>
            </w:tcBorders>
            <w:shd w:val="clear" w:color="auto" w:fill="auto"/>
            <w:noWrap/>
            <w:vAlign w:val="bottom"/>
          </w:tcPr>
          <w:p w14:paraId="0B6BD4E6"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P_032</w:t>
            </w:r>
          </w:p>
        </w:tc>
        <w:tc>
          <w:tcPr>
            <w:tcW w:w="3686" w:type="dxa"/>
            <w:tcBorders>
              <w:top w:val="nil"/>
              <w:left w:val="nil"/>
              <w:bottom w:val="single" w:sz="4" w:space="0" w:color="auto"/>
              <w:right w:val="single" w:sz="4" w:space="0" w:color="auto"/>
            </w:tcBorders>
            <w:shd w:val="clear" w:color="auto" w:fill="auto"/>
            <w:noWrap/>
            <w:vAlign w:val="bottom"/>
          </w:tcPr>
          <w:p w14:paraId="42D331BA"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TRANSELEC S.A.</w:t>
            </w:r>
          </w:p>
        </w:tc>
        <w:tc>
          <w:tcPr>
            <w:tcW w:w="2268" w:type="dxa"/>
            <w:tcBorders>
              <w:top w:val="nil"/>
              <w:left w:val="nil"/>
              <w:bottom w:val="single" w:sz="4" w:space="0" w:color="auto"/>
              <w:right w:val="single" w:sz="4" w:space="0" w:color="auto"/>
            </w:tcBorders>
            <w:shd w:val="clear" w:color="auto" w:fill="auto"/>
            <w:noWrap/>
            <w:vAlign w:val="bottom"/>
          </w:tcPr>
          <w:p w14:paraId="3B2792EC"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5.545.835,32</w:t>
            </w:r>
          </w:p>
        </w:tc>
      </w:tr>
      <w:tr w:rsidR="004864FF" w:rsidRPr="0069558B" w14:paraId="6365490C"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3B5EAE0E"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N_118</w:t>
            </w:r>
          </w:p>
        </w:tc>
        <w:tc>
          <w:tcPr>
            <w:tcW w:w="3969" w:type="dxa"/>
            <w:tcBorders>
              <w:top w:val="nil"/>
              <w:left w:val="nil"/>
              <w:bottom w:val="single" w:sz="4" w:space="0" w:color="auto"/>
              <w:right w:val="single" w:sz="4" w:space="0" w:color="auto"/>
            </w:tcBorders>
            <w:shd w:val="clear" w:color="auto" w:fill="auto"/>
            <w:vAlign w:val="center"/>
            <w:hideMark/>
          </w:tcPr>
          <w:p w14:paraId="3A483583"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Quillota 220-&gt;Polpaico 220</w:t>
            </w:r>
          </w:p>
        </w:tc>
        <w:tc>
          <w:tcPr>
            <w:tcW w:w="1134" w:type="dxa"/>
            <w:tcBorders>
              <w:top w:val="nil"/>
              <w:left w:val="nil"/>
              <w:bottom w:val="single" w:sz="4" w:space="0" w:color="auto"/>
              <w:right w:val="single" w:sz="4" w:space="0" w:color="auto"/>
            </w:tcBorders>
            <w:shd w:val="clear" w:color="auto" w:fill="auto"/>
            <w:noWrap/>
            <w:vAlign w:val="bottom"/>
          </w:tcPr>
          <w:p w14:paraId="7F39C80A"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P_032</w:t>
            </w:r>
          </w:p>
        </w:tc>
        <w:tc>
          <w:tcPr>
            <w:tcW w:w="3686" w:type="dxa"/>
            <w:tcBorders>
              <w:top w:val="nil"/>
              <w:left w:val="nil"/>
              <w:bottom w:val="single" w:sz="4" w:space="0" w:color="auto"/>
              <w:right w:val="single" w:sz="4" w:space="0" w:color="auto"/>
            </w:tcBorders>
            <w:shd w:val="clear" w:color="auto" w:fill="auto"/>
            <w:noWrap/>
            <w:vAlign w:val="bottom"/>
          </w:tcPr>
          <w:p w14:paraId="66BC2596"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TRANSELEC S.A.</w:t>
            </w:r>
          </w:p>
        </w:tc>
        <w:tc>
          <w:tcPr>
            <w:tcW w:w="2268" w:type="dxa"/>
            <w:tcBorders>
              <w:top w:val="nil"/>
              <w:left w:val="nil"/>
              <w:bottom w:val="single" w:sz="4" w:space="0" w:color="auto"/>
              <w:right w:val="single" w:sz="4" w:space="0" w:color="auto"/>
            </w:tcBorders>
            <w:shd w:val="clear" w:color="auto" w:fill="auto"/>
            <w:noWrap/>
            <w:vAlign w:val="bottom"/>
          </w:tcPr>
          <w:p w14:paraId="5AFAD25E"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33.988.799,15</w:t>
            </w:r>
          </w:p>
        </w:tc>
      </w:tr>
      <w:tr w:rsidR="004864FF" w:rsidRPr="0069558B" w14:paraId="7F8F20FF" w14:textId="77777777" w:rsidTr="006B5A62">
        <w:trPr>
          <w:jc w:val="center"/>
        </w:trPr>
        <w:tc>
          <w:tcPr>
            <w:tcW w:w="1985"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3FB03696"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N_119</w:t>
            </w:r>
          </w:p>
        </w:tc>
        <w:tc>
          <w:tcPr>
            <w:tcW w:w="3969" w:type="dxa"/>
            <w:vMerge w:val="restart"/>
            <w:tcBorders>
              <w:top w:val="nil"/>
              <w:left w:val="single" w:sz="4" w:space="0" w:color="auto"/>
              <w:bottom w:val="single" w:sz="4" w:space="0" w:color="000000"/>
              <w:right w:val="single" w:sz="4" w:space="0" w:color="auto"/>
            </w:tcBorders>
            <w:shd w:val="clear" w:color="auto" w:fill="auto"/>
            <w:vAlign w:val="center"/>
            <w:hideMark/>
          </w:tcPr>
          <w:p w14:paraId="662B018A"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Quillota 220-&gt;San Luis 220</w:t>
            </w:r>
          </w:p>
        </w:tc>
        <w:tc>
          <w:tcPr>
            <w:tcW w:w="1134" w:type="dxa"/>
            <w:tcBorders>
              <w:top w:val="nil"/>
              <w:left w:val="nil"/>
              <w:bottom w:val="single" w:sz="4" w:space="0" w:color="auto"/>
              <w:right w:val="single" w:sz="4" w:space="0" w:color="auto"/>
            </w:tcBorders>
            <w:shd w:val="clear" w:color="auto" w:fill="auto"/>
            <w:noWrap/>
            <w:vAlign w:val="bottom"/>
          </w:tcPr>
          <w:p w14:paraId="1AE6FE4D"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P_244</w:t>
            </w:r>
          </w:p>
        </w:tc>
        <w:tc>
          <w:tcPr>
            <w:tcW w:w="3686" w:type="dxa"/>
            <w:tcBorders>
              <w:top w:val="nil"/>
              <w:left w:val="nil"/>
              <w:bottom w:val="single" w:sz="4" w:space="0" w:color="auto"/>
              <w:right w:val="single" w:sz="4" w:space="0" w:color="auto"/>
            </w:tcBorders>
            <w:shd w:val="clear" w:color="auto" w:fill="auto"/>
            <w:noWrap/>
            <w:vAlign w:val="bottom"/>
          </w:tcPr>
          <w:p w14:paraId="2AB68A6B"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Colbún Transmisión</w:t>
            </w:r>
          </w:p>
        </w:tc>
        <w:tc>
          <w:tcPr>
            <w:tcW w:w="2268" w:type="dxa"/>
            <w:tcBorders>
              <w:top w:val="nil"/>
              <w:left w:val="nil"/>
              <w:bottom w:val="single" w:sz="4" w:space="0" w:color="auto"/>
              <w:right w:val="single" w:sz="4" w:space="0" w:color="auto"/>
            </w:tcBorders>
            <w:shd w:val="clear" w:color="auto" w:fill="auto"/>
            <w:noWrap/>
            <w:vAlign w:val="bottom"/>
          </w:tcPr>
          <w:p w14:paraId="37E8F86C"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4.853.240,08</w:t>
            </w:r>
          </w:p>
        </w:tc>
      </w:tr>
      <w:tr w:rsidR="004864FF" w:rsidRPr="0069558B" w14:paraId="4A17CA51" w14:textId="77777777" w:rsidTr="006B5A62">
        <w:trPr>
          <w:jc w:val="center"/>
        </w:trPr>
        <w:tc>
          <w:tcPr>
            <w:tcW w:w="1985" w:type="dxa"/>
            <w:vMerge/>
            <w:tcBorders>
              <w:top w:val="nil"/>
              <w:left w:val="single" w:sz="4" w:space="0" w:color="auto"/>
              <w:bottom w:val="single" w:sz="4" w:space="0" w:color="000000"/>
              <w:right w:val="single" w:sz="4" w:space="0" w:color="auto"/>
            </w:tcBorders>
            <w:vAlign w:val="center"/>
            <w:hideMark/>
          </w:tcPr>
          <w:p w14:paraId="30F1C7B4" w14:textId="77777777" w:rsidR="004864FF" w:rsidRPr="0069558B" w:rsidRDefault="004864FF" w:rsidP="006B5A62">
            <w:pPr>
              <w:spacing w:before="20" w:after="20" w:line="240" w:lineRule="auto"/>
              <w:jc w:val="left"/>
              <w:rPr>
                <w:rFonts w:eastAsia="Times New Roman" w:cs="Calibri"/>
                <w:color w:val="000000"/>
                <w:sz w:val="20"/>
                <w:szCs w:val="20"/>
                <w:lang w:eastAsia="es-CL"/>
              </w:rPr>
            </w:pPr>
          </w:p>
        </w:tc>
        <w:tc>
          <w:tcPr>
            <w:tcW w:w="3969" w:type="dxa"/>
            <w:vMerge/>
            <w:tcBorders>
              <w:top w:val="nil"/>
              <w:left w:val="single" w:sz="4" w:space="0" w:color="auto"/>
              <w:bottom w:val="single" w:sz="4" w:space="0" w:color="000000"/>
              <w:right w:val="single" w:sz="4" w:space="0" w:color="auto"/>
            </w:tcBorders>
            <w:vAlign w:val="center"/>
            <w:hideMark/>
          </w:tcPr>
          <w:p w14:paraId="468721FA" w14:textId="77777777" w:rsidR="004864FF" w:rsidRPr="0069558B" w:rsidRDefault="004864FF" w:rsidP="006B5A62">
            <w:pPr>
              <w:spacing w:before="20" w:after="20" w:line="240" w:lineRule="auto"/>
              <w:jc w:val="left"/>
              <w:rPr>
                <w:rFonts w:eastAsia="Times New Roman" w:cs="Calibri"/>
                <w:color w:val="000000"/>
                <w:sz w:val="20"/>
                <w:szCs w:val="20"/>
                <w:lang w:eastAsia="es-CL"/>
              </w:rPr>
            </w:pPr>
          </w:p>
        </w:tc>
        <w:tc>
          <w:tcPr>
            <w:tcW w:w="1134" w:type="dxa"/>
            <w:tcBorders>
              <w:top w:val="nil"/>
              <w:left w:val="nil"/>
              <w:bottom w:val="single" w:sz="4" w:space="0" w:color="auto"/>
              <w:right w:val="single" w:sz="4" w:space="0" w:color="auto"/>
            </w:tcBorders>
            <w:shd w:val="clear" w:color="auto" w:fill="auto"/>
            <w:noWrap/>
            <w:vAlign w:val="bottom"/>
          </w:tcPr>
          <w:p w14:paraId="492F48A4"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P_510</w:t>
            </w:r>
          </w:p>
        </w:tc>
        <w:tc>
          <w:tcPr>
            <w:tcW w:w="3686" w:type="dxa"/>
            <w:tcBorders>
              <w:top w:val="nil"/>
              <w:left w:val="nil"/>
              <w:bottom w:val="single" w:sz="4" w:space="0" w:color="auto"/>
              <w:right w:val="single" w:sz="4" w:space="0" w:color="auto"/>
            </w:tcBorders>
            <w:shd w:val="clear" w:color="auto" w:fill="auto"/>
            <w:noWrap/>
            <w:vAlign w:val="bottom"/>
          </w:tcPr>
          <w:p w14:paraId="360286BB"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Transquillota</w:t>
            </w:r>
          </w:p>
        </w:tc>
        <w:tc>
          <w:tcPr>
            <w:tcW w:w="2268" w:type="dxa"/>
            <w:tcBorders>
              <w:top w:val="nil"/>
              <w:left w:val="nil"/>
              <w:bottom w:val="single" w:sz="4" w:space="0" w:color="auto"/>
              <w:right w:val="single" w:sz="4" w:space="0" w:color="auto"/>
            </w:tcBorders>
            <w:shd w:val="clear" w:color="auto" w:fill="auto"/>
            <w:noWrap/>
            <w:vAlign w:val="bottom"/>
          </w:tcPr>
          <w:p w14:paraId="19F794E5"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845.639,34</w:t>
            </w:r>
          </w:p>
        </w:tc>
      </w:tr>
      <w:tr w:rsidR="004864FF" w:rsidRPr="0069558B" w14:paraId="53D01458"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0DB956F3"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N_120</w:t>
            </w:r>
          </w:p>
        </w:tc>
        <w:tc>
          <w:tcPr>
            <w:tcW w:w="3969" w:type="dxa"/>
            <w:tcBorders>
              <w:top w:val="nil"/>
              <w:left w:val="nil"/>
              <w:bottom w:val="single" w:sz="4" w:space="0" w:color="auto"/>
              <w:right w:val="single" w:sz="4" w:space="0" w:color="auto"/>
            </w:tcBorders>
            <w:shd w:val="clear" w:color="auto" w:fill="auto"/>
            <w:vAlign w:val="center"/>
            <w:hideMark/>
          </w:tcPr>
          <w:p w14:paraId="1A4973BC"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Rahue 220-&gt;Frutillar Norte 220</w:t>
            </w:r>
          </w:p>
        </w:tc>
        <w:tc>
          <w:tcPr>
            <w:tcW w:w="1134" w:type="dxa"/>
            <w:tcBorders>
              <w:top w:val="nil"/>
              <w:left w:val="nil"/>
              <w:bottom w:val="single" w:sz="4" w:space="0" w:color="auto"/>
              <w:right w:val="single" w:sz="4" w:space="0" w:color="auto"/>
            </w:tcBorders>
            <w:shd w:val="clear" w:color="auto" w:fill="auto"/>
            <w:noWrap/>
            <w:vAlign w:val="bottom"/>
          </w:tcPr>
          <w:p w14:paraId="0EE9A367"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P_032</w:t>
            </w:r>
          </w:p>
        </w:tc>
        <w:tc>
          <w:tcPr>
            <w:tcW w:w="3686" w:type="dxa"/>
            <w:tcBorders>
              <w:top w:val="nil"/>
              <w:left w:val="nil"/>
              <w:bottom w:val="single" w:sz="4" w:space="0" w:color="auto"/>
              <w:right w:val="single" w:sz="4" w:space="0" w:color="auto"/>
            </w:tcBorders>
            <w:shd w:val="clear" w:color="auto" w:fill="auto"/>
            <w:noWrap/>
            <w:vAlign w:val="bottom"/>
          </w:tcPr>
          <w:p w14:paraId="342E716C"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TRANSELEC S.A.</w:t>
            </w:r>
          </w:p>
        </w:tc>
        <w:tc>
          <w:tcPr>
            <w:tcW w:w="2268" w:type="dxa"/>
            <w:tcBorders>
              <w:top w:val="nil"/>
              <w:left w:val="nil"/>
              <w:bottom w:val="single" w:sz="4" w:space="0" w:color="auto"/>
              <w:right w:val="single" w:sz="4" w:space="0" w:color="auto"/>
            </w:tcBorders>
            <w:shd w:val="clear" w:color="auto" w:fill="auto"/>
            <w:noWrap/>
            <w:vAlign w:val="bottom"/>
          </w:tcPr>
          <w:p w14:paraId="74C20F41"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12.011.019,04</w:t>
            </w:r>
          </w:p>
        </w:tc>
      </w:tr>
      <w:tr w:rsidR="004864FF" w:rsidRPr="0069558B" w14:paraId="00FFA4DF" w14:textId="77777777" w:rsidTr="006B5A62">
        <w:trPr>
          <w:jc w:val="center"/>
        </w:trPr>
        <w:tc>
          <w:tcPr>
            <w:tcW w:w="1985"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70A944D0"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N_121</w:t>
            </w:r>
          </w:p>
        </w:tc>
        <w:tc>
          <w:tcPr>
            <w:tcW w:w="3969" w:type="dxa"/>
            <w:vMerge w:val="restart"/>
            <w:tcBorders>
              <w:top w:val="nil"/>
              <w:left w:val="single" w:sz="4" w:space="0" w:color="auto"/>
              <w:bottom w:val="single" w:sz="4" w:space="0" w:color="000000"/>
              <w:right w:val="single" w:sz="4" w:space="0" w:color="auto"/>
            </w:tcBorders>
            <w:shd w:val="clear" w:color="auto" w:fill="auto"/>
            <w:vAlign w:val="center"/>
            <w:hideMark/>
          </w:tcPr>
          <w:p w14:paraId="28C1DF64"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Rahue 220-&gt;Nueva Pichirropulli 220</w:t>
            </w:r>
          </w:p>
        </w:tc>
        <w:tc>
          <w:tcPr>
            <w:tcW w:w="1134" w:type="dxa"/>
            <w:tcBorders>
              <w:top w:val="nil"/>
              <w:left w:val="nil"/>
              <w:bottom w:val="single" w:sz="4" w:space="0" w:color="auto"/>
              <w:right w:val="single" w:sz="4" w:space="0" w:color="auto"/>
            </w:tcBorders>
            <w:shd w:val="clear" w:color="auto" w:fill="auto"/>
            <w:noWrap/>
            <w:vAlign w:val="bottom"/>
          </w:tcPr>
          <w:p w14:paraId="30A3D486"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P_032</w:t>
            </w:r>
          </w:p>
        </w:tc>
        <w:tc>
          <w:tcPr>
            <w:tcW w:w="3686" w:type="dxa"/>
            <w:tcBorders>
              <w:top w:val="nil"/>
              <w:left w:val="nil"/>
              <w:bottom w:val="single" w:sz="4" w:space="0" w:color="auto"/>
              <w:right w:val="single" w:sz="4" w:space="0" w:color="auto"/>
            </w:tcBorders>
            <w:shd w:val="clear" w:color="auto" w:fill="auto"/>
            <w:noWrap/>
            <w:vAlign w:val="bottom"/>
          </w:tcPr>
          <w:p w14:paraId="181CE050"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TRANSELEC S.A.</w:t>
            </w:r>
          </w:p>
        </w:tc>
        <w:tc>
          <w:tcPr>
            <w:tcW w:w="2268" w:type="dxa"/>
            <w:tcBorders>
              <w:top w:val="nil"/>
              <w:left w:val="nil"/>
              <w:bottom w:val="single" w:sz="4" w:space="0" w:color="auto"/>
              <w:right w:val="single" w:sz="4" w:space="0" w:color="auto"/>
            </w:tcBorders>
            <w:shd w:val="clear" w:color="auto" w:fill="auto"/>
            <w:noWrap/>
            <w:vAlign w:val="bottom"/>
          </w:tcPr>
          <w:p w14:paraId="26D6296B"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10.753.049,91</w:t>
            </w:r>
          </w:p>
        </w:tc>
      </w:tr>
      <w:tr w:rsidR="004864FF" w:rsidRPr="0069558B" w14:paraId="488A5038" w14:textId="77777777" w:rsidTr="006B5A62">
        <w:trPr>
          <w:jc w:val="center"/>
        </w:trPr>
        <w:tc>
          <w:tcPr>
            <w:tcW w:w="1985" w:type="dxa"/>
            <w:vMerge/>
            <w:tcBorders>
              <w:top w:val="nil"/>
              <w:left w:val="single" w:sz="4" w:space="0" w:color="auto"/>
              <w:bottom w:val="single" w:sz="4" w:space="0" w:color="000000"/>
              <w:right w:val="single" w:sz="4" w:space="0" w:color="auto"/>
            </w:tcBorders>
            <w:vAlign w:val="center"/>
            <w:hideMark/>
          </w:tcPr>
          <w:p w14:paraId="6A64BEEC" w14:textId="77777777" w:rsidR="004864FF" w:rsidRPr="0069558B" w:rsidRDefault="004864FF" w:rsidP="006B5A62">
            <w:pPr>
              <w:spacing w:before="20" w:after="20" w:line="240" w:lineRule="auto"/>
              <w:jc w:val="left"/>
              <w:rPr>
                <w:rFonts w:eastAsia="Times New Roman" w:cs="Calibri"/>
                <w:color w:val="000000"/>
                <w:sz w:val="20"/>
                <w:szCs w:val="20"/>
                <w:lang w:eastAsia="es-CL"/>
              </w:rPr>
            </w:pPr>
          </w:p>
        </w:tc>
        <w:tc>
          <w:tcPr>
            <w:tcW w:w="3969" w:type="dxa"/>
            <w:vMerge/>
            <w:tcBorders>
              <w:top w:val="nil"/>
              <w:left w:val="single" w:sz="4" w:space="0" w:color="auto"/>
              <w:bottom w:val="single" w:sz="4" w:space="0" w:color="000000"/>
              <w:right w:val="single" w:sz="4" w:space="0" w:color="auto"/>
            </w:tcBorders>
            <w:vAlign w:val="center"/>
            <w:hideMark/>
          </w:tcPr>
          <w:p w14:paraId="35FD619E" w14:textId="77777777" w:rsidR="004864FF" w:rsidRPr="0069558B" w:rsidRDefault="004864FF" w:rsidP="006B5A62">
            <w:pPr>
              <w:spacing w:before="20" w:after="20" w:line="240" w:lineRule="auto"/>
              <w:jc w:val="left"/>
              <w:rPr>
                <w:rFonts w:eastAsia="Times New Roman" w:cs="Calibri"/>
                <w:color w:val="000000"/>
                <w:sz w:val="20"/>
                <w:szCs w:val="20"/>
                <w:lang w:eastAsia="es-CL"/>
              </w:rPr>
            </w:pPr>
          </w:p>
        </w:tc>
        <w:tc>
          <w:tcPr>
            <w:tcW w:w="1134" w:type="dxa"/>
            <w:tcBorders>
              <w:top w:val="nil"/>
              <w:left w:val="nil"/>
              <w:bottom w:val="single" w:sz="4" w:space="0" w:color="auto"/>
              <w:right w:val="single" w:sz="4" w:space="0" w:color="auto"/>
            </w:tcBorders>
            <w:shd w:val="clear" w:color="auto" w:fill="auto"/>
            <w:noWrap/>
            <w:vAlign w:val="bottom"/>
          </w:tcPr>
          <w:p w14:paraId="5496AF55"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P_290</w:t>
            </w:r>
          </w:p>
        </w:tc>
        <w:tc>
          <w:tcPr>
            <w:tcW w:w="3686" w:type="dxa"/>
            <w:tcBorders>
              <w:top w:val="nil"/>
              <w:left w:val="nil"/>
              <w:bottom w:val="single" w:sz="4" w:space="0" w:color="auto"/>
              <w:right w:val="single" w:sz="4" w:space="0" w:color="auto"/>
            </w:tcBorders>
            <w:shd w:val="clear" w:color="auto" w:fill="auto"/>
            <w:noWrap/>
            <w:vAlign w:val="bottom"/>
          </w:tcPr>
          <w:p w14:paraId="33D12DEA"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Eletrans</w:t>
            </w:r>
          </w:p>
        </w:tc>
        <w:tc>
          <w:tcPr>
            <w:tcW w:w="2268" w:type="dxa"/>
            <w:tcBorders>
              <w:top w:val="nil"/>
              <w:left w:val="nil"/>
              <w:bottom w:val="single" w:sz="4" w:space="0" w:color="auto"/>
              <w:right w:val="single" w:sz="4" w:space="0" w:color="auto"/>
            </w:tcBorders>
            <w:shd w:val="clear" w:color="auto" w:fill="auto"/>
            <w:noWrap/>
            <w:vAlign w:val="bottom"/>
          </w:tcPr>
          <w:p w14:paraId="7ADB4245"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860.244,37</w:t>
            </w:r>
          </w:p>
        </w:tc>
      </w:tr>
      <w:tr w:rsidR="004864FF" w:rsidRPr="0069558B" w14:paraId="6579C8BA"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7D34579F"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N_123</w:t>
            </w:r>
          </w:p>
        </w:tc>
        <w:tc>
          <w:tcPr>
            <w:tcW w:w="3969" w:type="dxa"/>
            <w:tcBorders>
              <w:top w:val="nil"/>
              <w:left w:val="nil"/>
              <w:bottom w:val="single" w:sz="4" w:space="0" w:color="auto"/>
              <w:right w:val="single" w:sz="4" w:space="0" w:color="auto"/>
            </w:tcBorders>
            <w:shd w:val="clear" w:color="auto" w:fill="auto"/>
            <w:vAlign w:val="center"/>
            <w:hideMark/>
          </w:tcPr>
          <w:p w14:paraId="5C126273"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Rio Tolten 220-&gt;Lastarria 220</w:t>
            </w:r>
          </w:p>
        </w:tc>
        <w:tc>
          <w:tcPr>
            <w:tcW w:w="1134" w:type="dxa"/>
            <w:tcBorders>
              <w:top w:val="nil"/>
              <w:left w:val="nil"/>
              <w:bottom w:val="single" w:sz="4" w:space="0" w:color="auto"/>
              <w:right w:val="single" w:sz="4" w:space="0" w:color="auto"/>
            </w:tcBorders>
            <w:shd w:val="clear" w:color="auto" w:fill="auto"/>
            <w:noWrap/>
            <w:vAlign w:val="bottom"/>
          </w:tcPr>
          <w:p w14:paraId="4857C100"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P_032</w:t>
            </w:r>
          </w:p>
        </w:tc>
        <w:tc>
          <w:tcPr>
            <w:tcW w:w="3686" w:type="dxa"/>
            <w:tcBorders>
              <w:top w:val="nil"/>
              <w:left w:val="nil"/>
              <w:bottom w:val="single" w:sz="4" w:space="0" w:color="auto"/>
              <w:right w:val="single" w:sz="4" w:space="0" w:color="auto"/>
            </w:tcBorders>
            <w:shd w:val="clear" w:color="auto" w:fill="auto"/>
            <w:noWrap/>
            <w:vAlign w:val="bottom"/>
          </w:tcPr>
          <w:p w14:paraId="6993F411"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TRANSELEC S.A.</w:t>
            </w:r>
          </w:p>
        </w:tc>
        <w:tc>
          <w:tcPr>
            <w:tcW w:w="2268" w:type="dxa"/>
            <w:tcBorders>
              <w:top w:val="nil"/>
              <w:left w:val="nil"/>
              <w:bottom w:val="single" w:sz="4" w:space="0" w:color="auto"/>
              <w:right w:val="single" w:sz="4" w:space="0" w:color="auto"/>
            </w:tcBorders>
            <w:shd w:val="clear" w:color="auto" w:fill="auto"/>
            <w:noWrap/>
            <w:vAlign w:val="bottom"/>
          </w:tcPr>
          <w:p w14:paraId="6C070C8F"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9.665.088,27</w:t>
            </w:r>
          </w:p>
        </w:tc>
      </w:tr>
      <w:tr w:rsidR="004864FF" w:rsidRPr="0069558B" w14:paraId="00B03333"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0C166E4D"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N_124</w:t>
            </w:r>
          </w:p>
        </w:tc>
        <w:tc>
          <w:tcPr>
            <w:tcW w:w="3969" w:type="dxa"/>
            <w:tcBorders>
              <w:top w:val="nil"/>
              <w:left w:val="nil"/>
              <w:bottom w:val="single" w:sz="4" w:space="0" w:color="auto"/>
              <w:right w:val="single" w:sz="4" w:space="0" w:color="auto"/>
            </w:tcBorders>
            <w:shd w:val="clear" w:color="auto" w:fill="auto"/>
            <w:vAlign w:val="center"/>
            <w:hideMark/>
          </w:tcPr>
          <w:p w14:paraId="53923492"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Rio Tolten 220-&gt;Metrenco 220</w:t>
            </w:r>
          </w:p>
        </w:tc>
        <w:tc>
          <w:tcPr>
            <w:tcW w:w="1134" w:type="dxa"/>
            <w:tcBorders>
              <w:top w:val="nil"/>
              <w:left w:val="nil"/>
              <w:bottom w:val="single" w:sz="4" w:space="0" w:color="auto"/>
              <w:right w:val="single" w:sz="4" w:space="0" w:color="auto"/>
            </w:tcBorders>
            <w:shd w:val="clear" w:color="auto" w:fill="auto"/>
            <w:noWrap/>
            <w:vAlign w:val="bottom"/>
          </w:tcPr>
          <w:p w14:paraId="2AF7B283"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P_032</w:t>
            </w:r>
          </w:p>
        </w:tc>
        <w:tc>
          <w:tcPr>
            <w:tcW w:w="3686" w:type="dxa"/>
            <w:tcBorders>
              <w:top w:val="nil"/>
              <w:left w:val="nil"/>
              <w:bottom w:val="single" w:sz="4" w:space="0" w:color="auto"/>
              <w:right w:val="single" w:sz="4" w:space="0" w:color="auto"/>
            </w:tcBorders>
            <w:shd w:val="clear" w:color="auto" w:fill="auto"/>
            <w:noWrap/>
            <w:vAlign w:val="bottom"/>
          </w:tcPr>
          <w:p w14:paraId="7B880D86"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TRANSELEC S.A.</w:t>
            </w:r>
          </w:p>
        </w:tc>
        <w:tc>
          <w:tcPr>
            <w:tcW w:w="2268" w:type="dxa"/>
            <w:tcBorders>
              <w:top w:val="nil"/>
              <w:left w:val="nil"/>
              <w:bottom w:val="single" w:sz="4" w:space="0" w:color="auto"/>
              <w:right w:val="single" w:sz="4" w:space="0" w:color="auto"/>
            </w:tcBorders>
            <w:shd w:val="clear" w:color="auto" w:fill="auto"/>
            <w:noWrap/>
            <w:vAlign w:val="bottom"/>
          </w:tcPr>
          <w:p w14:paraId="2D7BC7E4"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4.640.584,36</w:t>
            </w:r>
          </w:p>
        </w:tc>
      </w:tr>
      <w:tr w:rsidR="004864FF" w:rsidRPr="0069558B" w14:paraId="6EA20FE0" w14:textId="77777777" w:rsidTr="006B5A62">
        <w:trPr>
          <w:jc w:val="center"/>
        </w:trPr>
        <w:tc>
          <w:tcPr>
            <w:tcW w:w="1985"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02A8D5F1"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N_125</w:t>
            </w:r>
          </w:p>
        </w:tc>
        <w:tc>
          <w:tcPr>
            <w:tcW w:w="3969" w:type="dxa"/>
            <w:vMerge w:val="restart"/>
            <w:tcBorders>
              <w:top w:val="nil"/>
              <w:left w:val="single" w:sz="4" w:space="0" w:color="auto"/>
              <w:bottom w:val="single" w:sz="4" w:space="0" w:color="000000"/>
              <w:right w:val="single" w:sz="4" w:space="0" w:color="auto"/>
            </w:tcBorders>
            <w:shd w:val="clear" w:color="auto" w:fill="auto"/>
            <w:vAlign w:val="center"/>
            <w:hideMark/>
          </w:tcPr>
          <w:p w14:paraId="22242AB0"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S. San Andrés 220-&gt;Cardones 220</w:t>
            </w:r>
          </w:p>
        </w:tc>
        <w:tc>
          <w:tcPr>
            <w:tcW w:w="1134" w:type="dxa"/>
            <w:tcBorders>
              <w:top w:val="nil"/>
              <w:left w:val="nil"/>
              <w:bottom w:val="single" w:sz="4" w:space="0" w:color="auto"/>
              <w:right w:val="single" w:sz="4" w:space="0" w:color="auto"/>
            </w:tcBorders>
            <w:shd w:val="clear" w:color="auto" w:fill="auto"/>
            <w:noWrap/>
            <w:vAlign w:val="bottom"/>
          </w:tcPr>
          <w:p w14:paraId="60866063"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P_032</w:t>
            </w:r>
          </w:p>
        </w:tc>
        <w:tc>
          <w:tcPr>
            <w:tcW w:w="3686" w:type="dxa"/>
            <w:tcBorders>
              <w:top w:val="nil"/>
              <w:left w:val="nil"/>
              <w:bottom w:val="single" w:sz="4" w:space="0" w:color="auto"/>
              <w:right w:val="single" w:sz="4" w:space="0" w:color="auto"/>
            </w:tcBorders>
            <w:shd w:val="clear" w:color="auto" w:fill="auto"/>
            <w:noWrap/>
            <w:vAlign w:val="bottom"/>
          </w:tcPr>
          <w:p w14:paraId="1E2C9B3C"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TRANSELEC S.A.</w:t>
            </w:r>
          </w:p>
        </w:tc>
        <w:tc>
          <w:tcPr>
            <w:tcW w:w="2268" w:type="dxa"/>
            <w:tcBorders>
              <w:top w:val="nil"/>
              <w:left w:val="nil"/>
              <w:bottom w:val="single" w:sz="4" w:space="0" w:color="auto"/>
              <w:right w:val="single" w:sz="4" w:space="0" w:color="auto"/>
            </w:tcBorders>
            <w:shd w:val="clear" w:color="auto" w:fill="auto"/>
            <w:noWrap/>
            <w:vAlign w:val="bottom"/>
          </w:tcPr>
          <w:p w14:paraId="304BFFD3"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5.192.244,82</w:t>
            </w:r>
          </w:p>
        </w:tc>
      </w:tr>
      <w:tr w:rsidR="004864FF" w:rsidRPr="0069558B" w14:paraId="618496FA" w14:textId="77777777" w:rsidTr="006B5A62">
        <w:trPr>
          <w:jc w:val="center"/>
        </w:trPr>
        <w:tc>
          <w:tcPr>
            <w:tcW w:w="1985" w:type="dxa"/>
            <w:vMerge/>
            <w:tcBorders>
              <w:top w:val="nil"/>
              <w:left w:val="single" w:sz="4" w:space="0" w:color="auto"/>
              <w:bottom w:val="single" w:sz="4" w:space="0" w:color="000000"/>
              <w:right w:val="single" w:sz="4" w:space="0" w:color="auto"/>
            </w:tcBorders>
            <w:vAlign w:val="center"/>
            <w:hideMark/>
          </w:tcPr>
          <w:p w14:paraId="5A47F67D" w14:textId="77777777" w:rsidR="004864FF" w:rsidRPr="0069558B" w:rsidRDefault="004864FF" w:rsidP="006B5A62">
            <w:pPr>
              <w:spacing w:before="20" w:after="20" w:line="240" w:lineRule="auto"/>
              <w:jc w:val="left"/>
              <w:rPr>
                <w:rFonts w:eastAsia="Times New Roman" w:cs="Calibri"/>
                <w:color w:val="000000"/>
                <w:sz w:val="20"/>
                <w:szCs w:val="20"/>
                <w:lang w:eastAsia="es-CL"/>
              </w:rPr>
            </w:pPr>
          </w:p>
        </w:tc>
        <w:tc>
          <w:tcPr>
            <w:tcW w:w="3969" w:type="dxa"/>
            <w:vMerge/>
            <w:tcBorders>
              <w:top w:val="nil"/>
              <w:left w:val="single" w:sz="4" w:space="0" w:color="auto"/>
              <w:bottom w:val="single" w:sz="4" w:space="0" w:color="000000"/>
              <w:right w:val="single" w:sz="4" w:space="0" w:color="auto"/>
            </w:tcBorders>
            <w:vAlign w:val="center"/>
            <w:hideMark/>
          </w:tcPr>
          <w:p w14:paraId="15C80BD4" w14:textId="77777777" w:rsidR="004864FF" w:rsidRPr="0069558B" w:rsidRDefault="004864FF" w:rsidP="006B5A62">
            <w:pPr>
              <w:spacing w:before="20" w:after="20" w:line="240" w:lineRule="auto"/>
              <w:jc w:val="left"/>
              <w:rPr>
                <w:rFonts w:eastAsia="Times New Roman" w:cs="Calibri"/>
                <w:color w:val="000000"/>
                <w:sz w:val="20"/>
                <w:szCs w:val="20"/>
                <w:lang w:eastAsia="es-CL"/>
              </w:rPr>
            </w:pPr>
          </w:p>
        </w:tc>
        <w:tc>
          <w:tcPr>
            <w:tcW w:w="1134" w:type="dxa"/>
            <w:tcBorders>
              <w:top w:val="nil"/>
              <w:left w:val="nil"/>
              <w:bottom w:val="single" w:sz="4" w:space="0" w:color="auto"/>
              <w:right w:val="single" w:sz="4" w:space="0" w:color="auto"/>
            </w:tcBorders>
            <w:shd w:val="clear" w:color="auto" w:fill="auto"/>
            <w:noWrap/>
            <w:vAlign w:val="bottom"/>
          </w:tcPr>
          <w:p w14:paraId="367A8581"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P_290</w:t>
            </w:r>
          </w:p>
        </w:tc>
        <w:tc>
          <w:tcPr>
            <w:tcW w:w="3686" w:type="dxa"/>
            <w:tcBorders>
              <w:top w:val="nil"/>
              <w:left w:val="nil"/>
              <w:bottom w:val="single" w:sz="4" w:space="0" w:color="auto"/>
              <w:right w:val="single" w:sz="4" w:space="0" w:color="auto"/>
            </w:tcBorders>
            <w:shd w:val="clear" w:color="auto" w:fill="auto"/>
            <w:noWrap/>
            <w:vAlign w:val="bottom"/>
          </w:tcPr>
          <w:p w14:paraId="15607644"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Eletrans</w:t>
            </w:r>
          </w:p>
        </w:tc>
        <w:tc>
          <w:tcPr>
            <w:tcW w:w="2268" w:type="dxa"/>
            <w:tcBorders>
              <w:top w:val="nil"/>
              <w:left w:val="nil"/>
              <w:bottom w:val="single" w:sz="4" w:space="0" w:color="auto"/>
              <w:right w:val="single" w:sz="4" w:space="0" w:color="auto"/>
            </w:tcBorders>
            <w:shd w:val="clear" w:color="auto" w:fill="auto"/>
            <w:noWrap/>
            <w:vAlign w:val="bottom"/>
          </w:tcPr>
          <w:p w14:paraId="30A5BE5C"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3.334.604,25</w:t>
            </w:r>
          </w:p>
        </w:tc>
      </w:tr>
      <w:tr w:rsidR="004864FF" w:rsidRPr="0069558B" w14:paraId="7F55DA19" w14:textId="77777777" w:rsidTr="006B5A62">
        <w:trPr>
          <w:jc w:val="center"/>
        </w:trPr>
        <w:tc>
          <w:tcPr>
            <w:tcW w:w="1985" w:type="dxa"/>
            <w:vMerge/>
            <w:tcBorders>
              <w:top w:val="nil"/>
              <w:left w:val="single" w:sz="4" w:space="0" w:color="auto"/>
              <w:bottom w:val="single" w:sz="4" w:space="0" w:color="000000"/>
              <w:right w:val="single" w:sz="4" w:space="0" w:color="auto"/>
            </w:tcBorders>
            <w:vAlign w:val="center"/>
            <w:hideMark/>
          </w:tcPr>
          <w:p w14:paraId="36A0E091" w14:textId="77777777" w:rsidR="004864FF" w:rsidRPr="0069558B" w:rsidRDefault="004864FF" w:rsidP="006B5A62">
            <w:pPr>
              <w:spacing w:before="20" w:after="20" w:line="240" w:lineRule="auto"/>
              <w:jc w:val="left"/>
              <w:rPr>
                <w:rFonts w:eastAsia="Times New Roman" w:cs="Calibri"/>
                <w:color w:val="000000"/>
                <w:sz w:val="20"/>
                <w:szCs w:val="20"/>
                <w:lang w:eastAsia="es-CL"/>
              </w:rPr>
            </w:pPr>
          </w:p>
        </w:tc>
        <w:tc>
          <w:tcPr>
            <w:tcW w:w="3969" w:type="dxa"/>
            <w:vMerge/>
            <w:tcBorders>
              <w:top w:val="nil"/>
              <w:left w:val="single" w:sz="4" w:space="0" w:color="auto"/>
              <w:bottom w:val="single" w:sz="4" w:space="0" w:color="000000"/>
              <w:right w:val="single" w:sz="4" w:space="0" w:color="auto"/>
            </w:tcBorders>
            <w:vAlign w:val="center"/>
            <w:hideMark/>
          </w:tcPr>
          <w:p w14:paraId="54D3FC28" w14:textId="77777777" w:rsidR="004864FF" w:rsidRPr="0069558B" w:rsidRDefault="004864FF" w:rsidP="006B5A62">
            <w:pPr>
              <w:spacing w:before="20" w:after="20" w:line="240" w:lineRule="auto"/>
              <w:jc w:val="left"/>
              <w:rPr>
                <w:rFonts w:eastAsia="Times New Roman" w:cs="Calibri"/>
                <w:color w:val="000000"/>
                <w:sz w:val="20"/>
                <w:szCs w:val="20"/>
                <w:lang w:eastAsia="es-CL"/>
              </w:rPr>
            </w:pPr>
          </w:p>
        </w:tc>
        <w:tc>
          <w:tcPr>
            <w:tcW w:w="1134" w:type="dxa"/>
            <w:tcBorders>
              <w:top w:val="nil"/>
              <w:left w:val="nil"/>
              <w:bottom w:val="single" w:sz="4" w:space="0" w:color="auto"/>
              <w:right w:val="single" w:sz="4" w:space="0" w:color="auto"/>
            </w:tcBorders>
            <w:shd w:val="clear" w:color="auto" w:fill="auto"/>
            <w:noWrap/>
            <w:vAlign w:val="bottom"/>
          </w:tcPr>
          <w:p w14:paraId="637D706F"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P_480</w:t>
            </w:r>
          </w:p>
        </w:tc>
        <w:tc>
          <w:tcPr>
            <w:tcW w:w="3686" w:type="dxa"/>
            <w:tcBorders>
              <w:top w:val="nil"/>
              <w:left w:val="nil"/>
              <w:bottom w:val="single" w:sz="4" w:space="0" w:color="auto"/>
              <w:right w:val="single" w:sz="4" w:space="0" w:color="auto"/>
            </w:tcBorders>
            <w:shd w:val="clear" w:color="auto" w:fill="auto"/>
            <w:noWrap/>
            <w:vAlign w:val="bottom"/>
          </w:tcPr>
          <w:p w14:paraId="5E4F2D5C"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SATT</w:t>
            </w:r>
          </w:p>
        </w:tc>
        <w:tc>
          <w:tcPr>
            <w:tcW w:w="2268" w:type="dxa"/>
            <w:tcBorders>
              <w:top w:val="nil"/>
              <w:left w:val="nil"/>
              <w:bottom w:val="single" w:sz="4" w:space="0" w:color="auto"/>
              <w:right w:val="single" w:sz="4" w:space="0" w:color="auto"/>
            </w:tcBorders>
            <w:shd w:val="clear" w:color="auto" w:fill="auto"/>
            <w:noWrap/>
            <w:vAlign w:val="bottom"/>
          </w:tcPr>
          <w:p w14:paraId="1E8C16DD"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750.509,51</w:t>
            </w:r>
          </w:p>
        </w:tc>
      </w:tr>
      <w:tr w:rsidR="004864FF" w:rsidRPr="0069558B" w14:paraId="0181579C" w14:textId="77777777" w:rsidTr="006B5A62">
        <w:trPr>
          <w:jc w:val="center"/>
        </w:trPr>
        <w:tc>
          <w:tcPr>
            <w:tcW w:w="1985"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1B9CEBAB"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N_126</w:t>
            </w:r>
          </w:p>
        </w:tc>
        <w:tc>
          <w:tcPr>
            <w:tcW w:w="3969" w:type="dxa"/>
            <w:vMerge w:val="restart"/>
            <w:tcBorders>
              <w:top w:val="nil"/>
              <w:left w:val="single" w:sz="4" w:space="0" w:color="auto"/>
              <w:bottom w:val="single" w:sz="4" w:space="0" w:color="000000"/>
              <w:right w:val="single" w:sz="4" w:space="0" w:color="auto"/>
            </w:tcBorders>
            <w:shd w:val="clear" w:color="auto" w:fill="auto"/>
            <w:vAlign w:val="center"/>
            <w:hideMark/>
          </w:tcPr>
          <w:p w14:paraId="6E09B8E3"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Salar 220-&gt;Calama Nueva 220</w:t>
            </w:r>
          </w:p>
        </w:tc>
        <w:tc>
          <w:tcPr>
            <w:tcW w:w="1134" w:type="dxa"/>
            <w:tcBorders>
              <w:top w:val="nil"/>
              <w:left w:val="nil"/>
              <w:bottom w:val="single" w:sz="4" w:space="0" w:color="auto"/>
              <w:right w:val="single" w:sz="4" w:space="0" w:color="auto"/>
            </w:tcBorders>
            <w:shd w:val="clear" w:color="auto" w:fill="auto"/>
            <w:noWrap/>
            <w:vAlign w:val="bottom"/>
          </w:tcPr>
          <w:p w14:paraId="0606DE65"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P_083</w:t>
            </w:r>
          </w:p>
        </w:tc>
        <w:tc>
          <w:tcPr>
            <w:tcW w:w="3686" w:type="dxa"/>
            <w:tcBorders>
              <w:top w:val="nil"/>
              <w:left w:val="nil"/>
              <w:bottom w:val="single" w:sz="4" w:space="0" w:color="auto"/>
              <w:right w:val="single" w:sz="4" w:space="0" w:color="auto"/>
            </w:tcBorders>
            <w:shd w:val="clear" w:color="auto" w:fill="auto"/>
            <w:noWrap/>
            <w:vAlign w:val="bottom"/>
          </w:tcPr>
          <w:p w14:paraId="508E7AD1"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CGE</w:t>
            </w:r>
          </w:p>
        </w:tc>
        <w:tc>
          <w:tcPr>
            <w:tcW w:w="2268" w:type="dxa"/>
            <w:tcBorders>
              <w:top w:val="nil"/>
              <w:left w:val="nil"/>
              <w:bottom w:val="single" w:sz="4" w:space="0" w:color="auto"/>
              <w:right w:val="single" w:sz="4" w:space="0" w:color="auto"/>
            </w:tcBorders>
            <w:shd w:val="clear" w:color="auto" w:fill="auto"/>
            <w:noWrap/>
            <w:vAlign w:val="bottom"/>
          </w:tcPr>
          <w:p w14:paraId="050A91A0"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25.144,18</w:t>
            </w:r>
          </w:p>
        </w:tc>
      </w:tr>
      <w:tr w:rsidR="004864FF" w:rsidRPr="0069558B" w14:paraId="7271EA34" w14:textId="77777777" w:rsidTr="006B5A62">
        <w:trPr>
          <w:jc w:val="center"/>
        </w:trPr>
        <w:tc>
          <w:tcPr>
            <w:tcW w:w="1985" w:type="dxa"/>
            <w:vMerge/>
            <w:tcBorders>
              <w:top w:val="nil"/>
              <w:left w:val="single" w:sz="4" w:space="0" w:color="auto"/>
              <w:bottom w:val="single" w:sz="4" w:space="0" w:color="000000"/>
              <w:right w:val="single" w:sz="4" w:space="0" w:color="auto"/>
            </w:tcBorders>
            <w:vAlign w:val="center"/>
            <w:hideMark/>
          </w:tcPr>
          <w:p w14:paraId="5A0A9CCA" w14:textId="77777777" w:rsidR="004864FF" w:rsidRPr="0069558B" w:rsidRDefault="004864FF" w:rsidP="006B5A62">
            <w:pPr>
              <w:spacing w:before="20" w:after="20" w:line="240" w:lineRule="auto"/>
              <w:jc w:val="left"/>
              <w:rPr>
                <w:rFonts w:eastAsia="Times New Roman" w:cs="Calibri"/>
                <w:color w:val="000000"/>
                <w:sz w:val="20"/>
                <w:szCs w:val="20"/>
                <w:lang w:eastAsia="es-CL"/>
              </w:rPr>
            </w:pPr>
          </w:p>
        </w:tc>
        <w:tc>
          <w:tcPr>
            <w:tcW w:w="3969" w:type="dxa"/>
            <w:vMerge/>
            <w:tcBorders>
              <w:top w:val="nil"/>
              <w:left w:val="single" w:sz="4" w:space="0" w:color="auto"/>
              <w:bottom w:val="single" w:sz="4" w:space="0" w:color="000000"/>
              <w:right w:val="single" w:sz="4" w:space="0" w:color="auto"/>
            </w:tcBorders>
            <w:vAlign w:val="center"/>
            <w:hideMark/>
          </w:tcPr>
          <w:p w14:paraId="642DD629" w14:textId="77777777" w:rsidR="004864FF" w:rsidRPr="0069558B" w:rsidRDefault="004864FF" w:rsidP="006B5A62">
            <w:pPr>
              <w:spacing w:before="20" w:after="20" w:line="240" w:lineRule="auto"/>
              <w:jc w:val="left"/>
              <w:rPr>
                <w:rFonts w:eastAsia="Times New Roman" w:cs="Calibri"/>
                <w:color w:val="000000"/>
                <w:sz w:val="20"/>
                <w:szCs w:val="20"/>
                <w:lang w:eastAsia="es-CL"/>
              </w:rPr>
            </w:pPr>
          </w:p>
        </w:tc>
        <w:tc>
          <w:tcPr>
            <w:tcW w:w="1134" w:type="dxa"/>
            <w:tcBorders>
              <w:top w:val="nil"/>
              <w:left w:val="nil"/>
              <w:bottom w:val="single" w:sz="4" w:space="0" w:color="auto"/>
              <w:right w:val="single" w:sz="4" w:space="0" w:color="auto"/>
            </w:tcBorders>
            <w:shd w:val="clear" w:color="auto" w:fill="auto"/>
            <w:noWrap/>
            <w:vAlign w:val="bottom"/>
          </w:tcPr>
          <w:p w14:paraId="4D7DD3F6"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P_120</w:t>
            </w:r>
          </w:p>
        </w:tc>
        <w:tc>
          <w:tcPr>
            <w:tcW w:w="3686" w:type="dxa"/>
            <w:tcBorders>
              <w:top w:val="nil"/>
              <w:left w:val="nil"/>
              <w:bottom w:val="single" w:sz="4" w:space="0" w:color="auto"/>
              <w:right w:val="single" w:sz="4" w:space="0" w:color="auto"/>
            </w:tcBorders>
            <w:shd w:val="clear" w:color="auto" w:fill="auto"/>
            <w:noWrap/>
            <w:vAlign w:val="bottom"/>
          </w:tcPr>
          <w:p w14:paraId="6F3961E0"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TRANSEMEL</w:t>
            </w:r>
          </w:p>
        </w:tc>
        <w:tc>
          <w:tcPr>
            <w:tcW w:w="2268" w:type="dxa"/>
            <w:tcBorders>
              <w:top w:val="nil"/>
              <w:left w:val="nil"/>
              <w:bottom w:val="single" w:sz="4" w:space="0" w:color="auto"/>
              <w:right w:val="single" w:sz="4" w:space="0" w:color="auto"/>
            </w:tcBorders>
            <w:shd w:val="clear" w:color="auto" w:fill="auto"/>
            <w:noWrap/>
            <w:vAlign w:val="bottom"/>
          </w:tcPr>
          <w:p w14:paraId="076CC298"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5.393.457,78</w:t>
            </w:r>
          </w:p>
        </w:tc>
      </w:tr>
      <w:tr w:rsidR="004864FF" w:rsidRPr="0069558B" w14:paraId="18E57802" w14:textId="77777777" w:rsidTr="006B5A62">
        <w:trPr>
          <w:jc w:val="center"/>
        </w:trPr>
        <w:tc>
          <w:tcPr>
            <w:tcW w:w="1985" w:type="dxa"/>
            <w:vMerge/>
            <w:tcBorders>
              <w:top w:val="nil"/>
              <w:left w:val="single" w:sz="4" w:space="0" w:color="auto"/>
              <w:bottom w:val="single" w:sz="4" w:space="0" w:color="000000"/>
              <w:right w:val="single" w:sz="4" w:space="0" w:color="auto"/>
            </w:tcBorders>
            <w:vAlign w:val="center"/>
            <w:hideMark/>
          </w:tcPr>
          <w:p w14:paraId="1732B472" w14:textId="77777777" w:rsidR="004864FF" w:rsidRPr="0069558B" w:rsidRDefault="004864FF" w:rsidP="006B5A62">
            <w:pPr>
              <w:spacing w:before="20" w:after="20" w:line="240" w:lineRule="auto"/>
              <w:jc w:val="left"/>
              <w:rPr>
                <w:rFonts w:eastAsia="Times New Roman" w:cs="Calibri"/>
                <w:color w:val="000000"/>
                <w:sz w:val="20"/>
                <w:szCs w:val="20"/>
                <w:lang w:eastAsia="es-CL"/>
              </w:rPr>
            </w:pPr>
          </w:p>
        </w:tc>
        <w:tc>
          <w:tcPr>
            <w:tcW w:w="3969" w:type="dxa"/>
            <w:vMerge/>
            <w:tcBorders>
              <w:top w:val="nil"/>
              <w:left w:val="single" w:sz="4" w:space="0" w:color="auto"/>
              <w:bottom w:val="single" w:sz="4" w:space="0" w:color="000000"/>
              <w:right w:val="single" w:sz="4" w:space="0" w:color="auto"/>
            </w:tcBorders>
            <w:vAlign w:val="center"/>
            <w:hideMark/>
          </w:tcPr>
          <w:p w14:paraId="0F412DF1" w14:textId="77777777" w:rsidR="004864FF" w:rsidRPr="0069558B" w:rsidRDefault="004864FF" w:rsidP="006B5A62">
            <w:pPr>
              <w:spacing w:before="20" w:after="20" w:line="240" w:lineRule="auto"/>
              <w:jc w:val="left"/>
              <w:rPr>
                <w:rFonts w:eastAsia="Times New Roman" w:cs="Calibri"/>
                <w:color w:val="000000"/>
                <w:sz w:val="20"/>
                <w:szCs w:val="20"/>
                <w:lang w:eastAsia="es-CL"/>
              </w:rPr>
            </w:pPr>
          </w:p>
        </w:tc>
        <w:tc>
          <w:tcPr>
            <w:tcW w:w="1134" w:type="dxa"/>
            <w:tcBorders>
              <w:top w:val="nil"/>
              <w:left w:val="nil"/>
              <w:bottom w:val="single" w:sz="4" w:space="0" w:color="auto"/>
              <w:right w:val="single" w:sz="4" w:space="0" w:color="auto"/>
            </w:tcBorders>
            <w:shd w:val="clear" w:color="auto" w:fill="auto"/>
            <w:noWrap/>
            <w:vAlign w:val="bottom"/>
          </w:tcPr>
          <w:p w14:paraId="528C36B0"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P_133</w:t>
            </w:r>
          </w:p>
        </w:tc>
        <w:tc>
          <w:tcPr>
            <w:tcW w:w="3686" w:type="dxa"/>
            <w:tcBorders>
              <w:top w:val="nil"/>
              <w:left w:val="nil"/>
              <w:bottom w:val="single" w:sz="4" w:space="0" w:color="auto"/>
              <w:right w:val="single" w:sz="4" w:space="0" w:color="auto"/>
            </w:tcBorders>
            <w:shd w:val="clear" w:color="auto" w:fill="auto"/>
            <w:noWrap/>
            <w:vAlign w:val="bottom"/>
          </w:tcPr>
          <w:p w14:paraId="681AEA5B"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CODELCO NORTE</w:t>
            </w:r>
          </w:p>
        </w:tc>
        <w:tc>
          <w:tcPr>
            <w:tcW w:w="2268" w:type="dxa"/>
            <w:tcBorders>
              <w:top w:val="nil"/>
              <w:left w:val="nil"/>
              <w:bottom w:val="single" w:sz="4" w:space="0" w:color="auto"/>
              <w:right w:val="single" w:sz="4" w:space="0" w:color="auto"/>
            </w:tcBorders>
            <w:shd w:val="clear" w:color="auto" w:fill="auto"/>
            <w:noWrap/>
            <w:vAlign w:val="bottom"/>
          </w:tcPr>
          <w:p w14:paraId="6B9D9EE4"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265.888,44</w:t>
            </w:r>
          </w:p>
        </w:tc>
      </w:tr>
      <w:tr w:rsidR="004864FF" w:rsidRPr="0069558B" w14:paraId="0C904159" w14:textId="77777777" w:rsidTr="006B5A62">
        <w:trPr>
          <w:jc w:val="center"/>
        </w:trPr>
        <w:tc>
          <w:tcPr>
            <w:tcW w:w="1985" w:type="dxa"/>
            <w:vMerge/>
            <w:tcBorders>
              <w:top w:val="nil"/>
              <w:left w:val="single" w:sz="4" w:space="0" w:color="auto"/>
              <w:bottom w:val="single" w:sz="4" w:space="0" w:color="000000"/>
              <w:right w:val="single" w:sz="4" w:space="0" w:color="auto"/>
            </w:tcBorders>
            <w:vAlign w:val="center"/>
            <w:hideMark/>
          </w:tcPr>
          <w:p w14:paraId="36399CD9" w14:textId="77777777" w:rsidR="004864FF" w:rsidRPr="0069558B" w:rsidRDefault="004864FF" w:rsidP="006B5A62">
            <w:pPr>
              <w:spacing w:before="20" w:after="20" w:line="240" w:lineRule="auto"/>
              <w:jc w:val="left"/>
              <w:rPr>
                <w:rFonts w:eastAsia="Times New Roman" w:cs="Calibri"/>
                <w:color w:val="000000"/>
                <w:sz w:val="20"/>
                <w:szCs w:val="20"/>
                <w:lang w:eastAsia="es-CL"/>
              </w:rPr>
            </w:pPr>
          </w:p>
        </w:tc>
        <w:tc>
          <w:tcPr>
            <w:tcW w:w="3969" w:type="dxa"/>
            <w:vMerge/>
            <w:tcBorders>
              <w:top w:val="nil"/>
              <w:left w:val="single" w:sz="4" w:space="0" w:color="auto"/>
              <w:bottom w:val="single" w:sz="4" w:space="0" w:color="000000"/>
              <w:right w:val="single" w:sz="4" w:space="0" w:color="auto"/>
            </w:tcBorders>
            <w:vAlign w:val="center"/>
            <w:hideMark/>
          </w:tcPr>
          <w:p w14:paraId="5B430C8B" w14:textId="77777777" w:rsidR="004864FF" w:rsidRPr="0069558B" w:rsidRDefault="004864FF" w:rsidP="006B5A62">
            <w:pPr>
              <w:spacing w:before="20" w:after="20" w:line="240" w:lineRule="auto"/>
              <w:jc w:val="left"/>
              <w:rPr>
                <w:rFonts w:eastAsia="Times New Roman" w:cs="Calibri"/>
                <w:color w:val="000000"/>
                <w:sz w:val="20"/>
                <w:szCs w:val="20"/>
                <w:lang w:eastAsia="es-CL"/>
              </w:rPr>
            </w:pPr>
          </w:p>
        </w:tc>
        <w:tc>
          <w:tcPr>
            <w:tcW w:w="1134" w:type="dxa"/>
            <w:tcBorders>
              <w:top w:val="nil"/>
              <w:left w:val="nil"/>
              <w:bottom w:val="single" w:sz="4" w:space="0" w:color="auto"/>
              <w:right w:val="single" w:sz="4" w:space="0" w:color="auto"/>
            </w:tcBorders>
            <w:shd w:val="clear" w:color="auto" w:fill="auto"/>
            <w:noWrap/>
            <w:vAlign w:val="bottom"/>
          </w:tcPr>
          <w:p w14:paraId="364516ED"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P_164</w:t>
            </w:r>
          </w:p>
        </w:tc>
        <w:tc>
          <w:tcPr>
            <w:tcW w:w="3686" w:type="dxa"/>
            <w:tcBorders>
              <w:top w:val="nil"/>
              <w:left w:val="nil"/>
              <w:bottom w:val="single" w:sz="4" w:space="0" w:color="auto"/>
              <w:right w:val="single" w:sz="4" w:space="0" w:color="auto"/>
            </w:tcBorders>
            <w:shd w:val="clear" w:color="auto" w:fill="auto"/>
            <w:noWrap/>
            <w:vAlign w:val="bottom"/>
          </w:tcPr>
          <w:p w14:paraId="138D4131"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E-CL</w:t>
            </w:r>
          </w:p>
        </w:tc>
        <w:tc>
          <w:tcPr>
            <w:tcW w:w="2268" w:type="dxa"/>
            <w:tcBorders>
              <w:top w:val="nil"/>
              <w:left w:val="nil"/>
              <w:bottom w:val="single" w:sz="4" w:space="0" w:color="auto"/>
              <w:right w:val="single" w:sz="4" w:space="0" w:color="auto"/>
            </w:tcBorders>
            <w:shd w:val="clear" w:color="auto" w:fill="auto"/>
            <w:noWrap/>
            <w:vAlign w:val="bottom"/>
          </w:tcPr>
          <w:p w14:paraId="2D0AA608"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11.121,88</w:t>
            </w:r>
          </w:p>
        </w:tc>
      </w:tr>
      <w:tr w:rsidR="004864FF" w:rsidRPr="0069558B" w14:paraId="0C67A08A" w14:textId="77777777" w:rsidTr="006B5A62">
        <w:trPr>
          <w:jc w:val="center"/>
        </w:trPr>
        <w:tc>
          <w:tcPr>
            <w:tcW w:w="1985"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1527AEE7"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N_127</w:t>
            </w:r>
          </w:p>
        </w:tc>
        <w:tc>
          <w:tcPr>
            <w:tcW w:w="3969" w:type="dxa"/>
            <w:vMerge w:val="restart"/>
            <w:tcBorders>
              <w:top w:val="nil"/>
              <w:left w:val="single" w:sz="4" w:space="0" w:color="auto"/>
              <w:bottom w:val="single" w:sz="4" w:space="0" w:color="000000"/>
              <w:right w:val="single" w:sz="4" w:space="0" w:color="auto"/>
            </w:tcBorders>
            <w:shd w:val="clear" w:color="auto" w:fill="auto"/>
            <w:vAlign w:val="center"/>
            <w:hideMark/>
          </w:tcPr>
          <w:p w14:paraId="2E6D96E8"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Salar 220-&gt;Chuquicamata 220</w:t>
            </w:r>
          </w:p>
        </w:tc>
        <w:tc>
          <w:tcPr>
            <w:tcW w:w="1134" w:type="dxa"/>
            <w:tcBorders>
              <w:top w:val="nil"/>
              <w:left w:val="nil"/>
              <w:bottom w:val="single" w:sz="4" w:space="0" w:color="auto"/>
              <w:right w:val="single" w:sz="4" w:space="0" w:color="auto"/>
            </w:tcBorders>
            <w:shd w:val="clear" w:color="auto" w:fill="auto"/>
            <w:noWrap/>
            <w:vAlign w:val="bottom"/>
          </w:tcPr>
          <w:p w14:paraId="3D430498"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P_133</w:t>
            </w:r>
          </w:p>
        </w:tc>
        <w:tc>
          <w:tcPr>
            <w:tcW w:w="3686" w:type="dxa"/>
            <w:tcBorders>
              <w:top w:val="nil"/>
              <w:left w:val="nil"/>
              <w:bottom w:val="single" w:sz="4" w:space="0" w:color="auto"/>
              <w:right w:val="single" w:sz="4" w:space="0" w:color="auto"/>
            </w:tcBorders>
            <w:shd w:val="clear" w:color="auto" w:fill="auto"/>
            <w:noWrap/>
            <w:vAlign w:val="bottom"/>
          </w:tcPr>
          <w:p w14:paraId="4F140B8B"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CODELCO NORTE</w:t>
            </w:r>
          </w:p>
        </w:tc>
        <w:tc>
          <w:tcPr>
            <w:tcW w:w="2268" w:type="dxa"/>
            <w:tcBorders>
              <w:top w:val="nil"/>
              <w:left w:val="nil"/>
              <w:bottom w:val="single" w:sz="4" w:space="0" w:color="auto"/>
              <w:right w:val="single" w:sz="4" w:space="0" w:color="auto"/>
            </w:tcBorders>
            <w:shd w:val="clear" w:color="auto" w:fill="auto"/>
            <w:noWrap/>
            <w:vAlign w:val="bottom"/>
          </w:tcPr>
          <w:p w14:paraId="4F0BA28B"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3.023.078,17</w:t>
            </w:r>
          </w:p>
        </w:tc>
      </w:tr>
      <w:tr w:rsidR="004864FF" w:rsidRPr="0069558B" w14:paraId="2891AA89" w14:textId="77777777" w:rsidTr="006B5A62">
        <w:trPr>
          <w:jc w:val="center"/>
        </w:trPr>
        <w:tc>
          <w:tcPr>
            <w:tcW w:w="1985" w:type="dxa"/>
            <w:vMerge/>
            <w:tcBorders>
              <w:top w:val="nil"/>
              <w:left w:val="single" w:sz="4" w:space="0" w:color="auto"/>
              <w:bottom w:val="single" w:sz="4" w:space="0" w:color="000000"/>
              <w:right w:val="single" w:sz="4" w:space="0" w:color="auto"/>
            </w:tcBorders>
            <w:vAlign w:val="center"/>
            <w:hideMark/>
          </w:tcPr>
          <w:p w14:paraId="7E869323" w14:textId="77777777" w:rsidR="004864FF" w:rsidRPr="0069558B" w:rsidRDefault="004864FF" w:rsidP="006B5A62">
            <w:pPr>
              <w:spacing w:before="20" w:after="20" w:line="240" w:lineRule="auto"/>
              <w:jc w:val="left"/>
              <w:rPr>
                <w:rFonts w:eastAsia="Times New Roman" w:cs="Calibri"/>
                <w:color w:val="000000"/>
                <w:sz w:val="20"/>
                <w:szCs w:val="20"/>
                <w:lang w:eastAsia="es-CL"/>
              </w:rPr>
            </w:pPr>
          </w:p>
        </w:tc>
        <w:tc>
          <w:tcPr>
            <w:tcW w:w="3969" w:type="dxa"/>
            <w:vMerge/>
            <w:tcBorders>
              <w:top w:val="nil"/>
              <w:left w:val="single" w:sz="4" w:space="0" w:color="auto"/>
              <w:bottom w:val="single" w:sz="4" w:space="0" w:color="000000"/>
              <w:right w:val="single" w:sz="4" w:space="0" w:color="auto"/>
            </w:tcBorders>
            <w:vAlign w:val="center"/>
            <w:hideMark/>
          </w:tcPr>
          <w:p w14:paraId="0BC7B116" w14:textId="77777777" w:rsidR="004864FF" w:rsidRPr="0069558B" w:rsidRDefault="004864FF" w:rsidP="006B5A62">
            <w:pPr>
              <w:spacing w:before="20" w:after="20" w:line="240" w:lineRule="auto"/>
              <w:jc w:val="left"/>
              <w:rPr>
                <w:rFonts w:eastAsia="Times New Roman" w:cs="Calibri"/>
                <w:color w:val="000000"/>
                <w:sz w:val="20"/>
                <w:szCs w:val="20"/>
                <w:lang w:eastAsia="es-CL"/>
              </w:rPr>
            </w:pPr>
          </w:p>
        </w:tc>
        <w:tc>
          <w:tcPr>
            <w:tcW w:w="1134" w:type="dxa"/>
            <w:tcBorders>
              <w:top w:val="nil"/>
              <w:left w:val="nil"/>
              <w:bottom w:val="single" w:sz="4" w:space="0" w:color="auto"/>
              <w:right w:val="single" w:sz="4" w:space="0" w:color="auto"/>
            </w:tcBorders>
            <w:shd w:val="clear" w:color="auto" w:fill="auto"/>
            <w:noWrap/>
            <w:vAlign w:val="bottom"/>
          </w:tcPr>
          <w:p w14:paraId="06E146C7"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P_164</w:t>
            </w:r>
          </w:p>
        </w:tc>
        <w:tc>
          <w:tcPr>
            <w:tcW w:w="3686" w:type="dxa"/>
            <w:tcBorders>
              <w:top w:val="nil"/>
              <w:left w:val="nil"/>
              <w:bottom w:val="single" w:sz="4" w:space="0" w:color="auto"/>
              <w:right w:val="single" w:sz="4" w:space="0" w:color="auto"/>
            </w:tcBorders>
            <w:shd w:val="clear" w:color="auto" w:fill="auto"/>
            <w:noWrap/>
            <w:vAlign w:val="bottom"/>
          </w:tcPr>
          <w:p w14:paraId="0B64F319"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E-CL</w:t>
            </w:r>
          </w:p>
        </w:tc>
        <w:tc>
          <w:tcPr>
            <w:tcW w:w="2268" w:type="dxa"/>
            <w:tcBorders>
              <w:top w:val="nil"/>
              <w:left w:val="nil"/>
              <w:bottom w:val="single" w:sz="4" w:space="0" w:color="auto"/>
              <w:right w:val="single" w:sz="4" w:space="0" w:color="auto"/>
            </w:tcBorders>
            <w:shd w:val="clear" w:color="auto" w:fill="auto"/>
            <w:noWrap/>
            <w:vAlign w:val="bottom"/>
          </w:tcPr>
          <w:p w14:paraId="3ACEBF67"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5.079.164,47</w:t>
            </w:r>
          </w:p>
        </w:tc>
      </w:tr>
      <w:tr w:rsidR="004864FF" w:rsidRPr="0069558B" w14:paraId="056F3724" w14:textId="77777777" w:rsidTr="006B5A62">
        <w:trPr>
          <w:jc w:val="center"/>
        </w:trPr>
        <w:tc>
          <w:tcPr>
            <w:tcW w:w="1985"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7748149F"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N_128</w:t>
            </w:r>
          </w:p>
        </w:tc>
        <w:tc>
          <w:tcPr>
            <w:tcW w:w="3969" w:type="dxa"/>
            <w:vMerge w:val="restart"/>
            <w:tcBorders>
              <w:top w:val="nil"/>
              <w:left w:val="single" w:sz="4" w:space="0" w:color="auto"/>
              <w:bottom w:val="single" w:sz="4" w:space="0" w:color="000000"/>
              <w:right w:val="single" w:sz="4" w:space="0" w:color="auto"/>
            </w:tcBorders>
            <w:shd w:val="clear" w:color="auto" w:fill="auto"/>
            <w:vAlign w:val="center"/>
            <w:hideMark/>
          </w:tcPr>
          <w:p w14:paraId="234C0336"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Salar 220-&gt;Nueva Chuquicamata 220</w:t>
            </w:r>
          </w:p>
        </w:tc>
        <w:tc>
          <w:tcPr>
            <w:tcW w:w="1134" w:type="dxa"/>
            <w:tcBorders>
              <w:top w:val="nil"/>
              <w:left w:val="nil"/>
              <w:bottom w:val="single" w:sz="4" w:space="0" w:color="auto"/>
              <w:right w:val="single" w:sz="4" w:space="0" w:color="auto"/>
            </w:tcBorders>
            <w:shd w:val="clear" w:color="auto" w:fill="auto"/>
            <w:noWrap/>
            <w:vAlign w:val="bottom"/>
          </w:tcPr>
          <w:p w14:paraId="3623F43A"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P_133</w:t>
            </w:r>
          </w:p>
        </w:tc>
        <w:tc>
          <w:tcPr>
            <w:tcW w:w="3686" w:type="dxa"/>
            <w:tcBorders>
              <w:top w:val="nil"/>
              <w:left w:val="nil"/>
              <w:bottom w:val="single" w:sz="4" w:space="0" w:color="auto"/>
              <w:right w:val="single" w:sz="4" w:space="0" w:color="auto"/>
            </w:tcBorders>
            <w:shd w:val="clear" w:color="auto" w:fill="auto"/>
            <w:noWrap/>
            <w:vAlign w:val="bottom"/>
          </w:tcPr>
          <w:p w14:paraId="1C5D2519"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CODELCO NORTE</w:t>
            </w:r>
          </w:p>
        </w:tc>
        <w:tc>
          <w:tcPr>
            <w:tcW w:w="2268" w:type="dxa"/>
            <w:tcBorders>
              <w:top w:val="nil"/>
              <w:left w:val="nil"/>
              <w:bottom w:val="single" w:sz="4" w:space="0" w:color="auto"/>
              <w:right w:val="single" w:sz="4" w:space="0" w:color="auto"/>
            </w:tcBorders>
            <w:shd w:val="clear" w:color="auto" w:fill="auto"/>
            <w:noWrap/>
            <w:vAlign w:val="bottom"/>
          </w:tcPr>
          <w:p w14:paraId="3C64E342"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2.738.332,15</w:t>
            </w:r>
          </w:p>
        </w:tc>
      </w:tr>
      <w:tr w:rsidR="004864FF" w:rsidRPr="0069558B" w14:paraId="72B14571" w14:textId="77777777" w:rsidTr="006B5A62">
        <w:trPr>
          <w:jc w:val="center"/>
        </w:trPr>
        <w:tc>
          <w:tcPr>
            <w:tcW w:w="1985" w:type="dxa"/>
            <w:vMerge/>
            <w:tcBorders>
              <w:top w:val="nil"/>
              <w:left w:val="single" w:sz="4" w:space="0" w:color="auto"/>
              <w:bottom w:val="single" w:sz="4" w:space="0" w:color="000000"/>
              <w:right w:val="single" w:sz="4" w:space="0" w:color="auto"/>
            </w:tcBorders>
            <w:vAlign w:val="center"/>
            <w:hideMark/>
          </w:tcPr>
          <w:p w14:paraId="16A32397" w14:textId="77777777" w:rsidR="004864FF" w:rsidRPr="0069558B" w:rsidRDefault="004864FF" w:rsidP="006B5A62">
            <w:pPr>
              <w:spacing w:before="20" w:after="20" w:line="240" w:lineRule="auto"/>
              <w:jc w:val="left"/>
              <w:rPr>
                <w:rFonts w:eastAsia="Times New Roman" w:cs="Calibri"/>
                <w:color w:val="000000"/>
                <w:sz w:val="20"/>
                <w:szCs w:val="20"/>
                <w:lang w:eastAsia="es-CL"/>
              </w:rPr>
            </w:pPr>
          </w:p>
        </w:tc>
        <w:tc>
          <w:tcPr>
            <w:tcW w:w="3969" w:type="dxa"/>
            <w:vMerge/>
            <w:tcBorders>
              <w:top w:val="nil"/>
              <w:left w:val="single" w:sz="4" w:space="0" w:color="auto"/>
              <w:bottom w:val="single" w:sz="4" w:space="0" w:color="000000"/>
              <w:right w:val="single" w:sz="4" w:space="0" w:color="auto"/>
            </w:tcBorders>
            <w:vAlign w:val="center"/>
            <w:hideMark/>
          </w:tcPr>
          <w:p w14:paraId="0B992496" w14:textId="77777777" w:rsidR="004864FF" w:rsidRPr="0069558B" w:rsidRDefault="004864FF" w:rsidP="006B5A62">
            <w:pPr>
              <w:spacing w:before="20" w:after="20" w:line="240" w:lineRule="auto"/>
              <w:jc w:val="left"/>
              <w:rPr>
                <w:rFonts w:eastAsia="Times New Roman" w:cs="Calibri"/>
                <w:color w:val="000000"/>
                <w:sz w:val="20"/>
                <w:szCs w:val="20"/>
                <w:lang w:eastAsia="es-CL"/>
              </w:rPr>
            </w:pPr>
          </w:p>
        </w:tc>
        <w:tc>
          <w:tcPr>
            <w:tcW w:w="1134" w:type="dxa"/>
            <w:tcBorders>
              <w:top w:val="nil"/>
              <w:left w:val="nil"/>
              <w:bottom w:val="single" w:sz="4" w:space="0" w:color="auto"/>
              <w:right w:val="single" w:sz="4" w:space="0" w:color="auto"/>
            </w:tcBorders>
            <w:shd w:val="clear" w:color="auto" w:fill="auto"/>
            <w:noWrap/>
            <w:vAlign w:val="bottom"/>
          </w:tcPr>
          <w:p w14:paraId="0D1D41F9"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P_164</w:t>
            </w:r>
          </w:p>
        </w:tc>
        <w:tc>
          <w:tcPr>
            <w:tcW w:w="3686" w:type="dxa"/>
            <w:tcBorders>
              <w:top w:val="nil"/>
              <w:left w:val="nil"/>
              <w:bottom w:val="single" w:sz="4" w:space="0" w:color="auto"/>
              <w:right w:val="single" w:sz="4" w:space="0" w:color="auto"/>
            </w:tcBorders>
            <w:shd w:val="clear" w:color="auto" w:fill="auto"/>
            <w:noWrap/>
            <w:vAlign w:val="bottom"/>
          </w:tcPr>
          <w:p w14:paraId="367898C4"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E-CL</w:t>
            </w:r>
          </w:p>
        </w:tc>
        <w:tc>
          <w:tcPr>
            <w:tcW w:w="2268" w:type="dxa"/>
            <w:tcBorders>
              <w:top w:val="nil"/>
              <w:left w:val="nil"/>
              <w:bottom w:val="single" w:sz="4" w:space="0" w:color="auto"/>
              <w:right w:val="single" w:sz="4" w:space="0" w:color="auto"/>
            </w:tcBorders>
            <w:shd w:val="clear" w:color="auto" w:fill="auto"/>
            <w:noWrap/>
            <w:vAlign w:val="bottom"/>
          </w:tcPr>
          <w:p w14:paraId="4B897098"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4.418.141,00</w:t>
            </w:r>
          </w:p>
        </w:tc>
      </w:tr>
      <w:tr w:rsidR="004864FF" w:rsidRPr="0069558B" w14:paraId="02DBA225"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15C1F22B"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N_129</w:t>
            </w:r>
          </w:p>
        </w:tc>
        <w:tc>
          <w:tcPr>
            <w:tcW w:w="3969" w:type="dxa"/>
            <w:tcBorders>
              <w:top w:val="nil"/>
              <w:left w:val="nil"/>
              <w:bottom w:val="single" w:sz="4" w:space="0" w:color="auto"/>
              <w:right w:val="single" w:sz="4" w:space="0" w:color="auto"/>
            </w:tcBorders>
            <w:shd w:val="clear" w:color="auto" w:fill="auto"/>
            <w:vAlign w:val="center"/>
            <w:hideMark/>
          </w:tcPr>
          <w:p w14:paraId="4C7427AC"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San Luis 220-&gt;Agua Santa 220</w:t>
            </w:r>
          </w:p>
        </w:tc>
        <w:tc>
          <w:tcPr>
            <w:tcW w:w="1134" w:type="dxa"/>
            <w:tcBorders>
              <w:top w:val="nil"/>
              <w:left w:val="nil"/>
              <w:bottom w:val="single" w:sz="4" w:space="0" w:color="auto"/>
              <w:right w:val="single" w:sz="4" w:space="0" w:color="auto"/>
            </w:tcBorders>
            <w:shd w:val="clear" w:color="auto" w:fill="auto"/>
            <w:noWrap/>
            <w:vAlign w:val="bottom"/>
          </w:tcPr>
          <w:p w14:paraId="1F22D956"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P_113</w:t>
            </w:r>
          </w:p>
        </w:tc>
        <w:tc>
          <w:tcPr>
            <w:tcW w:w="3686" w:type="dxa"/>
            <w:tcBorders>
              <w:top w:val="nil"/>
              <w:left w:val="nil"/>
              <w:bottom w:val="single" w:sz="4" w:space="0" w:color="auto"/>
              <w:right w:val="single" w:sz="4" w:space="0" w:color="auto"/>
            </w:tcBorders>
            <w:shd w:val="clear" w:color="auto" w:fill="auto"/>
            <w:noWrap/>
            <w:vAlign w:val="bottom"/>
          </w:tcPr>
          <w:p w14:paraId="16F888A5"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CHILQUINTA ENERGÍA</w:t>
            </w:r>
          </w:p>
        </w:tc>
        <w:tc>
          <w:tcPr>
            <w:tcW w:w="2268" w:type="dxa"/>
            <w:tcBorders>
              <w:top w:val="nil"/>
              <w:left w:val="nil"/>
              <w:bottom w:val="single" w:sz="4" w:space="0" w:color="auto"/>
              <w:right w:val="single" w:sz="4" w:space="0" w:color="auto"/>
            </w:tcBorders>
            <w:shd w:val="clear" w:color="auto" w:fill="auto"/>
            <w:noWrap/>
            <w:vAlign w:val="bottom"/>
          </w:tcPr>
          <w:p w14:paraId="579ED198"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23.053.085,33</w:t>
            </w:r>
          </w:p>
        </w:tc>
      </w:tr>
      <w:tr w:rsidR="004864FF" w:rsidRPr="0069558B" w14:paraId="66B86F6D"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3EE80476"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N_130</w:t>
            </w:r>
          </w:p>
        </w:tc>
        <w:tc>
          <w:tcPr>
            <w:tcW w:w="3969" w:type="dxa"/>
            <w:tcBorders>
              <w:top w:val="nil"/>
              <w:left w:val="nil"/>
              <w:bottom w:val="single" w:sz="4" w:space="0" w:color="auto"/>
              <w:right w:val="single" w:sz="4" w:space="0" w:color="auto"/>
            </w:tcBorders>
            <w:shd w:val="clear" w:color="auto" w:fill="auto"/>
            <w:vAlign w:val="center"/>
            <w:hideMark/>
          </w:tcPr>
          <w:p w14:paraId="66000459"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San Simón 220-&gt;Nueva Victoria 220</w:t>
            </w:r>
          </w:p>
        </w:tc>
        <w:tc>
          <w:tcPr>
            <w:tcW w:w="1134" w:type="dxa"/>
            <w:tcBorders>
              <w:top w:val="nil"/>
              <w:left w:val="nil"/>
              <w:bottom w:val="single" w:sz="4" w:space="0" w:color="auto"/>
              <w:right w:val="single" w:sz="4" w:space="0" w:color="auto"/>
            </w:tcBorders>
            <w:shd w:val="clear" w:color="auto" w:fill="auto"/>
            <w:noWrap/>
            <w:vAlign w:val="bottom"/>
          </w:tcPr>
          <w:p w14:paraId="29B3C73D"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P_032</w:t>
            </w:r>
          </w:p>
        </w:tc>
        <w:tc>
          <w:tcPr>
            <w:tcW w:w="3686" w:type="dxa"/>
            <w:tcBorders>
              <w:top w:val="nil"/>
              <w:left w:val="nil"/>
              <w:bottom w:val="single" w:sz="4" w:space="0" w:color="auto"/>
              <w:right w:val="single" w:sz="4" w:space="0" w:color="auto"/>
            </w:tcBorders>
            <w:shd w:val="clear" w:color="auto" w:fill="auto"/>
            <w:noWrap/>
            <w:vAlign w:val="bottom"/>
          </w:tcPr>
          <w:p w14:paraId="70EF4121"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TRANSELEC S.A.</w:t>
            </w:r>
          </w:p>
        </w:tc>
        <w:tc>
          <w:tcPr>
            <w:tcW w:w="2268" w:type="dxa"/>
            <w:tcBorders>
              <w:top w:val="nil"/>
              <w:left w:val="nil"/>
              <w:bottom w:val="single" w:sz="4" w:space="0" w:color="auto"/>
              <w:right w:val="single" w:sz="4" w:space="0" w:color="auto"/>
            </w:tcBorders>
            <w:shd w:val="clear" w:color="auto" w:fill="auto"/>
            <w:noWrap/>
            <w:vAlign w:val="bottom"/>
          </w:tcPr>
          <w:p w14:paraId="25A28441"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3.500.967,66</w:t>
            </w:r>
          </w:p>
        </w:tc>
      </w:tr>
      <w:tr w:rsidR="004864FF" w:rsidRPr="0069558B" w14:paraId="381A2CCF"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4C97A32E"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N_131</w:t>
            </w:r>
          </w:p>
        </w:tc>
        <w:tc>
          <w:tcPr>
            <w:tcW w:w="3969" w:type="dxa"/>
            <w:tcBorders>
              <w:top w:val="nil"/>
              <w:left w:val="nil"/>
              <w:bottom w:val="single" w:sz="4" w:space="0" w:color="auto"/>
              <w:right w:val="single" w:sz="4" w:space="0" w:color="auto"/>
            </w:tcBorders>
            <w:shd w:val="clear" w:color="auto" w:fill="auto"/>
            <w:vAlign w:val="center"/>
            <w:hideMark/>
          </w:tcPr>
          <w:p w14:paraId="705BFBD7"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San Simón 220-&gt;Quillagua 220</w:t>
            </w:r>
          </w:p>
        </w:tc>
        <w:tc>
          <w:tcPr>
            <w:tcW w:w="1134" w:type="dxa"/>
            <w:tcBorders>
              <w:top w:val="nil"/>
              <w:left w:val="nil"/>
              <w:bottom w:val="single" w:sz="4" w:space="0" w:color="auto"/>
              <w:right w:val="single" w:sz="4" w:space="0" w:color="auto"/>
            </w:tcBorders>
            <w:shd w:val="clear" w:color="auto" w:fill="auto"/>
            <w:noWrap/>
            <w:vAlign w:val="bottom"/>
          </w:tcPr>
          <w:p w14:paraId="13D96909"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P_032</w:t>
            </w:r>
          </w:p>
        </w:tc>
        <w:tc>
          <w:tcPr>
            <w:tcW w:w="3686" w:type="dxa"/>
            <w:tcBorders>
              <w:top w:val="nil"/>
              <w:left w:val="nil"/>
              <w:bottom w:val="single" w:sz="4" w:space="0" w:color="auto"/>
              <w:right w:val="single" w:sz="4" w:space="0" w:color="auto"/>
            </w:tcBorders>
            <w:shd w:val="clear" w:color="auto" w:fill="auto"/>
            <w:noWrap/>
            <w:vAlign w:val="bottom"/>
          </w:tcPr>
          <w:p w14:paraId="169F3066"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TRANSELEC S.A.</w:t>
            </w:r>
          </w:p>
        </w:tc>
        <w:tc>
          <w:tcPr>
            <w:tcW w:w="2268" w:type="dxa"/>
            <w:tcBorders>
              <w:top w:val="nil"/>
              <w:left w:val="nil"/>
              <w:bottom w:val="single" w:sz="4" w:space="0" w:color="auto"/>
              <w:right w:val="single" w:sz="4" w:space="0" w:color="auto"/>
            </w:tcBorders>
            <w:shd w:val="clear" w:color="auto" w:fill="auto"/>
            <w:noWrap/>
            <w:vAlign w:val="bottom"/>
          </w:tcPr>
          <w:p w14:paraId="74108062"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11.662.723,08</w:t>
            </w:r>
          </w:p>
        </w:tc>
      </w:tr>
      <w:tr w:rsidR="004864FF" w:rsidRPr="0069558B" w14:paraId="78675016"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5F35C8C1"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N_132</w:t>
            </w:r>
          </w:p>
        </w:tc>
        <w:tc>
          <w:tcPr>
            <w:tcW w:w="3969" w:type="dxa"/>
            <w:tcBorders>
              <w:top w:val="nil"/>
              <w:left w:val="nil"/>
              <w:bottom w:val="single" w:sz="4" w:space="0" w:color="auto"/>
              <w:right w:val="single" w:sz="4" w:space="0" w:color="auto"/>
            </w:tcBorders>
            <w:shd w:val="clear" w:color="auto" w:fill="auto"/>
            <w:vAlign w:val="center"/>
            <w:hideMark/>
          </w:tcPr>
          <w:p w14:paraId="2D637FDD"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Tap El Manzano 220-&gt;Tap Chicureo 220</w:t>
            </w:r>
          </w:p>
        </w:tc>
        <w:tc>
          <w:tcPr>
            <w:tcW w:w="1134" w:type="dxa"/>
            <w:tcBorders>
              <w:top w:val="nil"/>
              <w:left w:val="nil"/>
              <w:bottom w:val="single" w:sz="4" w:space="0" w:color="auto"/>
              <w:right w:val="single" w:sz="4" w:space="0" w:color="auto"/>
            </w:tcBorders>
            <w:shd w:val="clear" w:color="auto" w:fill="auto"/>
            <w:noWrap/>
            <w:vAlign w:val="bottom"/>
          </w:tcPr>
          <w:p w14:paraId="5D2CFC67"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P_111</w:t>
            </w:r>
          </w:p>
        </w:tc>
        <w:tc>
          <w:tcPr>
            <w:tcW w:w="3686" w:type="dxa"/>
            <w:tcBorders>
              <w:top w:val="nil"/>
              <w:left w:val="nil"/>
              <w:bottom w:val="single" w:sz="4" w:space="0" w:color="auto"/>
              <w:right w:val="single" w:sz="4" w:space="0" w:color="auto"/>
            </w:tcBorders>
            <w:shd w:val="clear" w:color="auto" w:fill="auto"/>
            <w:noWrap/>
            <w:vAlign w:val="bottom"/>
          </w:tcPr>
          <w:p w14:paraId="21DBE153"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ENEL DISTRIBUCION S.A.</w:t>
            </w:r>
          </w:p>
        </w:tc>
        <w:tc>
          <w:tcPr>
            <w:tcW w:w="2268" w:type="dxa"/>
            <w:tcBorders>
              <w:top w:val="nil"/>
              <w:left w:val="nil"/>
              <w:bottom w:val="single" w:sz="4" w:space="0" w:color="auto"/>
              <w:right w:val="single" w:sz="4" w:space="0" w:color="auto"/>
            </w:tcBorders>
            <w:shd w:val="clear" w:color="auto" w:fill="auto"/>
            <w:noWrap/>
            <w:vAlign w:val="bottom"/>
          </w:tcPr>
          <w:p w14:paraId="0B5FE1D5"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20.692.755,68</w:t>
            </w:r>
          </w:p>
        </w:tc>
      </w:tr>
      <w:tr w:rsidR="004864FF" w:rsidRPr="0069558B" w14:paraId="303AEFC1"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2E786689"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lastRenderedPageBreak/>
              <w:t>N_133</w:t>
            </w:r>
          </w:p>
        </w:tc>
        <w:tc>
          <w:tcPr>
            <w:tcW w:w="3969" w:type="dxa"/>
            <w:tcBorders>
              <w:top w:val="nil"/>
              <w:left w:val="nil"/>
              <w:bottom w:val="single" w:sz="4" w:space="0" w:color="auto"/>
              <w:right w:val="single" w:sz="4" w:space="0" w:color="auto"/>
            </w:tcBorders>
            <w:shd w:val="clear" w:color="auto" w:fill="auto"/>
            <w:vAlign w:val="center"/>
            <w:hideMark/>
          </w:tcPr>
          <w:p w14:paraId="5C026A10"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Tap El Romero 220-&gt;Don Héctor 220</w:t>
            </w:r>
          </w:p>
        </w:tc>
        <w:tc>
          <w:tcPr>
            <w:tcW w:w="1134" w:type="dxa"/>
            <w:tcBorders>
              <w:top w:val="nil"/>
              <w:left w:val="nil"/>
              <w:bottom w:val="single" w:sz="4" w:space="0" w:color="auto"/>
              <w:right w:val="single" w:sz="4" w:space="0" w:color="auto"/>
            </w:tcBorders>
            <w:shd w:val="clear" w:color="auto" w:fill="auto"/>
            <w:noWrap/>
            <w:vAlign w:val="bottom"/>
          </w:tcPr>
          <w:p w14:paraId="63ABCEE9"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P_032</w:t>
            </w:r>
          </w:p>
        </w:tc>
        <w:tc>
          <w:tcPr>
            <w:tcW w:w="3686" w:type="dxa"/>
            <w:tcBorders>
              <w:top w:val="nil"/>
              <w:left w:val="nil"/>
              <w:bottom w:val="single" w:sz="4" w:space="0" w:color="auto"/>
              <w:right w:val="single" w:sz="4" w:space="0" w:color="auto"/>
            </w:tcBorders>
            <w:shd w:val="clear" w:color="auto" w:fill="auto"/>
            <w:noWrap/>
            <w:vAlign w:val="bottom"/>
          </w:tcPr>
          <w:p w14:paraId="512DBE73"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TRANSELEC S.A.</w:t>
            </w:r>
          </w:p>
        </w:tc>
        <w:tc>
          <w:tcPr>
            <w:tcW w:w="2268" w:type="dxa"/>
            <w:tcBorders>
              <w:top w:val="nil"/>
              <w:left w:val="nil"/>
              <w:bottom w:val="single" w:sz="4" w:space="0" w:color="auto"/>
              <w:right w:val="single" w:sz="4" w:space="0" w:color="auto"/>
            </w:tcBorders>
            <w:shd w:val="clear" w:color="auto" w:fill="auto"/>
            <w:noWrap/>
            <w:vAlign w:val="bottom"/>
          </w:tcPr>
          <w:p w14:paraId="62F01AA4"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1.046.488,93</w:t>
            </w:r>
          </w:p>
        </w:tc>
      </w:tr>
      <w:tr w:rsidR="004864FF" w:rsidRPr="0069558B" w14:paraId="5D5C6B5E"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600C8159"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N_134</w:t>
            </w:r>
          </w:p>
        </w:tc>
        <w:tc>
          <w:tcPr>
            <w:tcW w:w="3969" w:type="dxa"/>
            <w:tcBorders>
              <w:top w:val="nil"/>
              <w:left w:val="nil"/>
              <w:bottom w:val="single" w:sz="4" w:space="0" w:color="auto"/>
              <w:right w:val="single" w:sz="4" w:space="0" w:color="auto"/>
            </w:tcBorders>
            <w:shd w:val="clear" w:color="auto" w:fill="auto"/>
            <w:vAlign w:val="center"/>
            <w:hideMark/>
          </w:tcPr>
          <w:p w14:paraId="5ACB230C" w14:textId="77777777" w:rsidR="004864FF" w:rsidRPr="0069558B" w:rsidRDefault="004864FF" w:rsidP="006B5A62">
            <w:pPr>
              <w:spacing w:before="20" w:after="20" w:line="240" w:lineRule="auto"/>
              <w:jc w:val="center"/>
              <w:rPr>
                <w:rFonts w:eastAsia="Times New Roman" w:cs="Calibri"/>
                <w:color w:val="000000"/>
                <w:sz w:val="20"/>
                <w:szCs w:val="20"/>
                <w:lang w:val="en-US" w:eastAsia="es-CL"/>
              </w:rPr>
            </w:pPr>
            <w:r w:rsidRPr="0069558B">
              <w:rPr>
                <w:rFonts w:eastAsia="Times New Roman" w:cs="Calibri"/>
                <w:color w:val="000000"/>
                <w:sz w:val="20"/>
                <w:szCs w:val="20"/>
                <w:lang w:val="en-US" w:eastAsia="es-CL"/>
              </w:rPr>
              <w:t>Tap Off Santa Isabel 220-&gt;Itahue 220</w:t>
            </w:r>
          </w:p>
        </w:tc>
        <w:tc>
          <w:tcPr>
            <w:tcW w:w="1134" w:type="dxa"/>
            <w:tcBorders>
              <w:top w:val="nil"/>
              <w:left w:val="nil"/>
              <w:bottom w:val="single" w:sz="4" w:space="0" w:color="auto"/>
              <w:right w:val="single" w:sz="4" w:space="0" w:color="auto"/>
            </w:tcBorders>
            <w:shd w:val="clear" w:color="auto" w:fill="auto"/>
            <w:noWrap/>
            <w:vAlign w:val="bottom"/>
          </w:tcPr>
          <w:p w14:paraId="3E0C7CE5"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P_032</w:t>
            </w:r>
          </w:p>
        </w:tc>
        <w:tc>
          <w:tcPr>
            <w:tcW w:w="3686" w:type="dxa"/>
            <w:tcBorders>
              <w:top w:val="nil"/>
              <w:left w:val="nil"/>
              <w:bottom w:val="single" w:sz="4" w:space="0" w:color="auto"/>
              <w:right w:val="single" w:sz="4" w:space="0" w:color="auto"/>
            </w:tcBorders>
            <w:shd w:val="clear" w:color="auto" w:fill="auto"/>
            <w:noWrap/>
            <w:vAlign w:val="bottom"/>
          </w:tcPr>
          <w:p w14:paraId="00202880"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TRANSELEC S.A.</w:t>
            </w:r>
          </w:p>
        </w:tc>
        <w:tc>
          <w:tcPr>
            <w:tcW w:w="2268" w:type="dxa"/>
            <w:tcBorders>
              <w:top w:val="nil"/>
              <w:left w:val="nil"/>
              <w:bottom w:val="single" w:sz="4" w:space="0" w:color="auto"/>
              <w:right w:val="single" w:sz="4" w:space="0" w:color="auto"/>
            </w:tcBorders>
            <w:shd w:val="clear" w:color="auto" w:fill="auto"/>
            <w:noWrap/>
            <w:vAlign w:val="bottom"/>
          </w:tcPr>
          <w:p w14:paraId="6CBE58AA"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7.218.331,78</w:t>
            </w:r>
          </w:p>
        </w:tc>
      </w:tr>
      <w:tr w:rsidR="004864FF" w:rsidRPr="0069558B" w14:paraId="5869E6CF"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3D8FD5BB"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N_136</w:t>
            </w:r>
          </w:p>
        </w:tc>
        <w:tc>
          <w:tcPr>
            <w:tcW w:w="3969" w:type="dxa"/>
            <w:tcBorders>
              <w:top w:val="nil"/>
              <w:left w:val="nil"/>
              <w:bottom w:val="single" w:sz="4" w:space="0" w:color="auto"/>
              <w:right w:val="single" w:sz="4" w:space="0" w:color="auto"/>
            </w:tcBorders>
            <w:shd w:val="clear" w:color="auto" w:fill="auto"/>
            <w:vAlign w:val="center"/>
            <w:hideMark/>
          </w:tcPr>
          <w:p w14:paraId="520745F1"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Tarapacá 220-&gt;Cóndores 220</w:t>
            </w:r>
          </w:p>
        </w:tc>
        <w:tc>
          <w:tcPr>
            <w:tcW w:w="1134" w:type="dxa"/>
            <w:tcBorders>
              <w:top w:val="nil"/>
              <w:left w:val="nil"/>
              <w:bottom w:val="single" w:sz="4" w:space="0" w:color="auto"/>
              <w:right w:val="single" w:sz="4" w:space="0" w:color="auto"/>
            </w:tcBorders>
            <w:shd w:val="clear" w:color="auto" w:fill="auto"/>
            <w:noWrap/>
            <w:vAlign w:val="bottom"/>
          </w:tcPr>
          <w:p w14:paraId="7C1314AD"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P_032</w:t>
            </w:r>
          </w:p>
        </w:tc>
        <w:tc>
          <w:tcPr>
            <w:tcW w:w="3686" w:type="dxa"/>
            <w:tcBorders>
              <w:top w:val="nil"/>
              <w:left w:val="nil"/>
              <w:bottom w:val="single" w:sz="4" w:space="0" w:color="auto"/>
              <w:right w:val="single" w:sz="4" w:space="0" w:color="auto"/>
            </w:tcBorders>
            <w:shd w:val="clear" w:color="auto" w:fill="auto"/>
            <w:noWrap/>
            <w:vAlign w:val="bottom"/>
          </w:tcPr>
          <w:p w14:paraId="030D20CB"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TRANSELEC S.A.</w:t>
            </w:r>
          </w:p>
        </w:tc>
        <w:tc>
          <w:tcPr>
            <w:tcW w:w="2268" w:type="dxa"/>
            <w:tcBorders>
              <w:top w:val="nil"/>
              <w:left w:val="nil"/>
              <w:bottom w:val="single" w:sz="4" w:space="0" w:color="auto"/>
              <w:right w:val="single" w:sz="4" w:space="0" w:color="auto"/>
            </w:tcBorders>
            <w:shd w:val="clear" w:color="auto" w:fill="auto"/>
            <w:noWrap/>
            <w:vAlign w:val="bottom"/>
          </w:tcPr>
          <w:p w14:paraId="29AFCD76"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13.027.681,12</w:t>
            </w:r>
          </w:p>
        </w:tc>
      </w:tr>
      <w:tr w:rsidR="004864FF" w:rsidRPr="0069558B" w14:paraId="4A6E57F3"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71C873DB"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N_137</w:t>
            </w:r>
          </w:p>
        </w:tc>
        <w:tc>
          <w:tcPr>
            <w:tcW w:w="3969" w:type="dxa"/>
            <w:tcBorders>
              <w:top w:val="nil"/>
              <w:left w:val="nil"/>
              <w:bottom w:val="single" w:sz="4" w:space="0" w:color="auto"/>
              <w:right w:val="single" w:sz="4" w:space="0" w:color="auto"/>
            </w:tcBorders>
            <w:shd w:val="clear" w:color="auto" w:fill="auto"/>
            <w:vAlign w:val="center"/>
            <w:hideMark/>
          </w:tcPr>
          <w:p w14:paraId="32117E8A"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Tarapacá 220-&gt;Lagunas 220</w:t>
            </w:r>
          </w:p>
        </w:tc>
        <w:tc>
          <w:tcPr>
            <w:tcW w:w="1134" w:type="dxa"/>
            <w:tcBorders>
              <w:top w:val="nil"/>
              <w:left w:val="nil"/>
              <w:bottom w:val="single" w:sz="4" w:space="0" w:color="auto"/>
              <w:right w:val="single" w:sz="4" w:space="0" w:color="auto"/>
            </w:tcBorders>
            <w:shd w:val="clear" w:color="auto" w:fill="auto"/>
            <w:noWrap/>
            <w:vAlign w:val="bottom"/>
          </w:tcPr>
          <w:p w14:paraId="64302FD9"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P_032</w:t>
            </w:r>
          </w:p>
        </w:tc>
        <w:tc>
          <w:tcPr>
            <w:tcW w:w="3686" w:type="dxa"/>
            <w:tcBorders>
              <w:top w:val="nil"/>
              <w:left w:val="nil"/>
              <w:bottom w:val="single" w:sz="4" w:space="0" w:color="auto"/>
              <w:right w:val="single" w:sz="4" w:space="0" w:color="auto"/>
            </w:tcBorders>
            <w:shd w:val="clear" w:color="auto" w:fill="auto"/>
            <w:noWrap/>
            <w:vAlign w:val="bottom"/>
          </w:tcPr>
          <w:p w14:paraId="27A88F1F"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TRANSELEC S.A.</w:t>
            </w:r>
          </w:p>
        </w:tc>
        <w:tc>
          <w:tcPr>
            <w:tcW w:w="2268" w:type="dxa"/>
            <w:tcBorders>
              <w:top w:val="nil"/>
              <w:left w:val="nil"/>
              <w:bottom w:val="single" w:sz="4" w:space="0" w:color="auto"/>
              <w:right w:val="single" w:sz="4" w:space="0" w:color="auto"/>
            </w:tcBorders>
            <w:shd w:val="clear" w:color="auto" w:fill="auto"/>
            <w:noWrap/>
            <w:vAlign w:val="bottom"/>
          </w:tcPr>
          <w:p w14:paraId="08875256"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15.591.081,32</w:t>
            </w:r>
          </w:p>
        </w:tc>
      </w:tr>
      <w:tr w:rsidR="004864FF" w:rsidRPr="0069558B" w14:paraId="3E4C2838"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0630F3A7"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N_138</w:t>
            </w:r>
          </w:p>
        </w:tc>
        <w:tc>
          <w:tcPr>
            <w:tcW w:w="3969" w:type="dxa"/>
            <w:tcBorders>
              <w:top w:val="nil"/>
              <w:left w:val="nil"/>
              <w:bottom w:val="single" w:sz="4" w:space="0" w:color="auto"/>
              <w:right w:val="single" w:sz="4" w:space="0" w:color="auto"/>
            </w:tcBorders>
            <w:shd w:val="clear" w:color="auto" w:fill="auto"/>
            <w:vAlign w:val="center"/>
            <w:hideMark/>
          </w:tcPr>
          <w:p w14:paraId="1EFFF023"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Temuco 220-&gt;Cautín 220</w:t>
            </w:r>
          </w:p>
        </w:tc>
        <w:tc>
          <w:tcPr>
            <w:tcW w:w="1134" w:type="dxa"/>
            <w:tcBorders>
              <w:top w:val="nil"/>
              <w:left w:val="nil"/>
              <w:bottom w:val="single" w:sz="4" w:space="0" w:color="auto"/>
              <w:right w:val="single" w:sz="4" w:space="0" w:color="auto"/>
            </w:tcBorders>
            <w:shd w:val="clear" w:color="auto" w:fill="auto"/>
            <w:noWrap/>
            <w:vAlign w:val="bottom"/>
          </w:tcPr>
          <w:p w14:paraId="5BAC3778"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P_032</w:t>
            </w:r>
          </w:p>
        </w:tc>
        <w:tc>
          <w:tcPr>
            <w:tcW w:w="3686" w:type="dxa"/>
            <w:tcBorders>
              <w:top w:val="nil"/>
              <w:left w:val="nil"/>
              <w:bottom w:val="single" w:sz="4" w:space="0" w:color="auto"/>
              <w:right w:val="single" w:sz="4" w:space="0" w:color="auto"/>
            </w:tcBorders>
            <w:shd w:val="clear" w:color="auto" w:fill="auto"/>
            <w:noWrap/>
            <w:vAlign w:val="bottom"/>
          </w:tcPr>
          <w:p w14:paraId="78D8DEBE"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TRANSELEC S.A.</w:t>
            </w:r>
          </w:p>
        </w:tc>
        <w:tc>
          <w:tcPr>
            <w:tcW w:w="2268" w:type="dxa"/>
            <w:tcBorders>
              <w:top w:val="nil"/>
              <w:left w:val="nil"/>
              <w:bottom w:val="single" w:sz="4" w:space="0" w:color="auto"/>
              <w:right w:val="single" w:sz="4" w:space="0" w:color="auto"/>
            </w:tcBorders>
            <w:shd w:val="clear" w:color="auto" w:fill="auto"/>
            <w:noWrap/>
            <w:vAlign w:val="bottom"/>
          </w:tcPr>
          <w:p w14:paraId="32E60B4C"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3.126.888,00</w:t>
            </w:r>
          </w:p>
        </w:tc>
      </w:tr>
      <w:tr w:rsidR="004864FF" w:rsidRPr="0069558B" w14:paraId="6E3EB5C5" w14:textId="77777777" w:rsidTr="006B5A62">
        <w:trPr>
          <w:jc w:val="center"/>
        </w:trPr>
        <w:tc>
          <w:tcPr>
            <w:tcW w:w="1985"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0AAFBC5F"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N_139</w:t>
            </w:r>
          </w:p>
        </w:tc>
        <w:tc>
          <w:tcPr>
            <w:tcW w:w="3969" w:type="dxa"/>
            <w:vMerge w:val="restart"/>
            <w:tcBorders>
              <w:top w:val="nil"/>
              <w:left w:val="single" w:sz="4" w:space="0" w:color="auto"/>
              <w:bottom w:val="single" w:sz="4" w:space="0" w:color="000000"/>
              <w:right w:val="single" w:sz="4" w:space="0" w:color="auto"/>
            </w:tcBorders>
            <w:shd w:val="clear" w:color="auto" w:fill="auto"/>
            <w:vAlign w:val="center"/>
            <w:hideMark/>
          </w:tcPr>
          <w:p w14:paraId="12DA3BB1"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Temuco 220-&gt;Los Peumos 220</w:t>
            </w:r>
          </w:p>
        </w:tc>
        <w:tc>
          <w:tcPr>
            <w:tcW w:w="1134" w:type="dxa"/>
            <w:tcBorders>
              <w:top w:val="nil"/>
              <w:left w:val="nil"/>
              <w:bottom w:val="single" w:sz="4" w:space="0" w:color="auto"/>
              <w:right w:val="single" w:sz="4" w:space="0" w:color="auto"/>
            </w:tcBorders>
            <w:shd w:val="clear" w:color="auto" w:fill="auto"/>
            <w:noWrap/>
            <w:vAlign w:val="bottom"/>
          </w:tcPr>
          <w:p w14:paraId="5930AB19"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P_032</w:t>
            </w:r>
          </w:p>
        </w:tc>
        <w:tc>
          <w:tcPr>
            <w:tcW w:w="3686" w:type="dxa"/>
            <w:tcBorders>
              <w:top w:val="nil"/>
              <w:left w:val="nil"/>
              <w:bottom w:val="single" w:sz="4" w:space="0" w:color="auto"/>
              <w:right w:val="single" w:sz="4" w:space="0" w:color="auto"/>
            </w:tcBorders>
            <w:shd w:val="clear" w:color="auto" w:fill="auto"/>
            <w:noWrap/>
            <w:vAlign w:val="bottom"/>
          </w:tcPr>
          <w:p w14:paraId="3B20C7F5"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TRANSELEC S.A.</w:t>
            </w:r>
          </w:p>
        </w:tc>
        <w:tc>
          <w:tcPr>
            <w:tcW w:w="2268" w:type="dxa"/>
            <w:tcBorders>
              <w:top w:val="nil"/>
              <w:left w:val="nil"/>
              <w:bottom w:val="single" w:sz="4" w:space="0" w:color="auto"/>
              <w:right w:val="single" w:sz="4" w:space="0" w:color="auto"/>
            </w:tcBorders>
            <w:shd w:val="clear" w:color="auto" w:fill="auto"/>
            <w:noWrap/>
            <w:vAlign w:val="bottom"/>
          </w:tcPr>
          <w:p w14:paraId="73A3CEBA"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12.734.151,84</w:t>
            </w:r>
          </w:p>
        </w:tc>
      </w:tr>
      <w:tr w:rsidR="004864FF" w:rsidRPr="0069558B" w14:paraId="6DD51322" w14:textId="77777777" w:rsidTr="006B5A62">
        <w:trPr>
          <w:jc w:val="center"/>
        </w:trPr>
        <w:tc>
          <w:tcPr>
            <w:tcW w:w="1985" w:type="dxa"/>
            <w:vMerge/>
            <w:tcBorders>
              <w:top w:val="nil"/>
              <w:left w:val="single" w:sz="4" w:space="0" w:color="auto"/>
              <w:bottom w:val="single" w:sz="4" w:space="0" w:color="000000"/>
              <w:right w:val="single" w:sz="4" w:space="0" w:color="auto"/>
            </w:tcBorders>
            <w:vAlign w:val="center"/>
            <w:hideMark/>
          </w:tcPr>
          <w:p w14:paraId="76D03EAC" w14:textId="77777777" w:rsidR="004864FF" w:rsidRPr="0069558B" w:rsidRDefault="004864FF" w:rsidP="006B5A62">
            <w:pPr>
              <w:spacing w:before="20" w:after="20" w:line="240" w:lineRule="auto"/>
              <w:jc w:val="left"/>
              <w:rPr>
                <w:rFonts w:eastAsia="Times New Roman" w:cs="Calibri"/>
                <w:color w:val="000000"/>
                <w:sz w:val="20"/>
                <w:szCs w:val="20"/>
                <w:lang w:eastAsia="es-CL"/>
              </w:rPr>
            </w:pPr>
          </w:p>
        </w:tc>
        <w:tc>
          <w:tcPr>
            <w:tcW w:w="3969" w:type="dxa"/>
            <w:vMerge/>
            <w:tcBorders>
              <w:top w:val="nil"/>
              <w:left w:val="single" w:sz="4" w:space="0" w:color="auto"/>
              <w:bottom w:val="single" w:sz="4" w:space="0" w:color="000000"/>
              <w:right w:val="single" w:sz="4" w:space="0" w:color="auto"/>
            </w:tcBorders>
            <w:vAlign w:val="center"/>
            <w:hideMark/>
          </w:tcPr>
          <w:p w14:paraId="2E015348" w14:textId="77777777" w:rsidR="004864FF" w:rsidRPr="0069558B" w:rsidRDefault="004864FF" w:rsidP="006B5A62">
            <w:pPr>
              <w:spacing w:before="20" w:after="20" w:line="240" w:lineRule="auto"/>
              <w:jc w:val="left"/>
              <w:rPr>
                <w:rFonts w:eastAsia="Times New Roman" w:cs="Calibri"/>
                <w:color w:val="000000"/>
                <w:sz w:val="20"/>
                <w:szCs w:val="20"/>
                <w:lang w:eastAsia="es-CL"/>
              </w:rPr>
            </w:pPr>
          </w:p>
        </w:tc>
        <w:tc>
          <w:tcPr>
            <w:tcW w:w="1134" w:type="dxa"/>
            <w:tcBorders>
              <w:top w:val="nil"/>
              <w:left w:val="nil"/>
              <w:bottom w:val="single" w:sz="4" w:space="0" w:color="auto"/>
              <w:right w:val="single" w:sz="4" w:space="0" w:color="auto"/>
            </w:tcBorders>
            <w:shd w:val="clear" w:color="auto" w:fill="auto"/>
            <w:noWrap/>
            <w:vAlign w:val="bottom"/>
          </w:tcPr>
          <w:p w14:paraId="03E4C24F"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P_083</w:t>
            </w:r>
          </w:p>
        </w:tc>
        <w:tc>
          <w:tcPr>
            <w:tcW w:w="3686" w:type="dxa"/>
            <w:tcBorders>
              <w:top w:val="nil"/>
              <w:left w:val="nil"/>
              <w:bottom w:val="single" w:sz="4" w:space="0" w:color="auto"/>
              <w:right w:val="single" w:sz="4" w:space="0" w:color="auto"/>
            </w:tcBorders>
            <w:shd w:val="clear" w:color="auto" w:fill="auto"/>
            <w:noWrap/>
            <w:vAlign w:val="bottom"/>
          </w:tcPr>
          <w:p w14:paraId="79FEF94F"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CGE</w:t>
            </w:r>
          </w:p>
        </w:tc>
        <w:tc>
          <w:tcPr>
            <w:tcW w:w="2268" w:type="dxa"/>
            <w:tcBorders>
              <w:top w:val="nil"/>
              <w:left w:val="nil"/>
              <w:bottom w:val="single" w:sz="4" w:space="0" w:color="auto"/>
              <w:right w:val="single" w:sz="4" w:space="0" w:color="auto"/>
            </w:tcBorders>
            <w:shd w:val="clear" w:color="auto" w:fill="auto"/>
            <w:noWrap/>
            <w:vAlign w:val="bottom"/>
          </w:tcPr>
          <w:p w14:paraId="45AF36C6"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288.050,86</w:t>
            </w:r>
          </w:p>
        </w:tc>
      </w:tr>
      <w:tr w:rsidR="004864FF" w:rsidRPr="0069558B" w14:paraId="680DF431" w14:textId="77777777" w:rsidTr="006B5A62">
        <w:trPr>
          <w:jc w:val="center"/>
        </w:trPr>
        <w:tc>
          <w:tcPr>
            <w:tcW w:w="1985" w:type="dxa"/>
            <w:tcBorders>
              <w:top w:val="nil"/>
              <w:left w:val="single" w:sz="4" w:space="0" w:color="auto"/>
              <w:bottom w:val="single" w:sz="4" w:space="0" w:color="auto"/>
              <w:right w:val="single" w:sz="4" w:space="0" w:color="auto"/>
            </w:tcBorders>
            <w:shd w:val="clear" w:color="auto" w:fill="auto"/>
            <w:noWrap/>
            <w:vAlign w:val="center"/>
            <w:hideMark/>
          </w:tcPr>
          <w:p w14:paraId="224BEAF3"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N_140</w:t>
            </w:r>
          </w:p>
        </w:tc>
        <w:tc>
          <w:tcPr>
            <w:tcW w:w="3969" w:type="dxa"/>
            <w:tcBorders>
              <w:top w:val="nil"/>
              <w:left w:val="nil"/>
              <w:bottom w:val="single" w:sz="4" w:space="0" w:color="auto"/>
              <w:right w:val="single" w:sz="4" w:space="0" w:color="auto"/>
            </w:tcBorders>
            <w:shd w:val="clear" w:color="auto" w:fill="auto"/>
            <w:vAlign w:val="center"/>
            <w:hideMark/>
          </w:tcPr>
          <w:p w14:paraId="55813FD2"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sidRPr="0069558B">
              <w:rPr>
                <w:rFonts w:eastAsia="Times New Roman" w:cs="Calibri"/>
                <w:color w:val="000000"/>
                <w:sz w:val="20"/>
                <w:szCs w:val="20"/>
                <w:lang w:eastAsia="es-CL"/>
              </w:rPr>
              <w:t>Valdivia 220-&gt;Nueva Valdivia 220</w:t>
            </w:r>
          </w:p>
        </w:tc>
        <w:tc>
          <w:tcPr>
            <w:tcW w:w="1134" w:type="dxa"/>
            <w:tcBorders>
              <w:top w:val="nil"/>
              <w:left w:val="nil"/>
              <w:bottom w:val="single" w:sz="4" w:space="0" w:color="auto"/>
              <w:right w:val="single" w:sz="4" w:space="0" w:color="auto"/>
            </w:tcBorders>
            <w:shd w:val="clear" w:color="auto" w:fill="auto"/>
            <w:noWrap/>
            <w:vAlign w:val="bottom"/>
            <w:hideMark/>
          </w:tcPr>
          <w:p w14:paraId="5A7A496F" w14:textId="77777777" w:rsidR="004864FF" w:rsidRPr="0069558B" w:rsidRDefault="004864FF" w:rsidP="006B5A62">
            <w:pPr>
              <w:spacing w:before="20" w:after="20" w:line="240" w:lineRule="auto"/>
              <w:jc w:val="center"/>
              <w:rPr>
                <w:rFonts w:eastAsia="Times New Roman" w:cs="Calibri"/>
                <w:color w:val="000000"/>
                <w:sz w:val="20"/>
                <w:szCs w:val="20"/>
                <w:lang w:eastAsia="es-CL"/>
              </w:rPr>
            </w:pPr>
            <w:r>
              <w:rPr>
                <w:rFonts w:cs="Calibri"/>
                <w:color w:val="000000"/>
                <w:sz w:val="20"/>
                <w:szCs w:val="20"/>
              </w:rPr>
              <w:t>P_032</w:t>
            </w:r>
          </w:p>
        </w:tc>
        <w:tc>
          <w:tcPr>
            <w:tcW w:w="3686" w:type="dxa"/>
            <w:tcBorders>
              <w:top w:val="nil"/>
              <w:left w:val="nil"/>
              <w:bottom w:val="single" w:sz="4" w:space="0" w:color="auto"/>
              <w:right w:val="single" w:sz="4" w:space="0" w:color="auto"/>
            </w:tcBorders>
            <w:shd w:val="clear" w:color="auto" w:fill="auto"/>
            <w:noWrap/>
            <w:vAlign w:val="bottom"/>
            <w:hideMark/>
          </w:tcPr>
          <w:p w14:paraId="2060019D" w14:textId="77777777" w:rsidR="004864FF" w:rsidRPr="0069558B" w:rsidRDefault="004864FF" w:rsidP="006B5A62">
            <w:pPr>
              <w:spacing w:before="20" w:after="20" w:line="240" w:lineRule="auto"/>
              <w:jc w:val="left"/>
              <w:rPr>
                <w:rFonts w:eastAsia="Times New Roman" w:cs="Calibri"/>
                <w:color w:val="000000"/>
                <w:sz w:val="20"/>
                <w:szCs w:val="20"/>
                <w:lang w:eastAsia="es-CL"/>
              </w:rPr>
            </w:pPr>
            <w:r>
              <w:rPr>
                <w:rFonts w:cs="Calibri"/>
                <w:color w:val="000000"/>
                <w:sz w:val="20"/>
                <w:szCs w:val="20"/>
              </w:rPr>
              <w:t>TRANSELEC S.A.</w:t>
            </w:r>
          </w:p>
        </w:tc>
        <w:tc>
          <w:tcPr>
            <w:tcW w:w="2268" w:type="dxa"/>
            <w:tcBorders>
              <w:top w:val="nil"/>
              <w:left w:val="nil"/>
              <w:bottom w:val="single" w:sz="4" w:space="0" w:color="auto"/>
              <w:right w:val="single" w:sz="4" w:space="0" w:color="auto"/>
            </w:tcBorders>
            <w:shd w:val="clear" w:color="auto" w:fill="auto"/>
            <w:noWrap/>
            <w:vAlign w:val="bottom"/>
          </w:tcPr>
          <w:p w14:paraId="1E2AB928" w14:textId="77777777" w:rsidR="004864FF" w:rsidRPr="001F33F5" w:rsidRDefault="004864FF" w:rsidP="006B5A62">
            <w:pPr>
              <w:spacing w:before="20" w:after="20" w:line="240" w:lineRule="auto"/>
              <w:jc w:val="right"/>
              <w:rPr>
                <w:rFonts w:eastAsia="Times New Roman" w:cs="Calibri"/>
                <w:b/>
                <w:bCs/>
                <w:color w:val="000000"/>
                <w:sz w:val="20"/>
                <w:szCs w:val="20"/>
                <w:lang w:eastAsia="es-CL"/>
              </w:rPr>
            </w:pPr>
            <w:r>
              <w:rPr>
                <w:rFonts w:cs="Calibri"/>
                <w:color w:val="000000"/>
                <w:sz w:val="20"/>
                <w:szCs w:val="20"/>
              </w:rPr>
              <w:t>3.070.330,22</w:t>
            </w:r>
          </w:p>
        </w:tc>
      </w:tr>
    </w:tbl>
    <w:p w14:paraId="7A5DF2A2" w14:textId="77777777" w:rsidR="004864FF" w:rsidRDefault="004864FF" w:rsidP="004864FF">
      <w:pPr>
        <w:jc w:val="center"/>
      </w:pPr>
    </w:p>
    <w:p w14:paraId="627DB285" w14:textId="77777777" w:rsidR="003E19A2" w:rsidRDefault="003E19A2" w:rsidP="003E19A2">
      <w:pPr>
        <w:jc w:val="center"/>
      </w:pPr>
    </w:p>
    <w:p w14:paraId="4934AB7C" w14:textId="1F258B0D" w:rsidR="003E19A2" w:rsidRDefault="003E19A2" w:rsidP="003E19A2"/>
    <w:p w14:paraId="7E542D4A" w14:textId="77777777" w:rsidR="00ED0E24" w:rsidRDefault="00ED0E24" w:rsidP="003E19A2">
      <w:pPr>
        <w:sectPr w:rsidR="00ED0E24" w:rsidSect="003E19A2">
          <w:pgSz w:w="15842" w:h="12242" w:orient="landscape" w:code="1"/>
          <w:pgMar w:top="1134" w:right="1134" w:bottom="1418" w:left="1134" w:header="851" w:footer="1134" w:gutter="0"/>
          <w:cols w:space="708"/>
          <w:titlePg/>
          <w:docGrid w:linePitch="360"/>
        </w:sectPr>
      </w:pPr>
    </w:p>
    <w:p w14:paraId="13AD03DA" w14:textId="1E5FBB12" w:rsidR="00ED0E24" w:rsidRPr="007475F9" w:rsidRDefault="00ED0E24" w:rsidP="00ED0E24">
      <w:pPr>
        <w:pStyle w:val="Ttulo3"/>
        <w:rPr>
          <w:lang w:val="es-ES"/>
        </w:rPr>
      </w:pPr>
      <w:bookmarkStart w:id="465" w:name="_Toc38351288"/>
      <w:bookmarkStart w:id="466" w:name="_Toc39797866"/>
      <w:r w:rsidRPr="007475F9">
        <w:lastRenderedPageBreak/>
        <w:t>Valor de inversión derechos relacionados con el uso del</w:t>
      </w:r>
      <w:r w:rsidR="00A477D0">
        <w:t xml:space="preserve"> </w:t>
      </w:r>
      <w:r w:rsidRPr="007475F9">
        <w:t>suelo</w:t>
      </w:r>
      <w:r w:rsidR="00A477D0">
        <w:t xml:space="preserve"> </w:t>
      </w:r>
      <w:r w:rsidRPr="007475F9">
        <w:t>y medioambiente</w:t>
      </w:r>
      <w:bookmarkEnd w:id="465"/>
      <w:bookmarkEnd w:id="466"/>
    </w:p>
    <w:p w14:paraId="6F797DC3" w14:textId="6D70B20E" w:rsidR="00ED0E24" w:rsidRDefault="00ED0E24" w:rsidP="00ED0E24">
      <w:pPr>
        <w:pStyle w:val="Ttulo4"/>
      </w:pPr>
      <w:bookmarkStart w:id="467" w:name="_Toc38351289"/>
      <w:bookmarkStart w:id="468" w:name="_Toc39797867"/>
      <w:r>
        <w:t>V</w:t>
      </w:r>
      <w:r w:rsidRPr="00596F02">
        <w:t>.I. Terrenos tramos de subestaciones</w:t>
      </w:r>
      <w:bookmarkEnd w:id="467"/>
      <w:bookmarkEnd w:id="468"/>
    </w:p>
    <w:p w14:paraId="62D8CCAD" w14:textId="77777777" w:rsidR="002A3409" w:rsidRPr="00CA697A" w:rsidRDefault="002A3409" w:rsidP="002A3409">
      <w:pPr>
        <w:pStyle w:val="Subttulo"/>
      </w:pPr>
      <w:bookmarkStart w:id="469" w:name="_Toc39795275"/>
      <w:bookmarkStart w:id="470" w:name="_Toc39797955"/>
      <w:r w:rsidRPr="00CA697A">
        <w:t xml:space="preserve">Tabla </w:t>
      </w:r>
      <w:fldSimple w:instr=" SEQ Tabla \* ARABIC ">
        <w:r w:rsidR="001F3E2E">
          <w:rPr>
            <w:noProof/>
          </w:rPr>
          <w:t>45</w:t>
        </w:r>
      </w:fldSimple>
      <w:r w:rsidRPr="00CA697A">
        <w:t>: Valor de Inversión (V.I.) terrenos tramos de subestación</w:t>
      </w:r>
      <w:bookmarkEnd w:id="469"/>
      <w:bookmarkEnd w:id="470"/>
    </w:p>
    <w:tbl>
      <w:tblPr>
        <w:tblW w:w="0" w:type="auto"/>
        <w:jc w:val="center"/>
        <w:tblLayout w:type="fixed"/>
        <w:tblCellMar>
          <w:left w:w="57" w:type="dxa"/>
          <w:right w:w="57" w:type="dxa"/>
        </w:tblCellMar>
        <w:tblLook w:val="04A0" w:firstRow="1" w:lastRow="0" w:firstColumn="1" w:lastColumn="0" w:noHBand="0" w:noVBand="1"/>
      </w:tblPr>
      <w:tblGrid>
        <w:gridCol w:w="1247"/>
        <w:gridCol w:w="2552"/>
        <w:gridCol w:w="1418"/>
        <w:gridCol w:w="2552"/>
        <w:gridCol w:w="1701"/>
      </w:tblGrid>
      <w:tr w:rsidR="002A3409" w:rsidRPr="003B32D4" w14:paraId="6C466904" w14:textId="77777777" w:rsidTr="006B5A62">
        <w:trPr>
          <w:tblHeader/>
          <w:jc w:val="center"/>
        </w:trPr>
        <w:tc>
          <w:tcPr>
            <w:tcW w:w="1247" w:type="dxa"/>
            <w:tcBorders>
              <w:top w:val="single" w:sz="6" w:space="0" w:color="auto"/>
              <w:left w:val="single" w:sz="6" w:space="0" w:color="auto"/>
              <w:bottom w:val="single" w:sz="6" w:space="0" w:color="auto"/>
              <w:right w:val="single" w:sz="6" w:space="0" w:color="auto"/>
            </w:tcBorders>
            <w:shd w:val="clear" w:color="auto" w:fill="D0CECE" w:themeFill="background2" w:themeFillShade="E6"/>
            <w:vAlign w:val="center"/>
            <w:hideMark/>
          </w:tcPr>
          <w:p w14:paraId="3230E83C" w14:textId="77777777" w:rsidR="002A3409" w:rsidRPr="003B32D4" w:rsidRDefault="002A3409" w:rsidP="006B5A62">
            <w:pPr>
              <w:spacing w:before="20" w:after="20" w:line="240" w:lineRule="auto"/>
              <w:jc w:val="center"/>
              <w:rPr>
                <w:rFonts w:asciiTheme="minorHAnsi" w:eastAsia="Times New Roman" w:hAnsiTheme="minorHAnsi" w:cstheme="minorHAnsi"/>
                <w:b/>
                <w:bCs/>
                <w:color w:val="000000"/>
                <w:sz w:val="20"/>
                <w:szCs w:val="20"/>
                <w:lang w:val="es-ES" w:eastAsia="es-ES"/>
              </w:rPr>
            </w:pPr>
            <w:r>
              <w:rPr>
                <w:rFonts w:asciiTheme="minorHAnsi" w:eastAsia="Times New Roman" w:hAnsiTheme="minorHAnsi" w:cstheme="minorHAnsi"/>
                <w:b/>
                <w:bCs/>
                <w:color w:val="000000"/>
                <w:sz w:val="20"/>
                <w:szCs w:val="20"/>
                <w:lang w:val="es-ES" w:eastAsia="es-ES"/>
              </w:rPr>
              <w:t>IdCalificacion Có</w:t>
            </w:r>
            <w:r w:rsidRPr="003B32D4">
              <w:rPr>
                <w:rFonts w:asciiTheme="minorHAnsi" w:eastAsia="Times New Roman" w:hAnsiTheme="minorHAnsi" w:cstheme="minorHAnsi"/>
                <w:b/>
                <w:bCs/>
                <w:color w:val="000000"/>
                <w:sz w:val="20"/>
                <w:szCs w:val="20"/>
                <w:lang w:val="es-ES" w:eastAsia="es-ES"/>
              </w:rPr>
              <w:t>digo</w:t>
            </w:r>
          </w:p>
        </w:tc>
        <w:tc>
          <w:tcPr>
            <w:tcW w:w="2552" w:type="dxa"/>
            <w:tcBorders>
              <w:top w:val="single" w:sz="6" w:space="0" w:color="auto"/>
              <w:left w:val="single" w:sz="6" w:space="0" w:color="auto"/>
              <w:bottom w:val="single" w:sz="6" w:space="0" w:color="auto"/>
              <w:right w:val="single" w:sz="6" w:space="0" w:color="auto"/>
            </w:tcBorders>
            <w:shd w:val="clear" w:color="auto" w:fill="D0CECE" w:themeFill="background2" w:themeFillShade="E6"/>
            <w:vAlign w:val="center"/>
            <w:hideMark/>
          </w:tcPr>
          <w:p w14:paraId="194A020B" w14:textId="77777777" w:rsidR="002A3409" w:rsidRPr="003B32D4" w:rsidRDefault="002A3409" w:rsidP="006B5A62">
            <w:pPr>
              <w:spacing w:before="20" w:after="20" w:line="240" w:lineRule="auto"/>
              <w:jc w:val="center"/>
              <w:rPr>
                <w:rFonts w:asciiTheme="minorHAnsi" w:eastAsia="Times New Roman" w:hAnsiTheme="minorHAnsi" w:cstheme="minorHAnsi"/>
                <w:b/>
                <w:bCs/>
                <w:color w:val="000000"/>
                <w:sz w:val="20"/>
                <w:szCs w:val="20"/>
                <w:lang w:val="es-ES" w:eastAsia="es-ES"/>
              </w:rPr>
            </w:pPr>
            <w:r w:rsidRPr="003B32D4">
              <w:rPr>
                <w:rFonts w:asciiTheme="minorHAnsi" w:eastAsia="Times New Roman" w:hAnsiTheme="minorHAnsi" w:cstheme="minorHAnsi"/>
                <w:b/>
                <w:bCs/>
                <w:color w:val="000000"/>
                <w:sz w:val="20"/>
                <w:szCs w:val="20"/>
                <w:lang w:val="es-ES" w:eastAsia="es-ES"/>
              </w:rPr>
              <w:t>Nombre</w:t>
            </w:r>
          </w:p>
        </w:tc>
        <w:tc>
          <w:tcPr>
            <w:tcW w:w="1418" w:type="dxa"/>
            <w:tcBorders>
              <w:top w:val="single" w:sz="6" w:space="0" w:color="auto"/>
              <w:left w:val="single" w:sz="6" w:space="0" w:color="auto"/>
              <w:bottom w:val="single" w:sz="6" w:space="0" w:color="auto"/>
              <w:right w:val="single" w:sz="6" w:space="0" w:color="auto"/>
            </w:tcBorders>
            <w:shd w:val="clear" w:color="auto" w:fill="D0CECE" w:themeFill="background2" w:themeFillShade="E6"/>
            <w:vAlign w:val="center"/>
            <w:hideMark/>
          </w:tcPr>
          <w:p w14:paraId="473D14F8" w14:textId="77777777" w:rsidR="002A3409" w:rsidRPr="003B32D4" w:rsidRDefault="002A3409" w:rsidP="006B5A62">
            <w:pPr>
              <w:spacing w:before="20" w:after="20" w:line="240" w:lineRule="auto"/>
              <w:jc w:val="center"/>
              <w:rPr>
                <w:rFonts w:asciiTheme="minorHAnsi" w:eastAsia="Times New Roman" w:hAnsiTheme="minorHAnsi" w:cstheme="minorHAnsi"/>
                <w:b/>
                <w:bCs/>
                <w:color w:val="000000"/>
                <w:sz w:val="20"/>
                <w:szCs w:val="20"/>
                <w:lang w:val="es-ES" w:eastAsia="es-ES"/>
              </w:rPr>
            </w:pPr>
            <w:r w:rsidRPr="003B32D4">
              <w:rPr>
                <w:rFonts w:asciiTheme="minorHAnsi" w:eastAsia="Times New Roman" w:hAnsiTheme="minorHAnsi" w:cstheme="minorHAnsi"/>
                <w:b/>
                <w:bCs/>
                <w:color w:val="000000"/>
                <w:sz w:val="20"/>
                <w:szCs w:val="20"/>
                <w:lang w:val="es-ES" w:eastAsia="es-ES"/>
              </w:rPr>
              <w:t>IdEmpresa Propietaria</w:t>
            </w:r>
          </w:p>
        </w:tc>
        <w:tc>
          <w:tcPr>
            <w:tcW w:w="2552" w:type="dxa"/>
            <w:tcBorders>
              <w:top w:val="single" w:sz="6" w:space="0" w:color="auto"/>
              <w:left w:val="single" w:sz="6" w:space="0" w:color="auto"/>
              <w:bottom w:val="single" w:sz="6" w:space="0" w:color="auto"/>
              <w:right w:val="single" w:sz="6" w:space="0" w:color="auto"/>
            </w:tcBorders>
            <w:shd w:val="clear" w:color="auto" w:fill="D0CECE" w:themeFill="background2" w:themeFillShade="E6"/>
            <w:vAlign w:val="center"/>
            <w:hideMark/>
          </w:tcPr>
          <w:p w14:paraId="0D5A580C" w14:textId="77777777" w:rsidR="002A3409" w:rsidRPr="003B32D4" w:rsidRDefault="002A3409" w:rsidP="006B5A62">
            <w:pPr>
              <w:spacing w:before="20" w:after="20" w:line="240" w:lineRule="auto"/>
              <w:jc w:val="center"/>
              <w:rPr>
                <w:rFonts w:asciiTheme="minorHAnsi" w:eastAsia="Times New Roman" w:hAnsiTheme="minorHAnsi" w:cstheme="minorHAnsi"/>
                <w:b/>
                <w:bCs/>
                <w:color w:val="000000"/>
                <w:sz w:val="20"/>
                <w:szCs w:val="20"/>
                <w:lang w:val="es-ES" w:eastAsia="es-ES"/>
              </w:rPr>
            </w:pPr>
            <w:r w:rsidRPr="003B32D4">
              <w:rPr>
                <w:rFonts w:asciiTheme="minorHAnsi" w:eastAsia="Times New Roman" w:hAnsiTheme="minorHAnsi" w:cstheme="minorHAnsi"/>
                <w:b/>
                <w:bCs/>
                <w:color w:val="000000"/>
                <w:sz w:val="20"/>
                <w:szCs w:val="20"/>
                <w:lang w:val="es-ES" w:eastAsia="es-ES"/>
              </w:rPr>
              <w:t>EmpresaPropietaria</w:t>
            </w:r>
          </w:p>
        </w:tc>
        <w:tc>
          <w:tcPr>
            <w:tcW w:w="1701" w:type="dxa"/>
            <w:tcBorders>
              <w:top w:val="single" w:sz="6" w:space="0" w:color="auto"/>
              <w:left w:val="single" w:sz="6" w:space="0" w:color="auto"/>
              <w:bottom w:val="single" w:sz="6" w:space="0" w:color="auto"/>
              <w:right w:val="single" w:sz="6" w:space="0" w:color="auto"/>
            </w:tcBorders>
            <w:shd w:val="clear" w:color="auto" w:fill="D0CECE" w:themeFill="background2" w:themeFillShade="E6"/>
            <w:vAlign w:val="center"/>
            <w:hideMark/>
          </w:tcPr>
          <w:p w14:paraId="5DF071B1" w14:textId="77777777" w:rsidR="002A3409" w:rsidRPr="003B32D4" w:rsidRDefault="002A3409" w:rsidP="006B5A62">
            <w:pPr>
              <w:spacing w:before="20" w:after="20" w:line="240" w:lineRule="auto"/>
              <w:jc w:val="center"/>
              <w:rPr>
                <w:rFonts w:asciiTheme="minorHAnsi" w:eastAsia="Times New Roman" w:hAnsiTheme="minorHAnsi" w:cstheme="minorHAnsi"/>
                <w:b/>
                <w:bCs/>
                <w:color w:val="000000"/>
                <w:sz w:val="20"/>
                <w:szCs w:val="20"/>
                <w:lang w:val="es-ES" w:eastAsia="es-ES"/>
              </w:rPr>
            </w:pPr>
            <w:r w:rsidRPr="003B32D4">
              <w:rPr>
                <w:rFonts w:asciiTheme="minorHAnsi" w:eastAsia="Times New Roman" w:hAnsiTheme="minorHAnsi" w:cstheme="minorHAnsi"/>
                <w:b/>
                <w:bCs/>
                <w:color w:val="000000"/>
                <w:sz w:val="20"/>
                <w:szCs w:val="20"/>
                <w:lang w:val="es-ES" w:eastAsia="es-ES"/>
              </w:rPr>
              <w:t>VI_Terrenos (USD)</w:t>
            </w:r>
          </w:p>
        </w:tc>
      </w:tr>
      <w:tr w:rsidR="002A3409" w:rsidRPr="003B32D4" w14:paraId="70407FA2" w14:textId="77777777" w:rsidTr="006B5A62">
        <w:trPr>
          <w:jc w:val="center"/>
        </w:trPr>
        <w:tc>
          <w:tcPr>
            <w:tcW w:w="1247" w:type="dxa"/>
            <w:tcBorders>
              <w:top w:val="single" w:sz="6" w:space="0" w:color="auto"/>
              <w:left w:val="single" w:sz="6" w:space="0" w:color="auto"/>
              <w:bottom w:val="single" w:sz="2" w:space="0" w:color="auto"/>
              <w:right w:val="single" w:sz="6" w:space="0" w:color="auto"/>
            </w:tcBorders>
            <w:shd w:val="clear" w:color="auto" w:fill="auto"/>
            <w:noWrap/>
            <w:vAlign w:val="bottom"/>
            <w:hideMark/>
          </w:tcPr>
          <w:p w14:paraId="6437B6DC" w14:textId="77777777" w:rsidR="002A3409" w:rsidRPr="003B32D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SE-N_1</w:t>
            </w:r>
          </w:p>
        </w:tc>
        <w:tc>
          <w:tcPr>
            <w:tcW w:w="2552" w:type="dxa"/>
            <w:tcBorders>
              <w:top w:val="single" w:sz="6" w:space="0" w:color="auto"/>
              <w:left w:val="single" w:sz="6" w:space="0" w:color="auto"/>
              <w:bottom w:val="single" w:sz="2" w:space="0" w:color="auto"/>
              <w:right w:val="single" w:sz="6" w:space="0" w:color="auto"/>
            </w:tcBorders>
            <w:shd w:val="clear" w:color="auto" w:fill="auto"/>
            <w:noWrap/>
            <w:vAlign w:val="bottom"/>
            <w:hideMark/>
          </w:tcPr>
          <w:p w14:paraId="486F123A" w14:textId="77777777" w:rsidR="002A3409" w:rsidRPr="003B32D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ALTO JAHUEL</w:t>
            </w:r>
          </w:p>
        </w:tc>
        <w:tc>
          <w:tcPr>
            <w:tcW w:w="1418" w:type="dxa"/>
            <w:tcBorders>
              <w:top w:val="single" w:sz="6" w:space="0" w:color="auto"/>
              <w:left w:val="single" w:sz="6" w:space="0" w:color="auto"/>
              <w:bottom w:val="single" w:sz="2" w:space="0" w:color="auto"/>
              <w:right w:val="single" w:sz="6" w:space="0" w:color="auto"/>
            </w:tcBorders>
            <w:shd w:val="clear" w:color="auto" w:fill="auto"/>
            <w:noWrap/>
            <w:vAlign w:val="bottom"/>
            <w:hideMark/>
          </w:tcPr>
          <w:p w14:paraId="681B2205" w14:textId="77777777" w:rsidR="002A3409" w:rsidRPr="003B32D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552" w:type="dxa"/>
            <w:tcBorders>
              <w:top w:val="single" w:sz="6" w:space="0" w:color="auto"/>
              <w:left w:val="single" w:sz="6" w:space="0" w:color="auto"/>
              <w:bottom w:val="single" w:sz="2" w:space="0" w:color="auto"/>
              <w:right w:val="single" w:sz="6" w:space="0" w:color="auto"/>
            </w:tcBorders>
            <w:shd w:val="clear" w:color="auto" w:fill="auto"/>
            <w:noWrap/>
            <w:vAlign w:val="bottom"/>
            <w:hideMark/>
          </w:tcPr>
          <w:p w14:paraId="73F509AE" w14:textId="77777777" w:rsidR="002A3409" w:rsidRPr="003B32D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701" w:type="dxa"/>
            <w:tcBorders>
              <w:top w:val="single" w:sz="6" w:space="0" w:color="auto"/>
              <w:left w:val="single" w:sz="6" w:space="0" w:color="auto"/>
              <w:bottom w:val="single" w:sz="2" w:space="0" w:color="auto"/>
              <w:right w:val="single" w:sz="6" w:space="0" w:color="auto"/>
            </w:tcBorders>
            <w:shd w:val="clear" w:color="auto" w:fill="auto"/>
            <w:noWrap/>
            <w:vAlign w:val="bottom"/>
            <w:hideMark/>
          </w:tcPr>
          <w:p w14:paraId="1A815FAF"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2.716.347,07</w:t>
            </w:r>
          </w:p>
        </w:tc>
      </w:tr>
      <w:tr w:rsidR="002A3409" w:rsidRPr="003B32D4" w14:paraId="025863BD" w14:textId="77777777" w:rsidTr="006B5A62">
        <w:trPr>
          <w:jc w:val="center"/>
        </w:trPr>
        <w:tc>
          <w:tcPr>
            <w:tcW w:w="124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756D597E" w14:textId="77777777" w:rsidR="002A3409" w:rsidRPr="003B32D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SE-N_2</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7F0F2956" w14:textId="77777777" w:rsidR="002A3409" w:rsidRPr="003B32D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ANCOA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03B1BE1C" w14:textId="77777777" w:rsidR="002A3409" w:rsidRPr="003B32D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54D6E102" w14:textId="77777777" w:rsidR="002A3409" w:rsidRPr="003B32D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5282E357"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496.756,84</w:t>
            </w:r>
          </w:p>
        </w:tc>
      </w:tr>
      <w:tr w:rsidR="002A3409" w:rsidRPr="003B32D4" w14:paraId="17BBBEC8" w14:textId="77777777" w:rsidTr="006B5A62">
        <w:trPr>
          <w:jc w:val="center"/>
        </w:trPr>
        <w:tc>
          <w:tcPr>
            <w:tcW w:w="124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13F7090D" w14:textId="77777777" w:rsidR="002A3409" w:rsidRPr="003B32D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SE-N_3</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072304D4" w14:textId="77777777" w:rsidR="002A3409" w:rsidRPr="003B32D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ATACAMA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657CFFF9" w14:textId="77777777" w:rsidR="002A3409" w:rsidRPr="003B32D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0774CDD3" w14:textId="77777777" w:rsidR="002A3409" w:rsidRPr="003B32D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2708CD61"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1.245.797,67</w:t>
            </w:r>
          </w:p>
        </w:tc>
      </w:tr>
      <w:tr w:rsidR="002A3409" w:rsidRPr="003B32D4" w14:paraId="69AE49CE" w14:textId="77777777" w:rsidTr="006B5A62">
        <w:trPr>
          <w:jc w:val="center"/>
        </w:trPr>
        <w:tc>
          <w:tcPr>
            <w:tcW w:w="124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1892CF82" w14:textId="77777777" w:rsidR="002A3409" w:rsidRPr="003B32D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SE-N_7</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532F6154" w14:textId="77777777" w:rsidR="002A3409" w:rsidRPr="003B32D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CARDONES</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5BB5A8B5" w14:textId="77777777" w:rsidR="002A3409" w:rsidRPr="003B32D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631615BF" w14:textId="77777777" w:rsidR="002A3409" w:rsidRPr="003B32D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614D331A"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113.621,57</w:t>
            </w:r>
          </w:p>
        </w:tc>
      </w:tr>
      <w:tr w:rsidR="002A3409" w:rsidRPr="003B32D4" w14:paraId="5FAF93A1" w14:textId="77777777" w:rsidTr="006B5A62">
        <w:trPr>
          <w:jc w:val="center"/>
        </w:trPr>
        <w:tc>
          <w:tcPr>
            <w:tcW w:w="124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5E524A1D" w14:textId="77777777" w:rsidR="002A3409" w:rsidRPr="003B32D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SE-N_8</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15F2120E" w14:textId="77777777" w:rsidR="002A3409" w:rsidRPr="003B32D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CARRERA PINTO</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02AB5C8F" w14:textId="77777777" w:rsidR="002A3409" w:rsidRPr="003B32D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030A99A4" w14:textId="77777777" w:rsidR="002A3409" w:rsidRPr="003B32D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48B4EB31"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45.009,99</w:t>
            </w:r>
          </w:p>
        </w:tc>
      </w:tr>
      <w:tr w:rsidR="002A3409" w:rsidRPr="003B32D4" w14:paraId="17F74617" w14:textId="77777777" w:rsidTr="006B5A62">
        <w:trPr>
          <w:jc w:val="center"/>
        </w:trPr>
        <w:tc>
          <w:tcPr>
            <w:tcW w:w="124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6DBF8212" w14:textId="77777777" w:rsidR="002A3409" w:rsidRPr="003B32D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SE-N_9</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66EDCCAC" w14:textId="77777777" w:rsidR="002A3409" w:rsidRPr="003B32D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CAUTIN</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4BD1BE1F" w14:textId="77777777" w:rsidR="002A3409" w:rsidRPr="003B32D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48778AB8" w14:textId="77777777" w:rsidR="002A3409" w:rsidRPr="003B32D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2D119E6B"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883.147,30</w:t>
            </w:r>
          </w:p>
        </w:tc>
      </w:tr>
      <w:tr w:rsidR="002A3409" w:rsidRPr="003B32D4" w14:paraId="570B31F7" w14:textId="77777777" w:rsidTr="006B5A62">
        <w:trPr>
          <w:jc w:val="center"/>
        </w:trPr>
        <w:tc>
          <w:tcPr>
            <w:tcW w:w="124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0448A452" w14:textId="77777777" w:rsidR="002A3409" w:rsidRPr="003B32D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SE-N_10</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71D48799" w14:textId="77777777" w:rsidR="002A3409" w:rsidRPr="003B32D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CERRO NAVIA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0162E010" w14:textId="77777777" w:rsidR="002A3409" w:rsidRPr="003B32D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493A7372" w14:textId="77777777" w:rsidR="002A3409" w:rsidRPr="003B32D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626BA7A4"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7.130.847,51</w:t>
            </w:r>
          </w:p>
        </w:tc>
      </w:tr>
      <w:tr w:rsidR="002A3409" w:rsidRPr="003B32D4" w14:paraId="15FA4F5E" w14:textId="77777777" w:rsidTr="006B5A62">
        <w:trPr>
          <w:jc w:val="center"/>
        </w:trPr>
        <w:tc>
          <w:tcPr>
            <w:tcW w:w="124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6388C671" w14:textId="77777777" w:rsidR="002A3409" w:rsidRPr="003B32D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SE-N_11</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1131C49B" w14:textId="77777777" w:rsidR="002A3409" w:rsidRPr="003B32D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CHARRUA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3D5022D5" w14:textId="77777777" w:rsidR="002A3409" w:rsidRPr="003B32D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46552BE1" w14:textId="77777777" w:rsidR="002A3409" w:rsidRPr="003B32D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4C814329"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379.036,06</w:t>
            </w:r>
          </w:p>
        </w:tc>
      </w:tr>
      <w:tr w:rsidR="002A3409" w:rsidRPr="003B32D4" w14:paraId="21FCC45E" w14:textId="77777777" w:rsidTr="006B5A62">
        <w:trPr>
          <w:jc w:val="center"/>
        </w:trPr>
        <w:tc>
          <w:tcPr>
            <w:tcW w:w="124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3EC389F6" w14:textId="77777777" w:rsidR="002A3409" w:rsidRPr="003B32D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SE-N_12</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6E9080C6" w14:textId="77777777" w:rsidR="002A3409" w:rsidRPr="003B32D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CHENA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38A9270A" w14:textId="77777777" w:rsidR="002A3409" w:rsidRPr="003B32D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P_111</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4C4B6EE4" w14:textId="77777777" w:rsidR="002A3409" w:rsidRPr="003B32D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ENEL DISTRIBUCION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04EA0CE1"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3.147.205,26</w:t>
            </w:r>
          </w:p>
        </w:tc>
      </w:tr>
      <w:tr w:rsidR="002A3409" w:rsidRPr="003B32D4" w14:paraId="5F7060D7" w14:textId="77777777" w:rsidTr="006B5A62">
        <w:trPr>
          <w:jc w:val="center"/>
        </w:trPr>
        <w:tc>
          <w:tcPr>
            <w:tcW w:w="124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79061F90" w14:textId="77777777" w:rsidR="002A3409" w:rsidRPr="003B32D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SE-N_13</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7AF5DA35" w14:textId="77777777" w:rsidR="002A3409" w:rsidRPr="003B32D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Chiloe</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44C1300B" w14:textId="77777777" w:rsidR="002A3409" w:rsidRPr="003B32D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P_100</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425CFB86" w14:textId="77777777" w:rsidR="002A3409" w:rsidRPr="003B32D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STS</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042A223E"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57.096,10</w:t>
            </w:r>
          </w:p>
        </w:tc>
      </w:tr>
      <w:tr w:rsidR="002A3409" w:rsidRPr="003B32D4" w14:paraId="3C2882AD" w14:textId="77777777" w:rsidTr="006B5A62">
        <w:trPr>
          <w:jc w:val="center"/>
        </w:trPr>
        <w:tc>
          <w:tcPr>
            <w:tcW w:w="124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753FFA69" w14:textId="77777777" w:rsidR="002A3409" w:rsidRPr="003B32D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SE-N_15</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327673F9" w14:textId="77777777" w:rsidR="002A3409" w:rsidRPr="003B32D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CIRUELOS</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054BEB9B" w14:textId="77777777" w:rsidR="002A3409" w:rsidRPr="003B32D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4C9A4C1C" w14:textId="77777777" w:rsidR="002A3409" w:rsidRPr="003B32D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5666ADDB"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11.078,32</w:t>
            </w:r>
          </w:p>
        </w:tc>
      </w:tr>
      <w:tr w:rsidR="002A3409" w:rsidRPr="003B32D4" w14:paraId="797B92A7" w14:textId="77777777" w:rsidTr="006B5A62">
        <w:trPr>
          <w:jc w:val="center"/>
        </w:trPr>
        <w:tc>
          <w:tcPr>
            <w:tcW w:w="124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7929F1B3" w14:textId="77777777" w:rsidR="002A3409" w:rsidRPr="003B32D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SE-N_17</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592A4B79" w14:textId="77777777" w:rsidR="002A3409" w:rsidRPr="003B32D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CONCEPCION</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469E4CEE" w14:textId="77777777" w:rsidR="002A3409" w:rsidRPr="003B32D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41FA167C" w14:textId="77777777" w:rsidR="002A3409" w:rsidRPr="003B32D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323D6C96"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1.821.888,99</w:t>
            </w:r>
          </w:p>
        </w:tc>
      </w:tr>
      <w:tr w:rsidR="002A3409" w:rsidRPr="003B32D4" w14:paraId="14764CB5" w14:textId="77777777" w:rsidTr="006B5A62">
        <w:trPr>
          <w:jc w:val="center"/>
        </w:trPr>
        <w:tc>
          <w:tcPr>
            <w:tcW w:w="124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14B5FA8B" w14:textId="77777777" w:rsidR="002A3409" w:rsidRPr="003B32D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SE-N_18</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2459734D" w14:textId="77777777" w:rsidR="002A3409" w:rsidRPr="003B32D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CONDORES</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16A90B6B" w14:textId="77777777" w:rsidR="002A3409" w:rsidRPr="003B32D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P_120</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6E27D56B" w14:textId="77777777" w:rsidR="002A3409" w:rsidRPr="003B32D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TRANSEMEL</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09336A01"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324.684,39</w:t>
            </w:r>
          </w:p>
        </w:tc>
      </w:tr>
      <w:tr w:rsidR="002A3409" w:rsidRPr="003B32D4" w14:paraId="4254110B" w14:textId="77777777" w:rsidTr="006B5A62">
        <w:trPr>
          <w:jc w:val="center"/>
        </w:trPr>
        <w:tc>
          <w:tcPr>
            <w:tcW w:w="124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196972E7" w14:textId="77777777" w:rsidR="002A3409" w:rsidRPr="003B32D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SE-N_21</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7D69D5C4" w14:textId="77777777" w:rsidR="002A3409" w:rsidRPr="003B32D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DIEGO DE ALMAGRO</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603AB5D7" w14:textId="77777777" w:rsidR="002A3409" w:rsidRPr="003B32D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475ED9B0" w14:textId="77777777" w:rsidR="002A3409" w:rsidRPr="003B32D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1CD213F3"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478.672,13</w:t>
            </w:r>
          </w:p>
        </w:tc>
      </w:tr>
      <w:tr w:rsidR="002A3409" w:rsidRPr="003B32D4" w14:paraId="0774686E" w14:textId="77777777" w:rsidTr="006B5A62">
        <w:trPr>
          <w:jc w:val="center"/>
        </w:trPr>
        <w:tc>
          <w:tcPr>
            <w:tcW w:w="124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2E1E9C94" w14:textId="77777777" w:rsidR="002A3409" w:rsidRPr="003B32D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SE-N_24</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67699B7A" w14:textId="77777777" w:rsidR="002A3409" w:rsidRPr="003B32D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DUQUECO</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597E7C9F" w14:textId="77777777" w:rsidR="002A3409" w:rsidRPr="003B32D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P_083</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647FCFC7" w14:textId="77777777" w:rsidR="002A3409" w:rsidRPr="003B32D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CGE</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1652F457"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47.726,50</w:t>
            </w:r>
          </w:p>
        </w:tc>
      </w:tr>
      <w:tr w:rsidR="002A3409" w:rsidRPr="003B32D4" w14:paraId="3EEC226F" w14:textId="77777777" w:rsidTr="006B5A62">
        <w:trPr>
          <w:jc w:val="center"/>
        </w:trPr>
        <w:tc>
          <w:tcPr>
            <w:tcW w:w="124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17D6E7A1" w14:textId="77777777" w:rsidR="002A3409" w:rsidRPr="003B32D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SE-N_26</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2A80D0A6" w14:textId="77777777" w:rsidR="002A3409" w:rsidRPr="003B32D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ENCUENTRO</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2AD13CE2" w14:textId="77777777" w:rsidR="002A3409" w:rsidRPr="003B32D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38197601" w14:textId="77777777" w:rsidR="002A3409" w:rsidRPr="003B32D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43D0DE47"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3.114.137,40</w:t>
            </w:r>
          </w:p>
        </w:tc>
      </w:tr>
      <w:tr w:rsidR="002A3409" w:rsidRPr="003B32D4" w14:paraId="17B42099" w14:textId="77777777" w:rsidTr="006B5A62">
        <w:trPr>
          <w:jc w:val="center"/>
        </w:trPr>
        <w:tc>
          <w:tcPr>
            <w:tcW w:w="124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03F1D199" w14:textId="77777777" w:rsidR="002A3409" w:rsidRPr="003B32D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SE-N_28</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6F0282D1" w14:textId="77777777" w:rsidR="002A3409" w:rsidRPr="003B32D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HUALPEN</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4E617A85" w14:textId="77777777" w:rsidR="002A3409" w:rsidRPr="003B32D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0CA61E0E" w14:textId="77777777" w:rsidR="002A3409" w:rsidRPr="003B32D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5BDBBB7A"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2.183.574,66</w:t>
            </w:r>
          </w:p>
        </w:tc>
      </w:tr>
      <w:tr w:rsidR="002A3409" w:rsidRPr="003B32D4" w14:paraId="6EA5F545" w14:textId="77777777" w:rsidTr="006B5A62">
        <w:trPr>
          <w:jc w:val="center"/>
        </w:trPr>
        <w:tc>
          <w:tcPr>
            <w:tcW w:w="124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745348EC" w14:textId="77777777" w:rsidR="002A3409" w:rsidRPr="003B32D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SE-N_29</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3A21808B" w14:textId="77777777" w:rsidR="002A3409" w:rsidRPr="003B32D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ITAHUE</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324D233F" w14:textId="77777777" w:rsidR="002A3409" w:rsidRPr="003B32D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544DFE0E" w14:textId="77777777" w:rsidR="002A3409" w:rsidRPr="003B32D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4F183494"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1.387.009,94</w:t>
            </w:r>
          </w:p>
        </w:tc>
      </w:tr>
      <w:tr w:rsidR="002A3409" w:rsidRPr="003B32D4" w14:paraId="445DF5E1" w14:textId="77777777" w:rsidTr="006B5A62">
        <w:trPr>
          <w:jc w:val="center"/>
        </w:trPr>
        <w:tc>
          <w:tcPr>
            <w:tcW w:w="124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6FBF3A4B" w14:textId="77777777" w:rsidR="002A3409" w:rsidRPr="003B32D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SE-N_33</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162C548C" w14:textId="77777777" w:rsidR="002A3409" w:rsidRPr="003B32D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LAGUNAS</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3DB437BB" w14:textId="77777777" w:rsidR="002A3409" w:rsidRPr="003B32D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45CAD59A" w14:textId="77777777" w:rsidR="002A3409" w:rsidRPr="003B32D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11715887"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618.460,47</w:t>
            </w:r>
          </w:p>
        </w:tc>
      </w:tr>
      <w:tr w:rsidR="002A3409" w:rsidRPr="003B32D4" w14:paraId="73017AE5" w14:textId="77777777" w:rsidTr="006B5A62">
        <w:trPr>
          <w:jc w:val="center"/>
        </w:trPr>
        <w:tc>
          <w:tcPr>
            <w:tcW w:w="124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63AE9379" w14:textId="77777777" w:rsidR="002A3409" w:rsidRPr="003B32D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SE-N_34</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3B5C87E3" w14:textId="77777777" w:rsidR="002A3409" w:rsidRPr="003B32D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LAGUNILLAS</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67D5DDC3" w14:textId="77777777" w:rsidR="002A3409" w:rsidRPr="003B32D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12A97AED" w14:textId="77777777" w:rsidR="002A3409" w:rsidRPr="003B32D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0ADD9DF5"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1.812.615,03</w:t>
            </w:r>
          </w:p>
        </w:tc>
      </w:tr>
      <w:tr w:rsidR="002A3409" w:rsidRPr="003B32D4" w14:paraId="375C45CA" w14:textId="77777777" w:rsidTr="006B5A62">
        <w:trPr>
          <w:jc w:val="center"/>
        </w:trPr>
        <w:tc>
          <w:tcPr>
            <w:tcW w:w="124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1AD49A8E" w14:textId="77777777" w:rsidR="002A3409" w:rsidRPr="003B32D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SE-N_35</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6939FAB2" w14:textId="77777777" w:rsidR="002A3409" w:rsidRPr="003B32D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LAS PALMAS</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705378F2" w14:textId="77777777" w:rsidR="002A3409" w:rsidRPr="003B32D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4D53C689" w14:textId="77777777" w:rsidR="002A3409" w:rsidRPr="003B32D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21F461E5"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118.854,92</w:t>
            </w:r>
          </w:p>
        </w:tc>
      </w:tr>
      <w:tr w:rsidR="002A3409" w:rsidRPr="003B32D4" w14:paraId="4AC31455" w14:textId="77777777" w:rsidTr="006B5A62">
        <w:trPr>
          <w:jc w:val="center"/>
        </w:trPr>
        <w:tc>
          <w:tcPr>
            <w:tcW w:w="124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69EE27AE" w14:textId="77777777" w:rsidR="002A3409" w:rsidRPr="003B32D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SE-N_37</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70751B1F" w14:textId="77777777" w:rsidR="002A3409" w:rsidRPr="003B32D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Los Changos</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579E5717" w14:textId="77777777" w:rsidR="002A3409" w:rsidRPr="003B32D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P_514</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707FFDAC" w14:textId="77777777" w:rsidR="002A3409" w:rsidRPr="003B32D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TEN</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79339409"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804.692,98</w:t>
            </w:r>
          </w:p>
        </w:tc>
      </w:tr>
      <w:tr w:rsidR="002A3409" w:rsidRPr="003B32D4" w14:paraId="5D32E920" w14:textId="77777777" w:rsidTr="006B5A62">
        <w:trPr>
          <w:jc w:val="center"/>
        </w:trPr>
        <w:tc>
          <w:tcPr>
            <w:tcW w:w="124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38EFCC7B" w14:textId="77777777" w:rsidR="002A3409" w:rsidRPr="003B32D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SE-N_38</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62846F16" w14:textId="77777777" w:rsidR="002A3409" w:rsidRPr="003B32D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LOS MAQUIS</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0DA6881F" w14:textId="77777777" w:rsidR="002A3409" w:rsidRPr="003B32D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P_244</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48C0BAAB" w14:textId="77777777" w:rsidR="002A3409" w:rsidRPr="003B32D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Colbún Transmisión</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24C60ECF"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70.185,78</w:t>
            </w:r>
          </w:p>
        </w:tc>
      </w:tr>
      <w:tr w:rsidR="002A3409" w:rsidRPr="003B32D4" w14:paraId="0133BDAB" w14:textId="77777777" w:rsidTr="006B5A62">
        <w:trPr>
          <w:jc w:val="center"/>
        </w:trPr>
        <w:tc>
          <w:tcPr>
            <w:tcW w:w="124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052646DF" w14:textId="77777777" w:rsidR="002A3409" w:rsidRPr="003B32D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SE-N_40</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28798F1D" w14:textId="77777777" w:rsidR="002A3409" w:rsidRPr="003B32D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LOS VILOS</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5A74048E" w14:textId="77777777" w:rsidR="002A3409" w:rsidRPr="003B32D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2FDF9E31" w14:textId="77777777" w:rsidR="002A3409" w:rsidRPr="003B32D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30C49924"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197.879,61</w:t>
            </w:r>
          </w:p>
        </w:tc>
      </w:tr>
      <w:tr w:rsidR="002A3409" w:rsidRPr="003B32D4" w14:paraId="70B1AB57" w14:textId="77777777" w:rsidTr="006B5A62">
        <w:trPr>
          <w:jc w:val="center"/>
        </w:trPr>
        <w:tc>
          <w:tcPr>
            <w:tcW w:w="124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38FFF674" w14:textId="77777777" w:rsidR="002A3409" w:rsidRPr="003B32D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SE-N_41</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4E9E95DC" w14:textId="77777777" w:rsidR="002A3409" w:rsidRPr="003B32D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Maipo</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34E7F66F" w14:textId="77777777" w:rsidR="002A3409" w:rsidRPr="003B32D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P_244</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41E5CE2D" w14:textId="77777777" w:rsidR="002A3409" w:rsidRPr="003B32D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Colbún Transmisión</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282363A0"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927.334,45</w:t>
            </w:r>
          </w:p>
        </w:tc>
      </w:tr>
      <w:tr w:rsidR="002A3409" w:rsidRPr="003B32D4" w14:paraId="07831964" w14:textId="77777777" w:rsidTr="006B5A62">
        <w:trPr>
          <w:jc w:val="center"/>
        </w:trPr>
        <w:tc>
          <w:tcPr>
            <w:tcW w:w="124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6B072DFA" w14:textId="77777777" w:rsidR="002A3409" w:rsidRPr="003B32D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SE-N_42</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0D7BB5F3" w14:textId="77777777" w:rsidR="002A3409" w:rsidRPr="003B32D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MAITENCILLO</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5DFFF4EE" w14:textId="77777777" w:rsidR="002A3409" w:rsidRPr="003B32D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3F643D81" w14:textId="77777777" w:rsidR="002A3409" w:rsidRPr="003B32D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03985F0D"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656.112,24</w:t>
            </w:r>
          </w:p>
        </w:tc>
      </w:tr>
      <w:tr w:rsidR="002A3409" w:rsidRPr="003B32D4" w14:paraId="12801DA4" w14:textId="77777777" w:rsidTr="006B5A62">
        <w:trPr>
          <w:jc w:val="center"/>
        </w:trPr>
        <w:tc>
          <w:tcPr>
            <w:tcW w:w="124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4B71D67D" w14:textId="77777777" w:rsidR="002A3409" w:rsidRPr="003B32D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SE-N_44</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693E45FC" w14:textId="77777777" w:rsidR="002A3409" w:rsidRPr="003B32D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Melipulli</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150FC6D1" w14:textId="77777777" w:rsidR="002A3409" w:rsidRPr="003B32D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P_100</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194AF37B" w14:textId="77777777" w:rsidR="002A3409" w:rsidRPr="003B32D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STS</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6B6B67F5"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569.006,33</w:t>
            </w:r>
          </w:p>
        </w:tc>
      </w:tr>
      <w:tr w:rsidR="002A3409" w:rsidRPr="003B32D4" w14:paraId="43B8A600" w14:textId="77777777" w:rsidTr="006B5A62">
        <w:trPr>
          <w:jc w:val="center"/>
        </w:trPr>
        <w:tc>
          <w:tcPr>
            <w:tcW w:w="124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57FDC4D0" w14:textId="77777777" w:rsidR="002A3409" w:rsidRPr="003B32D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SE-N_46</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3D744E28" w14:textId="77777777" w:rsidR="002A3409" w:rsidRPr="003B32D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Mulchén</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31E73245" w14:textId="77777777" w:rsidR="002A3409" w:rsidRPr="003B32D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0D803D76" w14:textId="77777777" w:rsidR="002A3409" w:rsidRPr="003B32D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0BC29AC8"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2.037,65</w:t>
            </w:r>
          </w:p>
        </w:tc>
      </w:tr>
      <w:tr w:rsidR="002A3409" w:rsidRPr="003B32D4" w14:paraId="0482E9DD" w14:textId="77777777" w:rsidTr="006B5A62">
        <w:trPr>
          <w:jc w:val="center"/>
        </w:trPr>
        <w:tc>
          <w:tcPr>
            <w:tcW w:w="124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1DC52272" w14:textId="77777777" w:rsidR="002A3409" w:rsidRPr="003B32D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SE-N_48</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2EC73E17" w14:textId="77777777" w:rsidR="002A3409" w:rsidRPr="003B32D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NOGALES</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2CA5C78E" w14:textId="77777777" w:rsidR="002A3409" w:rsidRPr="003B32D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6EE56C33" w14:textId="77777777" w:rsidR="002A3409" w:rsidRPr="003B32D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7274C3A8"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47.251,51</w:t>
            </w:r>
          </w:p>
        </w:tc>
      </w:tr>
      <w:tr w:rsidR="002A3409" w:rsidRPr="003B32D4" w14:paraId="1F193EA5" w14:textId="77777777" w:rsidTr="006B5A62">
        <w:trPr>
          <w:jc w:val="center"/>
        </w:trPr>
        <w:tc>
          <w:tcPr>
            <w:tcW w:w="124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2D527111" w14:textId="77777777" w:rsidR="002A3409" w:rsidRPr="003B32D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SE-N_54</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4EC87257" w14:textId="77777777" w:rsidR="002A3409" w:rsidRPr="003B32D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PAN DE AZUCAR</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7AD75349" w14:textId="77777777" w:rsidR="002A3409" w:rsidRPr="003B32D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31A31600" w14:textId="77777777" w:rsidR="002A3409" w:rsidRPr="003B32D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588FC8DA"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1.822.222,12</w:t>
            </w:r>
          </w:p>
        </w:tc>
      </w:tr>
      <w:tr w:rsidR="002A3409" w:rsidRPr="003B32D4" w14:paraId="3799226C" w14:textId="77777777" w:rsidTr="006B5A62">
        <w:trPr>
          <w:jc w:val="center"/>
        </w:trPr>
        <w:tc>
          <w:tcPr>
            <w:tcW w:w="124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2685058D" w14:textId="77777777" w:rsidR="002A3409" w:rsidRPr="003B32D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SE-N_55</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5832C23F" w14:textId="77777777" w:rsidR="002A3409" w:rsidRPr="003B32D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PARINACOTA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2E52C46D" w14:textId="77777777" w:rsidR="002A3409" w:rsidRPr="003B32D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P_120</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384665C3" w14:textId="77777777" w:rsidR="002A3409" w:rsidRPr="003B32D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TRANSEMEL</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7FBAAD59"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358.776,85</w:t>
            </w:r>
          </w:p>
        </w:tc>
      </w:tr>
      <w:tr w:rsidR="002A3409" w:rsidRPr="003B32D4" w14:paraId="4B65A198" w14:textId="77777777" w:rsidTr="006B5A62">
        <w:trPr>
          <w:jc w:val="center"/>
        </w:trPr>
        <w:tc>
          <w:tcPr>
            <w:tcW w:w="124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08CA6314" w14:textId="77777777" w:rsidR="002A3409" w:rsidRPr="003B32D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SE-N_56</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5747A193" w14:textId="77777777" w:rsidR="002A3409" w:rsidRPr="003B32D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POLPAICO</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720E5DCA" w14:textId="77777777" w:rsidR="002A3409" w:rsidRPr="003B32D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2C3102F9" w14:textId="77777777" w:rsidR="002A3409" w:rsidRPr="003B32D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6F4BD635"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560.316,25</w:t>
            </w:r>
          </w:p>
        </w:tc>
      </w:tr>
      <w:tr w:rsidR="002A3409" w:rsidRPr="003B32D4" w14:paraId="191A5E2D" w14:textId="77777777" w:rsidTr="006B5A62">
        <w:trPr>
          <w:jc w:val="center"/>
        </w:trPr>
        <w:tc>
          <w:tcPr>
            <w:tcW w:w="124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14F5251B" w14:textId="77777777" w:rsidR="002A3409" w:rsidRPr="003B32D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SE-N_56</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1B9D2AF8" w14:textId="77777777" w:rsidR="002A3409" w:rsidRPr="003B32D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POLPAICO</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77861B5F" w14:textId="77777777" w:rsidR="002A3409" w:rsidRPr="003B32D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P_111</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6ED4FCF3" w14:textId="77777777" w:rsidR="002A3409" w:rsidRPr="003B32D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ENEL DISTRIBUCION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7BF8F6A0"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203.629,66</w:t>
            </w:r>
          </w:p>
        </w:tc>
      </w:tr>
      <w:tr w:rsidR="002A3409" w:rsidRPr="003B32D4" w14:paraId="2386B768" w14:textId="77777777" w:rsidTr="006B5A62">
        <w:trPr>
          <w:jc w:val="center"/>
        </w:trPr>
        <w:tc>
          <w:tcPr>
            <w:tcW w:w="124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239B962D" w14:textId="77777777" w:rsidR="002A3409" w:rsidRPr="003B32D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SE-N_57</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22DD0E2C" w14:textId="77777777" w:rsidR="002A3409" w:rsidRPr="003B32D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Pozo Almonte</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15756EF3" w14:textId="77777777" w:rsidR="002A3409" w:rsidRPr="003B32D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P_164</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552E2642" w14:textId="77777777" w:rsidR="002A3409" w:rsidRPr="003B32D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E-CL</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667EA4D7"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50.182,39</w:t>
            </w:r>
          </w:p>
        </w:tc>
      </w:tr>
      <w:tr w:rsidR="002A3409" w:rsidRPr="003B32D4" w14:paraId="5011DC1D" w14:textId="77777777" w:rsidTr="006B5A62">
        <w:trPr>
          <w:jc w:val="center"/>
        </w:trPr>
        <w:tc>
          <w:tcPr>
            <w:tcW w:w="124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0236C875" w14:textId="77777777" w:rsidR="002A3409" w:rsidRPr="003B32D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SE-N_59</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0AB4E269" w14:textId="77777777" w:rsidR="002A3409" w:rsidRPr="003B32D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PUERTO MONTT</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585E8893" w14:textId="77777777" w:rsidR="002A3409" w:rsidRPr="003B32D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3DAA433D" w14:textId="77777777" w:rsidR="002A3409" w:rsidRPr="003B32D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47E24F87"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2.659.188,75</w:t>
            </w:r>
          </w:p>
        </w:tc>
      </w:tr>
      <w:tr w:rsidR="002A3409" w:rsidRPr="003B32D4" w14:paraId="3043D705" w14:textId="77777777" w:rsidTr="006B5A62">
        <w:trPr>
          <w:jc w:val="center"/>
        </w:trPr>
        <w:tc>
          <w:tcPr>
            <w:tcW w:w="124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583617DB" w14:textId="77777777" w:rsidR="002A3409" w:rsidRPr="003B32D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lastRenderedPageBreak/>
              <w:t>SE-N_60</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2E3E05CD" w14:textId="77777777" w:rsidR="002A3409" w:rsidRPr="003B32D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PUNTA COLORADA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1C7149C3" w14:textId="77777777" w:rsidR="002A3409" w:rsidRPr="003B32D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412791D6" w14:textId="77777777" w:rsidR="002A3409" w:rsidRPr="003B32D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261289F9"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2.136,43</w:t>
            </w:r>
          </w:p>
        </w:tc>
      </w:tr>
      <w:tr w:rsidR="002A3409" w:rsidRPr="003B32D4" w14:paraId="311ED47F" w14:textId="77777777" w:rsidTr="006B5A62">
        <w:trPr>
          <w:jc w:val="center"/>
        </w:trPr>
        <w:tc>
          <w:tcPr>
            <w:tcW w:w="124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359CB22F" w14:textId="77777777" w:rsidR="002A3409" w:rsidRPr="003B32D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SE-N_64</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576C86F8" w14:textId="77777777" w:rsidR="002A3409" w:rsidRPr="003B32D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QUILLOTA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7982C663" w14:textId="77777777" w:rsidR="002A3409" w:rsidRPr="003B32D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2901AC31" w14:textId="77777777" w:rsidR="002A3409" w:rsidRPr="003B32D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4037A0C1"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286.649,05</w:t>
            </w:r>
          </w:p>
        </w:tc>
      </w:tr>
      <w:tr w:rsidR="002A3409" w:rsidRPr="003B32D4" w14:paraId="748ED915" w14:textId="77777777" w:rsidTr="006B5A62">
        <w:trPr>
          <w:jc w:val="center"/>
        </w:trPr>
        <w:tc>
          <w:tcPr>
            <w:tcW w:w="124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06CAD173" w14:textId="77777777" w:rsidR="002A3409" w:rsidRPr="003B32D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SE-N_65</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2DD1DCEE" w14:textId="77777777" w:rsidR="002A3409" w:rsidRPr="003B32D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RAHUE</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67155A1E" w14:textId="77777777" w:rsidR="002A3409" w:rsidRPr="003B32D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392F31ED" w14:textId="77777777" w:rsidR="002A3409" w:rsidRPr="003B32D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629B22B1"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547.263,74</w:t>
            </w:r>
          </w:p>
        </w:tc>
      </w:tr>
      <w:tr w:rsidR="002A3409" w:rsidRPr="003B32D4" w14:paraId="00CF4CED" w14:textId="77777777" w:rsidTr="006B5A62">
        <w:trPr>
          <w:jc w:val="center"/>
        </w:trPr>
        <w:tc>
          <w:tcPr>
            <w:tcW w:w="124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272AF357" w14:textId="77777777" w:rsidR="002A3409" w:rsidRPr="003B32D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SE-N_66</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35C61C0F" w14:textId="77777777" w:rsidR="002A3409" w:rsidRPr="003B32D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RAPEL</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0C2F41EC" w14:textId="77777777" w:rsidR="002A3409" w:rsidRPr="003B32D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0C009F61" w14:textId="77777777" w:rsidR="002A3409" w:rsidRPr="003B32D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0EEEF8E6"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66.005,41</w:t>
            </w:r>
          </w:p>
        </w:tc>
      </w:tr>
      <w:tr w:rsidR="002A3409" w:rsidRPr="003B32D4" w14:paraId="0AA43F95" w14:textId="77777777" w:rsidTr="006B5A62">
        <w:trPr>
          <w:jc w:val="center"/>
        </w:trPr>
        <w:tc>
          <w:tcPr>
            <w:tcW w:w="124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2BC6CA82" w14:textId="77777777" w:rsidR="002A3409" w:rsidRPr="003B32D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SE-N_66</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0453AFBA" w14:textId="77777777" w:rsidR="002A3409" w:rsidRPr="003B32D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RAPEL</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19893107" w14:textId="77777777" w:rsidR="002A3409" w:rsidRPr="003B32D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P_083</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3F2A8916" w14:textId="77777777" w:rsidR="002A3409" w:rsidRPr="003B32D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CGE</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5DD9E147"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16.592,25</w:t>
            </w:r>
          </w:p>
        </w:tc>
      </w:tr>
      <w:tr w:rsidR="002A3409" w:rsidRPr="003B32D4" w14:paraId="6F03EC42" w14:textId="77777777" w:rsidTr="006B5A62">
        <w:trPr>
          <w:jc w:val="center"/>
        </w:trPr>
        <w:tc>
          <w:tcPr>
            <w:tcW w:w="124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5A27E1FD" w14:textId="77777777" w:rsidR="002A3409" w:rsidRPr="003B32D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SE-N_67</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47157CDA" w14:textId="77777777" w:rsidR="002A3409" w:rsidRPr="003B32D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SAN ANDRES</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1E639E26" w14:textId="77777777" w:rsidR="002A3409" w:rsidRPr="003B32D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P_480</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6EB6E14F" w14:textId="77777777" w:rsidR="002A3409" w:rsidRPr="003B32D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SATT</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78EE74CE"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8.705.612,93</w:t>
            </w:r>
          </w:p>
        </w:tc>
      </w:tr>
      <w:tr w:rsidR="002A3409" w:rsidRPr="003B32D4" w14:paraId="78445F8A" w14:textId="77777777" w:rsidTr="006B5A62">
        <w:trPr>
          <w:jc w:val="center"/>
        </w:trPr>
        <w:tc>
          <w:tcPr>
            <w:tcW w:w="124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048B8FB3" w14:textId="77777777" w:rsidR="002A3409" w:rsidRPr="003B32D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SE-N_69</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791472E8" w14:textId="77777777" w:rsidR="002A3409" w:rsidRPr="003B32D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SAN LUIS</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208926EB" w14:textId="77777777" w:rsidR="002A3409" w:rsidRPr="003B32D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48A6C9C8" w14:textId="77777777" w:rsidR="002A3409" w:rsidRPr="003B32D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4197D147"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266,92</w:t>
            </w:r>
          </w:p>
        </w:tc>
      </w:tr>
      <w:tr w:rsidR="002A3409" w:rsidRPr="003B32D4" w14:paraId="5A9C4B68" w14:textId="77777777" w:rsidTr="006B5A62">
        <w:trPr>
          <w:jc w:val="center"/>
        </w:trPr>
        <w:tc>
          <w:tcPr>
            <w:tcW w:w="124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72122DA9" w14:textId="77777777" w:rsidR="002A3409" w:rsidRPr="003B32D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SE-N_69</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3E6EA840" w14:textId="77777777" w:rsidR="002A3409" w:rsidRPr="003B32D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SAN LUIS</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363982D5" w14:textId="77777777" w:rsidR="002A3409" w:rsidRPr="003B32D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P_113</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575CE837" w14:textId="77777777" w:rsidR="002A3409" w:rsidRPr="003B32D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CHILQUINTA ENERGÍA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224560B9"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646,29</w:t>
            </w:r>
          </w:p>
        </w:tc>
      </w:tr>
      <w:tr w:rsidR="002A3409" w:rsidRPr="003B32D4" w14:paraId="21EEF2B6" w14:textId="77777777" w:rsidTr="006B5A62">
        <w:trPr>
          <w:jc w:val="center"/>
        </w:trPr>
        <w:tc>
          <w:tcPr>
            <w:tcW w:w="124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3905C972" w14:textId="77777777" w:rsidR="002A3409" w:rsidRPr="003B32D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SE-N_78</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2E0DED23" w14:textId="77777777" w:rsidR="002A3409" w:rsidRPr="003B32D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TARAPACA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674F1F92" w14:textId="77777777" w:rsidR="002A3409" w:rsidRPr="003B32D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617B054B" w14:textId="77777777" w:rsidR="002A3409" w:rsidRPr="003B32D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4787059B"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56.567,51</w:t>
            </w:r>
          </w:p>
        </w:tc>
      </w:tr>
      <w:tr w:rsidR="002A3409" w:rsidRPr="003B32D4" w14:paraId="70C024E9" w14:textId="77777777" w:rsidTr="006B5A62">
        <w:trPr>
          <w:jc w:val="center"/>
        </w:trPr>
        <w:tc>
          <w:tcPr>
            <w:tcW w:w="124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66E1FD11" w14:textId="77777777" w:rsidR="002A3409" w:rsidRPr="003B32D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SE-N_79</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06B663EC" w14:textId="77777777" w:rsidR="002A3409" w:rsidRPr="003B32D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TEMUCO</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1E241A0C" w14:textId="77777777" w:rsidR="002A3409" w:rsidRPr="003B32D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6A07F282" w14:textId="77777777" w:rsidR="002A3409" w:rsidRPr="003B32D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4DEF4F40"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5.644.739,08</w:t>
            </w:r>
          </w:p>
        </w:tc>
      </w:tr>
      <w:tr w:rsidR="002A3409" w:rsidRPr="003B32D4" w14:paraId="30615790" w14:textId="77777777" w:rsidTr="006B5A62">
        <w:trPr>
          <w:jc w:val="center"/>
        </w:trPr>
        <w:tc>
          <w:tcPr>
            <w:tcW w:w="124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1654F69C" w14:textId="77777777" w:rsidR="002A3409" w:rsidRPr="003B32D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SE-N_80</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54856ACE" w14:textId="77777777" w:rsidR="002A3409" w:rsidRPr="003B32D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TINGUIRIRICA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1D5F3A27" w14:textId="77777777" w:rsidR="002A3409" w:rsidRPr="003B32D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552"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6946B16C" w14:textId="77777777" w:rsidR="002A3409" w:rsidRPr="003B32D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58117278"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118.121,41</w:t>
            </w:r>
          </w:p>
        </w:tc>
      </w:tr>
      <w:tr w:rsidR="002A3409" w:rsidRPr="003B32D4" w14:paraId="21A11BD3" w14:textId="77777777" w:rsidTr="006B5A62">
        <w:trPr>
          <w:jc w:val="center"/>
        </w:trPr>
        <w:tc>
          <w:tcPr>
            <w:tcW w:w="1247" w:type="dxa"/>
            <w:tcBorders>
              <w:top w:val="single" w:sz="2" w:space="0" w:color="auto"/>
              <w:left w:val="single" w:sz="6" w:space="0" w:color="auto"/>
              <w:bottom w:val="single" w:sz="6" w:space="0" w:color="auto"/>
              <w:right w:val="single" w:sz="6" w:space="0" w:color="auto"/>
            </w:tcBorders>
            <w:shd w:val="clear" w:color="auto" w:fill="auto"/>
            <w:noWrap/>
            <w:vAlign w:val="bottom"/>
            <w:hideMark/>
          </w:tcPr>
          <w:p w14:paraId="2168ED5B" w14:textId="77777777" w:rsidR="002A3409" w:rsidRPr="003B32D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SE-N_81</w:t>
            </w:r>
          </w:p>
        </w:tc>
        <w:tc>
          <w:tcPr>
            <w:tcW w:w="2552" w:type="dxa"/>
            <w:tcBorders>
              <w:top w:val="single" w:sz="2" w:space="0" w:color="auto"/>
              <w:left w:val="single" w:sz="6" w:space="0" w:color="auto"/>
              <w:bottom w:val="single" w:sz="6" w:space="0" w:color="auto"/>
              <w:right w:val="single" w:sz="6" w:space="0" w:color="auto"/>
            </w:tcBorders>
            <w:shd w:val="clear" w:color="auto" w:fill="auto"/>
            <w:noWrap/>
            <w:vAlign w:val="bottom"/>
            <w:hideMark/>
          </w:tcPr>
          <w:p w14:paraId="51667ED2" w14:textId="77777777" w:rsidR="002A3409" w:rsidRPr="003B32D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VALDIVIA</w:t>
            </w:r>
          </w:p>
        </w:tc>
        <w:tc>
          <w:tcPr>
            <w:tcW w:w="1418" w:type="dxa"/>
            <w:tcBorders>
              <w:top w:val="single" w:sz="2" w:space="0" w:color="auto"/>
              <w:left w:val="single" w:sz="6" w:space="0" w:color="auto"/>
              <w:bottom w:val="single" w:sz="6" w:space="0" w:color="auto"/>
              <w:right w:val="single" w:sz="6" w:space="0" w:color="auto"/>
            </w:tcBorders>
            <w:shd w:val="clear" w:color="auto" w:fill="auto"/>
            <w:noWrap/>
            <w:vAlign w:val="bottom"/>
            <w:hideMark/>
          </w:tcPr>
          <w:p w14:paraId="641C120F" w14:textId="77777777" w:rsidR="002A3409" w:rsidRPr="003B32D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552" w:type="dxa"/>
            <w:tcBorders>
              <w:top w:val="single" w:sz="2" w:space="0" w:color="auto"/>
              <w:left w:val="single" w:sz="6" w:space="0" w:color="auto"/>
              <w:bottom w:val="single" w:sz="6" w:space="0" w:color="auto"/>
              <w:right w:val="single" w:sz="6" w:space="0" w:color="auto"/>
            </w:tcBorders>
            <w:shd w:val="clear" w:color="auto" w:fill="auto"/>
            <w:noWrap/>
            <w:vAlign w:val="bottom"/>
            <w:hideMark/>
          </w:tcPr>
          <w:p w14:paraId="23EDA623" w14:textId="77777777" w:rsidR="002A3409" w:rsidRPr="003B32D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701" w:type="dxa"/>
            <w:tcBorders>
              <w:top w:val="single" w:sz="2" w:space="0" w:color="auto"/>
              <w:left w:val="single" w:sz="6" w:space="0" w:color="auto"/>
              <w:bottom w:val="single" w:sz="6" w:space="0" w:color="auto"/>
              <w:right w:val="single" w:sz="6" w:space="0" w:color="auto"/>
            </w:tcBorders>
            <w:shd w:val="clear" w:color="auto" w:fill="auto"/>
            <w:noWrap/>
            <w:vAlign w:val="bottom"/>
            <w:hideMark/>
          </w:tcPr>
          <w:p w14:paraId="6F0B5AA3"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393.510,34</w:t>
            </w:r>
          </w:p>
        </w:tc>
      </w:tr>
      <w:tr w:rsidR="002A3409" w:rsidRPr="003B32D4" w14:paraId="292F4530" w14:textId="77777777" w:rsidTr="006B5A62">
        <w:trPr>
          <w:jc w:val="center"/>
        </w:trPr>
        <w:tc>
          <w:tcPr>
            <w:tcW w:w="1247" w:type="dxa"/>
            <w:tcBorders>
              <w:top w:val="single" w:sz="6" w:space="0" w:color="auto"/>
              <w:left w:val="nil"/>
              <w:bottom w:val="nil"/>
              <w:right w:val="nil"/>
            </w:tcBorders>
            <w:shd w:val="clear" w:color="auto" w:fill="auto"/>
            <w:noWrap/>
            <w:vAlign w:val="center"/>
            <w:hideMark/>
          </w:tcPr>
          <w:p w14:paraId="3CB523D3" w14:textId="77777777" w:rsidR="002A3409" w:rsidRPr="003B32D4"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p>
        </w:tc>
        <w:tc>
          <w:tcPr>
            <w:tcW w:w="2552" w:type="dxa"/>
            <w:tcBorders>
              <w:top w:val="single" w:sz="6" w:space="0" w:color="auto"/>
              <w:left w:val="nil"/>
              <w:bottom w:val="nil"/>
              <w:right w:val="nil"/>
            </w:tcBorders>
            <w:shd w:val="clear" w:color="auto" w:fill="auto"/>
            <w:noWrap/>
            <w:vAlign w:val="center"/>
            <w:hideMark/>
          </w:tcPr>
          <w:p w14:paraId="0C2C3C02" w14:textId="77777777" w:rsidR="002A3409" w:rsidRPr="003B32D4" w:rsidRDefault="002A3409" w:rsidP="006B5A62">
            <w:pPr>
              <w:spacing w:before="20" w:after="20" w:line="240" w:lineRule="auto"/>
              <w:jc w:val="center"/>
              <w:rPr>
                <w:rFonts w:asciiTheme="minorHAnsi" w:eastAsia="Times New Roman" w:hAnsiTheme="minorHAnsi" w:cstheme="minorHAnsi"/>
                <w:sz w:val="20"/>
                <w:szCs w:val="20"/>
                <w:lang w:val="es-ES" w:eastAsia="es-ES"/>
              </w:rPr>
            </w:pPr>
          </w:p>
        </w:tc>
        <w:tc>
          <w:tcPr>
            <w:tcW w:w="1418" w:type="dxa"/>
            <w:tcBorders>
              <w:top w:val="single" w:sz="6" w:space="0" w:color="auto"/>
              <w:left w:val="nil"/>
              <w:bottom w:val="nil"/>
              <w:right w:val="single" w:sz="6" w:space="0" w:color="auto"/>
            </w:tcBorders>
            <w:shd w:val="clear" w:color="auto" w:fill="auto"/>
            <w:noWrap/>
            <w:vAlign w:val="center"/>
            <w:hideMark/>
          </w:tcPr>
          <w:p w14:paraId="1806D0DA" w14:textId="77777777" w:rsidR="002A3409" w:rsidRPr="003B32D4" w:rsidRDefault="002A3409" w:rsidP="006B5A62">
            <w:pPr>
              <w:spacing w:before="20" w:after="20" w:line="240" w:lineRule="auto"/>
              <w:jc w:val="left"/>
              <w:rPr>
                <w:rFonts w:asciiTheme="minorHAnsi" w:eastAsia="Times New Roman" w:hAnsiTheme="minorHAnsi" w:cstheme="minorHAnsi"/>
                <w:sz w:val="20"/>
                <w:szCs w:val="20"/>
                <w:lang w:val="es-ES" w:eastAsia="es-ES"/>
              </w:rPr>
            </w:pPr>
          </w:p>
        </w:tc>
        <w:tc>
          <w:tcPr>
            <w:tcW w:w="2552" w:type="dxa"/>
            <w:tcBorders>
              <w:top w:val="single" w:sz="6" w:space="0" w:color="auto"/>
              <w:left w:val="single" w:sz="6" w:space="0" w:color="auto"/>
              <w:bottom w:val="single" w:sz="6" w:space="0" w:color="auto"/>
              <w:right w:val="single" w:sz="6" w:space="0" w:color="auto"/>
            </w:tcBorders>
            <w:shd w:val="clear" w:color="auto" w:fill="auto"/>
            <w:noWrap/>
            <w:vAlign w:val="center"/>
            <w:hideMark/>
          </w:tcPr>
          <w:p w14:paraId="5886F08B" w14:textId="77777777" w:rsidR="002A3409" w:rsidRPr="003B32D4" w:rsidRDefault="002A3409" w:rsidP="006B5A62">
            <w:pPr>
              <w:spacing w:before="20" w:after="20" w:line="240" w:lineRule="auto"/>
              <w:jc w:val="left"/>
              <w:rPr>
                <w:rFonts w:asciiTheme="minorHAnsi" w:eastAsia="Times New Roman" w:hAnsiTheme="minorHAnsi" w:cstheme="minorHAnsi"/>
                <w:b/>
                <w:bCs/>
                <w:color w:val="000000"/>
                <w:sz w:val="20"/>
                <w:szCs w:val="20"/>
                <w:lang w:val="es-ES" w:eastAsia="es-ES"/>
              </w:rPr>
            </w:pPr>
            <w:r w:rsidRPr="003B32D4">
              <w:rPr>
                <w:rFonts w:asciiTheme="minorHAnsi" w:eastAsia="Times New Roman" w:hAnsiTheme="minorHAnsi" w:cstheme="minorHAnsi"/>
                <w:b/>
                <w:bCs/>
                <w:color w:val="000000"/>
                <w:sz w:val="20"/>
                <w:szCs w:val="20"/>
                <w:lang w:val="es-ES" w:eastAsia="es-ES"/>
              </w:rPr>
              <w:t>TOTAL</w:t>
            </w:r>
          </w:p>
        </w:tc>
        <w:tc>
          <w:tcPr>
            <w:tcW w:w="1701"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4BC6EAEC" w14:textId="77777777" w:rsidR="002A3409" w:rsidRPr="001F33F5" w:rsidRDefault="002A3409" w:rsidP="006B5A62">
            <w:pPr>
              <w:spacing w:before="20" w:after="20" w:line="240" w:lineRule="auto"/>
              <w:jc w:val="right"/>
              <w:rPr>
                <w:rFonts w:asciiTheme="minorHAnsi" w:eastAsia="Times New Roman" w:hAnsiTheme="minorHAnsi" w:cstheme="minorHAnsi"/>
                <w:b/>
                <w:bCs/>
                <w:color w:val="000000"/>
                <w:sz w:val="20"/>
                <w:szCs w:val="20"/>
                <w:lang w:val="es-ES" w:eastAsia="es-ES"/>
              </w:rPr>
            </w:pPr>
            <w:r w:rsidRPr="001F33F5">
              <w:rPr>
                <w:rFonts w:cs="Calibri"/>
                <w:b/>
                <w:bCs/>
                <w:color w:val="000000"/>
                <w:sz w:val="20"/>
                <w:szCs w:val="20"/>
              </w:rPr>
              <w:t>52.900.496,02</w:t>
            </w:r>
          </w:p>
        </w:tc>
      </w:tr>
    </w:tbl>
    <w:p w14:paraId="157E1A08" w14:textId="77777777" w:rsidR="002A3409" w:rsidRDefault="002A3409" w:rsidP="002A3409">
      <w:pPr>
        <w:spacing w:after="0"/>
      </w:pPr>
    </w:p>
    <w:p w14:paraId="21B96559" w14:textId="77777777" w:rsidR="002A3409" w:rsidRDefault="002A3409" w:rsidP="002A3409">
      <w:pPr>
        <w:pStyle w:val="Ttulo4"/>
        <w:keepNext/>
      </w:pPr>
      <w:bookmarkStart w:id="471" w:name="_Toc39795188"/>
      <w:bookmarkStart w:id="472" w:name="_Toc39797868"/>
      <w:r w:rsidRPr="00596F02">
        <w:t>V.I. Servidumbres tramos de transporte</w:t>
      </w:r>
      <w:bookmarkEnd w:id="471"/>
      <w:bookmarkEnd w:id="472"/>
    </w:p>
    <w:p w14:paraId="6071C2E6" w14:textId="77777777" w:rsidR="002A3409" w:rsidRPr="00E804A2" w:rsidRDefault="002A3409" w:rsidP="002A3409">
      <w:pPr>
        <w:pStyle w:val="Subttulo"/>
      </w:pPr>
      <w:bookmarkStart w:id="473" w:name="_Toc39795276"/>
      <w:bookmarkStart w:id="474" w:name="_Toc39797956"/>
      <w:r w:rsidRPr="00E804A2">
        <w:t xml:space="preserve">Tabla </w:t>
      </w:r>
      <w:fldSimple w:instr=" SEQ Tabla \* ARABIC ">
        <w:r w:rsidR="001F3E2E">
          <w:rPr>
            <w:noProof/>
          </w:rPr>
          <w:t>46</w:t>
        </w:r>
      </w:fldSimple>
      <w:r w:rsidRPr="00E804A2">
        <w:t xml:space="preserve">: Valor de Inversión (V.I.) </w:t>
      </w:r>
      <w:r>
        <w:t>servidumbres tramos de transporte</w:t>
      </w:r>
      <w:bookmarkEnd w:id="473"/>
      <w:bookmarkEnd w:id="474"/>
    </w:p>
    <w:tbl>
      <w:tblPr>
        <w:tblW w:w="9752" w:type="dxa"/>
        <w:jc w:val="center"/>
        <w:tblLayout w:type="fixed"/>
        <w:tblCellMar>
          <w:left w:w="57" w:type="dxa"/>
          <w:right w:w="57" w:type="dxa"/>
        </w:tblCellMar>
        <w:tblLook w:val="04A0" w:firstRow="1" w:lastRow="0" w:firstColumn="1" w:lastColumn="0" w:noHBand="0" w:noVBand="1"/>
      </w:tblPr>
      <w:tblGrid>
        <w:gridCol w:w="1077"/>
        <w:gridCol w:w="3969"/>
        <w:gridCol w:w="1134"/>
        <w:gridCol w:w="2154"/>
        <w:gridCol w:w="1418"/>
      </w:tblGrid>
      <w:tr w:rsidR="002A3409" w:rsidRPr="00531895" w14:paraId="6D028724" w14:textId="77777777" w:rsidTr="006B5A62">
        <w:trPr>
          <w:tblHeader/>
          <w:jc w:val="center"/>
        </w:trPr>
        <w:tc>
          <w:tcPr>
            <w:tcW w:w="1077" w:type="dxa"/>
            <w:tcBorders>
              <w:top w:val="single" w:sz="6" w:space="0" w:color="auto"/>
              <w:left w:val="single" w:sz="6" w:space="0" w:color="auto"/>
              <w:bottom w:val="single" w:sz="6" w:space="0" w:color="auto"/>
              <w:right w:val="single" w:sz="6" w:space="0" w:color="auto"/>
            </w:tcBorders>
            <w:shd w:val="clear" w:color="auto" w:fill="D0CECE" w:themeFill="background2" w:themeFillShade="E6"/>
            <w:vAlign w:val="center"/>
            <w:hideMark/>
          </w:tcPr>
          <w:p w14:paraId="074EDAE8" w14:textId="77777777" w:rsidR="002A3409" w:rsidRPr="00531895" w:rsidRDefault="002A3409" w:rsidP="006B5A62">
            <w:pPr>
              <w:spacing w:before="20" w:after="20" w:line="240" w:lineRule="auto"/>
              <w:jc w:val="center"/>
              <w:rPr>
                <w:rFonts w:asciiTheme="minorHAnsi" w:eastAsia="Times New Roman" w:hAnsiTheme="minorHAnsi" w:cstheme="minorHAnsi"/>
                <w:b/>
                <w:bCs/>
                <w:color w:val="000000"/>
                <w:sz w:val="20"/>
                <w:szCs w:val="20"/>
                <w:lang w:val="es-ES" w:eastAsia="es-ES"/>
              </w:rPr>
            </w:pPr>
            <w:r w:rsidRPr="00531895">
              <w:rPr>
                <w:rFonts w:asciiTheme="minorHAnsi" w:eastAsia="Times New Roman" w:hAnsiTheme="minorHAnsi" w:cstheme="minorHAnsi"/>
                <w:b/>
                <w:bCs/>
                <w:color w:val="000000"/>
                <w:sz w:val="20"/>
                <w:szCs w:val="20"/>
                <w:lang w:val="es-ES" w:eastAsia="es-ES"/>
              </w:rPr>
              <w:t>Id Calificacion Código</w:t>
            </w:r>
          </w:p>
        </w:tc>
        <w:tc>
          <w:tcPr>
            <w:tcW w:w="3969" w:type="dxa"/>
            <w:tcBorders>
              <w:top w:val="single" w:sz="6" w:space="0" w:color="auto"/>
              <w:left w:val="single" w:sz="6" w:space="0" w:color="auto"/>
              <w:bottom w:val="single" w:sz="6" w:space="0" w:color="auto"/>
              <w:right w:val="single" w:sz="6" w:space="0" w:color="auto"/>
            </w:tcBorders>
            <w:shd w:val="clear" w:color="auto" w:fill="D0CECE" w:themeFill="background2" w:themeFillShade="E6"/>
            <w:vAlign w:val="center"/>
            <w:hideMark/>
          </w:tcPr>
          <w:p w14:paraId="7730B897" w14:textId="77777777" w:rsidR="002A3409" w:rsidRPr="00531895" w:rsidRDefault="002A3409" w:rsidP="006B5A62">
            <w:pPr>
              <w:spacing w:before="20" w:after="20" w:line="240" w:lineRule="auto"/>
              <w:jc w:val="center"/>
              <w:rPr>
                <w:rFonts w:asciiTheme="minorHAnsi" w:eastAsia="Times New Roman" w:hAnsiTheme="minorHAnsi" w:cstheme="minorHAnsi"/>
                <w:b/>
                <w:bCs/>
                <w:color w:val="000000"/>
                <w:sz w:val="20"/>
                <w:szCs w:val="20"/>
                <w:lang w:val="es-ES" w:eastAsia="es-ES"/>
              </w:rPr>
            </w:pPr>
            <w:r w:rsidRPr="00531895">
              <w:rPr>
                <w:rFonts w:asciiTheme="minorHAnsi" w:eastAsia="Times New Roman" w:hAnsiTheme="minorHAnsi" w:cstheme="minorHAnsi"/>
                <w:b/>
                <w:bCs/>
                <w:color w:val="000000"/>
                <w:sz w:val="20"/>
                <w:szCs w:val="20"/>
                <w:lang w:val="es-ES" w:eastAsia="es-ES"/>
              </w:rPr>
              <w:t>Nombre</w:t>
            </w:r>
          </w:p>
        </w:tc>
        <w:tc>
          <w:tcPr>
            <w:tcW w:w="1134" w:type="dxa"/>
            <w:tcBorders>
              <w:top w:val="single" w:sz="6" w:space="0" w:color="auto"/>
              <w:left w:val="single" w:sz="6" w:space="0" w:color="auto"/>
              <w:bottom w:val="single" w:sz="6" w:space="0" w:color="auto"/>
              <w:right w:val="single" w:sz="6" w:space="0" w:color="auto"/>
            </w:tcBorders>
            <w:shd w:val="clear" w:color="auto" w:fill="D0CECE" w:themeFill="background2" w:themeFillShade="E6"/>
            <w:vAlign w:val="center"/>
            <w:hideMark/>
          </w:tcPr>
          <w:p w14:paraId="23266F8B" w14:textId="77777777" w:rsidR="002A3409" w:rsidRPr="00531895" w:rsidRDefault="002A3409" w:rsidP="006B5A62">
            <w:pPr>
              <w:spacing w:before="20" w:after="20" w:line="240" w:lineRule="auto"/>
              <w:jc w:val="center"/>
              <w:rPr>
                <w:rFonts w:asciiTheme="minorHAnsi" w:eastAsia="Times New Roman" w:hAnsiTheme="minorHAnsi" w:cstheme="minorHAnsi"/>
                <w:b/>
                <w:bCs/>
                <w:color w:val="000000"/>
                <w:sz w:val="20"/>
                <w:szCs w:val="20"/>
                <w:lang w:val="es-ES" w:eastAsia="es-ES"/>
              </w:rPr>
            </w:pPr>
            <w:r w:rsidRPr="00531895">
              <w:rPr>
                <w:rFonts w:asciiTheme="minorHAnsi" w:eastAsia="Times New Roman" w:hAnsiTheme="minorHAnsi" w:cstheme="minorHAnsi"/>
                <w:b/>
                <w:bCs/>
                <w:color w:val="000000"/>
                <w:sz w:val="20"/>
                <w:szCs w:val="20"/>
                <w:lang w:val="es-ES" w:eastAsia="es-ES"/>
              </w:rPr>
              <w:t>IdEmpresa Propietaria</w:t>
            </w:r>
          </w:p>
        </w:tc>
        <w:tc>
          <w:tcPr>
            <w:tcW w:w="2154" w:type="dxa"/>
            <w:tcBorders>
              <w:top w:val="single" w:sz="6" w:space="0" w:color="auto"/>
              <w:left w:val="single" w:sz="6" w:space="0" w:color="auto"/>
              <w:bottom w:val="single" w:sz="6" w:space="0" w:color="auto"/>
              <w:right w:val="single" w:sz="6" w:space="0" w:color="auto"/>
            </w:tcBorders>
            <w:shd w:val="clear" w:color="auto" w:fill="D0CECE" w:themeFill="background2" w:themeFillShade="E6"/>
            <w:vAlign w:val="center"/>
            <w:hideMark/>
          </w:tcPr>
          <w:p w14:paraId="1491F68C" w14:textId="77777777" w:rsidR="002A3409" w:rsidRPr="00531895" w:rsidRDefault="002A3409" w:rsidP="006B5A62">
            <w:pPr>
              <w:spacing w:before="20" w:after="20" w:line="240" w:lineRule="auto"/>
              <w:jc w:val="center"/>
              <w:rPr>
                <w:rFonts w:asciiTheme="minorHAnsi" w:eastAsia="Times New Roman" w:hAnsiTheme="minorHAnsi" w:cstheme="minorHAnsi"/>
                <w:b/>
                <w:bCs/>
                <w:color w:val="000000"/>
                <w:sz w:val="20"/>
                <w:szCs w:val="20"/>
                <w:lang w:val="es-ES" w:eastAsia="es-ES"/>
              </w:rPr>
            </w:pPr>
            <w:r w:rsidRPr="00531895">
              <w:rPr>
                <w:rFonts w:asciiTheme="minorHAnsi" w:eastAsia="Times New Roman" w:hAnsiTheme="minorHAnsi" w:cstheme="minorHAnsi"/>
                <w:b/>
                <w:bCs/>
                <w:color w:val="000000"/>
                <w:sz w:val="20"/>
                <w:szCs w:val="20"/>
                <w:lang w:val="es-ES" w:eastAsia="es-ES"/>
              </w:rPr>
              <w:t>EmpresaPropietaria</w:t>
            </w:r>
          </w:p>
        </w:tc>
        <w:tc>
          <w:tcPr>
            <w:tcW w:w="1418" w:type="dxa"/>
            <w:tcBorders>
              <w:top w:val="single" w:sz="6" w:space="0" w:color="auto"/>
              <w:left w:val="single" w:sz="6" w:space="0" w:color="auto"/>
              <w:bottom w:val="single" w:sz="6" w:space="0" w:color="auto"/>
              <w:right w:val="single" w:sz="6" w:space="0" w:color="auto"/>
            </w:tcBorders>
            <w:shd w:val="clear" w:color="auto" w:fill="D0CECE" w:themeFill="background2" w:themeFillShade="E6"/>
            <w:vAlign w:val="center"/>
            <w:hideMark/>
          </w:tcPr>
          <w:p w14:paraId="3EAC248A" w14:textId="77777777" w:rsidR="002A3409" w:rsidRPr="00531895" w:rsidRDefault="002A3409" w:rsidP="006B5A62">
            <w:pPr>
              <w:spacing w:before="20" w:after="20" w:line="240" w:lineRule="auto"/>
              <w:jc w:val="center"/>
              <w:rPr>
                <w:rFonts w:asciiTheme="minorHAnsi" w:eastAsia="Times New Roman" w:hAnsiTheme="minorHAnsi" w:cstheme="minorHAnsi"/>
                <w:b/>
                <w:bCs/>
                <w:color w:val="000000"/>
                <w:sz w:val="20"/>
                <w:szCs w:val="20"/>
                <w:lang w:val="es-ES" w:eastAsia="es-ES"/>
              </w:rPr>
            </w:pPr>
            <w:r w:rsidRPr="00531895">
              <w:rPr>
                <w:rFonts w:asciiTheme="minorHAnsi" w:eastAsia="Times New Roman" w:hAnsiTheme="minorHAnsi" w:cstheme="minorHAnsi"/>
                <w:b/>
                <w:bCs/>
                <w:color w:val="000000"/>
                <w:sz w:val="20"/>
                <w:szCs w:val="20"/>
                <w:lang w:val="es-ES" w:eastAsia="es-ES"/>
              </w:rPr>
              <w:t>VI Servidumbres (USD)</w:t>
            </w:r>
          </w:p>
        </w:tc>
      </w:tr>
      <w:tr w:rsidR="002A3409" w:rsidRPr="00531895" w14:paraId="3BA2E8A0" w14:textId="77777777" w:rsidTr="006B5A62">
        <w:trPr>
          <w:jc w:val="center"/>
        </w:trPr>
        <w:tc>
          <w:tcPr>
            <w:tcW w:w="1077" w:type="dxa"/>
            <w:tcBorders>
              <w:top w:val="single" w:sz="6" w:space="0" w:color="auto"/>
              <w:left w:val="single" w:sz="6" w:space="0" w:color="auto"/>
              <w:bottom w:val="single" w:sz="2" w:space="0" w:color="auto"/>
              <w:right w:val="single" w:sz="6" w:space="0" w:color="auto"/>
            </w:tcBorders>
            <w:shd w:val="clear" w:color="auto" w:fill="auto"/>
            <w:noWrap/>
            <w:vAlign w:val="bottom"/>
            <w:hideMark/>
          </w:tcPr>
          <w:p w14:paraId="15075516"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N_3</w:t>
            </w:r>
          </w:p>
        </w:tc>
        <w:tc>
          <w:tcPr>
            <w:tcW w:w="3969" w:type="dxa"/>
            <w:tcBorders>
              <w:top w:val="single" w:sz="6" w:space="0" w:color="auto"/>
              <w:left w:val="single" w:sz="6" w:space="0" w:color="auto"/>
              <w:bottom w:val="single" w:sz="2" w:space="0" w:color="auto"/>
              <w:right w:val="single" w:sz="6" w:space="0" w:color="auto"/>
            </w:tcBorders>
            <w:shd w:val="clear" w:color="auto" w:fill="auto"/>
            <w:noWrap/>
            <w:vAlign w:val="bottom"/>
            <w:hideMark/>
          </w:tcPr>
          <w:p w14:paraId="5557DAC6"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Alto Jahuel 220-&gt;Chena 220</w:t>
            </w:r>
          </w:p>
        </w:tc>
        <w:tc>
          <w:tcPr>
            <w:tcW w:w="1134" w:type="dxa"/>
            <w:tcBorders>
              <w:top w:val="single" w:sz="6" w:space="0" w:color="auto"/>
              <w:left w:val="single" w:sz="6" w:space="0" w:color="auto"/>
              <w:bottom w:val="single" w:sz="2" w:space="0" w:color="auto"/>
              <w:right w:val="single" w:sz="6" w:space="0" w:color="auto"/>
            </w:tcBorders>
            <w:shd w:val="clear" w:color="auto" w:fill="auto"/>
            <w:noWrap/>
            <w:vAlign w:val="bottom"/>
            <w:hideMark/>
          </w:tcPr>
          <w:p w14:paraId="2670B719"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154" w:type="dxa"/>
            <w:tcBorders>
              <w:top w:val="single" w:sz="6" w:space="0" w:color="auto"/>
              <w:left w:val="single" w:sz="6" w:space="0" w:color="auto"/>
              <w:bottom w:val="single" w:sz="2" w:space="0" w:color="auto"/>
              <w:right w:val="single" w:sz="6" w:space="0" w:color="auto"/>
            </w:tcBorders>
            <w:shd w:val="clear" w:color="auto" w:fill="auto"/>
            <w:noWrap/>
            <w:vAlign w:val="bottom"/>
            <w:hideMark/>
          </w:tcPr>
          <w:p w14:paraId="4D2CF367"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418" w:type="dxa"/>
            <w:tcBorders>
              <w:top w:val="single" w:sz="6" w:space="0" w:color="auto"/>
              <w:left w:val="single" w:sz="6" w:space="0" w:color="auto"/>
              <w:bottom w:val="single" w:sz="2" w:space="0" w:color="auto"/>
              <w:right w:val="single" w:sz="6" w:space="0" w:color="auto"/>
            </w:tcBorders>
            <w:shd w:val="clear" w:color="auto" w:fill="auto"/>
            <w:noWrap/>
            <w:vAlign w:val="center"/>
            <w:hideMark/>
          </w:tcPr>
          <w:p w14:paraId="50828E88"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3.906.577,17</w:t>
            </w:r>
          </w:p>
        </w:tc>
      </w:tr>
      <w:tr w:rsidR="002A3409" w:rsidRPr="00531895" w14:paraId="370E27CB" w14:textId="77777777" w:rsidTr="006B5A62">
        <w:trPr>
          <w:jc w:val="center"/>
        </w:trPr>
        <w:tc>
          <w:tcPr>
            <w:tcW w:w="107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73C30735"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N_3</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1BF8683A"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Alto Jahuel 220-&gt;Chena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23C3492C"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P_513</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15DAD722"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Chena S. 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77BE508"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190.286,42</w:t>
            </w:r>
          </w:p>
        </w:tc>
      </w:tr>
      <w:tr w:rsidR="002A3409" w:rsidRPr="00531895" w14:paraId="07DD52A5" w14:textId="77777777" w:rsidTr="006B5A62">
        <w:trPr>
          <w:trHeight w:val="75"/>
          <w:jc w:val="center"/>
        </w:trPr>
        <w:tc>
          <w:tcPr>
            <w:tcW w:w="107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35195FF4"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N_4</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2982D8E0"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Alto Jahuel 220-&gt;Los Almendros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1BC6DCEC"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P_111</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37161184"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ENEL DISTRIBUCION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4AACF3D"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13.184.191,60</w:t>
            </w:r>
          </w:p>
        </w:tc>
      </w:tr>
      <w:tr w:rsidR="002A3409" w:rsidRPr="00531895" w14:paraId="7CA1D698" w14:textId="77777777" w:rsidTr="006B5A62">
        <w:trPr>
          <w:jc w:val="center"/>
        </w:trPr>
        <w:tc>
          <w:tcPr>
            <w:tcW w:w="107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50B8449B"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N_6</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482CBEC8"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Alto Jahuel 220-&gt;Tap Central Santa Marta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779FDBA4"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4ABA0C60"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E79AAFF"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1.518.634,93</w:t>
            </w:r>
          </w:p>
        </w:tc>
      </w:tr>
      <w:tr w:rsidR="002A3409" w:rsidRPr="00531895" w14:paraId="5C1BD606" w14:textId="77777777" w:rsidTr="006B5A62">
        <w:trPr>
          <w:jc w:val="center"/>
        </w:trPr>
        <w:tc>
          <w:tcPr>
            <w:tcW w:w="107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67B27CE1"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N_7</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456DA0B9"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Alto Jahuel 500-&gt;Ancoa 500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19BBC302"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5334E97C"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FEE1802"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46.553.539,98</w:t>
            </w:r>
          </w:p>
        </w:tc>
      </w:tr>
      <w:tr w:rsidR="002A3409" w:rsidRPr="00531895" w14:paraId="30EB7B19" w14:textId="77777777" w:rsidTr="006B5A62">
        <w:trPr>
          <w:jc w:val="center"/>
        </w:trPr>
        <w:tc>
          <w:tcPr>
            <w:tcW w:w="107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32EE8118"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N_10</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02DB3231"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Ancoa 220-&gt;Itahue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2E212551"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48A17203"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49FC8E9"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1.843.266,22</w:t>
            </w:r>
          </w:p>
        </w:tc>
      </w:tr>
      <w:tr w:rsidR="002A3409" w:rsidRPr="00531895" w14:paraId="282FBE7A" w14:textId="77777777" w:rsidTr="006B5A62">
        <w:trPr>
          <w:jc w:val="center"/>
        </w:trPr>
        <w:tc>
          <w:tcPr>
            <w:tcW w:w="107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54DE2980"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N_11</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69EAEEE9" w14:textId="77777777" w:rsidR="002A3409" w:rsidRPr="00457601" w:rsidRDefault="002A3409" w:rsidP="006B5A62">
            <w:pPr>
              <w:spacing w:before="20" w:after="20" w:line="240" w:lineRule="auto"/>
              <w:jc w:val="left"/>
              <w:rPr>
                <w:rFonts w:asciiTheme="minorHAnsi" w:eastAsia="Times New Roman" w:hAnsiTheme="minorHAnsi" w:cstheme="minorHAnsi"/>
                <w:color w:val="000000"/>
                <w:sz w:val="20"/>
                <w:szCs w:val="20"/>
                <w:lang w:val="en-US" w:eastAsia="es-ES"/>
              </w:rPr>
            </w:pPr>
            <w:r w:rsidRPr="003D2D23">
              <w:rPr>
                <w:rFonts w:cs="Calibri"/>
                <w:color w:val="000000"/>
                <w:sz w:val="20"/>
                <w:szCs w:val="20"/>
                <w:lang w:val="en-US"/>
              </w:rPr>
              <w:t>Ancoa 220-&gt;Tap Off Santa Isabel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74DC518F"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4331D0E3"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9276A8E"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910.257,10</w:t>
            </w:r>
          </w:p>
        </w:tc>
      </w:tr>
      <w:tr w:rsidR="002A3409" w:rsidRPr="00531895" w14:paraId="212685A7" w14:textId="77777777" w:rsidTr="006B5A62">
        <w:trPr>
          <w:jc w:val="center"/>
        </w:trPr>
        <w:tc>
          <w:tcPr>
            <w:tcW w:w="107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4AAB0F95"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N_13</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1F81A8FD"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Ancoa 500-&gt;Nueva Charrua 500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4C3CADED"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4EE949E5"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6C4A623"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13.862.974,64</w:t>
            </w:r>
          </w:p>
        </w:tc>
      </w:tr>
      <w:tr w:rsidR="002A3409" w:rsidRPr="00531895" w14:paraId="124FEC37" w14:textId="77777777" w:rsidTr="006B5A62">
        <w:trPr>
          <w:jc w:val="center"/>
        </w:trPr>
        <w:tc>
          <w:tcPr>
            <w:tcW w:w="107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5DE21196"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N_14</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44C990FE"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Atacama 220-&gt;Tap Enlace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03CC3087"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4B6E4CC3"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183A4A3"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438.813,48</w:t>
            </w:r>
          </w:p>
        </w:tc>
      </w:tr>
      <w:tr w:rsidR="002A3409" w:rsidRPr="00531895" w14:paraId="6770AFFB" w14:textId="77777777" w:rsidTr="006B5A62">
        <w:trPr>
          <w:jc w:val="center"/>
        </w:trPr>
        <w:tc>
          <w:tcPr>
            <w:tcW w:w="107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1F25BC25"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N_15</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05AF99D5"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Bureo 220-&gt;Los Peumos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3CAD314F"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5B496EA0"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B25E28B"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2.827.287,07</w:t>
            </w:r>
          </w:p>
        </w:tc>
      </w:tr>
      <w:tr w:rsidR="002A3409" w:rsidRPr="00531895" w14:paraId="323BD035" w14:textId="77777777" w:rsidTr="006B5A62">
        <w:trPr>
          <w:jc w:val="center"/>
        </w:trPr>
        <w:tc>
          <w:tcPr>
            <w:tcW w:w="107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691C26F1"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N_18</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780EE7EE"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Cardones 220-&gt;Algarrobal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6EE48361"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4F910C0F"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A8883FA"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5.806.015,56</w:t>
            </w:r>
          </w:p>
        </w:tc>
      </w:tr>
      <w:tr w:rsidR="002A3409" w:rsidRPr="00531895" w14:paraId="4A540767" w14:textId="77777777" w:rsidTr="006B5A62">
        <w:trPr>
          <w:jc w:val="center"/>
        </w:trPr>
        <w:tc>
          <w:tcPr>
            <w:tcW w:w="1077"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BAF588C"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N_20</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50E4BDC9"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Carrera Pinto 220-&gt;Nueva Diego de Almagro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251BA6F"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46A1C2D"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5C7BABF"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608.495,63</w:t>
            </w:r>
          </w:p>
        </w:tc>
      </w:tr>
      <w:tr w:rsidR="002A3409" w:rsidRPr="00531895" w14:paraId="3F26F908" w14:textId="77777777" w:rsidTr="006B5A62">
        <w:trPr>
          <w:jc w:val="center"/>
        </w:trPr>
        <w:tc>
          <w:tcPr>
            <w:tcW w:w="107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14ACE857"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N_21</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485A16FD"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Carrera Pinto 220-&gt;S. San Andres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4330C964"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41AAE73B"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4759D78"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609.695,39</w:t>
            </w:r>
          </w:p>
        </w:tc>
      </w:tr>
      <w:tr w:rsidR="002A3409" w:rsidRPr="00531895" w14:paraId="1CCA67FF" w14:textId="77777777" w:rsidTr="006B5A62">
        <w:trPr>
          <w:jc w:val="center"/>
        </w:trPr>
        <w:tc>
          <w:tcPr>
            <w:tcW w:w="107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552C8C16"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N_22</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2906FC37"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Cautin 220-&gt;Metrenco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0C0683C1"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70F9384F"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3F22D8E"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1.502.840,04</w:t>
            </w:r>
          </w:p>
        </w:tc>
      </w:tr>
      <w:tr w:rsidR="002A3409" w:rsidRPr="00531895" w14:paraId="2FC4C6D7" w14:textId="77777777" w:rsidTr="006B5A62">
        <w:trPr>
          <w:jc w:val="center"/>
        </w:trPr>
        <w:tc>
          <w:tcPr>
            <w:tcW w:w="107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1C045916"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N_24</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6DDA645A"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Cerro Navia 220-&gt;Chena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6E48B5D9"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767527E9"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7890D02"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522.504,31</w:t>
            </w:r>
          </w:p>
        </w:tc>
      </w:tr>
      <w:tr w:rsidR="002A3409" w:rsidRPr="00531895" w14:paraId="5547FA6F" w14:textId="77777777" w:rsidTr="006B5A62">
        <w:trPr>
          <w:jc w:val="center"/>
        </w:trPr>
        <w:tc>
          <w:tcPr>
            <w:tcW w:w="107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2B0CFA07"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N_24</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2BE0A2CE"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Cerro Navia 220-&gt;Chena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63D27E84"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P_513</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1D4C8B50"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Chena S. 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C892B1F"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186.599,27</w:t>
            </w:r>
          </w:p>
        </w:tc>
      </w:tr>
      <w:tr w:rsidR="002A3409" w:rsidRPr="00531895" w14:paraId="193FCF44" w14:textId="77777777" w:rsidTr="006B5A62">
        <w:trPr>
          <w:jc w:val="center"/>
        </w:trPr>
        <w:tc>
          <w:tcPr>
            <w:tcW w:w="107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455F5AAD"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N_25</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76267D54"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Cerro Navia 220-&gt;Neptuno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3DA30197"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3180E449"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8C2839C"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214.735,12</w:t>
            </w:r>
          </w:p>
        </w:tc>
      </w:tr>
      <w:tr w:rsidR="002A3409" w:rsidRPr="00531895" w14:paraId="4DE96967" w14:textId="77777777" w:rsidTr="006B5A62">
        <w:trPr>
          <w:jc w:val="center"/>
        </w:trPr>
        <w:tc>
          <w:tcPr>
            <w:tcW w:w="107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3FFF2424"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N_28</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3A1A5B03"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Charrua 220-&gt;Concepcion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20224514"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5DC0D293"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95B4817"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3.833.894,70</w:t>
            </w:r>
          </w:p>
        </w:tc>
      </w:tr>
      <w:tr w:rsidR="002A3409" w:rsidRPr="00531895" w14:paraId="720F1011" w14:textId="77777777" w:rsidTr="006B5A62">
        <w:trPr>
          <w:jc w:val="center"/>
        </w:trPr>
        <w:tc>
          <w:tcPr>
            <w:tcW w:w="107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0E7D8676"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N_29</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009C21E1"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Charrua 220-&gt;El Rosal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00CC7362"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3E732462"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6247A843"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1.009.902,02</w:t>
            </w:r>
          </w:p>
        </w:tc>
      </w:tr>
      <w:tr w:rsidR="002A3409" w:rsidRPr="00531895" w14:paraId="1D87DA18" w14:textId="77777777" w:rsidTr="006B5A62">
        <w:trPr>
          <w:jc w:val="center"/>
        </w:trPr>
        <w:tc>
          <w:tcPr>
            <w:tcW w:w="107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46E85470"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lastRenderedPageBreak/>
              <w:t>N_30</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59FC14B1"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Charrua 220-&gt;Lagunillas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36B2B97F"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018305E5"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1A85E3FB"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5.231.135,81</w:t>
            </w:r>
          </w:p>
        </w:tc>
      </w:tr>
      <w:tr w:rsidR="002A3409" w:rsidRPr="00531895" w14:paraId="366F3FFF" w14:textId="77777777" w:rsidTr="006B5A62">
        <w:trPr>
          <w:jc w:val="center"/>
        </w:trPr>
        <w:tc>
          <w:tcPr>
            <w:tcW w:w="107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7FC69BC0"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N_32</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015212D2"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Charrua 220-&gt;Trebol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44A8B9F6"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17F2EAA3"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5D202D1B"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480.393,33</w:t>
            </w:r>
          </w:p>
        </w:tc>
      </w:tr>
      <w:tr w:rsidR="002A3409" w:rsidRPr="00531895" w14:paraId="5B4D691C" w14:textId="77777777" w:rsidTr="006B5A62">
        <w:trPr>
          <w:jc w:val="center"/>
        </w:trPr>
        <w:tc>
          <w:tcPr>
            <w:tcW w:w="107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64F6F5A6"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N_33</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713ABD3D"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Charrua 500-&gt;Nueva Charrua 500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757AC87D"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026A62DE"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465F9113"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13.562.583,72</w:t>
            </w:r>
          </w:p>
        </w:tc>
      </w:tr>
      <w:tr w:rsidR="002A3409" w:rsidRPr="00531895" w14:paraId="05A5D163" w14:textId="77777777" w:rsidTr="006B5A62">
        <w:trPr>
          <w:jc w:val="center"/>
        </w:trPr>
        <w:tc>
          <w:tcPr>
            <w:tcW w:w="107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43C63488"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N_34</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25DA2BAF"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Chena 220-&gt;Neptuno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3DCAB017"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23D24231"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5442117D"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422.736,25</w:t>
            </w:r>
          </w:p>
        </w:tc>
      </w:tr>
      <w:tr w:rsidR="002A3409" w:rsidRPr="00531895" w14:paraId="70769FB1" w14:textId="77777777" w:rsidTr="006B5A62">
        <w:trPr>
          <w:jc w:val="center"/>
        </w:trPr>
        <w:tc>
          <w:tcPr>
            <w:tcW w:w="107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455E88CC"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N_35</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56B2DF09"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Chena 220-&gt;Tap Central Santa Marta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27234FD0"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10B9957D"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3AA8955B"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3.686.713,70</w:t>
            </w:r>
          </w:p>
        </w:tc>
      </w:tr>
      <w:tr w:rsidR="002A3409" w:rsidRPr="00531895" w14:paraId="62263748" w14:textId="77777777" w:rsidTr="006B5A62">
        <w:trPr>
          <w:jc w:val="center"/>
        </w:trPr>
        <w:tc>
          <w:tcPr>
            <w:tcW w:w="107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11D94F20"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N_37</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58BD41D6"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Chuquicamata 220-&gt;Nueva Chuquicamata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6F9385F5"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P_164</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0986F255"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E-CL</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190B50C4"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8.378.610,15</w:t>
            </w:r>
          </w:p>
        </w:tc>
      </w:tr>
      <w:tr w:rsidR="002A3409" w:rsidRPr="00531895" w14:paraId="216A35B7" w14:textId="77777777" w:rsidTr="006B5A62">
        <w:trPr>
          <w:jc w:val="center"/>
        </w:trPr>
        <w:tc>
          <w:tcPr>
            <w:tcW w:w="107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6F23BB51"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N_39</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48D5FD6C"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Ciruelos 220-&gt;Lastarria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546800C2"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34F1FB3A"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423FB75D"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1.513.544,24</w:t>
            </w:r>
          </w:p>
        </w:tc>
      </w:tr>
      <w:tr w:rsidR="002A3409" w:rsidRPr="00531895" w14:paraId="7F657091" w14:textId="77777777" w:rsidTr="006B5A62">
        <w:trPr>
          <w:jc w:val="center"/>
        </w:trPr>
        <w:tc>
          <w:tcPr>
            <w:tcW w:w="107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029B7989"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N_40</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21923E42"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Ciruelos 220-&gt;Valdivia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026B3A62"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66AB61E5"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57D7730C"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2.087.979,48</w:t>
            </w:r>
          </w:p>
        </w:tc>
      </w:tr>
      <w:tr w:rsidR="002A3409" w:rsidRPr="00531895" w14:paraId="118610C0" w14:textId="77777777" w:rsidTr="006B5A62">
        <w:trPr>
          <w:jc w:val="center"/>
        </w:trPr>
        <w:tc>
          <w:tcPr>
            <w:tcW w:w="107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719C6960"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N_41</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18838E13"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Condores 220-&gt;Parinacota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09EE2EAC"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11811FB4"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21A9FE1B"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4.001.356,94</w:t>
            </w:r>
          </w:p>
        </w:tc>
      </w:tr>
      <w:tr w:rsidR="002A3409" w:rsidRPr="00531895" w14:paraId="4088B415" w14:textId="77777777" w:rsidTr="006B5A62">
        <w:trPr>
          <w:jc w:val="center"/>
        </w:trPr>
        <w:tc>
          <w:tcPr>
            <w:tcW w:w="107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5F3D5F67"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N_42</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5081E176"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Crucero 220-&gt;Kimal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21B34D0D"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769FB5C0"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680C7245"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2.115,13</w:t>
            </w:r>
          </w:p>
        </w:tc>
      </w:tr>
      <w:tr w:rsidR="002A3409" w:rsidRPr="00531895" w14:paraId="5CCADCCC" w14:textId="77777777" w:rsidTr="006B5A62">
        <w:trPr>
          <w:jc w:val="center"/>
        </w:trPr>
        <w:tc>
          <w:tcPr>
            <w:tcW w:w="107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57715C80"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N_43</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32F6704B"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Cumbre 500-&gt;Nueva Cardones 500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333EC643"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P_514</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0A48CA17"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TEN</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257D8E5A"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12.073.643,44</w:t>
            </w:r>
          </w:p>
        </w:tc>
      </w:tr>
      <w:tr w:rsidR="002A3409" w:rsidRPr="00531895" w14:paraId="37472164" w14:textId="77777777" w:rsidTr="006B5A62">
        <w:trPr>
          <w:jc w:val="center"/>
        </w:trPr>
        <w:tc>
          <w:tcPr>
            <w:tcW w:w="107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6D857099"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N_44</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333D8C67"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Don Goyo 220-&gt;La Cebada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5B4017C5"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44DCBDED"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636F135F"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1.215.187,72</w:t>
            </w:r>
          </w:p>
        </w:tc>
      </w:tr>
      <w:tr w:rsidR="002A3409" w:rsidRPr="00531895" w14:paraId="5959F054" w14:textId="77777777" w:rsidTr="006B5A62">
        <w:trPr>
          <w:jc w:val="center"/>
        </w:trPr>
        <w:tc>
          <w:tcPr>
            <w:tcW w:w="107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3ED8D929"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N_45</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200FDFF3"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Don Hector 220-&gt;Punta Colorada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1C0F2FE4"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0DAD03AA"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41724F53"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8.349.090,32</w:t>
            </w:r>
          </w:p>
        </w:tc>
      </w:tr>
      <w:tr w:rsidR="002A3409" w:rsidRPr="00531895" w14:paraId="1A6E42F3" w14:textId="77777777" w:rsidTr="006B5A62">
        <w:trPr>
          <w:jc w:val="center"/>
        </w:trPr>
        <w:tc>
          <w:tcPr>
            <w:tcW w:w="107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6A65A3CD"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N_46</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5849CEC8"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Duqueco 220-&gt;Bureo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228EAA4C"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5627DEB4"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529788F7"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2.772.640,43</w:t>
            </w:r>
          </w:p>
        </w:tc>
      </w:tr>
      <w:tr w:rsidR="002A3409" w:rsidRPr="00531895" w14:paraId="02222E1A" w14:textId="77777777" w:rsidTr="006B5A62">
        <w:trPr>
          <w:jc w:val="center"/>
        </w:trPr>
        <w:tc>
          <w:tcPr>
            <w:tcW w:w="107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130B283E"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N_47</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2E137C56"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Duqueco 220-&gt;Los Varones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3C95B05B"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559B66FA"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45CA6F71"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1.009.902,02</w:t>
            </w:r>
          </w:p>
        </w:tc>
      </w:tr>
      <w:tr w:rsidR="002A3409" w:rsidRPr="00531895" w14:paraId="0B2F4518" w14:textId="77777777" w:rsidTr="006B5A62">
        <w:trPr>
          <w:jc w:val="center"/>
        </w:trPr>
        <w:tc>
          <w:tcPr>
            <w:tcW w:w="107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744F4C12"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N_49</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21264A53"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El Rosal 220-&gt;Los Varones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54FE1F41"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3401D6EF"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459F4BE4"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1.009.902,02</w:t>
            </w:r>
          </w:p>
        </w:tc>
      </w:tr>
      <w:tr w:rsidR="002A3409" w:rsidRPr="00531895" w14:paraId="38CCD6E1" w14:textId="77777777" w:rsidTr="006B5A62">
        <w:trPr>
          <w:jc w:val="center"/>
        </w:trPr>
        <w:tc>
          <w:tcPr>
            <w:tcW w:w="107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2F7A6656"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N_51</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05B4C910"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Encuentro 220-&gt;Kimal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039219CC"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16F45651"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36A02589"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2.115,13</w:t>
            </w:r>
          </w:p>
        </w:tc>
      </w:tr>
      <w:tr w:rsidR="002A3409" w:rsidRPr="00531895" w14:paraId="459D2249" w14:textId="77777777" w:rsidTr="006B5A62">
        <w:trPr>
          <w:jc w:val="center"/>
        </w:trPr>
        <w:tc>
          <w:tcPr>
            <w:tcW w:w="107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255C54F9"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N_52</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6234A920"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Encuentro 220-&gt;Miraje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19491435"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2398F818"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3E726518"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203.395,55</w:t>
            </w:r>
          </w:p>
        </w:tc>
      </w:tr>
      <w:tr w:rsidR="002A3409" w:rsidRPr="00531895" w14:paraId="67B1BACC" w14:textId="77777777" w:rsidTr="006B5A62">
        <w:trPr>
          <w:jc w:val="center"/>
        </w:trPr>
        <w:tc>
          <w:tcPr>
            <w:tcW w:w="107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383918D2"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N_55</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017A0304"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Hualpen 220-&gt;Guindo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40D251F2"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5F9E922C"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615A7E72"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1.111.931,30</w:t>
            </w:r>
          </w:p>
        </w:tc>
      </w:tr>
      <w:tr w:rsidR="002A3409" w:rsidRPr="00531895" w14:paraId="3A371706" w14:textId="77777777" w:rsidTr="006B5A62">
        <w:trPr>
          <w:jc w:val="center"/>
        </w:trPr>
        <w:tc>
          <w:tcPr>
            <w:tcW w:w="107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285806B7"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N_56</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540675D1"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Hualpen 220-&gt;Trebol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16E2BCE1"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1374B113"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7EB9D541"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1.029.190,06</w:t>
            </w:r>
          </w:p>
        </w:tc>
      </w:tr>
      <w:tr w:rsidR="002A3409" w:rsidRPr="00531895" w14:paraId="7E3E85CB" w14:textId="77777777" w:rsidTr="006B5A62">
        <w:trPr>
          <w:jc w:val="center"/>
        </w:trPr>
        <w:tc>
          <w:tcPr>
            <w:tcW w:w="107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6E7B171F"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N_58</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0332E738"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Kimal 220-&gt;Nueva Chuquicamata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52DCF27C"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P_164</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014F6029"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E-CL</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5D28B898"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8.543.746,19</w:t>
            </w:r>
          </w:p>
        </w:tc>
      </w:tr>
      <w:tr w:rsidR="002A3409" w:rsidRPr="00531895" w14:paraId="229A7906" w14:textId="77777777" w:rsidTr="006B5A62">
        <w:trPr>
          <w:jc w:val="center"/>
        </w:trPr>
        <w:tc>
          <w:tcPr>
            <w:tcW w:w="107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3F9FBB9A"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N_64</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6DECCA59"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Lagunas 220-&gt;Nueva Pozo Almonte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301BBC82"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P_164</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331B8A97"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E-CL</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42A081A5"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4.202.741,76</w:t>
            </w:r>
          </w:p>
        </w:tc>
      </w:tr>
      <w:tr w:rsidR="002A3409" w:rsidRPr="00531895" w14:paraId="635FFCA3" w14:textId="77777777" w:rsidTr="006B5A62">
        <w:trPr>
          <w:jc w:val="center"/>
        </w:trPr>
        <w:tc>
          <w:tcPr>
            <w:tcW w:w="107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1B21AC1B"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N_65</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75D441E0"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Lagunas 220-&gt;Nueva Victoria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6AF025CF"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19E76492"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5D09FDF1"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215.755,02</w:t>
            </w:r>
          </w:p>
        </w:tc>
      </w:tr>
      <w:tr w:rsidR="002A3409" w:rsidRPr="00531895" w14:paraId="4C042C3E" w14:textId="77777777" w:rsidTr="006B5A62">
        <w:trPr>
          <w:jc w:val="center"/>
        </w:trPr>
        <w:tc>
          <w:tcPr>
            <w:tcW w:w="107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746BDD3E"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N_66</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6913802B"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Lagunas 220-&gt;San Simon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2C28D9FF"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363FE673"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4C78A94F"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342.639,10</w:t>
            </w:r>
          </w:p>
        </w:tc>
      </w:tr>
      <w:tr w:rsidR="002A3409" w:rsidRPr="00531895" w14:paraId="3FFAB186" w14:textId="77777777" w:rsidTr="006B5A62">
        <w:trPr>
          <w:jc w:val="center"/>
        </w:trPr>
        <w:tc>
          <w:tcPr>
            <w:tcW w:w="107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5722199E"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N_67</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523DAD18"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Lagunillas 220-&gt;Guindo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232664BC"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12F3532C"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1BCA6E6B"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1.111.931,30</w:t>
            </w:r>
          </w:p>
        </w:tc>
      </w:tr>
      <w:tr w:rsidR="002A3409" w:rsidRPr="00531895" w14:paraId="668F813C" w14:textId="77777777" w:rsidTr="006B5A62">
        <w:trPr>
          <w:jc w:val="center"/>
        </w:trPr>
        <w:tc>
          <w:tcPr>
            <w:tcW w:w="107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0F79336E"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N_69</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37B6BCF5"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Lo Aguirre 220-&gt;Nueva Alto Melipilla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787BCD1B"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4078774D"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68858D6D"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4.727.880,08</w:t>
            </w:r>
          </w:p>
        </w:tc>
      </w:tr>
      <w:tr w:rsidR="002A3409" w:rsidRPr="00531895" w14:paraId="48FCF812" w14:textId="77777777" w:rsidTr="006B5A62">
        <w:trPr>
          <w:jc w:val="center"/>
        </w:trPr>
        <w:tc>
          <w:tcPr>
            <w:tcW w:w="107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2A5DD78E"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N_70</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6D23269E"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Lo Aguirre 500-&gt;Alto Jahuel 500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788D78E6"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66641959"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292D46AC"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6.229.390,91</w:t>
            </w:r>
          </w:p>
        </w:tc>
      </w:tr>
      <w:tr w:rsidR="002A3409" w:rsidRPr="00531895" w14:paraId="3238F07A" w14:textId="77777777" w:rsidTr="006B5A62">
        <w:trPr>
          <w:jc w:val="center"/>
        </w:trPr>
        <w:tc>
          <w:tcPr>
            <w:tcW w:w="107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2BC59E3C"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N_72</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57543984"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Los Changos 500-&gt;Cumbre 500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552F4F00"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P_514</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12F688DF"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TEN</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16ED8CA2"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8.072.680,01</w:t>
            </w:r>
          </w:p>
        </w:tc>
      </w:tr>
      <w:tr w:rsidR="002A3409" w:rsidRPr="00531895" w14:paraId="56722C5A" w14:textId="77777777" w:rsidTr="006B5A62">
        <w:trPr>
          <w:jc w:val="center"/>
        </w:trPr>
        <w:tc>
          <w:tcPr>
            <w:tcW w:w="107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4D6E590D"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N_75</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1D5B34AC"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Los Vilos 220-&gt;Las Palmas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4F006201"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5CBCB10E"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4DE1471E"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3.205.789,89</w:t>
            </w:r>
          </w:p>
        </w:tc>
      </w:tr>
      <w:tr w:rsidR="002A3409" w:rsidRPr="00531895" w14:paraId="51856777" w14:textId="77777777" w:rsidTr="006B5A62">
        <w:trPr>
          <w:jc w:val="center"/>
        </w:trPr>
        <w:tc>
          <w:tcPr>
            <w:tcW w:w="107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751C6C75"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N_76</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5E79B6B1"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Los Vilos 220-&gt;Nogales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7E629D9B"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2845466F"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04ABE539"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2.313.103,74</w:t>
            </w:r>
          </w:p>
        </w:tc>
      </w:tr>
      <w:tr w:rsidR="002A3409" w:rsidRPr="00531895" w14:paraId="3E42C3ED" w14:textId="77777777" w:rsidTr="006B5A62">
        <w:trPr>
          <w:jc w:val="center"/>
        </w:trPr>
        <w:tc>
          <w:tcPr>
            <w:tcW w:w="107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05DF1D12"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N_77</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5B6AF109"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Los Vilos 220-&gt;Tap Doña Carmen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30ADDAA2"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18A95611"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33577C27"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1.156.551,87</w:t>
            </w:r>
          </w:p>
        </w:tc>
      </w:tr>
      <w:tr w:rsidR="002A3409" w:rsidRPr="00531895" w14:paraId="452A82A5" w14:textId="77777777" w:rsidTr="006B5A62">
        <w:trPr>
          <w:jc w:val="center"/>
        </w:trPr>
        <w:tc>
          <w:tcPr>
            <w:tcW w:w="107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22633A2F"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N_78</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53BBE3CE"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Maitencillo 220-&gt;Algarrobal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6A1F41A8"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4C26B27B"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0399FA78"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5.806.015,56</w:t>
            </w:r>
          </w:p>
        </w:tc>
      </w:tr>
      <w:tr w:rsidR="002A3409" w:rsidRPr="00531895" w14:paraId="74E6063E" w14:textId="77777777" w:rsidTr="006B5A62">
        <w:trPr>
          <w:jc w:val="center"/>
        </w:trPr>
        <w:tc>
          <w:tcPr>
            <w:tcW w:w="107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0AE2BE80"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N_81</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37B2DDB6"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Maria Elena 220-&gt;Kimal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63F06535"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18679725"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591E27B4"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259.807,18</w:t>
            </w:r>
          </w:p>
        </w:tc>
      </w:tr>
      <w:tr w:rsidR="002A3409" w:rsidRPr="00531895" w14:paraId="05CFD3C7" w14:textId="77777777" w:rsidTr="006B5A62">
        <w:trPr>
          <w:jc w:val="center"/>
        </w:trPr>
        <w:tc>
          <w:tcPr>
            <w:tcW w:w="107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378A8145"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N_82</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578DFA93"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Maria Elena 220-&gt;Quillagua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7CD2B051"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39C3083D"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0A1FECE5"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559.930,87</w:t>
            </w:r>
          </w:p>
        </w:tc>
      </w:tr>
      <w:tr w:rsidR="002A3409" w:rsidRPr="00531895" w14:paraId="002A3057" w14:textId="77777777" w:rsidTr="006B5A62">
        <w:trPr>
          <w:jc w:val="center"/>
        </w:trPr>
        <w:tc>
          <w:tcPr>
            <w:tcW w:w="107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10FC30D1"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N_83</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35E98C41"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Melipulli 220-&gt;Pargua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5BB67AA5"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P_100</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028BEE67"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STS</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4D458C75"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6.775.415,75</w:t>
            </w:r>
          </w:p>
        </w:tc>
      </w:tr>
      <w:tr w:rsidR="002A3409" w:rsidRPr="00531895" w14:paraId="66BC54F6" w14:textId="77777777" w:rsidTr="006B5A62">
        <w:trPr>
          <w:jc w:val="center"/>
        </w:trPr>
        <w:tc>
          <w:tcPr>
            <w:tcW w:w="107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6D8D16D3"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N_83</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58B196B6"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Melipulli 220-&gt;Pargua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2FEFA826"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P_122</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18128017"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SAESA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18C8B45F"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1.680.295,33</w:t>
            </w:r>
          </w:p>
        </w:tc>
      </w:tr>
      <w:tr w:rsidR="002A3409" w:rsidRPr="00531895" w14:paraId="36F38DF6" w14:textId="77777777" w:rsidTr="006B5A62">
        <w:trPr>
          <w:jc w:val="center"/>
        </w:trPr>
        <w:tc>
          <w:tcPr>
            <w:tcW w:w="107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621440E6"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N_85</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3E0AA819"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Miraje 220-&gt;Atacama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39DF9A2E"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522A9B0B"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478AE803"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877.626,96</w:t>
            </w:r>
          </w:p>
        </w:tc>
      </w:tr>
      <w:tr w:rsidR="002A3409" w:rsidRPr="00531895" w14:paraId="43BA2533" w14:textId="77777777" w:rsidTr="006B5A62">
        <w:trPr>
          <w:jc w:val="center"/>
        </w:trPr>
        <w:tc>
          <w:tcPr>
            <w:tcW w:w="107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3899EC29"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N_86</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0405B9EA"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Miraje 220-&gt;Tap Enlace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6AB9F164"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7A6E69AF"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78D94F0A"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432.362,81</w:t>
            </w:r>
          </w:p>
        </w:tc>
      </w:tr>
      <w:tr w:rsidR="002A3409" w:rsidRPr="00531895" w14:paraId="4B238604" w14:textId="77777777" w:rsidTr="006B5A62">
        <w:trPr>
          <w:jc w:val="center"/>
        </w:trPr>
        <w:tc>
          <w:tcPr>
            <w:tcW w:w="107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5731E506"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N_88</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302C0CAB"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Nogales 220-&gt;Quillota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24EECEC5"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787F1C74"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3F737385"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1.443.539,09</w:t>
            </w:r>
          </w:p>
        </w:tc>
      </w:tr>
      <w:tr w:rsidR="002A3409" w:rsidRPr="00531895" w14:paraId="7E80F04E" w14:textId="77777777" w:rsidTr="006B5A62">
        <w:trPr>
          <w:jc w:val="center"/>
        </w:trPr>
        <w:tc>
          <w:tcPr>
            <w:tcW w:w="107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2CD912FB"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lastRenderedPageBreak/>
              <w:t>N_90</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1EBA049F"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Nogales 220-&gt;Tap Doña Carmen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61500EA4"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574EA356"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7EDCFA72"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1.142.276,18</w:t>
            </w:r>
          </w:p>
        </w:tc>
      </w:tr>
      <w:tr w:rsidR="002A3409" w:rsidRPr="00531895" w14:paraId="141E32DF" w14:textId="77777777" w:rsidTr="006B5A62">
        <w:trPr>
          <w:jc w:val="center"/>
        </w:trPr>
        <w:tc>
          <w:tcPr>
            <w:tcW w:w="107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338FDB25"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N_91</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30D6E931"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Nueva Alto Melipilla 220-&gt;Alto Melipilla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3FBCD2F8"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P_113</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49F64996"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CHILQUINTA ENERGÍA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0871E300"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12.953,23</w:t>
            </w:r>
          </w:p>
        </w:tc>
      </w:tr>
      <w:tr w:rsidR="002A3409" w:rsidRPr="00531895" w14:paraId="47C13F54" w14:textId="77777777" w:rsidTr="006B5A62">
        <w:trPr>
          <w:jc w:val="center"/>
        </w:trPr>
        <w:tc>
          <w:tcPr>
            <w:tcW w:w="107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65924D81"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N_92</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38B44C6B"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Nueva Alto Melipilla 220-&gt;Rapel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77E476B1"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12AA4BA1"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2A24258C"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4.786.967,13</w:t>
            </w:r>
          </w:p>
        </w:tc>
      </w:tr>
      <w:tr w:rsidR="002A3409" w:rsidRPr="00531895" w14:paraId="326F7999" w14:textId="77777777" w:rsidTr="006B5A62">
        <w:trPr>
          <w:jc w:val="center"/>
        </w:trPr>
        <w:tc>
          <w:tcPr>
            <w:tcW w:w="1077"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BA760B1"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N_94</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3F3544B6"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Nueva Diego de Almagro 220-&gt;Diego de Almagro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999CEDC"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CA1B879"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32EB8AD"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608.495,63</w:t>
            </w:r>
          </w:p>
        </w:tc>
      </w:tr>
      <w:tr w:rsidR="002A3409" w:rsidRPr="00531895" w14:paraId="626DFB5A" w14:textId="77777777" w:rsidTr="006B5A62">
        <w:trPr>
          <w:jc w:val="center"/>
        </w:trPr>
        <w:tc>
          <w:tcPr>
            <w:tcW w:w="107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7998B7A0"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N_95</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72C96C2F"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Nueva Lampa 220-&gt;Cerro Navia Desf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3448390B"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51C1191C"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77ED3743"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993.996,09</w:t>
            </w:r>
          </w:p>
        </w:tc>
      </w:tr>
      <w:tr w:rsidR="002A3409" w:rsidRPr="00531895" w14:paraId="37A9B0B9" w14:textId="77777777" w:rsidTr="006B5A62">
        <w:trPr>
          <w:jc w:val="center"/>
        </w:trPr>
        <w:tc>
          <w:tcPr>
            <w:tcW w:w="107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305088D5"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N_96</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1C9E24C1"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Nueva Lampa 220-&gt;Polpaico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79F4BDA0"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3D1BA833"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691076C7"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993.996,09</w:t>
            </w:r>
          </w:p>
        </w:tc>
      </w:tr>
      <w:tr w:rsidR="002A3409" w:rsidRPr="00531895" w14:paraId="5205B51C" w14:textId="77777777" w:rsidTr="006B5A62">
        <w:trPr>
          <w:jc w:val="center"/>
        </w:trPr>
        <w:tc>
          <w:tcPr>
            <w:tcW w:w="107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03ED696D"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N_98</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45F22143"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Nueva Pichirropulli 220-&gt;Nueva Valdivia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74F2D6B0"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2323057E"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1196674D"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1.184.953,93</w:t>
            </w:r>
          </w:p>
        </w:tc>
      </w:tr>
      <w:tr w:rsidR="002A3409" w:rsidRPr="00531895" w14:paraId="2FAFC595" w14:textId="77777777" w:rsidTr="006B5A62">
        <w:trPr>
          <w:jc w:val="center"/>
        </w:trPr>
        <w:tc>
          <w:tcPr>
            <w:tcW w:w="107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4001DF98"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N_104</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22EB9DB1"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Pan de Azucar 220-&gt;Don Goyo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440D501D"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4DC746F2"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70F986A8"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2.949.098,33</w:t>
            </w:r>
          </w:p>
        </w:tc>
      </w:tr>
      <w:tr w:rsidR="002A3409" w:rsidRPr="00531895" w14:paraId="79DF448A" w14:textId="77777777" w:rsidTr="006B5A62">
        <w:trPr>
          <w:jc w:val="center"/>
        </w:trPr>
        <w:tc>
          <w:tcPr>
            <w:tcW w:w="107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053BA3D9"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N_105</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5C097095"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Pan de Azucar 220-&gt;Punta Colorada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7130D92B"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7A084D0A"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2B807397"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3.416.430,77</w:t>
            </w:r>
          </w:p>
        </w:tc>
      </w:tr>
      <w:tr w:rsidR="002A3409" w:rsidRPr="00531895" w14:paraId="368F9880" w14:textId="77777777" w:rsidTr="006B5A62">
        <w:trPr>
          <w:jc w:val="center"/>
        </w:trPr>
        <w:tc>
          <w:tcPr>
            <w:tcW w:w="107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0555566D"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N_106</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35E1437A"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Pargua 220-&gt;Nueva Ancud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1DE67BC9"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2E27870B"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3D746D3D"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77.873,33</w:t>
            </w:r>
          </w:p>
        </w:tc>
      </w:tr>
      <w:tr w:rsidR="002A3409" w:rsidRPr="00531895" w14:paraId="3B27CA56" w14:textId="77777777" w:rsidTr="006B5A62">
        <w:trPr>
          <w:jc w:val="center"/>
        </w:trPr>
        <w:tc>
          <w:tcPr>
            <w:tcW w:w="107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3DDA2A16"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N_109</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758D61AF"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Polpaico 220-&gt;Tap El Manzano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4BE972A8"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P_111</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55E06914"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ENEL DISTRIBUCION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1D2BFA23"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782.822,99</w:t>
            </w:r>
          </w:p>
        </w:tc>
      </w:tr>
      <w:tr w:rsidR="002A3409" w:rsidRPr="00531895" w14:paraId="104CD6F9" w14:textId="77777777" w:rsidTr="006B5A62">
        <w:trPr>
          <w:jc w:val="center"/>
        </w:trPr>
        <w:tc>
          <w:tcPr>
            <w:tcW w:w="107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008A12DF"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N_110</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4C02AF61"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Polpaico 500-&gt;Lo Aguirre 500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1E0F0930"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41E0396C"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5207CCE9"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4.465.980,36</w:t>
            </w:r>
          </w:p>
        </w:tc>
      </w:tr>
      <w:tr w:rsidR="002A3409" w:rsidRPr="00531895" w14:paraId="1ADA60BE" w14:textId="77777777" w:rsidTr="006B5A62">
        <w:trPr>
          <w:jc w:val="center"/>
        </w:trPr>
        <w:tc>
          <w:tcPr>
            <w:tcW w:w="107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6EDFB724"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N_112</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1781D21F"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Pozo Almonte 220-&gt;Nueva Pozo Almonte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6A66B445"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P_164</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011EA013"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E-CL</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0EEFA6B0"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4.121.509,93</w:t>
            </w:r>
          </w:p>
        </w:tc>
      </w:tr>
      <w:tr w:rsidR="002A3409" w:rsidRPr="00531895" w14:paraId="259B3073" w14:textId="77777777" w:rsidTr="006B5A62">
        <w:trPr>
          <w:jc w:val="center"/>
        </w:trPr>
        <w:tc>
          <w:tcPr>
            <w:tcW w:w="107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46BE1DD8"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N_116</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068BCE3D"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Punta Sierra 220-&gt;La Cebada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3C739F1A"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3AAB70FA"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5E19FA10"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1.191.700,22</w:t>
            </w:r>
          </w:p>
        </w:tc>
      </w:tr>
      <w:tr w:rsidR="002A3409" w:rsidRPr="00531895" w14:paraId="3062F10A" w14:textId="77777777" w:rsidTr="006B5A62">
        <w:trPr>
          <w:jc w:val="center"/>
        </w:trPr>
        <w:tc>
          <w:tcPr>
            <w:tcW w:w="107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4D9E7030"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N_117</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5242B50F"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Punta Sierra 220-&gt;Las Palmas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6428CF32"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0CA1ADB3"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31915B29"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1.191.700,22</w:t>
            </w:r>
          </w:p>
        </w:tc>
      </w:tr>
      <w:tr w:rsidR="002A3409" w:rsidRPr="00531895" w14:paraId="2F48A473" w14:textId="77777777" w:rsidTr="006B5A62">
        <w:trPr>
          <w:jc w:val="center"/>
        </w:trPr>
        <w:tc>
          <w:tcPr>
            <w:tcW w:w="107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5EC5C880"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N_118</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64A9B55B"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Quillota 220-&gt;Polpaico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5D9F629C"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4696F2DB"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27EFA2E3"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5.403.268,72</w:t>
            </w:r>
          </w:p>
        </w:tc>
      </w:tr>
      <w:tr w:rsidR="002A3409" w:rsidRPr="00531895" w14:paraId="5FB77EEE" w14:textId="77777777" w:rsidTr="006B5A62">
        <w:trPr>
          <w:jc w:val="center"/>
        </w:trPr>
        <w:tc>
          <w:tcPr>
            <w:tcW w:w="107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10D99C48"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N_121</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074D3B18"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Rahue 220-&gt;Nueva Pichirropulli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38E0BF64"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211B3799"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2C309B03"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1.170.327,67</w:t>
            </w:r>
          </w:p>
        </w:tc>
      </w:tr>
      <w:tr w:rsidR="002A3409" w:rsidRPr="00531895" w14:paraId="4DBA26B6" w14:textId="77777777" w:rsidTr="006B5A62">
        <w:trPr>
          <w:jc w:val="center"/>
        </w:trPr>
        <w:tc>
          <w:tcPr>
            <w:tcW w:w="107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1D8D5D2F"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N_123</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533C9D0E"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Rio Tolten 220-&gt;Lastarria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5761F8C7"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6491CA33"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4806F38C"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1.513.544,24</w:t>
            </w:r>
          </w:p>
        </w:tc>
      </w:tr>
      <w:tr w:rsidR="002A3409" w:rsidRPr="00531895" w14:paraId="2E6A836F" w14:textId="77777777" w:rsidTr="006B5A62">
        <w:trPr>
          <w:jc w:val="center"/>
        </w:trPr>
        <w:tc>
          <w:tcPr>
            <w:tcW w:w="107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796C00AF"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N_124</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3F634158"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Rio Tolten 220-&gt;Metrenco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5DCEABE7"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5CA59C13"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586178F7"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1.502.840,04</w:t>
            </w:r>
          </w:p>
        </w:tc>
      </w:tr>
      <w:tr w:rsidR="002A3409" w:rsidRPr="00531895" w14:paraId="12980015" w14:textId="77777777" w:rsidTr="006B5A62">
        <w:trPr>
          <w:jc w:val="center"/>
        </w:trPr>
        <w:tc>
          <w:tcPr>
            <w:tcW w:w="107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4740FBC9"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N_125</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23082C48"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S. San Andres 220-&gt;Cardones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0B978CF8"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5007AC28"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51645EDC"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658.616,80</w:t>
            </w:r>
          </w:p>
        </w:tc>
      </w:tr>
      <w:tr w:rsidR="002A3409" w:rsidRPr="00531895" w14:paraId="7046FB81" w14:textId="77777777" w:rsidTr="006B5A62">
        <w:trPr>
          <w:jc w:val="center"/>
        </w:trPr>
        <w:tc>
          <w:tcPr>
            <w:tcW w:w="107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6C47D727"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N_126</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1B15F5D8"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Salar 220-&gt;Calama Nueva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348530EB"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P_120</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74B26BDA"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TRANSEMEL</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7BE08B25"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574.506,91</w:t>
            </w:r>
          </w:p>
        </w:tc>
      </w:tr>
      <w:tr w:rsidR="002A3409" w:rsidRPr="00531895" w14:paraId="1315EDA4" w14:textId="77777777" w:rsidTr="006B5A62">
        <w:trPr>
          <w:jc w:val="center"/>
        </w:trPr>
        <w:tc>
          <w:tcPr>
            <w:tcW w:w="107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6E2B87CF"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N_127</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17060B76"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Salar 220-&gt;Chuquicamata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5DF259B3"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P_133</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35680BD5"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CODELCO NORTE</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739AC21E"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142,03</w:t>
            </w:r>
          </w:p>
        </w:tc>
      </w:tr>
      <w:tr w:rsidR="002A3409" w:rsidRPr="00531895" w14:paraId="64C1EDE9" w14:textId="77777777" w:rsidTr="006B5A62">
        <w:trPr>
          <w:jc w:val="center"/>
        </w:trPr>
        <w:tc>
          <w:tcPr>
            <w:tcW w:w="107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4B4A5FE7"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N_127</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7F4E0B03"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Salar 220-&gt;Chuquicamata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70097A15"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P_164</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369D6B8B"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E-CL</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50338D56"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4.189.305,08</w:t>
            </w:r>
          </w:p>
        </w:tc>
      </w:tr>
      <w:tr w:rsidR="002A3409" w:rsidRPr="00531895" w14:paraId="47C84F76" w14:textId="77777777" w:rsidTr="006B5A62">
        <w:trPr>
          <w:jc w:val="center"/>
        </w:trPr>
        <w:tc>
          <w:tcPr>
            <w:tcW w:w="107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7ED10365"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N_128</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337C2E48"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Salar 220-&gt;Nueva Chuquicamata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3E084BE9"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P_164</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5F54F59F"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E-CL</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595FB5A5"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4.189.305,08</w:t>
            </w:r>
          </w:p>
        </w:tc>
      </w:tr>
      <w:tr w:rsidR="002A3409" w:rsidRPr="00531895" w14:paraId="3C6C84D0" w14:textId="77777777" w:rsidTr="006B5A62">
        <w:trPr>
          <w:jc w:val="center"/>
        </w:trPr>
        <w:tc>
          <w:tcPr>
            <w:tcW w:w="107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6A9D3782"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N_129</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2C6767AB"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San Luis 220-&gt;Agua Santa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1600E51D"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P_113</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3B6242C8"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CHILQUINTA ENERGÍA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43A8C3CE"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11.370.792,04</w:t>
            </w:r>
          </w:p>
        </w:tc>
      </w:tr>
      <w:tr w:rsidR="002A3409" w:rsidRPr="00531895" w14:paraId="1149C9BF" w14:textId="77777777" w:rsidTr="006B5A62">
        <w:trPr>
          <w:jc w:val="center"/>
        </w:trPr>
        <w:tc>
          <w:tcPr>
            <w:tcW w:w="107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2A2FE446"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N_130</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0A551A90"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San Simon 220-&gt;Nueva Victoria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7DE8C493"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65CA396E"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1A0A1EBC"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217.291,77</w:t>
            </w:r>
          </w:p>
        </w:tc>
      </w:tr>
      <w:tr w:rsidR="002A3409" w:rsidRPr="00531895" w14:paraId="4FE200D8" w14:textId="77777777" w:rsidTr="006B5A62">
        <w:trPr>
          <w:jc w:val="center"/>
        </w:trPr>
        <w:tc>
          <w:tcPr>
            <w:tcW w:w="107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56CD67BF"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N_131</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2111EF8B"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San Simon 220-&gt;Quillagua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481F6337"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772E05E6"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3BA54F5A"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559.930,87</w:t>
            </w:r>
          </w:p>
        </w:tc>
      </w:tr>
      <w:tr w:rsidR="002A3409" w:rsidRPr="00531895" w14:paraId="7B6B34B4" w14:textId="77777777" w:rsidTr="006B5A62">
        <w:trPr>
          <w:jc w:val="center"/>
        </w:trPr>
        <w:tc>
          <w:tcPr>
            <w:tcW w:w="107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2C472D72"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N_132</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41A73320"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Tap El Manzano 220-&gt;Tap Chicureo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46611BC1"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P_111</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16729FBF"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ENEL DISTRIBUCION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466713B1"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4.030.433,38</w:t>
            </w:r>
          </w:p>
        </w:tc>
      </w:tr>
      <w:tr w:rsidR="002A3409" w:rsidRPr="00531895" w14:paraId="42DD94C4" w14:textId="77777777" w:rsidTr="006B5A62">
        <w:trPr>
          <w:jc w:val="center"/>
        </w:trPr>
        <w:tc>
          <w:tcPr>
            <w:tcW w:w="107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5AD1E190"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N_134</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40C73B09" w14:textId="77777777" w:rsidR="002A3409" w:rsidRPr="00457601" w:rsidRDefault="002A3409" w:rsidP="006B5A62">
            <w:pPr>
              <w:spacing w:before="20" w:after="20" w:line="240" w:lineRule="auto"/>
              <w:jc w:val="left"/>
              <w:rPr>
                <w:rFonts w:asciiTheme="minorHAnsi" w:eastAsia="Times New Roman" w:hAnsiTheme="minorHAnsi" w:cstheme="minorHAnsi"/>
                <w:color w:val="000000"/>
                <w:sz w:val="20"/>
                <w:szCs w:val="20"/>
                <w:lang w:val="en-US" w:eastAsia="es-ES"/>
              </w:rPr>
            </w:pPr>
            <w:r w:rsidRPr="003D2D23">
              <w:rPr>
                <w:rFonts w:cs="Calibri"/>
                <w:color w:val="000000"/>
                <w:sz w:val="20"/>
                <w:szCs w:val="20"/>
                <w:lang w:val="en-US"/>
              </w:rPr>
              <w:t>Tap Off Santa Isabel 220-&gt;Itahue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3630AD6C"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0479EA52"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541EF659"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910.257,10</w:t>
            </w:r>
          </w:p>
        </w:tc>
      </w:tr>
      <w:tr w:rsidR="002A3409" w:rsidRPr="00531895" w14:paraId="72F7B822" w14:textId="77777777" w:rsidTr="006B5A62">
        <w:trPr>
          <w:jc w:val="center"/>
        </w:trPr>
        <w:tc>
          <w:tcPr>
            <w:tcW w:w="107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49A0F446"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N_136</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3EC80FCD"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Tarapaca 220-&gt;Condores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1C12F44E"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1E331D18"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29EFE382"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960.280,30</w:t>
            </w:r>
          </w:p>
        </w:tc>
      </w:tr>
      <w:tr w:rsidR="002A3409" w:rsidRPr="00531895" w14:paraId="69191CD1" w14:textId="77777777" w:rsidTr="006B5A62">
        <w:trPr>
          <w:jc w:val="center"/>
        </w:trPr>
        <w:tc>
          <w:tcPr>
            <w:tcW w:w="107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245FDC40"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N_137</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0C914C4F"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Tarapaca 220-&gt;Lagunas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3D2929FF"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6F3CF76C"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10ECD7A2"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708.355,43</w:t>
            </w:r>
          </w:p>
        </w:tc>
      </w:tr>
      <w:tr w:rsidR="002A3409" w:rsidRPr="00531895" w14:paraId="6B11391B" w14:textId="77777777" w:rsidTr="006B5A62">
        <w:trPr>
          <w:jc w:val="center"/>
        </w:trPr>
        <w:tc>
          <w:tcPr>
            <w:tcW w:w="107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03737C42"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N_138</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0072ACE6"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Temuco 220-&gt;Cautin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4A5F9A84"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50B7A52D"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304891E1"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531.016,84</w:t>
            </w:r>
          </w:p>
        </w:tc>
      </w:tr>
      <w:tr w:rsidR="002A3409" w:rsidRPr="00531895" w14:paraId="03F750AB" w14:textId="77777777" w:rsidTr="006B5A62">
        <w:trPr>
          <w:jc w:val="center"/>
        </w:trPr>
        <w:tc>
          <w:tcPr>
            <w:tcW w:w="1077"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0EC8AEE2"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N_139</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43E9C122"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Temuco 220-&gt;Los Peumos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79A3158E"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007EF17C"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418" w:type="dxa"/>
            <w:tcBorders>
              <w:top w:val="single" w:sz="2" w:space="0" w:color="auto"/>
              <w:left w:val="single" w:sz="6" w:space="0" w:color="auto"/>
              <w:bottom w:val="single" w:sz="2" w:space="0" w:color="auto"/>
              <w:right w:val="single" w:sz="6" w:space="0" w:color="auto"/>
            </w:tcBorders>
            <w:shd w:val="clear" w:color="auto" w:fill="auto"/>
            <w:noWrap/>
            <w:vAlign w:val="bottom"/>
            <w:hideMark/>
          </w:tcPr>
          <w:p w14:paraId="2102D021"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3.668.122,66</w:t>
            </w:r>
          </w:p>
        </w:tc>
      </w:tr>
      <w:tr w:rsidR="002A3409" w:rsidRPr="00531895" w14:paraId="369EAF2D" w14:textId="77777777" w:rsidTr="006B5A62">
        <w:trPr>
          <w:jc w:val="center"/>
        </w:trPr>
        <w:tc>
          <w:tcPr>
            <w:tcW w:w="1077" w:type="dxa"/>
            <w:tcBorders>
              <w:top w:val="single" w:sz="2" w:space="0" w:color="auto"/>
              <w:left w:val="single" w:sz="6" w:space="0" w:color="auto"/>
              <w:bottom w:val="single" w:sz="6" w:space="0" w:color="auto"/>
              <w:right w:val="single" w:sz="6" w:space="0" w:color="auto"/>
            </w:tcBorders>
            <w:shd w:val="clear" w:color="auto" w:fill="auto"/>
            <w:noWrap/>
            <w:vAlign w:val="bottom"/>
            <w:hideMark/>
          </w:tcPr>
          <w:p w14:paraId="41DE6475"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N_140</w:t>
            </w:r>
          </w:p>
        </w:tc>
        <w:tc>
          <w:tcPr>
            <w:tcW w:w="3969" w:type="dxa"/>
            <w:tcBorders>
              <w:top w:val="single" w:sz="2" w:space="0" w:color="auto"/>
              <w:left w:val="single" w:sz="6" w:space="0" w:color="auto"/>
              <w:bottom w:val="single" w:sz="6" w:space="0" w:color="auto"/>
              <w:right w:val="single" w:sz="6" w:space="0" w:color="auto"/>
            </w:tcBorders>
            <w:shd w:val="clear" w:color="auto" w:fill="auto"/>
            <w:noWrap/>
            <w:vAlign w:val="bottom"/>
            <w:hideMark/>
          </w:tcPr>
          <w:p w14:paraId="0BC0C4C5"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Valdivia 220-&gt;Nueva Valdivia 220</w:t>
            </w:r>
          </w:p>
        </w:tc>
        <w:tc>
          <w:tcPr>
            <w:tcW w:w="1134" w:type="dxa"/>
            <w:tcBorders>
              <w:top w:val="single" w:sz="2" w:space="0" w:color="auto"/>
              <w:left w:val="single" w:sz="6" w:space="0" w:color="auto"/>
              <w:bottom w:val="single" w:sz="6" w:space="0" w:color="auto"/>
              <w:right w:val="single" w:sz="6" w:space="0" w:color="auto"/>
            </w:tcBorders>
            <w:shd w:val="clear" w:color="auto" w:fill="auto"/>
            <w:noWrap/>
            <w:vAlign w:val="bottom"/>
            <w:hideMark/>
          </w:tcPr>
          <w:p w14:paraId="7D4976C8" w14:textId="77777777" w:rsidR="002A3409" w:rsidRPr="0053189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154" w:type="dxa"/>
            <w:tcBorders>
              <w:top w:val="single" w:sz="2" w:space="0" w:color="auto"/>
              <w:left w:val="single" w:sz="6" w:space="0" w:color="auto"/>
              <w:bottom w:val="single" w:sz="6" w:space="0" w:color="auto"/>
              <w:right w:val="single" w:sz="6" w:space="0" w:color="auto"/>
            </w:tcBorders>
            <w:shd w:val="clear" w:color="auto" w:fill="auto"/>
            <w:noWrap/>
            <w:vAlign w:val="bottom"/>
            <w:hideMark/>
          </w:tcPr>
          <w:p w14:paraId="065EBFDC" w14:textId="77777777" w:rsidR="002A3409" w:rsidRPr="0053189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418" w:type="dxa"/>
            <w:tcBorders>
              <w:top w:val="single" w:sz="2" w:space="0" w:color="auto"/>
              <w:left w:val="single" w:sz="6" w:space="0" w:color="auto"/>
              <w:bottom w:val="single" w:sz="6" w:space="0" w:color="auto"/>
              <w:right w:val="single" w:sz="6" w:space="0" w:color="auto"/>
            </w:tcBorders>
            <w:shd w:val="clear" w:color="auto" w:fill="auto"/>
            <w:noWrap/>
            <w:vAlign w:val="bottom"/>
            <w:hideMark/>
          </w:tcPr>
          <w:p w14:paraId="7BF30F4B"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1.157.628,90</w:t>
            </w:r>
          </w:p>
        </w:tc>
      </w:tr>
      <w:tr w:rsidR="002A3409" w:rsidRPr="00531895" w14:paraId="7C2619FD" w14:textId="77777777" w:rsidTr="006B5A62">
        <w:trPr>
          <w:jc w:val="center"/>
        </w:trPr>
        <w:tc>
          <w:tcPr>
            <w:tcW w:w="1077" w:type="dxa"/>
            <w:tcBorders>
              <w:top w:val="single" w:sz="6" w:space="0" w:color="auto"/>
              <w:left w:val="nil"/>
              <w:bottom w:val="nil"/>
              <w:right w:val="nil"/>
            </w:tcBorders>
            <w:shd w:val="clear" w:color="auto" w:fill="auto"/>
            <w:noWrap/>
            <w:vAlign w:val="center"/>
            <w:hideMark/>
          </w:tcPr>
          <w:p w14:paraId="00B31FA7" w14:textId="77777777" w:rsidR="002A3409" w:rsidRPr="0053189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p>
        </w:tc>
        <w:tc>
          <w:tcPr>
            <w:tcW w:w="3969" w:type="dxa"/>
            <w:tcBorders>
              <w:top w:val="single" w:sz="6" w:space="0" w:color="auto"/>
              <w:left w:val="nil"/>
              <w:bottom w:val="nil"/>
              <w:right w:val="nil"/>
            </w:tcBorders>
            <w:shd w:val="clear" w:color="auto" w:fill="auto"/>
            <w:noWrap/>
            <w:vAlign w:val="center"/>
            <w:hideMark/>
          </w:tcPr>
          <w:p w14:paraId="72D1F606" w14:textId="77777777" w:rsidR="002A3409" w:rsidRPr="00531895" w:rsidRDefault="002A3409" w:rsidP="006B5A62">
            <w:pPr>
              <w:spacing w:before="20" w:after="20" w:line="240" w:lineRule="auto"/>
              <w:jc w:val="center"/>
              <w:rPr>
                <w:rFonts w:asciiTheme="minorHAnsi" w:eastAsia="Times New Roman" w:hAnsiTheme="minorHAnsi" w:cstheme="minorHAnsi"/>
                <w:sz w:val="20"/>
                <w:szCs w:val="20"/>
                <w:lang w:val="es-ES" w:eastAsia="es-ES"/>
              </w:rPr>
            </w:pPr>
          </w:p>
        </w:tc>
        <w:tc>
          <w:tcPr>
            <w:tcW w:w="1134" w:type="dxa"/>
            <w:tcBorders>
              <w:top w:val="single" w:sz="6" w:space="0" w:color="auto"/>
              <w:left w:val="nil"/>
              <w:bottom w:val="nil"/>
              <w:right w:val="single" w:sz="6" w:space="0" w:color="auto"/>
            </w:tcBorders>
            <w:shd w:val="clear" w:color="auto" w:fill="auto"/>
            <w:noWrap/>
            <w:vAlign w:val="center"/>
            <w:hideMark/>
          </w:tcPr>
          <w:p w14:paraId="7BD83266" w14:textId="77777777" w:rsidR="002A3409" w:rsidRPr="00531895" w:rsidRDefault="002A3409" w:rsidP="006B5A62">
            <w:pPr>
              <w:spacing w:before="20" w:after="20" w:line="240" w:lineRule="auto"/>
              <w:jc w:val="left"/>
              <w:rPr>
                <w:rFonts w:asciiTheme="minorHAnsi" w:eastAsia="Times New Roman" w:hAnsiTheme="minorHAnsi" w:cstheme="minorHAnsi"/>
                <w:sz w:val="20"/>
                <w:szCs w:val="20"/>
                <w:lang w:val="es-ES" w:eastAsia="es-ES"/>
              </w:rPr>
            </w:pPr>
          </w:p>
        </w:tc>
        <w:tc>
          <w:tcPr>
            <w:tcW w:w="2154" w:type="dxa"/>
            <w:tcBorders>
              <w:top w:val="single" w:sz="6" w:space="0" w:color="auto"/>
              <w:left w:val="single" w:sz="6" w:space="0" w:color="auto"/>
              <w:bottom w:val="single" w:sz="6" w:space="0" w:color="auto"/>
              <w:right w:val="single" w:sz="6" w:space="0" w:color="auto"/>
            </w:tcBorders>
            <w:shd w:val="clear" w:color="auto" w:fill="auto"/>
            <w:noWrap/>
            <w:vAlign w:val="center"/>
            <w:hideMark/>
          </w:tcPr>
          <w:p w14:paraId="30125FC7" w14:textId="77777777" w:rsidR="002A3409" w:rsidRPr="00531895" w:rsidRDefault="002A3409" w:rsidP="006B5A62">
            <w:pPr>
              <w:spacing w:before="20" w:after="20" w:line="240" w:lineRule="auto"/>
              <w:jc w:val="left"/>
              <w:rPr>
                <w:rFonts w:asciiTheme="minorHAnsi" w:eastAsia="Times New Roman" w:hAnsiTheme="minorHAnsi" w:cstheme="minorHAnsi"/>
                <w:b/>
                <w:bCs/>
                <w:color w:val="000000"/>
                <w:sz w:val="20"/>
                <w:szCs w:val="20"/>
                <w:lang w:val="es-ES" w:eastAsia="es-ES"/>
              </w:rPr>
            </w:pPr>
            <w:r w:rsidRPr="00531895">
              <w:rPr>
                <w:rFonts w:asciiTheme="minorHAnsi" w:eastAsia="Times New Roman" w:hAnsiTheme="minorHAnsi" w:cstheme="minorHAnsi"/>
                <w:b/>
                <w:bCs/>
                <w:color w:val="000000"/>
                <w:sz w:val="20"/>
                <w:szCs w:val="20"/>
                <w:lang w:val="es-ES" w:eastAsia="es-ES"/>
              </w:rPr>
              <w:t>TOTAL</w:t>
            </w:r>
          </w:p>
        </w:tc>
        <w:tc>
          <w:tcPr>
            <w:tcW w:w="1418" w:type="dxa"/>
            <w:tcBorders>
              <w:top w:val="single" w:sz="6" w:space="0" w:color="auto"/>
              <w:left w:val="single" w:sz="6" w:space="0" w:color="auto"/>
              <w:bottom w:val="single" w:sz="6" w:space="0" w:color="auto"/>
              <w:right w:val="single" w:sz="6" w:space="0" w:color="auto"/>
            </w:tcBorders>
            <w:shd w:val="clear" w:color="auto" w:fill="auto"/>
            <w:noWrap/>
            <w:vAlign w:val="center"/>
            <w:hideMark/>
          </w:tcPr>
          <w:p w14:paraId="4BF11E59" w14:textId="77777777" w:rsidR="002A3409" w:rsidRPr="001F33F5" w:rsidRDefault="002A3409" w:rsidP="006B5A62">
            <w:pPr>
              <w:spacing w:before="20" w:after="20" w:line="240" w:lineRule="auto"/>
              <w:jc w:val="right"/>
              <w:rPr>
                <w:rFonts w:asciiTheme="minorHAnsi" w:eastAsia="Times New Roman" w:hAnsiTheme="minorHAnsi" w:cstheme="minorHAnsi"/>
                <w:b/>
                <w:bCs/>
                <w:color w:val="000000"/>
                <w:sz w:val="20"/>
                <w:szCs w:val="20"/>
                <w:lang w:val="es-ES" w:eastAsia="es-ES"/>
              </w:rPr>
            </w:pPr>
            <w:r w:rsidRPr="001F33F5">
              <w:rPr>
                <w:rFonts w:cs="Calibri"/>
                <w:b/>
                <w:color w:val="000000"/>
                <w:sz w:val="20"/>
                <w:szCs w:val="20"/>
              </w:rPr>
              <w:t>296.868.601,13</w:t>
            </w:r>
          </w:p>
        </w:tc>
      </w:tr>
    </w:tbl>
    <w:p w14:paraId="5CC0010F" w14:textId="77777777" w:rsidR="002A3409" w:rsidRDefault="002A3409" w:rsidP="002A3409">
      <w:pPr>
        <w:spacing w:after="0"/>
      </w:pPr>
    </w:p>
    <w:p w14:paraId="4CF589EB" w14:textId="77777777" w:rsidR="002A3409" w:rsidRDefault="002A3409" w:rsidP="002A3409">
      <w:pPr>
        <w:spacing w:after="0"/>
      </w:pPr>
    </w:p>
    <w:p w14:paraId="02B8E4AD" w14:textId="77777777" w:rsidR="002A3409" w:rsidRDefault="002A3409" w:rsidP="002A3409">
      <w:pPr>
        <w:spacing w:after="0"/>
      </w:pPr>
    </w:p>
    <w:p w14:paraId="0A296E55" w14:textId="77777777" w:rsidR="002A3409" w:rsidRDefault="002A3409" w:rsidP="002A3409">
      <w:pPr>
        <w:pStyle w:val="Ttulo4"/>
        <w:keepNext/>
      </w:pPr>
      <w:bookmarkStart w:id="475" w:name="_Toc39795189"/>
      <w:bookmarkStart w:id="476" w:name="_Toc39797869"/>
      <w:r w:rsidRPr="00596F02">
        <w:lastRenderedPageBreak/>
        <w:t>V.I. Estudios de Impacto Ambiental (EIA)</w:t>
      </w:r>
      <w:bookmarkEnd w:id="475"/>
      <w:bookmarkEnd w:id="476"/>
    </w:p>
    <w:p w14:paraId="727A702B" w14:textId="77777777" w:rsidR="002A3409" w:rsidRPr="00E804A2" w:rsidRDefault="002A3409" w:rsidP="002A3409">
      <w:pPr>
        <w:pStyle w:val="Subttulo"/>
      </w:pPr>
      <w:bookmarkStart w:id="477" w:name="_Toc39795277"/>
      <w:bookmarkStart w:id="478" w:name="_Toc39797957"/>
      <w:r w:rsidRPr="00E804A2">
        <w:t xml:space="preserve">Tabla </w:t>
      </w:r>
      <w:fldSimple w:instr=" SEQ Tabla \* ARABIC ">
        <w:r w:rsidR="001F3E2E">
          <w:rPr>
            <w:noProof/>
          </w:rPr>
          <w:t>47</w:t>
        </w:r>
      </w:fldSimple>
      <w:r w:rsidRPr="00E804A2">
        <w:t xml:space="preserve">: Valor de Inversión (V.I.) </w:t>
      </w:r>
      <w:r>
        <w:t>Estudio de Impacto Ambiental</w:t>
      </w:r>
      <w:bookmarkEnd w:id="477"/>
      <w:bookmarkEnd w:id="478"/>
    </w:p>
    <w:tbl>
      <w:tblPr>
        <w:tblW w:w="9921" w:type="dxa"/>
        <w:tblLayout w:type="fixed"/>
        <w:tblCellMar>
          <w:left w:w="57" w:type="dxa"/>
          <w:right w:w="57" w:type="dxa"/>
        </w:tblCellMar>
        <w:tblLook w:val="04A0" w:firstRow="1" w:lastRow="0" w:firstColumn="1" w:lastColumn="0" w:noHBand="0" w:noVBand="1"/>
      </w:tblPr>
      <w:tblGrid>
        <w:gridCol w:w="1134"/>
        <w:gridCol w:w="3798"/>
        <w:gridCol w:w="1134"/>
        <w:gridCol w:w="2154"/>
        <w:gridCol w:w="1701"/>
      </w:tblGrid>
      <w:tr w:rsidR="002A3409" w:rsidRPr="00163C24" w14:paraId="00EF6E85" w14:textId="77777777" w:rsidTr="006B5A62">
        <w:trPr>
          <w:tblHeader/>
        </w:trPr>
        <w:tc>
          <w:tcPr>
            <w:tcW w:w="1134" w:type="dxa"/>
            <w:tcBorders>
              <w:top w:val="single" w:sz="6" w:space="0" w:color="auto"/>
              <w:left w:val="single" w:sz="6" w:space="0" w:color="auto"/>
              <w:bottom w:val="single" w:sz="6" w:space="0" w:color="auto"/>
              <w:right w:val="single" w:sz="6" w:space="0" w:color="auto"/>
            </w:tcBorders>
            <w:shd w:val="clear" w:color="auto" w:fill="D0CECE" w:themeFill="background2" w:themeFillShade="E6"/>
            <w:vAlign w:val="center"/>
            <w:hideMark/>
          </w:tcPr>
          <w:p w14:paraId="5E2E28C8" w14:textId="77777777" w:rsidR="002A3409" w:rsidRPr="00163C24" w:rsidRDefault="002A3409" w:rsidP="006B5A62">
            <w:pPr>
              <w:spacing w:before="20" w:after="20" w:line="240" w:lineRule="auto"/>
              <w:jc w:val="center"/>
              <w:rPr>
                <w:rFonts w:asciiTheme="minorHAnsi" w:eastAsia="Times New Roman" w:hAnsiTheme="minorHAnsi" w:cstheme="minorHAnsi"/>
                <w:b/>
                <w:bCs/>
                <w:color w:val="000000"/>
                <w:sz w:val="20"/>
                <w:szCs w:val="20"/>
                <w:lang w:val="es-ES" w:eastAsia="es-ES"/>
              </w:rPr>
            </w:pPr>
            <w:r w:rsidRPr="00163C24">
              <w:rPr>
                <w:rFonts w:asciiTheme="minorHAnsi" w:eastAsia="Times New Roman" w:hAnsiTheme="minorHAnsi" w:cstheme="minorHAnsi"/>
                <w:b/>
                <w:bCs/>
                <w:color w:val="000000"/>
                <w:sz w:val="20"/>
                <w:szCs w:val="20"/>
                <w:lang w:val="es-ES" w:eastAsia="es-ES"/>
              </w:rPr>
              <w:t>Id Calificacion Código</w:t>
            </w:r>
          </w:p>
        </w:tc>
        <w:tc>
          <w:tcPr>
            <w:tcW w:w="3798" w:type="dxa"/>
            <w:tcBorders>
              <w:top w:val="single" w:sz="6" w:space="0" w:color="auto"/>
              <w:left w:val="single" w:sz="6" w:space="0" w:color="auto"/>
              <w:bottom w:val="single" w:sz="6" w:space="0" w:color="auto"/>
              <w:right w:val="single" w:sz="6" w:space="0" w:color="auto"/>
            </w:tcBorders>
            <w:shd w:val="clear" w:color="auto" w:fill="D0CECE" w:themeFill="background2" w:themeFillShade="E6"/>
            <w:vAlign w:val="center"/>
            <w:hideMark/>
          </w:tcPr>
          <w:p w14:paraId="2BDF6549" w14:textId="77777777" w:rsidR="002A3409" w:rsidRPr="00163C24" w:rsidRDefault="002A3409" w:rsidP="006B5A62">
            <w:pPr>
              <w:spacing w:before="20" w:after="20" w:line="240" w:lineRule="auto"/>
              <w:jc w:val="center"/>
              <w:rPr>
                <w:rFonts w:asciiTheme="minorHAnsi" w:eastAsia="Times New Roman" w:hAnsiTheme="minorHAnsi" w:cstheme="minorHAnsi"/>
                <w:b/>
                <w:bCs/>
                <w:color w:val="000000"/>
                <w:sz w:val="20"/>
                <w:szCs w:val="20"/>
                <w:lang w:val="es-ES" w:eastAsia="es-ES"/>
              </w:rPr>
            </w:pPr>
            <w:r w:rsidRPr="00163C24">
              <w:rPr>
                <w:rFonts w:asciiTheme="minorHAnsi" w:eastAsia="Times New Roman" w:hAnsiTheme="minorHAnsi" w:cstheme="minorHAnsi"/>
                <w:b/>
                <w:bCs/>
                <w:color w:val="000000"/>
                <w:sz w:val="20"/>
                <w:szCs w:val="20"/>
                <w:lang w:val="es-ES" w:eastAsia="es-ES"/>
              </w:rPr>
              <w:t>Nombre</w:t>
            </w:r>
          </w:p>
        </w:tc>
        <w:tc>
          <w:tcPr>
            <w:tcW w:w="1134" w:type="dxa"/>
            <w:tcBorders>
              <w:top w:val="single" w:sz="6" w:space="0" w:color="auto"/>
              <w:left w:val="single" w:sz="6" w:space="0" w:color="auto"/>
              <w:bottom w:val="single" w:sz="6" w:space="0" w:color="auto"/>
              <w:right w:val="single" w:sz="6" w:space="0" w:color="auto"/>
            </w:tcBorders>
            <w:shd w:val="clear" w:color="auto" w:fill="D0CECE" w:themeFill="background2" w:themeFillShade="E6"/>
            <w:vAlign w:val="center"/>
            <w:hideMark/>
          </w:tcPr>
          <w:p w14:paraId="343D7930" w14:textId="77777777" w:rsidR="002A3409" w:rsidRPr="00163C24" w:rsidRDefault="002A3409" w:rsidP="006B5A62">
            <w:pPr>
              <w:spacing w:before="20" w:after="20" w:line="240" w:lineRule="auto"/>
              <w:jc w:val="center"/>
              <w:rPr>
                <w:rFonts w:asciiTheme="minorHAnsi" w:eastAsia="Times New Roman" w:hAnsiTheme="minorHAnsi" w:cstheme="minorHAnsi"/>
                <w:b/>
                <w:bCs/>
                <w:color w:val="000000"/>
                <w:sz w:val="20"/>
                <w:szCs w:val="20"/>
                <w:lang w:val="es-ES" w:eastAsia="es-ES"/>
              </w:rPr>
            </w:pPr>
            <w:r w:rsidRPr="00163C24">
              <w:rPr>
                <w:rFonts w:asciiTheme="minorHAnsi" w:eastAsia="Times New Roman" w:hAnsiTheme="minorHAnsi" w:cstheme="minorHAnsi"/>
                <w:b/>
                <w:bCs/>
                <w:color w:val="000000"/>
                <w:sz w:val="20"/>
                <w:szCs w:val="20"/>
                <w:lang w:val="es-ES" w:eastAsia="es-ES"/>
              </w:rPr>
              <w:t>IdEmpresa Propietaria</w:t>
            </w:r>
          </w:p>
        </w:tc>
        <w:tc>
          <w:tcPr>
            <w:tcW w:w="2154" w:type="dxa"/>
            <w:tcBorders>
              <w:top w:val="single" w:sz="6" w:space="0" w:color="auto"/>
              <w:left w:val="single" w:sz="6" w:space="0" w:color="auto"/>
              <w:bottom w:val="single" w:sz="6" w:space="0" w:color="auto"/>
              <w:right w:val="single" w:sz="6" w:space="0" w:color="auto"/>
            </w:tcBorders>
            <w:shd w:val="clear" w:color="auto" w:fill="D0CECE" w:themeFill="background2" w:themeFillShade="E6"/>
            <w:noWrap/>
            <w:vAlign w:val="center"/>
            <w:hideMark/>
          </w:tcPr>
          <w:p w14:paraId="355EEDD8" w14:textId="77777777" w:rsidR="002A3409" w:rsidRPr="00163C24" w:rsidRDefault="002A3409" w:rsidP="006B5A62">
            <w:pPr>
              <w:spacing w:before="20" w:after="20" w:line="240" w:lineRule="auto"/>
              <w:jc w:val="center"/>
              <w:rPr>
                <w:rFonts w:asciiTheme="minorHAnsi" w:eastAsia="Times New Roman" w:hAnsiTheme="minorHAnsi" w:cstheme="minorHAnsi"/>
                <w:b/>
                <w:bCs/>
                <w:color w:val="000000"/>
                <w:sz w:val="20"/>
                <w:szCs w:val="20"/>
                <w:lang w:val="es-ES" w:eastAsia="es-ES"/>
              </w:rPr>
            </w:pPr>
            <w:r w:rsidRPr="00163C24">
              <w:rPr>
                <w:rFonts w:asciiTheme="minorHAnsi" w:eastAsia="Times New Roman" w:hAnsiTheme="minorHAnsi" w:cstheme="minorHAnsi"/>
                <w:b/>
                <w:bCs/>
                <w:color w:val="000000"/>
                <w:sz w:val="20"/>
                <w:szCs w:val="20"/>
                <w:lang w:val="es-ES" w:eastAsia="es-ES"/>
              </w:rPr>
              <w:t>EmpresaPropietaria</w:t>
            </w:r>
          </w:p>
        </w:tc>
        <w:tc>
          <w:tcPr>
            <w:tcW w:w="1701" w:type="dxa"/>
            <w:tcBorders>
              <w:top w:val="single" w:sz="6" w:space="0" w:color="auto"/>
              <w:left w:val="single" w:sz="6" w:space="0" w:color="auto"/>
              <w:bottom w:val="single" w:sz="6" w:space="0" w:color="auto"/>
              <w:right w:val="single" w:sz="6" w:space="0" w:color="auto"/>
            </w:tcBorders>
            <w:shd w:val="clear" w:color="auto" w:fill="D0CECE" w:themeFill="background2" w:themeFillShade="E6"/>
            <w:noWrap/>
            <w:vAlign w:val="center"/>
            <w:hideMark/>
          </w:tcPr>
          <w:p w14:paraId="15D75548" w14:textId="77777777" w:rsidR="002A3409" w:rsidRPr="00163C24" w:rsidRDefault="002A3409" w:rsidP="006B5A62">
            <w:pPr>
              <w:spacing w:before="20" w:after="20" w:line="240" w:lineRule="auto"/>
              <w:jc w:val="center"/>
              <w:rPr>
                <w:rFonts w:asciiTheme="minorHAnsi" w:eastAsia="Times New Roman" w:hAnsiTheme="minorHAnsi" w:cstheme="minorHAnsi"/>
                <w:b/>
                <w:bCs/>
                <w:color w:val="000000"/>
                <w:sz w:val="20"/>
                <w:szCs w:val="20"/>
                <w:lang w:val="es-ES" w:eastAsia="es-ES"/>
              </w:rPr>
            </w:pPr>
            <w:r w:rsidRPr="00163C24">
              <w:rPr>
                <w:rFonts w:asciiTheme="minorHAnsi" w:eastAsia="Times New Roman" w:hAnsiTheme="minorHAnsi" w:cstheme="minorHAnsi"/>
                <w:b/>
                <w:bCs/>
                <w:color w:val="000000"/>
                <w:sz w:val="20"/>
                <w:szCs w:val="20"/>
                <w:lang w:val="es-ES" w:eastAsia="es-ES"/>
              </w:rPr>
              <w:t>VI EIA (USD)</w:t>
            </w:r>
          </w:p>
        </w:tc>
      </w:tr>
      <w:tr w:rsidR="002A3409" w:rsidRPr="00163C24" w14:paraId="680BF5D5" w14:textId="77777777" w:rsidTr="006B5A62">
        <w:tc>
          <w:tcPr>
            <w:tcW w:w="1134" w:type="dxa"/>
            <w:tcBorders>
              <w:top w:val="single" w:sz="6" w:space="0" w:color="auto"/>
              <w:left w:val="single" w:sz="6" w:space="0" w:color="auto"/>
              <w:bottom w:val="single" w:sz="2" w:space="0" w:color="auto"/>
              <w:right w:val="single" w:sz="6" w:space="0" w:color="auto"/>
            </w:tcBorders>
            <w:shd w:val="clear" w:color="auto" w:fill="auto"/>
            <w:noWrap/>
            <w:vAlign w:val="center"/>
            <w:hideMark/>
          </w:tcPr>
          <w:p w14:paraId="7C6FA31A" w14:textId="77777777" w:rsidR="002A3409" w:rsidRPr="00163C2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SE-N_1</w:t>
            </w:r>
          </w:p>
        </w:tc>
        <w:tc>
          <w:tcPr>
            <w:tcW w:w="3798" w:type="dxa"/>
            <w:tcBorders>
              <w:top w:val="single" w:sz="6" w:space="0" w:color="auto"/>
              <w:left w:val="single" w:sz="6" w:space="0" w:color="auto"/>
              <w:bottom w:val="single" w:sz="2" w:space="0" w:color="auto"/>
              <w:right w:val="single" w:sz="6" w:space="0" w:color="auto"/>
            </w:tcBorders>
            <w:shd w:val="clear" w:color="auto" w:fill="auto"/>
            <w:noWrap/>
            <w:vAlign w:val="center"/>
            <w:hideMark/>
          </w:tcPr>
          <w:p w14:paraId="61D124E4" w14:textId="77777777" w:rsidR="002A3409" w:rsidRPr="00163C2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ALTO JAHUEL</w:t>
            </w:r>
          </w:p>
        </w:tc>
        <w:tc>
          <w:tcPr>
            <w:tcW w:w="1134" w:type="dxa"/>
            <w:tcBorders>
              <w:top w:val="single" w:sz="6" w:space="0" w:color="auto"/>
              <w:left w:val="single" w:sz="6" w:space="0" w:color="auto"/>
              <w:bottom w:val="single" w:sz="2" w:space="0" w:color="auto"/>
              <w:right w:val="single" w:sz="6" w:space="0" w:color="auto"/>
            </w:tcBorders>
            <w:shd w:val="clear" w:color="auto" w:fill="auto"/>
            <w:noWrap/>
            <w:vAlign w:val="center"/>
            <w:hideMark/>
          </w:tcPr>
          <w:p w14:paraId="2F811B37" w14:textId="77777777" w:rsidR="002A3409" w:rsidRPr="00163C2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154" w:type="dxa"/>
            <w:tcBorders>
              <w:top w:val="single" w:sz="6" w:space="0" w:color="auto"/>
              <w:left w:val="single" w:sz="6" w:space="0" w:color="auto"/>
              <w:bottom w:val="single" w:sz="2" w:space="0" w:color="auto"/>
              <w:right w:val="single" w:sz="6" w:space="0" w:color="auto"/>
            </w:tcBorders>
            <w:shd w:val="clear" w:color="auto" w:fill="auto"/>
            <w:noWrap/>
            <w:vAlign w:val="center"/>
            <w:hideMark/>
          </w:tcPr>
          <w:p w14:paraId="06FDE566" w14:textId="77777777" w:rsidR="002A3409" w:rsidRPr="00163C2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701" w:type="dxa"/>
            <w:tcBorders>
              <w:top w:val="single" w:sz="6" w:space="0" w:color="auto"/>
              <w:left w:val="single" w:sz="6" w:space="0" w:color="auto"/>
              <w:bottom w:val="single" w:sz="2" w:space="0" w:color="auto"/>
              <w:right w:val="single" w:sz="6" w:space="0" w:color="auto"/>
            </w:tcBorders>
            <w:shd w:val="clear" w:color="auto" w:fill="auto"/>
            <w:noWrap/>
            <w:vAlign w:val="center"/>
            <w:hideMark/>
          </w:tcPr>
          <w:p w14:paraId="55563A6B"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666.883,66</w:t>
            </w:r>
          </w:p>
        </w:tc>
      </w:tr>
      <w:tr w:rsidR="002A3409" w:rsidRPr="00163C24" w14:paraId="5ADD7A3A" w14:textId="77777777" w:rsidTr="006B5A62">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DE2D9DA" w14:textId="77777777" w:rsidR="002A3409" w:rsidRPr="00163C2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SE-N_2</w:t>
            </w:r>
          </w:p>
        </w:tc>
        <w:tc>
          <w:tcPr>
            <w:tcW w:w="379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2CC4221" w14:textId="77777777" w:rsidR="002A3409" w:rsidRPr="00163C2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ANCOA</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111E633" w14:textId="77777777" w:rsidR="002A3409" w:rsidRPr="00163C2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6B8EFE5" w14:textId="77777777" w:rsidR="002A3409" w:rsidRPr="00163C2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FD7F4F7"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1.446.729,69</w:t>
            </w:r>
          </w:p>
        </w:tc>
      </w:tr>
      <w:tr w:rsidR="002A3409" w:rsidRPr="00163C24" w14:paraId="12F01093" w14:textId="77777777" w:rsidTr="006B5A62">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DA6DC62" w14:textId="77777777" w:rsidR="002A3409" w:rsidRPr="00163C2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SE-N_3</w:t>
            </w:r>
          </w:p>
        </w:tc>
        <w:tc>
          <w:tcPr>
            <w:tcW w:w="379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561893A" w14:textId="77777777" w:rsidR="002A3409" w:rsidRPr="00163C2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ATACAMA</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9DA1FA9" w14:textId="77777777" w:rsidR="002A3409" w:rsidRPr="00163C2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FFD429B" w14:textId="77777777" w:rsidR="002A3409" w:rsidRPr="00163C2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1F0EE3B"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213.202,40</w:t>
            </w:r>
          </w:p>
        </w:tc>
      </w:tr>
      <w:tr w:rsidR="002A3409" w:rsidRPr="00163C24" w14:paraId="19E09591" w14:textId="77777777" w:rsidTr="006B5A62">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EB8814B" w14:textId="77777777" w:rsidR="002A3409" w:rsidRPr="00163C2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SE-N_7</w:t>
            </w:r>
          </w:p>
        </w:tc>
        <w:tc>
          <w:tcPr>
            <w:tcW w:w="379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744D2F8" w14:textId="77777777" w:rsidR="002A3409" w:rsidRPr="00163C2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CARDONES</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65E3AD4" w14:textId="77777777" w:rsidR="002A3409" w:rsidRPr="00163C2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8039C7A" w14:textId="77777777" w:rsidR="002A3409" w:rsidRPr="00163C2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D96B667"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353.832,49</w:t>
            </w:r>
          </w:p>
        </w:tc>
      </w:tr>
      <w:tr w:rsidR="002A3409" w:rsidRPr="00163C24" w14:paraId="2C6AE00E" w14:textId="77777777" w:rsidTr="006B5A62">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7D690CC" w14:textId="77777777" w:rsidR="002A3409" w:rsidRPr="00163C2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SE-N_8</w:t>
            </w:r>
          </w:p>
        </w:tc>
        <w:tc>
          <w:tcPr>
            <w:tcW w:w="379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D7DD9FE" w14:textId="77777777" w:rsidR="002A3409" w:rsidRPr="00163C2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CARRERA PINTO</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020D717" w14:textId="77777777" w:rsidR="002A3409" w:rsidRPr="00163C2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6E863D3" w14:textId="77777777" w:rsidR="002A3409" w:rsidRPr="00163C2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C4A60A7"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111.715,28</w:t>
            </w:r>
          </w:p>
        </w:tc>
      </w:tr>
      <w:tr w:rsidR="002A3409" w:rsidRPr="00163C24" w14:paraId="435375F8" w14:textId="77777777" w:rsidTr="006B5A62">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B223674" w14:textId="77777777" w:rsidR="002A3409" w:rsidRPr="00163C2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SE-N_9</w:t>
            </w:r>
          </w:p>
        </w:tc>
        <w:tc>
          <w:tcPr>
            <w:tcW w:w="379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A8FD0EB" w14:textId="77777777" w:rsidR="002A3409" w:rsidRPr="00163C2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CAUTIN</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A4E7381" w14:textId="77777777" w:rsidR="002A3409" w:rsidRPr="00163C2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EB1F52E" w14:textId="77777777" w:rsidR="002A3409" w:rsidRPr="00163C2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C17ACF8"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383.986,27</w:t>
            </w:r>
          </w:p>
        </w:tc>
      </w:tr>
      <w:tr w:rsidR="002A3409" w:rsidRPr="00163C24" w14:paraId="104FE20C" w14:textId="77777777" w:rsidTr="006B5A62">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3E176B2" w14:textId="77777777" w:rsidR="002A3409" w:rsidRPr="00163C2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SE-N_10</w:t>
            </w:r>
          </w:p>
        </w:tc>
        <w:tc>
          <w:tcPr>
            <w:tcW w:w="379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B936F12" w14:textId="77777777" w:rsidR="002A3409" w:rsidRPr="00163C2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CERRO NAVIA</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218C84D" w14:textId="77777777" w:rsidR="002A3409" w:rsidRPr="00163C2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BC905BF" w14:textId="77777777" w:rsidR="002A3409" w:rsidRPr="00163C2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9EE26B7"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521.072,81</w:t>
            </w:r>
          </w:p>
        </w:tc>
      </w:tr>
      <w:tr w:rsidR="002A3409" w:rsidRPr="00163C24" w14:paraId="0DA46682" w14:textId="77777777" w:rsidTr="006B5A62">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39F963D" w14:textId="77777777" w:rsidR="002A3409" w:rsidRPr="00163C2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SE-N_15</w:t>
            </w:r>
          </w:p>
        </w:tc>
        <w:tc>
          <w:tcPr>
            <w:tcW w:w="379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C537E9E" w14:textId="77777777" w:rsidR="002A3409" w:rsidRPr="00163C2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CIRUELOS</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A2D7926" w14:textId="77777777" w:rsidR="002A3409" w:rsidRPr="00163C2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D8D6320" w14:textId="77777777" w:rsidR="002A3409" w:rsidRPr="00163C2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4207E92"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499.642,33</w:t>
            </w:r>
          </w:p>
        </w:tc>
      </w:tr>
      <w:tr w:rsidR="002A3409" w:rsidRPr="00163C24" w14:paraId="1F89F1F2" w14:textId="77777777" w:rsidTr="006B5A62">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6FD36EE" w14:textId="77777777" w:rsidR="002A3409" w:rsidRPr="00163C2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SE-N_21</w:t>
            </w:r>
          </w:p>
        </w:tc>
        <w:tc>
          <w:tcPr>
            <w:tcW w:w="379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B314105" w14:textId="77777777" w:rsidR="002A3409" w:rsidRPr="00163C2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DIEGO DE ALMAGRO</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B9840B2" w14:textId="77777777" w:rsidR="002A3409" w:rsidRPr="00163C2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AF6CB72" w14:textId="77777777" w:rsidR="002A3409" w:rsidRPr="00163C2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8E7CBFF"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348.872,36</w:t>
            </w:r>
          </w:p>
        </w:tc>
      </w:tr>
      <w:tr w:rsidR="002A3409" w:rsidRPr="00163C24" w14:paraId="6486B235" w14:textId="77777777" w:rsidTr="006B5A62">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A139182" w14:textId="77777777" w:rsidR="002A3409" w:rsidRPr="00163C2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SE-N_24</w:t>
            </w:r>
          </w:p>
        </w:tc>
        <w:tc>
          <w:tcPr>
            <w:tcW w:w="379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BC1CB5F" w14:textId="77777777" w:rsidR="002A3409" w:rsidRPr="00163C2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DUQUECO</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4A3B641" w14:textId="77777777" w:rsidR="002A3409" w:rsidRPr="00163C2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P_083</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793C509" w14:textId="77777777" w:rsidR="002A3409" w:rsidRPr="00163C2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CGE</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AFAD9E9"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30.109,65</w:t>
            </w:r>
          </w:p>
        </w:tc>
      </w:tr>
      <w:tr w:rsidR="002A3409" w:rsidRPr="00163C24" w14:paraId="0FD87854" w14:textId="77777777" w:rsidTr="006B5A62">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E6F910B" w14:textId="77777777" w:rsidR="002A3409" w:rsidRPr="00163C2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SE-N_40</w:t>
            </w:r>
          </w:p>
        </w:tc>
        <w:tc>
          <w:tcPr>
            <w:tcW w:w="379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91C1B27" w14:textId="77777777" w:rsidR="002A3409" w:rsidRPr="00163C2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LOS VILOS</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64A7DF0" w14:textId="77777777" w:rsidR="002A3409" w:rsidRPr="00163C2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2CE20B3" w14:textId="77777777" w:rsidR="002A3409" w:rsidRPr="00163C2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8C95BED"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78.594,88</w:t>
            </w:r>
          </w:p>
        </w:tc>
      </w:tr>
      <w:tr w:rsidR="002A3409" w:rsidRPr="00163C24" w14:paraId="02D23BD4" w14:textId="77777777" w:rsidTr="006B5A62">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E8CF133" w14:textId="77777777" w:rsidR="002A3409" w:rsidRPr="00163C2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SE-N_45</w:t>
            </w:r>
          </w:p>
        </w:tc>
        <w:tc>
          <w:tcPr>
            <w:tcW w:w="379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00E24B2" w14:textId="77777777" w:rsidR="002A3409" w:rsidRPr="00163C2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MIRAJE</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9A27B2F" w14:textId="77777777" w:rsidR="002A3409" w:rsidRPr="00163C2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95C8E99" w14:textId="77777777" w:rsidR="002A3409" w:rsidRPr="00163C2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ED7407F"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102.727,15</w:t>
            </w:r>
          </w:p>
        </w:tc>
      </w:tr>
      <w:tr w:rsidR="002A3409" w:rsidRPr="00163C24" w14:paraId="60509D32" w14:textId="77777777" w:rsidTr="006B5A62">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64DF8E0" w14:textId="77777777" w:rsidR="002A3409" w:rsidRPr="00163C2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SE-N_47</w:t>
            </w:r>
          </w:p>
        </w:tc>
        <w:tc>
          <w:tcPr>
            <w:tcW w:w="379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8518073" w14:textId="77777777" w:rsidR="002A3409" w:rsidRPr="00163C2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NEPTUNO</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9B96271" w14:textId="77777777" w:rsidR="002A3409" w:rsidRPr="00163C2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8025867" w14:textId="77777777" w:rsidR="002A3409" w:rsidRPr="00163C2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D06289B"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12.132,34</w:t>
            </w:r>
          </w:p>
        </w:tc>
      </w:tr>
      <w:tr w:rsidR="002A3409" w:rsidRPr="00163C24" w14:paraId="3571AA1F" w14:textId="77777777" w:rsidTr="006B5A62">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FAB6DAB" w14:textId="77777777" w:rsidR="002A3409" w:rsidRPr="00163C2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SE-N_48</w:t>
            </w:r>
          </w:p>
        </w:tc>
        <w:tc>
          <w:tcPr>
            <w:tcW w:w="379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E9AFF2E" w14:textId="77777777" w:rsidR="002A3409" w:rsidRPr="00163C2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NOGALES</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B3C5B2E" w14:textId="77777777" w:rsidR="002A3409" w:rsidRPr="00163C2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582DAE3" w14:textId="77777777" w:rsidR="002A3409" w:rsidRPr="00163C2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81414DF"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65.620,79</w:t>
            </w:r>
          </w:p>
        </w:tc>
      </w:tr>
      <w:tr w:rsidR="002A3409" w:rsidRPr="00163C24" w14:paraId="34C00D05" w14:textId="77777777" w:rsidTr="006B5A62">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4982B85" w14:textId="77777777" w:rsidR="002A3409" w:rsidRPr="00163C2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SE-N_56</w:t>
            </w:r>
          </w:p>
        </w:tc>
        <w:tc>
          <w:tcPr>
            <w:tcW w:w="379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CCA795D" w14:textId="77777777" w:rsidR="002A3409" w:rsidRPr="00163C2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POLPAICO</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E9EBBC7" w14:textId="77777777" w:rsidR="002A3409" w:rsidRPr="00163C2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A9696B5" w14:textId="77777777" w:rsidR="002A3409" w:rsidRPr="00163C2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E20A0A8"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1.074.510,35</w:t>
            </w:r>
          </w:p>
        </w:tc>
      </w:tr>
      <w:tr w:rsidR="002A3409" w:rsidRPr="00163C24" w14:paraId="79100EBB" w14:textId="77777777" w:rsidTr="006B5A62">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6C0574D" w14:textId="77777777" w:rsidR="002A3409" w:rsidRPr="00163C2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SE-N_65</w:t>
            </w:r>
          </w:p>
        </w:tc>
        <w:tc>
          <w:tcPr>
            <w:tcW w:w="379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BE200AF" w14:textId="77777777" w:rsidR="002A3409" w:rsidRPr="00163C2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RAHUE</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8412001" w14:textId="77777777" w:rsidR="002A3409" w:rsidRPr="00163C2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5758574" w14:textId="77777777" w:rsidR="002A3409" w:rsidRPr="00163C2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88D8ABB"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269.082,64</w:t>
            </w:r>
          </w:p>
        </w:tc>
      </w:tr>
      <w:tr w:rsidR="002A3409" w:rsidRPr="00163C24" w14:paraId="58EB80C4" w14:textId="77777777" w:rsidTr="006B5A62">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812243A" w14:textId="77777777" w:rsidR="002A3409" w:rsidRPr="00163C2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SE-N_81</w:t>
            </w:r>
          </w:p>
        </w:tc>
        <w:tc>
          <w:tcPr>
            <w:tcW w:w="379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B04AE7E" w14:textId="77777777" w:rsidR="002A3409" w:rsidRPr="00163C2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VALDIVIA</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DA7077E" w14:textId="77777777" w:rsidR="002A3409" w:rsidRPr="00163C2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BD74004" w14:textId="77777777" w:rsidR="002A3409" w:rsidRPr="00163C2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BBFD217"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679.812,60</w:t>
            </w:r>
          </w:p>
        </w:tc>
      </w:tr>
      <w:tr w:rsidR="002A3409" w:rsidRPr="00163C24" w14:paraId="23A8A6F5" w14:textId="77777777" w:rsidTr="006B5A62">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DB7B2D2" w14:textId="77777777" w:rsidR="002A3409" w:rsidRPr="00163C2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N_7</w:t>
            </w:r>
          </w:p>
        </w:tc>
        <w:tc>
          <w:tcPr>
            <w:tcW w:w="379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B541766" w14:textId="77777777" w:rsidR="002A3409" w:rsidRPr="00163C2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Alto Jahuel 500-&gt;Ancoa 500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412A097" w14:textId="77777777" w:rsidR="002A3409" w:rsidRPr="00163C2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P_208</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9A76FFD" w14:textId="77777777" w:rsidR="002A3409" w:rsidRPr="00163C2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AJTE</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77FFA0E"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123.516,62</w:t>
            </w:r>
          </w:p>
        </w:tc>
      </w:tr>
      <w:tr w:rsidR="002A3409" w:rsidRPr="00163C24" w14:paraId="2203959C" w14:textId="77777777" w:rsidTr="006B5A62">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819BD81" w14:textId="77777777" w:rsidR="002A3409" w:rsidRPr="00163C2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N_10</w:t>
            </w:r>
          </w:p>
        </w:tc>
        <w:tc>
          <w:tcPr>
            <w:tcW w:w="379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E87AFB1" w14:textId="77777777" w:rsidR="002A3409" w:rsidRPr="00163C2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Ancoa 220-&gt;Itahue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66BEB20" w14:textId="77777777" w:rsidR="002A3409" w:rsidRPr="00163C2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527EB97" w14:textId="77777777" w:rsidR="002A3409" w:rsidRPr="00163C2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785C5D7"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90.370,97</w:t>
            </w:r>
          </w:p>
        </w:tc>
      </w:tr>
      <w:tr w:rsidR="002A3409" w:rsidRPr="00163C24" w14:paraId="612B4696" w14:textId="77777777" w:rsidTr="006B5A62">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E8F469A" w14:textId="77777777" w:rsidR="002A3409" w:rsidRPr="00163C2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N_11</w:t>
            </w:r>
          </w:p>
        </w:tc>
        <w:tc>
          <w:tcPr>
            <w:tcW w:w="379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9948658" w14:textId="77777777" w:rsidR="002A3409" w:rsidRPr="00457601" w:rsidRDefault="002A3409" w:rsidP="006B5A62">
            <w:pPr>
              <w:spacing w:before="20" w:after="20" w:line="240" w:lineRule="auto"/>
              <w:jc w:val="left"/>
              <w:rPr>
                <w:rFonts w:asciiTheme="minorHAnsi" w:eastAsia="Times New Roman" w:hAnsiTheme="minorHAnsi" w:cstheme="minorHAnsi"/>
                <w:color w:val="000000"/>
                <w:sz w:val="20"/>
                <w:szCs w:val="20"/>
                <w:lang w:val="en-US" w:eastAsia="es-ES"/>
              </w:rPr>
            </w:pPr>
            <w:r w:rsidRPr="003D2D23">
              <w:rPr>
                <w:rFonts w:cs="Calibri"/>
                <w:color w:val="000000"/>
                <w:sz w:val="20"/>
                <w:szCs w:val="20"/>
                <w:lang w:val="en-US"/>
              </w:rPr>
              <w:t>Ancoa 220-&gt;Tap Off Santa Isabel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1F2B64F" w14:textId="77777777" w:rsidR="002A3409" w:rsidRPr="00163C2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748D475" w14:textId="77777777" w:rsidR="002A3409" w:rsidRPr="00163C2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00B6B96"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89.255,49</w:t>
            </w:r>
          </w:p>
        </w:tc>
      </w:tr>
      <w:tr w:rsidR="002A3409" w:rsidRPr="00163C24" w14:paraId="39BE033E" w14:textId="77777777" w:rsidTr="006B5A62">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43FD450" w14:textId="77777777" w:rsidR="002A3409" w:rsidRPr="00163C2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N_13</w:t>
            </w:r>
          </w:p>
        </w:tc>
        <w:tc>
          <w:tcPr>
            <w:tcW w:w="379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FC0E984" w14:textId="77777777" w:rsidR="002A3409" w:rsidRPr="00163C2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Ancoa 500-&gt;Nueva Charrua 500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6CB2860" w14:textId="77777777" w:rsidR="002A3409" w:rsidRPr="00163C2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AD89FEE" w14:textId="77777777" w:rsidR="002A3409" w:rsidRPr="00163C2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37C11A7"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806.788,29</w:t>
            </w:r>
          </w:p>
        </w:tc>
      </w:tr>
      <w:tr w:rsidR="002A3409" w:rsidRPr="00163C24" w14:paraId="78CB24C7" w14:textId="77777777" w:rsidTr="006B5A62">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98F379E" w14:textId="77777777" w:rsidR="002A3409" w:rsidRPr="00163C2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N_14</w:t>
            </w:r>
          </w:p>
        </w:tc>
        <w:tc>
          <w:tcPr>
            <w:tcW w:w="379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65576ED" w14:textId="77777777" w:rsidR="002A3409" w:rsidRPr="00163C2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Atacama 220-&gt;Tap Enlace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7C0235C" w14:textId="77777777" w:rsidR="002A3409" w:rsidRPr="00163C2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1196247" w14:textId="77777777" w:rsidR="002A3409" w:rsidRPr="00163C2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5DC202C"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272.025,27</w:t>
            </w:r>
          </w:p>
        </w:tc>
      </w:tr>
      <w:tr w:rsidR="002A3409" w:rsidRPr="00163C24" w14:paraId="089E307D" w14:textId="77777777" w:rsidTr="006B5A62">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44EDC9B" w14:textId="77777777" w:rsidR="002A3409" w:rsidRPr="00163C2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N_18</w:t>
            </w:r>
          </w:p>
        </w:tc>
        <w:tc>
          <w:tcPr>
            <w:tcW w:w="379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071F8F5" w14:textId="77777777" w:rsidR="002A3409" w:rsidRPr="00163C2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Cardones 220-&gt;Algarrobal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F688FE5" w14:textId="77777777" w:rsidR="002A3409" w:rsidRPr="00163C2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9650335" w14:textId="77777777" w:rsidR="002A3409" w:rsidRPr="00163C2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338E462"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795.377,35</w:t>
            </w:r>
          </w:p>
        </w:tc>
      </w:tr>
      <w:tr w:rsidR="002A3409" w:rsidRPr="00163C24" w14:paraId="4E489B9B" w14:textId="77777777" w:rsidTr="006B5A62">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7B6D752" w14:textId="77777777" w:rsidR="002A3409" w:rsidRPr="00163C2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N_20</w:t>
            </w:r>
          </w:p>
        </w:tc>
        <w:tc>
          <w:tcPr>
            <w:tcW w:w="379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C6F2932" w14:textId="77777777" w:rsidR="002A3409" w:rsidRPr="00163C2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Carrera Pinto 220-&gt;Nueva Diego de Almagro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F8C5D26" w14:textId="77777777" w:rsidR="002A3409" w:rsidRPr="00163C2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P_290</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6DE498E" w14:textId="77777777" w:rsidR="002A3409" w:rsidRPr="00163C2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Eletrans</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8B8A2C1"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54.592,18</w:t>
            </w:r>
          </w:p>
        </w:tc>
      </w:tr>
      <w:tr w:rsidR="002A3409" w:rsidRPr="00163C24" w14:paraId="79F15E1D" w14:textId="77777777" w:rsidTr="006B5A62">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2866CD0" w14:textId="77777777" w:rsidR="002A3409" w:rsidRPr="00163C2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N_21</w:t>
            </w:r>
          </w:p>
        </w:tc>
        <w:tc>
          <w:tcPr>
            <w:tcW w:w="379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A0949CC" w14:textId="77777777" w:rsidR="002A3409" w:rsidRPr="00163C2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Carrera Pinto 220-&gt;S. San Andres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160CF9C" w14:textId="77777777" w:rsidR="002A3409" w:rsidRPr="00163C2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P_290</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A094580" w14:textId="77777777" w:rsidR="002A3409" w:rsidRPr="00163C2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Eletrans</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0BC1152"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54.592,18</w:t>
            </w:r>
          </w:p>
        </w:tc>
      </w:tr>
      <w:tr w:rsidR="002A3409" w:rsidRPr="00163C24" w14:paraId="2F2CCDEB" w14:textId="77777777" w:rsidTr="006B5A62">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BB46AF5" w14:textId="77777777" w:rsidR="002A3409" w:rsidRPr="00163C2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N_28</w:t>
            </w:r>
          </w:p>
        </w:tc>
        <w:tc>
          <w:tcPr>
            <w:tcW w:w="379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3780C8D" w14:textId="77777777" w:rsidR="002A3409" w:rsidRPr="00163C2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Charrua 220-&gt;Concepcion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F864500" w14:textId="77777777" w:rsidR="002A3409" w:rsidRPr="00163C2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D1211A7" w14:textId="77777777" w:rsidR="002A3409" w:rsidRPr="00163C2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93C08DD"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723.325,35</w:t>
            </w:r>
          </w:p>
        </w:tc>
      </w:tr>
      <w:tr w:rsidR="002A3409" w:rsidRPr="00163C24" w14:paraId="593C85E9" w14:textId="77777777" w:rsidTr="006B5A62">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4E47CB9" w14:textId="77777777" w:rsidR="002A3409" w:rsidRPr="00163C2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N_30</w:t>
            </w:r>
          </w:p>
        </w:tc>
        <w:tc>
          <w:tcPr>
            <w:tcW w:w="379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C91A292" w14:textId="77777777" w:rsidR="002A3409" w:rsidRPr="00163C2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Charrua 220-&gt;Lagunillas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A167AF3" w14:textId="77777777" w:rsidR="002A3409" w:rsidRPr="00163C2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B77BA27" w14:textId="77777777" w:rsidR="002A3409" w:rsidRPr="00163C2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B2D705D"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771.278,66</w:t>
            </w:r>
          </w:p>
        </w:tc>
      </w:tr>
      <w:tr w:rsidR="002A3409" w:rsidRPr="00163C24" w14:paraId="4D68FEA2" w14:textId="77777777" w:rsidTr="006B5A62">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1EA2B97" w14:textId="77777777" w:rsidR="002A3409" w:rsidRPr="00163C2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N_33</w:t>
            </w:r>
          </w:p>
        </w:tc>
        <w:tc>
          <w:tcPr>
            <w:tcW w:w="379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F970192" w14:textId="77777777" w:rsidR="002A3409" w:rsidRPr="00163C2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Charrua 500-&gt;Nueva Charrua 500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F23FCFC" w14:textId="77777777" w:rsidR="002A3409" w:rsidRPr="00163C2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2AD09D8" w14:textId="77777777" w:rsidR="002A3409" w:rsidRPr="00163C2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35F6316"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789.306,34</w:t>
            </w:r>
          </w:p>
        </w:tc>
      </w:tr>
      <w:tr w:rsidR="002A3409" w:rsidRPr="00163C24" w14:paraId="17826ACE" w14:textId="77777777" w:rsidTr="006B5A62">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FFD7D2B" w14:textId="77777777" w:rsidR="002A3409" w:rsidRPr="00163C2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N_36</w:t>
            </w:r>
          </w:p>
        </w:tc>
        <w:tc>
          <w:tcPr>
            <w:tcW w:w="379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AB7BF2D" w14:textId="77777777" w:rsidR="002A3409" w:rsidRPr="00163C2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Chiloe 220-&gt;Nueva Ancud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62DF20D" w14:textId="77777777" w:rsidR="002A3409" w:rsidRPr="00163C2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P_100</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BAB81E3" w14:textId="77777777" w:rsidR="002A3409" w:rsidRPr="00163C2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STS</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DA2BEE6"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38.638,08</w:t>
            </w:r>
          </w:p>
        </w:tc>
      </w:tr>
      <w:tr w:rsidR="002A3409" w:rsidRPr="00163C24" w14:paraId="301C5263" w14:textId="77777777" w:rsidTr="006B5A62">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1480DDF" w14:textId="77777777" w:rsidR="002A3409" w:rsidRPr="00163C2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N_42</w:t>
            </w:r>
          </w:p>
        </w:tc>
        <w:tc>
          <w:tcPr>
            <w:tcW w:w="379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448DDDB" w14:textId="77777777" w:rsidR="002A3409" w:rsidRPr="00163C2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Crucero 220-&gt;Kimal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A73FD17" w14:textId="77777777" w:rsidR="002A3409" w:rsidRPr="00163C2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EC13B31" w14:textId="77777777" w:rsidR="002A3409" w:rsidRPr="00163C2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608867E"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2.376,06</w:t>
            </w:r>
          </w:p>
        </w:tc>
      </w:tr>
      <w:tr w:rsidR="002A3409" w:rsidRPr="00163C24" w14:paraId="63D938B2" w14:textId="77777777" w:rsidTr="006B5A62">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99165CC" w14:textId="77777777" w:rsidR="002A3409" w:rsidRPr="00163C2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N_50</w:t>
            </w:r>
          </w:p>
        </w:tc>
        <w:tc>
          <w:tcPr>
            <w:tcW w:w="379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9FB2809" w14:textId="77777777" w:rsidR="002A3409" w:rsidRPr="00163C2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El Salto 220-&gt;Tap Chicureo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33BD4CF" w14:textId="77777777" w:rsidR="002A3409" w:rsidRPr="00163C2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P_111</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95FE67D" w14:textId="77777777" w:rsidR="002A3409" w:rsidRPr="00163C2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ENEL DISTRIBUCION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F1A025B"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18.131,52</w:t>
            </w:r>
          </w:p>
        </w:tc>
      </w:tr>
      <w:tr w:rsidR="002A3409" w:rsidRPr="00163C24" w14:paraId="4014486A" w14:textId="77777777" w:rsidTr="006B5A62">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F60E420" w14:textId="77777777" w:rsidR="002A3409" w:rsidRPr="00163C2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N_51</w:t>
            </w:r>
          </w:p>
        </w:tc>
        <w:tc>
          <w:tcPr>
            <w:tcW w:w="379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31C62D5" w14:textId="77777777" w:rsidR="002A3409" w:rsidRPr="00163C2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Encuentro 220-&gt;Kimal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30882F5" w14:textId="77777777" w:rsidR="002A3409" w:rsidRPr="00163C2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894DB55" w14:textId="77777777" w:rsidR="002A3409" w:rsidRPr="00163C2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1AEF5B0"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2.376,06</w:t>
            </w:r>
          </w:p>
        </w:tc>
      </w:tr>
      <w:tr w:rsidR="002A3409" w:rsidRPr="00163C24" w14:paraId="7BB228CA" w14:textId="77777777" w:rsidTr="006B5A62">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52ADE6D" w14:textId="77777777" w:rsidR="002A3409" w:rsidRPr="00163C2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N_70</w:t>
            </w:r>
          </w:p>
        </w:tc>
        <w:tc>
          <w:tcPr>
            <w:tcW w:w="379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8A3E639" w14:textId="77777777" w:rsidR="002A3409" w:rsidRPr="00163C2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Lo Aguirre 500-&gt;Alto Jahuel 500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2C3DE65" w14:textId="77777777" w:rsidR="002A3409" w:rsidRPr="00163C2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F377952" w14:textId="77777777" w:rsidR="002A3409" w:rsidRPr="00163C2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E361435"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406.144,17</w:t>
            </w:r>
          </w:p>
        </w:tc>
      </w:tr>
      <w:tr w:rsidR="002A3409" w:rsidRPr="00163C24" w14:paraId="56AC9E24" w14:textId="77777777" w:rsidTr="006B5A62">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CD3D107" w14:textId="77777777" w:rsidR="002A3409" w:rsidRPr="00163C2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N_78</w:t>
            </w:r>
          </w:p>
        </w:tc>
        <w:tc>
          <w:tcPr>
            <w:tcW w:w="379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506FF4A" w14:textId="77777777" w:rsidR="002A3409" w:rsidRPr="00163C2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Maitencillo 220-&gt;Algarrobal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87C9C90" w14:textId="77777777" w:rsidR="002A3409" w:rsidRPr="00163C2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F8F229E" w14:textId="77777777" w:rsidR="002A3409" w:rsidRPr="00163C2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12FED39"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795.377,35</w:t>
            </w:r>
          </w:p>
        </w:tc>
      </w:tr>
      <w:tr w:rsidR="002A3409" w:rsidRPr="00163C24" w14:paraId="36AB8E1B" w14:textId="77777777" w:rsidTr="006B5A62">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73B9D46" w14:textId="77777777" w:rsidR="002A3409" w:rsidRPr="00163C2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N_83</w:t>
            </w:r>
          </w:p>
        </w:tc>
        <w:tc>
          <w:tcPr>
            <w:tcW w:w="379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50D6A3D" w14:textId="77777777" w:rsidR="002A3409" w:rsidRPr="00163C2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Melipulli 220-&gt;Pargua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EB15789" w14:textId="77777777" w:rsidR="002A3409" w:rsidRPr="00163C2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P_100</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4781783" w14:textId="77777777" w:rsidR="002A3409" w:rsidRPr="00163C2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STS</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E2AAFEB"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39.399,61</w:t>
            </w:r>
          </w:p>
        </w:tc>
      </w:tr>
      <w:tr w:rsidR="002A3409" w:rsidRPr="00163C24" w14:paraId="696CEDD8" w14:textId="77777777" w:rsidTr="006B5A62">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E778370" w14:textId="77777777" w:rsidR="002A3409" w:rsidRPr="00163C2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lastRenderedPageBreak/>
              <w:t>N_85</w:t>
            </w:r>
          </w:p>
        </w:tc>
        <w:tc>
          <w:tcPr>
            <w:tcW w:w="379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9FA5386" w14:textId="77777777" w:rsidR="002A3409" w:rsidRPr="00163C2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Miraje 220-&gt;Atacama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36334D7" w14:textId="77777777" w:rsidR="002A3409" w:rsidRPr="00163C2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FEEEB01" w14:textId="77777777" w:rsidR="002A3409" w:rsidRPr="00163C2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BBA6977"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272.025,27</w:t>
            </w:r>
          </w:p>
        </w:tc>
      </w:tr>
      <w:tr w:rsidR="002A3409" w:rsidRPr="00163C24" w14:paraId="1564D60C" w14:textId="77777777" w:rsidTr="006B5A62">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2ED5BCD" w14:textId="77777777" w:rsidR="002A3409" w:rsidRPr="00163C2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N_86</w:t>
            </w:r>
          </w:p>
        </w:tc>
        <w:tc>
          <w:tcPr>
            <w:tcW w:w="379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6E78344" w14:textId="77777777" w:rsidR="002A3409" w:rsidRPr="00163C2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Miraje 220-&gt;Tap Enlace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AA39F97" w14:textId="77777777" w:rsidR="002A3409" w:rsidRPr="00163C2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22E6688" w14:textId="77777777" w:rsidR="002A3409" w:rsidRPr="00163C2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92040DA"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268.026,42</w:t>
            </w:r>
          </w:p>
        </w:tc>
      </w:tr>
      <w:tr w:rsidR="002A3409" w:rsidRPr="00163C24" w14:paraId="3E1B6314" w14:textId="77777777" w:rsidTr="006B5A62">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8743E95" w14:textId="77777777" w:rsidR="002A3409" w:rsidRPr="00163C2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N_94</w:t>
            </w:r>
          </w:p>
        </w:tc>
        <w:tc>
          <w:tcPr>
            <w:tcW w:w="379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E91CB1E" w14:textId="77777777" w:rsidR="002A3409" w:rsidRPr="00163C2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Nueva Diego de Almagro 220-&gt;Diego de Almagro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A2A3ACE" w14:textId="77777777" w:rsidR="002A3409" w:rsidRPr="00163C2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P_290</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11EC2E3" w14:textId="77777777" w:rsidR="002A3409" w:rsidRPr="00163C2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Eletrans</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4272DF9"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54.592,18</w:t>
            </w:r>
          </w:p>
        </w:tc>
      </w:tr>
      <w:tr w:rsidR="002A3409" w:rsidRPr="00163C24" w14:paraId="0D736214" w14:textId="77777777" w:rsidTr="006B5A62">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BB4CF65" w14:textId="77777777" w:rsidR="002A3409" w:rsidRPr="00163C2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N_106</w:t>
            </w:r>
          </w:p>
        </w:tc>
        <w:tc>
          <w:tcPr>
            <w:tcW w:w="379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2851EC0" w14:textId="77777777" w:rsidR="002A3409" w:rsidRPr="00163C2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Pargua 220-&gt;Nueva Ancud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7F9630C" w14:textId="77777777" w:rsidR="002A3409" w:rsidRPr="00163C2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5599F25" w14:textId="77777777" w:rsidR="002A3409" w:rsidRPr="00163C2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A3B3BD6"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35.899,68</w:t>
            </w:r>
          </w:p>
        </w:tc>
      </w:tr>
      <w:tr w:rsidR="002A3409" w:rsidRPr="00163C24" w14:paraId="1534003F" w14:textId="77777777" w:rsidTr="006B5A62">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E864ADF" w14:textId="77777777" w:rsidR="002A3409" w:rsidRPr="00163C2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N_106</w:t>
            </w:r>
          </w:p>
        </w:tc>
        <w:tc>
          <w:tcPr>
            <w:tcW w:w="379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0F309EE" w14:textId="77777777" w:rsidR="002A3409" w:rsidRPr="00163C2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Pargua 220-&gt;Nueva Ancud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6D0BCCA" w14:textId="77777777" w:rsidR="002A3409" w:rsidRPr="00163C2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P_100</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0E7563E" w14:textId="77777777" w:rsidR="002A3409" w:rsidRPr="00163C2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STS</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5E45F97"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38.913,29</w:t>
            </w:r>
          </w:p>
        </w:tc>
      </w:tr>
      <w:tr w:rsidR="002A3409" w:rsidRPr="00163C24" w14:paraId="7A42F3E0" w14:textId="77777777" w:rsidTr="006B5A62">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6FA22F1" w14:textId="77777777" w:rsidR="002A3409" w:rsidRPr="00163C2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N_109</w:t>
            </w:r>
          </w:p>
        </w:tc>
        <w:tc>
          <w:tcPr>
            <w:tcW w:w="379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51B37EA" w14:textId="77777777" w:rsidR="002A3409" w:rsidRPr="00163C2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Polpaico 220-&gt;Tap El Manzano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03CE6F9" w14:textId="77777777" w:rsidR="002A3409" w:rsidRPr="00163C2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P_111</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B75A590" w14:textId="77777777" w:rsidR="002A3409" w:rsidRPr="00163C2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ENEL DISTRIBUCION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B5D6D9C"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18.131,52</w:t>
            </w:r>
          </w:p>
        </w:tc>
      </w:tr>
      <w:tr w:rsidR="002A3409" w:rsidRPr="00163C24" w14:paraId="349ACD51" w14:textId="77777777" w:rsidTr="006B5A62">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592E277" w14:textId="77777777" w:rsidR="002A3409" w:rsidRPr="00163C2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N_110</w:t>
            </w:r>
          </w:p>
        </w:tc>
        <w:tc>
          <w:tcPr>
            <w:tcW w:w="379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F06E672" w14:textId="77777777" w:rsidR="002A3409" w:rsidRPr="00163C2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Polpaico 500-&gt;Lo Aguirre 500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6C35697" w14:textId="77777777" w:rsidR="002A3409" w:rsidRPr="00163C2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EDDBB04" w14:textId="77777777" w:rsidR="002A3409" w:rsidRPr="00163C2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B5C7254"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733.173,80</w:t>
            </w:r>
          </w:p>
        </w:tc>
      </w:tr>
      <w:tr w:rsidR="002A3409" w:rsidRPr="00163C24" w14:paraId="6D88B041" w14:textId="77777777" w:rsidTr="006B5A62">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1C37D3C" w14:textId="77777777" w:rsidR="002A3409" w:rsidRPr="00163C2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N_118</w:t>
            </w:r>
          </w:p>
        </w:tc>
        <w:tc>
          <w:tcPr>
            <w:tcW w:w="379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3A83459" w14:textId="77777777" w:rsidR="002A3409" w:rsidRPr="00163C2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Quillota 220-&gt;Polpaico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6ED1418" w14:textId="77777777" w:rsidR="002A3409" w:rsidRPr="00163C2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028CDC9" w14:textId="77777777" w:rsidR="002A3409" w:rsidRPr="00163C2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86B7588"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560.553,21</w:t>
            </w:r>
          </w:p>
        </w:tc>
      </w:tr>
      <w:tr w:rsidR="002A3409" w:rsidRPr="00163C24" w14:paraId="0AE381B0" w14:textId="77777777" w:rsidTr="006B5A62">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FDEA341" w14:textId="77777777" w:rsidR="002A3409" w:rsidRPr="00163C2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N_125</w:t>
            </w:r>
          </w:p>
        </w:tc>
        <w:tc>
          <w:tcPr>
            <w:tcW w:w="379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B29AED6" w14:textId="77777777" w:rsidR="002A3409" w:rsidRPr="00163C2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S. San Andres 220-&gt;Cardones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9250063" w14:textId="77777777" w:rsidR="002A3409" w:rsidRPr="00163C2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P_290</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B8CBC17" w14:textId="77777777" w:rsidR="002A3409" w:rsidRPr="00163C2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Eletrans</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118AE4C"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54.592,18</w:t>
            </w:r>
          </w:p>
        </w:tc>
      </w:tr>
      <w:tr w:rsidR="002A3409" w:rsidRPr="00163C24" w14:paraId="01FC5BD4" w14:textId="77777777" w:rsidTr="006B5A62">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4F2FBE0" w14:textId="77777777" w:rsidR="002A3409" w:rsidRPr="00163C2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N_126</w:t>
            </w:r>
          </w:p>
        </w:tc>
        <w:tc>
          <w:tcPr>
            <w:tcW w:w="379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8B5B066" w14:textId="77777777" w:rsidR="002A3409" w:rsidRPr="00163C2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Salar 220-&gt;Calama Nueva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D3CDB5F" w14:textId="77777777" w:rsidR="002A3409" w:rsidRPr="00163C2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P_083</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2B8ACB1" w14:textId="77777777" w:rsidR="002A3409" w:rsidRPr="00163C2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CGE</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1C5F2B1"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23.156,64</w:t>
            </w:r>
          </w:p>
        </w:tc>
      </w:tr>
      <w:tr w:rsidR="002A3409" w:rsidRPr="00163C24" w14:paraId="7A0CD876" w14:textId="77777777" w:rsidTr="006B5A62">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95B7A3B" w14:textId="77777777" w:rsidR="002A3409" w:rsidRPr="00163C2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N_127</w:t>
            </w:r>
          </w:p>
        </w:tc>
        <w:tc>
          <w:tcPr>
            <w:tcW w:w="379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56CF556" w14:textId="77777777" w:rsidR="002A3409" w:rsidRPr="00163C2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Salar 220-&gt;Chuquicamata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00CD529" w14:textId="77777777" w:rsidR="002A3409" w:rsidRPr="00163C2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P_133</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75A5579" w14:textId="77777777" w:rsidR="002A3409" w:rsidRPr="00163C2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CODELCO NORTE</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F8DB2AF"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0,00</w:t>
            </w:r>
          </w:p>
        </w:tc>
      </w:tr>
      <w:tr w:rsidR="002A3409" w:rsidRPr="00163C24" w14:paraId="67ED76B9" w14:textId="77777777" w:rsidTr="006B5A62">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9D90E7E" w14:textId="77777777" w:rsidR="002A3409" w:rsidRPr="00163C2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N_129</w:t>
            </w:r>
          </w:p>
        </w:tc>
        <w:tc>
          <w:tcPr>
            <w:tcW w:w="379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70DD9B4" w14:textId="77777777" w:rsidR="002A3409" w:rsidRPr="00163C2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San Luis 220-&gt;Agua Santa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965B7BD" w14:textId="77777777" w:rsidR="002A3409" w:rsidRPr="00163C2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P_113</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E46B655" w14:textId="77777777" w:rsidR="002A3409" w:rsidRPr="00163C2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CHILQUINTA ENERGÍA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9CDD190"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313.834,79</w:t>
            </w:r>
          </w:p>
        </w:tc>
      </w:tr>
      <w:tr w:rsidR="002A3409" w:rsidRPr="00163C24" w14:paraId="3FD76490" w14:textId="77777777" w:rsidTr="006B5A62">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BF08953" w14:textId="77777777" w:rsidR="002A3409" w:rsidRPr="00163C2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N_132</w:t>
            </w:r>
          </w:p>
        </w:tc>
        <w:tc>
          <w:tcPr>
            <w:tcW w:w="379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5D10120" w14:textId="77777777" w:rsidR="002A3409" w:rsidRPr="00163C2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Tap El Manzano 220-&gt;Tap Chicureo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E252FDE" w14:textId="77777777" w:rsidR="002A3409" w:rsidRPr="00163C2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P_111</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3AA529C" w14:textId="77777777" w:rsidR="002A3409" w:rsidRPr="00163C2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ENEL DISTRIBUCION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82FE0FE"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18.260,67</w:t>
            </w:r>
          </w:p>
        </w:tc>
      </w:tr>
      <w:tr w:rsidR="002A3409" w:rsidRPr="00163C24" w14:paraId="28BECB9A" w14:textId="77777777" w:rsidTr="006B5A62">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539BE8E" w14:textId="77777777" w:rsidR="002A3409" w:rsidRPr="00163C2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N_134</w:t>
            </w:r>
          </w:p>
        </w:tc>
        <w:tc>
          <w:tcPr>
            <w:tcW w:w="3798"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3502A0C" w14:textId="77777777" w:rsidR="002A3409" w:rsidRPr="00457601" w:rsidRDefault="002A3409" w:rsidP="006B5A62">
            <w:pPr>
              <w:spacing w:before="20" w:after="20" w:line="240" w:lineRule="auto"/>
              <w:jc w:val="left"/>
              <w:rPr>
                <w:rFonts w:asciiTheme="minorHAnsi" w:eastAsia="Times New Roman" w:hAnsiTheme="minorHAnsi" w:cstheme="minorHAnsi"/>
                <w:color w:val="000000"/>
                <w:sz w:val="20"/>
                <w:szCs w:val="20"/>
                <w:lang w:val="en-US" w:eastAsia="es-ES"/>
              </w:rPr>
            </w:pPr>
            <w:r w:rsidRPr="003D2D23">
              <w:rPr>
                <w:rFonts w:cs="Calibri"/>
                <w:color w:val="000000"/>
                <w:sz w:val="20"/>
                <w:szCs w:val="20"/>
                <w:lang w:val="en-US"/>
              </w:rPr>
              <w:t>Tap Off Santa Isabel 220-&gt;Itahue 220</w:t>
            </w:r>
          </w:p>
        </w:tc>
        <w:tc>
          <w:tcPr>
            <w:tcW w:w="113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569EDBE" w14:textId="77777777" w:rsidR="002A3409" w:rsidRPr="00163C2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154"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BD274A2" w14:textId="77777777" w:rsidR="002A3409" w:rsidRPr="00163C2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3D11FD4"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89.255,49</w:t>
            </w:r>
          </w:p>
        </w:tc>
      </w:tr>
      <w:tr w:rsidR="002A3409" w:rsidRPr="00163C24" w14:paraId="4DAD18C2" w14:textId="77777777" w:rsidTr="006B5A62">
        <w:tc>
          <w:tcPr>
            <w:tcW w:w="1134" w:type="dxa"/>
            <w:tcBorders>
              <w:top w:val="single" w:sz="2" w:space="0" w:color="auto"/>
              <w:left w:val="single" w:sz="6" w:space="0" w:color="auto"/>
              <w:bottom w:val="single" w:sz="6" w:space="0" w:color="auto"/>
              <w:right w:val="single" w:sz="6" w:space="0" w:color="auto"/>
            </w:tcBorders>
            <w:shd w:val="clear" w:color="auto" w:fill="auto"/>
            <w:noWrap/>
            <w:vAlign w:val="center"/>
            <w:hideMark/>
          </w:tcPr>
          <w:p w14:paraId="3A95A6A4" w14:textId="77777777" w:rsidR="002A3409" w:rsidRPr="00163C2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N_136</w:t>
            </w:r>
          </w:p>
        </w:tc>
        <w:tc>
          <w:tcPr>
            <w:tcW w:w="3798" w:type="dxa"/>
            <w:tcBorders>
              <w:top w:val="single" w:sz="2" w:space="0" w:color="auto"/>
              <w:left w:val="single" w:sz="6" w:space="0" w:color="auto"/>
              <w:bottom w:val="single" w:sz="6" w:space="0" w:color="auto"/>
              <w:right w:val="single" w:sz="6" w:space="0" w:color="auto"/>
            </w:tcBorders>
            <w:shd w:val="clear" w:color="auto" w:fill="auto"/>
            <w:noWrap/>
            <w:vAlign w:val="center"/>
            <w:hideMark/>
          </w:tcPr>
          <w:p w14:paraId="1A26B74C" w14:textId="77777777" w:rsidR="002A3409" w:rsidRPr="00163C2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Tarapaca 220-&gt;Condores 220</w:t>
            </w:r>
          </w:p>
        </w:tc>
        <w:tc>
          <w:tcPr>
            <w:tcW w:w="1134" w:type="dxa"/>
            <w:tcBorders>
              <w:top w:val="single" w:sz="2" w:space="0" w:color="auto"/>
              <w:left w:val="single" w:sz="6" w:space="0" w:color="auto"/>
              <w:bottom w:val="single" w:sz="6" w:space="0" w:color="auto"/>
              <w:right w:val="single" w:sz="6" w:space="0" w:color="auto"/>
            </w:tcBorders>
            <w:shd w:val="clear" w:color="auto" w:fill="auto"/>
            <w:noWrap/>
            <w:vAlign w:val="center"/>
            <w:hideMark/>
          </w:tcPr>
          <w:p w14:paraId="5A52B0A8" w14:textId="77777777" w:rsidR="002A3409" w:rsidRPr="00163C24"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Pr>
                <w:rFonts w:cs="Calibri"/>
                <w:color w:val="000000"/>
                <w:sz w:val="20"/>
                <w:szCs w:val="20"/>
              </w:rPr>
              <w:t>P_032</w:t>
            </w:r>
          </w:p>
        </w:tc>
        <w:tc>
          <w:tcPr>
            <w:tcW w:w="2154" w:type="dxa"/>
            <w:tcBorders>
              <w:top w:val="single" w:sz="2" w:space="0" w:color="auto"/>
              <w:left w:val="single" w:sz="6" w:space="0" w:color="auto"/>
              <w:bottom w:val="single" w:sz="6" w:space="0" w:color="auto"/>
              <w:right w:val="single" w:sz="6" w:space="0" w:color="auto"/>
            </w:tcBorders>
            <w:shd w:val="clear" w:color="auto" w:fill="auto"/>
            <w:noWrap/>
            <w:vAlign w:val="center"/>
            <w:hideMark/>
          </w:tcPr>
          <w:p w14:paraId="314FF2E6" w14:textId="77777777" w:rsidR="002A3409" w:rsidRPr="00163C24"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cs="Calibri"/>
                <w:color w:val="000000"/>
                <w:sz w:val="20"/>
                <w:szCs w:val="20"/>
              </w:rPr>
              <w:t>TRANSELEC S.A.</w:t>
            </w:r>
          </w:p>
        </w:tc>
        <w:tc>
          <w:tcPr>
            <w:tcW w:w="1701" w:type="dxa"/>
            <w:tcBorders>
              <w:top w:val="single" w:sz="2" w:space="0" w:color="auto"/>
              <w:left w:val="single" w:sz="6" w:space="0" w:color="auto"/>
              <w:bottom w:val="single" w:sz="6" w:space="0" w:color="auto"/>
              <w:right w:val="single" w:sz="6" w:space="0" w:color="auto"/>
            </w:tcBorders>
            <w:shd w:val="clear" w:color="auto" w:fill="auto"/>
            <w:noWrap/>
            <w:vAlign w:val="center"/>
            <w:hideMark/>
          </w:tcPr>
          <w:p w14:paraId="63264189" w14:textId="77777777" w:rsidR="002A3409" w:rsidRPr="001F33F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cs="Calibri"/>
                <w:color w:val="000000"/>
                <w:sz w:val="20"/>
                <w:szCs w:val="20"/>
              </w:rPr>
              <w:t>417.741,91</w:t>
            </w:r>
          </w:p>
        </w:tc>
      </w:tr>
      <w:tr w:rsidR="002A3409" w:rsidRPr="00163C24" w14:paraId="32EC9B76" w14:textId="77777777" w:rsidTr="006B5A62">
        <w:tc>
          <w:tcPr>
            <w:tcW w:w="1134" w:type="dxa"/>
            <w:tcBorders>
              <w:top w:val="single" w:sz="6" w:space="0" w:color="auto"/>
              <w:left w:val="nil"/>
              <w:bottom w:val="nil"/>
              <w:right w:val="nil"/>
            </w:tcBorders>
            <w:shd w:val="clear" w:color="auto" w:fill="auto"/>
            <w:noWrap/>
            <w:vAlign w:val="center"/>
            <w:hideMark/>
          </w:tcPr>
          <w:p w14:paraId="049BAB37" w14:textId="77777777" w:rsidR="002A3409" w:rsidRPr="00163C24"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p>
        </w:tc>
        <w:tc>
          <w:tcPr>
            <w:tcW w:w="3798" w:type="dxa"/>
            <w:tcBorders>
              <w:top w:val="single" w:sz="6" w:space="0" w:color="auto"/>
              <w:left w:val="nil"/>
              <w:bottom w:val="nil"/>
              <w:right w:val="nil"/>
            </w:tcBorders>
            <w:shd w:val="clear" w:color="auto" w:fill="auto"/>
            <w:noWrap/>
            <w:vAlign w:val="center"/>
            <w:hideMark/>
          </w:tcPr>
          <w:p w14:paraId="6303FD33" w14:textId="77777777" w:rsidR="002A3409" w:rsidRPr="00163C24" w:rsidRDefault="002A3409" w:rsidP="006B5A62">
            <w:pPr>
              <w:spacing w:before="20" w:after="20" w:line="240" w:lineRule="auto"/>
              <w:jc w:val="center"/>
              <w:rPr>
                <w:rFonts w:asciiTheme="minorHAnsi" w:eastAsia="Times New Roman" w:hAnsiTheme="minorHAnsi" w:cstheme="minorHAnsi"/>
                <w:sz w:val="20"/>
                <w:szCs w:val="20"/>
                <w:lang w:val="es-ES" w:eastAsia="es-ES"/>
              </w:rPr>
            </w:pPr>
          </w:p>
        </w:tc>
        <w:tc>
          <w:tcPr>
            <w:tcW w:w="1134" w:type="dxa"/>
            <w:tcBorders>
              <w:top w:val="single" w:sz="6" w:space="0" w:color="auto"/>
              <w:left w:val="nil"/>
              <w:bottom w:val="nil"/>
              <w:right w:val="single" w:sz="6" w:space="0" w:color="auto"/>
            </w:tcBorders>
            <w:shd w:val="clear" w:color="auto" w:fill="auto"/>
            <w:noWrap/>
            <w:vAlign w:val="center"/>
            <w:hideMark/>
          </w:tcPr>
          <w:p w14:paraId="2B156B6A" w14:textId="77777777" w:rsidR="002A3409" w:rsidRPr="00163C24" w:rsidRDefault="002A3409" w:rsidP="006B5A62">
            <w:pPr>
              <w:spacing w:before="20" w:after="20" w:line="240" w:lineRule="auto"/>
              <w:jc w:val="left"/>
              <w:rPr>
                <w:rFonts w:asciiTheme="minorHAnsi" w:eastAsia="Times New Roman" w:hAnsiTheme="minorHAnsi" w:cstheme="minorHAnsi"/>
                <w:sz w:val="20"/>
                <w:szCs w:val="20"/>
                <w:lang w:val="es-ES" w:eastAsia="es-ES"/>
              </w:rPr>
            </w:pPr>
          </w:p>
        </w:tc>
        <w:tc>
          <w:tcPr>
            <w:tcW w:w="2154" w:type="dxa"/>
            <w:tcBorders>
              <w:top w:val="single" w:sz="6" w:space="0" w:color="auto"/>
              <w:left w:val="single" w:sz="6" w:space="0" w:color="auto"/>
              <w:bottom w:val="single" w:sz="6" w:space="0" w:color="auto"/>
              <w:right w:val="single" w:sz="6" w:space="0" w:color="auto"/>
            </w:tcBorders>
            <w:shd w:val="clear" w:color="auto" w:fill="auto"/>
            <w:noWrap/>
            <w:vAlign w:val="center"/>
            <w:hideMark/>
          </w:tcPr>
          <w:p w14:paraId="6FC68BD6" w14:textId="77777777" w:rsidR="002A3409" w:rsidRPr="00163C24" w:rsidRDefault="002A3409" w:rsidP="006B5A62">
            <w:pPr>
              <w:spacing w:before="20" w:after="20" w:line="240" w:lineRule="auto"/>
              <w:jc w:val="left"/>
              <w:rPr>
                <w:rFonts w:asciiTheme="minorHAnsi" w:eastAsia="Times New Roman" w:hAnsiTheme="minorHAnsi" w:cstheme="minorHAnsi"/>
                <w:b/>
                <w:bCs/>
                <w:color w:val="000000"/>
                <w:sz w:val="20"/>
                <w:szCs w:val="20"/>
                <w:lang w:val="es-ES" w:eastAsia="es-ES"/>
              </w:rPr>
            </w:pPr>
            <w:r w:rsidRPr="00163C24">
              <w:rPr>
                <w:rFonts w:asciiTheme="minorHAnsi" w:eastAsia="Times New Roman" w:hAnsiTheme="minorHAnsi" w:cstheme="minorHAnsi"/>
                <w:b/>
                <w:bCs/>
                <w:color w:val="000000"/>
                <w:sz w:val="20"/>
                <w:szCs w:val="20"/>
                <w:lang w:val="es-ES" w:eastAsia="es-ES"/>
              </w:rPr>
              <w:t>TOTAL</w:t>
            </w:r>
          </w:p>
        </w:tc>
        <w:tc>
          <w:tcPr>
            <w:tcW w:w="1701" w:type="dxa"/>
            <w:tcBorders>
              <w:top w:val="single" w:sz="6" w:space="0" w:color="auto"/>
              <w:left w:val="single" w:sz="6" w:space="0" w:color="auto"/>
              <w:bottom w:val="single" w:sz="6" w:space="0" w:color="auto"/>
              <w:right w:val="single" w:sz="6" w:space="0" w:color="auto"/>
            </w:tcBorders>
            <w:shd w:val="clear" w:color="auto" w:fill="auto"/>
            <w:noWrap/>
            <w:vAlign w:val="center"/>
            <w:hideMark/>
          </w:tcPr>
          <w:p w14:paraId="2EEF71C7" w14:textId="77777777" w:rsidR="002A3409" w:rsidRPr="001F33F5" w:rsidRDefault="002A3409" w:rsidP="006B5A62">
            <w:pPr>
              <w:spacing w:after="0" w:line="240" w:lineRule="auto"/>
              <w:jc w:val="right"/>
              <w:rPr>
                <w:rFonts w:cs="Calibri"/>
                <w:b/>
                <w:color w:val="000000"/>
                <w:sz w:val="20"/>
                <w:szCs w:val="20"/>
                <w:lang w:eastAsia="es-CL"/>
              </w:rPr>
            </w:pPr>
            <w:r w:rsidRPr="001F33F5">
              <w:rPr>
                <w:rFonts w:cs="Calibri"/>
                <w:b/>
                <w:color w:val="000000"/>
                <w:sz w:val="20"/>
                <w:szCs w:val="20"/>
              </w:rPr>
              <w:t>15.629.556,26</w:t>
            </w:r>
          </w:p>
        </w:tc>
      </w:tr>
    </w:tbl>
    <w:p w14:paraId="3A14D23D" w14:textId="77777777" w:rsidR="002A3409" w:rsidRDefault="002A3409" w:rsidP="002A3409">
      <w:pPr>
        <w:spacing w:after="0"/>
      </w:pPr>
    </w:p>
    <w:p w14:paraId="4BD235DE" w14:textId="77777777" w:rsidR="002A3409" w:rsidRPr="00596F02" w:rsidRDefault="002A3409" w:rsidP="002A3409">
      <w:pPr>
        <w:pStyle w:val="Ttulo3"/>
        <w:keepNext/>
        <w:rPr>
          <w:lang w:val="es-ES"/>
        </w:rPr>
      </w:pPr>
      <w:bookmarkStart w:id="479" w:name="_Toc39795190"/>
      <w:bookmarkStart w:id="480" w:name="_Toc39797870"/>
      <w:r w:rsidRPr="00596F02">
        <w:t>Valor de inversión adicional a los resultados de la Base de Datos</w:t>
      </w:r>
      <w:bookmarkEnd w:id="479"/>
      <w:bookmarkEnd w:id="480"/>
    </w:p>
    <w:p w14:paraId="5A6958F8" w14:textId="77777777" w:rsidR="002A3409" w:rsidRPr="00596F02" w:rsidRDefault="002A3409" w:rsidP="002A3409">
      <w:pPr>
        <w:pStyle w:val="Ttulo4"/>
        <w:keepNext/>
      </w:pPr>
      <w:bookmarkStart w:id="481" w:name="_Toc39795191"/>
      <w:bookmarkStart w:id="482" w:name="_Toc39797871"/>
      <w:r w:rsidRPr="00596F02">
        <w:t>V.I. Plataformas tramos de subestaciones</w:t>
      </w:r>
      <w:bookmarkEnd w:id="481"/>
      <w:bookmarkEnd w:id="482"/>
    </w:p>
    <w:p w14:paraId="1686FB56" w14:textId="77777777" w:rsidR="002A3409" w:rsidRDefault="002A3409" w:rsidP="002A3409">
      <w:r>
        <w:t>Entre los elementos faltantes más relevantes en la Base de Datos, se observan las plataformas de subestaciones, que no tienen material asociado, por lo que no fueron consideradas en la valorización del STN. Sin embargo, considerando el importante costo que estas tienen, originados por los volúmenes de excavación y relleno y compactado que requiere este elemento, el Consultor considera necesario adicionar a los resultados de valorización de las instalaciones del STN registradas en la base de datos, la valorización del V.I. de las plataformas de las subestaciones</w:t>
      </w:r>
    </w:p>
    <w:p w14:paraId="5364D288" w14:textId="77777777" w:rsidR="002A3409" w:rsidRDefault="002A3409" w:rsidP="002A3409">
      <w:r>
        <w:t>Con este fin se desarrolló un modelo que considera la superficie de las subestaciones y las durezas de terreno informadas en la base de datos para valorizar el volumen de excavación, afectado por el factor de tipo de terreno y el volumen de relleno y compactado necesario para consolidar la plataforma. Esta corrección agrega al V.I. calculado con la base de datos los valores que se muestran en la tabla siguiente.</w:t>
      </w:r>
    </w:p>
    <w:p w14:paraId="5DED7F66" w14:textId="77777777" w:rsidR="002A3409" w:rsidRPr="00E804A2" w:rsidRDefault="002A3409" w:rsidP="002A3409">
      <w:pPr>
        <w:pStyle w:val="Subttulo"/>
      </w:pPr>
      <w:bookmarkStart w:id="483" w:name="_Toc39795278"/>
      <w:bookmarkStart w:id="484" w:name="_Toc39797958"/>
      <w:r w:rsidRPr="00E804A2">
        <w:t xml:space="preserve">Tabla </w:t>
      </w:r>
      <w:fldSimple w:instr=" SEQ Tabla \* ARABIC ">
        <w:r w:rsidR="001F3E2E">
          <w:rPr>
            <w:noProof/>
          </w:rPr>
          <w:t>48</w:t>
        </w:r>
      </w:fldSimple>
      <w:r w:rsidRPr="00E804A2">
        <w:t xml:space="preserve">: Valor de Inversión (V.I.) </w:t>
      </w:r>
      <w:r>
        <w:t>plataformas subestaciones</w:t>
      </w:r>
      <w:bookmarkEnd w:id="483"/>
      <w:bookmarkEnd w:id="484"/>
    </w:p>
    <w:tbl>
      <w:tblPr>
        <w:tblW w:w="7144" w:type="dxa"/>
        <w:jc w:val="center"/>
        <w:tblLayout w:type="fixed"/>
        <w:tblCellMar>
          <w:left w:w="57" w:type="dxa"/>
          <w:right w:w="57" w:type="dxa"/>
        </w:tblCellMar>
        <w:tblLook w:val="04A0" w:firstRow="1" w:lastRow="0" w:firstColumn="1" w:lastColumn="0" w:noHBand="0" w:noVBand="1"/>
      </w:tblPr>
      <w:tblGrid>
        <w:gridCol w:w="2041"/>
        <w:gridCol w:w="3402"/>
        <w:gridCol w:w="1701"/>
      </w:tblGrid>
      <w:tr w:rsidR="002A3409" w:rsidRPr="00C61D54" w14:paraId="0A3BB14D" w14:textId="77777777" w:rsidTr="006B5A62">
        <w:trPr>
          <w:tblHeader/>
          <w:jc w:val="center"/>
        </w:trPr>
        <w:tc>
          <w:tcPr>
            <w:tcW w:w="2041" w:type="dxa"/>
            <w:tcBorders>
              <w:top w:val="single" w:sz="6" w:space="0" w:color="auto"/>
              <w:left w:val="single" w:sz="6" w:space="0" w:color="auto"/>
              <w:bottom w:val="single" w:sz="6" w:space="0" w:color="auto"/>
              <w:right w:val="single" w:sz="6" w:space="0" w:color="auto"/>
            </w:tcBorders>
            <w:shd w:val="clear" w:color="auto" w:fill="D0CECE" w:themeFill="background2" w:themeFillShade="E6"/>
            <w:vAlign w:val="center"/>
            <w:hideMark/>
          </w:tcPr>
          <w:p w14:paraId="7B3D5DA5" w14:textId="77777777" w:rsidR="002A3409" w:rsidRPr="00C61D54" w:rsidRDefault="002A3409" w:rsidP="006B5A62">
            <w:pPr>
              <w:spacing w:before="20" w:after="20" w:line="240" w:lineRule="auto"/>
              <w:jc w:val="center"/>
              <w:rPr>
                <w:rFonts w:eastAsia="Times New Roman" w:cs="Calibri"/>
                <w:b/>
                <w:bCs/>
                <w:color w:val="000000"/>
                <w:sz w:val="20"/>
                <w:szCs w:val="20"/>
                <w:lang w:val="es-ES" w:eastAsia="es-ES"/>
              </w:rPr>
            </w:pPr>
            <w:r w:rsidRPr="00C61D54">
              <w:rPr>
                <w:rFonts w:eastAsia="Times New Roman" w:cs="Calibri"/>
                <w:b/>
                <w:bCs/>
                <w:color w:val="000000"/>
                <w:sz w:val="20"/>
                <w:szCs w:val="20"/>
                <w:lang w:val="es-ES" w:eastAsia="es-ES"/>
              </w:rPr>
              <w:t>IdCalificacionCodigo</w:t>
            </w:r>
          </w:p>
        </w:tc>
        <w:tc>
          <w:tcPr>
            <w:tcW w:w="3402" w:type="dxa"/>
            <w:tcBorders>
              <w:top w:val="single" w:sz="6" w:space="0" w:color="auto"/>
              <w:left w:val="single" w:sz="6" w:space="0" w:color="auto"/>
              <w:bottom w:val="single" w:sz="6" w:space="0" w:color="auto"/>
              <w:right w:val="single" w:sz="6" w:space="0" w:color="auto"/>
            </w:tcBorders>
            <w:shd w:val="clear" w:color="auto" w:fill="D0CECE" w:themeFill="background2" w:themeFillShade="E6"/>
            <w:noWrap/>
            <w:vAlign w:val="center"/>
            <w:hideMark/>
          </w:tcPr>
          <w:p w14:paraId="7C3E6ADD" w14:textId="77777777" w:rsidR="002A3409" w:rsidRPr="00C61D54" w:rsidRDefault="002A3409" w:rsidP="006B5A62">
            <w:pPr>
              <w:spacing w:before="20" w:after="20" w:line="240" w:lineRule="auto"/>
              <w:jc w:val="center"/>
              <w:rPr>
                <w:rFonts w:eastAsia="Times New Roman" w:cs="Calibri"/>
                <w:b/>
                <w:bCs/>
                <w:color w:val="000000"/>
                <w:sz w:val="20"/>
                <w:szCs w:val="20"/>
                <w:lang w:val="es-ES" w:eastAsia="es-ES"/>
              </w:rPr>
            </w:pPr>
            <w:r w:rsidRPr="00C61D54">
              <w:rPr>
                <w:rFonts w:eastAsia="Times New Roman" w:cs="Calibri"/>
                <w:b/>
                <w:bCs/>
                <w:color w:val="000000"/>
                <w:sz w:val="20"/>
                <w:szCs w:val="20"/>
                <w:lang w:val="es-ES" w:eastAsia="es-ES"/>
              </w:rPr>
              <w:t>Nombre</w:t>
            </w:r>
          </w:p>
        </w:tc>
        <w:tc>
          <w:tcPr>
            <w:tcW w:w="1701" w:type="dxa"/>
            <w:tcBorders>
              <w:top w:val="single" w:sz="6" w:space="0" w:color="auto"/>
              <w:left w:val="single" w:sz="6" w:space="0" w:color="auto"/>
              <w:bottom w:val="single" w:sz="6" w:space="0" w:color="auto"/>
              <w:right w:val="single" w:sz="6" w:space="0" w:color="auto"/>
            </w:tcBorders>
            <w:shd w:val="clear" w:color="auto" w:fill="D0CECE" w:themeFill="background2" w:themeFillShade="E6"/>
            <w:vAlign w:val="center"/>
            <w:hideMark/>
          </w:tcPr>
          <w:p w14:paraId="01969E18" w14:textId="77777777" w:rsidR="002A3409" w:rsidRPr="00C61D54" w:rsidRDefault="002A3409" w:rsidP="006B5A62">
            <w:pPr>
              <w:spacing w:before="20" w:after="20" w:line="240" w:lineRule="auto"/>
              <w:jc w:val="center"/>
              <w:rPr>
                <w:rFonts w:eastAsia="Times New Roman" w:cs="Calibri"/>
                <w:b/>
                <w:bCs/>
                <w:color w:val="000000"/>
                <w:sz w:val="20"/>
                <w:szCs w:val="20"/>
                <w:lang w:val="es-ES" w:eastAsia="es-ES"/>
              </w:rPr>
            </w:pPr>
            <w:r w:rsidRPr="00C61D54">
              <w:rPr>
                <w:rFonts w:eastAsia="Times New Roman" w:cs="Calibri"/>
                <w:b/>
                <w:bCs/>
                <w:color w:val="000000"/>
                <w:sz w:val="20"/>
                <w:szCs w:val="20"/>
                <w:lang w:val="es-ES" w:eastAsia="es-ES"/>
              </w:rPr>
              <w:t>V</w:t>
            </w:r>
            <w:r>
              <w:rPr>
                <w:rFonts w:eastAsia="Times New Roman" w:cs="Calibri"/>
                <w:b/>
                <w:bCs/>
                <w:color w:val="000000"/>
                <w:sz w:val="20"/>
                <w:szCs w:val="20"/>
                <w:lang w:val="es-ES" w:eastAsia="es-ES"/>
              </w:rPr>
              <w:t>.</w:t>
            </w:r>
            <w:r w:rsidRPr="00C61D54">
              <w:rPr>
                <w:rFonts w:eastAsia="Times New Roman" w:cs="Calibri"/>
                <w:b/>
                <w:bCs/>
                <w:color w:val="000000"/>
                <w:sz w:val="20"/>
                <w:szCs w:val="20"/>
                <w:lang w:val="es-ES" w:eastAsia="es-ES"/>
              </w:rPr>
              <w:t>I</w:t>
            </w:r>
            <w:r>
              <w:rPr>
                <w:rFonts w:eastAsia="Times New Roman" w:cs="Calibri"/>
                <w:b/>
                <w:bCs/>
                <w:color w:val="000000"/>
                <w:sz w:val="20"/>
                <w:szCs w:val="20"/>
                <w:lang w:val="es-ES" w:eastAsia="es-ES"/>
              </w:rPr>
              <w:t>.</w:t>
            </w:r>
            <w:r w:rsidRPr="00C61D54">
              <w:rPr>
                <w:rFonts w:eastAsia="Times New Roman" w:cs="Calibri"/>
                <w:b/>
                <w:bCs/>
                <w:color w:val="000000"/>
                <w:sz w:val="20"/>
                <w:szCs w:val="20"/>
                <w:lang w:val="es-ES" w:eastAsia="es-ES"/>
              </w:rPr>
              <w:t xml:space="preserve"> Plataformas (USD)</w:t>
            </w:r>
          </w:p>
        </w:tc>
      </w:tr>
      <w:tr w:rsidR="002A3409" w:rsidRPr="00C61D54" w14:paraId="5EB14D4E" w14:textId="77777777" w:rsidTr="006B5A62">
        <w:trPr>
          <w:jc w:val="center"/>
        </w:trPr>
        <w:tc>
          <w:tcPr>
            <w:tcW w:w="2041" w:type="dxa"/>
            <w:tcBorders>
              <w:top w:val="single" w:sz="6" w:space="0" w:color="auto"/>
              <w:left w:val="single" w:sz="6" w:space="0" w:color="auto"/>
              <w:bottom w:val="single" w:sz="2" w:space="0" w:color="auto"/>
              <w:right w:val="single" w:sz="6" w:space="0" w:color="auto"/>
            </w:tcBorders>
            <w:shd w:val="clear" w:color="auto" w:fill="auto"/>
            <w:noWrap/>
            <w:vAlign w:val="center"/>
            <w:hideMark/>
          </w:tcPr>
          <w:p w14:paraId="2F0D7B64" w14:textId="77777777" w:rsidR="002A3409" w:rsidRPr="006D5279" w:rsidRDefault="002A3409" w:rsidP="006B5A62">
            <w:pPr>
              <w:spacing w:before="20" w:after="20" w:line="240" w:lineRule="auto"/>
              <w:jc w:val="center"/>
              <w:rPr>
                <w:rFonts w:eastAsia="Times New Roman" w:cs="Calibri"/>
                <w:color w:val="000000"/>
                <w:sz w:val="20"/>
                <w:szCs w:val="20"/>
                <w:lang w:val="es-ES" w:eastAsia="es-ES"/>
              </w:rPr>
            </w:pPr>
            <w:r w:rsidRPr="006D5279">
              <w:rPr>
                <w:rFonts w:cs="Calibri"/>
                <w:color w:val="000000"/>
                <w:sz w:val="20"/>
                <w:szCs w:val="20"/>
              </w:rPr>
              <w:t xml:space="preserve">SE-N_1 </w:t>
            </w:r>
          </w:p>
        </w:tc>
        <w:tc>
          <w:tcPr>
            <w:tcW w:w="3402" w:type="dxa"/>
            <w:tcBorders>
              <w:top w:val="single" w:sz="6" w:space="0" w:color="auto"/>
              <w:left w:val="single" w:sz="6" w:space="0" w:color="auto"/>
              <w:bottom w:val="single" w:sz="2" w:space="0" w:color="auto"/>
              <w:right w:val="single" w:sz="6" w:space="0" w:color="auto"/>
            </w:tcBorders>
            <w:shd w:val="clear" w:color="auto" w:fill="auto"/>
            <w:noWrap/>
            <w:vAlign w:val="center"/>
            <w:hideMark/>
          </w:tcPr>
          <w:p w14:paraId="334374F2" w14:textId="77777777" w:rsidR="002A3409" w:rsidRPr="00C61D54" w:rsidRDefault="002A3409" w:rsidP="006B5A62">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Alto Jahuel</w:t>
            </w:r>
          </w:p>
        </w:tc>
        <w:tc>
          <w:tcPr>
            <w:tcW w:w="1701" w:type="dxa"/>
            <w:tcBorders>
              <w:top w:val="single" w:sz="6" w:space="0" w:color="auto"/>
              <w:left w:val="single" w:sz="6" w:space="0" w:color="auto"/>
              <w:bottom w:val="single" w:sz="2" w:space="0" w:color="auto"/>
              <w:right w:val="single" w:sz="6" w:space="0" w:color="auto"/>
            </w:tcBorders>
            <w:shd w:val="clear" w:color="auto" w:fill="auto"/>
            <w:noWrap/>
            <w:hideMark/>
          </w:tcPr>
          <w:p w14:paraId="3DEA404B" w14:textId="77777777" w:rsidR="002A3409" w:rsidRPr="006D5279" w:rsidRDefault="002A3409" w:rsidP="006B5A62">
            <w:pPr>
              <w:spacing w:before="20" w:after="20" w:line="240" w:lineRule="auto"/>
              <w:jc w:val="right"/>
              <w:rPr>
                <w:rFonts w:eastAsia="Times New Roman" w:cs="Calibri"/>
                <w:color w:val="000000"/>
                <w:sz w:val="20"/>
                <w:szCs w:val="20"/>
                <w:lang w:val="es-ES" w:eastAsia="es-ES"/>
              </w:rPr>
            </w:pPr>
            <w:r w:rsidRPr="006D5279">
              <w:rPr>
                <w:sz w:val="20"/>
                <w:szCs w:val="20"/>
              </w:rPr>
              <w:t xml:space="preserve"> 4.415.841 </w:t>
            </w:r>
          </w:p>
        </w:tc>
      </w:tr>
      <w:tr w:rsidR="002A3409" w:rsidRPr="00C61D54" w14:paraId="278EA01C" w14:textId="77777777" w:rsidTr="006B5A62">
        <w:trPr>
          <w:jc w:val="center"/>
        </w:trPr>
        <w:tc>
          <w:tcPr>
            <w:tcW w:w="204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2EF9994" w14:textId="77777777" w:rsidR="002A3409" w:rsidRPr="006D5279" w:rsidRDefault="002A3409" w:rsidP="006B5A62">
            <w:pPr>
              <w:spacing w:before="20" w:after="20" w:line="240" w:lineRule="auto"/>
              <w:jc w:val="center"/>
              <w:rPr>
                <w:rFonts w:eastAsia="Times New Roman" w:cs="Calibri"/>
                <w:color w:val="000000"/>
                <w:sz w:val="20"/>
                <w:szCs w:val="20"/>
                <w:lang w:val="es-ES" w:eastAsia="es-ES"/>
              </w:rPr>
            </w:pPr>
            <w:r w:rsidRPr="006D5279">
              <w:rPr>
                <w:rFonts w:cs="Calibri"/>
                <w:color w:val="000000"/>
                <w:sz w:val="20"/>
                <w:szCs w:val="20"/>
              </w:rPr>
              <w:lastRenderedPageBreak/>
              <w:t xml:space="preserve">SE-N_2 </w:t>
            </w:r>
          </w:p>
        </w:tc>
        <w:tc>
          <w:tcPr>
            <w:tcW w:w="340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CE3A05A" w14:textId="77777777" w:rsidR="002A3409" w:rsidRPr="00C61D54" w:rsidRDefault="002A3409" w:rsidP="006B5A62">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Ancoa</w:t>
            </w:r>
          </w:p>
        </w:tc>
        <w:tc>
          <w:tcPr>
            <w:tcW w:w="1701" w:type="dxa"/>
            <w:tcBorders>
              <w:top w:val="single" w:sz="2" w:space="0" w:color="auto"/>
              <w:left w:val="single" w:sz="6" w:space="0" w:color="auto"/>
              <w:bottom w:val="single" w:sz="2" w:space="0" w:color="auto"/>
              <w:right w:val="single" w:sz="6" w:space="0" w:color="auto"/>
            </w:tcBorders>
            <w:shd w:val="clear" w:color="auto" w:fill="auto"/>
            <w:noWrap/>
            <w:hideMark/>
          </w:tcPr>
          <w:p w14:paraId="538B7183" w14:textId="77777777" w:rsidR="002A3409" w:rsidRPr="006D5279" w:rsidRDefault="002A3409" w:rsidP="006B5A62">
            <w:pPr>
              <w:spacing w:before="20" w:after="20" w:line="240" w:lineRule="auto"/>
              <w:jc w:val="right"/>
              <w:rPr>
                <w:rFonts w:eastAsia="Times New Roman" w:cs="Calibri"/>
                <w:color w:val="000000"/>
                <w:sz w:val="20"/>
                <w:szCs w:val="20"/>
                <w:lang w:val="es-ES" w:eastAsia="es-ES"/>
              </w:rPr>
            </w:pPr>
            <w:r w:rsidRPr="006D5279">
              <w:rPr>
                <w:sz w:val="20"/>
                <w:szCs w:val="20"/>
              </w:rPr>
              <w:t xml:space="preserve"> 3.765.635 </w:t>
            </w:r>
          </w:p>
        </w:tc>
      </w:tr>
      <w:tr w:rsidR="002A3409" w:rsidRPr="00C61D54" w14:paraId="07DFCB1C" w14:textId="77777777" w:rsidTr="006B5A62">
        <w:trPr>
          <w:jc w:val="center"/>
        </w:trPr>
        <w:tc>
          <w:tcPr>
            <w:tcW w:w="204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5A10CC5" w14:textId="77777777" w:rsidR="002A3409" w:rsidRPr="006D5279" w:rsidRDefault="002A3409" w:rsidP="006B5A62">
            <w:pPr>
              <w:spacing w:before="20" w:after="20" w:line="240" w:lineRule="auto"/>
              <w:jc w:val="center"/>
              <w:rPr>
                <w:rFonts w:eastAsia="Times New Roman" w:cs="Calibri"/>
                <w:color w:val="000000"/>
                <w:sz w:val="20"/>
                <w:szCs w:val="20"/>
                <w:lang w:val="es-ES" w:eastAsia="es-ES"/>
              </w:rPr>
            </w:pPr>
            <w:r w:rsidRPr="006D5279">
              <w:rPr>
                <w:rFonts w:cs="Calibri"/>
                <w:color w:val="000000"/>
                <w:sz w:val="20"/>
                <w:szCs w:val="20"/>
              </w:rPr>
              <w:t xml:space="preserve">SE-N_3 </w:t>
            </w:r>
          </w:p>
        </w:tc>
        <w:tc>
          <w:tcPr>
            <w:tcW w:w="340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E7396B1" w14:textId="77777777" w:rsidR="002A3409" w:rsidRPr="00C61D54" w:rsidRDefault="002A3409" w:rsidP="006B5A62">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Atacama</w:t>
            </w:r>
          </w:p>
        </w:tc>
        <w:tc>
          <w:tcPr>
            <w:tcW w:w="1701" w:type="dxa"/>
            <w:tcBorders>
              <w:top w:val="single" w:sz="2" w:space="0" w:color="auto"/>
              <w:left w:val="single" w:sz="6" w:space="0" w:color="auto"/>
              <w:bottom w:val="single" w:sz="2" w:space="0" w:color="auto"/>
              <w:right w:val="single" w:sz="6" w:space="0" w:color="auto"/>
            </w:tcBorders>
            <w:shd w:val="clear" w:color="auto" w:fill="auto"/>
            <w:noWrap/>
            <w:hideMark/>
          </w:tcPr>
          <w:p w14:paraId="2368D5D3" w14:textId="77777777" w:rsidR="002A3409" w:rsidRPr="006D5279" w:rsidRDefault="002A3409" w:rsidP="006B5A62">
            <w:pPr>
              <w:spacing w:before="20" w:after="20" w:line="240" w:lineRule="auto"/>
              <w:jc w:val="right"/>
              <w:rPr>
                <w:rFonts w:eastAsia="Times New Roman" w:cs="Calibri"/>
                <w:color w:val="000000"/>
                <w:sz w:val="20"/>
                <w:szCs w:val="20"/>
                <w:lang w:val="es-ES" w:eastAsia="es-ES"/>
              </w:rPr>
            </w:pPr>
            <w:r w:rsidRPr="006D5279">
              <w:rPr>
                <w:sz w:val="20"/>
                <w:szCs w:val="20"/>
              </w:rPr>
              <w:t xml:space="preserve"> 646.757 </w:t>
            </w:r>
          </w:p>
        </w:tc>
      </w:tr>
      <w:tr w:rsidR="002A3409" w:rsidRPr="00C61D54" w14:paraId="64B509B7" w14:textId="77777777" w:rsidTr="006B5A62">
        <w:trPr>
          <w:jc w:val="center"/>
        </w:trPr>
        <w:tc>
          <w:tcPr>
            <w:tcW w:w="204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F7FA147" w14:textId="77777777" w:rsidR="002A3409" w:rsidRPr="006D5279" w:rsidRDefault="002A3409" w:rsidP="006B5A62">
            <w:pPr>
              <w:spacing w:before="20" w:after="20" w:line="240" w:lineRule="auto"/>
              <w:jc w:val="center"/>
              <w:rPr>
                <w:rFonts w:eastAsia="Times New Roman" w:cs="Calibri"/>
                <w:color w:val="000000"/>
                <w:sz w:val="20"/>
                <w:szCs w:val="20"/>
                <w:lang w:val="es-ES" w:eastAsia="es-ES"/>
              </w:rPr>
            </w:pPr>
            <w:r w:rsidRPr="006D5279">
              <w:rPr>
                <w:rFonts w:cs="Calibri"/>
                <w:color w:val="000000"/>
                <w:sz w:val="20"/>
                <w:szCs w:val="20"/>
              </w:rPr>
              <w:t xml:space="preserve">SE-N_5 </w:t>
            </w:r>
          </w:p>
        </w:tc>
        <w:tc>
          <w:tcPr>
            <w:tcW w:w="340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E5AEBCC" w14:textId="77777777" w:rsidR="002A3409" w:rsidRPr="00C61D54" w:rsidRDefault="002A3409" w:rsidP="006B5A62">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Calama Nueva</w:t>
            </w:r>
          </w:p>
        </w:tc>
        <w:tc>
          <w:tcPr>
            <w:tcW w:w="1701" w:type="dxa"/>
            <w:tcBorders>
              <w:top w:val="single" w:sz="2" w:space="0" w:color="auto"/>
              <w:left w:val="single" w:sz="6" w:space="0" w:color="auto"/>
              <w:bottom w:val="single" w:sz="2" w:space="0" w:color="auto"/>
              <w:right w:val="single" w:sz="6" w:space="0" w:color="auto"/>
            </w:tcBorders>
            <w:shd w:val="clear" w:color="auto" w:fill="auto"/>
            <w:noWrap/>
            <w:hideMark/>
          </w:tcPr>
          <w:p w14:paraId="1114C422" w14:textId="77777777" w:rsidR="002A3409" w:rsidRPr="006D5279" w:rsidRDefault="002A3409" w:rsidP="006B5A62">
            <w:pPr>
              <w:spacing w:before="20" w:after="20" w:line="240" w:lineRule="auto"/>
              <w:jc w:val="right"/>
              <w:rPr>
                <w:rFonts w:eastAsia="Times New Roman" w:cs="Calibri"/>
                <w:color w:val="000000"/>
                <w:sz w:val="20"/>
                <w:szCs w:val="20"/>
                <w:lang w:val="es-ES" w:eastAsia="es-ES"/>
              </w:rPr>
            </w:pPr>
            <w:r w:rsidRPr="006D5279">
              <w:rPr>
                <w:sz w:val="20"/>
                <w:szCs w:val="20"/>
              </w:rPr>
              <w:t xml:space="preserve"> 260.189 </w:t>
            </w:r>
          </w:p>
        </w:tc>
      </w:tr>
      <w:tr w:rsidR="002A3409" w:rsidRPr="00C61D54" w14:paraId="5A76837B" w14:textId="77777777" w:rsidTr="006B5A62">
        <w:trPr>
          <w:jc w:val="center"/>
        </w:trPr>
        <w:tc>
          <w:tcPr>
            <w:tcW w:w="204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042A89F" w14:textId="77777777" w:rsidR="002A3409" w:rsidRPr="006D5279" w:rsidRDefault="002A3409" w:rsidP="006B5A62">
            <w:pPr>
              <w:spacing w:before="20" w:after="20" w:line="240" w:lineRule="auto"/>
              <w:jc w:val="center"/>
              <w:rPr>
                <w:rFonts w:eastAsia="Times New Roman" w:cs="Calibri"/>
                <w:color w:val="000000"/>
                <w:sz w:val="20"/>
                <w:szCs w:val="20"/>
                <w:lang w:val="es-ES" w:eastAsia="es-ES"/>
              </w:rPr>
            </w:pPr>
            <w:r w:rsidRPr="006D5279">
              <w:rPr>
                <w:rFonts w:cs="Calibri"/>
                <w:color w:val="000000"/>
                <w:sz w:val="20"/>
                <w:szCs w:val="20"/>
              </w:rPr>
              <w:t xml:space="preserve">SE-N_6 </w:t>
            </w:r>
          </w:p>
        </w:tc>
        <w:tc>
          <w:tcPr>
            <w:tcW w:w="340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84B87E4" w14:textId="77777777" w:rsidR="002A3409" w:rsidRPr="00C61D54" w:rsidRDefault="002A3409" w:rsidP="006B5A62">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Candelaria</w:t>
            </w:r>
          </w:p>
        </w:tc>
        <w:tc>
          <w:tcPr>
            <w:tcW w:w="1701" w:type="dxa"/>
            <w:tcBorders>
              <w:top w:val="single" w:sz="2" w:space="0" w:color="auto"/>
              <w:left w:val="single" w:sz="6" w:space="0" w:color="auto"/>
              <w:bottom w:val="single" w:sz="2" w:space="0" w:color="auto"/>
              <w:right w:val="single" w:sz="6" w:space="0" w:color="auto"/>
            </w:tcBorders>
            <w:shd w:val="clear" w:color="auto" w:fill="auto"/>
            <w:noWrap/>
            <w:hideMark/>
          </w:tcPr>
          <w:p w14:paraId="34A93582" w14:textId="77777777" w:rsidR="002A3409" w:rsidRPr="006D5279" w:rsidRDefault="002A3409" w:rsidP="006B5A62">
            <w:pPr>
              <w:spacing w:before="20" w:after="20" w:line="240" w:lineRule="auto"/>
              <w:jc w:val="right"/>
              <w:rPr>
                <w:rFonts w:eastAsia="Times New Roman" w:cs="Calibri"/>
                <w:color w:val="000000"/>
                <w:sz w:val="20"/>
                <w:szCs w:val="20"/>
                <w:lang w:val="es-ES" w:eastAsia="es-ES"/>
              </w:rPr>
            </w:pPr>
            <w:r w:rsidRPr="006D5279">
              <w:rPr>
                <w:sz w:val="20"/>
                <w:szCs w:val="20"/>
              </w:rPr>
              <w:t xml:space="preserve"> 501.726 </w:t>
            </w:r>
          </w:p>
        </w:tc>
      </w:tr>
      <w:tr w:rsidR="002A3409" w:rsidRPr="00C61D54" w14:paraId="28550611" w14:textId="77777777" w:rsidTr="006B5A62">
        <w:trPr>
          <w:jc w:val="center"/>
        </w:trPr>
        <w:tc>
          <w:tcPr>
            <w:tcW w:w="204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F9EFBEC" w14:textId="77777777" w:rsidR="002A3409" w:rsidRPr="006D5279" w:rsidRDefault="002A3409" w:rsidP="006B5A62">
            <w:pPr>
              <w:spacing w:before="20" w:after="20" w:line="240" w:lineRule="auto"/>
              <w:jc w:val="center"/>
              <w:rPr>
                <w:rFonts w:eastAsia="Times New Roman" w:cs="Calibri"/>
                <w:color w:val="000000"/>
                <w:sz w:val="20"/>
                <w:szCs w:val="20"/>
                <w:lang w:val="es-ES" w:eastAsia="es-ES"/>
              </w:rPr>
            </w:pPr>
            <w:r w:rsidRPr="006D5279">
              <w:rPr>
                <w:rFonts w:cs="Calibri"/>
                <w:color w:val="000000"/>
                <w:sz w:val="20"/>
                <w:szCs w:val="20"/>
              </w:rPr>
              <w:t xml:space="preserve">SE-N_7 </w:t>
            </w:r>
          </w:p>
        </w:tc>
        <w:tc>
          <w:tcPr>
            <w:tcW w:w="340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1335856" w14:textId="77777777" w:rsidR="002A3409" w:rsidRPr="00C61D54" w:rsidRDefault="002A3409" w:rsidP="006B5A62">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Cardones</w:t>
            </w:r>
          </w:p>
        </w:tc>
        <w:tc>
          <w:tcPr>
            <w:tcW w:w="1701" w:type="dxa"/>
            <w:tcBorders>
              <w:top w:val="single" w:sz="2" w:space="0" w:color="auto"/>
              <w:left w:val="single" w:sz="6" w:space="0" w:color="auto"/>
              <w:bottom w:val="single" w:sz="2" w:space="0" w:color="auto"/>
              <w:right w:val="single" w:sz="6" w:space="0" w:color="auto"/>
            </w:tcBorders>
            <w:shd w:val="clear" w:color="auto" w:fill="auto"/>
            <w:noWrap/>
            <w:hideMark/>
          </w:tcPr>
          <w:p w14:paraId="09D0BFA6" w14:textId="77777777" w:rsidR="002A3409" w:rsidRPr="006D5279" w:rsidRDefault="002A3409" w:rsidP="006B5A62">
            <w:pPr>
              <w:spacing w:before="20" w:after="20" w:line="240" w:lineRule="auto"/>
              <w:jc w:val="right"/>
              <w:rPr>
                <w:rFonts w:eastAsia="Times New Roman" w:cs="Calibri"/>
                <w:color w:val="000000"/>
                <w:sz w:val="20"/>
                <w:szCs w:val="20"/>
                <w:lang w:val="es-ES" w:eastAsia="es-ES"/>
              </w:rPr>
            </w:pPr>
            <w:r w:rsidRPr="006D5279">
              <w:rPr>
                <w:sz w:val="20"/>
                <w:szCs w:val="20"/>
              </w:rPr>
              <w:t xml:space="preserve"> 977.711 </w:t>
            </w:r>
          </w:p>
        </w:tc>
      </w:tr>
      <w:tr w:rsidR="002A3409" w:rsidRPr="00C61D54" w14:paraId="0227DF42" w14:textId="77777777" w:rsidTr="006B5A62">
        <w:trPr>
          <w:jc w:val="center"/>
        </w:trPr>
        <w:tc>
          <w:tcPr>
            <w:tcW w:w="204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0D68DF2" w14:textId="77777777" w:rsidR="002A3409" w:rsidRPr="006D5279" w:rsidRDefault="002A3409" w:rsidP="006B5A62">
            <w:pPr>
              <w:spacing w:before="20" w:after="20" w:line="240" w:lineRule="auto"/>
              <w:jc w:val="center"/>
              <w:rPr>
                <w:rFonts w:eastAsia="Times New Roman" w:cs="Calibri"/>
                <w:color w:val="000000"/>
                <w:sz w:val="20"/>
                <w:szCs w:val="20"/>
                <w:lang w:val="es-ES" w:eastAsia="es-ES"/>
              </w:rPr>
            </w:pPr>
            <w:r w:rsidRPr="006D5279">
              <w:rPr>
                <w:rFonts w:cs="Calibri"/>
                <w:color w:val="000000"/>
                <w:sz w:val="20"/>
                <w:szCs w:val="20"/>
              </w:rPr>
              <w:t xml:space="preserve">SE-N_8 </w:t>
            </w:r>
          </w:p>
        </w:tc>
        <w:tc>
          <w:tcPr>
            <w:tcW w:w="340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210599A" w14:textId="77777777" w:rsidR="002A3409" w:rsidRPr="00C61D54" w:rsidRDefault="002A3409" w:rsidP="006B5A62">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Carrera Pinto</w:t>
            </w:r>
          </w:p>
        </w:tc>
        <w:tc>
          <w:tcPr>
            <w:tcW w:w="1701" w:type="dxa"/>
            <w:tcBorders>
              <w:top w:val="single" w:sz="2" w:space="0" w:color="auto"/>
              <w:left w:val="single" w:sz="6" w:space="0" w:color="auto"/>
              <w:bottom w:val="single" w:sz="2" w:space="0" w:color="auto"/>
              <w:right w:val="single" w:sz="6" w:space="0" w:color="auto"/>
            </w:tcBorders>
            <w:shd w:val="clear" w:color="auto" w:fill="auto"/>
            <w:noWrap/>
            <w:hideMark/>
          </w:tcPr>
          <w:p w14:paraId="684A36DE" w14:textId="77777777" w:rsidR="002A3409" w:rsidRPr="006D5279" w:rsidRDefault="002A3409" w:rsidP="006B5A62">
            <w:pPr>
              <w:spacing w:before="20" w:after="20" w:line="240" w:lineRule="auto"/>
              <w:jc w:val="right"/>
              <w:rPr>
                <w:rFonts w:eastAsia="Times New Roman" w:cs="Calibri"/>
                <w:color w:val="000000"/>
                <w:sz w:val="20"/>
                <w:szCs w:val="20"/>
                <w:lang w:val="es-ES" w:eastAsia="es-ES"/>
              </w:rPr>
            </w:pPr>
            <w:r w:rsidRPr="006D5279">
              <w:rPr>
                <w:sz w:val="20"/>
                <w:szCs w:val="20"/>
              </w:rPr>
              <w:t xml:space="preserve"> 324.439 </w:t>
            </w:r>
          </w:p>
        </w:tc>
      </w:tr>
      <w:tr w:rsidR="002A3409" w:rsidRPr="00C61D54" w14:paraId="6CB44F42" w14:textId="77777777" w:rsidTr="006B5A62">
        <w:trPr>
          <w:jc w:val="center"/>
        </w:trPr>
        <w:tc>
          <w:tcPr>
            <w:tcW w:w="204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EAC9D13" w14:textId="77777777" w:rsidR="002A3409" w:rsidRPr="006D5279" w:rsidRDefault="002A3409" w:rsidP="006B5A62">
            <w:pPr>
              <w:spacing w:before="20" w:after="20" w:line="240" w:lineRule="auto"/>
              <w:jc w:val="center"/>
              <w:rPr>
                <w:rFonts w:eastAsia="Times New Roman" w:cs="Calibri"/>
                <w:color w:val="000000"/>
                <w:sz w:val="20"/>
                <w:szCs w:val="20"/>
                <w:lang w:val="es-ES" w:eastAsia="es-ES"/>
              </w:rPr>
            </w:pPr>
            <w:r w:rsidRPr="006D5279">
              <w:rPr>
                <w:rFonts w:cs="Calibri"/>
                <w:color w:val="000000"/>
                <w:sz w:val="20"/>
                <w:szCs w:val="20"/>
              </w:rPr>
              <w:t xml:space="preserve">SE-N_9 </w:t>
            </w:r>
          </w:p>
        </w:tc>
        <w:tc>
          <w:tcPr>
            <w:tcW w:w="340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F12C14A" w14:textId="77777777" w:rsidR="002A3409" w:rsidRPr="00C61D54" w:rsidRDefault="002A3409" w:rsidP="006B5A62">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Cautín</w:t>
            </w:r>
          </w:p>
        </w:tc>
        <w:tc>
          <w:tcPr>
            <w:tcW w:w="1701" w:type="dxa"/>
            <w:tcBorders>
              <w:top w:val="single" w:sz="2" w:space="0" w:color="auto"/>
              <w:left w:val="single" w:sz="6" w:space="0" w:color="auto"/>
              <w:bottom w:val="single" w:sz="2" w:space="0" w:color="auto"/>
              <w:right w:val="single" w:sz="6" w:space="0" w:color="auto"/>
            </w:tcBorders>
            <w:shd w:val="clear" w:color="auto" w:fill="auto"/>
            <w:noWrap/>
            <w:hideMark/>
          </w:tcPr>
          <w:p w14:paraId="1D8E0721" w14:textId="77777777" w:rsidR="002A3409" w:rsidRPr="006D5279" w:rsidRDefault="002A3409" w:rsidP="006B5A62">
            <w:pPr>
              <w:spacing w:before="20" w:after="20" w:line="240" w:lineRule="auto"/>
              <w:jc w:val="right"/>
              <w:rPr>
                <w:rFonts w:eastAsia="Times New Roman" w:cs="Calibri"/>
                <w:color w:val="000000"/>
                <w:sz w:val="20"/>
                <w:szCs w:val="20"/>
                <w:lang w:val="es-ES" w:eastAsia="es-ES"/>
              </w:rPr>
            </w:pPr>
            <w:r w:rsidRPr="006D5279">
              <w:rPr>
                <w:sz w:val="20"/>
                <w:szCs w:val="20"/>
              </w:rPr>
              <w:t xml:space="preserve"> 522.002 </w:t>
            </w:r>
          </w:p>
        </w:tc>
      </w:tr>
      <w:tr w:rsidR="002A3409" w:rsidRPr="00C61D54" w14:paraId="63CFEF65" w14:textId="77777777" w:rsidTr="006B5A62">
        <w:trPr>
          <w:jc w:val="center"/>
        </w:trPr>
        <w:tc>
          <w:tcPr>
            <w:tcW w:w="204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C5181BF" w14:textId="77777777" w:rsidR="002A3409" w:rsidRPr="006D5279" w:rsidRDefault="002A3409" w:rsidP="006B5A62">
            <w:pPr>
              <w:spacing w:before="20" w:after="20" w:line="240" w:lineRule="auto"/>
              <w:jc w:val="center"/>
              <w:rPr>
                <w:rFonts w:eastAsia="Times New Roman" w:cs="Calibri"/>
                <w:color w:val="000000"/>
                <w:sz w:val="20"/>
                <w:szCs w:val="20"/>
                <w:lang w:val="es-ES" w:eastAsia="es-ES"/>
              </w:rPr>
            </w:pPr>
            <w:r w:rsidRPr="006D5279">
              <w:rPr>
                <w:rFonts w:cs="Calibri"/>
                <w:color w:val="000000"/>
                <w:sz w:val="20"/>
                <w:szCs w:val="20"/>
              </w:rPr>
              <w:t xml:space="preserve">SE-N_10 </w:t>
            </w:r>
          </w:p>
        </w:tc>
        <w:tc>
          <w:tcPr>
            <w:tcW w:w="340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DEB7672" w14:textId="77777777" w:rsidR="002A3409" w:rsidRPr="00C61D54" w:rsidRDefault="002A3409" w:rsidP="006B5A62">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Cerro Navia</w:t>
            </w:r>
          </w:p>
        </w:tc>
        <w:tc>
          <w:tcPr>
            <w:tcW w:w="1701" w:type="dxa"/>
            <w:tcBorders>
              <w:top w:val="single" w:sz="2" w:space="0" w:color="auto"/>
              <w:left w:val="single" w:sz="6" w:space="0" w:color="auto"/>
              <w:bottom w:val="single" w:sz="2" w:space="0" w:color="auto"/>
              <w:right w:val="single" w:sz="6" w:space="0" w:color="auto"/>
            </w:tcBorders>
            <w:shd w:val="clear" w:color="auto" w:fill="auto"/>
            <w:noWrap/>
            <w:hideMark/>
          </w:tcPr>
          <w:p w14:paraId="0D2BC923" w14:textId="77777777" w:rsidR="002A3409" w:rsidRPr="006D5279" w:rsidRDefault="002A3409" w:rsidP="006B5A62">
            <w:pPr>
              <w:spacing w:before="20" w:after="20" w:line="240" w:lineRule="auto"/>
              <w:jc w:val="right"/>
              <w:rPr>
                <w:rFonts w:eastAsia="Times New Roman" w:cs="Calibri"/>
                <w:color w:val="000000"/>
                <w:sz w:val="20"/>
                <w:szCs w:val="20"/>
                <w:lang w:val="es-ES" w:eastAsia="es-ES"/>
              </w:rPr>
            </w:pPr>
            <w:r w:rsidRPr="006D5279">
              <w:rPr>
                <w:sz w:val="20"/>
                <w:szCs w:val="20"/>
              </w:rPr>
              <w:t xml:space="preserve"> 1.357.217 </w:t>
            </w:r>
          </w:p>
        </w:tc>
      </w:tr>
      <w:tr w:rsidR="002A3409" w:rsidRPr="00C61D54" w14:paraId="2EDA5654" w14:textId="77777777" w:rsidTr="006B5A62">
        <w:trPr>
          <w:jc w:val="center"/>
        </w:trPr>
        <w:tc>
          <w:tcPr>
            <w:tcW w:w="204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B1FF1EC" w14:textId="77777777" w:rsidR="002A3409" w:rsidRPr="006D5279" w:rsidRDefault="002A3409" w:rsidP="006B5A62">
            <w:pPr>
              <w:spacing w:before="20" w:after="20" w:line="240" w:lineRule="auto"/>
              <w:jc w:val="center"/>
              <w:rPr>
                <w:rFonts w:eastAsia="Times New Roman" w:cs="Calibri"/>
                <w:color w:val="000000"/>
                <w:sz w:val="20"/>
                <w:szCs w:val="20"/>
                <w:lang w:val="es-ES" w:eastAsia="es-ES"/>
              </w:rPr>
            </w:pPr>
            <w:r w:rsidRPr="006D5279">
              <w:rPr>
                <w:rFonts w:cs="Calibri"/>
                <w:color w:val="000000"/>
                <w:sz w:val="20"/>
                <w:szCs w:val="20"/>
              </w:rPr>
              <w:t xml:space="preserve">SE-N_11 </w:t>
            </w:r>
          </w:p>
        </w:tc>
        <w:tc>
          <w:tcPr>
            <w:tcW w:w="340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390CAB7" w14:textId="77777777" w:rsidR="002A3409" w:rsidRPr="00C61D54" w:rsidRDefault="002A3409" w:rsidP="006B5A62">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Charrúa</w:t>
            </w:r>
          </w:p>
        </w:tc>
        <w:tc>
          <w:tcPr>
            <w:tcW w:w="1701" w:type="dxa"/>
            <w:tcBorders>
              <w:top w:val="single" w:sz="2" w:space="0" w:color="auto"/>
              <w:left w:val="single" w:sz="6" w:space="0" w:color="auto"/>
              <w:bottom w:val="single" w:sz="2" w:space="0" w:color="auto"/>
              <w:right w:val="single" w:sz="6" w:space="0" w:color="auto"/>
            </w:tcBorders>
            <w:shd w:val="clear" w:color="auto" w:fill="auto"/>
            <w:noWrap/>
            <w:hideMark/>
          </w:tcPr>
          <w:p w14:paraId="74BDC277" w14:textId="77777777" w:rsidR="002A3409" w:rsidRPr="006D5279" w:rsidRDefault="002A3409" w:rsidP="006B5A62">
            <w:pPr>
              <w:spacing w:before="20" w:after="20" w:line="240" w:lineRule="auto"/>
              <w:jc w:val="right"/>
              <w:rPr>
                <w:rFonts w:eastAsia="Times New Roman" w:cs="Calibri"/>
                <w:color w:val="000000"/>
                <w:sz w:val="20"/>
                <w:szCs w:val="20"/>
                <w:lang w:val="es-ES" w:eastAsia="es-ES"/>
              </w:rPr>
            </w:pPr>
            <w:r w:rsidRPr="006D5279">
              <w:rPr>
                <w:sz w:val="20"/>
                <w:szCs w:val="20"/>
              </w:rPr>
              <w:t xml:space="preserve"> 4.183.512 </w:t>
            </w:r>
          </w:p>
        </w:tc>
      </w:tr>
      <w:tr w:rsidR="002A3409" w:rsidRPr="00C61D54" w14:paraId="28FE8779" w14:textId="77777777" w:rsidTr="006B5A62">
        <w:trPr>
          <w:jc w:val="center"/>
        </w:trPr>
        <w:tc>
          <w:tcPr>
            <w:tcW w:w="204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92E9B2D" w14:textId="77777777" w:rsidR="002A3409" w:rsidRPr="006D5279" w:rsidRDefault="002A3409" w:rsidP="006B5A62">
            <w:pPr>
              <w:spacing w:before="20" w:after="20" w:line="240" w:lineRule="auto"/>
              <w:jc w:val="center"/>
              <w:rPr>
                <w:rFonts w:eastAsia="Times New Roman" w:cs="Calibri"/>
                <w:color w:val="000000"/>
                <w:sz w:val="20"/>
                <w:szCs w:val="20"/>
                <w:lang w:val="es-ES" w:eastAsia="es-ES"/>
              </w:rPr>
            </w:pPr>
            <w:r w:rsidRPr="006D5279">
              <w:rPr>
                <w:rFonts w:cs="Calibri"/>
                <w:color w:val="000000"/>
                <w:sz w:val="20"/>
                <w:szCs w:val="20"/>
              </w:rPr>
              <w:t xml:space="preserve">SE-N_12 </w:t>
            </w:r>
          </w:p>
        </w:tc>
        <w:tc>
          <w:tcPr>
            <w:tcW w:w="340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C03CBD6" w14:textId="77777777" w:rsidR="002A3409" w:rsidRPr="00C61D54" w:rsidRDefault="002A3409" w:rsidP="006B5A62">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Chena</w:t>
            </w:r>
          </w:p>
        </w:tc>
        <w:tc>
          <w:tcPr>
            <w:tcW w:w="1701" w:type="dxa"/>
            <w:tcBorders>
              <w:top w:val="single" w:sz="2" w:space="0" w:color="auto"/>
              <w:left w:val="single" w:sz="6" w:space="0" w:color="auto"/>
              <w:bottom w:val="single" w:sz="2" w:space="0" w:color="auto"/>
              <w:right w:val="single" w:sz="6" w:space="0" w:color="auto"/>
            </w:tcBorders>
            <w:shd w:val="clear" w:color="auto" w:fill="auto"/>
            <w:noWrap/>
            <w:hideMark/>
          </w:tcPr>
          <w:p w14:paraId="18AFBD51" w14:textId="77777777" w:rsidR="002A3409" w:rsidRPr="006D5279" w:rsidRDefault="002A3409" w:rsidP="006B5A62">
            <w:pPr>
              <w:spacing w:before="20" w:after="20" w:line="240" w:lineRule="auto"/>
              <w:jc w:val="right"/>
              <w:rPr>
                <w:rFonts w:eastAsia="Times New Roman" w:cs="Calibri"/>
                <w:color w:val="000000"/>
                <w:sz w:val="20"/>
                <w:szCs w:val="20"/>
                <w:lang w:val="es-ES" w:eastAsia="es-ES"/>
              </w:rPr>
            </w:pPr>
            <w:r w:rsidRPr="006D5279">
              <w:rPr>
                <w:sz w:val="20"/>
                <w:szCs w:val="20"/>
              </w:rPr>
              <w:t xml:space="preserve"> 474.707 </w:t>
            </w:r>
          </w:p>
        </w:tc>
      </w:tr>
      <w:tr w:rsidR="002A3409" w:rsidRPr="00C61D54" w14:paraId="3365A38F" w14:textId="77777777" w:rsidTr="006B5A62">
        <w:trPr>
          <w:jc w:val="center"/>
        </w:trPr>
        <w:tc>
          <w:tcPr>
            <w:tcW w:w="204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79FE587" w14:textId="77777777" w:rsidR="002A3409" w:rsidRPr="006D5279" w:rsidRDefault="002A3409" w:rsidP="006B5A62">
            <w:pPr>
              <w:spacing w:before="20" w:after="20" w:line="240" w:lineRule="auto"/>
              <w:jc w:val="center"/>
              <w:rPr>
                <w:rFonts w:eastAsia="Times New Roman" w:cs="Calibri"/>
                <w:color w:val="000000"/>
                <w:sz w:val="20"/>
                <w:szCs w:val="20"/>
                <w:lang w:val="es-ES" w:eastAsia="es-ES"/>
              </w:rPr>
            </w:pPr>
            <w:r w:rsidRPr="006D5279">
              <w:rPr>
                <w:rFonts w:cs="Calibri"/>
                <w:color w:val="000000"/>
                <w:sz w:val="20"/>
                <w:szCs w:val="20"/>
              </w:rPr>
              <w:t xml:space="preserve">SE-N_13 </w:t>
            </w:r>
          </w:p>
        </w:tc>
        <w:tc>
          <w:tcPr>
            <w:tcW w:w="340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C354B33" w14:textId="77777777" w:rsidR="002A3409" w:rsidRPr="00C61D54" w:rsidRDefault="002A3409" w:rsidP="006B5A62">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Chiloé</w:t>
            </w:r>
          </w:p>
        </w:tc>
        <w:tc>
          <w:tcPr>
            <w:tcW w:w="1701" w:type="dxa"/>
            <w:tcBorders>
              <w:top w:val="single" w:sz="2" w:space="0" w:color="auto"/>
              <w:left w:val="single" w:sz="6" w:space="0" w:color="auto"/>
              <w:bottom w:val="single" w:sz="2" w:space="0" w:color="auto"/>
              <w:right w:val="single" w:sz="6" w:space="0" w:color="auto"/>
            </w:tcBorders>
            <w:shd w:val="clear" w:color="auto" w:fill="auto"/>
            <w:noWrap/>
            <w:hideMark/>
          </w:tcPr>
          <w:p w14:paraId="0392D798" w14:textId="77777777" w:rsidR="002A3409" w:rsidRPr="006D5279" w:rsidRDefault="002A3409" w:rsidP="006B5A62">
            <w:pPr>
              <w:spacing w:before="20" w:after="20" w:line="240" w:lineRule="auto"/>
              <w:jc w:val="right"/>
              <w:rPr>
                <w:rFonts w:eastAsia="Times New Roman" w:cs="Calibri"/>
                <w:color w:val="000000"/>
                <w:sz w:val="20"/>
                <w:szCs w:val="20"/>
                <w:lang w:val="es-ES" w:eastAsia="es-ES"/>
              </w:rPr>
            </w:pPr>
            <w:r w:rsidRPr="006D5279">
              <w:rPr>
                <w:sz w:val="20"/>
                <w:szCs w:val="20"/>
              </w:rPr>
              <w:t xml:space="preserve"> 222.685 </w:t>
            </w:r>
          </w:p>
        </w:tc>
      </w:tr>
      <w:tr w:rsidR="002A3409" w:rsidRPr="00C61D54" w14:paraId="7EF9C647" w14:textId="77777777" w:rsidTr="006B5A62">
        <w:trPr>
          <w:jc w:val="center"/>
        </w:trPr>
        <w:tc>
          <w:tcPr>
            <w:tcW w:w="204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D406769" w14:textId="77777777" w:rsidR="002A3409" w:rsidRPr="006D5279" w:rsidRDefault="002A3409" w:rsidP="006B5A62">
            <w:pPr>
              <w:spacing w:before="20" w:after="20" w:line="240" w:lineRule="auto"/>
              <w:jc w:val="center"/>
              <w:rPr>
                <w:rFonts w:eastAsia="Times New Roman" w:cs="Calibri"/>
                <w:color w:val="000000"/>
                <w:sz w:val="20"/>
                <w:szCs w:val="20"/>
                <w:lang w:val="es-ES" w:eastAsia="es-ES"/>
              </w:rPr>
            </w:pPr>
            <w:r w:rsidRPr="006D5279">
              <w:rPr>
                <w:rFonts w:cs="Calibri"/>
                <w:color w:val="000000"/>
                <w:sz w:val="20"/>
                <w:szCs w:val="20"/>
              </w:rPr>
              <w:t xml:space="preserve">SE-N_14 </w:t>
            </w:r>
          </w:p>
        </w:tc>
        <w:tc>
          <w:tcPr>
            <w:tcW w:w="340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ACC0568" w14:textId="77777777" w:rsidR="002A3409" w:rsidRPr="00C61D54" w:rsidRDefault="002A3409" w:rsidP="006B5A62">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Chuquicamata</w:t>
            </w:r>
          </w:p>
        </w:tc>
        <w:tc>
          <w:tcPr>
            <w:tcW w:w="1701" w:type="dxa"/>
            <w:tcBorders>
              <w:top w:val="single" w:sz="2" w:space="0" w:color="auto"/>
              <w:left w:val="single" w:sz="6" w:space="0" w:color="auto"/>
              <w:bottom w:val="single" w:sz="2" w:space="0" w:color="auto"/>
              <w:right w:val="single" w:sz="6" w:space="0" w:color="auto"/>
            </w:tcBorders>
            <w:shd w:val="clear" w:color="auto" w:fill="auto"/>
            <w:noWrap/>
            <w:hideMark/>
          </w:tcPr>
          <w:p w14:paraId="4FF82D96" w14:textId="77777777" w:rsidR="002A3409" w:rsidRPr="006D5279" w:rsidRDefault="002A3409" w:rsidP="006B5A62">
            <w:pPr>
              <w:spacing w:before="20" w:after="20" w:line="240" w:lineRule="auto"/>
              <w:jc w:val="right"/>
              <w:rPr>
                <w:rFonts w:eastAsia="Times New Roman" w:cs="Calibri"/>
                <w:color w:val="000000"/>
                <w:sz w:val="20"/>
                <w:szCs w:val="20"/>
                <w:lang w:val="es-ES" w:eastAsia="es-ES"/>
              </w:rPr>
            </w:pPr>
            <w:r w:rsidRPr="006D5279">
              <w:rPr>
                <w:sz w:val="20"/>
                <w:szCs w:val="20"/>
              </w:rPr>
              <w:t xml:space="preserve"> 165.318 </w:t>
            </w:r>
          </w:p>
        </w:tc>
      </w:tr>
      <w:tr w:rsidR="002A3409" w:rsidRPr="00C61D54" w14:paraId="198693DC" w14:textId="77777777" w:rsidTr="006B5A62">
        <w:trPr>
          <w:jc w:val="center"/>
        </w:trPr>
        <w:tc>
          <w:tcPr>
            <w:tcW w:w="204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F389C7C" w14:textId="77777777" w:rsidR="002A3409" w:rsidRPr="006D5279" w:rsidRDefault="002A3409" w:rsidP="006B5A62">
            <w:pPr>
              <w:spacing w:before="20" w:after="20" w:line="240" w:lineRule="auto"/>
              <w:jc w:val="center"/>
              <w:rPr>
                <w:rFonts w:eastAsia="Times New Roman" w:cs="Calibri"/>
                <w:color w:val="000000"/>
                <w:sz w:val="20"/>
                <w:szCs w:val="20"/>
                <w:lang w:val="es-ES" w:eastAsia="es-ES"/>
              </w:rPr>
            </w:pPr>
            <w:r w:rsidRPr="006D5279">
              <w:rPr>
                <w:rFonts w:cs="Calibri"/>
                <w:color w:val="000000"/>
                <w:sz w:val="20"/>
                <w:szCs w:val="20"/>
              </w:rPr>
              <w:t xml:space="preserve">SE-N_15 </w:t>
            </w:r>
          </w:p>
        </w:tc>
        <w:tc>
          <w:tcPr>
            <w:tcW w:w="340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9D82347" w14:textId="77777777" w:rsidR="002A3409" w:rsidRPr="00C61D54" w:rsidRDefault="002A3409" w:rsidP="006B5A62">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Ciruelos</w:t>
            </w:r>
          </w:p>
        </w:tc>
        <w:tc>
          <w:tcPr>
            <w:tcW w:w="1701" w:type="dxa"/>
            <w:tcBorders>
              <w:top w:val="single" w:sz="2" w:space="0" w:color="auto"/>
              <w:left w:val="single" w:sz="6" w:space="0" w:color="auto"/>
              <w:bottom w:val="single" w:sz="2" w:space="0" w:color="auto"/>
              <w:right w:val="single" w:sz="6" w:space="0" w:color="auto"/>
            </w:tcBorders>
            <w:shd w:val="clear" w:color="auto" w:fill="auto"/>
            <w:noWrap/>
            <w:hideMark/>
          </w:tcPr>
          <w:p w14:paraId="03CE39A8" w14:textId="77777777" w:rsidR="002A3409" w:rsidRPr="006D5279" w:rsidRDefault="002A3409" w:rsidP="006B5A62">
            <w:pPr>
              <w:spacing w:before="20" w:after="20" w:line="240" w:lineRule="auto"/>
              <w:jc w:val="right"/>
              <w:rPr>
                <w:rFonts w:eastAsia="Times New Roman" w:cs="Calibri"/>
                <w:color w:val="000000"/>
                <w:sz w:val="20"/>
                <w:szCs w:val="20"/>
                <w:lang w:val="es-ES" w:eastAsia="es-ES"/>
              </w:rPr>
            </w:pPr>
            <w:r w:rsidRPr="006D5279">
              <w:rPr>
                <w:sz w:val="20"/>
                <w:szCs w:val="20"/>
              </w:rPr>
              <w:t xml:space="preserve"> 859.130 </w:t>
            </w:r>
          </w:p>
        </w:tc>
      </w:tr>
      <w:tr w:rsidR="002A3409" w:rsidRPr="00C61D54" w14:paraId="2CC929B7" w14:textId="77777777" w:rsidTr="006B5A62">
        <w:trPr>
          <w:jc w:val="center"/>
        </w:trPr>
        <w:tc>
          <w:tcPr>
            <w:tcW w:w="204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AE330BE" w14:textId="77777777" w:rsidR="002A3409" w:rsidRPr="006D5279" w:rsidRDefault="002A3409" w:rsidP="006B5A62">
            <w:pPr>
              <w:spacing w:before="20" w:after="20" w:line="240" w:lineRule="auto"/>
              <w:jc w:val="center"/>
              <w:rPr>
                <w:rFonts w:eastAsia="Times New Roman" w:cs="Calibri"/>
                <w:color w:val="000000"/>
                <w:sz w:val="20"/>
                <w:szCs w:val="20"/>
                <w:lang w:val="es-ES" w:eastAsia="es-ES"/>
              </w:rPr>
            </w:pPr>
            <w:r w:rsidRPr="006D5279">
              <w:rPr>
                <w:rFonts w:cs="Calibri"/>
                <w:color w:val="000000"/>
                <w:sz w:val="20"/>
                <w:szCs w:val="20"/>
              </w:rPr>
              <w:t xml:space="preserve">SE-N_16 </w:t>
            </w:r>
          </w:p>
        </w:tc>
        <w:tc>
          <w:tcPr>
            <w:tcW w:w="340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8D1D059" w14:textId="77777777" w:rsidR="002A3409" w:rsidRPr="00C61D54" w:rsidRDefault="002A3409" w:rsidP="006B5A62">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Colbun</w:t>
            </w:r>
          </w:p>
        </w:tc>
        <w:tc>
          <w:tcPr>
            <w:tcW w:w="1701" w:type="dxa"/>
            <w:tcBorders>
              <w:top w:val="single" w:sz="2" w:space="0" w:color="auto"/>
              <w:left w:val="single" w:sz="6" w:space="0" w:color="auto"/>
              <w:bottom w:val="single" w:sz="2" w:space="0" w:color="auto"/>
              <w:right w:val="single" w:sz="6" w:space="0" w:color="auto"/>
            </w:tcBorders>
            <w:shd w:val="clear" w:color="auto" w:fill="auto"/>
            <w:noWrap/>
            <w:hideMark/>
          </w:tcPr>
          <w:p w14:paraId="0432D2AF" w14:textId="77777777" w:rsidR="002A3409" w:rsidRPr="006D5279" w:rsidRDefault="002A3409" w:rsidP="006B5A62">
            <w:pPr>
              <w:spacing w:before="20" w:after="20" w:line="240" w:lineRule="auto"/>
              <w:jc w:val="right"/>
              <w:rPr>
                <w:rFonts w:eastAsia="Times New Roman" w:cs="Calibri"/>
                <w:color w:val="000000"/>
                <w:sz w:val="20"/>
                <w:szCs w:val="20"/>
                <w:lang w:val="es-ES" w:eastAsia="es-ES"/>
              </w:rPr>
            </w:pPr>
            <w:r w:rsidRPr="006D5279">
              <w:rPr>
                <w:sz w:val="20"/>
                <w:szCs w:val="20"/>
              </w:rPr>
              <w:t xml:space="preserve"> 309.888 </w:t>
            </w:r>
          </w:p>
        </w:tc>
      </w:tr>
      <w:tr w:rsidR="002A3409" w:rsidRPr="00C61D54" w14:paraId="2A0ABBA2" w14:textId="77777777" w:rsidTr="006B5A62">
        <w:trPr>
          <w:jc w:val="center"/>
        </w:trPr>
        <w:tc>
          <w:tcPr>
            <w:tcW w:w="204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C52166A" w14:textId="77777777" w:rsidR="002A3409" w:rsidRPr="006D5279" w:rsidRDefault="002A3409" w:rsidP="006B5A62">
            <w:pPr>
              <w:spacing w:before="20" w:after="20" w:line="240" w:lineRule="auto"/>
              <w:jc w:val="center"/>
              <w:rPr>
                <w:rFonts w:eastAsia="Times New Roman" w:cs="Calibri"/>
                <w:color w:val="000000"/>
                <w:sz w:val="20"/>
                <w:szCs w:val="20"/>
                <w:lang w:val="es-ES" w:eastAsia="es-ES"/>
              </w:rPr>
            </w:pPr>
            <w:r w:rsidRPr="006D5279">
              <w:rPr>
                <w:rFonts w:cs="Calibri"/>
                <w:color w:val="000000"/>
                <w:sz w:val="20"/>
                <w:szCs w:val="20"/>
              </w:rPr>
              <w:t xml:space="preserve">SE-N_17 </w:t>
            </w:r>
          </w:p>
        </w:tc>
        <w:tc>
          <w:tcPr>
            <w:tcW w:w="340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432BE8B" w14:textId="77777777" w:rsidR="002A3409" w:rsidRPr="00C61D54" w:rsidRDefault="002A3409" w:rsidP="006B5A62">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Concepción</w:t>
            </w:r>
          </w:p>
        </w:tc>
        <w:tc>
          <w:tcPr>
            <w:tcW w:w="1701" w:type="dxa"/>
            <w:tcBorders>
              <w:top w:val="single" w:sz="2" w:space="0" w:color="auto"/>
              <w:left w:val="single" w:sz="6" w:space="0" w:color="auto"/>
              <w:bottom w:val="single" w:sz="2" w:space="0" w:color="auto"/>
              <w:right w:val="single" w:sz="6" w:space="0" w:color="auto"/>
            </w:tcBorders>
            <w:shd w:val="clear" w:color="auto" w:fill="auto"/>
            <w:noWrap/>
            <w:hideMark/>
          </w:tcPr>
          <w:p w14:paraId="19C4B2C4" w14:textId="77777777" w:rsidR="002A3409" w:rsidRPr="006D5279" w:rsidRDefault="002A3409" w:rsidP="006B5A62">
            <w:pPr>
              <w:spacing w:before="20" w:after="20" w:line="240" w:lineRule="auto"/>
              <w:jc w:val="right"/>
              <w:rPr>
                <w:rFonts w:eastAsia="Times New Roman" w:cs="Calibri"/>
                <w:color w:val="000000"/>
                <w:sz w:val="20"/>
                <w:szCs w:val="20"/>
                <w:lang w:val="es-ES" w:eastAsia="es-ES"/>
              </w:rPr>
            </w:pPr>
            <w:r w:rsidRPr="006D5279">
              <w:rPr>
                <w:sz w:val="20"/>
                <w:szCs w:val="20"/>
              </w:rPr>
              <w:t xml:space="preserve"> 601.818 </w:t>
            </w:r>
          </w:p>
        </w:tc>
      </w:tr>
      <w:tr w:rsidR="002A3409" w:rsidRPr="00C61D54" w14:paraId="24F97376" w14:textId="77777777" w:rsidTr="006B5A62">
        <w:trPr>
          <w:jc w:val="center"/>
        </w:trPr>
        <w:tc>
          <w:tcPr>
            <w:tcW w:w="204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8CCF2B1" w14:textId="77777777" w:rsidR="002A3409" w:rsidRPr="006D5279" w:rsidRDefault="002A3409" w:rsidP="006B5A62">
            <w:pPr>
              <w:spacing w:before="20" w:after="20" w:line="240" w:lineRule="auto"/>
              <w:jc w:val="center"/>
              <w:rPr>
                <w:rFonts w:eastAsia="Times New Roman" w:cs="Calibri"/>
                <w:color w:val="000000"/>
                <w:sz w:val="20"/>
                <w:szCs w:val="20"/>
                <w:lang w:val="es-ES" w:eastAsia="es-ES"/>
              </w:rPr>
            </w:pPr>
            <w:r w:rsidRPr="006D5279">
              <w:rPr>
                <w:rFonts w:cs="Calibri"/>
                <w:color w:val="000000"/>
                <w:sz w:val="20"/>
                <w:szCs w:val="20"/>
              </w:rPr>
              <w:t xml:space="preserve">SE-N_18 </w:t>
            </w:r>
          </w:p>
        </w:tc>
        <w:tc>
          <w:tcPr>
            <w:tcW w:w="340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9875D05" w14:textId="77777777" w:rsidR="002A3409" w:rsidRPr="00C61D54" w:rsidRDefault="002A3409" w:rsidP="006B5A62">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Cóndores</w:t>
            </w:r>
          </w:p>
        </w:tc>
        <w:tc>
          <w:tcPr>
            <w:tcW w:w="1701" w:type="dxa"/>
            <w:tcBorders>
              <w:top w:val="single" w:sz="2" w:space="0" w:color="auto"/>
              <w:left w:val="single" w:sz="6" w:space="0" w:color="auto"/>
              <w:bottom w:val="single" w:sz="2" w:space="0" w:color="auto"/>
              <w:right w:val="single" w:sz="6" w:space="0" w:color="auto"/>
            </w:tcBorders>
            <w:shd w:val="clear" w:color="auto" w:fill="auto"/>
            <w:noWrap/>
            <w:hideMark/>
          </w:tcPr>
          <w:p w14:paraId="0908783D" w14:textId="77777777" w:rsidR="002A3409" w:rsidRPr="006D5279" w:rsidRDefault="002A3409" w:rsidP="006B5A62">
            <w:pPr>
              <w:spacing w:before="20" w:after="20" w:line="240" w:lineRule="auto"/>
              <w:jc w:val="right"/>
              <w:rPr>
                <w:rFonts w:eastAsia="Times New Roman" w:cs="Calibri"/>
                <w:color w:val="000000"/>
                <w:sz w:val="20"/>
                <w:szCs w:val="20"/>
                <w:lang w:val="es-ES" w:eastAsia="es-ES"/>
              </w:rPr>
            </w:pPr>
            <w:r w:rsidRPr="006D5279">
              <w:rPr>
                <w:sz w:val="20"/>
                <w:szCs w:val="20"/>
              </w:rPr>
              <w:t xml:space="preserve"> 440.404 </w:t>
            </w:r>
          </w:p>
        </w:tc>
      </w:tr>
      <w:tr w:rsidR="002A3409" w:rsidRPr="00C61D54" w14:paraId="0BCDEFAB" w14:textId="77777777" w:rsidTr="006B5A62">
        <w:trPr>
          <w:jc w:val="center"/>
        </w:trPr>
        <w:tc>
          <w:tcPr>
            <w:tcW w:w="204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0CF2B4B" w14:textId="77777777" w:rsidR="002A3409" w:rsidRPr="006D5279" w:rsidRDefault="002A3409" w:rsidP="006B5A62">
            <w:pPr>
              <w:spacing w:before="20" w:after="20" w:line="240" w:lineRule="auto"/>
              <w:jc w:val="center"/>
              <w:rPr>
                <w:rFonts w:eastAsia="Times New Roman" w:cs="Calibri"/>
                <w:color w:val="000000"/>
                <w:sz w:val="20"/>
                <w:szCs w:val="20"/>
                <w:lang w:val="es-ES" w:eastAsia="es-ES"/>
              </w:rPr>
            </w:pPr>
            <w:r w:rsidRPr="006D5279">
              <w:rPr>
                <w:rFonts w:cs="Calibri"/>
                <w:color w:val="000000"/>
                <w:sz w:val="20"/>
                <w:szCs w:val="20"/>
              </w:rPr>
              <w:t xml:space="preserve">SE-N_19 </w:t>
            </w:r>
          </w:p>
        </w:tc>
        <w:tc>
          <w:tcPr>
            <w:tcW w:w="340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6BCA346" w14:textId="77777777" w:rsidR="002A3409" w:rsidRPr="00C61D54" w:rsidRDefault="002A3409" w:rsidP="006B5A62">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Crucero</w:t>
            </w:r>
          </w:p>
        </w:tc>
        <w:tc>
          <w:tcPr>
            <w:tcW w:w="1701" w:type="dxa"/>
            <w:tcBorders>
              <w:top w:val="single" w:sz="2" w:space="0" w:color="auto"/>
              <w:left w:val="single" w:sz="6" w:space="0" w:color="auto"/>
              <w:bottom w:val="single" w:sz="2" w:space="0" w:color="auto"/>
              <w:right w:val="single" w:sz="6" w:space="0" w:color="auto"/>
            </w:tcBorders>
            <w:shd w:val="clear" w:color="auto" w:fill="auto"/>
            <w:noWrap/>
            <w:hideMark/>
          </w:tcPr>
          <w:p w14:paraId="3DD0BC20" w14:textId="77777777" w:rsidR="002A3409" w:rsidRPr="006D5279" w:rsidRDefault="002A3409" w:rsidP="006B5A62">
            <w:pPr>
              <w:spacing w:before="20" w:after="20" w:line="240" w:lineRule="auto"/>
              <w:jc w:val="right"/>
              <w:rPr>
                <w:rFonts w:eastAsia="Times New Roman" w:cs="Calibri"/>
                <w:color w:val="000000"/>
                <w:sz w:val="20"/>
                <w:szCs w:val="20"/>
                <w:lang w:val="es-ES" w:eastAsia="es-ES"/>
              </w:rPr>
            </w:pPr>
            <w:r w:rsidRPr="006D5279">
              <w:rPr>
                <w:sz w:val="20"/>
                <w:szCs w:val="20"/>
              </w:rPr>
              <w:t xml:space="preserve"> 995.490 </w:t>
            </w:r>
          </w:p>
        </w:tc>
      </w:tr>
      <w:tr w:rsidR="002A3409" w:rsidRPr="00C61D54" w14:paraId="12EC00DE" w14:textId="77777777" w:rsidTr="006B5A62">
        <w:trPr>
          <w:jc w:val="center"/>
        </w:trPr>
        <w:tc>
          <w:tcPr>
            <w:tcW w:w="204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6703701" w14:textId="77777777" w:rsidR="002A3409" w:rsidRPr="006D5279" w:rsidRDefault="002A3409" w:rsidP="006B5A62">
            <w:pPr>
              <w:spacing w:before="20" w:after="20" w:line="240" w:lineRule="auto"/>
              <w:jc w:val="center"/>
              <w:rPr>
                <w:rFonts w:eastAsia="Times New Roman" w:cs="Calibri"/>
                <w:color w:val="000000"/>
                <w:sz w:val="20"/>
                <w:szCs w:val="20"/>
                <w:lang w:val="es-ES" w:eastAsia="es-ES"/>
              </w:rPr>
            </w:pPr>
            <w:r w:rsidRPr="006D5279">
              <w:rPr>
                <w:rFonts w:cs="Calibri"/>
                <w:color w:val="000000"/>
                <w:sz w:val="20"/>
                <w:szCs w:val="20"/>
              </w:rPr>
              <w:t xml:space="preserve">SE-N_20 </w:t>
            </w:r>
          </w:p>
        </w:tc>
        <w:tc>
          <w:tcPr>
            <w:tcW w:w="340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9FB10EE" w14:textId="77777777" w:rsidR="002A3409" w:rsidRPr="00C61D54" w:rsidRDefault="002A3409" w:rsidP="006B5A62">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Cumbres</w:t>
            </w:r>
          </w:p>
        </w:tc>
        <w:tc>
          <w:tcPr>
            <w:tcW w:w="1701" w:type="dxa"/>
            <w:tcBorders>
              <w:top w:val="single" w:sz="2" w:space="0" w:color="auto"/>
              <w:left w:val="single" w:sz="6" w:space="0" w:color="auto"/>
              <w:bottom w:val="single" w:sz="2" w:space="0" w:color="auto"/>
              <w:right w:val="single" w:sz="6" w:space="0" w:color="auto"/>
            </w:tcBorders>
            <w:shd w:val="clear" w:color="auto" w:fill="auto"/>
            <w:noWrap/>
            <w:hideMark/>
          </w:tcPr>
          <w:p w14:paraId="3FC56622" w14:textId="77777777" w:rsidR="002A3409" w:rsidRPr="006D5279" w:rsidRDefault="002A3409" w:rsidP="006B5A62">
            <w:pPr>
              <w:spacing w:before="20" w:after="20" w:line="240" w:lineRule="auto"/>
              <w:jc w:val="right"/>
              <w:rPr>
                <w:rFonts w:eastAsia="Times New Roman" w:cs="Calibri"/>
                <w:color w:val="000000"/>
                <w:sz w:val="20"/>
                <w:szCs w:val="20"/>
                <w:lang w:val="es-ES" w:eastAsia="es-ES"/>
              </w:rPr>
            </w:pPr>
            <w:r w:rsidRPr="006D5279">
              <w:rPr>
                <w:sz w:val="20"/>
                <w:szCs w:val="20"/>
              </w:rPr>
              <w:t xml:space="preserve"> 1.709.422 </w:t>
            </w:r>
          </w:p>
        </w:tc>
      </w:tr>
      <w:tr w:rsidR="002A3409" w:rsidRPr="00C61D54" w14:paraId="795BD706" w14:textId="77777777" w:rsidTr="006B5A62">
        <w:trPr>
          <w:jc w:val="center"/>
        </w:trPr>
        <w:tc>
          <w:tcPr>
            <w:tcW w:w="204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2EA0850" w14:textId="77777777" w:rsidR="002A3409" w:rsidRPr="006D5279" w:rsidRDefault="002A3409" w:rsidP="006B5A62">
            <w:pPr>
              <w:spacing w:before="20" w:after="20" w:line="240" w:lineRule="auto"/>
              <w:jc w:val="center"/>
              <w:rPr>
                <w:rFonts w:eastAsia="Times New Roman" w:cs="Calibri"/>
                <w:color w:val="000000"/>
                <w:sz w:val="20"/>
                <w:szCs w:val="20"/>
                <w:lang w:val="es-ES" w:eastAsia="es-ES"/>
              </w:rPr>
            </w:pPr>
            <w:r w:rsidRPr="006D5279">
              <w:rPr>
                <w:rFonts w:cs="Calibri"/>
                <w:color w:val="000000"/>
                <w:sz w:val="20"/>
                <w:szCs w:val="20"/>
              </w:rPr>
              <w:t xml:space="preserve">SE-N_21 </w:t>
            </w:r>
          </w:p>
        </w:tc>
        <w:tc>
          <w:tcPr>
            <w:tcW w:w="340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74D995C" w14:textId="77777777" w:rsidR="002A3409" w:rsidRPr="00C61D54" w:rsidRDefault="002A3409" w:rsidP="006B5A62">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Diego De Almagro</w:t>
            </w:r>
          </w:p>
        </w:tc>
        <w:tc>
          <w:tcPr>
            <w:tcW w:w="1701" w:type="dxa"/>
            <w:tcBorders>
              <w:top w:val="single" w:sz="2" w:space="0" w:color="auto"/>
              <w:left w:val="single" w:sz="6" w:space="0" w:color="auto"/>
              <w:bottom w:val="single" w:sz="2" w:space="0" w:color="auto"/>
              <w:right w:val="single" w:sz="6" w:space="0" w:color="auto"/>
            </w:tcBorders>
            <w:shd w:val="clear" w:color="auto" w:fill="auto"/>
            <w:noWrap/>
            <w:hideMark/>
          </w:tcPr>
          <w:p w14:paraId="27015663" w14:textId="77777777" w:rsidR="002A3409" w:rsidRPr="006D5279" w:rsidRDefault="002A3409" w:rsidP="006B5A62">
            <w:pPr>
              <w:spacing w:before="20" w:after="20" w:line="240" w:lineRule="auto"/>
              <w:jc w:val="right"/>
              <w:rPr>
                <w:rFonts w:eastAsia="Times New Roman" w:cs="Calibri"/>
                <w:color w:val="000000"/>
                <w:sz w:val="20"/>
                <w:szCs w:val="20"/>
                <w:lang w:val="es-ES" w:eastAsia="es-ES"/>
              </w:rPr>
            </w:pPr>
            <w:r w:rsidRPr="006D5279">
              <w:rPr>
                <w:sz w:val="20"/>
                <w:szCs w:val="20"/>
              </w:rPr>
              <w:t xml:space="preserve"> 917.966 </w:t>
            </w:r>
          </w:p>
        </w:tc>
      </w:tr>
      <w:tr w:rsidR="002A3409" w:rsidRPr="00C61D54" w14:paraId="42CF95B4" w14:textId="77777777" w:rsidTr="006B5A62">
        <w:trPr>
          <w:jc w:val="center"/>
        </w:trPr>
        <w:tc>
          <w:tcPr>
            <w:tcW w:w="204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354F0D2" w14:textId="77777777" w:rsidR="002A3409" w:rsidRPr="006D5279" w:rsidRDefault="002A3409" w:rsidP="006B5A62">
            <w:pPr>
              <w:spacing w:before="20" w:after="20" w:line="240" w:lineRule="auto"/>
              <w:jc w:val="center"/>
              <w:rPr>
                <w:rFonts w:eastAsia="Times New Roman" w:cs="Calibri"/>
                <w:color w:val="000000"/>
                <w:sz w:val="20"/>
                <w:szCs w:val="20"/>
                <w:lang w:val="es-ES" w:eastAsia="es-ES"/>
              </w:rPr>
            </w:pPr>
            <w:r w:rsidRPr="006D5279">
              <w:rPr>
                <w:rFonts w:cs="Calibri"/>
                <w:color w:val="000000"/>
                <w:sz w:val="20"/>
                <w:szCs w:val="20"/>
              </w:rPr>
              <w:t xml:space="preserve">SE-N_22 </w:t>
            </w:r>
          </w:p>
        </w:tc>
        <w:tc>
          <w:tcPr>
            <w:tcW w:w="340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CA79ADA" w14:textId="77777777" w:rsidR="002A3409" w:rsidRPr="00C61D54" w:rsidRDefault="002A3409" w:rsidP="006B5A62">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Don Goyo</w:t>
            </w:r>
          </w:p>
        </w:tc>
        <w:tc>
          <w:tcPr>
            <w:tcW w:w="1701" w:type="dxa"/>
            <w:tcBorders>
              <w:top w:val="single" w:sz="2" w:space="0" w:color="auto"/>
              <w:left w:val="single" w:sz="6" w:space="0" w:color="auto"/>
              <w:bottom w:val="single" w:sz="2" w:space="0" w:color="auto"/>
              <w:right w:val="single" w:sz="6" w:space="0" w:color="auto"/>
            </w:tcBorders>
            <w:shd w:val="clear" w:color="auto" w:fill="auto"/>
            <w:noWrap/>
            <w:hideMark/>
          </w:tcPr>
          <w:p w14:paraId="44EC92FC" w14:textId="77777777" w:rsidR="002A3409" w:rsidRPr="006D5279" w:rsidRDefault="002A3409" w:rsidP="006B5A62">
            <w:pPr>
              <w:spacing w:before="20" w:after="20" w:line="240" w:lineRule="auto"/>
              <w:jc w:val="right"/>
              <w:rPr>
                <w:rFonts w:eastAsia="Times New Roman" w:cs="Calibri"/>
                <w:color w:val="000000"/>
                <w:sz w:val="20"/>
                <w:szCs w:val="20"/>
                <w:lang w:val="es-ES" w:eastAsia="es-ES"/>
              </w:rPr>
            </w:pPr>
            <w:r w:rsidRPr="006D5279">
              <w:rPr>
                <w:sz w:val="20"/>
                <w:szCs w:val="20"/>
              </w:rPr>
              <w:t xml:space="preserve"> 179.311 </w:t>
            </w:r>
          </w:p>
        </w:tc>
      </w:tr>
      <w:tr w:rsidR="002A3409" w:rsidRPr="00C61D54" w14:paraId="01CE4071" w14:textId="77777777" w:rsidTr="006B5A62">
        <w:trPr>
          <w:jc w:val="center"/>
        </w:trPr>
        <w:tc>
          <w:tcPr>
            <w:tcW w:w="204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0AEF129" w14:textId="77777777" w:rsidR="002A3409" w:rsidRPr="006D5279" w:rsidRDefault="002A3409" w:rsidP="006B5A62">
            <w:pPr>
              <w:spacing w:before="20" w:after="20" w:line="240" w:lineRule="auto"/>
              <w:jc w:val="center"/>
              <w:rPr>
                <w:rFonts w:eastAsia="Times New Roman" w:cs="Calibri"/>
                <w:color w:val="000000"/>
                <w:sz w:val="20"/>
                <w:szCs w:val="20"/>
                <w:lang w:val="es-ES" w:eastAsia="es-ES"/>
              </w:rPr>
            </w:pPr>
            <w:r w:rsidRPr="006D5279">
              <w:rPr>
                <w:rFonts w:cs="Calibri"/>
                <w:color w:val="000000"/>
                <w:sz w:val="20"/>
                <w:szCs w:val="20"/>
              </w:rPr>
              <w:t xml:space="preserve">SE-N_23 </w:t>
            </w:r>
          </w:p>
        </w:tc>
        <w:tc>
          <w:tcPr>
            <w:tcW w:w="340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2667268" w14:textId="77777777" w:rsidR="002A3409" w:rsidRPr="00C61D54" w:rsidRDefault="002A3409" w:rsidP="006B5A62">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Don Héctor</w:t>
            </w:r>
          </w:p>
        </w:tc>
        <w:tc>
          <w:tcPr>
            <w:tcW w:w="1701" w:type="dxa"/>
            <w:tcBorders>
              <w:top w:val="single" w:sz="2" w:space="0" w:color="auto"/>
              <w:left w:val="single" w:sz="6" w:space="0" w:color="auto"/>
              <w:bottom w:val="single" w:sz="2" w:space="0" w:color="auto"/>
              <w:right w:val="single" w:sz="6" w:space="0" w:color="auto"/>
            </w:tcBorders>
            <w:shd w:val="clear" w:color="auto" w:fill="auto"/>
            <w:noWrap/>
            <w:hideMark/>
          </w:tcPr>
          <w:p w14:paraId="6F3FE8AE" w14:textId="77777777" w:rsidR="002A3409" w:rsidRPr="006D5279" w:rsidRDefault="002A3409" w:rsidP="006B5A62">
            <w:pPr>
              <w:spacing w:before="20" w:after="20" w:line="240" w:lineRule="auto"/>
              <w:jc w:val="right"/>
              <w:rPr>
                <w:rFonts w:eastAsia="Times New Roman" w:cs="Calibri"/>
                <w:color w:val="000000"/>
                <w:sz w:val="20"/>
                <w:szCs w:val="20"/>
                <w:lang w:val="es-ES" w:eastAsia="es-ES"/>
              </w:rPr>
            </w:pPr>
            <w:r w:rsidRPr="006D5279">
              <w:rPr>
                <w:sz w:val="20"/>
                <w:szCs w:val="20"/>
              </w:rPr>
              <w:t xml:space="preserve"> 190.983 </w:t>
            </w:r>
          </w:p>
        </w:tc>
      </w:tr>
      <w:tr w:rsidR="002A3409" w:rsidRPr="00C61D54" w14:paraId="676481E5" w14:textId="77777777" w:rsidTr="006B5A62">
        <w:trPr>
          <w:jc w:val="center"/>
        </w:trPr>
        <w:tc>
          <w:tcPr>
            <w:tcW w:w="204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08AF1CF" w14:textId="77777777" w:rsidR="002A3409" w:rsidRPr="006D5279" w:rsidRDefault="002A3409" w:rsidP="006B5A62">
            <w:pPr>
              <w:spacing w:before="20" w:after="20" w:line="240" w:lineRule="auto"/>
              <w:jc w:val="center"/>
              <w:rPr>
                <w:rFonts w:eastAsia="Times New Roman" w:cs="Calibri"/>
                <w:color w:val="000000"/>
                <w:sz w:val="20"/>
                <w:szCs w:val="20"/>
                <w:lang w:val="es-ES" w:eastAsia="es-ES"/>
              </w:rPr>
            </w:pPr>
            <w:r w:rsidRPr="006D5279">
              <w:rPr>
                <w:rFonts w:cs="Calibri"/>
                <w:color w:val="000000"/>
                <w:sz w:val="20"/>
                <w:szCs w:val="20"/>
              </w:rPr>
              <w:t xml:space="preserve">SE-N_24 </w:t>
            </w:r>
          </w:p>
        </w:tc>
        <w:tc>
          <w:tcPr>
            <w:tcW w:w="340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D6B8C56" w14:textId="77777777" w:rsidR="002A3409" w:rsidRPr="00C61D54" w:rsidRDefault="002A3409" w:rsidP="006B5A62">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Duqueco</w:t>
            </w:r>
          </w:p>
        </w:tc>
        <w:tc>
          <w:tcPr>
            <w:tcW w:w="1701" w:type="dxa"/>
            <w:tcBorders>
              <w:top w:val="single" w:sz="2" w:space="0" w:color="auto"/>
              <w:left w:val="single" w:sz="6" w:space="0" w:color="auto"/>
              <w:bottom w:val="single" w:sz="2" w:space="0" w:color="auto"/>
              <w:right w:val="single" w:sz="6" w:space="0" w:color="auto"/>
            </w:tcBorders>
            <w:shd w:val="clear" w:color="auto" w:fill="auto"/>
            <w:noWrap/>
            <w:hideMark/>
          </w:tcPr>
          <w:p w14:paraId="31F38C92" w14:textId="77777777" w:rsidR="002A3409" w:rsidRPr="006D5279" w:rsidRDefault="002A3409" w:rsidP="006B5A62">
            <w:pPr>
              <w:spacing w:before="20" w:after="20" w:line="240" w:lineRule="auto"/>
              <w:jc w:val="right"/>
              <w:rPr>
                <w:rFonts w:eastAsia="Times New Roman" w:cs="Calibri"/>
                <w:color w:val="000000"/>
                <w:sz w:val="20"/>
                <w:szCs w:val="20"/>
                <w:lang w:val="es-ES" w:eastAsia="es-ES"/>
              </w:rPr>
            </w:pPr>
            <w:r w:rsidRPr="006D5279">
              <w:rPr>
                <w:sz w:val="20"/>
                <w:szCs w:val="20"/>
              </w:rPr>
              <w:t xml:space="preserve"> 415.165 </w:t>
            </w:r>
          </w:p>
        </w:tc>
      </w:tr>
      <w:tr w:rsidR="002A3409" w:rsidRPr="00C61D54" w14:paraId="26DC7413" w14:textId="77777777" w:rsidTr="006B5A62">
        <w:trPr>
          <w:jc w:val="center"/>
        </w:trPr>
        <w:tc>
          <w:tcPr>
            <w:tcW w:w="204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5D82BA0" w14:textId="77777777" w:rsidR="002A3409" w:rsidRPr="006D5279" w:rsidRDefault="002A3409" w:rsidP="006B5A62">
            <w:pPr>
              <w:spacing w:before="20" w:after="20" w:line="240" w:lineRule="auto"/>
              <w:jc w:val="center"/>
              <w:rPr>
                <w:rFonts w:eastAsia="Times New Roman" w:cs="Calibri"/>
                <w:color w:val="000000"/>
                <w:sz w:val="20"/>
                <w:szCs w:val="20"/>
                <w:lang w:val="es-ES" w:eastAsia="es-ES"/>
              </w:rPr>
            </w:pPr>
            <w:r w:rsidRPr="006D5279">
              <w:rPr>
                <w:rFonts w:cs="Calibri"/>
                <w:color w:val="000000"/>
                <w:sz w:val="20"/>
                <w:szCs w:val="20"/>
              </w:rPr>
              <w:t xml:space="preserve">SE-N_25 </w:t>
            </w:r>
          </w:p>
        </w:tc>
        <w:tc>
          <w:tcPr>
            <w:tcW w:w="340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10E4F27" w14:textId="77777777" w:rsidR="002A3409" w:rsidRPr="00C61D54" w:rsidRDefault="002A3409" w:rsidP="006B5A62">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El Cobre (Engie)</w:t>
            </w:r>
          </w:p>
        </w:tc>
        <w:tc>
          <w:tcPr>
            <w:tcW w:w="1701" w:type="dxa"/>
            <w:tcBorders>
              <w:top w:val="single" w:sz="2" w:space="0" w:color="auto"/>
              <w:left w:val="single" w:sz="6" w:space="0" w:color="auto"/>
              <w:bottom w:val="single" w:sz="2" w:space="0" w:color="auto"/>
              <w:right w:val="single" w:sz="6" w:space="0" w:color="auto"/>
            </w:tcBorders>
            <w:shd w:val="clear" w:color="auto" w:fill="auto"/>
            <w:noWrap/>
            <w:hideMark/>
          </w:tcPr>
          <w:p w14:paraId="3CFF3D38" w14:textId="77777777" w:rsidR="002A3409" w:rsidRPr="006D5279" w:rsidRDefault="002A3409" w:rsidP="006B5A62">
            <w:pPr>
              <w:spacing w:before="20" w:after="20" w:line="240" w:lineRule="auto"/>
              <w:jc w:val="right"/>
              <w:rPr>
                <w:rFonts w:eastAsia="Times New Roman" w:cs="Calibri"/>
                <w:color w:val="000000"/>
                <w:sz w:val="20"/>
                <w:szCs w:val="20"/>
                <w:lang w:val="es-ES" w:eastAsia="es-ES"/>
              </w:rPr>
            </w:pPr>
            <w:r w:rsidRPr="006D5279">
              <w:rPr>
                <w:sz w:val="20"/>
                <w:szCs w:val="20"/>
              </w:rPr>
              <w:t xml:space="preserve"> 565.447 </w:t>
            </w:r>
          </w:p>
        </w:tc>
      </w:tr>
      <w:tr w:rsidR="002A3409" w:rsidRPr="00C61D54" w14:paraId="613C0868" w14:textId="77777777" w:rsidTr="006B5A62">
        <w:trPr>
          <w:jc w:val="center"/>
        </w:trPr>
        <w:tc>
          <w:tcPr>
            <w:tcW w:w="204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25DB180" w14:textId="77777777" w:rsidR="002A3409" w:rsidRPr="006D5279" w:rsidRDefault="002A3409" w:rsidP="006B5A62">
            <w:pPr>
              <w:spacing w:before="20" w:after="20" w:line="240" w:lineRule="auto"/>
              <w:jc w:val="center"/>
              <w:rPr>
                <w:rFonts w:eastAsia="Times New Roman" w:cs="Calibri"/>
                <w:color w:val="000000"/>
                <w:sz w:val="20"/>
                <w:szCs w:val="20"/>
                <w:lang w:val="es-ES" w:eastAsia="es-ES"/>
              </w:rPr>
            </w:pPr>
            <w:r w:rsidRPr="006D5279">
              <w:rPr>
                <w:rFonts w:cs="Calibri"/>
                <w:color w:val="000000"/>
                <w:sz w:val="20"/>
                <w:szCs w:val="20"/>
              </w:rPr>
              <w:t xml:space="preserve">SE-N_26 </w:t>
            </w:r>
          </w:p>
        </w:tc>
        <w:tc>
          <w:tcPr>
            <w:tcW w:w="3402"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F6F68F9" w14:textId="77777777" w:rsidR="002A3409" w:rsidRPr="00C61D54" w:rsidRDefault="002A3409" w:rsidP="006B5A62">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Encuentro</w:t>
            </w:r>
          </w:p>
        </w:tc>
        <w:tc>
          <w:tcPr>
            <w:tcW w:w="1701" w:type="dxa"/>
            <w:tcBorders>
              <w:top w:val="single" w:sz="2" w:space="0" w:color="auto"/>
              <w:left w:val="single" w:sz="6" w:space="0" w:color="auto"/>
              <w:bottom w:val="single" w:sz="2" w:space="0" w:color="auto"/>
              <w:right w:val="single" w:sz="6" w:space="0" w:color="auto"/>
            </w:tcBorders>
            <w:shd w:val="clear" w:color="auto" w:fill="auto"/>
            <w:noWrap/>
            <w:hideMark/>
          </w:tcPr>
          <w:p w14:paraId="401ADA78" w14:textId="77777777" w:rsidR="002A3409" w:rsidRPr="006D5279" w:rsidRDefault="002A3409" w:rsidP="006B5A62">
            <w:pPr>
              <w:spacing w:before="20" w:after="20" w:line="240" w:lineRule="auto"/>
              <w:jc w:val="right"/>
              <w:rPr>
                <w:rFonts w:eastAsia="Times New Roman" w:cs="Calibri"/>
                <w:color w:val="000000"/>
                <w:sz w:val="20"/>
                <w:szCs w:val="20"/>
                <w:lang w:val="es-ES" w:eastAsia="es-ES"/>
              </w:rPr>
            </w:pPr>
            <w:r w:rsidRPr="006D5279">
              <w:rPr>
                <w:sz w:val="20"/>
                <w:szCs w:val="20"/>
              </w:rPr>
              <w:t xml:space="preserve"> 1.154.893 </w:t>
            </w:r>
          </w:p>
        </w:tc>
      </w:tr>
      <w:tr w:rsidR="002A3409" w:rsidRPr="00C61D54" w14:paraId="0CDEF91F" w14:textId="77777777" w:rsidTr="006B5A62">
        <w:trPr>
          <w:jc w:val="center"/>
        </w:trPr>
        <w:tc>
          <w:tcPr>
            <w:tcW w:w="204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71B5D50" w14:textId="77777777" w:rsidR="002A3409" w:rsidRPr="006D5279" w:rsidRDefault="002A3409" w:rsidP="006B5A62">
            <w:pPr>
              <w:spacing w:before="20" w:after="20" w:line="240" w:lineRule="auto"/>
              <w:jc w:val="center"/>
              <w:rPr>
                <w:rFonts w:eastAsia="Times New Roman" w:cs="Calibri"/>
                <w:color w:val="000000"/>
                <w:sz w:val="20"/>
                <w:szCs w:val="20"/>
                <w:lang w:val="es-ES" w:eastAsia="es-ES"/>
              </w:rPr>
            </w:pPr>
            <w:r w:rsidRPr="006D5279">
              <w:rPr>
                <w:rFonts w:cs="Calibri"/>
                <w:color w:val="000000"/>
                <w:sz w:val="20"/>
                <w:szCs w:val="20"/>
              </w:rPr>
              <w:t xml:space="preserve">SE-N_27 </w:t>
            </w:r>
          </w:p>
        </w:tc>
        <w:tc>
          <w:tcPr>
            <w:tcW w:w="3402" w:type="dxa"/>
            <w:tcBorders>
              <w:top w:val="single" w:sz="2" w:space="0" w:color="auto"/>
              <w:left w:val="single" w:sz="6" w:space="0" w:color="auto"/>
              <w:bottom w:val="single" w:sz="2" w:space="0" w:color="auto"/>
              <w:right w:val="single" w:sz="6" w:space="0" w:color="auto"/>
            </w:tcBorders>
            <w:shd w:val="clear" w:color="auto" w:fill="auto"/>
            <w:noWrap/>
            <w:vAlign w:val="center"/>
          </w:tcPr>
          <w:p w14:paraId="4FD7B69B" w14:textId="77777777" w:rsidR="002A3409" w:rsidRPr="00C61D54" w:rsidRDefault="002A3409" w:rsidP="006B5A62">
            <w:pPr>
              <w:spacing w:before="20" w:after="20" w:line="240" w:lineRule="auto"/>
              <w:jc w:val="left"/>
              <w:rPr>
                <w:rFonts w:eastAsia="Times New Roman" w:cs="Calibri"/>
                <w:color w:val="000000"/>
                <w:sz w:val="20"/>
                <w:szCs w:val="20"/>
                <w:lang w:val="es-ES" w:eastAsia="es-ES"/>
              </w:rPr>
            </w:pPr>
            <w:r>
              <w:rPr>
                <w:rFonts w:eastAsia="Times New Roman" w:cs="Calibri"/>
                <w:color w:val="000000"/>
                <w:sz w:val="20"/>
                <w:szCs w:val="20"/>
                <w:lang w:val="es-ES" w:eastAsia="es-ES"/>
              </w:rPr>
              <w:t>Esperanza SING</w:t>
            </w:r>
          </w:p>
        </w:tc>
        <w:tc>
          <w:tcPr>
            <w:tcW w:w="1701" w:type="dxa"/>
            <w:tcBorders>
              <w:top w:val="single" w:sz="2" w:space="0" w:color="auto"/>
              <w:left w:val="single" w:sz="6" w:space="0" w:color="auto"/>
              <w:bottom w:val="single" w:sz="2" w:space="0" w:color="auto"/>
              <w:right w:val="single" w:sz="6" w:space="0" w:color="auto"/>
            </w:tcBorders>
            <w:shd w:val="clear" w:color="auto" w:fill="auto"/>
            <w:noWrap/>
            <w:hideMark/>
          </w:tcPr>
          <w:p w14:paraId="21852B68" w14:textId="77777777" w:rsidR="002A3409" w:rsidRPr="006D5279" w:rsidRDefault="002A3409" w:rsidP="006B5A62">
            <w:pPr>
              <w:spacing w:before="20" w:after="20" w:line="240" w:lineRule="auto"/>
              <w:jc w:val="right"/>
              <w:rPr>
                <w:rFonts w:eastAsia="Times New Roman" w:cs="Calibri"/>
                <w:color w:val="000000"/>
                <w:sz w:val="20"/>
                <w:szCs w:val="20"/>
                <w:lang w:val="es-ES" w:eastAsia="es-ES"/>
              </w:rPr>
            </w:pPr>
            <w:r w:rsidRPr="006D5279">
              <w:rPr>
                <w:sz w:val="20"/>
                <w:szCs w:val="20"/>
              </w:rPr>
              <w:t xml:space="preserve"> 372.971 </w:t>
            </w:r>
          </w:p>
        </w:tc>
      </w:tr>
      <w:tr w:rsidR="002A3409" w:rsidRPr="00C61D54" w14:paraId="7E5FC49A" w14:textId="77777777" w:rsidTr="006B5A62">
        <w:trPr>
          <w:jc w:val="center"/>
        </w:trPr>
        <w:tc>
          <w:tcPr>
            <w:tcW w:w="204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107C08C" w14:textId="77777777" w:rsidR="002A3409" w:rsidRPr="006D5279" w:rsidRDefault="002A3409" w:rsidP="006B5A62">
            <w:pPr>
              <w:spacing w:before="20" w:after="20" w:line="240" w:lineRule="auto"/>
              <w:jc w:val="center"/>
              <w:rPr>
                <w:rFonts w:eastAsia="Times New Roman" w:cs="Calibri"/>
                <w:color w:val="000000"/>
                <w:sz w:val="20"/>
                <w:szCs w:val="20"/>
                <w:lang w:val="es-ES" w:eastAsia="es-ES"/>
              </w:rPr>
            </w:pPr>
            <w:r w:rsidRPr="006D5279">
              <w:rPr>
                <w:rFonts w:cs="Calibri"/>
                <w:color w:val="000000"/>
                <w:sz w:val="20"/>
                <w:szCs w:val="20"/>
              </w:rPr>
              <w:t xml:space="preserve">SE-N_28 </w:t>
            </w:r>
          </w:p>
        </w:tc>
        <w:tc>
          <w:tcPr>
            <w:tcW w:w="3402" w:type="dxa"/>
            <w:tcBorders>
              <w:top w:val="single" w:sz="2" w:space="0" w:color="auto"/>
              <w:left w:val="single" w:sz="6" w:space="0" w:color="auto"/>
              <w:bottom w:val="single" w:sz="2" w:space="0" w:color="auto"/>
              <w:right w:val="single" w:sz="6" w:space="0" w:color="auto"/>
            </w:tcBorders>
            <w:shd w:val="clear" w:color="auto" w:fill="auto"/>
            <w:noWrap/>
            <w:vAlign w:val="center"/>
          </w:tcPr>
          <w:p w14:paraId="0172B419" w14:textId="77777777" w:rsidR="002A3409" w:rsidRPr="00C61D54" w:rsidRDefault="002A3409" w:rsidP="006B5A62">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Hualpen</w:t>
            </w:r>
          </w:p>
        </w:tc>
        <w:tc>
          <w:tcPr>
            <w:tcW w:w="1701" w:type="dxa"/>
            <w:tcBorders>
              <w:top w:val="single" w:sz="2" w:space="0" w:color="auto"/>
              <w:left w:val="single" w:sz="6" w:space="0" w:color="auto"/>
              <w:bottom w:val="single" w:sz="2" w:space="0" w:color="auto"/>
              <w:right w:val="single" w:sz="6" w:space="0" w:color="auto"/>
            </w:tcBorders>
            <w:shd w:val="clear" w:color="auto" w:fill="auto"/>
            <w:noWrap/>
            <w:hideMark/>
          </w:tcPr>
          <w:p w14:paraId="2873D283" w14:textId="77777777" w:rsidR="002A3409" w:rsidRPr="006D5279" w:rsidRDefault="002A3409" w:rsidP="006B5A62">
            <w:pPr>
              <w:spacing w:before="20" w:after="20" w:line="240" w:lineRule="auto"/>
              <w:jc w:val="right"/>
              <w:rPr>
                <w:rFonts w:eastAsia="Times New Roman" w:cs="Calibri"/>
                <w:color w:val="000000"/>
                <w:sz w:val="20"/>
                <w:szCs w:val="20"/>
                <w:lang w:val="es-ES" w:eastAsia="es-ES"/>
              </w:rPr>
            </w:pPr>
            <w:r w:rsidRPr="006D5279">
              <w:rPr>
                <w:sz w:val="20"/>
                <w:szCs w:val="20"/>
              </w:rPr>
              <w:t xml:space="preserve"> 416.717 </w:t>
            </w:r>
          </w:p>
        </w:tc>
      </w:tr>
      <w:tr w:rsidR="002A3409" w:rsidRPr="00C61D54" w14:paraId="43E9609F" w14:textId="77777777" w:rsidTr="006B5A62">
        <w:trPr>
          <w:jc w:val="center"/>
        </w:trPr>
        <w:tc>
          <w:tcPr>
            <w:tcW w:w="204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B064B8F" w14:textId="77777777" w:rsidR="002A3409" w:rsidRPr="006D5279" w:rsidRDefault="002A3409" w:rsidP="006B5A62">
            <w:pPr>
              <w:spacing w:before="20" w:after="20" w:line="240" w:lineRule="auto"/>
              <w:jc w:val="center"/>
              <w:rPr>
                <w:rFonts w:eastAsia="Times New Roman" w:cs="Calibri"/>
                <w:color w:val="000000"/>
                <w:sz w:val="20"/>
                <w:szCs w:val="20"/>
                <w:lang w:val="es-ES" w:eastAsia="es-ES"/>
              </w:rPr>
            </w:pPr>
            <w:r w:rsidRPr="006D5279">
              <w:rPr>
                <w:rFonts w:cs="Calibri"/>
                <w:color w:val="000000"/>
                <w:sz w:val="20"/>
                <w:szCs w:val="20"/>
              </w:rPr>
              <w:t xml:space="preserve">SE-N_29 </w:t>
            </w:r>
          </w:p>
        </w:tc>
        <w:tc>
          <w:tcPr>
            <w:tcW w:w="3402" w:type="dxa"/>
            <w:tcBorders>
              <w:top w:val="single" w:sz="2" w:space="0" w:color="auto"/>
              <w:left w:val="single" w:sz="6" w:space="0" w:color="auto"/>
              <w:bottom w:val="single" w:sz="2" w:space="0" w:color="auto"/>
              <w:right w:val="single" w:sz="6" w:space="0" w:color="auto"/>
            </w:tcBorders>
            <w:shd w:val="clear" w:color="auto" w:fill="auto"/>
            <w:noWrap/>
            <w:vAlign w:val="center"/>
          </w:tcPr>
          <w:p w14:paraId="7B8D758D" w14:textId="77777777" w:rsidR="002A3409" w:rsidRPr="00C61D54" w:rsidRDefault="002A3409" w:rsidP="006B5A62">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Itahue</w:t>
            </w:r>
          </w:p>
        </w:tc>
        <w:tc>
          <w:tcPr>
            <w:tcW w:w="1701" w:type="dxa"/>
            <w:tcBorders>
              <w:top w:val="single" w:sz="2" w:space="0" w:color="auto"/>
              <w:left w:val="single" w:sz="6" w:space="0" w:color="auto"/>
              <w:bottom w:val="single" w:sz="2" w:space="0" w:color="auto"/>
              <w:right w:val="single" w:sz="6" w:space="0" w:color="auto"/>
            </w:tcBorders>
            <w:shd w:val="clear" w:color="auto" w:fill="auto"/>
            <w:noWrap/>
            <w:hideMark/>
          </w:tcPr>
          <w:p w14:paraId="7CE3A2CC" w14:textId="77777777" w:rsidR="002A3409" w:rsidRPr="006D5279" w:rsidRDefault="002A3409" w:rsidP="006B5A62">
            <w:pPr>
              <w:spacing w:before="20" w:after="20" w:line="240" w:lineRule="auto"/>
              <w:jc w:val="right"/>
              <w:rPr>
                <w:rFonts w:eastAsia="Times New Roman" w:cs="Calibri"/>
                <w:color w:val="000000"/>
                <w:sz w:val="20"/>
                <w:szCs w:val="20"/>
                <w:lang w:val="es-ES" w:eastAsia="es-ES"/>
              </w:rPr>
            </w:pPr>
            <w:r w:rsidRPr="006D5279">
              <w:rPr>
                <w:sz w:val="20"/>
                <w:szCs w:val="20"/>
              </w:rPr>
              <w:t xml:space="preserve"> 625.221 </w:t>
            </w:r>
          </w:p>
        </w:tc>
      </w:tr>
      <w:tr w:rsidR="002A3409" w:rsidRPr="00C61D54" w14:paraId="27C2FEA7" w14:textId="77777777" w:rsidTr="006B5A62">
        <w:trPr>
          <w:jc w:val="center"/>
        </w:trPr>
        <w:tc>
          <w:tcPr>
            <w:tcW w:w="204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B2C9EFB" w14:textId="77777777" w:rsidR="002A3409" w:rsidRPr="006D5279" w:rsidRDefault="002A3409" w:rsidP="006B5A62">
            <w:pPr>
              <w:spacing w:before="20" w:after="20" w:line="240" w:lineRule="auto"/>
              <w:jc w:val="center"/>
              <w:rPr>
                <w:rFonts w:eastAsia="Times New Roman" w:cs="Calibri"/>
                <w:color w:val="000000"/>
                <w:sz w:val="20"/>
                <w:szCs w:val="20"/>
                <w:lang w:val="es-ES" w:eastAsia="es-ES"/>
              </w:rPr>
            </w:pPr>
            <w:r w:rsidRPr="006D5279">
              <w:rPr>
                <w:rFonts w:cs="Calibri"/>
                <w:color w:val="000000"/>
                <w:sz w:val="20"/>
                <w:szCs w:val="20"/>
              </w:rPr>
              <w:t xml:space="preserve">SE-N_30 </w:t>
            </w:r>
          </w:p>
        </w:tc>
        <w:tc>
          <w:tcPr>
            <w:tcW w:w="3402" w:type="dxa"/>
            <w:tcBorders>
              <w:top w:val="single" w:sz="2" w:space="0" w:color="auto"/>
              <w:left w:val="single" w:sz="6" w:space="0" w:color="auto"/>
              <w:bottom w:val="single" w:sz="2" w:space="0" w:color="auto"/>
              <w:right w:val="single" w:sz="6" w:space="0" w:color="auto"/>
            </w:tcBorders>
            <w:shd w:val="clear" w:color="auto" w:fill="auto"/>
            <w:noWrap/>
            <w:vAlign w:val="center"/>
          </w:tcPr>
          <w:p w14:paraId="29DC009D" w14:textId="77777777" w:rsidR="002A3409" w:rsidRPr="00C61D54" w:rsidRDefault="002A3409" w:rsidP="006B5A62">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Kapatur</w:t>
            </w:r>
          </w:p>
        </w:tc>
        <w:tc>
          <w:tcPr>
            <w:tcW w:w="1701" w:type="dxa"/>
            <w:tcBorders>
              <w:top w:val="single" w:sz="2" w:space="0" w:color="auto"/>
              <w:left w:val="single" w:sz="6" w:space="0" w:color="auto"/>
              <w:bottom w:val="single" w:sz="2" w:space="0" w:color="auto"/>
              <w:right w:val="single" w:sz="6" w:space="0" w:color="auto"/>
            </w:tcBorders>
            <w:shd w:val="clear" w:color="auto" w:fill="auto"/>
            <w:noWrap/>
            <w:hideMark/>
          </w:tcPr>
          <w:p w14:paraId="7810636B" w14:textId="77777777" w:rsidR="002A3409" w:rsidRPr="006D5279" w:rsidRDefault="002A3409" w:rsidP="006B5A62">
            <w:pPr>
              <w:spacing w:before="20" w:after="20" w:line="240" w:lineRule="auto"/>
              <w:jc w:val="right"/>
              <w:rPr>
                <w:rFonts w:eastAsia="Times New Roman" w:cs="Calibri"/>
                <w:color w:val="000000"/>
                <w:sz w:val="20"/>
                <w:szCs w:val="20"/>
                <w:lang w:val="es-ES" w:eastAsia="es-ES"/>
              </w:rPr>
            </w:pPr>
            <w:r w:rsidRPr="006D5279">
              <w:rPr>
                <w:sz w:val="20"/>
                <w:szCs w:val="20"/>
              </w:rPr>
              <w:t xml:space="preserve"> 152.375 </w:t>
            </w:r>
          </w:p>
        </w:tc>
      </w:tr>
      <w:tr w:rsidR="002A3409" w:rsidRPr="00C61D54" w14:paraId="617F0732" w14:textId="77777777" w:rsidTr="006B5A62">
        <w:trPr>
          <w:jc w:val="center"/>
        </w:trPr>
        <w:tc>
          <w:tcPr>
            <w:tcW w:w="204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EB00D07" w14:textId="77777777" w:rsidR="002A3409" w:rsidRPr="006D5279" w:rsidRDefault="002A3409" w:rsidP="006B5A62">
            <w:pPr>
              <w:spacing w:before="20" w:after="20" w:line="240" w:lineRule="auto"/>
              <w:jc w:val="center"/>
              <w:rPr>
                <w:rFonts w:eastAsia="Times New Roman" w:cs="Calibri"/>
                <w:color w:val="000000"/>
                <w:sz w:val="20"/>
                <w:szCs w:val="20"/>
                <w:lang w:val="es-ES" w:eastAsia="es-ES"/>
              </w:rPr>
            </w:pPr>
            <w:r w:rsidRPr="006D5279">
              <w:rPr>
                <w:rFonts w:cs="Calibri"/>
                <w:color w:val="000000"/>
                <w:sz w:val="20"/>
                <w:szCs w:val="20"/>
              </w:rPr>
              <w:t xml:space="preserve">SE-N_31 </w:t>
            </w:r>
          </w:p>
        </w:tc>
        <w:tc>
          <w:tcPr>
            <w:tcW w:w="3402" w:type="dxa"/>
            <w:tcBorders>
              <w:top w:val="single" w:sz="2" w:space="0" w:color="auto"/>
              <w:left w:val="single" w:sz="6" w:space="0" w:color="auto"/>
              <w:bottom w:val="single" w:sz="2" w:space="0" w:color="auto"/>
              <w:right w:val="single" w:sz="6" w:space="0" w:color="auto"/>
            </w:tcBorders>
            <w:shd w:val="clear" w:color="auto" w:fill="auto"/>
            <w:noWrap/>
            <w:vAlign w:val="center"/>
          </w:tcPr>
          <w:p w14:paraId="42F0C6DF" w14:textId="77777777" w:rsidR="002A3409" w:rsidRPr="00C61D54" w:rsidRDefault="002A3409" w:rsidP="006B5A62">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Central La Cebada</w:t>
            </w:r>
          </w:p>
        </w:tc>
        <w:tc>
          <w:tcPr>
            <w:tcW w:w="1701" w:type="dxa"/>
            <w:tcBorders>
              <w:top w:val="single" w:sz="2" w:space="0" w:color="auto"/>
              <w:left w:val="single" w:sz="6" w:space="0" w:color="auto"/>
              <w:bottom w:val="single" w:sz="2" w:space="0" w:color="auto"/>
              <w:right w:val="single" w:sz="6" w:space="0" w:color="auto"/>
            </w:tcBorders>
            <w:shd w:val="clear" w:color="auto" w:fill="auto"/>
            <w:noWrap/>
            <w:hideMark/>
          </w:tcPr>
          <w:p w14:paraId="2A0A201F" w14:textId="77777777" w:rsidR="002A3409" w:rsidRPr="006D5279" w:rsidRDefault="002A3409" w:rsidP="006B5A62">
            <w:pPr>
              <w:spacing w:before="20" w:after="20" w:line="240" w:lineRule="auto"/>
              <w:jc w:val="right"/>
              <w:rPr>
                <w:rFonts w:eastAsia="Times New Roman" w:cs="Calibri"/>
                <w:color w:val="000000"/>
                <w:sz w:val="20"/>
                <w:szCs w:val="20"/>
                <w:lang w:val="es-ES" w:eastAsia="es-ES"/>
              </w:rPr>
            </w:pPr>
            <w:r w:rsidRPr="006D5279">
              <w:rPr>
                <w:sz w:val="20"/>
                <w:szCs w:val="20"/>
              </w:rPr>
              <w:t xml:space="preserve"> 147.480 </w:t>
            </w:r>
          </w:p>
        </w:tc>
      </w:tr>
      <w:tr w:rsidR="002A3409" w:rsidRPr="00C61D54" w14:paraId="7C73CA36" w14:textId="77777777" w:rsidTr="006B5A62">
        <w:trPr>
          <w:jc w:val="center"/>
        </w:trPr>
        <w:tc>
          <w:tcPr>
            <w:tcW w:w="204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144035F" w14:textId="77777777" w:rsidR="002A3409" w:rsidRPr="006D5279" w:rsidRDefault="002A3409" w:rsidP="006B5A62">
            <w:pPr>
              <w:spacing w:before="20" w:after="20" w:line="240" w:lineRule="auto"/>
              <w:jc w:val="center"/>
              <w:rPr>
                <w:rFonts w:eastAsia="Times New Roman" w:cs="Calibri"/>
                <w:color w:val="000000"/>
                <w:sz w:val="20"/>
                <w:szCs w:val="20"/>
                <w:lang w:val="es-ES" w:eastAsia="es-ES"/>
              </w:rPr>
            </w:pPr>
            <w:r w:rsidRPr="006D5279">
              <w:rPr>
                <w:rFonts w:cs="Calibri"/>
                <w:color w:val="000000"/>
                <w:sz w:val="20"/>
                <w:szCs w:val="20"/>
              </w:rPr>
              <w:t xml:space="preserve">SE-N_32 </w:t>
            </w:r>
          </w:p>
        </w:tc>
        <w:tc>
          <w:tcPr>
            <w:tcW w:w="3402" w:type="dxa"/>
            <w:tcBorders>
              <w:top w:val="single" w:sz="2" w:space="0" w:color="auto"/>
              <w:left w:val="single" w:sz="6" w:space="0" w:color="auto"/>
              <w:bottom w:val="single" w:sz="2" w:space="0" w:color="auto"/>
              <w:right w:val="single" w:sz="6" w:space="0" w:color="auto"/>
            </w:tcBorders>
            <w:shd w:val="clear" w:color="auto" w:fill="auto"/>
            <w:noWrap/>
            <w:vAlign w:val="center"/>
          </w:tcPr>
          <w:p w14:paraId="0942372C" w14:textId="77777777" w:rsidR="002A3409" w:rsidRPr="00C61D54" w:rsidRDefault="002A3409" w:rsidP="006B5A62">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Laberinto</w:t>
            </w:r>
          </w:p>
        </w:tc>
        <w:tc>
          <w:tcPr>
            <w:tcW w:w="1701" w:type="dxa"/>
            <w:tcBorders>
              <w:top w:val="single" w:sz="2" w:space="0" w:color="auto"/>
              <w:left w:val="single" w:sz="6" w:space="0" w:color="auto"/>
              <w:bottom w:val="single" w:sz="2" w:space="0" w:color="auto"/>
              <w:right w:val="single" w:sz="6" w:space="0" w:color="auto"/>
            </w:tcBorders>
            <w:shd w:val="clear" w:color="auto" w:fill="auto"/>
            <w:noWrap/>
            <w:hideMark/>
          </w:tcPr>
          <w:p w14:paraId="4C4B366D" w14:textId="77777777" w:rsidR="002A3409" w:rsidRPr="006D5279" w:rsidRDefault="002A3409" w:rsidP="006B5A62">
            <w:pPr>
              <w:spacing w:before="20" w:after="20" w:line="240" w:lineRule="auto"/>
              <w:jc w:val="right"/>
              <w:rPr>
                <w:rFonts w:eastAsia="Times New Roman" w:cs="Calibri"/>
                <w:color w:val="000000"/>
                <w:sz w:val="20"/>
                <w:szCs w:val="20"/>
                <w:lang w:val="es-ES" w:eastAsia="es-ES"/>
              </w:rPr>
            </w:pPr>
            <w:r w:rsidRPr="006D5279">
              <w:rPr>
                <w:sz w:val="20"/>
                <w:szCs w:val="20"/>
              </w:rPr>
              <w:t xml:space="preserve"> 777.551 </w:t>
            </w:r>
          </w:p>
        </w:tc>
      </w:tr>
      <w:tr w:rsidR="002A3409" w:rsidRPr="00C61D54" w14:paraId="09C95FB4" w14:textId="77777777" w:rsidTr="006B5A62">
        <w:trPr>
          <w:jc w:val="center"/>
        </w:trPr>
        <w:tc>
          <w:tcPr>
            <w:tcW w:w="204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12178ED" w14:textId="77777777" w:rsidR="002A3409" w:rsidRPr="006D5279" w:rsidRDefault="002A3409" w:rsidP="006B5A62">
            <w:pPr>
              <w:spacing w:before="20" w:after="20" w:line="240" w:lineRule="auto"/>
              <w:jc w:val="center"/>
              <w:rPr>
                <w:rFonts w:eastAsia="Times New Roman" w:cs="Calibri"/>
                <w:color w:val="000000"/>
                <w:sz w:val="20"/>
                <w:szCs w:val="20"/>
                <w:lang w:val="es-ES" w:eastAsia="es-ES"/>
              </w:rPr>
            </w:pPr>
            <w:r w:rsidRPr="006D5279">
              <w:rPr>
                <w:rFonts w:cs="Calibri"/>
                <w:color w:val="000000"/>
                <w:sz w:val="20"/>
                <w:szCs w:val="20"/>
              </w:rPr>
              <w:t xml:space="preserve">SE-N_33 </w:t>
            </w:r>
          </w:p>
        </w:tc>
        <w:tc>
          <w:tcPr>
            <w:tcW w:w="3402" w:type="dxa"/>
            <w:tcBorders>
              <w:top w:val="single" w:sz="2" w:space="0" w:color="auto"/>
              <w:left w:val="single" w:sz="6" w:space="0" w:color="auto"/>
              <w:bottom w:val="single" w:sz="2" w:space="0" w:color="auto"/>
              <w:right w:val="single" w:sz="6" w:space="0" w:color="auto"/>
            </w:tcBorders>
            <w:shd w:val="clear" w:color="auto" w:fill="auto"/>
            <w:noWrap/>
            <w:vAlign w:val="center"/>
          </w:tcPr>
          <w:p w14:paraId="7C28C096" w14:textId="77777777" w:rsidR="002A3409" w:rsidRPr="00C61D54" w:rsidRDefault="002A3409" w:rsidP="006B5A62">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Lagunas</w:t>
            </w:r>
          </w:p>
        </w:tc>
        <w:tc>
          <w:tcPr>
            <w:tcW w:w="1701" w:type="dxa"/>
            <w:tcBorders>
              <w:top w:val="single" w:sz="2" w:space="0" w:color="auto"/>
              <w:left w:val="single" w:sz="6" w:space="0" w:color="auto"/>
              <w:bottom w:val="single" w:sz="2" w:space="0" w:color="auto"/>
              <w:right w:val="single" w:sz="6" w:space="0" w:color="auto"/>
            </w:tcBorders>
            <w:shd w:val="clear" w:color="auto" w:fill="auto"/>
            <w:noWrap/>
            <w:hideMark/>
          </w:tcPr>
          <w:p w14:paraId="427125F1" w14:textId="77777777" w:rsidR="002A3409" w:rsidRPr="006D5279" w:rsidRDefault="002A3409" w:rsidP="006B5A62">
            <w:pPr>
              <w:spacing w:before="20" w:after="20" w:line="240" w:lineRule="auto"/>
              <w:jc w:val="right"/>
              <w:rPr>
                <w:rFonts w:eastAsia="Times New Roman" w:cs="Calibri"/>
                <w:color w:val="000000"/>
                <w:sz w:val="20"/>
                <w:szCs w:val="20"/>
                <w:lang w:val="es-ES" w:eastAsia="es-ES"/>
              </w:rPr>
            </w:pPr>
            <w:r w:rsidRPr="006D5279">
              <w:rPr>
                <w:sz w:val="20"/>
                <w:szCs w:val="20"/>
              </w:rPr>
              <w:t xml:space="preserve"> 650.235 </w:t>
            </w:r>
          </w:p>
        </w:tc>
      </w:tr>
      <w:tr w:rsidR="002A3409" w:rsidRPr="00C61D54" w14:paraId="44612D89" w14:textId="77777777" w:rsidTr="006B5A62">
        <w:trPr>
          <w:jc w:val="center"/>
        </w:trPr>
        <w:tc>
          <w:tcPr>
            <w:tcW w:w="204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D692501" w14:textId="77777777" w:rsidR="002A3409" w:rsidRPr="006D5279" w:rsidRDefault="002A3409" w:rsidP="006B5A62">
            <w:pPr>
              <w:spacing w:before="20" w:after="20" w:line="240" w:lineRule="auto"/>
              <w:jc w:val="center"/>
              <w:rPr>
                <w:rFonts w:eastAsia="Times New Roman" w:cs="Calibri"/>
                <w:color w:val="000000"/>
                <w:sz w:val="20"/>
                <w:szCs w:val="20"/>
                <w:lang w:val="es-ES" w:eastAsia="es-ES"/>
              </w:rPr>
            </w:pPr>
            <w:r w:rsidRPr="006D5279">
              <w:rPr>
                <w:rFonts w:cs="Calibri"/>
                <w:color w:val="000000"/>
                <w:sz w:val="20"/>
                <w:szCs w:val="20"/>
              </w:rPr>
              <w:t xml:space="preserve">SE-N_34 </w:t>
            </w:r>
          </w:p>
        </w:tc>
        <w:tc>
          <w:tcPr>
            <w:tcW w:w="3402" w:type="dxa"/>
            <w:tcBorders>
              <w:top w:val="single" w:sz="2" w:space="0" w:color="auto"/>
              <w:left w:val="single" w:sz="6" w:space="0" w:color="auto"/>
              <w:bottom w:val="single" w:sz="2" w:space="0" w:color="auto"/>
              <w:right w:val="single" w:sz="6" w:space="0" w:color="auto"/>
            </w:tcBorders>
            <w:shd w:val="clear" w:color="auto" w:fill="auto"/>
            <w:noWrap/>
            <w:vAlign w:val="center"/>
          </w:tcPr>
          <w:p w14:paraId="15BD5C13" w14:textId="77777777" w:rsidR="002A3409" w:rsidRPr="00C61D54" w:rsidRDefault="002A3409" w:rsidP="006B5A62">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Lagunillas</w:t>
            </w:r>
          </w:p>
        </w:tc>
        <w:tc>
          <w:tcPr>
            <w:tcW w:w="1701" w:type="dxa"/>
            <w:tcBorders>
              <w:top w:val="single" w:sz="2" w:space="0" w:color="auto"/>
              <w:left w:val="single" w:sz="6" w:space="0" w:color="auto"/>
              <w:bottom w:val="single" w:sz="2" w:space="0" w:color="auto"/>
              <w:right w:val="single" w:sz="6" w:space="0" w:color="auto"/>
            </w:tcBorders>
            <w:shd w:val="clear" w:color="auto" w:fill="auto"/>
            <w:noWrap/>
            <w:hideMark/>
          </w:tcPr>
          <w:p w14:paraId="1C820E09" w14:textId="77777777" w:rsidR="002A3409" w:rsidRPr="006D5279" w:rsidRDefault="002A3409" w:rsidP="006B5A62">
            <w:pPr>
              <w:spacing w:before="20" w:after="20" w:line="240" w:lineRule="auto"/>
              <w:jc w:val="right"/>
              <w:rPr>
                <w:rFonts w:eastAsia="Times New Roman" w:cs="Calibri"/>
                <w:color w:val="000000"/>
                <w:sz w:val="20"/>
                <w:szCs w:val="20"/>
                <w:lang w:val="es-ES" w:eastAsia="es-ES"/>
              </w:rPr>
            </w:pPr>
            <w:r w:rsidRPr="006D5279">
              <w:rPr>
                <w:sz w:val="20"/>
                <w:szCs w:val="20"/>
              </w:rPr>
              <w:t xml:space="preserve"> 307.172 </w:t>
            </w:r>
          </w:p>
        </w:tc>
      </w:tr>
      <w:tr w:rsidR="002A3409" w:rsidRPr="00C61D54" w14:paraId="6275AAC4" w14:textId="77777777" w:rsidTr="006B5A62">
        <w:trPr>
          <w:jc w:val="center"/>
        </w:trPr>
        <w:tc>
          <w:tcPr>
            <w:tcW w:w="204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F1CB86F" w14:textId="77777777" w:rsidR="002A3409" w:rsidRPr="006D5279" w:rsidRDefault="002A3409" w:rsidP="006B5A62">
            <w:pPr>
              <w:spacing w:before="20" w:after="20" w:line="240" w:lineRule="auto"/>
              <w:jc w:val="center"/>
              <w:rPr>
                <w:rFonts w:eastAsia="Times New Roman" w:cs="Calibri"/>
                <w:color w:val="000000"/>
                <w:sz w:val="20"/>
                <w:szCs w:val="20"/>
                <w:lang w:val="es-ES" w:eastAsia="es-ES"/>
              </w:rPr>
            </w:pPr>
            <w:r w:rsidRPr="006D5279">
              <w:rPr>
                <w:rFonts w:cs="Calibri"/>
                <w:color w:val="000000"/>
                <w:sz w:val="20"/>
                <w:szCs w:val="20"/>
              </w:rPr>
              <w:t xml:space="preserve">SE-N_35 </w:t>
            </w:r>
          </w:p>
        </w:tc>
        <w:tc>
          <w:tcPr>
            <w:tcW w:w="3402" w:type="dxa"/>
            <w:tcBorders>
              <w:top w:val="single" w:sz="2" w:space="0" w:color="auto"/>
              <w:left w:val="single" w:sz="6" w:space="0" w:color="auto"/>
              <w:bottom w:val="single" w:sz="2" w:space="0" w:color="auto"/>
              <w:right w:val="single" w:sz="6" w:space="0" w:color="auto"/>
            </w:tcBorders>
            <w:shd w:val="clear" w:color="auto" w:fill="auto"/>
            <w:noWrap/>
            <w:vAlign w:val="center"/>
          </w:tcPr>
          <w:p w14:paraId="6BDC6818" w14:textId="77777777" w:rsidR="002A3409" w:rsidRPr="00C61D54" w:rsidRDefault="002A3409" w:rsidP="006B5A62">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Las Palmas</w:t>
            </w:r>
          </w:p>
        </w:tc>
        <w:tc>
          <w:tcPr>
            <w:tcW w:w="1701" w:type="dxa"/>
            <w:tcBorders>
              <w:top w:val="single" w:sz="2" w:space="0" w:color="auto"/>
              <w:left w:val="single" w:sz="6" w:space="0" w:color="auto"/>
              <w:bottom w:val="single" w:sz="2" w:space="0" w:color="auto"/>
              <w:right w:val="single" w:sz="6" w:space="0" w:color="auto"/>
            </w:tcBorders>
            <w:shd w:val="clear" w:color="auto" w:fill="auto"/>
            <w:noWrap/>
            <w:hideMark/>
          </w:tcPr>
          <w:p w14:paraId="01923E88" w14:textId="77777777" w:rsidR="002A3409" w:rsidRPr="006D5279" w:rsidRDefault="002A3409" w:rsidP="006B5A62">
            <w:pPr>
              <w:spacing w:before="20" w:after="20" w:line="240" w:lineRule="auto"/>
              <w:jc w:val="right"/>
              <w:rPr>
                <w:rFonts w:eastAsia="Times New Roman" w:cs="Calibri"/>
                <w:color w:val="000000"/>
                <w:sz w:val="20"/>
                <w:szCs w:val="20"/>
                <w:lang w:val="es-ES" w:eastAsia="es-ES"/>
              </w:rPr>
            </w:pPr>
            <w:r w:rsidRPr="006D5279">
              <w:rPr>
                <w:sz w:val="20"/>
                <w:szCs w:val="20"/>
              </w:rPr>
              <w:t xml:space="preserve"> 463.782 </w:t>
            </w:r>
          </w:p>
        </w:tc>
      </w:tr>
      <w:tr w:rsidR="002A3409" w:rsidRPr="00C61D54" w14:paraId="363052B5" w14:textId="77777777" w:rsidTr="006B5A62">
        <w:trPr>
          <w:jc w:val="center"/>
        </w:trPr>
        <w:tc>
          <w:tcPr>
            <w:tcW w:w="204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725065B" w14:textId="77777777" w:rsidR="002A3409" w:rsidRPr="006D5279" w:rsidRDefault="002A3409" w:rsidP="006B5A62">
            <w:pPr>
              <w:spacing w:before="20" w:after="20" w:line="240" w:lineRule="auto"/>
              <w:jc w:val="center"/>
              <w:rPr>
                <w:rFonts w:eastAsia="Times New Roman" w:cs="Calibri"/>
                <w:color w:val="000000"/>
                <w:sz w:val="20"/>
                <w:szCs w:val="20"/>
                <w:lang w:val="es-ES" w:eastAsia="es-ES"/>
              </w:rPr>
            </w:pPr>
            <w:r w:rsidRPr="006D5279">
              <w:rPr>
                <w:rFonts w:cs="Calibri"/>
                <w:color w:val="000000"/>
                <w:sz w:val="20"/>
                <w:szCs w:val="20"/>
              </w:rPr>
              <w:t xml:space="preserve">SE-N_37 </w:t>
            </w:r>
          </w:p>
        </w:tc>
        <w:tc>
          <w:tcPr>
            <w:tcW w:w="3402" w:type="dxa"/>
            <w:tcBorders>
              <w:top w:val="single" w:sz="2" w:space="0" w:color="auto"/>
              <w:left w:val="single" w:sz="6" w:space="0" w:color="auto"/>
              <w:bottom w:val="single" w:sz="2" w:space="0" w:color="auto"/>
              <w:right w:val="single" w:sz="6" w:space="0" w:color="auto"/>
            </w:tcBorders>
            <w:shd w:val="clear" w:color="auto" w:fill="auto"/>
            <w:noWrap/>
            <w:vAlign w:val="center"/>
          </w:tcPr>
          <w:p w14:paraId="4271BE9B" w14:textId="77777777" w:rsidR="002A3409" w:rsidRPr="00C61D54" w:rsidRDefault="002A3409" w:rsidP="006B5A62">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Los Changos</w:t>
            </w:r>
          </w:p>
        </w:tc>
        <w:tc>
          <w:tcPr>
            <w:tcW w:w="1701" w:type="dxa"/>
            <w:tcBorders>
              <w:top w:val="single" w:sz="2" w:space="0" w:color="auto"/>
              <w:left w:val="single" w:sz="6" w:space="0" w:color="auto"/>
              <w:bottom w:val="single" w:sz="2" w:space="0" w:color="auto"/>
              <w:right w:val="single" w:sz="6" w:space="0" w:color="auto"/>
            </w:tcBorders>
            <w:shd w:val="clear" w:color="auto" w:fill="auto"/>
            <w:noWrap/>
            <w:hideMark/>
          </w:tcPr>
          <w:p w14:paraId="20AA0937" w14:textId="77777777" w:rsidR="002A3409" w:rsidRPr="006D5279" w:rsidRDefault="002A3409" w:rsidP="006B5A62">
            <w:pPr>
              <w:spacing w:before="20" w:after="20" w:line="240" w:lineRule="auto"/>
              <w:jc w:val="right"/>
              <w:rPr>
                <w:rFonts w:eastAsia="Times New Roman" w:cs="Calibri"/>
                <w:color w:val="000000"/>
                <w:sz w:val="20"/>
                <w:szCs w:val="20"/>
                <w:lang w:val="es-ES" w:eastAsia="es-ES"/>
              </w:rPr>
            </w:pPr>
            <w:r w:rsidRPr="006D5279">
              <w:rPr>
                <w:sz w:val="20"/>
                <w:szCs w:val="20"/>
              </w:rPr>
              <w:t xml:space="preserve"> 4.910.099 </w:t>
            </w:r>
          </w:p>
        </w:tc>
      </w:tr>
      <w:tr w:rsidR="002A3409" w:rsidRPr="00C61D54" w14:paraId="07970155" w14:textId="77777777" w:rsidTr="006B5A62">
        <w:trPr>
          <w:jc w:val="center"/>
        </w:trPr>
        <w:tc>
          <w:tcPr>
            <w:tcW w:w="204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6E1A76B" w14:textId="77777777" w:rsidR="002A3409" w:rsidRPr="006D5279" w:rsidRDefault="002A3409" w:rsidP="006B5A62">
            <w:pPr>
              <w:spacing w:before="20" w:after="20" w:line="240" w:lineRule="auto"/>
              <w:jc w:val="center"/>
              <w:rPr>
                <w:rFonts w:eastAsia="Times New Roman" w:cs="Calibri"/>
                <w:color w:val="000000"/>
                <w:sz w:val="20"/>
                <w:szCs w:val="20"/>
                <w:lang w:val="es-ES" w:eastAsia="es-ES"/>
              </w:rPr>
            </w:pPr>
            <w:r w:rsidRPr="006D5279">
              <w:rPr>
                <w:rFonts w:cs="Calibri"/>
                <w:color w:val="000000"/>
                <w:sz w:val="20"/>
                <w:szCs w:val="20"/>
              </w:rPr>
              <w:t xml:space="preserve">SE-N_38 </w:t>
            </w:r>
          </w:p>
        </w:tc>
        <w:tc>
          <w:tcPr>
            <w:tcW w:w="3402" w:type="dxa"/>
            <w:tcBorders>
              <w:top w:val="single" w:sz="2" w:space="0" w:color="auto"/>
              <w:left w:val="single" w:sz="6" w:space="0" w:color="auto"/>
              <w:bottom w:val="single" w:sz="2" w:space="0" w:color="auto"/>
              <w:right w:val="single" w:sz="6" w:space="0" w:color="auto"/>
            </w:tcBorders>
            <w:shd w:val="clear" w:color="auto" w:fill="auto"/>
            <w:noWrap/>
            <w:vAlign w:val="center"/>
          </w:tcPr>
          <w:p w14:paraId="49E0A084" w14:textId="77777777" w:rsidR="002A3409" w:rsidRPr="00C61D54" w:rsidRDefault="002A3409" w:rsidP="006B5A62">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Los Maquis</w:t>
            </w:r>
          </w:p>
        </w:tc>
        <w:tc>
          <w:tcPr>
            <w:tcW w:w="1701" w:type="dxa"/>
            <w:tcBorders>
              <w:top w:val="single" w:sz="2" w:space="0" w:color="auto"/>
              <w:left w:val="single" w:sz="6" w:space="0" w:color="auto"/>
              <w:bottom w:val="single" w:sz="2" w:space="0" w:color="auto"/>
              <w:right w:val="single" w:sz="6" w:space="0" w:color="auto"/>
            </w:tcBorders>
            <w:shd w:val="clear" w:color="auto" w:fill="auto"/>
            <w:noWrap/>
            <w:hideMark/>
          </w:tcPr>
          <w:p w14:paraId="497AD054" w14:textId="77777777" w:rsidR="002A3409" w:rsidRPr="006D5279" w:rsidRDefault="002A3409" w:rsidP="006B5A62">
            <w:pPr>
              <w:spacing w:before="20" w:after="20" w:line="240" w:lineRule="auto"/>
              <w:jc w:val="right"/>
              <w:rPr>
                <w:rFonts w:eastAsia="Times New Roman" w:cs="Calibri"/>
                <w:color w:val="000000"/>
                <w:sz w:val="20"/>
                <w:szCs w:val="20"/>
                <w:lang w:val="es-ES" w:eastAsia="es-ES"/>
              </w:rPr>
            </w:pPr>
            <w:r w:rsidRPr="006D5279">
              <w:rPr>
                <w:sz w:val="20"/>
                <w:szCs w:val="20"/>
              </w:rPr>
              <w:t xml:space="preserve"> 117.619 </w:t>
            </w:r>
          </w:p>
        </w:tc>
      </w:tr>
      <w:tr w:rsidR="002A3409" w:rsidRPr="00C61D54" w14:paraId="2ACB25DD" w14:textId="77777777" w:rsidTr="006B5A62">
        <w:trPr>
          <w:jc w:val="center"/>
        </w:trPr>
        <w:tc>
          <w:tcPr>
            <w:tcW w:w="204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71AD30D" w14:textId="77777777" w:rsidR="002A3409" w:rsidRPr="006D5279" w:rsidRDefault="002A3409" w:rsidP="006B5A62">
            <w:pPr>
              <w:spacing w:before="20" w:after="20" w:line="240" w:lineRule="auto"/>
              <w:jc w:val="center"/>
              <w:rPr>
                <w:rFonts w:eastAsia="Times New Roman" w:cs="Calibri"/>
                <w:color w:val="000000"/>
                <w:sz w:val="20"/>
                <w:szCs w:val="20"/>
                <w:lang w:val="es-ES" w:eastAsia="es-ES"/>
              </w:rPr>
            </w:pPr>
            <w:r w:rsidRPr="006D5279">
              <w:rPr>
                <w:rFonts w:cs="Calibri"/>
                <w:color w:val="000000"/>
                <w:sz w:val="20"/>
                <w:szCs w:val="20"/>
              </w:rPr>
              <w:t xml:space="preserve">SE-N_39 </w:t>
            </w:r>
          </w:p>
        </w:tc>
        <w:tc>
          <w:tcPr>
            <w:tcW w:w="3402" w:type="dxa"/>
            <w:tcBorders>
              <w:top w:val="single" w:sz="2" w:space="0" w:color="auto"/>
              <w:left w:val="single" w:sz="6" w:space="0" w:color="auto"/>
              <w:bottom w:val="single" w:sz="2" w:space="0" w:color="auto"/>
              <w:right w:val="single" w:sz="6" w:space="0" w:color="auto"/>
            </w:tcBorders>
            <w:shd w:val="clear" w:color="auto" w:fill="auto"/>
            <w:noWrap/>
            <w:vAlign w:val="center"/>
          </w:tcPr>
          <w:p w14:paraId="6B1F63E6" w14:textId="77777777" w:rsidR="002A3409" w:rsidRPr="00C61D54" w:rsidRDefault="002A3409" w:rsidP="006B5A62">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Los Peumos</w:t>
            </w:r>
          </w:p>
        </w:tc>
        <w:tc>
          <w:tcPr>
            <w:tcW w:w="1701" w:type="dxa"/>
            <w:tcBorders>
              <w:top w:val="single" w:sz="2" w:space="0" w:color="auto"/>
              <w:left w:val="single" w:sz="6" w:space="0" w:color="auto"/>
              <w:bottom w:val="single" w:sz="2" w:space="0" w:color="auto"/>
              <w:right w:val="single" w:sz="6" w:space="0" w:color="auto"/>
            </w:tcBorders>
            <w:shd w:val="clear" w:color="auto" w:fill="auto"/>
            <w:noWrap/>
            <w:hideMark/>
          </w:tcPr>
          <w:p w14:paraId="2E486804" w14:textId="77777777" w:rsidR="002A3409" w:rsidRPr="006D5279" w:rsidRDefault="002A3409" w:rsidP="006B5A62">
            <w:pPr>
              <w:spacing w:before="20" w:after="20" w:line="240" w:lineRule="auto"/>
              <w:jc w:val="right"/>
              <w:rPr>
                <w:rFonts w:eastAsia="Times New Roman" w:cs="Calibri"/>
                <w:color w:val="000000"/>
                <w:sz w:val="20"/>
                <w:szCs w:val="20"/>
                <w:lang w:val="es-ES" w:eastAsia="es-ES"/>
              </w:rPr>
            </w:pPr>
            <w:r w:rsidRPr="006D5279">
              <w:rPr>
                <w:sz w:val="20"/>
                <w:szCs w:val="20"/>
              </w:rPr>
              <w:t xml:space="preserve"> 152.248 </w:t>
            </w:r>
          </w:p>
        </w:tc>
      </w:tr>
      <w:tr w:rsidR="002A3409" w:rsidRPr="00C61D54" w14:paraId="044A4866" w14:textId="77777777" w:rsidTr="006B5A62">
        <w:trPr>
          <w:jc w:val="center"/>
        </w:trPr>
        <w:tc>
          <w:tcPr>
            <w:tcW w:w="204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E7862E8" w14:textId="77777777" w:rsidR="002A3409" w:rsidRPr="006D5279" w:rsidRDefault="002A3409" w:rsidP="006B5A62">
            <w:pPr>
              <w:spacing w:before="20" w:after="20" w:line="240" w:lineRule="auto"/>
              <w:jc w:val="center"/>
              <w:rPr>
                <w:rFonts w:eastAsia="Times New Roman" w:cs="Calibri"/>
                <w:color w:val="000000"/>
                <w:sz w:val="20"/>
                <w:szCs w:val="20"/>
                <w:lang w:val="es-ES" w:eastAsia="es-ES"/>
              </w:rPr>
            </w:pPr>
            <w:r w:rsidRPr="006D5279">
              <w:rPr>
                <w:rFonts w:cs="Calibri"/>
                <w:color w:val="000000"/>
                <w:sz w:val="20"/>
                <w:szCs w:val="20"/>
              </w:rPr>
              <w:t xml:space="preserve">SE-N_40 </w:t>
            </w:r>
          </w:p>
        </w:tc>
        <w:tc>
          <w:tcPr>
            <w:tcW w:w="3402" w:type="dxa"/>
            <w:tcBorders>
              <w:top w:val="single" w:sz="2" w:space="0" w:color="auto"/>
              <w:left w:val="single" w:sz="6" w:space="0" w:color="auto"/>
              <w:bottom w:val="single" w:sz="2" w:space="0" w:color="auto"/>
              <w:right w:val="single" w:sz="6" w:space="0" w:color="auto"/>
            </w:tcBorders>
            <w:shd w:val="clear" w:color="auto" w:fill="auto"/>
            <w:noWrap/>
            <w:vAlign w:val="center"/>
          </w:tcPr>
          <w:p w14:paraId="7B772D07" w14:textId="77777777" w:rsidR="002A3409" w:rsidRPr="00C61D54" w:rsidRDefault="002A3409" w:rsidP="006B5A62">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Los Vilos</w:t>
            </w:r>
          </w:p>
        </w:tc>
        <w:tc>
          <w:tcPr>
            <w:tcW w:w="1701" w:type="dxa"/>
            <w:tcBorders>
              <w:top w:val="single" w:sz="2" w:space="0" w:color="auto"/>
              <w:left w:val="single" w:sz="6" w:space="0" w:color="auto"/>
              <w:bottom w:val="single" w:sz="2" w:space="0" w:color="auto"/>
              <w:right w:val="single" w:sz="6" w:space="0" w:color="auto"/>
            </w:tcBorders>
            <w:shd w:val="clear" w:color="auto" w:fill="auto"/>
            <w:noWrap/>
            <w:hideMark/>
          </w:tcPr>
          <w:p w14:paraId="26076213" w14:textId="77777777" w:rsidR="002A3409" w:rsidRPr="006D5279" w:rsidRDefault="002A3409" w:rsidP="006B5A62">
            <w:pPr>
              <w:spacing w:before="20" w:after="20" w:line="240" w:lineRule="auto"/>
              <w:jc w:val="right"/>
              <w:rPr>
                <w:rFonts w:eastAsia="Times New Roman" w:cs="Calibri"/>
                <w:color w:val="000000"/>
                <w:sz w:val="20"/>
                <w:szCs w:val="20"/>
                <w:lang w:val="es-ES" w:eastAsia="es-ES"/>
              </w:rPr>
            </w:pPr>
            <w:r w:rsidRPr="006D5279">
              <w:rPr>
                <w:sz w:val="20"/>
                <w:szCs w:val="20"/>
              </w:rPr>
              <w:t xml:space="preserve"> 283.798 </w:t>
            </w:r>
          </w:p>
        </w:tc>
      </w:tr>
      <w:tr w:rsidR="002A3409" w:rsidRPr="00C61D54" w14:paraId="4C2C9C6A" w14:textId="77777777" w:rsidTr="006B5A62">
        <w:trPr>
          <w:jc w:val="center"/>
        </w:trPr>
        <w:tc>
          <w:tcPr>
            <w:tcW w:w="204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0C82E33" w14:textId="77777777" w:rsidR="002A3409" w:rsidRPr="006D5279" w:rsidRDefault="002A3409" w:rsidP="006B5A62">
            <w:pPr>
              <w:spacing w:before="20" w:after="20" w:line="240" w:lineRule="auto"/>
              <w:jc w:val="center"/>
              <w:rPr>
                <w:rFonts w:eastAsia="Times New Roman" w:cs="Calibri"/>
                <w:color w:val="000000"/>
                <w:sz w:val="20"/>
                <w:szCs w:val="20"/>
                <w:lang w:val="es-ES" w:eastAsia="es-ES"/>
              </w:rPr>
            </w:pPr>
            <w:r w:rsidRPr="006D5279">
              <w:rPr>
                <w:rFonts w:cs="Calibri"/>
                <w:color w:val="000000"/>
                <w:sz w:val="20"/>
                <w:szCs w:val="20"/>
              </w:rPr>
              <w:t xml:space="preserve">SE-N_41 </w:t>
            </w:r>
          </w:p>
        </w:tc>
        <w:tc>
          <w:tcPr>
            <w:tcW w:w="3402" w:type="dxa"/>
            <w:tcBorders>
              <w:top w:val="single" w:sz="2" w:space="0" w:color="auto"/>
              <w:left w:val="single" w:sz="6" w:space="0" w:color="auto"/>
              <w:bottom w:val="single" w:sz="2" w:space="0" w:color="auto"/>
              <w:right w:val="single" w:sz="6" w:space="0" w:color="auto"/>
            </w:tcBorders>
            <w:shd w:val="clear" w:color="auto" w:fill="auto"/>
            <w:noWrap/>
            <w:vAlign w:val="center"/>
          </w:tcPr>
          <w:p w14:paraId="0AA11666" w14:textId="77777777" w:rsidR="002A3409" w:rsidRPr="00C61D54" w:rsidRDefault="002A3409" w:rsidP="006B5A62">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Maipo</w:t>
            </w:r>
          </w:p>
        </w:tc>
        <w:tc>
          <w:tcPr>
            <w:tcW w:w="1701" w:type="dxa"/>
            <w:tcBorders>
              <w:top w:val="single" w:sz="2" w:space="0" w:color="auto"/>
              <w:left w:val="single" w:sz="6" w:space="0" w:color="auto"/>
              <w:bottom w:val="single" w:sz="2" w:space="0" w:color="auto"/>
              <w:right w:val="single" w:sz="6" w:space="0" w:color="auto"/>
            </w:tcBorders>
            <w:shd w:val="clear" w:color="auto" w:fill="auto"/>
            <w:noWrap/>
            <w:hideMark/>
          </w:tcPr>
          <w:p w14:paraId="60E4FF8D" w14:textId="77777777" w:rsidR="002A3409" w:rsidRPr="006D5279" w:rsidRDefault="002A3409" w:rsidP="006B5A62">
            <w:pPr>
              <w:spacing w:before="20" w:after="20" w:line="240" w:lineRule="auto"/>
              <w:jc w:val="right"/>
              <w:rPr>
                <w:rFonts w:eastAsia="Times New Roman" w:cs="Calibri"/>
                <w:color w:val="000000"/>
                <w:sz w:val="20"/>
                <w:szCs w:val="20"/>
                <w:lang w:val="es-ES" w:eastAsia="es-ES"/>
              </w:rPr>
            </w:pPr>
            <w:r w:rsidRPr="006D5279">
              <w:rPr>
                <w:sz w:val="20"/>
                <w:szCs w:val="20"/>
              </w:rPr>
              <w:t xml:space="preserve"> 339.020 </w:t>
            </w:r>
          </w:p>
        </w:tc>
      </w:tr>
      <w:tr w:rsidR="002A3409" w:rsidRPr="00C61D54" w14:paraId="7C8747A4" w14:textId="77777777" w:rsidTr="006B5A62">
        <w:trPr>
          <w:jc w:val="center"/>
        </w:trPr>
        <w:tc>
          <w:tcPr>
            <w:tcW w:w="204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6796054" w14:textId="77777777" w:rsidR="002A3409" w:rsidRPr="006D5279" w:rsidRDefault="002A3409" w:rsidP="006B5A62">
            <w:pPr>
              <w:spacing w:before="20" w:after="20" w:line="240" w:lineRule="auto"/>
              <w:jc w:val="center"/>
              <w:rPr>
                <w:rFonts w:eastAsia="Times New Roman" w:cs="Calibri"/>
                <w:color w:val="000000"/>
                <w:sz w:val="20"/>
                <w:szCs w:val="20"/>
                <w:lang w:val="es-ES" w:eastAsia="es-ES"/>
              </w:rPr>
            </w:pPr>
            <w:r w:rsidRPr="006D5279">
              <w:rPr>
                <w:rFonts w:cs="Calibri"/>
                <w:color w:val="000000"/>
                <w:sz w:val="20"/>
                <w:szCs w:val="20"/>
              </w:rPr>
              <w:t xml:space="preserve">SE-N_42 </w:t>
            </w:r>
          </w:p>
        </w:tc>
        <w:tc>
          <w:tcPr>
            <w:tcW w:w="3402" w:type="dxa"/>
            <w:tcBorders>
              <w:top w:val="single" w:sz="2" w:space="0" w:color="auto"/>
              <w:left w:val="single" w:sz="6" w:space="0" w:color="auto"/>
              <w:bottom w:val="single" w:sz="2" w:space="0" w:color="auto"/>
              <w:right w:val="single" w:sz="6" w:space="0" w:color="auto"/>
            </w:tcBorders>
            <w:shd w:val="clear" w:color="auto" w:fill="auto"/>
            <w:noWrap/>
            <w:vAlign w:val="center"/>
          </w:tcPr>
          <w:p w14:paraId="59715DD7" w14:textId="77777777" w:rsidR="002A3409" w:rsidRPr="00C61D54" w:rsidRDefault="002A3409" w:rsidP="006B5A62">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Maitencillo</w:t>
            </w:r>
          </w:p>
        </w:tc>
        <w:tc>
          <w:tcPr>
            <w:tcW w:w="1701" w:type="dxa"/>
            <w:tcBorders>
              <w:top w:val="single" w:sz="2" w:space="0" w:color="auto"/>
              <w:left w:val="single" w:sz="6" w:space="0" w:color="auto"/>
              <w:bottom w:val="single" w:sz="2" w:space="0" w:color="auto"/>
              <w:right w:val="single" w:sz="6" w:space="0" w:color="auto"/>
            </w:tcBorders>
            <w:shd w:val="clear" w:color="auto" w:fill="auto"/>
            <w:noWrap/>
            <w:hideMark/>
          </w:tcPr>
          <w:p w14:paraId="6D29ED73" w14:textId="77777777" w:rsidR="002A3409" w:rsidRPr="006D5279" w:rsidRDefault="002A3409" w:rsidP="006B5A62">
            <w:pPr>
              <w:spacing w:before="20" w:after="20" w:line="240" w:lineRule="auto"/>
              <w:jc w:val="right"/>
              <w:rPr>
                <w:rFonts w:eastAsia="Times New Roman" w:cs="Calibri"/>
                <w:color w:val="000000"/>
                <w:sz w:val="20"/>
                <w:szCs w:val="20"/>
                <w:lang w:val="es-ES" w:eastAsia="es-ES"/>
              </w:rPr>
            </w:pPr>
            <w:r w:rsidRPr="006D5279">
              <w:rPr>
                <w:sz w:val="20"/>
                <w:szCs w:val="20"/>
              </w:rPr>
              <w:t xml:space="preserve"> 945.605 </w:t>
            </w:r>
          </w:p>
        </w:tc>
      </w:tr>
      <w:tr w:rsidR="002A3409" w:rsidRPr="00C61D54" w14:paraId="38A186E6" w14:textId="77777777" w:rsidTr="006B5A62">
        <w:trPr>
          <w:jc w:val="center"/>
        </w:trPr>
        <w:tc>
          <w:tcPr>
            <w:tcW w:w="204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CD449F3" w14:textId="77777777" w:rsidR="002A3409" w:rsidRPr="006D5279" w:rsidRDefault="002A3409" w:rsidP="006B5A62">
            <w:pPr>
              <w:spacing w:before="20" w:after="20" w:line="240" w:lineRule="auto"/>
              <w:jc w:val="center"/>
              <w:rPr>
                <w:rFonts w:eastAsia="Times New Roman" w:cs="Calibri"/>
                <w:color w:val="000000"/>
                <w:sz w:val="20"/>
                <w:szCs w:val="20"/>
                <w:lang w:val="es-ES" w:eastAsia="es-ES"/>
              </w:rPr>
            </w:pPr>
            <w:r w:rsidRPr="006D5279">
              <w:rPr>
                <w:rFonts w:cs="Calibri"/>
                <w:color w:val="000000"/>
                <w:sz w:val="20"/>
                <w:szCs w:val="20"/>
              </w:rPr>
              <w:t xml:space="preserve">SE-N_43 </w:t>
            </w:r>
          </w:p>
        </w:tc>
        <w:tc>
          <w:tcPr>
            <w:tcW w:w="3402" w:type="dxa"/>
            <w:tcBorders>
              <w:top w:val="single" w:sz="2" w:space="0" w:color="auto"/>
              <w:left w:val="single" w:sz="6" w:space="0" w:color="auto"/>
              <w:bottom w:val="single" w:sz="2" w:space="0" w:color="auto"/>
              <w:right w:val="single" w:sz="6" w:space="0" w:color="auto"/>
            </w:tcBorders>
            <w:shd w:val="clear" w:color="auto" w:fill="auto"/>
            <w:noWrap/>
            <w:vAlign w:val="center"/>
          </w:tcPr>
          <w:p w14:paraId="2725D45C" w14:textId="77777777" w:rsidR="002A3409" w:rsidRPr="00C61D54" w:rsidRDefault="002A3409" w:rsidP="006B5A62">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María Elena</w:t>
            </w:r>
          </w:p>
        </w:tc>
        <w:tc>
          <w:tcPr>
            <w:tcW w:w="1701" w:type="dxa"/>
            <w:tcBorders>
              <w:top w:val="single" w:sz="2" w:space="0" w:color="auto"/>
              <w:left w:val="single" w:sz="6" w:space="0" w:color="auto"/>
              <w:bottom w:val="single" w:sz="2" w:space="0" w:color="auto"/>
              <w:right w:val="single" w:sz="6" w:space="0" w:color="auto"/>
            </w:tcBorders>
            <w:shd w:val="clear" w:color="auto" w:fill="auto"/>
            <w:noWrap/>
            <w:hideMark/>
          </w:tcPr>
          <w:p w14:paraId="7150823E" w14:textId="77777777" w:rsidR="002A3409" w:rsidRPr="006D5279" w:rsidRDefault="002A3409" w:rsidP="006B5A62">
            <w:pPr>
              <w:spacing w:before="20" w:after="20" w:line="240" w:lineRule="auto"/>
              <w:jc w:val="right"/>
              <w:rPr>
                <w:rFonts w:eastAsia="Times New Roman" w:cs="Calibri"/>
                <w:color w:val="000000"/>
                <w:sz w:val="20"/>
                <w:szCs w:val="20"/>
                <w:lang w:val="es-ES" w:eastAsia="es-ES"/>
              </w:rPr>
            </w:pPr>
            <w:r w:rsidRPr="006D5279">
              <w:rPr>
                <w:sz w:val="20"/>
                <w:szCs w:val="20"/>
              </w:rPr>
              <w:t xml:space="preserve"> 142.421 </w:t>
            </w:r>
          </w:p>
        </w:tc>
      </w:tr>
      <w:tr w:rsidR="002A3409" w:rsidRPr="00C61D54" w14:paraId="7D10E63F" w14:textId="77777777" w:rsidTr="006B5A62">
        <w:trPr>
          <w:jc w:val="center"/>
        </w:trPr>
        <w:tc>
          <w:tcPr>
            <w:tcW w:w="204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27C1017E" w14:textId="77777777" w:rsidR="002A3409" w:rsidRPr="006D5279" w:rsidRDefault="002A3409" w:rsidP="006B5A62">
            <w:pPr>
              <w:spacing w:before="20" w:after="20" w:line="240" w:lineRule="auto"/>
              <w:jc w:val="center"/>
              <w:rPr>
                <w:rFonts w:eastAsia="Times New Roman" w:cs="Calibri"/>
                <w:color w:val="000000"/>
                <w:sz w:val="20"/>
                <w:szCs w:val="20"/>
                <w:lang w:val="es-ES" w:eastAsia="es-ES"/>
              </w:rPr>
            </w:pPr>
            <w:r w:rsidRPr="006D5279">
              <w:rPr>
                <w:rFonts w:cs="Calibri"/>
                <w:color w:val="000000"/>
                <w:sz w:val="20"/>
                <w:szCs w:val="20"/>
              </w:rPr>
              <w:lastRenderedPageBreak/>
              <w:t xml:space="preserve">SE-N_44 </w:t>
            </w:r>
          </w:p>
        </w:tc>
        <w:tc>
          <w:tcPr>
            <w:tcW w:w="3402" w:type="dxa"/>
            <w:tcBorders>
              <w:top w:val="single" w:sz="2" w:space="0" w:color="auto"/>
              <w:left w:val="single" w:sz="6" w:space="0" w:color="auto"/>
              <w:bottom w:val="single" w:sz="2" w:space="0" w:color="auto"/>
              <w:right w:val="single" w:sz="6" w:space="0" w:color="auto"/>
            </w:tcBorders>
            <w:shd w:val="clear" w:color="auto" w:fill="auto"/>
            <w:noWrap/>
            <w:vAlign w:val="center"/>
          </w:tcPr>
          <w:p w14:paraId="326313BE" w14:textId="77777777" w:rsidR="002A3409" w:rsidRPr="00C61D54" w:rsidRDefault="002A3409" w:rsidP="006B5A62">
            <w:pPr>
              <w:spacing w:before="20" w:after="20" w:line="240" w:lineRule="auto"/>
              <w:jc w:val="left"/>
              <w:rPr>
                <w:rFonts w:eastAsia="Times New Roman" w:cs="Calibri"/>
                <w:color w:val="000000"/>
                <w:sz w:val="20"/>
                <w:szCs w:val="20"/>
                <w:lang w:val="es-ES" w:eastAsia="es-ES"/>
              </w:rPr>
            </w:pPr>
            <w:r>
              <w:rPr>
                <w:rFonts w:eastAsia="Times New Roman" w:cs="Calibri"/>
                <w:color w:val="000000"/>
                <w:sz w:val="20"/>
                <w:szCs w:val="20"/>
                <w:lang w:val="es-ES" w:eastAsia="es-ES"/>
              </w:rPr>
              <w:t>Melipulli</w:t>
            </w:r>
          </w:p>
        </w:tc>
        <w:tc>
          <w:tcPr>
            <w:tcW w:w="1701" w:type="dxa"/>
            <w:tcBorders>
              <w:top w:val="single" w:sz="2" w:space="0" w:color="auto"/>
              <w:left w:val="single" w:sz="6" w:space="0" w:color="auto"/>
              <w:bottom w:val="single" w:sz="2" w:space="0" w:color="auto"/>
              <w:right w:val="single" w:sz="6" w:space="0" w:color="auto"/>
            </w:tcBorders>
            <w:shd w:val="clear" w:color="auto" w:fill="auto"/>
            <w:noWrap/>
            <w:hideMark/>
          </w:tcPr>
          <w:p w14:paraId="1DF9391E" w14:textId="77777777" w:rsidR="002A3409" w:rsidRPr="006D5279" w:rsidRDefault="002A3409" w:rsidP="006B5A62">
            <w:pPr>
              <w:spacing w:before="20" w:after="20" w:line="240" w:lineRule="auto"/>
              <w:jc w:val="right"/>
              <w:rPr>
                <w:rFonts w:eastAsia="Times New Roman" w:cs="Calibri"/>
                <w:color w:val="000000"/>
                <w:sz w:val="20"/>
                <w:szCs w:val="20"/>
                <w:lang w:val="es-ES" w:eastAsia="es-ES"/>
              </w:rPr>
            </w:pPr>
            <w:r w:rsidRPr="006D5279">
              <w:rPr>
                <w:sz w:val="20"/>
                <w:szCs w:val="20"/>
              </w:rPr>
              <w:t xml:space="preserve"> 380.449 </w:t>
            </w:r>
          </w:p>
        </w:tc>
      </w:tr>
      <w:tr w:rsidR="002A3409" w:rsidRPr="00C61D54" w14:paraId="2F129F6E" w14:textId="77777777" w:rsidTr="006B5A62">
        <w:trPr>
          <w:jc w:val="center"/>
        </w:trPr>
        <w:tc>
          <w:tcPr>
            <w:tcW w:w="204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C5E017D" w14:textId="77777777" w:rsidR="002A3409" w:rsidRPr="006D5279" w:rsidRDefault="002A3409" w:rsidP="006B5A62">
            <w:pPr>
              <w:spacing w:before="20" w:after="20" w:line="240" w:lineRule="auto"/>
              <w:jc w:val="center"/>
              <w:rPr>
                <w:rFonts w:eastAsia="Times New Roman" w:cs="Calibri"/>
                <w:color w:val="000000"/>
                <w:sz w:val="20"/>
                <w:szCs w:val="20"/>
                <w:lang w:val="es-ES" w:eastAsia="es-ES"/>
              </w:rPr>
            </w:pPr>
            <w:r w:rsidRPr="006D5279">
              <w:rPr>
                <w:rFonts w:cs="Calibri"/>
                <w:color w:val="000000"/>
                <w:sz w:val="20"/>
                <w:szCs w:val="20"/>
              </w:rPr>
              <w:t xml:space="preserve">SE-N_45 </w:t>
            </w:r>
          </w:p>
        </w:tc>
        <w:tc>
          <w:tcPr>
            <w:tcW w:w="3402" w:type="dxa"/>
            <w:tcBorders>
              <w:top w:val="single" w:sz="2" w:space="0" w:color="auto"/>
              <w:left w:val="single" w:sz="6" w:space="0" w:color="auto"/>
              <w:bottom w:val="single" w:sz="2" w:space="0" w:color="auto"/>
              <w:right w:val="single" w:sz="6" w:space="0" w:color="auto"/>
            </w:tcBorders>
            <w:shd w:val="clear" w:color="auto" w:fill="auto"/>
            <w:noWrap/>
            <w:vAlign w:val="center"/>
          </w:tcPr>
          <w:p w14:paraId="0D6BE2F8" w14:textId="77777777" w:rsidR="002A3409" w:rsidRPr="00C61D54" w:rsidRDefault="002A3409" w:rsidP="006B5A62">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Miraje</w:t>
            </w:r>
          </w:p>
        </w:tc>
        <w:tc>
          <w:tcPr>
            <w:tcW w:w="1701" w:type="dxa"/>
            <w:tcBorders>
              <w:top w:val="single" w:sz="2" w:space="0" w:color="auto"/>
              <w:left w:val="single" w:sz="6" w:space="0" w:color="auto"/>
              <w:bottom w:val="single" w:sz="2" w:space="0" w:color="auto"/>
              <w:right w:val="single" w:sz="6" w:space="0" w:color="auto"/>
            </w:tcBorders>
            <w:shd w:val="clear" w:color="auto" w:fill="auto"/>
            <w:noWrap/>
            <w:hideMark/>
          </w:tcPr>
          <w:p w14:paraId="7EEEED4D" w14:textId="77777777" w:rsidR="002A3409" w:rsidRPr="006D5279" w:rsidRDefault="002A3409" w:rsidP="006B5A62">
            <w:pPr>
              <w:spacing w:before="20" w:after="20" w:line="240" w:lineRule="auto"/>
              <w:jc w:val="right"/>
              <w:rPr>
                <w:rFonts w:eastAsia="Times New Roman" w:cs="Calibri"/>
                <w:color w:val="000000"/>
                <w:sz w:val="20"/>
                <w:szCs w:val="20"/>
                <w:lang w:val="es-ES" w:eastAsia="es-ES"/>
              </w:rPr>
            </w:pPr>
            <w:r w:rsidRPr="006D5279">
              <w:rPr>
                <w:sz w:val="20"/>
                <w:szCs w:val="20"/>
              </w:rPr>
              <w:t xml:space="preserve"> 165.657 </w:t>
            </w:r>
          </w:p>
        </w:tc>
      </w:tr>
      <w:tr w:rsidR="002A3409" w:rsidRPr="00C61D54" w14:paraId="7A34E130" w14:textId="77777777" w:rsidTr="006B5A62">
        <w:trPr>
          <w:jc w:val="center"/>
        </w:trPr>
        <w:tc>
          <w:tcPr>
            <w:tcW w:w="204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787B0D8F" w14:textId="77777777" w:rsidR="002A3409" w:rsidRPr="006D5279" w:rsidRDefault="002A3409" w:rsidP="006B5A62">
            <w:pPr>
              <w:spacing w:before="20" w:after="20" w:line="240" w:lineRule="auto"/>
              <w:jc w:val="center"/>
              <w:rPr>
                <w:rFonts w:eastAsia="Times New Roman" w:cs="Calibri"/>
                <w:color w:val="000000"/>
                <w:sz w:val="20"/>
                <w:szCs w:val="20"/>
                <w:lang w:val="es-ES" w:eastAsia="es-ES"/>
              </w:rPr>
            </w:pPr>
            <w:r w:rsidRPr="006D5279">
              <w:rPr>
                <w:rFonts w:cs="Calibri"/>
                <w:color w:val="000000"/>
                <w:sz w:val="20"/>
                <w:szCs w:val="20"/>
              </w:rPr>
              <w:t xml:space="preserve">SE-N_46 </w:t>
            </w:r>
          </w:p>
        </w:tc>
        <w:tc>
          <w:tcPr>
            <w:tcW w:w="3402" w:type="dxa"/>
            <w:tcBorders>
              <w:top w:val="single" w:sz="2" w:space="0" w:color="auto"/>
              <w:left w:val="single" w:sz="6" w:space="0" w:color="auto"/>
              <w:bottom w:val="single" w:sz="2" w:space="0" w:color="auto"/>
              <w:right w:val="single" w:sz="6" w:space="0" w:color="auto"/>
            </w:tcBorders>
            <w:shd w:val="clear" w:color="auto" w:fill="auto"/>
            <w:noWrap/>
            <w:vAlign w:val="center"/>
          </w:tcPr>
          <w:p w14:paraId="23C4158C" w14:textId="77777777" w:rsidR="002A3409" w:rsidRPr="00C61D54" w:rsidRDefault="002A3409" w:rsidP="006B5A62">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Mulchén</w:t>
            </w:r>
          </w:p>
        </w:tc>
        <w:tc>
          <w:tcPr>
            <w:tcW w:w="1701" w:type="dxa"/>
            <w:tcBorders>
              <w:top w:val="single" w:sz="2" w:space="0" w:color="auto"/>
              <w:left w:val="single" w:sz="6" w:space="0" w:color="auto"/>
              <w:bottom w:val="single" w:sz="2" w:space="0" w:color="auto"/>
              <w:right w:val="single" w:sz="6" w:space="0" w:color="auto"/>
            </w:tcBorders>
            <w:shd w:val="clear" w:color="auto" w:fill="auto"/>
            <w:noWrap/>
            <w:hideMark/>
          </w:tcPr>
          <w:p w14:paraId="347B533B" w14:textId="77777777" w:rsidR="002A3409" w:rsidRPr="006D5279" w:rsidRDefault="002A3409" w:rsidP="006B5A62">
            <w:pPr>
              <w:spacing w:before="20" w:after="20" w:line="240" w:lineRule="auto"/>
              <w:jc w:val="right"/>
              <w:rPr>
                <w:rFonts w:eastAsia="Times New Roman" w:cs="Calibri"/>
                <w:color w:val="000000"/>
                <w:sz w:val="20"/>
                <w:szCs w:val="20"/>
                <w:lang w:val="es-ES" w:eastAsia="es-ES"/>
              </w:rPr>
            </w:pPr>
            <w:r w:rsidRPr="006D5279">
              <w:rPr>
                <w:sz w:val="20"/>
                <w:szCs w:val="20"/>
              </w:rPr>
              <w:t xml:space="preserve"> 982.119 </w:t>
            </w:r>
          </w:p>
        </w:tc>
      </w:tr>
      <w:tr w:rsidR="002A3409" w:rsidRPr="00C61D54" w14:paraId="674790A5" w14:textId="77777777" w:rsidTr="006B5A62">
        <w:trPr>
          <w:jc w:val="center"/>
        </w:trPr>
        <w:tc>
          <w:tcPr>
            <w:tcW w:w="204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9AFD7B6" w14:textId="77777777" w:rsidR="002A3409" w:rsidRPr="006D5279" w:rsidRDefault="002A3409" w:rsidP="006B5A62">
            <w:pPr>
              <w:spacing w:before="20" w:after="20" w:line="240" w:lineRule="auto"/>
              <w:jc w:val="center"/>
              <w:rPr>
                <w:rFonts w:eastAsia="Times New Roman" w:cs="Calibri"/>
                <w:color w:val="000000"/>
                <w:sz w:val="20"/>
                <w:szCs w:val="20"/>
                <w:lang w:val="es-ES" w:eastAsia="es-ES"/>
              </w:rPr>
            </w:pPr>
            <w:r w:rsidRPr="006D5279">
              <w:rPr>
                <w:rFonts w:cs="Calibri"/>
                <w:color w:val="000000"/>
                <w:sz w:val="20"/>
                <w:szCs w:val="20"/>
              </w:rPr>
              <w:t xml:space="preserve">SE-N_47 </w:t>
            </w:r>
          </w:p>
        </w:tc>
        <w:tc>
          <w:tcPr>
            <w:tcW w:w="3402" w:type="dxa"/>
            <w:tcBorders>
              <w:top w:val="single" w:sz="2" w:space="0" w:color="auto"/>
              <w:left w:val="single" w:sz="6" w:space="0" w:color="auto"/>
              <w:bottom w:val="single" w:sz="2" w:space="0" w:color="auto"/>
              <w:right w:val="single" w:sz="6" w:space="0" w:color="auto"/>
            </w:tcBorders>
            <w:shd w:val="clear" w:color="auto" w:fill="auto"/>
            <w:noWrap/>
            <w:vAlign w:val="center"/>
          </w:tcPr>
          <w:p w14:paraId="49F342E6" w14:textId="77777777" w:rsidR="002A3409" w:rsidRPr="00C61D54" w:rsidRDefault="002A3409" w:rsidP="006B5A62">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Neptuno</w:t>
            </w:r>
          </w:p>
        </w:tc>
        <w:tc>
          <w:tcPr>
            <w:tcW w:w="1701" w:type="dxa"/>
            <w:tcBorders>
              <w:top w:val="single" w:sz="2" w:space="0" w:color="auto"/>
              <w:left w:val="single" w:sz="6" w:space="0" w:color="auto"/>
              <w:bottom w:val="single" w:sz="2" w:space="0" w:color="auto"/>
              <w:right w:val="single" w:sz="6" w:space="0" w:color="auto"/>
            </w:tcBorders>
            <w:shd w:val="clear" w:color="auto" w:fill="auto"/>
            <w:noWrap/>
            <w:hideMark/>
          </w:tcPr>
          <w:p w14:paraId="145A4CF8" w14:textId="77777777" w:rsidR="002A3409" w:rsidRPr="006D5279" w:rsidRDefault="002A3409" w:rsidP="006B5A62">
            <w:pPr>
              <w:spacing w:before="20" w:after="20" w:line="240" w:lineRule="auto"/>
              <w:jc w:val="right"/>
              <w:rPr>
                <w:rFonts w:eastAsia="Times New Roman" w:cs="Calibri"/>
                <w:color w:val="000000"/>
                <w:sz w:val="20"/>
                <w:szCs w:val="20"/>
                <w:lang w:val="es-ES" w:eastAsia="es-ES"/>
              </w:rPr>
            </w:pPr>
            <w:r w:rsidRPr="006D5279">
              <w:rPr>
                <w:sz w:val="20"/>
                <w:szCs w:val="20"/>
              </w:rPr>
              <w:t xml:space="preserve"> 70.475 </w:t>
            </w:r>
          </w:p>
        </w:tc>
      </w:tr>
      <w:tr w:rsidR="002A3409" w:rsidRPr="00C61D54" w14:paraId="585B6A8B" w14:textId="77777777" w:rsidTr="006B5A62">
        <w:trPr>
          <w:jc w:val="center"/>
        </w:trPr>
        <w:tc>
          <w:tcPr>
            <w:tcW w:w="204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F84FFE1" w14:textId="77777777" w:rsidR="002A3409" w:rsidRPr="006D5279" w:rsidRDefault="002A3409" w:rsidP="006B5A62">
            <w:pPr>
              <w:spacing w:before="20" w:after="20" w:line="240" w:lineRule="auto"/>
              <w:jc w:val="center"/>
              <w:rPr>
                <w:rFonts w:eastAsia="Times New Roman" w:cs="Calibri"/>
                <w:color w:val="000000"/>
                <w:sz w:val="20"/>
                <w:szCs w:val="20"/>
                <w:lang w:val="es-ES" w:eastAsia="es-ES"/>
              </w:rPr>
            </w:pPr>
            <w:r w:rsidRPr="006D5279">
              <w:rPr>
                <w:rFonts w:cs="Calibri"/>
                <w:color w:val="000000"/>
                <w:sz w:val="20"/>
                <w:szCs w:val="20"/>
              </w:rPr>
              <w:t xml:space="preserve">SE-N_48 </w:t>
            </w:r>
          </w:p>
        </w:tc>
        <w:tc>
          <w:tcPr>
            <w:tcW w:w="3402" w:type="dxa"/>
            <w:tcBorders>
              <w:top w:val="single" w:sz="2" w:space="0" w:color="auto"/>
              <w:left w:val="single" w:sz="6" w:space="0" w:color="auto"/>
              <w:bottom w:val="single" w:sz="2" w:space="0" w:color="auto"/>
              <w:right w:val="single" w:sz="6" w:space="0" w:color="auto"/>
            </w:tcBorders>
            <w:shd w:val="clear" w:color="auto" w:fill="auto"/>
            <w:noWrap/>
            <w:vAlign w:val="center"/>
          </w:tcPr>
          <w:p w14:paraId="6C5930D4" w14:textId="77777777" w:rsidR="002A3409" w:rsidRPr="00C61D54" w:rsidRDefault="002A3409" w:rsidP="006B5A62">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Nogales</w:t>
            </w:r>
          </w:p>
        </w:tc>
        <w:tc>
          <w:tcPr>
            <w:tcW w:w="1701" w:type="dxa"/>
            <w:tcBorders>
              <w:top w:val="single" w:sz="2" w:space="0" w:color="auto"/>
              <w:left w:val="single" w:sz="6" w:space="0" w:color="auto"/>
              <w:bottom w:val="single" w:sz="2" w:space="0" w:color="auto"/>
              <w:right w:val="single" w:sz="6" w:space="0" w:color="auto"/>
            </w:tcBorders>
            <w:shd w:val="clear" w:color="auto" w:fill="auto"/>
            <w:noWrap/>
            <w:hideMark/>
          </w:tcPr>
          <w:p w14:paraId="34B329E8" w14:textId="77777777" w:rsidR="002A3409" w:rsidRPr="006D5279" w:rsidRDefault="002A3409" w:rsidP="006B5A62">
            <w:pPr>
              <w:spacing w:before="20" w:after="20" w:line="240" w:lineRule="auto"/>
              <w:jc w:val="right"/>
              <w:rPr>
                <w:rFonts w:eastAsia="Times New Roman" w:cs="Calibri"/>
                <w:color w:val="000000"/>
                <w:sz w:val="20"/>
                <w:szCs w:val="20"/>
                <w:lang w:val="es-ES" w:eastAsia="es-ES"/>
              </w:rPr>
            </w:pPr>
            <w:r w:rsidRPr="006D5279">
              <w:rPr>
                <w:sz w:val="20"/>
                <w:szCs w:val="20"/>
              </w:rPr>
              <w:t xml:space="preserve"> 331.313 </w:t>
            </w:r>
          </w:p>
        </w:tc>
      </w:tr>
      <w:tr w:rsidR="002A3409" w:rsidRPr="00C61D54" w14:paraId="7217E2F9" w14:textId="77777777" w:rsidTr="006B5A62">
        <w:trPr>
          <w:jc w:val="center"/>
        </w:trPr>
        <w:tc>
          <w:tcPr>
            <w:tcW w:w="204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613385A" w14:textId="77777777" w:rsidR="002A3409" w:rsidRPr="006D5279" w:rsidRDefault="002A3409" w:rsidP="006B5A62">
            <w:pPr>
              <w:spacing w:before="20" w:after="20" w:line="240" w:lineRule="auto"/>
              <w:jc w:val="center"/>
              <w:rPr>
                <w:rFonts w:eastAsia="Times New Roman" w:cs="Calibri"/>
                <w:color w:val="000000"/>
                <w:sz w:val="20"/>
                <w:szCs w:val="20"/>
                <w:lang w:val="es-ES" w:eastAsia="es-ES"/>
              </w:rPr>
            </w:pPr>
            <w:r w:rsidRPr="006D5279">
              <w:rPr>
                <w:rFonts w:cs="Calibri"/>
                <w:color w:val="000000"/>
                <w:sz w:val="20"/>
                <w:szCs w:val="20"/>
              </w:rPr>
              <w:t xml:space="preserve">SE-N_50 </w:t>
            </w:r>
          </w:p>
        </w:tc>
        <w:tc>
          <w:tcPr>
            <w:tcW w:w="3402" w:type="dxa"/>
            <w:tcBorders>
              <w:top w:val="single" w:sz="2" w:space="0" w:color="auto"/>
              <w:left w:val="single" w:sz="6" w:space="0" w:color="auto"/>
              <w:bottom w:val="single" w:sz="2" w:space="0" w:color="auto"/>
              <w:right w:val="single" w:sz="6" w:space="0" w:color="auto"/>
            </w:tcBorders>
            <w:shd w:val="clear" w:color="auto" w:fill="auto"/>
            <w:noWrap/>
            <w:vAlign w:val="center"/>
          </w:tcPr>
          <w:p w14:paraId="6A65B713" w14:textId="77777777" w:rsidR="002A3409" w:rsidRPr="00C61D54" w:rsidRDefault="002A3409" w:rsidP="006B5A62">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Nueva Cardones</w:t>
            </w:r>
          </w:p>
        </w:tc>
        <w:tc>
          <w:tcPr>
            <w:tcW w:w="1701" w:type="dxa"/>
            <w:tcBorders>
              <w:top w:val="single" w:sz="2" w:space="0" w:color="auto"/>
              <w:left w:val="single" w:sz="6" w:space="0" w:color="auto"/>
              <w:bottom w:val="single" w:sz="2" w:space="0" w:color="auto"/>
              <w:right w:val="single" w:sz="6" w:space="0" w:color="auto"/>
            </w:tcBorders>
            <w:shd w:val="clear" w:color="auto" w:fill="auto"/>
            <w:noWrap/>
            <w:hideMark/>
          </w:tcPr>
          <w:p w14:paraId="5B2D40B2" w14:textId="77777777" w:rsidR="002A3409" w:rsidRPr="006D5279" w:rsidRDefault="002A3409" w:rsidP="006B5A62">
            <w:pPr>
              <w:spacing w:before="20" w:after="20" w:line="240" w:lineRule="auto"/>
              <w:jc w:val="right"/>
              <w:rPr>
                <w:rFonts w:eastAsia="Times New Roman" w:cs="Calibri"/>
                <w:color w:val="000000"/>
                <w:sz w:val="20"/>
                <w:szCs w:val="20"/>
                <w:lang w:val="es-ES" w:eastAsia="es-ES"/>
              </w:rPr>
            </w:pPr>
            <w:r w:rsidRPr="006D5279">
              <w:rPr>
                <w:sz w:val="20"/>
                <w:szCs w:val="20"/>
              </w:rPr>
              <w:t xml:space="preserve"> 1.176.957 </w:t>
            </w:r>
          </w:p>
        </w:tc>
      </w:tr>
      <w:tr w:rsidR="002A3409" w:rsidRPr="00C61D54" w14:paraId="55FAF53B" w14:textId="77777777" w:rsidTr="006B5A62">
        <w:trPr>
          <w:jc w:val="center"/>
        </w:trPr>
        <w:tc>
          <w:tcPr>
            <w:tcW w:w="204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96B6365" w14:textId="77777777" w:rsidR="002A3409" w:rsidRPr="006D5279" w:rsidRDefault="002A3409" w:rsidP="006B5A62">
            <w:pPr>
              <w:spacing w:before="20" w:after="20" w:line="240" w:lineRule="auto"/>
              <w:jc w:val="center"/>
              <w:rPr>
                <w:rFonts w:eastAsia="Times New Roman" w:cs="Calibri"/>
                <w:color w:val="000000"/>
                <w:sz w:val="20"/>
                <w:szCs w:val="20"/>
                <w:lang w:val="es-ES" w:eastAsia="es-ES"/>
              </w:rPr>
            </w:pPr>
            <w:r w:rsidRPr="006D5279">
              <w:rPr>
                <w:rFonts w:cs="Calibri"/>
                <w:color w:val="000000"/>
                <w:sz w:val="20"/>
                <w:szCs w:val="20"/>
              </w:rPr>
              <w:t xml:space="preserve">SE-N_51 </w:t>
            </w:r>
          </w:p>
        </w:tc>
        <w:tc>
          <w:tcPr>
            <w:tcW w:w="3402" w:type="dxa"/>
            <w:tcBorders>
              <w:top w:val="single" w:sz="2" w:space="0" w:color="auto"/>
              <w:left w:val="single" w:sz="6" w:space="0" w:color="auto"/>
              <w:bottom w:val="single" w:sz="2" w:space="0" w:color="auto"/>
              <w:right w:val="single" w:sz="6" w:space="0" w:color="auto"/>
            </w:tcBorders>
            <w:shd w:val="clear" w:color="auto" w:fill="auto"/>
            <w:noWrap/>
            <w:vAlign w:val="center"/>
          </w:tcPr>
          <w:p w14:paraId="47D0D39C" w14:textId="77777777" w:rsidR="002A3409" w:rsidRPr="00C61D54" w:rsidRDefault="002A3409" w:rsidP="006B5A62">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Nueva Pichirropulli</w:t>
            </w:r>
          </w:p>
        </w:tc>
        <w:tc>
          <w:tcPr>
            <w:tcW w:w="1701" w:type="dxa"/>
            <w:tcBorders>
              <w:top w:val="single" w:sz="2" w:space="0" w:color="auto"/>
              <w:left w:val="single" w:sz="6" w:space="0" w:color="auto"/>
              <w:bottom w:val="single" w:sz="2" w:space="0" w:color="auto"/>
              <w:right w:val="single" w:sz="6" w:space="0" w:color="auto"/>
            </w:tcBorders>
            <w:shd w:val="clear" w:color="auto" w:fill="auto"/>
            <w:noWrap/>
            <w:hideMark/>
          </w:tcPr>
          <w:p w14:paraId="3152F12C" w14:textId="77777777" w:rsidR="002A3409" w:rsidRPr="006D5279" w:rsidRDefault="002A3409" w:rsidP="006B5A62">
            <w:pPr>
              <w:spacing w:before="20" w:after="20" w:line="240" w:lineRule="auto"/>
              <w:jc w:val="right"/>
              <w:rPr>
                <w:rFonts w:eastAsia="Times New Roman" w:cs="Calibri"/>
                <w:color w:val="000000"/>
                <w:sz w:val="20"/>
                <w:szCs w:val="20"/>
                <w:lang w:val="es-ES" w:eastAsia="es-ES"/>
              </w:rPr>
            </w:pPr>
            <w:r w:rsidRPr="006D5279">
              <w:rPr>
                <w:sz w:val="20"/>
                <w:szCs w:val="20"/>
              </w:rPr>
              <w:t xml:space="preserve"> 424.069 </w:t>
            </w:r>
          </w:p>
        </w:tc>
      </w:tr>
      <w:tr w:rsidR="002A3409" w:rsidRPr="00C61D54" w14:paraId="0A398EBB" w14:textId="77777777" w:rsidTr="006B5A62">
        <w:trPr>
          <w:jc w:val="center"/>
        </w:trPr>
        <w:tc>
          <w:tcPr>
            <w:tcW w:w="204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79EC6E1" w14:textId="77777777" w:rsidR="002A3409" w:rsidRPr="006D5279" w:rsidRDefault="002A3409" w:rsidP="006B5A62">
            <w:pPr>
              <w:spacing w:before="20" w:after="20" w:line="240" w:lineRule="auto"/>
              <w:jc w:val="center"/>
              <w:rPr>
                <w:rFonts w:eastAsia="Times New Roman" w:cs="Calibri"/>
                <w:color w:val="000000"/>
                <w:sz w:val="20"/>
                <w:szCs w:val="20"/>
                <w:lang w:val="es-ES" w:eastAsia="es-ES"/>
              </w:rPr>
            </w:pPr>
            <w:r w:rsidRPr="006D5279">
              <w:rPr>
                <w:rFonts w:cs="Calibri"/>
                <w:color w:val="000000"/>
                <w:sz w:val="20"/>
                <w:szCs w:val="20"/>
              </w:rPr>
              <w:t xml:space="preserve">SE-N_53 </w:t>
            </w:r>
          </w:p>
        </w:tc>
        <w:tc>
          <w:tcPr>
            <w:tcW w:w="3402" w:type="dxa"/>
            <w:tcBorders>
              <w:top w:val="single" w:sz="2" w:space="0" w:color="auto"/>
              <w:left w:val="single" w:sz="6" w:space="0" w:color="auto"/>
              <w:bottom w:val="single" w:sz="2" w:space="0" w:color="auto"/>
              <w:right w:val="single" w:sz="6" w:space="0" w:color="auto"/>
            </w:tcBorders>
            <w:shd w:val="clear" w:color="auto" w:fill="auto"/>
            <w:noWrap/>
            <w:vAlign w:val="center"/>
          </w:tcPr>
          <w:p w14:paraId="4140758A" w14:textId="77777777" w:rsidR="002A3409" w:rsidRPr="00C61D54" w:rsidRDefault="002A3409" w:rsidP="006B5A62">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O'Higgins</w:t>
            </w:r>
          </w:p>
        </w:tc>
        <w:tc>
          <w:tcPr>
            <w:tcW w:w="1701" w:type="dxa"/>
            <w:tcBorders>
              <w:top w:val="single" w:sz="2" w:space="0" w:color="auto"/>
              <w:left w:val="single" w:sz="6" w:space="0" w:color="auto"/>
              <w:bottom w:val="single" w:sz="2" w:space="0" w:color="auto"/>
              <w:right w:val="single" w:sz="6" w:space="0" w:color="auto"/>
            </w:tcBorders>
            <w:shd w:val="clear" w:color="auto" w:fill="auto"/>
            <w:noWrap/>
            <w:hideMark/>
          </w:tcPr>
          <w:p w14:paraId="60E9F3C4" w14:textId="77777777" w:rsidR="002A3409" w:rsidRPr="006D5279" w:rsidRDefault="002A3409" w:rsidP="006B5A62">
            <w:pPr>
              <w:spacing w:before="20" w:after="20" w:line="240" w:lineRule="auto"/>
              <w:jc w:val="right"/>
              <w:rPr>
                <w:rFonts w:eastAsia="Times New Roman" w:cs="Calibri"/>
                <w:color w:val="000000"/>
                <w:sz w:val="20"/>
                <w:szCs w:val="20"/>
                <w:lang w:val="es-ES" w:eastAsia="es-ES"/>
              </w:rPr>
            </w:pPr>
            <w:r w:rsidRPr="006D5279">
              <w:rPr>
                <w:sz w:val="20"/>
                <w:szCs w:val="20"/>
              </w:rPr>
              <w:t xml:space="preserve"> 228.090 </w:t>
            </w:r>
          </w:p>
        </w:tc>
      </w:tr>
      <w:tr w:rsidR="002A3409" w:rsidRPr="00C61D54" w14:paraId="3DCF2900" w14:textId="77777777" w:rsidTr="006B5A62">
        <w:trPr>
          <w:jc w:val="center"/>
        </w:trPr>
        <w:tc>
          <w:tcPr>
            <w:tcW w:w="204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D255E52" w14:textId="77777777" w:rsidR="002A3409" w:rsidRPr="006D5279" w:rsidRDefault="002A3409" w:rsidP="006B5A62">
            <w:pPr>
              <w:spacing w:before="20" w:after="20" w:line="240" w:lineRule="auto"/>
              <w:jc w:val="center"/>
              <w:rPr>
                <w:rFonts w:eastAsia="Times New Roman" w:cs="Calibri"/>
                <w:color w:val="000000"/>
                <w:sz w:val="20"/>
                <w:szCs w:val="20"/>
                <w:lang w:val="es-ES" w:eastAsia="es-ES"/>
              </w:rPr>
            </w:pPr>
            <w:r w:rsidRPr="006D5279">
              <w:rPr>
                <w:rFonts w:cs="Calibri"/>
                <w:color w:val="000000"/>
                <w:sz w:val="20"/>
                <w:szCs w:val="20"/>
              </w:rPr>
              <w:t xml:space="preserve">SE-N_54 </w:t>
            </w:r>
          </w:p>
        </w:tc>
        <w:tc>
          <w:tcPr>
            <w:tcW w:w="3402" w:type="dxa"/>
            <w:tcBorders>
              <w:top w:val="single" w:sz="2" w:space="0" w:color="auto"/>
              <w:left w:val="single" w:sz="6" w:space="0" w:color="auto"/>
              <w:bottom w:val="single" w:sz="2" w:space="0" w:color="auto"/>
              <w:right w:val="single" w:sz="6" w:space="0" w:color="auto"/>
            </w:tcBorders>
            <w:shd w:val="clear" w:color="auto" w:fill="auto"/>
            <w:noWrap/>
            <w:vAlign w:val="center"/>
          </w:tcPr>
          <w:p w14:paraId="7DA04714" w14:textId="77777777" w:rsidR="002A3409" w:rsidRPr="00C61D54" w:rsidRDefault="002A3409" w:rsidP="006B5A62">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Pan De Azúcar</w:t>
            </w:r>
          </w:p>
        </w:tc>
        <w:tc>
          <w:tcPr>
            <w:tcW w:w="1701" w:type="dxa"/>
            <w:tcBorders>
              <w:top w:val="single" w:sz="2" w:space="0" w:color="auto"/>
              <w:left w:val="single" w:sz="6" w:space="0" w:color="auto"/>
              <w:bottom w:val="single" w:sz="2" w:space="0" w:color="auto"/>
              <w:right w:val="single" w:sz="6" w:space="0" w:color="auto"/>
            </w:tcBorders>
            <w:shd w:val="clear" w:color="auto" w:fill="auto"/>
            <w:noWrap/>
            <w:hideMark/>
          </w:tcPr>
          <w:p w14:paraId="08D3BB90" w14:textId="77777777" w:rsidR="002A3409" w:rsidRPr="006D5279" w:rsidRDefault="002A3409" w:rsidP="006B5A62">
            <w:pPr>
              <w:spacing w:before="20" w:after="20" w:line="240" w:lineRule="auto"/>
              <w:jc w:val="right"/>
              <w:rPr>
                <w:rFonts w:eastAsia="Times New Roman" w:cs="Calibri"/>
                <w:color w:val="000000"/>
                <w:sz w:val="20"/>
                <w:szCs w:val="20"/>
                <w:lang w:val="es-ES" w:eastAsia="es-ES"/>
              </w:rPr>
            </w:pPr>
            <w:r w:rsidRPr="006D5279">
              <w:rPr>
                <w:sz w:val="20"/>
                <w:szCs w:val="20"/>
              </w:rPr>
              <w:t xml:space="preserve"> 1.271.510 </w:t>
            </w:r>
          </w:p>
        </w:tc>
      </w:tr>
      <w:tr w:rsidR="002A3409" w:rsidRPr="00C61D54" w14:paraId="603083B7" w14:textId="77777777" w:rsidTr="006B5A62">
        <w:trPr>
          <w:jc w:val="center"/>
        </w:trPr>
        <w:tc>
          <w:tcPr>
            <w:tcW w:w="204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F64CCDA" w14:textId="77777777" w:rsidR="002A3409" w:rsidRPr="006D5279" w:rsidRDefault="002A3409" w:rsidP="006B5A62">
            <w:pPr>
              <w:spacing w:before="20" w:after="20" w:line="240" w:lineRule="auto"/>
              <w:jc w:val="center"/>
              <w:rPr>
                <w:rFonts w:eastAsia="Times New Roman" w:cs="Calibri"/>
                <w:color w:val="000000"/>
                <w:sz w:val="20"/>
                <w:szCs w:val="20"/>
                <w:lang w:val="es-ES" w:eastAsia="es-ES"/>
              </w:rPr>
            </w:pPr>
            <w:r w:rsidRPr="006D5279">
              <w:rPr>
                <w:rFonts w:cs="Calibri"/>
                <w:color w:val="000000"/>
                <w:sz w:val="20"/>
                <w:szCs w:val="20"/>
              </w:rPr>
              <w:t xml:space="preserve">SE-N_55 </w:t>
            </w:r>
          </w:p>
        </w:tc>
        <w:tc>
          <w:tcPr>
            <w:tcW w:w="3402" w:type="dxa"/>
            <w:tcBorders>
              <w:top w:val="single" w:sz="2" w:space="0" w:color="auto"/>
              <w:left w:val="single" w:sz="6" w:space="0" w:color="auto"/>
              <w:bottom w:val="single" w:sz="2" w:space="0" w:color="auto"/>
              <w:right w:val="single" w:sz="6" w:space="0" w:color="auto"/>
            </w:tcBorders>
            <w:shd w:val="clear" w:color="auto" w:fill="auto"/>
            <w:noWrap/>
            <w:vAlign w:val="center"/>
          </w:tcPr>
          <w:p w14:paraId="69139797" w14:textId="77777777" w:rsidR="002A3409" w:rsidRPr="00C61D54" w:rsidRDefault="002A3409" w:rsidP="006B5A62">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Parinacota</w:t>
            </w:r>
          </w:p>
        </w:tc>
        <w:tc>
          <w:tcPr>
            <w:tcW w:w="1701" w:type="dxa"/>
            <w:tcBorders>
              <w:top w:val="single" w:sz="2" w:space="0" w:color="auto"/>
              <w:left w:val="single" w:sz="6" w:space="0" w:color="auto"/>
              <w:bottom w:val="single" w:sz="2" w:space="0" w:color="auto"/>
              <w:right w:val="single" w:sz="6" w:space="0" w:color="auto"/>
            </w:tcBorders>
            <w:shd w:val="clear" w:color="auto" w:fill="auto"/>
            <w:noWrap/>
            <w:hideMark/>
          </w:tcPr>
          <w:p w14:paraId="2FAB783D" w14:textId="77777777" w:rsidR="002A3409" w:rsidRPr="006D5279" w:rsidRDefault="002A3409" w:rsidP="006B5A62">
            <w:pPr>
              <w:spacing w:before="20" w:after="20" w:line="240" w:lineRule="auto"/>
              <w:jc w:val="right"/>
              <w:rPr>
                <w:rFonts w:eastAsia="Times New Roman" w:cs="Calibri"/>
                <w:color w:val="000000"/>
                <w:sz w:val="20"/>
                <w:szCs w:val="20"/>
                <w:lang w:val="es-ES" w:eastAsia="es-ES"/>
              </w:rPr>
            </w:pPr>
            <w:r w:rsidRPr="006D5279">
              <w:rPr>
                <w:sz w:val="20"/>
                <w:szCs w:val="20"/>
              </w:rPr>
              <w:t xml:space="preserve"> 156.232 </w:t>
            </w:r>
          </w:p>
        </w:tc>
      </w:tr>
      <w:tr w:rsidR="002A3409" w:rsidRPr="00C61D54" w14:paraId="230B7EAA" w14:textId="77777777" w:rsidTr="006B5A62">
        <w:trPr>
          <w:jc w:val="center"/>
        </w:trPr>
        <w:tc>
          <w:tcPr>
            <w:tcW w:w="204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039EF3A" w14:textId="77777777" w:rsidR="002A3409" w:rsidRPr="006D5279" w:rsidRDefault="002A3409" w:rsidP="006B5A62">
            <w:pPr>
              <w:spacing w:before="20" w:after="20" w:line="240" w:lineRule="auto"/>
              <w:jc w:val="center"/>
              <w:rPr>
                <w:rFonts w:eastAsia="Times New Roman" w:cs="Calibri"/>
                <w:color w:val="000000"/>
                <w:sz w:val="20"/>
                <w:szCs w:val="20"/>
                <w:lang w:val="es-ES" w:eastAsia="es-ES"/>
              </w:rPr>
            </w:pPr>
            <w:r w:rsidRPr="006D5279">
              <w:rPr>
                <w:rFonts w:cs="Calibri"/>
                <w:color w:val="000000"/>
                <w:sz w:val="20"/>
                <w:szCs w:val="20"/>
              </w:rPr>
              <w:t xml:space="preserve">SE-N_56 </w:t>
            </w:r>
          </w:p>
        </w:tc>
        <w:tc>
          <w:tcPr>
            <w:tcW w:w="3402" w:type="dxa"/>
            <w:tcBorders>
              <w:top w:val="single" w:sz="2" w:space="0" w:color="auto"/>
              <w:left w:val="single" w:sz="6" w:space="0" w:color="auto"/>
              <w:bottom w:val="single" w:sz="2" w:space="0" w:color="auto"/>
              <w:right w:val="single" w:sz="6" w:space="0" w:color="auto"/>
            </w:tcBorders>
            <w:shd w:val="clear" w:color="auto" w:fill="auto"/>
            <w:noWrap/>
            <w:vAlign w:val="center"/>
          </w:tcPr>
          <w:p w14:paraId="099B658E" w14:textId="77777777" w:rsidR="002A3409" w:rsidRPr="00C61D54" w:rsidRDefault="002A3409" w:rsidP="006B5A62">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Polpaico</w:t>
            </w:r>
          </w:p>
        </w:tc>
        <w:tc>
          <w:tcPr>
            <w:tcW w:w="1701" w:type="dxa"/>
            <w:tcBorders>
              <w:top w:val="single" w:sz="2" w:space="0" w:color="auto"/>
              <w:left w:val="single" w:sz="6" w:space="0" w:color="auto"/>
              <w:bottom w:val="single" w:sz="2" w:space="0" w:color="auto"/>
              <w:right w:val="single" w:sz="6" w:space="0" w:color="auto"/>
            </w:tcBorders>
            <w:shd w:val="clear" w:color="auto" w:fill="auto"/>
            <w:noWrap/>
            <w:hideMark/>
          </w:tcPr>
          <w:p w14:paraId="2993B820" w14:textId="77777777" w:rsidR="002A3409" w:rsidRPr="006D5279" w:rsidRDefault="002A3409" w:rsidP="006B5A62">
            <w:pPr>
              <w:spacing w:before="20" w:after="20" w:line="240" w:lineRule="auto"/>
              <w:jc w:val="right"/>
              <w:rPr>
                <w:rFonts w:eastAsia="Times New Roman" w:cs="Calibri"/>
                <w:color w:val="000000"/>
                <w:sz w:val="20"/>
                <w:szCs w:val="20"/>
                <w:lang w:val="es-ES" w:eastAsia="es-ES"/>
              </w:rPr>
            </w:pPr>
            <w:r w:rsidRPr="006D5279">
              <w:rPr>
                <w:sz w:val="20"/>
                <w:szCs w:val="20"/>
              </w:rPr>
              <w:t xml:space="preserve"> 2.920.359 </w:t>
            </w:r>
          </w:p>
        </w:tc>
      </w:tr>
      <w:tr w:rsidR="002A3409" w:rsidRPr="00C61D54" w14:paraId="589E13C1" w14:textId="77777777" w:rsidTr="006B5A62">
        <w:trPr>
          <w:jc w:val="center"/>
        </w:trPr>
        <w:tc>
          <w:tcPr>
            <w:tcW w:w="204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B070DD6" w14:textId="77777777" w:rsidR="002A3409" w:rsidRPr="006D5279" w:rsidRDefault="002A3409" w:rsidP="006B5A62">
            <w:pPr>
              <w:spacing w:before="20" w:after="20" w:line="240" w:lineRule="auto"/>
              <w:jc w:val="center"/>
              <w:rPr>
                <w:rFonts w:eastAsia="Times New Roman" w:cs="Calibri"/>
                <w:color w:val="000000"/>
                <w:sz w:val="20"/>
                <w:szCs w:val="20"/>
                <w:lang w:val="es-ES" w:eastAsia="es-ES"/>
              </w:rPr>
            </w:pPr>
            <w:r w:rsidRPr="006D5279">
              <w:rPr>
                <w:rFonts w:cs="Calibri"/>
                <w:color w:val="000000"/>
                <w:sz w:val="20"/>
                <w:szCs w:val="20"/>
              </w:rPr>
              <w:t xml:space="preserve">SE-N_57 </w:t>
            </w:r>
          </w:p>
        </w:tc>
        <w:tc>
          <w:tcPr>
            <w:tcW w:w="3402" w:type="dxa"/>
            <w:tcBorders>
              <w:top w:val="single" w:sz="2" w:space="0" w:color="auto"/>
              <w:left w:val="single" w:sz="6" w:space="0" w:color="auto"/>
              <w:bottom w:val="single" w:sz="2" w:space="0" w:color="auto"/>
              <w:right w:val="single" w:sz="6" w:space="0" w:color="auto"/>
            </w:tcBorders>
            <w:shd w:val="clear" w:color="auto" w:fill="auto"/>
            <w:noWrap/>
            <w:vAlign w:val="center"/>
          </w:tcPr>
          <w:p w14:paraId="28AA888F" w14:textId="77777777" w:rsidR="002A3409" w:rsidRPr="00C61D54" w:rsidRDefault="002A3409" w:rsidP="006B5A62">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Pozo Almonte</w:t>
            </w:r>
          </w:p>
        </w:tc>
        <w:tc>
          <w:tcPr>
            <w:tcW w:w="1701" w:type="dxa"/>
            <w:tcBorders>
              <w:top w:val="single" w:sz="2" w:space="0" w:color="auto"/>
              <w:left w:val="single" w:sz="6" w:space="0" w:color="auto"/>
              <w:bottom w:val="single" w:sz="2" w:space="0" w:color="auto"/>
              <w:right w:val="single" w:sz="6" w:space="0" w:color="auto"/>
            </w:tcBorders>
            <w:shd w:val="clear" w:color="auto" w:fill="auto"/>
            <w:noWrap/>
            <w:hideMark/>
          </w:tcPr>
          <w:p w14:paraId="3145AA2B" w14:textId="77777777" w:rsidR="002A3409" w:rsidRPr="006D5279" w:rsidRDefault="002A3409" w:rsidP="006B5A62">
            <w:pPr>
              <w:spacing w:before="20" w:after="20" w:line="240" w:lineRule="auto"/>
              <w:jc w:val="right"/>
              <w:rPr>
                <w:rFonts w:eastAsia="Times New Roman" w:cs="Calibri"/>
                <w:color w:val="000000"/>
                <w:sz w:val="20"/>
                <w:szCs w:val="20"/>
                <w:lang w:val="es-ES" w:eastAsia="es-ES"/>
              </w:rPr>
            </w:pPr>
            <w:r w:rsidRPr="006D5279">
              <w:rPr>
                <w:sz w:val="20"/>
                <w:szCs w:val="20"/>
              </w:rPr>
              <w:t xml:space="preserve"> 390.392 </w:t>
            </w:r>
          </w:p>
        </w:tc>
      </w:tr>
      <w:tr w:rsidR="002A3409" w:rsidRPr="00C61D54" w14:paraId="374E7108" w14:textId="77777777" w:rsidTr="006B5A62">
        <w:trPr>
          <w:jc w:val="center"/>
        </w:trPr>
        <w:tc>
          <w:tcPr>
            <w:tcW w:w="204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368AEAD" w14:textId="77777777" w:rsidR="002A3409" w:rsidRPr="006D5279" w:rsidRDefault="002A3409" w:rsidP="006B5A62">
            <w:pPr>
              <w:spacing w:before="20" w:after="20" w:line="240" w:lineRule="auto"/>
              <w:jc w:val="center"/>
              <w:rPr>
                <w:rFonts w:eastAsia="Times New Roman" w:cs="Calibri"/>
                <w:color w:val="000000"/>
                <w:sz w:val="20"/>
                <w:szCs w:val="20"/>
                <w:lang w:val="es-ES" w:eastAsia="es-ES"/>
              </w:rPr>
            </w:pPr>
            <w:r w:rsidRPr="006D5279">
              <w:rPr>
                <w:rFonts w:cs="Calibri"/>
                <w:color w:val="000000"/>
                <w:sz w:val="20"/>
                <w:szCs w:val="20"/>
              </w:rPr>
              <w:t xml:space="preserve">SE-N_59 </w:t>
            </w:r>
          </w:p>
        </w:tc>
        <w:tc>
          <w:tcPr>
            <w:tcW w:w="3402" w:type="dxa"/>
            <w:tcBorders>
              <w:top w:val="single" w:sz="2" w:space="0" w:color="auto"/>
              <w:left w:val="single" w:sz="6" w:space="0" w:color="auto"/>
              <w:bottom w:val="single" w:sz="2" w:space="0" w:color="auto"/>
              <w:right w:val="single" w:sz="6" w:space="0" w:color="auto"/>
            </w:tcBorders>
            <w:shd w:val="clear" w:color="auto" w:fill="auto"/>
            <w:noWrap/>
            <w:vAlign w:val="center"/>
          </w:tcPr>
          <w:p w14:paraId="2201FB57" w14:textId="77777777" w:rsidR="002A3409" w:rsidRPr="00C61D54" w:rsidRDefault="002A3409" w:rsidP="006B5A62">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Puerto Montt</w:t>
            </w:r>
          </w:p>
        </w:tc>
        <w:tc>
          <w:tcPr>
            <w:tcW w:w="1701" w:type="dxa"/>
            <w:tcBorders>
              <w:top w:val="single" w:sz="2" w:space="0" w:color="auto"/>
              <w:left w:val="single" w:sz="6" w:space="0" w:color="auto"/>
              <w:bottom w:val="single" w:sz="2" w:space="0" w:color="auto"/>
              <w:right w:val="single" w:sz="6" w:space="0" w:color="auto"/>
            </w:tcBorders>
            <w:shd w:val="clear" w:color="auto" w:fill="auto"/>
            <w:noWrap/>
            <w:hideMark/>
          </w:tcPr>
          <w:p w14:paraId="4113FFF0" w14:textId="77777777" w:rsidR="002A3409" w:rsidRPr="006D5279" w:rsidRDefault="002A3409" w:rsidP="006B5A62">
            <w:pPr>
              <w:spacing w:before="20" w:after="20" w:line="240" w:lineRule="auto"/>
              <w:jc w:val="right"/>
              <w:rPr>
                <w:rFonts w:eastAsia="Times New Roman" w:cs="Calibri"/>
                <w:color w:val="000000"/>
                <w:sz w:val="20"/>
                <w:szCs w:val="20"/>
                <w:lang w:val="es-ES" w:eastAsia="es-ES"/>
              </w:rPr>
            </w:pPr>
            <w:r w:rsidRPr="006D5279">
              <w:rPr>
                <w:sz w:val="20"/>
                <w:szCs w:val="20"/>
              </w:rPr>
              <w:t xml:space="preserve"> 550.319 </w:t>
            </w:r>
          </w:p>
        </w:tc>
      </w:tr>
      <w:tr w:rsidR="002A3409" w:rsidRPr="00C61D54" w14:paraId="7B4E32A6" w14:textId="77777777" w:rsidTr="006B5A62">
        <w:trPr>
          <w:jc w:val="center"/>
        </w:trPr>
        <w:tc>
          <w:tcPr>
            <w:tcW w:w="204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7530763" w14:textId="77777777" w:rsidR="002A3409" w:rsidRPr="006D5279" w:rsidRDefault="002A3409" w:rsidP="006B5A62">
            <w:pPr>
              <w:spacing w:before="20" w:after="20" w:line="240" w:lineRule="auto"/>
              <w:jc w:val="center"/>
              <w:rPr>
                <w:rFonts w:eastAsia="Times New Roman" w:cs="Calibri"/>
                <w:color w:val="000000"/>
                <w:sz w:val="20"/>
                <w:szCs w:val="20"/>
                <w:lang w:val="es-ES" w:eastAsia="es-ES"/>
              </w:rPr>
            </w:pPr>
            <w:r w:rsidRPr="006D5279">
              <w:rPr>
                <w:rFonts w:cs="Calibri"/>
                <w:color w:val="000000"/>
                <w:sz w:val="20"/>
                <w:szCs w:val="20"/>
              </w:rPr>
              <w:t xml:space="preserve">SE-N_60 </w:t>
            </w:r>
          </w:p>
        </w:tc>
        <w:tc>
          <w:tcPr>
            <w:tcW w:w="3402" w:type="dxa"/>
            <w:tcBorders>
              <w:top w:val="single" w:sz="2" w:space="0" w:color="auto"/>
              <w:left w:val="single" w:sz="6" w:space="0" w:color="auto"/>
              <w:bottom w:val="single" w:sz="2" w:space="0" w:color="auto"/>
              <w:right w:val="single" w:sz="6" w:space="0" w:color="auto"/>
            </w:tcBorders>
            <w:shd w:val="clear" w:color="auto" w:fill="auto"/>
            <w:noWrap/>
            <w:vAlign w:val="center"/>
          </w:tcPr>
          <w:p w14:paraId="274F45BF" w14:textId="77777777" w:rsidR="002A3409" w:rsidRPr="00C61D54" w:rsidRDefault="002A3409" w:rsidP="006B5A62">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Punta Colorada</w:t>
            </w:r>
          </w:p>
        </w:tc>
        <w:tc>
          <w:tcPr>
            <w:tcW w:w="1701" w:type="dxa"/>
            <w:tcBorders>
              <w:top w:val="single" w:sz="2" w:space="0" w:color="auto"/>
              <w:left w:val="single" w:sz="6" w:space="0" w:color="auto"/>
              <w:bottom w:val="single" w:sz="2" w:space="0" w:color="auto"/>
              <w:right w:val="single" w:sz="6" w:space="0" w:color="auto"/>
            </w:tcBorders>
            <w:shd w:val="clear" w:color="auto" w:fill="auto"/>
            <w:noWrap/>
            <w:hideMark/>
          </w:tcPr>
          <w:p w14:paraId="27336FA1" w14:textId="77777777" w:rsidR="002A3409" w:rsidRPr="006D5279" w:rsidRDefault="002A3409" w:rsidP="006B5A62">
            <w:pPr>
              <w:spacing w:before="20" w:after="20" w:line="240" w:lineRule="auto"/>
              <w:jc w:val="right"/>
              <w:rPr>
                <w:rFonts w:eastAsia="Times New Roman" w:cs="Calibri"/>
                <w:color w:val="000000"/>
                <w:sz w:val="20"/>
                <w:szCs w:val="20"/>
                <w:lang w:val="es-ES" w:eastAsia="es-ES"/>
              </w:rPr>
            </w:pPr>
            <w:r w:rsidRPr="006D5279">
              <w:rPr>
                <w:sz w:val="20"/>
                <w:szCs w:val="20"/>
              </w:rPr>
              <w:t xml:space="preserve"> 399.475 </w:t>
            </w:r>
          </w:p>
        </w:tc>
      </w:tr>
      <w:tr w:rsidR="002A3409" w:rsidRPr="00C61D54" w14:paraId="4932D3D7" w14:textId="77777777" w:rsidTr="006B5A62">
        <w:trPr>
          <w:jc w:val="center"/>
        </w:trPr>
        <w:tc>
          <w:tcPr>
            <w:tcW w:w="204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1FA0F3B" w14:textId="77777777" w:rsidR="002A3409" w:rsidRPr="006D5279" w:rsidRDefault="002A3409" w:rsidP="006B5A62">
            <w:pPr>
              <w:spacing w:before="20" w:after="20" w:line="240" w:lineRule="auto"/>
              <w:jc w:val="center"/>
              <w:rPr>
                <w:rFonts w:eastAsia="Times New Roman" w:cs="Calibri"/>
                <w:color w:val="000000"/>
                <w:sz w:val="20"/>
                <w:szCs w:val="20"/>
                <w:lang w:val="es-ES" w:eastAsia="es-ES"/>
              </w:rPr>
            </w:pPr>
            <w:r w:rsidRPr="006D5279">
              <w:rPr>
                <w:rFonts w:cs="Calibri"/>
                <w:color w:val="000000"/>
                <w:sz w:val="20"/>
                <w:szCs w:val="20"/>
              </w:rPr>
              <w:t xml:space="preserve">SE-N_62 </w:t>
            </w:r>
          </w:p>
        </w:tc>
        <w:tc>
          <w:tcPr>
            <w:tcW w:w="3402" w:type="dxa"/>
            <w:tcBorders>
              <w:top w:val="single" w:sz="2" w:space="0" w:color="auto"/>
              <w:left w:val="single" w:sz="6" w:space="0" w:color="auto"/>
              <w:bottom w:val="single" w:sz="2" w:space="0" w:color="auto"/>
              <w:right w:val="single" w:sz="6" w:space="0" w:color="auto"/>
            </w:tcBorders>
            <w:shd w:val="clear" w:color="auto" w:fill="auto"/>
            <w:noWrap/>
            <w:vAlign w:val="center"/>
          </w:tcPr>
          <w:p w14:paraId="712706C0" w14:textId="77777777" w:rsidR="002A3409" w:rsidRPr="00C61D54" w:rsidRDefault="002A3409" w:rsidP="006B5A62">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Central Quilapilun</w:t>
            </w:r>
          </w:p>
        </w:tc>
        <w:tc>
          <w:tcPr>
            <w:tcW w:w="1701" w:type="dxa"/>
            <w:tcBorders>
              <w:top w:val="single" w:sz="2" w:space="0" w:color="auto"/>
              <w:left w:val="single" w:sz="6" w:space="0" w:color="auto"/>
              <w:bottom w:val="single" w:sz="2" w:space="0" w:color="auto"/>
              <w:right w:val="single" w:sz="6" w:space="0" w:color="auto"/>
            </w:tcBorders>
            <w:shd w:val="clear" w:color="auto" w:fill="auto"/>
            <w:noWrap/>
            <w:hideMark/>
          </w:tcPr>
          <w:p w14:paraId="013AD610" w14:textId="77777777" w:rsidR="002A3409" w:rsidRPr="006D5279" w:rsidRDefault="002A3409" w:rsidP="006B5A62">
            <w:pPr>
              <w:spacing w:before="20" w:after="20" w:line="240" w:lineRule="auto"/>
              <w:jc w:val="right"/>
              <w:rPr>
                <w:rFonts w:eastAsia="Times New Roman" w:cs="Calibri"/>
                <w:color w:val="000000"/>
                <w:sz w:val="20"/>
                <w:szCs w:val="20"/>
                <w:lang w:val="es-ES" w:eastAsia="es-ES"/>
              </w:rPr>
            </w:pPr>
            <w:r w:rsidRPr="006D5279">
              <w:rPr>
                <w:sz w:val="20"/>
                <w:szCs w:val="20"/>
              </w:rPr>
              <w:t xml:space="preserve"> 297.609 </w:t>
            </w:r>
          </w:p>
        </w:tc>
      </w:tr>
      <w:tr w:rsidR="002A3409" w:rsidRPr="00C61D54" w14:paraId="0CE36E6A" w14:textId="77777777" w:rsidTr="006B5A62">
        <w:trPr>
          <w:jc w:val="center"/>
        </w:trPr>
        <w:tc>
          <w:tcPr>
            <w:tcW w:w="204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DF5C981" w14:textId="77777777" w:rsidR="002A3409" w:rsidRPr="006D5279" w:rsidRDefault="002A3409" w:rsidP="006B5A62">
            <w:pPr>
              <w:spacing w:before="20" w:after="20" w:line="240" w:lineRule="auto"/>
              <w:jc w:val="center"/>
              <w:rPr>
                <w:rFonts w:eastAsia="Times New Roman" w:cs="Calibri"/>
                <w:color w:val="000000"/>
                <w:sz w:val="20"/>
                <w:szCs w:val="20"/>
                <w:lang w:val="es-ES" w:eastAsia="es-ES"/>
              </w:rPr>
            </w:pPr>
            <w:r w:rsidRPr="006D5279">
              <w:rPr>
                <w:rFonts w:cs="Calibri"/>
                <w:color w:val="000000"/>
                <w:sz w:val="20"/>
                <w:szCs w:val="20"/>
              </w:rPr>
              <w:t xml:space="preserve">SE-N_63 </w:t>
            </w:r>
          </w:p>
        </w:tc>
        <w:tc>
          <w:tcPr>
            <w:tcW w:w="3402" w:type="dxa"/>
            <w:tcBorders>
              <w:top w:val="single" w:sz="2" w:space="0" w:color="auto"/>
              <w:left w:val="single" w:sz="6" w:space="0" w:color="auto"/>
              <w:bottom w:val="single" w:sz="2" w:space="0" w:color="auto"/>
              <w:right w:val="single" w:sz="6" w:space="0" w:color="auto"/>
            </w:tcBorders>
            <w:shd w:val="clear" w:color="auto" w:fill="auto"/>
            <w:noWrap/>
            <w:vAlign w:val="center"/>
          </w:tcPr>
          <w:p w14:paraId="19403C79" w14:textId="77777777" w:rsidR="002A3409" w:rsidRPr="00C61D54" w:rsidRDefault="002A3409" w:rsidP="006B5A62">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Tap Off Quillagua</w:t>
            </w:r>
          </w:p>
        </w:tc>
        <w:tc>
          <w:tcPr>
            <w:tcW w:w="1701" w:type="dxa"/>
            <w:tcBorders>
              <w:top w:val="single" w:sz="2" w:space="0" w:color="auto"/>
              <w:left w:val="single" w:sz="6" w:space="0" w:color="auto"/>
              <w:bottom w:val="single" w:sz="2" w:space="0" w:color="auto"/>
              <w:right w:val="single" w:sz="6" w:space="0" w:color="auto"/>
            </w:tcBorders>
            <w:shd w:val="clear" w:color="auto" w:fill="auto"/>
            <w:noWrap/>
            <w:hideMark/>
          </w:tcPr>
          <w:p w14:paraId="505CA2EE" w14:textId="77777777" w:rsidR="002A3409" w:rsidRPr="006D5279" w:rsidRDefault="002A3409" w:rsidP="006B5A62">
            <w:pPr>
              <w:spacing w:before="20" w:after="20" w:line="240" w:lineRule="auto"/>
              <w:jc w:val="right"/>
              <w:rPr>
                <w:rFonts w:eastAsia="Times New Roman" w:cs="Calibri"/>
                <w:color w:val="000000"/>
                <w:sz w:val="20"/>
                <w:szCs w:val="20"/>
                <w:lang w:val="es-ES" w:eastAsia="es-ES"/>
              </w:rPr>
            </w:pPr>
            <w:r w:rsidRPr="006D5279">
              <w:rPr>
                <w:sz w:val="20"/>
                <w:szCs w:val="20"/>
              </w:rPr>
              <w:t xml:space="preserve"> 62.846 </w:t>
            </w:r>
          </w:p>
        </w:tc>
      </w:tr>
      <w:tr w:rsidR="002A3409" w:rsidRPr="00C61D54" w14:paraId="5A1A26E5" w14:textId="77777777" w:rsidTr="006B5A62">
        <w:trPr>
          <w:jc w:val="center"/>
        </w:trPr>
        <w:tc>
          <w:tcPr>
            <w:tcW w:w="204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C0F85D8" w14:textId="77777777" w:rsidR="002A3409" w:rsidRPr="006D5279" w:rsidRDefault="002A3409" w:rsidP="006B5A62">
            <w:pPr>
              <w:spacing w:before="20" w:after="20" w:line="240" w:lineRule="auto"/>
              <w:jc w:val="center"/>
              <w:rPr>
                <w:rFonts w:eastAsia="Times New Roman" w:cs="Calibri"/>
                <w:color w:val="000000"/>
                <w:sz w:val="20"/>
                <w:szCs w:val="20"/>
                <w:lang w:val="es-ES" w:eastAsia="es-ES"/>
              </w:rPr>
            </w:pPr>
            <w:r w:rsidRPr="006D5279">
              <w:rPr>
                <w:rFonts w:cs="Calibri"/>
                <w:color w:val="000000"/>
                <w:sz w:val="20"/>
                <w:szCs w:val="20"/>
              </w:rPr>
              <w:t xml:space="preserve">SE-N_64 </w:t>
            </w:r>
          </w:p>
        </w:tc>
        <w:tc>
          <w:tcPr>
            <w:tcW w:w="3402" w:type="dxa"/>
            <w:tcBorders>
              <w:top w:val="single" w:sz="2" w:space="0" w:color="auto"/>
              <w:left w:val="single" w:sz="6" w:space="0" w:color="auto"/>
              <w:bottom w:val="single" w:sz="2" w:space="0" w:color="auto"/>
              <w:right w:val="single" w:sz="6" w:space="0" w:color="auto"/>
            </w:tcBorders>
            <w:shd w:val="clear" w:color="auto" w:fill="auto"/>
            <w:noWrap/>
            <w:vAlign w:val="center"/>
          </w:tcPr>
          <w:p w14:paraId="4A8E5ED3" w14:textId="77777777" w:rsidR="002A3409" w:rsidRPr="00C61D54" w:rsidRDefault="002A3409" w:rsidP="006B5A62">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Quillota</w:t>
            </w:r>
          </w:p>
        </w:tc>
        <w:tc>
          <w:tcPr>
            <w:tcW w:w="1701" w:type="dxa"/>
            <w:tcBorders>
              <w:top w:val="single" w:sz="2" w:space="0" w:color="auto"/>
              <w:left w:val="single" w:sz="6" w:space="0" w:color="auto"/>
              <w:bottom w:val="single" w:sz="2" w:space="0" w:color="auto"/>
              <w:right w:val="single" w:sz="6" w:space="0" w:color="auto"/>
            </w:tcBorders>
            <w:shd w:val="clear" w:color="auto" w:fill="auto"/>
            <w:noWrap/>
            <w:hideMark/>
          </w:tcPr>
          <w:p w14:paraId="52D896B3" w14:textId="77777777" w:rsidR="002A3409" w:rsidRPr="006D5279" w:rsidRDefault="002A3409" w:rsidP="006B5A62">
            <w:pPr>
              <w:spacing w:before="20" w:after="20" w:line="240" w:lineRule="auto"/>
              <w:jc w:val="right"/>
              <w:rPr>
                <w:rFonts w:eastAsia="Times New Roman" w:cs="Calibri"/>
                <w:color w:val="000000"/>
                <w:sz w:val="20"/>
                <w:szCs w:val="20"/>
                <w:lang w:val="es-ES" w:eastAsia="es-ES"/>
              </w:rPr>
            </w:pPr>
            <w:r w:rsidRPr="006D5279">
              <w:rPr>
                <w:sz w:val="20"/>
                <w:szCs w:val="20"/>
              </w:rPr>
              <w:t xml:space="preserve"> 814.612 </w:t>
            </w:r>
          </w:p>
        </w:tc>
      </w:tr>
      <w:tr w:rsidR="002A3409" w:rsidRPr="00C61D54" w14:paraId="72640961" w14:textId="77777777" w:rsidTr="006B5A62">
        <w:trPr>
          <w:jc w:val="center"/>
        </w:trPr>
        <w:tc>
          <w:tcPr>
            <w:tcW w:w="204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852FF2D" w14:textId="77777777" w:rsidR="002A3409" w:rsidRPr="006D5279" w:rsidRDefault="002A3409" w:rsidP="006B5A62">
            <w:pPr>
              <w:spacing w:before="20" w:after="20" w:line="240" w:lineRule="auto"/>
              <w:jc w:val="center"/>
              <w:rPr>
                <w:rFonts w:eastAsia="Times New Roman" w:cs="Calibri"/>
                <w:color w:val="000000"/>
                <w:sz w:val="20"/>
                <w:szCs w:val="20"/>
                <w:lang w:val="es-ES" w:eastAsia="es-ES"/>
              </w:rPr>
            </w:pPr>
            <w:r w:rsidRPr="006D5279">
              <w:rPr>
                <w:rFonts w:cs="Calibri"/>
                <w:color w:val="000000"/>
                <w:sz w:val="20"/>
                <w:szCs w:val="20"/>
              </w:rPr>
              <w:t xml:space="preserve">SE-N_65 </w:t>
            </w:r>
          </w:p>
        </w:tc>
        <w:tc>
          <w:tcPr>
            <w:tcW w:w="3402" w:type="dxa"/>
            <w:tcBorders>
              <w:top w:val="single" w:sz="2" w:space="0" w:color="auto"/>
              <w:left w:val="single" w:sz="6" w:space="0" w:color="auto"/>
              <w:bottom w:val="single" w:sz="2" w:space="0" w:color="auto"/>
              <w:right w:val="single" w:sz="6" w:space="0" w:color="auto"/>
            </w:tcBorders>
            <w:shd w:val="clear" w:color="auto" w:fill="auto"/>
            <w:noWrap/>
            <w:vAlign w:val="center"/>
          </w:tcPr>
          <w:p w14:paraId="63142EF9" w14:textId="77777777" w:rsidR="002A3409" w:rsidRPr="00C61D54" w:rsidRDefault="002A3409" w:rsidP="006B5A62">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Rahue</w:t>
            </w:r>
          </w:p>
        </w:tc>
        <w:tc>
          <w:tcPr>
            <w:tcW w:w="1701" w:type="dxa"/>
            <w:tcBorders>
              <w:top w:val="single" w:sz="2" w:space="0" w:color="auto"/>
              <w:left w:val="single" w:sz="6" w:space="0" w:color="auto"/>
              <w:bottom w:val="single" w:sz="2" w:space="0" w:color="auto"/>
              <w:right w:val="single" w:sz="6" w:space="0" w:color="auto"/>
            </w:tcBorders>
            <w:shd w:val="clear" w:color="auto" w:fill="auto"/>
            <w:noWrap/>
            <w:hideMark/>
          </w:tcPr>
          <w:p w14:paraId="185AE731" w14:textId="77777777" w:rsidR="002A3409" w:rsidRPr="006D5279" w:rsidRDefault="002A3409" w:rsidP="006B5A62">
            <w:pPr>
              <w:spacing w:before="20" w:after="20" w:line="240" w:lineRule="auto"/>
              <w:jc w:val="right"/>
              <w:rPr>
                <w:rFonts w:eastAsia="Times New Roman" w:cs="Calibri"/>
                <w:color w:val="000000"/>
                <w:sz w:val="20"/>
                <w:szCs w:val="20"/>
                <w:lang w:val="es-ES" w:eastAsia="es-ES"/>
              </w:rPr>
            </w:pPr>
            <w:r w:rsidRPr="006D5279">
              <w:rPr>
                <w:sz w:val="20"/>
                <w:szCs w:val="20"/>
              </w:rPr>
              <w:t xml:space="preserve"> 409.815 </w:t>
            </w:r>
          </w:p>
        </w:tc>
      </w:tr>
      <w:tr w:rsidR="002A3409" w:rsidRPr="00C61D54" w14:paraId="58E3F793" w14:textId="77777777" w:rsidTr="006B5A62">
        <w:trPr>
          <w:jc w:val="center"/>
        </w:trPr>
        <w:tc>
          <w:tcPr>
            <w:tcW w:w="204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2C8D27E" w14:textId="77777777" w:rsidR="002A3409" w:rsidRPr="006D5279" w:rsidRDefault="002A3409" w:rsidP="006B5A62">
            <w:pPr>
              <w:spacing w:before="20" w:after="20" w:line="240" w:lineRule="auto"/>
              <w:jc w:val="center"/>
              <w:rPr>
                <w:rFonts w:eastAsia="Times New Roman" w:cs="Calibri"/>
                <w:color w:val="000000"/>
                <w:sz w:val="20"/>
                <w:szCs w:val="20"/>
                <w:lang w:val="es-ES" w:eastAsia="es-ES"/>
              </w:rPr>
            </w:pPr>
            <w:r w:rsidRPr="006D5279">
              <w:rPr>
                <w:rFonts w:cs="Calibri"/>
                <w:color w:val="000000"/>
                <w:sz w:val="20"/>
                <w:szCs w:val="20"/>
              </w:rPr>
              <w:t xml:space="preserve">SE-N_66 </w:t>
            </w:r>
          </w:p>
        </w:tc>
        <w:tc>
          <w:tcPr>
            <w:tcW w:w="3402" w:type="dxa"/>
            <w:tcBorders>
              <w:top w:val="single" w:sz="2" w:space="0" w:color="auto"/>
              <w:left w:val="single" w:sz="6" w:space="0" w:color="auto"/>
              <w:bottom w:val="single" w:sz="2" w:space="0" w:color="auto"/>
              <w:right w:val="single" w:sz="6" w:space="0" w:color="auto"/>
            </w:tcBorders>
            <w:shd w:val="clear" w:color="auto" w:fill="auto"/>
            <w:noWrap/>
            <w:vAlign w:val="center"/>
          </w:tcPr>
          <w:p w14:paraId="6D3FCFD0" w14:textId="77777777" w:rsidR="002A3409" w:rsidRPr="00C61D54" w:rsidRDefault="002A3409" w:rsidP="006B5A62">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Rapel</w:t>
            </w:r>
          </w:p>
        </w:tc>
        <w:tc>
          <w:tcPr>
            <w:tcW w:w="1701" w:type="dxa"/>
            <w:tcBorders>
              <w:top w:val="single" w:sz="2" w:space="0" w:color="auto"/>
              <w:left w:val="single" w:sz="6" w:space="0" w:color="auto"/>
              <w:bottom w:val="single" w:sz="2" w:space="0" w:color="auto"/>
              <w:right w:val="single" w:sz="6" w:space="0" w:color="auto"/>
            </w:tcBorders>
            <w:shd w:val="clear" w:color="auto" w:fill="auto"/>
            <w:noWrap/>
            <w:hideMark/>
          </w:tcPr>
          <w:p w14:paraId="44144691" w14:textId="77777777" w:rsidR="002A3409" w:rsidRPr="006D5279" w:rsidRDefault="002A3409" w:rsidP="006B5A62">
            <w:pPr>
              <w:spacing w:before="20" w:after="20" w:line="240" w:lineRule="auto"/>
              <w:jc w:val="right"/>
              <w:rPr>
                <w:rFonts w:eastAsia="Times New Roman" w:cs="Calibri"/>
                <w:color w:val="000000"/>
                <w:sz w:val="20"/>
                <w:szCs w:val="20"/>
                <w:lang w:val="es-ES" w:eastAsia="es-ES"/>
              </w:rPr>
            </w:pPr>
            <w:r w:rsidRPr="006D5279">
              <w:rPr>
                <w:sz w:val="20"/>
                <w:szCs w:val="20"/>
              </w:rPr>
              <w:t xml:space="preserve"> 367.823 </w:t>
            </w:r>
          </w:p>
        </w:tc>
      </w:tr>
      <w:tr w:rsidR="002A3409" w:rsidRPr="00C61D54" w14:paraId="1A42A498" w14:textId="77777777" w:rsidTr="006B5A62">
        <w:trPr>
          <w:jc w:val="center"/>
        </w:trPr>
        <w:tc>
          <w:tcPr>
            <w:tcW w:w="204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C9DA682" w14:textId="77777777" w:rsidR="002A3409" w:rsidRPr="006D5279" w:rsidRDefault="002A3409" w:rsidP="006B5A62">
            <w:pPr>
              <w:spacing w:before="20" w:after="20" w:line="240" w:lineRule="auto"/>
              <w:jc w:val="center"/>
              <w:rPr>
                <w:rFonts w:eastAsia="Times New Roman" w:cs="Calibri"/>
                <w:color w:val="000000"/>
                <w:sz w:val="20"/>
                <w:szCs w:val="20"/>
                <w:lang w:val="es-ES" w:eastAsia="es-ES"/>
              </w:rPr>
            </w:pPr>
            <w:r w:rsidRPr="006D5279">
              <w:rPr>
                <w:rFonts w:cs="Calibri"/>
                <w:color w:val="000000"/>
                <w:sz w:val="20"/>
                <w:szCs w:val="20"/>
              </w:rPr>
              <w:t xml:space="preserve">SE-N_67 </w:t>
            </w:r>
          </w:p>
        </w:tc>
        <w:tc>
          <w:tcPr>
            <w:tcW w:w="3402" w:type="dxa"/>
            <w:tcBorders>
              <w:top w:val="single" w:sz="2" w:space="0" w:color="auto"/>
              <w:left w:val="single" w:sz="6" w:space="0" w:color="auto"/>
              <w:bottom w:val="single" w:sz="2" w:space="0" w:color="auto"/>
              <w:right w:val="single" w:sz="6" w:space="0" w:color="auto"/>
            </w:tcBorders>
            <w:shd w:val="clear" w:color="auto" w:fill="auto"/>
            <w:noWrap/>
            <w:vAlign w:val="center"/>
          </w:tcPr>
          <w:p w14:paraId="0709967B" w14:textId="77777777" w:rsidR="002A3409" w:rsidRPr="00C61D54" w:rsidRDefault="002A3409" w:rsidP="006B5A62">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San Andrés</w:t>
            </w:r>
          </w:p>
        </w:tc>
        <w:tc>
          <w:tcPr>
            <w:tcW w:w="1701" w:type="dxa"/>
            <w:tcBorders>
              <w:top w:val="single" w:sz="2" w:space="0" w:color="auto"/>
              <w:left w:val="single" w:sz="6" w:space="0" w:color="auto"/>
              <w:bottom w:val="single" w:sz="2" w:space="0" w:color="auto"/>
              <w:right w:val="single" w:sz="6" w:space="0" w:color="auto"/>
            </w:tcBorders>
            <w:shd w:val="clear" w:color="auto" w:fill="auto"/>
            <w:noWrap/>
            <w:hideMark/>
          </w:tcPr>
          <w:p w14:paraId="15DEAA94" w14:textId="77777777" w:rsidR="002A3409" w:rsidRPr="006D5279" w:rsidRDefault="002A3409" w:rsidP="006B5A62">
            <w:pPr>
              <w:spacing w:before="20" w:after="20" w:line="240" w:lineRule="auto"/>
              <w:jc w:val="right"/>
              <w:rPr>
                <w:rFonts w:eastAsia="Times New Roman" w:cs="Calibri"/>
                <w:color w:val="000000"/>
                <w:sz w:val="20"/>
                <w:szCs w:val="20"/>
                <w:lang w:val="es-ES" w:eastAsia="es-ES"/>
              </w:rPr>
            </w:pPr>
            <w:r w:rsidRPr="006D5279">
              <w:rPr>
                <w:sz w:val="20"/>
                <w:szCs w:val="20"/>
              </w:rPr>
              <w:t xml:space="preserve"> 355.668 </w:t>
            </w:r>
          </w:p>
        </w:tc>
      </w:tr>
      <w:tr w:rsidR="002A3409" w:rsidRPr="00C61D54" w14:paraId="2E78AAF5" w14:textId="77777777" w:rsidTr="006B5A62">
        <w:trPr>
          <w:jc w:val="center"/>
        </w:trPr>
        <w:tc>
          <w:tcPr>
            <w:tcW w:w="204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09B110DF" w14:textId="77777777" w:rsidR="002A3409" w:rsidRPr="006D5279" w:rsidRDefault="002A3409" w:rsidP="006B5A62">
            <w:pPr>
              <w:spacing w:before="20" w:after="20" w:line="240" w:lineRule="auto"/>
              <w:jc w:val="center"/>
              <w:rPr>
                <w:rFonts w:eastAsia="Times New Roman" w:cs="Calibri"/>
                <w:color w:val="000000"/>
                <w:sz w:val="20"/>
                <w:szCs w:val="20"/>
                <w:lang w:val="es-ES" w:eastAsia="es-ES"/>
              </w:rPr>
            </w:pPr>
            <w:r w:rsidRPr="006D5279">
              <w:rPr>
                <w:rFonts w:cs="Calibri"/>
                <w:color w:val="000000"/>
                <w:sz w:val="20"/>
                <w:szCs w:val="20"/>
              </w:rPr>
              <w:t xml:space="preserve">SE-N_68 </w:t>
            </w:r>
          </w:p>
        </w:tc>
        <w:tc>
          <w:tcPr>
            <w:tcW w:w="3402" w:type="dxa"/>
            <w:tcBorders>
              <w:top w:val="single" w:sz="2" w:space="0" w:color="auto"/>
              <w:left w:val="single" w:sz="6" w:space="0" w:color="auto"/>
              <w:bottom w:val="single" w:sz="2" w:space="0" w:color="auto"/>
              <w:right w:val="single" w:sz="6" w:space="0" w:color="auto"/>
            </w:tcBorders>
            <w:shd w:val="clear" w:color="auto" w:fill="auto"/>
            <w:noWrap/>
            <w:vAlign w:val="center"/>
          </w:tcPr>
          <w:p w14:paraId="68E0F095" w14:textId="77777777" w:rsidR="002A3409" w:rsidRPr="00C61D54" w:rsidRDefault="002A3409" w:rsidP="006B5A62">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Salar</w:t>
            </w:r>
          </w:p>
        </w:tc>
        <w:tc>
          <w:tcPr>
            <w:tcW w:w="1701" w:type="dxa"/>
            <w:tcBorders>
              <w:top w:val="single" w:sz="2" w:space="0" w:color="auto"/>
              <w:left w:val="single" w:sz="6" w:space="0" w:color="auto"/>
              <w:bottom w:val="single" w:sz="2" w:space="0" w:color="auto"/>
              <w:right w:val="single" w:sz="6" w:space="0" w:color="auto"/>
            </w:tcBorders>
            <w:shd w:val="clear" w:color="auto" w:fill="auto"/>
            <w:noWrap/>
            <w:hideMark/>
          </w:tcPr>
          <w:p w14:paraId="187A7F77" w14:textId="77777777" w:rsidR="002A3409" w:rsidRPr="006D5279" w:rsidRDefault="002A3409" w:rsidP="006B5A62">
            <w:pPr>
              <w:spacing w:before="20" w:after="20" w:line="240" w:lineRule="auto"/>
              <w:jc w:val="right"/>
              <w:rPr>
                <w:rFonts w:eastAsia="Times New Roman" w:cs="Calibri"/>
                <w:color w:val="000000"/>
                <w:sz w:val="20"/>
                <w:szCs w:val="20"/>
                <w:lang w:val="es-ES" w:eastAsia="es-ES"/>
              </w:rPr>
            </w:pPr>
            <w:r w:rsidRPr="006D5279">
              <w:rPr>
                <w:sz w:val="20"/>
                <w:szCs w:val="20"/>
              </w:rPr>
              <w:t xml:space="preserve"> 199.166 </w:t>
            </w:r>
          </w:p>
        </w:tc>
      </w:tr>
      <w:tr w:rsidR="002A3409" w:rsidRPr="00C61D54" w14:paraId="24C5E6C8" w14:textId="77777777" w:rsidTr="006B5A62">
        <w:trPr>
          <w:jc w:val="center"/>
        </w:trPr>
        <w:tc>
          <w:tcPr>
            <w:tcW w:w="204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664351B8" w14:textId="77777777" w:rsidR="002A3409" w:rsidRPr="006D5279" w:rsidRDefault="002A3409" w:rsidP="006B5A62">
            <w:pPr>
              <w:spacing w:before="20" w:after="20" w:line="240" w:lineRule="auto"/>
              <w:jc w:val="center"/>
              <w:rPr>
                <w:rFonts w:eastAsia="Times New Roman" w:cs="Calibri"/>
                <w:color w:val="000000"/>
                <w:sz w:val="20"/>
                <w:szCs w:val="20"/>
                <w:lang w:val="es-ES" w:eastAsia="es-ES"/>
              </w:rPr>
            </w:pPr>
            <w:r w:rsidRPr="006D5279">
              <w:rPr>
                <w:rFonts w:cs="Calibri"/>
                <w:color w:val="000000"/>
                <w:sz w:val="20"/>
                <w:szCs w:val="20"/>
              </w:rPr>
              <w:t xml:space="preserve">SE-N_69 </w:t>
            </w:r>
          </w:p>
        </w:tc>
        <w:tc>
          <w:tcPr>
            <w:tcW w:w="3402" w:type="dxa"/>
            <w:tcBorders>
              <w:top w:val="single" w:sz="2" w:space="0" w:color="auto"/>
              <w:left w:val="single" w:sz="6" w:space="0" w:color="auto"/>
              <w:bottom w:val="single" w:sz="2" w:space="0" w:color="auto"/>
              <w:right w:val="single" w:sz="6" w:space="0" w:color="auto"/>
            </w:tcBorders>
            <w:shd w:val="clear" w:color="auto" w:fill="auto"/>
            <w:noWrap/>
            <w:vAlign w:val="center"/>
          </w:tcPr>
          <w:p w14:paraId="3FA2DC15" w14:textId="77777777" w:rsidR="002A3409" w:rsidRPr="00C61D54" w:rsidRDefault="002A3409" w:rsidP="006B5A62">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San Luis</w:t>
            </w:r>
          </w:p>
        </w:tc>
        <w:tc>
          <w:tcPr>
            <w:tcW w:w="1701" w:type="dxa"/>
            <w:tcBorders>
              <w:top w:val="single" w:sz="2" w:space="0" w:color="auto"/>
              <w:left w:val="single" w:sz="6" w:space="0" w:color="auto"/>
              <w:bottom w:val="single" w:sz="2" w:space="0" w:color="auto"/>
              <w:right w:val="single" w:sz="6" w:space="0" w:color="auto"/>
            </w:tcBorders>
            <w:shd w:val="clear" w:color="auto" w:fill="auto"/>
            <w:noWrap/>
            <w:hideMark/>
          </w:tcPr>
          <w:p w14:paraId="65E1DC1B" w14:textId="77777777" w:rsidR="002A3409" w:rsidRPr="006D5279" w:rsidRDefault="002A3409" w:rsidP="006B5A62">
            <w:pPr>
              <w:spacing w:before="20" w:after="20" w:line="240" w:lineRule="auto"/>
              <w:jc w:val="right"/>
              <w:rPr>
                <w:rFonts w:eastAsia="Times New Roman" w:cs="Calibri"/>
                <w:color w:val="000000"/>
                <w:sz w:val="20"/>
                <w:szCs w:val="20"/>
                <w:lang w:val="es-ES" w:eastAsia="es-ES"/>
              </w:rPr>
            </w:pPr>
            <w:r w:rsidRPr="006D5279">
              <w:rPr>
                <w:sz w:val="20"/>
                <w:szCs w:val="20"/>
              </w:rPr>
              <w:t xml:space="preserve"> 427.813 </w:t>
            </w:r>
          </w:p>
        </w:tc>
      </w:tr>
      <w:tr w:rsidR="002A3409" w:rsidRPr="00C61D54" w14:paraId="221B7F48" w14:textId="77777777" w:rsidTr="006B5A62">
        <w:trPr>
          <w:jc w:val="center"/>
        </w:trPr>
        <w:tc>
          <w:tcPr>
            <w:tcW w:w="204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57333A81" w14:textId="77777777" w:rsidR="002A3409" w:rsidRPr="006D5279" w:rsidRDefault="002A3409" w:rsidP="006B5A62">
            <w:pPr>
              <w:spacing w:before="20" w:after="20" w:line="240" w:lineRule="auto"/>
              <w:jc w:val="center"/>
              <w:rPr>
                <w:rFonts w:eastAsia="Times New Roman" w:cs="Calibri"/>
                <w:color w:val="000000"/>
                <w:sz w:val="20"/>
                <w:szCs w:val="20"/>
                <w:lang w:val="es-ES" w:eastAsia="es-ES"/>
              </w:rPr>
            </w:pPr>
            <w:r w:rsidRPr="006D5279">
              <w:rPr>
                <w:rFonts w:cs="Calibri"/>
                <w:color w:val="000000"/>
                <w:sz w:val="20"/>
                <w:szCs w:val="20"/>
              </w:rPr>
              <w:t xml:space="preserve">SE-N_78 </w:t>
            </w:r>
          </w:p>
        </w:tc>
        <w:tc>
          <w:tcPr>
            <w:tcW w:w="3402" w:type="dxa"/>
            <w:tcBorders>
              <w:top w:val="single" w:sz="2" w:space="0" w:color="auto"/>
              <w:left w:val="single" w:sz="6" w:space="0" w:color="auto"/>
              <w:bottom w:val="single" w:sz="2" w:space="0" w:color="auto"/>
              <w:right w:val="single" w:sz="6" w:space="0" w:color="auto"/>
            </w:tcBorders>
            <w:shd w:val="clear" w:color="auto" w:fill="auto"/>
            <w:noWrap/>
            <w:vAlign w:val="center"/>
          </w:tcPr>
          <w:p w14:paraId="63585B60" w14:textId="77777777" w:rsidR="002A3409" w:rsidRPr="00C61D54" w:rsidRDefault="002A3409" w:rsidP="006B5A62">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Tarapacá</w:t>
            </w:r>
          </w:p>
        </w:tc>
        <w:tc>
          <w:tcPr>
            <w:tcW w:w="1701" w:type="dxa"/>
            <w:tcBorders>
              <w:top w:val="single" w:sz="2" w:space="0" w:color="auto"/>
              <w:left w:val="single" w:sz="6" w:space="0" w:color="auto"/>
              <w:bottom w:val="single" w:sz="2" w:space="0" w:color="auto"/>
              <w:right w:val="single" w:sz="6" w:space="0" w:color="auto"/>
            </w:tcBorders>
            <w:shd w:val="clear" w:color="auto" w:fill="auto"/>
            <w:noWrap/>
            <w:hideMark/>
          </w:tcPr>
          <w:p w14:paraId="4FB65D06" w14:textId="77777777" w:rsidR="002A3409" w:rsidRPr="006D5279" w:rsidRDefault="002A3409" w:rsidP="006B5A62">
            <w:pPr>
              <w:spacing w:before="20" w:after="20" w:line="240" w:lineRule="auto"/>
              <w:jc w:val="right"/>
              <w:rPr>
                <w:rFonts w:eastAsia="Times New Roman" w:cs="Calibri"/>
                <w:color w:val="000000"/>
                <w:sz w:val="20"/>
                <w:szCs w:val="20"/>
                <w:lang w:val="es-ES" w:eastAsia="es-ES"/>
              </w:rPr>
            </w:pPr>
            <w:r w:rsidRPr="006D5279">
              <w:rPr>
                <w:sz w:val="20"/>
                <w:szCs w:val="20"/>
              </w:rPr>
              <w:t xml:space="preserve"> 218.128 </w:t>
            </w:r>
          </w:p>
        </w:tc>
      </w:tr>
      <w:tr w:rsidR="002A3409" w:rsidRPr="00C61D54" w14:paraId="4A62D0CF" w14:textId="77777777" w:rsidTr="006B5A62">
        <w:trPr>
          <w:jc w:val="center"/>
        </w:trPr>
        <w:tc>
          <w:tcPr>
            <w:tcW w:w="2041" w:type="dxa"/>
            <w:tcBorders>
              <w:top w:val="single" w:sz="2" w:space="0" w:color="auto"/>
              <w:left w:val="single" w:sz="6" w:space="0" w:color="auto"/>
              <w:bottom w:val="single" w:sz="6" w:space="0" w:color="auto"/>
              <w:right w:val="single" w:sz="6" w:space="0" w:color="auto"/>
            </w:tcBorders>
            <w:shd w:val="clear" w:color="auto" w:fill="auto"/>
            <w:noWrap/>
            <w:vAlign w:val="center"/>
            <w:hideMark/>
          </w:tcPr>
          <w:p w14:paraId="13EEA74E" w14:textId="77777777" w:rsidR="002A3409" w:rsidRPr="006D5279" w:rsidRDefault="002A3409" w:rsidP="006B5A62">
            <w:pPr>
              <w:spacing w:before="20" w:after="20" w:line="240" w:lineRule="auto"/>
              <w:jc w:val="center"/>
              <w:rPr>
                <w:rFonts w:eastAsia="Times New Roman" w:cs="Calibri"/>
                <w:color w:val="000000"/>
                <w:sz w:val="20"/>
                <w:szCs w:val="20"/>
                <w:lang w:val="es-ES" w:eastAsia="es-ES"/>
              </w:rPr>
            </w:pPr>
            <w:r w:rsidRPr="006D5279">
              <w:rPr>
                <w:rFonts w:cs="Calibri"/>
                <w:color w:val="000000"/>
                <w:sz w:val="20"/>
                <w:szCs w:val="20"/>
              </w:rPr>
              <w:t xml:space="preserve">SE-N_79 </w:t>
            </w:r>
          </w:p>
        </w:tc>
        <w:tc>
          <w:tcPr>
            <w:tcW w:w="3402" w:type="dxa"/>
            <w:tcBorders>
              <w:top w:val="single" w:sz="2" w:space="0" w:color="auto"/>
              <w:left w:val="single" w:sz="6" w:space="0" w:color="auto"/>
              <w:bottom w:val="single" w:sz="6" w:space="0" w:color="auto"/>
              <w:right w:val="single" w:sz="6" w:space="0" w:color="auto"/>
            </w:tcBorders>
            <w:shd w:val="clear" w:color="auto" w:fill="auto"/>
            <w:noWrap/>
            <w:vAlign w:val="center"/>
          </w:tcPr>
          <w:p w14:paraId="45950D03" w14:textId="77777777" w:rsidR="002A3409" w:rsidRPr="00C61D54" w:rsidRDefault="002A3409" w:rsidP="006B5A62">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Temuco</w:t>
            </w:r>
          </w:p>
        </w:tc>
        <w:tc>
          <w:tcPr>
            <w:tcW w:w="1701" w:type="dxa"/>
            <w:tcBorders>
              <w:top w:val="single" w:sz="2" w:space="0" w:color="auto"/>
              <w:left w:val="single" w:sz="6" w:space="0" w:color="auto"/>
              <w:bottom w:val="single" w:sz="6" w:space="0" w:color="auto"/>
              <w:right w:val="single" w:sz="6" w:space="0" w:color="auto"/>
            </w:tcBorders>
            <w:shd w:val="clear" w:color="auto" w:fill="auto"/>
            <w:noWrap/>
            <w:hideMark/>
          </w:tcPr>
          <w:p w14:paraId="02211658" w14:textId="77777777" w:rsidR="002A3409" w:rsidRPr="006D5279" w:rsidRDefault="002A3409" w:rsidP="006B5A62">
            <w:pPr>
              <w:spacing w:before="20" w:after="20" w:line="240" w:lineRule="auto"/>
              <w:jc w:val="right"/>
              <w:rPr>
                <w:rFonts w:eastAsia="Times New Roman" w:cs="Calibri"/>
                <w:color w:val="000000"/>
                <w:sz w:val="20"/>
                <w:szCs w:val="20"/>
                <w:lang w:val="es-ES" w:eastAsia="es-ES"/>
              </w:rPr>
            </w:pPr>
            <w:r w:rsidRPr="006D5279">
              <w:rPr>
                <w:sz w:val="20"/>
                <w:szCs w:val="20"/>
              </w:rPr>
              <w:t xml:space="preserve"> 469.614 </w:t>
            </w:r>
          </w:p>
        </w:tc>
      </w:tr>
      <w:tr w:rsidR="002A3409" w:rsidRPr="00C61D54" w14:paraId="39F97349" w14:textId="77777777" w:rsidTr="006B5A62">
        <w:trPr>
          <w:jc w:val="center"/>
        </w:trPr>
        <w:tc>
          <w:tcPr>
            <w:tcW w:w="2041" w:type="dxa"/>
            <w:tcBorders>
              <w:top w:val="single" w:sz="2" w:space="0" w:color="auto"/>
              <w:left w:val="single" w:sz="6" w:space="0" w:color="auto"/>
              <w:bottom w:val="single" w:sz="6" w:space="0" w:color="auto"/>
              <w:right w:val="single" w:sz="6" w:space="0" w:color="auto"/>
            </w:tcBorders>
            <w:shd w:val="clear" w:color="auto" w:fill="auto"/>
            <w:noWrap/>
            <w:vAlign w:val="center"/>
          </w:tcPr>
          <w:p w14:paraId="4BF180CC" w14:textId="77777777" w:rsidR="002A3409" w:rsidRPr="006D5279" w:rsidRDefault="002A3409" w:rsidP="006B5A62">
            <w:pPr>
              <w:spacing w:before="20" w:after="20" w:line="240" w:lineRule="auto"/>
              <w:jc w:val="center"/>
              <w:rPr>
                <w:rFonts w:eastAsia="Times New Roman" w:cs="Calibri"/>
                <w:color w:val="000000"/>
                <w:sz w:val="20"/>
                <w:szCs w:val="20"/>
                <w:lang w:val="es-ES" w:eastAsia="es-ES"/>
              </w:rPr>
            </w:pPr>
            <w:r w:rsidRPr="006D5279">
              <w:rPr>
                <w:rFonts w:cs="Calibri"/>
                <w:color w:val="000000"/>
                <w:sz w:val="20"/>
                <w:szCs w:val="20"/>
              </w:rPr>
              <w:t xml:space="preserve">SE-N_80 </w:t>
            </w:r>
          </w:p>
        </w:tc>
        <w:tc>
          <w:tcPr>
            <w:tcW w:w="3402" w:type="dxa"/>
            <w:tcBorders>
              <w:top w:val="single" w:sz="2" w:space="0" w:color="auto"/>
              <w:left w:val="single" w:sz="6" w:space="0" w:color="auto"/>
              <w:bottom w:val="single" w:sz="6" w:space="0" w:color="auto"/>
              <w:right w:val="single" w:sz="6" w:space="0" w:color="auto"/>
            </w:tcBorders>
            <w:shd w:val="clear" w:color="auto" w:fill="auto"/>
            <w:noWrap/>
            <w:vAlign w:val="center"/>
          </w:tcPr>
          <w:p w14:paraId="0AE6FCA9" w14:textId="77777777" w:rsidR="002A3409" w:rsidRPr="00C61D54" w:rsidRDefault="002A3409" w:rsidP="006B5A62">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Tinguiririca</w:t>
            </w:r>
          </w:p>
        </w:tc>
        <w:tc>
          <w:tcPr>
            <w:tcW w:w="1701" w:type="dxa"/>
            <w:tcBorders>
              <w:top w:val="single" w:sz="2" w:space="0" w:color="auto"/>
              <w:left w:val="single" w:sz="6" w:space="0" w:color="auto"/>
              <w:bottom w:val="single" w:sz="6" w:space="0" w:color="auto"/>
              <w:right w:val="single" w:sz="6" w:space="0" w:color="auto"/>
            </w:tcBorders>
            <w:shd w:val="clear" w:color="auto" w:fill="auto"/>
            <w:noWrap/>
          </w:tcPr>
          <w:p w14:paraId="5A779E1C" w14:textId="77777777" w:rsidR="002A3409" w:rsidRPr="006D5279" w:rsidRDefault="002A3409" w:rsidP="006B5A62">
            <w:pPr>
              <w:spacing w:before="20" w:after="20" w:line="240" w:lineRule="auto"/>
              <w:jc w:val="right"/>
              <w:rPr>
                <w:sz w:val="20"/>
                <w:szCs w:val="20"/>
              </w:rPr>
            </w:pPr>
            <w:r w:rsidRPr="006D5279">
              <w:rPr>
                <w:sz w:val="20"/>
                <w:szCs w:val="20"/>
              </w:rPr>
              <w:t xml:space="preserve"> 618.681 </w:t>
            </w:r>
          </w:p>
        </w:tc>
      </w:tr>
      <w:tr w:rsidR="002A3409" w:rsidRPr="00C61D54" w14:paraId="4C67E57F" w14:textId="77777777" w:rsidTr="006B5A62">
        <w:trPr>
          <w:jc w:val="center"/>
        </w:trPr>
        <w:tc>
          <w:tcPr>
            <w:tcW w:w="2041" w:type="dxa"/>
            <w:tcBorders>
              <w:top w:val="single" w:sz="2" w:space="0" w:color="auto"/>
              <w:left w:val="single" w:sz="6" w:space="0" w:color="auto"/>
              <w:bottom w:val="single" w:sz="6" w:space="0" w:color="auto"/>
              <w:right w:val="single" w:sz="6" w:space="0" w:color="auto"/>
            </w:tcBorders>
            <w:shd w:val="clear" w:color="auto" w:fill="auto"/>
            <w:noWrap/>
            <w:vAlign w:val="center"/>
          </w:tcPr>
          <w:p w14:paraId="31C88C90" w14:textId="77777777" w:rsidR="002A3409" w:rsidRPr="006D5279" w:rsidRDefault="002A3409" w:rsidP="006B5A62">
            <w:pPr>
              <w:spacing w:before="20" w:after="20" w:line="240" w:lineRule="auto"/>
              <w:jc w:val="center"/>
              <w:rPr>
                <w:rFonts w:eastAsia="Times New Roman" w:cs="Calibri"/>
                <w:color w:val="000000"/>
                <w:sz w:val="20"/>
                <w:szCs w:val="20"/>
                <w:lang w:val="es-ES" w:eastAsia="es-ES"/>
              </w:rPr>
            </w:pPr>
            <w:r w:rsidRPr="006D5279">
              <w:rPr>
                <w:rFonts w:cs="Calibri"/>
                <w:color w:val="000000"/>
                <w:sz w:val="20"/>
                <w:szCs w:val="20"/>
              </w:rPr>
              <w:t xml:space="preserve">SE-N_81 </w:t>
            </w:r>
          </w:p>
        </w:tc>
        <w:tc>
          <w:tcPr>
            <w:tcW w:w="3402" w:type="dxa"/>
            <w:tcBorders>
              <w:top w:val="single" w:sz="2" w:space="0" w:color="auto"/>
              <w:left w:val="single" w:sz="6" w:space="0" w:color="auto"/>
              <w:bottom w:val="single" w:sz="6" w:space="0" w:color="auto"/>
              <w:right w:val="single" w:sz="6" w:space="0" w:color="auto"/>
            </w:tcBorders>
            <w:shd w:val="clear" w:color="auto" w:fill="auto"/>
            <w:noWrap/>
            <w:vAlign w:val="center"/>
          </w:tcPr>
          <w:p w14:paraId="75C5505E" w14:textId="77777777" w:rsidR="002A3409" w:rsidRPr="00C61D54" w:rsidRDefault="002A3409" w:rsidP="006B5A62">
            <w:pPr>
              <w:spacing w:before="20" w:after="20" w:line="240" w:lineRule="auto"/>
              <w:jc w:val="left"/>
              <w:rPr>
                <w:rFonts w:eastAsia="Times New Roman" w:cs="Calibri"/>
                <w:color w:val="000000"/>
                <w:sz w:val="20"/>
                <w:szCs w:val="20"/>
                <w:lang w:val="es-ES" w:eastAsia="es-ES"/>
              </w:rPr>
            </w:pPr>
            <w:r w:rsidRPr="00C61D54">
              <w:rPr>
                <w:rFonts w:eastAsia="Times New Roman" w:cs="Calibri"/>
                <w:color w:val="000000"/>
                <w:sz w:val="20"/>
                <w:szCs w:val="20"/>
                <w:lang w:val="es-ES" w:eastAsia="es-ES"/>
              </w:rPr>
              <w:t>Valdivia</w:t>
            </w:r>
          </w:p>
        </w:tc>
        <w:tc>
          <w:tcPr>
            <w:tcW w:w="1701" w:type="dxa"/>
            <w:tcBorders>
              <w:top w:val="single" w:sz="2" w:space="0" w:color="auto"/>
              <w:left w:val="single" w:sz="6" w:space="0" w:color="auto"/>
              <w:bottom w:val="single" w:sz="6" w:space="0" w:color="auto"/>
              <w:right w:val="single" w:sz="6" w:space="0" w:color="auto"/>
            </w:tcBorders>
            <w:shd w:val="clear" w:color="auto" w:fill="auto"/>
            <w:noWrap/>
          </w:tcPr>
          <w:p w14:paraId="2DA9211B" w14:textId="77777777" w:rsidR="002A3409" w:rsidRPr="006D5279" w:rsidRDefault="002A3409" w:rsidP="006B5A62">
            <w:pPr>
              <w:spacing w:before="20" w:after="20" w:line="240" w:lineRule="auto"/>
              <w:jc w:val="right"/>
              <w:rPr>
                <w:sz w:val="20"/>
                <w:szCs w:val="20"/>
              </w:rPr>
            </w:pPr>
            <w:r w:rsidRPr="006D5279">
              <w:rPr>
                <w:sz w:val="20"/>
                <w:szCs w:val="20"/>
              </w:rPr>
              <w:t xml:space="preserve"> 729.219 </w:t>
            </w:r>
          </w:p>
        </w:tc>
      </w:tr>
      <w:tr w:rsidR="002A3409" w:rsidRPr="00C61D54" w14:paraId="00F51A3F" w14:textId="77777777" w:rsidTr="006B5A62">
        <w:trPr>
          <w:jc w:val="center"/>
        </w:trPr>
        <w:tc>
          <w:tcPr>
            <w:tcW w:w="2041" w:type="dxa"/>
            <w:tcBorders>
              <w:top w:val="single" w:sz="6" w:space="0" w:color="auto"/>
              <w:left w:val="nil"/>
              <w:bottom w:val="nil"/>
              <w:right w:val="single" w:sz="6" w:space="0" w:color="auto"/>
            </w:tcBorders>
            <w:shd w:val="clear" w:color="auto" w:fill="auto"/>
            <w:noWrap/>
            <w:vAlign w:val="center"/>
            <w:hideMark/>
          </w:tcPr>
          <w:p w14:paraId="48DC0710" w14:textId="77777777" w:rsidR="002A3409" w:rsidRPr="00C61D54" w:rsidRDefault="002A3409" w:rsidP="006B5A62">
            <w:pPr>
              <w:spacing w:before="20" w:after="20" w:line="240" w:lineRule="auto"/>
              <w:jc w:val="right"/>
              <w:rPr>
                <w:rFonts w:eastAsia="Times New Roman" w:cs="Calibri"/>
                <w:color w:val="000000"/>
                <w:sz w:val="20"/>
                <w:szCs w:val="20"/>
                <w:lang w:val="es-ES" w:eastAsia="es-ES"/>
              </w:rPr>
            </w:pPr>
          </w:p>
        </w:tc>
        <w:tc>
          <w:tcPr>
            <w:tcW w:w="3402" w:type="dxa"/>
            <w:tcBorders>
              <w:top w:val="single" w:sz="6" w:space="0" w:color="auto"/>
              <w:left w:val="single" w:sz="6" w:space="0" w:color="auto"/>
              <w:bottom w:val="single" w:sz="6" w:space="0" w:color="auto"/>
              <w:right w:val="single" w:sz="6" w:space="0" w:color="auto"/>
            </w:tcBorders>
            <w:shd w:val="clear" w:color="auto" w:fill="auto"/>
            <w:noWrap/>
            <w:vAlign w:val="center"/>
            <w:hideMark/>
          </w:tcPr>
          <w:p w14:paraId="3C07C70E" w14:textId="77777777" w:rsidR="002A3409" w:rsidRPr="00C61D54" w:rsidRDefault="002A3409" w:rsidP="006B5A62">
            <w:pPr>
              <w:spacing w:before="20" w:after="20" w:line="240" w:lineRule="auto"/>
              <w:jc w:val="left"/>
              <w:rPr>
                <w:rFonts w:eastAsia="Times New Roman" w:cs="Calibri"/>
                <w:b/>
                <w:bCs/>
                <w:color w:val="000000"/>
                <w:sz w:val="20"/>
                <w:szCs w:val="20"/>
                <w:lang w:val="es-ES" w:eastAsia="es-ES"/>
              </w:rPr>
            </w:pPr>
            <w:r w:rsidRPr="00C61D54">
              <w:rPr>
                <w:rFonts w:eastAsia="Times New Roman" w:cs="Calibri"/>
                <w:b/>
                <w:bCs/>
                <w:color w:val="000000"/>
                <w:sz w:val="20"/>
                <w:szCs w:val="20"/>
                <w:lang w:val="es-ES" w:eastAsia="es-ES"/>
              </w:rPr>
              <w:t>Total</w:t>
            </w:r>
          </w:p>
        </w:tc>
        <w:tc>
          <w:tcPr>
            <w:tcW w:w="1701" w:type="dxa"/>
            <w:tcBorders>
              <w:top w:val="single" w:sz="6" w:space="0" w:color="auto"/>
              <w:left w:val="single" w:sz="6" w:space="0" w:color="auto"/>
              <w:bottom w:val="single" w:sz="6" w:space="0" w:color="auto"/>
              <w:right w:val="single" w:sz="6" w:space="0" w:color="auto"/>
            </w:tcBorders>
            <w:shd w:val="clear" w:color="auto" w:fill="auto"/>
            <w:noWrap/>
            <w:hideMark/>
          </w:tcPr>
          <w:p w14:paraId="116C408D" w14:textId="77777777" w:rsidR="002A3409" w:rsidRPr="006D5279" w:rsidRDefault="002A3409" w:rsidP="006B5A62">
            <w:pPr>
              <w:spacing w:before="20" w:after="20" w:line="240" w:lineRule="auto"/>
              <w:jc w:val="right"/>
              <w:rPr>
                <w:rFonts w:eastAsia="Times New Roman" w:cs="Calibri"/>
                <w:b/>
                <w:bCs/>
                <w:color w:val="000000"/>
                <w:sz w:val="20"/>
                <w:szCs w:val="20"/>
                <w:lang w:val="es-ES" w:eastAsia="es-ES"/>
              </w:rPr>
            </w:pPr>
            <w:r w:rsidRPr="006D5279">
              <w:rPr>
                <w:sz w:val="20"/>
                <w:szCs w:val="20"/>
              </w:rPr>
              <w:t xml:space="preserve"> 51.380.382 </w:t>
            </w:r>
          </w:p>
        </w:tc>
      </w:tr>
    </w:tbl>
    <w:p w14:paraId="55FC9F21" w14:textId="77777777" w:rsidR="002A3409" w:rsidRDefault="002A3409" w:rsidP="002A3409">
      <w:pPr>
        <w:spacing w:after="0"/>
      </w:pPr>
    </w:p>
    <w:p w14:paraId="57719053" w14:textId="77777777" w:rsidR="002A3409" w:rsidRPr="00596F02" w:rsidRDefault="002A3409" w:rsidP="002A3409">
      <w:pPr>
        <w:pStyle w:val="Ttulo4"/>
        <w:keepNext/>
      </w:pPr>
      <w:bookmarkStart w:id="485" w:name="_Toc39795192"/>
      <w:bookmarkStart w:id="486" w:name="_Toc39797872"/>
      <w:r w:rsidRPr="00596F02">
        <w:t>V.I. Líneas sin instalaciones declaradas en la base de datos</w:t>
      </w:r>
      <w:bookmarkEnd w:id="485"/>
      <w:bookmarkEnd w:id="486"/>
    </w:p>
    <w:p w14:paraId="3ABAB591" w14:textId="77777777" w:rsidR="002A3409" w:rsidRDefault="002A3409" w:rsidP="002A3409">
      <w:r>
        <w:t>En la base de datos se observa que en tres tramos de transporte calificados como parte del STN y que corresponde valorizar, solo existen elementos correspondientes a los paños de línea en las subestaciones de los extremos de tales tramos de transporte, pero que no aparecen los elementos de la línea de transmisión que forma parte de ellos.</w:t>
      </w:r>
    </w:p>
    <w:p w14:paraId="27D4475B" w14:textId="77777777" w:rsidR="002A3409" w:rsidRPr="00F836AC" w:rsidRDefault="002A3409" w:rsidP="002A3409">
      <w:r w:rsidRPr="00F836AC">
        <w:t>Tales líneas corresponden a los siguientes tramos de transporte</w:t>
      </w:r>
    </w:p>
    <w:p w14:paraId="15C23312" w14:textId="77777777" w:rsidR="002A3409" w:rsidRDefault="002A3409" w:rsidP="002A3409">
      <w:pPr>
        <w:pStyle w:val="Prrafodelista"/>
        <w:numPr>
          <w:ilvl w:val="0"/>
          <w:numId w:val="76"/>
        </w:numPr>
        <w:spacing w:after="120"/>
        <w:ind w:left="567" w:hanging="567"/>
      </w:pPr>
      <w:r>
        <w:t>N_61</w:t>
      </w:r>
      <w:r>
        <w:tab/>
      </w:r>
      <w:r w:rsidRPr="00932084">
        <w:t>Laberinto 220-&gt;Kimal 220</w:t>
      </w:r>
    </w:p>
    <w:p w14:paraId="562DF82E" w14:textId="77777777" w:rsidR="002A3409" w:rsidRDefault="002A3409" w:rsidP="002A3409">
      <w:pPr>
        <w:pStyle w:val="Prrafodelista"/>
        <w:numPr>
          <w:ilvl w:val="0"/>
          <w:numId w:val="76"/>
        </w:numPr>
        <w:spacing w:after="120"/>
        <w:ind w:left="567" w:hanging="567"/>
      </w:pPr>
      <w:r>
        <w:t>N_62</w:t>
      </w:r>
      <w:r>
        <w:tab/>
      </w:r>
      <w:r w:rsidRPr="00932084">
        <w:t>Laberinto 220-&gt;Nueva Zaldívar 220</w:t>
      </w:r>
    </w:p>
    <w:p w14:paraId="3C96D0DB" w14:textId="77777777" w:rsidR="002A3409" w:rsidRDefault="002A3409" w:rsidP="002A3409">
      <w:pPr>
        <w:pStyle w:val="Prrafodelista"/>
        <w:numPr>
          <w:ilvl w:val="0"/>
          <w:numId w:val="76"/>
        </w:numPr>
        <w:ind w:left="567" w:hanging="567"/>
      </w:pPr>
      <w:r>
        <w:lastRenderedPageBreak/>
        <w:t>N_102</w:t>
      </w:r>
      <w:r>
        <w:tab/>
      </w:r>
      <w:r w:rsidRPr="00932084">
        <w:t>O’Higgins 220-&gt;Atacama 220</w:t>
      </w:r>
    </w:p>
    <w:p w14:paraId="00D73ABA" w14:textId="77777777" w:rsidR="002A3409" w:rsidRDefault="002A3409" w:rsidP="002A3409">
      <w:r>
        <w:t>Las líneas de transmisión sin instalaciones en la base de datos y, por ello, sin valorización, son las siguientes:</w:t>
      </w:r>
    </w:p>
    <w:p w14:paraId="5BF4AAE4" w14:textId="77777777" w:rsidR="002A3409" w:rsidRDefault="002A3409" w:rsidP="002A3409">
      <w:pPr>
        <w:pStyle w:val="Prrafodelista"/>
        <w:numPr>
          <w:ilvl w:val="0"/>
          <w:numId w:val="76"/>
        </w:numPr>
        <w:spacing w:after="120"/>
        <w:ind w:left="567" w:hanging="567"/>
      </w:pPr>
      <w:r w:rsidRPr="00932084">
        <w:t>2x220 kV Laberinto – Kimal</w:t>
      </w:r>
    </w:p>
    <w:p w14:paraId="544CC4F2" w14:textId="77777777" w:rsidR="002A3409" w:rsidRDefault="002A3409" w:rsidP="002A3409">
      <w:pPr>
        <w:pStyle w:val="Prrafodelista"/>
        <w:numPr>
          <w:ilvl w:val="0"/>
          <w:numId w:val="76"/>
        </w:numPr>
        <w:spacing w:after="120"/>
        <w:ind w:left="567" w:hanging="567"/>
      </w:pPr>
      <w:r w:rsidRPr="00932084">
        <w:t>2x220 kV Laberinto –Nva. Zaldívar</w:t>
      </w:r>
    </w:p>
    <w:p w14:paraId="202C4E3C" w14:textId="77777777" w:rsidR="002A3409" w:rsidRDefault="002A3409" w:rsidP="002A3409">
      <w:pPr>
        <w:pStyle w:val="Prrafodelista"/>
        <w:numPr>
          <w:ilvl w:val="0"/>
          <w:numId w:val="76"/>
        </w:numPr>
        <w:ind w:left="567" w:hanging="567"/>
      </w:pPr>
      <w:r>
        <w:t>2x220 kV O’H</w:t>
      </w:r>
      <w:r w:rsidRPr="00932084">
        <w:t>iggins - Atacama</w:t>
      </w:r>
    </w:p>
    <w:p w14:paraId="5EC210DD" w14:textId="77777777" w:rsidR="002A3409" w:rsidRDefault="002A3409" w:rsidP="002A3409">
      <w:r>
        <w:t>El Consultor considera que el V.I. correspondiente a estas líneas debiera adicionarse al V.I. calculado con la base de datos para el tramo de transporte al cual pertenecen, por cuanto ese V.I. solo incluye los paños de línea de los extremos.</w:t>
      </w:r>
    </w:p>
    <w:p w14:paraId="560DC98C" w14:textId="77777777" w:rsidR="002A3409" w:rsidRDefault="002A3409" w:rsidP="002A3409">
      <w:r>
        <w:t xml:space="preserve">EL V.I.  </w:t>
      </w:r>
      <w:proofErr w:type="gramStart"/>
      <w:r>
        <w:t>de</w:t>
      </w:r>
      <w:proofErr w:type="gramEnd"/>
      <w:r>
        <w:t xml:space="preserve"> estas tres líneas se ha valorizado estimando el valor de inversión por kilómetro sobre la base de una línea de trasmisión similar, valorizada en la base de datos.</w:t>
      </w:r>
    </w:p>
    <w:p w14:paraId="69F9E2D6" w14:textId="77777777" w:rsidR="002A3409" w:rsidRDefault="002A3409" w:rsidP="002A3409">
      <w:r>
        <w:t>La valorización aproximada de la línea 2x220 kV Laberinto – Kimal se calculó como el costo por kilómetro de la línea 2x220 kV Punta Colorada – Pan de Azúcar (USD 226.334,90) por longitud de la línea (128,7 km).</w:t>
      </w:r>
    </w:p>
    <w:p w14:paraId="328029EC" w14:textId="77777777" w:rsidR="002A3409" w:rsidRDefault="002A3409" w:rsidP="002A3409">
      <w:r>
        <w:t>La valorización aproximada de la línea 2x220 kV Laberinto – Nva. Zaldívar se calculó como el costo por kilómetro de la línea 2x220 kV Punta Colorada – Pan de Azúcar (USD 226.334,90) por longitud de la línea (87,2 km).</w:t>
      </w:r>
    </w:p>
    <w:p w14:paraId="79D51813" w14:textId="77777777" w:rsidR="002A3409" w:rsidRDefault="002A3409" w:rsidP="002A3409">
      <w:r>
        <w:t xml:space="preserve">La </w:t>
      </w:r>
      <w:r w:rsidRPr="00D55624">
        <w:t xml:space="preserve">valorización aproximada de línea 2x220 kV O’Higgins - Atacama se calculó como el costo por kilómetro de la línea 2x220 kV Punta Colorada – Pan de Azúcar (USD </w:t>
      </w:r>
      <w:r>
        <w:t>226.334,90</w:t>
      </w:r>
      <w:r w:rsidRPr="00D55624">
        <w:t>) por longitud de la línea (70,6 km).</w:t>
      </w:r>
    </w:p>
    <w:p w14:paraId="7F098CD5" w14:textId="77777777" w:rsidR="002A3409" w:rsidRDefault="002A3409" w:rsidP="002A3409">
      <w:r>
        <w:t>De este modo, el VI a adicionar a cada tramo de transporte es el que se indica a continuación:</w:t>
      </w:r>
    </w:p>
    <w:p w14:paraId="2C6CB1DB" w14:textId="77777777" w:rsidR="002A3409" w:rsidRPr="00E804A2" w:rsidRDefault="002A3409" w:rsidP="002A3409">
      <w:pPr>
        <w:pStyle w:val="Subttulo"/>
      </w:pPr>
      <w:bookmarkStart w:id="487" w:name="_Toc39795279"/>
      <w:bookmarkStart w:id="488" w:name="_Toc39797959"/>
      <w:r w:rsidRPr="00E804A2">
        <w:t xml:space="preserve">Tabla </w:t>
      </w:r>
      <w:fldSimple w:instr=" SEQ Tabla \* ARABIC ">
        <w:r w:rsidR="001F3E2E">
          <w:rPr>
            <w:noProof/>
          </w:rPr>
          <w:t>49</w:t>
        </w:r>
      </w:fldSimple>
      <w:r w:rsidRPr="00E804A2">
        <w:t xml:space="preserve">: Valor de Inversión (V.I.) </w:t>
      </w:r>
      <w:r>
        <w:t>aproximado líneas de transmisión nacionales no declaradas en BD</w:t>
      </w:r>
      <w:bookmarkEnd w:id="487"/>
      <w:bookmarkEnd w:id="488"/>
    </w:p>
    <w:tbl>
      <w:tblPr>
        <w:tblW w:w="0" w:type="auto"/>
        <w:jc w:val="center"/>
        <w:tblLayout w:type="fixed"/>
        <w:tblCellMar>
          <w:left w:w="57" w:type="dxa"/>
          <w:right w:w="57" w:type="dxa"/>
        </w:tblCellMar>
        <w:tblLook w:val="04A0" w:firstRow="1" w:lastRow="0" w:firstColumn="1" w:lastColumn="0" w:noHBand="0" w:noVBand="1"/>
      </w:tblPr>
      <w:tblGrid>
        <w:gridCol w:w="1701"/>
        <w:gridCol w:w="3969"/>
        <w:gridCol w:w="1701"/>
      </w:tblGrid>
      <w:tr w:rsidR="002A3409" w:rsidRPr="00996925" w14:paraId="5FA8899C" w14:textId="77777777" w:rsidTr="006B5A62">
        <w:trPr>
          <w:tblHeader/>
          <w:jc w:val="center"/>
        </w:trPr>
        <w:tc>
          <w:tcPr>
            <w:tcW w:w="1701" w:type="dxa"/>
            <w:tcBorders>
              <w:top w:val="single" w:sz="6" w:space="0" w:color="auto"/>
              <w:left w:val="single" w:sz="6" w:space="0" w:color="auto"/>
              <w:bottom w:val="single" w:sz="6" w:space="0" w:color="auto"/>
              <w:right w:val="single" w:sz="6" w:space="0" w:color="auto"/>
            </w:tcBorders>
            <w:shd w:val="clear" w:color="auto" w:fill="D0CECE" w:themeFill="background2" w:themeFillShade="E6"/>
            <w:vAlign w:val="center"/>
            <w:hideMark/>
          </w:tcPr>
          <w:p w14:paraId="60EFD661" w14:textId="77777777" w:rsidR="002A3409" w:rsidRPr="00996925" w:rsidRDefault="002A3409" w:rsidP="006B5A62">
            <w:pPr>
              <w:spacing w:before="20" w:after="20" w:line="240" w:lineRule="auto"/>
              <w:jc w:val="center"/>
              <w:rPr>
                <w:rFonts w:asciiTheme="minorHAnsi" w:eastAsia="Times New Roman" w:hAnsiTheme="minorHAnsi" w:cstheme="minorHAnsi"/>
                <w:b/>
                <w:bCs/>
                <w:color w:val="000000"/>
                <w:sz w:val="20"/>
                <w:szCs w:val="20"/>
                <w:lang w:val="es-ES" w:eastAsia="es-ES"/>
              </w:rPr>
            </w:pPr>
            <w:r w:rsidRPr="00996925">
              <w:rPr>
                <w:rFonts w:asciiTheme="minorHAnsi" w:eastAsia="Times New Roman" w:hAnsiTheme="minorHAnsi" w:cstheme="minorHAnsi"/>
                <w:b/>
                <w:bCs/>
                <w:color w:val="000000"/>
                <w:sz w:val="20"/>
                <w:szCs w:val="20"/>
                <w:lang w:val="es-ES" w:eastAsia="es-ES"/>
              </w:rPr>
              <w:t>Id Calificacion Código</w:t>
            </w:r>
          </w:p>
        </w:tc>
        <w:tc>
          <w:tcPr>
            <w:tcW w:w="3969" w:type="dxa"/>
            <w:tcBorders>
              <w:top w:val="single" w:sz="6" w:space="0" w:color="auto"/>
              <w:left w:val="single" w:sz="6" w:space="0" w:color="auto"/>
              <w:bottom w:val="single" w:sz="6" w:space="0" w:color="auto"/>
              <w:right w:val="single" w:sz="6" w:space="0" w:color="auto"/>
            </w:tcBorders>
            <w:shd w:val="clear" w:color="auto" w:fill="D0CECE" w:themeFill="background2" w:themeFillShade="E6"/>
            <w:vAlign w:val="center"/>
            <w:hideMark/>
          </w:tcPr>
          <w:p w14:paraId="6C002D70" w14:textId="77777777" w:rsidR="002A3409" w:rsidRPr="00996925" w:rsidRDefault="002A3409" w:rsidP="006B5A62">
            <w:pPr>
              <w:spacing w:before="20" w:after="20" w:line="240" w:lineRule="auto"/>
              <w:jc w:val="center"/>
              <w:rPr>
                <w:rFonts w:asciiTheme="minorHAnsi" w:eastAsia="Times New Roman" w:hAnsiTheme="minorHAnsi" w:cstheme="minorHAnsi"/>
                <w:b/>
                <w:bCs/>
                <w:color w:val="000000"/>
                <w:sz w:val="20"/>
                <w:szCs w:val="20"/>
                <w:lang w:val="es-ES" w:eastAsia="es-ES"/>
              </w:rPr>
            </w:pPr>
            <w:r w:rsidRPr="00996925">
              <w:rPr>
                <w:rFonts w:asciiTheme="minorHAnsi" w:eastAsia="Times New Roman" w:hAnsiTheme="minorHAnsi" w:cstheme="minorHAnsi"/>
                <w:b/>
                <w:bCs/>
                <w:color w:val="000000"/>
                <w:sz w:val="20"/>
                <w:szCs w:val="20"/>
                <w:lang w:val="es-ES" w:eastAsia="es-ES"/>
              </w:rPr>
              <w:t>Nombre</w:t>
            </w:r>
          </w:p>
        </w:tc>
        <w:tc>
          <w:tcPr>
            <w:tcW w:w="1701" w:type="dxa"/>
            <w:tcBorders>
              <w:top w:val="single" w:sz="6" w:space="0" w:color="auto"/>
              <w:left w:val="single" w:sz="6" w:space="0" w:color="auto"/>
              <w:bottom w:val="single" w:sz="6" w:space="0" w:color="auto"/>
              <w:right w:val="single" w:sz="6" w:space="0" w:color="auto"/>
            </w:tcBorders>
            <w:shd w:val="clear" w:color="auto" w:fill="D0CECE" w:themeFill="background2" w:themeFillShade="E6"/>
            <w:vAlign w:val="center"/>
            <w:hideMark/>
          </w:tcPr>
          <w:p w14:paraId="5DDC1899" w14:textId="77777777" w:rsidR="002A3409" w:rsidRPr="00996925" w:rsidRDefault="002A3409" w:rsidP="006B5A62">
            <w:pPr>
              <w:spacing w:before="20" w:after="20" w:line="240" w:lineRule="auto"/>
              <w:jc w:val="center"/>
              <w:rPr>
                <w:rFonts w:asciiTheme="minorHAnsi" w:eastAsia="Times New Roman" w:hAnsiTheme="minorHAnsi" w:cstheme="minorHAnsi"/>
                <w:b/>
                <w:bCs/>
                <w:color w:val="000000"/>
                <w:sz w:val="20"/>
                <w:szCs w:val="20"/>
                <w:lang w:val="es-ES" w:eastAsia="es-ES"/>
              </w:rPr>
            </w:pPr>
            <w:r w:rsidRPr="00996925">
              <w:rPr>
                <w:rFonts w:asciiTheme="minorHAnsi" w:eastAsia="Times New Roman" w:hAnsiTheme="minorHAnsi" w:cstheme="minorHAnsi"/>
                <w:b/>
                <w:bCs/>
                <w:color w:val="000000"/>
                <w:sz w:val="20"/>
                <w:szCs w:val="20"/>
                <w:lang w:val="es-ES" w:eastAsia="es-ES"/>
              </w:rPr>
              <w:t>V</w:t>
            </w:r>
            <w:r>
              <w:rPr>
                <w:rFonts w:asciiTheme="minorHAnsi" w:eastAsia="Times New Roman" w:hAnsiTheme="minorHAnsi" w:cstheme="minorHAnsi"/>
                <w:b/>
                <w:bCs/>
                <w:color w:val="000000"/>
                <w:sz w:val="20"/>
                <w:szCs w:val="20"/>
                <w:lang w:val="es-ES" w:eastAsia="es-ES"/>
              </w:rPr>
              <w:t>.</w:t>
            </w:r>
            <w:r w:rsidRPr="00996925">
              <w:rPr>
                <w:rFonts w:asciiTheme="minorHAnsi" w:eastAsia="Times New Roman" w:hAnsiTheme="minorHAnsi" w:cstheme="minorHAnsi"/>
                <w:b/>
                <w:bCs/>
                <w:color w:val="000000"/>
                <w:sz w:val="20"/>
                <w:szCs w:val="20"/>
                <w:lang w:val="es-ES" w:eastAsia="es-ES"/>
              </w:rPr>
              <w:t xml:space="preserve">I </w:t>
            </w:r>
            <w:r>
              <w:rPr>
                <w:rFonts w:asciiTheme="minorHAnsi" w:eastAsia="Times New Roman" w:hAnsiTheme="minorHAnsi" w:cstheme="minorHAnsi"/>
                <w:b/>
                <w:bCs/>
                <w:color w:val="000000"/>
                <w:sz w:val="20"/>
                <w:szCs w:val="20"/>
                <w:lang w:val="es-ES" w:eastAsia="es-ES"/>
              </w:rPr>
              <w:t>Línea de transmisión</w:t>
            </w:r>
            <w:r w:rsidRPr="00996925">
              <w:rPr>
                <w:rFonts w:asciiTheme="minorHAnsi" w:eastAsia="Times New Roman" w:hAnsiTheme="minorHAnsi" w:cstheme="minorHAnsi"/>
                <w:b/>
                <w:bCs/>
                <w:color w:val="000000"/>
                <w:sz w:val="20"/>
                <w:szCs w:val="20"/>
                <w:lang w:val="es-ES" w:eastAsia="es-ES"/>
              </w:rPr>
              <w:t xml:space="preserve"> (USD)</w:t>
            </w:r>
          </w:p>
        </w:tc>
      </w:tr>
      <w:tr w:rsidR="002A3409" w:rsidRPr="00996925" w14:paraId="4D1B340D" w14:textId="77777777" w:rsidTr="006B5A62">
        <w:trPr>
          <w:jc w:val="center"/>
        </w:trPr>
        <w:tc>
          <w:tcPr>
            <w:tcW w:w="1701" w:type="dxa"/>
            <w:tcBorders>
              <w:top w:val="single" w:sz="6" w:space="0" w:color="auto"/>
              <w:left w:val="single" w:sz="6" w:space="0" w:color="auto"/>
              <w:bottom w:val="single" w:sz="2" w:space="0" w:color="auto"/>
              <w:right w:val="single" w:sz="6" w:space="0" w:color="auto"/>
            </w:tcBorders>
            <w:shd w:val="clear" w:color="auto" w:fill="auto"/>
            <w:noWrap/>
            <w:hideMark/>
          </w:tcPr>
          <w:p w14:paraId="5FB41251" w14:textId="77777777" w:rsidR="002A3409" w:rsidRPr="0099692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sidRPr="00996925">
              <w:rPr>
                <w:rFonts w:asciiTheme="minorHAnsi" w:hAnsiTheme="minorHAnsi" w:cstheme="minorHAnsi"/>
                <w:sz w:val="20"/>
                <w:szCs w:val="20"/>
              </w:rPr>
              <w:t>N_61</w:t>
            </w:r>
          </w:p>
        </w:tc>
        <w:tc>
          <w:tcPr>
            <w:tcW w:w="3969" w:type="dxa"/>
            <w:tcBorders>
              <w:top w:val="single" w:sz="6" w:space="0" w:color="auto"/>
              <w:left w:val="single" w:sz="6" w:space="0" w:color="auto"/>
              <w:bottom w:val="single" w:sz="2" w:space="0" w:color="auto"/>
              <w:right w:val="single" w:sz="6" w:space="0" w:color="auto"/>
            </w:tcBorders>
            <w:shd w:val="clear" w:color="auto" w:fill="auto"/>
            <w:noWrap/>
            <w:hideMark/>
          </w:tcPr>
          <w:p w14:paraId="1A2F95CE" w14:textId="77777777" w:rsidR="002A3409" w:rsidRPr="0099692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sidRPr="00996925">
              <w:rPr>
                <w:rFonts w:asciiTheme="minorHAnsi" w:hAnsiTheme="minorHAnsi" w:cstheme="minorHAnsi"/>
                <w:sz w:val="20"/>
                <w:szCs w:val="20"/>
              </w:rPr>
              <w:t>Laberinto 220-&gt;Kimal 220</w:t>
            </w:r>
          </w:p>
        </w:tc>
        <w:tc>
          <w:tcPr>
            <w:tcW w:w="1701" w:type="dxa"/>
            <w:tcBorders>
              <w:top w:val="single" w:sz="6" w:space="0" w:color="auto"/>
              <w:left w:val="single" w:sz="6" w:space="0" w:color="auto"/>
              <w:bottom w:val="single" w:sz="2" w:space="0" w:color="auto"/>
              <w:right w:val="single" w:sz="6" w:space="0" w:color="auto"/>
            </w:tcBorders>
            <w:shd w:val="clear" w:color="auto" w:fill="auto"/>
            <w:noWrap/>
            <w:vAlign w:val="center"/>
            <w:hideMark/>
          </w:tcPr>
          <w:p w14:paraId="2E92B44A" w14:textId="77777777" w:rsidR="002A3409" w:rsidRPr="0099692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asciiTheme="minorHAnsi" w:eastAsia="Times New Roman" w:hAnsiTheme="minorHAnsi" w:cstheme="minorHAnsi"/>
                <w:color w:val="000000"/>
                <w:sz w:val="20"/>
                <w:szCs w:val="20"/>
                <w:lang w:val="es-ES" w:eastAsia="es-ES"/>
              </w:rPr>
              <w:t>29.129.301,82</w:t>
            </w:r>
          </w:p>
        </w:tc>
      </w:tr>
      <w:tr w:rsidR="002A3409" w:rsidRPr="00996925" w14:paraId="146C1BDB" w14:textId="77777777" w:rsidTr="006B5A62">
        <w:trPr>
          <w:jc w:val="center"/>
        </w:trPr>
        <w:tc>
          <w:tcPr>
            <w:tcW w:w="1701" w:type="dxa"/>
            <w:tcBorders>
              <w:top w:val="single" w:sz="2" w:space="0" w:color="auto"/>
              <w:left w:val="single" w:sz="6" w:space="0" w:color="auto"/>
              <w:bottom w:val="single" w:sz="2" w:space="0" w:color="auto"/>
              <w:right w:val="single" w:sz="6" w:space="0" w:color="auto"/>
            </w:tcBorders>
            <w:shd w:val="clear" w:color="auto" w:fill="auto"/>
            <w:noWrap/>
            <w:hideMark/>
          </w:tcPr>
          <w:p w14:paraId="27A8C744" w14:textId="77777777" w:rsidR="002A3409" w:rsidRPr="0099692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sidRPr="00996925">
              <w:rPr>
                <w:rFonts w:asciiTheme="minorHAnsi" w:hAnsiTheme="minorHAnsi" w:cstheme="minorHAnsi"/>
                <w:sz w:val="20"/>
                <w:szCs w:val="20"/>
              </w:rPr>
              <w:t>N_62</w:t>
            </w:r>
          </w:p>
        </w:tc>
        <w:tc>
          <w:tcPr>
            <w:tcW w:w="3969" w:type="dxa"/>
            <w:tcBorders>
              <w:top w:val="single" w:sz="2" w:space="0" w:color="auto"/>
              <w:left w:val="single" w:sz="6" w:space="0" w:color="auto"/>
              <w:bottom w:val="single" w:sz="2" w:space="0" w:color="auto"/>
              <w:right w:val="single" w:sz="6" w:space="0" w:color="auto"/>
            </w:tcBorders>
            <w:shd w:val="clear" w:color="auto" w:fill="auto"/>
            <w:noWrap/>
            <w:hideMark/>
          </w:tcPr>
          <w:p w14:paraId="10F14ECD" w14:textId="77777777" w:rsidR="002A3409" w:rsidRPr="0099692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sidRPr="00996925">
              <w:rPr>
                <w:rFonts w:asciiTheme="minorHAnsi" w:hAnsiTheme="minorHAnsi" w:cstheme="minorHAnsi"/>
                <w:sz w:val="20"/>
                <w:szCs w:val="20"/>
              </w:rPr>
              <w:t>Laberinto 220-&gt;Nueva Zaldívar 220</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468D2CF" w14:textId="77777777" w:rsidR="002A3409" w:rsidRPr="0099692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asciiTheme="minorHAnsi" w:eastAsia="Times New Roman" w:hAnsiTheme="minorHAnsi" w:cstheme="minorHAnsi"/>
                <w:color w:val="000000"/>
                <w:sz w:val="20"/>
                <w:szCs w:val="20"/>
                <w:lang w:val="es-ES" w:eastAsia="es-ES"/>
              </w:rPr>
              <w:t>19.736.403,41</w:t>
            </w:r>
          </w:p>
        </w:tc>
      </w:tr>
      <w:tr w:rsidR="002A3409" w:rsidRPr="00996925" w14:paraId="58D0C4EB" w14:textId="77777777" w:rsidTr="006B5A62">
        <w:trPr>
          <w:jc w:val="center"/>
        </w:trPr>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12754D12" w14:textId="77777777" w:rsidR="002A3409" w:rsidRPr="00996925" w:rsidRDefault="002A3409" w:rsidP="006B5A62">
            <w:pPr>
              <w:spacing w:before="20" w:after="20" w:line="240" w:lineRule="auto"/>
              <w:jc w:val="center"/>
              <w:rPr>
                <w:rFonts w:asciiTheme="minorHAnsi" w:eastAsia="Times New Roman" w:hAnsiTheme="minorHAnsi" w:cstheme="minorHAnsi"/>
                <w:color w:val="000000"/>
                <w:sz w:val="20"/>
                <w:szCs w:val="20"/>
                <w:lang w:val="es-ES" w:eastAsia="es-ES"/>
              </w:rPr>
            </w:pPr>
            <w:r w:rsidRPr="00996925">
              <w:rPr>
                <w:rFonts w:asciiTheme="minorHAnsi" w:eastAsia="Times New Roman" w:hAnsiTheme="minorHAnsi" w:cstheme="minorHAnsi"/>
                <w:color w:val="000000"/>
                <w:sz w:val="20"/>
                <w:szCs w:val="20"/>
                <w:lang w:val="es-ES" w:eastAsia="es-ES"/>
              </w:rPr>
              <w:t>N_</w:t>
            </w:r>
            <w:r>
              <w:rPr>
                <w:rFonts w:asciiTheme="minorHAnsi" w:eastAsia="Times New Roman" w:hAnsiTheme="minorHAnsi" w:cstheme="minorHAnsi"/>
                <w:color w:val="000000"/>
                <w:sz w:val="20"/>
                <w:szCs w:val="20"/>
                <w:lang w:val="es-ES" w:eastAsia="es-ES"/>
              </w:rPr>
              <w:t>102</w:t>
            </w:r>
          </w:p>
        </w:tc>
        <w:tc>
          <w:tcPr>
            <w:tcW w:w="3969"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391A5AF8" w14:textId="77777777" w:rsidR="002A3409" w:rsidRPr="00996925" w:rsidRDefault="002A3409" w:rsidP="006B5A62">
            <w:pPr>
              <w:spacing w:before="20" w:after="20" w:line="240" w:lineRule="auto"/>
              <w:jc w:val="left"/>
              <w:rPr>
                <w:rFonts w:asciiTheme="minorHAnsi" w:eastAsia="Times New Roman" w:hAnsiTheme="minorHAnsi" w:cstheme="minorHAnsi"/>
                <w:color w:val="000000"/>
                <w:sz w:val="20"/>
                <w:szCs w:val="20"/>
                <w:lang w:val="es-ES" w:eastAsia="es-ES"/>
              </w:rPr>
            </w:pPr>
            <w:r>
              <w:rPr>
                <w:rFonts w:asciiTheme="minorHAnsi" w:eastAsia="Times New Roman" w:hAnsiTheme="minorHAnsi" w:cstheme="minorHAnsi"/>
                <w:color w:val="000000"/>
                <w:sz w:val="20"/>
                <w:szCs w:val="20"/>
                <w:lang w:val="es-ES" w:eastAsia="es-ES"/>
              </w:rPr>
              <w:t>O’</w:t>
            </w:r>
            <w:r w:rsidRPr="00996925">
              <w:rPr>
                <w:rFonts w:asciiTheme="minorHAnsi" w:eastAsia="Times New Roman" w:hAnsiTheme="minorHAnsi" w:cstheme="minorHAnsi"/>
                <w:color w:val="000000"/>
                <w:sz w:val="20"/>
                <w:szCs w:val="20"/>
                <w:lang w:val="es-ES" w:eastAsia="es-ES"/>
              </w:rPr>
              <w:t>Higgins 220-&gt;Atacama 220</w:t>
            </w:r>
          </w:p>
        </w:tc>
        <w:tc>
          <w:tcPr>
            <w:tcW w:w="1701" w:type="dxa"/>
            <w:tcBorders>
              <w:top w:val="single" w:sz="2" w:space="0" w:color="auto"/>
              <w:left w:val="single" w:sz="6" w:space="0" w:color="auto"/>
              <w:bottom w:val="single" w:sz="2" w:space="0" w:color="auto"/>
              <w:right w:val="single" w:sz="6" w:space="0" w:color="auto"/>
            </w:tcBorders>
            <w:shd w:val="clear" w:color="auto" w:fill="auto"/>
            <w:noWrap/>
            <w:vAlign w:val="center"/>
            <w:hideMark/>
          </w:tcPr>
          <w:p w14:paraId="4320B51C" w14:textId="77777777" w:rsidR="002A3409" w:rsidRPr="00996925" w:rsidRDefault="002A3409" w:rsidP="006B5A62">
            <w:pPr>
              <w:spacing w:before="20" w:after="20" w:line="240" w:lineRule="auto"/>
              <w:jc w:val="right"/>
              <w:rPr>
                <w:rFonts w:asciiTheme="minorHAnsi" w:eastAsia="Times New Roman" w:hAnsiTheme="minorHAnsi" w:cstheme="minorHAnsi"/>
                <w:color w:val="000000"/>
                <w:sz w:val="20"/>
                <w:szCs w:val="20"/>
                <w:lang w:val="es-ES" w:eastAsia="es-ES"/>
              </w:rPr>
            </w:pPr>
            <w:r>
              <w:rPr>
                <w:rFonts w:asciiTheme="minorHAnsi" w:eastAsia="Times New Roman" w:hAnsiTheme="minorHAnsi" w:cstheme="minorHAnsi"/>
                <w:color w:val="000000"/>
                <w:sz w:val="20"/>
                <w:szCs w:val="20"/>
                <w:lang w:val="es-ES" w:eastAsia="es-ES"/>
              </w:rPr>
              <w:t>15.979.244,04</w:t>
            </w:r>
          </w:p>
        </w:tc>
      </w:tr>
    </w:tbl>
    <w:p w14:paraId="4CE91E5D" w14:textId="77777777" w:rsidR="00F836AC" w:rsidRPr="006E081A" w:rsidRDefault="00F836AC" w:rsidP="006E081A"/>
    <w:p w14:paraId="4F209092" w14:textId="77777777" w:rsidR="00F836AC" w:rsidRPr="006E081A" w:rsidRDefault="00F836AC" w:rsidP="006E081A">
      <w:r w:rsidRPr="006E081A">
        <w:br w:type="page"/>
      </w:r>
    </w:p>
    <w:p w14:paraId="30572612" w14:textId="263EB7DE" w:rsidR="009E32FD" w:rsidRPr="009E32FD" w:rsidRDefault="009E32FD" w:rsidP="00ED0E24">
      <w:pPr>
        <w:pStyle w:val="Ttulo1"/>
      </w:pPr>
      <w:bookmarkStart w:id="489" w:name="_Toc39797873"/>
      <w:r w:rsidRPr="009E32FD">
        <w:lastRenderedPageBreak/>
        <w:t>D</w:t>
      </w:r>
      <w:r w:rsidR="00E8341C">
        <w:t>eterminación del C.O.M.A.</w:t>
      </w:r>
      <w:bookmarkEnd w:id="489"/>
    </w:p>
    <w:p w14:paraId="1A5C5656" w14:textId="0E6E01C7" w:rsidR="0079428C" w:rsidRPr="00C91C8F" w:rsidRDefault="0079428C" w:rsidP="0079428C">
      <w:pPr>
        <w:rPr>
          <w:lang w:val="es-ES"/>
        </w:rPr>
      </w:pPr>
      <w:r w:rsidRPr="00C91C8F">
        <w:rPr>
          <w:lang w:val="es-ES"/>
        </w:rPr>
        <w:t xml:space="preserve">En este punto se presentan los resultados considerando la aplicación de la metodología, criterios y costos unitarios definidos en el </w:t>
      </w:r>
      <w:r w:rsidR="00A477D0" w:rsidRPr="00C91C8F">
        <w:rPr>
          <w:lang w:val="es-ES"/>
        </w:rPr>
        <w:t>capítulo</w:t>
      </w:r>
      <w:r w:rsidRPr="00C91C8F">
        <w:rPr>
          <w:lang w:val="es-ES"/>
        </w:rPr>
        <w:t xml:space="preserve"> pertinente.</w:t>
      </w:r>
    </w:p>
    <w:p w14:paraId="6368D3E4" w14:textId="77777777" w:rsidR="0079428C" w:rsidRPr="00F465C5" w:rsidRDefault="0079428C" w:rsidP="00C9210F">
      <w:pPr>
        <w:pStyle w:val="Ttulo2"/>
      </w:pPr>
      <w:bookmarkStart w:id="490" w:name="_Toc34398163"/>
      <w:bookmarkStart w:id="491" w:name="_Toc39797874"/>
      <w:r w:rsidRPr="00F465C5">
        <w:t>Organigrama y plantilla de personal</w:t>
      </w:r>
      <w:bookmarkEnd w:id="490"/>
      <w:bookmarkEnd w:id="491"/>
    </w:p>
    <w:p w14:paraId="4795C9F0" w14:textId="19F4B746" w:rsidR="0079428C" w:rsidRDefault="0079428C" w:rsidP="0079428C">
      <w:pPr>
        <w:rPr>
          <w:lang w:val="es-ES"/>
        </w:rPr>
      </w:pPr>
      <w:r w:rsidRPr="00C91C8F">
        <w:rPr>
          <w:lang w:val="es-ES"/>
        </w:rPr>
        <w:t xml:space="preserve">Se presenta un </w:t>
      </w:r>
      <w:r w:rsidR="00A477D0" w:rsidRPr="00C91C8F">
        <w:rPr>
          <w:lang w:val="es-ES"/>
        </w:rPr>
        <w:t>organigrama</w:t>
      </w:r>
      <w:r w:rsidRPr="00C91C8F">
        <w:rPr>
          <w:lang w:val="es-ES"/>
        </w:rPr>
        <w:t xml:space="preserve"> general de </w:t>
      </w:r>
      <w:r w:rsidR="00A477D0" w:rsidRPr="00C91C8F">
        <w:rPr>
          <w:lang w:val="es-ES"/>
        </w:rPr>
        <w:t>la empresa</w:t>
      </w:r>
      <w:r w:rsidRPr="00C91C8F">
        <w:rPr>
          <w:lang w:val="es-ES"/>
        </w:rPr>
        <w:t xml:space="preserve">, el detalle de cada una de las áreas se describe en el </w:t>
      </w:r>
      <w:r w:rsidR="00AD24BF">
        <w:rPr>
          <w:lang w:val="es-ES"/>
        </w:rPr>
        <w:t>“</w:t>
      </w:r>
      <w:r w:rsidRPr="00C91C8F">
        <w:rPr>
          <w:lang w:val="es-ES"/>
        </w:rPr>
        <w:t xml:space="preserve">Anexo </w:t>
      </w:r>
      <w:r w:rsidR="00AD24BF">
        <w:rPr>
          <w:lang w:val="es-ES"/>
        </w:rPr>
        <w:t>COMA</w:t>
      </w:r>
      <w:r w:rsidRPr="00C91C8F">
        <w:rPr>
          <w:lang w:val="es-ES"/>
        </w:rPr>
        <w:t xml:space="preserve">_1_Organización </w:t>
      </w:r>
      <w:r w:rsidR="002E6FD1">
        <w:rPr>
          <w:lang w:val="es-ES"/>
        </w:rPr>
        <w:t>de la Empresa</w:t>
      </w:r>
      <w:r w:rsidR="00AD24BF">
        <w:rPr>
          <w:lang w:val="es-ES"/>
        </w:rPr>
        <w:t>”</w:t>
      </w:r>
      <w:r w:rsidRPr="00C91C8F">
        <w:rPr>
          <w:lang w:val="es-ES"/>
        </w:rPr>
        <w:t>.</w:t>
      </w:r>
    </w:p>
    <w:p w14:paraId="31A0B9B3" w14:textId="2690BE1E" w:rsidR="00CA7BC8" w:rsidRPr="00C91C8F" w:rsidRDefault="00CA7BC8" w:rsidP="00CA7BC8">
      <w:pPr>
        <w:pStyle w:val="Subttulo"/>
        <w:rPr>
          <w:lang w:val="es-ES"/>
        </w:rPr>
      </w:pPr>
      <w:bookmarkStart w:id="492" w:name="_Toc39797990"/>
      <w:r>
        <w:t xml:space="preserve">Ilustración </w:t>
      </w:r>
      <w:fldSimple w:instr=" SEQ Ilustración \* ARABIC ">
        <w:r w:rsidR="001F3E2E">
          <w:rPr>
            <w:noProof/>
          </w:rPr>
          <w:t>9</w:t>
        </w:r>
      </w:fldSimple>
      <w:r>
        <w:t>: Organigrama general empresas</w:t>
      </w:r>
      <w:bookmarkEnd w:id="492"/>
    </w:p>
    <w:p w14:paraId="5870DC8B" w14:textId="370BB0C6" w:rsidR="0079428C" w:rsidRPr="00C91C8F" w:rsidRDefault="007639E8" w:rsidP="0079428C">
      <w:pPr>
        <w:rPr>
          <w:lang w:val="es-ES"/>
        </w:rPr>
      </w:pPr>
      <w:r w:rsidRPr="007639E8">
        <w:rPr>
          <w:noProof/>
          <w:lang w:eastAsia="es-CL"/>
        </w:rPr>
        <w:drawing>
          <wp:inline distT="0" distB="0" distL="0" distR="0" wp14:anchorId="717A18FC" wp14:editId="048F4132">
            <wp:extent cx="6153150" cy="4507540"/>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6153150" cy="4507540"/>
                    </a:xfrm>
                    <a:prstGeom prst="rect">
                      <a:avLst/>
                    </a:prstGeom>
                    <a:noFill/>
                    <a:ln>
                      <a:noFill/>
                    </a:ln>
                  </pic:spPr>
                </pic:pic>
              </a:graphicData>
            </a:graphic>
          </wp:inline>
        </w:drawing>
      </w:r>
    </w:p>
    <w:p w14:paraId="58490C62" w14:textId="77777777" w:rsidR="00F836AC" w:rsidRDefault="00F836AC">
      <w:pPr>
        <w:spacing w:after="0" w:line="240" w:lineRule="auto"/>
        <w:jc w:val="left"/>
        <w:rPr>
          <w:rFonts w:eastAsia="Times New Roman"/>
          <w:b/>
          <w:color w:val="4472C4"/>
          <w:sz w:val="28"/>
          <w:szCs w:val="26"/>
        </w:rPr>
      </w:pPr>
      <w:bookmarkStart w:id="493" w:name="_Toc34398164"/>
      <w:r>
        <w:br w:type="page"/>
      </w:r>
    </w:p>
    <w:p w14:paraId="7CC9B0F6" w14:textId="775D7B1D" w:rsidR="0079428C" w:rsidRPr="00116AD9" w:rsidRDefault="0079428C" w:rsidP="00C9210F">
      <w:pPr>
        <w:pStyle w:val="Ttulo2"/>
      </w:pPr>
      <w:bookmarkStart w:id="494" w:name="_Toc39797875"/>
      <w:r w:rsidRPr="00116AD9">
        <w:lastRenderedPageBreak/>
        <w:t>Resultados del C.O.M.A</w:t>
      </w:r>
      <w:bookmarkEnd w:id="493"/>
      <w:r w:rsidR="00E8341C">
        <w:t>.</w:t>
      </w:r>
      <w:bookmarkEnd w:id="494"/>
    </w:p>
    <w:p w14:paraId="41161AB9" w14:textId="747FF6C0" w:rsidR="006F731F" w:rsidRDefault="0079428C" w:rsidP="0079428C">
      <w:pPr>
        <w:rPr>
          <w:lang w:val="es-ES"/>
        </w:rPr>
      </w:pPr>
      <w:r w:rsidRPr="00C91C8F">
        <w:rPr>
          <w:lang w:val="es-ES"/>
        </w:rPr>
        <w:t>En la siguiente tabla se muestran los costos de personal y gastos del C.O.M.A:</w:t>
      </w:r>
    </w:p>
    <w:p w14:paraId="446B1D56" w14:textId="3A678B0B" w:rsidR="002F3394" w:rsidRPr="002F3394" w:rsidRDefault="002F3394" w:rsidP="002F3394">
      <w:pPr>
        <w:pStyle w:val="Subttulo"/>
      </w:pPr>
      <w:bookmarkStart w:id="495" w:name="_Toc39797960"/>
      <w:r w:rsidRPr="002F3394">
        <w:t xml:space="preserve">Tabla </w:t>
      </w:r>
      <w:fldSimple w:instr=" SEQ Tabla \* ARABIC ">
        <w:r w:rsidR="001F3E2E">
          <w:rPr>
            <w:noProof/>
          </w:rPr>
          <w:t>50</w:t>
        </w:r>
      </w:fldSimple>
      <w:r w:rsidRPr="002F3394">
        <w:t xml:space="preserve">: </w:t>
      </w:r>
      <w:r>
        <w:t>Resultados c</w:t>
      </w:r>
      <w:r w:rsidRPr="002F3394">
        <w:t>osto del personal y gastos de C.O.M.A</w:t>
      </w:r>
      <w:bookmarkEnd w:id="495"/>
    </w:p>
    <w:tbl>
      <w:tblPr>
        <w:tblW w:w="718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CellMar>
          <w:left w:w="70" w:type="dxa"/>
          <w:right w:w="70" w:type="dxa"/>
        </w:tblCellMar>
        <w:tblLook w:val="04A0" w:firstRow="1" w:lastRow="0" w:firstColumn="1" w:lastColumn="0" w:noHBand="0" w:noVBand="1"/>
      </w:tblPr>
      <w:tblGrid>
        <w:gridCol w:w="2022"/>
        <w:gridCol w:w="1548"/>
        <w:gridCol w:w="1808"/>
        <w:gridCol w:w="1808"/>
      </w:tblGrid>
      <w:tr w:rsidR="001838B6" w:rsidRPr="001838B6" w14:paraId="332E115F" w14:textId="77777777" w:rsidTr="006B5A62">
        <w:trPr>
          <w:trHeight w:val="290"/>
          <w:tblHeader/>
          <w:jc w:val="center"/>
        </w:trPr>
        <w:tc>
          <w:tcPr>
            <w:tcW w:w="2022" w:type="dxa"/>
            <w:shd w:val="clear" w:color="auto" w:fill="D9D9D9" w:themeFill="background1" w:themeFillShade="D9"/>
            <w:noWrap/>
            <w:vAlign w:val="center"/>
            <w:hideMark/>
          </w:tcPr>
          <w:p w14:paraId="1FD0412B" w14:textId="77777777" w:rsidR="001838B6" w:rsidRPr="001838B6" w:rsidRDefault="001838B6" w:rsidP="006B5A62">
            <w:pPr>
              <w:spacing w:after="0" w:line="240" w:lineRule="auto"/>
              <w:jc w:val="center"/>
              <w:rPr>
                <w:rFonts w:eastAsia="Times New Roman" w:cs="Calibri"/>
                <w:b/>
                <w:bCs/>
                <w:sz w:val="20"/>
                <w:szCs w:val="20"/>
                <w:lang w:val="es-AR" w:eastAsia="es-AR"/>
              </w:rPr>
            </w:pPr>
            <w:r w:rsidRPr="001838B6">
              <w:rPr>
                <w:rFonts w:eastAsia="Times New Roman" w:cs="Calibri"/>
                <w:b/>
                <w:bCs/>
                <w:sz w:val="20"/>
                <w:szCs w:val="20"/>
                <w:lang w:val="es-AR" w:eastAsia="es-AR"/>
              </w:rPr>
              <w:t>Función</w:t>
            </w:r>
          </w:p>
        </w:tc>
        <w:tc>
          <w:tcPr>
            <w:tcW w:w="1548" w:type="dxa"/>
            <w:shd w:val="clear" w:color="auto" w:fill="D9D9D9" w:themeFill="background1" w:themeFillShade="D9"/>
            <w:noWrap/>
            <w:vAlign w:val="center"/>
            <w:hideMark/>
          </w:tcPr>
          <w:p w14:paraId="1360CF23" w14:textId="77777777" w:rsidR="001838B6" w:rsidRPr="001838B6" w:rsidRDefault="001838B6" w:rsidP="006B5A62">
            <w:pPr>
              <w:spacing w:after="0" w:line="240" w:lineRule="auto"/>
              <w:jc w:val="center"/>
              <w:rPr>
                <w:rFonts w:eastAsia="Times New Roman" w:cs="Calibri"/>
                <w:b/>
                <w:bCs/>
                <w:sz w:val="20"/>
                <w:szCs w:val="20"/>
                <w:lang w:val="es-AR" w:eastAsia="es-AR"/>
              </w:rPr>
            </w:pPr>
            <w:r w:rsidRPr="001838B6">
              <w:rPr>
                <w:rFonts w:eastAsia="Times New Roman" w:cs="Calibri"/>
                <w:b/>
                <w:bCs/>
                <w:sz w:val="20"/>
                <w:szCs w:val="20"/>
                <w:lang w:val="es-AR" w:eastAsia="es-AR"/>
              </w:rPr>
              <w:t>Costo Personal</w:t>
            </w:r>
          </w:p>
        </w:tc>
        <w:tc>
          <w:tcPr>
            <w:tcW w:w="1808" w:type="dxa"/>
            <w:shd w:val="clear" w:color="auto" w:fill="D9D9D9" w:themeFill="background1" w:themeFillShade="D9"/>
            <w:noWrap/>
            <w:vAlign w:val="center"/>
            <w:hideMark/>
          </w:tcPr>
          <w:p w14:paraId="03F73441" w14:textId="77777777" w:rsidR="001838B6" w:rsidRPr="001838B6" w:rsidRDefault="001838B6" w:rsidP="006B5A62">
            <w:pPr>
              <w:spacing w:after="0" w:line="240" w:lineRule="auto"/>
              <w:jc w:val="center"/>
              <w:rPr>
                <w:rFonts w:eastAsia="Times New Roman" w:cs="Calibri"/>
                <w:b/>
                <w:bCs/>
                <w:sz w:val="20"/>
                <w:szCs w:val="20"/>
                <w:lang w:val="es-AR" w:eastAsia="es-AR"/>
              </w:rPr>
            </w:pPr>
            <w:r w:rsidRPr="001838B6">
              <w:rPr>
                <w:rFonts w:eastAsia="Times New Roman" w:cs="Calibri"/>
                <w:b/>
                <w:bCs/>
                <w:sz w:val="20"/>
                <w:szCs w:val="20"/>
                <w:lang w:val="es-AR" w:eastAsia="es-AR"/>
              </w:rPr>
              <w:t>Gastos (USD/año)</w:t>
            </w:r>
          </w:p>
        </w:tc>
        <w:tc>
          <w:tcPr>
            <w:tcW w:w="1808" w:type="dxa"/>
            <w:shd w:val="clear" w:color="auto" w:fill="D9D9D9" w:themeFill="background1" w:themeFillShade="D9"/>
            <w:noWrap/>
            <w:vAlign w:val="center"/>
            <w:hideMark/>
          </w:tcPr>
          <w:p w14:paraId="3D9C607B" w14:textId="77777777" w:rsidR="001838B6" w:rsidRPr="001838B6" w:rsidRDefault="001838B6" w:rsidP="006B5A62">
            <w:pPr>
              <w:spacing w:after="0" w:line="240" w:lineRule="auto"/>
              <w:jc w:val="center"/>
              <w:rPr>
                <w:rFonts w:eastAsia="Times New Roman" w:cs="Calibri"/>
                <w:b/>
                <w:bCs/>
                <w:sz w:val="20"/>
                <w:szCs w:val="20"/>
                <w:lang w:val="es-AR" w:eastAsia="es-AR"/>
              </w:rPr>
            </w:pPr>
            <w:r w:rsidRPr="001838B6">
              <w:rPr>
                <w:rFonts w:eastAsia="Times New Roman" w:cs="Calibri"/>
                <w:b/>
                <w:bCs/>
                <w:sz w:val="20"/>
                <w:szCs w:val="20"/>
                <w:lang w:val="es-AR" w:eastAsia="es-AR"/>
              </w:rPr>
              <w:t>Total (USD/año)</w:t>
            </w:r>
          </w:p>
        </w:tc>
      </w:tr>
      <w:tr w:rsidR="001838B6" w:rsidRPr="001838B6" w14:paraId="527F1EF8" w14:textId="77777777" w:rsidTr="006B5A62">
        <w:trPr>
          <w:trHeight w:val="290"/>
          <w:jc w:val="center"/>
        </w:trPr>
        <w:tc>
          <w:tcPr>
            <w:tcW w:w="2022" w:type="dxa"/>
            <w:shd w:val="clear" w:color="auto" w:fill="FFFFFF" w:themeFill="background1"/>
            <w:noWrap/>
            <w:vAlign w:val="center"/>
            <w:hideMark/>
          </w:tcPr>
          <w:p w14:paraId="095D3651" w14:textId="77777777" w:rsidR="001838B6" w:rsidRPr="001838B6" w:rsidRDefault="001838B6" w:rsidP="006B5A62">
            <w:pPr>
              <w:spacing w:after="0" w:line="240" w:lineRule="auto"/>
              <w:jc w:val="center"/>
              <w:rPr>
                <w:rFonts w:eastAsia="Times New Roman" w:cs="Calibri"/>
                <w:sz w:val="20"/>
                <w:szCs w:val="20"/>
                <w:lang w:val="es-AR" w:eastAsia="es-AR"/>
              </w:rPr>
            </w:pPr>
            <w:r w:rsidRPr="001838B6">
              <w:rPr>
                <w:rFonts w:eastAsia="Times New Roman" w:cs="Calibri"/>
                <w:sz w:val="20"/>
                <w:szCs w:val="20"/>
                <w:lang w:val="es-AR" w:eastAsia="es-AR"/>
              </w:rPr>
              <w:t>Estructura Central</w:t>
            </w:r>
          </w:p>
        </w:tc>
        <w:tc>
          <w:tcPr>
            <w:tcW w:w="1548" w:type="dxa"/>
            <w:shd w:val="clear" w:color="auto" w:fill="FFFFFF" w:themeFill="background1"/>
            <w:noWrap/>
            <w:vAlign w:val="center"/>
            <w:hideMark/>
          </w:tcPr>
          <w:p w14:paraId="57F97BDE" w14:textId="77777777" w:rsidR="001838B6" w:rsidRPr="001838B6" w:rsidRDefault="001838B6" w:rsidP="006B5A62">
            <w:pPr>
              <w:spacing w:after="0" w:line="240" w:lineRule="auto"/>
              <w:jc w:val="center"/>
              <w:rPr>
                <w:rFonts w:eastAsia="Times New Roman" w:cs="Calibri"/>
                <w:sz w:val="20"/>
                <w:szCs w:val="20"/>
                <w:lang w:val="es-AR" w:eastAsia="es-AR"/>
              </w:rPr>
            </w:pPr>
            <w:r w:rsidRPr="001838B6">
              <w:rPr>
                <w:rFonts w:eastAsia="Times New Roman" w:cs="Calibri"/>
                <w:sz w:val="20"/>
                <w:szCs w:val="20"/>
                <w:lang w:val="es-AR" w:eastAsia="es-AR"/>
              </w:rPr>
              <w:t>5.001.026</w:t>
            </w:r>
          </w:p>
        </w:tc>
        <w:tc>
          <w:tcPr>
            <w:tcW w:w="1808" w:type="dxa"/>
            <w:shd w:val="clear" w:color="auto" w:fill="FFFFFF" w:themeFill="background1"/>
            <w:noWrap/>
            <w:vAlign w:val="center"/>
            <w:hideMark/>
          </w:tcPr>
          <w:p w14:paraId="1911E791" w14:textId="77777777" w:rsidR="001838B6" w:rsidRPr="001838B6" w:rsidRDefault="001838B6" w:rsidP="006B5A62">
            <w:pPr>
              <w:spacing w:after="0" w:line="240" w:lineRule="auto"/>
              <w:jc w:val="center"/>
              <w:rPr>
                <w:rFonts w:eastAsia="Times New Roman" w:cs="Calibri"/>
                <w:sz w:val="20"/>
                <w:szCs w:val="20"/>
                <w:lang w:val="es-AR" w:eastAsia="es-AR"/>
              </w:rPr>
            </w:pPr>
            <w:r w:rsidRPr="001838B6">
              <w:rPr>
                <w:rFonts w:eastAsia="Times New Roman" w:cs="Calibri"/>
                <w:sz w:val="20"/>
                <w:szCs w:val="20"/>
                <w:lang w:val="es-AR" w:eastAsia="es-AR"/>
              </w:rPr>
              <w:t>5.038.237</w:t>
            </w:r>
          </w:p>
        </w:tc>
        <w:tc>
          <w:tcPr>
            <w:tcW w:w="1808" w:type="dxa"/>
            <w:shd w:val="clear" w:color="auto" w:fill="FFFFFF" w:themeFill="background1"/>
            <w:noWrap/>
            <w:vAlign w:val="center"/>
            <w:hideMark/>
          </w:tcPr>
          <w:p w14:paraId="5EED5913" w14:textId="77777777" w:rsidR="001838B6" w:rsidRPr="001838B6" w:rsidRDefault="001838B6" w:rsidP="006B5A62">
            <w:pPr>
              <w:spacing w:after="0" w:line="240" w:lineRule="auto"/>
              <w:jc w:val="center"/>
              <w:rPr>
                <w:rFonts w:eastAsia="Times New Roman" w:cs="Calibri"/>
                <w:sz w:val="20"/>
                <w:szCs w:val="20"/>
                <w:lang w:val="es-AR" w:eastAsia="es-AR"/>
              </w:rPr>
            </w:pPr>
            <w:r w:rsidRPr="001838B6">
              <w:rPr>
                <w:rFonts w:eastAsia="Times New Roman" w:cs="Calibri"/>
                <w:sz w:val="20"/>
                <w:szCs w:val="20"/>
                <w:lang w:val="es-AR" w:eastAsia="es-AR"/>
              </w:rPr>
              <w:t>10.039.262</w:t>
            </w:r>
          </w:p>
        </w:tc>
      </w:tr>
      <w:tr w:rsidR="001838B6" w:rsidRPr="001838B6" w14:paraId="21E516CB" w14:textId="77777777" w:rsidTr="006B5A62">
        <w:trPr>
          <w:trHeight w:val="290"/>
          <w:jc w:val="center"/>
        </w:trPr>
        <w:tc>
          <w:tcPr>
            <w:tcW w:w="2022" w:type="dxa"/>
            <w:shd w:val="clear" w:color="auto" w:fill="FFFFFF" w:themeFill="background1"/>
            <w:noWrap/>
            <w:vAlign w:val="center"/>
            <w:hideMark/>
          </w:tcPr>
          <w:p w14:paraId="71D3ED9A" w14:textId="77777777" w:rsidR="001838B6" w:rsidRPr="001838B6" w:rsidRDefault="001838B6" w:rsidP="006B5A62">
            <w:pPr>
              <w:spacing w:after="0" w:line="240" w:lineRule="auto"/>
              <w:jc w:val="center"/>
              <w:rPr>
                <w:rFonts w:eastAsia="Times New Roman" w:cs="Calibri"/>
                <w:sz w:val="20"/>
                <w:szCs w:val="20"/>
                <w:lang w:val="es-AR" w:eastAsia="es-AR"/>
              </w:rPr>
            </w:pPr>
            <w:r w:rsidRPr="001838B6">
              <w:rPr>
                <w:rFonts w:eastAsia="Times New Roman" w:cs="Calibri"/>
                <w:sz w:val="20"/>
                <w:szCs w:val="20"/>
                <w:lang w:val="es-AR" w:eastAsia="es-AR"/>
              </w:rPr>
              <w:t>Regional Norte</w:t>
            </w:r>
          </w:p>
        </w:tc>
        <w:tc>
          <w:tcPr>
            <w:tcW w:w="1548" w:type="dxa"/>
            <w:shd w:val="clear" w:color="auto" w:fill="FFFFFF" w:themeFill="background1"/>
            <w:noWrap/>
            <w:vAlign w:val="center"/>
            <w:hideMark/>
          </w:tcPr>
          <w:p w14:paraId="6A4F2128" w14:textId="77777777" w:rsidR="001838B6" w:rsidRPr="001838B6" w:rsidRDefault="001838B6" w:rsidP="006B5A62">
            <w:pPr>
              <w:spacing w:after="0" w:line="240" w:lineRule="auto"/>
              <w:jc w:val="center"/>
              <w:rPr>
                <w:rFonts w:eastAsia="Times New Roman" w:cs="Calibri"/>
                <w:sz w:val="20"/>
                <w:szCs w:val="20"/>
                <w:lang w:val="es-AR" w:eastAsia="es-AR"/>
              </w:rPr>
            </w:pPr>
            <w:r w:rsidRPr="001838B6">
              <w:rPr>
                <w:rFonts w:eastAsia="Times New Roman" w:cs="Calibri"/>
                <w:sz w:val="20"/>
                <w:szCs w:val="20"/>
                <w:lang w:val="es-AR" w:eastAsia="es-AR"/>
              </w:rPr>
              <w:t>1.383.265</w:t>
            </w:r>
          </w:p>
        </w:tc>
        <w:tc>
          <w:tcPr>
            <w:tcW w:w="1808" w:type="dxa"/>
            <w:shd w:val="clear" w:color="auto" w:fill="FFFFFF" w:themeFill="background1"/>
            <w:noWrap/>
            <w:vAlign w:val="center"/>
            <w:hideMark/>
          </w:tcPr>
          <w:p w14:paraId="78B7F13E" w14:textId="77777777" w:rsidR="001838B6" w:rsidRPr="001838B6" w:rsidRDefault="001838B6" w:rsidP="006B5A62">
            <w:pPr>
              <w:spacing w:after="0" w:line="240" w:lineRule="auto"/>
              <w:jc w:val="center"/>
              <w:rPr>
                <w:rFonts w:eastAsia="Times New Roman" w:cs="Calibri"/>
                <w:sz w:val="20"/>
                <w:szCs w:val="20"/>
                <w:lang w:val="es-AR" w:eastAsia="es-AR"/>
              </w:rPr>
            </w:pPr>
            <w:r w:rsidRPr="001838B6">
              <w:rPr>
                <w:rFonts w:eastAsia="Times New Roman" w:cs="Calibri"/>
                <w:sz w:val="20"/>
                <w:szCs w:val="20"/>
                <w:lang w:val="es-AR" w:eastAsia="es-AR"/>
              </w:rPr>
              <w:t>552.640</w:t>
            </w:r>
          </w:p>
        </w:tc>
        <w:tc>
          <w:tcPr>
            <w:tcW w:w="1808" w:type="dxa"/>
            <w:shd w:val="clear" w:color="auto" w:fill="FFFFFF" w:themeFill="background1"/>
            <w:noWrap/>
            <w:vAlign w:val="center"/>
            <w:hideMark/>
          </w:tcPr>
          <w:p w14:paraId="43AEBF13" w14:textId="77777777" w:rsidR="001838B6" w:rsidRPr="001838B6" w:rsidRDefault="001838B6" w:rsidP="006B5A62">
            <w:pPr>
              <w:spacing w:after="0" w:line="240" w:lineRule="auto"/>
              <w:jc w:val="center"/>
              <w:rPr>
                <w:rFonts w:eastAsia="Times New Roman" w:cs="Calibri"/>
                <w:sz w:val="20"/>
                <w:szCs w:val="20"/>
                <w:lang w:val="es-AR" w:eastAsia="es-AR"/>
              </w:rPr>
            </w:pPr>
            <w:r w:rsidRPr="001838B6">
              <w:rPr>
                <w:rFonts w:eastAsia="Times New Roman" w:cs="Calibri"/>
                <w:sz w:val="20"/>
                <w:szCs w:val="20"/>
                <w:lang w:val="es-AR" w:eastAsia="es-AR"/>
              </w:rPr>
              <w:t>1.935.905</w:t>
            </w:r>
          </w:p>
        </w:tc>
      </w:tr>
      <w:tr w:rsidR="001838B6" w:rsidRPr="001838B6" w14:paraId="636AB07B" w14:textId="77777777" w:rsidTr="006B5A62">
        <w:trPr>
          <w:trHeight w:val="290"/>
          <w:jc w:val="center"/>
        </w:trPr>
        <w:tc>
          <w:tcPr>
            <w:tcW w:w="2022" w:type="dxa"/>
            <w:shd w:val="clear" w:color="auto" w:fill="FFFFFF" w:themeFill="background1"/>
            <w:noWrap/>
            <w:vAlign w:val="center"/>
            <w:hideMark/>
          </w:tcPr>
          <w:p w14:paraId="6CA829E2" w14:textId="77777777" w:rsidR="001838B6" w:rsidRPr="001838B6" w:rsidRDefault="001838B6" w:rsidP="006B5A62">
            <w:pPr>
              <w:spacing w:after="0" w:line="240" w:lineRule="auto"/>
              <w:jc w:val="center"/>
              <w:rPr>
                <w:rFonts w:eastAsia="Times New Roman" w:cs="Calibri"/>
                <w:sz w:val="20"/>
                <w:szCs w:val="20"/>
                <w:lang w:val="es-AR" w:eastAsia="es-AR"/>
              </w:rPr>
            </w:pPr>
            <w:r w:rsidRPr="001838B6">
              <w:rPr>
                <w:rFonts w:eastAsia="Times New Roman" w:cs="Calibri"/>
                <w:sz w:val="20"/>
                <w:szCs w:val="20"/>
                <w:lang w:val="es-AR" w:eastAsia="es-AR"/>
              </w:rPr>
              <w:t>Regional Centro</w:t>
            </w:r>
          </w:p>
        </w:tc>
        <w:tc>
          <w:tcPr>
            <w:tcW w:w="1548" w:type="dxa"/>
            <w:shd w:val="clear" w:color="auto" w:fill="FFFFFF" w:themeFill="background1"/>
            <w:noWrap/>
            <w:vAlign w:val="center"/>
            <w:hideMark/>
          </w:tcPr>
          <w:p w14:paraId="0A5BAF87" w14:textId="77777777" w:rsidR="001838B6" w:rsidRPr="001838B6" w:rsidRDefault="001838B6" w:rsidP="006B5A62">
            <w:pPr>
              <w:spacing w:after="0" w:line="240" w:lineRule="auto"/>
              <w:jc w:val="center"/>
              <w:rPr>
                <w:rFonts w:eastAsia="Times New Roman" w:cs="Calibri"/>
                <w:sz w:val="20"/>
                <w:szCs w:val="20"/>
                <w:lang w:val="es-AR" w:eastAsia="es-AR"/>
              </w:rPr>
            </w:pPr>
            <w:r w:rsidRPr="001838B6">
              <w:rPr>
                <w:rFonts w:eastAsia="Times New Roman" w:cs="Calibri"/>
                <w:sz w:val="20"/>
                <w:szCs w:val="20"/>
                <w:lang w:val="es-AR" w:eastAsia="es-AR"/>
              </w:rPr>
              <w:t>1.078.864</w:t>
            </w:r>
          </w:p>
        </w:tc>
        <w:tc>
          <w:tcPr>
            <w:tcW w:w="1808" w:type="dxa"/>
            <w:shd w:val="clear" w:color="auto" w:fill="FFFFFF" w:themeFill="background1"/>
            <w:noWrap/>
            <w:vAlign w:val="center"/>
            <w:hideMark/>
          </w:tcPr>
          <w:p w14:paraId="7A697B39" w14:textId="77777777" w:rsidR="001838B6" w:rsidRPr="001838B6" w:rsidRDefault="001838B6" w:rsidP="006B5A62">
            <w:pPr>
              <w:spacing w:after="0" w:line="240" w:lineRule="auto"/>
              <w:jc w:val="center"/>
              <w:rPr>
                <w:rFonts w:eastAsia="Times New Roman" w:cs="Calibri"/>
                <w:sz w:val="20"/>
                <w:szCs w:val="20"/>
                <w:lang w:val="es-AR" w:eastAsia="es-AR"/>
              </w:rPr>
            </w:pPr>
            <w:r w:rsidRPr="001838B6">
              <w:rPr>
                <w:rFonts w:eastAsia="Times New Roman" w:cs="Calibri"/>
                <w:sz w:val="20"/>
                <w:szCs w:val="20"/>
                <w:lang w:val="es-AR" w:eastAsia="es-AR"/>
              </w:rPr>
              <w:t>430.288</w:t>
            </w:r>
          </w:p>
        </w:tc>
        <w:tc>
          <w:tcPr>
            <w:tcW w:w="1808" w:type="dxa"/>
            <w:shd w:val="clear" w:color="auto" w:fill="FFFFFF" w:themeFill="background1"/>
            <w:noWrap/>
            <w:vAlign w:val="center"/>
            <w:hideMark/>
          </w:tcPr>
          <w:p w14:paraId="3BA927DA" w14:textId="77777777" w:rsidR="001838B6" w:rsidRPr="001838B6" w:rsidRDefault="001838B6" w:rsidP="006B5A62">
            <w:pPr>
              <w:spacing w:after="0" w:line="240" w:lineRule="auto"/>
              <w:jc w:val="center"/>
              <w:rPr>
                <w:rFonts w:eastAsia="Times New Roman" w:cs="Calibri"/>
                <w:sz w:val="20"/>
                <w:szCs w:val="20"/>
                <w:lang w:val="es-AR" w:eastAsia="es-AR"/>
              </w:rPr>
            </w:pPr>
            <w:r w:rsidRPr="001838B6">
              <w:rPr>
                <w:rFonts w:eastAsia="Times New Roman" w:cs="Calibri"/>
                <w:sz w:val="20"/>
                <w:szCs w:val="20"/>
                <w:lang w:val="es-AR" w:eastAsia="es-AR"/>
              </w:rPr>
              <w:t>1.509.152</w:t>
            </w:r>
          </w:p>
        </w:tc>
      </w:tr>
      <w:tr w:rsidR="001838B6" w:rsidRPr="001838B6" w14:paraId="61EB1AC6" w14:textId="77777777" w:rsidTr="006B5A62">
        <w:trPr>
          <w:trHeight w:val="290"/>
          <w:jc w:val="center"/>
        </w:trPr>
        <w:tc>
          <w:tcPr>
            <w:tcW w:w="2022" w:type="dxa"/>
            <w:shd w:val="clear" w:color="auto" w:fill="FFFFFF" w:themeFill="background1"/>
            <w:noWrap/>
            <w:vAlign w:val="center"/>
            <w:hideMark/>
          </w:tcPr>
          <w:p w14:paraId="0F015A2B" w14:textId="77777777" w:rsidR="001838B6" w:rsidRPr="001838B6" w:rsidRDefault="001838B6" w:rsidP="006B5A62">
            <w:pPr>
              <w:spacing w:after="0" w:line="240" w:lineRule="auto"/>
              <w:jc w:val="center"/>
              <w:rPr>
                <w:rFonts w:eastAsia="Times New Roman" w:cs="Calibri"/>
                <w:sz w:val="20"/>
                <w:szCs w:val="20"/>
                <w:lang w:val="es-AR" w:eastAsia="es-AR"/>
              </w:rPr>
            </w:pPr>
            <w:r w:rsidRPr="001838B6">
              <w:rPr>
                <w:rFonts w:eastAsia="Times New Roman" w:cs="Calibri"/>
                <w:sz w:val="20"/>
                <w:szCs w:val="20"/>
                <w:lang w:val="es-AR" w:eastAsia="es-AR"/>
              </w:rPr>
              <w:t>Regional Centro Sur</w:t>
            </w:r>
          </w:p>
        </w:tc>
        <w:tc>
          <w:tcPr>
            <w:tcW w:w="1548" w:type="dxa"/>
            <w:shd w:val="clear" w:color="auto" w:fill="FFFFFF" w:themeFill="background1"/>
            <w:noWrap/>
            <w:vAlign w:val="center"/>
            <w:hideMark/>
          </w:tcPr>
          <w:p w14:paraId="41ECE449" w14:textId="77777777" w:rsidR="001838B6" w:rsidRPr="001838B6" w:rsidRDefault="001838B6" w:rsidP="006B5A62">
            <w:pPr>
              <w:spacing w:after="0" w:line="240" w:lineRule="auto"/>
              <w:jc w:val="center"/>
              <w:rPr>
                <w:rFonts w:eastAsia="Times New Roman" w:cs="Calibri"/>
                <w:sz w:val="20"/>
                <w:szCs w:val="20"/>
                <w:lang w:val="es-AR" w:eastAsia="es-AR"/>
              </w:rPr>
            </w:pPr>
            <w:r w:rsidRPr="001838B6">
              <w:rPr>
                <w:rFonts w:eastAsia="Times New Roman" w:cs="Calibri"/>
                <w:sz w:val="20"/>
                <w:szCs w:val="20"/>
                <w:lang w:val="es-AR" w:eastAsia="es-AR"/>
              </w:rPr>
              <w:t>931.034</w:t>
            </w:r>
          </w:p>
        </w:tc>
        <w:tc>
          <w:tcPr>
            <w:tcW w:w="1808" w:type="dxa"/>
            <w:shd w:val="clear" w:color="auto" w:fill="FFFFFF" w:themeFill="background1"/>
            <w:noWrap/>
            <w:vAlign w:val="center"/>
            <w:hideMark/>
          </w:tcPr>
          <w:p w14:paraId="37FE94FE" w14:textId="77777777" w:rsidR="001838B6" w:rsidRPr="001838B6" w:rsidRDefault="001838B6" w:rsidP="006B5A62">
            <w:pPr>
              <w:spacing w:after="0" w:line="240" w:lineRule="auto"/>
              <w:jc w:val="center"/>
              <w:rPr>
                <w:rFonts w:eastAsia="Times New Roman" w:cs="Calibri"/>
                <w:sz w:val="20"/>
                <w:szCs w:val="20"/>
                <w:lang w:val="es-AR" w:eastAsia="es-AR"/>
              </w:rPr>
            </w:pPr>
            <w:r w:rsidRPr="001838B6">
              <w:rPr>
                <w:rFonts w:eastAsia="Times New Roman" w:cs="Calibri"/>
                <w:sz w:val="20"/>
                <w:szCs w:val="20"/>
                <w:lang w:val="es-AR" w:eastAsia="es-AR"/>
              </w:rPr>
              <w:t>404.051</w:t>
            </w:r>
          </w:p>
        </w:tc>
        <w:tc>
          <w:tcPr>
            <w:tcW w:w="1808" w:type="dxa"/>
            <w:shd w:val="clear" w:color="auto" w:fill="FFFFFF" w:themeFill="background1"/>
            <w:noWrap/>
            <w:vAlign w:val="center"/>
            <w:hideMark/>
          </w:tcPr>
          <w:p w14:paraId="3CA6B143" w14:textId="77777777" w:rsidR="001838B6" w:rsidRPr="001838B6" w:rsidRDefault="001838B6" w:rsidP="006B5A62">
            <w:pPr>
              <w:spacing w:after="0" w:line="240" w:lineRule="auto"/>
              <w:jc w:val="center"/>
              <w:rPr>
                <w:rFonts w:eastAsia="Times New Roman" w:cs="Calibri"/>
                <w:sz w:val="20"/>
                <w:szCs w:val="20"/>
                <w:lang w:val="es-AR" w:eastAsia="es-AR"/>
              </w:rPr>
            </w:pPr>
            <w:r w:rsidRPr="001838B6">
              <w:rPr>
                <w:rFonts w:eastAsia="Times New Roman" w:cs="Calibri"/>
                <w:sz w:val="20"/>
                <w:szCs w:val="20"/>
                <w:lang w:val="es-AR" w:eastAsia="es-AR"/>
              </w:rPr>
              <w:t>1.335.086</w:t>
            </w:r>
          </w:p>
        </w:tc>
      </w:tr>
      <w:tr w:rsidR="001838B6" w:rsidRPr="001838B6" w14:paraId="480A1F91" w14:textId="77777777" w:rsidTr="006B5A62">
        <w:trPr>
          <w:trHeight w:val="300"/>
          <w:jc w:val="center"/>
        </w:trPr>
        <w:tc>
          <w:tcPr>
            <w:tcW w:w="2022" w:type="dxa"/>
            <w:shd w:val="clear" w:color="auto" w:fill="FFFFFF" w:themeFill="background1"/>
            <w:noWrap/>
            <w:vAlign w:val="center"/>
            <w:hideMark/>
          </w:tcPr>
          <w:p w14:paraId="136F0A0E" w14:textId="77777777" w:rsidR="001838B6" w:rsidRPr="001838B6" w:rsidRDefault="001838B6" w:rsidP="006B5A62">
            <w:pPr>
              <w:spacing w:after="0" w:line="240" w:lineRule="auto"/>
              <w:jc w:val="center"/>
              <w:rPr>
                <w:rFonts w:eastAsia="Times New Roman" w:cs="Calibri"/>
                <w:sz w:val="20"/>
                <w:szCs w:val="20"/>
                <w:lang w:val="es-AR" w:eastAsia="es-AR"/>
              </w:rPr>
            </w:pPr>
            <w:r w:rsidRPr="001838B6">
              <w:rPr>
                <w:rFonts w:eastAsia="Times New Roman" w:cs="Calibri"/>
                <w:sz w:val="20"/>
                <w:szCs w:val="20"/>
                <w:lang w:val="es-AR" w:eastAsia="es-AR"/>
              </w:rPr>
              <w:t>Regional Sur</w:t>
            </w:r>
          </w:p>
        </w:tc>
        <w:tc>
          <w:tcPr>
            <w:tcW w:w="1548" w:type="dxa"/>
            <w:shd w:val="clear" w:color="auto" w:fill="FFFFFF" w:themeFill="background1"/>
            <w:noWrap/>
            <w:vAlign w:val="center"/>
            <w:hideMark/>
          </w:tcPr>
          <w:p w14:paraId="25E172AF" w14:textId="77777777" w:rsidR="001838B6" w:rsidRPr="001838B6" w:rsidRDefault="001838B6" w:rsidP="006B5A62">
            <w:pPr>
              <w:spacing w:after="0" w:line="240" w:lineRule="auto"/>
              <w:jc w:val="center"/>
              <w:rPr>
                <w:rFonts w:eastAsia="Times New Roman" w:cs="Calibri"/>
                <w:sz w:val="20"/>
                <w:szCs w:val="20"/>
                <w:lang w:val="es-AR" w:eastAsia="es-AR"/>
              </w:rPr>
            </w:pPr>
            <w:r w:rsidRPr="001838B6">
              <w:rPr>
                <w:rFonts w:eastAsia="Times New Roman" w:cs="Calibri"/>
                <w:sz w:val="20"/>
                <w:szCs w:val="20"/>
                <w:lang w:val="es-AR" w:eastAsia="es-AR"/>
              </w:rPr>
              <w:t>994.051</w:t>
            </w:r>
          </w:p>
        </w:tc>
        <w:tc>
          <w:tcPr>
            <w:tcW w:w="1808" w:type="dxa"/>
            <w:shd w:val="clear" w:color="auto" w:fill="FFFFFF" w:themeFill="background1"/>
            <w:noWrap/>
            <w:vAlign w:val="center"/>
            <w:hideMark/>
          </w:tcPr>
          <w:p w14:paraId="54F974DF" w14:textId="77777777" w:rsidR="001838B6" w:rsidRPr="001838B6" w:rsidRDefault="001838B6" w:rsidP="006B5A62">
            <w:pPr>
              <w:spacing w:after="0" w:line="240" w:lineRule="auto"/>
              <w:jc w:val="center"/>
              <w:rPr>
                <w:rFonts w:eastAsia="Times New Roman" w:cs="Calibri"/>
                <w:sz w:val="20"/>
                <w:szCs w:val="20"/>
                <w:lang w:val="es-AR" w:eastAsia="es-AR"/>
              </w:rPr>
            </w:pPr>
            <w:r w:rsidRPr="001838B6">
              <w:rPr>
                <w:rFonts w:eastAsia="Times New Roman" w:cs="Calibri"/>
                <w:sz w:val="20"/>
                <w:szCs w:val="20"/>
                <w:lang w:val="es-AR" w:eastAsia="es-AR"/>
              </w:rPr>
              <w:t>435.750</w:t>
            </w:r>
          </w:p>
        </w:tc>
        <w:tc>
          <w:tcPr>
            <w:tcW w:w="1808" w:type="dxa"/>
            <w:shd w:val="clear" w:color="auto" w:fill="FFFFFF" w:themeFill="background1"/>
            <w:noWrap/>
            <w:vAlign w:val="center"/>
            <w:hideMark/>
          </w:tcPr>
          <w:p w14:paraId="01056BED" w14:textId="77777777" w:rsidR="001838B6" w:rsidRPr="001838B6" w:rsidRDefault="001838B6" w:rsidP="006B5A62">
            <w:pPr>
              <w:spacing w:after="0" w:line="240" w:lineRule="auto"/>
              <w:jc w:val="center"/>
              <w:rPr>
                <w:rFonts w:eastAsia="Times New Roman" w:cs="Calibri"/>
                <w:sz w:val="20"/>
                <w:szCs w:val="20"/>
                <w:lang w:val="es-AR" w:eastAsia="es-AR"/>
              </w:rPr>
            </w:pPr>
            <w:r w:rsidRPr="001838B6">
              <w:rPr>
                <w:rFonts w:eastAsia="Times New Roman" w:cs="Calibri"/>
                <w:sz w:val="20"/>
                <w:szCs w:val="20"/>
                <w:lang w:val="es-AR" w:eastAsia="es-AR"/>
              </w:rPr>
              <w:t>1.429.801</w:t>
            </w:r>
          </w:p>
        </w:tc>
      </w:tr>
      <w:tr w:rsidR="001838B6" w:rsidRPr="001838B6" w14:paraId="0ABC1AE5" w14:textId="77777777" w:rsidTr="006B5A62">
        <w:trPr>
          <w:trHeight w:val="290"/>
          <w:jc w:val="center"/>
        </w:trPr>
        <w:tc>
          <w:tcPr>
            <w:tcW w:w="2022" w:type="dxa"/>
            <w:shd w:val="clear" w:color="auto" w:fill="FFFFFF" w:themeFill="background1"/>
            <w:noWrap/>
            <w:vAlign w:val="center"/>
            <w:hideMark/>
          </w:tcPr>
          <w:p w14:paraId="4769C78E" w14:textId="77777777" w:rsidR="001838B6" w:rsidRPr="001838B6" w:rsidRDefault="001838B6" w:rsidP="006B5A62">
            <w:pPr>
              <w:spacing w:after="0" w:line="240" w:lineRule="auto"/>
              <w:jc w:val="center"/>
              <w:rPr>
                <w:rFonts w:eastAsia="Times New Roman" w:cs="Calibri"/>
                <w:sz w:val="20"/>
                <w:szCs w:val="20"/>
                <w:lang w:val="es-AR" w:eastAsia="es-AR"/>
              </w:rPr>
            </w:pPr>
            <w:r w:rsidRPr="001838B6">
              <w:rPr>
                <w:rFonts w:eastAsia="Times New Roman" w:cs="Calibri"/>
                <w:sz w:val="20"/>
                <w:szCs w:val="20"/>
                <w:lang w:val="es-AR" w:eastAsia="es-AR"/>
              </w:rPr>
              <w:t>Directos_SE_EC</w:t>
            </w:r>
          </w:p>
        </w:tc>
        <w:tc>
          <w:tcPr>
            <w:tcW w:w="1548" w:type="dxa"/>
            <w:shd w:val="clear" w:color="auto" w:fill="FFFFFF" w:themeFill="background1"/>
            <w:noWrap/>
            <w:vAlign w:val="center"/>
            <w:hideMark/>
          </w:tcPr>
          <w:p w14:paraId="40197BA3" w14:textId="77777777" w:rsidR="001838B6" w:rsidRPr="001838B6" w:rsidRDefault="001838B6" w:rsidP="006B5A62">
            <w:pPr>
              <w:spacing w:after="0" w:line="240" w:lineRule="auto"/>
              <w:jc w:val="center"/>
              <w:rPr>
                <w:rFonts w:eastAsia="Times New Roman" w:cs="Calibri"/>
                <w:sz w:val="20"/>
                <w:szCs w:val="20"/>
                <w:lang w:val="es-AR" w:eastAsia="es-AR"/>
              </w:rPr>
            </w:pPr>
            <w:r w:rsidRPr="001838B6">
              <w:rPr>
                <w:rFonts w:eastAsia="Times New Roman" w:cs="Calibri"/>
                <w:sz w:val="20"/>
                <w:szCs w:val="20"/>
                <w:lang w:val="es-AR" w:eastAsia="es-AR"/>
              </w:rPr>
              <w:t>-</w:t>
            </w:r>
          </w:p>
        </w:tc>
        <w:tc>
          <w:tcPr>
            <w:tcW w:w="1808" w:type="dxa"/>
            <w:shd w:val="clear" w:color="auto" w:fill="FFFFFF" w:themeFill="background1"/>
            <w:noWrap/>
            <w:vAlign w:val="center"/>
            <w:hideMark/>
          </w:tcPr>
          <w:p w14:paraId="2CA8E905" w14:textId="77777777" w:rsidR="001838B6" w:rsidRPr="001838B6" w:rsidRDefault="001838B6" w:rsidP="006B5A62">
            <w:pPr>
              <w:spacing w:after="0" w:line="240" w:lineRule="auto"/>
              <w:jc w:val="center"/>
              <w:rPr>
                <w:rFonts w:eastAsia="Times New Roman" w:cs="Calibri"/>
                <w:sz w:val="20"/>
                <w:szCs w:val="20"/>
                <w:lang w:val="es-AR" w:eastAsia="es-AR"/>
              </w:rPr>
            </w:pPr>
            <w:r w:rsidRPr="001838B6">
              <w:rPr>
                <w:rFonts w:eastAsia="Times New Roman" w:cs="Calibri"/>
                <w:sz w:val="20"/>
                <w:szCs w:val="20"/>
                <w:lang w:val="es-AR" w:eastAsia="es-AR"/>
              </w:rPr>
              <w:t>1.827.337</w:t>
            </w:r>
          </w:p>
        </w:tc>
        <w:tc>
          <w:tcPr>
            <w:tcW w:w="1808" w:type="dxa"/>
            <w:shd w:val="clear" w:color="auto" w:fill="FFFFFF" w:themeFill="background1"/>
            <w:noWrap/>
            <w:vAlign w:val="center"/>
            <w:hideMark/>
          </w:tcPr>
          <w:p w14:paraId="67001F42" w14:textId="77777777" w:rsidR="001838B6" w:rsidRPr="001838B6" w:rsidRDefault="001838B6" w:rsidP="006B5A62">
            <w:pPr>
              <w:spacing w:after="0" w:line="240" w:lineRule="auto"/>
              <w:jc w:val="center"/>
              <w:rPr>
                <w:rFonts w:eastAsia="Times New Roman" w:cs="Calibri"/>
                <w:sz w:val="20"/>
                <w:szCs w:val="20"/>
                <w:lang w:val="es-AR" w:eastAsia="es-AR"/>
              </w:rPr>
            </w:pPr>
            <w:r w:rsidRPr="001838B6">
              <w:rPr>
                <w:rFonts w:eastAsia="Times New Roman" w:cs="Calibri"/>
                <w:sz w:val="20"/>
                <w:szCs w:val="20"/>
                <w:lang w:val="es-AR" w:eastAsia="es-AR"/>
              </w:rPr>
              <w:t>1.827.337</w:t>
            </w:r>
          </w:p>
        </w:tc>
      </w:tr>
      <w:tr w:rsidR="001838B6" w:rsidRPr="001838B6" w14:paraId="56598FD3" w14:textId="77777777" w:rsidTr="006B5A62">
        <w:trPr>
          <w:trHeight w:val="290"/>
          <w:jc w:val="center"/>
        </w:trPr>
        <w:tc>
          <w:tcPr>
            <w:tcW w:w="2022" w:type="dxa"/>
            <w:shd w:val="clear" w:color="auto" w:fill="FFFFFF" w:themeFill="background1"/>
            <w:noWrap/>
            <w:vAlign w:val="center"/>
            <w:hideMark/>
          </w:tcPr>
          <w:p w14:paraId="6D607697" w14:textId="77777777" w:rsidR="001838B6" w:rsidRPr="001838B6" w:rsidRDefault="001838B6" w:rsidP="006B5A62">
            <w:pPr>
              <w:spacing w:after="0" w:line="240" w:lineRule="auto"/>
              <w:jc w:val="center"/>
              <w:rPr>
                <w:rFonts w:eastAsia="Times New Roman" w:cs="Calibri"/>
                <w:sz w:val="20"/>
                <w:szCs w:val="20"/>
                <w:lang w:val="es-AR" w:eastAsia="es-AR"/>
              </w:rPr>
            </w:pPr>
            <w:r w:rsidRPr="001838B6">
              <w:rPr>
                <w:rFonts w:eastAsia="Times New Roman" w:cs="Calibri"/>
                <w:sz w:val="20"/>
                <w:szCs w:val="20"/>
                <w:lang w:val="es-AR" w:eastAsia="es-AR"/>
              </w:rPr>
              <w:t>Directos SE</w:t>
            </w:r>
          </w:p>
        </w:tc>
        <w:tc>
          <w:tcPr>
            <w:tcW w:w="1548" w:type="dxa"/>
            <w:shd w:val="clear" w:color="auto" w:fill="FFFFFF" w:themeFill="background1"/>
            <w:noWrap/>
            <w:vAlign w:val="center"/>
            <w:hideMark/>
          </w:tcPr>
          <w:p w14:paraId="28B26FED" w14:textId="77777777" w:rsidR="001838B6" w:rsidRPr="001838B6" w:rsidRDefault="001838B6" w:rsidP="006B5A62">
            <w:pPr>
              <w:spacing w:after="0" w:line="240" w:lineRule="auto"/>
              <w:jc w:val="center"/>
              <w:rPr>
                <w:rFonts w:eastAsia="Times New Roman" w:cs="Calibri"/>
                <w:sz w:val="20"/>
                <w:szCs w:val="20"/>
                <w:lang w:val="es-AR" w:eastAsia="es-AR"/>
              </w:rPr>
            </w:pPr>
            <w:r w:rsidRPr="001838B6">
              <w:rPr>
                <w:rFonts w:eastAsia="Times New Roman" w:cs="Calibri"/>
                <w:sz w:val="20"/>
                <w:szCs w:val="20"/>
                <w:lang w:val="es-AR" w:eastAsia="es-AR"/>
              </w:rPr>
              <w:t>1.547.895</w:t>
            </w:r>
          </w:p>
        </w:tc>
        <w:tc>
          <w:tcPr>
            <w:tcW w:w="1808" w:type="dxa"/>
            <w:shd w:val="clear" w:color="auto" w:fill="FFFFFF" w:themeFill="background1"/>
            <w:noWrap/>
            <w:vAlign w:val="center"/>
            <w:hideMark/>
          </w:tcPr>
          <w:p w14:paraId="607C8E51" w14:textId="77777777" w:rsidR="001838B6" w:rsidRPr="001838B6" w:rsidRDefault="001838B6" w:rsidP="006B5A62">
            <w:pPr>
              <w:spacing w:after="0" w:line="240" w:lineRule="auto"/>
              <w:jc w:val="center"/>
              <w:rPr>
                <w:rFonts w:eastAsia="Times New Roman" w:cs="Calibri"/>
                <w:sz w:val="20"/>
                <w:szCs w:val="20"/>
                <w:lang w:val="es-AR" w:eastAsia="es-AR"/>
              </w:rPr>
            </w:pPr>
            <w:r w:rsidRPr="001838B6">
              <w:rPr>
                <w:rFonts w:eastAsia="Times New Roman" w:cs="Calibri"/>
                <w:sz w:val="20"/>
                <w:szCs w:val="20"/>
                <w:lang w:val="es-AR" w:eastAsia="es-AR"/>
              </w:rPr>
              <w:t>2.031.934</w:t>
            </w:r>
          </w:p>
        </w:tc>
        <w:tc>
          <w:tcPr>
            <w:tcW w:w="1808" w:type="dxa"/>
            <w:shd w:val="clear" w:color="auto" w:fill="FFFFFF" w:themeFill="background1"/>
            <w:noWrap/>
            <w:vAlign w:val="center"/>
            <w:hideMark/>
          </w:tcPr>
          <w:p w14:paraId="256CB49C" w14:textId="77777777" w:rsidR="001838B6" w:rsidRPr="001838B6" w:rsidRDefault="001838B6" w:rsidP="006B5A62">
            <w:pPr>
              <w:spacing w:after="0" w:line="240" w:lineRule="auto"/>
              <w:jc w:val="center"/>
              <w:rPr>
                <w:rFonts w:eastAsia="Times New Roman" w:cs="Calibri"/>
                <w:sz w:val="20"/>
                <w:szCs w:val="20"/>
                <w:lang w:val="es-AR" w:eastAsia="es-AR"/>
              </w:rPr>
            </w:pPr>
            <w:r w:rsidRPr="001838B6">
              <w:rPr>
                <w:rFonts w:eastAsia="Times New Roman" w:cs="Calibri"/>
                <w:sz w:val="20"/>
                <w:szCs w:val="20"/>
                <w:lang w:val="es-AR" w:eastAsia="es-AR"/>
              </w:rPr>
              <w:t>3.579.829</w:t>
            </w:r>
          </w:p>
        </w:tc>
      </w:tr>
      <w:tr w:rsidR="001838B6" w:rsidRPr="001838B6" w14:paraId="307AAE9F" w14:textId="77777777" w:rsidTr="006B5A62">
        <w:trPr>
          <w:trHeight w:val="290"/>
          <w:jc w:val="center"/>
        </w:trPr>
        <w:tc>
          <w:tcPr>
            <w:tcW w:w="2022" w:type="dxa"/>
            <w:shd w:val="clear" w:color="auto" w:fill="FFFFFF" w:themeFill="background1"/>
            <w:noWrap/>
            <w:vAlign w:val="center"/>
            <w:hideMark/>
          </w:tcPr>
          <w:p w14:paraId="44EF729C" w14:textId="77777777" w:rsidR="001838B6" w:rsidRPr="001838B6" w:rsidRDefault="001838B6" w:rsidP="006B5A62">
            <w:pPr>
              <w:spacing w:after="0" w:line="240" w:lineRule="auto"/>
              <w:jc w:val="center"/>
              <w:rPr>
                <w:rFonts w:eastAsia="Times New Roman" w:cs="Calibri"/>
                <w:sz w:val="20"/>
                <w:szCs w:val="20"/>
                <w:lang w:val="es-AR" w:eastAsia="es-AR"/>
              </w:rPr>
            </w:pPr>
            <w:r w:rsidRPr="001838B6">
              <w:rPr>
                <w:rFonts w:eastAsia="Times New Roman" w:cs="Calibri"/>
                <w:sz w:val="20"/>
                <w:szCs w:val="20"/>
                <w:lang w:val="es-AR" w:eastAsia="es-AR"/>
              </w:rPr>
              <w:t>Directos Líneas</w:t>
            </w:r>
            <w:r w:rsidRPr="001838B6">
              <w:rPr>
                <w:rStyle w:val="Refdenotaalpie"/>
                <w:rFonts w:eastAsia="Times New Roman" w:cs="Calibri"/>
                <w:sz w:val="20"/>
                <w:szCs w:val="20"/>
                <w:lang w:val="es-AR" w:eastAsia="es-AR"/>
              </w:rPr>
              <w:footnoteReference w:id="33"/>
            </w:r>
          </w:p>
        </w:tc>
        <w:tc>
          <w:tcPr>
            <w:tcW w:w="1548" w:type="dxa"/>
            <w:shd w:val="clear" w:color="auto" w:fill="FFFFFF" w:themeFill="background1"/>
            <w:noWrap/>
            <w:vAlign w:val="center"/>
            <w:hideMark/>
          </w:tcPr>
          <w:p w14:paraId="310CA629" w14:textId="77777777" w:rsidR="001838B6" w:rsidRPr="001838B6" w:rsidRDefault="001838B6" w:rsidP="006B5A62">
            <w:pPr>
              <w:spacing w:after="0" w:line="240" w:lineRule="auto"/>
              <w:jc w:val="center"/>
              <w:rPr>
                <w:rFonts w:eastAsia="Times New Roman" w:cs="Calibri"/>
                <w:sz w:val="20"/>
                <w:szCs w:val="20"/>
                <w:lang w:val="es-AR" w:eastAsia="es-AR"/>
              </w:rPr>
            </w:pPr>
            <w:r w:rsidRPr="001838B6">
              <w:rPr>
                <w:rFonts w:eastAsia="Times New Roman" w:cs="Calibri"/>
                <w:sz w:val="20"/>
                <w:szCs w:val="20"/>
                <w:lang w:val="es-AR" w:eastAsia="es-AR"/>
              </w:rPr>
              <w:t>10.877.507</w:t>
            </w:r>
          </w:p>
        </w:tc>
        <w:tc>
          <w:tcPr>
            <w:tcW w:w="1808" w:type="dxa"/>
            <w:shd w:val="clear" w:color="auto" w:fill="FFFFFF" w:themeFill="background1"/>
            <w:noWrap/>
            <w:vAlign w:val="center"/>
            <w:hideMark/>
          </w:tcPr>
          <w:p w14:paraId="4D4F446B" w14:textId="77777777" w:rsidR="001838B6" w:rsidRPr="001838B6" w:rsidRDefault="001838B6" w:rsidP="006B5A62">
            <w:pPr>
              <w:spacing w:after="0" w:line="240" w:lineRule="auto"/>
              <w:jc w:val="center"/>
              <w:rPr>
                <w:rFonts w:eastAsia="Times New Roman" w:cs="Calibri"/>
                <w:sz w:val="20"/>
                <w:szCs w:val="20"/>
                <w:lang w:val="es-AR" w:eastAsia="es-AR"/>
              </w:rPr>
            </w:pPr>
            <w:r w:rsidRPr="001838B6">
              <w:rPr>
                <w:rFonts w:eastAsia="Times New Roman" w:cs="Calibri"/>
                <w:sz w:val="20"/>
                <w:szCs w:val="20"/>
                <w:lang w:val="es-AR" w:eastAsia="es-AR"/>
              </w:rPr>
              <w:t>10.114.616</w:t>
            </w:r>
          </w:p>
        </w:tc>
        <w:tc>
          <w:tcPr>
            <w:tcW w:w="1808" w:type="dxa"/>
            <w:shd w:val="clear" w:color="auto" w:fill="FFFFFF" w:themeFill="background1"/>
            <w:noWrap/>
            <w:vAlign w:val="center"/>
            <w:hideMark/>
          </w:tcPr>
          <w:p w14:paraId="75008852" w14:textId="77777777" w:rsidR="001838B6" w:rsidRPr="001838B6" w:rsidRDefault="001838B6" w:rsidP="006B5A62">
            <w:pPr>
              <w:spacing w:after="0" w:line="240" w:lineRule="auto"/>
              <w:jc w:val="center"/>
              <w:rPr>
                <w:rFonts w:eastAsia="Times New Roman" w:cs="Calibri"/>
                <w:sz w:val="20"/>
                <w:szCs w:val="20"/>
                <w:lang w:val="es-AR" w:eastAsia="es-AR"/>
              </w:rPr>
            </w:pPr>
            <w:r w:rsidRPr="001838B6">
              <w:rPr>
                <w:rFonts w:eastAsia="Times New Roman" w:cs="Calibri"/>
                <w:sz w:val="20"/>
                <w:szCs w:val="20"/>
                <w:lang w:val="es-AR" w:eastAsia="es-AR"/>
              </w:rPr>
              <w:t>20.992.123</w:t>
            </w:r>
          </w:p>
        </w:tc>
      </w:tr>
      <w:tr w:rsidR="001838B6" w:rsidRPr="003F27DC" w14:paraId="1853825E" w14:textId="77777777" w:rsidTr="006B5A62">
        <w:trPr>
          <w:trHeight w:val="300"/>
          <w:jc w:val="center"/>
        </w:trPr>
        <w:tc>
          <w:tcPr>
            <w:tcW w:w="2022" w:type="dxa"/>
            <w:shd w:val="clear" w:color="auto" w:fill="FFFFFF" w:themeFill="background1"/>
            <w:noWrap/>
            <w:vAlign w:val="center"/>
            <w:hideMark/>
          </w:tcPr>
          <w:p w14:paraId="6D89D4C3" w14:textId="77777777" w:rsidR="001838B6" w:rsidRPr="001838B6" w:rsidRDefault="001838B6" w:rsidP="006B5A62">
            <w:pPr>
              <w:spacing w:after="0" w:line="240" w:lineRule="auto"/>
              <w:jc w:val="center"/>
              <w:rPr>
                <w:rFonts w:eastAsia="Times New Roman" w:cs="Calibri"/>
                <w:b/>
                <w:bCs/>
                <w:sz w:val="20"/>
                <w:szCs w:val="20"/>
                <w:lang w:val="es-AR" w:eastAsia="es-AR"/>
              </w:rPr>
            </w:pPr>
            <w:r w:rsidRPr="001838B6">
              <w:rPr>
                <w:rFonts w:eastAsia="Times New Roman" w:cs="Calibri"/>
                <w:b/>
                <w:bCs/>
                <w:sz w:val="20"/>
                <w:szCs w:val="20"/>
                <w:lang w:val="es-AR" w:eastAsia="es-AR"/>
              </w:rPr>
              <w:t>TOTAL</w:t>
            </w:r>
          </w:p>
        </w:tc>
        <w:tc>
          <w:tcPr>
            <w:tcW w:w="1548" w:type="dxa"/>
            <w:shd w:val="clear" w:color="auto" w:fill="FFFFFF" w:themeFill="background1"/>
            <w:noWrap/>
            <w:vAlign w:val="center"/>
            <w:hideMark/>
          </w:tcPr>
          <w:p w14:paraId="5BB43639" w14:textId="77777777" w:rsidR="001838B6" w:rsidRPr="001838B6" w:rsidRDefault="001838B6" w:rsidP="006B5A62">
            <w:pPr>
              <w:spacing w:after="0" w:line="240" w:lineRule="auto"/>
              <w:jc w:val="center"/>
              <w:rPr>
                <w:rFonts w:eastAsia="Times New Roman" w:cs="Calibri"/>
                <w:b/>
                <w:bCs/>
                <w:sz w:val="20"/>
                <w:szCs w:val="20"/>
                <w:lang w:val="es-AR" w:eastAsia="es-AR"/>
              </w:rPr>
            </w:pPr>
            <w:r w:rsidRPr="001838B6">
              <w:rPr>
                <w:rFonts w:eastAsia="Times New Roman" w:cs="Calibri"/>
                <w:b/>
                <w:bCs/>
                <w:sz w:val="20"/>
                <w:szCs w:val="20"/>
                <w:lang w:val="es-AR" w:eastAsia="es-AR"/>
              </w:rPr>
              <w:t>21.813.641</w:t>
            </w:r>
          </w:p>
        </w:tc>
        <w:tc>
          <w:tcPr>
            <w:tcW w:w="1808" w:type="dxa"/>
            <w:shd w:val="clear" w:color="auto" w:fill="FFFFFF" w:themeFill="background1"/>
            <w:noWrap/>
            <w:vAlign w:val="center"/>
            <w:hideMark/>
          </w:tcPr>
          <w:p w14:paraId="2B910C70" w14:textId="77777777" w:rsidR="001838B6" w:rsidRPr="001838B6" w:rsidRDefault="001838B6" w:rsidP="006B5A62">
            <w:pPr>
              <w:spacing w:after="0" w:line="240" w:lineRule="auto"/>
              <w:jc w:val="center"/>
              <w:rPr>
                <w:rFonts w:eastAsia="Times New Roman" w:cs="Calibri"/>
                <w:b/>
                <w:bCs/>
                <w:sz w:val="20"/>
                <w:szCs w:val="20"/>
                <w:lang w:val="es-AR" w:eastAsia="es-AR"/>
              </w:rPr>
            </w:pPr>
            <w:r w:rsidRPr="001838B6">
              <w:rPr>
                <w:rFonts w:eastAsia="Times New Roman" w:cs="Calibri"/>
                <w:b/>
                <w:bCs/>
                <w:sz w:val="20"/>
                <w:szCs w:val="20"/>
                <w:lang w:val="es-AR" w:eastAsia="es-AR"/>
              </w:rPr>
              <w:t>20.834.853</w:t>
            </w:r>
          </w:p>
        </w:tc>
        <w:tc>
          <w:tcPr>
            <w:tcW w:w="1808" w:type="dxa"/>
            <w:shd w:val="clear" w:color="auto" w:fill="FFFFFF" w:themeFill="background1"/>
            <w:noWrap/>
            <w:vAlign w:val="center"/>
            <w:hideMark/>
          </w:tcPr>
          <w:p w14:paraId="7696F575" w14:textId="77777777" w:rsidR="001838B6" w:rsidRPr="001838B6" w:rsidRDefault="001838B6" w:rsidP="006B5A62">
            <w:pPr>
              <w:spacing w:after="0" w:line="240" w:lineRule="auto"/>
              <w:jc w:val="center"/>
              <w:rPr>
                <w:rFonts w:eastAsia="Times New Roman" w:cs="Calibri"/>
                <w:b/>
                <w:bCs/>
                <w:sz w:val="20"/>
                <w:szCs w:val="20"/>
                <w:lang w:val="es-AR" w:eastAsia="es-AR"/>
              </w:rPr>
            </w:pPr>
            <w:r w:rsidRPr="001838B6">
              <w:rPr>
                <w:rFonts w:eastAsia="Times New Roman" w:cs="Calibri"/>
                <w:b/>
                <w:bCs/>
                <w:sz w:val="20"/>
                <w:szCs w:val="20"/>
                <w:lang w:val="es-AR" w:eastAsia="es-AR"/>
              </w:rPr>
              <w:t>42.648.494</w:t>
            </w:r>
          </w:p>
        </w:tc>
      </w:tr>
    </w:tbl>
    <w:p w14:paraId="579163AD" w14:textId="77777777" w:rsidR="0079428C" w:rsidRPr="00C9210F" w:rsidRDefault="0079428C" w:rsidP="00273FE4">
      <w:pPr>
        <w:pStyle w:val="Listanumerada"/>
        <w:numPr>
          <w:ilvl w:val="0"/>
          <w:numId w:val="34"/>
        </w:numPr>
        <w:spacing w:before="200" w:after="200"/>
        <w:ind w:left="567" w:hanging="567"/>
        <w:rPr>
          <w:lang w:val="es-ES"/>
        </w:rPr>
      </w:pPr>
      <w:r w:rsidRPr="00C9210F">
        <w:rPr>
          <w:lang w:val="es-ES"/>
        </w:rPr>
        <w:t>Estructura Central: son los costos asociados a la casa central y gastos globales corporativos.</w:t>
      </w:r>
    </w:p>
    <w:p w14:paraId="7FA9CA6C" w14:textId="77777777" w:rsidR="0079428C" w:rsidRPr="00C9210F" w:rsidRDefault="0079428C" w:rsidP="00273FE4">
      <w:pPr>
        <w:pStyle w:val="Listanumerada"/>
        <w:numPr>
          <w:ilvl w:val="0"/>
          <w:numId w:val="34"/>
        </w:numPr>
        <w:spacing w:after="200"/>
        <w:ind w:left="567" w:hanging="567"/>
        <w:rPr>
          <w:lang w:val="es-ES"/>
        </w:rPr>
      </w:pPr>
      <w:r w:rsidRPr="00C9210F">
        <w:rPr>
          <w:lang w:val="es-ES"/>
        </w:rPr>
        <w:t>Regional: son los costos asociados a cada una de las regionales.</w:t>
      </w:r>
    </w:p>
    <w:p w14:paraId="2FC784A0" w14:textId="77777777" w:rsidR="0079428C" w:rsidRPr="00C9210F" w:rsidRDefault="0079428C" w:rsidP="00273FE4">
      <w:pPr>
        <w:pStyle w:val="Listanumerada"/>
        <w:numPr>
          <w:ilvl w:val="0"/>
          <w:numId w:val="34"/>
        </w:numPr>
        <w:spacing w:after="200"/>
        <w:ind w:left="567" w:hanging="567"/>
        <w:rPr>
          <w:lang w:val="es-ES"/>
        </w:rPr>
      </w:pPr>
      <w:r w:rsidRPr="00C9210F">
        <w:rPr>
          <w:lang w:val="es-ES"/>
        </w:rPr>
        <w:t>Directos_SE_EC: son los costos asignables a las estaciones (contribuciones, vigilancia presencial en estaciones y consumo de energía eléctrica de estaciones).</w:t>
      </w:r>
    </w:p>
    <w:p w14:paraId="1437BD7A" w14:textId="77777777" w:rsidR="0079428C" w:rsidRPr="00C9210F" w:rsidRDefault="0079428C" w:rsidP="00273FE4">
      <w:pPr>
        <w:pStyle w:val="Listanumerada"/>
        <w:numPr>
          <w:ilvl w:val="0"/>
          <w:numId w:val="34"/>
        </w:numPr>
        <w:spacing w:after="200"/>
        <w:ind w:left="567" w:hanging="567"/>
        <w:rPr>
          <w:lang w:val="es-ES"/>
        </w:rPr>
      </w:pPr>
      <w:r w:rsidRPr="00C9210F">
        <w:rPr>
          <w:lang w:val="es-ES"/>
        </w:rPr>
        <w:t>Directos SE: son los costos de las cuadrillas de terreno para la operación y mantenimiento de las estaciones.</w:t>
      </w:r>
    </w:p>
    <w:p w14:paraId="396CB282" w14:textId="05E70277" w:rsidR="0079428C" w:rsidRPr="00C9210F" w:rsidRDefault="00A477D0" w:rsidP="00273FE4">
      <w:pPr>
        <w:pStyle w:val="Listanumerada"/>
        <w:numPr>
          <w:ilvl w:val="0"/>
          <w:numId w:val="34"/>
        </w:numPr>
        <w:spacing w:after="200"/>
        <w:ind w:left="567" w:hanging="567"/>
        <w:rPr>
          <w:lang w:val="es-ES"/>
        </w:rPr>
      </w:pPr>
      <w:r w:rsidRPr="00C9210F">
        <w:rPr>
          <w:lang w:val="es-ES"/>
        </w:rPr>
        <w:t>Directas líneas</w:t>
      </w:r>
      <w:r w:rsidR="0079428C" w:rsidRPr="00C9210F">
        <w:rPr>
          <w:lang w:val="es-ES"/>
        </w:rPr>
        <w:t>: son los costos de las cuadrillas de terreno para la operación y mantenimiento de las líneas.</w:t>
      </w:r>
    </w:p>
    <w:p w14:paraId="1A09001E" w14:textId="409EB5E7" w:rsidR="0079428C" w:rsidRPr="00C91C8F" w:rsidRDefault="0079428C" w:rsidP="0079428C">
      <w:pPr>
        <w:rPr>
          <w:lang w:val="es-ES"/>
        </w:rPr>
      </w:pPr>
      <w:r w:rsidRPr="00C91C8F">
        <w:rPr>
          <w:lang w:val="es-ES"/>
        </w:rPr>
        <w:t>El detalle de cada una de las partidas indicadas puede verse en las tablas de los TDR que forman parte de los Anexos a este informe y en el Modelo C.O.M.A</w:t>
      </w:r>
    </w:p>
    <w:p w14:paraId="5F20FA7C" w14:textId="77777777" w:rsidR="00F836AC" w:rsidRDefault="00F836AC">
      <w:pPr>
        <w:spacing w:after="0" w:line="240" w:lineRule="auto"/>
        <w:jc w:val="left"/>
        <w:rPr>
          <w:rFonts w:eastAsia="Times New Roman"/>
          <w:b/>
          <w:color w:val="4472C4"/>
          <w:sz w:val="28"/>
          <w:szCs w:val="26"/>
        </w:rPr>
      </w:pPr>
      <w:bookmarkStart w:id="496" w:name="_Toc34398165"/>
      <w:r>
        <w:br w:type="page"/>
      </w:r>
    </w:p>
    <w:p w14:paraId="66563F09" w14:textId="72090565" w:rsidR="0079428C" w:rsidRDefault="0079428C" w:rsidP="00C9210F">
      <w:pPr>
        <w:pStyle w:val="Ttulo2"/>
      </w:pPr>
      <w:bookmarkStart w:id="497" w:name="_Toc39797876"/>
      <w:r w:rsidRPr="00116AD9">
        <w:lastRenderedPageBreak/>
        <w:t>Resultados de BM&amp;I</w:t>
      </w:r>
      <w:bookmarkEnd w:id="496"/>
      <w:bookmarkEnd w:id="497"/>
    </w:p>
    <w:p w14:paraId="3728023D" w14:textId="22AC1B3D" w:rsidR="002F3394" w:rsidRPr="0028250C" w:rsidRDefault="002F3394" w:rsidP="002F3394">
      <w:pPr>
        <w:pStyle w:val="Subttulo"/>
      </w:pPr>
      <w:bookmarkStart w:id="498" w:name="_Toc39797961"/>
      <w:r w:rsidRPr="0028250C">
        <w:t xml:space="preserve">Tabla </w:t>
      </w:r>
      <w:fldSimple w:instr=" SEQ Tabla \* ARABIC ">
        <w:r w:rsidR="001F3E2E">
          <w:rPr>
            <w:noProof/>
          </w:rPr>
          <w:t>51</w:t>
        </w:r>
      </w:fldSimple>
      <w:r w:rsidRPr="0028250C">
        <w:t>: Resultados bienes muebles e inmuebles</w:t>
      </w:r>
      <w:bookmarkEnd w:id="498"/>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firstRow="1" w:lastRow="0" w:firstColumn="1" w:lastColumn="0" w:noHBand="0" w:noVBand="1"/>
      </w:tblPr>
      <w:tblGrid>
        <w:gridCol w:w="1985"/>
        <w:gridCol w:w="1134"/>
        <w:gridCol w:w="1134"/>
        <w:gridCol w:w="1134"/>
        <w:gridCol w:w="1134"/>
        <w:gridCol w:w="1134"/>
        <w:gridCol w:w="1701"/>
      </w:tblGrid>
      <w:tr w:rsidR="0019370D" w:rsidRPr="0019370D" w14:paraId="10B961EA" w14:textId="77777777" w:rsidTr="006B5A62">
        <w:trPr>
          <w:tblHeader/>
          <w:jc w:val="center"/>
        </w:trPr>
        <w:tc>
          <w:tcPr>
            <w:tcW w:w="1985" w:type="dxa"/>
            <w:shd w:val="clear" w:color="auto" w:fill="D9D9D9" w:themeFill="background1" w:themeFillShade="D9"/>
            <w:noWrap/>
            <w:vAlign w:val="center"/>
            <w:hideMark/>
          </w:tcPr>
          <w:p w14:paraId="1053C65D" w14:textId="77777777" w:rsidR="0019370D" w:rsidRPr="0019370D" w:rsidRDefault="0019370D" w:rsidP="006B5A62">
            <w:pPr>
              <w:spacing w:before="40" w:after="40" w:line="240" w:lineRule="auto"/>
              <w:jc w:val="left"/>
              <w:rPr>
                <w:rFonts w:asciiTheme="minorHAnsi" w:eastAsia="Times New Roman" w:hAnsiTheme="minorHAnsi" w:cstheme="minorHAnsi"/>
                <w:b/>
                <w:bCs/>
                <w:sz w:val="20"/>
                <w:szCs w:val="20"/>
                <w:lang w:val="es-AR" w:eastAsia="es-AR"/>
              </w:rPr>
            </w:pPr>
            <w:r w:rsidRPr="0019370D">
              <w:rPr>
                <w:rFonts w:asciiTheme="minorHAnsi" w:eastAsia="Times New Roman" w:hAnsiTheme="minorHAnsi" w:cstheme="minorHAnsi"/>
                <w:b/>
                <w:bCs/>
                <w:sz w:val="20"/>
                <w:szCs w:val="20"/>
                <w:lang w:val="es-AR" w:eastAsia="es-AR"/>
              </w:rPr>
              <w:t>Función</w:t>
            </w:r>
          </w:p>
        </w:tc>
        <w:tc>
          <w:tcPr>
            <w:tcW w:w="1134" w:type="dxa"/>
            <w:shd w:val="clear" w:color="auto" w:fill="D9D9D9" w:themeFill="background1" w:themeFillShade="D9"/>
            <w:noWrap/>
            <w:hideMark/>
          </w:tcPr>
          <w:p w14:paraId="78EDA21E" w14:textId="77777777" w:rsidR="0019370D" w:rsidRPr="0019370D" w:rsidRDefault="0019370D" w:rsidP="006B5A62">
            <w:pPr>
              <w:spacing w:before="40" w:after="40" w:line="240" w:lineRule="auto"/>
              <w:jc w:val="center"/>
              <w:rPr>
                <w:rFonts w:asciiTheme="minorHAnsi" w:eastAsia="Times New Roman" w:hAnsiTheme="minorHAnsi" w:cstheme="minorHAnsi"/>
                <w:b/>
                <w:bCs/>
                <w:sz w:val="20"/>
                <w:szCs w:val="20"/>
                <w:lang w:val="es-AR" w:eastAsia="es-AR"/>
              </w:rPr>
            </w:pPr>
            <w:r w:rsidRPr="0019370D">
              <w:rPr>
                <w:rFonts w:asciiTheme="minorHAnsi" w:hAnsiTheme="minorHAnsi" w:cstheme="minorHAnsi"/>
                <w:sz w:val="20"/>
                <w:szCs w:val="20"/>
              </w:rPr>
              <w:t>BI (USD)</w:t>
            </w:r>
          </w:p>
        </w:tc>
        <w:tc>
          <w:tcPr>
            <w:tcW w:w="1134" w:type="dxa"/>
            <w:shd w:val="clear" w:color="auto" w:fill="D9D9D9" w:themeFill="background1" w:themeFillShade="D9"/>
            <w:noWrap/>
            <w:hideMark/>
          </w:tcPr>
          <w:p w14:paraId="4F714BEA" w14:textId="77777777" w:rsidR="0019370D" w:rsidRPr="0019370D" w:rsidRDefault="0019370D" w:rsidP="006B5A62">
            <w:pPr>
              <w:spacing w:before="40" w:after="40" w:line="240" w:lineRule="auto"/>
              <w:jc w:val="center"/>
              <w:rPr>
                <w:rFonts w:asciiTheme="minorHAnsi" w:eastAsia="Times New Roman" w:hAnsiTheme="minorHAnsi" w:cstheme="minorHAnsi"/>
                <w:b/>
                <w:bCs/>
                <w:sz w:val="20"/>
                <w:szCs w:val="20"/>
                <w:lang w:val="es-AR" w:eastAsia="es-AR"/>
              </w:rPr>
            </w:pPr>
            <w:r w:rsidRPr="0019370D">
              <w:rPr>
                <w:rFonts w:asciiTheme="minorHAnsi" w:hAnsiTheme="minorHAnsi" w:cstheme="minorHAnsi"/>
                <w:sz w:val="20"/>
                <w:szCs w:val="20"/>
              </w:rPr>
              <w:t>EC (USD)</w:t>
            </w:r>
          </w:p>
        </w:tc>
        <w:tc>
          <w:tcPr>
            <w:tcW w:w="1134" w:type="dxa"/>
            <w:shd w:val="clear" w:color="auto" w:fill="D9D9D9" w:themeFill="background1" w:themeFillShade="D9"/>
            <w:noWrap/>
            <w:hideMark/>
          </w:tcPr>
          <w:p w14:paraId="487A22F4" w14:textId="77777777" w:rsidR="0019370D" w:rsidRPr="0019370D" w:rsidRDefault="0019370D" w:rsidP="006B5A62">
            <w:pPr>
              <w:spacing w:before="40" w:after="40" w:line="240" w:lineRule="auto"/>
              <w:jc w:val="center"/>
              <w:rPr>
                <w:rFonts w:asciiTheme="minorHAnsi" w:eastAsia="Times New Roman" w:hAnsiTheme="minorHAnsi" w:cstheme="minorHAnsi"/>
                <w:b/>
                <w:bCs/>
                <w:sz w:val="20"/>
                <w:szCs w:val="20"/>
                <w:lang w:val="es-AR" w:eastAsia="es-AR"/>
              </w:rPr>
            </w:pPr>
            <w:r w:rsidRPr="0019370D">
              <w:rPr>
                <w:rFonts w:asciiTheme="minorHAnsi" w:hAnsiTheme="minorHAnsi" w:cstheme="minorHAnsi"/>
                <w:sz w:val="20"/>
                <w:szCs w:val="20"/>
              </w:rPr>
              <w:t>EOYM (USD)</w:t>
            </w:r>
          </w:p>
        </w:tc>
        <w:tc>
          <w:tcPr>
            <w:tcW w:w="1134" w:type="dxa"/>
            <w:shd w:val="clear" w:color="auto" w:fill="D9D9D9" w:themeFill="background1" w:themeFillShade="D9"/>
            <w:noWrap/>
            <w:hideMark/>
          </w:tcPr>
          <w:p w14:paraId="109BC768" w14:textId="77777777" w:rsidR="0019370D" w:rsidRPr="0019370D" w:rsidRDefault="0019370D" w:rsidP="006B5A62">
            <w:pPr>
              <w:spacing w:before="40" w:after="40" w:line="240" w:lineRule="auto"/>
              <w:jc w:val="center"/>
              <w:rPr>
                <w:rFonts w:asciiTheme="minorHAnsi" w:eastAsia="Times New Roman" w:hAnsiTheme="minorHAnsi" w:cstheme="minorHAnsi"/>
                <w:b/>
                <w:bCs/>
                <w:sz w:val="20"/>
                <w:szCs w:val="20"/>
                <w:lang w:val="es-AR" w:eastAsia="es-AR"/>
              </w:rPr>
            </w:pPr>
            <w:r w:rsidRPr="0019370D">
              <w:rPr>
                <w:rFonts w:asciiTheme="minorHAnsi" w:hAnsiTheme="minorHAnsi" w:cstheme="minorHAnsi"/>
                <w:sz w:val="20"/>
                <w:szCs w:val="20"/>
              </w:rPr>
              <w:t>VH (USD)</w:t>
            </w:r>
          </w:p>
        </w:tc>
        <w:tc>
          <w:tcPr>
            <w:tcW w:w="1134" w:type="dxa"/>
            <w:shd w:val="clear" w:color="auto" w:fill="D9D9D9" w:themeFill="background1" w:themeFillShade="D9"/>
            <w:noWrap/>
            <w:hideMark/>
          </w:tcPr>
          <w:p w14:paraId="433D8F50" w14:textId="77777777" w:rsidR="0019370D" w:rsidRPr="0019370D" w:rsidRDefault="0019370D" w:rsidP="006B5A62">
            <w:pPr>
              <w:spacing w:before="40" w:after="40" w:line="240" w:lineRule="auto"/>
              <w:jc w:val="center"/>
              <w:rPr>
                <w:rFonts w:asciiTheme="minorHAnsi" w:eastAsia="Times New Roman" w:hAnsiTheme="minorHAnsi" w:cstheme="minorHAnsi"/>
                <w:b/>
                <w:bCs/>
                <w:sz w:val="20"/>
                <w:szCs w:val="20"/>
                <w:lang w:val="es-AR" w:eastAsia="es-AR"/>
              </w:rPr>
            </w:pPr>
            <w:r w:rsidRPr="0019370D">
              <w:rPr>
                <w:rFonts w:asciiTheme="minorHAnsi" w:hAnsiTheme="minorHAnsi" w:cstheme="minorHAnsi"/>
                <w:sz w:val="20"/>
                <w:szCs w:val="20"/>
              </w:rPr>
              <w:t>BM (USD/año)</w:t>
            </w:r>
          </w:p>
        </w:tc>
        <w:tc>
          <w:tcPr>
            <w:tcW w:w="1701" w:type="dxa"/>
            <w:shd w:val="clear" w:color="auto" w:fill="D9D9D9" w:themeFill="background1" w:themeFillShade="D9"/>
            <w:noWrap/>
            <w:hideMark/>
          </w:tcPr>
          <w:p w14:paraId="2BAFC22F" w14:textId="77777777" w:rsidR="0019370D" w:rsidRPr="0019370D" w:rsidRDefault="0019370D" w:rsidP="006B5A62">
            <w:pPr>
              <w:spacing w:before="40" w:after="40" w:line="240" w:lineRule="auto"/>
              <w:jc w:val="center"/>
              <w:rPr>
                <w:rFonts w:asciiTheme="minorHAnsi" w:eastAsia="Times New Roman" w:hAnsiTheme="minorHAnsi" w:cstheme="minorHAnsi"/>
                <w:b/>
                <w:bCs/>
                <w:sz w:val="20"/>
                <w:szCs w:val="20"/>
                <w:lang w:val="es-AR" w:eastAsia="es-AR"/>
              </w:rPr>
            </w:pPr>
            <w:r w:rsidRPr="0019370D">
              <w:rPr>
                <w:rFonts w:asciiTheme="minorHAnsi" w:hAnsiTheme="minorHAnsi" w:cstheme="minorHAnsi"/>
                <w:sz w:val="20"/>
                <w:szCs w:val="20"/>
              </w:rPr>
              <w:t>Total BM&amp;I (USD)</w:t>
            </w:r>
          </w:p>
        </w:tc>
      </w:tr>
      <w:tr w:rsidR="0019370D" w:rsidRPr="0019370D" w14:paraId="7E92CD7F" w14:textId="77777777" w:rsidTr="006B5A62">
        <w:trPr>
          <w:jc w:val="center"/>
        </w:trPr>
        <w:tc>
          <w:tcPr>
            <w:tcW w:w="1985" w:type="dxa"/>
            <w:shd w:val="clear" w:color="auto" w:fill="auto"/>
            <w:noWrap/>
            <w:vAlign w:val="center"/>
            <w:hideMark/>
          </w:tcPr>
          <w:p w14:paraId="32EE0382" w14:textId="77777777" w:rsidR="0019370D" w:rsidRPr="0019370D" w:rsidRDefault="0019370D" w:rsidP="006B5A62">
            <w:pPr>
              <w:spacing w:before="40" w:after="40" w:line="240" w:lineRule="auto"/>
              <w:jc w:val="left"/>
              <w:rPr>
                <w:rFonts w:asciiTheme="minorHAnsi" w:eastAsia="Times New Roman" w:hAnsiTheme="minorHAnsi" w:cstheme="minorHAnsi"/>
                <w:sz w:val="20"/>
                <w:szCs w:val="20"/>
                <w:lang w:val="es-AR" w:eastAsia="es-AR"/>
              </w:rPr>
            </w:pPr>
            <w:r w:rsidRPr="0019370D">
              <w:rPr>
                <w:rFonts w:asciiTheme="minorHAnsi" w:eastAsia="Times New Roman" w:hAnsiTheme="minorHAnsi" w:cstheme="minorHAnsi"/>
                <w:sz w:val="20"/>
                <w:szCs w:val="20"/>
                <w:lang w:val="es-AR" w:eastAsia="es-AR"/>
              </w:rPr>
              <w:t>Estructura Central</w:t>
            </w:r>
          </w:p>
        </w:tc>
        <w:tc>
          <w:tcPr>
            <w:tcW w:w="1134" w:type="dxa"/>
            <w:shd w:val="clear" w:color="auto" w:fill="auto"/>
            <w:noWrap/>
            <w:hideMark/>
          </w:tcPr>
          <w:p w14:paraId="70096039" w14:textId="77777777" w:rsidR="0019370D" w:rsidRPr="0019370D" w:rsidRDefault="0019370D" w:rsidP="006B5A62">
            <w:pPr>
              <w:spacing w:before="40" w:after="40" w:line="240" w:lineRule="auto"/>
              <w:jc w:val="right"/>
              <w:rPr>
                <w:rFonts w:asciiTheme="minorHAnsi" w:eastAsia="Times New Roman" w:hAnsiTheme="minorHAnsi" w:cstheme="minorHAnsi"/>
                <w:sz w:val="20"/>
                <w:szCs w:val="20"/>
                <w:lang w:val="es-AR" w:eastAsia="es-AR"/>
              </w:rPr>
            </w:pPr>
            <w:r w:rsidRPr="0019370D">
              <w:rPr>
                <w:sz w:val="20"/>
                <w:szCs w:val="20"/>
              </w:rPr>
              <w:t xml:space="preserve"> 2.144.852 </w:t>
            </w:r>
          </w:p>
        </w:tc>
        <w:tc>
          <w:tcPr>
            <w:tcW w:w="1134" w:type="dxa"/>
            <w:shd w:val="clear" w:color="auto" w:fill="auto"/>
            <w:noWrap/>
            <w:hideMark/>
          </w:tcPr>
          <w:p w14:paraId="32BD6E48" w14:textId="77777777" w:rsidR="0019370D" w:rsidRPr="0019370D" w:rsidRDefault="0019370D" w:rsidP="006B5A62">
            <w:pPr>
              <w:spacing w:before="40" w:after="40" w:line="240" w:lineRule="auto"/>
              <w:jc w:val="right"/>
              <w:rPr>
                <w:rFonts w:asciiTheme="minorHAnsi" w:eastAsia="Times New Roman" w:hAnsiTheme="minorHAnsi" w:cstheme="minorHAnsi"/>
                <w:sz w:val="20"/>
                <w:szCs w:val="20"/>
                <w:lang w:val="es-AR" w:eastAsia="es-AR"/>
              </w:rPr>
            </w:pPr>
            <w:r w:rsidRPr="0019370D">
              <w:rPr>
                <w:sz w:val="20"/>
                <w:szCs w:val="20"/>
              </w:rPr>
              <w:t xml:space="preserve"> 9.821.862 </w:t>
            </w:r>
          </w:p>
        </w:tc>
        <w:tc>
          <w:tcPr>
            <w:tcW w:w="1134" w:type="dxa"/>
            <w:shd w:val="clear" w:color="auto" w:fill="auto"/>
            <w:noWrap/>
            <w:hideMark/>
          </w:tcPr>
          <w:p w14:paraId="283C9880" w14:textId="77777777" w:rsidR="0019370D" w:rsidRPr="0019370D" w:rsidRDefault="0019370D" w:rsidP="006B5A62">
            <w:pPr>
              <w:spacing w:before="40" w:after="40" w:line="240" w:lineRule="auto"/>
              <w:jc w:val="right"/>
              <w:rPr>
                <w:rFonts w:asciiTheme="minorHAnsi" w:eastAsia="Times New Roman" w:hAnsiTheme="minorHAnsi" w:cstheme="minorHAnsi"/>
                <w:sz w:val="20"/>
                <w:szCs w:val="20"/>
                <w:lang w:val="es-AR" w:eastAsia="es-AR"/>
              </w:rPr>
            </w:pPr>
            <w:r w:rsidRPr="0019370D">
              <w:rPr>
                <w:sz w:val="20"/>
                <w:szCs w:val="20"/>
              </w:rPr>
              <w:t xml:space="preserve"> -   </w:t>
            </w:r>
          </w:p>
        </w:tc>
        <w:tc>
          <w:tcPr>
            <w:tcW w:w="1134" w:type="dxa"/>
            <w:shd w:val="clear" w:color="auto" w:fill="auto"/>
            <w:noWrap/>
            <w:hideMark/>
          </w:tcPr>
          <w:p w14:paraId="37B31FE5" w14:textId="77777777" w:rsidR="0019370D" w:rsidRPr="0019370D" w:rsidRDefault="0019370D" w:rsidP="006B5A62">
            <w:pPr>
              <w:spacing w:before="40" w:after="40" w:line="240" w:lineRule="auto"/>
              <w:jc w:val="right"/>
              <w:rPr>
                <w:rFonts w:asciiTheme="minorHAnsi" w:eastAsia="Times New Roman" w:hAnsiTheme="minorHAnsi" w:cstheme="minorHAnsi"/>
                <w:sz w:val="20"/>
                <w:szCs w:val="20"/>
                <w:lang w:val="es-AR" w:eastAsia="es-AR"/>
              </w:rPr>
            </w:pPr>
            <w:r w:rsidRPr="0019370D">
              <w:rPr>
                <w:sz w:val="20"/>
                <w:szCs w:val="20"/>
              </w:rPr>
              <w:t xml:space="preserve"> -   </w:t>
            </w:r>
          </w:p>
        </w:tc>
        <w:tc>
          <w:tcPr>
            <w:tcW w:w="1134" w:type="dxa"/>
            <w:shd w:val="clear" w:color="auto" w:fill="auto"/>
            <w:noWrap/>
            <w:hideMark/>
          </w:tcPr>
          <w:p w14:paraId="6DDB7346" w14:textId="77777777" w:rsidR="0019370D" w:rsidRPr="0019370D" w:rsidRDefault="0019370D" w:rsidP="006B5A62">
            <w:pPr>
              <w:spacing w:before="40" w:after="40" w:line="240" w:lineRule="auto"/>
              <w:jc w:val="right"/>
              <w:rPr>
                <w:rFonts w:asciiTheme="minorHAnsi" w:eastAsia="Times New Roman" w:hAnsiTheme="minorHAnsi" w:cstheme="minorHAnsi"/>
                <w:sz w:val="20"/>
                <w:szCs w:val="20"/>
                <w:lang w:val="es-AR" w:eastAsia="es-AR"/>
              </w:rPr>
            </w:pPr>
            <w:r w:rsidRPr="0019370D">
              <w:rPr>
                <w:sz w:val="20"/>
                <w:szCs w:val="20"/>
              </w:rPr>
              <w:t xml:space="preserve"> 191.795 </w:t>
            </w:r>
          </w:p>
        </w:tc>
        <w:tc>
          <w:tcPr>
            <w:tcW w:w="1701" w:type="dxa"/>
            <w:shd w:val="clear" w:color="auto" w:fill="auto"/>
            <w:noWrap/>
            <w:hideMark/>
          </w:tcPr>
          <w:p w14:paraId="16E23187" w14:textId="77777777" w:rsidR="0019370D" w:rsidRPr="0019370D" w:rsidRDefault="0019370D" w:rsidP="006B5A62">
            <w:pPr>
              <w:spacing w:before="40" w:after="40" w:line="240" w:lineRule="auto"/>
              <w:jc w:val="right"/>
              <w:rPr>
                <w:rFonts w:asciiTheme="minorHAnsi" w:eastAsia="Times New Roman" w:hAnsiTheme="minorHAnsi" w:cstheme="minorHAnsi"/>
                <w:sz w:val="20"/>
                <w:szCs w:val="20"/>
                <w:lang w:val="es-AR" w:eastAsia="es-AR"/>
              </w:rPr>
            </w:pPr>
            <w:r w:rsidRPr="0019370D">
              <w:rPr>
                <w:sz w:val="20"/>
                <w:szCs w:val="20"/>
              </w:rPr>
              <w:t xml:space="preserve"> 12.158.509 </w:t>
            </w:r>
          </w:p>
        </w:tc>
      </w:tr>
      <w:tr w:rsidR="0019370D" w:rsidRPr="0019370D" w14:paraId="79DF5A8B" w14:textId="77777777" w:rsidTr="006B5A62">
        <w:trPr>
          <w:jc w:val="center"/>
        </w:trPr>
        <w:tc>
          <w:tcPr>
            <w:tcW w:w="1985" w:type="dxa"/>
            <w:shd w:val="clear" w:color="auto" w:fill="auto"/>
            <w:noWrap/>
            <w:vAlign w:val="center"/>
            <w:hideMark/>
          </w:tcPr>
          <w:p w14:paraId="60E28FF3" w14:textId="77777777" w:rsidR="0019370D" w:rsidRPr="0019370D" w:rsidRDefault="0019370D" w:rsidP="006B5A62">
            <w:pPr>
              <w:spacing w:before="40" w:after="40" w:line="240" w:lineRule="auto"/>
              <w:jc w:val="left"/>
              <w:rPr>
                <w:rFonts w:asciiTheme="minorHAnsi" w:eastAsia="Times New Roman" w:hAnsiTheme="minorHAnsi" w:cstheme="minorHAnsi"/>
                <w:sz w:val="20"/>
                <w:szCs w:val="20"/>
                <w:lang w:val="es-AR" w:eastAsia="es-AR"/>
              </w:rPr>
            </w:pPr>
            <w:r w:rsidRPr="0019370D">
              <w:rPr>
                <w:rFonts w:asciiTheme="minorHAnsi" w:eastAsia="Times New Roman" w:hAnsiTheme="minorHAnsi" w:cstheme="minorHAnsi"/>
                <w:sz w:val="20"/>
                <w:szCs w:val="20"/>
                <w:lang w:val="es-AR" w:eastAsia="es-AR"/>
              </w:rPr>
              <w:t>Regional Norte</w:t>
            </w:r>
          </w:p>
        </w:tc>
        <w:tc>
          <w:tcPr>
            <w:tcW w:w="1134" w:type="dxa"/>
            <w:shd w:val="clear" w:color="auto" w:fill="auto"/>
            <w:noWrap/>
            <w:hideMark/>
          </w:tcPr>
          <w:p w14:paraId="6EB93F0E" w14:textId="77777777" w:rsidR="0019370D" w:rsidRPr="0019370D" w:rsidRDefault="0019370D" w:rsidP="006B5A62">
            <w:pPr>
              <w:spacing w:before="40" w:after="40" w:line="240" w:lineRule="auto"/>
              <w:jc w:val="right"/>
              <w:rPr>
                <w:rFonts w:asciiTheme="minorHAnsi" w:eastAsia="Times New Roman" w:hAnsiTheme="minorHAnsi" w:cstheme="minorHAnsi"/>
                <w:sz w:val="20"/>
                <w:szCs w:val="20"/>
                <w:lang w:val="es-AR" w:eastAsia="es-AR"/>
              </w:rPr>
            </w:pPr>
            <w:r w:rsidRPr="0019370D">
              <w:rPr>
                <w:sz w:val="20"/>
                <w:szCs w:val="20"/>
              </w:rPr>
              <w:t xml:space="preserve"> 4.673.016 </w:t>
            </w:r>
          </w:p>
        </w:tc>
        <w:tc>
          <w:tcPr>
            <w:tcW w:w="1134" w:type="dxa"/>
            <w:shd w:val="clear" w:color="auto" w:fill="auto"/>
            <w:noWrap/>
            <w:hideMark/>
          </w:tcPr>
          <w:p w14:paraId="53B4FDDC" w14:textId="77777777" w:rsidR="0019370D" w:rsidRPr="0019370D" w:rsidRDefault="0019370D" w:rsidP="006B5A62">
            <w:pPr>
              <w:spacing w:before="40" w:after="40" w:line="240" w:lineRule="auto"/>
              <w:jc w:val="right"/>
              <w:rPr>
                <w:rFonts w:asciiTheme="minorHAnsi" w:eastAsia="Times New Roman" w:hAnsiTheme="minorHAnsi" w:cstheme="minorHAnsi"/>
                <w:sz w:val="20"/>
                <w:szCs w:val="20"/>
                <w:lang w:val="es-AR" w:eastAsia="es-AR"/>
              </w:rPr>
            </w:pPr>
            <w:r w:rsidRPr="0019370D">
              <w:rPr>
                <w:sz w:val="20"/>
                <w:szCs w:val="20"/>
              </w:rPr>
              <w:t xml:space="preserve"> 28.822 </w:t>
            </w:r>
          </w:p>
        </w:tc>
        <w:tc>
          <w:tcPr>
            <w:tcW w:w="1134" w:type="dxa"/>
            <w:shd w:val="clear" w:color="auto" w:fill="auto"/>
            <w:noWrap/>
            <w:hideMark/>
          </w:tcPr>
          <w:p w14:paraId="617BD1D6" w14:textId="77777777" w:rsidR="0019370D" w:rsidRPr="0019370D" w:rsidRDefault="0019370D" w:rsidP="006B5A62">
            <w:pPr>
              <w:spacing w:before="40" w:after="40" w:line="240" w:lineRule="auto"/>
              <w:jc w:val="right"/>
              <w:rPr>
                <w:rFonts w:asciiTheme="minorHAnsi" w:eastAsia="Times New Roman" w:hAnsiTheme="minorHAnsi" w:cstheme="minorHAnsi"/>
                <w:sz w:val="20"/>
                <w:szCs w:val="20"/>
                <w:lang w:val="es-AR" w:eastAsia="es-AR"/>
              </w:rPr>
            </w:pPr>
            <w:r w:rsidRPr="0019370D">
              <w:rPr>
                <w:sz w:val="20"/>
                <w:szCs w:val="20"/>
              </w:rPr>
              <w:t xml:space="preserve"> 255.132 </w:t>
            </w:r>
          </w:p>
        </w:tc>
        <w:tc>
          <w:tcPr>
            <w:tcW w:w="1134" w:type="dxa"/>
            <w:shd w:val="clear" w:color="auto" w:fill="auto"/>
            <w:noWrap/>
            <w:hideMark/>
          </w:tcPr>
          <w:p w14:paraId="662DF4AD" w14:textId="77777777" w:rsidR="0019370D" w:rsidRPr="0019370D" w:rsidRDefault="0019370D" w:rsidP="006B5A62">
            <w:pPr>
              <w:spacing w:before="40" w:after="40" w:line="240" w:lineRule="auto"/>
              <w:jc w:val="right"/>
              <w:rPr>
                <w:rFonts w:asciiTheme="minorHAnsi" w:eastAsia="Times New Roman" w:hAnsiTheme="minorHAnsi" w:cstheme="minorHAnsi"/>
                <w:sz w:val="20"/>
                <w:szCs w:val="20"/>
                <w:lang w:val="es-AR" w:eastAsia="es-AR"/>
              </w:rPr>
            </w:pPr>
            <w:r w:rsidRPr="0019370D">
              <w:rPr>
                <w:sz w:val="20"/>
                <w:szCs w:val="20"/>
              </w:rPr>
              <w:t xml:space="preserve"> -   </w:t>
            </w:r>
          </w:p>
        </w:tc>
        <w:tc>
          <w:tcPr>
            <w:tcW w:w="1134" w:type="dxa"/>
            <w:shd w:val="clear" w:color="auto" w:fill="auto"/>
            <w:noWrap/>
            <w:hideMark/>
          </w:tcPr>
          <w:p w14:paraId="0C108D4F" w14:textId="77777777" w:rsidR="0019370D" w:rsidRPr="0019370D" w:rsidRDefault="0019370D" w:rsidP="006B5A62">
            <w:pPr>
              <w:spacing w:before="40" w:after="40" w:line="240" w:lineRule="auto"/>
              <w:jc w:val="right"/>
              <w:rPr>
                <w:rFonts w:asciiTheme="minorHAnsi" w:eastAsia="Times New Roman" w:hAnsiTheme="minorHAnsi" w:cstheme="minorHAnsi"/>
                <w:sz w:val="20"/>
                <w:szCs w:val="20"/>
                <w:lang w:val="es-AR" w:eastAsia="es-AR"/>
              </w:rPr>
            </w:pPr>
            <w:r w:rsidRPr="0019370D">
              <w:rPr>
                <w:sz w:val="20"/>
                <w:szCs w:val="20"/>
              </w:rPr>
              <w:t xml:space="preserve"> 46.600 </w:t>
            </w:r>
          </w:p>
        </w:tc>
        <w:tc>
          <w:tcPr>
            <w:tcW w:w="1701" w:type="dxa"/>
            <w:shd w:val="clear" w:color="auto" w:fill="auto"/>
            <w:noWrap/>
            <w:hideMark/>
          </w:tcPr>
          <w:p w14:paraId="7209B7DC" w14:textId="77777777" w:rsidR="0019370D" w:rsidRPr="0019370D" w:rsidRDefault="0019370D" w:rsidP="006B5A62">
            <w:pPr>
              <w:spacing w:before="40" w:after="40" w:line="240" w:lineRule="auto"/>
              <w:jc w:val="right"/>
              <w:rPr>
                <w:rFonts w:asciiTheme="minorHAnsi" w:eastAsia="Times New Roman" w:hAnsiTheme="minorHAnsi" w:cstheme="minorHAnsi"/>
                <w:sz w:val="20"/>
                <w:szCs w:val="20"/>
                <w:lang w:val="es-AR" w:eastAsia="es-AR"/>
              </w:rPr>
            </w:pPr>
            <w:r w:rsidRPr="0019370D">
              <w:rPr>
                <w:sz w:val="20"/>
                <w:szCs w:val="20"/>
              </w:rPr>
              <w:t xml:space="preserve"> 5.003.569 </w:t>
            </w:r>
          </w:p>
        </w:tc>
      </w:tr>
      <w:tr w:rsidR="0019370D" w:rsidRPr="0019370D" w14:paraId="11F60AD0" w14:textId="77777777" w:rsidTr="006B5A62">
        <w:trPr>
          <w:jc w:val="center"/>
        </w:trPr>
        <w:tc>
          <w:tcPr>
            <w:tcW w:w="1985" w:type="dxa"/>
            <w:shd w:val="clear" w:color="auto" w:fill="auto"/>
            <w:noWrap/>
            <w:vAlign w:val="center"/>
            <w:hideMark/>
          </w:tcPr>
          <w:p w14:paraId="08A18ECB" w14:textId="77777777" w:rsidR="0019370D" w:rsidRPr="0019370D" w:rsidRDefault="0019370D" w:rsidP="006B5A62">
            <w:pPr>
              <w:spacing w:before="40" w:after="40" w:line="240" w:lineRule="auto"/>
              <w:jc w:val="left"/>
              <w:rPr>
                <w:rFonts w:asciiTheme="minorHAnsi" w:eastAsia="Times New Roman" w:hAnsiTheme="minorHAnsi" w:cstheme="minorHAnsi"/>
                <w:sz w:val="20"/>
                <w:szCs w:val="20"/>
                <w:lang w:val="es-AR" w:eastAsia="es-AR"/>
              </w:rPr>
            </w:pPr>
            <w:r w:rsidRPr="0019370D">
              <w:rPr>
                <w:rFonts w:asciiTheme="minorHAnsi" w:eastAsia="Times New Roman" w:hAnsiTheme="minorHAnsi" w:cstheme="minorHAnsi"/>
                <w:sz w:val="20"/>
                <w:szCs w:val="20"/>
                <w:lang w:val="es-AR" w:eastAsia="es-AR"/>
              </w:rPr>
              <w:t>Regional Centro</w:t>
            </w:r>
          </w:p>
        </w:tc>
        <w:tc>
          <w:tcPr>
            <w:tcW w:w="1134" w:type="dxa"/>
            <w:shd w:val="clear" w:color="auto" w:fill="auto"/>
            <w:noWrap/>
            <w:hideMark/>
          </w:tcPr>
          <w:p w14:paraId="38EFC4CF" w14:textId="77777777" w:rsidR="0019370D" w:rsidRPr="0019370D" w:rsidRDefault="0019370D" w:rsidP="006B5A62">
            <w:pPr>
              <w:spacing w:before="40" w:after="40" w:line="240" w:lineRule="auto"/>
              <w:jc w:val="right"/>
              <w:rPr>
                <w:rFonts w:asciiTheme="minorHAnsi" w:eastAsia="Times New Roman" w:hAnsiTheme="minorHAnsi" w:cstheme="minorHAnsi"/>
                <w:sz w:val="20"/>
                <w:szCs w:val="20"/>
                <w:lang w:val="es-AR" w:eastAsia="es-AR"/>
              </w:rPr>
            </w:pPr>
            <w:r w:rsidRPr="0019370D">
              <w:rPr>
                <w:sz w:val="20"/>
                <w:szCs w:val="20"/>
              </w:rPr>
              <w:t xml:space="preserve"> 1.374.654 </w:t>
            </w:r>
          </w:p>
        </w:tc>
        <w:tc>
          <w:tcPr>
            <w:tcW w:w="1134" w:type="dxa"/>
            <w:shd w:val="clear" w:color="auto" w:fill="auto"/>
            <w:noWrap/>
            <w:hideMark/>
          </w:tcPr>
          <w:p w14:paraId="615E027A" w14:textId="77777777" w:rsidR="0019370D" w:rsidRPr="0019370D" w:rsidRDefault="0019370D" w:rsidP="006B5A62">
            <w:pPr>
              <w:spacing w:before="40" w:after="40" w:line="240" w:lineRule="auto"/>
              <w:jc w:val="right"/>
              <w:rPr>
                <w:rFonts w:asciiTheme="minorHAnsi" w:eastAsia="Times New Roman" w:hAnsiTheme="minorHAnsi" w:cstheme="minorHAnsi"/>
                <w:sz w:val="20"/>
                <w:szCs w:val="20"/>
                <w:lang w:val="es-AR" w:eastAsia="es-AR"/>
              </w:rPr>
            </w:pPr>
            <w:r w:rsidRPr="0019370D">
              <w:rPr>
                <w:sz w:val="20"/>
                <w:szCs w:val="20"/>
              </w:rPr>
              <w:t xml:space="preserve"> 26.674 </w:t>
            </w:r>
          </w:p>
        </w:tc>
        <w:tc>
          <w:tcPr>
            <w:tcW w:w="1134" w:type="dxa"/>
            <w:shd w:val="clear" w:color="auto" w:fill="auto"/>
            <w:noWrap/>
            <w:hideMark/>
          </w:tcPr>
          <w:p w14:paraId="6E91F4E2" w14:textId="77777777" w:rsidR="0019370D" w:rsidRPr="0019370D" w:rsidRDefault="0019370D" w:rsidP="006B5A62">
            <w:pPr>
              <w:spacing w:before="40" w:after="40" w:line="240" w:lineRule="auto"/>
              <w:jc w:val="right"/>
              <w:rPr>
                <w:rFonts w:asciiTheme="minorHAnsi" w:eastAsia="Times New Roman" w:hAnsiTheme="minorHAnsi" w:cstheme="minorHAnsi"/>
                <w:sz w:val="20"/>
                <w:szCs w:val="20"/>
                <w:lang w:val="es-AR" w:eastAsia="es-AR"/>
              </w:rPr>
            </w:pPr>
            <w:r w:rsidRPr="0019370D">
              <w:rPr>
                <w:sz w:val="20"/>
                <w:szCs w:val="20"/>
              </w:rPr>
              <w:t xml:space="preserve"> 255.132 </w:t>
            </w:r>
          </w:p>
        </w:tc>
        <w:tc>
          <w:tcPr>
            <w:tcW w:w="1134" w:type="dxa"/>
            <w:shd w:val="clear" w:color="auto" w:fill="auto"/>
            <w:noWrap/>
            <w:hideMark/>
          </w:tcPr>
          <w:p w14:paraId="706C77E3" w14:textId="77777777" w:rsidR="0019370D" w:rsidRPr="0019370D" w:rsidRDefault="0019370D" w:rsidP="006B5A62">
            <w:pPr>
              <w:spacing w:before="40" w:after="40" w:line="240" w:lineRule="auto"/>
              <w:jc w:val="right"/>
              <w:rPr>
                <w:rFonts w:asciiTheme="minorHAnsi" w:eastAsia="Times New Roman" w:hAnsiTheme="minorHAnsi" w:cstheme="minorHAnsi"/>
                <w:sz w:val="20"/>
                <w:szCs w:val="20"/>
                <w:lang w:val="es-AR" w:eastAsia="es-AR"/>
              </w:rPr>
            </w:pPr>
            <w:r w:rsidRPr="0019370D">
              <w:rPr>
                <w:sz w:val="20"/>
                <w:szCs w:val="20"/>
              </w:rPr>
              <w:t xml:space="preserve"> -   </w:t>
            </w:r>
          </w:p>
        </w:tc>
        <w:tc>
          <w:tcPr>
            <w:tcW w:w="1134" w:type="dxa"/>
            <w:shd w:val="clear" w:color="auto" w:fill="auto"/>
            <w:noWrap/>
            <w:hideMark/>
          </w:tcPr>
          <w:p w14:paraId="0C402DFD" w14:textId="77777777" w:rsidR="0019370D" w:rsidRPr="0019370D" w:rsidRDefault="0019370D" w:rsidP="006B5A62">
            <w:pPr>
              <w:spacing w:before="40" w:after="40" w:line="240" w:lineRule="auto"/>
              <w:jc w:val="right"/>
              <w:rPr>
                <w:rFonts w:asciiTheme="minorHAnsi" w:eastAsia="Times New Roman" w:hAnsiTheme="minorHAnsi" w:cstheme="minorHAnsi"/>
                <w:sz w:val="20"/>
                <w:szCs w:val="20"/>
                <w:lang w:val="es-AR" w:eastAsia="es-AR"/>
              </w:rPr>
            </w:pPr>
            <w:r w:rsidRPr="0019370D">
              <w:rPr>
                <w:sz w:val="20"/>
                <w:szCs w:val="20"/>
              </w:rPr>
              <w:t xml:space="preserve"> 42.768 </w:t>
            </w:r>
          </w:p>
        </w:tc>
        <w:tc>
          <w:tcPr>
            <w:tcW w:w="1701" w:type="dxa"/>
            <w:shd w:val="clear" w:color="auto" w:fill="auto"/>
            <w:noWrap/>
            <w:hideMark/>
          </w:tcPr>
          <w:p w14:paraId="1530F364" w14:textId="77777777" w:rsidR="0019370D" w:rsidRPr="0019370D" w:rsidRDefault="0019370D" w:rsidP="006B5A62">
            <w:pPr>
              <w:spacing w:before="40" w:after="40" w:line="240" w:lineRule="auto"/>
              <w:jc w:val="right"/>
              <w:rPr>
                <w:rFonts w:asciiTheme="minorHAnsi" w:eastAsia="Times New Roman" w:hAnsiTheme="minorHAnsi" w:cstheme="minorHAnsi"/>
                <w:sz w:val="20"/>
                <w:szCs w:val="20"/>
                <w:lang w:val="es-AR" w:eastAsia="es-AR"/>
              </w:rPr>
            </w:pPr>
            <w:r w:rsidRPr="0019370D">
              <w:rPr>
                <w:sz w:val="20"/>
                <w:szCs w:val="20"/>
              </w:rPr>
              <w:t xml:space="preserve"> 1.699.228 </w:t>
            </w:r>
          </w:p>
        </w:tc>
      </w:tr>
      <w:tr w:rsidR="0019370D" w:rsidRPr="0019370D" w14:paraId="6A7A77FF" w14:textId="77777777" w:rsidTr="006B5A62">
        <w:trPr>
          <w:jc w:val="center"/>
        </w:trPr>
        <w:tc>
          <w:tcPr>
            <w:tcW w:w="1985" w:type="dxa"/>
            <w:shd w:val="clear" w:color="auto" w:fill="auto"/>
            <w:noWrap/>
            <w:vAlign w:val="center"/>
            <w:hideMark/>
          </w:tcPr>
          <w:p w14:paraId="27098BFB" w14:textId="77777777" w:rsidR="0019370D" w:rsidRPr="0019370D" w:rsidRDefault="0019370D" w:rsidP="006B5A62">
            <w:pPr>
              <w:spacing w:before="40" w:after="40" w:line="240" w:lineRule="auto"/>
              <w:jc w:val="left"/>
              <w:rPr>
                <w:rFonts w:asciiTheme="minorHAnsi" w:eastAsia="Times New Roman" w:hAnsiTheme="minorHAnsi" w:cstheme="minorHAnsi"/>
                <w:sz w:val="20"/>
                <w:szCs w:val="20"/>
                <w:lang w:val="es-AR" w:eastAsia="es-AR"/>
              </w:rPr>
            </w:pPr>
            <w:r w:rsidRPr="0019370D">
              <w:rPr>
                <w:rFonts w:asciiTheme="minorHAnsi" w:eastAsia="Times New Roman" w:hAnsiTheme="minorHAnsi" w:cstheme="minorHAnsi"/>
                <w:sz w:val="20"/>
                <w:szCs w:val="20"/>
                <w:lang w:val="es-AR" w:eastAsia="es-AR"/>
              </w:rPr>
              <w:t>Regional Centro Sur</w:t>
            </w:r>
          </w:p>
        </w:tc>
        <w:tc>
          <w:tcPr>
            <w:tcW w:w="1134" w:type="dxa"/>
            <w:shd w:val="clear" w:color="auto" w:fill="auto"/>
            <w:noWrap/>
            <w:hideMark/>
          </w:tcPr>
          <w:p w14:paraId="344BDB6D" w14:textId="77777777" w:rsidR="0019370D" w:rsidRPr="0019370D" w:rsidRDefault="0019370D" w:rsidP="006B5A62">
            <w:pPr>
              <w:spacing w:before="40" w:after="40" w:line="240" w:lineRule="auto"/>
              <w:jc w:val="right"/>
              <w:rPr>
                <w:rFonts w:asciiTheme="minorHAnsi" w:eastAsia="Times New Roman" w:hAnsiTheme="minorHAnsi" w:cstheme="minorHAnsi"/>
                <w:sz w:val="20"/>
                <w:szCs w:val="20"/>
                <w:lang w:val="es-AR" w:eastAsia="es-AR"/>
              </w:rPr>
            </w:pPr>
            <w:r w:rsidRPr="0019370D">
              <w:rPr>
                <w:sz w:val="20"/>
                <w:szCs w:val="20"/>
              </w:rPr>
              <w:t xml:space="preserve"> 961.993 </w:t>
            </w:r>
          </w:p>
        </w:tc>
        <w:tc>
          <w:tcPr>
            <w:tcW w:w="1134" w:type="dxa"/>
            <w:shd w:val="clear" w:color="auto" w:fill="auto"/>
            <w:noWrap/>
            <w:hideMark/>
          </w:tcPr>
          <w:p w14:paraId="5D2DA3C3" w14:textId="77777777" w:rsidR="0019370D" w:rsidRPr="0019370D" w:rsidRDefault="0019370D" w:rsidP="006B5A62">
            <w:pPr>
              <w:spacing w:before="40" w:after="40" w:line="240" w:lineRule="auto"/>
              <w:jc w:val="right"/>
              <w:rPr>
                <w:rFonts w:asciiTheme="minorHAnsi" w:eastAsia="Times New Roman" w:hAnsiTheme="minorHAnsi" w:cstheme="minorHAnsi"/>
                <w:sz w:val="20"/>
                <w:szCs w:val="20"/>
                <w:lang w:val="es-AR" w:eastAsia="es-AR"/>
              </w:rPr>
            </w:pPr>
            <w:r w:rsidRPr="0019370D">
              <w:rPr>
                <w:sz w:val="20"/>
                <w:szCs w:val="20"/>
              </w:rPr>
              <w:t xml:space="preserve"> 25.958 </w:t>
            </w:r>
          </w:p>
        </w:tc>
        <w:tc>
          <w:tcPr>
            <w:tcW w:w="1134" w:type="dxa"/>
            <w:shd w:val="clear" w:color="auto" w:fill="auto"/>
            <w:noWrap/>
            <w:hideMark/>
          </w:tcPr>
          <w:p w14:paraId="3AF04E66" w14:textId="77777777" w:rsidR="0019370D" w:rsidRPr="0019370D" w:rsidRDefault="0019370D" w:rsidP="006B5A62">
            <w:pPr>
              <w:spacing w:before="40" w:after="40" w:line="240" w:lineRule="auto"/>
              <w:jc w:val="right"/>
              <w:rPr>
                <w:rFonts w:asciiTheme="minorHAnsi" w:eastAsia="Times New Roman" w:hAnsiTheme="minorHAnsi" w:cstheme="minorHAnsi"/>
                <w:sz w:val="20"/>
                <w:szCs w:val="20"/>
                <w:lang w:val="es-AR" w:eastAsia="es-AR"/>
              </w:rPr>
            </w:pPr>
            <w:r w:rsidRPr="0019370D">
              <w:rPr>
                <w:sz w:val="20"/>
                <w:szCs w:val="20"/>
              </w:rPr>
              <w:t xml:space="preserve"> 255.132 </w:t>
            </w:r>
          </w:p>
        </w:tc>
        <w:tc>
          <w:tcPr>
            <w:tcW w:w="1134" w:type="dxa"/>
            <w:shd w:val="clear" w:color="auto" w:fill="auto"/>
            <w:noWrap/>
            <w:hideMark/>
          </w:tcPr>
          <w:p w14:paraId="2FFC81BD" w14:textId="77777777" w:rsidR="0019370D" w:rsidRPr="0019370D" w:rsidRDefault="0019370D" w:rsidP="006B5A62">
            <w:pPr>
              <w:spacing w:before="40" w:after="40" w:line="240" w:lineRule="auto"/>
              <w:jc w:val="right"/>
              <w:rPr>
                <w:rFonts w:asciiTheme="minorHAnsi" w:eastAsia="Times New Roman" w:hAnsiTheme="minorHAnsi" w:cstheme="minorHAnsi"/>
                <w:sz w:val="20"/>
                <w:szCs w:val="20"/>
                <w:lang w:val="es-AR" w:eastAsia="es-AR"/>
              </w:rPr>
            </w:pPr>
            <w:r w:rsidRPr="0019370D">
              <w:rPr>
                <w:sz w:val="20"/>
                <w:szCs w:val="20"/>
              </w:rPr>
              <w:t xml:space="preserve"> -   </w:t>
            </w:r>
          </w:p>
        </w:tc>
        <w:tc>
          <w:tcPr>
            <w:tcW w:w="1134" w:type="dxa"/>
            <w:shd w:val="clear" w:color="auto" w:fill="auto"/>
            <w:noWrap/>
            <w:hideMark/>
          </w:tcPr>
          <w:p w14:paraId="0509EB9B" w14:textId="77777777" w:rsidR="0019370D" w:rsidRPr="0019370D" w:rsidRDefault="0019370D" w:rsidP="006B5A62">
            <w:pPr>
              <w:spacing w:before="40" w:after="40" w:line="240" w:lineRule="auto"/>
              <w:jc w:val="right"/>
              <w:rPr>
                <w:rFonts w:asciiTheme="minorHAnsi" w:eastAsia="Times New Roman" w:hAnsiTheme="minorHAnsi" w:cstheme="minorHAnsi"/>
                <w:sz w:val="20"/>
                <w:szCs w:val="20"/>
                <w:lang w:val="es-AR" w:eastAsia="es-AR"/>
              </w:rPr>
            </w:pPr>
            <w:r w:rsidRPr="0019370D">
              <w:rPr>
                <w:sz w:val="20"/>
                <w:szCs w:val="20"/>
              </w:rPr>
              <w:t xml:space="preserve"> 41.491 </w:t>
            </w:r>
          </w:p>
        </w:tc>
        <w:tc>
          <w:tcPr>
            <w:tcW w:w="1701" w:type="dxa"/>
            <w:shd w:val="clear" w:color="auto" w:fill="auto"/>
            <w:noWrap/>
            <w:hideMark/>
          </w:tcPr>
          <w:p w14:paraId="68A058C5" w14:textId="77777777" w:rsidR="0019370D" w:rsidRPr="0019370D" w:rsidRDefault="0019370D" w:rsidP="006B5A62">
            <w:pPr>
              <w:spacing w:before="40" w:after="40" w:line="240" w:lineRule="auto"/>
              <w:jc w:val="right"/>
              <w:rPr>
                <w:rFonts w:asciiTheme="minorHAnsi" w:eastAsia="Times New Roman" w:hAnsiTheme="minorHAnsi" w:cstheme="minorHAnsi"/>
                <w:sz w:val="20"/>
                <w:szCs w:val="20"/>
                <w:lang w:val="es-AR" w:eastAsia="es-AR"/>
              </w:rPr>
            </w:pPr>
            <w:r w:rsidRPr="0019370D">
              <w:rPr>
                <w:sz w:val="20"/>
                <w:szCs w:val="20"/>
              </w:rPr>
              <w:t xml:space="preserve"> 1.284.573 </w:t>
            </w:r>
          </w:p>
        </w:tc>
      </w:tr>
      <w:tr w:rsidR="0019370D" w:rsidRPr="0019370D" w14:paraId="6E0460C6" w14:textId="77777777" w:rsidTr="006B5A62">
        <w:trPr>
          <w:jc w:val="center"/>
        </w:trPr>
        <w:tc>
          <w:tcPr>
            <w:tcW w:w="1985" w:type="dxa"/>
            <w:shd w:val="clear" w:color="auto" w:fill="auto"/>
            <w:noWrap/>
            <w:vAlign w:val="center"/>
            <w:hideMark/>
          </w:tcPr>
          <w:p w14:paraId="775A6A31" w14:textId="77777777" w:rsidR="0019370D" w:rsidRPr="0019370D" w:rsidRDefault="0019370D" w:rsidP="006B5A62">
            <w:pPr>
              <w:spacing w:before="40" w:after="40" w:line="240" w:lineRule="auto"/>
              <w:jc w:val="left"/>
              <w:rPr>
                <w:rFonts w:asciiTheme="minorHAnsi" w:eastAsia="Times New Roman" w:hAnsiTheme="minorHAnsi" w:cstheme="minorHAnsi"/>
                <w:sz w:val="20"/>
                <w:szCs w:val="20"/>
                <w:lang w:val="es-AR" w:eastAsia="es-AR"/>
              </w:rPr>
            </w:pPr>
            <w:r w:rsidRPr="0019370D">
              <w:rPr>
                <w:rFonts w:asciiTheme="minorHAnsi" w:eastAsia="Times New Roman" w:hAnsiTheme="minorHAnsi" w:cstheme="minorHAnsi"/>
                <w:sz w:val="20"/>
                <w:szCs w:val="20"/>
                <w:lang w:val="es-AR" w:eastAsia="es-AR"/>
              </w:rPr>
              <w:t>Regional Sur</w:t>
            </w:r>
          </w:p>
        </w:tc>
        <w:tc>
          <w:tcPr>
            <w:tcW w:w="1134" w:type="dxa"/>
            <w:shd w:val="clear" w:color="auto" w:fill="auto"/>
            <w:noWrap/>
            <w:hideMark/>
          </w:tcPr>
          <w:p w14:paraId="62A8E3F7" w14:textId="77777777" w:rsidR="0019370D" w:rsidRPr="0019370D" w:rsidRDefault="0019370D" w:rsidP="006B5A62">
            <w:pPr>
              <w:spacing w:before="40" w:after="40" w:line="240" w:lineRule="auto"/>
              <w:jc w:val="right"/>
              <w:rPr>
                <w:rFonts w:asciiTheme="minorHAnsi" w:eastAsia="Times New Roman" w:hAnsiTheme="minorHAnsi" w:cstheme="minorHAnsi"/>
                <w:sz w:val="20"/>
                <w:szCs w:val="20"/>
                <w:lang w:val="es-AR" w:eastAsia="es-AR"/>
              </w:rPr>
            </w:pPr>
            <w:r w:rsidRPr="0019370D">
              <w:rPr>
                <w:sz w:val="20"/>
                <w:szCs w:val="20"/>
              </w:rPr>
              <w:t xml:space="preserve"> 1.817.351 </w:t>
            </w:r>
          </w:p>
        </w:tc>
        <w:tc>
          <w:tcPr>
            <w:tcW w:w="1134" w:type="dxa"/>
            <w:shd w:val="clear" w:color="auto" w:fill="auto"/>
            <w:noWrap/>
            <w:hideMark/>
          </w:tcPr>
          <w:p w14:paraId="043E78D7" w14:textId="77777777" w:rsidR="0019370D" w:rsidRPr="0019370D" w:rsidRDefault="0019370D" w:rsidP="006B5A62">
            <w:pPr>
              <w:spacing w:before="40" w:after="40" w:line="240" w:lineRule="auto"/>
              <w:jc w:val="right"/>
              <w:rPr>
                <w:rFonts w:asciiTheme="minorHAnsi" w:eastAsia="Times New Roman" w:hAnsiTheme="minorHAnsi" w:cstheme="minorHAnsi"/>
                <w:sz w:val="20"/>
                <w:szCs w:val="20"/>
                <w:lang w:val="es-AR" w:eastAsia="es-AR"/>
              </w:rPr>
            </w:pPr>
            <w:r w:rsidRPr="0019370D">
              <w:rPr>
                <w:sz w:val="20"/>
                <w:szCs w:val="20"/>
              </w:rPr>
              <w:t xml:space="preserve"> 26.674 </w:t>
            </w:r>
          </w:p>
        </w:tc>
        <w:tc>
          <w:tcPr>
            <w:tcW w:w="1134" w:type="dxa"/>
            <w:shd w:val="clear" w:color="auto" w:fill="auto"/>
            <w:noWrap/>
            <w:hideMark/>
          </w:tcPr>
          <w:p w14:paraId="6BAE781D" w14:textId="77777777" w:rsidR="0019370D" w:rsidRPr="0019370D" w:rsidRDefault="0019370D" w:rsidP="006B5A62">
            <w:pPr>
              <w:spacing w:before="40" w:after="40" w:line="240" w:lineRule="auto"/>
              <w:jc w:val="right"/>
              <w:rPr>
                <w:rFonts w:asciiTheme="minorHAnsi" w:eastAsia="Times New Roman" w:hAnsiTheme="minorHAnsi" w:cstheme="minorHAnsi"/>
                <w:sz w:val="20"/>
                <w:szCs w:val="20"/>
                <w:lang w:val="es-AR" w:eastAsia="es-AR"/>
              </w:rPr>
            </w:pPr>
            <w:r w:rsidRPr="0019370D">
              <w:rPr>
                <w:sz w:val="20"/>
                <w:szCs w:val="20"/>
              </w:rPr>
              <w:t xml:space="preserve"> 255.132 </w:t>
            </w:r>
          </w:p>
        </w:tc>
        <w:tc>
          <w:tcPr>
            <w:tcW w:w="1134" w:type="dxa"/>
            <w:shd w:val="clear" w:color="auto" w:fill="auto"/>
            <w:noWrap/>
            <w:hideMark/>
          </w:tcPr>
          <w:p w14:paraId="1F42F097" w14:textId="77777777" w:rsidR="0019370D" w:rsidRPr="0019370D" w:rsidRDefault="0019370D" w:rsidP="006B5A62">
            <w:pPr>
              <w:spacing w:before="40" w:after="40" w:line="240" w:lineRule="auto"/>
              <w:jc w:val="right"/>
              <w:rPr>
                <w:rFonts w:asciiTheme="minorHAnsi" w:eastAsia="Times New Roman" w:hAnsiTheme="minorHAnsi" w:cstheme="minorHAnsi"/>
                <w:sz w:val="20"/>
                <w:szCs w:val="20"/>
                <w:lang w:val="es-AR" w:eastAsia="es-AR"/>
              </w:rPr>
            </w:pPr>
            <w:r w:rsidRPr="0019370D">
              <w:rPr>
                <w:sz w:val="20"/>
                <w:szCs w:val="20"/>
              </w:rPr>
              <w:t xml:space="preserve"> -   </w:t>
            </w:r>
          </w:p>
        </w:tc>
        <w:tc>
          <w:tcPr>
            <w:tcW w:w="1134" w:type="dxa"/>
            <w:shd w:val="clear" w:color="auto" w:fill="auto"/>
            <w:noWrap/>
            <w:hideMark/>
          </w:tcPr>
          <w:p w14:paraId="661494AA" w14:textId="77777777" w:rsidR="0019370D" w:rsidRPr="0019370D" w:rsidRDefault="0019370D" w:rsidP="006B5A62">
            <w:pPr>
              <w:spacing w:before="40" w:after="40" w:line="240" w:lineRule="auto"/>
              <w:jc w:val="right"/>
              <w:rPr>
                <w:rFonts w:asciiTheme="minorHAnsi" w:eastAsia="Times New Roman" w:hAnsiTheme="minorHAnsi" w:cstheme="minorHAnsi"/>
                <w:sz w:val="20"/>
                <w:szCs w:val="20"/>
                <w:lang w:val="es-AR" w:eastAsia="es-AR"/>
              </w:rPr>
            </w:pPr>
            <w:r w:rsidRPr="0019370D">
              <w:rPr>
                <w:sz w:val="20"/>
                <w:szCs w:val="20"/>
              </w:rPr>
              <w:t xml:space="preserve"> 42.768 </w:t>
            </w:r>
          </w:p>
        </w:tc>
        <w:tc>
          <w:tcPr>
            <w:tcW w:w="1701" w:type="dxa"/>
            <w:shd w:val="clear" w:color="auto" w:fill="auto"/>
            <w:noWrap/>
            <w:hideMark/>
          </w:tcPr>
          <w:p w14:paraId="3E98265C" w14:textId="77777777" w:rsidR="0019370D" w:rsidRPr="0019370D" w:rsidRDefault="0019370D" w:rsidP="006B5A62">
            <w:pPr>
              <w:spacing w:before="40" w:after="40" w:line="240" w:lineRule="auto"/>
              <w:jc w:val="right"/>
              <w:rPr>
                <w:rFonts w:asciiTheme="minorHAnsi" w:eastAsia="Times New Roman" w:hAnsiTheme="minorHAnsi" w:cstheme="minorHAnsi"/>
                <w:sz w:val="20"/>
                <w:szCs w:val="20"/>
                <w:lang w:val="es-AR" w:eastAsia="es-AR"/>
              </w:rPr>
            </w:pPr>
            <w:r w:rsidRPr="0019370D">
              <w:rPr>
                <w:sz w:val="20"/>
                <w:szCs w:val="20"/>
              </w:rPr>
              <w:t xml:space="preserve"> 2.141.924 </w:t>
            </w:r>
          </w:p>
        </w:tc>
      </w:tr>
      <w:tr w:rsidR="0019370D" w:rsidRPr="00FB6D6B" w14:paraId="6BDC0C09" w14:textId="77777777" w:rsidTr="006B5A62">
        <w:trPr>
          <w:jc w:val="center"/>
        </w:trPr>
        <w:tc>
          <w:tcPr>
            <w:tcW w:w="1985" w:type="dxa"/>
            <w:shd w:val="clear" w:color="auto" w:fill="auto"/>
            <w:noWrap/>
            <w:vAlign w:val="center"/>
            <w:hideMark/>
          </w:tcPr>
          <w:p w14:paraId="39018577" w14:textId="77777777" w:rsidR="0019370D" w:rsidRPr="0019370D" w:rsidRDefault="0019370D" w:rsidP="006B5A62">
            <w:pPr>
              <w:spacing w:before="40" w:after="40" w:line="240" w:lineRule="auto"/>
              <w:jc w:val="left"/>
              <w:rPr>
                <w:rFonts w:asciiTheme="minorHAnsi" w:eastAsia="Times New Roman" w:hAnsiTheme="minorHAnsi" w:cstheme="minorHAnsi"/>
                <w:b/>
                <w:bCs/>
                <w:sz w:val="20"/>
                <w:szCs w:val="20"/>
                <w:lang w:val="es-AR" w:eastAsia="es-AR"/>
              </w:rPr>
            </w:pPr>
            <w:r w:rsidRPr="0019370D">
              <w:rPr>
                <w:rFonts w:asciiTheme="minorHAnsi" w:eastAsia="Times New Roman" w:hAnsiTheme="minorHAnsi" w:cstheme="minorHAnsi"/>
                <w:b/>
                <w:bCs/>
                <w:sz w:val="20"/>
                <w:szCs w:val="20"/>
                <w:lang w:val="es-AR" w:eastAsia="es-AR"/>
              </w:rPr>
              <w:t>TOTAL</w:t>
            </w:r>
          </w:p>
        </w:tc>
        <w:tc>
          <w:tcPr>
            <w:tcW w:w="1134" w:type="dxa"/>
            <w:shd w:val="clear" w:color="auto" w:fill="auto"/>
            <w:noWrap/>
            <w:hideMark/>
          </w:tcPr>
          <w:p w14:paraId="0A69F189" w14:textId="77777777" w:rsidR="0019370D" w:rsidRPr="0019370D" w:rsidRDefault="0019370D" w:rsidP="006B5A62">
            <w:pPr>
              <w:spacing w:before="40" w:after="40" w:line="240" w:lineRule="auto"/>
              <w:jc w:val="right"/>
              <w:rPr>
                <w:rFonts w:asciiTheme="minorHAnsi" w:eastAsia="Times New Roman" w:hAnsiTheme="minorHAnsi" w:cstheme="minorHAnsi"/>
                <w:b/>
                <w:bCs/>
                <w:sz w:val="20"/>
                <w:szCs w:val="20"/>
                <w:lang w:val="es-AR" w:eastAsia="es-AR"/>
              </w:rPr>
            </w:pPr>
            <w:r w:rsidRPr="0019370D">
              <w:rPr>
                <w:sz w:val="20"/>
                <w:szCs w:val="20"/>
              </w:rPr>
              <w:t xml:space="preserve"> 10.971.865 </w:t>
            </w:r>
          </w:p>
        </w:tc>
        <w:tc>
          <w:tcPr>
            <w:tcW w:w="1134" w:type="dxa"/>
            <w:shd w:val="clear" w:color="auto" w:fill="auto"/>
            <w:noWrap/>
            <w:hideMark/>
          </w:tcPr>
          <w:p w14:paraId="1D63DD4D" w14:textId="77777777" w:rsidR="0019370D" w:rsidRPr="0019370D" w:rsidRDefault="0019370D" w:rsidP="006B5A62">
            <w:pPr>
              <w:spacing w:before="40" w:after="40" w:line="240" w:lineRule="auto"/>
              <w:jc w:val="right"/>
              <w:rPr>
                <w:rFonts w:asciiTheme="minorHAnsi" w:eastAsia="Times New Roman" w:hAnsiTheme="minorHAnsi" w:cstheme="minorHAnsi"/>
                <w:b/>
                <w:bCs/>
                <w:sz w:val="20"/>
                <w:szCs w:val="20"/>
                <w:lang w:val="es-AR" w:eastAsia="es-AR"/>
              </w:rPr>
            </w:pPr>
            <w:r w:rsidRPr="0019370D">
              <w:rPr>
                <w:sz w:val="20"/>
                <w:szCs w:val="20"/>
              </w:rPr>
              <w:t xml:space="preserve"> 9.929.989 </w:t>
            </w:r>
          </w:p>
        </w:tc>
        <w:tc>
          <w:tcPr>
            <w:tcW w:w="1134" w:type="dxa"/>
            <w:shd w:val="clear" w:color="auto" w:fill="auto"/>
            <w:noWrap/>
            <w:hideMark/>
          </w:tcPr>
          <w:p w14:paraId="1B2DA638" w14:textId="77777777" w:rsidR="0019370D" w:rsidRPr="0019370D" w:rsidRDefault="0019370D" w:rsidP="006B5A62">
            <w:pPr>
              <w:spacing w:before="40" w:after="40" w:line="240" w:lineRule="auto"/>
              <w:jc w:val="right"/>
              <w:rPr>
                <w:rFonts w:asciiTheme="minorHAnsi" w:eastAsia="Times New Roman" w:hAnsiTheme="minorHAnsi" w:cstheme="minorHAnsi"/>
                <w:b/>
                <w:bCs/>
                <w:sz w:val="20"/>
                <w:szCs w:val="20"/>
                <w:lang w:val="es-AR" w:eastAsia="es-AR"/>
              </w:rPr>
            </w:pPr>
            <w:r w:rsidRPr="0019370D">
              <w:rPr>
                <w:sz w:val="20"/>
                <w:szCs w:val="20"/>
              </w:rPr>
              <w:t xml:space="preserve"> 1.020.527 </w:t>
            </w:r>
          </w:p>
        </w:tc>
        <w:tc>
          <w:tcPr>
            <w:tcW w:w="1134" w:type="dxa"/>
            <w:shd w:val="clear" w:color="auto" w:fill="auto"/>
            <w:noWrap/>
            <w:hideMark/>
          </w:tcPr>
          <w:p w14:paraId="414E849E" w14:textId="77777777" w:rsidR="0019370D" w:rsidRPr="0019370D" w:rsidRDefault="0019370D" w:rsidP="006B5A62">
            <w:pPr>
              <w:spacing w:before="40" w:after="40" w:line="240" w:lineRule="auto"/>
              <w:jc w:val="right"/>
              <w:rPr>
                <w:rFonts w:asciiTheme="minorHAnsi" w:eastAsia="Times New Roman" w:hAnsiTheme="minorHAnsi" w:cstheme="minorHAnsi"/>
                <w:b/>
                <w:bCs/>
                <w:sz w:val="20"/>
                <w:szCs w:val="20"/>
                <w:lang w:val="es-AR" w:eastAsia="es-AR"/>
              </w:rPr>
            </w:pPr>
            <w:r w:rsidRPr="0019370D">
              <w:rPr>
                <w:sz w:val="20"/>
                <w:szCs w:val="20"/>
              </w:rPr>
              <w:t xml:space="preserve"> -   </w:t>
            </w:r>
          </w:p>
        </w:tc>
        <w:tc>
          <w:tcPr>
            <w:tcW w:w="1134" w:type="dxa"/>
            <w:shd w:val="clear" w:color="auto" w:fill="auto"/>
            <w:noWrap/>
            <w:hideMark/>
          </w:tcPr>
          <w:p w14:paraId="7C4265CE" w14:textId="77777777" w:rsidR="0019370D" w:rsidRPr="0019370D" w:rsidRDefault="0019370D" w:rsidP="006B5A62">
            <w:pPr>
              <w:spacing w:before="40" w:after="40" w:line="240" w:lineRule="auto"/>
              <w:jc w:val="right"/>
              <w:rPr>
                <w:rFonts w:asciiTheme="minorHAnsi" w:eastAsia="Times New Roman" w:hAnsiTheme="minorHAnsi" w:cstheme="minorHAnsi"/>
                <w:b/>
                <w:bCs/>
                <w:sz w:val="20"/>
                <w:szCs w:val="20"/>
                <w:lang w:val="es-AR" w:eastAsia="es-AR"/>
              </w:rPr>
            </w:pPr>
            <w:r w:rsidRPr="0019370D">
              <w:rPr>
                <w:sz w:val="20"/>
                <w:szCs w:val="20"/>
              </w:rPr>
              <w:t xml:space="preserve"> 365.421 </w:t>
            </w:r>
          </w:p>
        </w:tc>
        <w:tc>
          <w:tcPr>
            <w:tcW w:w="1701" w:type="dxa"/>
            <w:shd w:val="clear" w:color="auto" w:fill="auto"/>
            <w:noWrap/>
            <w:hideMark/>
          </w:tcPr>
          <w:p w14:paraId="1A4889D2" w14:textId="77777777" w:rsidR="0019370D" w:rsidRPr="00FB6D6B" w:rsidRDefault="0019370D" w:rsidP="006B5A62">
            <w:pPr>
              <w:spacing w:before="40" w:after="40" w:line="240" w:lineRule="auto"/>
              <w:jc w:val="right"/>
              <w:rPr>
                <w:rFonts w:asciiTheme="minorHAnsi" w:eastAsia="Times New Roman" w:hAnsiTheme="minorHAnsi" w:cstheme="minorHAnsi"/>
                <w:b/>
                <w:bCs/>
                <w:sz w:val="20"/>
                <w:szCs w:val="20"/>
                <w:lang w:val="es-AR" w:eastAsia="es-AR"/>
              </w:rPr>
            </w:pPr>
            <w:r w:rsidRPr="0019370D">
              <w:rPr>
                <w:sz w:val="20"/>
                <w:szCs w:val="20"/>
              </w:rPr>
              <w:t xml:space="preserve"> 22.287.803</w:t>
            </w:r>
            <w:r w:rsidRPr="00FB6D6B">
              <w:rPr>
                <w:sz w:val="20"/>
                <w:szCs w:val="20"/>
              </w:rPr>
              <w:t xml:space="preserve"> </w:t>
            </w:r>
          </w:p>
        </w:tc>
      </w:tr>
    </w:tbl>
    <w:p w14:paraId="2C51D0F8" w14:textId="1EC6AC42" w:rsidR="006F731F" w:rsidRDefault="006F731F" w:rsidP="00590C9C">
      <w:pPr>
        <w:spacing w:after="0"/>
        <w:rPr>
          <w:lang w:val="es-ES"/>
        </w:rPr>
      </w:pPr>
    </w:p>
    <w:p w14:paraId="46CB1C38" w14:textId="10797F6B" w:rsidR="002F3394" w:rsidRPr="00C91C8F" w:rsidRDefault="002F3394" w:rsidP="0079428C">
      <w:pPr>
        <w:rPr>
          <w:lang w:val="es-ES"/>
        </w:rPr>
      </w:pPr>
      <w:r>
        <w:rPr>
          <w:lang w:val="es-ES"/>
        </w:rPr>
        <w:t>Donde:</w:t>
      </w:r>
    </w:p>
    <w:tbl>
      <w:tblPr>
        <w:tblW w:w="6897" w:type="dxa"/>
        <w:shd w:val="clear" w:color="000000" w:fill="FFFFFF" w:themeFill="background1"/>
        <w:tblCellMar>
          <w:left w:w="70" w:type="dxa"/>
          <w:right w:w="70" w:type="dxa"/>
        </w:tblCellMar>
        <w:tblLook w:val="04A0" w:firstRow="1" w:lastRow="0" w:firstColumn="1" w:lastColumn="0" w:noHBand="0" w:noVBand="1"/>
      </w:tblPr>
      <w:tblGrid>
        <w:gridCol w:w="739"/>
        <w:gridCol w:w="205"/>
        <w:gridCol w:w="5953"/>
      </w:tblGrid>
      <w:tr w:rsidR="002F3394" w:rsidRPr="00C91C8F" w14:paraId="33C65D31" w14:textId="77777777" w:rsidTr="002F3394">
        <w:trPr>
          <w:trHeight w:val="330"/>
        </w:trPr>
        <w:tc>
          <w:tcPr>
            <w:tcW w:w="739" w:type="dxa"/>
            <w:shd w:val="clear" w:color="000000" w:fill="FFFFFF" w:themeFill="background1"/>
          </w:tcPr>
          <w:p w14:paraId="7206FD33" w14:textId="77777777" w:rsidR="0079428C" w:rsidRPr="002F3394" w:rsidRDefault="0079428C" w:rsidP="00C276D3">
            <w:pPr>
              <w:spacing w:after="0" w:line="240" w:lineRule="auto"/>
              <w:jc w:val="center"/>
              <w:rPr>
                <w:rFonts w:eastAsia="Times New Roman" w:cs="Calibri"/>
                <w:color w:val="000000"/>
                <w:lang w:val="es-AR" w:eastAsia="es-AR"/>
              </w:rPr>
            </w:pPr>
            <w:r w:rsidRPr="002F3394">
              <w:rPr>
                <w:rFonts w:eastAsia="Times New Roman" w:cs="Calibri"/>
                <w:color w:val="000000"/>
                <w:lang w:val="es-AR" w:eastAsia="es-AR"/>
              </w:rPr>
              <w:t>BI</w:t>
            </w:r>
          </w:p>
        </w:tc>
        <w:tc>
          <w:tcPr>
            <w:tcW w:w="205" w:type="dxa"/>
            <w:shd w:val="clear" w:color="000000" w:fill="FFFFFF" w:themeFill="background1"/>
            <w:vAlign w:val="center"/>
            <w:hideMark/>
          </w:tcPr>
          <w:p w14:paraId="112C8724" w14:textId="2DBA5B98" w:rsidR="0079428C" w:rsidRPr="002F3394" w:rsidRDefault="002F3394" w:rsidP="00C276D3">
            <w:pPr>
              <w:spacing w:after="0" w:line="240" w:lineRule="auto"/>
              <w:jc w:val="center"/>
              <w:rPr>
                <w:rFonts w:eastAsia="Times New Roman" w:cs="Calibri"/>
                <w:color w:val="000000"/>
                <w:lang w:val="es-AR" w:eastAsia="es-AR"/>
              </w:rPr>
            </w:pPr>
            <w:r w:rsidRPr="002F3394">
              <w:rPr>
                <w:rFonts w:eastAsia="Times New Roman" w:cs="Calibri"/>
                <w:color w:val="000000"/>
                <w:lang w:val="es-AR" w:eastAsia="es-AR"/>
              </w:rPr>
              <w:t>:</w:t>
            </w:r>
          </w:p>
        </w:tc>
        <w:tc>
          <w:tcPr>
            <w:tcW w:w="5953" w:type="dxa"/>
            <w:shd w:val="clear" w:color="000000" w:fill="FFFFFF" w:themeFill="background1"/>
            <w:vAlign w:val="center"/>
            <w:hideMark/>
          </w:tcPr>
          <w:p w14:paraId="74491C0F" w14:textId="77777777" w:rsidR="0079428C" w:rsidRPr="002F3394" w:rsidRDefault="0079428C" w:rsidP="00C276D3">
            <w:pPr>
              <w:spacing w:after="0" w:line="240" w:lineRule="auto"/>
              <w:jc w:val="left"/>
              <w:rPr>
                <w:rFonts w:eastAsia="Times New Roman" w:cs="Calibri"/>
                <w:color w:val="000000"/>
                <w:lang w:val="es-AR" w:eastAsia="es-AR"/>
              </w:rPr>
            </w:pPr>
            <w:r w:rsidRPr="002F3394">
              <w:rPr>
                <w:rFonts w:eastAsia="Times New Roman" w:cs="Calibri"/>
                <w:color w:val="000000"/>
                <w:lang w:val="es-AR" w:eastAsia="es-AR"/>
              </w:rPr>
              <w:t>Bienes inmuebles distintos a terrenos</w:t>
            </w:r>
          </w:p>
        </w:tc>
      </w:tr>
      <w:tr w:rsidR="002F3394" w:rsidRPr="00C91C8F" w14:paraId="3258A54E" w14:textId="77777777" w:rsidTr="002F3394">
        <w:trPr>
          <w:trHeight w:val="330"/>
        </w:trPr>
        <w:tc>
          <w:tcPr>
            <w:tcW w:w="739" w:type="dxa"/>
            <w:shd w:val="clear" w:color="000000" w:fill="FFFFFF" w:themeFill="background1"/>
          </w:tcPr>
          <w:p w14:paraId="5BF1F073" w14:textId="77777777" w:rsidR="0079428C" w:rsidRPr="002F3394" w:rsidRDefault="0079428C" w:rsidP="00C276D3">
            <w:pPr>
              <w:spacing w:after="0" w:line="240" w:lineRule="auto"/>
              <w:jc w:val="center"/>
              <w:rPr>
                <w:rFonts w:eastAsia="Times New Roman" w:cs="Calibri"/>
                <w:color w:val="000000"/>
                <w:lang w:val="es-AR" w:eastAsia="es-AR"/>
              </w:rPr>
            </w:pPr>
            <w:r w:rsidRPr="002F3394">
              <w:rPr>
                <w:rFonts w:eastAsia="Times New Roman" w:cs="Calibri"/>
                <w:color w:val="000000"/>
                <w:lang w:val="es-AR" w:eastAsia="es-AR"/>
              </w:rPr>
              <w:t>EOYM</w:t>
            </w:r>
          </w:p>
        </w:tc>
        <w:tc>
          <w:tcPr>
            <w:tcW w:w="205" w:type="dxa"/>
            <w:shd w:val="clear" w:color="000000" w:fill="FFFFFF" w:themeFill="background1"/>
            <w:vAlign w:val="center"/>
            <w:hideMark/>
          </w:tcPr>
          <w:p w14:paraId="6BA248D6" w14:textId="1745EA76" w:rsidR="0079428C" w:rsidRPr="002F3394" w:rsidRDefault="002F3394" w:rsidP="00C276D3">
            <w:pPr>
              <w:spacing w:after="0" w:line="240" w:lineRule="auto"/>
              <w:jc w:val="center"/>
              <w:rPr>
                <w:rFonts w:eastAsia="Times New Roman" w:cs="Calibri"/>
                <w:color w:val="000000"/>
                <w:lang w:val="es-AR" w:eastAsia="es-AR"/>
              </w:rPr>
            </w:pPr>
            <w:r w:rsidRPr="002F3394">
              <w:rPr>
                <w:rFonts w:eastAsia="Times New Roman" w:cs="Calibri"/>
                <w:color w:val="000000"/>
                <w:lang w:val="es-AR" w:eastAsia="es-AR"/>
              </w:rPr>
              <w:t>:</w:t>
            </w:r>
          </w:p>
        </w:tc>
        <w:tc>
          <w:tcPr>
            <w:tcW w:w="5953" w:type="dxa"/>
            <w:shd w:val="clear" w:color="000000" w:fill="FFFFFF" w:themeFill="background1"/>
            <w:vAlign w:val="center"/>
            <w:hideMark/>
          </w:tcPr>
          <w:p w14:paraId="4BD12A82" w14:textId="77777777" w:rsidR="0079428C" w:rsidRPr="002F3394" w:rsidRDefault="0079428C" w:rsidP="00C276D3">
            <w:pPr>
              <w:spacing w:after="0" w:line="240" w:lineRule="auto"/>
              <w:jc w:val="left"/>
              <w:rPr>
                <w:rFonts w:eastAsia="Times New Roman" w:cs="Calibri"/>
                <w:color w:val="000000"/>
                <w:lang w:val="es-AR" w:eastAsia="es-AR"/>
              </w:rPr>
            </w:pPr>
            <w:r w:rsidRPr="002F3394">
              <w:rPr>
                <w:rFonts w:eastAsia="Times New Roman" w:cs="Calibri"/>
                <w:color w:val="000000"/>
                <w:lang w:val="es-AR" w:eastAsia="es-AR"/>
              </w:rPr>
              <w:t>Equipamiento de operación y mantenimiento no fungible</w:t>
            </w:r>
          </w:p>
        </w:tc>
      </w:tr>
      <w:tr w:rsidR="002F3394" w:rsidRPr="00C91C8F" w14:paraId="4D6F52AF" w14:textId="77777777" w:rsidTr="002F3394">
        <w:trPr>
          <w:trHeight w:val="330"/>
        </w:trPr>
        <w:tc>
          <w:tcPr>
            <w:tcW w:w="739" w:type="dxa"/>
            <w:shd w:val="clear" w:color="000000" w:fill="FFFFFF" w:themeFill="background1"/>
          </w:tcPr>
          <w:p w14:paraId="0DCA6047" w14:textId="77777777" w:rsidR="0079428C" w:rsidRPr="002F3394" w:rsidRDefault="0079428C" w:rsidP="00C276D3">
            <w:pPr>
              <w:spacing w:after="0" w:line="240" w:lineRule="auto"/>
              <w:jc w:val="center"/>
              <w:rPr>
                <w:rFonts w:eastAsia="Times New Roman" w:cs="Calibri"/>
                <w:color w:val="000000"/>
                <w:lang w:val="es-AR" w:eastAsia="es-AR"/>
              </w:rPr>
            </w:pPr>
            <w:r w:rsidRPr="002F3394">
              <w:rPr>
                <w:rFonts w:eastAsia="Times New Roman" w:cs="Calibri"/>
                <w:color w:val="000000"/>
                <w:lang w:val="es-AR" w:eastAsia="es-AR"/>
              </w:rPr>
              <w:t>BM</w:t>
            </w:r>
          </w:p>
        </w:tc>
        <w:tc>
          <w:tcPr>
            <w:tcW w:w="205" w:type="dxa"/>
            <w:shd w:val="clear" w:color="000000" w:fill="FFFFFF" w:themeFill="background1"/>
            <w:vAlign w:val="center"/>
            <w:hideMark/>
          </w:tcPr>
          <w:p w14:paraId="27DC4D73" w14:textId="44F95D69" w:rsidR="0079428C" w:rsidRPr="002F3394" w:rsidRDefault="002F3394" w:rsidP="00C276D3">
            <w:pPr>
              <w:spacing w:after="0" w:line="240" w:lineRule="auto"/>
              <w:jc w:val="center"/>
              <w:rPr>
                <w:rFonts w:eastAsia="Times New Roman" w:cs="Calibri"/>
                <w:color w:val="000000"/>
                <w:lang w:val="es-AR" w:eastAsia="es-AR"/>
              </w:rPr>
            </w:pPr>
            <w:r w:rsidRPr="002F3394">
              <w:rPr>
                <w:rFonts w:eastAsia="Times New Roman" w:cs="Calibri"/>
                <w:color w:val="000000"/>
                <w:lang w:val="es-AR" w:eastAsia="es-AR"/>
              </w:rPr>
              <w:t>:</w:t>
            </w:r>
          </w:p>
        </w:tc>
        <w:tc>
          <w:tcPr>
            <w:tcW w:w="5953" w:type="dxa"/>
            <w:shd w:val="clear" w:color="000000" w:fill="FFFFFF" w:themeFill="background1"/>
            <w:vAlign w:val="center"/>
            <w:hideMark/>
          </w:tcPr>
          <w:p w14:paraId="4993FD75" w14:textId="77777777" w:rsidR="0079428C" w:rsidRPr="002F3394" w:rsidRDefault="0079428C" w:rsidP="00C276D3">
            <w:pPr>
              <w:spacing w:after="0" w:line="240" w:lineRule="auto"/>
              <w:jc w:val="left"/>
              <w:rPr>
                <w:rFonts w:eastAsia="Times New Roman" w:cs="Calibri"/>
                <w:color w:val="000000"/>
                <w:lang w:val="es-AR" w:eastAsia="es-AR"/>
              </w:rPr>
            </w:pPr>
            <w:r w:rsidRPr="002F3394">
              <w:rPr>
                <w:rFonts w:eastAsia="Times New Roman" w:cs="Calibri"/>
                <w:color w:val="000000"/>
                <w:lang w:val="es-AR" w:eastAsia="es-AR"/>
              </w:rPr>
              <w:t>Equipamiento de oficina no fungible</w:t>
            </w:r>
          </w:p>
        </w:tc>
      </w:tr>
      <w:tr w:rsidR="002F3394" w:rsidRPr="00C91C8F" w14:paraId="0013ABDB" w14:textId="77777777" w:rsidTr="002F3394">
        <w:trPr>
          <w:trHeight w:val="330"/>
        </w:trPr>
        <w:tc>
          <w:tcPr>
            <w:tcW w:w="739" w:type="dxa"/>
            <w:shd w:val="clear" w:color="000000" w:fill="FFFFFF" w:themeFill="background1"/>
          </w:tcPr>
          <w:p w14:paraId="42C3F3F8" w14:textId="77777777" w:rsidR="0079428C" w:rsidRPr="002F3394" w:rsidRDefault="0079428C" w:rsidP="00C276D3">
            <w:pPr>
              <w:spacing w:after="0" w:line="240" w:lineRule="auto"/>
              <w:jc w:val="center"/>
              <w:rPr>
                <w:rFonts w:eastAsia="Times New Roman" w:cs="Calibri"/>
                <w:color w:val="000000"/>
                <w:lang w:val="es-AR" w:eastAsia="es-AR"/>
              </w:rPr>
            </w:pPr>
            <w:r w:rsidRPr="002F3394">
              <w:rPr>
                <w:rFonts w:eastAsia="Times New Roman" w:cs="Calibri"/>
                <w:color w:val="000000"/>
                <w:lang w:val="es-AR" w:eastAsia="es-AR"/>
              </w:rPr>
              <w:t>EC</w:t>
            </w:r>
          </w:p>
        </w:tc>
        <w:tc>
          <w:tcPr>
            <w:tcW w:w="205" w:type="dxa"/>
            <w:shd w:val="clear" w:color="000000" w:fill="FFFFFF" w:themeFill="background1"/>
            <w:vAlign w:val="center"/>
            <w:hideMark/>
          </w:tcPr>
          <w:p w14:paraId="72733640" w14:textId="4D0A346D" w:rsidR="0079428C" w:rsidRPr="002F3394" w:rsidRDefault="002F3394" w:rsidP="002F3394">
            <w:pPr>
              <w:spacing w:after="0" w:line="240" w:lineRule="auto"/>
              <w:jc w:val="center"/>
              <w:rPr>
                <w:rFonts w:eastAsia="Times New Roman" w:cs="Calibri"/>
                <w:color w:val="000000"/>
                <w:lang w:val="es-AR" w:eastAsia="es-AR"/>
              </w:rPr>
            </w:pPr>
            <w:r w:rsidRPr="002F3394">
              <w:rPr>
                <w:rFonts w:eastAsia="Times New Roman" w:cs="Calibri"/>
                <w:color w:val="000000"/>
                <w:lang w:val="es-AR" w:eastAsia="es-AR"/>
              </w:rPr>
              <w:t>:</w:t>
            </w:r>
          </w:p>
        </w:tc>
        <w:tc>
          <w:tcPr>
            <w:tcW w:w="5953" w:type="dxa"/>
            <w:shd w:val="clear" w:color="000000" w:fill="FFFFFF" w:themeFill="background1"/>
            <w:vAlign w:val="center"/>
            <w:hideMark/>
          </w:tcPr>
          <w:p w14:paraId="48F52831" w14:textId="77777777" w:rsidR="0079428C" w:rsidRPr="002F3394" w:rsidRDefault="0079428C" w:rsidP="00C276D3">
            <w:pPr>
              <w:spacing w:after="0" w:line="240" w:lineRule="auto"/>
              <w:jc w:val="left"/>
              <w:rPr>
                <w:rFonts w:eastAsia="Times New Roman" w:cs="Calibri"/>
                <w:color w:val="000000"/>
                <w:lang w:val="es-AR" w:eastAsia="es-AR"/>
              </w:rPr>
            </w:pPr>
            <w:r w:rsidRPr="002F3394">
              <w:rPr>
                <w:rFonts w:eastAsia="Times New Roman" w:cs="Calibri"/>
                <w:color w:val="000000"/>
                <w:lang w:val="es-AR" w:eastAsia="es-AR"/>
              </w:rPr>
              <w:t>Equipamiento computacional y sistemas de vigilancia</w:t>
            </w:r>
          </w:p>
        </w:tc>
      </w:tr>
      <w:tr w:rsidR="002F3394" w:rsidRPr="00C91C8F" w14:paraId="4510EE1B" w14:textId="77777777" w:rsidTr="002F3394">
        <w:trPr>
          <w:trHeight w:val="330"/>
        </w:trPr>
        <w:tc>
          <w:tcPr>
            <w:tcW w:w="739" w:type="dxa"/>
            <w:shd w:val="clear" w:color="000000" w:fill="FFFFFF" w:themeFill="background1"/>
          </w:tcPr>
          <w:p w14:paraId="0DB4B20D" w14:textId="77777777" w:rsidR="0079428C" w:rsidRPr="002F3394" w:rsidRDefault="0079428C" w:rsidP="00C276D3">
            <w:pPr>
              <w:spacing w:after="0" w:line="240" w:lineRule="auto"/>
              <w:jc w:val="center"/>
              <w:rPr>
                <w:rFonts w:eastAsia="Times New Roman" w:cs="Calibri"/>
                <w:color w:val="000000"/>
                <w:lang w:val="es-AR" w:eastAsia="es-AR"/>
              </w:rPr>
            </w:pPr>
            <w:r w:rsidRPr="002F3394">
              <w:rPr>
                <w:rFonts w:eastAsia="Times New Roman" w:cs="Calibri"/>
                <w:color w:val="000000"/>
                <w:lang w:val="es-AR" w:eastAsia="es-AR"/>
              </w:rPr>
              <w:t>VH</w:t>
            </w:r>
          </w:p>
        </w:tc>
        <w:tc>
          <w:tcPr>
            <w:tcW w:w="205" w:type="dxa"/>
            <w:shd w:val="clear" w:color="000000" w:fill="FFFFFF" w:themeFill="background1"/>
            <w:vAlign w:val="center"/>
            <w:hideMark/>
          </w:tcPr>
          <w:p w14:paraId="681F46C2" w14:textId="54BBD161" w:rsidR="0079428C" w:rsidRPr="002F3394" w:rsidRDefault="002F3394" w:rsidP="00C276D3">
            <w:pPr>
              <w:spacing w:after="0" w:line="240" w:lineRule="auto"/>
              <w:jc w:val="center"/>
              <w:rPr>
                <w:rFonts w:eastAsia="Times New Roman" w:cs="Calibri"/>
                <w:color w:val="000000"/>
                <w:lang w:val="es-AR" w:eastAsia="es-AR"/>
              </w:rPr>
            </w:pPr>
            <w:r w:rsidRPr="002F3394">
              <w:rPr>
                <w:rFonts w:eastAsia="Times New Roman" w:cs="Calibri"/>
                <w:color w:val="000000"/>
                <w:lang w:val="es-AR" w:eastAsia="es-AR"/>
              </w:rPr>
              <w:t>:</w:t>
            </w:r>
          </w:p>
        </w:tc>
        <w:tc>
          <w:tcPr>
            <w:tcW w:w="5953" w:type="dxa"/>
            <w:shd w:val="clear" w:color="000000" w:fill="FFFFFF" w:themeFill="background1"/>
            <w:vAlign w:val="center"/>
            <w:hideMark/>
          </w:tcPr>
          <w:p w14:paraId="12EA6427" w14:textId="77777777" w:rsidR="0079428C" w:rsidRPr="002F3394" w:rsidRDefault="0079428C" w:rsidP="00C276D3">
            <w:pPr>
              <w:spacing w:after="0" w:line="240" w:lineRule="auto"/>
              <w:jc w:val="left"/>
              <w:rPr>
                <w:rFonts w:eastAsia="Times New Roman" w:cs="Calibri"/>
                <w:color w:val="000000"/>
                <w:lang w:val="es-AR" w:eastAsia="es-AR"/>
              </w:rPr>
            </w:pPr>
            <w:r w:rsidRPr="002F3394">
              <w:rPr>
                <w:rFonts w:eastAsia="Times New Roman" w:cs="Calibri"/>
                <w:color w:val="000000"/>
                <w:lang w:val="es-AR" w:eastAsia="es-AR"/>
              </w:rPr>
              <w:t>Vehículos</w:t>
            </w:r>
          </w:p>
        </w:tc>
      </w:tr>
    </w:tbl>
    <w:p w14:paraId="6746B11E" w14:textId="77777777" w:rsidR="00535FE1" w:rsidRDefault="00535FE1" w:rsidP="0079428C">
      <w:pPr>
        <w:rPr>
          <w:lang w:val="es-ES"/>
        </w:rPr>
      </w:pPr>
    </w:p>
    <w:p w14:paraId="3D61CB53" w14:textId="1E05AD28" w:rsidR="0079428C" w:rsidRDefault="0079428C" w:rsidP="0079428C">
      <w:pPr>
        <w:rPr>
          <w:lang w:val="es-ES"/>
        </w:rPr>
      </w:pPr>
      <w:r w:rsidRPr="00C91C8F">
        <w:rPr>
          <w:lang w:val="es-ES"/>
        </w:rPr>
        <w:t>El detalle de cada partida se puede ver en el Modelo.</w:t>
      </w:r>
    </w:p>
    <w:p w14:paraId="0E566D85" w14:textId="6695B6D5" w:rsidR="00850C20" w:rsidRDefault="00535FE1" w:rsidP="0079428C">
      <w:pPr>
        <w:rPr>
          <w:lang w:val="es-ES"/>
        </w:rPr>
      </w:pPr>
      <w:r>
        <w:rPr>
          <w:lang w:val="es-ES"/>
        </w:rPr>
        <w:t xml:space="preserve">Las siguientes tablas presentan los resultados de </w:t>
      </w:r>
      <w:r w:rsidR="005A6F95">
        <w:rPr>
          <w:lang w:val="es-ES"/>
        </w:rPr>
        <w:t>C.O.M.A.</w:t>
      </w:r>
      <w:r>
        <w:rPr>
          <w:lang w:val="es-ES"/>
        </w:rPr>
        <w:t xml:space="preserve"> y de Bienes Muebles e Inmuebles por tra</w:t>
      </w:r>
      <w:r w:rsidR="00081F41">
        <w:rPr>
          <w:lang w:val="es-ES"/>
        </w:rPr>
        <w:t xml:space="preserve">mo: </w:t>
      </w:r>
    </w:p>
    <w:p w14:paraId="040AFA44" w14:textId="68CAFEF5" w:rsidR="002F3394" w:rsidRPr="002F3394" w:rsidRDefault="002F3394" w:rsidP="002F3394">
      <w:pPr>
        <w:pStyle w:val="Subttulo"/>
      </w:pPr>
      <w:bookmarkStart w:id="499" w:name="_Toc39797962"/>
      <w:r w:rsidRPr="002F3394">
        <w:t xml:space="preserve">Tabla </w:t>
      </w:r>
      <w:fldSimple w:instr=" SEQ Tabla \* ARABIC ">
        <w:r w:rsidR="001F3E2E">
          <w:rPr>
            <w:noProof/>
          </w:rPr>
          <w:t>52</w:t>
        </w:r>
      </w:fldSimple>
      <w:r w:rsidRPr="002F3394">
        <w:t xml:space="preserve">: </w:t>
      </w:r>
      <w:r>
        <w:t xml:space="preserve">Resultados </w:t>
      </w:r>
      <w:r w:rsidRPr="002F3394">
        <w:t>C.O.M.A</w:t>
      </w:r>
      <w:r>
        <w:t>. por tramo</w:t>
      </w:r>
      <w:bookmarkEnd w:id="499"/>
    </w:p>
    <w:tbl>
      <w:tblPr>
        <w:tblW w:w="9120" w:type="dxa"/>
        <w:jc w:val="center"/>
        <w:tblCellMar>
          <w:left w:w="70" w:type="dxa"/>
          <w:right w:w="70" w:type="dxa"/>
        </w:tblCellMar>
        <w:tblLook w:val="04A0" w:firstRow="1" w:lastRow="0" w:firstColumn="1" w:lastColumn="0" w:noHBand="0" w:noVBand="1"/>
      </w:tblPr>
      <w:tblGrid>
        <w:gridCol w:w="1200"/>
        <w:gridCol w:w="1200"/>
        <w:gridCol w:w="1600"/>
        <w:gridCol w:w="1200"/>
        <w:gridCol w:w="1200"/>
        <w:gridCol w:w="1200"/>
        <w:gridCol w:w="1520"/>
      </w:tblGrid>
      <w:tr w:rsidR="009A09ED" w:rsidRPr="00E02C7F" w14:paraId="527DF801" w14:textId="77777777" w:rsidTr="006B5A62">
        <w:trPr>
          <w:trHeight w:val="20"/>
          <w:tblHeader/>
          <w:jc w:val="center"/>
        </w:trPr>
        <w:tc>
          <w:tcPr>
            <w:tcW w:w="12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A7A98C8" w14:textId="77777777" w:rsidR="009A09ED" w:rsidRPr="00E02C7F" w:rsidRDefault="009A09ED" w:rsidP="006B5A62">
            <w:pPr>
              <w:spacing w:after="0" w:line="240" w:lineRule="auto"/>
              <w:jc w:val="center"/>
              <w:rPr>
                <w:rFonts w:asciiTheme="minorHAnsi" w:eastAsia="Times New Roman" w:hAnsiTheme="minorHAnsi"/>
                <w:b/>
                <w:bCs/>
                <w:sz w:val="20"/>
                <w:szCs w:val="20"/>
                <w:lang w:val="es-AR" w:eastAsia="es-AR"/>
              </w:rPr>
            </w:pPr>
            <w:r w:rsidRPr="00E02C7F">
              <w:rPr>
                <w:rFonts w:asciiTheme="minorHAnsi" w:eastAsia="Times New Roman" w:hAnsiTheme="minorHAnsi"/>
                <w:b/>
                <w:bCs/>
                <w:sz w:val="20"/>
                <w:szCs w:val="20"/>
                <w:lang w:eastAsia="es-AR"/>
              </w:rPr>
              <w:t>Tramo</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14:paraId="3C440746" w14:textId="77777777" w:rsidR="009A09ED" w:rsidRPr="00E02C7F" w:rsidRDefault="009A09ED" w:rsidP="006B5A62">
            <w:pPr>
              <w:spacing w:after="0" w:line="240" w:lineRule="auto"/>
              <w:jc w:val="center"/>
              <w:rPr>
                <w:rFonts w:asciiTheme="minorHAnsi" w:eastAsia="Times New Roman" w:hAnsiTheme="minorHAnsi"/>
                <w:b/>
                <w:bCs/>
                <w:sz w:val="20"/>
                <w:szCs w:val="20"/>
                <w:lang w:val="es-AR" w:eastAsia="es-AR"/>
              </w:rPr>
            </w:pPr>
            <w:r w:rsidRPr="00E02C7F">
              <w:rPr>
                <w:rFonts w:asciiTheme="minorHAnsi" w:eastAsia="Times New Roman" w:hAnsiTheme="minorHAnsi"/>
                <w:b/>
                <w:bCs/>
                <w:sz w:val="20"/>
                <w:szCs w:val="20"/>
                <w:lang w:eastAsia="es-AR"/>
              </w:rPr>
              <w:t>C.O.M.A. Directo</w:t>
            </w:r>
            <w:r w:rsidRPr="00E02C7F">
              <w:rPr>
                <w:rFonts w:asciiTheme="minorHAnsi" w:eastAsia="Times New Roman" w:hAnsiTheme="minorHAnsi"/>
                <w:b/>
                <w:bCs/>
                <w:sz w:val="20"/>
                <w:szCs w:val="20"/>
                <w:lang w:eastAsia="es-AR"/>
              </w:rPr>
              <w:br/>
              <w:t>(USD)</w:t>
            </w:r>
          </w:p>
        </w:tc>
        <w:tc>
          <w:tcPr>
            <w:tcW w:w="1600" w:type="dxa"/>
            <w:tcBorders>
              <w:top w:val="single" w:sz="4" w:space="0" w:color="auto"/>
              <w:left w:val="nil"/>
              <w:bottom w:val="single" w:sz="4" w:space="0" w:color="auto"/>
              <w:right w:val="single" w:sz="4" w:space="0" w:color="auto"/>
            </w:tcBorders>
            <w:shd w:val="clear" w:color="auto" w:fill="auto"/>
            <w:vAlign w:val="center"/>
            <w:hideMark/>
          </w:tcPr>
          <w:p w14:paraId="18D7E15F" w14:textId="77777777" w:rsidR="009A09ED" w:rsidRPr="00E02C7F" w:rsidRDefault="009A09ED" w:rsidP="006B5A62">
            <w:pPr>
              <w:spacing w:after="0" w:line="240" w:lineRule="auto"/>
              <w:jc w:val="center"/>
              <w:rPr>
                <w:rFonts w:asciiTheme="minorHAnsi" w:eastAsia="Times New Roman" w:hAnsiTheme="minorHAnsi"/>
                <w:b/>
                <w:bCs/>
                <w:sz w:val="20"/>
                <w:szCs w:val="20"/>
                <w:lang w:val="es-AR" w:eastAsia="es-AR"/>
              </w:rPr>
            </w:pPr>
            <w:r w:rsidRPr="00E02C7F">
              <w:rPr>
                <w:rFonts w:asciiTheme="minorHAnsi" w:eastAsia="Times New Roman" w:hAnsiTheme="minorHAnsi"/>
                <w:b/>
                <w:bCs/>
                <w:sz w:val="20"/>
                <w:szCs w:val="20"/>
                <w:lang w:eastAsia="es-AR"/>
              </w:rPr>
              <w:t>C.O.M.A. Estructura Central</w:t>
            </w:r>
            <w:r w:rsidRPr="00E02C7F">
              <w:rPr>
                <w:rFonts w:asciiTheme="minorHAnsi" w:eastAsia="Times New Roman" w:hAnsiTheme="minorHAnsi"/>
                <w:b/>
                <w:bCs/>
                <w:sz w:val="20"/>
                <w:szCs w:val="20"/>
                <w:lang w:eastAsia="es-AR"/>
              </w:rPr>
              <w:br/>
              <w:t>(USD)</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14:paraId="2CEDC44B" w14:textId="77777777" w:rsidR="009A09ED" w:rsidRPr="00E02C7F" w:rsidRDefault="009A09ED" w:rsidP="006B5A62">
            <w:pPr>
              <w:spacing w:after="0" w:line="240" w:lineRule="auto"/>
              <w:jc w:val="center"/>
              <w:rPr>
                <w:rFonts w:asciiTheme="minorHAnsi" w:eastAsia="Times New Roman" w:hAnsiTheme="minorHAnsi"/>
                <w:b/>
                <w:bCs/>
                <w:sz w:val="20"/>
                <w:szCs w:val="20"/>
                <w:lang w:val="es-AR" w:eastAsia="es-AR"/>
              </w:rPr>
            </w:pPr>
            <w:r w:rsidRPr="00E02C7F">
              <w:rPr>
                <w:rFonts w:asciiTheme="minorHAnsi" w:eastAsia="Times New Roman" w:hAnsiTheme="minorHAnsi"/>
                <w:b/>
                <w:bCs/>
                <w:sz w:val="20"/>
                <w:szCs w:val="20"/>
                <w:lang w:eastAsia="es-AR"/>
              </w:rPr>
              <w:t>C.O.M.A. Regional</w:t>
            </w:r>
            <w:r w:rsidRPr="00E02C7F">
              <w:rPr>
                <w:rFonts w:asciiTheme="minorHAnsi" w:eastAsia="Times New Roman" w:hAnsiTheme="minorHAnsi"/>
                <w:b/>
                <w:bCs/>
                <w:sz w:val="20"/>
                <w:szCs w:val="20"/>
                <w:lang w:eastAsia="es-AR"/>
              </w:rPr>
              <w:br/>
              <w:t>(USD)</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14:paraId="38902F5D" w14:textId="77777777" w:rsidR="009A09ED" w:rsidRPr="00E02C7F" w:rsidRDefault="009A09ED" w:rsidP="006B5A62">
            <w:pPr>
              <w:spacing w:after="0" w:line="240" w:lineRule="auto"/>
              <w:jc w:val="center"/>
              <w:rPr>
                <w:rFonts w:asciiTheme="minorHAnsi" w:eastAsia="Times New Roman" w:hAnsiTheme="minorHAnsi"/>
                <w:b/>
                <w:bCs/>
                <w:sz w:val="20"/>
                <w:szCs w:val="20"/>
                <w:lang w:val="es-AR" w:eastAsia="es-AR"/>
              </w:rPr>
            </w:pPr>
            <w:r w:rsidRPr="00E02C7F">
              <w:rPr>
                <w:rFonts w:asciiTheme="minorHAnsi" w:eastAsia="Times New Roman" w:hAnsiTheme="minorHAnsi"/>
                <w:b/>
                <w:bCs/>
                <w:sz w:val="20"/>
                <w:szCs w:val="20"/>
                <w:lang w:eastAsia="es-AR"/>
              </w:rPr>
              <w:t>C.O.M.A. Estudio Tarifario</w:t>
            </w:r>
            <w:r w:rsidRPr="00E02C7F">
              <w:rPr>
                <w:rFonts w:asciiTheme="minorHAnsi" w:eastAsia="Times New Roman" w:hAnsiTheme="minorHAnsi"/>
                <w:b/>
                <w:bCs/>
                <w:sz w:val="20"/>
                <w:szCs w:val="20"/>
                <w:lang w:eastAsia="es-AR"/>
              </w:rPr>
              <w:br/>
              <w:t>(USD)</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14:paraId="0E75CC85" w14:textId="77777777" w:rsidR="009A09ED" w:rsidRPr="00E02C7F" w:rsidRDefault="009A09ED" w:rsidP="006B5A62">
            <w:pPr>
              <w:spacing w:after="0" w:line="240" w:lineRule="auto"/>
              <w:jc w:val="center"/>
              <w:rPr>
                <w:rFonts w:asciiTheme="minorHAnsi" w:eastAsia="Times New Roman" w:hAnsiTheme="minorHAnsi"/>
                <w:b/>
                <w:bCs/>
                <w:sz w:val="20"/>
                <w:szCs w:val="20"/>
                <w:lang w:val="es-AR" w:eastAsia="es-AR"/>
              </w:rPr>
            </w:pPr>
            <w:r w:rsidRPr="00E02C7F">
              <w:rPr>
                <w:rFonts w:asciiTheme="minorHAnsi" w:eastAsia="Times New Roman" w:hAnsiTheme="minorHAnsi"/>
                <w:b/>
                <w:bCs/>
                <w:sz w:val="20"/>
                <w:szCs w:val="20"/>
                <w:lang w:eastAsia="es-AR"/>
              </w:rPr>
              <w:t>Total C.O.M.A.</w:t>
            </w:r>
            <w:r w:rsidRPr="00E02C7F">
              <w:rPr>
                <w:rFonts w:asciiTheme="minorHAnsi" w:eastAsia="Times New Roman" w:hAnsiTheme="minorHAnsi"/>
                <w:b/>
                <w:bCs/>
                <w:sz w:val="20"/>
                <w:szCs w:val="20"/>
                <w:lang w:eastAsia="es-AR"/>
              </w:rPr>
              <w:br/>
              <w:t>(USD)</w:t>
            </w:r>
          </w:p>
        </w:tc>
        <w:tc>
          <w:tcPr>
            <w:tcW w:w="1520" w:type="dxa"/>
            <w:tcBorders>
              <w:top w:val="single" w:sz="4" w:space="0" w:color="auto"/>
              <w:left w:val="nil"/>
              <w:bottom w:val="single" w:sz="4" w:space="0" w:color="auto"/>
              <w:right w:val="single" w:sz="4" w:space="0" w:color="auto"/>
            </w:tcBorders>
            <w:shd w:val="clear" w:color="auto" w:fill="auto"/>
            <w:vAlign w:val="center"/>
            <w:hideMark/>
          </w:tcPr>
          <w:p w14:paraId="5833B39A" w14:textId="77777777" w:rsidR="009A09ED" w:rsidRPr="00E02C7F" w:rsidRDefault="009A09ED" w:rsidP="006B5A62">
            <w:pPr>
              <w:spacing w:after="0" w:line="240" w:lineRule="auto"/>
              <w:jc w:val="center"/>
              <w:rPr>
                <w:rFonts w:asciiTheme="minorHAnsi" w:eastAsia="Times New Roman" w:hAnsiTheme="minorHAnsi"/>
                <w:b/>
                <w:bCs/>
                <w:sz w:val="20"/>
                <w:szCs w:val="20"/>
                <w:lang w:val="es-AR" w:eastAsia="es-AR"/>
              </w:rPr>
            </w:pPr>
            <w:r w:rsidRPr="00E02C7F">
              <w:rPr>
                <w:rFonts w:asciiTheme="minorHAnsi" w:eastAsia="Times New Roman" w:hAnsiTheme="minorHAnsi"/>
                <w:b/>
                <w:bCs/>
                <w:sz w:val="20"/>
                <w:szCs w:val="20"/>
                <w:lang w:val="es-AR" w:eastAsia="es-AR"/>
              </w:rPr>
              <w:t>Bienes Muebles e inmuebles</w:t>
            </w:r>
            <w:r w:rsidRPr="00E02C7F">
              <w:rPr>
                <w:rFonts w:asciiTheme="minorHAnsi" w:eastAsia="Times New Roman" w:hAnsiTheme="minorHAnsi"/>
                <w:b/>
                <w:bCs/>
                <w:sz w:val="20"/>
                <w:szCs w:val="20"/>
                <w:lang w:val="es-AR" w:eastAsia="es-AR"/>
              </w:rPr>
              <w:br/>
              <w:t>(USD)</w:t>
            </w:r>
          </w:p>
        </w:tc>
      </w:tr>
      <w:tr w:rsidR="009A09ED" w:rsidRPr="00E02C7F" w14:paraId="1E46E825"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45A02F21"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SE-N_1</w:t>
            </w:r>
          </w:p>
        </w:tc>
        <w:tc>
          <w:tcPr>
            <w:tcW w:w="1200" w:type="dxa"/>
            <w:tcBorders>
              <w:top w:val="nil"/>
              <w:left w:val="nil"/>
              <w:bottom w:val="single" w:sz="4" w:space="0" w:color="auto"/>
              <w:right w:val="single" w:sz="4" w:space="0" w:color="auto"/>
            </w:tcBorders>
            <w:shd w:val="clear" w:color="auto" w:fill="auto"/>
            <w:noWrap/>
            <w:vAlign w:val="center"/>
            <w:hideMark/>
          </w:tcPr>
          <w:p w14:paraId="2D3CECFD"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eastAsia="es-AR"/>
              </w:rPr>
              <w:t>340.543</w:t>
            </w:r>
          </w:p>
        </w:tc>
        <w:tc>
          <w:tcPr>
            <w:tcW w:w="1600" w:type="dxa"/>
            <w:tcBorders>
              <w:top w:val="nil"/>
              <w:left w:val="nil"/>
              <w:bottom w:val="single" w:sz="4" w:space="0" w:color="auto"/>
              <w:right w:val="single" w:sz="4" w:space="0" w:color="auto"/>
            </w:tcBorders>
            <w:shd w:val="clear" w:color="auto" w:fill="auto"/>
            <w:noWrap/>
            <w:vAlign w:val="center"/>
            <w:hideMark/>
          </w:tcPr>
          <w:p w14:paraId="155C843F"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eastAsia="es-AR"/>
              </w:rPr>
              <w:t>127.434</w:t>
            </w:r>
          </w:p>
        </w:tc>
        <w:tc>
          <w:tcPr>
            <w:tcW w:w="1200" w:type="dxa"/>
            <w:tcBorders>
              <w:top w:val="nil"/>
              <w:left w:val="nil"/>
              <w:bottom w:val="single" w:sz="4" w:space="0" w:color="auto"/>
              <w:right w:val="single" w:sz="4" w:space="0" w:color="auto"/>
            </w:tcBorders>
            <w:shd w:val="clear" w:color="auto" w:fill="auto"/>
            <w:noWrap/>
            <w:vAlign w:val="center"/>
            <w:hideMark/>
          </w:tcPr>
          <w:p w14:paraId="194A32AA"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eastAsia="es-AR"/>
              </w:rPr>
              <w:t>80.106</w:t>
            </w:r>
          </w:p>
        </w:tc>
        <w:tc>
          <w:tcPr>
            <w:tcW w:w="1200" w:type="dxa"/>
            <w:tcBorders>
              <w:top w:val="nil"/>
              <w:left w:val="nil"/>
              <w:bottom w:val="single" w:sz="4" w:space="0" w:color="auto"/>
              <w:right w:val="single" w:sz="4" w:space="0" w:color="auto"/>
            </w:tcBorders>
            <w:shd w:val="clear" w:color="auto" w:fill="auto"/>
            <w:noWrap/>
            <w:vAlign w:val="center"/>
            <w:hideMark/>
          </w:tcPr>
          <w:p w14:paraId="4E866C10"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eastAsia="es-AR"/>
              </w:rPr>
              <w:t>2.439</w:t>
            </w:r>
          </w:p>
        </w:tc>
        <w:tc>
          <w:tcPr>
            <w:tcW w:w="1200" w:type="dxa"/>
            <w:tcBorders>
              <w:top w:val="nil"/>
              <w:left w:val="nil"/>
              <w:bottom w:val="single" w:sz="4" w:space="0" w:color="auto"/>
              <w:right w:val="single" w:sz="4" w:space="0" w:color="auto"/>
            </w:tcBorders>
            <w:shd w:val="clear" w:color="auto" w:fill="auto"/>
            <w:noWrap/>
            <w:vAlign w:val="center"/>
            <w:hideMark/>
          </w:tcPr>
          <w:p w14:paraId="15EC8685"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eastAsia="es-AR"/>
              </w:rPr>
              <w:t>550.522</w:t>
            </w:r>
          </w:p>
        </w:tc>
        <w:tc>
          <w:tcPr>
            <w:tcW w:w="1520" w:type="dxa"/>
            <w:tcBorders>
              <w:top w:val="nil"/>
              <w:left w:val="nil"/>
              <w:bottom w:val="single" w:sz="4" w:space="0" w:color="auto"/>
              <w:right w:val="single" w:sz="4" w:space="0" w:color="auto"/>
            </w:tcBorders>
            <w:shd w:val="clear" w:color="auto" w:fill="auto"/>
            <w:noWrap/>
            <w:vAlign w:val="center"/>
            <w:hideMark/>
          </w:tcPr>
          <w:p w14:paraId="2DF15497"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287.506</w:t>
            </w:r>
          </w:p>
        </w:tc>
      </w:tr>
      <w:tr w:rsidR="009A09ED" w:rsidRPr="00E02C7F" w14:paraId="42855B1D"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21448B44"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SE-N_2</w:t>
            </w:r>
          </w:p>
        </w:tc>
        <w:tc>
          <w:tcPr>
            <w:tcW w:w="1200" w:type="dxa"/>
            <w:tcBorders>
              <w:top w:val="nil"/>
              <w:left w:val="nil"/>
              <w:bottom w:val="single" w:sz="4" w:space="0" w:color="auto"/>
              <w:right w:val="single" w:sz="4" w:space="0" w:color="auto"/>
            </w:tcBorders>
            <w:shd w:val="clear" w:color="auto" w:fill="auto"/>
            <w:noWrap/>
            <w:vAlign w:val="center"/>
            <w:hideMark/>
          </w:tcPr>
          <w:p w14:paraId="5D9F6F8A"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654.581</w:t>
            </w:r>
          </w:p>
        </w:tc>
        <w:tc>
          <w:tcPr>
            <w:tcW w:w="1600" w:type="dxa"/>
            <w:tcBorders>
              <w:top w:val="nil"/>
              <w:left w:val="nil"/>
              <w:bottom w:val="single" w:sz="4" w:space="0" w:color="auto"/>
              <w:right w:val="single" w:sz="4" w:space="0" w:color="auto"/>
            </w:tcBorders>
            <w:shd w:val="clear" w:color="auto" w:fill="auto"/>
            <w:noWrap/>
            <w:vAlign w:val="center"/>
            <w:hideMark/>
          </w:tcPr>
          <w:p w14:paraId="4886F80B"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244.949</w:t>
            </w:r>
          </w:p>
        </w:tc>
        <w:tc>
          <w:tcPr>
            <w:tcW w:w="1200" w:type="dxa"/>
            <w:tcBorders>
              <w:top w:val="nil"/>
              <w:left w:val="nil"/>
              <w:bottom w:val="single" w:sz="4" w:space="0" w:color="auto"/>
              <w:right w:val="single" w:sz="4" w:space="0" w:color="auto"/>
            </w:tcBorders>
            <w:shd w:val="clear" w:color="auto" w:fill="auto"/>
            <w:noWrap/>
            <w:vAlign w:val="center"/>
            <w:hideMark/>
          </w:tcPr>
          <w:p w14:paraId="7CE6A1F2"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153.978</w:t>
            </w:r>
          </w:p>
        </w:tc>
        <w:tc>
          <w:tcPr>
            <w:tcW w:w="1200" w:type="dxa"/>
            <w:tcBorders>
              <w:top w:val="nil"/>
              <w:left w:val="nil"/>
              <w:bottom w:val="single" w:sz="4" w:space="0" w:color="auto"/>
              <w:right w:val="single" w:sz="4" w:space="0" w:color="auto"/>
            </w:tcBorders>
            <w:shd w:val="clear" w:color="auto" w:fill="auto"/>
            <w:noWrap/>
            <w:vAlign w:val="center"/>
            <w:hideMark/>
          </w:tcPr>
          <w:p w14:paraId="36DFCCF5"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4.817</w:t>
            </w:r>
          </w:p>
        </w:tc>
        <w:tc>
          <w:tcPr>
            <w:tcW w:w="1200" w:type="dxa"/>
            <w:tcBorders>
              <w:top w:val="nil"/>
              <w:left w:val="nil"/>
              <w:bottom w:val="single" w:sz="4" w:space="0" w:color="auto"/>
              <w:right w:val="single" w:sz="4" w:space="0" w:color="auto"/>
            </w:tcBorders>
            <w:shd w:val="clear" w:color="auto" w:fill="auto"/>
            <w:noWrap/>
            <w:vAlign w:val="center"/>
            <w:hideMark/>
          </w:tcPr>
          <w:p w14:paraId="42C69936"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1.058.326</w:t>
            </w:r>
          </w:p>
        </w:tc>
        <w:tc>
          <w:tcPr>
            <w:tcW w:w="1520" w:type="dxa"/>
            <w:tcBorders>
              <w:top w:val="nil"/>
              <w:left w:val="nil"/>
              <w:bottom w:val="single" w:sz="4" w:space="0" w:color="auto"/>
              <w:right w:val="single" w:sz="4" w:space="0" w:color="auto"/>
            </w:tcBorders>
            <w:shd w:val="clear" w:color="auto" w:fill="auto"/>
            <w:noWrap/>
            <w:vAlign w:val="center"/>
            <w:hideMark/>
          </w:tcPr>
          <w:p w14:paraId="57F08E06"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552.635</w:t>
            </w:r>
          </w:p>
        </w:tc>
      </w:tr>
      <w:tr w:rsidR="009A09ED" w:rsidRPr="00E02C7F" w14:paraId="3FE41FD2"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110546B3"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SE-N_3</w:t>
            </w:r>
          </w:p>
        </w:tc>
        <w:tc>
          <w:tcPr>
            <w:tcW w:w="1200" w:type="dxa"/>
            <w:tcBorders>
              <w:top w:val="nil"/>
              <w:left w:val="nil"/>
              <w:bottom w:val="single" w:sz="4" w:space="0" w:color="auto"/>
              <w:right w:val="single" w:sz="4" w:space="0" w:color="auto"/>
            </w:tcBorders>
            <w:shd w:val="clear" w:color="auto" w:fill="auto"/>
            <w:noWrap/>
            <w:vAlign w:val="center"/>
            <w:hideMark/>
          </w:tcPr>
          <w:p w14:paraId="1275E85E"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37.170</w:t>
            </w:r>
          </w:p>
        </w:tc>
        <w:tc>
          <w:tcPr>
            <w:tcW w:w="1600" w:type="dxa"/>
            <w:tcBorders>
              <w:top w:val="nil"/>
              <w:left w:val="nil"/>
              <w:bottom w:val="single" w:sz="4" w:space="0" w:color="auto"/>
              <w:right w:val="single" w:sz="4" w:space="0" w:color="auto"/>
            </w:tcBorders>
            <w:shd w:val="clear" w:color="auto" w:fill="auto"/>
            <w:noWrap/>
            <w:vAlign w:val="center"/>
            <w:hideMark/>
          </w:tcPr>
          <w:p w14:paraId="50601F7C"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13.909</w:t>
            </w:r>
          </w:p>
        </w:tc>
        <w:tc>
          <w:tcPr>
            <w:tcW w:w="1200" w:type="dxa"/>
            <w:tcBorders>
              <w:top w:val="nil"/>
              <w:left w:val="nil"/>
              <w:bottom w:val="single" w:sz="4" w:space="0" w:color="auto"/>
              <w:right w:val="single" w:sz="4" w:space="0" w:color="auto"/>
            </w:tcBorders>
            <w:shd w:val="clear" w:color="auto" w:fill="auto"/>
            <w:noWrap/>
            <w:vAlign w:val="center"/>
            <w:hideMark/>
          </w:tcPr>
          <w:p w14:paraId="12A4C0E0"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8.744</w:t>
            </w:r>
          </w:p>
        </w:tc>
        <w:tc>
          <w:tcPr>
            <w:tcW w:w="1200" w:type="dxa"/>
            <w:tcBorders>
              <w:top w:val="nil"/>
              <w:left w:val="nil"/>
              <w:bottom w:val="single" w:sz="4" w:space="0" w:color="auto"/>
              <w:right w:val="single" w:sz="4" w:space="0" w:color="auto"/>
            </w:tcBorders>
            <w:shd w:val="clear" w:color="auto" w:fill="auto"/>
            <w:noWrap/>
            <w:vAlign w:val="center"/>
            <w:hideMark/>
          </w:tcPr>
          <w:p w14:paraId="55880945"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274</w:t>
            </w:r>
          </w:p>
        </w:tc>
        <w:tc>
          <w:tcPr>
            <w:tcW w:w="1200" w:type="dxa"/>
            <w:tcBorders>
              <w:top w:val="nil"/>
              <w:left w:val="nil"/>
              <w:bottom w:val="single" w:sz="4" w:space="0" w:color="auto"/>
              <w:right w:val="single" w:sz="4" w:space="0" w:color="auto"/>
            </w:tcBorders>
            <w:shd w:val="clear" w:color="auto" w:fill="auto"/>
            <w:noWrap/>
            <w:vAlign w:val="center"/>
            <w:hideMark/>
          </w:tcPr>
          <w:p w14:paraId="5ED8893C"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60.096</w:t>
            </w:r>
          </w:p>
        </w:tc>
        <w:tc>
          <w:tcPr>
            <w:tcW w:w="1520" w:type="dxa"/>
            <w:tcBorders>
              <w:top w:val="nil"/>
              <w:left w:val="nil"/>
              <w:bottom w:val="single" w:sz="4" w:space="0" w:color="auto"/>
              <w:right w:val="single" w:sz="4" w:space="0" w:color="auto"/>
            </w:tcBorders>
            <w:shd w:val="clear" w:color="auto" w:fill="auto"/>
            <w:noWrap/>
            <w:vAlign w:val="center"/>
            <w:hideMark/>
          </w:tcPr>
          <w:p w14:paraId="3415B597"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31.381</w:t>
            </w:r>
          </w:p>
        </w:tc>
      </w:tr>
      <w:tr w:rsidR="009A09ED" w:rsidRPr="00E02C7F" w14:paraId="16D69295"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2DA59D72"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SE-N_4</w:t>
            </w:r>
          </w:p>
        </w:tc>
        <w:tc>
          <w:tcPr>
            <w:tcW w:w="1200" w:type="dxa"/>
            <w:tcBorders>
              <w:top w:val="nil"/>
              <w:left w:val="nil"/>
              <w:bottom w:val="single" w:sz="4" w:space="0" w:color="auto"/>
              <w:right w:val="single" w:sz="4" w:space="0" w:color="auto"/>
            </w:tcBorders>
            <w:shd w:val="clear" w:color="auto" w:fill="auto"/>
            <w:noWrap/>
            <w:vAlign w:val="center"/>
            <w:hideMark/>
          </w:tcPr>
          <w:p w14:paraId="4595F64E"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600" w:type="dxa"/>
            <w:tcBorders>
              <w:top w:val="nil"/>
              <w:left w:val="nil"/>
              <w:bottom w:val="single" w:sz="4" w:space="0" w:color="auto"/>
              <w:right w:val="single" w:sz="4" w:space="0" w:color="auto"/>
            </w:tcBorders>
            <w:shd w:val="clear" w:color="auto" w:fill="auto"/>
            <w:noWrap/>
            <w:vAlign w:val="center"/>
            <w:hideMark/>
          </w:tcPr>
          <w:p w14:paraId="2516EAA6"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200" w:type="dxa"/>
            <w:tcBorders>
              <w:top w:val="nil"/>
              <w:left w:val="nil"/>
              <w:bottom w:val="single" w:sz="4" w:space="0" w:color="auto"/>
              <w:right w:val="single" w:sz="4" w:space="0" w:color="auto"/>
            </w:tcBorders>
            <w:shd w:val="clear" w:color="auto" w:fill="auto"/>
            <w:noWrap/>
            <w:vAlign w:val="center"/>
            <w:hideMark/>
          </w:tcPr>
          <w:p w14:paraId="7B34B3C0"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200" w:type="dxa"/>
            <w:tcBorders>
              <w:top w:val="nil"/>
              <w:left w:val="nil"/>
              <w:bottom w:val="single" w:sz="4" w:space="0" w:color="auto"/>
              <w:right w:val="single" w:sz="4" w:space="0" w:color="auto"/>
            </w:tcBorders>
            <w:shd w:val="clear" w:color="auto" w:fill="auto"/>
            <w:noWrap/>
            <w:vAlign w:val="center"/>
            <w:hideMark/>
          </w:tcPr>
          <w:p w14:paraId="2FE0B799"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200" w:type="dxa"/>
            <w:tcBorders>
              <w:top w:val="nil"/>
              <w:left w:val="nil"/>
              <w:bottom w:val="single" w:sz="4" w:space="0" w:color="auto"/>
              <w:right w:val="single" w:sz="4" w:space="0" w:color="auto"/>
            </w:tcBorders>
            <w:shd w:val="clear" w:color="auto" w:fill="auto"/>
            <w:noWrap/>
            <w:vAlign w:val="center"/>
            <w:hideMark/>
          </w:tcPr>
          <w:p w14:paraId="5AF0432B"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520" w:type="dxa"/>
            <w:tcBorders>
              <w:top w:val="nil"/>
              <w:left w:val="nil"/>
              <w:bottom w:val="single" w:sz="4" w:space="0" w:color="auto"/>
              <w:right w:val="single" w:sz="4" w:space="0" w:color="auto"/>
            </w:tcBorders>
            <w:shd w:val="clear" w:color="auto" w:fill="auto"/>
            <w:noWrap/>
            <w:vAlign w:val="center"/>
            <w:hideMark/>
          </w:tcPr>
          <w:p w14:paraId="4E4DB99D"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r>
      <w:tr w:rsidR="009A09ED" w:rsidRPr="00E02C7F" w14:paraId="645C8731"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40C209BD"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SE-N_5</w:t>
            </w:r>
          </w:p>
        </w:tc>
        <w:tc>
          <w:tcPr>
            <w:tcW w:w="1200" w:type="dxa"/>
            <w:tcBorders>
              <w:top w:val="nil"/>
              <w:left w:val="nil"/>
              <w:bottom w:val="single" w:sz="4" w:space="0" w:color="auto"/>
              <w:right w:val="single" w:sz="4" w:space="0" w:color="auto"/>
            </w:tcBorders>
            <w:shd w:val="clear" w:color="auto" w:fill="auto"/>
            <w:noWrap/>
            <w:vAlign w:val="center"/>
            <w:hideMark/>
          </w:tcPr>
          <w:p w14:paraId="6EFC668F"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3.780</w:t>
            </w:r>
          </w:p>
        </w:tc>
        <w:tc>
          <w:tcPr>
            <w:tcW w:w="1600" w:type="dxa"/>
            <w:tcBorders>
              <w:top w:val="nil"/>
              <w:left w:val="nil"/>
              <w:bottom w:val="single" w:sz="4" w:space="0" w:color="auto"/>
              <w:right w:val="single" w:sz="4" w:space="0" w:color="auto"/>
            </w:tcBorders>
            <w:shd w:val="clear" w:color="auto" w:fill="auto"/>
            <w:noWrap/>
            <w:vAlign w:val="center"/>
            <w:hideMark/>
          </w:tcPr>
          <w:p w14:paraId="63F7600D"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1.415</w:t>
            </w:r>
          </w:p>
        </w:tc>
        <w:tc>
          <w:tcPr>
            <w:tcW w:w="1200" w:type="dxa"/>
            <w:tcBorders>
              <w:top w:val="nil"/>
              <w:left w:val="nil"/>
              <w:bottom w:val="single" w:sz="4" w:space="0" w:color="auto"/>
              <w:right w:val="single" w:sz="4" w:space="0" w:color="auto"/>
            </w:tcBorders>
            <w:shd w:val="clear" w:color="auto" w:fill="auto"/>
            <w:noWrap/>
            <w:vAlign w:val="center"/>
            <w:hideMark/>
          </w:tcPr>
          <w:p w14:paraId="242CC657"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889</w:t>
            </w:r>
          </w:p>
        </w:tc>
        <w:tc>
          <w:tcPr>
            <w:tcW w:w="1200" w:type="dxa"/>
            <w:tcBorders>
              <w:top w:val="nil"/>
              <w:left w:val="nil"/>
              <w:bottom w:val="single" w:sz="4" w:space="0" w:color="auto"/>
              <w:right w:val="single" w:sz="4" w:space="0" w:color="auto"/>
            </w:tcBorders>
            <w:shd w:val="clear" w:color="auto" w:fill="auto"/>
            <w:noWrap/>
            <w:vAlign w:val="center"/>
            <w:hideMark/>
          </w:tcPr>
          <w:p w14:paraId="64C1B57F"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20</w:t>
            </w:r>
          </w:p>
        </w:tc>
        <w:tc>
          <w:tcPr>
            <w:tcW w:w="1200" w:type="dxa"/>
            <w:tcBorders>
              <w:top w:val="nil"/>
              <w:left w:val="nil"/>
              <w:bottom w:val="single" w:sz="4" w:space="0" w:color="auto"/>
              <w:right w:val="single" w:sz="4" w:space="0" w:color="auto"/>
            </w:tcBorders>
            <w:shd w:val="clear" w:color="auto" w:fill="auto"/>
            <w:noWrap/>
            <w:vAlign w:val="center"/>
            <w:hideMark/>
          </w:tcPr>
          <w:p w14:paraId="765CA452"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6.104</w:t>
            </w:r>
          </w:p>
        </w:tc>
        <w:tc>
          <w:tcPr>
            <w:tcW w:w="1520" w:type="dxa"/>
            <w:tcBorders>
              <w:top w:val="nil"/>
              <w:left w:val="nil"/>
              <w:bottom w:val="single" w:sz="4" w:space="0" w:color="auto"/>
              <w:right w:val="single" w:sz="4" w:space="0" w:color="auto"/>
            </w:tcBorders>
            <w:shd w:val="clear" w:color="auto" w:fill="auto"/>
            <w:noWrap/>
            <w:vAlign w:val="center"/>
            <w:hideMark/>
          </w:tcPr>
          <w:p w14:paraId="5B18E02A"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3.192</w:t>
            </w:r>
          </w:p>
        </w:tc>
      </w:tr>
      <w:tr w:rsidR="009A09ED" w:rsidRPr="00E02C7F" w14:paraId="1364935C"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4CBB5E22"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SE-N_6</w:t>
            </w:r>
          </w:p>
        </w:tc>
        <w:tc>
          <w:tcPr>
            <w:tcW w:w="1200" w:type="dxa"/>
            <w:tcBorders>
              <w:top w:val="nil"/>
              <w:left w:val="nil"/>
              <w:bottom w:val="single" w:sz="4" w:space="0" w:color="auto"/>
              <w:right w:val="single" w:sz="4" w:space="0" w:color="auto"/>
            </w:tcBorders>
            <w:shd w:val="clear" w:color="auto" w:fill="auto"/>
            <w:noWrap/>
            <w:vAlign w:val="center"/>
            <w:hideMark/>
          </w:tcPr>
          <w:p w14:paraId="4B171771"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12.434</w:t>
            </w:r>
          </w:p>
        </w:tc>
        <w:tc>
          <w:tcPr>
            <w:tcW w:w="1600" w:type="dxa"/>
            <w:tcBorders>
              <w:top w:val="nil"/>
              <w:left w:val="nil"/>
              <w:bottom w:val="single" w:sz="4" w:space="0" w:color="auto"/>
              <w:right w:val="single" w:sz="4" w:space="0" w:color="auto"/>
            </w:tcBorders>
            <w:shd w:val="clear" w:color="auto" w:fill="auto"/>
            <w:noWrap/>
            <w:vAlign w:val="center"/>
            <w:hideMark/>
          </w:tcPr>
          <w:p w14:paraId="4FEB22C4"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4.653</w:t>
            </w:r>
          </w:p>
        </w:tc>
        <w:tc>
          <w:tcPr>
            <w:tcW w:w="1200" w:type="dxa"/>
            <w:tcBorders>
              <w:top w:val="nil"/>
              <w:left w:val="nil"/>
              <w:bottom w:val="single" w:sz="4" w:space="0" w:color="auto"/>
              <w:right w:val="single" w:sz="4" w:space="0" w:color="auto"/>
            </w:tcBorders>
            <w:shd w:val="clear" w:color="auto" w:fill="auto"/>
            <w:noWrap/>
            <w:vAlign w:val="center"/>
            <w:hideMark/>
          </w:tcPr>
          <w:p w14:paraId="0AA19572"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2.925</w:t>
            </w:r>
          </w:p>
        </w:tc>
        <w:tc>
          <w:tcPr>
            <w:tcW w:w="1200" w:type="dxa"/>
            <w:tcBorders>
              <w:top w:val="nil"/>
              <w:left w:val="nil"/>
              <w:bottom w:val="single" w:sz="4" w:space="0" w:color="auto"/>
              <w:right w:val="single" w:sz="4" w:space="0" w:color="auto"/>
            </w:tcBorders>
            <w:shd w:val="clear" w:color="auto" w:fill="auto"/>
            <w:noWrap/>
            <w:vAlign w:val="center"/>
            <w:hideMark/>
          </w:tcPr>
          <w:p w14:paraId="73EEDA87"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80</w:t>
            </w:r>
          </w:p>
        </w:tc>
        <w:tc>
          <w:tcPr>
            <w:tcW w:w="1200" w:type="dxa"/>
            <w:tcBorders>
              <w:top w:val="nil"/>
              <w:left w:val="nil"/>
              <w:bottom w:val="single" w:sz="4" w:space="0" w:color="auto"/>
              <w:right w:val="single" w:sz="4" w:space="0" w:color="auto"/>
            </w:tcBorders>
            <w:shd w:val="clear" w:color="auto" w:fill="auto"/>
            <w:noWrap/>
            <w:vAlign w:val="center"/>
            <w:hideMark/>
          </w:tcPr>
          <w:p w14:paraId="2D425C03"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20.091</w:t>
            </w:r>
          </w:p>
        </w:tc>
        <w:tc>
          <w:tcPr>
            <w:tcW w:w="1520" w:type="dxa"/>
            <w:tcBorders>
              <w:top w:val="nil"/>
              <w:left w:val="nil"/>
              <w:bottom w:val="single" w:sz="4" w:space="0" w:color="auto"/>
              <w:right w:val="single" w:sz="4" w:space="0" w:color="auto"/>
            </w:tcBorders>
            <w:shd w:val="clear" w:color="auto" w:fill="auto"/>
            <w:noWrap/>
            <w:vAlign w:val="center"/>
            <w:hideMark/>
          </w:tcPr>
          <w:p w14:paraId="65D0B960"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10.497</w:t>
            </w:r>
          </w:p>
        </w:tc>
      </w:tr>
      <w:tr w:rsidR="009A09ED" w:rsidRPr="00E02C7F" w14:paraId="4CB6BBD0"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1475F117"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SE-N_7</w:t>
            </w:r>
          </w:p>
        </w:tc>
        <w:tc>
          <w:tcPr>
            <w:tcW w:w="1200" w:type="dxa"/>
            <w:tcBorders>
              <w:top w:val="nil"/>
              <w:left w:val="nil"/>
              <w:bottom w:val="single" w:sz="4" w:space="0" w:color="auto"/>
              <w:right w:val="single" w:sz="4" w:space="0" w:color="auto"/>
            </w:tcBorders>
            <w:shd w:val="clear" w:color="auto" w:fill="auto"/>
            <w:noWrap/>
            <w:vAlign w:val="center"/>
            <w:hideMark/>
          </w:tcPr>
          <w:p w14:paraId="0BAEA978"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79.780</w:t>
            </w:r>
          </w:p>
        </w:tc>
        <w:tc>
          <w:tcPr>
            <w:tcW w:w="1600" w:type="dxa"/>
            <w:tcBorders>
              <w:top w:val="nil"/>
              <w:left w:val="nil"/>
              <w:bottom w:val="single" w:sz="4" w:space="0" w:color="auto"/>
              <w:right w:val="single" w:sz="4" w:space="0" w:color="auto"/>
            </w:tcBorders>
            <w:shd w:val="clear" w:color="auto" w:fill="auto"/>
            <w:noWrap/>
            <w:vAlign w:val="center"/>
            <w:hideMark/>
          </w:tcPr>
          <w:p w14:paraId="46A81737"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29.854</w:t>
            </w:r>
          </w:p>
        </w:tc>
        <w:tc>
          <w:tcPr>
            <w:tcW w:w="1200" w:type="dxa"/>
            <w:tcBorders>
              <w:top w:val="nil"/>
              <w:left w:val="nil"/>
              <w:bottom w:val="single" w:sz="4" w:space="0" w:color="auto"/>
              <w:right w:val="single" w:sz="4" w:space="0" w:color="auto"/>
            </w:tcBorders>
            <w:shd w:val="clear" w:color="auto" w:fill="auto"/>
            <w:noWrap/>
            <w:vAlign w:val="center"/>
            <w:hideMark/>
          </w:tcPr>
          <w:p w14:paraId="398F82C8"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18.767</w:t>
            </w:r>
          </w:p>
        </w:tc>
        <w:tc>
          <w:tcPr>
            <w:tcW w:w="1200" w:type="dxa"/>
            <w:tcBorders>
              <w:top w:val="nil"/>
              <w:left w:val="nil"/>
              <w:bottom w:val="single" w:sz="4" w:space="0" w:color="auto"/>
              <w:right w:val="single" w:sz="4" w:space="0" w:color="auto"/>
            </w:tcBorders>
            <w:shd w:val="clear" w:color="auto" w:fill="auto"/>
            <w:noWrap/>
            <w:vAlign w:val="center"/>
            <w:hideMark/>
          </w:tcPr>
          <w:p w14:paraId="5198F86A"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607</w:t>
            </w:r>
          </w:p>
        </w:tc>
        <w:tc>
          <w:tcPr>
            <w:tcW w:w="1200" w:type="dxa"/>
            <w:tcBorders>
              <w:top w:val="nil"/>
              <w:left w:val="nil"/>
              <w:bottom w:val="single" w:sz="4" w:space="0" w:color="auto"/>
              <w:right w:val="single" w:sz="4" w:space="0" w:color="auto"/>
            </w:tcBorders>
            <w:shd w:val="clear" w:color="auto" w:fill="auto"/>
            <w:noWrap/>
            <w:vAlign w:val="center"/>
            <w:hideMark/>
          </w:tcPr>
          <w:p w14:paraId="747ED877"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129.008</w:t>
            </w:r>
          </w:p>
        </w:tc>
        <w:tc>
          <w:tcPr>
            <w:tcW w:w="1520" w:type="dxa"/>
            <w:tcBorders>
              <w:top w:val="nil"/>
              <w:left w:val="nil"/>
              <w:bottom w:val="single" w:sz="4" w:space="0" w:color="auto"/>
              <w:right w:val="single" w:sz="4" w:space="0" w:color="auto"/>
            </w:tcBorders>
            <w:shd w:val="clear" w:color="auto" w:fill="auto"/>
            <w:noWrap/>
            <w:vAlign w:val="center"/>
            <w:hideMark/>
          </w:tcPr>
          <w:p w14:paraId="414344E4"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67.355</w:t>
            </w:r>
          </w:p>
        </w:tc>
      </w:tr>
      <w:tr w:rsidR="009A09ED" w:rsidRPr="00E02C7F" w14:paraId="4075E37A"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1950045D"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SE-N_8</w:t>
            </w:r>
          </w:p>
        </w:tc>
        <w:tc>
          <w:tcPr>
            <w:tcW w:w="1200" w:type="dxa"/>
            <w:tcBorders>
              <w:top w:val="nil"/>
              <w:left w:val="nil"/>
              <w:bottom w:val="single" w:sz="4" w:space="0" w:color="auto"/>
              <w:right w:val="single" w:sz="4" w:space="0" w:color="auto"/>
            </w:tcBorders>
            <w:shd w:val="clear" w:color="auto" w:fill="auto"/>
            <w:noWrap/>
            <w:vAlign w:val="center"/>
            <w:hideMark/>
          </w:tcPr>
          <w:p w14:paraId="2DC4298B"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34.546</w:t>
            </w:r>
          </w:p>
        </w:tc>
        <w:tc>
          <w:tcPr>
            <w:tcW w:w="1600" w:type="dxa"/>
            <w:tcBorders>
              <w:top w:val="nil"/>
              <w:left w:val="nil"/>
              <w:bottom w:val="single" w:sz="4" w:space="0" w:color="auto"/>
              <w:right w:val="single" w:sz="4" w:space="0" w:color="auto"/>
            </w:tcBorders>
            <w:shd w:val="clear" w:color="auto" w:fill="auto"/>
            <w:noWrap/>
            <w:vAlign w:val="center"/>
            <w:hideMark/>
          </w:tcPr>
          <w:p w14:paraId="597A9774"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12.927</w:t>
            </w:r>
          </w:p>
        </w:tc>
        <w:tc>
          <w:tcPr>
            <w:tcW w:w="1200" w:type="dxa"/>
            <w:tcBorders>
              <w:top w:val="nil"/>
              <w:left w:val="nil"/>
              <w:bottom w:val="single" w:sz="4" w:space="0" w:color="auto"/>
              <w:right w:val="single" w:sz="4" w:space="0" w:color="auto"/>
            </w:tcBorders>
            <w:shd w:val="clear" w:color="auto" w:fill="auto"/>
            <w:noWrap/>
            <w:vAlign w:val="center"/>
            <w:hideMark/>
          </w:tcPr>
          <w:p w14:paraId="4F1134CD"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8.126</w:t>
            </w:r>
          </w:p>
        </w:tc>
        <w:tc>
          <w:tcPr>
            <w:tcW w:w="1200" w:type="dxa"/>
            <w:tcBorders>
              <w:top w:val="nil"/>
              <w:left w:val="nil"/>
              <w:bottom w:val="single" w:sz="4" w:space="0" w:color="auto"/>
              <w:right w:val="single" w:sz="4" w:space="0" w:color="auto"/>
            </w:tcBorders>
            <w:shd w:val="clear" w:color="auto" w:fill="auto"/>
            <w:noWrap/>
            <w:vAlign w:val="center"/>
            <w:hideMark/>
          </w:tcPr>
          <w:p w14:paraId="62237962"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332</w:t>
            </w:r>
          </w:p>
        </w:tc>
        <w:tc>
          <w:tcPr>
            <w:tcW w:w="1200" w:type="dxa"/>
            <w:tcBorders>
              <w:top w:val="nil"/>
              <w:left w:val="nil"/>
              <w:bottom w:val="single" w:sz="4" w:space="0" w:color="auto"/>
              <w:right w:val="single" w:sz="4" w:space="0" w:color="auto"/>
            </w:tcBorders>
            <w:shd w:val="clear" w:color="auto" w:fill="auto"/>
            <w:noWrap/>
            <w:vAlign w:val="center"/>
            <w:hideMark/>
          </w:tcPr>
          <w:p w14:paraId="05F48770"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55.932</w:t>
            </w:r>
          </w:p>
        </w:tc>
        <w:tc>
          <w:tcPr>
            <w:tcW w:w="1520" w:type="dxa"/>
            <w:tcBorders>
              <w:top w:val="nil"/>
              <w:left w:val="nil"/>
              <w:bottom w:val="single" w:sz="4" w:space="0" w:color="auto"/>
              <w:right w:val="single" w:sz="4" w:space="0" w:color="auto"/>
            </w:tcBorders>
            <w:shd w:val="clear" w:color="auto" w:fill="auto"/>
            <w:noWrap/>
            <w:vAlign w:val="center"/>
            <w:hideMark/>
          </w:tcPr>
          <w:p w14:paraId="10FC7735"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29.166</w:t>
            </w:r>
          </w:p>
        </w:tc>
      </w:tr>
      <w:tr w:rsidR="009A09ED" w:rsidRPr="00E02C7F" w14:paraId="1F667320"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05A49425"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SE-N_9</w:t>
            </w:r>
          </w:p>
        </w:tc>
        <w:tc>
          <w:tcPr>
            <w:tcW w:w="1200" w:type="dxa"/>
            <w:tcBorders>
              <w:top w:val="nil"/>
              <w:left w:val="nil"/>
              <w:bottom w:val="single" w:sz="4" w:space="0" w:color="auto"/>
              <w:right w:val="single" w:sz="4" w:space="0" w:color="auto"/>
            </w:tcBorders>
            <w:shd w:val="clear" w:color="auto" w:fill="auto"/>
            <w:noWrap/>
            <w:vAlign w:val="center"/>
            <w:hideMark/>
          </w:tcPr>
          <w:p w14:paraId="15D3F43C"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56.564</w:t>
            </w:r>
          </w:p>
        </w:tc>
        <w:tc>
          <w:tcPr>
            <w:tcW w:w="1600" w:type="dxa"/>
            <w:tcBorders>
              <w:top w:val="nil"/>
              <w:left w:val="nil"/>
              <w:bottom w:val="single" w:sz="4" w:space="0" w:color="auto"/>
              <w:right w:val="single" w:sz="4" w:space="0" w:color="auto"/>
            </w:tcBorders>
            <w:shd w:val="clear" w:color="auto" w:fill="auto"/>
            <w:noWrap/>
            <w:vAlign w:val="center"/>
            <w:hideMark/>
          </w:tcPr>
          <w:p w14:paraId="7F4D5C63"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21.167</w:t>
            </w:r>
          </w:p>
        </w:tc>
        <w:tc>
          <w:tcPr>
            <w:tcW w:w="1200" w:type="dxa"/>
            <w:tcBorders>
              <w:top w:val="nil"/>
              <w:left w:val="nil"/>
              <w:bottom w:val="single" w:sz="4" w:space="0" w:color="auto"/>
              <w:right w:val="single" w:sz="4" w:space="0" w:color="auto"/>
            </w:tcBorders>
            <w:shd w:val="clear" w:color="auto" w:fill="auto"/>
            <w:noWrap/>
            <w:vAlign w:val="center"/>
            <w:hideMark/>
          </w:tcPr>
          <w:p w14:paraId="55DE43D1"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13.306</w:t>
            </w:r>
          </w:p>
        </w:tc>
        <w:tc>
          <w:tcPr>
            <w:tcW w:w="1200" w:type="dxa"/>
            <w:tcBorders>
              <w:top w:val="nil"/>
              <w:left w:val="nil"/>
              <w:bottom w:val="single" w:sz="4" w:space="0" w:color="auto"/>
              <w:right w:val="single" w:sz="4" w:space="0" w:color="auto"/>
            </w:tcBorders>
            <w:shd w:val="clear" w:color="auto" w:fill="auto"/>
            <w:noWrap/>
            <w:vAlign w:val="center"/>
            <w:hideMark/>
          </w:tcPr>
          <w:p w14:paraId="4ADC7A86"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416</w:t>
            </w:r>
          </w:p>
        </w:tc>
        <w:tc>
          <w:tcPr>
            <w:tcW w:w="1200" w:type="dxa"/>
            <w:tcBorders>
              <w:top w:val="nil"/>
              <w:left w:val="nil"/>
              <w:bottom w:val="single" w:sz="4" w:space="0" w:color="auto"/>
              <w:right w:val="single" w:sz="4" w:space="0" w:color="auto"/>
            </w:tcBorders>
            <w:shd w:val="clear" w:color="auto" w:fill="auto"/>
            <w:noWrap/>
            <w:vAlign w:val="center"/>
            <w:hideMark/>
          </w:tcPr>
          <w:p w14:paraId="0755391B"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91.453</w:t>
            </w:r>
          </w:p>
        </w:tc>
        <w:tc>
          <w:tcPr>
            <w:tcW w:w="1520" w:type="dxa"/>
            <w:tcBorders>
              <w:top w:val="nil"/>
              <w:left w:val="nil"/>
              <w:bottom w:val="single" w:sz="4" w:space="0" w:color="auto"/>
              <w:right w:val="single" w:sz="4" w:space="0" w:color="auto"/>
            </w:tcBorders>
            <w:shd w:val="clear" w:color="auto" w:fill="auto"/>
            <w:noWrap/>
            <w:vAlign w:val="center"/>
            <w:hideMark/>
          </w:tcPr>
          <w:p w14:paraId="6B7C6CCA"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47.755</w:t>
            </w:r>
          </w:p>
        </w:tc>
      </w:tr>
      <w:tr w:rsidR="009A09ED" w:rsidRPr="00E02C7F" w14:paraId="03F594C9"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385B6220"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SE-N_10</w:t>
            </w:r>
          </w:p>
        </w:tc>
        <w:tc>
          <w:tcPr>
            <w:tcW w:w="1200" w:type="dxa"/>
            <w:tcBorders>
              <w:top w:val="nil"/>
              <w:left w:val="nil"/>
              <w:bottom w:val="single" w:sz="4" w:space="0" w:color="auto"/>
              <w:right w:val="single" w:sz="4" w:space="0" w:color="auto"/>
            </w:tcBorders>
            <w:shd w:val="clear" w:color="auto" w:fill="auto"/>
            <w:noWrap/>
            <w:vAlign w:val="center"/>
            <w:hideMark/>
          </w:tcPr>
          <w:p w14:paraId="24D034C0"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423.014</w:t>
            </w:r>
          </w:p>
        </w:tc>
        <w:tc>
          <w:tcPr>
            <w:tcW w:w="1600" w:type="dxa"/>
            <w:tcBorders>
              <w:top w:val="nil"/>
              <w:left w:val="nil"/>
              <w:bottom w:val="single" w:sz="4" w:space="0" w:color="auto"/>
              <w:right w:val="single" w:sz="4" w:space="0" w:color="auto"/>
            </w:tcBorders>
            <w:shd w:val="clear" w:color="auto" w:fill="auto"/>
            <w:noWrap/>
            <w:vAlign w:val="center"/>
            <w:hideMark/>
          </w:tcPr>
          <w:p w14:paraId="62847C65"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158.295</w:t>
            </w:r>
          </w:p>
        </w:tc>
        <w:tc>
          <w:tcPr>
            <w:tcW w:w="1200" w:type="dxa"/>
            <w:tcBorders>
              <w:top w:val="nil"/>
              <w:left w:val="nil"/>
              <w:bottom w:val="single" w:sz="4" w:space="0" w:color="auto"/>
              <w:right w:val="single" w:sz="4" w:space="0" w:color="auto"/>
            </w:tcBorders>
            <w:shd w:val="clear" w:color="auto" w:fill="auto"/>
            <w:noWrap/>
            <w:vAlign w:val="center"/>
            <w:hideMark/>
          </w:tcPr>
          <w:p w14:paraId="0FA515F2"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99.506</w:t>
            </w:r>
          </w:p>
        </w:tc>
        <w:tc>
          <w:tcPr>
            <w:tcW w:w="1200" w:type="dxa"/>
            <w:tcBorders>
              <w:top w:val="nil"/>
              <w:left w:val="nil"/>
              <w:bottom w:val="single" w:sz="4" w:space="0" w:color="auto"/>
              <w:right w:val="single" w:sz="4" w:space="0" w:color="auto"/>
            </w:tcBorders>
            <w:shd w:val="clear" w:color="auto" w:fill="auto"/>
            <w:noWrap/>
            <w:vAlign w:val="center"/>
            <w:hideMark/>
          </w:tcPr>
          <w:p w14:paraId="4B47A3EE"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2.958</w:t>
            </w:r>
          </w:p>
        </w:tc>
        <w:tc>
          <w:tcPr>
            <w:tcW w:w="1200" w:type="dxa"/>
            <w:tcBorders>
              <w:top w:val="nil"/>
              <w:left w:val="nil"/>
              <w:bottom w:val="single" w:sz="4" w:space="0" w:color="auto"/>
              <w:right w:val="single" w:sz="4" w:space="0" w:color="auto"/>
            </w:tcBorders>
            <w:shd w:val="clear" w:color="auto" w:fill="auto"/>
            <w:noWrap/>
            <w:vAlign w:val="center"/>
            <w:hideMark/>
          </w:tcPr>
          <w:p w14:paraId="1668B216"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683.774</w:t>
            </w:r>
          </w:p>
        </w:tc>
        <w:tc>
          <w:tcPr>
            <w:tcW w:w="1520" w:type="dxa"/>
            <w:tcBorders>
              <w:top w:val="nil"/>
              <w:left w:val="nil"/>
              <w:bottom w:val="single" w:sz="4" w:space="0" w:color="auto"/>
              <w:right w:val="single" w:sz="4" w:space="0" w:color="auto"/>
            </w:tcBorders>
            <w:shd w:val="clear" w:color="auto" w:fill="auto"/>
            <w:noWrap/>
            <w:vAlign w:val="center"/>
            <w:hideMark/>
          </w:tcPr>
          <w:p w14:paraId="4984BA8D"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357.133</w:t>
            </w:r>
          </w:p>
        </w:tc>
      </w:tr>
      <w:tr w:rsidR="009A09ED" w:rsidRPr="00E02C7F" w14:paraId="50B7BA6C"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7F598329"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lastRenderedPageBreak/>
              <w:t>SE-N_11</w:t>
            </w:r>
          </w:p>
        </w:tc>
        <w:tc>
          <w:tcPr>
            <w:tcW w:w="1200" w:type="dxa"/>
            <w:tcBorders>
              <w:top w:val="nil"/>
              <w:left w:val="nil"/>
              <w:bottom w:val="single" w:sz="4" w:space="0" w:color="auto"/>
              <w:right w:val="single" w:sz="4" w:space="0" w:color="auto"/>
            </w:tcBorders>
            <w:shd w:val="clear" w:color="auto" w:fill="auto"/>
            <w:noWrap/>
            <w:vAlign w:val="center"/>
            <w:hideMark/>
          </w:tcPr>
          <w:p w14:paraId="2809B92D"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256.744</w:t>
            </w:r>
          </w:p>
        </w:tc>
        <w:tc>
          <w:tcPr>
            <w:tcW w:w="1600" w:type="dxa"/>
            <w:tcBorders>
              <w:top w:val="nil"/>
              <w:left w:val="nil"/>
              <w:bottom w:val="single" w:sz="4" w:space="0" w:color="auto"/>
              <w:right w:val="single" w:sz="4" w:space="0" w:color="auto"/>
            </w:tcBorders>
            <w:shd w:val="clear" w:color="auto" w:fill="auto"/>
            <w:noWrap/>
            <w:vAlign w:val="center"/>
            <w:hideMark/>
          </w:tcPr>
          <w:p w14:paraId="1811C1CD"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96.076</w:t>
            </w:r>
          </w:p>
        </w:tc>
        <w:tc>
          <w:tcPr>
            <w:tcW w:w="1200" w:type="dxa"/>
            <w:tcBorders>
              <w:top w:val="nil"/>
              <w:left w:val="nil"/>
              <w:bottom w:val="single" w:sz="4" w:space="0" w:color="auto"/>
              <w:right w:val="single" w:sz="4" w:space="0" w:color="auto"/>
            </w:tcBorders>
            <w:shd w:val="clear" w:color="auto" w:fill="auto"/>
            <w:noWrap/>
            <w:vAlign w:val="center"/>
            <w:hideMark/>
          </w:tcPr>
          <w:p w14:paraId="7C448FC3"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60.394</w:t>
            </w:r>
          </w:p>
        </w:tc>
        <w:tc>
          <w:tcPr>
            <w:tcW w:w="1200" w:type="dxa"/>
            <w:tcBorders>
              <w:top w:val="nil"/>
              <w:left w:val="nil"/>
              <w:bottom w:val="single" w:sz="4" w:space="0" w:color="auto"/>
              <w:right w:val="single" w:sz="4" w:space="0" w:color="auto"/>
            </w:tcBorders>
            <w:shd w:val="clear" w:color="auto" w:fill="auto"/>
            <w:noWrap/>
            <w:vAlign w:val="center"/>
            <w:hideMark/>
          </w:tcPr>
          <w:p w14:paraId="6D4C382E"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1.880</w:t>
            </w:r>
          </w:p>
        </w:tc>
        <w:tc>
          <w:tcPr>
            <w:tcW w:w="1200" w:type="dxa"/>
            <w:tcBorders>
              <w:top w:val="nil"/>
              <w:left w:val="nil"/>
              <w:bottom w:val="single" w:sz="4" w:space="0" w:color="auto"/>
              <w:right w:val="single" w:sz="4" w:space="0" w:color="auto"/>
            </w:tcBorders>
            <w:shd w:val="clear" w:color="auto" w:fill="auto"/>
            <w:noWrap/>
            <w:vAlign w:val="center"/>
            <w:hideMark/>
          </w:tcPr>
          <w:p w14:paraId="20141ECB"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415.094</w:t>
            </w:r>
          </w:p>
        </w:tc>
        <w:tc>
          <w:tcPr>
            <w:tcW w:w="1520" w:type="dxa"/>
            <w:tcBorders>
              <w:top w:val="nil"/>
              <w:left w:val="nil"/>
              <w:bottom w:val="single" w:sz="4" w:space="0" w:color="auto"/>
              <w:right w:val="single" w:sz="4" w:space="0" w:color="auto"/>
            </w:tcBorders>
            <w:shd w:val="clear" w:color="auto" w:fill="auto"/>
            <w:noWrap/>
            <w:vAlign w:val="center"/>
            <w:hideMark/>
          </w:tcPr>
          <w:p w14:paraId="3EEE22BE"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216.758</w:t>
            </w:r>
          </w:p>
        </w:tc>
      </w:tr>
      <w:tr w:rsidR="009A09ED" w:rsidRPr="00E02C7F" w14:paraId="40EC6CD2"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3377B48D"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SE-N_12</w:t>
            </w:r>
          </w:p>
        </w:tc>
        <w:tc>
          <w:tcPr>
            <w:tcW w:w="1200" w:type="dxa"/>
            <w:tcBorders>
              <w:top w:val="nil"/>
              <w:left w:val="nil"/>
              <w:bottom w:val="single" w:sz="4" w:space="0" w:color="auto"/>
              <w:right w:val="single" w:sz="4" w:space="0" w:color="auto"/>
            </w:tcBorders>
            <w:shd w:val="clear" w:color="auto" w:fill="auto"/>
            <w:noWrap/>
            <w:vAlign w:val="center"/>
            <w:hideMark/>
          </w:tcPr>
          <w:p w14:paraId="12564D9B"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215.791</w:t>
            </w:r>
          </w:p>
        </w:tc>
        <w:tc>
          <w:tcPr>
            <w:tcW w:w="1600" w:type="dxa"/>
            <w:tcBorders>
              <w:top w:val="nil"/>
              <w:left w:val="nil"/>
              <w:bottom w:val="single" w:sz="4" w:space="0" w:color="auto"/>
              <w:right w:val="single" w:sz="4" w:space="0" w:color="auto"/>
            </w:tcBorders>
            <w:shd w:val="clear" w:color="auto" w:fill="auto"/>
            <w:noWrap/>
            <w:vAlign w:val="center"/>
            <w:hideMark/>
          </w:tcPr>
          <w:p w14:paraId="13EBF89F"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80.751</w:t>
            </w:r>
          </w:p>
        </w:tc>
        <w:tc>
          <w:tcPr>
            <w:tcW w:w="1200" w:type="dxa"/>
            <w:tcBorders>
              <w:top w:val="nil"/>
              <w:left w:val="nil"/>
              <w:bottom w:val="single" w:sz="4" w:space="0" w:color="auto"/>
              <w:right w:val="single" w:sz="4" w:space="0" w:color="auto"/>
            </w:tcBorders>
            <w:shd w:val="clear" w:color="auto" w:fill="auto"/>
            <w:noWrap/>
            <w:vAlign w:val="center"/>
            <w:hideMark/>
          </w:tcPr>
          <w:p w14:paraId="5EAD9FE9"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50.761</w:t>
            </w:r>
          </w:p>
        </w:tc>
        <w:tc>
          <w:tcPr>
            <w:tcW w:w="1200" w:type="dxa"/>
            <w:tcBorders>
              <w:top w:val="nil"/>
              <w:left w:val="nil"/>
              <w:bottom w:val="single" w:sz="4" w:space="0" w:color="auto"/>
              <w:right w:val="single" w:sz="4" w:space="0" w:color="auto"/>
            </w:tcBorders>
            <w:shd w:val="clear" w:color="auto" w:fill="auto"/>
            <w:noWrap/>
            <w:vAlign w:val="center"/>
            <w:hideMark/>
          </w:tcPr>
          <w:p w14:paraId="45DC97AB"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117</w:t>
            </w:r>
          </w:p>
        </w:tc>
        <w:tc>
          <w:tcPr>
            <w:tcW w:w="1200" w:type="dxa"/>
            <w:tcBorders>
              <w:top w:val="nil"/>
              <w:left w:val="nil"/>
              <w:bottom w:val="single" w:sz="4" w:space="0" w:color="auto"/>
              <w:right w:val="single" w:sz="4" w:space="0" w:color="auto"/>
            </w:tcBorders>
            <w:shd w:val="clear" w:color="auto" w:fill="auto"/>
            <w:noWrap/>
            <w:vAlign w:val="center"/>
            <w:hideMark/>
          </w:tcPr>
          <w:p w14:paraId="3AB355C9"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347.419</w:t>
            </w:r>
          </w:p>
        </w:tc>
        <w:tc>
          <w:tcPr>
            <w:tcW w:w="1520" w:type="dxa"/>
            <w:tcBorders>
              <w:top w:val="nil"/>
              <w:left w:val="nil"/>
              <w:bottom w:val="single" w:sz="4" w:space="0" w:color="auto"/>
              <w:right w:val="single" w:sz="4" w:space="0" w:color="auto"/>
            </w:tcBorders>
            <w:shd w:val="clear" w:color="auto" w:fill="auto"/>
            <w:noWrap/>
            <w:vAlign w:val="center"/>
            <w:hideMark/>
          </w:tcPr>
          <w:p w14:paraId="0CEED19F"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182.183</w:t>
            </w:r>
          </w:p>
        </w:tc>
      </w:tr>
      <w:tr w:rsidR="009A09ED" w:rsidRPr="00E02C7F" w14:paraId="251B78CE"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491786A3"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SE-N_13</w:t>
            </w:r>
          </w:p>
        </w:tc>
        <w:tc>
          <w:tcPr>
            <w:tcW w:w="1200" w:type="dxa"/>
            <w:tcBorders>
              <w:top w:val="nil"/>
              <w:left w:val="nil"/>
              <w:bottom w:val="single" w:sz="4" w:space="0" w:color="auto"/>
              <w:right w:val="single" w:sz="4" w:space="0" w:color="auto"/>
            </w:tcBorders>
            <w:shd w:val="clear" w:color="auto" w:fill="auto"/>
            <w:noWrap/>
            <w:vAlign w:val="center"/>
            <w:hideMark/>
          </w:tcPr>
          <w:p w14:paraId="2694E698"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25.851</w:t>
            </w:r>
          </w:p>
        </w:tc>
        <w:tc>
          <w:tcPr>
            <w:tcW w:w="1600" w:type="dxa"/>
            <w:tcBorders>
              <w:top w:val="nil"/>
              <w:left w:val="nil"/>
              <w:bottom w:val="single" w:sz="4" w:space="0" w:color="auto"/>
              <w:right w:val="single" w:sz="4" w:space="0" w:color="auto"/>
            </w:tcBorders>
            <w:shd w:val="clear" w:color="auto" w:fill="auto"/>
            <w:noWrap/>
            <w:vAlign w:val="center"/>
            <w:hideMark/>
          </w:tcPr>
          <w:p w14:paraId="395F24B8"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9.674</w:t>
            </w:r>
          </w:p>
        </w:tc>
        <w:tc>
          <w:tcPr>
            <w:tcW w:w="1200" w:type="dxa"/>
            <w:tcBorders>
              <w:top w:val="nil"/>
              <w:left w:val="nil"/>
              <w:bottom w:val="single" w:sz="4" w:space="0" w:color="auto"/>
              <w:right w:val="single" w:sz="4" w:space="0" w:color="auto"/>
            </w:tcBorders>
            <w:shd w:val="clear" w:color="auto" w:fill="auto"/>
            <w:noWrap/>
            <w:vAlign w:val="center"/>
            <w:hideMark/>
          </w:tcPr>
          <w:p w14:paraId="121075F9"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6.081</w:t>
            </w:r>
          </w:p>
        </w:tc>
        <w:tc>
          <w:tcPr>
            <w:tcW w:w="1200" w:type="dxa"/>
            <w:tcBorders>
              <w:top w:val="nil"/>
              <w:left w:val="nil"/>
              <w:bottom w:val="single" w:sz="4" w:space="0" w:color="auto"/>
              <w:right w:val="single" w:sz="4" w:space="0" w:color="auto"/>
            </w:tcBorders>
            <w:shd w:val="clear" w:color="auto" w:fill="auto"/>
            <w:noWrap/>
            <w:vAlign w:val="center"/>
            <w:hideMark/>
          </w:tcPr>
          <w:p w14:paraId="1C8A7DBE"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154</w:t>
            </w:r>
          </w:p>
        </w:tc>
        <w:tc>
          <w:tcPr>
            <w:tcW w:w="1200" w:type="dxa"/>
            <w:tcBorders>
              <w:top w:val="nil"/>
              <w:left w:val="nil"/>
              <w:bottom w:val="single" w:sz="4" w:space="0" w:color="auto"/>
              <w:right w:val="single" w:sz="4" w:space="0" w:color="auto"/>
            </w:tcBorders>
            <w:shd w:val="clear" w:color="auto" w:fill="auto"/>
            <w:noWrap/>
            <w:vAlign w:val="center"/>
            <w:hideMark/>
          </w:tcPr>
          <w:p w14:paraId="0806A2EA"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41.759</w:t>
            </w:r>
          </w:p>
        </w:tc>
        <w:tc>
          <w:tcPr>
            <w:tcW w:w="1520" w:type="dxa"/>
            <w:tcBorders>
              <w:top w:val="nil"/>
              <w:left w:val="nil"/>
              <w:bottom w:val="single" w:sz="4" w:space="0" w:color="auto"/>
              <w:right w:val="single" w:sz="4" w:space="0" w:color="auto"/>
            </w:tcBorders>
            <w:shd w:val="clear" w:color="auto" w:fill="auto"/>
            <w:noWrap/>
            <w:vAlign w:val="center"/>
            <w:hideMark/>
          </w:tcPr>
          <w:p w14:paraId="01A4AA07"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21.825</w:t>
            </w:r>
          </w:p>
        </w:tc>
      </w:tr>
      <w:tr w:rsidR="009A09ED" w:rsidRPr="00E02C7F" w14:paraId="6468074B"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29F63B66"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SE-N_14</w:t>
            </w:r>
          </w:p>
        </w:tc>
        <w:tc>
          <w:tcPr>
            <w:tcW w:w="1200" w:type="dxa"/>
            <w:tcBorders>
              <w:top w:val="nil"/>
              <w:left w:val="nil"/>
              <w:bottom w:val="single" w:sz="4" w:space="0" w:color="auto"/>
              <w:right w:val="single" w:sz="4" w:space="0" w:color="auto"/>
            </w:tcBorders>
            <w:shd w:val="clear" w:color="auto" w:fill="auto"/>
            <w:noWrap/>
            <w:vAlign w:val="center"/>
            <w:hideMark/>
          </w:tcPr>
          <w:p w14:paraId="66517EBF"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33.666</w:t>
            </w:r>
          </w:p>
        </w:tc>
        <w:tc>
          <w:tcPr>
            <w:tcW w:w="1600" w:type="dxa"/>
            <w:tcBorders>
              <w:top w:val="nil"/>
              <w:left w:val="nil"/>
              <w:bottom w:val="single" w:sz="4" w:space="0" w:color="auto"/>
              <w:right w:val="single" w:sz="4" w:space="0" w:color="auto"/>
            </w:tcBorders>
            <w:shd w:val="clear" w:color="auto" w:fill="auto"/>
            <w:noWrap/>
            <w:vAlign w:val="center"/>
            <w:hideMark/>
          </w:tcPr>
          <w:p w14:paraId="5F7860E8"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12.598</w:t>
            </w:r>
          </w:p>
        </w:tc>
        <w:tc>
          <w:tcPr>
            <w:tcW w:w="1200" w:type="dxa"/>
            <w:tcBorders>
              <w:top w:val="nil"/>
              <w:left w:val="nil"/>
              <w:bottom w:val="single" w:sz="4" w:space="0" w:color="auto"/>
              <w:right w:val="single" w:sz="4" w:space="0" w:color="auto"/>
            </w:tcBorders>
            <w:shd w:val="clear" w:color="auto" w:fill="auto"/>
            <w:noWrap/>
            <w:vAlign w:val="center"/>
            <w:hideMark/>
          </w:tcPr>
          <w:p w14:paraId="282A7BA6"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7.919</w:t>
            </w:r>
          </w:p>
        </w:tc>
        <w:tc>
          <w:tcPr>
            <w:tcW w:w="1200" w:type="dxa"/>
            <w:tcBorders>
              <w:top w:val="nil"/>
              <w:left w:val="nil"/>
              <w:bottom w:val="single" w:sz="4" w:space="0" w:color="auto"/>
              <w:right w:val="single" w:sz="4" w:space="0" w:color="auto"/>
            </w:tcBorders>
            <w:shd w:val="clear" w:color="auto" w:fill="auto"/>
            <w:noWrap/>
            <w:vAlign w:val="center"/>
            <w:hideMark/>
          </w:tcPr>
          <w:p w14:paraId="00D66135"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389</w:t>
            </w:r>
          </w:p>
        </w:tc>
        <w:tc>
          <w:tcPr>
            <w:tcW w:w="1200" w:type="dxa"/>
            <w:tcBorders>
              <w:top w:val="nil"/>
              <w:left w:val="nil"/>
              <w:bottom w:val="single" w:sz="4" w:space="0" w:color="auto"/>
              <w:right w:val="single" w:sz="4" w:space="0" w:color="auto"/>
            </w:tcBorders>
            <w:shd w:val="clear" w:color="auto" w:fill="auto"/>
            <w:noWrap/>
            <w:vAlign w:val="center"/>
            <w:hideMark/>
          </w:tcPr>
          <w:p w14:paraId="3B5BCFD3"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54.573</w:t>
            </w:r>
          </w:p>
        </w:tc>
        <w:tc>
          <w:tcPr>
            <w:tcW w:w="1520" w:type="dxa"/>
            <w:tcBorders>
              <w:top w:val="nil"/>
              <w:left w:val="nil"/>
              <w:bottom w:val="single" w:sz="4" w:space="0" w:color="auto"/>
              <w:right w:val="single" w:sz="4" w:space="0" w:color="auto"/>
            </w:tcBorders>
            <w:shd w:val="clear" w:color="auto" w:fill="auto"/>
            <w:noWrap/>
            <w:vAlign w:val="center"/>
            <w:hideMark/>
          </w:tcPr>
          <w:p w14:paraId="4C409384"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28.423</w:t>
            </w:r>
          </w:p>
        </w:tc>
      </w:tr>
      <w:tr w:rsidR="009A09ED" w:rsidRPr="00E02C7F" w14:paraId="1734A023"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05ECA802"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SE-N_15</w:t>
            </w:r>
          </w:p>
        </w:tc>
        <w:tc>
          <w:tcPr>
            <w:tcW w:w="1200" w:type="dxa"/>
            <w:tcBorders>
              <w:top w:val="nil"/>
              <w:left w:val="nil"/>
              <w:bottom w:val="single" w:sz="4" w:space="0" w:color="auto"/>
              <w:right w:val="single" w:sz="4" w:space="0" w:color="auto"/>
            </w:tcBorders>
            <w:shd w:val="clear" w:color="auto" w:fill="auto"/>
            <w:noWrap/>
            <w:vAlign w:val="center"/>
            <w:hideMark/>
          </w:tcPr>
          <w:p w14:paraId="62F60D72"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52.232</w:t>
            </w:r>
          </w:p>
        </w:tc>
        <w:tc>
          <w:tcPr>
            <w:tcW w:w="1600" w:type="dxa"/>
            <w:tcBorders>
              <w:top w:val="nil"/>
              <w:left w:val="nil"/>
              <w:bottom w:val="single" w:sz="4" w:space="0" w:color="auto"/>
              <w:right w:val="single" w:sz="4" w:space="0" w:color="auto"/>
            </w:tcBorders>
            <w:shd w:val="clear" w:color="auto" w:fill="auto"/>
            <w:noWrap/>
            <w:vAlign w:val="center"/>
            <w:hideMark/>
          </w:tcPr>
          <w:p w14:paraId="146EBB83"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19.546</w:t>
            </w:r>
          </w:p>
        </w:tc>
        <w:tc>
          <w:tcPr>
            <w:tcW w:w="1200" w:type="dxa"/>
            <w:tcBorders>
              <w:top w:val="nil"/>
              <w:left w:val="nil"/>
              <w:bottom w:val="single" w:sz="4" w:space="0" w:color="auto"/>
              <w:right w:val="single" w:sz="4" w:space="0" w:color="auto"/>
            </w:tcBorders>
            <w:shd w:val="clear" w:color="auto" w:fill="auto"/>
            <w:noWrap/>
            <w:vAlign w:val="center"/>
            <w:hideMark/>
          </w:tcPr>
          <w:p w14:paraId="771C560C"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12.287</w:t>
            </w:r>
          </w:p>
        </w:tc>
        <w:tc>
          <w:tcPr>
            <w:tcW w:w="1200" w:type="dxa"/>
            <w:tcBorders>
              <w:top w:val="nil"/>
              <w:left w:val="nil"/>
              <w:bottom w:val="single" w:sz="4" w:space="0" w:color="auto"/>
              <w:right w:val="single" w:sz="4" w:space="0" w:color="auto"/>
            </w:tcBorders>
            <w:shd w:val="clear" w:color="auto" w:fill="auto"/>
            <w:noWrap/>
            <w:vAlign w:val="center"/>
            <w:hideMark/>
          </w:tcPr>
          <w:p w14:paraId="151DF2D0"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602</w:t>
            </w:r>
          </w:p>
        </w:tc>
        <w:tc>
          <w:tcPr>
            <w:tcW w:w="1200" w:type="dxa"/>
            <w:tcBorders>
              <w:top w:val="nil"/>
              <w:left w:val="nil"/>
              <w:bottom w:val="single" w:sz="4" w:space="0" w:color="auto"/>
              <w:right w:val="single" w:sz="4" w:space="0" w:color="auto"/>
            </w:tcBorders>
            <w:shd w:val="clear" w:color="auto" w:fill="auto"/>
            <w:noWrap/>
            <w:vAlign w:val="center"/>
            <w:hideMark/>
          </w:tcPr>
          <w:p w14:paraId="38F8D0FB"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84.667</w:t>
            </w:r>
          </w:p>
        </w:tc>
        <w:tc>
          <w:tcPr>
            <w:tcW w:w="1520" w:type="dxa"/>
            <w:tcBorders>
              <w:top w:val="nil"/>
              <w:left w:val="nil"/>
              <w:bottom w:val="single" w:sz="4" w:space="0" w:color="auto"/>
              <w:right w:val="single" w:sz="4" w:space="0" w:color="auto"/>
            </w:tcBorders>
            <w:shd w:val="clear" w:color="auto" w:fill="auto"/>
            <w:noWrap/>
            <w:vAlign w:val="center"/>
            <w:hideMark/>
          </w:tcPr>
          <w:p w14:paraId="3C760899"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44.097</w:t>
            </w:r>
          </w:p>
        </w:tc>
      </w:tr>
      <w:tr w:rsidR="009A09ED" w:rsidRPr="00E02C7F" w14:paraId="240168CB"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58F02E4A"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SE-N_16</w:t>
            </w:r>
          </w:p>
        </w:tc>
        <w:tc>
          <w:tcPr>
            <w:tcW w:w="1200" w:type="dxa"/>
            <w:tcBorders>
              <w:top w:val="nil"/>
              <w:left w:val="nil"/>
              <w:bottom w:val="single" w:sz="4" w:space="0" w:color="auto"/>
              <w:right w:val="single" w:sz="4" w:space="0" w:color="auto"/>
            </w:tcBorders>
            <w:shd w:val="clear" w:color="auto" w:fill="auto"/>
            <w:noWrap/>
            <w:vAlign w:val="center"/>
            <w:hideMark/>
          </w:tcPr>
          <w:p w14:paraId="112CA2FB"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31.726</w:t>
            </w:r>
          </w:p>
        </w:tc>
        <w:tc>
          <w:tcPr>
            <w:tcW w:w="1600" w:type="dxa"/>
            <w:tcBorders>
              <w:top w:val="nil"/>
              <w:left w:val="nil"/>
              <w:bottom w:val="single" w:sz="4" w:space="0" w:color="auto"/>
              <w:right w:val="single" w:sz="4" w:space="0" w:color="auto"/>
            </w:tcBorders>
            <w:shd w:val="clear" w:color="auto" w:fill="auto"/>
            <w:noWrap/>
            <w:vAlign w:val="center"/>
            <w:hideMark/>
          </w:tcPr>
          <w:p w14:paraId="78751F58"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11.872</w:t>
            </w:r>
          </w:p>
        </w:tc>
        <w:tc>
          <w:tcPr>
            <w:tcW w:w="1200" w:type="dxa"/>
            <w:tcBorders>
              <w:top w:val="nil"/>
              <w:left w:val="nil"/>
              <w:bottom w:val="single" w:sz="4" w:space="0" w:color="auto"/>
              <w:right w:val="single" w:sz="4" w:space="0" w:color="auto"/>
            </w:tcBorders>
            <w:shd w:val="clear" w:color="auto" w:fill="auto"/>
            <w:noWrap/>
            <w:vAlign w:val="center"/>
            <w:hideMark/>
          </w:tcPr>
          <w:p w14:paraId="40405A98"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7.463</w:t>
            </w:r>
          </w:p>
        </w:tc>
        <w:tc>
          <w:tcPr>
            <w:tcW w:w="1200" w:type="dxa"/>
            <w:tcBorders>
              <w:top w:val="nil"/>
              <w:left w:val="nil"/>
              <w:bottom w:val="single" w:sz="4" w:space="0" w:color="auto"/>
              <w:right w:val="single" w:sz="4" w:space="0" w:color="auto"/>
            </w:tcBorders>
            <w:shd w:val="clear" w:color="auto" w:fill="auto"/>
            <w:noWrap/>
            <w:vAlign w:val="center"/>
            <w:hideMark/>
          </w:tcPr>
          <w:p w14:paraId="7FE05B25"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205</w:t>
            </w:r>
          </w:p>
        </w:tc>
        <w:tc>
          <w:tcPr>
            <w:tcW w:w="1200" w:type="dxa"/>
            <w:tcBorders>
              <w:top w:val="nil"/>
              <w:left w:val="nil"/>
              <w:bottom w:val="single" w:sz="4" w:space="0" w:color="auto"/>
              <w:right w:val="single" w:sz="4" w:space="0" w:color="auto"/>
            </w:tcBorders>
            <w:shd w:val="clear" w:color="auto" w:fill="auto"/>
            <w:noWrap/>
            <w:vAlign w:val="center"/>
            <w:hideMark/>
          </w:tcPr>
          <w:p w14:paraId="5D15AA27"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51.265</w:t>
            </w:r>
          </w:p>
        </w:tc>
        <w:tc>
          <w:tcPr>
            <w:tcW w:w="1520" w:type="dxa"/>
            <w:tcBorders>
              <w:top w:val="nil"/>
              <w:left w:val="nil"/>
              <w:bottom w:val="single" w:sz="4" w:space="0" w:color="auto"/>
              <w:right w:val="single" w:sz="4" w:space="0" w:color="auto"/>
            </w:tcBorders>
            <w:shd w:val="clear" w:color="auto" w:fill="auto"/>
            <w:noWrap/>
            <w:vAlign w:val="center"/>
            <w:hideMark/>
          </w:tcPr>
          <w:p w14:paraId="232D82D8"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26.785</w:t>
            </w:r>
          </w:p>
        </w:tc>
      </w:tr>
      <w:tr w:rsidR="009A09ED" w:rsidRPr="00E02C7F" w14:paraId="03C74FCA"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651E02CB"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SE-N_17</w:t>
            </w:r>
          </w:p>
        </w:tc>
        <w:tc>
          <w:tcPr>
            <w:tcW w:w="1200" w:type="dxa"/>
            <w:tcBorders>
              <w:top w:val="nil"/>
              <w:left w:val="nil"/>
              <w:bottom w:val="single" w:sz="4" w:space="0" w:color="auto"/>
              <w:right w:val="single" w:sz="4" w:space="0" w:color="auto"/>
            </w:tcBorders>
            <w:shd w:val="clear" w:color="auto" w:fill="auto"/>
            <w:noWrap/>
            <w:vAlign w:val="center"/>
            <w:hideMark/>
          </w:tcPr>
          <w:p w14:paraId="4B5E17C9"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71.469</w:t>
            </w:r>
          </w:p>
        </w:tc>
        <w:tc>
          <w:tcPr>
            <w:tcW w:w="1600" w:type="dxa"/>
            <w:tcBorders>
              <w:top w:val="nil"/>
              <w:left w:val="nil"/>
              <w:bottom w:val="single" w:sz="4" w:space="0" w:color="auto"/>
              <w:right w:val="single" w:sz="4" w:space="0" w:color="auto"/>
            </w:tcBorders>
            <w:shd w:val="clear" w:color="auto" w:fill="auto"/>
            <w:noWrap/>
            <w:vAlign w:val="center"/>
            <w:hideMark/>
          </w:tcPr>
          <w:p w14:paraId="73C36564"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26.744</w:t>
            </w:r>
          </w:p>
        </w:tc>
        <w:tc>
          <w:tcPr>
            <w:tcW w:w="1200" w:type="dxa"/>
            <w:tcBorders>
              <w:top w:val="nil"/>
              <w:left w:val="nil"/>
              <w:bottom w:val="single" w:sz="4" w:space="0" w:color="auto"/>
              <w:right w:val="single" w:sz="4" w:space="0" w:color="auto"/>
            </w:tcBorders>
            <w:shd w:val="clear" w:color="auto" w:fill="auto"/>
            <w:noWrap/>
            <w:vAlign w:val="center"/>
            <w:hideMark/>
          </w:tcPr>
          <w:p w14:paraId="2A159255"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16.812</w:t>
            </w:r>
          </w:p>
        </w:tc>
        <w:tc>
          <w:tcPr>
            <w:tcW w:w="1200" w:type="dxa"/>
            <w:tcBorders>
              <w:top w:val="nil"/>
              <w:left w:val="nil"/>
              <w:bottom w:val="single" w:sz="4" w:space="0" w:color="auto"/>
              <w:right w:val="single" w:sz="4" w:space="0" w:color="auto"/>
            </w:tcBorders>
            <w:shd w:val="clear" w:color="auto" w:fill="auto"/>
            <w:noWrap/>
            <w:vAlign w:val="center"/>
            <w:hideMark/>
          </w:tcPr>
          <w:p w14:paraId="189B9B07"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353</w:t>
            </w:r>
          </w:p>
        </w:tc>
        <w:tc>
          <w:tcPr>
            <w:tcW w:w="1200" w:type="dxa"/>
            <w:tcBorders>
              <w:top w:val="nil"/>
              <w:left w:val="nil"/>
              <w:bottom w:val="single" w:sz="4" w:space="0" w:color="auto"/>
              <w:right w:val="single" w:sz="4" w:space="0" w:color="auto"/>
            </w:tcBorders>
            <w:shd w:val="clear" w:color="auto" w:fill="auto"/>
            <w:noWrap/>
            <w:vAlign w:val="center"/>
            <w:hideMark/>
          </w:tcPr>
          <w:p w14:paraId="24970E59"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115.378</w:t>
            </w:r>
          </w:p>
        </w:tc>
        <w:tc>
          <w:tcPr>
            <w:tcW w:w="1520" w:type="dxa"/>
            <w:tcBorders>
              <w:top w:val="nil"/>
              <w:left w:val="nil"/>
              <w:bottom w:val="single" w:sz="4" w:space="0" w:color="auto"/>
              <w:right w:val="single" w:sz="4" w:space="0" w:color="auto"/>
            </w:tcBorders>
            <w:shd w:val="clear" w:color="auto" w:fill="auto"/>
            <w:noWrap/>
            <w:vAlign w:val="center"/>
            <w:hideMark/>
          </w:tcPr>
          <w:p w14:paraId="520E25A7"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60.338</w:t>
            </w:r>
          </w:p>
        </w:tc>
      </w:tr>
      <w:tr w:rsidR="009A09ED" w:rsidRPr="00E02C7F" w14:paraId="4D4A7BB9"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104C9CE0"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SE-N_18</w:t>
            </w:r>
          </w:p>
        </w:tc>
        <w:tc>
          <w:tcPr>
            <w:tcW w:w="1200" w:type="dxa"/>
            <w:tcBorders>
              <w:top w:val="nil"/>
              <w:left w:val="nil"/>
              <w:bottom w:val="single" w:sz="4" w:space="0" w:color="auto"/>
              <w:right w:val="single" w:sz="4" w:space="0" w:color="auto"/>
            </w:tcBorders>
            <w:shd w:val="clear" w:color="auto" w:fill="auto"/>
            <w:noWrap/>
            <w:vAlign w:val="center"/>
            <w:hideMark/>
          </w:tcPr>
          <w:p w14:paraId="662B0275"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50.514</w:t>
            </w:r>
          </w:p>
        </w:tc>
        <w:tc>
          <w:tcPr>
            <w:tcW w:w="1600" w:type="dxa"/>
            <w:tcBorders>
              <w:top w:val="nil"/>
              <w:left w:val="nil"/>
              <w:bottom w:val="single" w:sz="4" w:space="0" w:color="auto"/>
              <w:right w:val="single" w:sz="4" w:space="0" w:color="auto"/>
            </w:tcBorders>
            <w:shd w:val="clear" w:color="auto" w:fill="auto"/>
            <w:noWrap/>
            <w:vAlign w:val="center"/>
            <w:hideMark/>
          </w:tcPr>
          <w:p w14:paraId="1B0A2E7A"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18.903</w:t>
            </w:r>
          </w:p>
        </w:tc>
        <w:tc>
          <w:tcPr>
            <w:tcW w:w="1200" w:type="dxa"/>
            <w:tcBorders>
              <w:top w:val="nil"/>
              <w:left w:val="nil"/>
              <w:bottom w:val="single" w:sz="4" w:space="0" w:color="auto"/>
              <w:right w:val="single" w:sz="4" w:space="0" w:color="auto"/>
            </w:tcBorders>
            <w:shd w:val="clear" w:color="auto" w:fill="auto"/>
            <w:noWrap/>
            <w:vAlign w:val="center"/>
            <w:hideMark/>
          </w:tcPr>
          <w:p w14:paraId="70A5CE57"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11.883</w:t>
            </w:r>
          </w:p>
        </w:tc>
        <w:tc>
          <w:tcPr>
            <w:tcW w:w="1200" w:type="dxa"/>
            <w:tcBorders>
              <w:top w:val="nil"/>
              <w:left w:val="nil"/>
              <w:bottom w:val="single" w:sz="4" w:space="0" w:color="auto"/>
              <w:right w:val="single" w:sz="4" w:space="0" w:color="auto"/>
            </w:tcBorders>
            <w:shd w:val="clear" w:color="auto" w:fill="auto"/>
            <w:noWrap/>
            <w:vAlign w:val="center"/>
            <w:hideMark/>
          </w:tcPr>
          <w:p w14:paraId="23E9DF83"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271</w:t>
            </w:r>
          </w:p>
        </w:tc>
        <w:tc>
          <w:tcPr>
            <w:tcW w:w="1200" w:type="dxa"/>
            <w:tcBorders>
              <w:top w:val="nil"/>
              <w:left w:val="nil"/>
              <w:bottom w:val="single" w:sz="4" w:space="0" w:color="auto"/>
              <w:right w:val="single" w:sz="4" w:space="0" w:color="auto"/>
            </w:tcBorders>
            <w:shd w:val="clear" w:color="auto" w:fill="auto"/>
            <w:noWrap/>
            <w:vAlign w:val="center"/>
            <w:hideMark/>
          </w:tcPr>
          <w:p w14:paraId="5E305A76"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81.571</w:t>
            </w:r>
          </w:p>
        </w:tc>
        <w:tc>
          <w:tcPr>
            <w:tcW w:w="1520" w:type="dxa"/>
            <w:tcBorders>
              <w:top w:val="nil"/>
              <w:left w:val="nil"/>
              <w:bottom w:val="single" w:sz="4" w:space="0" w:color="auto"/>
              <w:right w:val="single" w:sz="4" w:space="0" w:color="auto"/>
            </w:tcBorders>
            <w:shd w:val="clear" w:color="auto" w:fill="auto"/>
            <w:noWrap/>
            <w:vAlign w:val="center"/>
            <w:hideMark/>
          </w:tcPr>
          <w:p w14:paraId="000B51B7"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42.647</w:t>
            </w:r>
          </w:p>
        </w:tc>
      </w:tr>
      <w:tr w:rsidR="009A09ED" w:rsidRPr="00E02C7F" w14:paraId="3A5628FD"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3D79426C"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SE-N_19</w:t>
            </w:r>
          </w:p>
        </w:tc>
        <w:tc>
          <w:tcPr>
            <w:tcW w:w="1200" w:type="dxa"/>
            <w:tcBorders>
              <w:top w:val="nil"/>
              <w:left w:val="nil"/>
              <w:bottom w:val="single" w:sz="4" w:space="0" w:color="auto"/>
              <w:right w:val="single" w:sz="4" w:space="0" w:color="auto"/>
            </w:tcBorders>
            <w:shd w:val="clear" w:color="auto" w:fill="auto"/>
            <w:noWrap/>
            <w:vAlign w:val="center"/>
            <w:hideMark/>
          </w:tcPr>
          <w:p w14:paraId="6FF60505"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74.412</w:t>
            </w:r>
          </w:p>
        </w:tc>
        <w:tc>
          <w:tcPr>
            <w:tcW w:w="1600" w:type="dxa"/>
            <w:tcBorders>
              <w:top w:val="nil"/>
              <w:left w:val="nil"/>
              <w:bottom w:val="single" w:sz="4" w:space="0" w:color="auto"/>
              <w:right w:val="single" w:sz="4" w:space="0" w:color="auto"/>
            </w:tcBorders>
            <w:shd w:val="clear" w:color="auto" w:fill="auto"/>
            <w:noWrap/>
            <w:vAlign w:val="center"/>
            <w:hideMark/>
          </w:tcPr>
          <w:p w14:paraId="4C2B7E36"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27.846</w:t>
            </w:r>
          </w:p>
        </w:tc>
        <w:tc>
          <w:tcPr>
            <w:tcW w:w="1200" w:type="dxa"/>
            <w:tcBorders>
              <w:top w:val="nil"/>
              <w:left w:val="nil"/>
              <w:bottom w:val="single" w:sz="4" w:space="0" w:color="auto"/>
              <w:right w:val="single" w:sz="4" w:space="0" w:color="auto"/>
            </w:tcBorders>
            <w:shd w:val="clear" w:color="auto" w:fill="auto"/>
            <w:noWrap/>
            <w:vAlign w:val="center"/>
            <w:hideMark/>
          </w:tcPr>
          <w:p w14:paraId="3B95BEF3"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17.504</w:t>
            </w:r>
          </w:p>
        </w:tc>
        <w:tc>
          <w:tcPr>
            <w:tcW w:w="1200" w:type="dxa"/>
            <w:tcBorders>
              <w:top w:val="nil"/>
              <w:left w:val="nil"/>
              <w:bottom w:val="single" w:sz="4" w:space="0" w:color="auto"/>
              <w:right w:val="single" w:sz="4" w:space="0" w:color="auto"/>
            </w:tcBorders>
            <w:shd w:val="clear" w:color="auto" w:fill="auto"/>
            <w:noWrap/>
            <w:vAlign w:val="center"/>
            <w:hideMark/>
          </w:tcPr>
          <w:p w14:paraId="7ACB483D"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325</w:t>
            </w:r>
          </w:p>
        </w:tc>
        <w:tc>
          <w:tcPr>
            <w:tcW w:w="1200" w:type="dxa"/>
            <w:tcBorders>
              <w:top w:val="nil"/>
              <w:left w:val="nil"/>
              <w:bottom w:val="single" w:sz="4" w:space="0" w:color="auto"/>
              <w:right w:val="single" w:sz="4" w:space="0" w:color="auto"/>
            </w:tcBorders>
            <w:shd w:val="clear" w:color="auto" w:fill="auto"/>
            <w:noWrap/>
            <w:vAlign w:val="center"/>
            <w:hideMark/>
          </w:tcPr>
          <w:p w14:paraId="639F55CD"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120.087</w:t>
            </w:r>
          </w:p>
        </w:tc>
        <w:tc>
          <w:tcPr>
            <w:tcW w:w="1520" w:type="dxa"/>
            <w:tcBorders>
              <w:top w:val="nil"/>
              <w:left w:val="nil"/>
              <w:bottom w:val="single" w:sz="4" w:space="0" w:color="auto"/>
              <w:right w:val="single" w:sz="4" w:space="0" w:color="auto"/>
            </w:tcBorders>
            <w:shd w:val="clear" w:color="auto" w:fill="auto"/>
            <w:noWrap/>
            <w:vAlign w:val="center"/>
            <w:hideMark/>
          </w:tcPr>
          <w:p w14:paraId="72AB8D3C"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62.823</w:t>
            </w:r>
          </w:p>
        </w:tc>
      </w:tr>
      <w:tr w:rsidR="009A09ED" w:rsidRPr="00E02C7F" w14:paraId="1E15E920"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166F44DC"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SE-N_20</w:t>
            </w:r>
          </w:p>
        </w:tc>
        <w:tc>
          <w:tcPr>
            <w:tcW w:w="1200" w:type="dxa"/>
            <w:tcBorders>
              <w:top w:val="nil"/>
              <w:left w:val="nil"/>
              <w:bottom w:val="single" w:sz="4" w:space="0" w:color="auto"/>
              <w:right w:val="single" w:sz="4" w:space="0" w:color="auto"/>
            </w:tcBorders>
            <w:shd w:val="clear" w:color="auto" w:fill="auto"/>
            <w:noWrap/>
            <w:vAlign w:val="center"/>
            <w:hideMark/>
          </w:tcPr>
          <w:p w14:paraId="45B16252"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61.205</w:t>
            </w:r>
          </w:p>
        </w:tc>
        <w:tc>
          <w:tcPr>
            <w:tcW w:w="1600" w:type="dxa"/>
            <w:tcBorders>
              <w:top w:val="nil"/>
              <w:left w:val="nil"/>
              <w:bottom w:val="single" w:sz="4" w:space="0" w:color="auto"/>
              <w:right w:val="single" w:sz="4" w:space="0" w:color="auto"/>
            </w:tcBorders>
            <w:shd w:val="clear" w:color="auto" w:fill="auto"/>
            <w:noWrap/>
            <w:vAlign w:val="center"/>
            <w:hideMark/>
          </w:tcPr>
          <w:p w14:paraId="4115B8AF"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22.903</w:t>
            </w:r>
          </w:p>
        </w:tc>
        <w:tc>
          <w:tcPr>
            <w:tcW w:w="1200" w:type="dxa"/>
            <w:tcBorders>
              <w:top w:val="nil"/>
              <w:left w:val="nil"/>
              <w:bottom w:val="single" w:sz="4" w:space="0" w:color="auto"/>
              <w:right w:val="single" w:sz="4" w:space="0" w:color="auto"/>
            </w:tcBorders>
            <w:shd w:val="clear" w:color="auto" w:fill="auto"/>
            <w:noWrap/>
            <w:vAlign w:val="center"/>
            <w:hideMark/>
          </w:tcPr>
          <w:p w14:paraId="795AE3B1"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14.397</w:t>
            </w:r>
          </w:p>
        </w:tc>
        <w:tc>
          <w:tcPr>
            <w:tcW w:w="1200" w:type="dxa"/>
            <w:tcBorders>
              <w:top w:val="nil"/>
              <w:left w:val="nil"/>
              <w:bottom w:val="single" w:sz="4" w:space="0" w:color="auto"/>
              <w:right w:val="single" w:sz="4" w:space="0" w:color="auto"/>
            </w:tcBorders>
            <w:shd w:val="clear" w:color="auto" w:fill="auto"/>
            <w:noWrap/>
            <w:vAlign w:val="center"/>
            <w:hideMark/>
          </w:tcPr>
          <w:p w14:paraId="2EDE0080"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200" w:type="dxa"/>
            <w:tcBorders>
              <w:top w:val="nil"/>
              <w:left w:val="nil"/>
              <w:bottom w:val="single" w:sz="4" w:space="0" w:color="auto"/>
              <w:right w:val="single" w:sz="4" w:space="0" w:color="auto"/>
            </w:tcBorders>
            <w:shd w:val="clear" w:color="auto" w:fill="auto"/>
            <w:noWrap/>
            <w:vAlign w:val="center"/>
            <w:hideMark/>
          </w:tcPr>
          <w:p w14:paraId="15C60A71"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98.505</w:t>
            </w:r>
          </w:p>
        </w:tc>
        <w:tc>
          <w:tcPr>
            <w:tcW w:w="1520" w:type="dxa"/>
            <w:tcBorders>
              <w:top w:val="nil"/>
              <w:left w:val="nil"/>
              <w:bottom w:val="single" w:sz="4" w:space="0" w:color="auto"/>
              <w:right w:val="single" w:sz="4" w:space="0" w:color="auto"/>
            </w:tcBorders>
            <w:shd w:val="clear" w:color="auto" w:fill="auto"/>
            <w:noWrap/>
            <w:vAlign w:val="center"/>
            <w:hideMark/>
          </w:tcPr>
          <w:p w14:paraId="698B3FA7"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51.672</w:t>
            </w:r>
          </w:p>
        </w:tc>
      </w:tr>
      <w:tr w:rsidR="009A09ED" w:rsidRPr="00E02C7F" w14:paraId="330D07B1"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499D22FA"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SE-N_21</w:t>
            </w:r>
          </w:p>
        </w:tc>
        <w:tc>
          <w:tcPr>
            <w:tcW w:w="1200" w:type="dxa"/>
            <w:tcBorders>
              <w:top w:val="nil"/>
              <w:left w:val="nil"/>
              <w:bottom w:val="single" w:sz="4" w:space="0" w:color="auto"/>
              <w:right w:val="single" w:sz="4" w:space="0" w:color="auto"/>
            </w:tcBorders>
            <w:shd w:val="clear" w:color="auto" w:fill="auto"/>
            <w:noWrap/>
            <w:vAlign w:val="center"/>
            <w:hideMark/>
          </w:tcPr>
          <w:p w14:paraId="2C53AD0F"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235.156</w:t>
            </w:r>
          </w:p>
        </w:tc>
        <w:tc>
          <w:tcPr>
            <w:tcW w:w="1600" w:type="dxa"/>
            <w:tcBorders>
              <w:top w:val="nil"/>
              <w:left w:val="nil"/>
              <w:bottom w:val="single" w:sz="4" w:space="0" w:color="auto"/>
              <w:right w:val="single" w:sz="4" w:space="0" w:color="auto"/>
            </w:tcBorders>
            <w:shd w:val="clear" w:color="auto" w:fill="auto"/>
            <w:noWrap/>
            <w:vAlign w:val="center"/>
            <w:hideMark/>
          </w:tcPr>
          <w:p w14:paraId="2122E2EE"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87.997</w:t>
            </w:r>
          </w:p>
        </w:tc>
        <w:tc>
          <w:tcPr>
            <w:tcW w:w="1200" w:type="dxa"/>
            <w:tcBorders>
              <w:top w:val="nil"/>
              <w:left w:val="nil"/>
              <w:bottom w:val="single" w:sz="4" w:space="0" w:color="auto"/>
              <w:right w:val="single" w:sz="4" w:space="0" w:color="auto"/>
            </w:tcBorders>
            <w:shd w:val="clear" w:color="auto" w:fill="auto"/>
            <w:noWrap/>
            <w:vAlign w:val="center"/>
            <w:hideMark/>
          </w:tcPr>
          <w:p w14:paraId="52688D11"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55.316</w:t>
            </w:r>
          </w:p>
        </w:tc>
        <w:tc>
          <w:tcPr>
            <w:tcW w:w="1200" w:type="dxa"/>
            <w:tcBorders>
              <w:top w:val="nil"/>
              <w:left w:val="nil"/>
              <w:bottom w:val="single" w:sz="4" w:space="0" w:color="auto"/>
              <w:right w:val="single" w:sz="4" w:space="0" w:color="auto"/>
            </w:tcBorders>
            <w:shd w:val="clear" w:color="auto" w:fill="auto"/>
            <w:noWrap/>
            <w:vAlign w:val="center"/>
            <w:hideMark/>
          </w:tcPr>
          <w:p w14:paraId="0FF89F65"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1.778</w:t>
            </w:r>
          </w:p>
        </w:tc>
        <w:tc>
          <w:tcPr>
            <w:tcW w:w="1200" w:type="dxa"/>
            <w:tcBorders>
              <w:top w:val="nil"/>
              <w:left w:val="nil"/>
              <w:bottom w:val="single" w:sz="4" w:space="0" w:color="auto"/>
              <w:right w:val="single" w:sz="4" w:space="0" w:color="auto"/>
            </w:tcBorders>
            <w:shd w:val="clear" w:color="auto" w:fill="auto"/>
            <w:noWrap/>
            <w:vAlign w:val="center"/>
            <w:hideMark/>
          </w:tcPr>
          <w:p w14:paraId="50078D7A"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380.247</w:t>
            </w:r>
          </w:p>
        </w:tc>
        <w:tc>
          <w:tcPr>
            <w:tcW w:w="1520" w:type="dxa"/>
            <w:tcBorders>
              <w:top w:val="nil"/>
              <w:left w:val="nil"/>
              <w:bottom w:val="single" w:sz="4" w:space="0" w:color="auto"/>
              <w:right w:val="single" w:sz="4" w:space="0" w:color="auto"/>
            </w:tcBorders>
            <w:shd w:val="clear" w:color="auto" w:fill="auto"/>
            <w:noWrap/>
            <w:vAlign w:val="center"/>
            <w:hideMark/>
          </w:tcPr>
          <w:p w14:paraId="4CCB6C78"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198.532</w:t>
            </w:r>
          </w:p>
        </w:tc>
      </w:tr>
      <w:tr w:rsidR="009A09ED" w:rsidRPr="00E02C7F" w14:paraId="22F84B7B"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15ECF1D0"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SE-N_22</w:t>
            </w:r>
          </w:p>
        </w:tc>
        <w:tc>
          <w:tcPr>
            <w:tcW w:w="1200" w:type="dxa"/>
            <w:tcBorders>
              <w:top w:val="nil"/>
              <w:left w:val="nil"/>
              <w:bottom w:val="single" w:sz="4" w:space="0" w:color="auto"/>
              <w:right w:val="single" w:sz="4" w:space="0" w:color="auto"/>
            </w:tcBorders>
            <w:shd w:val="clear" w:color="auto" w:fill="auto"/>
            <w:noWrap/>
            <w:vAlign w:val="center"/>
            <w:hideMark/>
          </w:tcPr>
          <w:p w14:paraId="3E056A3E"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2.902</w:t>
            </w:r>
          </w:p>
        </w:tc>
        <w:tc>
          <w:tcPr>
            <w:tcW w:w="1600" w:type="dxa"/>
            <w:tcBorders>
              <w:top w:val="nil"/>
              <w:left w:val="nil"/>
              <w:bottom w:val="single" w:sz="4" w:space="0" w:color="auto"/>
              <w:right w:val="single" w:sz="4" w:space="0" w:color="auto"/>
            </w:tcBorders>
            <w:shd w:val="clear" w:color="auto" w:fill="auto"/>
            <w:noWrap/>
            <w:vAlign w:val="center"/>
            <w:hideMark/>
          </w:tcPr>
          <w:p w14:paraId="70C99068"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1.086</w:t>
            </w:r>
          </w:p>
        </w:tc>
        <w:tc>
          <w:tcPr>
            <w:tcW w:w="1200" w:type="dxa"/>
            <w:tcBorders>
              <w:top w:val="nil"/>
              <w:left w:val="nil"/>
              <w:bottom w:val="single" w:sz="4" w:space="0" w:color="auto"/>
              <w:right w:val="single" w:sz="4" w:space="0" w:color="auto"/>
            </w:tcBorders>
            <w:shd w:val="clear" w:color="auto" w:fill="auto"/>
            <w:noWrap/>
            <w:vAlign w:val="center"/>
            <w:hideMark/>
          </w:tcPr>
          <w:p w14:paraId="7FB5D559"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683</w:t>
            </w:r>
          </w:p>
        </w:tc>
        <w:tc>
          <w:tcPr>
            <w:tcW w:w="1200" w:type="dxa"/>
            <w:tcBorders>
              <w:top w:val="nil"/>
              <w:left w:val="nil"/>
              <w:bottom w:val="single" w:sz="4" w:space="0" w:color="auto"/>
              <w:right w:val="single" w:sz="4" w:space="0" w:color="auto"/>
            </w:tcBorders>
            <w:shd w:val="clear" w:color="auto" w:fill="auto"/>
            <w:noWrap/>
            <w:vAlign w:val="center"/>
            <w:hideMark/>
          </w:tcPr>
          <w:p w14:paraId="7DC6A300"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256</w:t>
            </w:r>
          </w:p>
        </w:tc>
        <w:tc>
          <w:tcPr>
            <w:tcW w:w="1200" w:type="dxa"/>
            <w:tcBorders>
              <w:top w:val="nil"/>
              <w:left w:val="nil"/>
              <w:bottom w:val="single" w:sz="4" w:space="0" w:color="auto"/>
              <w:right w:val="single" w:sz="4" w:space="0" w:color="auto"/>
            </w:tcBorders>
            <w:shd w:val="clear" w:color="auto" w:fill="auto"/>
            <w:noWrap/>
            <w:vAlign w:val="center"/>
            <w:hideMark/>
          </w:tcPr>
          <w:p w14:paraId="486837F4"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4.927</w:t>
            </w:r>
          </w:p>
        </w:tc>
        <w:tc>
          <w:tcPr>
            <w:tcW w:w="1520" w:type="dxa"/>
            <w:tcBorders>
              <w:top w:val="nil"/>
              <w:left w:val="nil"/>
              <w:bottom w:val="single" w:sz="4" w:space="0" w:color="auto"/>
              <w:right w:val="single" w:sz="4" w:space="0" w:color="auto"/>
            </w:tcBorders>
            <w:shd w:val="clear" w:color="auto" w:fill="auto"/>
            <w:noWrap/>
            <w:vAlign w:val="center"/>
            <w:hideMark/>
          </w:tcPr>
          <w:p w14:paraId="61375658"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2.450</w:t>
            </w:r>
          </w:p>
        </w:tc>
      </w:tr>
      <w:tr w:rsidR="009A09ED" w:rsidRPr="00E02C7F" w14:paraId="58F68E22"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2A747B89"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SE-N_23</w:t>
            </w:r>
          </w:p>
        </w:tc>
        <w:tc>
          <w:tcPr>
            <w:tcW w:w="1200" w:type="dxa"/>
            <w:tcBorders>
              <w:top w:val="nil"/>
              <w:left w:val="nil"/>
              <w:bottom w:val="single" w:sz="4" w:space="0" w:color="auto"/>
              <w:right w:val="single" w:sz="4" w:space="0" w:color="auto"/>
            </w:tcBorders>
            <w:shd w:val="clear" w:color="auto" w:fill="auto"/>
            <w:noWrap/>
            <w:vAlign w:val="center"/>
            <w:hideMark/>
          </w:tcPr>
          <w:p w14:paraId="51B4060B"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21.015</w:t>
            </w:r>
          </w:p>
        </w:tc>
        <w:tc>
          <w:tcPr>
            <w:tcW w:w="1600" w:type="dxa"/>
            <w:tcBorders>
              <w:top w:val="nil"/>
              <w:left w:val="nil"/>
              <w:bottom w:val="single" w:sz="4" w:space="0" w:color="auto"/>
              <w:right w:val="single" w:sz="4" w:space="0" w:color="auto"/>
            </w:tcBorders>
            <w:shd w:val="clear" w:color="auto" w:fill="auto"/>
            <w:noWrap/>
            <w:vAlign w:val="center"/>
            <w:hideMark/>
          </w:tcPr>
          <w:p w14:paraId="0258B495"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7.864</w:t>
            </w:r>
          </w:p>
        </w:tc>
        <w:tc>
          <w:tcPr>
            <w:tcW w:w="1200" w:type="dxa"/>
            <w:tcBorders>
              <w:top w:val="nil"/>
              <w:left w:val="nil"/>
              <w:bottom w:val="single" w:sz="4" w:space="0" w:color="auto"/>
              <w:right w:val="single" w:sz="4" w:space="0" w:color="auto"/>
            </w:tcBorders>
            <w:shd w:val="clear" w:color="auto" w:fill="auto"/>
            <w:noWrap/>
            <w:vAlign w:val="center"/>
            <w:hideMark/>
          </w:tcPr>
          <w:p w14:paraId="201470C7"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4.943</w:t>
            </w:r>
          </w:p>
        </w:tc>
        <w:tc>
          <w:tcPr>
            <w:tcW w:w="1200" w:type="dxa"/>
            <w:tcBorders>
              <w:top w:val="nil"/>
              <w:left w:val="nil"/>
              <w:bottom w:val="single" w:sz="4" w:space="0" w:color="auto"/>
              <w:right w:val="single" w:sz="4" w:space="0" w:color="auto"/>
            </w:tcBorders>
            <w:shd w:val="clear" w:color="auto" w:fill="auto"/>
            <w:noWrap/>
            <w:vAlign w:val="center"/>
            <w:hideMark/>
          </w:tcPr>
          <w:p w14:paraId="4B37420F"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155</w:t>
            </w:r>
          </w:p>
        </w:tc>
        <w:tc>
          <w:tcPr>
            <w:tcW w:w="1200" w:type="dxa"/>
            <w:tcBorders>
              <w:top w:val="nil"/>
              <w:left w:val="nil"/>
              <w:bottom w:val="single" w:sz="4" w:space="0" w:color="auto"/>
              <w:right w:val="single" w:sz="4" w:space="0" w:color="auto"/>
            </w:tcBorders>
            <w:shd w:val="clear" w:color="auto" w:fill="auto"/>
            <w:noWrap/>
            <w:vAlign w:val="center"/>
            <w:hideMark/>
          </w:tcPr>
          <w:p w14:paraId="21EE1A09"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33.976</w:t>
            </w:r>
          </w:p>
        </w:tc>
        <w:tc>
          <w:tcPr>
            <w:tcW w:w="1520" w:type="dxa"/>
            <w:tcBorders>
              <w:top w:val="nil"/>
              <w:left w:val="nil"/>
              <w:bottom w:val="single" w:sz="4" w:space="0" w:color="auto"/>
              <w:right w:val="single" w:sz="4" w:space="0" w:color="auto"/>
            </w:tcBorders>
            <w:shd w:val="clear" w:color="auto" w:fill="auto"/>
            <w:noWrap/>
            <w:vAlign w:val="center"/>
            <w:hideMark/>
          </w:tcPr>
          <w:p w14:paraId="466983EA"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17.742</w:t>
            </w:r>
          </w:p>
        </w:tc>
      </w:tr>
      <w:tr w:rsidR="009A09ED" w:rsidRPr="00E02C7F" w14:paraId="68E20CF1"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05B79E4C"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SE-N_24</w:t>
            </w:r>
          </w:p>
        </w:tc>
        <w:tc>
          <w:tcPr>
            <w:tcW w:w="1200" w:type="dxa"/>
            <w:tcBorders>
              <w:top w:val="nil"/>
              <w:left w:val="nil"/>
              <w:bottom w:val="single" w:sz="4" w:space="0" w:color="auto"/>
              <w:right w:val="single" w:sz="4" w:space="0" w:color="auto"/>
            </w:tcBorders>
            <w:shd w:val="clear" w:color="auto" w:fill="auto"/>
            <w:noWrap/>
            <w:vAlign w:val="center"/>
            <w:hideMark/>
          </w:tcPr>
          <w:p w14:paraId="70408B52"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47.130</w:t>
            </w:r>
          </w:p>
        </w:tc>
        <w:tc>
          <w:tcPr>
            <w:tcW w:w="1600" w:type="dxa"/>
            <w:tcBorders>
              <w:top w:val="nil"/>
              <w:left w:val="nil"/>
              <w:bottom w:val="single" w:sz="4" w:space="0" w:color="auto"/>
              <w:right w:val="single" w:sz="4" w:space="0" w:color="auto"/>
            </w:tcBorders>
            <w:shd w:val="clear" w:color="auto" w:fill="auto"/>
            <w:noWrap/>
            <w:vAlign w:val="center"/>
            <w:hideMark/>
          </w:tcPr>
          <w:p w14:paraId="772DAE17"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17.636</w:t>
            </w:r>
          </w:p>
        </w:tc>
        <w:tc>
          <w:tcPr>
            <w:tcW w:w="1200" w:type="dxa"/>
            <w:tcBorders>
              <w:top w:val="nil"/>
              <w:left w:val="nil"/>
              <w:bottom w:val="single" w:sz="4" w:space="0" w:color="auto"/>
              <w:right w:val="single" w:sz="4" w:space="0" w:color="auto"/>
            </w:tcBorders>
            <w:shd w:val="clear" w:color="auto" w:fill="auto"/>
            <w:noWrap/>
            <w:vAlign w:val="center"/>
            <w:hideMark/>
          </w:tcPr>
          <w:p w14:paraId="2E7C9860"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11.086</w:t>
            </w:r>
          </w:p>
        </w:tc>
        <w:tc>
          <w:tcPr>
            <w:tcW w:w="1200" w:type="dxa"/>
            <w:tcBorders>
              <w:top w:val="nil"/>
              <w:left w:val="nil"/>
              <w:bottom w:val="single" w:sz="4" w:space="0" w:color="auto"/>
              <w:right w:val="single" w:sz="4" w:space="0" w:color="auto"/>
            </w:tcBorders>
            <w:shd w:val="clear" w:color="auto" w:fill="auto"/>
            <w:noWrap/>
            <w:vAlign w:val="center"/>
            <w:hideMark/>
          </w:tcPr>
          <w:p w14:paraId="7CEE63A1"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255</w:t>
            </w:r>
          </w:p>
        </w:tc>
        <w:tc>
          <w:tcPr>
            <w:tcW w:w="1200" w:type="dxa"/>
            <w:tcBorders>
              <w:top w:val="nil"/>
              <w:left w:val="nil"/>
              <w:bottom w:val="single" w:sz="4" w:space="0" w:color="auto"/>
              <w:right w:val="single" w:sz="4" w:space="0" w:color="auto"/>
            </w:tcBorders>
            <w:shd w:val="clear" w:color="auto" w:fill="auto"/>
            <w:noWrap/>
            <w:vAlign w:val="center"/>
            <w:hideMark/>
          </w:tcPr>
          <w:p w14:paraId="6070FFA3"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76.109</w:t>
            </w:r>
          </w:p>
        </w:tc>
        <w:tc>
          <w:tcPr>
            <w:tcW w:w="1520" w:type="dxa"/>
            <w:tcBorders>
              <w:top w:val="nil"/>
              <w:left w:val="nil"/>
              <w:bottom w:val="single" w:sz="4" w:space="0" w:color="auto"/>
              <w:right w:val="single" w:sz="4" w:space="0" w:color="auto"/>
            </w:tcBorders>
            <w:shd w:val="clear" w:color="auto" w:fill="auto"/>
            <w:noWrap/>
            <w:vAlign w:val="center"/>
            <w:hideMark/>
          </w:tcPr>
          <w:p w14:paraId="6A0BFC7C"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39.790</w:t>
            </w:r>
          </w:p>
        </w:tc>
      </w:tr>
      <w:tr w:rsidR="009A09ED" w:rsidRPr="00E02C7F" w14:paraId="4130BA7F"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431768F8"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SE-N_25</w:t>
            </w:r>
          </w:p>
        </w:tc>
        <w:tc>
          <w:tcPr>
            <w:tcW w:w="1200" w:type="dxa"/>
            <w:tcBorders>
              <w:top w:val="nil"/>
              <w:left w:val="nil"/>
              <w:bottom w:val="single" w:sz="4" w:space="0" w:color="auto"/>
              <w:right w:val="single" w:sz="4" w:space="0" w:color="auto"/>
            </w:tcBorders>
            <w:shd w:val="clear" w:color="auto" w:fill="auto"/>
            <w:noWrap/>
            <w:vAlign w:val="center"/>
            <w:hideMark/>
          </w:tcPr>
          <w:p w14:paraId="7422CFC0"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24.947</w:t>
            </w:r>
          </w:p>
        </w:tc>
        <w:tc>
          <w:tcPr>
            <w:tcW w:w="1600" w:type="dxa"/>
            <w:tcBorders>
              <w:top w:val="nil"/>
              <w:left w:val="nil"/>
              <w:bottom w:val="single" w:sz="4" w:space="0" w:color="auto"/>
              <w:right w:val="single" w:sz="4" w:space="0" w:color="auto"/>
            </w:tcBorders>
            <w:shd w:val="clear" w:color="auto" w:fill="auto"/>
            <w:noWrap/>
            <w:vAlign w:val="center"/>
            <w:hideMark/>
          </w:tcPr>
          <w:p w14:paraId="7688FAE6"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9.335</w:t>
            </w:r>
          </w:p>
        </w:tc>
        <w:tc>
          <w:tcPr>
            <w:tcW w:w="1200" w:type="dxa"/>
            <w:tcBorders>
              <w:top w:val="nil"/>
              <w:left w:val="nil"/>
              <w:bottom w:val="single" w:sz="4" w:space="0" w:color="auto"/>
              <w:right w:val="single" w:sz="4" w:space="0" w:color="auto"/>
            </w:tcBorders>
            <w:shd w:val="clear" w:color="auto" w:fill="auto"/>
            <w:noWrap/>
            <w:vAlign w:val="center"/>
            <w:hideMark/>
          </w:tcPr>
          <w:p w14:paraId="000E3707"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5.868</w:t>
            </w:r>
          </w:p>
        </w:tc>
        <w:tc>
          <w:tcPr>
            <w:tcW w:w="1200" w:type="dxa"/>
            <w:tcBorders>
              <w:top w:val="nil"/>
              <w:left w:val="nil"/>
              <w:bottom w:val="single" w:sz="4" w:space="0" w:color="auto"/>
              <w:right w:val="single" w:sz="4" w:space="0" w:color="auto"/>
            </w:tcBorders>
            <w:shd w:val="clear" w:color="auto" w:fill="auto"/>
            <w:noWrap/>
            <w:vAlign w:val="center"/>
            <w:hideMark/>
          </w:tcPr>
          <w:p w14:paraId="3C61C98E"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92</w:t>
            </w:r>
          </w:p>
        </w:tc>
        <w:tc>
          <w:tcPr>
            <w:tcW w:w="1200" w:type="dxa"/>
            <w:tcBorders>
              <w:top w:val="nil"/>
              <w:left w:val="nil"/>
              <w:bottom w:val="single" w:sz="4" w:space="0" w:color="auto"/>
              <w:right w:val="single" w:sz="4" w:space="0" w:color="auto"/>
            </w:tcBorders>
            <w:shd w:val="clear" w:color="auto" w:fill="auto"/>
            <w:noWrap/>
            <w:vAlign w:val="center"/>
            <w:hideMark/>
          </w:tcPr>
          <w:p w14:paraId="0E7E2767"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40.243</w:t>
            </w:r>
          </w:p>
        </w:tc>
        <w:tc>
          <w:tcPr>
            <w:tcW w:w="1520" w:type="dxa"/>
            <w:tcBorders>
              <w:top w:val="nil"/>
              <w:left w:val="nil"/>
              <w:bottom w:val="single" w:sz="4" w:space="0" w:color="auto"/>
              <w:right w:val="single" w:sz="4" w:space="0" w:color="auto"/>
            </w:tcBorders>
            <w:shd w:val="clear" w:color="auto" w:fill="auto"/>
            <w:noWrap/>
            <w:vAlign w:val="center"/>
            <w:hideMark/>
          </w:tcPr>
          <w:p w14:paraId="18BA613A"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21.062</w:t>
            </w:r>
          </w:p>
        </w:tc>
      </w:tr>
      <w:tr w:rsidR="009A09ED" w:rsidRPr="00E02C7F" w14:paraId="44716826"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056F7E78"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SE-N_26</w:t>
            </w:r>
          </w:p>
        </w:tc>
        <w:tc>
          <w:tcPr>
            <w:tcW w:w="1200" w:type="dxa"/>
            <w:tcBorders>
              <w:top w:val="nil"/>
              <w:left w:val="nil"/>
              <w:bottom w:val="single" w:sz="4" w:space="0" w:color="auto"/>
              <w:right w:val="single" w:sz="4" w:space="0" w:color="auto"/>
            </w:tcBorders>
            <w:shd w:val="clear" w:color="auto" w:fill="auto"/>
            <w:noWrap/>
            <w:vAlign w:val="center"/>
            <w:hideMark/>
          </w:tcPr>
          <w:p w14:paraId="21537D64"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73.433</w:t>
            </w:r>
          </w:p>
        </w:tc>
        <w:tc>
          <w:tcPr>
            <w:tcW w:w="1600" w:type="dxa"/>
            <w:tcBorders>
              <w:top w:val="nil"/>
              <w:left w:val="nil"/>
              <w:bottom w:val="single" w:sz="4" w:space="0" w:color="auto"/>
              <w:right w:val="single" w:sz="4" w:space="0" w:color="auto"/>
            </w:tcBorders>
            <w:shd w:val="clear" w:color="auto" w:fill="auto"/>
            <w:noWrap/>
            <w:vAlign w:val="center"/>
            <w:hideMark/>
          </w:tcPr>
          <w:p w14:paraId="1AFE16DC"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27.479</w:t>
            </w:r>
          </w:p>
        </w:tc>
        <w:tc>
          <w:tcPr>
            <w:tcW w:w="1200" w:type="dxa"/>
            <w:tcBorders>
              <w:top w:val="nil"/>
              <w:left w:val="nil"/>
              <w:bottom w:val="single" w:sz="4" w:space="0" w:color="auto"/>
              <w:right w:val="single" w:sz="4" w:space="0" w:color="auto"/>
            </w:tcBorders>
            <w:shd w:val="clear" w:color="auto" w:fill="auto"/>
            <w:noWrap/>
            <w:vAlign w:val="center"/>
            <w:hideMark/>
          </w:tcPr>
          <w:p w14:paraId="20BFABDF"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17.274</w:t>
            </w:r>
          </w:p>
        </w:tc>
        <w:tc>
          <w:tcPr>
            <w:tcW w:w="1200" w:type="dxa"/>
            <w:tcBorders>
              <w:top w:val="nil"/>
              <w:left w:val="nil"/>
              <w:bottom w:val="single" w:sz="4" w:space="0" w:color="auto"/>
              <w:right w:val="single" w:sz="4" w:space="0" w:color="auto"/>
            </w:tcBorders>
            <w:shd w:val="clear" w:color="auto" w:fill="auto"/>
            <w:noWrap/>
            <w:vAlign w:val="center"/>
            <w:hideMark/>
          </w:tcPr>
          <w:p w14:paraId="74315B75"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519</w:t>
            </w:r>
          </w:p>
        </w:tc>
        <w:tc>
          <w:tcPr>
            <w:tcW w:w="1200" w:type="dxa"/>
            <w:tcBorders>
              <w:top w:val="nil"/>
              <w:left w:val="nil"/>
              <w:bottom w:val="single" w:sz="4" w:space="0" w:color="auto"/>
              <w:right w:val="single" w:sz="4" w:space="0" w:color="auto"/>
            </w:tcBorders>
            <w:shd w:val="clear" w:color="auto" w:fill="auto"/>
            <w:noWrap/>
            <w:vAlign w:val="center"/>
            <w:hideMark/>
          </w:tcPr>
          <w:p w14:paraId="248E825B"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118.705</w:t>
            </w:r>
          </w:p>
        </w:tc>
        <w:tc>
          <w:tcPr>
            <w:tcW w:w="1520" w:type="dxa"/>
            <w:tcBorders>
              <w:top w:val="nil"/>
              <w:left w:val="nil"/>
              <w:bottom w:val="single" w:sz="4" w:space="0" w:color="auto"/>
              <w:right w:val="single" w:sz="4" w:space="0" w:color="auto"/>
            </w:tcBorders>
            <w:shd w:val="clear" w:color="auto" w:fill="auto"/>
            <w:noWrap/>
            <w:vAlign w:val="center"/>
            <w:hideMark/>
          </w:tcPr>
          <w:p w14:paraId="0A2B914A"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61.996</w:t>
            </w:r>
          </w:p>
        </w:tc>
      </w:tr>
      <w:tr w:rsidR="009A09ED" w:rsidRPr="00E02C7F" w14:paraId="076E3C54"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4DB55059"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SE-N_27</w:t>
            </w:r>
          </w:p>
        </w:tc>
        <w:tc>
          <w:tcPr>
            <w:tcW w:w="1200" w:type="dxa"/>
            <w:tcBorders>
              <w:top w:val="nil"/>
              <w:left w:val="nil"/>
              <w:bottom w:val="single" w:sz="4" w:space="0" w:color="auto"/>
              <w:right w:val="single" w:sz="4" w:space="0" w:color="auto"/>
            </w:tcBorders>
            <w:shd w:val="clear" w:color="auto" w:fill="auto"/>
            <w:noWrap/>
            <w:vAlign w:val="center"/>
            <w:hideMark/>
          </w:tcPr>
          <w:p w14:paraId="3FD8384E"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180</w:t>
            </w:r>
          </w:p>
        </w:tc>
        <w:tc>
          <w:tcPr>
            <w:tcW w:w="1600" w:type="dxa"/>
            <w:tcBorders>
              <w:top w:val="nil"/>
              <w:left w:val="nil"/>
              <w:bottom w:val="single" w:sz="4" w:space="0" w:color="auto"/>
              <w:right w:val="single" w:sz="4" w:space="0" w:color="auto"/>
            </w:tcBorders>
            <w:shd w:val="clear" w:color="auto" w:fill="auto"/>
            <w:noWrap/>
            <w:vAlign w:val="center"/>
            <w:hideMark/>
          </w:tcPr>
          <w:p w14:paraId="64F4D73C"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67</w:t>
            </w:r>
          </w:p>
        </w:tc>
        <w:tc>
          <w:tcPr>
            <w:tcW w:w="1200" w:type="dxa"/>
            <w:tcBorders>
              <w:top w:val="nil"/>
              <w:left w:val="nil"/>
              <w:bottom w:val="single" w:sz="4" w:space="0" w:color="auto"/>
              <w:right w:val="single" w:sz="4" w:space="0" w:color="auto"/>
            </w:tcBorders>
            <w:shd w:val="clear" w:color="auto" w:fill="auto"/>
            <w:noWrap/>
            <w:vAlign w:val="center"/>
            <w:hideMark/>
          </w:tcPr>
          <w:p w14:paraId="1FF1FCE7"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42</w:t>
            </w:r>
          </w:p>
        </w:tc>
        <w:tc>
          <w:tcPr>
            <w:tcW w:w="1200" w:type="dxa"/>
            <w:tcBorders>
              <w:top w:val="nil"/>
              <w:left w:val="nil"/>
              <w:bottom w:val="single" w:sz="4" w:space="0" w:color="auto"/>
              <w:right w:val="single" w:sz="4" w:space="0" w:color="auto"/>
            </w:tcBorders>
            <w:shd w:val="clear" w:color="auto" w:fill="auto"/>
            <w:noWrap/>
            <w:vAlign w:val="center"/>
            <w:hideMark/>
          </w:tcPr>
          <w:p w14:paraId="217FF72C"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200" w:type="dxa"/>
            <w:tcBorders>
              <w:top w:val="nil"/>
              <w:left w:val="nil"/>
              <w:bottom w:val="single" w:sz="4" w:space="0" w:color="auto"/>
              <w:right w:val="single" w:sz="4" w:space="0" w:color="auto"/>
            </w:tcBorders>
            <w:shd w:val="clear" w:color="auto" w:fill="auto"/>
            <w:noWrap/>
            <w:vAlign w:val="center"/>
            <w:hideMark/>
          </w:tcPr>
          <w:p w14:paraId="453A10E0"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290</w:t>
            </w:r>
          </w:p>
        </w:tc>
        <w:tc>
          <w:tcPr>
            <w:tcW w:w="1520" w:type="dxa"/>
            <w:tcBorders>
              <w:top w:val="nil"/>
              <w:left w:val="nil"/>
              <w:bottom w:val="single" w:sz="4" w:space="0" w:color="auto"/>
              <w:right w:val="single" w:sz="4" w:space="0" w:color="auto"/>
            </w:tcBorders>
            <w:shd w:val="clear" w:color="auto" w:fill="auto"/>
            <w:noWrap/>
            <w:vAlign w:val="center"/>
            <w:hideMark/>
          </w:tcPr>
          <w:p w14:paraId="5FA63C90"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152</w:t>
            </w:r>
          </w:p>
        </w:tc>
      </w:tr>
      <w:tr w:rsidR="009A09ED" w:rsidRPr="00E02C7F" w14:paraId="4E834717"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2B0D1817"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SE-N_28</w:t>
            </w:r>
          </w:p>
        </w:tc>
        <w:tc>
          <w:tcPr>
            <w:tcW w:w="1200" w:type="dxa"/>
            <w:tcBorders>
              <w:top w:val="nil"/>
              <w:left w:val="nil"/>
              <w:bottom w:val="single" w:sz="4" w:space="0" w:color="auto"/>
              <w:right w:val="single" w:sz="4" w:space="0" w:color="auto"/>
            </w:tcBorders>
            <w:shd w:val="clear" w:color="auto" w:fill="auto"/>
            <w:noWrap/>
            <w:vAlign w:val="center"/>
            <w:hideMark/>
          </w:tcPr>
          <w:p w14:paraId="3061FF53"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40.070</w:t>
            </w:r>
          </w:p>
        </w:tc>
        <w:tc>
          <w:tcPr>
            <w:tcW w:w="1600" w:type="dxa"/>
            <w:tcBorders>
              <w:top w:val="nil"/>
              <w:left w:val="nil"/>
              <w:bottom w:val="single" w:sz="4" w:space="0" w:color="auto"/>
              <w:right w:val="single" w:sz="4" w:space="0" w:color="auto"/>
            </w:tcBorders>
            <w:shd w:val="clear" w:color="auto" w:fill="auto"/>
            <w:noWrap/>
            <w:vAlign w:val="center"/>
            <w:hideMark/>
          </w:tcPr>
          <w:p w14:paraId="3A8CEC3E"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14.995</w:t>
            </w:r>
          </w:p>
        </w:tc>
        <w:tc>
          <w:tcPr>
            <w:tcW w:w="1200" w:type="dxa"/>
            <w:tcBorders>
              <w:top w:val="nil"/>
              <w:left w:val="nil"/>
              <w:bottom w:val="single" w:sz="4" w:space="0" w:color="auto"/>
              <w:right w:val="single" w:sz="4" w:space="0" w:color="auto"/>
            </w:tcBorders>
            <w:shd w:val="clear" w:color="auto" w:fill="auto"/>
            <w:noWrap/>
            <w:vAlign w:val="center"/>
            <w:hideMark/>
          </w:tcPr>
          <w:p w14:paraId="4B4FDF3D"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9.426</w:t>
            </w:r>
          </w:p>
        </w:tc>
        <w:tc>
          <w:tcPr>
            <w:tcW w:w="1200" w:type="dxa"/>
            <w:tcBorders>
              <w:top w:val="nil"/>
              <w:left w:val="nil"/>
              <w:bottom w:val="single" w:sz="4" w:space="0" w:color="auto"/>
              <w:right w:val="single" w:sz="4" w:space="0" w:color="auto"/>
            </w:tcBorders>
            <w:shd w:val="clear" w:color="auto" w:fill="auto"/>
            <w:noWrap/>
            <w:vAlign w:val="center"/>
            <w:hideMark/>
          </w:tcPr>
          <w:p w14:paraId="52340365"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295</w:t>
            </w:r>
          </w:p>
        </w:tc>
        <w:tc>
          <w:tcPr>
            <w:tcW w:w="1200" w:type="dxa"/>
            <w:tcBorders>
              <w:top w:val="nil"/>
              <w:left w:val="nil"/>
              <w:bottom w:val="single" w:sz="4" w:space="0" w:color="auto"/>
              <w:right w:val="single" w:sz="4" w:space="0" w:color="auto"/>
            </w:tcBorders>
            <w:shd w:val="clear" w:color="auto" w:fill="auto"/>
            <w:noWrap/>
            <w:vAlign w:val="center"/>
            <w:hideMark/>
          </w:tcPr>
          <w:p w14:paraId="30732A89"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64.786</w:t>
            </w:r>
          </w:p>
        </w:tc>
        <w:tc>
          <w:tcPr>
            <w:tcW w:w="1520" w:type="dxa"/>
            <w:tcBorders>
              <w:top w:val="nil"/>
              <w:left w:val="nil"/>
              <w:bottom w:val="single" w:sz="4" w:space="0" w:color="auto"/>
              <w:right w:val="single" w:sz="4" w:space="0" w:color="auto"/>
            </w:tcBorders>
            <w:shd w:val="clear" w:color="auto" w:fill="auto"/>
            <w:noWrap/>
            <w:vAlign w:val="center"/>
            <w:hideMark/>
          </w:tcPr>
          <w:p w14:paraId="4D339260"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33.830</w:t>
            </w:r>
          </w:p>
        </w:tc>
      </w:tr>
      <w:tr w:rsidR="009A09ED" w:rsidRPr="00E02C7F" w14:paraId="4AB42294"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1D4B0B82"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SE-N_29</w:t>
            </w:r>
          </w:p>
        </w:tc>
        <w:tc>
          <w:tcPr>
            <w:tcW w:w="1200" w:type="dxa"/>
            <w:tcBorders>
              <w:top w:val="nil"/>
              <w:left w:val="nil"/>
              <w:bottom w:val="single" w:sz="4" w:space="0" w:color="auto"/>
              <w:right w:val="single" w:sz="4" w:space="0" w:color="auto"/>
            </w:tcBorders>
            <w:shd w:val="clear" w:color="auto" w:fill="auto"/>
            <w:noWrap/>
            <w:vAlign w:val="center"/>
            <w:hideMark/>
          </w:tcPr>
          <w:p w14:paraId="63053F02"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81.645</w:t>
            </w:r>
          </w:p>
        </w:tc>
        <w:tc>
          <w:tcPr>
            <w:tcW w:w="1600" w:type="dxa"/>
            <w:tcBorders>
              <w:top w:val="nil"/>
              <w:left w:val="nil"/>
              <w:bottom w:val="single" w:sz="4" w:space="0" w:color="auto"/>
              <w:right w:val="single" w:sz="4" w:space="0" w:color="auto"/>
            </w:tcBorders>
            <w:shd w:val="clear" w:color="auto" w:fill="auto"/>
            <w:noWrap/>
            <w:vAlign w:val="center"/>
            <w:hideMark/>
          </w:tcPr>
          <w:p w14:paraId="5B4F2630"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30.552</w:t>
            </w:r>
          </w:p>
        </w:tc>
        <w:tc>
          <w:tcPr>
            <w:tcW w:w="1200" w:type="dxa"/>
            <w:tcBorders>
              <w:top w:val="nil"/>
              <w:left w:val="nil"/>
              <w:bottom w:val="single" w:sz="4" w:space="0" w:color="auto"/>
              <w:right w:val="single" w:sz="4" w:space="0" w:color="auto"/>
            </w:tcBorders>
            <w:shd w:val="clear" w:color="auto" w:fill="auto"/>
            <w:noWrap/>
            <w:vAlign w:val="center"/>
            <w:hideMark/>
          </w:tcPr>
          <w:p w14:paraId="0678DFF3"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19.206</w:t>
            </w:r>
          </w:p>
        </w:tc>
        <w:tc>
          <w:tcPr>
            <w:tcW w:w="1200" w:type="dxa"/>
            <w:tcBorders>
              <w:top w:val="nil"/>
              <w:left w:val="nil"/>
              <w:bottom w:val="single" w:sz="4" w:space="0" w:color="auto"/>
              <w:right w:val="single" w:sz="4" w:space="0" w:color="auto"/>
            </w:tcBorders>
            <w:shd w:val="clear" w:color="auto" w:fill="auto"/>
            <w:noWrap/>
            <w:vAlign w:val="center"/>
            <w:hideMark/>
          </w:tcPr>
          <w:p w14:paraId="66341EF4"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519</w:t>
            </w:r>
          </w:p>
        </w:tc>
        <w:tc>
          <w:tcPr>
            <w:tcW w:w="1200" w:type="dxa"/>
            <w:tcBorders>
              <w:top w:val="nil"/>
              <w:left w:val="nil"/>
              <w:bottom w:val="single" w:sz="4" w:space="0" w:color="auto"/>
              <w:right w:val="single" w:sz="4" w:space="0" w:color="auto"/>
            </w:tcBorders>
            <w:shd w:val="clear" w:color="auto" w:fill="auto"/>
            <w:noWrap/>
            <w:vAlign w:val="center"/>
            <w:hideMark/>
          </w:tcPr>
          <w:p w14:paraId="789460E3"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131.922</w:t>
            </w:r>
          </w:p>
        </w:tc>
        <w:tc>
          <w:tcPr>
            <w:tcW w:w="1520" w:type="dxa"/>
            <w:tcBorders>
              <w:top w:val="nil"/>
              <w:left w:val="nil"/>
              <w:bottom w:val="single" w:sz="4" w:space="0" w:color="auto"/>
              <w:right w:val="single" w:sz="4" w:space="0" w:color="auto"/>
            </w:tcBorders>
            <w:shd w:val="clear" w:color="auto" w:fill="auto"/>
            <w:noWrap/>
            <w:vAlign w:val="center"/>
            <w:hideMark/>
          </w:tcPr>
          <w:p w14:paraId="6F55D408"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68.930</w:t>
            </w:r>
          </w:p>
        </w:tc>
      </w:tr>
      <w:tr w:rsidR="009A09ED" w:rsidRPr="00E02C7F" w14:paraId="3C3EC55A"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7B9F625A"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SE-N_30</w:t>
            </w:r>
          </w:p>
        </w:tc>
        <w:tc>
          <w:tcPr>
            <w:tcW w:w="1200" w:type="dxa"/>
            <w:tcBorders>
              <w:top w:val="nil"/>
              <w:left w:val="nil"/>
              <w:bottom w:val="single" w:sz="4" w:space="0" w:color="auto"/>
              <w:right w:val="single" w:sz="4" w:space="0" w:color="auto"/>
            </w:tcBorders>
            <w:shd w:val="clear" w:color="auto" w:fill="auto"/>
            <w:noWrap/>
            <w:vAlign w:val="center"/>
            <w:hideMark/>
          </w:tcPr>
          <w:p w14:paraId="2C8D07B0"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42.633</w:t>
            </w:r>
          </w:p>
        </w:tc>
        <w:tc>
          <w:tcPr>
            <w:tcW w:w="1600" w:type="dxa"/>
            <w:tcBorders>
              <w:top w:val="nil"/>
              <w:left w:val="nil"/>
              <w:bottom w:val="single" w:sz="4" w:space="0" w:color="auto"/>
              <w:right w:val="single" w:sz="4" w:space="0" w:color="auto"/>
            </w:tcBorders>
            <w:shd w:val="clear" w:color="auto" w:fill="auto"/>
            <w:noWrap/>
            <w:vAlign w:val="center"/>
            <w:hideMark/>
          </w:tcPr>
          <w:p w14:paraId="396CC17B"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15.954</w:t>
            </w:r>
          </w:p>
        </w:tc>
        <w:tc>
          <w:tcPr>
            <w:tcW w:w="1200" w:type="dxa"/>
            <w:tcBorders>
              <w:top w:val="nil"/>
              <w:left w:val="nil"/>
              <w:bottom w:val="single" w:sz="4" w:space="0" w:color="auto"/>
              <w:right w:val="single" w:sz="4" w:space="0" w:color="auto"/>
            </w:tcBorders>
            <w:shd w:val="clear" w:color="auto" w:fill="auto"/>
            <w:noWrap/>
            <w:vAlign w:val="center"/>
            <w:hideMark/>
          </w:tcPr>
          <w:p w14:paraId="1C475DA8"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10.029</w:t>
            </w:r>
          </w:p>
        </w:tc>
        <w:tc>
          <w:tcPr>
            <w:tcW w:w="1200" w:type="dxa"/>
            <w:tcBorders>
              <w:top w:val="nil"/>
              <w:left w:val="nil"/>
              <w:bottom w:val="single" w:sz="4" w:space="0" w:color="auto"/>
              <w:right w:val="single" w:sz="4" w:space="0" w:color="auto"/>
            </w:tcBorders>
            <w:shd w:val="clear" w:color="auto" w:fill="auto"/>
            <w:noWrap/>
            <w:vAlign w:val="center"/>
            <w:hideMark/>
          </w:tcPr>
          <w:p w14:paraId="78E0C4ED"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12</w:t>
            </w:r>
          </w:p>
        </w:tc>
        <w:tc>
          <w:tcPr>
            <w:tcW w:w="1200" w:type="dxa"/>
            <w:tcBorders>
              <w:top w:val="nil"/>
              <w:left w:val="nil"/>
              <w:bottom w:val="single" w:sz="4" w:space="0" w:color="auto"/>
              <w:right w:val="single" w:sz="4" w:space="0" w:color="auto"/>
            </w:tcBorders>
            <w:shd w:val="clear" w:color="auto" w:fill="auto"/>
            <w:noWrap/>
            <w:vAlign w:val="center"/>
            <w:hideMark/>
          </w:tcPr>
          <w:p w14:paraId="61EFC290"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68.627</w:t>
            </w:r>
          </w:p>
        </w:tc>
        <w:tc>
          <w:tcPr>
            <w:tcW w:w="1520" w:type="dxa"/>
            <w:tcBorders>
              <w:top w:val="nil"/>
              <w:left w:val="nil"/>
              <w:bottom w:val="single" w:sz="4" w:space="0" w:color="auto"/>
              <w:right w:val="single" w:sz="4" w:space="0" w:color="auto"/>
            </w:tcBorders>
            <w:shd w:val="clear" w:color="auto" w:fill="auto"/>
            <w:noWrap/>
            <w:vAlign w:val="center"/>
            <w:hideMark/>
          </w:tcPr>
          <w:p w14:paraId="460801ED"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35.993</w:t>
            </w:r>
          </w:p>
        </w:tc>
      </w:tr>
      <w:tr w:rsidR="009A09ED" w:rsidRPr="00E02C7F" w14:paraId="0DBA72A2"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4F25E8E2"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SE-N_31</w:t>
            </w:r>
          </w:p>
        </w:tc>
        <w:tc>
          <w:tcPr>
            <w:tcW w:w="1200" w:type="dxa"/>
            <w:tcBorders>
              <w:top w:val="nil"/>
              <w:left w:val="nil"/>
              <w:bottom w:val="single" w:sz="4" w:space="0" w:color="auto"/>
              <w:right w:val="single" w:sz="4" w:space="0" w:color="auto"/>
            </w:tcBorders>
            <w:shd w:val="clear" w:color="auto" w:fill="auto"/>
            <w:noWrap/>
            <w:vAlign w:val="center"/>
            <w:hideMark/>
          </w:tcPr>
          <w:p w14:paraId="7C64021C"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1.973</w:t>
            </w:r>
          </w:p>
        </w:tc>
        <w:tc>
          <w:tcPr>
            <w:tcW w:w="1600" w:type="dxa"/>
            <w:tcBorders>
              <w:top w:val="nil"/>
              <w:left w:val="nil"/>
              <w:bottom w:val="single" w:sz="4" w:space="0" w:color="auto"/>
              <w:right w:val="single" w:sz="4" w:space="0" w:color="auto"/>
            </w:tcBorders>
            <w:shd w:val="clear" w:color="auto" w:fill="auto"/>
            <w:noWrap/>
            <w:vAlign w:val="center"/>
            <w:hideMark/>
          </w:tcPr>
          <w:p w14:paraId="23B1EE79"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738</w:t>
            </w:r>
          </w:p>
        </w:tc>
        <w:tc>
          <w:tcPr>
            <w:tcW w:w="1200" w:type="dxa"/>
            <w:tcBorders>
              <w:top w:val="nil"/>
              <w:left w:val="nil"/>
              <w:bottom w:val="single" w:sz="4" w:space="0" w:color="auto"/>
              <w:right w:val="single" w:sz="4" w:space="0" w:color="auto"/>
            </w:tcBorders>
            <w:shd w:val="clear" w:color="auto" w:fill="auto"/>
            <w:noWrap/>
            <w:vAlign w:val="center"/>
            <w:hideMark/>
          </w:tcPr>
          <w:p w14:paraId="7C166CFF"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464</w:t>
            </w:r>
          </w:p>
        </w:tc>
        <w:tc>
          <w:tcPr>
            <w:tcW w:w="1200" w:type="dxa"/>
            <w:tcBorders>
              <w:top w:val="nil"/>
              <w:left w:val="nil"/>
              <w:bottom w:val="single" w:sz="4" w:space="0" w:color="auto"/>
              <w:right w:val="single" w:sz="4" w:space="0" w:color="auto"/>
            </w:tcBorders>
            <w:shd w:val="clear" w:color="auto" w:fill="auto"/>
            <w:noWrap/>
            <w:vAlign w:val="center"/>
            <w:hideMark/>
          </w:tcPr>
          <w:p w14:paraId="03607910"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14</w:t>
            </w:r>
          </w:p>
        </w:tc>
        <w:tc>
          <w:tcPr>
            <w:tcW w:w="1200" w:type="dxa"/>
            <w:tcBorders>
              <w:top w:val="nil"/>
              <w:left w:val="nil"/>
              <w:bottom w:val="single" w:sz="4" w:space="0" w:color="auto"/>
              <w:right w:val="single" w:sz="4" w:space="0" w:color="auto"/>
            </w:tcBorders>
            <w:shd w:val="clear" w:color="auto" w:fill="auto"/>
            <w:noWrap/>
            <w:vAlign w:val="center"/>
            <w:hideMark/>
          </w:tcPr>
          <w:p w14:paraId="2711090C"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3.189</w:t>
            </w:r>
          </w:p>
        </w:tc>
        <w:tc>
          <w:tcPr>
            <w:tcW w:w="1520" w:type="dxa"/>
            <w:tcBorders>
              <w:top w:val="nil"/>
              <w:left w:val="nil"/>
              <w:bottom w:val="single" w:sz="4" w:space="0" w:color="auto"/>
              <w:right w:val="single" w:sz="4" w:space="0" w:color="auto"/>
            </w:tcBorders>
            <w:shd w:val="clear" w:color="auto" w:fill="auto"/>
            <w:noWrap/>
            <w:vAlign w:val="center"/>
            <w:hideMark/>
          </w:tcPr>
          <w:p w14:paraId="5394C79B"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1.666</w:t>
            </w:r>
          </w:p>
        </w:tc>
      </w:tr>
      <w:tr w:rsidR="009A09ED" w:rsidRPr="00E02C7F" w14:paraId="3D180EC2"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44CC64DA"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SE-N_32</w:t>
            </w:r>
          </w:p>
        </w:tc>
        <w:tc>
          <w:tcPr>
            <w:tcW w:w="1200" w:type="dxa"/>
            <w:tcBorders>
              <w:top w:val="nil"/>
              <w:left w:val="nil"/>
              <w:bottom w:val="single" w:sz="4" w:space="0" w:color="auto"/>
              <w:right w:val="single" w:sz="4" w:space="0" w:color="auto"/>
            </w:tcBorders>
            <w:shd w:val="clear" w:color="auto" w:fill="auto"/>
            <w:noWrap/>
            <w:vAlign w:val="center"/>
            <w:hideMark/>
          </w:tcPr>
          <w:p w14:paraId="7045DB48"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5.306</w:t>
            </w:r>
          </w:p>
        </w:tc>
        <w:tc>
          <w:tcPr>
            <w:tcW w:w="1600" w:type="dxa"/>
            <w:tcBorders>
              <w:top w:val="nil"/>
              <w:left w:val="nil"/>
              <w:bottom w:val="single" w:sz="4" w:space="0" w:color="auto"/>
              <w:right w:val="single" w:sz="4" w:space="0" w:color="auto"/>
            </w:tcBorders>
            <w:shd w:val="clear" w:color="auto" w:fill="auto"/>
            <w:noWrap/>
            <w:vAlign w:val="center"/>
            <w:hideMark/>
          </w:tcPr>
          <w:p w14:paraId="42FA3C10"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1.985</w:t>
            </w:r>
          </w:p>
        </w:tc>
        <w:tc>
          <w:tcPr>
            <w:tcW w:w="1200" w:type="dxa"/>
            <w:tcBorders>
              <w:top w:val="nil"/>
              <w:left w:val="nil"/>
              <w:bottom w:val="single" w:sz="4" w:space="0" w:color="auto"/>
              <w:right w:val="single" w:sz="4" w:space="0" w:color="auto"/>
            </w:tcBorders>
            <w:shd w:val="clear" w:color="auto" w:fill="auto"/>
            <w:noWrap/>
            <w:vAlign w:val="center"/>
            <w:hideMark/>
          </w:tcPr>
          <w:p w14:paraId="14DF02AA"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1.248</w:t>
            </w:r>
          </w:p>
        </w:tc>
        <w:tc>
          <w:tcPr>
            <w:tcW w:w="1200" w:type="dxa"/>
            <w:tcBorders>
              <w:top w:val="nil"/>
              <w:left w:val="nil"/>
              <w:bottom w:val="single" w:sz="4" w:space="0" w:color="auto"/>
              <w:right w:val="single" w:sz="4" w:space="0" w:color="auto"/>
            </w:tcBorders>
            <w:shd w:val="clear" w:color="auto" w:fill="auto"/>
            <w:noWrap/>
            <w:vAlign w:val="center"/>
            <w:hideMark/>
          </w:tcPr>
          <w:p w14:paraId="4A75E6DC"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19</w:t>
            </w:r>
          </w:p>
        </w:tc>
        <w:tc>
          <w:tcPr>
            <w:tcW w:w="1200" w:type="dxa"/>
            <w:tcBorders>
              <w:top w:val="nil"/>
              <w:left w:val="nil"/>
              <w:bottom w:val="single" w:sz="4" w:space="0" w:color="auto"/>
              <w:right w:val="single" w:sz="4" w:space="0" w:color="auto"/>
            </w:tcBorders>
            <w:shd w:val="clear" w:color="auto" w:fill="auto"/>
            <w:noWrap/>
            <w:vAlign w:val="center"/>
            <w:hideMark/>
          </w:tcPr>
          <w:p w14:paraId="28265B1E"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8.559</w:t>
            </w:r>
          </w:p>
        </w:tc>
        <w:tc>
          <w:tcPr>
            <w:tcW w:w="1520" w:type="dxa"/>
            <w:tcBorders>
              <w:top w:val="nil"/>
              <w:left w:val="nil"/>
              <w:bottom w:val="single" w:sz="4" w:space="0" w:color="auto"/>
              <w:right w:val="single" w:sz="4" w:space="0" w:color="auto"/>
            </w:tcBorders>
            <w:shd w:val="clear" w:color="auto" w:fill="auto"/>
            <w:noWrap/>
            <w:vAlign w:val="center"/>
            <w:hideMark/>
          </w:tcPr>
          <w:p w14:paraId="62825587"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4.479</w:t>
            </w:r>
          </w:p>
        </w:tc>
      </w:tr>
      <w:tr w:rsidR="009A09ED" w:rsidRPr="00E02C7F" w14:paraId="03A1FC50"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5EFB05D6"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SE-N_33</w:t>
            </w:r>
          </w:p>
        </w:tc>
        <w:tc>
          <w:tcPr>
            <w:tcW w:w="1200" w:type="dxa"/>
            <w:tcBorders>
              <w:top w:val="nil"/>
              <w:left w:val="nil"/>
              <w:bottom w:val="single" w:sz="4" w:space="0" w:color="auto"/>
              <w:right w:val="single" w:sz="4" w:space="0" w:color="auto"/>
            </w:tcBorders>
            <w:shd w:val="clear" w:color="auto" w:fill="auto"/>
            <w:noWrap/>
            <w:vAlign w:val="center"/>
            <w:hideMark/>
          </w:tcPr>
          <w:p w14:paraId="5F1BC905"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66.785</w:t>
            </w:r>
          </w:p>
        </w:tc>
        <w:tc>
          <w:tcPr>
            <w:tcW w:w="1600" w:type="dxa"/>
            <w:tcBorders>
              <w:top w:val="nil"/>
              <w:left w:val="nil"/>
              <w:bottom w:val="single" w:sz="4" w:space="0" w:color="auto"/>
              <w:right w:val="single" w:sz="4" w:space="0" w:color="auto"/>
            </w:tcBorders>
            <w:shd w:val="clear" w:color="auto" w:fill="auto"/>
            <w:noWrap/>
            <w:vAlign w:val="center"/>
            <w:hideMark/>
          </w:tcPr>
          <w:p w14:paraId="47FB9C55"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24.991</w:t>
            </w:r>
          </w:p>
        </w:tc>
        <w:tc>
          <w:tcPr>
            <w:tcW w:w="1200" w:type="dxa"/>
            <w:tcBorders>
              <w:top w:val="nil"/>
              <w:left w:val="nil"/>
              <w:bottom w:val="single" w:sz="4" w:space="0" w:color="auto"/>
              <w:right w:val="single" w:sz="4" w:space="0" w:color="auto"/>
            </w:tcBorders>
            <w:shd w:val="clear" w:color="auto" w:fill="auto"/>
            <w:noWrap/>
            <w:vAlign w:val="center"/>
            <w:hideMark/>
          </w:tcPr>
          <w:p w14:paraId="1AA948B7"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15.710</w:t>
            </w:r>
          </w:p>
        </w:tc>
        <w:tc>
          <w:tcPr>
            <w:tcW w:w="1200" w:type="dxa"/>
            <w:tcBorders>
              <w:top w:val="nil"/>
              <w:left w:val="nil"/>
              <w:bottom w:val="single" w:sz="4" w:space="0" w:color="auto"/>
              <w:right w:val="single" w:sz="4" w:space="0" w:color="auto"/>
            </w:tcBorders>
            <w:shd w:val="clear" w:color="auto" w:fill="auto"/>
            <w:noWrap/>
            <w:vAlign w:val="center"/>
            <w:hideMark/>
          </w:tcPr>
          <w:p w14:paraId="6B57542B"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596</w:t>
            </w:r>
          </w:p>
        </w:tc>
        <w:tc>
          <w:tcPr>
            <w:tcW w:w="1200" w:type="dxa"/>
            <w:tcBorders>
              <w:top w:val="nil"/>
              <w:left w:val="nil"/>
              <w:bottom w:val="single" w:sz="4" w:space="0" w:color="auto"/>
              <w:right w:val="single" w:sz="4" w:space="0" w:color="auto"/>
            </w:tcBorders>
            <w:shd w:val="clear" w:color="auto" w:fill="auto"/>
            <w:noWrap/>
            <w:vAlign w:val="center"/>
            <w:hideMark/>
          </w:tcPr>
          <w:p w14:paraId="1044DE99"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108.081</w:t>
            </w:r>
          </w:p>
        </w:tc>
        <w:tc>
          <w:tcPr>
            <w:tcW w:w="1520" w:type="dxa"/>
            <w:tcBorders>
              <w:top w:val="nil"/>
              <w:left w:val="nil"/>
              <w:bottom w:val="single" w:sz="4" w:space="0" w:color="auto"/>
              <w:right w:val="single" w:sz="4" w:space="0" w:color="auto"/>
            </w:tcBorders>
            <w:shd w:val="clear" w:color="auto" w:fill="auto"/>
            <w:noWrap/>
            <w:vAlign w:val="center"/>
            <w:hideMark/>
          </w:tcPr>
          <w:p w14:paraId="3D1C597E"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56.383</w:t>
            </w:r>
          </w:p>
        </w:tc>
      </w:tr>
      <w:tr w:rsidR="009A09ED" w:rsidRPr="00E02C7F" w14:paraId="74396BF3"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78592BC0"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SE-N_34</w:t>
            </w:r>
          </w:p>
        </w:tc>
        <w:tc>
          <w:tcPr>
            <w:tcW w:w="1200" w:type="dxa"/>
            <w:tcBorders>
              <w:top w:val="nil"/>
              <w:left w:val="nil"/>
              <w:bottom w:val="single" w:sz="4" w:space="0" w:color="auto"/>
              <w:right w:val="single" w:sz="4" w:space="0" w:color="auto"/>
            </w:tcBorders>
            <w:shd w:val="clear" w:color="auto" w:fill="auto"/>
            <w:noWrap/>
            <w:vAlign w:val="center"/>
            <w:hideMark/>
          </w:tcPr>
          <w:p w14:paraId="0FF068C7"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53.071</w:t>
            </w:r>
          </w:p>
        </w:tc>
        <w:tc>
          <w:tcPr>
            <w:tcW w:w="1600" w:type="dxa"/>
            <w:tcBorders>
              <w:top w:val="nil"/>
              <w:left w:val="nil"/>
              <w:bottom w:val="single" w:sz="4" w:space="0" w:color="auto"/>
              <w:right w:val="single" w:sz="4" w:space="0" w:color="auto"/>
            </w:tcBorders>
            <w:shd w:val="clear" w:color="auto" w:fill="auto"/>
            <w:noWrap/>
            <w:vAlign w:val="center"/>
            <w:hideMark/>
          </w:tcPr>
          <w:p w14:paraId="14F04FB8"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19.860</w:t>
            </w:r>
          </w:p>
        </w:tc>
        <w:tc>
          <w:tcPr>
            <w:tcW w:w="1200" w:type="dxa"/>
            <w:tcBorders>
              <w:top w:val="nil"/>
              <w:left w:val="nil"/>
              <w:bottom w:val="single" w:sz="4" w:space="0" w:color="auto"/>
              <w:right w:val="single" w:sz="4" w:space="0" w:color="auto"/>
            </w:tcBorders>
            <w:shd w:val="clear" w:color="auto" w:fill="auto"/>
            <w:noWrap/>
            <w:vAlign w:val="center"/>
            <w:hideMark/>
          </w:tcPr>
          <w:p w14:paraId="622F0CE0"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12.484</w:t>
            </w:r>
          </w:p>
        </w:tc>
        <w:tc>
          <w:tcPr>
            <w:tcW w:w="1200" w:type="dxa"/>
            <w:tcBorders>
              <w:top w:val="nil"/>
              <w:left w:val="nil"/>
              <w:bottom w:val="single" w:sz="4" w:space="0" w:color="auto"/>
              <w:right w:val="single" w:sz="4" w:space="0" w:color="auto"/>
            </w:tcBorders>
            <w:shd w:val="clear" w:color="auto" w:fill="auto"/>
            <w:noWrap/>
            <w:vAlign w:val="center"/>
            <w:hideMark/>
          </w:tcPr>
          <w:p w14:paraId="420DCEB5"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390</w:t>
            </w:r>
          </w:p>
        </w:tc>
        <w:tc>
          <w:tcPr>
            <w:tcW w:w="1200" w:type="dxa"/>
            <w:tcBorders>
              <w:top w:val="nil"/>
              <w:left w:val="nil"/>
              <w:bottom w:val="single" w:sz="4" w:space="0" w:color="auto"/>
              <w:right w:val="single" w:sz="4" w:space="0" w:color="auto"/>
            </w:tcBorders>
            <w:shd w:val="clear" w:color="auto" w:fill="auto"/>
            <w:noWrap/>
            <w:vAlign w:val="center"/>
            <w:hideMark/>
          </w:tcPr>
          <w:p w14:paraId="26BFCDB9"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85.805</w:t>
            </w:r>
          </w:p>
        </w:tc>
        <w:tc>
          <w:tcPr>
            <w:tcW w:w="1520" w:type="dxa"/>
            <w:tcBorders>
              <w:top w:val="nil"/>
              <w:left w:val="nil"/>
              <w:bottom w:val="single" w:sz="4" w:space="0" w:color="auto"/>
              <w:right w:val="single" w:sz="4" w:space="0" w:color="auto"/>
            </w:tcBorders>
            <w:shd w:val="clear" w:color="auto" w:fill="auto"/>
            <w:noWrap/>
            <w:vAlign w:val="center"/>
            <w:hideMark/>
          </w:tcPr>
          <w:p w14:paraId="2743EF20"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44.806</w:t>
            </w:r>
          </w:p>
        </w:tc>
      </w:tr>
      <w:tr w:rsidR="009A09ED" w:rsidRPr="00E02C7F" w14:paraId="64ADC72E"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59EF3480"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SE-N_35</w:t>
            </w:r>
          </w:p>
        </w:tc>
        <w:tc>
          <w:tcPr>
            <w:tcW w:w="1200" w:type="dxa"/>
            <w:tcBorders>
              <w:top w:val="nil"/>
              <w:left w:val="nil"/>
              <w:bottom w:val="single" w:sz="4" w:space="0" w:color="auto"/>
              <w:right w:val="single" w:sz="4" w:space="0" w:color="auto"/>
            </w:tcBorders>
            <w:shd w:val="clear" w:color="auto" w:fill="auto"/>
            <w:noWrap/>
            <w:vAlign w:val="center"/>
            <w:hideMark/>
          </w:tcPr>
          <w:p w14:paraId="48BDE9A4"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26.350</w:t>
            </w:r>
          </w:p>
        </w:tc>
        <w:tc>
          <w:tcPr>
            <w:tcW w:w="1600" w:type="dxa"/>
            <w:tcBorders>
              <w:top w:val="nil"/>
              <w:left w:val="nil"/>
              <w:bottom w:val="single" w:sz="4" w:space="0" w:color="auto"/>
              <w:right w:val="single" w:sz="4" w:space="0" w:color="auto"/>
            </w:tcBorders>
            <w:shd w:val="clear" w:color="auto" w:fill="auto"/>
            <w:noWrap/>
            <w:vAlign w:val="center"/>
            <w:hideMark/>
          </w:tcPr>
          <w:p w14:paraId="38B91BEF"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9.860</w:t>
            </w:r>
          </w:p>
        </w:tc>
        <w:tc>
          <w:tcPr>
            <w:tcW w:w="1200" w:type="dxa"/>
            <w:tcBorders>
              <w:top w:val="nil"/>
              <w:left w:val="nil"/>
              <w:bottom w:val="single" w:sz="4" w:space="0" w:color="auto"/>
              <w:right w:val="single" w:sz="4" w:space="0" w:color="auto"/>
            </w:tcBorders>
            <w:shd w:val="clear" w:color="auto" w:fill="auto"/>
            <w:noWrap/>
            <w:vAlign w:val="center"/>
            <w:hideMark/>
          </w:tcPr>
          <w:p w14:paraId="3071741F"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6.198</w:t>
            </w:r>
          </w:p>
        </w:tc>
        <w:tc>
          <w:tcPr>
            <w:tcW w:w="1200" w:type="dxa"/>
            <w:tcBorders>
              <w:top w:val="nil"/>
              <w:left w:val="nil"/>
              <w:bottom w:val="single" w:sz="4" w:space="0" w:color="auto"/>
              <w:right w:val="single" w:sz="4" w:space="0" w:color="auto"/>
            </w:tcBorders>
            <w:shd w:val="clear" w:color="auto" w:fill="auto"/>
            <w:noWrap/>
            <w:vAlign w:val="center"/>
            <w:hideMark/>
          </w:tcPr>
          <w:p w14:paraId="0B808A01"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194</w:t>
            </w:r>
          </w:p>
        </w:tc>
        <w:tc>
          <w:tcPr>
            <w:tcW w:w="1200" w:type="dxa"/>
            <w:tcBorders>
              <w:top w:val="nil"/>
              <w:left w:val="nil"/>
              <w:bottom w:val="single" w:sz="4" w:space="0" w:color="auto"/>
              <w:right w:val="single" w:sz="4" w:space="0" w:color="auto"/>
            </w:tcBorders>
            <w:shd w:val="clear" w:color="auto" w:fill="auto"/>
            <w:noWrap/>
            <w:vAlign w:val="center"/>
            <w:hideMark/>
          </w:tcPr>
          <w:p w14:paraId="5D3AF971"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42.603</w:t>
            </w:r>
          </w:p>
        </w:tc>
        <w:tc>
          <w:tcPr>
            <w:tcW w:w="1520" w:type="dxa"/>
            <w:tcBorders>
              <w:top w:val="nil"/>
              <w:left w:val="nil"/>
              <w:bottom w:val="single" w:sz="4" w:space="0" w:color="auto"/>
              <w:right w:val="single" w:sz="4" w:space="0" w:color="auto"/>
            </w:tcBorders>
            <w:shd w:val="clear" w:color="auto" w:fill="auto"/>
            <w:noWrap/>
            <w:vAlign w:val="center"/>
            <w:hideMark/>
          </w:tcPr>
          <w:p w14:paraId="3A803CEB"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22.246</w:t>
            </w:r>
          </w:p>
        </w:tc>
      </w:tr>
      <w:tr w:rsidR="009A09ED" w:rsidRPr="00E02C7F" w14:paraId="1FCB379F"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79BF184F"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SE-N_36</w:t>
            </w:r>
          </w:p>
        </w:tc>
        <w:tc>
          <w:tcPr>
            <w:tcW w:w="1200" w:type="dxa"/>
            <w:tcBorders>
              <w:top w:val="nil"/>
              <w:left w:val="nil"/>
              <w:bottom w:val="single" w:sz="4" w:space="0" w:color="auto"/>
              <w:right w:val="single" w:sz="4" w:space="0" w:color="auto"/>
            </w:tcBorders>
            <w:shd w:val="clear" w:color="auto" w:fill="auto"/>
            <w:noWrap/>
            <w:vAlign w:val="center"/>
            <w:hideMark/>
          </w:tcPr>
          <w:p w14:paraId="33147E6B"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600" w:type="dxa"/>
            <w:tcBorders>
              <w:top w:val="nil"/>
              <w:left w:val="nil"/>
              <w:bottom w:val="single" w:sz="4" w:space="0" w:color="auto"/>
              <w:right w:val="single" w:sz="4" w:space="0" w:color="auto"/>
            </w:tcBorders>
            <w:shd w:val="clear" w:color="auto" w:fill="auto"/>
            <w:noWrap/>
            <w:vAlign w:val="center"/>
            <w:hideMark/>
          </w:tcPr>
          <w:p w14:paraId="3442A21E"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200" w:type="dxa"/>
            <w:tcBorders>
              <w:top w:val="nil"/>
              <w:left w:val="nil"/>
              <w:bottom w:val="single" w:sz="4" w:space="0" w:color="auto"/>
              <w:right w:val="single" w:sz="4" w:space="0" w:color="auto"/>
            </w:tcBorders>
            <w:shd w:val="clear" w:color="auto" w:fill="auto"/>
            <w:noWrap/>
            <w:vAlign w:val="center"/>
            <w:hideMark/>
          </w:tcPr>
          <w:p w14:paraId="7B522B2B"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200" w:type="dxa"/>
            <w:tcBorders>
              <w:top w:val="nil"/>
              <w:left w:val="nil"/>
              <w:bottom w:val="single" w:sz="4" w:space="0" w:color="auto"/>
              <w:right w:val="single" w:sz="4" w:space="0" w:color="auto"/>
            </w:tcBorders>
            <w:shd w:val="clear" w:color="auto" w:fill="auto"/>
            <w:noWrap/>
            <w:vAlign w:val="center"/>
            <w:hideMark/>
          </w:tcPr>
          <w:p w14:paraId="1A4EFB66"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200" w:type="dxa"/>
            <w:tcBorders>
              <w:top w:val="nil"/>
              <w:left w:val="nil"/>
              <w:bottom w:val="single" w:sz="4" w:space="0" w:color="auto"/>
              <w:right w:val="single" w:sz="4" w:space="0" w:color="auto"/>
            </w:tcBorders>
            <w:shd w:val="clear" w:color="auto" w:fill="auto"/>
            <w:noWrap/>
            <w:vAlign w:val="center"/>
            <w:hideMark/>
          </w:tcPr>
          <w:p w14:paraId="630F2562"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520" w:type="dxa"/>
            <w:tcBorders>
              <w:top w:val="nil"/>
              <w:left w:val="nil"/>
              <w:bottom w:val="single" w:sz="4" w:space="0" w:color="auto"/>
              <w:right w:val="single" w:sz="4" w:space="0" w:color="auto"/>
            </w:tcBorders>
            <w:shd w:val="clear" w:color="auto" w:fill="auto"/>
            <w:noWrap/>
            <w:vAlign w:val="center"/>
            <w:hideMark/>
          </w:tcPr>
          <w:p w14:paraId="571A1CAF"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r>
      <w:tr w:rsidR="009A09ED" w:rsidRPr="00E02C7F" w14:paraId="667BBB1D"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5221A4A1"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SE-N_37</w:t>
            </w:r>
          </w:p>
        </w:tc>
        <w:tc>
          <w:tcPr>
            <w:tcW w:w="1200" w:type="dxa"/>
            <w:tcBorders>
              <w:top w:val="nil"/>
              <w:left w:val="nil"/>
              <w:bottom w:val="single" w:sz="4" w:space="0" w:color="auto"/>
              <w:right w:val="single" w:sz="4" w:space="0" w:color="auto"/>
            </w:tcBorders>
            <w:shd w:val="clear" w:color="auto" w:fill="auto"/>
            <w:noWrap/>
            <w:vAlign w:val="center"/>
            <w:hideMark/>
          </w:tcPr>
          <w:p w14:paraId="6FB59478"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155.768</w:t>
            </w:r>
          </w:p>
        </w:tc>
        <w:tc>
          <w:tcPr>
            <w:tcW w:w="1600" w:type="dxa"/>
            <w:tcBorders>
              <w:top w:val="nil"/>
              <w:left w:val="nil"/>
              <w:bottom w:val="single" w:sz="4" w:space="0" w:color="auto"/>
              <w:right w:val="single" w:sz="4" w:space="0" w:color="auto"/>
            </w:tcBorders>
            <w:shd w:val="clear" w:color="auto" w:fill="auto"/>
            <w:noWrap/>
            <w:vAlign w:val="center"/>
            <w:hideMark/>
          </w:tcPr>
          <w:p w14:paraId="240DB396"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58.289</w:t>
            </w:r>
          </w:p>
        </w:tc>
        <w:tc>
          <w:tcPr>
            <w:tcW w:w="1200" w:type="dxa"/>
            <w:tcBorders>
              <w:top w:val="nil"/>
              <w:left w:val="nil"/>
              <w:bottom w:val="single" w:sz="4" w:space="0" w:color="auto"/>
              <w:right w:val="single" w:sz="4" w:space="0" w:color="auto"/>
            </w:tcBorders>
            <w:shd w:val="clear" w:color="auto" w:fill="auto"/>
            <w:noWrap/>
            <w:vAlign w:val="center"/>
            <w:hideMark/>
          </w:tcPr>
          <w:p w14:paraId="3CAF3BDD"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36.641</w:t>
            </w:r>
          </w:p>
        </w:tc>
        <w:tc>
          <w:tcPr>
            <w:tcW w:w="1200" w:type="dxa"/>
            <w:tcBorders>
              <w:top w:val="nil"/>
              <w:left w:val="nil"/>
              <w:bottom w:val="single" w:sz="4" w:space="0" w:color="auto"/>
              <w:right w:val="single" w:sz="4" w:space="0" w:color="auto"/>
            </w:tcBorders>
            <w:shd w:val="clear" w:color="auto" w:fill="auto"/>
            <w:noWrap/>
            <w:vAlign w:val="center"/>
            <w:hideMark/>
          </w:tcPr>
          <w:p w14:paraId="299853DF"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25</w:t>
            </w:r>
          </w:p>
        </w:tc>
        <w:tc>
          <w:tcPr>
            <w:tcW w:w="1200" w:type="dxa"/>
            <w:tcBorders>
              <w:top w:val="nil"/>
              <w:left w:val="nil"/>
              <w:bottom w:val="single" w:sz="4" w:space="0" w:color="auto"/>
              <w:right w:val="single" w:sz="4" w:space="0" w:color="auto"/>
            </w:tcBorders>
            <w:shd w:val="clear" w:color="auto" w:fill="auto"/>
            <w:noWrap/>
            <w:vAlign w:val="center"/>
            <w:hideMark/>
          </w:tcPr>
          <w:p w14:paraId="53D64988"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250.724</w:t>
            </w:r>
          </w:p>
        </w:tc>
        <w:tc>
          <w:tcPr>
            <w:tcW w:w="1520" w:type="dxa"/>
            <w:tcBorders>
              <w:top w:val="nil"/>
              <w:left w:val="nil"/>
              <w:bottom w:val="single" w:sz="4" w:space="0" w:color="auto"/>
              <w:right w:val="single" w:sz="4" w:space="0" w:color="auto"/>
            </w:tcBorders>
            <w:shd w:val="clear" w:color="auto" w:fill="auto"/>
            <w:noWrap/>
            <w:vAlign w:val="center"/>
            <w:hideMark/>
          </w:tcPr>
          <w:p w14:paraId="5ECFD719"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131.508</w:t>
            </w:r>
          </w:p>
        </w:tc>
      </w:tr>
      <w:tr w:rsidR="009A09ED" w:rsidRPr="00E02C7F" w14:paraId="058B1850"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33C629FE"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SE-N_38</w:t>
            </w:r>
          </w:p>
        </w:tc>
        <w:tc>
          <w:tcPr>
            <w:tcW w:w="1200" w:type="dxa"/>
            <w:tcBorders>
              <w:top w:val="nil"/>
              <w:left w:val="nil"/>
              <w:bottom w:val="single" w:sz="4" w:space="0" w:color="auto"/>
              <w:right w:val="single" w:sz="4" w:space="0" w:color="auto"/>
            </w:tcBorders>
            <w:shd w:val="clear" w:color="auto" w:fill="auto"/>
            <w:noWrap/>
            <w:vAlign w:val="center"/>
            <w:hideMark/>
          </w:tcPr>
          <w:p w14:paraId="5445C2AC"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15.540</w:t>
            </w:r>
          </w:p>
        </w:tc>
        <w:tc>
          <w:tcPr>
            <w:tcW w:w="1600" w:type="dxa"/>
            <w:tcBorders>
              <w:top w:val="nil"/>
              <w:left w:val="nil"/>
              <w:bottom w:val="single" w:sz="4" w:space="0" w:color="auto"/>
              <w:right w:val="single" w:sz="4" w:space="0" w:color="auto"/>
            </w:tcBorders>
            <w:shd w:val="clear" w:color="auto" w:fill="auto"/>
            <w:noWrap/>
            <w:vAlign w:val="center"/>
            <w:hideMark/>
          </w:tcPr>
          <w:p w14:paraId="134A32AE"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5.815</w:t>
            </w:r>
          </w:p>
        </w:tc>
        <w:tc>
          <w:tcPr>
            <w:tcW w:w="1200" w:type="dxa"/>
            <w:tcBorders>
              <w:top w:val="nil"/>
              <w:left w:val="nil"/>
              <w:bottom w:val="single" w:sz="4" w:space="0" w:color="auto"/>
              <w:right w:val="single" w:sz="4" w:space="0" w:color="auto"/>
            </w:tcBorders>
            <w:shd w:val="clear" w:color="auto" w:fill="auto"/>
            <w:noWrap/>
            <w:vAlign w:val="center"/>
            <w:hideMark/>
          </w:tcPr>
          <w:p w14:paraId="2086E9CC"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3.656</w:t>
            </w:r>
          </w:p>
        </w:tc>
        <w:tc>
          <w:tcPr>
            <w:tcW w:w="1200" w:type="dxa"/>
            <w:tcBorders>
              <w:top w:val="nil"/>
              <w:left w:val="nil"/>
              <w:bottom w:val="single" w:sz="4" w:space="0" w:color="auto"/>
              <w:right w:val="single" w:sz="4" w:space="0" w:color="auto"/>
            </w:tcBorders>
            <w:shd w:val="clear" w:color="auto" w:fill="auto"/>
            <w:noWrap/>
            <w:vAlign w:val="center"/>
            <w:hideMark/>
          </w:tcPr>
          <w:p w14:paraId="72C3ED81"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100</w:t>
            </w:r>
          </w:p>
        </w:tc>
        <w:tc>
          <w:tcPr>
            <w:tcW w:w="1200" w:type="dxa"/>
            <w:tcBorders>
              <w:top w:val="nil"/>
              <w:left w:val="nil"/>
              <w:bottom w:val="single" w:sz="4" w:space="0" w:color="auto"/>
              <w:right w:val="single" w:sz="4" w:space="0" w:color="auto"/>
            </w:tcBorders>
            <w:shd w:val="clear" w:color="auto" w:fill="auto"/>
            <w:noWrap/>
            <w:vAlign w:val="center"/>
            <w:hideMark/>
          </w:tcPr>
          <w:p w14:paraId="617B691E"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25.111</w:t>
            </w:r>
          </w:p>
        </w:tc>
        <w:tc>
          <w:tcPr>
            <w:tcW w:w="1520" w:type="dxa"/>
            <w:tcBorders>
              <w:top w:val="nil"/>
              <w:left w:val="nil"/>
              <w:bottom w:val="single" w:sz="4" w:space="0" w:color="auto"/>
              <w:right w:val="single" w:sz="4" w:space="0" w:color="auto"/>
            </w:tcBorders>
            <w:shd w:val="clear" w:color="auto" w:fill="auto"/>
            <w:noWrap/>
            <w:vAlign w:val="center"/>
            <w:hideMark/>
          </w:tcPr>
          <w:p w14:paraId="567C9C75"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13.120</w:t>
            </w:r>
          </w:p>
        </w:tc>
      </w:tr>
      <w:tr w:rsidR="009A09ED" w:rsidRPr="00E02C7F" w14:paraId="0B746CE2"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44306671"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SE-N_39</w:t>
            </w:r>
          </w:p>
        </w:tc>
        <w:tc>
          <w:tcPr>
            <w:tcW w:w="1200" w:type="dxa"/>
            <w:tcBorders>
              <w:top w:val="nil"/>
              <w:left w:val="nil"/>
              <w:bottom w:val="single" w:sz="4" w:space="0" w:color="auto"/>
              <w:right w:val="single" w:sz="4" w:space="0" w:color="auto"/>
            </w:tcBorders>
            <w:shd w:val="clear" w:color="auto" w:fill="auto"/>
            <w:noWrap/>
            <w:vAlign w:val="center"/>
            <w:hideMark/>
          </w:tcPr>
          <w:p w14:paraId="0FD6CB6E"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34.234</w:t>
            </w:r>
          </w:p>
        </w:tc>
        <w:tc>
          <w:tcPr>
            <w:tcW w:w="1600" w:type="dxa"/>
            <w:tcBorders>
              <w:top w:val="nil"/>
              <w:left w:val="nil"/>
              <w:bottom w:val="single" w:sz="4" w:space="0" w:color="auto"/>
              <w:right w:val="single" w:sz="4" w:space="0" w:color="auto"/>
            </w:tcBorders>
            <w:shd w:val="clear" w:color="auto" w:fill="auto"/>
            <w:noWrap/>
            <w:vAlign w:val="center"/>
            <w:hideMark/>
          </w:tcPr>
          <w:p w14:paraId="3E46EE4A"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12.811</w:t>
            </w:r>
          </w:p>
        </w:tc>
        <w:tc>
          <w:tcPr>
            <w:tcW w:w="1200" w:type="dxa"/>
            <w:tcBorders>
              <w:top w:val="nil"/>
              <w:left w:val="nil"/>
              <w:bottom w:val="single" w:sz="4" w:space="0" w:color="auto"/>
              <w:right w:val="single" w:sz="4" w:space="0" w:color="auto"/>
            </w:tcBorders>
            <w:shd w:val="clear" w:color="auto" w:fill="auto"/>
            <w:noWrap/>
            <w:vAlign w:val="center"/>
            <w:hideMark/>
          </w:tcPr>
          <w:p w14:paraId="4230509E"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8.053</w:t>
            </w:r>
          </w:p>
        </w:tc>
        <w:tc>
          <w:tcPr>
            <w:tcW w:w="1200" w:type="dxa"/>
            <w:tcBorders>
              <w:top w:val="nil"/>
              <w:left w:val="nil"/>
              <w:bottom w:val="single" w:sz="4" w:space="0" w:color="auto"/>
              <w:right w:val="single" w:sz="4" w:space="0" w:color="auto"/>
            </w:tcBorders>
            <w:shd w:val="clear" w:color="auto" w:fill="auto"/>
            <w:noWrap/>
            <w:vAlign w:val="center"/>
            <w:hideMark/>
          </w:tcPr>
          <w:p w14:paraId="52919F07"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200" w:type="dxa"/>
            <w:tcBorders>
              <w:top w:val="nil"/>
              <w:left w:val="nil"/>
              <w:bottom w:val="single" w:sz="4" w:space="0" w:color="auto"/>
              <w:right w:val="single" w:sz="4" w:space="0" w:color="auto"/>
            </w:tcBorders>
            <w:shd w:val="clear" w:color="auto" w:fill="auto"/>
            <w:noWrap/>
            <w:vAlign w:val="center"/>
            <w:hideMark/>
          </w:tcPr>
          <w:p w14:paraId="378EC362"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55.098</w:t>
            </w:r>
          </w:p>
        </w:tc>
        <w:tc>
          <w:tcPr>
            <w:tcW w:w="1520" w:type="dxa"/>
            <w:tcBorders>
              <w:top w:val="nil"/>
              <w:left w:val="nil"/>
              <w:bottom w:val="single" w:sz="4" w:space="0" w:color="auto"/>
              <w:right w:val="single" w:sz="4" w:space="0" w:color="auto"/>
            </w:tcBorders>
            <w:shd w:val="clear" w:color="auto" w:fill="auto"/>
            <w:noWrap/>
            <w:vAlign w:val="center"/>
            <w:hideMark/>
          </w:tcPr>
          <w:p w14:paraId="7AEA5965"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28.902</w:t>
            </w:r>
          </w:p>
        </w:tc>
      </w:tr>
      <w:tr w:rsidR="009A09ED" w:rsidRPr="00E02C7F" w14:paraId="5A594688"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0C81D0E1"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SE-N_40</w:t>
            </w:r>
          </w:p>
        </w:tc>
        <w:tc>
          <w:tcPr>
            <w:tcW w:w="1200" w:type="dxa"/>
            <w:tcBorders>
              <w:top w:val="nil"/>
              <w:left w:val="nil"/>
              <w:bottom w:val="single" w:sz="4" w:space="0" w:color="auto"/>
              <w:right w:val="single" w:sz="4" w:space="0" w:color="auto"/>
            </w:tcBorders>
            <w:shd w:val="clear" w:color="auto" w:fill="auto"/>
            <w:noWrap/>
            <w:vAlign w:val="center"/>
            <w:hideMark/>
          </w:tcPr>
          <w:p w14:paraId="6B36F2BF"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23.804</w:t>
            </w:r>
          </w:p>
        </w:tc>
        <w:tc>
          <w:tcPr>
            <w:tcW w:w="1600" w:type="dxa"/>
            <w:tcBorders>
              <w:top w:val="nil"/>
              <w:left w:val="nil"/>
              <w:bottom w:val="single" w:sz="4" w:space="0" w:color="auto"/>
              <w:right w:val="single" w:sz="4" w:space="0" w:color="auto"/>
            </w:tcBorders>
            <w:shd w:val="clear" w:color="auto" w:fill="auto"/>
            <w:noWrap/>
            <w:vAlign w:val="center"/>
            <w:hideMark/>
          </w:tcPr>
          <w:p w14:paraId="360B6D44"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8.908</w:t>
            </w:r>
          </w:p>
        </w:tc>
        <w:tc>
          <w:tcPr>
            <w:tcW w:w="1200" w:type="dxa"/>
            <w:tcBorders>
              <w:top w:val="nil"/>
              <w:left w:val="nil"/>
              <w:bottom w:val="single" w:sz="4" w:space="0" w:color="auto"/>
              <w:right w:val="single" w:sz="4" w:space="0" w:color="auto"/>
            </w:tcBorders>
            <w:shd w:val="clear" w:color="auto" w:fill="auto"/>
            <w:noWrap/>
            <w:vAlign w:val="center"/>
            <w:hideMark/>
          </w:tcPr>
          <w:p w14:paraId="6F6BA87C"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5.599</w:t>
            </w:r>
          </w:p>
        </w:tc>
        <w:tc>
          <w:tcPr>
            <w:tcW w:w="1200" w:type="dxa"/>
            <w:tcBorders>
              <w:top w:val="nil"/>
              <w:left w:val="nil"/>
              <w:bottom w:val="single" w:sz="4" w:space="0" w:color="auto"/>
              <w:right w:val="single" w:sz="4" w:space="0" w:color="auto"/>
            </w:tcBorders>
            <w:shd w:val="clear" w:color="auto" w:fill="auto"/>
            <w:noWrap/>
            <w:vAlign w:val="center"/>
            <w:hideMark/>
          </w:tcPr>
          <w:p w14:paraId="102B94A3"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175</w:t>
            </w:r>
          </w:p>
        </w:tc>
        <w:tc>
          <w:tcPr>
            <w:tcW w:w="1200" w:type="dxa"/>
            <w:tcBorders>
              <w:top w:val="nil"/>
              <w:left w:val="nil"/>
              <w:bottom w:val="single" w:sz="4" w:space="0" w:color="auto"/>
              <w:right w:val="single" w:sz="4" w:space="0" w:color="auto"/>
            </w:tcBorders>
            <w:shd w:val="clear" w:color="auto" w:fill="auto"/>
            <w:noWrap/>
            <w:vAlign w:val="center"/>
            <w:hideMark/>
          </w:tcPr>
          <w:p w14:paraId="72F1E0CB"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38.486</w:t>
            </w:r>
          </w:p>
        </w:tc>
        <w:tc>
          <w:tcPr>
            <w:tcW w:w="1520" w:type="dxa"/>
            <w:tcBorders>
              <w:top w:val="nil"/>
              <w:left w:val="nil"/>
              <w:bottom w:val="single" w:sz="4" w:space="0" w:color="auto"/>
              <w:right w:val="single" w:sz="4" w:space="0" w:color="auto"/>
            </w:tcBorders>
            <w:shd w:val="clear" w:color="auto" w:fill="auto"/>
            <w:noWrap/>
            <w:vAlign w:val="center"/>
            <w:hideMark/>
          </w:tcPr>
          <w:p w14:paraId="4449B2B3"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20.097</w:t>
            </w:r>
          </w:p>
        </w:tc>
      </w:tr>
      <w:tr w:rsidR="009A09ED" w:rsidRPr="00E02C7F" w14:paraId="7798061D"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2DF3B084"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SE-N_41</w:t>
            </w:r>
          </w:p>
        </w:tc>
        <w:tc>
          <w:tcPr>
            <w:tcW w:w="1200" w:type="dxa"/>
            <w:tcBorders>
              <w:top w:val="nil"/>
              <w:left w:val="nil"/>
              <w:bottom w:val="single" w:sz="4" w:space="0" w:color="auto"/>
              <w:right w:val="single" w:sz="4" w:space="0" w:color="auto"/>
            </w:tcBorders>
            <w:shd w:val="clear" w:color="auto" w:fill="auto"/>
            <w:noWrap/>
            <w:vAlign w:val="center"/>
            <w:hideMark/>
          </w:tcPr>
          <w:p w14:paraId="78C77B03"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95.199</w:t>
            </w:r>
          </w:p>
        </w:tc>
        <w:tc>
          <w:tcPr>
            <w:tcW w:w="1600" w:type="dxa"/>
            <w:tcBorders>
              <w:top w:val="nil"/>
              <w:left w:val="nil"/>
              <w:bottom w:val="single" w:sz="4" w:space="0" w:color="auto"/>
              <w:right w:val="single" w:sz="4" w:space="0" w:color="auto"/>
            </w:tcBorders>
            <w:shd w:val="clear" w:color="auto" w:fill="auto"/>
            <w:noWrap/>
            <w:vAlign w:val="center"/>
            <w:hideMark/>
          </w:tcPr>
          <w:p w14:paraId="17C711BC"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35.624</w:t>
            </w:r>
          </w:p>
        </w:tc>
        <w:tc>
          <w:tcPr>
            <w:tcW w:w="1200" w:type="dxa"/>
            <w:tcBorders>
              <w:top w:val="nil"/>
              <w:left w:val="nil"/>
              <w:bottom w:val="single" w:sz="4" w:space="0" w:color="auto"/>
              <w:right w:val="single" w:sz="4" w:space="0" w:color="auto"/>
            </w:tcBorders>
            <w:shd w:val="clear" w:color="auto" w:fill="auto"/>
            <w:noWrap/>
            <w:vAlign w:val="center"/>
            <w:hideMark/>
          </w:tcPr>
          <w:p w14:paraId="4B002580"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22.394</w:t>
            </w:r>
          </w:p>
        </w:tc>
        <w:tc>
          <w:tcPr>
            <w:tcW w:w="1200" w:type="dxa"/>
            <w:tcBorders>
              <w:top w:val="nil"/>
              <w:left w:val="nil"/>
              <w:bottom w:val="single" w:sz="4" w:space="0" w:color="auto"/>
              <w:right w:val="single" w:sz="4" w:space="0" w:color="auto"/>
            </w:tcBorders>
            <w:shd w:val="clear" w:color="auto" w:fill="auto"/>
            <w:noWrap/>
            <w:vAlign w:val="center"/>
            <w:hideMark/>
          </w:tcPr>
          <w:p w14:paraId="5FAB6EEC"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614</w:t>
            </w:r>
          </w:p>
        </w:tc>
        <w:tc>
          <w:tcPr>
            <w:tcW w:w="1200" w:type="dxa"/>
            <w:tcBorders>
              <w:top w:val="nil"/>
              <w:left w:val="nil"/>
              <w:bottom w:val="single" w:sz="4" w:space="0" w:color="auto"/>
              <w:right w:val="single" w:sz="4" w:space="0" w:color="auto"/>
            </w:tcBorders>
            <w:shd w:val="clear" w:color="auto" w:fill="auto"/>
            <w:noWrap/>
            <w:vAlign w:val="center"/>
            <w:hideMark/>
          </w:tcPr>
          <w:p w14:paraId="4ECB4241"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153.830</w:t>
            </w:r>
          </w:p>
        </w:tc>
        <w:tc>
          <w:tcPr>
            <w:tcW w:w="1520" w:type="dxa"/>
            <w:tcBorders>
              <w:top w:val="nil"/>
              <w:left w:val="nil"/>
              <w:bottom w:val="single" w:sz="4" w:space="0" w:color="auto"/>
              <w:right w:val="single" w:sz="4" w:space="0" w:color="auto"/>
            </w:tcBorders>
            <w:shd w:val="clear" w:color="auto" w:fill="auto"/>
            <w:noWrap/>
            <w:vAlign w:val="center"/>
            <w:hideMark/>
          </w:tcPr>
          <w:p w14:paraId="66B98E61"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80.372</w:t>
            </w:r>
          </w:p>
        </w:tc>
      </w:tr>
      <w:tr w:rsidR="009A09ED" w:rsidRPr="00E02C7F" w14:paraId="71DF7AD2"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1E2F6F70"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SE-N_42</w:t>
            </w:r>
          </w:p>
        </w:tc>
        <w:tc>
          <w:tcPr>
            <w:tcW w:w="1200" w:type="dxa"/>
            <w:tcBorders>
              <w:top w:val="nil"/>
              <w:left w:val="nil"/>
              <w:bottom w:val="single" w:sz="4" w:space="0" w:color="auto"/>
              <w:right w:val="single" w:sz="4" w:space="0" w:color="auto"/>
            </w:tcBorders>
            <w:shd w:val="clear" w:color="auto" w:fill="auto"/>
            <w:noWrap/>
            <w:vAlign w:val="center"/>
            <w:hideMark/>
          </w:tcPr>
          <w:p w14:paraId="1CD2DA8E"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150.119</w:t>
            </w:r>
          </w:p>
        </w:tc>
        <w:tc>
          <w:tcPr>
            <w:tcW w:w="1600" w:type="dxa"/>
            <w:tcBorders>
              <w:top w:val="nil"/>
              <w:left w:val="nil"/>
              <w:bottom w:val="single" w:sz="4" w:space="0" w:color="auto"/>
              <w:right w:val="single" w:sz="4" w:space="0" w:color="auto"/>
            </w:tcBorders>
            <w:shd w:val="clear" w:color="auto" w:fill="auto"/>
            <w:noWrap/>
            <w:vAlign w:val="center"/>
            <w:hideMark/>
          </w:tcPr>
          <w:p w14:paraId="60173C45"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56.176</w:t>
            </w:r>
          </w:p>
        </w:tc>
        <w:tc>
          <w:tcPr>
            <w:tcW w:w="1200" w:type="dxa"/>
            <w:tcBorders>
              <w:top w:val="nil"/>
              <w:left w:val="nil"/>
              <w:bottom w:val="single" w:sz="4" w:space="0" w:color="auto"/>
              <w:right w:val="single" w:sz="4" w:space="0" w:color="auto"/>
            </w:tcBorders>
            <w:shd w:val="clear" w:color="auto" w:fill="auto"/>
            <w:noWrap/>
            <w:vAlign w:val="center"/>
            <w:hideMark/>
          </w:tcPr>
          <w:p w14:paraId="7670163A"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35.313</w:t>
            </w:r>
          </w:p>
        </w:tc>
        <w:tc>
          <w:tcPr>
            <w:tcW w:w="1200" w:type="dxa"/>
            <w:tcBorders>
              <w:top w:val="nil"/>
              <w:left w:val="nil"/>
              <w:bottom w:val="single" w:sz="4" w:space="0" w:color="auto"/>
              <w:right w:val="single" w:sz="4" w:space="0" w:color="auto"/>
            </w:tcBorders>
            <w:shd w:val="clear" w:color="auto" w:fill="auto"/>
            <w:noWrap/>
            <w:vAlign w:val="center"/>
            <w:hideMark/>
          </w:tcPr>
          <w:p w14:paraId="4511B63E"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1.059</w:t>
            </w:r>
          </w:p>
        </w:tc>
        <w:tc>
          <w:tcPr>
            <w:tcW w:w="1200" w:type="dxa"/>
            <w:tcBorders>
              <w:top w:val="nil"/>
              <w:left w:val="nil"/>
              <w:bottom w:val="single" w:sz="4" w:space="0" w:color="auto"/>
              <w:right w:val="single" w:sz="4" w:space="0" w:color="auto"/>
            </w:tcBorders>
            <w:shd w:val="clear" w:color="auto" w:fill="auto"/>
            <w:noWrap/>
            <w:vAlign w:val="center"/>
            <w:hideMark/>
          </w:tcPr>
          <w:p w14:paraId="53893613"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242.666</w:t>
            </w:r>
          </w:p>
        </w:tc>
        <w:tc>
          <w:tcPr>
            <w:tcW w:w="1520" w:type="dxa"/>
            <w:tcBorders>
              <w:top w:val="nil"/>
              <w:left w:val="nil"/>
              <w:bottom w:val="single" w:sz="4" w:space="0" w:color="auto"/>
              <w:right w:val="single" w:sz="4" w:space="0" w:color="auto"/>
            </w:tcBorders>
            <w:shd w:val="clear" w:color="auto" w:fill="auto"/>
            <w:noWrap/>
            <w:vAlign w:val="center"/>
            <w:hideMark/>
          </w:tcPr>
          <w:p w14:paraId="51EC50AA"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126.739</w:t>
            </w:r>
          </w:p>
        </w:tc>
      </w:tr>
      <w:tr w:rsidR="009A09ED" w:rsidRPr="00E02C7F" w14:paraId="287CEBE8"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2577CE2A"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SE-N_43</w:t>
            </w:r>
          </w:p>
        </w:tc>
        <w:tc>
          <w:tcPr>
            <w:tcW w:w="1200" w:type="dxa"/>
            <w:tcBorders>
              <w:top w:val="nil"/>
              <w:left w:val="nil"/>
              <w:bottom w:val="single" w:sz="4" w:space="0" w:color="auto"/>
              <w:right w:val="single" w:sz="4" w:space="0" w:color="auto"/>
            </w:tcBorders>
            <w:shd w:val="clear" w:color="auto" w:fill="auto"/>
            <w:noWrap/>
            <w:vAlign w:val="center"/>
            <w:hideMark/>
          </w:tcPr>
          <w:p w14:paraId="002CEF1D"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43.608</w:t>
            </w:r>
          </w:p>
        </w:tc>
        <w:tc>
          <w:tcPr>
            <w:tcW w:w="1600" w:type="dxa"/>
            <w:tcBorders>
              <w:top w:val="nil"/>
              <w:left w:val="nil"/>
              <w:bottom w:val="single" w:sz="4" w:space="0" w:color="auto"/>
              <w:right w:val="single" w:sz="4" w:space="0" w:color="auto"/>
            </w:tcBorders>
            <w:shd w:val="clear" w:color="auto" w:fill="auto"/>
            <w:noWrap/>
            <w:vAlign w:val="center"/>
            <w:hideMark/>
          </w:tcPr>
          <w:p w14:paraId="56DDD472"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16.318</w:t>
            </w:r>
          </w:p>
        </w:tc>
        <w:tc>
          <w:tcPr>
            <w:tcW w:w="1200" w:type="dxa"/>
            <w:tcBorders>
              <w:top w:val="nil"/>
              <w:left w:val="nil"/>
              <w:bottom w:val="single" w:sz="4" w:space="0" w:color="auto"/>
              <w:right w:val="single" w:sz="4" w:space="0" w:color="auto"/>
            </w:tcBorders>
            <w:shd w:val="clear" w:color="auto" w:fill="auto"/>
            <w:noWrap/>
            <w:vAlign w:val="center"/>
            <w:hideMark/>
          </w:tcPr>
          <w:p w14:paraId="172BFA00"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10.258</w:t>
            </w:r>
          </w:p>
        </w:tc>
        <w:tc>
          <w:tcPr>
            <w:tcW w:w="1200" w:type="dxa"/>
            <w:tcBorders>
              <w:top w:val="nil"/>
              <w:left w:val="nil"/>
              <w:bottom w:val="single" w:sz="4" w:space="0" w:color="auto"/>
              <w:right w:val="single" w:sz="4" w:space="0" w:color="auto"/>
            </w:tcBorders>
            <w:shd w:val="clear" w:color="auto" w:fill="auto"/>
            <w:noWrap/>
            <w:vAlign w:val="center"/>
            <w:hideMark/>
          </w:tcPr>
          <w:p w14:paraId="0D229909"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113</w:t>
            </w:r>
          </w:p>
        </w:tc>
        <w:tc>
          <w:tcPr>
            <w:tcW w:w="1200" w:type="dxa"/>
            <w:tcBorders>
              <w:top w:val="nil"/>
              <w:left w:val="nil"/>
              <w:bottom w:val="single" w:sz="4" w:space="0" w:color="auto"/>
              <w:right w:val="single" w:sz="4" w:space="0" w:color="auto"/>
            </w:tcBorders>
            <w:shd w:val="clear" w:color="auto" w:fill="auto"/>
            <w:noWrap/>
            <w:vAlign w:val="center"/>
            <w:hideMark/>
          </w:tcPr>
          <w:p w14:paraId="0355A93E"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70.297</w:t>
            </w:r>
          </w:p>
        </w:tc>
        <w:tc>
          <w:tcPr>
            <w:tcW w:w="1520" w:type="dxa"/>
            <w:tcBorders>
              <w:top w:val="nil"/>
              <w:left w:val="nil"/>
              <w:bottom w:val="single" w:sz="4" w:space="0" w:color="auto"/>
              <w:right w:val="single" w:sz="4" w:space="0" w:color="auto"/>
            </w:tcBorders>
            <w:shd w:val="clear" w:color="auto" w:fill="auto"/>
            <w:noWrap/>
            <w:vAlign w:val="center"/>
            <w:hideMark/>
          </w:tcPr>
          <w:p w14:paraId="084A6121"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36.816</w:t>
            </w:r>
          </w:p>
        </w:tc>
      </w:tr>
      <w:tr w:rsidR="009A09ED" w:rsidRPr="00E02C7F" w14:paraId="65C1B3CA"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5B72F09B"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SE-N_44</w:t>
            </w:r>
          </w:p>
        </w:tc>
        <w:tc>
          <w:tcPr>
            <w:tcW w:w="1200" w:type="dxa"/>
            <w:tcBorders>
              <w:top w:val="nil"/>
              <w:left w:val="nil"/>
              <w:bottom w:val="single" w:sz="4" w:space="0" w:color="auto"/>
              <w:right w:val="single" w:sz="4" w:space="0" w:color="auto"/>
            </w:tcBorders>
            <w:shd w:val="clear" w:color="auto" w:fill="auto"/>
            <w:noWrap/>
            <w:vAlign w:val="center"/>
            <w:hideMark/>
          </w:tcPr>
          <w:p w14:paraId="63855587"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66.623</w:t>
            </w:r>
          </w:p>
        </w:tc>
        <w:tc>
          <w:tcPr>
            <w:tcW w:w="1600" w:type="dxa"/>
            <w:tcBorders>
              <w:top w:val="nil"/>
              <w:left w:val="nil"/>
              <w:bottom w:val="single" w:sz="4" w:space="0" w:color="auto"/>
              <w:right w:val="single" w:sz="4" w:space="0" w:color="auto"/>
            </w:tcBorders>
            <w:shd w:val="clear" w:color="auto" w:fill="auto"/>
            <w:noWrap/>
            <w:vAlign w:val="center"/>
            <w:hideMark/>
          </w:tcPr>
          <w:p w14:paraId="0D2F197A"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24.931</w:t>
            </w:r>
          </w:p>
        </w:tc>
        <w:tc>
          <w:tcPr>
            <w:tcW w:w="1200" w:type="dxa"/>
            <w:tcBorders>
              <w:top w:val="nil"/>
              <w:left w:val="nil"/>
              <w:bottom w:val="single" w:sz="4" w:space="0" w:color="auto"/>
              <w:right w:val="single" w:sz="4" w:space="0" w:color="auto"/>
            </w:tcBorders>
            <w:shd w:val="clear" w:color="auto" w:fill="auto"/>
            <w:noWrap/>
            <w:vAlign w:val="center"/>
            <w:hideMark/>
          </w:tcPr>
          <w:p w14:paraId="62F11358"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15.672</w:t>
            </w:r>
          </w:p>
        </w:tc>
        <w:tc>
          <w:tcPr>
            <w:tcW w:w="1200" w:type="dxa"/>
            <w:tcBorders>
              <w:top w:val="nil"/>
              <w:left w:val="nil"/>
              <w:bottom w:val="single" w:sz="4" w:space="0" w:color="auto"/>
              <w:right w:val="single" w:sz="4" w:space="0" w:color="auto"/>
            </w:tcBorders>
            <w:shd w:val="clear" w:color="auto" w:fill="auto"/>
            <w:noWrap/>
            <w:vAlign w:val="center"/>
            <w:hideMark/>
          </w:tcPr>
          <w:p w14:paraId="557FEF62"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396</w:t>
            </w:r>
          </w:p>
        </w:tc>
        <w:tc>
          <w:tcPr>
            <w:tcW w:w="1200" w:type="dxa"/>
            <w:tcBorders>
              <w:top w:val="nil"/>
              <w:left w:val="nil"/>
              <w:bottom w:val="single" w:sz="4" w:space="0" w:color="auto"/>
              <w:right w:val="single" w:sz="4" w:space="0" w:color="auto"/>
            </w:tcBorders>
            <w:shd w:val="clear" w:color="auto" w:fill="auto"/>
            <w:noWrap/>
            <w:vAlign w:val="center"/>
            <w:hideMark/>
          </w:tcPr>
          <w:p w14:paraId="280F6954"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107.621</w:t>
            </w:r>
          </w:p>
        </w:tc>
        <w:tc>
          <w:tcPr>
            <w:tcW w:w="1520" w:type="dxa"/>
            <w:tcBorders>
              <w:top w:val="nil"/>
              <w:left w:val="nil"/>
              <w:bottom w:val="single" w:sz="4" w:space="0" w:color="auto"/>
              <w:right w:val="single" w:sz="4" w:space="0" w:color="auto"/>
            </w:tcBorders>
            <w:shd w:val="clear" w:color="auto" w:fill="auto"/>
            <w:noWrap/>
            <w:vAlign w:val="center"/>
            <w:hideMark/>
          </w:tcPr>
          <w:p w14:paraId="7248967A"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56.247</w:t>
            </w:r>
          </w:p>
        </w:tc>
      </w:tr>
      <w:tr w:rsidR="009A09ED" w:rsidRPr="00E02C7F" w14:paraId="2B56F22A"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531B34C2"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SE-N_45</w:t>
            </w:r>
          </w:p>
        </w:tc>
        <w:tc>
          <w:tcPr>
            <w:tcW w:w="1200" w:type="dxa"/>
            <w:tcBorders>
              <w:top w:val="nil"/>
              <w:left w:val="nil"/>
              <w:bottom w:val="single" w:sz="4" w:space="0" w:color="auto"/>
              <w:right w:val="single" w:sz="4" w:space="0" w:color="auto"/>
            </w:tcBorders>
            <w:shd w:val="clear" w:color="auto" w:fill="auto"/>
            <w:noWrap/>
            <w:vAlign w:val="center"/>
            <w:hideMark/>
          </w:tcPr>
          <w:p w14:paraId="55C3D14A"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19.015</w:t>
            </w:r>
          </w:p>
        </w:tc>
        <w:tc>
          <w:tcPr>
            <w:tcW w:w="1600" w:type="dxa"/>
            <w:tcBorders>
              <w:top w:val="nil"/>
              <w:left w:val="nil"/>
              <w:bottom w:val="single" w:sz="4" w:space="0" w:color="auto"/>
              <w:right w:val="single" w:sz="4" w:space="0" w:color="auto"/>
            </w:tcBorders>
            <w:shd w:val="clear" w:color="auto" w:fill="auto"/>
            <w:noWrap/>
            <w:vAlign w:val="center"/>
            <w:hideMark/>
          </w:tcPr>
          <w:p w14:paraId="5440E36A"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7.115</w:t>
            </w:r>
          </w:p>
        </w:tc>
        <w:tc>
          <w:tcPr>
            <w:tcW w:w="1200" w:type="dxa"/>
            <w:tcBorders>
              <w:top w:val="nil"/>
              <w:left w:val="nil"/>
              <w:bottom w:val="single" w:sz="4" w:space="0" w:color="auto"/>
              <w:right w:val="single" w:sz="4" w:space="0" w:color="auto"/>
            </w:tcBorders>
            <w:shd w:val="clear" w:color="auto" w:fill="auto"/>
            <w:noWrap/>
            <w:vAlign w:val="center"/>
            <w:hideMark/>
          </w:tcPr>
          <w:p w14:paraId="58614A0D"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4.473</w:t>
            </w:r>
          </w:p>
        </w:tc>
        <w:tc>
          <w:tcPr>
            <w:tcW w:w="1200" w:type="dxa"/>
            <w:tcBorders>
              <w:top w:val="nil"/>
              <w:left w:val="nil"/>
              <w:bottom w:val="single" w:sz="4" w:space="0" w:color="auto"/>
              <w:right w:val="single" w:sz="4" w:space="0" w:color="auto"/>
            </w:tcBorders>
            <w:shd w:val="clear" w:color="auto" w:fill="auto"/>
            <w:noWrap/>
            <w:vAlign w:val="center"/>
            <w:hideMark/>
          </w:tcPr>
          <w:p w14:paraId="2762A7D2"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140</w:t>
            </w:r>
          </w:p>
        </w:tc>
        <w:tc>
          <w:tcPr>
            <w:tcW w:w="1200" w:type="dxa"/>
            <w:tcBorders>
              <w:top w:val="nil"/>
              <w:left w:val="nil"/>
              <w:bottom w:val="single" w:sz="4" w:space="0" w:color="auto"/>
              <w:right w:val="single" w:sz="4" w:space="0" w:color="auto"/>
            </w:tcBorders>
            <w:shd w:val="clear" w:color="auto" w:fill="auto"/>
            <w:noWrap/>
            <w:vAlign w:val="center"/>
            <w:hideMark/>
          </w:tcPr>
          <w:p w14:paraId="0ECCE7A1"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30.743</w:t>
            </w:r>
          </w:p>
        </w:tc>
        <w:tc>
          <w:tcPr>
            <w:tcW w:w="1520" w:type="dxa"/>
            <w:tcBorders>
              <w:top w:val="nil"/>
              <w:left w:val="nil"/>
              <w:bottom w:val="single" w:sz="4" w:space="0" w:color="auto"/>
              <w:right w:val="single" w:sz="4" w:space="0" w:color="auto"/>
            </w:tcBorders>
            <w:shd w:val="clear" w:color="auto" w:fill="auto"/>
            <w:noWrap/>
            <w:vAlign w:val="center"/>
            <w:hideMark/>
          </w:tcPr>
          <w:p w14:paraId="65DEB1C6"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16.053</w:t>
            </w:r>
          </w:p>
        </w:tc>
      </w:tr>
      <w:tr w:rsidR="009A09ED" w:rsidRPr="00E02C7F" w14:paraId="614B117F"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41950B0D"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SE-N_46</w:t>
            </w:r>
          </w:p>
        </w:tc>
        <w:tc>
          <w:tcPr>
            <w:tcW w:w="1200" w:type="dxa"/>
            <w:tcBorders>
              <w:top w:val="nil"/>
              <w:left w:val="nil"/>
              <w:bottom w:val="single" w:sz="4" w:space="0" w:color="auto"/>
              <w:right w:val="single" w:sz="4" w:space="0" w:color="auto"/>
            </w:tcBorders>
            <w:shd w:val="clear" w:color="auto" w:fill="auto"/>
            <w:noWrap/>
            <w:vAlign w:val="center"/>
            <w:hideMark/>
          </w:tcPr>
          <w:p w14:paraId="0DD5CABE"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18.840</w:t>
            </w:r>
          </w:p>
        </w:tc>
        <w:tc>
          <w:tcPr>
            <w:tcW w:w="1600" w:type="dxa"/>
            <w:tcBorders>
              <w:top w:val="nil"/>
              <w:left w:val="nil"/>
              <w:bottom w:val="single" w:sz="4" w:space="0" w:color="auto"/>
              <w:right w:val="single" w:sz="4" w:space="0" w:color="auto"/>
            </w:tcBorders>
            <w:shd w:val="clear" w:color="auto" w:fill="auto"/>
            <w:noWrap/>
            <w:vAlign w:val="center"/>
            <w:hideMark/>
          </w:tcPr>
          <w:p w14:paraId="5DCF8668"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7.050</w:t>
            </w:r>
          </w:p>
        </w:tc>
        <w:tc>
          <w:tcPr>
            <w:tcW w:w="1200" w:type="dxa"/>
            <w:tcBorders>
              <w:top w:val="nil"/>
              <w:left w:val="nil"/>
              <w:bottom w:val="single" w:sz="4" w:space="0" w:color="auto"/>
              <w:right w:val="single" w:sz="4" w:space="0" w:color="auto"/>
            </w:tcBorders>
            <w:shd w:val="clear" w:color="auto" w:fill="auto"/>
            <w:noWrap/>
            <w:vAlign w:val="center"/>
            <w:hideMark/>
          </w:tcPr>
          <w:p w14:paraId="7D642423"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4.432</w:t>
            </w:r>
          </w:p>
        </w:tc>
        <w:tc>
          <w:tcPr>
            <w:tcW w:w="1200" w:type="dxa"/>
            <w:tcBorders>
              <w:top w:val="nil"/>
              <w:left w:val="nil"/>
              <w:bottom w:val="single" w:sz="4" w:space="0" w:color="auto"/>
              <w:right w:val="single" w:sz="4" w:space="0" w:color="auto"/>
            </w:tcBorders>
            <w:shd w:val="clear" w:color="auto" w:fill="auto"/>
            <w:noWrap/>
            <w:vAlign w:val="center"/>
            <w:hideMark/>
          </w:tcPr>
          <w:p w14:paraId="05CB4330"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121</w:t>
            </w:r>
          </w:p>
        </w:tc>
        <w:tc>
          <w:tcPr>
            <w:tcW w:w="1200" w:type="dxa"/>
            <w:tcBorders>
              <w:top w:val="nil"/>
              <w:left w:val="nil"/>
              <w:bottom w:val="single" w:sz="4" w:space="0" w:color="auto"/>
              <w:right w:val="single" w:sz="4" w:space="0" w:color="auto"/>
            </w:tcBorders>
            <w:shd w:val="clear" w:color="auto" w:fill="auto"/>
            <w:noWrap/>
            <w:vAlign w:val="center"/>
            <w:hideMark/>
          </w:tcPr>
          <w:p w14:paraId="61DD2E46"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30.443</w:t>
            </w:r>
          </w:p>
        </w:tc>
        <w:tc>
          <w:tcPr>
            <w:tcW w:w="1520" w:type="dxa"/>
            <w:tcBorders>
              <w:top w:val="nil"/>
              <w:left w:val="nil"/>
              <w:bottom w:val="single" w:sz="4" w:space="0" w:color="auto"/>
              <w:right w:val="single" w:sz="4" w:space="0" w:color="auto"/>
            </w:tcBorders>
            <w:shd w:val="clear" w:color="auto" w:fill="auto"/>
            <w:noWrap/>
            <w:vAlign w:val="center"/>
            <w:hideMark/>
          </w:tcPr>
          <w:p w14:paraId="7D452937"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15.906</w:t>
            </w:r>
          </w:p>
        </w:tc>
      </w:tr>
      <w:tr w:rsidR="009A09ED" w:rsidRPr="00E02C7F" w14:paraId="45BE619E"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17EB3258"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SE-N_47</w:t>
            </w:r>
          </w:p>
        </w:tc>
        <w:tc>
          <w:tcPr>
            <w:tcW w:w="1200" w:type="dxa"/>
            <w:tcBorders>
              <w:top w:val="nil"/>
              <w:left w:val="nil"/>
              <w:bottom w:val="single" w:sz="4" w:space="0" w:color="auto"/>
              <w:right w:val="single" w:sz="4" w:space="0" w:color="auto"/>
            </w:tcBorders>
            <w:shd w:val="clear" w:color="auto" w:fill="auto"/>
            <w:noWrap/>
            <w:vAlign w:val="center"/>
            <w:hideMark/>
          </w:tcPr>
          <w:p w14:paraId="34F72174"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13.422</w:t>
            </w:r>
          </w:p>
        </w:tc>
        <w:tc>
          <w:tcPr>
            <w:tcW w:w="1600" w:type="dxa"/>
            <w:tcBorders>
              <w:top w:val="nil"/>
              <w:left w:val="nil"/>
              <w:bottom w:val="single" w:sz="4" w:space="0" w:color="auto"/>
              <w:right w:val="single" w:sz="4" w:space="0" w:color="auto"/>
            </w:tcBorders>
            <w:shd w:val="clear" w:color="auto" w:fill="auto"/>
            <w:noWrap/>
            <w:vAlign w:val="center"/>
            <w:hideMark/>
          </w:tcPr>
          <w:p w14:paraId="07CB1D8F"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5.023</w:t>
            </w:r>
          </w:p>
        </w:tc>
        <w:tc>
          <w:tcPr>
            <w:tcW w:w="1200" w:type="dxa"/>
            <w:tcBorders>
              <w:top w:val="nil"/>
              <w:left w:val="nil"/>
              <w:bottom w:val="single" w:sz="4" w:space="0" w:color="auto"/>
              <w:right w:val="single" w:sz="4" w:space="0" w:color="auto"/>
            </w:tcBorders>
            <w:shd w:val="clear" w:color="auto" w:fill="auto"/>
            <w:noWrap/>
            <w:vAlign w:val="center"/>
            <w:hideMark/>
          </w:tcPr>
          <w:p w14:paraId="1639B631"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3.157</w:t>
            </w:r>
          </w:p>
        </w:tc>
        <w:tc>
          <w:tcPr>
            <w:tcW w:w="1200" w:type="dxa"/>
            <w:tcBorders>
              <w:top w:val="nil"/>
              <w:left w:val="nil"/>
              <w:bottom w:val="single" w:sz="4" w:space="0" w:color="auto"/>
              <w:right w:val="single" w:sz="4" w:space="0" w:color="auto"/>
            </w:tcBorders>
            <w:shd w:val="clear" w:color="auto" w:fill="auto"/>
            <w:noWrap/>
            <w:vAlign w:val="center"/>
            <w:hideMark/>
          </w:tcPr>
          <w:p w14:paraId="3F0F34F7"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99</w:t>
            </w:r>
          </w:p>
        </w:tc>
        <w:tc>
          <w:tcPr>
            <w:tcW w:w="1200" w:type="dxa"/>
            <w:tcBorders>
              <w:top w:val="nil"/>
              <w:left w:val="nil"/>
              <w:bottom w:val="single" w:sz="4" w:space="0" w:color="auto"/>
              <w:right w:val="single" w:sz="4" w:space="0" w:color="auto"/>
            </w:tcBorders>
            <w:shd w:val="clear" w:color="auto" w:fill="auto"/>
            <w:noWrap/>
            <w:vAlign w:val="center"/>
            <w:hideMark/>
          </w:tcPr>
          <w:p w14:paraId="456FC64A"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21.701</w:t>
            </w:r>
          </w:p>
        </w:tc>
        <w:tc>
          <w:tcPr>
            <w:tcW w:w="1520" w:type="dxa"/>
            <w:tcBorders>
              <w:top w:val="nil"/>
              <w:left w:val="nil"/>
              <w:bottom w:val="single" w:sz="4" w:space="0" w:color="auto"/>
              <w:right w:val="single" w:sz="4" w:space="0" w:color="auto"/>
            </w:tcBorders>
            <w:shd w:val="clear" w:color="auto" w:fill="auto"/>
            <w:noWrap/>
            <w:vAlign w:val="center"/>
            <w:hideMark/>
          </w:tcPr>
          <w:p w14:paraId="6C16E790"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11.332</w:t>
            </w:r>
          </w:p>
        </w:tc>
      </w:tr>
      <w:tr w:rsidR="009A09ED" w:rsidRPr="00E02C7F" w14:paraId="4CD096FF"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33B3D03A"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SE-N_48</w:t>
            </w:r>
          </w:p>
        </w:tc>
        <w:tc>
          <w:tcPr>
            <w:tcW w:w="1200" w:type="dxa"/>
            <w:tcBorders>
              <w:top w:val="nil"/>
              <w:left w:val="nil"/>
              <w:bottom w:val="single" w:sz="4" w:space="0" w:color="auto"/>
              <w:right w:val="single" w:sz="4" w:space="0" w:color="auto"/>
            </w:tcBorders>
            <w:shd w:val="clear" w:color="auto" w:fill="auto"/>
            <w:noWrap/>
            <w:vAlign w:val="center"/>
            <w:hideMark/>
          </w:tcPr>
          <w:p w14:paraId="14481525"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13.973</w:t>
            </w:r>
          </w:p>
        </w:tc>
        <w:tc>
          <w:tcPr>
            <w:tcW w:w="1600" w:type="dxa"/>
            <w:tcBorders>
              <w:top w:val="nil"/>
              <w:left w:val="nil"/>
              <w:bottom w:val="single" w:sz="4" w:space="0" w:color="auto"/>
              <w:right w:val="single" w:sz="4" w:space="0" w:color="auto"/>
            </w:tcBorders>
            <w:shd w:val="clear" w:color="auto" w:fill="auto"/>
            <w:noWrap/>
            <w:vAlign w:val="center"/>
            <w:hideMark/>
          </w:tcPr>
          <w:p w14:paraId="2C5FD847"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5.229</w:t>
            </w:r>
          </w:p>
        </w:tc>
        <w:tc>
          <w:tcPr>
            <w:tcW w:w="1200" w:type="dxa"/>
            <w:tcBorders>
              <w:top w:val="nil"/>
              <w:left w:val="nil"/>
              <w:bottom w:val="single" w:sz="4" w:space="0" w:color="auto"/>
              <w:right w:val="single" w:sz="4" w:space="0" w:color="auto"/>
            </w:tcBorders>
            <w:shd w:val="clear" w:color="auto" w:fill="auto"/>
            <w:noWrap/>
            <w:vAlign w:val="center"/>
            <w:hideMark/>
          </w:tcPr>
          <w:p w14:paraId="73F8D93B"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3.287</w:t>
            </w:r>
          </w:p>
        </w:tc>
        <w:tc>
          <w:tcPr>
            <w:tcW w:w="1200" w:type="dxa"/>
            <w:tcBorders>
              <w:top w:val="nil"/>
              <w:left w:val="nil"/>
              <w:bottom w:val="single" w:sz="4" w:space="0" w:color="auto"/>
              <w:right w:val="single" w:sz="4" w:space="0" w:color="auto"/>
            </w:tcBorders>
            <w:shd w:val="clear" w:color="auto" w:fill="auto"/>
            <w:noWrap/>
            <w:vAlign w:val="center"/>
            <w:hideMark/>
          </w:tcPr>
          <w:p w14:paraId="2CB2AA8A"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103</w:t>
            </w:r>
          </w:p>
        </w:tc>
        <w:tc>
          <w:tcPr>
            <w:tcW w:w="1200" w:type="dxa"/>
            <w:tcBorders>
              <w:top w:val="nil"/>
              <w:left w:val="nil"/>
              <w:bottom w:val="single" w:sz="4" w:space="0" w:color="auto"/>
              <w:right w:val="single" w:sz="4" w:space="0" w:color="auto"/>
            </w:tcBorders>
            <w:shd w:val="clear" w:color="auto" w:fill="auto"/>
            <w:noWrap/>
            <w:vAlign w:val="center"/>
            <w:hideMark/>
          </w:tcPr>
          <w:p w14:paraId="5D453E95"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22.591</w:t>
            </w:r>
          </w:p>
        </w:tc>
        <w:tc>
          <w:tcPr>
            <w:tcW w:w="1520" w:type="dxa"/>
            <w:tcBorders>
              <w:top w:val="nil"/>
              <w:left w:val="nil"/>
              <w:bottom w:val="single" w:sz="4" w:space="0" w:color="auto"/>
              <w:right w:val="single" w:sz="4" w:space="0" w:color="auto"/>
            </w:tcBorders>
            <w:shd w:val="clear" w:color="auto" w:fill="auto"/>
            <w:noWrap/>
            <w:vAlign w:val="center"/>
            <w:hideMark/>
          </w:tcPr>
          <w:p w14:paraId="447EBAC9"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11.797</w:t>
            </w:r>
          </w:p>
        </w:tc>
      </w:tr>
      <w:tr w:rsidR="009A09ED" w:rsidRPr="00E02C7F" w14:paraId="50076703"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793D96A4"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SE-N_49</w:t>
            </w:r>
          </w:p>
        </w:tc>
        <w:tc>
          <w:tcPr>
            <w:tcW w:w="1200" w:type="dxa"/>
            <w:tcBorders>
              <w:top w:val="nil"/>
              <w:left w:val="nil"/>
              <w:bottom w:val="single" w:sz="4" w:space="0" w:color="auto"/>
              <w:right w:val="single" w:sz="4" w:space="0" w:color="auto"/>
            </w:tcBorders>
            <w:shd w:val="clear" w:color="auto" w:fill="auto"/>
            <w:noWrap/>
            <w:vAlign w:val="center"/>
            <w:hideMark/>
          </w:tcPr>
          <w:p w14:paraId="4AC901E5"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600" w:type="dxa"/>
            <w:tcBorders>
              <w:top w:val="nil"/>
              <w:left w:val="nil"/>
              <w:bottom w:val="single" w:sz="4" w:space="0" w:color="auto"/>
              <w:right w:val="single" w:sz="4" w:space="0" w:color="auto"/>
            </w:tcBorders>
            <w:shd w:val="clear" w:color="auto" w:fill="auto"/>
            <w:noWrap/>
            <w:vAlign w:val="center"/>
            <w:hideMark/>
          </w:tcPr>
          <w:p w14:paraId="1C5A92D3"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200" w:type="dxa"/>
            <w:tcBorders>
              <w:top w:val="nil"/>
              <w:left w:val="nil"/>
              <w:bottom w:val="single" w:sz="4" w:space="0" w:color="auto"/>
              <w:right w:val="single" w:sz="4" w:space="0" w:color="auto"/>
            </w:tcBorders>
            <w:shd w:val="clear" w:color="auto" w:fill="auto"/>
            <w:noWrap/>
            <w:vAlign w:val="center"/>
            <w:hideMark/>
          </w:tcPr>
          <w:p w14:paraId="59BF59F4"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200" w:type="dxa"/>
            <w:tcBorders>
              <w:top w:val="nil"/>
              <w:left w:val="nil"/>
              <w:bottom w:val="single" w:sz="4" w:space="0" w:color="auto"/>
              <w:right w:val="single" w:sz="4" w:space="0" w:color="auto"/>
            </w:tcBorders>
            <w:shd w:val="clear" w:color="auto" w:fill="auto"/>
            <w:noWrap/>
            <w:vAlign w:val="center"/>
            <w:hideMark/>
          </w:tcPr>
          <w:p w14:paraId="1CEAD36A"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200" w:type="dxa"/>
            <w:tcBorders>
              <w:top w:val="nil"/>
              <w:left w:val="nil"/>
              <w:bottom w:val="single" w:sz="4" w:space="0" w:color="auto"/>
              <w:right w:val="single" w:sz="4" w:space="0" w:color="auto"/>
            </w:tcBorders>
            <w:shd w:val="clear" w:color="auto" w:fill="auto"/>
            <w:noWrap/>
            <w:vAlign w:val="center"/>
            <w:hideMark/>
          </w:tcPr>
          <w:p w14:paraId="77BD40F4"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520" w:type="dxa"/>
            <w:tcBorders>
              <w:top w:val="nil"/>
              <w:left w:val="nil"/>
              <w:bottom w:val="single" w:sz="4" w:space="0" w:color="auto"/>
              <w:right w:val="single" w:sz="4" w:space="0" w:color="auto"/>
            </w:tcBorders>
            <w:shd w:val="clear" w:color="auto" w:fill="auto"/>
            <w:noWrap/>
            <w:vAlign w:val="center"/>
            <w:hideMark/>
          </w:tcPr>
          <w:p w14:paraId="3271BA5E"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r>
      <w:tr w:rsidR="009A09ED" w:rsidRPr="00E02C7F" w14:paraId="29C2D552"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4707C724"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SE-N_50</w:t>
            </w:r>
          </w:p>
        </w:tc>
        <w:tc>
          <w:tcPr>
            <w:tcW w:w="1200" w:type="dxa"/>
            <w:tcBorders>
              <w:top w:val="nil"/>
              <w:left w:val="nil"/>
              <w:bottom w:val="single" w:sz="4" w:space="0" w:color="auto"/>
              <w:right w:val="single" w:sz="4" w:space="0" w:color="auto"/>
            </w:tcBorders>
            <w:shd w:val="clear" w:color="auto" w:fill="auto"/>
            <w:noWrap/>
            <w:vAlign w:val="center"/>
            <w:hideMark/>
          </w:tcPr>
          <w:p w14:paraId="106F7CE2"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107.646</w:t>
            </w:r>
          </w:p>
        </w:tc>
        <w:tc>
          <w:tcPr>
            <w:tcW w:w="1600" w:type="dxa"/>
            <w:tcBorders>
              <w:top w:val="nil"/>
              <w:left w:val="nil"/>
              <w:bottom w:val="single" w:sz="4" w:space="0" w:color="auto"/>
              <w:right w:val="single" w:sz="4" w:space="0" w:color="auto"/>
            </w:tcBorders>
            <w:shd w:val="clear" w:color="auto" w:fill="auto"/>
            <w:noWrap/>
            <w:vAlign w:val="center"/>
            <w:hideMark/>
          </w:tcPr>
          <w:p w14:paraId="2016A48C"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40.282</w:t>
            </w:r>
          </w:p>
        </w:tc>
        <w:tc>
          <w:tcPr>
            <w:tcW w:w="1200" w:type="dxa"/>
            <w:tcBorders>
              <w:top w:val="nil"/>
              <w:left w:val="nil"/>
              <w:bottom w:val="single" w:sz="4" w:space="0" w:color="auto"/>
              <w:right w:val="single" w:sz="4" w:space="0" w:color="auto"/>
            </w:tcBorders>
            <w:shd w:val="clear" w:color="auto" w:fill="auto"/>
            <w:noWrap/>
            <w:vAlign w:val="center"/>
            <w:hideMark/>
          </w:tcPr>
          <w:p w14:paraId="1FB35C6A"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25.322</w:t>
            </w:r>
          </w:p>
        </w:tc>
        <w:tc>
          <w:tcPr>
            <w:tcW w:w="1200" w:type="dxa"/>
            <w:tcBorders>
              <w:top w:val="nil"/>
              <w:left w:val="nil"/>
              <w:bottom w:val="single" w:sz="4" w:space="0" w:color="auto"/>
              <w:right w:val="single" w:sz="4" w:space="0" w:color="auto"/>
            </w:tcBorders>
            <w:shd w:val="clear" w:color="auto" w:fill="auto"/>
            <w:noWrap/>
            <w:vAlign w:val="center"/>
            <w:hideMark/>
          </w:tcPr>
          <w:p w14:paraId="3EED01E9"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256</w:t>
            </w:r>
          </w:p>
        </w:tc>
        <w:tc>
          <w:tcPr>
            <w:tcW w:w="1200" w:type="dxa"/>
            <w:tcBorders>
              <w:top w:val="nil"/>
              <w:left w:val="nil"/>
              <w:bottom w:val="single" w:sz="4" w:space="0" w:color="auto"/>
              <w:right w:val="single" w:sz="4" w:space="0" w:color="auto"/>
            </w:tcBorders>
            <w:shd w:val="clear" w:color="auto" w:fill="auto"/>
            <w:noWrap/>
            <w:vAlign w:val="center"/>
            <w:hideMark/>
          </w:tcPr>
          <w:p w14:paraId="256F125A"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173.506</w:t>
            </w:r>
          </w:p>
        </w:tc>
        <w:tc>
          <w:tcPr>
            <w:tcW w:w="1520" w:type="dxa"/>
            <w:tcBorders>
              <w:top w:val="nil"/>
              <w:left w:val="nil"/>
              <w:bottom w:val="single" w:sz="4" w:space="0" w:color="auto"/>
              <w:right w:val="single" w:sz="4" w:space="0" w:color="auto"/>
            </w:tcBorders>
            <w:shd w:val="clear" w:color="auto" w:fill="auto"/>
            <w:noWrap/>
            <w:vAlign w:val="center"/>
            <w:hideMark/>
          </w:tcPr>
          <w:p w14:paraId="311FBDD8"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90.881</w:t>
            </w:r>
          </w:p>
        </w:tc>
      </w:tr>
      <w:tr w:rsidR="009A09ED" w:rsidRPr="00E02C7F" w14:paraId="4B1C7F74"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327E7A10"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SE-N_51</w:t>
            </w:r>
          </w:p>
        </w:tc>
        <w:tc>
          <w:tcPr>
            <w:tcW w:w="1200" w:type="dxa"/>
            <w:tcBorders>
              <w:top w:val="nil"/>
              <w:left w:val="nil"/>
              <w:bottom w:val="single" w:sz="4" w:space="0" w:color="auto"/>
              <w:right w:val="single" w:sz="4" w:space="0" w:color="auto"/>
            </w:tcBorders>
            <w:shd w:val="clear" w:color="auto" w:fill="auto"/>
            <w:noWrap/>
            <w:vAlign w:val="center"/>
            <w:hideMark/>
          </w:tcPr>
          <w:p w14:paraId="391D9865"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59.348</w:t>
            </w:r>
          </w:p>
        </w:tc>
        <w:tc>
          <w:tcPr>
            <w:tcW w:w="1600" w:type="dxa"/>
            <w:tcBorders>
              <w:top w:val="nil"/>
              <w:left w:val="nil"/>
              <w:bottom w:val="single" w:sz="4" w:space="0" w:color="auto"/>
              <w:right w:val="single" w:sz="4" w:space="0" w:color="auto"/>
            </w:tcBorders>
            <w:shd w:val="clear" w:color="auto" w:fill="auto"/>
            <w:noWrap/>
            <w:vAlign w:val="center"/>
            <w:hideMark/>
          </w:tcPr>
          <w:p w14:paraId="3F6C39B3"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22.209</w:t>
            </w:r>
          </w:p>
        </w:tc>
        <w:tc>
          <w:tcPr>
            <w:tcW w:w="1200" w:type="dxa"/>
            <w:tcBorders>
              <w:top w:val="nil"/>
              <w:left w:val="nil"/>
              <w:bottom w:val="single" w:sz="4" w:space="0" w:color="auto"/>
              <w:right w:val="single" w:sz="4" w:space="0" w:color="auto"/>
            </w:tcBorders>
            <w:shd w:val="clear" w:color="auto" w:fill="auto"/>
            <w:noWrap/>
            <w:vAlign w:val="center"/>
            <w:hideMark/>
          </w:tcPr>
          <w:p w14:paraId="35EE6E28"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13.961</w:t>
            </w:r>
          </w:p>
        </w:tc>
        <w:tc>
          <w:tcPr>
            <w:tcW w:w="1200" w:type="dxa"/>
            <w:tcBorders>
              <w:top w:val="nil"/>
              <w:left w:val="nil"/>
              <w:bottom w:val="single" w:sz="4" w:space="0" w:color="auto"/>
              <w:right w:val="single" w:sz="4" w:space="0" w:color="auto"/>
            </w:tcBorders>
            <w:shd w:val="clear" w:color="auto" w:fill="auto"/>
            <w:noWrap/>
            <w:vAlign w:val="center"/>
            <w:hideMark/>
          </w:tcPr>
          <w:p w14:paraId="1704BE1D"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901</w:t>
            </w:r>
          </w:p>
        </w:tc>
        <w:tc>
          <w:tcPr>
            <w:tcW w:w="1200" w:type="dxa"/>
            <w:tcBorders>
              <w:top w:val="nil"/>
              <w:left w:val="nil"/>
              <w:bottom w:val="single" w:sz="4" w:space="0" w:color="auto"/>
              <w:right w:val="single" w:sz="4" w:space="0" w:color="auto"/>
            </w:tcBorders>
            <w:shd w:val="clear" w:color="auto" w:fill="auto"/>
            <w:noWrap/>
            <w:vAlign w:val="center"/>
            <w:hideMark/>
          </w:tcPr>
          <w:p w14:paraId="2BFE2040"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96.419</w:t>
            </w:r>
          </w:p>
        </w:tc>
        <w:tc>
          <w:tcPr>
            <w:tcW w:w="1520" w:type="dxa"/>
            <w:tcBorders>
              <w:top w:val="nil"/>
              <w:left w:val="nil"/>
              <w:bottom w:val="single" w:sz="4" w:space="0" w:color="auto"/>
              <w:right w:val="single" w:sz="4" w:space="0" w:color="auto"/>
            </w:tcBorders>
            <w:shd w:val="clear" w:color="auto" w:fill="auto"/>
            <w:noWrap/>
            <w:vAlign w:val="center"/>
            <w:hideMark/>
          </w:tcPr>
          <w:p w14:paraId="4F27F630"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50.105</w:t>
            </w:r>
          </w:p>
        </w:tc>
      </w:tr>
      <w:tr w:rsidR="009A09ED" w:rsidRPr="00E02C7F" w14:paraId="01D5963D"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1F527430"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SE-N_52</w:t>
            </w:r>
          </w:p>
        </w:tc>
        <w:tc>
          <w:tcPr>
            <w:tcW w:w="1200" w:type="dxa"/>
            <w:tcBorders>
              <w:top w:val="nil"/>
              <w:left w:val="nil"/>
              <w:bottom w:val="single" w:sz="4" w:space="0" w:color="auto"/>
              <w:right w:val="single" w:sz="4" w:space="0" w:color="auto"/>
            </w:tcBorders>
            <w:shd w:val="clear" w:color="auto" w:fill="auto"/>
            <w:noWrap/>
            <w:vAlign w:val="center"/>
            <w:hideMark/>
          </w:tcPr>
          <w:p w14:paraId="39401042"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600" w:type="dxa"/>
            <w:tcBorders>
              <w:top w:val="nil"/>
              <w:left w:val="nil"/>
              <w:bottom w:val="single" w:sz="4" w:space="0" w:color="auto"/>
              <w:right w:val="single" w:sz="4" w:space="0" w:color="auto"/>
            </w:tcBorders>
            <w:shd w:val="clear" w:color="auto" w:fill="auto"/>
            <w:noWrap/>
            <w:vAlign w:val="center"/>
            <w:hideMark/>
          </w:tcPr>
          <w:p w14:paraId="69BC7E01"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200" w:type="dxa"/>
            <w:tcBorders>
              <w:top w:val="nil"/>
              <w:left w:val="nil"/>
              <w:bottom w:val="single" w:sz="4" w:space="0" w:color="auto"/>
              <w:right w:val="single" w:sz="4" w:space="0" w:color="auto"/>
            </w:tcBorders>
            <w:shd w:val="clear" w:color="auto" w:fill="auto"/>
            <w:noWrap/>
            <w:vAlign w:val="center"/>
            <w:hideMark/>
          </w:tcPr>
          <w:p w14:paraId="7F3AD7E2"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200" w:type="dxa"/>
            <w:tcBorders>
              <w:top w:val="nil"/>
              <w:left w:val="nil"/>
              <w:bottom w:val="single" w:sz="4" w:space="0" w:color="auto"/>
              <w:right w:val="single" w:sz="4" w:space="0" w:color="auto"/>
            </w:tcBorders>
            <w:shd w:val="clear" w:color="auto" w:fill="auto"/>
            <w:noWrap/>
            <w:vAlign w:val="center"/>
            <w:hideMark/>
          </w:tcPr>
          <w:p w14:paraId="0F78EC0B"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200" w:type="dxa"/>
            <w:tcBorders>
              <w:top w:val="nil"/>
              <w:left w:val="nil"/>
              <w:bottom w:val="single" w:sz="4" w:space="0" w:color="auto"/>
              <w:right w:val="single" w:sz="4" w:space="0" w:color="auto"/>
            </w:tcBorders>
            <w:shd w:val="clear" w:color="auto" w:fill="auto"/>
            <w:noWrap/>
            <w:vAlign w:val="center"/>
            <w:hideMark/>
          </w:tcPr>
          <w:p w14:paraId="2D042DE6"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520" w:type="dxa"/>
            <w:tcBorders>
              <w:top w:val="nil"/>
              <w:left w:val="nil"/>
              <w:bottom w:val="single" w:sz="4" w:space="0" w:color="auto"/>
              <w:right w:val="single" w:sz="4" w:space="0" w:color="auto"/>
            </w:tcBorders>
            <w:shd w:val="clear" w:color="auto" w:fill="auto"/>
            <w:noWrap/>
            <w:vAlign w:val="center"/>
            <w:hideMark/>
          </w:tcPr>
          <w:p w14:paraId="1461AA79"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r>
      <w:tr w:rsidR="009A09ED" w:rsidRPr="00E02C7F" w14:paraId="308F88BF"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79F15110"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SE-N_53</w:t>
            </w:r>
          </w:p>
        </w:tc>
        <w:tc>
          <w:tcPr>
            <w:tcW w:w="1200" w:type="dxa"/>
            <w:tcBorders>
              <w:top w:val="nil"/>
              <w:left w:val="nil"/>
              <w:bottom w:val="single" w:sz="4" w:space="0" w:color="auto"/>
              <w:right w:val="single" w:sz="4" w:space="0" w:color="auto"/>
            </w:tcBorders>
            <w:shd w:val="clear" w:color="auto" w:fill="auto"/>
            <w:noWrap/>
            <w:vAlign w:val="center"/>
            <w:hideMark/>
          </w:tcPr>
          <w:p w14:paraId="39BFC7C7"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5.664</w:t>
            </w:r>
          </w:p>
        </w:tc>
        <w:tc>
          <w:tcPr>
            <w:tcW w:w="1600" w:type="dxa"/>
            <w:tcBorders>
              <w:top w:val="nil"/>
              <w:left w:val="nil"/>
              <w:bottom w:val="single" w:sz="4" w:space="0" w:color="auto"/>
              <w:right w:val="single" w:sz="4" w:space="0" w:color="auto"/>
            </w:tcBorders>
            <w:shd w:val="clear" w:color="auto" w:fill="auto"/>
            <w:noWrap/>
            <w:vAlign w:val="center"/>
            <w:hideMark/>
          </w:tcPr>
          <w:p w14:paraId="0D5FFC88"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2.120</w:t>
            </w:r>
          </w:p>
        </w:tc>
        <w:tc>
          <w:tcPr>
            <w:tcW w:w="1200" w:type="dxa"/>
            <w:tcBorders>
              <w:top w:val="nil"/>
              <w:left w:val="nil"/>
              <w:bottom w:val="single" w:sz="4" w:space="0" w:color="auto"/>
              <w:right w:val="single" w:sz="4" w:space="0" w:color="auto"/>
            </w:tcBorders>
            <w:shd w:val="clear" w:color="auto" w:fill="auto"/>
            <w:noWrap/>
            <w:vAlign w:val="center"/>
            <w:hideMark/>
          </w:tcPr>
          <w:p w14:paraId="36679BB6"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1.332</w:t>
            </w:r>
          </w:p>
        </w:tc>
        <w:tc>
          <w:tcPr>
            <w:tcW w:w="1200" w:type="dxa"/>
            <w:tcBorders>
              <w:top w:val="nil"/>
              <w:left w:val="nil"/>
              <w:bottom w:val="single" w:sz="4" w:space="0" w:color="auto"/>
              <w:right w:val="single" w:sz="4" w:space="0" w:color="auto"/>
            </w:tcBorders>
            <w:shd w:val="clear" w:color="auto" w:fill="auto"/>
            <w:noWrap/>
            <w:vAlign w:val="center"/>
            <w:hideMark/>
          </w:tcPr>
          <w:p w14:paraId="3FCD78B2"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1.037</w:t>
            </w:r>
          </w:p>
        </w:tc>
        <w:tc>
          <w:tcPr>
            <w:tcW w:w="1200" w:type="dxa"/>
            <w:tcBorders>
              <w:top w:val="nil"/>
              <w:left w:val="nil"/>
              <w:bottom w:val="single" w:sz="4" w:space="0" w:color="auto"/>
              <w:right w:val="single" w:sz="4" w:space="0" w:color="auto"/>
            </w:tcBorders>
            <w:shd w:val="clear" w:color="auto" w:fill="auto"/>
            <w:noWrap/>
            <w:vAlign w:val="center"/>
            <w:hideMark/>
          </w:tcPr>
          <w:p w14:paraId="489C2DDD"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10.154</w:t>
            </w:r>
          </w:p>
        </w:tc>
        <w:tc>
          <w:tcPr>
            <w:tcW w:w="1520" w:type="dxa"/>
            <w:tcBorders>
              <w:top w:val="nil"/>
              <w:left w:val="nil"/>
              <w:bottom w:val="single" w:sz="4" w:space="0" w:color="auto"/>
              <w:right w:val="single" w:sz="4" w:space="0" w:color="auto"/>
            </w:tcBorders>
            <w:shd w:val="clear" w:color="auto" w:fill="auto"/>
            <w:noWrap/>
            <w:vAlign w:val="center"/>
            <w:hideMark/>
          </w:tcPr>
          <w:p w14:paraId="2A985206"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4.782</w:t>
            </w:r>
          </w:p>
        </w:tc>
      </w:tr>
      <w:tr w:rsidR="009A09ED" w:rsidRPr="00E02C7F" w14:paraId="0D569283"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0D7DD5B1"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SE-N_54</w:t>
            </w:r>
          </w:p>
        </w:tc>
        <w:tc>
          <w:tcPr>
            <w:tcW w:w="1200" w:type="dxa"/>
            <w:tcBorders>
              <w:top w:val="nil"/>
              <w:left w:val="nil"/>
              <w:bottom w:val="single" w:sz="4" w:space="0" w:color="auto"/>
              <w:right w:val="single" w:sz="4" w:space="0" w:color="auto"/>
            </w:tcBorders>
            <w:shd w:val="clear" w:color="auto" w:fill="auto"/>
            <w:noWrap/>
            <w:vAlign w:val="center"/>
            <w:hideMark/>
          </w:tcPr>
          <w:p w14:paraId="2F7B93A9"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269.018</w:t>
            </w:r>
          </w:p>
        </w:tc>
        <w:tc>
          <w:tcPr>
            <w:tcW w:w="1600" w:type="dxa"/>
            <w:tcBorders>
              <w:top w:val="nil"/>
              <w:left w:val="nil"/>
              <w:bottom w:val="single" w:sz="4" w:space="0" w:color="auto"/>
              <w:right w:val="single" w:sz="4" w:space="0" w:color="auto"/>
            </w:tcBorders>
            <w:shd w:val="clear" w:color="auto" w:fill="auto"/>
            <w:noWrap/>
            <w:vAlign w:val="center"/>
            <w:hideMark/>
          </w:tcPr>
          <w:p w14:paraId="32DC8240"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100.669</w:t>
            </w:r>
          </w:p>
        </w:tc>
        <w:tc>
          <w:tcPr>
            <w:tcW w:w="1200" w:type="dxa"/>
            <w:tcBorders>
              <w:top w:val="nil"/>
              <w:left w:val="nil"/>
              <w:bottom w:val="single" w:sz="4" w:space="0" w:color="auto"/>
              <w:right w:val="single" w:sz="4" w:space="0" w:color="auto"/>
            </w:tcBorders>
            <w:shd w:val="clear" w:color="auto" w:fill="auto"/>
            <w:noWrap/>
            <w:vAlign w:val="center"/>
            <w:hideMark/>
          </w:tcPr>
          <w:p w14:paraId="507DB282"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63.281</w:t>
            </w:r>
          </w:p>
        </w:tc>
        <w:tc>
          <w:tcPr>
            <w:tcW w:w="1200" w:type="dxa"/>
            <w:tcBorders>
              <w:top w:val="nil"/>
              <w:left w:val="nil"/>
              <w:bottom w:val="single" w:sz="4" w:space="0" w:color="auto"/>
              <w:right w:val="single" w:sz="4" w:space="0" w:color="auto"/>
            </w:tcBorders>
            <w:shd w:val="clear" w:color="auto" w:fill="auto"/>
            <w:noWrap/>
            <w:vAlign w:val="center"/>
            <w:hideMark/>
          </w:tcPr>
          <w:p w14:paraId="0135F63A"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1.845</w:t>
            </w:r>
          </w:p>
        </w:tc>
        <w:tc>
          <w:tcPr>
            <w:tcW w:w="1200" w:type="dxa"/>
            <w:tcBorders>
              <w:top w:val="nil"/>
              <w:left w:val="nil"/>
              <w:bottom w:val="single" w:sz="4" w:space="0" w:color="auto"/>
              <w:right w:val="single" w:sz="4" w:space="0" w:color="auto"/>
            </w:tcBorders>
            <w:shd w:val="clear" w:color="auto" w:fill="auto"/>
            <w:noWrap/>
            <w:vAlign w:val="center"/>
            <w:hideMark/>
          </w:tcPr>
          <w:p w14:paraId="0E33D01D"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434.813</w:t>
            </w:r>
          </w:p>
        </w:tc>
        <w:tc>
          <w:tcPr>
            <w:tcW w:w="1520" w:type="dxa"/>
            <w:tcBorders>
              <w:top w:val="nil"/>
              <w:left w:val="nil"/>
              <w:bottom w:val="single" w:sz="4" w:space="0" w:color="auto"/>
              <w:right w:val="single" w:sz="4" w:space="0" w:color="auto"/>
            </w:tcBorders>
            <w:shd w:val="clear" w:color="auto" w:fill="auto"/>
            <w:noWrap/>
            <w:vAlign w:val="center"/>
            <w:hideMark/>
          </w:tcPr>
          <w:p w14:paraId="74C38F1F"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227.120</w:t>
            </w:r>
          </w:p>
        </w:tc>
      </w:tr>
      <w:tr w:rsidR="009A09ED" w:rsidRPr="00E02C7F" w14:paraId="22EBC4FD"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4D3F5938"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lastRenderedPageBreak/>
              <w:t>SE-N_55</w:t>
            </w:r>
          </w:p>
        </w:tc>
        <w:tc>
          <w:tcPr>
            <w:tcW w:w="1200" w:type="dxa"/>
            <w:tcBorders>
              <w:top w:val="nil"/>
              <w:left w:val="nil"/>
              <w:bottom w:val="single" w:sz="4" w:space="0" w:color="auto"/>
              <w:right w:val="single" w:sz="4" w:space="0" w:color="auto"/>
            </w:tcBorders>
            <w:shd w:val="clear" w:color="auto" w:fill="auto"/>
            <w:noWrap/>
            <w:vAlign w:val="center"/>
            <w:hideMark/>
          </w:tcPr>
          <w:p w14:paraId="124EAAF0"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43.540</w:t>
            </w:r>
          </w:p>
        </w:tc>
        <w:tc>
          <w:tcPr>
            <w:tcW w:w="1600" w:type="dxa"/>
            <w:tcBorders>
              <w:top w:val="nil"/>
              <w:left w:val="nil"/>
              <w:bottom w:val="single" w:sz="4" w:space="0" w:color="auto"/>
              <w:right w:val="single" w:sz="4" w:space="0" w:color="auto"/>
            </w:tcBorders>
            <w:shd w:val="clear" w:color="auto" w:fill="auto"/>
            <w:noWrap/>
            <w:vAlign w:val="center"/>
            <w:hideMark/>
          </w:tcPr>
          <w:p w14:paraId="6F007ABF"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16.293</w:t>
            </w:r>
          </w:p>
        </w:tc>
        <w:tc>
          <w:tcPr>
            <w:tcW w:w="1200" w:type="dxa"/>
            <w:tcBorders>
              <w:top w:val="nil"/>
              <w:left w:val="nil"/>
              <w:bottom w:val="single" w:sz="4" w:space="0" w:color="auto"/>
              <w:right w:val="single" w:sz="4" w:space="0" w:color="auto"/>
            </w:tcBorders>
            <w:shd w:val="clear" w:color="auto" w:fill="auto"/>
            <w:noWrap/>
            <w:vAlign w:val="center"/>
            <w:hideMark/>
          </w:tcPr>
          <w:p w14:paraId="0071EF1F"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10.242</w:t>
            </w:r>
          </w:p>
        </w:tc>
        <w:tc>
          <w:tcPr>
            <w:tcW w:w="1200" w:type="dxa"/>
            <w:tcBorders>
              <w:top w:val="nil"/>
              <w:left w:val="nil"/>
              <w:bottom w:val="single" w:sz="4" w:space="0" w:color="auto"/>
              <w:right w:val="single" w:sz="4" w:space="0" w:color="auto"/>
            </w:tcBorders>
            <w:shd w:val="clear" w:color="auto" w:fill="auto"/>
            <w:noWrap/>
            <w:vAlign w:val="center"/>
            <w:hideMark/>
          </w:tcPr>
          <w:p w14:paraId="2DEF23CC"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232</w:t>
            </w:r>
          </w:p>
        </w:tc>
        <w:tc>
          <w:tcPr>
            <w:tcW w:w="1200" w:type="dxa"/>
            <w:tcBorders>
              <w:top w:val="nil"/>
              <w:left w:val="nil"/>
              <w:bottom w:val="single" w:sz="4" w:space="0" w:color="auto"/>
              <w:right w:val="single" w:sz="4" w:space="0" w:color="auto"/>
            </w:tcBorders>
            <w:shd w:val="clear" w:color="auto" w:fill="auto"/>
            <w:noWrap/>
            <w:vAlign w:val="center"/>
            <w:hideMark/>
          </w:tcPr>
          <w:p w14:paraId="4A3D110B"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70.307</w:t>
            </w:r>
          </w:p>
        </w:tc>
        <w:tc>
          <w:tcPr>
            <w:tcW w:w="1520" w:type="dxa"/>
            <w:tcBorders>
              <w:top w:val="nil"/>
              <w:left w:val="nil"/>
              <w:bottom w:val="single" w:sz="4" w:space="0" w:color="auto"/>
              <w:right w:val="single" w:sz="4" w:space="0" w:color="auto"/>
            </w:tcBorders>
            <w:shd w:val="clear" w:color="auto" w:fill="auto"/>
            <w:noWrap/>
            <w:vAlign w:val="center"/>
            <w:hideMark/>
          </w:tcPr>
          <w:p w14:paraId="23C3A05D"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36.759</w:t>
            </w:r>
          </w:p>
        </w:tc>
      </w:tr>
      <w:tr w:rsidR="009A09ED" w:rsidRPr="00E02C7F" w14:paraId="00B4BEEA"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49F0D009"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SE-N_56</w:t>
            </w:r>
          </w:p>
        </w:tc>
        <w:tc>
          <w:tcPr>
            <w:tcW w:w="1200" w:type="dxa"/>
            <w:tcBorders>
              <w:top w:val="nil"/>
              <w:left w:val="nil"/>
              <w:bottom w:val="single" w:sz="4" w:space="0" w:color="auto"/>
              <w:right w:val="single" w:sz="4" w:space="0" w:color="auto"/>
            </w:tcBorders>
            <w:shd w:val="clear" w:color="auto" w:fill="auto"/>
            <w:noWrap/>
            <w:vAlign w:val="center"/>
            <w:hideMark/>
          </w:tcPr>
          <w:p w14:paraId="3669D6F7"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322.181</w:t>
            </w:r>
          </w:p>
        </w:tc>
        <w:tc>
          <w:tcPr>
            <w:tcW w:w="1600" w:type="dxa"/>
            <w:tcBorders>
              <w:top w:val="nil"/>
              <w:left w:val="nil"/>
              <w:bottom w:val="single" w:sz="4" w:space="0" w:color="auto"/>
              <w:right w:val="single" w:sz="4" w:space="0" w:color="auto"/>
            </w:tcBorders>
            <w:shd w:val="clear" w:color="auto" w:fill="auto"/>
            <w:noWrap/>
            <w:vAlign w:val="center"/>
            <w:hideMark/>
          </w:tcPr>
          <w:p w14:paraId="15689893"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120.562</w:t>
            </w:r>
          </w:p>
        </w:tc>
        <w:tc>
          <w:tcPr>
            <w:tcW w:w="1200" w:type="dxa"/>
            <w:tcBorders>
              <w:top w:val="nil"/>
              <w:left w:val="nil"/>
              <w:bottom w:val="single" w:sz="4" w:space="0" w:color="auto"/>
              <w:right w:val="single" w:sz="4" w:space="0" w:color="auto"/>
            </w:tcBorders>
            <w:shd w:val="clear" w:color="auto" w:fill="auto"/>
            <w:noWrap/>
            <w:vAlign w:val="center"/>
            <w:hideMark/>
          </w:tcPr>
          <w:p w14:paraId="68B206E2"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75.787</w:t>
            </w:r>
          </w:p>
        </w:tc>
        <w:tc>
          <w:tcPr>
            <w:tcW w:w="1200" w:type="dxa"/>
            <w:tcBorders>
              <w:top w:val="nil"/>
              <w:left w:val="nil"/>
              <w:bottom w:val="single" w:sz="4" w:space="0" w:color="auto"/>
              <w:right w:val="single" w:sz="4" w:space="0" w:color="auto"/>
            </w:tcBorders>
            <w:shd w:val="clear" w:color="auto" w:fill="auto"/>
            <w:noWrap/>
            <w:vAlign w:val="center"/>
            <w:hideMark/>
          </w:tcPr>
          <w:p w14:paraId="10BEF0E2"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2.292</w:t>
            </w:r>
          </w:p>
        </w:tc>
        <w:tc>
          <w:tcPr>
            <w:tcW w:w="1200" w:type="dxa"/>
            <w:tcBorders>
              <w:top w:val="nil"/>
              <w:left w:val="nil"/>
              <w:bottom w:val="single" w:sz="4" w:space="0" w:color="auto"/>
              <w:right w:val="single" w:sz="4" w:space="0" w:color="auto"/>
            </w:tcBorders>
            <w:shd w:val="clear" w:color="auto" w:fill="auto"/>
            <w:noWrap/>
            <w:vAlign w:val="center"/>
            <w:hideMark/>
          </w:tcPr>
          <w:p w14:paraId="082BCD58"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520.822</w:t>
            </w:r>
          </w:p>
        </w:tc>
        <w:tc>
          <w:tcPr>
            <w:tcW w:w="1520" w:type="dxa"/>
            <w:tcBorders>
              <w:top w:val="nil"/>
              <w:left w:val="nil"/>
              <w:bottom w:val="single" w:sz="4" w:space="0" w:color="auto"/>
              <w:right w:val="single" w:sz="4" w:space="0" w:color="auto"/>
            </w:tcBorders>
            <w:shd w:val="clear" w:color="auto" w:fill="auto"/>
            <w:noWrap/>
            <w:vAlign w:val="center"/>
            <w:hideMark/>
          </w:tcPr>
          <w:p w14:paraId="13716823"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272.003</w:t>
            </w:r>
          </w:p>
        </w:tc>
      </w:tr>
      <w:tr w:rsidR="009A09ED" w:rsidRPr="00E02C7F" w14:paraId="72544C53"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310CD354"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SE-N_57</w:t>
            </w:r>
          </w:p>
        </w:tc>
        <w:tc>
          <w:tcPr>
            <w:tcW w:w="1200" w:type="dxa"/>
            <w:tcBorders>
              <w:top w:val="nil"/>
              <w:left w:val="nil"/>
              <w:bottom w:val="single" w:sz="4" w:space="0" w:color="auto"/>
              <w:right w:val="single" w:sz="4" w:space="0" w:color="auto"/>
            </w:tcBorders>
            <w:shd w:val="clear" w:color="auto" w:fill="auto"/>
            <w:noWrap/>
            <w:vAlign w:val="center"/>
            <w:hideMark/>
          </w:tcPr>
          <w:p w14:paraId="5413F975"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16.522</w:t>
            </w:r>
          </w:p>
        </w:tc>
        <w:tc>
          <w:tcPr>
            <w:tcW w:w="1600" w:type="dxa"/>
            <w:tcBorders>
              <w:top w:val="nil"/>
              <w:left w:val="nil"/>
              <w:bottom w:val="single" w:sz="4" w:space="0" w:color="auto"/>
              <w:right w:val="single" w:sz="4" w:space="0" w:color="auto"/>
            </w:tcBorders>
            <w:shd w:val="clear" w:color="auto" w:fill="auto"/>
            <w:noWrap/>
            <w:vAlign w:val="center"/>
            <w:hideMark/>
          </w:tcPr>
          <w:p w14:paraId="1D55EED6"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6.183</w:t>
            </w:r>
          </w:p>
        </w:tc>
        <w:tc>
          <w:tcPr>
            <w:tcW w:w="1200" w:type="dxa"/>
            <w:tcBorders>
              <w:top w:val="nil"/>
              <w:left w:val="nil"/>
              <w:bottom w:val="single" w:sz="4" w:space="0" w:color="auto"/>
              <w:right w:val="single" w:sz="4" w:space="0" w:color="auto"/>
            </w:tcBorders>
            <w:shd w:val="clear" w:color="auto" w:fill="auto"/>
            <w:noWrap/>
            <w:vAlign w:val="center"/>
            <w:hideMark/>
          </w:tcPr>
          <w:p w14:paraId="04B84423"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3.887</w:t>
            </w:r>
          </w:p>
        </w:tc>
        <w:tc>
          <w:tcPr>
            <w:tcW w:w="1200" w:type="dxa"/>
            <w:tcBorders>
              <w:top w:val="nil"/>
              <w:left w:val="nil"/>
              <w:bottom w:val="single" w:sz="4" w:space="0" w:color="auto"/>
              <w:right w:val="single" w:sz="4" w:space="0" w:color="auto"/>
            </w:tcBorders>
            <w:shd w:val="clear" w:color="auto" w:fill="auto"/>
            <w:noWrap/>
            <w:vAlign w:val="center"/>
            <w:hideMark/>
          </w:tcPr>
          <w:p w14:paraId="2C1AB5A1"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65</w:t>
            </w:r>
          </w:p>
        </w:tc>
        <w:tc>
          <w:tcPr>
            <w:tcW w:w="1200" w:type="dxa"/>
            <w:tcBorders>
              <w:top w:val="nil"/>
              <w:left w:val="nil"/>
              <w:bottom w:val="single" w:sz="4" w:space="0" w:color="auto"/>
              <w:right w:val="single" w:sz="4" w:space="0" w:color="auto"/>
            </w:tcBorders>
            <w:shd w:val="clear" w:color="auto" w:fill="auto"/>
            <w:noWrap/>
            <w:vAlign w:val="center"/>
            <w:hideMark/>
          </w:tcPr>
          <w:p w14:paraId="17B69CD6"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26.657</w:t>
            </w:r>
          </w:p>
        </w:tc>
        <w:tc>
          <w:tcPr>
            <w:tcW w:w="1520" w:type="dxa"/>
            <w:tcBorders>
              <w:top w:val="nil"/>
              <w:left w:val="nil"/>
              <w:bottom w:val="single" w:sz="4" w:space="0" w:color="auto"/>
              <w:right w:val="single" w:sz="4" w:space="0" w:color="auto"/>
            </w:tcBorders>
            <w:shd w:val="clear" w:color="auto" w:fill="auto"/>
            <w:noWrap/>
            <w:vAlign w:val="center"/>
            <w:hideMark/>
          </w:tcPr>
          <w:p w14:paraId="53AB6BD2"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13.949</w:t>
            </w:r>
          </w:p>
        </w:tc>
      </w:tr>
      <w:tr w:rsidR="009A09ED" w:rsidRPr="00E02C7F" w14:paraId="78BBFAD0"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270101B7"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SE-N_58</w:t>
            </w:r>
          </w:p>
        </w:tc>
        <w:tc>
          <w:tcPr>
            <w:tcW w:w="1200" w:type="dxa"/>
            <w:tcBorders>
              <w:top w:val="nil"/>
              <w:left w:val="nil"/>
              <w:bottom w:val="single" w:sz="4" w:space="0" w:color="auto"/>
              <w:right w:val="single" w:sz="4" w:space="0" w:color="auto"/>
            </w:tcBorders>
            <w:shd w:val="clear" w:color="auto" w:fill="auto"/>
            <w:noWrap/>
            <w:vAlign w:val="center"/>
            <w:hideMark/>
          </w:tcPr>
          <w:p w14:paraId="6CABA32B"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600" w:type="dxa"/>
            <w:tcBorders>
              <w:top w:val="nil"/>
              <w:left w:val="nil"/>
              <w:bottom w:val="single" w:sz="4" w:space="0" w:color="auto"/>
              <w:right w:val="single" w:sz="4" w:space="0" w:color="auto"/>
            </w:tcBorders>
            <w:shd w:val="clear" w:color="auto" w:fill="auto"/>
            <w:noWrap/>
            <w:vAlign w:val="center"/>
            <w:hideMark/>
          </w:tcPr>
          <w:p w14:paraId="0F9F92B9"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200" w:type="dxa"/>
            <w:tcBorders>
              <w:top w:val="nil"/>
              <w:left w:val="nil"/>
              <w:bottom w:val="single" w:sz="4" w:space="0" w:color="auto"/>
              <w:right w:val="single" w:sz="4" w:space="0" w:color="auto"/>
            </w:tcBorders>
            <w:shd w:val="clear" w:color="auto" w:fill="auto"/>
            <w:noWrap/>
            <w:vAlign w:val="center"/>
            <w:hideMark/>
          </w:tcPr>
          <w:p w14:paraId="77CC7E79"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200" w:type="dxa"/>
            <w:tcBorders>
              <w:top w:val="nil"/>
              <w:left w:val="nil"/>
              <w:bottom w:val="single" w:sz="4" w:space="0" w:color="auto"/>
              <w:right w:val="single" w:sz="4" w:space="0" w:color="auto"/>
            </w:tcBorders>
            <w:shd w:val="clear" w:color="auto" w:fill="auto"/>
            <w:noWrap/>
            <w:vAlign w:val="center"/>
            <w:hideMark/>
          </w:tcPr>
          <w:p w14:paraId="7B1CDBCB"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200" w:type="dxa"/>
            <w:tcBorders>
              <w:top w:val="nil"/>
              <w:left w:val="nil"/>
              <w:bottom w:val="single" w:sz="4" w:space="0" w:color="auto"/>
              <w:right w:val="single" w:sz="4" w:space="0" w:color="auto"/>
            </w:tcBorders>
            <w:shd w:val="clear" w:color="auto" w:fill="auto"/>
            <w:noWrap/>
            <w:vAlign w:val="center"/>
            <w:hideMark/>
          </w:tcPr>
          <w:p w14:paraId="1D28F3E8"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520" w:type="dxa"/>
            <w:tcBorders>
              <w:top w:val="nil"/>
              <w:left w:val="nil"/>
              <w:bottom w:val="single" w:sz="4" w:space="0" w:color="auto"/>
              <w:right w:val="single" w:sz="4" w:space="0" w:color="auto"/>
            </w:tcBorders>
            <w:shd w:val="clear" w:color="auto" w:fill="auto"/>
            <w:noWrap/>
            <w:vAlign w:val="center"/>
            <w:hideMark/>
          </w:tcPr>
          <w:p w14:paraId="4721DA2E"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r>
      <w:tr w:rsidR="009A09ED" w:rsidRPr="00E02C7F" w14:paraId="2804BF8F"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5E91F12D"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SE-N_59</w:t>
            </w:r>
          </w:p>
        </w:tc>
        <w:tc>
          <w:tcPr>
            <w:tcW w:w="1200" w:type="dxa"/>
            <w:tcBorders>
              <w:top w:val="nil"/>
              <w:left w:val="nil"/>
              <w:bottom w:val="single" w:sz="4" w:space="0" w:color="auto"/>
              <w:right w:val="single" w:sz="4" w:space="0" w:color="auto"/>
            </w:tcBorders>
            <w:shd w:val="clear" w:color="auto" w:fill="auto"/>
            <w:noWrap/>
            <w:vAlign w:val="center"/>
            <w:hideMark/>
          </w:tcPr>
          <w:p w14:paraId="1FDE2FAE"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84.722</w:t>
            </w:r>
          </w:p>
        </w:tc>
        <w:tc>
          <w:tcPr>
            <w:tcW w:w="1600" w:type="dxa"/>
            <w:tcBorders>
              <w:top w:val="nil"/>
              <w:left w:val="nil"/>
              <w:bottom w:val="single" w:sz="4" w:space="0" w:color="auto"/>
              <w:right w:val="single" w:sz="4" w:space="0" w:color="auto"/>
            </w:tcBorders>
            <w:shd w:val="clear" w:color="auto" w:fill="auto"/>
            <w:noWrap/>
            <w:vAlign w:val="center"/>
            <w:hideMark/>
          </w:tcPr>
          <w:p w14:paraId="29D7E201"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31.704</w:t>
            </w:r>
          </w:p>
        </w:tc>
        <w:tc>
          <w:tcPr>
            <w:tcW w:w="1200" w:type="dxa"/>
            <w:tcBorders>
              <w:top w:val="nil"/>
              <w:left w:val="nil"/>
              <w:bottom w:val="single" w:sz="4" w:space="0" w:color="auto"/>
              <w:right w:val="single" w:sz="4" w:space="0" w:color="auto"/>
            </w:tcBorders>
            <w:shd w:val="clear" w:color="auto" w:fill="auto"/>
            <w:noWrap/>
            <w:vAlign w:val="center"/>
            <w:hideMark/>
          </w:tcPr>
          <w:p w14:paraId="5A061841"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19.929</w:t>
            </w:r>
          </w:p>
        </w:tc>
        <w:tc>
          <w:tcPr>
            <w:tcW w:w="1200" w:type="dxa"/>
            <w:tcBorders>
              <w:top w:val="nil"/>
              <w:left w:val="nil"/>
              <w:bottom w:val="single" w:sz="4" w:space="0" w:color="auto"/>
              <w:right w:val="single" w:sz="4" w:space="0" w:color="auto"/>
            </w:tcBorders>
            <w:shd w:val="clear" w:color="auto" w:fill="auto"/>
            <w:noWrap/>
            <w:vAlign w:val="center"/>
            <w:hideMark/>
          </w:tcPr>
          <w:p w14:paraId="36DD51ED"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616</w:t>
            </w:r>
          </w:p>
        </w:tc>
        <w:tc>
          <w:tcPr>
            <w:tcW w:w="1200" w:type="dxa"/>
            <w:tcBorders>
              <w:top w:val="nil"/>
              <w:left w:val="nil"/>
              <w:bottom w:val="single" w:sz="4" w:space="0" w:color="auto"/>
              <w:right w:val="single" w:sz="4" w:space="0" w:color="auto"/>
            </w:tcBorders>
            <w:shd w:val="clear" w:color="auto" w:fill="auto"/>
            <w:noWrap/>
            <w:vAlign w:val="center"/>
            <w:hideMark/>
          </w:tcPr>
          <w:p w14:paraId="639CC28B"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136.971</w:t>
            </w:r>
          </w:p>
        </w:tc>
        <w:tc>
          <w:tcPr>
            <w:tcW w:w="1520" w:type="dxa"/>
            <w:tcBorders>
              <w:top w:val="nil"/>
              <w:left w:val="nil"/>
              <w:bottom w:val="single" w:sz="4" w:space="0" w:color="auto"/>
              <w:right w:val="single" w:sz="4" w:space="0" w:color="auto"/>
            </w:tcBorders>
            <w:shd w:val="clear" w:color="auto" w:fill="auto"/>
            <w:noWrap/>
            <w:vAlign w:val="center"/>
            <w:hideMark/>
          </w:tcPr>
          <w:p w14:paraId="0FE03959"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71.527</w:t>
            </w:r>
          </w:p>
        </w:tc>
      </w:tr>
      <w:tr w:rsidR="009A09ED" w:rsidRPr="00E02C7F" w14:paraId="77E9B6C9"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59359B94"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SE-N_60</w:t>
            </w:r>
          </w:p>
        </w:tc>
        <w:tc>
          <w:tcPr>
            <w:tcW w:w="1200" w:type="dxa"/>
            <w:tcBorders>
              <w:top w:val="nil"/>
              <w:left w:val="nil"/>
              <w:bottom w:val="single" w:sz="4" w:space="0" w:color="auto"/>
              <w:right w:val="single" w:sz="4" w:space="0" w:color="auto"/>
            </w:tcBorders>
            <w:shd w:val="clear" w:color="auto" w:fill="auto"/>
            <w:noWrap/>
            <w:vAlign w:val="center"/>
            <w:hideMark/>
          </w:tcPr>
          <w:p w14:paraId="789E534E"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18.611</w:t>
            </w:r>
          </w:p>
        </w:tc>
        <w:tc>
          <w:tcPr>
            <w:tcW w:w="1600" w:type="dxa"/>
            <w:tcBorders>
              <w:top w:val="nil"/>
              <w:left w:val="nil"/>
              <w:bottom w:val="single" w:sz="4" w:space="0" w:color="auto"/>
              <w:right w:val="single" w:sz="4" w:space="0" w:color="auto"/>
            </w:tcBorders>
            <w:shd w:val="clear" w:color="auto" w:fill="auto"/>
            <w:noWrap/>
            <w:vAlign w:val="center"/>
            <w:hideMark/>
          </w:tcPr>
          <w:p w14:paraId="6CEECFAB"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6.965</w:t>
            </w:r>
          </w:p>
        </w:tc>
        <w:tc>
          <w:tcPr>
            <w:tcW w:w="1200" w:type="dxa"/>
            <w:tcBorders>
              <w:top w:val="nil"/>
              <w:left w:val="nil"/>
              <w:bottom w:val="single" w:sz="4" w:space="0" w:color="auto"/>
              <w:right w:val="single" w:sz="4" w:space="0" w:color="auto"/>
            </w:tcBorders>
            <w:shd w:val="clear" w:color="auto" w:fill="auto"/>
            <w:noWrap/>
            <w:vAlign w:val="center"/>
            <w:hideMark/>
          </w:tcPr>
          <w:p w14:paraId="20A1C863"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4.378</w:t>
            </w:r>
          </w:p>
        </w:tc>
        <w:tc>
          <w:tcPr>
            <w:tcW w:w="1200" w:type="dxa"/>
            <w:tcBorders>
              <w:top w:val="nil"/>
              <w:left w:val="nil"/>
              <w:bottom w:val="single" w:sz="4" w:space="0" w:color="auto"/>
              <w:right w:val="single" w:sz="4" w:space="0" w:color="auto"/>
            </w:tcBorders>
            <w:shd w:val="clear" w:color="auto" w:fill="auto"/>
            <w:noWrap/>
            <w:vAlign w:val="center"/>
            <w:hideMark/>
          </w:tcPr>
          <w:p w14:paraId="79913BC7"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137</w:t>
            </w:r>
          </w:p>
        </w:tc>
        <w:tc>
          <w:tcPr>
            <w:tcW w:w="1200" w:type="dxa"/>
            <w:tcBorders>
              <w:top w:val="nil"/>
              <w:left w:val="nil"/>
              <w:bottom w:val="single" w:sz="4" w:space="0" w:color="auto"/>
              <w:right w:val="single" w:sz="4" w:space="0" w:color="auto"/>
            </w:tcBorders>
            <w:shd w:val="clear" w:color="auto" w:fill="auto"/>
            <w:noWrap/>
            <w:vAlign w:val="center"/>
            <w:hideMark/>
          </w:tcPr>
          <w:p w14:paraId="53AF3BE0"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30.091</w:t>
            </w:r>
          </w:p>
        </w:tc>
        <w:tc>
          <w:tcPr>
            <w:tcW w:w="1520" w:type="dxa"/>
            <w:tcBorders>
              <w:top w:val="nil"/>
              <w:left w:val="nil"/>
              <w:bottom w:val="single" w:sz="4" w:space="0" w:color="auto"/>
              <w:right w:val="single" w:sz="4" w:space="0" w:color="auto"/>
            </w:tcBorders>
            <w:shd w:val="clear" w:color="auto" w:fill="auto"/>
            <w:noWrap/>
            <w:vAlign w:val="center"/>
            <w:hideMark/>
          </w:tcPr>
          <w:p w14:paraId="0498E083"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15.713</w:t>
            </w:r>
          </w:p>
        </w:tc>
      </w:tr>
      <w:tr w:rsidR="009A09ED" w:rsidRPr="00E02C7F" w14:paraId="3622619F"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5C163BDF"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SE-N_61</w:t>
            </w:r>
          </w:p>
        </w:tc>
        <w:tc>
          <w:tcPr>
            <w:tcW w:w="1200" w:type="dxa"/>
            <w:tcBorders>
              <w:top w:val="nil"/>
              <w:left w:val="nil"/>
              <w:bottom w:val="single" w:sz="4" w:space="0" w:color="auto"/>
              <w:right w:val="single" w:sz="4" w:space="0" w:color="auto"/>
            </w:tcBorders>
            <w:shd w:val="clear" w:color="auto" w:fill="auto"/>
            <w:noWrap/>
            <w:vAlign w:val="center"/>
            <w:hideMark/>
          </w:tcPr>
          <w:p w14:paraId="5C03C7C8"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600" w:type="dxa"/>
            <w:tcBorders>
              <w:top w:val="nil"/>
              <w:left w:val="nil"/>
              <w:bottom w:val="single" w:sz="4" w:space="0" w:color="auto"/>
              <w:right w:val="single" w:sz="4" w:space="0" w:color="auto"/>
            </w:tcBorders>
            <w:shd w:val="clear" w:color="auto" w:fill="auto"/>
            <w:noWrap/>
            <w:vAlign w:val="center"/>
            <w:hideMark/>
          </w:tcPr>
          <w:p w14:paraId="18142178"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200" w:type="dxa"/>
            <w:tcBorders>
              <w:top w:val="nil"/>
              <w:left w:val="nil"/>
              <w:bottom w:val="single" w:sz="4" w:space="0" w:color="auto"/>
              <w:right w:val="single" w:sz="4" w:space="0" w:color="auto"/>
            </w:tcBorders>
            <w:shd w:val="clear" w:color="auto" w:fill="auto"/>
            <w:noWrap/>
            <w:vAlign w:val="center"/>
            <w:hideMark/>
          </w:tcPr>
          <w:p w14:paraId="5754BBF4"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200" w:type="dxa"/>
            <w:tcBorders>
              <w:top w:val="nil"/>
              <w:left w:val="nil"/>
              <w:bottom w:val="single" w:sz="4" w:space="0" w:color="auto"/>
              <w:right w:val="single" w:sz="4" w:space="0" w:color="auto"/>
            </w:tcBorders>
            <w:shd w:val="clear" w:color="auto" w:fill="auto"/>
            <w:noWrap/>
            <w:vAlign w:val="center"/>
            <w:hideMark/>
          </w:tcPr>
          <w:p w14:paraId="68BB64CB"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200" w:type="dxa"/>
            <w:tcBorders>
              <w:top w:val="nil"/>
              <w:left w:val="nil"/>
              <w:bottom w:val="single" w:sz="4" w:space="0" w:color="auto"/>
              <w:right w:val="single" w:sz="4" w:space="0" w:color="auto"/>
            </w:tcBorders>
            <w:shd w:val="clear" w:color="auto" w:fill="auto"/>
            <w:noWrap/>
            <w:vAlign w:val="center"/>
            <w:hideMark/>
          </w:tcPr>
          <w:p w14:paraId="7816A1D3"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520" w:type="dxa"/>
            <w:tcBorders>
              <w:top w:val="nil"/>
              <w:left w:val="nil"/>
              <w:bottom w:val="single" w:sz="4" w:space="0" w:color="auto"/>
              <w:right w:val="single" w:sz="4" w:space="0" w:color="auto"/>
            </w:tcBorders>
            <w:shd w:val="clear" w:color="auto" w:fill="auto"/>
            <w:noWrap/>
            <w:vAlign w:val="center"/>
            <w:hideMark/>
          </w:tcPr>
          <w:p w14:paraId="174B12F1"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r>
      <w:tr w:rsidR="009A09ED" w:rsidRPr="00E02C7F" w14:paraId="54D1EA09"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6007E1D5"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SE-N_62</w:t>
            </w:r>
          </w:p>
        </w:tc>
        <w:tc>
          <w:tcPr>
            <w:tcW w:w="1200" w:type="dxa"/>
            <w:tcBorders>
              <w:top w:val="nil"/>
              <w:left w:val="nil"/>
              <w:bottom w:val="single" w:sz="4" w:space="0" w:color="auto"/>
              <w:right w:val="single" w:sz="4" w:space="0" w:color="auto"/>
            </w:tcBorders>
            <w:shd w:val="clear" w:color="auto" w:fill="auto"/>
            <w:noWrap/>
            <w:vAlign w:val="center"/>
            <w:hideMark/>
          </w:tcPr>
          <w:p w14:paraId="296F96C0"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165</w:t>
            </w:r>
          </w:p>
        </w:tc>
        <w:tc>
          <w:tcPr>
            <w:tcW w:w="1600" w:type="dxa"/>
            <w:tcBorders>
              <w:top w:val="nil"/>
              <w:left w:val="nil"/>
              <w:bottom w:val="single" w:sz="4" w:space="0" w:color="auto"/>
              <w:right w:val="single" w:sz="4" w:space="0" w:color="auto"/>
            </w:tcBorders>
            <w:shd w:val="clear" w:color="auto" w:fill="auto"/>
            <w:noWrap/>
            <w:vAlign w:val="center"/>
            <w:hideMark/>
          </w:tcPr>
          <w:p w14:paraId="38F70C95"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62</w:t>
            </w:r>
          </w:p>
        </w:tc>
        <w:tc>
          <w:tcPr>
            <w:tcW w:w="1200" w:type="dxa"/>
            <w:tcBorders>
              <w:top w:val="nil"/>
              <w:left w:val="nil"/>
              <w:bottom w:val="single" w:sz="4" w:space="0" w:color="auto"/>
              <w:right w:val="single" w:sz="4" w:space="0" w:color="auto"/>
            </w:tcBorders>
            <w:shd w:val="clear" w:color="auto" w:fill="auto"/>
            <w:noWrap/>
            <w:vAlign w:val="center"/>
            <w:hideMark/>
          </w:tcPr>
          <w:p w14:paraId="78AA78E2"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39</w:t>
            </w:r>
          </w:p>
        </w:tc>
        <w:tc>
          <w:tcPr>
            <w:tcW w:w="1200" w:type="dxa"/>
            <w:tcBorders>
              <w:top w:val="nil"/>
              <w:left w:val="nil"/>
              <w:bottom w:val="single" w:sz="4" w:space="0" w:color="auto"/>
              <w:right w:val="single" w:sz="4" w:space="0" w:color="auto"/>
            </w:tcBorders>
            <w:shd w:val="clear" w:color="auto" w:fill="auto"/>
            <w:noWrap/>
            <w:vAlign w:val="center"/>
            <w:hideMark/>
          </w:tcPr>
          <w:p w14:paraId="3EEC5E41"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200" w:type="dxa"/>
            <w:tcBorders>
              <w:top w:val="nil"/>
              <w:left w:val="nil"/>
              <w:bottom w:val="single" w:sz="4" w:space="0" w:color="auto"/>
              <w:right w:val="single" w:sz="4" w:space="0" w:color="auto"/>
            </w:tcBorders>
            <w:shd w:val="clear" w:color="auto" w:fill="auto"/>
            <w:noWrap/>
            <w:vAlign w:val="center"/>
            <w:hideMark/>
          </w:tcPr>
          <w:p w14:paraId="0CE8A986"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265</w:t>
            </w:r>
          </w:p>
        </w:tc>
        <w:tc>
          <w:tcPr>
            <w:tcW w:w="1520" w:type="dxa"/>
            <w:tcBorders>
              <w:top w:val="nil"/>
              <w:left w:val="nil"/>
              <w:bottom w:val="single" w:sz="4" w:space="0" w:color="auto"/>
              <w:right w:val="single" w:sz="4" w:space="0" w:color="auto"/>
            </w:tcBorders>
            <w:shd w:val="clear" w:color="auto" w:fill="auto"/>
            <w:noWrap/>
            <w:vAlign w:val="center"/>
            <w:hideMark/>
          </w:tcPr>
          <w:p w14:paraId="54BC3F36"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139</w:t>
            </w:r>
          </w:p>
        </w:tc>
      </w:tr>
      <w:tr w:rsidR="009A09ED" w:rsidRPr="00E02C7F" w14:paraId="44E5BC18"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140C38EF"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SE-N_63</w:t>
            </w:r>
          </w:p>
        </w:tc>
        <w:tc>
          <w:tcPr>
            <w:tcW w:w="1200" w:type="dxa"/>
            <w:tcBorders>
              <w:top w:val="nil"/>
              <w:left w:val="nil"/>
              <w:bottom w:val="single" w:sz="4" w:space="0" w:color="auto"/>
              <w:right w:val="single" w:sz="4" w:space="0" w:color="auto"/>
            </w:tcBorders>
            <w:shd w:val="clear" w:color="auto" w:fill="auto"/>
            <w:noWrap/>
            <w:vAlign w:val="center"/>
            <w:hideMark/>
          </w:tcPr>
          <w:p w14:paraId="33F0DE40"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44</w:t>
            </w:r>
          </w:p>
        </w:tc>
        <w:tc>
          <w:tcPr>
            <w:tcW w:w="1600" w:type="dxa"/>
            <w:tcBorders>
              <w:top w:val="nil"/>
              <w:left w:val="nil"/>
              <w:bottom w:val="single" w:sz="4" w:space="0" w:color="auto"/>
              <w:right w:val="single" w:sz="4" w:space="0" w:color="auto"/>
            </w:tcBorders>
            <w:shd w:val="clear" w:color="auto" w:fill="auto"/>
            <w:noWrap/>
            <w:vAlign w:val="center"/>
            <w:hideMark/>
          </w:tcPr>
          <w:p w14:paraId="3A8B0448"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16</w:t>
            </w:r>
          </w:p>
        </w:tc>
        <w:tc>
          <w:tcPr>
            <w:tcW w:w="1200" w:type="dxa"/>
            <w:tcBorders>
              <w:top w:val="nil"/>
              <w:left w:val="nil"/>
              <w:bottom w:val="single" w:sz="4" w:space="0" w:color="auto"/>
              <w:right w:val="single" w:sz="4" w:space="0" w:color="auto"/>
            </w:tcBorders>
            <w:shd w:val="clear" w:color="auto" w:fill="auto"/>
            <w:noWrap/>
            <w:vAlign w:val="center"/>
            <w:hideMark/>
          </w:tcPr>
          <w:p w14:paraId="02301F7E"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10</w:t>
            </w:r>
          </w:p>
        </w:tc>
        <w:tc>
          <w:tcPr>
            <w:tcW w:w="1200" w:type="dxa"/>
            <w:tcBorders>
              <w:top w:val="nil"/>
              <w:left w:val="nil"/>
              <w:bottom w:val="single" w:sz="4" w:space="0" w:color="auto"/>
              <w:right w:val="single" w:sz="4" w:space="0" w:color="auto"/>
            </w:tcBorders>
            <w:shd w:val="clear" w:color="auto" w:fill="auto"/>
            <w:noWrap/>
            <w:vAlign w:val="center"/>
            <w:hideMark/>
          </w:tcPr>
          <w:p w14:paraId="0B34D661"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200" w:type="dxa"/>
            <w:tcBorders>
              <w:top w:val="nil"/>
              <w:left w:val="nil"/>
              <w:bottom w:val="single" w:sz="4" w:space="0" w:color="auto"/>
              <w:right w:val="single" w:sz="4" w:space="0" w:color="auto"/>
            </w:tcBorders>
            <w:shd w:val="clear" w:color="auto" w:fill="auto"/>
            <w:noWrap/>
            <w:vAlign w:val="center"/>
            <w:hideMark/>
          </w:tcPr>
          <w:p w14:paraId="05110429"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71</w:t>
            </w:r>
          </w:p>
        </w:tc>
        <w:tc>
          <w:tcPr>
            <w:tcW w:w="1520" w:type="dxa"/>
            <w:tcBorders>
              <w:top w:val="nil"/>
              <w:left w:val="nil"/>
              <w:bottom w:val="single" w:sz="4" w:space="0" w:color="auto"/>
              <w:right w:val="single" w:sz="4" w:space="0" w:color="auto"/>
            </w:tcBorders>
            <w:shd w:val="clear" w:color="auto" w:fill="auto"/>
            <w:noWrap/>
            <w:vAlign w:val="center"/>
            <w:hideMark/>
          </w:tcPr>
          <w:p w14:paraId="78D956D9"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37</w:t>
            </w:r>
          </w:p>
        </w:tc>
      </w:tr>
      <w:tr w:rsidR="009A09ED" w:rsidRPr="00E02C7F" w14:paraId="41F0A8C1"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3C6DC1DB"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SE-N_64</w:t>
            </w:r>
          </w:p>
        </w:tc>
        <w:tc>
          <w:tcPr>
            <w:tcW w:w="1200" w:type="dxa"/>
            <w:tcBorders>
              <w:top w:val="nil"/>
              <w:left w:val="nil"/>
              <w:bottom w:val="single" w:sz="4" w:space="0" w:color="auto"/>
              <w:right w:val="single" w:sz="4" w:space="0" w:color="auto"/>
            </w:tcBorders>
            <w:shd w:val="clear" w:color="auto" w:fill="auto"/>
            <w:noWrap/>
            <w:vAlign w:val="center"/>
            <w:hideMark/>
          </w:tcPr>
          <w:p w14:paraId="59B2BFEE"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33.378</w:t>
            </w:r>
          </w:p>
        </w:tc>
        <w:tc>
          <w:tcPr>
            <w:tcW w:w="1600" w:type="dxa"/>
            <w:tcBorders>
              <w:top w:val="nil"/>
              <w:left w:val="nil"/>
              <w:bottom w:val="single" w:sz="4" w:space="0" w:color="auto"/>
              <w:right w:val="single" w:sz="4" w:space="0" w:color="auto"/>
            </w:tcBorders>
            <w:shd w:val="clear" w:color="auto" w:fill="auto"/>
            <w:noWrap/>
            <w:vAlign w:val="center"/>
            <w:hideMark/>
          </w:tcPr>
          <w:p w14:paraId="3979F157"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12.490</w:t>
            </w:r>
          </w:p>
        </w:tc>
        <w:tc>
          <w:tcPr>
            <w:tcW w:w="1200" w:type="dxa"/>
            <w:tcBorders>
              <w:top w:val="nil"/>
              <w:left w:val="nil"/>
              <w:bottom w:val="single" w:sz="4" w:space="0" w:color="auto"/>
              <w:right w:val="single" w:sz="4" w:space="0" w:color="auto"/>
            </w:tcBorders>
            <w:shd w:val="clear" w:color="auto" w:fill="auto"/>
            <w:noWrap/>
            <w:vAlign w:val="center"/>
            <w:hideMark/>
          </w:tcPr>
          <w:p w14:paraId="162C7551"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7.851</w:t>
            </w:r>
          </w:p>
        </w:tc>
        <w:tc>
          <w:tcPr>
            <w:tcW w:w="1200" w:type="dxa"/>
            <w:tcBorders>
              <w:top w:val="nil"/>
              <w:left w:val="nil"/>
              <w:bottom w:val="single" w:sz="4" w:space="0" w:color="auto"/>
              <w:right w:val="single" w:sz="4" w:space="0" w:color="auto"/>
            </w:tcBorders>
            <w:shd w:val="clear" w:color="auto" w:fill="auto"/>
            <w:noWrap/>
            <w:vAlign w:val="center"/>
            <w:hideMark/>
          </w:tcPr>
          <w:p w14:paraId="429D6EAE"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230</w:t>
            </w:r>
          </w:p>
        </w:tc>
        <w:tc>
          <w:tcPr>
            <w:tcW w:w="1200" w:type="dxa"/>
            <w:tcBorders>
              <w:top w:val="nil"/>
              <w:left w:val="nil"/>
              <w:bottom w:val="single" w:sz="4" w:space="0" w:color="auto"/>
              <w:right w:val="single" w:sz="4" w:space="0" w:color="auto"/>
            </w:tcBorders>
            <w:shd w:val="clear" w:color="auto" w:fill="auto"/>
            <w:noWrap/>
            <w:vAlign w:val="center"/>
            <w:hideMark/>
          </w:tcPr>
          <w:p w14:paraId="2CABE347"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53.949</w:t>
            </w:r>
          </w:p>
        </w:tc>
        <w:tc>
          <w:tcPr>
            <w:tcW w:w="1520" w:type="dxa"/>
            <w:tcBorders>
              <w:top w:val="nil"/>
              <w:left w:val="nil"/>
              <w:bottom w:val="single" w:sz="4" w:space="0" w:color="auto"/>
              <w:right w:val="single" w:sz="4" w:space="0" w:color="auto"/>
            </w:tcBorders>
            <w:shd w:val="clear" w:color="auto" w:fill="auto"/>
            <w:noWrap/>
            <w:vAlign w:val="center"/>
            <w:hideMark/>
          </w:tcPr>
          <w:p w14:paraId="593ADB01"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28.179</w:t>
            </w:r>
          </w:p>
        </w:tc>
      </w:tr>
      <w:tr w:rsidR="009A09ED" w:rsidRPr="00E02C7F" w14:paraId="602E5EA6"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4886C376"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SE-N_65</w:t>
            </w:r>
          </w:p>
        </w:tc>
        <w:tc>
          <w:tcPr>
            <w:tcW w:w="1200" w:type="dxa"/>
            <w:tcBorders>
              <w:top w:val="nil"/>
              <w:left w:val="nil"/>
              <w:bottom w:val="single" w:sz="4" w:space="0" w:color="auto"/>
              <w:right w:val="single" w:sz="4" w:space="0" w:color="auto"/>
            </w:tcBorders>
            <w:shd w:val="clear" w:color="auto" w:fill="auto"/>
            <w:noWrap/>
            <w:vAlign w:val="center"/>
            <w:hideMark/>
          </w:tcPr>
          <w:p w14:paraId="75056D6A"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21.973</w:t>
            </w:r>
          </w:p>
        </w:tc>
        <w:tc>
          <w:tcPr>
            <w:tcW w:w="1600" w:type="dxa"/>
            <w:tcBorders>
              <w:top w:val="nil"/>
              <w:left w:val="nil"/>
              <w:bottom w:val="single" w:sz="4" w:space="0" w:color="auto"/>
              <w:right w:val="single" w:sz="4" w:space="0" w:color="auto"/>
            </w:tcBorders>
            <w:shd w:val="clear" w:color="auto" w:fill="auto"/>
            <w:noWrap/>
            <w:vAlign w:val="center"/>
            <w:hideMark/>
          </w:tcPr>
          <w:p w14:paraId="6C437CC2"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8.222</w:t>
            </w:r>
          </w:p>
        </w:tc>
        <w:tc>
          <w:tcPr>
            <w:tcW w:w="1200" w:type="dxa"/>
            <w:tcBorders>
              <w:top w:val="nil"/>
              <w:left w:val="nil"/>
              <w:bottom w:val="single" w:sz="4" w:space="0" w:color="auto"/>
              <w:right w:val="single" w:sz="4" w:space="0" w:color="auto"/>
            </w:tcBorders>
            <w:shd w:val="clear" w:color="auto" w:fill="auto"/>
            <w:noWrap/>
            <w:vAlign w:val="center"/>
            <w:hideMark/>
          </w:tcPr>
          <w:p w14:paraId="7416050D"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5.169</w:t>
            </w:r>
          </w:p>
        </w:tc>
        <w:tc>
          <w:tcPr>
            <w:tcW w:w="1200" w:type="dxa"/>
            <w:tcBorders>
              <w:top w:val="nil"/>
              <w:left w:val="nil"/>
              <w:bottom w:val="single" w:sz="4" w:space="0" w:color="auto"/>
              <w:right w:val="single" w:sz="4" w:space="0" w:color="auto"/>
            </w:tcBorders>
            <w:shd w:val="clear" w:color="auto" w:fill="auto"/>
            <w:noWrap/>
            <w:vAlign w:val="center"/>
            <w:hideMark/>
          </w:tcPr>
          <w:p w14:paraId="0BCCB731"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162</w:t>
            </w:r>
          </w:p>
        </w:tc>
        <w:tc>
          <w:tcPr>
            <w:tcW w:w="1200" w:type="dxa"/>
            <w:tcBorders>
              <w:top w:val="nil"/>
              <w:left w:val="nil"/>
              <w:bottom w:val="single" w:sz="4" w:space="0" w:color="auto"/>
              <w:right w:val="single" w:sz="4" w:space="0" w:color="auto"/>
            </w:tcBorders>
            <w:shd w:val="clear" w:color="auto" w:fill="auto"/>
            <w:noWrap/>
            <w:vAlign w:val="center"/>
            <w:hideMark/>
          </w:tcPr>
          <w:p w14:paraId="479C82D4"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35.526</w:t>
            </w:r>
          </w:p>
        </w:tc>
        <w:tc>
          <w:tcPr>
            <w:tcW w:w="1520" w:type="dxa"/>
            <w:tcBorders>
              <w:top w:val="nil"/>
              <w:left w:val="nil"/>
              <w:bottom w:val="single" w:sz="4" w:space="0" w:color="auto"/>
              <w:right w:val="single" w:sz="4" w:space="0" w:color="auto"/>
            </w:tcBorders>
            <w:shd w:val="clear" w:color="auto" w:fill="auto"/>
            <w:noWrap/>
            <w:vAlign w:val="center"/>
            <w:hideMark/>
          </w:tcPr>
          <w:p w14:paraId="5A53E96A"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18.551</w:t>
            </w:r>
          </w:p>
        </w:tc>
      </w:tr>
      <w:tr w:rsidR="009A09ED" w:rsidRPr="00E02C7F" w14:paraId="0E43BED3"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6DF1E9A8"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SE-N_66</w:t>
            </w:r>
          </w:p>
        </w:tc>
        <w:tc>
          <w:tcPr>
            <w:tcW w:w="1200" w:type="dxa"/>
            <w:tcBorders>
              <w:top w:val="nil"/>
              <w:left w:val="nil"/>
              <w:bottom w:val="single" w:sz="4" w:space="0" w:color="auto"/>
              <w:right w:val="single" w:sz="4" w:space="0" w:color="auto"/>
            </w:tcBorders>
            <w:shd w:val="clear" w:color="auto" w:fill="auto"/>
            <w:noWrap/>
            <w:vAlign w:val="center"/>
            <w:hideMark/>
          </w:tcPr>
          <w:p w14:paraId="749DCCB0"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25.644</w:t>
            </w:r>
          </w:p>
        </w:tc>
        <w:tc>
          <w:tcPr>
            <w:tcW w:w="1600" w:type="dxa"/>
            <w:tcBorders>
              <w:top w:val="nil"/>
              <w:left w:val="nil"/>
              <w:bottom w:val="single" w:sz="4" w:space="0" w:color="auto"/>
              <w:right w:val="single" w:sz="4" w:space="0" w:color="auto"/>
            </w:tcBorders>
            <w:shd w:val="clear" w:color="auto" w:fill="auto"/>
            <w:noWrap/>
            <w:vAlign w:val="center"/>
            <w:hideMark/>
          </w:tcPr>
          <w:p w14:paraId="64C2631D"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9.596</w:t>
            </w:r>
          </w:p>
        </w:tc>
        <w:tc>
          <w:tcPr>
            <w:tcW w:w="1200" w:type="dxa"/>
            <w:tcBorders>
              <w:top w:val="nil"/>
              <w:left w:val="nil"/>
              <w:bottom w:val="single" w:sz="4" w:space="0" w:color="auto"/>
              <w:right w:val="single" w:sz="4" w:space="0" w:color="auto"/>
            </w:tcBorders>
            <w:shd w:val="clear" w:color="auto" w:fill="auto"/>
            <w:noWrap/>
            <w:vAlign w:val="center"/>
            <w:hideMark/>
          </w:tcPr>
          <w:p w14:paraId="10612E06"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6.032</w:t>
            </w:r>
          </w:p>
        </w:tc>
        <w:tc>
          <w:tcPr>
            <w:tcW w:w="1200" w:type="dxa"/>
            <w:tcBorders>
              <w:top w:val="nil"/>
              <w:left w:val="nil"/>
              <w:bottom w:val="single" w:sz="4" w:space="0" w:color="auto"/>
              <w:right w:val="single" w:sz="4" w:space="0" w:color="auto"/>
            </w:tcBorders>
            <w:shd w:val="clear" w:color="auto" w:fill="auto"/>
            <w:noWrap/>
            <w:vAlign w:val="center"/>
            <w:hideMark/>
          </w:tcPr>
          <w:p w14:paraId="7B2F5186"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149</w:t>
            </w:r>
          </w:p>
        </w:tc>
        <w:tc>
          <w:tcPr>
            <w:tcW w:w="1200" w:type="dxa"/>
            <w:tcBorders>
              <w:top w:val="nil"/>
              <w:left w:val="nil"/>
              <w:bottom w:val="single" w:sz="4" w:space="0" w:color="auto"/>
              <w:right w:val="single" w:sz="4" w:space="0" w:color="auto"/>
            </w:tcBorders>
            <w:shd w:val="clear" w:color="auto" w:fill="auto"/>
            <w:noWrap/>
            <w:vAlign w:val="center"/>
            <w:hideMark/>
          </w:tcPr>
          <w:p w14:paraId="61578E78"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41.422</w:t>
            </w:r>
          </w:p>
        </w:tc>
        <w:tc>
          <w:tcPr>
            <w:tcW w:w="1520" w:type="dxa"/>
            <w:tcBorders>
              <w:top w:val="nil"/>
              <w:left w:val="nil"/>
              <w:bottom w:val="single" w:sz="4" w:space="0" w:color="auto"/>
              <w:right w:val="single" w:sz="4" w:space="0" w:color="auto"/>
            </w:tcBorders>
            <w:shd w:val="clear" w:color="auto" w:fill="auto"/>
            <w:noWrap/>
            <w:vAlign w:val="center"/>
            <w:hideMark/>
          </w:tcPr>
          <w:p w14:paraId="7701771E"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21.650</w:t>
            </w:r>
          </w:p>
        </w:tc>
      </w:tr>
      <w:tr w:rsidR="009A09ED" w:rsidRPr="00E02C7F" w14:paraId="638F4C0A"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57FC60F8"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SE-N_67</w:t>
            </w:r>
          </w:p>
        </w:tc>
        <w:tc>
          <w:tcPr>
            <w:tcW w:w="1200" w:type="dxa"/>
            <w:tcBorders>
              <w:top w:val="nil"/>
              <w:left w:val="nil"/>
              <w:bottom w:val="single" w:sz="4" w:space="0" w:color="auto"/>
              <w:right w:val="single" w:sz="4" w:space="0" w:color="auto"/>
            </w:tcBorders>
            <w:shd w:val="clear" w:color="auto" w:fill="auto"/>
            <w:noWrap/>
            <w:vAlign w:val="center"/>
            <w:hideMark/>
          </w:tcPr>
          <w:p w14:paraId="0820EC67"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121.840</w:t>
            </w:r>
          </w:p>
        </w:tc>
        <w:tc>
          <w:tcPr>
            <w:tcW w:w="1600" w:type="dxa"/>
            <w:tcBorders>
              <w:top w:val="nil"/>
              <w:left w:val="nil"/>
              <w:bottom w:val="single" w:sz="4" w:space="0" w:color="auto"/>
              <w:right w:val="single" w:sz="4" w:space="0" w:color="auto"/>
            </w:tcBorders>
            <w:shd w:val="clear" w:color="auto" w:fill="auto"/>
            <w:noWrap/>
            <w:vAlign w:val="center"/>
            <w:hideMark/>
          </w:tcPr>
          <w:p w14:paraId="7219EAE1"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45.593</w:t>
            </w:r>
          </w:p>
        </w:tc>
        <w:tc>
          <w:tcPr>
            <w:tcW w:w="1200" w:type="dxa"/>
            <w:tcBorders>
              <w:top w:val="nil"/>
              <w:left w:val="nil"/>
              <w:bottom w:val="single" w:sz="4" w:space="0" w:color="auto"/>
              <w:right w:val="single" w:sz="4" w:space="0" w:color="auto"/>
            </w:tcBorders>
            <w:shd w:val="clear" w:color="auto" w:fill="auto"/>
            <w:noWrap/>
            <w:vAlign w:val="center"/>
            <w:hideMark/>
          </w:tcPr>
          <w:p w14:paraId="6754B42B"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28.661</w:t>
            </w:r>
          </w:p>
        </w:tc>
        <w:tc>
          <w:tcPr>
            <w:tcW w:w="1200" w:type="dxa"/>
            <w:tcBorders>
              <w:top w:val="nil"/>
              <w:left w:val="nil"/>
              <w:bottom w:val="single" w:sz="4" w:space="0" w:color="auto"/>
              <w:right w:val="single" w:sz="4" w:space="0" w:color="auto"/>
            </w:tcBorders>
            <w:shd w:val="clear" w:color="auto" w:fill="auto"/>
            <w:noWrap/>
            <w:vAlign w:val="center"/>
            <w:hideMark/>
          </w:tcPr>
          <w:p w14:paraId="3790CE2E"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293</w:t>
            </w:r>
          </w:p>
        </w:tc>
        <w:tc>
          <w:tcPr>
            <w:tcW w:w="1200" w:type="dxa"/>
            <w:tcBorders>
              <w:top w:val="nil"/>
              <w:left w:val="nil"/>
              <w:bottom w:val="single" w:sz="4" w:space="0" w:color="auto"/>
              <w:right w:val="single" w:sz="4" w:space="0" w:color="auto"/>
            </w:tcBorders>
            <w:shd w:val="clear" w:color="auto" w:fill="auto"/>
            <w:noWrap/>
            <w:vAlign w:val="center"/>
            <w:hideMark/>
          </w:tcPr>
          <w:p w14:paraId="49429E84"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196.387</w:t>
            </w:r>
          </w:p>
        </w:tc>
        <w:tc>
          <w:tcPr>
            <w:tcW w:w="1520" w:type="dxa"/>
            <w:tcBorders>
              <w:top w:val="nil"/>
              <w:left w:val="nil"/>
              <w:bottom w:val="single" w:sz="4" w:space="0" w:color="auto"/>
              <w:right w:val="single" w:sz="4" w:space="0" w:color="auto"/>
            </w:tcBorders>
            <w:shd w:val="clear" w:color="auto" w:fill="auto"/>
            <w:noWrap/>
            <w:vAlign w:val="center"/>
            <w:hideMark/>
          </w:tcPr>
          <w:p w14:paraId="1BC805B2"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102.864</w:t>
            </w:r>
          </w:p>
        </w:tc>
      </w:tr>
      <w:tr w:rsidR="009A09ED" w:rsidRPr="00E02C7F" w14:paraId="78594D7B"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0B64F553"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SE-N_68</w:t>
            </w:r>
          </w:p>
        </w:tc>
        <w:tc>
          <w:tcPr>
            <w:tcW w:w="1200" w:type="dxa"/>
            <w:tcBorders>
              <w:top w:val="nil"/>
              <w:left w:val="nil"/>
              <w:bottom w:val="single" w:sz="4" w:space="0" w:color="auto"/>
              <w:right w:val="single" w:sz="4" w:space="0" w:color="auto"/>
            </w:tcBorders>
            <w:shd w:val="clear" w:color="auto" w:fill="auto"/>
            <w:noWrap/>
            <w:vAlign w:val="center"/>
            <w:hideMark/>
          </w:tcPr>
          <w:p w14:paraId="3B2434E3"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32.508</w:t>
            </w:r>
          </w:p>
        </w:tc>
        <w:tc>
          <w:tcPr>
            <w:tcW w:w="1600" w:type="dxa"/>
            <w:tcBorders>
              <w:top w:val="nil"/>
              <w:left w:val="nil"/>
              <w:bottom w:val="single" w:sz="4" w:space="0" w:color="auto"/>
              <w:right w:val="single" w:sz="4" w:space="0" w:color="auto"/>
            </w:tcBorders>
            <w:shd w:val="clear" w:color="auto" w:fill="auto"/>
            <w:noWrap/>
            <w:vAlign w:val="center"/>
            <w:hideMark/>
          </w:tcPr>
          <w:p w14:paraId="770DCA18"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12.165</w:t>
            </w:r>
          </w:p>
        </w:tc>
        <w:tc>
          <w:tcPr>
            <w:tcW w:w="1200" w:type="dxa"/>
            <w:tcBorders>
              <w:top w:val="nil"/>
              <w:left w:val="nil"/>
              <w:bottom w:val="single" w:sz="4" w:space="0" w:color="auto"/>
              <w:right w:val="single" w:sz="4" w:space="0" w:color="auto"/>
            </w:tcBorders>
            <w:shd w:val="clear" w:color="auto" w:fill="auto"/>
            <w:noWrap/>
            <w:vAlign w:val="center"/>
            <w:hideMark/>
          </w:tcPr>
          <w:p w14:paraId="670EEE8E"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7.647</w:t>
            </w:r>
          </w:p>
        </w:tc>
        <w:tc>
          <w:tcPr>
            <w:tcW w:w="1200" w:type="dxa"/>
            <w:tcBorders>
              <w:top w:val="nil"/>
              <w:left w:val="nil"/>
              <w:bottom w:val="single" w:sz="4" w:space="0" w:color="auto"/>
              <w:right w:val="single" w:sz="4" w:space="0" w:color="auto"/>
            </w:tcBorders>
            <w:shd w:val="clear" w:color="auto" w:fill="auto"/>
            <w:noWrap/>
            <w:vAlign w:val="center"/>
            <w:hideMark/>
          </w:tcPr>
          <w:p w14:paraId="42E2B6BF"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364</w:t>
            </w:r>
          </w:p>
        </w:tc>
        <w:tc>
          <w:tcPr>
            <w:tcW w:w="1200" w:type="dxa"/>
            <w:tcBorders>
              <w:top w:val="nil"/>
              <w:left w:val="nil"/>
              <w:bottom w:val="single" w:sz="4" w:space="0" w:color="auto"/>
              <w:right w:val="single" w:sz="4" w:space="0" w:color="auto"/>
            </w:tcBorders>
            <w:shd w:val="clear" w:color="auto" w:fill="auto"/>
            <w:noWrap/>
            <w:vAlign w:val="center"/>
            <w:hideMark/>
          </w:tcPr>
          <w:p w14:paraId="0E898C37"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52.684</w:t>
            </w:r>
          </w:p>
        </w:tc>
        <w:tc>
          <w:tcPr>
            <w:tcW w:w="1520" w:type="dxa"/>
            <w:tcBorders>
              <w:top w:val="nil"/>
              <w:left w:val="nil"/>
              <w:bottom w:val="single" w:sz="4" w:space="0" w:color="auto"/>
              <w:right w:val="single" w:sz="4" w:space="0" w:color="auto"/>
            </w:tcBorders>
            <w:shd w:val="clear" w:color="auto" w:fill="auto"/>
            <w:noWrap/>
            <w:vAlign w:val="center"/>
            <w:hideMark/>
          </w:tcPr>
          <w:p w14:paraId="4DD4D0C1"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27.445</w:t>
            </w:r>
          </w:p>
        </w:tc>
      </w:tr>
      <w:tr w:rsidR="009A09ED" w:rsidRPr="00E02C7F" w14:paraId="1FE32AD0"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14FE71EE"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SE-N_69</w:t>
            </w:r>
          </w:p>
        </w:tc>
        <w:tc>
          <w:tcPr>
            <w:tcW w:w="1200" w:type="dxa"/>
            <w:tcBorders>
              <w:top w:val="nil"/>
              <w:left w:val="nil"/>
              <w:bottom w:val="single" w:sz="4" w:space="0" w:color="auto"/>
              <w:right w:val="single" w:sz="4" w:space="0" w:color="auto"/>
            </w:tcBorders>
            <w:shd w:val="clear" w:color="auto" w:fill="auto"/>
            <w:noWrap/>
            <w:vAlign w:val="center"/>
            <w:hideMark/>
          </w:tcPr>
          <w:p w14:paraId="00656FE3"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13.207</w:t>
            </w:r>
          </w:p>
        </w:tc>
        <w:tc>
          <w:tcPr>
            <w:tcW w:w="1600" w:type="dxa"/>
            <w:tcBorders>
              <w:top w:val="nil"/>
              <w:left w:val="nil"/>
              <w:bottom w:val="single" w:sz="4" w:space="0" w:color="auto"/>
              <w:right w:val="single" w:sz="4" w:space="0" w:color="auto"/>
            </w:tcBorders>
            <w:shd w:val="clear" w:color="auto" w:fill="auto"/>
            <w:noWrap/>
            <w:vAlign w:val="center"/>
            <w:hideMark/>
          </w:tcPr>
          <w:p w14:paraId="4E820253"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4.942</w:t>
            </w:r>
          </w:p>
        </w:tc>
        <w:tc>
          <w:tcPr>
            <w:tcW w:w="1200" w:type="dxa"/>
            <w:tcBorders>
              <w:top w:val="nil"/>
              <w:left w:val="nil"/>
              <w:bottom w:val="single" w:sz="4" w:space="0" w:color="auto"/>
              <w:right w:val="single" w:sz="4" w:space="0" w:color="auto"/>
            </w:tcBorders>
            <w:shd w:val="clear" w:color="auto" w:fill="auto"/>
            <w:noWrap/>
            <w:vAlign w:val="center"/>
            <w:hideMark/>
          </w:tcPr>
          <w:p w14:paraId="6CA00018"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3.107</w:t>
            </w:r>
          </w:p>
        </w:tc>
        <w:tc>
          <w:tcPr>
            <w:tcW w:w="1200" w:type="dxa"/>
            <w:tcBorders>
              <w:top w:val="nil"/>
              <w:left w:val="nil"/>
              <w:bottom w:val="single" w:sz="4" w:space="0" w:color="auto"/>
              <w:right w:val="single" w:sz="4" w:space="0" w:color="auto"/>
            </w:tcBorders>
            <w:shd w:val="clear" w:color="auto" w:fill="auto"/>
            <w:noWrap/>
            <w:vAlign w:val="center"/>
            <w:hideMark/>
          </w:tcPr>
          <w:p w14:paraId="51308E0E"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22</w:t>
            </w:r>
          </w:p>
        </w:tc>
        <w:tc>
          <w:tcPr>
            <w:tcW w:w="1200" w:type="dxa"/>
            <w:tcBorders>
              <w:top w:val="nil"/>
              <w:left w:val="nil"/>
              <w:bottom w:val="single" w:sz="4" w:space="0" w:color="auto"/>
              <w:right w:val="single" w:sz="4" w:space="0" w:color="auto"/>
            </w:tcBorders>
            <w:shd w:val="clear" w:color="auto" w:fill="auto"/>
            <w:noWrap/>
            <w:vAlign w:val="center"/>
            <w:hideMark/>
          </w:tcPr>
          <w:p w14:paraId="4EC69A28"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21.278</w:t>
            </w:r>
          </w:p>
        </w:tc>
        <w:tc>
          <w:tcPr>
            <w:tcW w:w="1520" w:type="dxa"/>
            <w:tcBorders>
              <w:top w:val="nil"/>
              <w:left w:val="nil"/>
              <w:bottom w:val="single" w:sz="4" w:space="0" w:color="auto"/>
              <w:right w:val="single" w:sz="4" w:space="0" w:color="auto"/>
            </w:tcBorders>
            <w:shd w:val="clear" w:color="auto" w:fill="auto"/>
            <w:noWrap/>
            <w:vAlign w:val="center"/>
            <w:hideMark/>
          </w:tcPr>
          <w:p w14:paraId="3414E007"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11.150</w:t>
            </w:r>
          </w:p>
        </w:tc>
      </w:tr>
      <w:tr w:rsidR="009A09ED" w:rsidRPr="00E02C7F" w14:paraId="0FE74255"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68EE1EDD"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SE-N_70</w:t>
            </w:r>
          </w:p>
        </w:tc>
        <w:tc>
          <w:tcPr>
            <w:tcW w:w="1200" w:type="dxa"/>
            <w:tcBorders>
              <w:top w:val="nil"/>
              <w:left w:val="nil"/>
              <w:bottom w:val="single" w:sz="4" w:space="0" w:color="auto"/>
              <w:right w:val="single" w:sz="4" w:space="0" w:color="auto"/>
            </w:tcBorders>
            <w:shd w:val="clear" w:color="auto" w:fill="auto"/>
            <w:noWrap/>
            <w:vAlign w:val="center"/>
            <w:hideMark/>
          </w:tcPr>
          <w:p w14:paraId="1222F20F"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600" w:type="dxa"/>
            <w:tcBorders>
              <w:top w:val="nil"/>
              <w:left w:val="nil"/>
              <w:bottom w:val="single" w:sz="4" w:space="0" w:color="auto"/>
              <w:right w:val="single" w:sz="4" w:space="0" w:color="auto"/>
            </w:tcBorders>
            <w:shd w:val="clear" w:color="auto" w:fill="auto"/>
            <w:noWrap/>
            <w:vAlign w:val="center"/>
            <w:hideMark/>
          </w:tcPr>
          <w:p w14:paraId="61ACE0E5"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200" w:type="dxa"/>
            <w:tcBorders>
              <w:top w:val="nil"/>
              <w:left w:val="nil"/>
              <w:bottom w:val="single" w:sz="4" w:space="0" w:color="auto"/>
              <w:right w:val="single" w:sz="4" w:space="0" w:color="auto"/>
            </w:tcBorders>
            <w:shd w:val="clear" w:color="auto" w:fill="auto"/>
            <w:noWrap/>
            <w:vAlign w:val="center"/>
            <w:hideMark/>
          </w:tcPr>
          <w:p w14:paraId="403C9AEA"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200" w:type="dxa"/>
            <w:tcBorders>
              <w:top w:val="nil"/>
              <w:left w:val="nil"/>
              <w:bottom w:val="single" w:sz="4" w:space="0" w:color="auto"/>
              <w:right w:val="single" w:sz="4" w:space="0" w:color="auto"/>
            </w:tcBorders>
            <w:shd w:val="clear" w:color="auto" w:fill="auto"/>
            <w:noWrap/>
            <w:vAlign w:val="center"/>
            <w:hideMark/>
          </w:tcPr>
          <w:p w14:paraId="700FE829"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200" w:type="dxa"/>
            <w:tcBorders>
              <w:top w:val="nil"/>
              <w:left w:val="nil"/>
              <w:bottom w:val="single" w:sz="4" w:space="0" w:color="auto"/>
              <w:right w:val="single" w:sz="4" w:space="0" w:color="auto"/>
            </w:tcBorders>
            <w:shd w:val="clear" w:color="auto" w:fill="auto"/>
            <w:noWrap/>
            <w:vAlign w:val="center"/>
            <w:hideMark/>
          </w:tcPr>
          <w:p w14:paraId="2D4A4EFA"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520" w:type="dxa"/>
            <w:tcBorders>
              <w:top w:val="nil"/>
              <w:left w:val="nil"/>
              <w:bottom w:val="single" w:sz="4" w:space="0" w:color="auto"/>
              <w:right w:val="single" w:sz="4" w:space="0" w:color="auto"/>
            </w:tcBorders>
            <w:shd w:val="clear" w:color="auto" w:fill="auto"/>
            <w:noWrap/>
            <w:vAlign w:val="center"/>
            <w:hideMark/>
          </w:tcPr>
          <w:p w14:paraId="16C49DD2"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r>
      <w:tr w:rsidR="009A09ED" w:rsidRPr="00E02C7F" w14:paraId="50CACD19"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35E85D78"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SE-N_71</w:t>
            </w:r>
          </w:p>
        </w:tc>
        <w:tc>
          <w:tcPr>
            <w:tcW w:w="1200" w:type="dxa"/>
            <w:tcBorders>
              <w:top w:val="nil"/>
              <w:left w:val="nil"/>
              <w:bottom w:val="single" w:sz="4" w:space="0" w:color="auto"/>
              <w:right w:val="single" w:sz="4" w:space="0" w:color="auto"/>
            </w:tcBorders>
            <w:shd w:val="clear" w:color="auto" w:fill="auto"/>
            <w:noWrap/>
            <w:vAlign w:val="center"/>
            <w:hideMark/>
          </w:tcPr>
          <w:p w14:paraId="2E568CFA"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600" w:type="dxa"/>
            <w:tcBorders>
              <w:top w:val="nil"/>
              <w:left w:val="nil"/>
              <w:bottom w:val="single" w:sz="4" w:space="0" w:color="auto"/>
              <w:right w:val="single" w:sz="4" w:space="0" w:color="auto"/>
            </w:tcBorders>
            <w:shd w:val="clear" w:color="auto" w:fill="auto"/>
            <w:noWrap/>
            <w:vAlign w:val="center"/>
            <w:hideMark/>
          </w:tcPr>
          <w:p w14:paraId="496B1821"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200" w:type="dxa"/>
            <w:tcBorders>
              <w:top w:val="nil"/>
              <w:left w:val="nil"/>
              <w:bottom w:val="single" w:sz="4" w:space="0" w:color="auto"/>
              <w:right w:val="single" w:sz="4" w:space="0" w:color="auto"/>
            </w:tcBorders>
            <w:shd w:val="clear" w:color="auto" w:fill="auto"/>
            <w:noWrap/>
            <w:vAlign w:val="center"/>
            <w:hideMark/>
          </w:tcPr>
          <w:p w14:paraId="2C898481"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200" w:type="dxa"/>
            <w:tcBorders>
              <w:top w:val="nil"/>
              <w:left w:val="nil"/>
              <w:bottom w:val="single" w:sz="4" w:space="0" w:color="auto"/>
              <w:right w:val="single" w:sz="4" w:space="0" w:color="auto"/>
            </w:tcBorders>
            <w:shd w:val="clear" w:color="auto" w:fill="auto"/>
            <w:noWrap/>
            <w:vAlign w:val="center"/>
            <w:hideMark/>
          </w:tcPr>
          <w:p w14:paraId="32AD0C86"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200" w:type="dxa"/>
            <w:tcBorders>
              <w:top w:val="nil"/>
              <w:left w:val="nil"/>
              <w:bottom w:val="single" w:sz="4" w:space="0" w:color="auto"/>
              <w:right w:val="single" w:sz="4" w:space="0" w:color="auto"/>
            </w:tcBorders>
            <w:shd w:val="clear" w:color="auto" w:fill="auto"/>
            <w:noWrap/>
            <w:vAlign w:val="center"/>
            <w:hideMark/>
          </w:tcPr>
          <w:p w14:paraId="33C64B58"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520" w:type="dxa"/>
            <w:tcBorders>
              <w:top w:val="nil"/>
              <w:left w:val="nil"/>
              <w:bottom w:val="single" w:sz="4" w:space="0" w:color="auto"/>
              <w:right w:val="single" w:sz="4" w:space="0" w:color="auto"/>
            </w:tcBorders>
            <w:shd w:val="clear" w:color="auto" w:fill="auto"/>
            <w:noWrap/>
            <w:vAlign w:val="center"/>
            <w:hideMark/>
          </w:tcPr>
          <w:p w14:paraId="59454090"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r>
      <w:tr w:rsidR="009A09ED" w:rsidRPr="00E02C7F" w14:paraId="4EC92CAE"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0F2B0A6E"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SE-N_72</w:t>
            </w:r>
          </w:p>
        </w:tc>
        <w:tc>
          <w:tcPr>
            <w:tcW w:w="1200" w:type="dxa"/>
            <w:tcBorders>
              <w:top w:val="nil"/>
              <w:left w:val="nil"/>
              <w:bottom w:val="single" w:sz="4" w:space="0" w:color="auto"/>
              <w:right w:val="single" w:sz="4" w:space="0" w:color="auto"/>
            </w:tcBorders>
            <w:shd w:val="clear" w:color="auto" w:fill="auto"/>
            <w:noWrap/>
            <w:vAlign w:val="center"/>
            <w:hideMark/>
          </w:tcPr>
          <w:p w14:paraId="013BE958"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600" w:type="dxa"/>
            <w:tcBorders>
              <w:top w:val="nil"/>
              <w:left w:val="nil"/>
              <w:bottom w:val="single" w:sz="4" w:space="0" w:color="auto"/>
              <w:right w:val="single" w:sz="4" w:space="0" w:color="auto"/>
            </w:tcBorders>
            <w:shd w:val="clear" w:color="auto" w:fill="auto"/>
            <w:noWrap/>
            <w:vAlign w:val="center"/>
            <w:hideMark/>
          </w:tcPr>
          <w:p w14:paraId="72737E1A"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200" w:type="dxa"/>
            <w:tcBorders>
              <w:top w:val="nil"/>
              <w:left w:val="nil"/>
              <w:bottom w:val="single" w:sz="4" w:space="0" w:color="auto"/>
              <w:right w:val="single" w:sz="4" w:space="0" w:color="auto"/>
            </w:tcBorders>
            <w:shd w:val="clear" w:color="auto" w:fill="auto"/>
            <w:noWrap/>
            <w:vAlign w:val="center"/>
            <w:hideMark/>
          </w:tcPr>
          <w:p w14:paraId="53B9A0EF"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200" w:type="dxa"/>
            <w:tcBorders>
              <w:top w:val="nil"/>
              <w:left w:val="nil"/>
              <w:bottom w:val="single" w:sz="4" w:space="0" w:color="auto"/>
              <w:right w:val="single" w:sz="4" w:space="0" w:color="auto"/>
            </w:tcBorders>
            <w:shd w:val="clear" w:color="auto" w:fill="auto"/>
            <w:noWrap/>
            <w:vAlign w:val="center"/>
            <w:hideMark/>
          </w:tcPr>
          <w:p w14:paraId="135FCF03"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200" w:type="dxa"/>
            <w:tcBorders>
              <w:top w:val="nil"/>
              <w:left w:val="nil"/>
              <w:bottom w:val="single" w:sz="4" w:space="0" w:color="auto"/>
              <w:right w:val="single" w:sz="4" w:space="0" w:color="auto"/>
            </w:tcBorders>
            <w:shd w:val="clear" w:color="auto" w:fill="auto"/>
            <w:noWrap/>
            <w:vAlign w:val="center"/>
            <w:hideMark/>
          </w:tcPr>
          <w:p w14:paraId="5D9565ED"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520" w:type="dxa"/>
            <w:tcBorders>
              <w:top w:val="nil"/>
              <w:left w:val="nil"/>
              <w:bottom w:val="single" w:sz="4" w:space="0" w:color="auto"/>
              <w:right w:val="single" w:sz="4" w:space="0" w:color="auto"/>
            </w:tcBorders>
            <w:shd w:val="clear" w:color="auto" w:fill="auto"/>
            <w:noWrap/>
            <w:vAlign w:val="center"/>
            <w:hideMark/>
          </w:tcPr>
          <w:p w14:paraId="47742C02"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r>
      <w:tr w:rsidR="009A09ED" w:rsidRPr="00E02C7F" w14:paraId="22BAEB32"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16C3F4E4"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SE-N_73</w:t>
            </w:r>
          </w:p>
        </w:tc>
        <w:tc>
          <w:tcPr>
            <w:tcW w:w="1200" w:type="dxa"/>
            <w:tcBorders>
              <w:top w:val="nil"/>
              <w:left w:val="nil"/>
              <w:bottom w:val="single" w:sz="4" w:space="0" w:color="auto"/>
              <w:right w:val="single" w:sz="4" w:space="0" w:color="auto"/>
            </w:tcBorders>
            <w:shd w:val="clear" w:color="auto" w:fill="auto"/>
            <w:noWrap/>
            <w:vAlign w:val="center"/>
            <w:hideMark/>
          </w:tcPr>
          <w:p w14:paraId="769694F5"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600" w:type="dxa"/>
            <w:tcBorders>
              <w:top w:val="nil"/>
              <w:left w:val="nil"/>
              <w:bottom w:val="single" w:sz="4" w:space="0" w:color="auto"/>
              <w:right w:val="single" w:sz="4" w:space="0" w:color="auto"/>
            </w:tcBorders>
            <w:shd w:val="clear" w:color="auto" w:fill="auto"/>
            <w:noWrap/>
            <w:vAlign w:val="center"/>
            <w:hideMark/>
          </w:tcPr>
          <w:p w14:paraId="09DD7BCF"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200" w:type="dxa"/>
            <w:tcBorders>
              <w:top w:val="nil"/>
              <w:left w:val="nil"/>
              <w:bottom w:val="single" w:sz="4" w:space="0" w:color="auto"/>
              <w:right w:val="single" w:sz="4" w:space="0" w:color="auto"/>
            </w:tcBorders>
            <w:shd w:val="clear" w:color="auto" w:fill="auto"/>
            <w:noWrap/>
            <w:vAlign w:val="center"/>
            <w:hideMark/>
          </w:tcPr>
          <w:p w14:paraId="10E370F8"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200" w:type="dxa"/>
            <w:tcBorders>
              <w:top w:val="nil"/>
              <w:left w:val="nil"/>
              <w:bottom w:val="single" w:sz="4" w:space="0" w:color="auto"/>
              <w:right w:val="single" w:sz="4" w:space="0" w:color="auto"/>
            </w:tcBorders>
            <w:shd w:val="clear" w:color="auto" w:fill="auto"/>
            <w:noWrap/>
            <w:vAlign w:val="center"/>
            <w:hideMark/>
          </w:tcPr>
          <w:p w14:paraId="0071997D"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200" w:type="dxa"/>
            <w:tcBorders>
              <w:top w:val="nil"/>
              <w:left w:val="nil"/>
              <w:bottom w:val="single" w:sz="4" w:space="0" w:color="auto"/>
              <w:right w:val="single" w:sz="4" w:space="0" w:color="auto"/>
            </w:tcBorders>
            <w:shd w:val="clear" w:color="auto" w:fill="auto"/>
            <w:noWrap/>
            <w:vAlign w:val="center"/>
            <w:hideMark/>
          </w:tcPr>
          <w:p w14:paraId="2119F726"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520" w:type="dxa"/>
            <w:tcBorders>
              <w:top w:val="nil"/>
              <w:left w:val="nil"/>
              <w:bottom w:val="single" w:sz="4" w:space="0" w:color="auto"/>
              <w:right w:val="single" w:sz="4" w:space="0" w:color="auto"/>
            </w:tcBorders>
            <w:shd w:val="clear" w:color="auto" w:fill="auto"/>
            <w:noWrap/>
            <w:vAlign w:val="center"/>
            <w:hideMark/>
          </w:tcPr>
          <w:p w14:paraId="7C2B431F"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r>
      <w:tr w:rsidR="009A09ED" w:rsidRPr="00E02C7F" w14:paraId="52237E2A"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77DDA0AC"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SE-N_74</w:t>
            </w:r>
          </w:p>
        </w:tc>
        <w:tc>
          <w:tcPr>
            <w:tcW w:w="1200" w:type="dxa"/>
            <w:tcBorders>
              <w:top w:val="nil"/>
              <w:left w:val="nil"/>
              <w:bottom w:val="single" w:sz="4" w:space="0" w:color="auto"/>
              <w:right w:val="single" w:sz="4" w:space="0" w:color="auto"/>
            </w:tcBorders>
            <w:shd w:val="clear" w:color="auto" w:fill="auto"/>
            <w:noWrap/>
            <w:vAlign w:val="center"/>
            <w:hideMark/>
          </w:tcPr>
          <w:p w14:paraId="0C69D994"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600" w:type="dxa"/>
            <w:tcBorders>
              <w:top w:val="nil"/>
              <w:left w:val="nil"/>
              <w:bottom w:val="single" w:sz="4" w:space="0" w:color="auto"/>
              <w:right w:val="single" w:sz="4" w:space="0" w:color="auto"/>
            </w:tcBorders>
            <w:shd w:val="clear" w:color="auto" w:fill="auto"/>
            <w:noWrap/>
            <w:vAlign w:val="center"/>
            <w:hideMark/>
          </w:tcPr>
          <w:p w14:paraId="53CCB63E"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200" w:type="dxa"/>
            <w:tcBorders>
              <w:top w:val="nil"/>
              <w:left w:val="nil"/>
              <w:bottom w:val="single" w:sz="4" w:space="0" w:color="auto"/>
              <w:right w:val="single" w:sz="4" w:space="0" w:color="auto"/>
            </w:tcBorders>
            <w:shd w:val="clear" w:color="auto" w:fill="auto"/>
            <w:noWrap/>
            <w:vAlign w:val="center"/>
            <w:hideMark/>
          </w:tcPr>
          <w:p w14:paraId="6F783A31"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200" w:type="dxa"/>
            <w:tcBorders>
              <w:top w:val="nil"/>
              <w:left w:val="nil"/>
              <w:bottom w:val="single" w:sz="4" w:space="0" w:color="auto"/>
              <w:right w:val="single" w:sz="4" w:space="0" w:color="auto"/>
            </w:tcBorders>
            <w:shd w:val="clear" w:color="auto" w:fill="auto"/>
            <w:noWrap/>
            <w:vAlign w:val="center"/>
            <w:hideMark/>
          </w:tcPr>
          <w:p w14:paraId="725D698D"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200" w:type="dxa"/>
            <w:tcBorders>
              <w:top w:val="nil"/>
              <w:left w:val="nil"/>
              <w:bottom w:val="single" w:sz="4" w:space="0" w:color="auto"/>
              <w:right w:val="single" w:sz="4" w:space="0" w:color="auto"/>
            </w:tcBorders>
            <w:shd w:val="clear" w:color="auto" w:fill="auto"/>
            <w:noWrap/>
            <w:vAlign w:val="center"/>
            <w:hideMark/>
          </w:tcPr>
          <w:p w14:paraId="04A73AE4"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520" w:type="dxa"/>
            <w:tcBorders>
              <w:top w:val="nil"/>
              <w:left w:val="nil"/>
              <w:bottom w:val="single" w:sz="4" w:space="0" w:color="auto"/>
              <w:right w:val="single" w:sz="4" w:space="0" w:color="auto"/>
            </w:tcBorders>
            <w:shd w:val="clear" w:color="auto" w:fill="auto"/>
            <w:noWrap/>
            <w:vAlign w:val="center"/>
            <w:hideMark/>
          </w:tcPr>
          <w:p w14:paraId="1E8AE943"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r>
      <w:tr w:rsidR="009A09ED" w:rsidRPr="00E02C7F" w14:paraId="5E69BD71"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36ABEE65"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SE-N_75</w:t>
            </w:r>
          </w:p>
        </w:tc>
        <w:tc>
          <w:tcPr>
            <w:tcW w:w="1200" w:type="dxa"/>
            <w:tcBorders>
              <w:top w:val="nil"/>
              <w:left w:val="nil"/>
              <w:bottom w:val="single" w:sz="4" w:space="0" w:color="auto"/>
              <w:right w:val="single" w:sz="4" w:space="0" w:color="auto"/>
            </w:tcBorders>
            <w:shd w:val="clear" w:color="auto" w:fill="auto"/>
            <w:noWrap/>
            <w:vAlign w:val="center"/>
            <w:hideMark/>
          </w:tcPr>
          <w:p w14:paraId="7CE56A0F"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600" w:type="dxa"/>
            <w:tcBorders>
              <w:top w:val="nil"/>
              <w:left w:val="nil"/>
              <w:bottom w:val="single" w:sz="4" w:space="0" w:color="auto"/>
              <w:right w:val="single" w:sz="4" w:space="0" w:color="auto"/>
            </w:tcBorders>
            <w:shd w:val="clear" w:color="auto" w:fill="auto"/>
            <w:noWrap/>
            <w:vAlign w:val="center"/>
            <w:hideMark/>
          </w:tcPr>
          <w:p w14:paraId="0822CBB2"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200" w:type="dxa"/>
            <w:tcBorders>
              <w:top w:val="nil"/>
              <w:left w:val="nil"/>
              <w:bottom w:val="single" w:sz="4" w:space="0" w:color="auto"/>
              <w:right w:val="single" w:sz="4" w:space="0" w:color="auto"/>
            </w:tcBorders>
            <w:shd w:val="clear" w:color="auto" w:fill="auto"/>
            <w:noWrap/>
            <w:vAlign w:val="center"/>
            <w:hideMark/>
          </w:tcPr>
          <w:p w14:paraId="39ED2416"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200" w:type="dxa"/>
            <w:tcBorders>
              <w:top w:val="nil"/>
              <w:left w:val="nil"/>
              <w:bottom w:val="single" w:sz="4" w:space="0" w:color="auto"/>
              <w:right w:val="single" w:sz="4" w:space="0" w:color="auto"/>
            </w:tcBorders>
            <w:shd w:val="clear" w:color="auto" w:fill="auto"/>
            <w:noWrap/>
            <w:vAlign w:val="center"/>
            <w:hideMark/>
          </w:tcPr>
          <w:p w14:paraId="598E3137"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200" w:type="dxa"/>
            <w:tcBorders>
              <w:top w:val="nil"/>
              <w:left w:val="nil"/>
              <w:bottom w:val="single" w:sz="4" w:space="0" w:color="auto"/>
              <w:right w:val="single" w:sz="4" w:space="0" w:color="auto"/>
            </w:tcBorders>
            <w:shd w:val="clear" w:color="auto" w:fill="auto"/>
            <w:noWrap/>
            <w:vAlign w:val="center"/>
            <w:hideMark/>
          </w:tcPr>
          <w:p w14:paraId="3F02E0EC"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520" w:type="dxa"/>
            <w:tcBorders>
              <w:top w:val="nil"/>
              <w:left w:val="nil"/>
              <w:bottom w:val="single" w:sz="4" w:space="0" w:color="auto"/>
              <w:right w:val="single" w:sz="4" w:space="0" w:color="auto"/>
            </w:tcBorders>
            <w:shd w:val="clear" w:color="auto" w:fill="auto"/>
            <w:noWrap/>
            <w:vAlign w:val="center"/>
            <w:hideMark/>
          </w:tcPr>
          <w:p w14:paraId="6C7BA4AF"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r>
      <w:tr w:rsidR="009A09ED" w:rsidRPr="00E02C7F" w14:paraId="43581393"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1995793C"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SE-N_76</w:t>
            </w:r>
          </w:p>
        </w:tc>
        <w:tc>
          <w:tcPr>
            <w:tcW w:w="1200" w:type="dxa"/>
            <w:tcBorders>
              <w:top w:val="nil"/>
              <w:left w:val="nil"/>
              <w:bottom w:val="single" w:sz="4" w:space="0" w:color="auto"/>
              <w:right w:val="single" w:sz="4" w:space="0" w:color="auto"/>
            </w:tcBorders>
            <w:shd w:val="clear" w:color="auto" w:fill="auto"/>
            <w:noWrap/>
            <w:vAlign w:val="center"/>
            <w:hideMark/>
          </w:tcPr>
          <w:p w14:paraId="1658BCD4"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600" w:type="dxa"/>
            <w:tcBorders>
              <w:top w:val="nil"/>
              <w:left w:val="nil"/>
              <w:bottom w:val="single" w:sz="4" w:space="0" w:color="auto"/>
              <w:right w:val="single" w:sz="4" w:space="0" w:color="auto"/>
            </w:tcBorders>
            <w:shd w:val="clear" w:color="auto" w:fill="auto"/>
            <w:noWrap/>
            <w:vAlign w:val="center"/>
            <w:hideMark/>
          </w:tcPr>
          <w:p w14:paraId="6550D62C"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200" w:type="dxa"/>
            <w:tcBorders>
              <w:top w:val="nil"/>
              <w:left w:val="nil"/>
              <w:bottom w:val="single" w:sz="4" w:space="0" w:color="auto"/>
              <w:right w:val="single" w:sz="4" w:space="0" w:color="auto"/>
            </w:tcBorders>
            <w:shd w:val="clear" w:color="auto" w:fill="auto"/>
            <w:noWrap/>
            <w:vAlign w:val="center"/>
            <w:hideMark/>
          </w:tcPr>
          <w:p w14:paraId="693548EC"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200" w:type="dxa"/>
            <w:tcBorders>
              <w:top w:val="nil"/>
              <w:left w:val="nil"/>
              <w:bottom w:val="single" w:sz="4" w:space="0" w:color="auto"/>
              <w:right w:val="single" w:sz="4" w:space="0" w:color="auto"/>
            </w:tcBorders>
            <w:shd w:val="clear" w:color="auto" w:fill="auto"/>
            <w:noWrap/>
            <w:vAlign w:val="center"/>
            <w:hideMark/>
          </w:tcPr>
          <w:p w14:paraId="3C3B7800"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200" w:type="dxa"/>
            <w:tcBorders>
              <w:top w:val="nil"/>
              <w:left w:val="nil"/>
              <w:bottom w:val="single" w:sz="4" w:space="0" w:color="auto"/>
              <w:right w:val="single" w:sz="4" w:space="0" w:color="auto"/>
            </w:tcBorders>
            <w:shd w:val="clear" w:color="auto" w:fill="auto"/>
            <w:noWrap/>
            <w:vAlign w:val="center"/>
            <w:hideMark/>
          </w:tcPr>
          <w:p w14:paraId="507771EA"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520" w:type="dxa"/>
            <w:tcBorders>
              <w:top w:val="nil"/>
              <w:left w:val="nil"/>
              <w:bottom w:val="single" w:sz="4" w:space="0" w:color="auto"/>
              <w:right w:val="single" w:sz="4" w:space="0" w:color="auto"/>
            </w:tcBorders>
            <w:shd w:val="clear" w:color="auto" w:fill="auto"/>
            <w:noWrap/>
            <w:vAlign w:val="center"/>
            <w:hideMark/>
          </w:tcPr>
          <w:p w14:paraId="1159F6A7"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r>
      <w:tr w:rsidR="009A09ED" w:rsidRPr="00E02C7F" w14:paraId="2E8B6A07"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24F3BD01"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SE-N_77</w:t>
            </w:r>
          </w:p>
        </w:tc>
        <w:tc>
          <w:tcPr>
            <w:tcW w:w="1200" w:type="dxa"/>
            <w:tcBorders>
              <w:top w:val="nil"/>
              <w:left w:val="nil"/>
              <w:bottom w:val="single" w:sz="4" w:space="0" w:color="auto"/>
              <w:right w:val="single" w:sz="4" w:space="0" w:color="auto"/>
            </w:tcBorders>
            <w:shd w:val="clear" w:color="auto" w:fill="auto"/>
            <w:noWrap/>
            <w:vAlign w:val="center"/>
            <w:hideMark/>
          </w:tcPr>
          <w:p w14:paraId="35A69798"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600" w:type="dxa"/>
            <w:tcBorders>
              <w:top w:val="nil"/>
              <w:left w:val="nil"/>
              <w:bottom w:val="single" w:sz="4" w:space="0" w:color="auto"/>
              <w:right w:val="single" w:sz="4" w:space="0" w:color="auto"/>
            </w:tcBorders>
            <w:shd w:val="clear" w:color="auto" w:fill="auto"/>
            <w:noWrap/>
            <w:vAlign w:val="center"/>
            <w:hideMark/>
          </w:tcPr>
          <w:p w14:paraId="53127FF4"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200" w:type="dxa"/>
            <w:tcBorders>
              <w:top w:val="nil"/>
              <w:left w:val="nil"/>
              <w:bottom w:val="single" w:sz="4" w:space="0" w:color="auto"/>
              <w:right w:val="single" w:sz="4" w:space="0" w:color="auto"/>
            </w:tcBorders>
            <w:shd w:val="clear" w:color="auto" w:fill="auto"/>
            <w:noWrap/>
            <w:vAlign w:val="center"/>
            <w:hideMark/>
          </w:tcPr>
          <w:p w14:paraId="07C39666"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200" w:type="dxa"/>
            <w:tcBorders>
              <w:top w:val="nil"/>
              <w:left w:val="nil"/>
              <w:bottom w:val="single" w:sz="4" w:space="0" w:color="auto"/>
              <w:right w:val="single" w:sz="4" w:space="0" w:color="auto"/>
            </w:tcBorders>
            <w:shd w:val="clear" w:color="auto" w:fill="auto"/>
            <w:noWrap/>
            <w:vAlign w:val="center"/>
            <w:hideMark/>
          </w:tcPr>
          <w:p w14:paraId="756D89F6"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200" w:type="dxa"/>
            <w:tcBorders>
              <w:top w:val="nil"/>
              <w:left w:val="nil"/>
              <w:bottom w:val="single" w:sz="4" w:space="0" w:color="auto"/>
              <w:right w:val="single" w:sz="4" w:space="0" w:color="auto"/>
            </w:tcBorders>
            <w:shd w:val="clear" w:color="auto" w:fill="auto"/>
            <w:noWrap/>
            <w:vAlign w:val="center"/>
            <w:hideMark/>
          </w:tcPr>
          <w:p w14:paraId="0652AA71"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520" w:type="dxa"/>
            <w:tcBorders>
              <w:top w:val="nil"/>
              <w:left w:val="nil"/>
              <w:bottom w:val="single" w:sz="4" w:space="0" w:color="auto"/>
              <w:right w:val="single" w:sz="4" w:space="0" w:color="auto"/>
            </w:tcBorders>
            <w:shd w:val="clear" w:color="auto" w:fill="auto"/>
            <w:noWrap/>
            <w:vAlign w:val="center"/>
            <w:hideMark/>
          </w:tcPr>
          <w:p w14:paraId="2C615F22"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r>
      <w:tr w:rsidR="009A09ED" w:rsidRPr="00E02C7F" w14:paraId="5D98105D"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356F5DBE"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SE-N_78</w:t>
            </w:r>
          </w:p>
        </w:tc>
        <w:tc>
          <w:tcPr>
            <w:tcW w:w="1200" w:type="dxa"/>
            <w:tcBorders>
              <w:top w:val="nil"/>
              <w:left w:val="nil"/>
              <w:bottom w:val="single" w:sz="4" w:space="0" w:color="auto"/>
              <w:right w:val="single" w:sz="4" w:space="0" w:color="auto"/>
            </w:tcBorders>
            <w:shd w:val="clear" w:color="auto" w:fill="auto"/>
            <w:noWrap/>
            <w:vAlign w:val="center"/>
            <w:hideMark/>
          </w:tcPr>
          <w:p w14:paraId="0C6C1BA4"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19.818</w:t>
            </w:r>
          </w:p>
        </w:tc>
        <w:tc>
          <w:tcPr>
            <w:tcW w:w="1600" w:type="dxa"/>
            <w:tcBorders>
              <w:top w:val="nil"/>
              <w:left w:val="nil"/>
              <w:bottom w:val="single" w:sz="4" w:space="0" w:color="auto"/>
              <w:right w:val="single" w:sz="4" w:space="0" w:color="auto"/>
            </w:tcBorders>
            <w:shd w:val="clear" w:color="auto" w:fill="auto"/>
            <w:noWrap/>
            <w:vAlign w:val="center"/>
            <w:hideMark/>
          </w:tcPr>
          <w:p w14:paraId="2A6D1F59"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7.416</w:t>
            </w:r>
          </w:p>
        </w:tc>
        <w:tc>
          <w:tcPr>
            <w:tcW w:w="1200" w:type="dxa"/>
            <w:tcBorders>
              <w:top w:val="nil"/>
              <w:left w:val="nil"/>
              <w:bottom w:val="single" w:sz="4" w:space="0" w:color="auto"/>
              <w:right w:val="single" w:sz="4" w:space="0" w:color="auto"/>
            </w:tcBorders>
            <w:shd w:val="clear" w:color="auto" w:fill="auto"/>
            <w:noWrap/>
            <w:vAlign w:val="center"/>
            <w:hideMark/>
          </w:tcPr>
          <w:p w14:paraId="375858B9"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4.662</w:t>
            </w:r>
          </w:p>
        </w:tc>
        <w:tc>
          <w:tcPr>
            <w:tcW w:w="1200" w:type="dxa"/>
            <w:tcBorders>
              <w:top w:val="nil"/>
              <w:left w:val="nil"/>
              <w:bottom w:val="single" w:sz="4" w:space="0" w:color="auto"/>
              <w:right w:val="single" w:sz="4" w:space="0" w:color="auto"/>
            </w:tcBorders>
            <w:shd w:val="clear" w:color="auto" w:fill="auto"/>
            <w:noWrap/>
            <w:vAlign w:val="center"/>
            <w:hideMark/>
          </w:tcPr>
          <w:p w14:paraId="53507E4F"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146</w:t>
            </w:r>
          </w:p>
        </w:tc>
        <w:tc>
          <w:tcPr>
            <w:tcW w:w="1200" w:type="dxa"/>
            <w:tcBorders>
              <w:top w:val="nil"/>
              <w:left w:val="nil"/>
              <w:bottom w:val="single" w:sz="4" w:space="0" w:color="auto"/>
              <w:right w:val="single" w:sz="4" w:space="0" w:color="auto"/>
            </w:tcBorders>
            <w:shd w:val="clear" w:color="auto" w:fill="auto"/>
            <w:noWrap/>
            <w:vAlign w:val="center"/>
            <w:hideMark/>
          </w:tcPr>
          <w:p w14:paraId="520A7304"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32.042</w:t>
            </w:r>
          </w:p>
        </w:tc>
        <w:tc>
          <w:tcPr>
            <w:tcW w:w="1520" w:type="dxa"/>
            <w:tcBorders>
              <w:top w:val="nil"/>
              <w:left w:val="nil"/>
              <w:bottom w:val="single" w:sz="4" w:space="0" w:color="auto"/>
              <w:right w:val="single" w:sz="4" w:space="0" w:color="auto"/>
            </w:tcBorders>
            <w:shd w:val="clear" w:color="auto" w:fill="auto"/>
            <w:noWrap/>
            <w:vAlign w:val="center"/>
            <w:hideMark/>
          </w:tcPr>
          <w:p w14:paraId="75EB43E1"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16.731</w:t>
            </w:r>
          </w:p>
        </w:tc>
      </w:tr>
      <w:tr w:rsidR="009A09ED" w:rsidRPr="00E02C7F" w14:paraId="46F59026"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2DB8A2C4"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SE-N_79</w:t>
            </w:r>
          </w:p>
        </w:tc>
        <w:tc>
          <w:tcPr>
            <w:tcW w:w="1200" w:type="dxa"/>
            <w:tcBorders>
              <w:top w:val="nil"/>
              <w:left w:val="nil"/>
              <w:bottom w:val="single" w:sz="4" w:space="0" w:color="auto"/>
              <w:right w:val="single" w:sz="4" w:space="0" w:color="auto"/>
            </w:tcBorders>
            <w:shd w:val="clear" w:color="auto" w:fill="auto"/>
            <w:noWrap/>
            <w:vAlign w:val="center"/>
            <w:hideMark/>
          </w:tcPr>
          <w:p w14:paraId="1F491105"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92.436</w:t>
            </w:r>
          </w:p>
        </w:tc>
        <w:tc>
          <w:tcPr>
            <w:tcW w:w="1600" w:type="dxa"/>
            <w:tcBorders>
              <w:top w:val="nil"/>
              <w:left w:val="nil"/>
              <w:bottom w:val="single" w:sz="4" w:space="0" w:color="auto"/>
              <w:right w:val="single" w:sz="4" w:space="0" w:color="auto"/>
            </w:tcBorders>
            <w:shd w:val="clear" w:color="auto" w:fill="auto"/>
            <w:noWrap/>
            <w:vAlign w:val="center"/>
            <w:hideMark/>
          </w:tcPr>
          <w:p w14:paraId="511EC229"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34.590</w:t>
            </w:r>
          </w:p>
        </w:tc>
        <w:tc>
          <w:tcPr>
            <w:tcW w:w="1200" w:type="dxa"/>
            <w:tcBorders>
              <w:top w:val="nil"/>
              <w:left w:val="nil"/>
              <w:bottom w:val="single" w:sz="4" w:space="0" w:color="auto"/>
              <w:right w:val="single" w:sz="4" w:space="0" w:color="auto"/>
            </w:tcBorders>
            <w:shd w:val="clear" w:color="auto" w:fill="auto"/>
            <w:noWrap/>
            <w:vAlign w:val="center"/>
            <w:hideMark/>
          </w:tcPr>
          <w:p w14:paraId="240B7477"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21.744</w:t>
            </w:r>
          </w:p>
        </w:tc>
        <w:tc>
          <w:tcPr>
            <w:tcW w:w="1200" w:type="dxa"/>
            <w:tcBorders>
              <w:top w:val="nil"/>
              <w:left w:val="nil"/>
              <w:bottom w:val="single" w:sz="4" w:space="0" w:color="auto"/>
              <w:right w:val="single" w:sz="4" w:space="0" w:color="auto"/>
            </w:tcBorders>
            <w:shd w:val="clear" w:color="auto" w:fill="auto"/>
            <w:noWrap/>
            <w:vAlign w:val="center"/>
            <w:hideMark/>
          </w:tcPr>
          <w:p w14:paraId="667FBD57"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662</w:t>
            </w:r>
          </w:p>
        </w:tc>
        <w:tc>
          <w:tcPr>
            <w:tcW w:w="1200" w:type="dxa"/>
            <w:tcBorders>
              <w:top w:val="nil"/>
              <w:left w:val="nil"/>
              <w:bottom w:val="single" w:sz="4" w:space="0" w:color="auto"/>
              <w:right w:val="single" w:sz="4" w:space="0" w:color="auto"/>
            </w:tcBorders>
            <w:shd w:val="clear" w:color="auto" w:fill="auto"/>
            <w:noWrap/>
            <w:vAlign w:val="center"/>
            <w:hideMark/>
          </w:tcPr>
          <w:p w14:paraId="4D8F90B7"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149.432</w:t>
            </w:r>
          </w:p>
        </w:tc>
        <w:tc>
          <w:tcPr>
            <w:tcW w:w="1520" w:type="dxa"/>
            <w:tcBorders>
              <w:top w:val="nil"/>
              <w:left w:val="nil"/>
              <w:bottom w:val="single" w:sz="4" w:space="0" w:color="auto"/>
              <w:right w:val="single" w:sz="4" w:space="0" w:color="auto"/>
            </w:tcBorders>
            <w:shd w:val="clear" w:color="auto" w:fill="auto"/>
            <w:noWrap/>
            <w:vAlign w:val="center"/>
            <w:hideMark/>
          </w:tcPr>
          <w:p w14:paraId="17AF9BB8"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78.040</w:t>
            </w:r>
          </w:p>
        </w:tc>
      </w:tr>
      <w:tr w:rsidR="009A09ED" w:rsidRPr="00E02C7F" w14:paraId="0AF2ECF3"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55A7E562"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SE-N_80</w:t>
            </w:r>
          </w:p>
        </w:tc>
        <w:tc>
          <w:tcPr>
            <w:tcW w:w="1200" w:type="dxa"/>
            <w:tcBorders>
              <w:top w:val="nil"/>
              <w:left w:val="nil"/>
              <w:bottom w:val="single" w:sz="4" w:space="0" w:color="auto"/>
              <w:right w:val="single" w:sz="4" w:space="0" w:color="auto"/>
            </w:tcBorders>
            <w:shd w:val="clear" w:color="auto" w:fill="auto"/>
            <w:noWrap/>
            <w:vAlign w:val="center"/>
            <w:hideMark/>
          </w:tcPr>
          <w:p w14:paraId="2517C9CE"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27.795</w:t>
            </w:r>
          </w:p>
        </w:tc>
        <w:tc>
          <w:tcPr>
            <w:tcW w:w="1600" w:type="dxa"/>
            <w:tcBorders>
              <w:top w:val="nil"/>
              <w:left w:val="nil"/>
              <w:bottom w:val="single" w:sz="4" w:space="0" w:color="auto"/>
              <w:right w:val="single" w:sz="4" w:space="0" w:color="auto"/>
            </w:tcBorders>
            <w:shd w:val="clear" w:color="auto" w:fill="auto"/>
            <w:noWrap/>
            <w:vAlign w:val="center"/>
            <w:hideMark/>
          </w:tcPr>
          <w:p w14:paraId="1CA59837"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10.401</w:t>
            </w:r>
          </w:p>
        </w:tc>
        <w:tc>
          <w:tcPr>
            <w:tcW w:w="1200" w:type="dxa"/>
            <w:tcBorders>
              <w:top w:val="nil"/>
              <w:left w:val="nil"/>
              <w:bottom w:val="single" w:sz="4" w:space="0" w:color="auto"/>
              <w:right w:val="single" w:sz="4" w:space="0" w:color="auto"/>
            </w:tcBorders>
            <w:shd w:val="clear" w:color="auto" w:fill="auto"/>
            <w:noWrap/>
            <w:vAlign w:val="center"/>
            <w:hideMark/>
          </w:tcPr>
          <w:p w14:paraId="17CD282F"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6.538</w:t>
            </w:r>
          </w:p>
        </w:tc>
        <w:tc>
          <w:tcPr>
            <w:tcW w:w="1200" w:type="dxa"/>
            <w:tcBorders>
              <w:top w:val="nil"/>
              <w:left w:val="nil"/>
              <w:bottom w:val="single" w:sz="4" w:space="0" w:color="auto"/>
              <w:right w:val="single" w:sz="4" w:space="0" w:color="auto"/>
            </w:tcBorders>
            <w:shd w:val="clear" w:color="auto" w:fill="auto"/>
            <w:noWrap/>
            <w:vAlign w:val="center"/>
            <w:hideMark/>
          </w:tcPr>
          <w:p w14:paraId="348B6160"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205</w:t>
            </w:r>
          </w:p>
        </w:tc>
        <w:tc>
          <w:tcPr>
            <w:tcW w:w="1200" w:type="dxa"/>
            <w:tcBorders>
              <w:top w:val="nil"/>
              <w:left w:val="nil"/>
              <w:bottom w:val="single" w:sz="4" w:space="0" w:color="auto"/>
              <w:right w:val="single" w:sz="4" w:space="0" w:color="auto"/>
            </w:tcBorders>
            <w:shd w:val="clear" w:color="auto" w:fill="auto"/>
            <w:noWrap/>
            <w:vAlign w:val="center"/>
            <w:hideMark/>
          </w:tcPr>
          <w:p w14:paraId="62237298"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44.939</w:t>
            </w:r>
          </w:p>
        </w:tc>
        <w:tc>
          <w:tcPr>
            <w:tcW w:w="1520" w:type="dxa"/>
            <w:tcBorders>
              <w:top w:val="nil"/>
              <w:left w:val="nil"/>
              <w:bottom w:val="single" w:sz="4" w:space="0" w:color="auto"/>
              <w:right w:val="single" w:sz="4" w:space="0" w:color="auto"/>
            </w:tcBorders>
            <w:shd w:val="clear" w:color="auto" w:fill="auto"/>
            <w:noWrap/>
            <w:vAlign w:val="center"/>
            <w:hideMark/>
          </w:tcPr>
          <w:p w14:paraId="04F01F71"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23.466</w:t>
            </w:r>
          </w:p>
        </w:tc>
      </w:tr>
      <w:tr w:rsidR="009A09ED" w:rsidRPr="00E02C7F" w14:paraId="41994E34"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2478D0EA"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SE-N_81</w:t>
            </w:r>
          </w:p>
        </w:tc>
        <w:tc>
          <w:tcPr>
            <w:tcW w:w="1200" w:type="dxa"/>
            <w:tcBorders>
              <w:top w:val="nil"/>
              <w:left w:val="nil"/>
              <w:bottom w:val="single" w:sz="4" w:space="0" w:color="auto"/>
              <w:right w:val="single" w:sz="4" w:space="0" w:color="auto"/>
            </w:tcBorders>
            <w:shd w:val="clear" w:color="auto" w:fill="auto"/>
            <w:noWrap/>
            <w:vAlign w:val="center"/>
            <w:hideMark/>
          </w:tcPr>
          <w:p w14:paraId="49F3620C"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42.657</w:t>
            </w:r>
          </w:p>
        </w:tc>
        <w:tc>
          <w:tcPr>
            <w:tcW w:w="1600" w:type="dxa"/>
            <w:tcBorders>
              <w:top w:val="nil"/>
              <w:left w:val="nil"/>
              <w:bottom w:val="single" w:sz="4" w:space="0" w:color="auto"/>
              <w:right w:val="single" w:sz="4" w:space="0" w:color="auto"/>
            </w:tcBorders>
            <w:shd w:val="clear" w:color="auto" w:fill="auto"/>
            <w:noWrap/>
            <w:vAlign w:val="center"/>
            <w:hideMark/>
          </w:tcPr>
          <w:p w14:paraId="19053350"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15.963</w:t>
            </w:r>
          </w:p>
        </w:tc>
        <w:tc>
          <w:tcPr>
            <w:tcW w:w="1200" w:type="dxa"/>
            <w:tcBorders>
              <w:top w:val="nil"/>
              <w:left w:val="nil"/>
              <w:bottom w:val="single" w:sz="4" w:space="0" w:color="auto"/>
              <w:right w:val="single" w:sz="4" w:space="0" w:color="auto"/>
            </w:tcBorders>
            <w:shd w:val="clear" w:color="auto" w:fill="auto"/>
            <w:noWrap/>
            <w:vAlign w:val="center"/>
            <w:hideMark/>
          </w:tcPr>
          <w:p w14:paraId="778E4C71"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10.034</w:t>
            </w:r>
          </w:p>
        </w:tc>
        <w:tc>
          <w:tcPr>
            <w:tcW w:w="1200" w:type="dxa"/>
            <w:tcBorders>
              <w:top w:val="nil"/>
              <w:left w:val="nil"/>
              <w:bottom w:val="single" w:sz="4" w:space="0" w:color="auto"/>
              <w:right w:val="single" w:sz="4" w:space="0" w:color="auto"/>
            </w:tcBorders>
            <w:shd w:val="clear" w:color="auto" w:fill="auto"/>
            <w:noWrap/>
            <w:vAlign w:val="center"/>
            <w:hideMark/>
          </w:tcPr>
          <w:p w14:paraId="291776B9"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301</w:t>
            </w:r>
          </w:p>
        </w:tc>
        <w:tc>
          <w:tcPr>
            <w:tcW w:w="1200" w:type="dxa"/>
            <w:tcBorders>
              <w:top w:val="nil"/>
              <w:left w:val="nil"/>
              <w:bottom w:val="single" w:sz="4" w:space="0" w:color="auto"/>
              <w:right w:val="single" w:sz="4" w:space="0" w:color="auto"/>
            </w:tcBorders>
            <w:shd w:val="clear" w:color="auto" w:fill="auto"/>
            <w:noWrap/>
            <w:vAlign w:val="center"/>
            <w:hideMark/>
          </w:tcPr>
          <w:p w14:paraId="043271CD"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68.955</w:t>
            </w:r>
          </w:p>
        </w:tc>
        <w:tc>
          <w:tcPr>
            <w:tcW w:w="1520" w:type="dxa"/>
            <w:tcBorders>
              <w:top w:val="nil"/>
              <w:left w:val="nil"/>
              <w:bottom w:val="single" w:sz="4" w:space="0" w:color="auto"/>
              <w:right w:val="single" w:sz="4" w:space="0" w:color="auto"/>
            </w:tcBorders>
            <w:shd w:val="clear" w:color="auto" w:fill="auto"/>
            <w:noWrap/>
            <w:vAlign w:val="center"/>
            <w:hideMark/>
          </w:tcPr>
          <w:p w14:paraId="1E4469BE"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36.014</w:t>
            </w:r>
          </w:p>
        </w:tc>
      </w:tr>
      <w:tr w:rsidR="009A09ED" w:rsidRPr="00E02C7F" w14:paraId="50FC0513"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3159F2DD"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N_1</w:t>
            </w:r>
          </w:p>
        </w:tc>
        <w:tc>
          <w:tcPr>
            <w:tcW w:w="1200" w:type="dxa"/>
            <w:tcBorders>
              <w:top w:val="nil"/>
              <w:left w:val="nil"/>
              <w:bottom w:val="single" w:sz="4" w:space="0" w:color="auto"/>
              <w:right w:val="single" w:sz="4" w:space="0" w:color="auto"/>
            </w:tcBorders>
            <w:shd w:val="clear" w:color="auto" w:fill="auto"/>
            <w:noWrap/>
            <w:vAlign w:val="center"/>
            <w:hideMark/>
          </w:tcPr>
          <w:p w14:paraId="62C6D72F"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143.771</w:t>
            </w:r>
          </w:p>
        </w:tc>
        <w:tc>
          <w:tcPr>
            <w:tcW w:w="1600" w:type="dxa"/>
            <w:tcBorders>
              <w:top w:val="nil"/>
              <w:left w:val="nil"/>
              <w:bottom w:val="single" w:sz="4" w:space="0" w:color="auto"/>
              <w:right w:val="single" w:sz="4" w:space="0" w:color="auto"/>
            </w:tcBorders>
            <w:shd w:val="clear" w:color="auto" w:fill="auto"/>
            <w:noWrap/>
            <w:vAlign w:val="center"/>
            <w:hideMark/>
          </w:tcPr>
          <w:p w14:paraId="013A0A2F"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53.800</w:t>
            </w:r>
          </w:p>
        </w:tc>
        <w:tc>
          <w:tcPr>
            <w:tcW w:w="1200" w:type="dxa"/>
            <w:tcBorders>
              <w:top w:val="nil"/>
              <w:left w:val="nil"/>
              <w:bottom w:val="single" w:sz="4" w:space="0" w:color="auto"/>
              <w:right w:val="single" w:sz="4" w:space="0" w:color="auto"/>
            </w:tcBorders>
            <w:shd w:val="clear" w:color="auto" w:fill="auto"/>
            <w:noWrap/>
            <w:vAlign w:val="center"/>
            <w:hideMark/>
          </w:tcPr>
          <w:p w14:paraId="2AA553F7"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33.820</w:t>
            </w:r>
          </w:p>
        </w:tc>
        <w:tc>
          <w:tcPr>
            <w:tcW w:w="1200" w:type="dxa"/>
            <w:tcBorders>
              <w:top w:val="nil"/>
              <w:left w:val="nil"/>
              <w:bottom w:val="single" w:sz="4" w:space="0" w:color="auto"/>
              <w:right w:val="single" w:sz="4" w:space="0" w:color="auto"/>
            </w:tcBorders>
            <w:shd w:val="clear" w:color="auto" w:fill="auto"/>
            <w:noWrap/>
            <w:vAlign w:val="center"/>
            <w:hideMark/>
          </w:tcPr>
          <w:p w14:paraId="2392E8A0"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1.058</w:t>
            </w:r>
          </w:p>
        </w:tc>
        <w:tc>
          <w:tcPr>
            <w:tcW w:w="1200" w:type="dxa"/>
            <w:tcBorders>
              <w:top w:val="nil"/>
              <w:left w:val="nil"/>
              <w:bottom w:val="single" w:sz="4" w:space="0" w:color="auto"/>
              <w:right w:val="single" w:sz="4" w:space="0" w:color="auto"/>
            </w:tcBorders>
            <w:shd w:val="clear" w:color="auto" w:fill="auto"/>
            <w:noWrap/>
            <w:vAlign w:val="center"/>
            <w:hideMark/>
          </w:tcPr>
          <w:p w14:paraId="55F30273"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232.449</w:t>
            </w:r>
          </w:p>
        </w:tc>
        <w:tc>
          <w:tcPr>
            <w:tcW w:w="1520" w:type="dxa"/>
            <w:tcBorders>
              <w:top w:val="nil"/>
              <w:left w:val="nil"/>
              <w:bottom w:val="single" w:sz="4" w:space="0" w:color="auto"/>
              <w:right w:val="single" w:sz="4" w:space="0" w:color="auto"/>
            </w:tcBorders>
            <w:shd w:val="clear" w:color="auto" w:fill="auto"/>
            <w:noWrap/>
            <w:vAlign w:val="center"/>
            <w:hideMark/>
          </w:tcPr>
          <w:p w14:paraId="66B1E070"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121.380</w:t>
            </w:r>
          </w:p>
        </w:tc>
      </w:tr>
      <w:tr w:rsidR="009A09ED" w:rsidRPr="00E02C7F" w14:paraId="3D560B5C"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6F5B8251"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N_2</w:t>
            </w:r>
          </w:p>
        </w:tc>
        <w:tc>
          <w:tcPr>
            <w:tcW w:w="1200" w:type="dxa"/>
            <w:tcBorders>
              <w:top w:val="nil"/>
              <w:left w:val="nil"/>
              <w:bottom w:val="single" w:sz="4" w:space="0" w:color="auto"/>
              <w:right w:val="single" w:sz="4" w:space="0" w:color="auto"/>
            </w:tcBorders>
            <w:shd w:val="clear" w:color="auto" w:fill="auto"/>
            <w:noWrap/>
            <w:vAlign w:val="center"/>
            <w:hideMark/>
          </w:tcPr>
          <w:p w14:paraId="24A34428"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4.008</w:t>
            </w:r>
          </w:p>
        </w:tc>
        <w:tc>
          <w:tcPr>
            <w:tcW w:w="1600" w:type="dxa"/>
            <w:tcBorders>
              <w:top w:val="nil"/>
              <w:left w:val="nil"/>
              <w:bottom w:val="single" w:sz="4" w:space="0" w:color="auto"/>
              <w:right w:val="single" w:sz="4" w:space="0" w:color="auto"/>
            </w:tcBorders>
            <w:shd w:val="clear" w:color="auto" w:fill="auto"/>
            <w:noWrap/>
            <w:vAlign w:val="center"/>
            <w:hideMark/>
          </w:tcPr>
          <w:p w14:paraId="267A6735"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1.500</w:t>
            </w:r>
          </w:p>
        </w:tc>
        <w:tc>
          <w:tcPr>
            <w:tcW w:w="1200" w:type="dxa"/>
            <w:tcBorders>
              <w:top w:val="nil"/>
              <w:left w:val="nil"/>
              <w:bottom w:val="single" w:sz="4" w:space="0" w:color="auto"/>
              <w:right w:val="single" w:sz="4" w:space="0" w:color="auto"/>
            </w:tcBorders>
            <w:shd w:val="clear" w:color="auto" w:fill="auto"/>
            <w:noWrap/>
            <w:vAlign w:val="center"/>
            <w:hideMark/>
          </w:tcPr>
          <w:p w14:paraId="40D62A54"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943</w:t>
            </w:r>
          </w:p>
        </w:tc>
        <w:tc>
          <w:tcPr>
            <w:tcW w:w="1200" w:type="dxa"/>
            <w:tcBorders>
              <w:top w:val="nil"/>
              <w:left w:val="nil"/>
              <w:bottom w:val="single" w:sz="4" w:space="0" w:color="auto"/>
              <w:right w:val="single" w:sz="4" w:space="0" w:color="auto"/>
            </w:tcBorders>
            <w:shd w:val="clear" w:color="auto" w:fill="auto"/>
            <w:noWrap/>
            <w:vAlign w:val="center"/>
            <w:hideMark/>
          </w:tcPr>
          <w:p w14:paraId="7322BCB1"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26</w:t>
            </w:r>
          </w:p>
        </w:tc>
        <w:tc>
          <w:tcPr>
            <w:tcW w:w="1200" w:type="dxa"/>
            <w:tcBorders>
              <w:top w:val="nil"/>
              <w:left w:val="nil"/>
              <w:bottom w:val="single" w:sz="4" w:space="0" w:color="auto"/>
              <w:right w:val="single" w:sz="4" w:space="0" w:color="auto"/>
            </w:tcBorders>
            <w:shd w:val="clear" w:color="auto" w:fill="auto"/>
            <w:noWrap/>
            <w:vAlign w:val="center"/>
            <w:hideMark/>
          </w:tcPr>
          <w:p w14:paraId="16ADCCE3"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6.477</w:t>
            </w:r>
          </w:p>
        </w:tc>
        <w:tc>
          <w:tcPr>
            <w:tcW w:w="1520" w:type="dxa"/>
            <w:tcBorders>
              <w:top w:val="nil"/>
              <w:left w:val="nil"/>
              <w:bottom w:val="single" w:sz="4" w:space="0" w:color="auto"/>
              <w:right w:val="single" w:sz="4" w:space="0" w:color="auto"/>
            </w:tcBorders>
            <w:shd w:val="clear" w:color="auto" w:fill="auto"/>
            <w:noWrap/>
            <w:vAlign w:val="center"/>
            <w:hideMark/>
          </w:tcPr>
          <w:p w14:paraId="2499DA3D"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3.384</w:t>
            </w:r>
          </w:p>
        </w:tc>
      </w:tr>
      <w:tr w:rsidR="009A09ED" w:rsidRPr="00E02C7F" w14:paraId="604C0149"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28FEA0EA"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N_3</w:t>
            </w:r>
          </w:p>
        </w:tc>
        <w:tc>
          <w:tcPr>
            <w:tcW w:w="1200" w:type="dxa"/>
            <w:tcBorders>
              <w:top w:val="nil"/>
              <w:left w:val="nil"/>
              <w:bottom w:val="single" w:sz="4" w:space="0" w:color="auto"/>
              <w:right w:val="single" w:sz="4" w:space="0" w:color="auto"/>
            </w:tcBorders>
            <w:shd w:val="clear" w:color="auto" w:fill="auto"/>
            <w:noWrap/>
            <w:vAlign w:val="center"/>
            <w:hideMark/>
          </w:tcPr>
          <w:p w14:paraId="4B6FF857"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134.669</w:t>
            </w:r>
          </w:p>
        </w:tc>
        <w:tc>
          <w:tcPr>
            <w:tcW w:w="1600" w:type="dxa"/>
            <w:tcBorders>
              <w:top w:val="nil"/>
              <w:left w:val="nil"/>
              <w:bottom w:val="single" w:sz="4" w:space="0" w:color="auto"/>
              <w:right w:val="single" w:sz="4" w:space="0" w:color="auto"/>
            </w:tcBorders>
            <w:shd w:val="clear" w:color="auto" w:fill="auto"/>
            <w:noWrap/>
            <w:vAlign w:val="center"/>
            <w:hideMark/>
          </w:tcPr>
          <w:p w14:paraId="2196F873"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50.394</w:t>
            </w:r>
          </w:p>
        </w:tc>
        <w:tc>
          <w:tcPr>
            <w:tcW w:w="1200" w:type="dxa"/>
            <w:tcBorders>
              <w:top w:val="nil"/>
              <w:left w:val="nil"/>
              <w:bottom w:val="single" w:sz="4" w:space="0" w:color="auto"/>
              <w:right w:val="single" w:sz="4" w:space="0" w:color="auto"/>
            </w:tcBorders>
            <w:shd w:val="clear" w:color="auto" w:fill="auto"/>
            <w:noWrap/>
            <w:vAlign w:val="center"/>
            <w:hideMark/>
          </w:tcPr>
          <w:p w14:paraId="37C61B42"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31.678</w:t>
            </w:r>
          </w:p>
        </w:tc>
        <w:tc>
          <w:tcPr>
            <w:tcW w:w="1200" w:type="dxa"/>
            <w:tcBorders>
              <w:top w:val="nil"/>
              <w:left w:val="nil"/>
              <w:bottom w:val="single" w:sz="4" w:space="0" w:color="auto"/>
              <w:right w:val="single" w:sz="4" w:space="0" w:color="auto"/>
            </w:tcBorders>
            <w:shd w:val="clear" w:color="auto" w:fill="auto"/>
            <w:noWrap/>
            <w:vAlign w:val="center"/>
            <w:hideMark/>
          </w:tcPr>
          <w:p w14:paraId="461097C1"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1.080</w:t>
            </w:r>
          </w:p>
        </w:tc>
        <w:tc>
          <w:tcPr>
            <w:tcW w:w="1200" w:type="dxa"/>
            <w:tcBorders>
              <w:top w:val="nil"/>
              <w:left w:val="nil"/>
              <w:bottom w:val="single" w:sz="4" w:space="0" w:color="auto"/>
              <w:right w:val="single" w:sz="4" w:space="0" w:color="auto"/>
            </w:tcBorders>
            <w:shd w:val="clear" w:color="auto" w:fill="auto"/>
            <w:noWrap/>
            <w:vAlign w:val="center"/>
            <w:hideMark/>
          </w:tcPr>
          <w:p w14:paraId="059AACB8"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217.821</w:t>
            </w:r>
          </w:p>
        </w:tc>
        <w:tc>
          <w:tcPr>
            <w:tcW w:w="1520" w:type="dxa"/>
            <w:tcBorders>
              <w:top w:val="nil"/>
              <w:left w:val="nil"/>
              <w:bottom w:val="single" w:sz="4" w:space="0" w:color="auto"/>
              <w:right w:val="single" w:sz="4" w:space="0" w:color="auto"/>
            </w:tcBorders>
            <w:shd w:val="clear" w:color="auto" w:fill="auto"/>
            <w:noWrap/>
            <w:vAlign w:val="center"/>
            <w:hideMark/>
          </w:tcPr>
          <w:p w14:paraId="19E0CE03"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113.695</w:t>
            </w:r>
          </w:p>
        </w:tc>
      </w:tr>
      <w:tr w:rsidR="009A09ED" w:rsidRPr="00E02C7F" w14:paraId="7DD5583F"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5EDA3033"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N_4</w:t>
            </w:r>
          </w:p>
        </w:tc>
        <w:tc>
          <w:tcPr>
            <w:tcW w:w="1200" w:type="dxa"/>
            <w:tcBorders>
              <w:top w:val="nil"/>
              <w:left w:val="nil"/>
              <w:bottom w:val="single" w:sz="4" w:space="0" w:color="auto"/>
              <w:right w:val="single" w:sz="4" w:space="0" w:color="auto"/>
            </w:tcBorders>
            <w:shd w:val="clear" w:color="auto" w:fill="auto"/>
            <w:noWrap/>
            <w:vAlign w:val="center"/>
            <w:hideMark/>
          </w:tcPr>
          <w:p w14:paraId="7377F6D5"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257.682</w:t>
            </w:r>
          </w:p>
        </w:tc>
        <w:tc>
          <w:tcPr>
            <w:tcW w:w="1600" w:type="dxa"/>
            <w:tcBorders>
              <w:top w:val="nil"/>
              <w:left w:val="nil"/>
              <w:bottom w:val="single" w:sz="4" w:space="0" w:color="auto"/>
              <w:right w:val="single" w:sz="4" w:space="0" w:color="auto"/>
            </w:tcBorders>
            <w:shd w:val="clear" w:color="auto" w:fill="auto"/>
            <w:noWrap/>
            <w:vAlign w:val="center"/>
            <w:hideMark/>
          </w:tcPr>
          <w:p w14:paraId="5C452F34"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96.427</w:t>
            </w:r>
          </w:p>
        </w:tc>
        <w:tc>
          <w:tcPr>
            <w:tcW w:w="1200" w:type="dxa"/>
            <w:tcBorders>
              <w:top w:val="nil"/>
              <w:left w:val="nil"/>
              <w:bottom w:val="single" w:sz="4" w:space="0" w:color="auto"/>
              <w:right w:val="single" w:sz="4" w:space="0" w:color="auto"/>
            </w:tcBorders>
            <w:shd w:val="clear" w:color="auto" w:fill="auto"/>
            <w:noWrap/>
            <w:vAlign w:val="center"/>
            <w:hideMark/>
          </w:tcPr>
          <w:p w14:paraId="6530D865"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60.615</w:t>
            </w:r>
          </w:p>
        </w:tc>
        <w:tc>
          <w:tcPr>
            <w:tcW w:w="1200" w:type="dxa"/>
            <w:tcBorders>
              <w:top w:val="nil"/>
              <w:left w:val="nil"/>
              <w:bottom w:val="single" w:sz="4" w:space="0" w:color="auto"/>
              <w:right w:val="single" w:sz="4" w:space="0" w:color="auto"/>
            </w:tcBorders>
            <w:shd w:val="clear" w:color="auto" w:fill="auto"/>
            <w:noWrap/>
            <w:vAlign w:val="center"/>
            <w:hideMark/>
          </w:tcPr>
          <w:p w14:paraId="1DEA9A39"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200" w:type="dxa"/>
            <w:tcBorders>
              <w:top w:val="nil"/>
              <w:left w:val="nil"/>
              <w:bottom w:val="single" w:sz="4" w:space="0" w:color="auto"/>
              <w:right w:val="single" w:sz="4" w:space="0" w:color="auto"/>
            </w:tcBorders>
            <w:shd w:val="clear" w:color="auto" w:fill="auto"/>
            <w:noWrap/>
            <w:vAlign w:val="center"/>
            <w:hideMark/>
          </w:tcPr>
          <w:p w14:paraId="4C2B3607"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414.724</w:t>
            </w:r>
          </w:p>
        </w:tc>
        <w:tc>
          <w:tcPr>
            <w:tcW w:w="1520" w:type="dxa"/>
            <w:tcBorders>
              <w:top w:val="nil"/>
              <w:left w:val="nil"/>
              <w:bottom w:val="single" w:sz="4" w:space="0" w:color="auto"/>
              <w:right w:val="single" w:sz="4" w:space="0" w:color="auto"/>
            </w:tcBorders>
            <w:shd w:val="clear" w:color="auto" w:fill="auto"/>
            <w:noWrap/>
            <w:vAlign w:val="center"/>
            <w:hideMark/>
          </w:tcPr>
          <w:p w14:paraId="30C482A9"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217.550</w:t>
            </w:r>
          </w:p>
        </w:tc>
      </w:tr>
      <w:tr w:rsidR="009A09ED" w:rsidRPr="00E02C7F" w14:paraId="080A0C81"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7CA75455"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N_5</w:t>
            </w:r>
          </w:p>
        </w:tc>
        <w:tc>
          <w:tcPr>
            <w:tcW w:w="1200" w:type="dxa"/>
            <w:tcBorders>
              <w:top w:val="nil"/>
              <w:left w:val="nil"/>
              <w:bottom w:val="single" w:sz="4" w:space="0" w:color="auto"/>
              <w:right w:val="single" w:sz="4" w:space="0" w:color="auto"/>
            </w:tcBorders>
            <w:shd w:val="clear" w:color="auto" w:fill="auto"/>
            <w:noWrap/>
            <w:vAlign w:val="center"/>
            <w:hideMark/>
          </w:tcPr>
          <w:p w14:paraId="3A5B2CDA"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12.450</w:t>
            </w:r>
          </w:p>
        </w:tc>
        <w:tc>
          <w:tcPr>
            <w:tcW w:w="1600" w:type="dxa"/>
            <w:tcBorders>
              <w:top w:val="nil"/>
              <w:left w:val="nil"/>
              <w:bottom w:val="single" w:sz="4" w:space="0" w:color="auto"/>
              <w:right w:val="single" w:sz="4" w:space="0" w:color="auto"/>
            </w:tcBorders>
            <w:shd w:val="clear" w:color="auto" w:fill="auto"/>
            <w:noWrap/>
            <w:vAlign w:val="center"/>
            <w:hideMark/>
          </w:tcPr>
          <w:p w14:paraId="56D4774B"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4.659</w:t>
            </w:r>
          </w:p>
        </w:tc>
        <w:tc>
          <w:tcPr>
            <w:tcW w:w="1200" w:type="dxa"/>
            <w:tcBorders>
              <w:top w:val="nil"/>
              <w:left w:val="nil"/>
              <w:bottom w:val="single" w:sz="4" w:space="0" w:color="auto"/>
              <w:right w:val="single" w:sz="4" w:space="0" w:color="auto"/>
            </w:tcBorders>
            <w:shd w:val="clear" w:color="auto" w:fill="auto"/>
            <w:noWrap/>
            <w:vAlign w:val="center"/>
            <w:hideMark/>
          </w:tcPr>
          <w:p w14:paraId="2FF158C1"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2.929</w:t>
            </w:r>
          </w:p>
        </w:tc>
        <w:tc>
          <w:tcPr>
            <w:tcW w:w="1200" w:type="dxa"/>
            <w:tcBorders>
              <w:top w:val="nil"/>
              <w:left w:val="nil"/>
              <w:bottom w:val="single" w:sz="4" w:space="0" w:color="auto"/>
              <w:right w:val="single" w:sz="4" w:space="0" w:color="auto"/>
            </w:tcBorders>
            <w:shd w:val="clear" w:color="auto" w:fill="auto"/>
            <w:noWrap/>
            <w:vAlign w:val="center"/>
            <w:hideMark/>
          </w:tcPr>
          <w:p w14:paraId="58E6BC27"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80</w:t>
            </w:r>
          </w:p>
        </w:tc>
        <w:tc>
          <w:tcPr>
            <w:tcW w:w="1200" w:type="dxa"/>
            <w:tcBorders>
              <w:top w:val="nil"/>
              <w:left w:val="nil"/>
              <w:bottom w:val="single" w:sz="4" w:space="0" w:color="auto"/>
              <w:right w:val="single" w:sz="4" w:space="0" w:color="auto"/>
            </w:tcBorders>
            <w:shd w:val="clear" w:color="auto" w:fill="auto"/>
            <w:noWrap/>
            <w:vAlign w:val="center"/>
            <w:hideMark/>
          </w:tcPr>
          <w:p w14:paraId="26CD0E6B"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20.117</w:t>
            </w:r>
          </w:p>
        </w:tc>
        <w:tc>
          <w:tcPr>
            <w:tcW w:w="1520" w:type="dxa"/>
            <w:tcBorders>
              <w:top w:val="nil"/>
              <w:left w:val="nil"/>
              <w:bottom w:val="single" w:sz="4" w:space="0" w:color="auto"/>
              <w:right w:val="single" w:sz="4" w:space="0" w:color="auto"/>
            </w:tcBorders>
            <w:shd w:val="clear" w:color="auto" w:fill="auto"/>
            <w:noWrap/>
            <w:vAlign w:val="center"/>
            <w:hideMark/>
          </w:tcPr>
          <w:p w14:paraId="23AEE814"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10.511</w:t>
            </w:r>
          </w:p>
        </w:tc>
      </w:tr>
      <w:tr w:rsidR="009A09ED" w:rsidRPr="00E02C7F" w14:paraId="23F08401"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048E5E0D"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N_6</w:t>
            </w:r>
          </w:p>
        </w:tc>
        <w:tc>
          <w:tcPr>
            <w:tcW w:w="1200" w:type="dxa"/>
            <w:tcBorders>
              <w:top w:val="nil"/>
              <w:left w:val="nil"/>
              <w:bottom w:val="single" w:sz="4" w:space="0" w:color="auto"/>
              <w:right w:val="single" w:sz="4" w:space="0" w:color="auto"/>
            </w:tcBorders>
            <w:shd w:val="clear" w:color="auto" w:fill="auto"/>
            <w:noWrap/>
            <w:vAlign w:val="center"/>
            <w:hideMark/>
          </w:tcPr>
          <w:p w14:paraId="64BABA24"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34.761</w:t>
            </w:r>
          </w:p>
        </w:tc>
        <w:tc>
          <w:tcPr>
            <w:tcW w:w="1600" w:type="dxa"/>
            <w:tcBorders>
              <w:top w:val="nil"/>
              <w:left w:val="nil"/>
              <w:bottom w:val="single" w:sz="4" w:space="0" w:color="auto"/>
              <w:right w:val="single" w:sz="4" w:space="0" w:color="auto"/>
            </w:tcBorders>
            <w:shd w:val="clear" w:color="auto" w:fill="auto"/>
            <w:noWrap/>
            <w:vAlign w:val="center"/>
            <w:hideMark/>
          </w:tcPr>
          <w:p w14:paraId="6A83D15D"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13.008</w:t>
            </w:r>
          </w:p>
        </w:tc>
        <w:tc>
          <w:tcPr>
            <w:tcW w:w="1200" w:type="dxa"/>
            <w:tcBorders>
              <w:top w:val="nil"/>
              <w:left w:val="nil"/>
              <w:bottom w:val="single" w:sz="4" w:space="0" w:color="auto"/>
              <w:right w:val="single" w:sz="4" w:space="0" w:color="auto"/>
            </w:tcBorders>
            <w:shd w:val="clear" w:color="auto" w:fill="auto"/>
            <w:noWrap/>
            <w:vAlign w:val="center"/>
            <w:hideMark/>
          </w:tcPr>
          <w:p w14:paraId="5E03D844"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8.177</w:t>
            </w:r>
          </w:p>
        </w:tc>
        <w:tc>
          <w:tcPr>
            <w:tcW w:w="1200" w:type="dxa"/>
            <w:tcBorders>
              <w:top w:val="nil"/>
              <w:left w:val="nil"/>
              <w:bottom w:val="single" w:sz="4" w:space="0" w:color="auto"/>
              <w:right w:val="single" w:sz="4" w:space="0" w:color="auto"/>
            </w:tcBorders>
            <w:shd w:val="clear" w:color="auto" w:fill="auto"/>
            <w:noWrap/>
            <w:vAlign w:val="center"/>
            <w:hideMark/>
          </w:tcPr>
          <w:p w14:paraId="548C8FBB"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256</w:t>
            </w:r>
          </w:p>
        </w:tc>
        <w:tc>
          <w:tcPr>
            <w:tcW w:w="1200" w:type="dxa"/>
            <w:tcBorders>
              <w:top w:val="nil"/>
              <w:left w:val="nil"/>
              <w:bottom w:val="single" w:sz="4" w:space="0" w:color="auto"/>
              <w:right w:val="single" w:sz="4" w:space="0" w:color="auto"/>
            </w:tcBorders>
            <w:shd w:val="clear" w:color="auto" w:fill="auto"/>
            <w:noWrap/>
            <w:vAlign w:val="center"/>
            <w:hideMark/>
          </w:tcPr>
          <w:p w14:paraId="2F72C968"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56.201</w:t>
            </w:r>
          </w:p>
        </w:tc>
        <w:tc>
          <w:tcPr>
            <w:tcW w:w="1520" w:type="dxa"/>
            <w:tcBorders>
              <w:top w:val="nil"/>
              <w:left w:val="nil"/>
              <w:bottom w:val="single" w:sz="4" w:space="0" w:color="auto"/>
              <w:right w:val="single" w:sz="4" w:space="0" w:color="auto"/>
            </w:tcBorders>
            <w:shd w:val="clear" w:color="auto" w:fill="auto"/>
            <w:noWrap/>
            <w:vAlign w:val="center"/>
            <w:hideMark/>
          </w:tcPr>
          <w:p w14:paraId="61A577C4"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29.347</w:t>
            </w:r>
          </w:p>
        </w:tc>
      </w:tr>
      <w:tr w:rsidR="009A09ED" w:rsidRPr="00E02C7F" w14:paraId="5C4B3A48"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5D04E01F"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N_7</w:t>
            </w:r>
          </w:p>
        </w:tc>
        <w:tc>
          <w:tcPr>
            <w:tcW w:w="1200" w:type="dxa"/>
            <w:tcBorders>
              <w:top w:val="nil"/>
              <w:left w:val="nil"/>
              <w:bottom w:val="single" w:sz="4" w:space="0" w:color="auto"/>
              <w:right w:val="single" w:sz="4" w:space="0" w:color="auto"/>
            </w:tcBorders>
            <w:shd w:val="clear" w:color="auto" w:fill="auto"/>
            <w:noWrap/>
            <w:vAlign w:val="center"/>
            <w:hideMark/>
          </w:tcPr>
          <w:p w14:paraId="1F16E339"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2.766.369</w:t>
            </w:r>
          </w:p>
        </w:tc>
        <w:tc>
          <w:tcPr>
            <w:tcW w:w="1600" w:type="dxa"/>
            <w:tcBorders>
              <w:top w:val="nil"/>
              <w:left w:val="nil"/>
              <w:bottom w:val="single" w:sz="4" w:space="0" w:color="auto"/>
              <w:right w:val="single" w:sz="4" w:space="0" w:color="auto"/>
            </w:tcBorders>
            <w:shd w:val="clear" w:color="auto" w:fill="auto"/>
            <w:noWrap/>
            <w:vAlign w:val="center"/>
            <w:hideMark/>
          </w:tcPr>
          <w:p w14:paraId="4C17D301"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1.035.197</w:t>
            </w:r>
          </w:p>
        </w:tc>
        <w:tc>
          <w:tcPr>
            <w:tcW w:w="1200" w:type="dxa"/>
            <w:tcBorders>
              <w:top w:val="nil"/>
              <w:left w:val="nil"/>
              <w:bottom w:val="single" w:sz="4" w:space="0" w:color="auto"/>
              <w:right w:val="single" w:sz="4" w:space="0" w:color="auto"/>
            </w:tcBorders>
            <w:shd w:val="clear" w:color="auto" w:fill="auto"/>
            <w:noWrap/>
            <w:vAlign w:val="center"/>
            <w:hideMark/>
          </w:tcPr>
          <w:p w14:paraId="4906AA46"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650.737</w:t>
            </w:r>
          </w:p>
        </w:tc>
        <w:tc>
          <w:tcPr>
            <w:tcW w:w="1200" w:type="dxa"/>
            <w:tcBorders>
              <w:top w:val="nil"/>
              <w:left w:val="nil"/>
              <w:bottom w:val="single" w:sz="4" w:space="0" w:color="auto"/>
              <w:right w:val="single" w:sz="4" w:space="0" w:color="auto"/>
            </w:tcBorders>
            <w:shd w:val="clear" w:color="auto" w:fill="auto"/>
            <w:noWrap/>
            <w:vAlign w:val="center"/>
            <w:hideMark/>
          </w:tcPr>
          <w:p w14:paraId="1FBF2243"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28.895</w:t>
            </w:r>
          </w:p>
        </w:tc>
        <w:tc>
          <w:tcPr>
            <w:tcW w:w="1200" w:type="dxa"/>
            <w:tcBorders>
              <w:top w:val="nil"/>
              <w:left w:val="nil"/>
              <w:bottom w:val="single" w:sz="4" w:space="0" w:color="auto"/>
              <w:right w:val="single" w:sz="4" w:space="0" w:color="auto"/>
            </w:tcBorders>
            <w:shd w:val="clear" w:color="auto" w:fill="auto"/>
            <w:noWrap/>
            <w:vAlign w:val="center"/>
            <w:hideMark/>
          </w:tcPr>
          <w:p w14:paraId="02922E39"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4.481.197</w:t>
            </w:r>
          </w:p>
        </w:tc>
        <w:tc>
          <w:tcPr>
            <w:tcW w:w="1520" w:type="dxa"/>
            <w:tcBorders>
              <w:top w:val="nil"/>
              <w:left w:val="nil"/>
              <w:bottom w:val="single" w:sz="4" w:space="0" w:color="auto"/>
              <w:right w:val="single" w:sz="4" w:space="0" w:color="auto"/>
            </w:tcBorders>
            <w:shd w:val="clear" w:color="auto" w:fill="auto"/>
            <w:noWrap/>
            <w:vAlign w:val="center"/>
            <w:hideMark/>
          </w:tcPr>
          <w:p w14:paraId="3D03F7EE"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2.335.528</w:t>
            </w:r>
          </w:p>
        </w:tc>
      </w:tr>
      <w:tr w:rsidR="009A09ED" w:rsidRPr="00E02C7F" w14:paraId="6F07C6C9"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4D07BE50"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N_8</w:t>
            </w:r>
          </w:p>
        </w:tc>
        <w:tc>
          <w:tcPr>
            <w:tcW w:w="1200" w:type="dxa"/>
            <w:tcBorders>
              <w:top w:val="nil"/>
              <w:left w:val="nil"/>
              <w:bottom w:val="single" w:sz="4" w:space="0" w:color="auto"/>
              <w:right w:val="single" w:sz="4" w:space="0" w:color="auto"/>
            </w:tcBorders>
            <w:shd w:val="clear" w:color="auto" w:fill="auto"/>
            <w:noWrap/>
            <w:vAlign w:val="center"/>
            <w:hideMark/>
          </w:tcPr>
          <w:p w14:paraId="3D1CDAF4"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72.771</w:t>
            </w:r>
          </w:p>
        </w:tc>
        <w:tc>
          <w:tcPr>
            <w:tcW w:w="1600" w:type="dxa"/>
            <w:tcBorders>
              <w:top w:val="nil"/>
              <w:left w:val="nil"/>
              <w:bottom w:val="single" w:sz="4" w:space="0" w:color="auto"/>
              <w:right w:val="single" w:sz="4" w:space="0" w:color="auto"/>
            </w:tcBorders>
            <w:shd w:val="clear" w:color="auto" w:fill="auto"/>
            <w:noWrap/>
            <w:vAlign w:val="center"/>
            <w:hideMark/>
          </w:tcPr>
          <w:p w14:paraId="17089EF5"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27.231</w:t>
            </w:r>
          </w:p>
        </w:tc>
        <w:tc>
          <w:tcPr>
            <w:tcW w:w="1200" w:type="dxa"/>
            <w:tcBorders>
              <w:top w:val="nil"/>
              <w:left w:val="nil"/>
              <w:bottom w:val="single" w:sz="4" w:space="0" w:color="auto"/>
              <w:right w:val="single" w:sz="4" w:space="0" w:color="auto"/>
            </w:tcBorders>
            <w:shd w:val="clear" w:color="auto" w:fill="auto"/>
            <w:noWrap/>
            <w:vAlign w:val="center"/>
            <w:hideMark/>
          </w:tcPr>
          <w:p w14:paraId="40C6C817"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17.118</w:t>
            </w:r>
          </w:p>
        </w:tc>
        <w:tc>
          <w:tcPr>
            <w:tcW w:w="1200" w:type="dxa"/>
            <w:tcBorders>
              <w:top w:val="nil"/>
              <w:left w:val="nil"/>
              <w:bottom w:val="single" w:sz="4" w:space="0" w:color="auto"/>
              <w:right w:val="single" w:sz="4" w:space="0" w:color="auto"/>
            </w:tcBorders>
            <w:shd w:val="clear" w:color="auto" w:fill="auto"/>
            <w:noWrap/>
            <w:vAlign w:val="center"/>
            <w:hideMark/>
          </w:tcPr>
          <w:p w14:paraId="24F6DED8"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536</w:t>
            </w:r>
          </w:p>
        </w:tc>
        <w:tc>
          <w:tcPr>
            <w:tcW w:w="1200" w:type="dxa"/>
            <w:tcBorders>
              <w:top w:val="nil"/>
              <w:left w:val="nil"/>
              <w:bottom w:val="single" w:sz="4" w:space="0" w:color="auto"/>
              <w:right w:val="single" w:sz="4" w:space="0" w:color="auto"/>
            </w:tcBorders>
            <w:shd w:val="clear" w:color="auto" w:fill="auto"/>
            <w:noWrap/>
            <w:vAlign w:val="center"/>
            <w:hideMark/>
          </w:tcPr>
          <w:p w14:paraId="2DCFB8B2"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117.656</w:t>
            </w:r>
          </w:p>
        </w:tc>
        <w:tc>
          <w:tcPr>
            <w:tcW w:w="1520" w:type="dxa"/>
            <w:tcBorders>
              <w:top w:val="nil"/>
              <w:left w:val="nil"/>
              <w:bottom w:val="single" w:sz="4" w:space="0" w:color="auto"/>
              <w:right w:val="single" w:sz="4" w:space="0" w:color="auto"/>
            </w:tcBorders>
            <w:shd w:val="clear" w:color="auto" w:fill="auto"/>
            <w:noWrap/>
            <w:vAlign w:val="center"/>
            <w:hideMark/>
          </w:tcPr>
          <w:p w14:paraId="14ED4F4C"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61.437</w:t>
            </w:r>
          </w:p>
        </w:tc>
      </w:tr>
      <w:tr w:rsidR="009A09ED" w:rsidRPr="00E02C7F" w14:paraId="1021ED29"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1862055B"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N_9</w:t>
            </w:r>
          </w:p>
        </w:tc>
        <w:tc>
          <w:tcPr>
            <w:tcW w:w="1200" w:type="dxa"/>
            <w:tcBorders>
              <w:top w:val="nil"/>
              <w:left w:val="nil"/>
              <w:bottom w:val="single" w:sz="4" w:space="0" w:color="auto"/>
              <w:right w:val="single" w:sz="4" w:space="0" w:color="auto"/>
            </w:tcBorders>
            <w:shd w:val="clear" w:color="auto" w:fill="auto"/>
            <w:noWrap/>
            <w:vAlign w:val="center"/>
            <w:hideMark/>
          </w:tcPr>
          <w:p w14:paraId="037442F6"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2.562</w:t>
            </w:r>
          </w:p>
        </w:tc>
        <w:tc>
          <w:tcPr>
            <w:tcW w:w="1600" w:type="dxa"/>
            <w:tcBorders>
              <w:top w:val="nil"/>
              <w:left w:val="nil"/>
              <w:bottom w:val="single" w:sz="4" w:space="0" w:color="auto"/>
              <w:right w:val="single" w:sz="4" w:space="0" w:color="auto"/>
            </w:tcBorders>
            <w:shd w:val="clear" w:color="auto" w:fill="auto"/>
            <w:noWrap/>
            <w:vAlign w:val="center"/>
            <w:hideMark/>
          </w:tcPr>
          <w:p w14:paraId="1E39951C"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959</w:t>
            </w:r>
          </w:p>
        </w:tc>
        <w:tc>
          <w:tcPr>
            <w:tcW w:w="1200" w:type="dxa"/>
            <w:tcBorders>
              <w:top w:val="nil"/>
              <w:left w:val="nil"/>
              <w:bottom w:val="single" w:sz="4" w:space="0" w:color="auto"/>
              <w:right w:val="single" w:sz="4" w:space="0" w:color="auto"/>
            </w:tcBorders>
            <w:shd w:val="clear" w:color="auto" w:fill="auto"/>
            <w:noWrap/>
            <w:vAlign w:val="center"/>
            <w:hideMark/>
          </w:tcPr>
          <w:p w14:paraId="221A206D"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603</w:t>
            </w:r>
          </w:p>
        </w:tc>
        <w:tc>
          <w:tcPr>
            <w:tcW w:w="1200" w:type="dxa"/>
            <w:tcBorders>
              <w:top w:val="nil"/>
              <w:left w:val="nil"/>
              <w:bottom w:val="single" w:sz="4" w:space="0" w:color="auto"/>
              <w:right w:val="single" w:sz="4" w:space="0" w:color="auto"/>
            </w:tcBorders>
            <w:shd w:val="clear" w:color="auto" w:fill="auto"/>
            <w:noWrap/>
            <w:vAlign w:val="center"/>
            <w:hideMark/>
          </w:tcPr>
          <w:p w14:paraId="5F5AB37D"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17</w:t>
            </w:r>
          </w:p>
        </w:tc>
        <w:tc>
          <w:tcPr>
            <w:tcW w:w="1200" w:type="dxa"/>
            <w:tcBorders>
              <w:top w:val="nil"/>
              <w:left w:val="nil"/>
              <w:bottom w:val="single" w:sz="4" w:space="0" w:color="auto"/>
              <w:right w:val="single" w:sz="4" w:space="0" w:color="auto"/>
            </w:tcBorders>
            <w:shd w:val="clear" w:color="auto" w:fill="auto"/>
            <w:noWrap/>
            <w:vAlign w:val="center"/>
            <w:hideMark/>
          </w:tcPr>
          <w:p w14:paraId="35A49D99"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4.140</w:t>
            </w:r>
          </w:p>
        </w:tc>
        <w:tc>
          <w:tcPr>
            <w:tcW w:w="1520" w:type="dxa"/>
            <w:tcBorders>
              <w:top w:val="nil"/>
              <w:left w:val="nil"/>
              <w:bottom w:val="single" w:sz="4" w:space="0" w:color="auto"/>
              <w:right w:val="single" w:sz="4" w:space="0" w:color="auto"/>
            </w:tcBorders>
            <w:shd w:val="clear" w:color="auto" w:fill="auto"/>
            <w:noWrap/>
            <w:vAlign w:val="center"/>
            <w:hideMark/>
          </w:tcPr>
          <w:p w14:paraId="073ED299"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2.163</w:t>
            </w:r>
          </w:p>
        </w:tc>
      </w:tr>
      <w:tr w:rsidR="009A09ED" w:rsidRPr="00E02C7F" w14:paraId="497B848B"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0093EC81"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N_10</w:t>
            </w:r>
          </w:p>
        </w:tc>
        <w:tc>
          <w:tcPr>
            <w:tcW w:w="1200" w:type="dxa"/>
            <w:tcBorders>
              <w:top w:val="nil"/>
              <w:left w:val="nil"/>
              <w:bottom w:val="single" w:sz="4" w:space="0" w:color="auto"/>
              <w:right w:val="single" w:sz="4" w:space="0" w:color="auto"/>
            </w:tcBorders>
            <w:shd w:val="clear" w:color="auto" w:fill="auto"/>
            <w:noWrap/>
            <w:vAlign w:val="center"/>
            <w:hideMark/>
          </w:tcPr>
          <w:p w14:paraId="45E4C397"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113.277</w:t>
            </w:r>
          </w:p>
        </w:tc>
        <w:tc>
          <w:tcPr>
            <w:tcW w:w="1600" w:type="dxa"/>
            <w:tcBorders>
              <w:top w:val="nil"/>
              <w:left w:val="nil"/>
              <w:bottom w:val="single" w:sz="4" w:space="0" w:color="auto"/>
              <w:right w:val="single" w:sz="4" w:space="0" w:color="auto"/>
            </w:tcBorders>
            <w:shd w:val="clear" w:color="auto" w:fill="auto"/>
            <w:noWrap/>
            <w:vAlign w:val="center"/>
            <w:hideMark/>
          </w:tcPr>
          <w:p w14:paraId="74305092"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42.389</w:t>
            </w:r>
          </w:p>
        </w:tc>
        <w:tc>
          <w:tcPr>
            <w:tcW w:w="1200" w:type="dxa"/>
            <w:tcBorders>
              <w:top w:val="nil"/>
              <w:left w:val="nil"/>
              <w:bottom w:val="single" w:sz="4" w:space="0" w:color="auto"/>
              <w:right w:val="single" w:sz="4" w:space="0" w:color="auto"/>
            </w:tcBorders>
            <w:shd w:val="clear" w:color="auto" w:fill="auto"/>
            <w:noWrap/>
            <w:vAlign w:val="center"/>
            <w:hideMark/>
          </w:tcPr>
          <w:p w14:paraId="7C8FD8BD"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26.646</w:t>
            </w:r>
          </w:p>
        </w:tc>
        <w:tc>
          <w:tcPr>
            <w:tcW w:w="1200" w:type="dxa"/>
            <w:tcBorders>
              <w:top w:val="nil"/>
              <w:left w:val="nil"/>
              <w:bottom w:val="single" w:sz="4" w:space="0" w:color="auto"/>
              <w:right w:val="single" w:sz="4" w:space="0" w:color="auto"/>
            </w:tcBorders>
            <w:shd w:val="clear" w:color="auto" w:fill="auto"/>
            <w:noWrap/>
            <w:vAlign w:val="center"/>
            <w:hideMark/>
          </w:tcPr>
          <w:p w14:paraId="357AB37C"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834</w:t>
            </w:r>
          </w:p>
        </w:tc>
        <w:tc>
          <w:tcPr>
            <w:tcW w:w="1200" w:type="dxa"/>
            <w:tcBorders>
              <w:top w:val="nil"/>
              <w:left w:val="nil"/>
              <w:bottom w:val="single" w:sz="4" w:space="0" w:color="auto"/>
              <w:right w:val="single" w:sz="4" w:space="0" w:color="auto"/>
            </w:tcBorders>
            <w:shd w:val="clear" w:color="auto" w:fill="auto"/>
            <w:noWrap/>
            <w:vAlign w:val="center"/>
            <w:hideMark/>
          </w:tcPr>
          <w:p w14:paraId="3F447A62"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183.147</w:t>
            </w:r>
          </w:p>
        </w:tc>
        <w:tc>
          <w:tcPr>
            <w:tcW w:w="1520" w:type="dxa"/>
            <w:tcBorders>
              <w:top w:val="nil"/>
              <w:left w:val="nil"/>
              <w:bottom w:val="single" w:sz="4" w:space="0" w:color="auto"/>
              <w:right w:val="single" w:sz="4" w:space="0" w:color="auto"/>
            </w:tcBorders>
            <w:shd w:val="clear" w:color="auto" w:fill="auto"/>
            <w:noWrap/>
            <w:vAlign w:val="center"/>
            <w:hideMark/>
          </w:tcPr>
          <w:p w14:paraId="4117CF61"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95.635</w:t>
            </w:r>
          </w:p>
        </w:tc>
      </w:tr>
      <w:tr w:rsidR="009A09ED" w:rsidRPr="00E02C7F" w14:paraId="3101B468"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2298AD34"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N_11</w:t>
            </w:r>
          </w:p>
        </w:tc>
        <w:tc>
          <w:tcPr>
            <w:tcW w:w="1200" w:type="dxa"/>
            <w:tcBorders>
              <w:top w:val="nil"/>
              <w:left w:val="nil"/>
              <w:bottom w:val="single" w:sz="4" w:space="0" w:color="auto"/>
              <w:right w:val="single" w:sz="4" w:space="0" w:color="auto"/>
            </w:tcBorders>
            <w:shd w:val="clear" w:color="auto" w:fill="auto"/>
            <w:noWrap/>
            <w:vAlign w:val="center"/>
            <w:hideMark/>
          </w:tcPr>
          <w:p w14:paraId="56395C29"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47.801</w:t>
            </w:r>
          </w:p>
        </w:tc>
        <w:tc>
          <w:tcPr>
            <w:tcW w:w="1600" w:type="dxa"/>
            <w:tcBorders>
              <w:top w:val="nil"/>
              <w:left w:val="nil"/>
              <w:bottom w:val="single" w:sz="4" w:space="0" w:color="auto"/>
              <w:right w:val="single" w:sz="4" w:space="0" w:color="auto"/>
            </w:tcBorders>
            <w:shd w:val="clear" w:color="auto" w:fill="auto"/>
            <w:noWrap/>
            <w:vAlign w:val="center"/>
            <w:hideMark/>
          </w:tcPr>
          <w:p w14:paraId="71917A8A"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17.888</w:t>
            </w:r>
          </w:p>
        </w:tc>
        <w:tc>
          <w:tcPr>
            <w:tcW w:w="1200" w:type="dxa"/>
            <w:tcBorders>
              <w:top w:val="nil"/>
              <w:left w:val="nil"/>
              <w:bottom w:val="single" w:sz="4" w:space="0" w:color="auto"/>
              <w:right w:val="single" w:sz="4" w:space="0" w:color="auto"/>
            </w:tcBorders>
            <w:shd w:val="clear" w:color="auto" w:fill="auto"/>
            <w:noWrap/>
            <w:vAlign w:val="center"/>
            <w:hideMark/>
          </w:tcPr>
          <w:p w14:paraId="751704AE"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11.244</w:t>
            </w:r>
          </w:p>
        </w:tc>
        <w:tc>
          <w:tcPr>
            <w:tcW w:w="1200" w:type="dxa"/>
            <w:tcBorders>
              <w:top w:val="nil"/>
              <w:left w:val="nil"/>
              <w:bottom w:val="single" w:sz="4" w:space="0" w:color="auto"/>
              <w:right w:val="single" w:sz="4" w:space="0" w:color="auto"/>
            </w:tcBorders>
            <w:shd w:val="clear" w:color="auto" w:fill="auto"/>
            <w:noWrap/>
            <w:vAlign w:val="center"/>
            <w:hideMark/>
          </w:tcPr>
          <w:p w14:paraId="0F1B6D7E"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352</w:t>
            </w:r>
          </w:p>
        </w:tc>
        <w:tc>
          <w:tcPr>
            <w:tcW w:w="1200" w:type="dxa"/>
            <w:tcBorders>
              <w:top w:val="nil"/>
              <w:left w:val="nil"/>
              <w:bottom w:val="single" w:sz="4" w:space="0" w:color="auto"/>
              <w:right w:val="single" w:sz="4" w:space="0" w:color="auto"/>
            </w:tcBorders>
            <w:shd w:val="clear" w:color="auto" w:fill="auto"/>
            <w:noWrap/>
            <w:vAlign w:val="center"/>
            <w:hideMark/>
          </w:tcPr>
          <w:p w14:paraId="2A442C01"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77.285</w:t>
            </w:r>
          </w:p>
        </w:tc>
        <w:tc>
          <w:tcPr>
            <w:tcW w:w="1520" w:type="dxa"/>
            <w:tcBorders>
              <w:top w:val="nil"/>
              <w:left w:val="nil"/>
              <w:bottom w:val="single" w:sz="4" w:space="0" w:color="auto"/>
              <w:right w:val="single" w:sz="4" w:space="0" w:color="auto"/>
            </w:tcBorders>
            <w:shd w:val="clear" w:color="auto" w:fill="auto"/>
            <w:noWrap/>
            <w:vAlign w:val="center"/>
            <w:hideMark/>
          </w:tcPr>
          <w:p w14:paraId="1458E2CE"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40.357</w:t>
            </w:r>
          </w:p>
        </w:tc>
      </w:tr>
      <w:tr w:rsidR="009A09ED" w:rsidRPr="00E02C7F" w14:paraId="087F74C7"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2972BCC5"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N_12</w:t>
            </w:r>
          </w:p>
        </w:tc>
        <w:tc>
          <w:tcPr>
            <w:tcW w:w="1200" w:type="dxa"/>
            <w:tcBorders>
              <w:top w:val="nil"/>
              <w:left w:val="nil"/>
              <w:bottom w:val="single" w:sz="4" w:space="0" w:color="auto"/>
              <w:right w:val="single" w:sz="4" w:space="0" w:color="auto"/>
            </w:tcBorders>
            <w:shd w:val="clear" w:color="auto" w:fill="auto"/>
            <w:noWrap/>
            <w:vAlign w:val="center"/>
            <w:hideMark/>
          </w:tcPr>
          <w:p w14:paraId="31C093E1"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600" w:type="dxa"/>
            <w:tcBorders>
              <w:top w:val="nil"/>
              <w:left w:val="nil"/>
              <w:bottom w:val="single" w:sz="4" w:space="0" w:color="auto"/>
              <w:right w:val="single" w:sz="4" w:space="0" w:color="auto"/>
            </w:tcBorders>
            <w:shd w:val="clear" w:color="auto" w:fill="auto"/>
            <w:noWrap/>
            <w:vAlign w:val="center"/>
            <w:hideMark/>
          </w:tcPr>
          <w:p w14:paraId="43F5EF10"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200" w:type="dxa"/>
            <w:tcBorders>
              <w:top w:val="nil"/>
              <w:left w:val="nil"/>
              <w:bottom w:val="single" w:sz="4" w:space="0" w:color="auto"/>
              <w:right w:val="single" w:sz="4" w:space="0" w:color="auto"/>
            </w:tcBorders>
            <w:shd w:val="clear" w:color="auto" w:fill="auto"/>
            <w:noWrap/>
            <w:vAlign w:val="center"/>
            <w:hideMark/>
          </w:tcPr>
          <w:p w14:paraId="4CE107DD"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200" w:type="dxa"/>
            <w:tcBorders>
              <w:top w:val="nil"/>
              <w:left w:val="nil"/>
              <w:bottom w:val="single" w:sz="4" w:space="0" w:color="auto"/>
              <w:right w:val="single" w:sz="4" w:space="0" w:color="auto"/>
            </w:tcBorders>
            <w:shd w:val="clear" w:color="auto" w:fill="auto"/>
            <w:noWrap/>
            <w:vAlign w:val="center"/>
            <w:hideMark/>
          </w:tcPr>
          <w:p w14:paraId="6FF774F6"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200" w:type="dxa"/>
            <w:tcBorders>
              <w:top w:val="nil"/>
              <w:left w:val="nil"/>
              <w:bottom w:val="single" w:sz="4" w:space="0" w:color="auto"/>
              <w:right w:val="single" w:sz="4" w:space="0" w:color="auto"/>
            </w:tcBorders>
            <w:shd w:val="clear" w:color="auto" w:fill="auto"/>
            <w:noWrap/>
            <w:vAlign w:val="center"/>
            <w:hideMark/>
          </w:tcPr>
          <w:p w14:paraId="034EECBE"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520" w:type="dxa"/>
            <w:tcBorders>
              <w:top w:val="nil"/>
              <w:left w:val="nil"/>
              <w:bottom w:val="single" w:sz="4" w:space="0" w:color="auto"/>
              <w:right w:val="single" w:sz="4" w:space="0" w:color="auto"/>
            </w:tcBorders>
            <w:shd w:val="clear" w:color="auto" w:fill="auto"/>
            <w:noWrap/>
            <w:vAlign w:val="center"/>
            <w:hideMark/>
          </w:tcPr>
          <w:p w14:paraId="05DCF3BE"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r>
      <w:tr w:rsidR="009A09ED" w:rsidRPr="00E02C7F" w14:paraId="56395BBE"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1CAFBBF9"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N_13</w:t>
            </w:r>
          </w:p>
        </w:tc>
        <w:tc>
          <w:tcPr>
            <w:tcW w:w="1200" w:type="dxa"/>
            <w:tcBorders>
              <w:top w:val="nil"/>
              <w:left w:val="nil"/>
              <w:bottom w:val="single" w:sz="4" w:space="0" w:color="auto"/>
              <w:right w:val="single" w:sz="4" w:space="0" w:color="auto"/>
            </w:tcBorders>
            <w:shd w:val="clear" w:color="auto" w:fill="auto"/>
            <w:noWrap/>
            <w:vAlign w:val="center"/>
            <w:hideMark/>
          </w:tcPr>
          <w:p w14:paraId="1CCB0ED4"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1.249.532</w:t>
            </w:r>
          </w:p>
        </w:tc>
        <w:tc>
          <w:tcPr>
            <w:tcW w:w="1600" w:type="dxa"/>
            <w:tcBorders>
              <w:top w:val="nil"/>
              <w:left w:val="nil"/>
              <w:bottom w:val="single" w:sz="4" w:space="0" w:color="auto"/>
              <w:right w:val="single" w:sz="4" w:space="0" w:color="auto"/>
            </w:tcBorders>
            <w:shd w:val="clear" w:color="auto" w:fill="auto"/>
            <w:noWrap/>
            <w:vAlign w:val="center"/>
            <w:hideMark/>
          </w:tcPr>
          <w:p w14:paraId="35049460"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467.585</w:t>
            </w:r>
          </w:p>
        </w:tc>
        <w:tc>
          <w:tcPr>
            <w:tcW w:w="1200" w:type="dxa"/>
            <w:tcBorders>
              <w:top w:val="nil"/>
              <w:left w:val="nil"/>
              <w:bottom w:val="single" w:sz="4" w:space="0" w:color="auto"/>
              <w:right w:val="single" w:sz="4" w:space="0" w:color="auto"/>
            </w:tcBorders>
            <w:shd w:val="clear" w:color="auto" w:fill="auto"/>
            <w:noWrap/>
            <w:vAlign w:val="center"/>
            <w:hideMark/>
          </w:tcPr>
          <w:p w14:paraId="0BBCEF4C"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293.929</w:t>
            </w:r>
          </w:p>
        </w:tc>
        <w:tc>
          <w:tcPr>
            <w:tcW w:w="1200" w:type="dxa"/>
            <w:tcBorders>
              <w:top w:val="nil"/>
              <w:left w:val="nil"/>
              <w:bottom w:val="single" w:sz="4" w:space="0" w:color="auto"/>
              <w:right w:val="single" w:sz="4" w:space="0" w:color="auto"/>
            </w:tcBorders>
            <w:shd w:val="clear" w:color="auto" w:fill="auto"/>
            <w:noWrap/>
            <w:vAlign w:val="center"/>
            <w:hideMark/>
          </w:tcPr>
          <w:p w14:paraId="6A34EC38"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9.199</w:t>
            </w:r>
          </w:p>
        </w:tc>
        <w:tc>
          <w:tcPr>
            <w:tcW w:w="1200" w:type="dxa"/>
            <w:tcBorders>
              <w:top w:val="nil"/>
              <w:left w:val="nil"/>
              <w:bottom w:val="single" w:sz="4" w:space="0" w:color="auto"/>
              <w:right w:val="single" w:sz="4" w:space="0" w:color="auto"/>
            </w:tcBorders>
            <w:shd w:val="clear" w:color="auto" w:fill="auto"/>
            <w:noWrap/>
            <w:vAlign w:val="center"/>
            <w:hideMark/>
          </w:tcPr>
          <w:p w14:paraId="0B570BFB"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2.020.245</w:t>
            </w:r>
          </w:p>
        </w:tc>
        <w:tc>
          <w:tcPr>
            <w:tcW w:w="1520" w:type="dxa"/>
            <w:tcBorders>
              <w:top w:val="nil"/>
              <w:left w:val="nil"/>
              <w:bottom w:val="single" w:sz="4" w:space="0" w:color="auto"/>
              <w:right w:val="single" w:sz="4" w:space="0" w:color="auto"/>
            </w:tcBorders>
            <w:shd w:val="clear" w:color="auto" w:fill="auto"/>
            <w:noWrap/>
            <w:vAlign w:val="center"/>
            <w:hideMark/>
          </w:tcPr>
          <w:p w14:paraId="25736012"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1.054.927</w:t>
            </w:r>
          </w:p>
        </w:tc>
      </w:tr>
      <w:tr w:rsidR="009A09ED" w:rsidRPr="00E02C7F" w14:paraId="3029C138"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7181739E"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N_14</w:t>
            </w:r>
          </w:p>
        </w:tc>
        <w:tc>
          <w:tcPr>
            <w:tcW w:w="1200" w:type="dxa"/>
            <w:tcBorders>
              <w:top w:val="nil"/>
              <w:left w:val="nil"/>
              <w:bottom w:val="single" w:sz="4" w:space="0" w:color="auto"/>
              <w:right w:val="single" w:sz="4" w:space="0" w:color="auto"/>
            </w:tcBorders>
            <w:shd w:val="clear" w:color="auto" w:fill="auto"/>
            <w:noWrap/>
            <w:vAlign w:val="center"/>
            <w:hideMark/>
          </w:tcPr>
          <w:p w14:paraId="0E3D6E4F"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206.496</w:t>
            </w:r>
          </w:p>
        </w:tc>
        <w:tc>
          <w:tcPr>
            <w:tcW w:w="1600" w:type="dxa"/>
            <w:tcBorders>
              <w:top w:val="nil"/>
              <w:left w:val="nil"/>
              <w:bottom w:val="single" w:sz="4" w:space="0" w:color="auto"/>
              <w:right w:val="single" w:sz="4" w:space="0" w:color="auto"/>
            </w:tcBorders>
            <w:shd w:val="clear" w:color="auto" w:fill="auto"/>
            <w:noWrap/>
            <w:vAlign w:val="center"/>
            <w:hideMark/>
          </w:tcPr>
          <w:p w14:paraId="65BD948E"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77.272</w:t>
            </w:r>
          </w:p>
        </w:tc>
        <w:tc>
          <w:tcPr>
            <w:tcW w:w="1200" w:type="dxa"/>
            <w:tcBorders>
              <w:top w:val="nil"/>
              <w:left w:val="nil"/>
              <w:bottom w:val="single" w:sz="4" w:space="0" w:color="auto"/>
              <w:right w:val="single" w:sz="4" w:space="0" w:color="auto"/>
            </w:tcBorders>
            <w:shd w:val="clear" w:color="auto" w:fill="auto"/>
            <w:noWrap/>
            <w:vAlign w:val="center"/>
            <w:hideMark/>
          </w:tcPr>
          <w:p w14:paraId="34F8ECD8"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48.574</w:t>
            </w:r>
          </w:p>
        </w:tc>
        <w:tc>
          <w:tcPr>
            <w:tcW w:w="1200" w:type="dxa"/>
            <w:tcBorders>
              <w:top w:val="nil"/>
              <w:left w:val="nil"/>
              <w:bottom w:val="single" w:sz="4" w:space="0" w:color="auto"/>
              <w:right w:val="single" w:sz="4" w:space="0" w:color="auto"/>
            </w:tcBorders>
            <w:shd w:val="clear" w:color="auto" w:fill="auto"/>
            <w:noWrap/>
            <w:vAlign w:val="center"/>
            <w:hideMark/>
          </w:tcPr>
          <w:p w14:paraId="4CA2EB77"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1.520</w:t>
            </w:r>
          </w:p>
        </w:tc>
        <w:tc>
          <w:tcPr>
            <w:tcW w:w="1200" w:type="dxa"/>
            <w:tcBorders>
              <w:top w:val="nil"/>
              <w:left w:val="nil"/>
              <w:bottom w:val="single" w:sz="4" w:space="0" w:color="auto"/>
              <w:right w:val="single" w:sz="4" w:space="0" w:color="auto"/>
            </w:tcBorders>
            <w:shd w:val="clear" w:color="auto" w:fill="auto"/>
            <w:noWrap/>
            <w:vAlign w:val="center"/>
            <w:hideMark/>
          </w:tcPr>
          <w:p w14:paraId="21301BA2"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333.863</w:t>
            </w:r>
          </w:p>
        </w:tc>
        <w:tc>
          <w:tcPr>
            <w:tcW w:w="1520" w:type="dxa"/>
            <w:tcBorders>
              <w:top w:val="nil"/>
              <w:left w:val="nil"/>
              <w:bottom w:val="single" w:sz="4" w:space="0" w:color="auto"/>
              <w:right w:val="single" w:sz="4" w:space="0" w:color="auto"/>
            </w:tcBorders>
            <w:shd w:val="clear" w:color="auto" w:fill="auto"/>
            <w:noWrap/>
            <w:vAlign w:val="center"/>
            <w:hideMark/>
          </w:tcPr>
          <w:p w14:paraId="4DA0E2CD"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174.336</w:t>
            </w:r>
          </w:p>
        </w:tc>
      </w:tr>
      <w:tr w:rsidR="009A09ED" w:rsidRPr="00E02C7F" w14:paraId="06B21456"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4CE646A7"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N_15</w:t>
            </w:r>
          </w:p>
        </w:tc>
        <w:tc>
          <w:tcPr>
            <w:tcW w:w="1200" w:type="dxa"/>
            <w:tcBorders>
              <w:top w:val="nil"/>
              <w:left w:val="nil"/>
              <w:bottom w:val="single" w:sz="4" w:space="0" w:color="auto"/>
              <w:right w:val="single" w:sz="4" w:space="0" w:color="auto"/>
            </w:tcBorders>
            <w:shd w:val="clear" w:color="auto" w:fill="auto"/>
            <w:noWrap/>
            <w:vAlign w:val="center"/>
            <w:hideMark/>
          </w:tcPr>
          <w:p w14:paraId="39314F2F"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114.984</w:t>
            </w:r>
          </w:p>
        </w:tc>
        <w:tc>
          <w:tcPr>
            <w:tcW w:w="1600" w:type="dxa"/>
            <w:tcBorders>
              <w:top w:val="nil"/>
              <w:left w:val="nil"/>
              <w:bottom w:val="single" w:sz="4" w:space="0" w:color="auto"/>
              <w:right w:val="single" w:sz="4" w:space="0" w:color="auto"/>
            </w:tcBorders>
            <w:shd w:val="clear" w:color="auto" w:fill="auto"/>
            <w:noWrap/>
            <w:vAlign w:val="center"/>
            <w:hideMark/>
          </w:tcPr>
          <w:p w14:paraId="33B781BC"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43.028</w:t>
            </w:r>
          </w:p>
        </w:tc>
        <w:tc>
          <w:tcPr>
            <w:tcW w:w="1200" w:type="dxa"/>
            <w:tcBorders>
              <w:top w:val="nil"/>
              <w:left w:val="nil"/>
              <w:bottom w:val="single" w:sz="4" w:space="0" w:color="auto"/>
              <w:right w:val="single" w:sz="4" w:space="0" w:color="auto"/>
            </w:tcBorders>
            <w:shd w:val="clear" w:color="auto" w:fill="auto"/>
            <w:noWrap/>
            <w:vAlign w:val="center"/>
            <w:hideMark/>
          </w:tcPr>
          <w:p w14:paraId="21F8E3F6"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27.048</w:t>
            </w:r>
          </w:p>
        </w:tc>
        <w:tc>
          <w:tcPr>
            <w:tcW w:w="1200" w:type="dxa"/>
            <w:tcBorders>
              <w:top w:val="nil"/>
              <w:left w:val="nil"/>
              <w:bottom w:val="single" w:sz="4" w:space="0" w:color="auto"/>
              <w:right w:val="single" w:sz="4" w:space="0" w:color="auto"/>
            </w:tcBorders>
            <w:shd w:val="clear" w:color="auto" w:fill="auto"/>
            <w:noWrap/>
            <w:vAlign w:val="center"/>
            <w:hideMark/>
          </w:tcPr>
          <w:p w14:paraId="644E25F6"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824</w:t>
            </w:r>
          </w:p>
        </w:tc>
        <w:tc>
          <w:tcPr>
            <w:tcW w:w="1200" w:type="dxa"/>
            <w:tcBorders>
              <w:top w:val="nil"/>
              <w:left w:val="nil"/>
              <w:bottom w:val="single" w:sz="4" w:space="0" w:color="auto"/>
              <w:right w:val="single" w:sz="4" w:space="0" w:color="auto"/>
            </w:tcBorders>
            <w:shd w:val="clear" w:color="auto" w:fill="auto"/>
            <w:noWrap/>
            <w:vAlign w:val="center"/>
            <w:hideMark/>
          </w:tcPr>
          <w:p w14:paraId="25134727"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185.885</w:t>
            </w:r>
          </w:p>
        </w:tc>
        <w:tc>
          <w:tcPr>
            <w:tcW w:w="1520" w:type="dxa"/>
            <w:tcBorders>
              <w:top w:val="nil"/>
              <w:left w:val="nil"/>
              <w:bottom w:val="single" w:sz="4" w:space="0" w:color="auto"/>
              <w:right w:val="single" w:sz="4" w:space="0" w:color="auto"/>
            </w:tcBorders>
            <w:shd w:val="clear" w:color="auto" w:fill="auto"/>
            <w:noWrap/>
            <w:vAlign w:val="center"/>
            <w:hideMark/>
          </w:tcPr>
          <w:p w14:paraId="6F9D7583"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97.076</w:t>
            </w:r>
          </w:p>
        </w:tc>
      </w:tr>
      <w:tr w:rsidR="009A09ED" w:rsidRPr="00E02C7F" w14:paraId="40F7AF1D"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78C2D060"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N_16</w:t>
            </w:r>
          </w:p>
        </w:tc>
        <w:tc>
          <w:tcPr>
            <w:tcW w:w="1200" w:type="dxa"/>
            <w:tcBorders>
              <w:top w:val="nil"/>
              <w:left w:val="nil"/>
              <w:bottom w:val="single" w:sz="4" w:space="0" w:color="auto"/>
              <w:right w:val="single" w:sz="4" w:space="0" w:color="auto"/>
            </w:tcBorders>
            <w:shd w:val="clear" w:color="auto" w:fill="auto"/>
            <w:noWrap/>
            <w:vAlign w:val="center"/>
            <w:hideMark/>
          </w:tcPr>
          <w:p w14:paraId="64C0E85C"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189.107</w:t>
            </w:r>
          </w:p>
        </w:tc>
        <w:tc>
          <w:tcPr>
            <w:tcW w:w="1600" w:type="dxa"/>
            <w:tcBorders>
              <w:top w:val="nil"/>
              <w:left w:val="nil"/>
              <w:bottom w:val="single" w:sz="4" w:space="0" w:color="auto"/>
              <w:right w:val="single" w:sz="4" w:space="0" w:color="auto"/>
            </w:tcBorders>
            <w:shd w:val="clear" w:color="auto" w:fill="auto"/>
            <w:noWrap/>
            <w:vAlign w:val="center"/>
            <w:hideMark/>
          </w:tcPr>
          <w:p w14:paraId="579F0A6E"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70.765</w:t>
            </w:r>
          </w:p>
        </w:tc>
        <w:tc>
          <w:tcPr>
            <w:tcW w:w="1200" w:type="dxa"/>
            <w:tcBorders>
              <w:top w:val="nil"/>
              <w:left w:val="nil"/>
              <w:bottom w:val="single" w:sz="4" w:space="0" w:color="auto"/>
              <w:right w:val="single" w:sz="4" w:space="0" w:color="auto"/>
            </w:tcBorders>
            <w:shd w:val="clear" w:color="auto" w:fill="auto"/>
            <w:noWrap/>
            <w:vAlign w:val="center"/>
            <w:hideMark/>
          </w:tcPr>
          <w:p w14:paraId="0B600537"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44.484</w:t>
            </w:r>
          </w:p>
        </w:tc>
        <w:tc>
          <w:tcPr>
            <w:tcW w:w="1200" w:type="dxa"/>
            <w:tcBorders>
              <w:top w:val="nil"/>
              <w:left w:val="nil"/>
              <w:bottom w:val="single" w:sz="4" w:space="0" w:color="auto"/>
              <w:right w:val="single" w:sz="4" w:space="0" w:color="auto"/>
            </w:tcBorders>
            <w:shd w:val="clear" w:color="auto" w:fill="auto"/>
            <w:noWrap/>
            <w:vAlign w:val="center"/>
            <w:hideMark/>
          </w:tcPr>
          <w:p w14:paraId="7DB4CDFE"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1.220</w:t>
            </w:r>
          </w:p>
        </w:tc>
        <w:tc>
          <w:tcPr>
            <w:tcW w:w="1200" w:type="dxa"/>
            <w:tcBorders>
              <w:top w:val="nil"/>
              <w:left w:val="nil"/>
              <w:bottom w:val="single" w:sz="4" w:space="0" w:color="auto"/>
              <w:right w:val="single" w:sz="4" w:space="0" w:color="auto"/>
            </w:tcBorders>
            <w:shd w:val="clear" w:color="auto" w:fill="auto"/>
            <w:noWrap/>
            <w:vAlign w:val="center"/>
            <w:hideMark/>
          </w:tcPr>
          <w:p w14:paraId="1C4F8043"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305.576</w:t>
            </w:r>
          </w:p>
        </w:tc>
        <w:tc>
          <w:tcPr>
            <w:tcW w:w="1520" w:type="dxa"/>
            <w:tcBorders>
              <w:top w:val="nil"/>
              <w:left w:val="nil"/>
              <w:bottom w:val="single" w:sz="4" w:space="0" w:color="auto"/>
              <w:right w:val="single" w:sz="4" w:space="0" w:color="auto"/>
            </w:tcBorders>
            <w:shd w:val="clear" w:color="auto" w:fill="auto"/>
            <w:noWrap/>
            <w:vAlign w:val="center"/>
            <w:hideMark/>
          </w:tcPr>
          <w:p w14:paraId="30F84EE7"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159.655</w:t>
            </w:r>
          </w:p>
        </w:tc>
      </w:tr>
      <w:tr w:rsidR="009A09ED" w:rsidRPr="00E02C7F" w14:paraId="7985B81E"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7905B20A"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N_17</w:t>
            </w:r>
          </w:p>
        </w:tc>
        <w:tc>
          <w:tcPr>
            <w:tcW w:w="1200" w:type="dxa"/>
            <w:tcBorders>
              <w:top w:val="nil"/>
              <w:left w:val="nil"/>
              <w:bottom w:val="single" w:sz="4" w:space="0" w:color="auto"/>
              <w:right w:val="single" w:sz="4" w:space="0" w:color="auto"/>
            </w:tcBorders>
            <w:shd w:val="clear" w:color="auto" w:fill="auto"/>
            <w:noWrap/>
            <w:vAlign w:val="center"/>
            <w:hideMark/>
          </w:tcPr>
          <w:p w14:paraId="6A8C26E9"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375.310</w:t>
            </w:r>
          </w:p>
        </w:tc>
        <w:tc>
          <w:tcPr>
            <w:tcW w:w="1600" w:type="dxa"/>
            <w:tcBorders>
              <w:top w:val="nil"/>
              <w:left w:val="nil"/>
              <w:bottom w:val="single" w:sz="4" w:space="0" w:color="auto"/>
              <w:right w:val="single" w:sz="4" w:space="0" w:color="auto"/>
            </w:tcBorders>
            <w:shd w:val="clear" w:color="auto" w:fill="auto"/>
            <w:noWrap/>
            <w:vAlign w:val="center"/>
            <w:hideMark/>
          </w:tcPr>
          <w:p w14:paraId="1DBDAD76"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140.444</w:t>
            </w:r>
          </w:p>
        </w:tc>
        <w:tc>
          <w:tcPr>
            <w:tcW w:w="1200" w:type="dxa"/>
            <w:tcBorders>
              <w:top w:val="nil"/>
              <w:left w:val="nil"/>
              <w:bottom w:val="single" w:sz="4" w:space="0" w:color="auto"/>
              <w:right w:val="single" w:sz="4" w:space="0" w:color="auto"/>
            </w:tcBorders>
            <w:shd w:val="clear" w:color="auto" w:fill="auto"/>
            <w:noWrap/>
            <w:vAlign w:val="center"/>
            <w:hideMark/>
          </w:tcPr>
          <w:p w14:paraId="10B4422A"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88.285</w:t>
            </w:r>
          </w:p>
        </w:tc>
        <w:tc>
          <w:tcPr>
            <w:tcW w:w="1200" w:type="dxa"/>
            <w:tcBorders>
              <w:top w:val="nil"/>
              <w:left w:val="nil"/>
              <w:bottom w:val="single" w:sz="4" w:space="0" w:color="auto"/>
              <w:right w:val="single" w:sz="4" w:space="0" w:color="auto"/>
            </w:tcBorders>
            <w:shd w:val="clear" w:color="auto" w:fill="auto"/>
            <w:noWrap/>
            <w:vAlign w:val="center"/>
            <w:hideMark/>
          </w:tcPr>
          <w:p w14:paraId="6E5B04DF"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2.421</w:t>
            </w:r>
          </w:p>
        </w:tc>
        <w:tc>
          <w:tcPr>
            <w:tcW w:w="1200" w:type="dxa"/>
            <w:tcBorders>
              <w:top w:val="nil"/>
              <w:left w:val="nil"/>
              <w:bottom w:val="single" w:sz="4" w:space="0" w:color="auto"/>
              <w:right w:val="single" w:sz="4" w:space="0" w:color="auto"/>
            </w:tcBorders>
            <w:shd w:val="clear" w:color="auto" w:fill="auto"/>
            <w:noWrap/>
            <w:vAlign w:val="center"/>
            <w:hideMark/>
          </w:tcPr>
          <w:p w14:paraId="34D6C105"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606.461</w:t>
            </w:r>
          </w:p>
        </w:tc>
        <w:tc>
          <w:tcPr>
            <w:tcW w:w="1520" w:type="dxa"/>
            <w:tcBorders>
              <w:top w:val="nil"/>
              <w:left w:val="nil"/>
              <w:bottom w:val="single" w:sz="4" w:space="0" w:color="auto"/>
              <w:right w:val="single" w:sz="4" w:space="0" w:color="auto"/>
            </w:tcBorders>
            <w:shd w:val="clear" w:color="auto" w:fill="auto"/>
            <w:noWrap/>
            <w:vAlign w:val="center"/>
            <w:hideMark/>
          </w:tcPr>
          <w:p w14:paraId="2DB7A6C6"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316.859</w:t>
            </w:r>
          </w:p>
        </w:tc>
      </w:tr>
      <w:tr w:rsidR="009A09ED" w:rsidRPr="00E02C7F" w14:paraId="1D8DB014"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19F54DF6"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lastRenderedPageBreak/>
              <w:t>N_18</w:t>
            </w:r>
          </w:p>
        </w:tc>
        <w:tc>
          <w:tcPr>
            <w:tcW w:w="1200" w:type="dxa"/>
            <w:tcBorders>
              <w:top w:val="nil"/>
              <w:left w:val="nil"/>
              <w:bottom w:val="single" w:sz="4" w:space="0" w:color="auto"/>
              <w:right w:val="single" w:sz="4" w:space="0" w:color="auto"/>
            </w:tcBorders>
            <w:shd w:val="clear" w:color="auto" w:fill="auto"/>
            <w:noWrap/>
            <w:vAlign w:val="center"/>
            <w:hideMark/>
          </w:tcPr>
          <w:p w14:paraId="72BCA1F8"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285.482</w:t>
            </w:r>
          </w:p>
        </w:tc>
        <w:tc>
          <w:tcPr>
            <w:tcW w:w="1600" w:type="dxa"/>
            <w:tcBorders>
              <w:top w:val="nil"/>
              <w:left w:val="nil"/>
              <w:bottom w:val="single" w:sz="4" w:space="0" w:color="auto"/>
              <w:right w:val="single" w:sz="4" w:space="0" w:color="auto"/>
            </w:tcBorders>
            <w:shd w:val="clear" w:color="auto" w:fill="auto"/>
            <w:noWrap/>
            <w:vAlign w:val="center"/>
            <w:hideMark/>
          </w:tcPr>
          <w:p w14:paraId="499E8B7F"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106.830</w:t>
            </w:r>
          </w:p>
        </w:tc>
        <w:tc>
          <w:tcPr>
            <w:tcW w:w="1200" w:type="dxa"/>
            <w:tcBorders>
              <w:top w:val="nil"/>
              <w:left w:val="nil"/>
              <w:bottom w:val="single" w:sz="4" w:space="0" w:color="auto"/>
              <w:right w:val="single" w:sz="4" w:space="0" w:color="auto"/>
            </w:tcBorders>
            <w:shd w:val="clear" w:color="auto" w:fill="auto"/>
            <w:noWrap/>
            <w:vAlign w:val="center"/>
            <w:hideMark/>
          </w:tcPr>
          <w:p w14:paraId="625A7042"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67.154</w:t>
            </w:r>
          </w:p>
        </w:tc>
        <w:tc>
          <w:tcPr>
            <w:tcW w:w="1200" w:type="dxa"/>
            <w:tcBorders>
              <w:top w:val="nil"/>
              <w:left w:val="nil"/>
              <w:bottom w:val="single" w:sz="4" w:space="0" w:color="auto"/>
              <w:right w:val="single" w:sz="4" w:space="0" w:color="auto"/>
            </w:tcBorders>
            <w:shd w:val="clear" w:color="auto" w:fill="auto"/>
            <w:noWrap/>
            <w:vAlign w:val="center"/>
            <w:hideMark/>
          </w:tcPr>
          <w:p w14:paraId="42918E1C"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2.102</w:t>
            </w:r>
          </w:p>
        </w:tc>
        <w:tc>
          <w:tcPr>
            <w:tcW w:w="1200" w:type="dxa"/>
            <w:tcBorders>
              <w:top w:val="nil"/>
              <w:left w:val="nil"/>
              <w:bottom w:val="single" w:sz="4" w:space="0" w:color="auto"/>
              <w:right w:val="single" w:sz="4" w:space="0" w:color="auto"/>
            </w:tcBorders>
            <w:shd w:val="clear" w:color="auto" w:fill="auto"/>
            <w:noWrap/>
            <w:vAlign w:val="center"/>
            <w:hideMark/>
          </w:tcPr>
          <w:p w14:paraId="6505A4DB"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461.567</w:t>
            </w:r>
          </w:p>
        </w:tc>
        <w:tc>
          <w:tcPr>
            <w:tcW w:w="1520" w:type="dxa"/>
            <w:tcBorders>
              <w:top w:val="nil"/>
              <w:left w:val="nil"/>
              <w:bottom w:val="single" w:sz="4" w:space="0" w:color="auto"/>
              <w:right w:val="single" w:sz="4" w:space="0" w:color="auto"/>
            </w:tcBorders>
            <w:shd w:val="clear" w:color="auto" w:fill="auto"/>
            <w:noWrap/>
            <w:vAlign w:val="center"/>
            <w:hideMark/>
          </w:tcPr>
          <w:p w14:paraId="249259D9"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241.020</w:t>
            </w:r>
          </w:p>
        </w:tc>
      </w:tr>
      <w:tr w:rsidR="009A09ED" w:rsidRPr="00E02C7F" w14:paraId="4D22D8CD"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5FA8A55D"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N_19</w:t>
            </w:r>
          </w:p>
        </w:tc>
        <w:tc>
          <w:tcPr>
            <w:tcW w:w="1200" w:type="dxa"/>
            <w:tcBorders>
              <w:top w:val="nil"/>
              <w:left w:val="nil"/>
              <w:bottom w:val="single" w:sz="4" w:space="0" w:color="auto"/>
              <w:right w:val="single" w:sz="4" w:space="0" w:color="auto"/>
            </w:tcBorders>
            <w:shd w:val="clear" w:color="auto" w:fill="auto"/>
            <w:noWrap/>
            <w:vAlign w:val="center"/>
            <w:hideMark/>
          </w:tcPr>
          <w:p w14:paraId="63DCC02B"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600" w:type="dxa"/>
            <w:tcBorders>
              <w:top w:val="nil"/>
              <w:left w:val="nil"/>
              <w:bottom w:val="single" w:sz="4" w:space="0" w:color="auto"/>
              <w:right w:val="single" w:sz="4" w:space="0" w:color="auto"/>
            </w:tcBorders>
            <w:shd w:val="clear" w:color="auto" w:fill="auto"/>
            <w:noWrap/>
            <w:vAlign w:val="center"/>
            <w:hideMark/>
          </w:tcPr>
          <w:p w14:paraId="26C5143B"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200" w:type="dxa"/>
            <w:tcBorders>
              <w:top w:val="nil"/>
              <w:left w:val="nil"/>
              <w:bottom w:val="single" w:sz="4" w:space="0" w:color="auto"/>
              <w:right w:val="single" w:sz="4" w:space="0" w:color="auto"/>
            </w:tcBorders>
            <w:shd w:val="clear" w:color="auto" w:fill="auto"/>
            <w:noWrap/>
            <w:vAlign w:val="center"/>
            <w:hideMark/>
          </w:tcPr>
          <w:p w14:paraId="71A5D068"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200" w:type="dxa"/>
            <w:tcBorders>
              <w:top w:val="nil"/>
              <w:left w:val="nil"/>
              <w:bottom w:val="single" w:sz="4" w:space="0" w:color="auto"/>
              <w:right w:val="single" w:sz="4" w:space="0" w:color="auto"/>
            </w:tcBorders>
            <w:shd w:val="clear" w:color="auto" w:fill="auto"/>
            <w:noWrap/>
            <w:vAlign w:val="center"/>
            <w:hideMark/>
          </w:tcPr>
          <w:p w14:paraId="01390FBC"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200" w:type="dxa"/>
            <w:tcBorders>
              <w:top w:val="nil"/>
              <w:left w:val="nil"/>
              <w:bottom w:val="single" w:sz="4" w:space="0" w:color="auto"/>
              <w:right w:val="single" w:sz="4" w:space="0" w:color="auto"/>
            </w:tcBorders>
            <w:shd w:val="clear" w:color="auto" w:fill="auto"/>
            <w:noWrap/>
            <w:vAlign w:val="center"/>
            <w:hideMark/>
          </w:tcPr>
          <w:p w14:paraId="051D4CA2"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520" w:type="dxa"/>
            <w:tcBorders>
              <w:top w:val="nil"/>
              <w:left w:val="nil"/>
              <w:bottom w:val="single" w:sz="4" w:space="0" w:color="auto"/>
              <w:right w:val="single" w:sz="4" w:space="0" w:color="auto"/>
            </w:tcBorders>
            <w:shd w:val="clear" w:color="auto" w:fill="auto"/>
            <w:noWrap/>
            <w:vAlign w:val="center"/>
            <w:hideMark/>
          </w:tcPr>
          <w:p w14:paraId="50119235"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r>
      <w:tr w:rsidR="009A09ED" w:rsidRPr="00E02C7F" w14:paraId="70E19E2C"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4CE41507"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N_20</w:t>
            </w:r>
          </w:p>
        </w:tc>
        <w:tc>
          <w:tcPr>
            <w:tcW w:w="1200" w:type="dxa"/>
            <w:tcBorders>
              <w:top w:val="nil"/>
              <w:left w:val="nil"/>
              <w:bottom w:val="single" w:sz="4" w:space="0" w:color="auto"/>
              <w:right w:val="single" w:sz="4" w:space="0" w:color="auto"/>
            </w:tcBorders>
            <w:shd w:val="clear" w:color="auto" w:fill="auto"/>
            <w:noWrap/>
            <w:vAlign w:val="center"/>
            <w:hideMark/>
          </w:tcPr>
          <w:p w14:paraId="65077E3D"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84.098</w:t>
            </w:r>
          </w:p>
        </w:tc>
        <w:tc>
          <w:tcPr>
            <w:tcW w:w="1600" w:type="dxa"/>
            <w:tcBorders>
              <w:top w:val="nil"/>
              <w:left w:val="nil"/>
              <w:bottom w:val="single" w:sz="4" w:space="0" w:color="auto"/>
              <w:right w:val="single" w:sz="4" w:space="0" w:color="auto"/>
            </w:tcBorders>
            <w:shd w:val="clear" w:color="auto" w:fill="auto"/>
            <w:noWrap/>
            <w:vAlign w:val="center"/>
            <w:hideMark/>
          </w:tcPr>
          <w:p w14:paraId="6B82DC0C"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31.470</w:t>
            </w:r>
          </w:p>
        </w:tc>
        <w:tc>
          <w:tcPr>
            <w:tcW w:w="1200" w:type="dxa"/>
            <w:tcBorders>
              <w:top w:val="nil"/>
              <w:left w:val="nil"/>
              <w:bottom w:val="single" w:sz="4" w:space="0" w:color="auto"/>
              <w:right w:val="single" w:sz="4" w:space="0" w:color="auto"/>
            </w:tcBorders>
            <w:shd w:val="clear" w:color="auto" w:fill="auto"/>
            <w:noWrap/>
            <w:vAlign w:val="center"/>
            <w:hideMark/>
          </w:tcPr>
          <w:p w14:paraId="1640BC29"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19.783</w:t>
            </w:r>
          </w:p>
        </w:tc>
        <w:tc>
          <w:tcPr>
            <w:tcW w:w="1200" w:type="dxa"/>
            <w:tcBorders>
              <w:top w:val="nil"/>
              <w:left w:val="nil"/>
              <w:bottom w:val="single" w:sz="4" w:space="0" w:color="auto"/>
              <w:right w:val="single" w:sz="4" w:space="0" w:color="auto"/>
            </w:tcBorders>
            <w:shd w:val="clear" w:color="auto" w:fill="auto"/>
            <w:noWrap/>
            <w:vAlign w:val="center"/>
            <w:hideMark/>
          </w:tcPr>
          <w:p w14:paraId="4C7F37DA"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855</w:t>
            </w:r>
          </w:p>
        </w:tc>
        <w:tc>
          <w:tcPr>
            <w:tcW w:w="1200" w:type="dxa"/>
            <w:tcBorders>
              <w:top w:val="nil"/>
              <w:left w:val="nil"/>
              <w:bottom w:val="single" w:sz="4" w:space="0" w:color="auto"/>
              <w:right w:val="single" w:sz="4" w:space="0" w:color="auto"/>
            </w:tcBorders>
            <w:shd w:val="clear" w:color="auto" w:fill="auto"/>
            <w:noWrap/>
            <w:vAlign w:val="center"/>
            <w:hideMark/>
          </w:tcPr>
          <w:p w14:paraId="478E808F"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136.206</w:t>
            </w:r>
          </w:p>
        </w:tc>
        <w:tc>
          <w:tcPr>
            <w:tcW w:w="1520" w:type="dxa"/>
            <w:tcBorders>
              <w:top w:val="nil"/>
              <w:left w:val="nil"/>
              <w:bottom w:val="single" w:sz="4" w:space="0" w:color="auto"/>
              <w:right w:val="single" w:sz="4" w:space="0" w:color="auto"/>
            </w:tcBorders>
            <w:shd w:val="clear" w:color="auto" w:fill="auto"/>
            <w:noWrap/>
            <w:vAlign w:val="center"/>
            <w:hideMark/>
          </w:tcPr>
          <w:p w14:paraId="40E6CA09"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71.001</w:t>
            </w:r>
          </w:p>
        </w:tc>
      </w:tr>
      <w:tr w:rsidR="009A09ED" w:rsidRPr="00E02C7F" w14:paraId="7B7288B9"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1A7DF533"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N_21</w:t>
            </w:r>
          </w:p>
        </w:tc>
        <w:tc>
          <w:tcPr>
            <w:tcW w:w="1200" w:type="dxa"/>
            <w:tcBorders>
              <w:top w:val="nil"/>
              <w:left w:val="nil"/>
              <w:bottom w:val="single" w:sz="4" w:space="0" w:color="auto"/>
              <w:right w:val="single" w:sz="4" w:space="0" w:color="auto"/>
            </w:tcBorders>
            <w:shd w:val="clear" w:color="auto" w:fill="auto"/>
            <w:noWrap/>
            <w:vAlign w:val="center"/>
            <w:hideMark/>
          </w:tcPr>
          <w:p w14:paraId="6D3458B3"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79.008</w:t>
            </w:r>
          </w:p>
        </w:tc>
        <w:tc>
          <w:tcPr>
            <w:tcW w:w="1600" w:type="dxa"/>
            <w:tcBorders>
              <w:top w:val="nil"/>
              <w:left w:val="nil"/>
              <w:bottom w:val="single" w:sz="4" w:space="0" w:color="auto"/>
              <w:right w:val="single" w:sz="4" w:space="0" w:color="auto"/>
            </w:tcBorders>
            <w:shd w:val="clear" w:color="auto" w:fill="auto"/>
            <w:noWrap/>
            <w:vAlign w:val="center"/>
            <w:hideMark/>
          </w:tcPr>
          <w:p w14:paraId="0C3BCD8E"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29.565</w:t>
            </w:r>
          </w:p>
        </w:tc>
        <w:tc>
          <w:tcPr>
            <w:tcW w:w="1200" w:type="dxa"/>
            <w:tcBorders>
              <w:top w:val="nil"/>
              <w:left w:val="nil"/>
              <w:bottom w:val="single" w:sz="4" w:space="0" w:color="auto"/>
              <w:right w:val="single" w:sz="4" w:space="0" w:color="auto"/>
            </w:tcBorders>
            <w:shd w:val="clear" w:color="auto" w:fill="auto"/>
            <w:noWrap/>
            <w:vAlign w:val="center"/>
            <w:hideMark/>
          </w:tcPr>
          <w:p w14:paraId="6D498418"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18.585</w:t>
            </w:r>
          </w:p>
        </w:tc>
        <w:tc>
          <w:tcPr>
            <w:tcW w:w="1200" w:type="dxa"/>
            <w:tcBorders>
              <w:top w:val="nil"/>
              <w:left w:val="nil"/>
              <w:bottom w:val="single" w:sz="4" w:space="0" w:color="auto"/>
              <w:right w:val="single" w:sz="4" w:space="0" w:color="auto"/>
            </w:tcBorders>
            <w:shd w:val="clear" w:color="auto" w:fill="auto"/>
            <w:noWrap/>
            <w:vAlign w:val="center"/>
            <w:hideMark/>
          </w:tcPr>
          <w:p w14:paraId="385D7FCF"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756</w:t>
            </w:r>
          </w:p>
        </w:tc>
        <w:tc>
          <w:tcPr>
            <w:tcW w:w="1200" w:type="dxa"/>
            <w:tcBorders>
              <w:top w:val="nil"/>
              <w:left w:val="nil"/>
              <w:bottom w:val="single" w:sz="4" w:space="0" w:color="auto"/>
              <w:right w:val="single" w:sz="4" w:space="0" w:color="auto"/>
            </w:tcBorders>
            <w:shd w:val="clear" w:color="auto" w:fill="auto"/>
            <w:noWrap/>
            <w:vAlign w:val="center"/>
            <w:hideMark/>
          </w:tcPr>
          <w:p w14:paraId="75FD0209"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127.914</w:t>
            </w:r>
          </w:p>
        </w:tc>
        <w:tc>
          <w:tcPr>
            <w:tcW w:w="1520" w:type="dxa"/>
            <w:tcBorders>
              <w:top w:val="nil"/>
              <w:left w:val="nil"/>
              <w:bottom w:val="single" w:sz="4" w:space="0" w:color="auto"/>
              <w:right w:val="single" w:sz="4" w:space="0" w:color="auto"/>
            </w:tcBorders>
            <w:shd w:val="clear" w:color="auto" w:fill="auto"/>
            <w:noWrap/>
            <w:vAlign w:val="center"/>
            <w:hideMark/>
          </w:tcPr>
          <w:p w14:paraId="06440B4F"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66.703</w:t>
            </w:r>
          </w:p>
        </w:tc>
      </w:tr>
      <w:tr w:rsidR="009A09ED" w:rsidRPr="00E02C7F" w14:paraId="154FB937"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73F415CB"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N_22</w:t>
            </w:r>
          </w:p>
        </w:tc>
        <w:tc>
          <w:tcPr>
            <w:tcW w:w="1200" w:type="dxa"/>
            <w:tcBorders>
              <w:top w:val="nil"/>
              <w:left w:val="nil"/>
              <w:bottom w:val="single" w:sz="4" w:space="0" w:color="auto"/>
              <w:right w:val="single" w:sz="4" w:space="0" w:color="auto"/>
            </w:tcBorders>
            <w:shd w:val="clear" w:color="auto" w:fill="auto"/>
            <w:noWrap/>
            <w:vAlign w:val="center"/>
            <w:hideMark/>
          </w:tcPr>
          <w:p w14:paraId="75F4FEDC"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54.402</w:t>
            </w:r>
          </w:p>
        </w:tc>
        <w:tc>
          <w:tcPr>
            <w:tcW w:w="1600" w:type="dxa"/>
            <w:tcBorders>
              <w:top w:val="nil"/>
              <w:left w:val="nil"/>
              <w:bottom w:val="single" w:sz="4" w:space="0" w:color="auto"/>
              <w:right w:val="single" w:sz="4" w:space="0" w:color="auto"/>
            </w:tcBorders>
            <w:shd w:val="clear" w:color="auto" w:fill="auto"/>
            <w:noWrap/>
            <w:vAlign w:val="center"/>
            <w:hideMark/>
          </w:tcPr>
          <w:p w14:paraId="52E23056"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20.358</w:t>
            </w:r>
          </w:p>
        </w:tc>
        <w:tc>
          <w:tcPr>
            <w:tcW w:w="1200" w:type="dxa"/>
            <w:tcBorders>
              <w:top w:val="nil"/>
              <w:left w:val="nil"/>
              <w:bottom w:val="single" w:sz="4" w:space="0" w:color="auto"/>
              <w:right w:val="single" w:sz="4" w:space="0" w:color="auto"/>
            </w:tcBorders>
            <w:shd w:val="clear" w:color="auto" w:fill="auto"/>
            <w:noWrap/>
            <w:vAlign w:val="center"/>
            <w:hideMark/>
          </w:tcPr>
          <w:p w14:paraId="4A653B2B"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12.797</w:t>
            </w:r>
          </w:p>
        </w:tc>
        <w:tc>
          <w:tcPr>
            <w:tcW w:w="1200" w:type="dxa"/>
            <w:tcBorders>
              <w:top w:val="nil"/>
              <w:left w:val="nil"/>
              <w:bottom w:val="single" w:sz="4" w:space="0" w:color="auto"/>
              <w:right w:val="single" w:sz="4" w:space="0" w:color="auto"/>
            </w:tcBorders>
            <w:shd w:val="clear" w:color="auto" w:fill="auto"/>
            <w:noWrap/>
            <w:vAlign w:val="center"/>
            <w:hideMark/>
          </w:tcPr>
          <w:p w14:paraId="289BB7FD"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401</w:t>
            </w:r>
          </w:p>
        </w:tc>
        <w:tc>
          <w:tcPr>
            <w:tcW w:w="1200" w:type="dxa"/>
            <w:tcBorders>
              <w:top w:val="nil"/>
              <w:left w:val="nil"/>
              <w:bottom w:val="single" w:sz="4" w:space="0" w:color="auto"/>
              <w:right w:val="single" w:sz="4" w:space="0" w:color="auto"/>
            </w:tcBorders>
            <w:shd w:val="clear" w:color="auto" w:fill="auto"/>
            <w:noWrap/>
            <w:vAlign w:val="center"/>
            <w:hideMark/>
          </w:tcPr>
          <w:p w14:paraId="78EE36CE"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87.958</w:t>
            </w:r>
          </w:p>
        </w:tc>
        <w:tc>
          <w:tcPr>
            <w:tcW w:w="1520" w:type="dxa"/>
            <w:tcBorders>
              <w:top w:val="nil"/>
              <w:left w:val="nil"/>
              <w:bottom w:val="single" w:sz="4" w:space="0" w:color="auto"/>
              <w:right w:val="single" w:sz="4" w:space="0" w:color="auto"/>
            </w:tcBorders>
            <w:shd w:val="clear" w:color="auto" w:fill="auto"/>
            <w:noWrap/>
            <w:vAlign w:val="center"/>
            <w:hideMark/>
          </w:tcPr>
          <w:p w14:paraId="65B96B21"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45.930</w:t>
            </w:r>
          </w:p>
        </w:tc>
      </w:tr>
      <w:tr w:rsidR="009A09ED" w:rsidRPr="00E02C7F" w14:paraId="62A86CEF"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2E813FDC"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N_23</w:t>
            </w:r>
          </w:p>
        </w:tc>
        <w:tc>
          <w:tcPr>
            <w:tcW w:w="1200" w:type="dxa"/>
            <w:tcBorders>
              <w:top w:val="nil"/>
              <w:left w:val="nil"/>
              <w:bottom w:val="single" w:sz="4" w:space="0" w:color="auto"/>
              <w:right w:val="single" w:sz="4" w:space="0" w:color="auto"/>
            </w:tcBorders>
            <w:shd w:val="clear" w:color="auto" w:fill="auto"/>
            <w:noWrap/>
            <w:vAlign w:val="center"/>
            <w:hideMark/>
          </w:tcPr>
          <w:p w14:paraId="2F7B9C56"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80.089</w:t>
            </w:r>
          </w:p>
        </w:tc>
        <w:tc>
          <w:tcPr>
            <w:tcW w:w="1600" w:type="dxa"/>
            <w:tcBorders>
              <w:top w:val="nil"/>
              <w:left w:val="nil"/>
              <w:bottom w:val="single" w:sz="4" w:space="0" w:color="auto"/>
              <w:right w:val="single" w:sz="4" w:space="0" w:color="auto"/>
            </w:tcBorders>
            <w:shd w:val="clear" w:color="auto" w:fill="auto"/>
            <w:noWrap/>
            <w:vAlign w:val="center"/>
            <w:hideMark/>
          </w:tcPr>
          <w:p w14:paraId="342958AC"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29.970</w:t>
            </w:r>
          </w:p>
        </w:tc>
        <w:tc>
          <w:tcPr>
            <w:tcW w:w="1200" w:type="dxa"/>
            <w:tcBorders>
              <w:top w:val="nil"/>
              <w:left w:val="nil"/>
              <w:bottom w:val="single" w:sz="4" w:space="0" w:color="auto"/>
              <w:right w:val="single" w:sz="4" w:space="0" w:color="auto"/>
            </w:tcBorders>
            <w:shd w:val="clear" w:color="auto" w:fill="auto"/>
            <w:noWrap/>
            <w:vAlign w:val="center"/>
            <w:hideMark/>
          </w:tcPr>
          <w:p w14:paraId="313B98A0"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18.840</w:t>
            </w:r>
          </w:p>
        </w:tc>
        <w:tc>
          <w:tcPr>
            <w:tcW w:w="1200" w:type="dxa"/>
            <w:tcBorders>
              <w:top w:val="nil"/>
              <w:left w:val="nil"/>
              <w:bottom w:val="single" w:sz="4" w:space="0" w:color="auto"/>
              <w:right w:val="single" w:sz="4" w:space="0" w:color="auto"/>
            </w:tcBorders>
            <w:shd w:val="clear" w:color="auto" w:fill="auto"/>
            <w:noWrap/>
            <w:vAlign w:val="center"/>
            <w:hideMark/>
          </w:tcPr>
          <w:p w14:paraId="565AF94E"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590</w:t>
            </w:r>
          </w:p>
        </w:tc>
        <w:tc>
          <w:tcPr>
            <w:tcW w:w="1200" w:type="dxa"/>
            <w:tcBorders>
              <w:top w:val="nil"/>
              <w:left w:val="nil"/>
              <w:bottom w:val="single" w:sz="4" w:space="0" w:color="auto"/>
              <w:right w:val="single" w:sz="4" w:space="0" w:color="auto"/>
            </w:tcBorders>
            <w:shd w:val="clear" w:color="auto" w:fill="auto"/>
            <w:noWrap/>
            <w:vAlign w:val="center"/>
            <w:hideMark/>
          </w:tcPr>
          <w:p w14:paraId="7B1B149A"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129.489</w:t>
            </w:r>
          </w:p>
        </w:tc>
        <w:tc>
          <w:tcPr>
            <w:tcW w:w="1520" w:type="dxa"/>
            <w:tcBorders>
              <w:top w:val="nil"/>
              <w:left w:val="nil"/>
              <w:bottom w:val="single" w:sz="4" w:space="0" w:color="auto"/>
              <w:right w:val="single" w:sz="4" w:space="0" w:color="auto"/>
            </w:tcBorders>
            <w:shd w:val="clear" w:color="auto" w:fill="auto"/>
            <w:noWrap/>
            <w:vAlign w:val="center"/>
            <w:hideMark/>
          </w:tcPr>
          <w:p w14:paraId="58F24E08"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67.616</w:t>
            </w:r>
          </w:p>
        </w:tc>
      </w:tr>
      <w:tr w:rsidR="009A09ED" w:rsidRPr="00E02C7F" w14:paraId="3C695DF5"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7267F978"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N_24</w:t>
            </w:r>
          </w:p>
        </w:tc>
        <w:tc>
          <w:tcPr>
            <w:tcW w:w="1200" w:type="dxa"/>
            <w:tcBorders>
              <w:top w:val="nil"/>
              <w:left w:val="nil"/>
              <w:bottom w:val="single" w:sz="4" w:space="0" w:color="auto"/>
              <w:right w:val="single" w:sz="4" w:space="0" w:color="auto"/>
            </w:tcBorders>
            <w:shd w:val="clear" w:color="auto" w:fill="auto"/>
            <w:noWrap/>
            <w:vAlign w:val="center"/>
            <w:hideMark/>
          </w:tcPr>
          <w:p w14:paraId="19DA58F9"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29.015</w:t>
            </w:r>
          </w:p>
        </w:tc>
        <w:tc>
          <w:tcPr>
            <w:tcW w:w="1600" w:type="dxa"/>
            <w:tcBorders>
              <w:top w:val="nil"/>
              <w:left w:val="nil"/>
              <w:bottom w:val="single" w:sz="4" w:space="0" w:color="auto"/>
              <w:right w:val="single" w:sz="4" w:space="0" w:color="auto"/>
            </w:tcBorders>
            <w:shd w:val="clear" w:color="auto" w:fill="auto"/>
            <w:noWrap/>
            <w:vAlign w:val="center"/>
            <w:hideMark/>
          </w:tcPr>
          <w:p w14:paraId="6893FCFB"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10.858</w:t>
            </w:r>
          </w:p>
        </w:tc>
        <w:tc>
          <w:tcPr>
            <w:tcW w:w="1200" w:type="dxa"/>
            <w:tcBorders>
              <w:top w:val="nil"/>
              <w:left w:val="nil"/>
              <w:bottom w:val="single" w:sz="4" w:space="0" w:color="auto"/>
              <w:right w:val="single" w:sz="4" w:space="0" w:color="auto"/>
            </w:tcBorders>
            <w:shd w:val="clear" w:color="auto" w:fill="auto"/>
            <w:noWrap/>
            <w:vAlign w:val="center"/>
            <w:hideMark/>
          </w:tcPr>
          <w:p w14:paraId="105D0FB0"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6.825</w:t>
            </w:r>
          </w:p>
        </w:tc>
        <w:tc>
          <w:tcPr>
            <w:tcW w:w="1200" w:type="dxa"/>
            <w:tcBorders>
              <w:top w:val="nil"/>
              <w:left w:val="nil"/>
              <w:bottom w:val="single" w:sz="4" w:space="0" w:color="auto"/>
              <w:right w:val="single" w:sz="4" w:space="0" w:color="auto"/>
            </w:tcBorders>
            <w:shd w:val="clear" w:color="auto" w:fill="auto"/>
            <w:noWrap/>
            <w:vAlign w:val="center"/>
            <w:hideMark/>
          </w:tcPr>
          <w:p w14:paraId="5D2F98FE"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353</w:t>
            </w:r>
          </w:p>
        </w:tc>
        <w:tc>
          <w:tcPr>
            <w:tcW w:w="1200" w:type="dxa"/>
            <w:tcBorders>
              <w:top w:val="nil"/>
              <w:left w:val="nil"/>
              <w:bottom w:val="single" w:sz="4" w:space="0" w:color="auto"/>
              <w:right w:val="single" w:sz="4" w:space="0" w:color="auto"/>
            </w:tcBorders>
            <w:shd w:val="clear" w:color="auto" w:fill="auto"/>
            <w:noWrap/>
            <w:vAlign w:val="center"/>
            <w:hideMark/>
          </w:tcPr>
          <w:p w14:paraId="060D421C"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47.051</w:t>
            </w:r>
          </w:p>
        </w:tc>
        <w:tc>
          <w:tcPr>
            <w:tcW w:w="1520" w:type="dxa"/>
            <w:tcBorders>
              <w:top w:val="nil"/>
              <w:left w:val="nil"/>
              <w:bottom w:val="single" w:sz="4" w:space="0" w:color="auto"/>
              <w:right w:val="single" w:sz="4" w:space="0" w:color="auto"/>
            </w:tcBorders>
            <w:shd w:val="clear" w:color="auto" w:fill="auto"/>
            <w:noWrap/>
            <w:vAlign w:val="center"/>
            <w:hideMark/>
          </w:tcPr>
          <w:p w14:paraId="45ADECFC"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24.496</w:t>
            </w:r>
          </w:p>
        </w:tc>
      </w:tr>
      <w:tr w:rsidR="009A09ED" w:rsidRPr="00E02C7F" w14:paraId="38326CED"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314654C0"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N_25</w:t>
            </w:r>
          </w:p>
        </w:tc>
        <w:tc>
          <w:tcPr>
            <w:tcW w:w="1200" w:type="dxa"/>
            <w:tcBorders>
              <w:top w:val="nil"/>
              <w:left w:val="nil"/>
              <w:bottom w:val="single" w:sz="4" w:space="0" w:color="auto"/>
              <w:right w:val="single" w:sz="4" w:space="0" w:color="auto"/>
            </w:tcBorders>
            <w:shd w:val="clear" w:color="auto" w:fill="auto"/>
            <w:noWrap/>
            <w:vAlign w:val="center"/>
            <w:hideMark/>
          </w:tcPr>
          <w:p w14:paraId="722E0DEF"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18.787</w:t>
            </w:r>
          </w:p>
        </w:tc>
        <w:tc>
          <w:tcPr>
            <w:tcW w:w="1600" w:type="dxa"/>
            <w:tcBorders>
              <w:top w:val="nil"/>
              <w:left w:val="nil"/>
              <w:bottom w:val="single" w:sz="4" w:space="0" w:color="auto"/>
              <w:right w:val="single" w:sz="4" w:space="0" w:color="auto"/>
            </w:tcBorders>
            <w:shd w:val="clear" w:color="auto" w:fill="auto"/>
            <w:noWrap/>
            <w:vAlign w:val="center"/>
            <w:hideMark/>
          </w:tcPr>
          <w:p w14:paraId="6BD96EE6"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7.030</w:t>
            </w:r>
          </w:p>
        </w:tc>
        <w:tc>
          <w:tcPr>
            <w:tcW w:w="1200" w:type="dxa"/>
            <w:tcBorders>
              <w:top w:val="nil"/>
              <w:left w:val="nil"/>
              <w:bottom w:val="single" w:sz="4" w:space="0" w:color="auto"/>
              <w:right w:val="single" w:sz="4" w:space="0" w:color="auto"/>
            </w:tcBorders>
            <w:shd w:val="clear" w:color="auto" w:fill="auto"/>
            <w:noWrap/>
            <w:vAlign w:val="center"/>
            <w:hideMark/>
          </w:tcPr>
          <w:p w14:paraId="0F806F1C"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4.419</w:t>
            </w:r>
          </w:p>
        </w:tc>
        <w:tc>
          <w:tcPr>
            <w:tcW w:w="1200" w:type="dxa"/>
            <w:tcBorders>
              <w:top w:val="nil"/>
              <w:left w:val="nil"/>
              <w:bottom w:val="single" w:sz="4" w:space="0" w:color="auto"/>
              <w:right w:val="single" w:sz="4" w:space="0" w:color="auto"/>
            </w:tcBorders>
            <w:shd w:val="clear" w:color="auto" w:fill="auto"/>
            <w:noWrap/>
            <w:vAlign w:val="center"/>
            <w:hideMark/>
          </w:tcPr>
          <w:p w14:paraId="4D333AE5"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138</w:t>
            </w:r>
          </w:p>
        </w:tc>
        <w:tc>
          <w:tcPr>
            <w:tcW w:w="1200" w:type="dxa"/>
            <w:tcBorders>
              <w:top w:val="nil"/>
              <w:left w:val="nil"/>
              <w:bottom w:val="single" w:sz="4" w:space="0" w:color="auto"/>
              <w:right w:val="single" w:sz="4" w:space="0" w:color="auto"/>
            </w:tcBorders>
            <w:shd w:val="clear" w:color="auto" w:fill="auto"/>
            <w:noWrap/>
            <w:vAlign w:val="center"/>
            <w:hideMark/>
          </w:tcPr>
          <w:p w14:paraId="41674619"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30.375</w:t>
            </w:r>
          </w:p>
        </w:tc>
        <w:tc>
          <w:tcPr>
            <w:tcW w:w="1520" w:type="dxa"/>
            <w:tcBorders>
              <w:top w:val="nil"/>
              <w:left w:val="nil"/>
              <w:bottom w:val="single" w:sz="4" w:space="0" w:color="auto"/>
              <w:right w:val="single" w:sz="4" w:space="0" w:color="auto"/>
            </w:tcBorders>
            <w:shd w:val="clear" w:color="auto" w:fill="auto"/>
            <w:noWrap/>
            <w:vAlign w:val="center"/>
            <w:hideMark/>
          </w:tcPr>
          <w:p w14:paraId="31F8FDEE"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15.861</w:t>
            </w:r>
          </w:p>
        </w:tc>
      </w:tr>
      <w:tr w:rsidR="009A09ED" w:rsidRPr="00E02C7F" w14:paraId="6606482D"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0189954C"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N_26</w:t>
            </w:r>
          </w:p>
        </w:tc>
        <w:tc>
          <w:tcPr>
            <w:tcW w:w="1200" w:type="dxa"/>
            <w:tcBorders>
              <w:top w:val="nil"/>
              <w:left w:val="nil"/>
              <w:bottom w:val="single" w:sz="4" w:space="0" w:color="auto"/>
              <w:right w:val="single" w:sz="4" w:space="0" w:color="auto"/>
            </w:tcBorders>
            <w:shd w:val="clear" w:color="auto" w:fill="auto"/>
            <w:noWrap/>
            <w:vAlign w:val="center"/>
            <w:hideMark/>
          </w:tcPr>
          <w:p w14:paraId="163125E1"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19.587</w:t>
            </w:r>
          </w:p>
        </w:tc>
        <w:tc>
          <w:tcPr>
            <w:tcW w:w="1600" w:type="dxa"/>
            <w:tcBorders>
              <w:top w:val="nil"/>
              <w:left w:val="nil"/>
              <w:bottom w:val="single" w:sz="4" w:space="0" w:color="auto"/>
              <w:right w:val="single" w:sz="4" w:space="0" w:color="auto"/>
            </w:tcBorders>
            <w:shd w:val="clear" w:color="auto" w:fill="auto"/>
            <w:noWrap/>
            <w:vAlign w:val="center"/>
            <w:hideMark/>
          </w:tcPr>
          <w:p w14:paraId="7686F517"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7.330</w:t>
            </w:r>
          </w:p>
        </w:tc>
        <w:tc>
          <w:tcPr>
            <w:tcW w:w="1200" w:type="dxa"/>
            <w:tcBorders>
              <w:top w:val="nil"/>
              <w:left w:val="nil"/>
              <w:bottom w:val="single" w:sz="4" w:space="0" w:color="auto"/>
              <w:right w:val="single" w:sz="4" w:space="0" w:color="auto"/>
            </w:tcBorders>
            <w:shd w:val="clear" w:color="auto" w:fill="auto"/>
            <w:noWrap/>
            <w:vAlign w:val="center"/>
            <w:hideMark/>
          </w:tcPr>
          <w:p w14:paraId="32755C38"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4.608</w:t>
            </w:r>
          </w:p>
        </w:tc>
        <w:tc>
          <w:tcPr>
            <w:tcW w:w="1200" w:type="dxa"/>
            <w:tcBorders>
              <w:top w:val="nil"/>
              <w:left w:val="nil"/>
              <w:bottom w:val="single" w:sz="4" w:space="0" w:color="auto"/>
              <w:right w:val="single" w:sz="4" w:space="0" w:color="auto"/>
            </w:tcBorders>
            <w:shd w:val="clear" w:color="auto" w:fill="auto"/>
            <w:noWrap/>
            <w:vAlign w:val="center"/>
            <w:hideMark/>
          </w:tcPr>
          <w:p w14:paraId="5B5F9EF1"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298</w:t>
            </w:r>
          </w:p>
        </w:tc>
        <w:tc>
          <w:tcPr>
            <w:tcW w:w="1200" w:type="dxa"/>
            <w:tcBorders>
              <w:top w:val="nil"/>
              <w:left w:val="nil"/>
              <w:bottom w:val="single" w:sz="4" w:space="0" w:color="auto"/>
              <w:right w:val="single" w:sz="4" w:space="0" w:color="auto"/>
            </w:tcBorders>
            <w:shd w:val="clear" w:color="auto" w:fill="auto"/>
            <w:noWrap/>
            <w:vAlign w:val="center"/>
            <w:hideMark/>
          </w:tcPr>
          <w:p w14:paraId="7E617224"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31.822</w:t>
            </w:r>
          </w:p>
        </w:tc>
        <w:tc>
          <w:tcPr>
            <w:tcW w:w="1520" w:type="dxa"/>
            <w:tcBorders>
              <w:top w:val="nil"/>
              <w:left w:val="nil"/>
              <w:bottom w:val="single" w:sz="4" w:space="0" w:color="auto"/>
              <w:right w:val="single" w:sz="4" w:space="0" w:color="auto"/>
            </w:tcBorders>
            <w:shd w:val="clear" w:color="auto" w:fill="auto"/>
            <w:noWrap/>
            <w:vAlign w:val="center"/>
            <w:hideMark/>
          </w:tcPr>
          <w:p w14:paraId="7B64D32C"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16.537</w:t>
            </w:r>
          </w:p>
        </w:tc>
      </w:tr>
      <w:tr w:rsidR="009A09ED" w:rsidRPr="00E02C7F" w14:paraId="5B9471BD"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1A0BD6AB"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N_27</w:t>
            </w:r>
          </w:p>
        </w:tc>
        <w:tc>
          <w:tcPr>
            <w:tcW w:w="1200" w:type="dxa"/>
            <w:tcBorders>
              <w:top w:val="nil"/>
              <w:left w:val="nil"/>
              <w:bottom w:val="single" w:sz="4" w:space="0" w:color="auto"/>
              <w:right w:val="single" w:sz="4" w:space="0" w:color="auto"/>
            </w:tcBorders>
            <w:shd w:val="clear" w:color="auto" w:fill="auto"/>
            <w:noWrap/>
            <w:vAlign w:val="center"/>
            <w:hideMark/>
          </w:tcPr>
          <w:p w14:paraId="53371C50"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228.581</w:t>
            </w:r>
          </w:p>
        </w:tc>
        <w:tc>
          <w:tcPr>
            <w:tcW w:w="1600" w:type="dxa"/>
            <w:tcBorders>
              <w:top w:val="nil"/>
              <w:left w:val="nil"/>
              <w:bottom w:val="single" w:sz="4" w:space="0" w:color="auto"/>
              <w:right w:val="single" w:sz="4" w:space="0" w:color="auto"/>
            </w:tcBorders>
            <w:shd w:val="clear" w:color="auto" w:fill="auto"/>
            <w:noWrap/>
            <w:vAlign w:val="center"/>
            <w:hideMark/>
          </w:tcPr>
          <w:p w14:paraId="0445F9C4"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85.537</w:t>
            </w:r>
          </w:p>
        </w:tc>
        <w:tc>
          <w:tcPr>
            <w:tcW w:w="1200" w:type="dxa"/>
            <w:tcBorders>
              <w:top w:val="nil"/>
              <w:left w:val="nil"/>
              <w:bottom w:val="single" w:sz="4" w:space="0" w:color="auto"/>
              <w:right w:val="single" w:sz="4" w:space="0" w:color="auto"/>
            </w:tcBorders>
            <w:shd w:val="clear" w:color="auto" w:fill="auto"/>
            <w:noWrap/>
            <w:vAlign w:val="center"/>
            <w:hideMark/>
          </w:tcPr>
          <w:p w14:paraId="0B8B795F"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53.769</w:t>
            </w:r>
          </w:p>
        </w:tc>
        <w:tc>
          <w:tcPr>
            <w:tcW w:w="1200" w:type="dxa"/>
            <w:tcBorders>
              <w:top w:val="nil"/>
              <w:left w:val="nil"/>
              <w:bottom w:val="single" w:sz="4" w:space="0" w:color="auto"/>
              <w:right w:val="single" w:sz="4" w:space="0" w:color="auto"/>
            </w:tcBorders>
            <w:shd w:val="clear" w:color="auto" w:fill="auto"/>
            <w:noWrap/>
            <w:vAlign w:val="center"/>
            <w:hideMark/>
          </w:tcPr>
          <w:p w14:paraId="00BBE897"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1.683</w:t>
            </w:r>
          </w:p>
        </w:tc>
        <w:tc>
          <w:tcPr>
            <w:tcW w:w="1200" w:type="dxa"/>
            <w:tcBorders>
              <w:top w:val="nil"/>
              <w:left w:val="nil"/>
              <w:bottom w:val="single" w:sz="4" w:space="0" w:color="auto"/>
              <w:right w:val="single" w:sz="4" w:space="0" w:color="auto"/>
            </w:tcBorders>
            <w:shd w:val="clear" w:color="auto" w:fill="auto"/>
            <w:noWrap/>
            <w:vAlign w:val="center"/>
            <w:hideMark/>
          </w:tcPr>
          <w:p w14:paraId="43D68960"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369.570</w:t>
            </w:r>
          </w:p>
        </w:tc>
        <w:tc>
          <w:tcPr>
            <w:tcW w:w="1520" w:type="dxa"/>
            <w:tcBorders>
              <w:top w:val="nil"/>
              <w:left w:val="nil"/>
              <w:bottom w:val="single" w:sz="4" w:space="0" w:color="auto"/>
              <w:right w:val="single" w:sz="4" w:space="0" w:color="auto"/>
            </w:tcBorders>
            <w:shd w:val="clear" w:color="auto" w:fill="auto"/>
            <w:noWrap/>
            <w:vAlign w:val="center"/>
            <w:hideMark/>
          </w:tcPr>
          <w:p w14:paraId="1860FB46"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192.981</w:t>
            </w:r>
          </w:p>
        </w:tc>
      </w:tr>
      <w:tr w:rsidR="009A09ED" w:rsidRPr="00E02C7F" w14:paraId="4D4C9037"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68DC3A2C"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N_28</w:t>
            </w:r>
          </w:p>
        </w:tc>
        <w:tc>
          <w:tcPr>
            <w:tcW w:w="1200" w:type="dxa"/>
            <w:tcBorders>
              <w:top w:val="nil"/>
              <w:left w:val="nil"/>
              <w:bottom w:val="single" w:sz="4" w:space="0" w:color="auto"/>
              <w:right w:val="single" w:sz="4" w:space="0" w:color="auto"/>
            </w:tcBorders>
            <w:shd w:val="clear" w:color="auto" w:fill="auto"/>
            <w:noWrap/>
            <w:vAlign w:val="center"/>
            <w:hideMark/>
          </w:tcPr>
          <w:p w14:paraId="63B09402"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137.557</w:t>
            </w:r>
          </w:p>
        </w:tc>
        <w:tc>
          <w:tcPr>
            <w:tcW w:w="1600" w:type="dxa"/>
            <w:tcBorders>
              <w:top w:val="nil"/>
              <w:left w:val="nil"/>
              <w:bottom w:val="single" w:sz="4" w:space="0" w:color="auto"/>
              <w:right w:val="single" w:sz="4" w:space="0" w:color="auto"/>
            </w:tcBorders>
            <w:shd w:val="clear" w:color="auto" w:fill="auto"/>
            <w:noWrap/>
            <w:vAlign w:val="center"/>
            <w:hideMark/>
          </w:tcPr>
          <w:p w14:paraId="082AEB65"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51.475</w:t>
            </w:r>
          </w:p>
        </w:tc>
        <w:tc>
          <w:tcPr>
            <w:tcW w:w="1200" w:type="dxa"/>
            <w:tcBorders>
              <w:top w:val="nil"/>
              <w:left w:val="nil"/>
              <w:bottom w:val="single" w:sz="4" w:space="0" w:color="auto"/>
              <w:right w:val="single" w:sz="4" w:space="0" w:color="auto"/>
            </w:tcBorders>
            <w:shd w:val="clear" w:color="auto" w:fill="auto"/>
            <w:noWrap/>
            <w:vAlign w:val="center"/>
            <w:hideMark/>
          </w:tcPr>
          <w:p w14:paraId="71952CEC"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32.358</w:t>
            </w:r>
          </w:p>
        </w:tc>
        <w:tc>
          <w:tcPr>
            <w:tcW w:w="1200" w:type="dxa"/>
            <w:tcBorders>
              <w:top w:val="nil"/>
              <w:left w:val="nil"/>
              <w:bottom w:val="single" w:sz="4" w:space="0" w:color="auto"/>
              <w:right w:val="single" w:sz="4" w:space="0" w:color="auto"/>
            </w:tcBorders>
            <w:shd w:val="clear" w:color="auto" w:fill="auto"/>
            <w:noWrap/>
            <w:vAlign w:val="center"/>
            <w:hideMark/>
          </w:tcPr>
          <w:p w14:paraId="02E95286"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1.013</w:t>
            </w:r>
          </w:p>
        </w:tc>
        <w:tc>
          <w:tcPr>
            <w:tcW w:w="1200" w:type="dxa"/>
            <w:tcBorders>
              <w:top w:val="nil"/>
              <w:left w:val="nil"/>
              <w:bottom w:val="single" w:sz="4" w:space="0" w:color="auto"/>
              <w:right w:val="single" w:sz="4" w:space="0" w:color="auto"/>
            </w:tcBorders>
            <w:shd w:val="clear" w:color="auto" w:fill="auto"/>
            <w:noWrap/>
            <w:vAlign w:val="center"/>
            <w:hideMark/>
          </w:tcPr>
          <w:p w14:paraId="4C0F8AAA"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222.402</w:t>
            </w:r>
          </w:p>
        </w:tc>
        <w:tc>
          <w:tcPr>
            <w:tcW w:w="1520" w:type="dxa"/>
            <w:tcBorders>
              <w:top w:val="nil"/>
              <w:left w:val="nil"/>
              <w:bottom w:val="single" w:sz="4" w:space="0" w:color="auto"/>
              <w:right w:val="single" w:sz="4" w:space="0" w:color="auto"/>
            </w:tcBorders>
            <w:shd w:val="clear" w:color="auto" w:fill="auto"/>
            <w:noWrap/>
            <w:vAlign w:val="center"/>
            <w:hideMark/>
          </w:tcPr>
          <w:p w14:paraId="0B476724"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116.133</w:t>
            </w:r>
          </w:p>
        </w:tc>
      </w:tr>
      <w:tr w:rsidR="009A09ED" w:rsidRPr="00E02C7F" w14:paraId="0C216E75"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0D457A68"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N_29</w:t>
            </w:r>
          </w:p>
        </w:tc>
        <w:tc>
          <w:tcPr>
            <w:tcW w:w="1200" w:type="dxa"/>
            <w:tcBorders>
              <w:top w:val="nil"/>
              <w:left w:val="nil"/>
              <w:bottom w:val="single" w:sz="4" w:space="0" w:color="auto"/>
              <w:right w:val="single" w:sz="4" w:space="0" w:color="auto"/>
            </w:tcBorders>
            <w:shd w:val="clear" w:color="auto" w:fill="auto"/>
            <w:noWrap/>
            <w:vAlign w:val="center"/>
            <w:hideMark/>
          </w:tcPr>
          <w:p w14:paraId="3D7594E3"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39.035</w:t>
            </w:r>
          </w:p>
        </w:tc>
        <w:tc>
          <w:tcPr>
            <w:tcW w:w="1600" w:type="dxa"/>
            <w:tcBorders>
              <w:top w:val="nil"/>
              <w:left w:val="nil"/>
              <w:bottom w:val="single" w:sz="4" w:space="0" w:color="auto"/>
              <w:right w:val="single" w:sz="4" w:space="0" w:color="auto"/>
            </w:tcBorders>
            <w:shd w:val="clear" w:color="auto" w:fill="auto"/>
            <w:noWrap/>
            <w:vAlign w:val="center"/>
            <w:hideMark/>
          </w:tcPr>
          <w:p w14:paraId="62DDAFA4"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14.607</w:t>
            </w:r>
          </w:p>
        </w:tc>
        <w:tc>
          <w:tcPr>
            <w:tcW w:w="1200" w:type="dxa"/>
            <w:tcBorders>
              <w:top w:val="nil"/>
              <w:left w:val="nil"/>
              <w:bottom w:val="single" w:sz="4" w:space="0" w:color="auto"/>
              <w:right w:val="single" w:sz="4" w:space="0" w:color="auto"/>
            </w:tcBorders>
            <w:shd w:val="clear" w:color="auto" w:fill="auto"/>
            <w:noWrap/>
            <w:vAlign w:val="center"/>
            <w:hideMark/>
          </w:tcPr>
          <w:p w14:paraId="6DA804FC"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9.182</w:t>
            </w:r>
          </w:p>
        </w:tc>
        <w:tc>
          <w:tcPr>
            <w:tcW w:w="1200" w:type="dxa"/>
            <w:tcBorders>
              <w:top w:val="nil"/>
              <w:left w:val="nil"/>
              <w:bottom w:val="single" w:sz="4" w:space="0" w:color="auto"/>
              <w:right w:val="single" w:sz="4" w:space="0" w:color="auto"/>
            </w:tcBorders>
            <w:shd w:val="clear" w:color="auto" w:fill="auto"/>
            <w:noWrap/>
            <w:vAlign w:val="center"/>
            <w:hideMark/>
          </w:tcPr>
          <w:p w14:paraId="61D432A7"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287</w:t>
            </w:r>
          </w:p>
        </w:tc>
        <w:tc>
          <w:tcPr>
            <w:tcW w:w="1200" w:type="dxa"/>
            <w:tcBorders>
              <w:top w:val="nil"/>
              <w:left w:val="nil"/>
              <w:bottom w:val="single" w:sz="4" w:space="0" w:color="auto"/>
              <w:right w:val="single" w:sz="4" w:space="0" w:color="auto"/>
            </w:tcBorders>
            <w:shd w:val="clear" w:color="auto" w:fill="auto"/>
            <w:noWrap/>
            <w:vAlign w:val="center"/>
            <w:hideMark/>
          </w:tcPr>
          <w:p w14:paraId="24A81B4B"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63.111</w:t>
            </w:r>
          </w:p>
        </w:tc>
        <w:tc>
          <w:tcPr>
            <w:tcW w:w="1520" w:type="dxa"/>
            <w:tcBorders>
              <w:top w:val="nil"/>
              <w:left w:val="nil"/>
              <w:bottom w:val="single" w:sz="4" w:space="0" w:color="auto"/>
              <w:right w:val="single" w:sz="4" w:space="0" w:color="auto"/>
            </w:tcBorders>
            <w:shd w:val="clear" w:color="auto" w:fill="auto"/>
            <w:noWrap/>
            <w:vAlign w:val="center"/>
            <w:hideMark/>
          </w:tcPr>
          <w:p w14:paraId="602BD1EE"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32.955</w:t>
            </w:r>
          </w:p>
        </w:tc>
      </w:tr>
      <w:tr w:rsidR="009A09ED" w:rsidRPr="00E02C7F" w14:paraId="280D2484"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79972D8E"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N_30</w:t>
            </w:r>
          </w:p>
        </w:tc>
        <w:tc>
          <w:tcPr>
            <w:tcW w:w="1200" w:type="dxa"/>
            <w:tcBorders>
              <w:top w:val="nil"/>
              <w:left w:val="nil"/>
              <w:bottom w:val="single" w:sz="4" w:space="0" w:color="auto"/>
              <w:right w:val="single" w:sz="4" w:space="0" w:color="auto"/>
            </w:tcBorders>
            <w:shd w:val="clear" w:color="auto" w:fill="auto"/>
            <w:noWrap/>
            <w:vAlign w:val="center"/>
            <w:hideMark/>
          </w:tcPr>
          <w:p w14:paraId="37BBA37D"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207.078</w:t>
            </w:r>
          </w:p>
        </w:tc>
        <w:tc>
          <w:tcPr>
            <w:tcW w:w="1600" w:type="dxa"/>
            <w:tcBorders>
              <w:top w:val="nil"/>
              <w:left w:val="nil"/>
              <w:bottom w:val="single" w:sz="4" w:space="0" w:color="auto"/>
              <w:right w:val="single" w:sz="4" w:space="0" w:color="auto"/>
            </w:tcBorders>
            <w:shd w:val="clear" w:color="auto" w:fill="auto"/>
            <w:noWrap/>
            <w:vAlign w:val="center"/>
            <w:hideMark/>
          </w:tcPr>
          <w:p w14:paraId="347BB27A"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77.490</w:t>
            </w:r>
          </w:p>
        </w:tc>
        <w:tc>
          <w:tcPr>
            <w:tcW w:w="1200" w:type="dxa"/>
            <w:tcBorders>
              <w:top w:val="nil"/>
              <w:left w:val="nil"/>
              <w:bottom w:val="single" w:sz="4" w:space="0" w:color="auto"/>
              <w:right w:val="single" w:sz="4" w:space="0" w:color="auto"/>
            </w:tcBorders>
            <w:shd w:val="clear" w:color="auto" w:fill="auto"/>
            <w:noWrap/>
            <w:vAlign w:val="center"/>
            <w:hideMark/>
          </w:tcPr>
          <w:p w14:paraId="087AB16A"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48.711</w:t>
            </w:r>
          </w:p>
        </w:tc>
        <w:tc>
          <w:tcPr>
            <w:tcW w:w="1200" w:type="dxa"/>
            <w:tcBorders>
              <w:top w:val="nil"/>
              <w:left w:val="nil"/>
              <w:bottom w:val="single" w:sz="4" w:space="0" w:color="auto"/>
              <w:right w:val="single" w:sz="4" w:space="0" w:color="auto"/>
            </w:tcBorders>
            <w:shd w:val="clear" w:color="auto" w:fill="auto"/>
            <w:noWrap/>
            <w:vAlign w:val="center"/>
            <w:hideMark/>
          </w:tcPr>
          <w:p w14:paraId="65F4E0BC"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1.525</w:t>
            </w:r>
          </w:p>
        </w:tc>
        <w:tc>
          <w:tcPr>
            <w:tcW w:w="1200" w:type="dxa"/>
            <w:tcBorders>
              <w:top w:val="nil"/>
              <w:left w:val="nil"/>
              <w:bottom w:val="single" w:sz="4" w:space="0" w:color="auto"/>
              <w:right w:val="single" w:sz="4" w:space="0" w:color="auto"/>
            </w:tcBorders>
            <w:shd w:val="clear" w:color="auto" w:fill="auto"/>
            <w:noWrap/>
            <w:vAlign w:val="center"/>
            <w:hideMark/>
          </w:tcPr>
          <w:p w14:paraId="7E5E7318"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334.804</w:t>
            </w:r>
          </w:p>
        </w:tc>
        <w:tc>
          <w:tcPr>
            <w:tcW w:w="1520" w:type="dxa"/>
            <w:tcBorders>
              <w:top w:val="nil"/>
              <w:left w:val="nil"/>
              <w:bottom w:val="single" w:sz="4" w:space="0" w:color="auto"/>
              <w:right w:val="single" w:sz="4" w:space="0" w:color="auto"/>
            </w:tcBorders>
            <w:shd w:val="clear" w:color="auto" w:fill="auto"/>
            <w:noWrap/>
            <w:vAlign w:val="center"/>
            <w:hideMark/>
          </w:tcPr>
          <w:p w14:paraId="08726804"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174.827</w:t>
            </w:r>
          </w:p>
        </w:tc>
      </w:tr>
      <w:tr w:rsidR="009A09ED" w:rsidRPr="00E02C7F" w14:paraId="0F72C442"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1B3EA53C"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N_31</w:t>
            </w:r>
          </w:p>
        </w:tc>
        <w:tc>
          <w:tcPr>
            <w:tcW w:w="1200" w:type="dxa"/>
            <w:tcBorders>
              <w:top w:val="nil"/>
              <w:left w:val="nil"/>
              <w:bottom w:val="single" w:sz="4" w:space="0" w:color="auto"/>
              <w:right w:val="single" w:sz="4" w:space="0" w:color="auto"/>
            </w:tcBorders>
            <w:shd w:val="clear" w:color="auto" w:fill="auto"/>
            <w:noWrap/>
            <w:vAlign w:val="center"/>
            <w:hideMark/>
          </w:tcPr>
          <w:p w14:paraId="4D55BB00"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7.436</w:t>
            </w:r>
          </w:p>
        </w:tc>
        <w:tc>
          <w:tcPr>
            <w:tcW w:w="1600" w:type="dxa"/>
            <w:tcBorders>
              <w:top w:val="nil"/>
              <w:left w:val="nil"/>
              <w:bottom w:val="single" w:sz="4" w:space="0" w:color="auto"/>
              <w:right w:val="single" w:sz="4" w:space="0" w:color="auto"/>
            </w:tcBorders>
            <w:shd w:val="clear" w:color="auto" w:fill="auto"/>
            <w:noWrap/>
            <w:vAlign w:val="center"/>
            <w:hideMark/>
          </w:tcPr>
          <w:p w14:paraId="6CF3BE6C"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2.783</w:t>
            </w:r>
          </w:p>
        </w:tc>
        <w:tc>
          <w:tcPr>
            <w:tcW w:w="1200" w:type="dxa"/>
            <w:tcBorders>
              <w:top w:val="nil"/>
              <w:left w:val="nil"/>
              <w:bottom w:val="single" w:sz="4" w:space="0" w:color="auto"/>
              <w:right w:val="single" w:sz="4" w:space="0" w:color="auto"/>
            </w:tcBorders>
            <w:shd w:val="clear" w:color="auto" w:fill="auto"/>
            <w:noWrap/>
            <w:vAlign w:val="center"/>
            <w:hideMark/>
          </w:tcPr>
          <w:p w14:paraId="5DDD23C1"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1.749</w:t>
            </w:r>
          </w:p>
        </w:tc>
        <w:tc>
          <w:tcPr>
            <w:tcW w:w="1200" w:type="dxa"/>
            <w:tcBorders>
              <w:top w:val="nil"/>
              <w:left w:val="nil"/>
              <w:bottom w:val="single" w:sz="4" w:space="0" w:color="auto"/>
              <w:right w:val="single" w:sz="4" w:space="0" w:color="auto"/>
            </w:tcBorders>
            <w:shd w:val="clear" w:color="auto" w:fill="auto"/>
            <w:noWrap/>
            <w:vAlign w:val="center"/>
            <w:hideMark/>
          </w:tcPr>
          <w:p w14:paraId="07B179F5"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48</w:t>
            </w:r>
          </w:p>
        </w:tc>
        <w:tc>
          <w:tcPr>
            <w:tcW w:w="1200" w:type="dxa"/>
            <w:tcBorders>
              <w:top w:val="nil"/>
              <w:left w:val="nil"/>
              <w:bottom w:val="single" w:sz="4" w:space="0" w:color="auto"/>
              <w:right w:val="single" w:sz="4" w:space="0" w:color="auto"/>
            </w:tcBorders>
            <w:shd w:val="clear" w:color="auto" w:fill="auto"/>
            <w:noWrap/>
            <w:vAlign w:val="center"/>
            <w:hideMark/>
          </w:tcPr>
          <w:p w14:paraId="3EA0737C"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12.016</w:t>
            </w:r>
          </w:p>
        </w:tc>
        <w:tc>
          <w:tcPr>
            <w:tcW w:w="1520" w:type="dxa"/>
            <w:tcBorders>
              <w:top w:val="nil"/>
              <w:left w:val="nil"/>
              <w:bottom w:val="single" w:sz="4" w:space="0" w:color="auto"/>
              <w:right w:val="single" w:sz="4" w:space="0" w:color="auto"/>
            </w:tcBorders>
            <w:shd w:val="clear" w:color="auto" w:fill="auto"/>
            <w:noWrap/>
            <w:vAlign w:val="center"/>
            <w:hideMark/>
          </w:tcPr>
          <w:p w14:paraId="2C7B40D4"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6.278</w:t>
            </w:r>
          </w:p>
        </w:tc>
      </w:tr>
      <w:tr w:rsidR="009A09ED" w:rsidRPr="00E02C7F" w14:paraId="47A209ED"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40DFD724"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N_32</w:t>
            </w:r>
          </w:p>
        </w:tc>
        <w:tc>
          <w:tcPr>
            <w:tcW w:w="1200" w:type="dxa"/>
            <w:tcBorders>
              <w:top w:val="nil"/>
              <w:left w:val="nil"/>
              <w:bottom w:val="single" w:sz="4" w:space="0" w:color="auto"/>
              <w:right w:val="single" w:sz="4" w:space="0" w:color="auto"/>
            </w:tcBorders>
            <w:shd w:val="clear" w:color="auto" w:fill="auto"/>
            <w:noWrap/>
            <w:vAlign w:val="center"/>
            <w:hideMark/>
          </w:tcPr>
          <w:p w14:paraId="664D5EA3"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162.530</w:t>
            </w:r>
          </w:p>
        </w:tc>
        <w:tc>
          <w:tcPr>
            <w:tcW w:w="1600" w:type="dxa"/>
            <w:tcBorders>
              <w:top w:val="nil"/>
              <w:left w:val="nil"/>
              <w:bottom w:val="single" w:sz="4" w:space="0" w:color="auto"/>
              <w:right w:val="single" w:sz="4" w:space="0" w:color="auto"/>
            </w:tcBorders>
            <w:shd w:val="clear" w:color="auto" w:fill="auto"/>
            <w:noWrap/>
            <w:vAlign w:val="center"/>
            <w:hideMark/>
          </w:tcPr>
          <w:p w14:paraId="413475E5"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60.820</w:t>
            </w:r>
          </w:p>
        </w:tc>
        <w:tc>
          <w:tcPr>
            <w:tcW w:w="1200" w:type="dxa"/>
            <w:tcBorders>
              <w:top w:val="nil"/>
              <w:left w:val="nil"/>
              <w:bottom w:val="single" w:sz="4" w:space="0" w:color="auto"/>
              <w:right w:val="single" w:sz="4" w:space="0" w:color="auto"/>
            </w:tcBorders>
            <w:shd w:val="clear" w:color="auto" w:fill="auto"/>
            <w:noWrap/>
            <w:vAlign w:val="center"/>
            <w:hideMark/>
          </w:tcPr>
          <w:p w14:paraId="149BB480"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38.232</w:t>
            </w:r>
          </w:p>
        </w:tc>
        <w:tc>
          <w:tcPr>
            <w:tcW w:w="1200" w:type="dxa"/>
            <w:tcBorders>
              <w:top w:val="nil"/>
              <w:left w:val="nil"/>
              <w:bottom w:val="single" w:sz="4" w:space="0" w:color="auto"/>
              <w:right w:val="single" w:sz="4" w:space="0" w:color="auto"/>
            </w:tcBorders>
            <w:shd w:val="clear" w:color="auto" w:fill="auto"/>
            <w:noWrap/>
            <w:vAlign w:val="center"/>
            <w:hideMark/>
          </w:tcPr>
          <w:p w14:paraId="346851F7"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1.197</w:t>
            </w:r>
          </w:p>
        </w:tc>
        <w:tc>
          <w:tcPr>
            <w:tcW w:w="1200" w:type="dxa"/>
            <w:tcBorders>
              <w:top w:val="nil"/>
              <w:left w:val="nil"/>
              <w:bottom w:val="single" w:sz="4" w:space="0" w:color="auto"/>
              <w:right w:val="single" w:sz="4" w:space="0" w:color="auto"/>
            </w:tcBorders>
            <w:shd w:val="clear" w:color="auto" w:fill="auto"/>
            <w:noWrap/>
            <w:vAlign w:val="center"/>
            <w:hideMark/>
          </w:tcPr>
          <w:p w14:paraId="211D44CD"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262.779</w:t>
            </w:r>
          </w:p>
        </w:tc>
        <w:tc>
          <w:tcPr>
            <w:tcW w:w="1520" w:type="dxa"/>
            <w:tcBorders>
              <w:top w:val="nil"/>
              <w:left w:val="nil"/>
              <w:bottom w:val="single" w:sz="4" w:space="0" w:color="auto"/>
              <w:right w:val="single" w:sz="4" w:space="0" w:color="auto"/>
            </w:tcBorders>
            <w:shd w:val="clear" w:color="auto" w:fill="auto"/>
            <w:noWrap/>
            <w:vAlign w:val="center"/>
            <w:hideMark/>
          </w:tcPr>
          <w:p w14:paraId="7AE53EAA"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137.217</w:t>
            </w:r>
          </w:p>
        </w:tc>
      </w:tr>
      <w:tr w:rsidR="009A09ED" w:rsidRPr="00E02C7F" w14:paraId="581EADAE"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2E63A0D7"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N_33</w:t>
            </w:r>
          </w:p>
        </w:tc>
        <w:tc>
          <w:tcPr>
            <w:tcW w:w="1200" w:type="dxa"/>
            <w:tcBorders>
              <w:top w:val="nil"/>
              <w:left w:val="nil"/>
              <w:bottom w:val="single" w:sz="4" w:space="0" w:color="auto"/>
              <w:right w:val="single" w:sz="4" w:space="0" w:color="auto"/>
            </w:tcBorders>
            <w:shd w:val="clear" w:color="auto" w:fill="auto"/>
            <w:noWrap/>
            <w:vAlign w:val="center"/>
            <w:hideMark/>
          </w:tcPr>
          <w:p w14:paraId="3F1E267B"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280.831</w:t>
            </w:r>
          </w:p>
        </w:tc>
        <w:tc>
          <w:tcPr>
            <w:tcW w:w="1600" w:type="dxa"/>
            <w:tcBorders>
              <w:top w:val="nil"/>
              <w:left w:val="nil"/>
              <w:bottom w:val="single" w:sz="4" w:space="0" w:color="auto"/>
              <w:right w:val="single" w:sz="4" w:space="0" w:color="auto"/>
            </w:tcBorders>
            <w:shd w:val="clear" w:color="auto" w:fill="auto"/>
            <w:noWrap/>
            <w:vAlign w:val="center"/>
            <w:hideMark/>
          </w:tcPr>
          <w:p w14:paraId="02B71660"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105.089</w:t>
            </w:r>
          </w:p>
        </w:tc>
        <w:tc>
          <w:tcPr>
            <w:tcW w:w="1200" w:type="dxa"/>
            <w:tcBorders>
              <w:top w:val="nil"/>
              <w:left w:val="nil"/>
              <w:bottom w:val="single" w:sz="4" w:space="0" w:color="auto"/>
              <w:right w:val="single" w:sz="4" w:space="0" w:color="auto"/>
            </w:tcBorders>
            <w:shd w:val="clear" w:color="auto" w:fill="auto"/>
            <w:noWrap/>
            <w:vAlign w:val="center"/>
            <w:hideMark/>
          </w:tcPr>
          <w:p w14:paraId="44E2249C"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66.060</w:t>
            </w:r>
          </w:p>
        </w:tc>
        <w:tc>
          <w:tcPr>
            <w:tcW w:w="1200" w:type="dxa"/>
            <w:tcBorders>
              <w:top w:val="nil"/>
              <w:left w:val="nil"/>
              <w:bottom w:val="single" w:sz="4" w:space="0" w:color="auto"/>
              <w:right w:val="single" w:sz="4" w:space="0" w:color="auto"/>
            </w:tcBorders>
            <w:shd w:val="clear" w:color="auto" w:fill="auto"/>
            <w:noWrap/>
            <w:vAlign w:val="center"/>
            <w:hideMark/>
          </w:tcPr>
          <w:p w14:paraId="32A3564F"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2.067</w:t>
            </w:r>
          </w:p>
        </w:tc>
        <w:tc>
          <w:tcPr>
            <w:tcW w:w="1200" w:type="dxa"/>
            <w:tcBorders>
              <w:top w:val="nil"/>
              <w:left w:val="nil"/>
              <w:bottom w:val="single" w:sz="4" w:space="0" w:color="auto"/>
              <w:right w:val="single" w:sz="4" w:space="0" w:color="auto"/>
            </w:tcBorders>
            <w:shd w:val="clear" w:color="auto" w:fill="auto"/>
            <w:noWrap/>
            <w:vAlign w:val="center"/>
            <w:hideMark/>
          </w:tcPr>
          <w:p w14:paraId="3F32D2D1"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454.047</w:t>
            </w:r>
          </w:p>
        </w:tc>
        <w:tc>
          <w:tcPr>
            <w:tcW w:w="1520" w:type="dxa"/>
            <w:tcBorders>
              <w:top w:val="nil"/>
              <w:left w:val="nil"/>
              <w:bottom w:val="single" w:sz="4" w:space="0" w:color="auto"/>
              <w:right w:val="single" w:sz="4" w:space="0" w:color="auto"/>
            </w:tcBorders>
            <w:shd w:val="clear" w:color="auto" w:fill="auto"/>
            <w:noWrap/>
            <w:vAlign w:val="center"/>
            <w:hideMark/>
          </w:tcPr>
          <w:p w14:paraId="1BCE65A8"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237.093</w:t>
            </w:r>
          </w:p>
        </w:tc>
      </w:tr>
      <w:tr w:rsidR="009A09ED" w:rsidRPr="00E02C7F" w14:paraId="40AD7B2A"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2BF9C946"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N_34</w:t>
            </w:r>
          </w:p>
        </w:tc>
        <w:tc>
          <w:tcPr>
            <w:tcW w:w="1200" w:type="dxa"/>
            <w:tcBorders>
              <w:top w:val="nil"/>
              <w:left w:val="nil"/>
              <w:bottom w:val="single" w:sz="4" w:space="0" w:color="auto"/>
              <w:right w:val="single" w:sz="4" w:space="0" w:color="auto"/>
            </w:tcBorders>
            <w:shd w:val="clear" w:color="auto" w:fill="auto"/>
            <w:noWrap/>
            <w:vAlign w:val="center"/>
            <w:hideMark/>
          </w:tcPr>
          <w:p w14:paraId="28AB4CD6"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24.293</w:t>
            </w:r>
          </w:p>
        </w:tc>
        <w:tc>
          <w:tcPr>
            <w:tcW w:w="1600" w:type="dxa"/>
            <w:tcBorders>
              <w:top w:val="nil"/>
              <w:left w:val="nil"/>
              <w:bottom w:val="single" w:sz="4" w:space="0" w:color="auto"/>
              <w:right w:val="single" w:sz="4" w:space="0" w:color="auto"/>
            </w:tcBorders>
            <w:shd w:val="clear" w:color="auto" w:fill="auto"/>
            <w:noWrap/>
            <w:vAlign w:val="center"/>
            <w:hideMark/>
          </w:tcPr>
          <w:p w14:paraId="4EAF6F61"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9.090</w:t>
            </w:r>
          </w:p>
        </w:tc>
        <w:tc>
          <w:tcPr>
            <w:tcW w:w="1200" w:type="dxa"/>
            <w:tcBorders>
              <w:top w:val="nil"/>
              <w:left w:val="nil"/>
              <w:bottom w:val="single" w:sz="4" w:space="0" w:color="auto"/>
              <w:right w:val="single" w:sz="4" w:space="0" w:color="auto"/>
            </w:tcBorders>
            <w:shd w:val="clear" w:color="auto" w:fill="auto"/>
            <w:noWrap/>
            <w:vAlign w:val="center"/>
            <w:hideMark/>
          </w:tcPr>
          <w:p w14:paraId="3B50BA93"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5.714</w:t>
            </w:r>
          </w:p>
        </w:tc>
        <w:tc>
          <w:tcPr>
            <w:tcW w:w="1200" w:type="dxa"/>
            <w:tcBorders>
              <w:top w:val="nil"/>
              <w:left w:val="nil"/>
              <w:bottom w:val="single" w:sz="4" w:space="0" w:color="auto"/>
              <w:right w:val="single" w:sz="4" w:space="0" w:color="auto"/>
            </w:tcBorders>
            <w:shd w:val="clear" w:color="auto" w:fill="auto"/>
            <w:noWrap/>
            <w:vAlign w:val="center"/>
            <w:hideMark/>
          </w:tcPr>
          <w:p w14:paraId="2312672E"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229</w:t>
            </w:r>
          </w:p>
        </w:tc>
        <w:tc>
          <w:tcPr>
            <w:tcW w:w="1200" w:type="dxa"/>
            <w:tcBorders>
              <w:top w:val="nil"/>
              <w:left w:val="nil"/>
              <w:bottom w:val="single" w:sz="4" w:space="0" w:color="auto"/>
              <w:right w:val="single" w:sz="4" w:space="0" w:color="auto"/>
            </w:tcBorders>
            <w:shd w:val="clear" w:color="auto" w:fill="auto"/>
            <w:noWrap/>
            <w:vAlign w:val="center"/>
            <w:hideMark/>
          </w:tcPr>
          <w:p w14:paraId="140D1805"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39.327</w:t>
            </w:r>
          </w:p>
        </w:tc>
        <w:tc>
          <w:tcPr>
            <w:tcW w:w="1520" w:type="dxa"/>
            <w:tcBorders>
              <w:top w:val="nil"/>
              <w:left w:val="nil"/>
              <w:bottom w:val="single" w:sz="4" w:space="0" w:color="auto"/>
              <w:right w:val="single" w:sz="4" w:space="0" w:color="auto"/>
            </w:tcBorders>
            <w:shd w:val="clear" w:color="auto" w:fill="auto"/>
            <w:noWrap/>
            <w:vAlign w:val="center"/>
            <w:hideMark/>
          </w:tcPr>
          <w:p w14:paraId="555F3628"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20.509</w:t>
            </w:r>
          </w:p>
        </w:tc>
      </w:tr>
      <w:tr w:rsidR="009A09ED" w:rsidRPr="00E02C7F" w14:paraId="398F216F"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5A5AE3E8"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N_35</w:t>
            </w:r>
          </w:p>
        </w:tc>
        <w:tc>
          <w:tcPr>
            <w:tcW w:w="1200" w:type="dxa"/>
            <w:tcBorders>
              <w:top w:val="nil"/>
              <w:left w:val="nil"/>
              <w:bottom w:val="single" w:sz="4" w:space="0" w:color="auto"/>
              <w:right w:val="single" w:sz="4" w:space="0" w:color="auto"/>
            </w:tcBorders>
            <w:shd w:val="clear" w:color="auto" w:fill="auto"/>
            <w:noWrap/>
            <w:vAlign w:val="center"/>
            <w:hideMark/>
          </w:tcPr>
          <w:p w14:paraId="6BE61977"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76.258</w:t>
            </w:r>
          </w:p>
        </w:tc>
        <w:tc>
          <w:tcPr>
            <w:tcW w:w="1600" w:type="dxa"/>
            <w:tcBorders>
              <w:top w:val="nil"/>
              <w:left w:val="nil"/>
              <w:bottom w:val="single" w:sz="4" w:space="0" w:color="auto"/>
              <w:right w:val="single" w:sz="4" w:space="0" w:color="auto"/>
            </w:tcBorders>
            <w:shd w:val="clear" w:color="auto" w:fill="auto"/>
            <w:noWrap/>
            <w:vAlign w:val="center"/>
            <w:hideMark/>
          </w:tcPr>
          <w:p w14:paraId="756BD06E"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28.536</w:t>
            </w:r>
          </w:p>
        </w:tc>
        <w:tc>
          <w:tcPr>
            <w:tcW w:w="1200" w:type="dxa"/>
            <w:tcBorders>
              <w:top w:val="nil"/>
              <w:left w:val="nil"/>
              <w:bottom w:val="single" w:sz="4" w:space="0" w:color="auto"/>
              <w:right w:val="single" w:sz="4" w:space="0" w:color="auto"/>
            </w:tcBorders>
            <w:shd w:val="clear" w:color="auto" w:fill="auto"/>
            <w:noWrap/>
            <w:vAlign w:val="center"/>
            <w:hideMark/>
          </w:tcPr>
          <w:p w14:paraId="442802DF"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17.938</w:t>
            </w:r>
          </w:p>
        </w:tc>
        <w:tc>
          <w:tcPr>
            <w:tcW w:w="1200" w:type="dxa"/>
            <w:tcBorders>
              <w:top w:val="nil"/>
              <w:left w:val="nil"/>
              <w:bottom w:val="single" w:sz="4" w:space="0" w:color="auto"/>
              <w:right w:val="single" w:sz="4" w:space="0" w:color="auto"/>
            </w:tcBorders>
            <w:shd w:val="clear" w:color="auto" w:fill="auto"/>
            <w:noWrap/>
            <w:vAlign w:val="center"/>
            <w:hideMark/>
          </w:tcPr>
          <w:p w14:paraId="4E03090A"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561</w:t>
            </w:r>
          </w:p>
        </w:tc>
        <w:tc>
          <w:tcPr>
            <w:tcW w:w="1200" w:type="dxa"/>
            <w:tcBorders>
              <w:top w:val="nil"/>
              <w:left w:val="nil"/>
              <w:bottom w:val="single" w:sz="4" w:space="0" w:color="auto"/>
              <w:right w:val="single" w:sz="4" w:space="0" w:color="auto"/>
            </w:tcBorders>
            <w:shd w:val="clear" w:color="auto" w:fill="auto"/>
            <w:noWrap/>
            <w:vAlign w:val="center"/>
            <w:hideMark/>
          </w:tcPr>
          <w:p w14:paraId="657EB147"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123.294</w:t>
            </w:r>
          </w:p>
        </w:tc>
        <w:tc>
          <w:tcPr>
            <w:tcW w:w="1520" w:type="dxa"/>
            <w:tcBorders>
              <w:top w:val="nil"/>
              <w:left w:val="nil"/>
              <w:bottom w:val="single" w:sz="4" w:space="0" w:color="auto"/>
              <w:right w:val="single" w:sz="4" w:space="0" w:color="auto"/>
            </w:tcBorders>
            <w:shd w:val="clear" w:color="auto" w:fill="auto"/>
            <w:noWrap/>
            <w:vAlign w:val="center"/>
            <w:hideMark/>
          </w:tcPr>
          <w:p w14:paraId="4863D92B"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64.381</w:t>
            </w:r>
          </w:p>
        </w:tc>
      </w:tr>
      <w:tr w:rsidR="009A09ED" w:rsidRPr="00E02C7F" w14:paraId="342F6A02"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43027EDC"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N_36</w:t>
            </w:r>
          </w:p>
        </w:tc>
        <w:tc>
          <w:tcPr>
            <w:tcW w:w="1200" w:type="dxa"/>
            <w:tcBorders>
              <w:top w:val="nil"/>
              <w:left w:val="nil"/>
              <w:bottom w:val="single" w:sz="4" w:space="0" w:color="auto"/>
              <w:right w:val="single" w:sz="4" w:space="0" w:color="auto"/>
            </w:tcBorders>
            <w:shd w:val="clear" w:color="auto" w:fill="auto"/>
            <w:noWrap/>
            <w:vAlign w:val="center"/>
            <w:hideMark/>
          </w:tcPr>
          <w:p w14:paraId="51C9881A"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28.050</w:t>
            </w:r>
          </w:p>
        </w:tc>
        <w:tc>
          <w:tcPr>
            <w:tcW w:w="1600" w:type="dxa"/>
            <w:tcBorders>
              <w:top w:val="nil"/>
              <w:left w:val="nil"/>
              <w:bottom w:val="single" w:sz="4" w:space="0" w:color="auto"/>
              <w:right w:val="single" w:sz="4" w:space="0" w:color="auto"/>
            </w:tcBorders>
            <w:shd w:val="clear" w:color="auto" w:fill="auto"/>
            <w:noWrap/>
            <w:vAlign w:val="center"/>
            <w:hideMark/>
          </w:tcPr>
          <w:p w14:paraId="3B77208B"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10.496</w:t>
            </w:r>
          </w:p>
        </w:tc>
        <w:tc>
          <w:tcPr>
            <w:tcW w:w="1200" w:type="dxa"/>
            <w:tcBorders>
              <w:top w:val="nil"/>
              <w:left w:val="nil"/>
              <w:bottom w:val="single" w:sz="4" w:space="0" w:color="auto"/>
              <w:right w:val="single" w:sz="4" w:space="0" w:color="auto"/>
            </w:tcBorders>
            <w:shd w:val="clear" w:color="auto" w:fill="auto"/>
            <w:noWrap/>
            <w:vAlign w:val="center"/>
            <w:hideMark/>
          </w:tcPr>
          <w:p w14:paraId="642838D4"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6.598</w:t>
            </w:r>
          </w:p>
        </w:tc>
        <w:tc>
          <w:tcPr>
            <w:tcW w:w="1200" w:type="dxa"/>
            <w:tcBorders>
              <w:top w:val="nil"/>
              <w:left w:val="nil"/>
              <w:bottom w:val="single" w:sz="4" w:space="0" w:color="auto"/>
              <w:right w:val="single" w:sz="4" w:space="0" w:color="auto"/>
            </w:tcBorders>
            <w:shd w:val="clear" w:color="auto" w:fill="auto"/>
            <w:noWrap/>
            <w:vAlign w:val="center"/>
            <w:hideMark/>
          </w:tcPr>
          <w:p w14:paraId="76191007"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167</w:t>
            </w:r>
          </w:p>
        </w:tc>
        <w:tc>
          <w:tcPr>
            <w:tcW w:w="1200" w:type="dxa"/>
            <w:tcBorders>
              <w:top w:val="nil"/>
              <w:left w:val="nil"/>
              <w:bottom w:val="single" w:sz="4" w:space="0" w:color="auto"/>
              <w:right w:val="single" w:sz="4" w:space="0" w:color="auto"/>
            </w:tcBorders>
            <w:shd w:val="clear" w:color="auto" w:fill="auto"/>
            <w:noWrap/>
            <w:vAlign w:val="center"/>
            <w:hideMark/>
          </w:tcPr>
          <w:p w14:paraId="3A88D5C7"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45.311</w:t>
            </w:r>
          </w:p>
        </w:tc>
        <w:tc>
          <w:tcPr>
            <w:tcW w:w="1520" w:type="dxa"/>
            <w:tcBorders>
              <w:top w:val="nil"/>
              <w:left w:val="nil"/>
              <w:bottom w:val="single" w:sz="4" w:space="0" w:color="auto"/>
              <w:right w:val="single" w:sz="4" w:space="0" w:color="auto"/>
            </w:tcBorders>
            <w:shd w:val="clear" w:color="auto" w:fill="auto"/>
            <w:noWrap/>
            <w:vAlign w:val="center"/>
            <w:hideMark/>
          </w:tcPr>
          <w:p w14:paraId="2E7E0916"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23.681</w:t>
            </w:r>
          </w:p>
        </w:tc>
      </w:tr>
      <w:tr w:rsidR="009A09ED" w:rsidRPr="00E02C7F" w14:paraId="2BB0A3FA"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1A02A07A"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N_37</w:t>
            </w:r>
          </w:p>
        </w:tc>
        <w:tc>
          <w:tcPr>
            <w:tcW w:w="1200" w:type="dxa"/>
            <w:tcBorders>
              <w:top w:val="nil"/>
              <w:left w:val="nil"/>
              <w:bottom w:val="single" w:sz="4" w:space="0" w:color="auto"/>
              <w:right w:val="single" w:sz="4" w:space="0" w:color="auto"/>
            </w:tcBorders>
            <w:shd w:val="clear" w:color="auto" w:fill="auto"/>
            <w:noWrap/>
            <w:vAlign w:val="center"/>
            <w:hideMark/>
          </w:tcPr>
          <w:p w14:paraId="71D32250"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88.077</w:t>
            </w:r>
          </w:p>
        </w:tc>
        <w:tc>
          <w:tcPr>
            <w:tcW w:w="1600" w:type="dxa"/>
            <w:tcBorders>
              <w:top w:val="nil"/>
              <w:left w:val="nil"/>
              <w:bottom w:val="single" w:sz="4" w:space="0" w:color="auto"/>
              <w:right w:val="single" w:sz="4" w:space="0" w:color="auto"/>
            </w:tcBorders>
            <w:shd w:val="clear" w:color="auto" w:fill="auto"/>
            <w:noWrap/>
            <w:vAlign w:val="center"/>
            <w:hideMark/>
          </w:tcPr>
          <w:p w14:paraId="4BD84788"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32.959</w:t>
            </w:r>
          </w:p>
        </w:tc>
        <w:tc>
          <w:tcPr>
            <w:tcW w:w="1200" w:type="dxa"/>
            <w:tcBorders>
              <w:top w:val="nil"/>
              <w:left w:val="nil"/>
              <w:bottom w:val="single" w:sz="4" w:space="0" w:color="auto"/>
              <w:right w:val="single" w:sz="4" w:space="0" w:color="auto"/>
            </w:tcBorders>
            <w:shd w:val="clear" w:color="auto" w:fill="auto"/>
            <w:noWrap/>
            <w:vAlign w:val="center"/>
            <w:hideMark/>
          </w:tcPr>
          <w:p w14:paraId="433CF89C"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20.719</w:t>
            </w:r>
          </w:p>
        </w:tc>
        <w:tc>
          <w:tcPr>
            <w:tcW w:w="1200" w:type="dxa"/>
            <w:tcBorders>
              <w:top w:val="nil"/>
              <w:left w:val="nil"/>
              <w:bottom w:val="single" w:sz="4" w:space="0" w:color="auto"/>
              <w:right w:val="single" w:sz="4" w:space="0" w:color="auto"/>
            </w:tcBorders>
            <w:shd w:val="clear" w:color="auto" w:fill="auto"/>
            <w:noWrap/>
            <w:vAlign w:val="center"/>
            <w:hideMark/>
          </w:tcPr>
          <w:p w14:paraId="151A4819"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367</w:t>
            </w:r>
          </w:p>
        </w:tc>
        <w:tc>
          <w:tcPr>
            <w:tcW w:w="1200" w:type="dxa"/>
            <w:tcBorders>
              <w:top w:val="nil"/>
              <w:left w:val="nil"/>
              <w:bottom w:val="single" w:sz="4" w:space="0" w:color="auto"/>
              <w:right w:val="single" w:sz="4" w:space="0" w:color="auto"/>
            </w:tcBorders>
            <w:shd w:val="clear" w:color="auto" w:fill="auto"/>
            <w:noWrap/>
            <w:vAlign w:val="center"/>
            <w:hideMark/>
          </w:tcPr>
          <w:p w14:paraId="2C4CAF3D"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142.122</w:t>
            </w:r>
          </w:p>
        </w:tc>
        <w:tc>
          <w:tcPr>
            <w:tcW w:w="1520" w:type="dxa"/>
            <w:tcBorders>
              <w:top w:val="nil"/>
              <w:left w:val="nil"/>
              <w:bottom w:val="single" w:sz="4" w:space="0" w:color="auto"/>
              <w:right w:val="single" w:sz="4" w:space="0" w:color="auto"/>
            </w:tcBorders>
            <w:shd w:val="clear" w:color="auto" w:fill="auto"/>
            <w:noWrap/>
            <w:vAlign w:val="center"/>
            <w:hideMark/>
          </w:tcPr>
          <w:p w14:paraId="14EB8DEE"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74.360</w:t>
            </w:r>
          </w:p>
        </w:tc>
      </w:tr>
      <w:tr w:rsidR="009A09ED" w:rsidRPr="00E02C7F" w14:paraId="00086230"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328F705C"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N_38</w:t>
            </w:r>
          </w:p>
        </w:tc>
        <w:tc>
          <w:tcPr>
            <w:tcW w:w="1200" w:type="dxa"/>
            <w:tcBorders>
              <w:top w:val="nil"/>
              <w:left w:val="nil"/>
              <w:bottom w:val="single" w:sz="4" w:space="0" w:color="auto"/>
              <w:right w:val="single" w:sz="4" w:space="0" w:color="auto"/>
            </w:tcBorders>
            <w:shd w:val="clear" w:color="auto" w:fill="auto"/>
            <w:noWrap/>
            <w:vAlign w:val="center"/>
            <w:hideMark/>
          </w:tcPr>
          <w:p w14:paraId="43D63849"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31.148</w:t>
            </w:r>
          </w:p>
        </w:tc>
        <w:tc>
          <w:tcPr>
            <w:tcW w:w="1600" w:type="dxa"/>
            <w:tcBorders>
              <w:top w:val="nil"/>
              <w:left w:val="nil"/>
              <w:bottom w:val="single" w:sz="4" w:space="0" w:color="auto"/>
              <w:right w:val="single" w:sz="4" w:space="0" w:color="auto"/>
            </w:tcBorders>
            <w:shd w:val="clear" w:color="auto" w:fill="auto"/>
            <w:noWrap/>
            <w:vAlign w:val="center"/>
            <w:hideMark/>
          </w:tcPr>
          <w:p w14:paraId="0C3A3193"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11.656</w:t>
            </w:r>
          </w:p>
        </w:tc>
        <w:tc>
          <w:tcPr>
            <w:tcW w:w="1200" w:type="dxa"/>
            <w:tcBorders>
              <w:top w:val="nil"/>
              <w:left w:val="nil"/>
              <w:bottom w:val="single" w:sz="4" w:space="0" w:color="auto"/>
              <w:right w:val="single" w:sz="4" w:space="0" w:color="auto"/>
            </w:tcBorders>
            <w:shd w:val="clear" w:color="auto" w:fill="auto"/>
            <w:noWrap/>
            <w:vAlign w:val="center"/>
            <w:hideMark/>
          </w:tcPr>
          <w:p w14:paraId="2F8C7AD8"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7.327</w:t>
            </w:r>
          </w:p>
        </w:tc>
        <w:tc>
          <w:tcPr>
            <w:tcW w:w="1200" w:type="dxa"/>
            <w:tcBorders>
              <w:top w:val="nil"/>
              <w:left w:val="nil"/>
              <w:bottom w:val="single" w:sz="4" w:space="0" w:color="auto"/>
              <w:right w:val="single" w:sz="4" w:space="0" w:color="auto"/>
            </w:tcBorders>
            <w:shd w:val="clear" w:color="auto" w:fill="auto"/>
            <w:noWrap/>
            <w:vAlign w:val="center"/>
            <w:hideMark/>
          </w:tcPr>
          <w:p w14:paraId="3B516AEA"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473</w:t>
            </w:r>
          </w:p>
        </w:tc>
        <w:tc>
          <w:tcPr>
            <w:tcW w:w="1200" w:type="dxa"/>
            <w:tcBorders>
              <w:top w:val="nil"/>
              <w:left w:val="nil"/>
              <w:bottom w:val="single" w:sz="4" w:space="0" w:color="auto"/>
              <w:right w:val="single" w:sz="4" w:space="0" w:color="auto"/>
            </w:tcBorders>
            <w:shd w:val="clear" w:color="auto" w:fill="auto"/>
            <w:noWrap/>
            <w:vAlign w:val="center"/>
            <w:hideMark/>
          </w:tcPr>
          <w:p w14:paraId="3D7F608F"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50.604</w:t>
            </w:r>
          </w:p>
        </w:tc>
        <w:tc>
          <w:tcPr>
            <w:tcW w:w="1520" w:type="dxa"/>
            <w:tcBorders>
              <w:top w:val="nil"/>
              <w:left w:val="nil"/>
              <w:bottom w:val="single" w:sz="4" w:space="0" w:color="auto"/>
              <w:right w:val="single" w:sz="4" w:space="0" w:color="auto"/>
            </w:tcBorders>
            <w:shd w:val="clear" w:color="auto" w:fill="auto"/>
            <w:noWrap/>
            <w:vAlign w:val="center"/>
            <w:hideMark/>
          </w:tcPr>
          <w:p w14:paraId="5AA827B6"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26.297</w:t>
            </w:r>
          </w:p>
        </w:tc>
      </w:tr>
      <w:tr w:rsidR="009A09ED" w:rsidRPr="00E02C7F" w14:paraId="25DF76CF"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5CAB8295"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N_39</w:t>
            </w:r>
          </w:p>
        </w:tc>
        <w:tc>
          <w:tcPr>
            <w:tcW w:w="1200" w:type="dxa"/>
            <w:tcBorders>
              <w:top w:val="nil"/>
              <w:left w:val="nil"/>
              <w:bottom w:val="single" w:sz="4" w:space="0" w:color="auto"/>
              <w:right w:val="single" w:sz="4" w:space="0" w:color="auto"/>
            </w:tcBorders>
            <w:shd w:val="clear" w:color="auto" w:fill="auto"/>
            <w:noWrap/>
            <w:vAlign w:val="center"/>
            <w:hideMark/>
          </w:tcPr>
          <w:p w14:paraId="3ABD8258"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83.596</w:t>
            </w:r>
          </w:p>
        </w:tc>
        <w:tc>
          <w:tcPr>
            <w:tcW w:w="1600" w:type="dxa"/>
            <w:tcBorders>
              <w:top w:val="nil"/>
              <w:left w:val="nil"/>
              <w:bottom w:val="single" w:sz="4" w:space="0" w:color="auto"/>
              <w:right w:val="single" w:sz="4" w:space="0" w:color="auto"/>
            </w:tcBorders>
            <w:shd w:val="clear" w:color="auto" w:fill="auto"/>
            <w:noWrap/>
            <w:vAlign w:val="center"/>
            <w:hideMark/>
          </w:tcPr>
          <w:p w14:paraId="133E46E2"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31.282</w:t>
            </w:r>
          </w:p>
        </w:tc>
        <w:tc>
          <w:tcPr>
            <w:tcW w:w="1200" w:type="dxa"/>
            <w:tcBorders>
              <w:top w:val="nil"/>
              <w:left w:val="nil"/>
              <w:bottom w:val="single" w:sz="4" w:space="0" w:color="auto"/>
              <w:right w:val="single" w:sz="4" w:space="0" w:color="auto"/>
            </w:tcBorders>
            <w:shd w:val="clear" w:color="auto" w:fill="auto"/>
            <w:noWrap/>
            <w:vAlign w:val="center"/>
            <w:hideMark/>
          </w:tcPr>
          <w:p w14:paraId="57320891"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19.664</w:t>
            </w:r>
          </w:p>
        </w:tc>
        <w:tc>
          <w:tcPr>
            <w:tcW w:w="1200" w:type="dxa"/>
            <w:tcBorders>
              <w:top w:val="nil"/>
              <w:left w:val="nil"/>
              <w:bottom w:val="single" w:sz="4" w:space="0" w:color="auto"/>
              <w:right w:val="single" w:sz="4" w:space="0" w:color="auto"/>
            </w:tcBorders>
            <w:shd w:val="clear" w:color="auto" w:fill="auto"/>
            <w:noWrap/>
            <w:vAlign w:val="center"/>
            <w:hideMark/>
          </w:tcPr>
          <w:p w14:paraId="357F92EB"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615</w:t>
            </w:r>
          </w:p>
        </w:tc>
        <w:tc>
          <w:tcPr>
            <w:tcW w:w="1200" w:type="dxa"/>
            <w:tcBorders>
              <w:top w:val="nil"/>
              <w:left w:val="nil"/>
              <w:bottom w:val="single" w:sz="4" w:space="0" w:color="auto"/>
              <w:right w:val="single" w:sz="4" w:space="0" w:color="auto"/>
            </w:tcBorders>
            <w:shd w:val="clear" w:color="auto" w:fill="auto"/>
            <w:noWrap/>
            <w:vAlign w:val="center"/>
            <w:hideMark/>
          </w:tcPr>
          <w:p w14:paraId="7A341EF4"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135.158</w:t>
            </w:r>
          </w:p>
        </w:tc>
        <w:tc>
          <w:tcPr>
            <w:tcW w:w="1520" w:type="dxa"/>
            <w:tcBorders>
              <w:top w:val="nil"/>
              <w:left w:val="nil"/>
              <w:bottom w:val="single" w:sz="4" w:space="0" w:color="auto"/>
              <w:right w:val="single" w:sz="4" w:space="0" w:color="auto"/>
            </w:tcBorders>
            <w:shd w:val="clear" w:color="auto" w:fill="auto"/>
            <w:noWrap/>
            <w:vAlign w:val="center"/>
            <w:hideMark/>
          </w:tcPr>
          <w:p w14:paraId="3C9471D3"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70.576</w:t>
            </w:r>
          </w:p>
        </w:tc>
      </w:tr>
      <w:tr w:rsidR="009A09ED" w:rsidRPr="00E02C7F" w14:paraId="5BEE184B"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08DD9DCC"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N_40</w:t>
            </w:r>
          </w:p>
        </w:tc>
        <w:tc>
          <w:tcPr>
            <w:tcW w:w="1200" w:type="dxa"/>
            <w:tcBorders>
              <w:top w:val="nil"/>
              <w:left w:val="nil"/>
              <w:bottom w:val="single" w:sz="4" w:space="0" w:color="auto"/>
              <w:right w:val="single" w:sz="4" w:space="0" w:color="auto"/>
            </w:tcBorders>
            <w:shd w:val="clear" w:color="auto" w:fill="auto"/>
            <w:noWrap/>
            <w:vAlign w:val="center"/>
            <w:hideMark/>
          </w:tcPr>
          <w:p w14:paraId="38FB503C"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104.811</w:t>
            </w:r>
          </w:p>
        </w:tc>
        <w:tc>
          <w:tcPr>
            <w:tcW w:w="1600" w:type="dxa"/>
            <w:tcBorders>
              <w:top w:val="nil"/>
              <w:left w:val="nil"/>
              <w:bottom w:val="single" w:sz="4" w:space="0" w:color="auto"/>
              <w:right w:val="single" w:sz="4" w:space="0" w:color="auto"/>
            </w:tcBorders>
            <w:shd w:val="clear" w:color="auto" w:fill="auto"/>
            <w:noWrap/>
            <w:vAlign w:val="center"/>
            <w:hideMark/>
          </w:tcPr>
          <w:p w14:paraId="1C41DF52"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39.221</w:t>
            </w:r>
          </w:p>
        </w:tc>
        <w:tc>
          <w:tcPr>
            <w:tcW w:w="1200" w:type="dxa"/>
            <w:tcBorders>
              <w:top w:val="nil"/>
              <w:left w:val="nil"/>
              <w:bottom w:val="single" w:sz="4" w:space="0" w:color="auto"/>
              <w:right w:val="single" w:sz="4" w:space="0" w:color="auto"/>
            </w:tcBorders>
            <w:shd w:val="clear" w:color="auto" w:fill="auto"/>
            <w:noWrap/>
            <w:vAlign w:val="center"/>
            <w:hideMark/>
          </w:tcPr>
          <w:p w14:paraId="2621183E"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24.655</w:t>
            </w:r>
          </w:p>
        </w:tc>
        <w:tc>
          <w:tcPr>
            <w:tcW w:w="1200" w:type="dxa"/>
            <w:tcBorders>
              <w:top w:val="nil"/>
              <w:left w:val="nil"/>
              <w:bottom w:val="single" w:sz="4" w:space="0" w:color="auto"/>
              <w:right w:val="single" w:sz="4" w:space="0" w:color="auto"/>
            </w:tcBorders>
            <w:shd w:val="clear" w:color="auto" w:fill="auto"/>
            <w:noWrap/>
            <w:vAlign w:val="center"/>
            <w:hideMark/>
          </w:tcPr>
          <w:p w14:paraId="5EABD8FD"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772</w:t>
            </w:r>
          </w:p>
        </w:tc>
        <w:tc>
          <w:tcPr>
            <w:tcW w:w="1200" w:type="dxa"/>
            <w:tcBorders>
              <w:top w:val="nil"/>
              <w:left w:val="nil"/>
              <w:bottom w:val="single" w:sz="4" w:space="0" w:color="auto"/>
              <w:right w:val="single" w:sz="4" w:space="0" w:color="auto"/>
            </w:tcBorders>
            <w:shd w:val="clear" w:color="auto" w:fill="auto"/>
            <w:noWrap/>
            <w:vAlign w:val="center"/>
            <w:hideMark/>
          </w:tcPr>
          <w:p w14:paraId="01B05348"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169.459</w:t>
            </w:r>
          </w:p>
        </w:tc>
        <w:tc>
          <w:tcPr>
            <w:tcW w:w="1520" w:type="dxa"/>
            <w:tcBorders>
              <w:top w:val="nil"/>
              <w:left w:val="nil"/>
              <w:bottom w:val="single" w:sz="4" w:space="0" w:color="auto"/>
              <w:right w:val="single" w:sz="4" w:space="0" w:color="auto"/>
            </w:tcBorders>
            <w:shd w:val="clear" w:color="auto" w:fill="auto"/>
            <w:noWrap/>
            <w:vAlign w:val="center"/>
            <w:hideMark/>
          </w:tcPr>
          <w:p w14:paraId="64779DD0"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88.488</w:t>
            </w:r>
          </w:p>
        </w:tc>
      </w:tr>
      <w:tr w:rsidR="009A09ED" w:rsidRPr="00E02C7F" w14:paraId="17B101CD"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5826DD05"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N_41</w:t>
            </w:r>
          </w:p>
        </w:tc>
        <w:tc>
          <w:tcPr>
            <w:tcW w:w="1200" w:type="dxa"/>
            <w:tcBorders>
              <w:top w:val="nil"/>
              <w:left w:val="nil"/>
              <w:bottom w:val="single" w:sz="4" w:space="0" w:color="auto"/>
              <w:right w:val="single" w:sz="4" w:space="0" w:color="auto"/>
            </w:tcBorders>
            <w:shd w:val="clear" w:color="auto" w:fill="auto"/>
            <w:noWrap/>
            <w:vAlign w:val="center"/>
            <w:hideMark/>
          </w:tcPr>
          <w:p w14:paraId="65F9F89C"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271.104</w:t>
            </w:r>
          </w:p>
        </w:tc>
        <w:tc>
          <w:tcPr>
            <w:tcW w:w="1600" w:type="dxa"/>
            <w:tcBorders>
              <w:top w:val="nil"/>
              <w:left w:val="nil"/>
              <w:bottom w:val="single" w:sz="4" w:space="0" w:color="auto"/>
              <w:right w:val="single" w:sz="4" w:space="0" w:color="auto"/>
            </w:tcBorders>
            <w:shd w:val="clear" w:color="auto" w:fill="auto"/>
            <w:noWrap/>
            <w:vAlign w:val="center"/>
            <w:hideMark/>
          </w:tcPr>
          <w:p w14:paraId="41C352D0"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101.449</w:t>
            </w:r>
          </w:p>
        </w:tc>
        <w:tc>
          <w:tcPr>
            <w:tcW w:w="1200" w:type="dxa"/>
            <w:tcBorders>
              <w:top w:val="nil"/>
              <w:left w:val="nil"/>
              <w:bottom w:val="single" w:sz="4" w:space="0" w:color="auto"/>
              <w:right w:val="single" w:sz="4" w:space="0" w:color="auto"/>
            </w:tcBorders>
            <w:shd w:val="clear" w:color="auto" w:fill="auto"/>
            <w:noWrap/>
            <w:vAlign w:val="center"/>
            <w:hideMark/>
          </w:tcPr>
          <w:p w14:paraId="7D4CBCBE"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63.772</w:t>
            </w:r>
          </w:p>
        </w:tc>
        <w:tc>
          <w:tcPr>
            <w:tcW w:w="1200" w:type="dxa"/>
            <w:tcBorders>
              <w:top w:val="nil"/>
              <w:left w:val="nil"/>
              <w:bottom w:val="single" w:sz="4" w:space="0" w:color="auto"/>
              <w:right w:val="single" w:sz="4" w:space="0" w:color="auto"/>
            </w:tcBorders>
            <w:shd w:val="clear" w:color="auto" w:fill="auto"/>
            <w:noWrap/>
            <w:vAlign w:val="center"/>
            <w:hideMark/>
          </w:tcPr>
          <w:p w14:paraId="03F1B44C"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1.996</w:t>
            </w:r>
          </w:p>
        </w:tc>
        <w:tc>
          <w:tcPr>
            <w:tcW w:w="1200" w:type="dxa"/>
            <w:tcBorders>
              <w:top w:val="nil"/>
              <w:left w:val="nil"/>
              <w:bottom w:val="single" w:sz="4" w:space="0" w:color="auto"/>
              <w:right w:val="single" w:sz="4" w:space="0" w:color="auto"/>
            </w:tcBorders>
            <w:shd w:val="clear" w:color="auto" w:fill="auto"/>
            <w:noWrap/>
            <w:vAlign w:val="center"/>
            <w:hideMark/>
          </w:tcPr>
          <w:p w14:paraId="6A9E710B"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438.322</w:t>
            </w:r>
          </w:p>
        </w:tc>
        <w:tc>
          <w:tcPr>
            <w:tcW w:w="1520" w:type="dxa"/>
            <w:tcBorders>
              <w:top w:val="nil"/>
              <w:left w:val="nil"/>
              <w:bottom w:val="single" w:sz="4" w:space="0" w:color="auto"/>
              <w:right w:val="single" w:sz="4" w:space="0" w:color="auto"/>
            </w:tcBorders>
            <w:shd w:val="clear" w:color="auto" w:fill="auto"/>
            <w:noWrap/>
            <w:vAlign w:val="center"/>
            <w:hideMark/>
          </w:tcPr>
          <w:p w14:paraId="5B639DFE"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228.882</w:t>
            </w:r>
          </w:p>
        </w:tc>
      </w:tr>
      <w:tr w:rsidR="009A09ED" w:rsidRPr="00E02C7F" w14:paraId="1FB02C51"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7C9ED7DB"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N_42</w:t>
            </w:r>
          </w:p>
        </w:tc>
        <w:tc>
          <w:tcPr>
            <w:tcW w:w="1200" w:type="dxa"/>
            <w:tcBorders>
              <w:top w:val="nil"/>
              <w:left w:val="nil"/>
              <w:bottom w:val="single" w:sz="4" w:space="0" w:color="auto"/>
              <w:right w:val="single" w:sz="4" w:space="0" w:color="auto"/>
            </w:tcBorders>
            <w:shd w:val="clear" w:color="auto" w:fill="auto"/>
            <w:noWrap/>
            <w:vAlign w:val="center"/>
            <w:hideMark/>
          </w:tcPr>
          <w:p w14:paraId="74CBEA36"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12.449</w:t>
            </w:r>
          </w:p>
        </w:tc>
        <w:tc>
          <w:tcPr>
            <w:tcW w:w="1600" w:type="dxa"/>
            <w:tcBorders>
              <w:top w:val="nil"/>
              <w:left w:val="nil"/>
              <w:bottom w:val="single" w:sz="4" w:space="0" w:color="auto"/>
              <w:right w:val="single" w:sz="4" w:space="0" w:color="auto"/>
            </w:tcBorders>
            <w:shd w:val="clear" w:color="auto" w:fill="auto"/>
            <w:noWrap/>
            <w:vAlign w:val="center"/>
            <w:hideMark/>
          </w:tcPr>
          <w:p w14:paraId="4DE50AFC"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4.659</w:t>
            </w:r>
          </w:p>
        </w:tc>
        <w:tc>
          <w:tcPr>
            <w:tcW w:w="1200" w:type="dxa"/>
            <w:tcBorders>
              <w:top w:val="nil"/>
              <w:left w:val="nil"/>
              <w:bottom w:val="single" w:sz="4" w:space="0" w:color="auto"/>
              <w:right w:val="single" w:sz="4" w:space="0" w:color="auto"/>
            </w:tcBorders>
            <w:shd w:val="clear" w:color="auto" w:fill="auto"/>
            <w:noWrap/>
            <w:vAlign w:val="center"/>
            <w:hideMark/>
          </w:tcPr>
          <w:p w14:paraId="66E338A4"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2.928</w:t>
            </w:r>
          </w:p>
        </w:tc>
        <w:tc>
          <w:tcPr>
            <w:tcW w:w="1200" w:type="dxa"/>
            <w:tcBorders>
              <w:top w:val="nil"/>
              <w:left w:val="nil"/>
              <w:bottom w:val="single" w:sz="4" w:space="0" w:color="auto"/>
              <w:right w:val="single" w:sz="4" w:space="0" w:color="auto"/>
            </w:tcBorders>
            <w:shd w:val="clear" w:color="auto" w:fill="auto"/>
            <w:noWrap/>
            <w:vAlign w:val="center"/>
            <w:hideMark/>
          </w:tcPr>
          <w:p w14:paraId="3600D647"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92</w:t>
            </w:r>
          </w:p>
        </w:tc>
        <w:tc>
          <w:tcPr>
            <w:tcW w:w="1200" w:type="dxa"/>
            <w:tcBorders>
              <w:top w:val="nil"/>
              <w:left w:val="nil"/>
              <w:bottom w:val="single" w:sz="4" w:space="0" w:color="auto"/>
              <w:right w:val="single" w:sz="4" w:space="0" w:color="auto"/>
            </w:tcBorders>
            <w:shd w:val="clear" w:color="auto" w:fill="auto"/>
            <w:noWrap/>
            <w:vAlign w:val="center"/>
            <w:hideMark/>
          </w:tcPr>
          <w:p w14:paraId="59292E72"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20.128</w:t>
            </w:r>
          </w:p>
        </w:tc>
        <w:tc>
          <w:tcPr>
            <w:tcW w:w="1520" w:type="dxa"/>
            <w:tcBorders>
              <w:top w:val="nil"/>
              <w:left w:val="nil"/>
              <w:bottom w:val="single" w:sz="4" w:space="0" w:color="auto"/>
              <w:right w:val="single" w:sz="4" w:space="0" w:color="auto"/>
            </w:tcBorders>
            <w:shd w:val="clear" w:color="auto" w:fill="auto"/>
            <w:noWrap/>
            <w:vAlign w:val="center"/>
            <w:hideMark/>
          </w:tcPr>
          <w:p w14:paraId="1BE79E4A"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10.510</w:t>
            </w:r>
          </w:p>
        </w:tc>
      </w:tr>
      <w:tr w:rsidR="009A09ED" w:rsidRPr="00E02C7F" w14:paraId="550A5533"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44A0D214"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N_43</w:t>
            </w:r>
          </w:p>
        </w:tc>
        <w:tc>
          <w:tcPr>
            <w:tcW w:w="1200" w:type="dxa"/>
            <w:tcBorders>
              <w:top w:val="nil"/>
              <w:left w:val="nil"/>
              <w:bottom w:val="single" w:sz="4" w:space="0" w:color="auto"/>
              <w:right w:val="single" w:sz="4" w:space="0" w:color="auto"/>
            </w:tcBorders>
            <w:shd w:val="clear" w:color="auto" w:fill="auto"/>
            <w:noWrap/>
            <w:vAlign w:val="center"/>
            <w:hideMark/>
          </w:tcPr>
          <w:p w14:paraId="68A81B03"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1.587.336</w:t>
            </w:r>
          </w:p>
        </w:tc>
        <w:tc>
          <w:tcPr>
            <w:tcW w:w="1600" w:type="dxa"/>
            <w:tcBorders>
              <w:top w:val="nil"/>
              <w:left w:val="nil"/>
              <w:bottom w:val="single" w:sz="4" w:space="0" w:color="auto"/>
              <w:right w:val="single" w:sz="4" w:space="0" w:color="auto"/>
            </w:tcBorders>
            <w:shd w:val="clear" w:color="auto" w:fill="auto"/>
            <w:noWrap/>
            <w:vAlign w:val="center"/>
            <w:hideMark/>
          </w:tcPr>
          <w:p w14:paraId="14212273"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593.994</w:t>
            </w:r>
          </w:p>
        </w:tc>
        <w:tc>
          <w:tcPr>
            <w:tcW w:w="1200" w:type="dxa"/>
            <w:tcBorders>
              <w:top w:val="nil"/>
              <w:left w:val="nil"/>
              <w:bottom w:val="single" w:sz="4" w:space="0" w:color="auto"/>
              <w:right w:val="single" w:sz="4" w:space="0" w:color="auto"/>
            </w:tcBorders>
            <w:shd w:val="clear" w:color="auto" w:fill="auto"/>
            <w:noWrap/>
            <w:vAlign w:val="center"/>
            <w:hideMark/>
          </w:tcPr>
          <w:p w14:paraId="56335FE1"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373.391</w:t>
            </w:r>
          </w:p>
        </w:tc>
        <w:tc>
          <w:tcPr>
            <w:tcW w:w="1200" w:type="dxa"/>
            <w:tcBorders>
              <w:top w:val="nil"/>
              <w:left w:val="nil"/>
              <w:bottom w:val="single" w:sz="4" w:space="0" w:color="auto"/>
              <w:right w:val="single" w:sz="4" w:space="0" w:color="auto"/>
            </w:tcBorders>
            <w:shd w:val="clear" w:color="auto" w:fill="auto"/>
            <w:noWrap/>
            <w:vAlign w:val="center"/>
            <w:hideMark/>
          </w:tcPr>
          <w:p w14:paraId="0BF22D3B"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200" w:type="dxa"/>
            <w:tcBorders>
              <w:top w:val="nil"/>
              <w:left w:val="nil"/>
              <w:bottom w:val="single" w:sz="4" w:space="0" w:color="auto"/>
              <w:right w:val="single" w:sz="4" w:space="0" w:color="auto"/>
            </w:tcBorders>
            <w:shd w:val="clear" w:color="auto" w:fill="auto"/>
            <w:noWrap/>
            <w:vAlign w:val="center"/>
            <w:hideMark/>
          </w:tcPr>
          <w:p w14:paraId="64BDF8E3"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2.554.721</w:t>
            </w:r>
          </w:p>
        </w:tc>
        <w:tc>
          <w:tcPr>
            <w:tcW w:w="1520" w:type="dxa"/>
            <w:tcBorders>
              <w:top w:val="nil"/>
              <w:left w:val="nil"/>
              <w:bottom w:val="single" w:sz="4" w:space="0" w:color="auto"/>
              <w:right w:val="single" w:sz="4" w:space="0" w:color="auto"/>
            </w:tcBorders>
            <w:shd w:val="clear" w:color="auto" w:fill="auto"/>
            <w:noWrap/>
            <w:vAlign w:val="center"/>
            <w:hideMark/>
          </w:tcPr>
          <w:p w14:paraId="67020F1A"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1.340.121</w:t>
            </w:r>
          </w:p>
        </w:tc>
      </w:tr>
      <w:tr w:rsidR="009A09ED" w:rsidRPr="00E02C7F" w14:paraId="2F5D4A20"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08736FEE"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N_44</w:t>
            </w:r>
          </w:p>
        </w:tc>
        <w:tc>
          <w:tcPr>
            <w:tcW w:w="1200" w:type="dxa"/>
            <w:tcBorders>
              <w:top w:val="nil"/>
              <w:left w:val="nil"/>
              <w:bottom w:val="single" w:sz="4" w:space="0" w:color="auto"/>
              <w:right w:val="single" w:sz="4" w:space="0" w:color="auto"/>
            </w:tcBorders>
            <w:shd w:val="clear" w:color="auto" w:fill="auto"/>
            <w:noWrap/>
            <w:vAlign w:val="center"/>
            <w:hideMark/>
          </w:tcPr>
          <w:p w14:paraId="4F99AE3D"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112.246</w:t>
            </w:r>
          </w:p>
        </w:tc>
        <w:tc>
          <w:tcPr>
            <w:tcW w:w="1600" w:type="dxa"/>
            <w:tcBorders>
              <w:top w:val="nil"/>
              <w:left w:val="nil"/>
              <w:bottom w:val="single" w:sz="4" w:space="0" w:color="auto"/>
              <w:right w:val="single" w:sz="4" w:space="0" w:color="auto"/>
            </w:tcBorders>
            <w:shd w:val="clear" w:color="auto" w:fill="auto"/>
            <w:noWrap/>
            <w:vAlign w:val="center"/>
            <w:hideMark/>
          </w:tcPr>
          <w:p w14:paraId="55BE3D84"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42.003</w:t>
            </w:r>
          </w:p>
        </w:tc>
        <w:tc>
          <w:tcPr>
            <w:tcW w:w="1200" w:type="dxa"/>
            <w:tcBorders>
              <w:top w:val="nil"/>
              <w:left w:val="nil"/>
              <w:bottom w:val="single" w:sz="4" w:space="0" w:color="auto"/>
              <w:right w:val="single" w:sz="4" w:space="0" w:color="auto"/>
            </w:tcBorders>
            <w:shd w:val="clear" w:color="auto" w:fill="auto"/>
            <w:noWrap/>
            <w:vAlign w:val="center"/>
            <w:hideMark/>
          </w:tcPr>
          <w:p w14:paraId="7E4AC53E"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26.404</w:t>
            </w:r>
          </w:p>
        </w:tc>
        <w:tc>
          <w:tcPr>
            <w:tcW w:w="1200" w:type="dxa"/>
            <w:tcBorders>
              <w:top w:val="nil"/>
              <w:left w:val="nil"/>
              <w:bottom w:val="single" w:sz="4" w:space="0" w:color="auto"/>
              <w:right w:val="single" w:sz="4" w:space="0" w:color="auto"/>
            </w:tcBorders>
            <w:shd w:val="clear" w:color="auto" w:fill="auto"/>
            <w:noWrap/>
            <w:vAlign w:val="center"/>
            <w:hideMark/>
          </w:tcPr>
          <w:p w14:paraId="157DE8FE"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826</w:t>
            </w:r>
          </w:p>
        </w:tc>
        <w:tc>
          <w:tcPr>
            <w:tcW w:w="1200" w:type="dxa"/>
            <w:tcBorders>
              <w:top w:val="nil"/>
              <w:left w:val="nil"/>
              <w:bottom w:val="single" w:sz="4" w:space="0" w:color="auto"/>
              <w:right w:val="single" w:sz="4" w:space="0" w:color="auto"/>
            </w:tcBorders>
            <w:shd w:val="clear" w:color="auto" w:fill="auto"/>
            <w:noWrap/>
            <w:vAlign w:val="center"/>
            <w:hideMark/>
          </w:tcPr>
          <w:p w14:paraId="1A60095B"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181.480</w:t>
            </w:r>
          </w:p>
        </w:tc>
        <w:tc>
          <w:tcPr>
            <w:tcW w:w="1520" w:type="dxa"/>
            <w:tcBorders>
              <w:top w:val="nil"/>
              <w:left w:val="nil"/>
              <w:bottom w:val="single" w:sz="4" w:space="0" w:color="auto"/>
              <w:right w:val="single" w:sz="4" w:space="0" w:color="auto"/>
            </w:tcBorders>
            <w:shd w:val="clear" w:color="auto" w:fill="auto"/>
            <w:noWrap/>
            <w:vAlign w:val="center"/>
            <w:hideMark/>
          </w:tcPr>
          <w:p w14:paraId="71539A8F"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94.765</w:t>
            </w:r>
          </w:p>
        </w:tc>
      </w:tr>
      <w:tr w:rsidR="009A09ED" w:rsidRPr="00E02C7F" w14:paraId="77D3E94F"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28F16FF0"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N_45</w:t>
            </w:r>
          </w:p>
        </w:tc>
        <w:tc>
          <w:tcPr>
            <w:tcW w:w="1200" w:type="dxa"/>
            <w:tcBorders>
              <w:top w:val="nil"/>
              <w:left w:val="nil"/>
              <w:bottom w:val="single" w:sz="4" w:space="0" w:color="auto"/>
              <w:right w:val="single" w:sz="4" w:space="0" w:color="auto"/>
            </w:tcBorders>
            <w:shd w:val="clear" w:color="auto" w:fill="auto"/>
            <w:noWrap/>
            <w:vAlign w:val="center"/>
            <w:hideMark/>
          </w:tcPr>
          <w:p w14:paraId="51601A83"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151.085</w:t>
            </w:r>
          </w:p>
        </w:tc>
        <w:tc>
          <w:tcPr>
            <w:tcW w:w="1600" w:type="dxa"/>
            <w:tcBorders>
              <w:top w:val="nil"/>
              <w:left w:val="nil"/>
              <w:bottom w:val="single" w:sz="4" w:space="0" w:color="auto"/>
              <w:right w:val="single" w:sz="4" w:space="0" w:color="auto"/>
            </w:tcBorders>
            <w:shd w:val="clear" w:color="auto" w:fill="auto"/>
            <w:noWrap/>
            <w:vAlign w:val="center"/>
            <w:hideMark/>
          </w:tcPr>
          <w:p w14:paraId="6EE5E2A3"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56.537</w:t>
            </w:r>
          </w:p>
        </w:tc>
        <w:tc>
          <w:tcPr>
            <w:tcW w:w="1200" w:type="dxa"/>
            <w:tcBorders>
              <w:top w:val="nil"/>
              <w:left w:val="nil"/>
              <w:bottom w:val="single" w:sz="4" w:space="0" w:color="auto"/>
              <w:right w:val="single" w:sz="4" w:space="0" w:color="auto"/>
            </w:tcBorders>
            <w:shd w:val="clear" w:color="auto" w:fill="auto"/>
            <w:noWrap/>
            <w:vAlign w:val="center"/>
            <w:hideMark/>
          </w:tcPr>
          <w:p w14:paraId="04347942"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35.540</w:t>
            </w:r>
          </w:p>
        </w:tc>
        <w:tc>
          <w:tcPr>
            <w:tcW w:w="1200" w:type="dxa"/>
            <w:tcBorders>
              <w:top w:val="nil"/>
              <w:left w:val="nil"/>
              <w:bottom w:val="single" w:sz="4" w:space="0" w:color="auto"/>
              <w:right w:val="single" w:sz="4" w:space="0" w:color="auto"/>
            </w:tcBorders>
            <w:shd w:val="clear" w:color="auto" w:fill="auto"/>
            <w:noWrap/>
            <w:vAlign w:val="center"/>
            <w:hideMark/>
          </w:tcPr>
          <w:p w14:paraId="6C1C9DFC"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1.112</w:t>
            </w:r>
          </w:p>
        </w:tc>
        <w:tc>
          <w:tcPr>
            <w:tcW w:w="1200" w:type="dxa"/>
            <w:tcBorders>
              <w:top w:val="nil"/>
              <w:left w:val="nil"/>
              <w:bottom w:val="single" w:sz="4" w:space="0" w:color="auto"/>
              <w:right w:val="single" w:sz="4" w:space="0" w:color="auto"/>
            </w:tcBorders>
            <w:shd w:val="clear" w:color="auto" w:fill="auto"/>
            <w:noWrap/>
            <w:vAlign w:val="center"/>
            <w:hideMark/>
          </w:tcPr>
          <w:p w14:paraId="20E5B18D"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244.274</w:t>
            </w:r>
          </w:p>
        </w:tc>
        <w:tc>
          <w:tcPr>
            <w:tcW w:w="1520" w:type="dxa"/>
            <w:tcBorders>
              <w:top w:val="nil"/>
              <w:left w:val="nil"/>
              <w:bottom w:val="single" w:sz="4" w:space="0" w:color="auto"/>
              <w:right w:val="single" w:sz="4" w:space="0" w:color="auto"/>
            </w:tcBorders>
            <w:shd w:val="clear" w:color="auto" w:fill="auto"/>
            <w:noWrap/>
            <w:vAlign w:val="center"/>
            <w:hideMark/>
          </w:tcPr>
          <w:p w14:paraId="26D9425E"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127.554</w:t>
            </w:r>
          </w:p>
        </w:tc>
      </w:tr>
      <w:tr w:rsidR="009A09ED" w:rsidRPr="00E02C7F" w14:paraId="28083ED6"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17AA81C0"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N_46</w:t>
            </w:r>
          </w:p>
        </w:tc>
        <w:tc>
          <w:tcPr>
            <w:tcW w:w="1200" w:type="dxa"/>
            <w:tcBorders>
              <w:top w:val="nil"/>
              <w:left w:val="nil"/>
              <w:bottom w:val="single" w:sz="4" w:space="0" w:color="auto"/>
              <w:right w:val="single" w:sz="4" w:space="0" w:color="auto"/>
            </w:tcBorders>
            <w:shd w:val="clear" w:color="auto" w:fill="auto"/>
            <w:noWrap/>
            <w:vAlign w:val="center"/>
            <w:hideMark/>
          </w:tcPr>
          <w:p w14:paraId="03405495"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61.840</w:t>
            </w:r>
          </w:p>
        </w:tc>
        <w:tc>
          <w:tcPr>
            <w:tcW w:w="1600" w:type="dxa"/>
            <w:tcBorders>
              <w:top w:val="nil"/>
              <w:left w:val="nil"/>
              <w:bottom w:val="single" w:sz="4" w:space="0" w:color="auto"/>
              <w:right w:val="single" w:sz="4" w:space="0" w:color="auto"/>
            </w:tcBorders>
            <w:shd w:val="clear" w:color="auto" w:fill="auto"/>
            <w:noWrap/>
            <w:vAlign w:val="center"/>
            <w:hideMark/>
          </w:tcPr>
          <w:p w14:paraId="55F98396"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23.141</w:t>
            </w:r>
          </w:p>
        </w:tc>
        <w:tc>
          <w:tcPr>
            <w:tcW w:w="1200" w:type="dxa"/>
            <w:tcBorders>
              <w:top w:val="nil"/>
              <w:left w:val="nil"/>
              <w:bottom w:val="single" w:sz="4" w:space="0" w:color="auto"/>
              <w:right w:val="single" w:sz="4" w:space="0" w:color="auto"/>
            </w:tcBorders>
            <w:shd w:val="clear" w:color="auto" w:fill="auto"/>
            <w:noWrap/>
            <w:vAlign w:val="center"/>
            <w:hideMark/>
          </w:tcPr>
          <w:p w14:paraId="6039F8D2"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14.547</w:t>
            </w:r>
          </w:p>
        </w:tc>
        <w:tc>
          <w:tcPr>
            <w:tcW w:w="1200" w:type="dxa"/>
            <w:tcBorders>
              <w:top w:val="nil"/>
              <w:left w:val="nil"/>
              <w:bottom w:val="single" w:sz="4" w:space="0" w:color="auto"/>
              <w:right w:val="single" w:sz="4" w:space="0" w:color="auto"/>
            </w:tcBorders>
            <w:shd w:val="clear" w:color="auto" w:fill="auto"/>
            <w:noWrap/>
            <w:vAlign w:val="center"/>
            <w:hideMark/>
          </w:tcPr>
          <w:p w14:paraId="2B0B6D47"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451</w:t>
            </w:r>
          </w:p>
        </w:tc>
        <w:tc>
          <w:tcPr>
            <w:tcW w:w="1200" w:type="dxa"/>
            <w:tcBorders>
              <w:top w:val="nil"/>
              <w:left w:val="nil"/>
              <w:bottom w:val="single" w:sz="4" w:space="0" w:color="auto"/>
              <w:right w:val="single" w:sz="4" w:space="0" w:color="auto"/>
            </w:tcBorders>
            <w:shd w:val="clear" w:color="auto" w:fill="auto"/>
            <w:noWrap/>
            <w:vAlign w:val="center"/>
            <w:hideMark/>
          </w:tcPr>
          <w:p w14:paraId="706C003A"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99.979</w:t>
            </w:r>
          </w:p>
        </w:tc>
        <w:tc>
          <w:tcPr>
            <w:tcW w:w="1520" w:type="dxa"/>
            <w:tcBorders>
              <w:top w:val="nil"/>
              <w:left w:val="nil"/>
              <w:bottom w:val="single" w:sz="4" w:space="0" w:color="auto"/>
              <w:right w:val="single" w:sz="4" w:space="0" w:color="auto"/>
            </w:tcBorders>
            <w:shd w:val="clear" w:color="auto" w:fill="auto"/>
            <w:noWrap/>
            <w:vAlign w:val="center"/>
            <w:hideMark/>
          </w:tcPr>
          <w:p w14:paraId="7A519D30"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52.209</w:t>
            </w:r>
          </w:p>
        </w:tc>
      </w:tr>
      <w:tr w:rsidR="009A09ED" w:rsidRPr="00E02C7F" w14:paraId="71B8CE88"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5F5F7015"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N_47</w:t>
            </w:r>
          </w:p>
        </w:tc>
        <w:tc>
          <w:tcPr>
            <w:tcW w:w="1200" w:type="dxa"/>
            <w:tcBorders>
              <w:top w:val="nil"/>
              <w:left w:val="nil"/>
              <w:bottom w:val="single" w:sz="4" w:space="0" w:color="auto"/>
              <w:right w:val="single" w:sz="4" w:space="0" w:color="auto"/>
            </w:tcBorders>
            <w:shd w:val="clear" w:color="auto" w:fill="auto"/>
            <w:noWrap/>
            <w:vAlign w:val="center"/>
            <w:hideMark/>
          </w:tcPr>
          <w:p w14:paraId="6B5BB563"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23.869</w:t>
            </w:r>
          </w:p>
        </w:tc>
        <w:tc>
          <w:tcPr>
            <w:tcW w:w="1600" w:type="dxa"/>
            <w:tcBorders>
              <w:top w:val="nil"/>
              <w:left w:val="nil"/>
              <w:bottom w:val="single" w:sz="4" w:space="0" w:color="auto"/>
              <w:right w:val="single" w:sz="4" w:space="0" w:color="auto"/>
            </w:tcBorders>
            <w:shd w:val="clear" w:color="auto" w:fill="auto"/>
            <w:noWrap/>
            <w:vAlign w:val="center"/>
            <w:hideMark/>
          </w:tcPr>
          <w:p w14:paraId="384A760D"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8.932</w:t>
            </w:r>
          </w:p>
        </w:tc>
        <w:tc>
          <w:tcPr>
            <w:tcW w:w="1200" w:type="dxa"/>
            <w:tcBorders>
              <w:top w:val="nil"/>
              <w:left w:val="nil"/>
              <w:bottom w:val="single" w:sz="4" w:space="0" w:color="auto"/>
              <w:right w:val="single" w:sz="4" w:space="0" w:color="auto"/>
            </w:tcBorders>
            <w:shd w:val="clear" w:color="auto" w:fill="auto"/>
            <w:noWrap/>
            <w:vAlign w:val="center"/>
            <w:hideMark/>
          </w:tcPr>
          <w:p w14:paraId="1B9F9788"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5.615</w:t>
            </w:r>
          </w:p>
        </w:tc>
        <w:tc>
          <w:tcPr>
            <w:tcW w:w="1200" w:type="dxa"/>
            <w:tcBorders>
              <w:top w:val="nil"/>
              <w:left w:val="nil"/>
              <w:bottom w:val="single" w:sz="4" w:space="0" w:color="auto"/>
              <w:right w:val="single" w:sz="4" w:space="0" w:color="auto"/>
            </w:tcBorders>
            <w:shd w:val="clear" w:color="auto" w:fill="auto"/>
            <w:noWrap/>
            <w:vAlign w:val="center"/>
            <w:hideMark/>
          </w:tcPr>
          <w:p w14:paraId="548508D5"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169</w:t>
            </w:r>
          </w:p>
        </w:tc>
        <w:tc>
          <w:tcPr>
            <w:tcW w:w="1200" w:type="dxa"/>
            <w:tcBorders>
              <w:top w:val="nil"/>
              <w:left w:val="nil"/>
              <w:bottom w:val="single" w:sz="4" w:space="0" w:color="auto"/>
              <w:right w:val="single" w:sz="4" w:space="0" w:color="auto"/>
            </w:tcBorders>
            <w:shd w:val="clear" w:color="auto" w:fill="auto"/>
            <w:noWrap/>
            <w:vAlign w:val="center"/>
            <w:hideMark/>
          </w:tcPr>
          <w:p w14:paraId="0EB0B7B6"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38.585</w:t>
            </w:r>
          </w:p>
        </w:tc>
        <w:tc>
          <w:tcPr>
            <w:tcW w:w="1520" w:type="dxa"/>
            <w:tcBorders>
              <w:top w:val="nil"/>
              <w:left w:val="nil"/>
              <w:bottom w:val="single" w:sz="4" w:space="0" w:color="auto"/>
              <w:right w:val="single" w:sz="4" w:space="0" w:color="auto"/>
            </w:tcBorders>
            <w:shd w:val="clear" w:color="auto" w:fill="auto"/>
            <w:noWrap/>
            <w:vAlign w:val="center"/>
            <w:hideMark/>
          </w:tcPr>
          <w:p w14:paraId="2C847CE9"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20.152</w:t>
            </w:r>
          </w:p>
        </w:tc>
      </w:tr>
      <w:tr w:rsidR="009A09ED" w:rsidRPr="00E02C7F" w14:paraId="68DB2BAA"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59D83A14"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N_48</w:t>
            </w:r>
          </w:p>
        </w:tc>
        <w:tc>
          <w:tcPr>
            <w:tcW w:w="1200" w:type="dxa"/>
            <w:tcBorders>
              <w:top w:val="nil"/>
              <w:left w:val="nil"/>
              <w:bottom w:val="single" w:sz="4" w:space="0" w:color="auto"/>
              <w:right w:val="single" w:sz="4" w:space="0" w:color="auto"/>
            </w:tcBorders>
            <w:shd w:val="clear" w:color="auto" w:fill="auto"/>
            <w:noWrap/>
            <w:vAlign w:val="center"/>
            <w:hideMark/>
          </w:tcPr>
          <w:p w14:paraId="57390913"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154.220</w:t>
            </w:r>
          </w:p>
        </w:tc>
        <w:tc>
          <w:tcPr>
            <w:tcW w:w="1600" w:type="dxa"/>
            <w:tcBorders>
              <w:top w:val="nil"/>
              <w:left w:val="nil"/>
              <w:bottom w:val="single" w:sz="4" w:space="0" w:color="auto"/>
              <w:right w:val="single" w:sz="4" w:space="0" w:color="auto"/>
            </w:tcBorders>
            <w:shd w:val="clear" w:color="auto" w:fill="auto"/>
            <w:noWrap/>
            <w:vAlign w:val="center"/>
            <w:hideMark/>
          </w:tcPr>
          <w:p w14:paraId="421E08C0"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57.710</w:t>
            </w:r>
          </w:p>
        </w:tc>
        <w:tc>
          <w:tcPr>
            <w:tcW w:w="1200" w:type="dxa"/>
            <w:tcBorders>
              <w:top w:val="nil"/>
              <w:left w:val="nil"/>
              <w:bottom w:val="single" w:sz="4" w:space="0" w:color="auto"/>
              <w:right w:val="single" w:sz="4" w:space="0" w:color="auto"/>
            </w:tcBorders>
            <w:shd w:val="clear" w:color="auto" w:fill="auto"/>
            <w:noWrap/>
            <w:vAlign w:val="center"/>
            <w:hideMark/>
          </w:tcPr>
          <w:p w14:paraId="15428857"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36.277</w:t>
            </w:r>
          </w:p>
        </w:tc>
        <w:tc>
          <w:tcPr>
            <w:tcW w:w="1200" w:type="dxa"/>
            <w:tcBorders>
              <w:top w:val="nil"/>
              <w:left w:val="nil"/>
              <w:bottom w:val="single" w:sz="4" w:space="0" w:color="auto"/>
              <w:right w:val="single" w:sz="4" w:space="0" w:color="auto"/>
            </w:tcBorders>
            <w:shd w:val="clear" w:color="auto" w:fill="auto"/>
            <w:noWrap/>
            <w:vAlign w:val="center"/>
            <w:hideMark/>
          </w:tcPr>
          <w:p w14:paraId="34753C3C"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5</w:t>
            </w:r>
          </w:p>
        </w:tc>
        <w:tc>
          <w:tcPr>
            <w:tcW w:w="1200" w:type="dxa"/>
            <w:tcBorders>
              <w:top w:val="nil"/>
              <w:left w:val="nil"/>
              <w:bottom w:val="single" w:sz="4" w:space="0" w:color="auto"/>
              <w:right w:val="single" w:sz="4" w:space="0" w:color="auto"/>
            </w:tcBorders>
            <w:shd w:val="clear" w:color="auto" w:fill="auto"/>
            <w:noWrap/>
            <w:vAlign w:val="center"/>
            <w:hideMark/>
          </w:tcPr>
          <w:p w14:paraId="1094A058"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248.212</w:t>
            </w:r>
          </w:p>
        </w:tc>
        <w:tc>
          <w:tcPr>
            <w:tcW w:w="1520" w:type="dxa"/>
            <w:tcBorders>
              <w:top w:val="nil"/>
              <w:left w:val="nil"/>
              <w:bottom w:val="single" w:sz="4" w:space="0" w:color="auto"/>
              <w:right w:val="single" w:sz="4" w:space="0" w:color="auto"/>
            </w:tcBorders>
            <w:shd w:val="clear" w:color="auto" w:fill="auto"/>
            <w:noWrap/>
            <w:vAlign w:val="center"/>
            <w:hideMark/>
          </w:tcPr>
          <w:p w14:paraId="30D7FB94"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130.201</w:t>
            </w:r>
          </w:p>
        </w:tc>
      </w:tr>
      <w:tr w:rsidR="009A09ED" w:rsidRPr="00E02C7F" w14:paraId="31E2D56C"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3B26FCDD"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N_49</w:t>
            </w:r>
          </w:p>
        </w:tc>
        <w:tc>
          <w:tcPr>
            <w:tcW w:w="1200" w:type="dxa"/>
            <w:tcBorders>
              <w:top w:val="nil"/>
              <w:left w:val="nil"/>
              <w:bottom w:val="single" w:sz="4" w:space="0" w:color="auto"/>
              <w:right w:val="single" w:sz="4" w:space="0" w:color="auto"/>
            </w:tcBorders>
            <w:shd w:val="clear" w:color="auto" w:fill="auto"/>
            <w:noWrap/>
            <w:vAlign w:val="center"/>
            <w:hideMark/>
          </w:tcPr>
          <w:p w14:paraId="61BF7789"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40.283</w:t>
            </w:r>
          </w:p>
        </w:tc>
        <w:tc>
          <w:tcPr>
            <w:tcW w:w="1600" w:type="dxa"/>
            <w:tcBorders>
              <w:top w:val="nil"/>
              <w:left w:val="nil"/>
              <w:bottom w:val="single" w:sz="4" w:space="0" w:color="auto"/>
              <w:right w:val="single" w:sz="4" w:space="0" w:color="auto"/>
            </w:tcBorders>
            <w:shd w:val="clear" w:color="auto" w:fill="auto"/>
            <w:noWrap/>
            <w:vAlign w:val="center"/>
            <w:hideMark/>
          </w:tcPr>
          <w:p w14:paraId="0959A707"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15.074</w:t>
            </w:r>
          </w:p>
        </w:tc>
        <w:tc>
          <w:tcPr>
            <w:tcW w:w="1200" w:type="dxa"/>
            <w:tcBorders>
              <w:top w:val="nil"/>
              <w:left w:val="nil"/>
              <w:bottom w:val="single" w:sz="4" w:space="0" w:color="auto"/>
              <w:right w:val="single" w:sz="4" w:space="0" w:color="auto"/>
            </w:tcBorders>
            <w:shd w:val="clear" w:color="auto" w:fill="auto"/>
            <w:noWrap/>
            <w:vAlign w:val="center"/>
            <w:hideMark/>
          </w:tcPr>
          <w:p w14:paraId="4F696C5E"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9.476</w:t>
            </w:r>
          </w:p>
        </w:tc>
        <w:tc>
          <w:tcPr>
            <w:tcW w:w="1200" w:type="dxa"/>
            <w:tcBorders>
              <w:top w:val="nil"/>
              <w:left w:val="nil"/>
              <w:bottom w:val="single" w:sz="4" w:space="0" w:color="auto"/>
              <w:right w:val="single" w:sz="4" w:space="0" w:color="auto"/>
            </w:tcBorders>
            <w:shd w:val="clear" w:color="auto" w:fill="auto"/>
            <w:noWrap/>
            <w:vAlign w:val="center"/>
            <w:hideMark/>
          </w:tcPr>
          <w:p w14:paraId="1A6F2E2A"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297</w:t>
            </w:r>
          </w:p>
        </w:tc>
        <w:tc>
          <w:tcPr>
            <w:tcW w:w="1200" w:type="dxa"/>
            <w:tcBorders>
              <w:top w:val="nil"/>
              <w:left w:val="nil"/>
              <w:bottom w:val="single" w:sz="4" w:space="0" w:color="auto"/>
              <w:right w:val="single" w:sz="4" w:space="0" w:color="auto"/>
            </w:tcBorders>
            <w:shd w:val="clear" w:color="auto" w:fill="auto"/>
            <w:noWrap/>
            <w:vAlign w:val="center"/>
            <w:hideMark/>
          </w:tcPr>
          <w:p w14:paraId="364AB6D5"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65.130</w:t>
            </w:r>
          </w:p>
        </w:tc>
        <w:tc>
          <w:tcPr>
            <w:tcW w:w="1520" w:type="dxa"/>
            <w:tcBorders>
              <w:top w:val="nil"/>
              <w:left w:val="nil"/>
              <w:bottom w:val="single" w:sz="4" w:space="0" w:color="auto"/>
              <w:right w:val="single" w:sz="4" w:space="0" w:color="auto"/>
            </w:tcBorders>
            <w:shd w:val="clear" w:color="auto" w:fill="auto"/>
            <w:noWrap/>
            <w:vAlign w:val="center"/>
            <w:hideMark/>
          </w:tcPr>
          <w:p w14:paraId="6B54DE58"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34.009</w:t>
            </w:r>
          </w:p>
        </w:tc>
      </w:tr>
      <w:tr w:rsidR="009A09ED" w:rsidRPr="00E02C7F" w14:paraId="5323490A"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66226906"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N_50</w:t>
            </w:r>
          </w:p>
        </w:tc>
        <w:tc>
          <w:tcPr>
            <w:tcW w:w="1200" w:type="dxa"/>
            <w:tcBorders>
              <w:top w:val="nil"/>
              <w:left w:val="nil"/>
              <w:bottom w:val="single" w:sz="4" w:space="0" w:color="auto"/>
              <w:right w:val="single" w:sz="4" w:space="0" w:color="auto"/>
            </w:tcBorders>
            <w:shd w:val="clear" w:color="auto" w:fill="auto"/>
            <w:noWrap/>
            <w:vAlign w:val="center"/>
            <w:hideMark/>
          </w:tcPr>
          <w:p w14:paraId="5123EE62"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49.346</w:t>
            </w:r>
          </w:p>
        </w:tc>
        <w:tc>
          <w:tcPr>
            <w:tcW w:w="1600" w:type="dxa"/>
            <w:tcBorders>
              <w:top w:val="nil"/>
              <w:left w:val="nil"/>
              <w:bottom w:val="single" w:sz="4" w:space="0" w:color="auto"/>
              <w:right w:val="single" w:sz="4" w:space="0" w:color="auto"/>
            </w:tcBorders>
            <w:shd w:val="clear" w:color="auto" w:fill="auto"/>
            <w:noWrap/>
            <w:vAlign w:val="center"/>
            <w:hideMark/>
          </w:tcPr>
          <w:p w14:paraId="6A7D1252"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18.466</w:t>
            </w:r>
          </w:p>
        </w:tc>
        <w:tc>
          <w:tcPr>
            <w:tcW w:w="1200" w:type="dxa"/>
            <w:tcBorders>
              <w:top w:val="nil"/>
              <w:left w:val="nil"/>
              <w:bottom w:val="single" w:sz="4" w:space="0" w:color="auto"/>
              <w:right w:val="single" w:sz="4" w:space="0" w:color="auto"/>
            </w:tcBorders>
            <w:shd w:val="clear" w:color="auto" w:fill="auto"/>
            <w:noWrap/>
            <w:vAlign w:val="center"/>
            <w:hideMark/>
          </w:tcPr>
          <w:p w14:paraId="5B34C322"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11.608</w:t>
            </w:r>
          </w:p>
        </w:tc>
        <w:tc>
          <w:tcPr>
            <w:tcW w:w="1200" w:type="dxa"/>
            <w:tcBorders>
              <w:top w:val="nil"/>
              <w:left w:val="nil"/>
              <w:bottom w:val="single" w:sz="4" w:space="0" w:color="auto"/>
              <w:right w:val="single" w:sz="4" w:space="0" w:color="auto"/>
            </w:tcBorders>
            <w:shd w:val="clear" w:color="auto" w:fill="auto"/>
            <w:noWrap/>
            <w:vAlign w:val="center"/>
            <w:hideMark/>
          </w:tcPr>
          <w:p w14:paraId="122EC60C"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200" w:type="dxa"/>
            <w:tcBorders>
              <w:top w:val="nil"/>
              <w:left w:val="nil"/>
              <w:bottom w:val="single" w:sz="4" w:space="0" w:color="auto"/>
              <w:right w:val="single" w:sz="4" w:space="0" w:color="auto"/>
            </w:tcBorders>
            <w:shd w:val="clear" w:color="auto" w:fill="auto"/>
            <w:noWrap/>
            <w:vAlign w:val="center"/>
            <w:hideMark/>
          </w:tcPr>
          <w:p w14:paraId="277073E8"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79.419</w:t>
            </w:r>
          </w:p>
        </w:tc>
        <w:tc>
          <w:tcPr>
            <w:tcW w:w="1520" w:type="dxa"/>
            <w:tcBorders>
              <w:top w:val="nil"/>
              <w:left w:val="nil"/>
              <w:bottom w:val="single" w:sz="4" w:space="0" w:color="auto"/>
              <w:right w:val="single" w:sz="4" w:space="0" w:color="auto"/>
            </w:tcBorders>
            <w:shd w:val="clear" w:color="auto" w:fill="auto"/>
            <w:noWrap/>
            <w:vAlign w:val="center"/>
            <w:hideMark/>
          </w:tcPr>
          <w:p w14:paraId="201B51F1"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41.660</w:t>
            </w:r>
          </w:p>
        </w:tc>
      </w:tr>
      <w:tr w:rsidR="009A09ED" w:rsidRPr="00E02C7F" w14:paraId="5A51A31B"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0BB5F135"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N_51</w:t>
            </w:r>
          </w:p>
        </w:tc>
        <w:tc>
          <w:tcPr>
            <w:tcW w:w="1200" w:type="dxa"/>
            <w:tcBorders>
              <w:top w:val="nil"/>
              <w:left w:val="nil"/>
              <w:bottom w:val="single" w:sz="4" w:space="0" w:color="auto"/>
              <w:right w:val="single" w:sz="4" w:space="0" w:color="auto"/>
            </w:tcBorders>
            <w:shd w:val="clear" w:color="auto" w:fill="auto"/>
            <w:noWrap/>
            <w:vAlign w:val="center"/>
            <w:hideMark/>
          </w:tcPr>
          <w:p w14:paraId="5DF3394C"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9.666</w:t>
            </w:r>
          </w:p>
        </w:tc>
        <w:tc>
          <w:tcPr>
            <w:tcW w:w="1600" w:type="dxa"/>
            <w:tcBorders>
              <w:top w:val="nil"/>
              <w:left w:val="nil"/>
              <w:bottom w:val="single" w:sz="4" w:space="0" w:color="auto"/>
              <w:right w:val="single" w:sz="4" w:space="0" w:color="auto"/>
            </w:tcBorders>
            <w:shd w:val="clear" w:color="auto" w:fill="auto"/>
            <w:noWrap/>
            <w:vAlign w:val="center"/>
            <w:hideMark/>
          </w:tcPr>
          <w:p w14:paraId="56E9F78B"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3.617</w:t>
            </w:r>
          </w:p>
        </w:tc>
        <w:tc>
          <w:tcPr>
            <w:tcW w:w="1200" w:type="dxa"/>
            <w:tcBorders>
              <w:top w:val="nil"/>
              <w:left w:val="nil"/>
              <w:bottom w:val="single" w:sz="4" w:space="0" w:color="auto"/>
              <w:right w:val="single" w:sz="4" w:space="0" w:color="auto"/>
            </w:tcBorders>
            <w:shd w:val="clear" w:color="auto" w:fill="auto"/>
            <w:noWrap/>
            <w:vAlign w:val="center"/>
            <w:hideMark/>
          </w:tcPr>
          <w:p w14:paraId="68CA6EA7"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2.274</w:t>
            </w:r>
          </w:p>
        </w:tc>
        <w:tc>
          <w:tcPr>
            <w:tcW w:w="1200" w:type="dxa"/>
            <w:tcBorders>
              <w:top w:val="nil"/>
              <w:left w:val="nil"/>
              <w:bottom w:val="single" w:sz="4" w:space="0" w:color="auto"/>
              <w:right w:val="single" w:sz="4" w:space="0" w:color="auto"/>
            </w:tcBorders>
            <w:shd w:val="clear" w:color="auto" w:fill="auto"/>
            <w:noWrap/>
            <w:vAlign w:val="center"/>
            <w:hideMark/>
          </w:tcPr>
          <w:p w14:paraId="3903F0BC"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71</w:t>
            </w:r>
          </w:p>
        </w:tc>
        <w:tc>
          <w:tcPr>
            <w:tcW w:w="1200" w:type="dxa"/>
            <w:tcBorders>
              <w:top w:val="nil"/>
              <w:left w:val="nil"/>
              <w:bottom w:val="single" w:sz="4" w:space="0" w:color="auto"/>
              <w:right w:val="single" w:sz="4" w:space="0" w:color="auto"/>
            </w:tcBorders>
            <w:shd w:val="clear" w:color="auto" w:fill="auto"/>
            <w:noWrap/>
            <w:vAlign w:val="center"/>
            <w:hideMark/>
          </w:tcPr>
          <w:p w14:paraId="67371DA2"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15.629</w:t>
            </w:r>
          </w:p>
        </w:tc>
        <w:tc>
          <w:tcPr>
            <w:tcW w:w="1520" w:type="dxa"/>
            <w:tcBorders>
              <w:top w:val="nil"/>
              <w:left w:val="nil"/>
              <w:bottom w:val="single" w:sz="4" w:space="0" w:color="auto"/>
              <w:right w:val="single" w:sz="4" w:space="0" w:color="auto"/>
            </w:tcBorders>
            <w:shd w:val="clear" w:color="auto" w:fill="auto"/>
            <w:noWrap/>
            <w:vAlign w:val="center"/>
            <w:hideMark/>
          </w:tcPr>
          <w:p w14:paraId="4878B8AD"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8.161</w:t>
            </w:r>
          </w:p>
        </w:tc>
      </w:tr>
      <w:tr w:rsidR="009A09ED" w:rsidRPr="00E02C7F" w14:paraId="31DD072F"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08EB2FFC"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N_52</w:t>
            </w:r>
          </w:p>
        </w:tc>
        <w:tc>
          <w:tcPr>
            <w:tcW w:w="1200" w:type="dxa"/>
            <w:tcBorders>
              <w:top w:val="nil"/>
              <w:left w:val="nil"/>
              <w:bottom w:val="single" w:sz="4" w:space="0" w:color="auto"/>
              <w:right w:val="single" w:sz="4" w:space="0" w:color="auto"/>
            </w:tcBorders>
            <w:shd w:val="clear" w:color="auto" w:fill="auto"/>
            <w:noWrap/>
            <w:vAlign w:val="center"/>
            <w:hideMark/>
          </w:tcPr>
          <w:p w14:paraId="419C7C9C"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76.116</w:t>
            </w:r>
          </w:p>
        </w:tc>
        <w:tc>
          <w:tcPr>
            <w:tcW w:w="1600" w:type="dxa"/>
            <w:tcBorders>
              <w:top w:val="nil"/>
              <w:left w:val="nil"/>
              <w:bottom w:val="single" w:sz="4" w:space="0" w:color="auto"/>
              <w:right w:val="single" w:sz="4" w:space="0" w:color="auto"/>
            </w:tcBorders>
            <w:shd w:val="clear" w:color="auto" w:fill="auto"/>
            <w:noWrap/>
            <w:vAlign w:val="center"/>
            <w:hideMark/>
          </w:tcPr>
          <w:p w14:paraId="2B655101"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28.483</w:t>
            </w:r>
          </w:p>
        </w:tc>
        <w:tc>
          <w:tcPr>
            <w:tcW w:w="1200" w:type="dxa"/>
            <w:tcBorders>
              <w:top w:val="nil"/>
              <w:left w:val="nil"/>
              <w:bottom w:val="single" w:sz="4" w:space="0" w:color="auto"/>
              <w:right w:val="single" w:sz="4" w:space="0" w:color="auto"/>
            </w:tcBorders>
            <w:shd w:val="clear" w:color="auto" w:fill="auto"/>
            <w:noWrap/>
            <w:vAlign w:val="center"/>
            <w:hideMark/>
          </w:tcPr>
          <w:p w14:paraId="68E14F27"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17.905</w:t>
            </w:r>
          </w:p>
        </w:tc>
        <w:tc>
          <w:tcPr>
            <w:tcW w:w="1200" w:type="dxa"/>
            <w:tcBorders>
              <w:top w:val="nil"/>
              <w:left w:val="nil"/>
              <w:bottom w:val="single" w:sz="4" w:space="0" w:color="auto"/>
              <w:right w:val="single" w:sz="4" w:space="0" w:color="auto"/>
            </w:tcBorders>
            <w:shd w:val="clear" w:color="auto" w:fill="auto"/>
            <w:noWrap/>
            <w:vAlign w:val="center"/>
            <w:hideMark/>
          </w:tcPr>
          <w:p w14:paraId="26A6896D"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560</w:t>
            </w:r>
          </w:p>
        </w:tc>
        <w:tc>
          <w:tcPr>
            <w:tcW w:w="1200" w:type="dxa"/>
            <w:tcBorders>
              <w:top w:val="nil"/>
              <w:left w:val="nil"/>
              <w:bottom w:val="single" w:sz="4" w:space="0" w:color="auto"/>
              <w:right w:val="single" w:sz="4" w:space="0" w:color="auto"/>
            </w:tcBorders>
            <w:shd w:val="clear" w:color="auto" w:fill="auto"/>
            <w:noWrap/>
            <w:vAlign w:val="center"/>
            <w:hideMark/>
          </w:tcPr>
          <w:p w14:paraId="5DF2D08B"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123.065</w:t>
            </w:r>
          </w:p>
        </w:tc>
        <w:tc>
          <w:tcPr>
            <w:tcW w:w="1520" w:type="dxa"/>
            <w:tcBorders>
              <w:top w:val="nil"/>
              <w:left w:val="nil"/>
              <w:bottom w:val="single" w:sz="4" w:space="0" w:color="auto"/>
              <w:right w:val="single" w:sz="4" w:space="0" w:color="auto"/>
            </w:tcBorders>
            <w:shd w:val="clear" w:color="auto" w:fill="auto"/>
            <w:noWrap/>
            <w:vAlign w:val="center"/>
            <w:hideMark/>
          </w:tcPr>
          <w:p w14:paraId="47375C4E"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64.262</w:t>
            </w:r>
          </w:p>
        </w:tc>
      </w:tr>
      <w:tr w:rsidR="009A09ED" w:rsidRPr="00E02C7F" w14:paraId="635D2A33"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076970AB"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N_53</w:t>
            </w:r>
          </w:p>
        </w:tc>
        <w:tc>
          <w:tcPr>
            <w:tcW w:w="1200" w:type="dxa"/>
            <w:tcBorders>
              <w:top w:val="nil"/>
              <w:left w:val="nil"/>
              <w:bottom w:val="single" w:sz="4" w:space="0" w:color="auto"/>
              <w:right w:val="single" w:sz="4" w:space="0" w:color="auto"/>
            </w:tcBorders>
            <w:shd w:val="clear" w:color="auto" w:fill="auto"/>
            <w:noWrap/>
            <w:vAlign w:val="center"/>
            <w:hideMark/>
          </w:tcPr>
          <w:p w14:paraId="7313F462"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97.704</w:t>
            </w:r>
          </w:p>
        </w:tc>
        <w:tc>
          <w:tcPr>
            <w:tcW w:w="1600" w:type="dxa"/>
            <w:tcBorders>
              <w:top w:val="nil"/>
              <w:left w:val="nil"/>
              <w:bottom w:val="single" w:sz="4" w:space="0" w:color="auto"/>
              <w:right w:val="single" w:sz="4" w:space="0" w:color="auto"/>
            </w:tcBorders>
            <w:shd w:val="clear" w:color="auto" w:fill="auto"/>
            <w:noWrap/>
            <w:vAlign w:val="center"/>
            <w:hideMark/>
          </w:tcPr>
          <w:p w14:paraId="5F935081"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36.562</w:t>
            </w:r>
          </w:p>
        </w:tc>
        <w:tc>
          <w:tcPr>
            <w:tcW w:w="1200" w:type="dxa"/>
            <w:tcBorders>
              <w:top w:val="nil"/>
              <w:left w:val="nil"/>
              <w:bottom w:val="single" w:sz="4" w:space="0" w:color="auto"/>
              <w:right w:val="single" w:sz="4" w:space="0" w:color="auto"/>
            </w:tcBorders>
            <w:shd w:val="clear" w:color="auto" w:fill="auto"/>
            <w:noWrap/>
            <w:vAlign w:val="center"/>
            <w:hideMark/>
          </w:tcPr>
          <w:p w14:paraId="31845D46"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22.983</w:t>
            </w:r>
          </w:p>
        </w:tc>
        <w:tc>
          <w:tcPr>
            <w:tcW w:w="1200" w:type="dxa"/>
            <w:tcBorders>
              <w:top w:val="nil"/>
              <w:left w:val="nil"/>
              <w:bottom w:val="single" w:sz="4" w:space="0" w:color="auto"/>
              <w:right w:val="single" w:sz="4" w:space="0" w:color="auto"/>
            </w:tcBorders>
            <w:shd w:val="clear" w:color="auto" w:fill="auto"/>
            <w:noWrap/>
            <w:vAlign w:val="center"/>
            <w:hideMark/>
          </w:tcPr>
          <w:p w14:paraId="3DFB1C4C"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200" w:type="dxa"/>
            <w:tcBorders>
              <w:top w:val="nil"/>
              <w:left w:val="nil"/>
              <w:bottom w:val="single" w:sz="4" w:space="0" w:color="auto"/>
              <w:right w:val="single" w:sz="4" w:space="0" w:color="auto"/>
            </w:tcBorders>
            <w:shd w:val="clear" w:color="auto" w:fill="auto"/>
            <w:noWrap/>
            <w:vAlign w:val="center"/>
            <w:hideMark/>
          </w:tcPr>
          <w:p w14:paraId="65796F97"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157.248</w:t>
            </w:r>
          </w:p>
        </w:tc>
        <w:tc>
          <w:tcPr>
            <w:tcW w:w="1520" w:type="dxa"/>
            <w:tcBorders>
              <w:top w:val="nil"/>
              <w:left w:val="nil"/>
              <w:bottom w:val="single" w:sz="4" w:space="0" w:color="auto"/>
              <w:right w:val="single" w:sz="4" w:space="0" w:color="auto"/>
            </w:tcBorders>
            <w:shd w:val="clear" w:color="auto" w:fill="auto"/>
            <w:noWrap/>
            <w:vAlign w:val="center"/>
            <w:hideMark/>
          </w:tcPr>
          <w:p w14:paraId="7EBAE7D7"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82.487</w:t>
            </w:r>
          </w:p>
        </w:tc>
      </w:tr>
      <w:tr w:rsidR="009A09ED" w:rsidRPr="00E02C7F" w14:paraId="6551E36E"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0828D38D"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N_54</w:t>
            </w:r>
          </w:p>
        </w:tc>
        <w:tc>
          <w:tcPr>
            <w:tcW w:w="1200" w:type="dxa"/>
            <w:tcBorders>
              <w:top w:val="nil"/>
              <w:left w:val="nil"/>
              <w:bottom w:val="single" w:sz="4" w:space="0" w:color="auto"/>
              <w:right w:val="single" w:sz="4" w:space="0" w:color="auto"/>
            </w:tcBorders>
            <w:shd w:val="clear" w:color="auto" w:fill="auto"/>
            <w:noWrap/>
            <w:vAlign w:val="center"/>
            <w:hideMark/>
          </w:tcPr>
          <w:p w14:paraId="214886B7"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16.528</w:t>
            </w:r>
          </w:p>
        </w:tc>
        <w:tc>
          <w:tcPr>
            <w:tcW w:w="1600" w:type="dxa"/>
            <w:tcBorders>
              <w:top w:val="nil"/>
              <w:left w:val="nil"/>
              <w:bottom w:val="single" w:sz="4" w:space="0" w:color="auto"/>
              <w:right w:val="single" w:sz="4" w:space="0" w:color="auto"/>
            </w:tcBorders>
            <w:shd w:val="clear" w:color="auto" w:fill="auto"/>
            <w:noWrap/>
            <w:vAlign w:val="center"/>
            <w:hideMark/>
          </w:tcPr>
          <w:p w14:paraId="7664E0AF"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6.185</w:t>
            </w:r>
          </w:p>
        </w:tc>
        <w:tc>
          <w:tcPr>
            <w:tcW w:w="1200" w:type="dxa"/>
            <w:tcBorders>
              <w:top w:val="nil"/>
              <w:left w:val="nil"/>
              <w:bottom w:val="single" w:sz="4" w:space="0" w:color="auto"/>
              <w:right w:val="single" w:sz="4" w:space="0" w:color="auto"/>
            </w:tcBorders>
            <w:shd w:val="clear" w:color="auto" w:fill="auto"/>
            <w:noWrap/>
            <w:vAlign w:val="center"/>
            <w:hideMark/>
          </w:tcPr>
          <w:p w14:paraId="170CA159"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3.888</w:t>
            </w:r>
          </w:p>
        </w:tc>
        <w:tc>
          <w:tcPr>
            <w:tcW w:w="1200" w:type="dxa"/>
            <w:tcBorders>
              <w:top w:val="nil"/>
              <w:left w:val="nil"/>
              <w:bottom w:val="single" w:sz="4" w:space="0" w:color="auto"/>
              <w:right w:val="single" w:sz="4" w:space="0" w:color="auto"/>
            </w:tcBorders>
            <w:shd w:val="clear" w:color="auto" w:fill="auto"/>
            <w:noWrap/>
            <w:vAlign w:val="center"/>
            <w:hideMark/>
          </w:tcPr>
          <w:p w14:paraId="5A968BE7"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200" w:type="dxa"/>
            <w:tcBorders>
              <w:top w:val="nil"/>
              <w:left w:val="nil"/>
              <w:bottom w:val="single" w:sz="4" w:space="0" w:color="auto"/>
              <w:right w:val="single" w:sz="4" w:space="0" w:color="auto"/>
            </w:tcBorders>
            <w:shd w:val="clear" w:color="auto" w:fill="auto"/>
            <w:noWrap/>
            <w:vAlign w:val="center"/>
            <w:hideMark/>
          </w:tcPr>
          <w:p w14:paraId="5C81FC13"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26.600</w:t>
            </w:r>
          </w:p>
        </w:tc>
        <w:tc>
          <w:tcPr>
            <w:tcW w:w="1520" w:type="dxa"/>
            <w:tcBorders>
              <w:top w:val="nil"/>
              <w:left w:val="nil"/>
              <w:bottom w:val="single" w:sz="4" w:space="0" w:color="auto"/>
              <w:right w:val="single" w:sz="4" w:space="0" w:color="auto"/>
            </w:tcBorders>
            <w:shd w:val="clear" w:color="auto" w:fill="auto"/>
            <w:noWrap/>
            <w:vAlign w:val="center"/>
            <w:hideMark/>
          </w:tcPr>
          <w:p w14:paraId="01B058F8"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13.953</w:t>
            </w:r>
          </w:p>
        </w:tc>
      </w:tr>
      <w:tr w:rsidR="009A09ED" w:rsidRPr="00E02C7F" w14:paraId="557BC543"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118EDBCB"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N_55</w:t>
            </w:r>
          </w:p>
        </w:tc>
        <w:tc>
          <w:tcPr>
            <w:tcW w:w="1200" w:type="dxa"/>
            <w:tcBorders>
              <w:top w:val="nil"/>
              <w:left w:val="nil"/>
              <w:bottom w:val="single" w:sz="4" w:space="0" w:color="auto"/>
              <w:right w:val="single" w:sz="4" w:space="0" w:color="auto"/>
            </w:tcBorders>
            <w:shd w:val="clear" w:color="auto" w:fill="auto"/>
            <w:noWrap/>
            <w:vAlign w:val="center"/>
            <w:hideMark/>
          </w:tcPr>
          <w:p w14:paraId="3092A349"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27.407</w:t>
            </w:r>
          </w:p>
        </w:tc>
        <w:tc>
          <w:tcPr>
            <w:tcW w:w="1600" w:type="dxa"/>
            <w:tcBorders>
              <w:top w:val="nil"/>
              <w:left w:val="nil"/>
              <w:bottom w:val="single" w:sz="4" w:space="0" w:color="auto"/>
              <w:right w:val="single" w:sz="4" w:space="0" w:color="auto"/>
            </w:tcBorders>
            <w:shd w:val="clear" w:color="auto" w:fill="auto"/>
            <w:noWrap/>
            <w:vAlign w:val="center"/>
            <w:hideMark/>
          </w:tcPr>
          <w:p w14:paraId="048EE544"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10.256</w:t>
            </w:r>
          </w:p>
        </w:tc>
        <w:tc>
          <w:tcPr>
            <w:tcW w:w="1200" w:type="dxa"/>
            <w:tcBorders>
              <w:top w:val="nil"/>
              <w:left w:val="nil"/>
              <w:bottom w:val="single" w:sz="4" w:space="0" w:color="auto"/>
              <w:right w:val="single" w:sz="4" w:space="0" w:color="auto"/>
            </w:tcBorders>
            <w:shd w:val="clear" w:color="auto" w:fill="auto"/>
            <w:noWrap/>
            <w:vAlign w:val="center"/>
            <w:hideMark/>
          </w:tcPr>
          <w:p w14:paraId="78FE0896"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6.447</w:t>
            </w:r>
          </w:p>
        </w:tc>
        <w:tc>
          <w:tcPr>
            <w:tcW w:w="1200" w:type="dxa"/>
            <w:tcBorders>
              <w:top w:val="nil"/>
              <w:left w:val="nil"/>
              <w:bottom w:val="single" w:sz="4" w:space="0" w:color="auto"/>
              <w:right w:val="single" w:sz="4" w:space="0" w:color="auto"/>
            </w:tcBorders>
            <w:shd w:val="clear" w:color="auto" w:fill="auto"/>
            <w:noWrap/>
            <w:vAlign w:val="center"/>
            <w:hideMark/>
          </w:tcPr>
          <w:p w14:paraId="449C6D1C"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202</w:t>
            </w:r>
          </w:p>
        </w:tc>
        <w:tc>
          <w:tcPr>
            <w:tcW w:w="1200" w:type="dxa"/>
            <w:tcBorders>
              <w:top w:val="nil"/>
              <w:left w:val="nil"/>
              <w:bottom w:val="single" w:sz="4" w:space="0" w:color="auto"/>
              <w:right w:val="single" w:sz="4" w:space="0" w:color="auto"/>
            </w:tcBorders>
            <w:shd w:val="clear" w:color="auto" w:fill="auto"/>
            <w:noWrap/>
            <w:vAlign w:val="center"/>
            <w:hideMark/>
          </w:tcPr>
          <w:p w14:paraId="4012A65C"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44.311</w:t>
            </w:r>
          </w:p>
        </w:tc>
        <w:tc>
          <w:tcPr>
            <w:tcW w:w="1520" w:type="dxa"/>
            <w:tcBorders>
              <w:top w:val="nil"/>
              <w:left w:val="nil"/>
              <w:bottom w:val="single" w:sz="4" w:space="0" w:color="auto"/>
              <w:right w:val="single" w:sz="4" w:space="0" w:color="auto"/>
            </w:tcBorders>
            <w:shd w:val="clear" w:color="auto" w:fill="auto"/>
            <w:noWrap/>
            <w:vAlign w:val="center"/>
            <w:hideMark/>
          </w:tcPr>
          <w:p w14:paraId="2684F370"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23.138</w:t>
            </w:r>
          </w:p>
        </w:tc>
      </w:tr>
      <w:tr w:rsidR="009A09ED" w:rsidRPr="00E02C7F" w14:paraId="374F142E"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084B7050"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N_56</w:t>
            </w:r>
          </w:p>
        </w:tc>
        <w:tc>
          <w:tcPr>
            <w:tcW w:w="1200" w:type="dxa"/>
            <w:tcBorders>
              <w:top w:val="nil"/>
              <w:left w:val="nil"/>
              <w:bottom w:val="single" w:sz="4" w:space="0" w:color="auto"/>
              <w:right w:val="single" w:sz="4" w:space="0" w:color="auto"/>
            </w:tcBorders>
            <w:shd w:val="clear" w:color="auto" w:fill="auto"/>
            <w:noWrap/>
            <w:vAlign w:val="center"/>
            <w:hideMark/>
          </w:tcPr>
          <w:p w14:paraId="51205FCA"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31.240</w:t>
            </w:r>
          </w:p>
        </w:tc>
        <w:tc>
          <w:tcPr>
            <w:tcW w:w="1600" w:type="dxa"/>
            <w:tcBorders>
              <w:top w:val="nil"/>
              <w:left w:val="nil"/>
              <w:bottom w:val="single" w:sz="4" w:space="0" w:color="auto"/>
              <w:right w:val="single" w:sz="4" w:space="0" w:color="auto"/>
            </w:tcBorders>
            <w:shd w:val="clear" w:color="auto" w:fill="auto"/>
            <w:noWrap/>
            <w:vAlign w:val="center"/>
            <w:hideMark/>
          </w:tcPr>
          <w:p w14:paraId="6207A119"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11.690</w:t>
            </w:r>
          </w:p>
        </w:tc>
        <w:tc>
          <w:tcPr>
            <w:tcW w:w="1200" w:type="dxa"/>
            <w:tcBorders>
              <w:top w:val="nil"/>
              <w:left w:val="nil"/>
              <w:bottom w:val="single" w:sz="4" w:space="0" w:color="auto"/>
              <w:right w:val="single" w:sz="4" w:space="0" w:color="auto"/>
            </w:tcBorders>
            <w:shd w:val="clear" w:color="auto" w:fill="auto"/>
            <w:noWrap/>
            <w:vAlign w:val="center"/>
            <w:hideMark/>
          </w:tcPr>
          <w:p w14:paraId="59BC1851"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7.349</w:t>
            </w:r>
          </w:p>
        </w:tc>
        <w:tc>
          <w:tcPr>
            <w:tcW w:w="1200" w:type="dxa"/>
            <w:tcBorders>
              <w:top w:val="nil"/>
              <w:left w:val="nil"/>
              <w:bottom w:val="single" w:sz="4" w:space="0" w:color="auto"/>
              <w:right w:val="single" w:sz="4" w:space="0" w:color="auto"/>
            </w:tcBorders>
            <w:shd w:val="clear" w:color="auto" w:fill="auto"/>
            <w:noWrap/>
            <w:vAlign w:val="center"/>
            <w:hideMark/>
          </w:tcPr>
          <w:p w14:paraId="1FFDCC45"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230</w:t>
            </w:r>
          </w:p>
        </w:tc>
        <w:tc>
          <w:tcPr>
            <w:tcW w:w="1200" w:type="dxa"/>
            <w:tcBorders>
              <w:top w:val="nil"/>
              <w:left w:val="nil"/>
              <w:bottom w:val="single" w:sz="4" w:space="0" w:color="auto"/>
              <w:right w:val="single" w:sz="4" w:space="0" w:color="auto"/>
            </w:tcBorders>
            <w:shd w:val="clear" w:color="auto" w:fill="auto"/>
            <w:noWrap/>
            <w:vAlign w:val="center"/>
            <w:hideMark/>
          </w:tcPr>
          <w:p w14:paraId="66923BAB"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50.509</w:t>
            </w:r>
          </w:p>
        </w:tc>
        <w:tc>
          <w:tcPr>
            <w:tcW w:w="1520" w:type="dxa"/>
            <w:tcBorders>
              <w:top w:val="nil"/>
              <w:left w:val="nil"/>
              <w:bottom w:val="single" w:sz="4" w:space="0" w:color="auto"/>
              <w:right w:val="single" w:sz="4" w:space="0" w:color="auto"/>
            </w:tcBorders>
            <w:shd w:val="clear" w:color="auto" w:fill="auto"/>
            <w:noWrap/>
            <w:vAlign w:val="center"/>
            <w:hideMark/>
          </w:tcPr>
          <w:p w14:paraId="13080FB3"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26.375</w:t>
            </w:r>
          </w:p>
        </w:tc>
      </w:tr>
      <w:tr w:rsidR="009A09ED" w:rsidRPr="00E02C7F" w14:paraId="5FA9597C"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6FC5ED7E"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N_57</w:t>
            </w:r>
          </w:p>
        </w:tc>
        <w:tc>
          <w:tcPr>
            <w:tcW w:w="1200" w:type="dxa"/>
            <w:tcBorders>
              <w:top w:val="nil"/>
              <w:left w:val="nil"/>
              <w:bottom w:val="single" w:sz="4" w:space="0" w:color="auto"/>
              <w:right w:val="single" w:sz="4" w:space="0" w:color="auto"/>
            </w:tcBorders>
            <w:shd w:val="clear" w:color="auto" w:fill="auto"/>
            <w:noWrap/>
            <w:vAlign w:val="center"/>
            <w:hideMark/>
          </w:tcPr>
          <w:p w14:paraId="1734F13D"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600" w:type="dxa"/>
            <w:tcBorders>
              <w:top w:val="nil"/>
              <w:left w:val="nil"/>
              <w:bottom w:val="single" w:sz="4" w:space="0" w:color="auto"/>
              <w:right w:val="single" w:sz="4" w:space="0" w:color="auto"/>
            </w:tcBorders>
            <w:shd w:val="clear" w:color="auto" w:fill="auto"/>
            <w:noWrap/>
            <w:vAlign w:val="center"/>
            <w:hideMark/>
          </w:tcPr>
          <w:p w14:paraId="65176B61"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200" w:type="dxa"/>
            <w:tcBorders>
              <w:top w:val="nil"/>
              <w:left w:val="nil"/>
              <w:bottom w:val="single" w:sz="4" w:space="0" w:color="auto"/>
              <w:right w:val="single" w:sz="4" w:space="0" w:color="auto"/>
            </w:tcBorders>
            <w:shd w:val="clear" w:color="auto" w:fill="auto"/>
            <w:noWrap/>
            <w:vAlign w:val="center"/>
            <w:hideMark/>
          </w:tcPr>
          <w:p w14:paraId="4E7F473F"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200" w:type="dxa"/>
            <w:tcBorders>
              <w:top w:val="nil"/>
              <w:left w:val="nil"/>
              <w:bottom w:val="single" w:sz="4" w:space="0" w:color="auto"/>
              <w:right w:val="single" w:sz="4" w:space="0" w:color="auto"/>
            </w:tcBorders>
            <w:shd w:val="clear" w:color="auto" w:fill="auto"/>
            <w:noWrap/>
            <w:vAlign w:val="center"/>
            <w:hideMark/>
          </w:tcPr>
          <w:p w14:paraId="03DD2205"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200" w:type="dxa"/>
            <w:tcBorders>
              <w:top w:val="nil"/>
              <w:left w:val="nil"/>
              <w:bottom w:val="single" w:sz="4" w:space="0" w:color="auto"/>
              <w:right w:val="single" w:sz="4" w:space="0" w:color="auto"/>
            </w:tcBorders>
            <w:shd w:val="clear" w:color="auto" w:fill="auto"/>
            <w:noWrap/>
            <w:vAlign w:val="center"/>
            <w:hideMark/>
          </w:tcPr>
          <w:p w14:paraId="556EBD08"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520" w:type="dxa"/>
            <w:tcBorders>
              <w:top w:val="nil"/>
              <w:left w:val="nil"/>
              <w:bottom w:val="single" w:sz="4" w:space="0" w:color="auto"/>
              <w:right w:val="single" w:sz="4" w:space="0" w:color="auto"/>
            </w:tcBorders>
            <w:shd w:val="clear" w:color="auto" w:fill="auto"/>
            <w:noWrap/>
            <w:vAlign w:val="center"/>
            <w:hideMark/>
          </w:tcPr>
          <w:p w14:paraId="1456C3FC"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r>
      <w:tr w:rsidR="009A09ED" w:rsidRPr="00E02C7F" w14:paraId="5AF53D57"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7EDADA10"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N_58</w:t>
            </w:r>
          </w:p>
        </w:tc>
        <w:tc>
          <w:tcPr>
            <w:tcW w:w="1200" w:type="dxa"/>
            <w:tcBorders>
              <w:top w:val="nil"/>
              <w:left w:val="nil"/>
              <w:bottom w:val="single" w:sz="4" w:space="0" w:color="auto"/>
              <w:right w:val="single" w:sz="4" w:space="0" w:color="auto"/>
            </w:tcBorders>
            <w:shd w:val="clear" w:color="auto" w:fill="auto"/>
            <w:noWrap/>
            <w:vAlign w:val="center"/>
            <w:hideMark/>
          </w:tcPr>
          <w:p w14:paraId="2CEC86DC"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214.061</w:t>
            </w:r>
          </w:p>
        </w:tc>
        <w:tc>
          <w:tcPr>
            <w:tcW w:w="1600" w:type="dxa"/>
            <w:tcBorders>
              <w:top w:val="nil"/>
              <w:left w:val="nil"/>
              <w:bottom w:val="single" w:sz="4" w:space="0" w:color="auto"/>
              <w:right w:val="single" w:sz="4" w:space="0" w:color="auto"/>
            </w:tcBorders>
            <w:shd w:val="clear" w:color="auto" w:fill="auto"/>
            <w:noWrap/>
            <w:vAlign w:val="center"/>
            <w:hideMark/>
          </w:tcPr>
          <w:p w14:paraId="08FE60BF"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80.103</w:t>
            </w:r>
          </w:p>
        </w:tc>
        <w:tc>
          <w:tcPr>
            <w:tcW w:w="1200" w:type="dxa"/>
            <w:tcBorders>
              <w:top w:val="nil"/>
              <w:left w:val="nil"/>
              <w:bottom w:val="single" w:sz="4" w:space="0" w:color="auto"/>
              <w:right w:val="single" w:sz="4" w:space="0" w:color="auto"/>
            </w:tcBorders>
            <w:shd w:val="clear" w:color="auto" w:fill="auto"/>
            <w:noWrap/>
            <w:vAlign w:val="center"/>
            <w:hideMark/>
          </w:tcPr>
          <w:p w14:paraId="21D2230E"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50.354</w:t>
            </w:r>
          </w:p>
        </w:tc>
        <w:tc>
          <w:tcPr>
            <w:tcW w:w="1200" w:type="dxa"/>
            <w:tcBorders>
              <w:top w:val="nil"/>
              <w:left w:val="nil"/>
              <w:bottom w:val="single" w:sz="4" w:space="0" w:color="auto"/>
              <w:right w:val="single" w:sz="4" w:space="0" w:color="auto"/>
            </w:tcBorders>
            <w:shd w:val="clear" w:color="auto" w:fill="auto"/>
            <w:noWrap/>
            <w:vAlign w:val="center"/>
            <w:hideMark/>
          </w:tcPr>
          <w:p w14:paraId="1597953F"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840</w:t>
            </w:r>
          </w:p>
        </w:tc>
        <w:tc>
          <w:tcPr>
            <w:tcW w:w="1200" w:type="dxa"/>
            <w:tcBorders>
              <w:top w:val="nil"/>
              <w:left w:val="nil"/>
              <w:bottom w:val="single" w:sz="4" w:space="0" w:color="auto"/>
              <w:right w:val="single" w:sz="4" w:space="0" w:color="auto"/>
            </w:tcBorders>
            <w:shd w:val="clear" w:color="auto" w:fill="auto"/>
            <w:noWrap/>
            <w:vAlign w:val="center"/>
            <w:hideMark/>
          </w:tcPr>
          <w:p w14:paraId="73455E76"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345.359</w:t>
            </w:r>
          </w:p>
        </w:tc>
        <w:tc>
          <w:tcPr>
            <w:tcW w:w="1520" w:type="dxa"/>
            <w:tcBorders>
              <w:top w:val="nil"/>
              <w:left w:val="nil"/>
              <w:bottom w:val="single" w:sz="4" w:space="0" w:color="auto"/>
              <w:right w:val="single" w:sz="4" w:space="0" w:color="auto"/>
            </w:tcBorders>
            <w:shd w:val="clear" w:color="auto" w:fill="auto"/>
            <w:noWrap/>
            <w:vAlign w:val="center"/>
            <w:hideMark/>
          </w:tcPr>
          <w:p w14:paraId="4745C722"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180.723</w:t>
            </w:r>
          </w:p>
        </w:tc>
      </w:tr>
      <w:tr w:rsidR="009A09ED" w:rsidRPr="00E02C7F" w14:paraId="653D1DEE"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0D3F1238"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N_59</w:t>
            </w:r>
          </w:p>
        </w:tc>
        <w:tc>
          <w:tcPr>
            <w:tcW w:w="1200" w:type="dxa"/>
            <w:tcBorders>
              <w:top w:val="nil"/>
              <w:left w:val="nil"/>
              <w:bottom w:val="single" w:sz="4" w:space="0" w:color="auto"/>
              <w:right w:val="single" w:sz="4" w:space="0" w:color="auto"/>
            </w:tcBorders>
            <w:shd w:val="clear" w:color="auto" w:fill="auto"/>
            <w:noWrap/>
            <w:vAlign w:val="center"/>
            <w:hideMark/>
          </w:tcPr>
          <w:p w14:paraId="47AA9921"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11.092</w:t>
            </w:r>
          </w:p>
        </w:tc>
        <w:tc>
          <w:tcPr>
            <w:tcW w:w="1600" w:type="dxa"/>
            <w:tcBorders>
              <w:top w:val="nil"/>
              <w:left w:val="nil"/>
              <w:bottom w:val="single" w:sz="4" w:space="0" w:color="auto"/>
              <w:right w:val="single" w:sz="4" w:space="0" w:color="auto"/>
            </w:tcBorders>
            <w:shd w:val="clear" w:color="auto" w:fill="auto"/>
            <w:noWrap/>
            <w:vAlign w:val="center"/>
            <w:hideMark/>
          </w:tcPr>
          <w:p w14:paraId="76C155F6"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4.151</w:t>
            </w:r>
          </w:p>
        </w:tc>
        <w:tc>
          <w:tcPr>
            <w:tcW w:w="1200" w:type="dxa"/>
            <w:tcBorders>
              <w:top w:val="nil"/>
              <w:left w:val="nil"/>
              <w:bottom w:val="single" w:sz="4" w:space="0" w:color="auto"/>
              <w:right w:val="single" w:sz="4" w:space="0" w:color="auto"/>
            </w:tcBorders>
            <w:shd w:val="clear" w:color="auto" w:fill="auto"/>
            <w:noWrap/>
            <w:vAlign w:val="center"/>
            <w:hideMark/>
          </w:tcPr>
          <w:p w14:paraId="720BA970"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2.609</w:t>
            </w:r>
          </w:p>
        </w:tc>
        <w:tc>
          <w:tcPr>
            <w:tcW w:w="1200" w:type="dxa"/>
            <w:tcBorders>
              <w:top w:val="nil"/>
              <w:left w:val="nil"/>
              <w:bottom w:val="single" w:sz="4" w:space="0" w:color="auto"/>
              <w:right w:val="single" w:sz="4" w:space="0" w:color="auto"/>
            </w:tcBorders>
            <w:shd w:val="clear" w:color="auto" w:fill="auto"/>
            <w:noWrap/>
            <w:vAlign w:val="center"/>
            <w:hideMark/>
          </w:tcPr>
          <w:p w14:paraId="44701D41"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100</w:t>
            </w:r>
          </w:p>
        </w:tc>
        <w:tc>
          <w:tcPr>
            <w:tcW w:w="1200" w:type="dxa"/>
            <w:tcBorders>
              <w:top w:val="nil"/>
              <w:left w:val="nil"/>
              <w:bottom w:val="single" w:sz="4" w:space="0" w:color="auto"/>
              <w:right w:val="single" w:sz="4" w:space="0" w:color="auto"/>
            </w:tcBorders>
            <w:shd w:val="clear" w:color="auto" w:fill="auto"/>
            <w:noWrap/>
            <w:vAlign w:val="center"/>
            <w:hideMark/>
          </w:tcPr>
          <w:p w14:paraId="1C1F324A"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17.952</w:t>
            </w:r>
          </w:p>
        </w:tc>
        <w:tc>
          <w:tcPr>
            <w:tcW w:w="1520" w:type="dxa"/>
            <w:tcBorders>
              <w:top w:val="nil"/>
              <w:left w:val="nil"/>
              <w:bottom w:val="single" w:sz="4" w:space="0" w:color="auto"/>
              <w:right w:val="single" w:sz="4" w:space="0" w:color="auto"/>
            </w:tcBorders>
            <w:shd w:val="clear" w:color="auto" w:fill="auto"/>
            <w:noWrap/>
            <w:vAlign w:val="center"/>
            <w:hideMark/>
          </w:tcPr>
          <w:p w14:paraId="73D8F508"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9.364</w:t>
            </w:r>
          </w:p>
        </w:tc>
      </w:tr>
      <w:tr w:rsidR="009A09ED" w:rsidRPr="00E02C7F" w14:paraId="35AD8CB6"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74B20E32"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N_60</w:t>
            </w:r>
          </w:p>
        </w:tc>
        <w:tc>
          <w:tcPr>
            <w:tcW w:w="1200" w:type="dxa"/>
            <w:tcBorders>
              <w:top w:val="nil"/>
              <w:left w:val="nil"/>
              <w:bottom w:val="single" w:sz="4" w:space="0" w:color="auto"/>
              <w:right w:val="single" w:sz="4" w:space="0" w:color="auto"/>
            </w:tcBorders>
            <w:shd w:val="clear" w:color="auto" w:fill="auto"/>
            <w:noWrap/>
            <w:vAlign w:val="center"/>
            <w:hideMark/>
          </w:tcPr>
          <w:p w14:paraId="6DD79317"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414.888</w:t>
            </w:r>
          </w:p>
        </w:tc>
        <w:tc>
          <w:tcPr>
            <w:tcW w:w="1600" w:type="dxa"/>
            <w:tcBorders>
              <w:top w:val="nil"/>
              <w:left w:val="nil"/>
              <w:bottom w:val="single" w:sz="4" w:space="0" w:color="auto"/>
              <w:right w:val="single" w:sz="4" w:space="0" w:color="auto"/>
            </w:tcBorders>
            <w:shd w:val="clear" w:color="auto" w:fill="auto"/>
            <w:noWrap/>
            <w:vAlign w:val="center"/>
            <w:hideMark/>
          </w:tcPr>
          <w:p w14:paraId="0232CE06"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155.254</w:t>
            </w:r>
          </w:p>
        </w:tc>
        <w:tc>
          <w:tcPr>
            <w:tcW w:w="1200" w:type="dxa"/>
            <w:tcBorders>
              <w:top w:val="nil"/>
              <w:left w:val="nil"/>
              <w:bottom w:val="single" w:sz="4" w:space="0" w:color="auto"/>
              <w:right w:val="single" w:sz="4" w:space="0" w:color="auto"/>
            </w:tcBorders>
            <w:shd w:val="clear" w:color="auto" w:fill="auto"/>
            <w:noWrap/>
            <w:vAlign w:val="center"/>
            <w:hideMark/>
          </w:tcPr>
          <w:p w14:paraId="7216689C"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97.595</w:t>
            </w:r>
          </w:p>
        </w:tc>
        <w:tc>
          <w:tcPr>
            <w:tcW w:w="1200" w:type="dxa"/>
            <w:tcBorders>
              <w:top w:val="nil"/>
              <w:left w:val="nil"/>
              <w:bottom w:val="single" w:sz="4" w:space="0" w:color="auto"/>
              <w:right w:val="single" w:sz="4" w:space="0" w:color="auto"/>
            </w:tcBorders>
            <w:shd w:val="clear" w:color="auto" w:fill="auto"/>
            <w:noWrap/>
            <w:vAlign w:val="center"/>
            <w:hideMark/>
          </w:tcPr>
          <w:p w14:paraId="60B81DDC"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200" w:type="dxa"/>
            <w:tcBorders>
              <w:top w:val="nil"/>
              <w:left w:val="nil"/>
              <w:bottom w:val="single" w:sz="4" w:space="0" w:color="auto"/>
              <w:right w:val="single" w:sz="4" w:space="0" w:color="auto"/>
            </w:tcBorders>
            <w:shd w:val="clear" w:color="auto" w:fill="auto"/>
            <w:noWrap/>
            <w:vAlign w:val="center"/>
            <w:hideMark/>
          </w:tcPr>
          <w:p w14:paraId="125E74FD"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667.736</w:t>
            </w:r>
          </w:p>
        </w:tc>
        <w:tc>
          <w:tcPr>
            <w:tcW w:w="1520" w:type="dxa"/>
            <w:tcBorders>
              <w:top w:val="nil"/>
              <w:left w:val="nil"/>
              <w:bottom w:val="single" w:sz="4" w:space="0" w:color="auto"/>
              <w:right w:val="single" w:sz="4" w:space="0" w:color="auto"/>
            </w:tcBorders>
            <w:shd w:val="clear" w:color="auto" w:fill="auto"/>
            <w:noWrap/>
            <w:vAlign w:val="center"/>
            <w:hideMark/>
          </w:tcPr>
          <w:p w14:paraId="4CBACF3F"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350.272</w:t>
            </w:r>
          </w:p>
        </w:tc>
      </w:tr>
      <w:tr w:rsidR="009A09ED" w:rsidRPr="00E02C7F" w14:paraId="56794DF7"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5DFC0060"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N_61</w:t>
            </w:r>
          </w:p>
        </w:tc>
        <w:tc>
          <w:tcPr>
            <w:tcW w:w="1200" w:type="dxa"/>
            <w:tcBorders>
              <w:top w:val="nil"/>
              <w:left w:val="nil"/>
              <w:bottom w:val="single" w:sz="4" w:space="0" w:color="auto"/>
              <w:right w:val="single" w:sz="4" w:space="0" w:color="auto"/>
            </w:tcBorders>
            <w:shd w:val="clear" w:color="auto" w:fill="auto"/>
            <w:noWrap/>
            <w:vAlign w:val="center"/>
            <w:hideMark/>
          </w:tcPr>
          <w:p w14:paraId="27A7500C"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7.216</w:t>
            </w:r>
          </w:p>
        </w:tc>
        <w:tc>
          <w:tcPr>
            <w:tcW w:w="1600" w:type="dxa"/>
            <w:tcBorders>
              <w:top w:val="nil"/>
              <w:left w:val="nil"/>
              <w:bottom w:val="single" w:sz="4" w:space="0" w:color="auto"/>
              <w:right w:val="single" w:sz="4" w:space="0" w:color="auto"/>
            </w:tcBorders>
            <w:shd w:val="clear" w:color="auto" w:fill="auto"/>
            <w:noWrap/>
            <w:vAlign w:val="center"/>
            <w:hideMark/>
          </w:tcPr>
          <w:p w14:paraId="58B6A8C9"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2.700</w:t>
            </w:r>
          </w:p>
        </w:tc>
        <w:tc>
          <w:tcPr>
            <w:tcW w:w="1200" w:type="dxa"/>
            <w:tcBorders>
              <w:top w:val="nil"/>
              <w:left w:val="nil"/>
              <w:bottom w:val="single" w:sz="4" w:space="0" w:color="auto"/>
              <w:right w:val="single" w:sz="4" w:space="0" w:color="auto"/>
            </w:tcBorders>
            <w:shd w:val="clear" w:color="auto" w:fill="auto"/>
            <w:noWrap/>
            <w:vAlign w:val="center"/>
            <w:hideMark/>
          </w:tcPr>
          <w:p w14:paraId="72760B59"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1.697</w:t>
            </w:r>
          </w:p>
        </w:tc>
        <w:tc>
          <w:tcPr>
            <w:tcW w:w="1200" w:type="dxa"/>
            <w:tcBorders>
              <w:top w:val="nil"/>
              <w:left w:val="nil"/>
              <w:bottom w:val="single" w:sz="4" w:space="0" w:color="auto"/>
              <w:right w:val="single" w:sz="4" w:space="0" w:color="auto"/>
            </w:tcBorders>
            <w:shd w:val="clear" w:color="auto" w:fill="auto"/>
            <w:noWrap/>
            <w:vAlign w:val="center"/>
            <w:hideMark/>
          </w:tcPr>
          <w:p w14:paraId="359E377D"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200" w:type="dxa"/>
            <w:tcBorders>
              <w:top w:val="nil"/>
              <w:left w:val="nil"/>
              <w:bottom w:val="single" w:sz="4" w:space="0" w:color="auto"/>
              <w:right w:val="single" w:sz="4" w:space="0" w:color="auto"/>
            </w:tcBorders>
            <w:shd w:val="clear" w:color="auto" w:fill="auto"/>
            <w:noWrap/>
            <w:vAlign w:val="center"/>
            <w:hideMark/>
          </w:tcPr>
          <w:p w14:paraId="11C38E4E"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11.613</w:t>
            </w:r>
          </w:p>
        </w:tc>
        <w:tc>
          <w:tcPr>
            <w:tcW w:w="1520" w:type="dxa"/>
            <w:tcBorders>
              <w:top w:val="nil"/>
              <w:left w:val="nil"/>
              <w:bottom w:val="single" w:sz="4" w:space="0" w:color="auto"/>
              <w:right w:val="single" w:sz="4" w:space="0" w:color="auto"/>
            </w:tcBorders>
            <w:shd w:val="clear" w:color="auto" w:fill="auto"/>
            <w:noWrap/>
            <w:vAlign w:val="center"/>
            <w:hideMark/>
          </w:tcPr>
          <w:p w14:paraId="1636FC4A"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6.092</w:t>
            </w:r>
          </w:p>
        </w:tc>
      </w:tr>
      <w:tr w:rsidR="009A09ED" w:rsidRPr="00E02C7F" w14:paraId="328F2AEE"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06B0E795"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lastRenderedPageBreak/>
              <w:t>N_62</w:t>
            </w:r>
          </w:p>
        </w:tc>
        <w:tc>
          <w:tcPr>
            <w:tcW w:w="1200" w:type="dxa"/>
            <w:tcBorders>
              <w:top w:val="nil"/>
              <w:left w:val="nil"/>
              <w:bottom w:val="single" w:sz="4" w:space="0" w:color="auto"/>
              <w:right w:val="single" w:sz="4" w:space="0" w:color="auto"/>
            </w:tcBorders>
            <w:shd w:val="clear" w:color="auto" w:fill="auto"/>
            <w:noWrap/>
            <w:vAlign w:val="center"/>
            <w:hideMark/>
          </w:tcPr>
          <w:p w14:paraId="4BB0F35B"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12.731</w:t>
            </w:r>
          </w:p>
        </w:tc>
        <w:tc>
          <w:tcPr>
            <w:tcW w:w="1600" w:type="dxa"/>
            <w:tcBorders>
              <w:top w:val="nil"/>
              <w:left w:val="nil"/>
              <w:bottom w:val="single" w:sz="4" w:space="0" w:color="auto"/>
              <w:right w:val="single" w:sz="4" w:space="0" w:color="auto"/>
            </w:tcBorders>
            <w:shd w:val="clear" w:color="auto" w:fill="auto"/>
            <w:noWrap/>
            <w:vAlign w:val="center"/>
            <w:hideMark/>
          </w:tcPr>
          <w:p w14:paraId="5E74B4B0"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4.764</w:t>
            </w:r>
          </w:p>
        </w:tc>
        <w:tc>
          <w:tcPr>
            <w:tcW w:w="1200" w:type="dxa"/>
            <w:tcBorders>
              <w:top w:val="nil"/>
              <w:left w:val="nil"/>
              <w:bottom w:val="single" w:sz="4" w:space="0" w:color="auto"/>
              <w:right w:val="single" w:sz="4" w:space="0" w:color="auto"/>
            </w:tcBorders>
            <w:shd w:val="clear" w:color="auto" w:fill="auto"/>
            <w:noWrap/>
            <w:vAlign w:val="center"/>
            <w:hideMark/>
          </w:tcPr>
          <w:p w14:paraId="3E449A7B"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2.995</w:t>
            </w:r>
          </w:p>
        </w:tc>
        <w:tc>
          <w:tcPr>
            <w:tcW w:w="1200" w:type="dxa"/>
            <w:tcBorders>
              <w:top w:val="nil"/>
              <w:left w:val="nil"/>
              <w:bottom w:val="single" w:sz="4" w:space="0" w:color="auto"/>
              <w:right w:val="single" w:sz="4" w:space="0" w:color="auto"/>
            </w:tcBorders>
            <w:shd w:val="clear" w:color="auto" w:fill="auto"/>
            <w:noWrap/>
            <w:vAlign w:val="center"/>
            <w:hideMark/>
          </w:tcPr>
          <w:p w14:paraId="68E732A7"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200" w:type="dxa"/>
            <w:tcBorders>
              <w:top w:val="nil"/>
              <w:left w:val="nil"/>
              <w:bottom w:val="single" w:sz="4" w:space="0" w:color="auto"/>
              <w:right w:val="single" w:sz="4" w:space="0" w:color="auto"/>
            </w:tcBorders>
            <w:shd w:val="clear" w:color="auto" w:fill="auto"/>
            <w:noWrap/>
            <w:vAlign w:val="center"/>
            <w:hideMark/>
          </w:tcPr>
          <w:p w14:paraId="088F25EF"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20.490</w:t>
            </w:r>
          </w:p>
        </w:tc>
        <w:tc>
          <w:tcPr>
            <w:tcW w:w="1520" w:type="dxa"/>
            <w:tcBorders>
              <w:top w:val="nil"/>
              <w:left w:val="nil"/>
              <w:bottom w:val="single" w:sz="4" w:space="0" w:color="auto"/>
              <w:right w:val="single" w:sz="4" w:space="0" w:color="auto"/>
            </w:tcBorders>
            <w:shd w:val="clear" w:color="auto" w:fill="auto"/>
            <w:noWrap/>
            <w:vAlign w:val="center"/>
            <w:hideMark/>
          </w:tcPr>
          <w:p w14:paraId="76AEFF90"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10.749</w:t>
            </w:r>
          </w:p>
        </w:tc>
      </w:tr>
      <w:tr w:rsidR="009A09ED" w:rsidRPr="00E02C7F" w14:paraId="27F0ED55"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396EAA6D"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N_63</w:t>
            </w:r>
          </w:p>
        </w:tc>
        <w:tc>
          <w:tcPr>
            <w:tcW w:w="1200" w:type="dxa"/>
            <w:tcBorders>
              <w:top w:val="nil"/>
              <w:left w:val="nil"/>
              <w:bottom w:val="single" w:sz="4" w:space="0" w:color="auto"/>
              <w:right w:val="single" w:sz="4" w:space="0" w:color="auto"/>
            </w:tcBorders>
            <w:shd w:val="clear" w:color="auto" w:fill="auto"/>
            <w:noWrap/>
            <w:vAlign w:val="center"/>
            <w:hideMark/>
          </w:tcPr>
          <w:p w14:paraId="658CF9C0"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124.554</w:t>
            </w:r>
          </w:p>
        </w:tc>
        <w:tc>
          <w:tcPr>
            <w:tcW w:w="1600" w:type="dxa"/>
            <w:tcBorders>
              <w:top w:val="nil"/>
              <w:left w:val="nil"/>
              <w:bottom w:val="single" w:sz="4" w:space="0" w:color="auto"/>
              <w:right w:val="single" w:sz="4" w:space="0" w:color="auto"/>
            </w:tcBorders>
            <w:shd w:val="clear" w:color="auto" w:fill="auto"/>
            <w:noWrap/>
            <w:vAlign w:val="center"/>
            <w:hideMark/>
          </w:tcPr>
          <w:p w14:paraId="6C563900"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46.609</w:t>
            </w:r>
          </w:p>
        </w:tc>
        <w:tc>
          <w:tcPr>
            <w:tcW w:w="1200" w:type="dxa"/>
            <w:tcBorders>
              <w:top w:val="nil"/>
              <w:left w:val="nil"/>
              <w:bottom w:val="single" w:sz="4" w:space="0" w:color="auto"/>
              <w:right w:val="single" w:sz="4" w:space="0" w:color="auto"/>
            </w:tcBorders>
            <w:shd w:val="clear" w:color="auto" w:fill="auto"/>
            <w:noWrap/>
            <w:vAlign w:val="center"/>
            <w:hideMark/>
          </w:tcPr>
          <w:p w14:paraId="42D5B7AD"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29.299</w:t>
            </w:r>
          </w:p>
        </w:tc>
        <w:tc>
          <w:tcPr>
            <w:tcW w:w="1200" w:type="dxa"/>
            <w:tcBorders>
              <w:top w:val="nil"/>
              <w:left w:val="nil"/>
              <w:bottom w:val="single" w:sz="4" w:space="0" w:color="auto"/>
              <w:right w:val="single" w:sz="4" w:space="0" w:color="auto"/>
            </w:tcBorders>
            <w:shd w:val="clear" w:color="auto" w:fill="auto"/>
            <w:noWrap/>
            <w:vAlign w:val="center"/>
            <w:hideMark/>
          </w:tcPr>
          <w:p w14:paraId="1BF4394C"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2.644</w:t>
            </w:r>
          </w:p>
        </w:tc>
        <w:tc>
          <w:tcPr>
            <w:tcW w:w="1200" w:type="dxa"/>
            <w:tcBorders>
              <w:top w:val="nil"/>
              <w:left w:val="nil"/>
              <w:bottom w:val="single" w:sz="4" w:space="0" w:color="auto"/>
              <w:right w:val="single" w:sz="4" w:space="0" w:color="auto"/>
            </w:tcBorders>
            <w:shd w:val="clear" w:color="auto" w:fill="auto"/>
            <w:noWrap/>
            <w:vAlign w:val="center"/>
            <w:hideMark/>
          </w:tcPr>
          <w:p w14:paraId="0346DD19"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203.106</w:t>
            </w:r>
          </w:p>
        </w:tc>
        <w:tc>
          <w:tcPr>
            <w:tcW w:w="1520" w:type="dxa"/>
            <w:tcBorders>
              <w:top w:val="nil"/>
              <w:left w:val="nil"/>
              <w:bottom w:val="single" w:sz="4" w:space="0" w:color="auto"/>
              <w:right w:val="single" w:sz="4" w:space="0" w:color="auto"/>
            </w:tcBorders>
            <w:shd w:val="clear" w:color="auto" w:fill="auto"/>
            <w:noWrap/>
            <w:vAlign w:val="center"/>
            <w:hideMark/>
          </w:tcPr>
          <w:p w14:paraId="509CBC4E"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105.156</w:t>
            </w:r>
          </w:p>
        </w:tc>
      </w:tr>
      <w:tr w:rsidR="009A09ED" w:rsidRPr="00E02C7F" w14:paraId="15CA2DA6"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60CD9D0F"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N_64</w:t>
            </w:r>
          </w:p>
        </w:tc>
        <w:tc>
          <w:tcPr>
            <w:tcW w:w="1200" w:type="dxa"/>
            <w:tcBorders>
              <w:top w:val="nil"/>
              <w:left w:val="nil"/>
              <w:bottom w:val="single" w:sz="4" w:space="0" w:color="auto"/>
              <w:right w:val="single" w:sz="4" w:space="0" w:color="auto"/>
            </w:tcBorders>
            <w:shd w:val="clear" w:color="auto" w:fill="auto"/>
            <w:noWrap/>
            <w:vAlign w:val="center"/>
            <w:hideMark/>
          </w:tcPr>
          <w:p w14:paraId="4B0F37B8"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106.173</w:t>
            </w:r>
          </w:p>
        </w:tc>
        <w:tc>
          <w:tcPr>
            <w:tcW w:w="1600" w:type="dxa"/>
            <w:tcBorders>
              <w:top w:val="nil"/>
              <w:left w:val="nil"/>
              <w:bottom w:val="single" w:sz="4" w:space="0" w:color="auto"/>
              <w:right w:val="single" w:sz="4" w:space="0" w:color="auto"/>
            </w:tcBorders>
            <w:shd w:val="clear" w:color="auto" w:fill="auto"/>
            <w:noWrap/>
            <w:vAlign w:val="center"/>
            <w:hideMark/>
          </w:tcPr>
          <w:p w14:paraId="21D95D92"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39.731</w:t>
            </w:r>
          </w:p>
        </w:tc>
        <w:tc>
          <w:tcPr>
            <w:tcW w:w="1200" w:type="dxa"/>
            <w:tcBorders>
              <w:top w:val="nil"/>
              <w:left w:val="nil"/>
              <w:bottom w:val="single" w:sz="4" w:space="0" w:color="auto"/>
              <w:right w:val="single" w:sz="4" w:space="0" w:color="auto"/>
            </w:tcBorders>
            <w:shd w:val="clear" w:color="auto" w:fill="auto"/>
            <w:noWrap/>
            <w:vAlign w:val="center"/>
            <w:hideMark/>
          </w:tcPr>
          <w:p w14:paraId="2AE767B5"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24.975</w:t>
            </w:r>
          </w:p>
        </w:tc>
        <w:tc>
          <w:tcPr>
            <w:tcW w:w="1200" w:type="dxa"/>
            <w:tcBorders>
              <w:top w:val="nil"/>
              <w:left w:val="nil"/>
              <w:bottom w:val="single" w:sz="4" w:space="0" w:color="auto"/>
              <w:right w:val="single" w:sz="4" w:space="0" w:color="auto"/>
            </w:tcBorders>
            <w:shd w:val="clear" w:color="auto" w:fill="auto"/>
            <w:noWrap/>
            <w:vAlign w:val="center"/>
            <w:hideMark/>
          </w:tcPr>
          <w:p w14:paraId="0A82510A"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433</w:t>
            </w:r>
          </w:p>
        </w:tc>
        <w:tc>
          <w:tcPr>
            <w:tcW w:w="1200" w:type="dxa"/>
            <w:tcBorders>
              <w:top w:val="nil"/>
              <w:left w:val="nil"/>
              <w:bottom w:val="single" w:sz="4" w:space="0" w:color="auto"/>
              <w:right w:val="single" w:sz="4" w:space="0" w:color="auto"/>
            </w:tcBorders>
            <w:shd w:val="clear" w:color="auto" w:fill="auto"/>
            <w:noWrap/>
            <w:vAlign w:val="center"/>
            <w:hideMark/>
          </w:tcPr>
          <w:p w14:paraId="446BAEA5"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171.312</w:t>
            </w:r>
          </w:p>
        </w:tc>
        <w:tc>
          <w:tcPr>
            <w:tcW w:w="1520" w:type="dxa"/>
            <w:tcBorders>
              <w:top w:val="nil"/>
              <w:left w:val="nil"/>
              <w:bottom w:val="single" w:sz="4" w:space="0" w:color="auto"/>
              <w:right w:val="single" w:sz="4" w:space="0" w:color="auto"/>
            </w:tcBorders>
            <w:shd w:val="clear" w:color="auto" w:fill="auto"/>
            <w:noWrap/>
            <w:vAlign w:val="center"/>
            <w:hideMark/>
          </w:tcPr>
          <w:p w14:paraId="7217CAC0"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89.637</w:t>
            </w:r>
          </w:p>
        </w:tc>
      </w:tr>
      <w:tr w:rsidR="009A09ED" w:rsidRPr="00E02C7F" w14:paraId="2643E9AA"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08460390"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N_65</w:t>
            </w:r>
          </w:p>
        </w:tc>
        <w:tc>
          <w:tcPr>
            <w:tcW w:w="1200" w:type="dxa"/>
            <w:tcBorders>
              <w:top w:val="nil"/>
              <w:left w:val="nil"/>
              <w:bottom w:val="single" w:sz="4" w:space="0" w:color="auto"/>
              <w:right w:val="single" w:sz="4" w:space="0" w:color="auto"/>
            </w:tcBorders>
            <w:shd w:val="clear" w:color="auto" w:fill="auto"/>
            <w:noWrap/>
            <w:vAlign w:val="center"/>
            <w:hideMark/>
          </w:tcPr>
          <w:p w14:paraId="01035F04"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26.832</w:t>
            </w:r>
          </w:p>
        </w:tc>
        <w:tc>
          <w:tcPr>
            <w:tcW w:w="1600" w:type="dxa"/>
            <w:tcBorders>
              <w:top w:val="nil"/>
              <w:left w:val="nil"/>
              <w:bottom w:val="single" w:sz="4" w:space="0" w:color="auto"/>
              <w:right w:val="single" w:sz="4" w:space="0" w:color="auto"/>
            </w:tcBorders>
            <w:shd w:val="clear" w:color="auto" w:fill="auto"/>
            <w:noWrap/>
            <w:vAlign w:val="center"/>
            <w:hideMark/>
          </w:tcPr>
          <w:p w14:paraId="7960DCAA"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10.041</w:t>
            </w:r>
          </w:p>
        </w:tc>
        <w:tc>
          <w:tcPr>
            <w:tcW w:w="1200" w:type="dxa"/>
            <w:tcBorders>
              <w:top w:val="nil"/>
              <w:left w:val="nil"/>
              <w:bottom w:val="single" w:sz="4" w:space="0" w:color="auto"/>
              <w:right w:val="single" w:sz="4" w:space="0" w:color="auto"/>
            </w:tcBorders>
            <w:shd w:val="clear" w:color="auto" w:fill="auto"/>
            <w:noWrap/>
            <w:vAlign w:val="center"/>
            <w:hideMark/>
          </w:tcPr>
          <w:p w14:paraId="13FE5927"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6.312</w:t>
            </w:r>
          </w:p>
        </w:tc>
        <w:tc>
          <w:tcPr>
            <w:tcW w:w="1200" w:type="dxa"/>
            <w:tcBorders>
              <w:top w:val="nil"/>
              <w:left w:val="nil"/>
              <w:bottom w:val="single" w:sz="4" w:space="0" w:color="auto"/>
              <w:right w:val="single" w:sz="4" w:space="0" w:color="auto"/>
            </w:tcBorders>
            <w:shd w:val="clear" w:color="auto" w:fill="auto"/>
            <w:noWrap/>
            <w:vAlign w:val="center"/>
            <w:hideMark/>
          </w:tcPr>
          <w:p w14:paraId="1FAEE1B2"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198</w:t>
            </w:r>
          </w:p>
        </w:tc>
        <w:tc>
          <w:tcPr>
            <w:tcW w:w="1200" w:type="dxa"/>
            <w:tcBorders>
              <w:top w:val="nil"/>
              <w:left w:val="nil"/>
              <w:bottom w:val="single" w:sz="4" w:space="0" w:color="auto"/>
              <w:right w:val="single" w:sz="4" w:space="0" w:color="auto"/>
            </w:tcBorders>
            <w:shd w:val="clear" w:color="auto" w:fill="auto"/>
            <w:noWrap/>
            <w:vAlign w:val="center"/>
            <w:hideMark/>
          </w:tcPr>
          <w:p w14:paraId="131529CE"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43.383</w:t>
            </w:r>
          </w:p>
        </w:tc>
        <w:tc>
          <w:tcPr>
            <w:tcW w:w="1520" w:type="dxa"/>
            <w:tcBorders>
              <w:top w:val="nil"/>
              <w:left w:val="nil"/>
              <w:bottom w:val="single" w:sz="4" w:space="0" w:color="auto"/>
              <w:right w:val="single" w:sz="4" w:space="0" w:color="auto"/>
            </w:tcBorders>
            <w:shd w:val="clear" w:color="auto" w:fill="auto"/>
            <w:noWrap/>
            <w:vAlign w:val="center"/>
            <w:hideMark/>
          </w:tcPr>
          <w:p w14:paraId="2DF189E5"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22.653</w:t>
            </w:r>
          </w:p>
        </w:tc>
      </w:tr>
      <w:tr w:rsidR="009A09ED" w:rsidRPr="00E02C7F" w14:paraId="253B2CA4"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1667DF93"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N_66</w:t>
            </w:r>
          </w:p>
        </w:tc>
        <w:tc>
          <w:tcPr>
            <w:tcW w:w="1200" w:type="dxa"/>
            <w:tcBorders>
              <w:top w:val="nil"/>
              <w:left w:val="nil"/>
              <w:bottom w:val="single" w:sz="4" w:space="0" w:color="auto"/>
              <w:right w:val="single" w:sz="4" w:space="0" w:color="auto"/>
            </w:tcBorders>
            <w:shd w:val="clear" w:color="auto" w:fill="auto"/>
            <w:noWrap/>
            <w:vAlign w:val="center"/>
            <w:hideMark/>
          </w:tcPr>
          <w:p w14:paraId="29F8C273"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58.717</w:t>
            </w:r>
          </w:p>
        </w:tc>
        <w:tc>
          <w:tcPr>
            <w:tcW w:w="1600" w:type="dxa"/>
            <w:tcBorders>
              <w:top w:val="nil"/>
              <w:left w:val="nil"/>
              <w:bottom w:val="single" w:sz="4" w:space="0" w:color="auto"/>
              <w:right w:val="single" w:sz="4" w:space="0" w:color="auto"/>
            </w:tcBorders>
            <w:shd w:val="clear" w:color="auto" w:fill="auto"/>
            <w:noWrap/>
            <w:vAlign w:val="center"/>
            <w:hideMark/>
          </w:tcPr>
          <w:p w14:paraId="47488A85"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21.972</w:t>
            </w:r>
          </w:p>
        </w:tc>
        <w:tc>
          <w:tcPr>
            <w:tcW w:w="1200" w:type="dxa"/>
            <w:tcBorders>
              <w:top w:val="nil"/>
              <w:left w:val="nil"/>
              <w:bottom w:val="single" w:sz="4" w:space="0" w:color="auto"/>
              <w:right w:val="single" w:sz="4" w:space="0" w:color="auto"/>
            </w:tcBorders>
            <w:shd w:val="clear" w:color="auto" w:fill="auto"/>
            <w:noWrap/>
            <w:vAlign w:val="center"/>
            <w:hideMark/>
          </w:tcPr>
          <w:p w14:paraId="44F6FADD"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13.812</w:t>
            </w:r>
          </w:p>
        </w:tc>
        <w:tc>
          <w:tcPr>
            <w:tcW w:w="1200" w:type="dxa"/>
            <w:tcBorders>
              <w:top w:val="nil"/>
              <w:left w:val="nil"/>
              <w:bottom w:val="single" w:sz="4" w:space="0" w:color="auto"/>
              <w:right w:val="single" w:sz="4" w:space="0" w:color="auto"/>
            </w:tcBorders>
            <w:shd w:val="clear" w:color="auto" w:fill="auto"/>
            <w:noWrap/>
            <w:vAlign w:val="center"/>
            <w:hideMark/>
          </w:tcPr>
          <w:p w14:paraId="5202D55D"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432</w:t>
            </w:r>
          </w:p>
        </w:tc>
        <w:tc>
          <w:tcPr>
            <w:tcW w:w="1200" w:type="dxa"/>
            <w:tcBorders>
              <w:top w:val="nil"/>
              <w:left w:val="nil"/>
              <w:bottom w:val="single" w:sz="4" w:space="0" w:color="auto"/>
              <w:right w:val="single" w:sz="4" w:space="0" w:color="auto"/>
            </w:tcBorders>
            <w:shd w:val="clear" w:color="auto" w:fill="auto"/>
            <w:noWrap/>
            <w:vAlign w:val="center"/>
            <w:hideMark/>
          </w:tcPr>
          <w:p w14:paraId="51C02BE6"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94.934</w:t>
            </w:r>
          </w:p>
        </w:tc>
        <w:tc>
          <w:tcPr>
            <w:tcW w:w="1520" w:type="dxa"/>
            <w:tcBorders>
              <w:top w:val="nil"/>
              <w:left w:val="nil"/>
              <w:bottom w:val="single" w:sz="4" w:space="0" w:color="auto"/>
              <w:right w:val="single" w:sz="4" w:space="0" w:color="auto"/>
            </w:tcBorders>
            <w:shd w:val="clear" w:color="auto" w:fill="auto"/>
            <w:noWrap/>
            <w:vAlign w:val="center"/>
            <w:hideMark/>
          </w:tcPr>
          <w:p w14:paraId="5460EB99"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49.572</w:t>
            </w:r>
          </w:p>
        </w:tc>
      </w:tr>
      <w:tr w:rsidR="009A09ED" w:rsidRPr="00E02C7F" w14:paraId="16538F92"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6A2C642B"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N_67</w:t>
            </w:r>
          </w:p>
        </w:tc>
        <w:tc>
          <w:tcPr>
            <w:tcW w:w="1200" w:type="dxa"/>
            <w:tcBorders>
              <w:top w:val="nil"/>
              <w:left w:val="nil"/>
              <w:bottom w:val="single" w:sz="4" w:space="0" w:color="auto"/>
              <w:right w:val="single" w:sz="4" w:space="0" w:color="auto"/>
            </w:tcBorders>
            <w:shd w:val="clear" w:color="auto" w:fill="auto"/>
            <w:noWrap/>
            <w:vAlign w:val="center"/>
            <w:hideMark/>
          </w:tcPr>
          <w:p w14:paraId="440BC899"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34.683</w:t>
            </w:r>
          </w:p>
        </w:tc>
        <w:tc>
          <w:tcPr>
            <w:tcW w:w="1600" w:type="dxa"/>
            <w:tcBorders>
              <w:top w:val="nil"/>
              <w:left w:val="nil"/>
              <w:bottom w:val="single" w:sz="4" w:space="0" w:color="auto"/>
              <w:right w:val="single" w:sz="4" w:space="0" w:color="auto"/>
            </w:tcBorders>
            <w:shd w:val="clear" w:color="auto" w:fill="auto"/>
            <w:noWrap/>
            <w:vAlign w:val="center"/>
            <w:hideMark/>
          </w:tcPr>
          <w:p w14:paraId="131B5C8B"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12.979</w:t>
            </w:r>
          </w:p>
        </w:tc>
        <w:tc>
          <w:tcPr>
            <w:tcW w:w="1200" w:type="dxa"/>
            <w:tcBorders>
              <w:top w:val="nil"/>
              <w:left w:val="nil"/>
              <w:bottom w:val="single" w:sz="4" w:space="0" w:color="auto"/>
              <w:right w:val="single" w:sz="4" w:space="0" w:color="auto"/>
            </w:tcBorders>
            <w:shd w:val="clear" w:color="auto" w:fill="auto"/>
            <w:noWrap/>
            <w:vAlign w:val="center"/>
            <w:hideMark/>
          </w:tcPr>
          <w:p w14:paraId="1BB9F480"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8.158</w:t>
            </w:r>
          </w:p>
        </w:tc>
        <w:tc>
          <w:tcPr>
            <w:tcW w:w="1200" w:type="dxa"/>
            <w:tcBorders>
              <w:top w:val="nil"/>
              <w:left w:val="nil"/>
              <w:bottom w:val="single" w:sz="4" w:space="0" w:color="auto"/>
              <w:right w:val="single" w:sz="4" w:space="0" w:color="auto"/>
            </w:tcBorders>
            <w:shd w:val="clear" w:color="auto" w:fill="auto"/>
            <w:noWrap/>
            <w:vAlign w:val="center"/>
            <w:hideMark/>
          </w:tcPr>
          <w:p w14:paraId="47E58839"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255</w:t>
            </w:r>
          </w:p>
        </w:tc>
        <w:tc>
          <w:tcPr>
            <w:tcW w:w="1200" w:type="dxa"/>
            <w:tcBorders>
              <w:top w:val="nil"/>
              <w:left w:val="nil"/>
              <w:bottom w:val="single" w:sz="4" w:space="0" w:color="auto"/>
              <w:right w:val="single" w:sz="4" w:space="0" w:color="auto"/>
            </w:tcBorders>
            <w:shd w:val="clear" w:color="auto" w:fill="auto"/>
            <w:noWrap/>
            <w:vAlign w:val="center"/>
            <w:hideMark/>
          </w:tcPr>
          <w:p w14:paraId="4BA7D59D"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56.075</w:t>
            </w:r>
          </w:p>
        </w:tc>
        <w:tc>
          <w:tcPr>
            <w:tcW w:w="1520" w:type="dxa"/>
            <w:tcBorders>
              <w:top w:val="nil"/>
              <w:left w:val="nil"/>
              <w:bottom w:val="single" w:sz="4" w:space="0" w:color="auto"/>
              <w:right w:val="single" w:sz="4" w:space="0" w:color="auto"/>
            </w:tcBorders>
            <w:shd w:val="clear" w:color="auto" w:fill="auto"/>
            <w:noWrap/>
            <w:vAlign w:val="center"/>
            <w:hideMark/>
          </w:tcPr>
          <w:p w14:paraId="00BAB8E3"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29.281</w:t>
            </w:r>
          </w:p>
        </w:tc>
      </w:tr>
      <w:tr w:rsidR="009A09ED" w:rsidRPr="00E02C7F" w14:paraId="3DEB24A2"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1EB782DF"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N_68</w:t>
            </w:r>
          </w:p>
        </w:tc>
        <w:tc>
          <w:tcPr>
            <w:tcW w:w="1200" w:type="dxa"/>
            <w:tcBorders>
              <w:top w:val="nil"/>
              <w:left w:val="nil"/>
              <w:bottom w:val="single" w:sz="4" w:space="0" w:color="auto"/>
              <w:right w:val="single" w:sz="4" w:space="0" w:color="auto"/>
            </w:tcBorders>
            <w:shd w:val="clear" w:color="auto" w:fill="auto"/>
            <w:noWrap/>
            <w:vAlign w:val="center"/>
            <w:hideMark/>
          </w:tcPr>
          <w:p w14:paraId="01247826"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600" w:type="dxa"/>
            <w:tcBorders>
              <w:top w:val="nil"/>
              <w:left w:val="nil"/>
              <w:bottom w:val="single" w:sz="4" w:space="0" w:color="auto"/>
              <w:right w:val="single" w:sz="4" w:space="0" w:color="auto"/>
            </w:tcBorders>
            <w:shd w:val="clear" w:color="auto" w:fill="auto"/>
            <w:noWrap/>
            <w:vAlign w:val="center"/>
            <w:hideMark/>
          </w:tcPr>
          <w:p w14:paraId="6F21FE70"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200" w:type="dxa"/>
            <w:tcBorders>
              <w:top w:val="nil"/>
              <w:left w:val="nil"/>
              <w:bottom w:val="single" w:sz="4" w:space="0" w:color="auto"/>
              <w:right w:val="single" w:sz="4" w:space="0" w:color="auto"/>
            </w:tcBorders>
            <w:shd w:val="clear" w:color="auto" w:fill="auto"/>
            <w:noWrap/>
            <w:vAlign w:val="center"/>
            <w:hideMark/>
          </w:tcPr>
          <w:p w14:paraId="062B12D4"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200" w:type="dxa"/>
            <w:tcBorders>
              <w:top w:val="nil"/>
              <w:left w:val="nil"/>
              <w:bottom w:val="single" w:sz="4" w:space="0" w:color="auto"/>
              <w:right w:val="single" w:sz="4" w:space="0" w:color="auto"/>
            </w:tcBorders>
            <w:shd w:val="clear" w:color="auto" w:fill="auto"/>
            <w:noWrap/>
            <w:vAlign w:val="center"/>
            <w:hideMark/>
          </w:tcPr>
          <w:p w14:paraId="3D7E0723"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200" w:type="dxa"/>
            <w:tcBorders>
              <w:top w:val="nil"/>
              <w:left w:val="nil"/>
              <w:bottom w:val="single" w:sz="4" w:space="0" w:color="auto"/>
              <w:right w:val="single" w:sz="4" w:space="0" w:color="auto"/>
            </w:tcBorders>
            <w:shd w:val="clear" w:color="auto" w:fill="auto"/>
            <w:noWrap/>
            <w:vAlign w:val="center"/>
            <w:hideMark/>
          </w:tcPr>
          <w:p w14:paraId="26E4A56E"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520" w:type="dxa"/>
            <w:tcBorders>
              <w:top w:val="nil"/>
              <w:left w:val="nil"/>
              <w:bottom w:val="single" w:sz="4" w:space="0" w:color="auto"/>
              <w:right w:val="single" w:sz="4" w:space="0" w:color="auto"/>
            </w:tcBorders>
            <w:shd w:val="clear" w:color="auto" w:fill="auto"/>
            <w:noWrap/>
            <w:vAlign w:val="center"/>
            <w:hideMark/>
          </w:tcPr>
          <w:p w14:paraId="2CAB2D07"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r>
      <w:tr w:rsidR="009A09ED" w:rsidRPr="00E02C7F" w14:paraId="7A923351"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00E93272"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N_69</w:t>
            </w:r>
          </w:p>
        </w:tc>
        <w:tc>
          <w:tcPr>
            <w:tcW w:w="1200" w:type="dxa"/>
            <w:tcBorders>
              <w:top w:val="nil"/>
              <w:left w:val="nil"/>
              <w:bottom w:val="single" w:sz="4" w:space="0" w:color="auto"/>
              <w:right w:val="single" w:sz="4" w:space="0" w:color="auto"/>
            </w:tcBorders>
            <w:shd w:val="clear" w:color="auto" w:fill="auto"/>
            <w:noWrap/>
            <w:vAlign w:val="center"/>
            <w:hideMark/>
          </w:tcPr>
          <w:p w14:paraId="0D40FFDB"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109.148</w:t>
            </w:r>
          </w:p>
        </w:tc>
        <w:tc>
          <w:tcPr>
            <w:tcW w:w="1600" w:type="dxa"/>
            <w:tcBorders>
              <w:top w:val="nil"/>
              <w:left w:val="nil"/>
              <w:bottom w:val="single" w:sz="4" w:space="0" w:color="auto"/>
              <w:right w:val="single" w:sz="4" w:space="0" w:color="auto"/>
            </w:tcBorders>
            <w:shd w:val="clear" w:color="auto" w:fill="auto"/>
            <w:noWrap/>
            <w:vAlign w:val="center"/>
            <w:hideMark/>
          </w:tcPr>
          <w:p w14:paraId="11A43022"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40.844</w:t>
            </w:r>
          </w:p>
        </w:tc>
        <w:tc>
          <w:tcPr>
            <w:tcW w:w="1200" w:type="dxa"/>
            <w:tcBorders>
              <w:top w:val="nil"/>
              <w:left w:val="nil"/>
              <w:bottom w:val="single" w:sz="4" w:space="0" w:color="auto"/>
              <w:right w:val="single" w:sz="4" w:space="0" w:color="auto"/>
            </w:tcBorders>
            <w:shd w:val="clear" w:color="auto" w:fill="auto"/>
            <w:noWrap/>
            <w:vAlign w:val="center"/>
            <w:hideMark/>
          </w:tcPr>
          <w:p w14:paraId="62D73079"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25.675</w:t>
            </w:r>
          </w:p>
        </w:tc>
        <w:tc>
          <w:tcPr>
            <w:tcW w:w="1200" w:type="dxa"/>
            <w:tcBorders>
              <w:top w:val="nil"/>
              <w:left w:val="nil"/>
              <w:bottom w:val="single" w:sz="4" w:space="0" w:color="auto"/>
              <w:right w:val="single" w:sz="4" w:space="0" w:color="auto"/>
            </w:tcBorders>
            <w:shd w:val="clear" w:color="auto" w:fill="auto"/>
            <w:noWrap/>
            <w:vAlign w:val="center"/>
            <w:hideMark/>
          </w:tcPr>
          <w:p w14:paraId="746B8947"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804</w:t>
            </w:r>
          </w:p>
        </w:tc>
        <w:tc>
          <w:tcPr>
            <w:tcW w:w="1200" w:type="dxa"/>
            <w:tcBorders>
              <w:top w:val="nil"/>
              <w:left w:val="nil"/>
              <w:bottom w:val="single" w:sz="4" w:space="0" w:color="auto"/>
              <w:right w:val="single" w:sz="4" w:space="0" w:color="auto"/>
            </w:tcBorders>
            <w:shd w:val="clear" w:color="auto" w:fill="auto"/>
            <w:noWrap/>
            <w:vAlign w:val="center"/>
            <w:hideMark/>
          </w:tcPr>
          <w:p w14:paraId="5C7E5FED"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176.471</w:t>
            </w:r>
          </w:p>
        </w:tc>
        <w:tc>
          <w:tcPr>
            <w:tcW w:w="1520" w:type="dxa"/>
            <w:tcBorders>
              <w:top w:val="nil"/>
              <w:left w:val="nil"/>
              <w:bottom w:val="single" w:sz="4" w:space="0" w:color="auto"/>
              <w:right w:val="single" w:sz="4" w:space="0" w:color="auto"/>
            </w:tcBorders>
            <w:shd w:val="clear" w:color="auto" w:fill="auto"/>
            <w:noWrap/>
            <w:vAlign w:val="center"/>
            <w:hideMark/>
          </w:tcPr>
          <w:p w14:paraId="7732FFF4"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92.149</w:t>
            </w:r>
          </w:p>
        </w:tc>
      </w:tr>
      <w:tr w:rsidR="009A09ED" w:rsidRPr="00E02C7F" w14:paraId="5E5E16D6"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55C7980B"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N_70</w:t>
            </w:r>
          </w:p>
        </w:tc>
        <w:tc>
          <w:tcPr>
            <w:tcW w:w="1200" w:type="dxa"/>
            <w:tcBorders>
              <w:top w:val="nil"/>
              <w:left w:val="nil"/>
              <w:bottom w:val="single" w:sz="4" w:space="0" w:color="auto"/>
              <w:right w:val="single" w:sz="4" w:space="0" w:color="auto"/>
            </w:tcBorders>
            <w:shd w:val="clear" w:color="auto" w:fill="auto"/>
            <w:noWrap/>
            <w:vAlign w:val="center"/>
            <w:hideMark/>
          </w:tcPr>
          <w:p w14:paraId="6520D44E"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339.808</w:t>
            </w:r>
          </w:p>
        </w:tc>
        <w:tc>
          <w:tcPr>
            <w:tcW w:w="1600" w:type="dxa"/>
            <w:tcBorders>
              <w:top w:val="nil"/>
              <w:left w:val="nil"/>
              <w:bottom w:val="single" w:sz="4" w:space="0" w:color="auto"/>
              <w:right w:val="single" w:sz="4" w:space="0" w:color="auto"/>
            </w:tcBorders>
            <w:shd w:val="clear" w:color="auto" w:fill="auto"/>
            <w:noWrap/>
            <w:vAlign w:val="center"/>
            <w:hideMark/>
          </w:tcPr>
          <w:p w14:paraId="377DAD45"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127.159</w:t>
            </w:r>
          </w:p>
        </w:tc>
        <w:tc>
          <w:tcPr>
            <w:tcW w:w="1200" w:type="dxa"/>
            <w:tcBorders>
              <w:top w:val="nil"/>
              <w:left w:val="nil"/>
              <w:bottom w:val="single" w:sz="4" w:space="0" w:color="auto"/>
              <w:right w:val="single" w:sz="4" w:space="0" w:color="auto"/>
            </w:tcBorders>
            <w:shd w:val="clear" w:color="auto" w:fill="auto"/>
            <w:noWrap/>
            <w:vAlign w:val="center"/>
            <w:hideMark/>
          </w:tcPr>
          <w:p w14:paraId="6B6D1059"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79.933</w:t>
            </w:r>
          </w:p>
        </w:tc>
        <w:tc>
          <w:tcPr>
            <w:tcW w:w="1200" w:type="dxa"/>
            <w:tcBorders>
              <w:top w:val="nil"/>
              <w:left w:val="nil"/>
              <w:bottom w:val="single" w:sz="4" w:space="0" w:color="auto"/>
              <w:right w:val="single" w:sz="4" w:space="0" w:color="auto"/>
            </w:tcBorders>
            <w:shd w:val="clear" w:color="auto" w:fill="auto"/>
            <w:noWrap/>
            <w:vAlign w:val="center"/>
            <w:hideMark/>
          </w:tcPr>
          <w:p w14:paraId="52190FD5"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2.502</w:t>
            </w:r>
          </w:p>
        </w:tc>
        <w:tc>
          <w:tcPr>
            <w:tcW w:w="1200" w:type="dxa"/>
            <w:tcBorders>
              <w:top w:val="nil"/>
              <w:left w:val="nil"/>
              <w:bottom w:val="single" w:sz="4" w:space="0" w:color="auto"/>
              <w:right w:val="single" w:sz="4" w:space="0" w:color="auto"/>
            </w:tcBorders>
            <w:shd w:val="clear" w:color="auto" w:fill="auto"/>
            <w:noWrap/>
            <w:vAlign w:val="center"/>
            <w:hideMark/>
          </w:tcPr>
          <w:p w14:paraId="26812EA1"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549.402</w:t>
            </w:r>
          </w:p>
        </w:tc>
        <w:tc>
          <w:tcPr>
            <w:tcW w:w="1520" w:type="dxa"/>
            <w:tcBorders>
              <w:top w:val="nil"/>
              <w:left w:val="nil"/>
              <w:bottom w:val="single" w:sz="4" w:space="0" w:color="auto"/>
              <w:right w:val="single" w:sz="4" w:space="0" w:color="auto"/>
            </w:tcBorders>
            <w:shd w:val="clear" w:color="auto" w:fill="auto"/>
            <w:noWrap/>
            <w:vAlign w:val="center"/>
            <w:hideMark/>
          </w:tcPr>
          <w:p w14:paraId="44E69E92"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286.885</w:t>
            </w:r>
          </w:p>
        </w:tc>
      </w:tr>
      <w:tr w:rsidR="009A09ED" w:rsidRPr="00E02C7F" w14:paraId="1F96E0E4"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5A9EFABD"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N_71</w:t>
            </w:r>
          </w:p>
        </w:tc>
        <w:tc>
          <w:tcPr>
            <w:tcW w:w="1200" w:type="dxa"/>
            <w:tcBorders>
              <w:top w:val="nil"/>
              <w:left w:val="nil"/>
              <w:bottom w:val="single" w:sz="4" w:space="0" w:color="auto"/>
              <w:right w:val="single" w:sz="4" w:space="0" w:color="auto"/>
            </w:tcBorders>
            <w:shd w:val="clear" w:color="auto" w:fill="auto"/>
            <w:noWrap/>
            <w:vAlign w:val="center"/>
            <w:hideMark/>
          </w:tcPr>
          <w:p w14:paraId="20060D30"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600" w:type="dxa"/>
            <w:tcBorders>
              <w:top w:val="nil"/>
              <w:left w:val="nil"/>
              <w:bottom w:val="single" w:sz="4" w:space="0" w:color="auto"/>
              <w:right w:val="single" w:sz="4" w:space="0" w:color="auto"/>
            </w:tcBorders>
            <w:shd w:val="clear" w:color="auto" w:fill="auto"/>
            <w:noWrap/>
            <w:vAlign w:val="center"/>
            <w:hideMark/>
          </w:tcPr>
          <w:p w14:paraId="2334ACD3"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200" w:type="dxa"/>
            <w:tcBorders>
              <w:top w:val="nil"/>
              <w:left w:val="nil"/>
              <w:bottom w:val="single" w:sz="4" w:space="0" w:color="auto"/>
              <w:right w:val="single" w:sz="4" w:space="0" w:color="auto"/>
            </w:tcBorders>
            <w:shd w:val="clear" w:color="auto" w:fill="auto"/>
            <w:noWrap/>
            <w:vAlign w:val="center"/>
            <w:hideMark/>
          </w:tcPr>
          <w:p w14:paraId="36D6F1F2"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200" w:type="dxa"/>
            <w:tcBorders>
              <w:top w:val="nil"/>
              <w:left w:val="nil"/>
              <w:bottom w:val="single" w:sz="4" w:space="0" w:color="auto"/>
              <w:right w:val="single" w:sz="4" w:space="0" w:color="auto"/>
            </w:tcBorders>
            <w:shd w:val="clear" w:color="auto" w:fill="auto"/>
            <w:noWrap/>
            <w:vAlign w:val="center"/>
            <w:hideMark/>
          </w:tcPr>
          <w:p w14:paraId="6F0C9BD7"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200" w:type="dxa"/>
            <w:tcBorders>
              <w:top w:val="nil"/>
              <w:left w:val="nil"/>
              <w:bottom w:val="single" w:sz="4" w:space="0" w:color="auto"/>
              <w:right w:val="single" w:sz="4" w:space="0" w:color="auto"/>
            </w:tcBorders>
            <w:shd w:val="clear" w:color="auto" w:fill="auto"/>
            <w:noWrap/>
            <w:vAlign w:val="center"/>
            <w:hideMark/>
          </w:tcPr>
          <w:p w14:paraId="51C37985"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520" w:type="dxa"/>
            <w:tcBorders>
              <w:top w:val="nil"/>
              <w:left w:val="nil"/>
              <w:bottom w:val="single" w:sz="4" w:space="0" w:color="auto"/>
              <w:right w:val="single" w:sz="4" w:space="0" w:color="auto"/>
            </w:tcBorders>
            <w:shd w:val="clear" w:color="auto" w:fill="auto"/>
            <w:noWrap/>
            <w:vAlign w:val="center"/>
            <w:hideMark/>
          </w:tcPr>
          <w:p w14:paraId="5319CB3E"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r>
      <w:tr w:rsidR="009A09ED" w:rsidRPr="00E02C7F" w14:paraId="46219A96"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7A3E5CB9"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N_72</w:t>
            </w:r>
          </w:p>
        </w:tc>
        <w:tc>
          <w:tcPr>
            <w:tcW w:w="1200" w:type="dxa"/>
            <w:tcBorders>
              <w:top w:val="nil"/>
              <w:left w:val="nil"/>
              <w:bottom w:val="single" w:sz="4" w:space="0" w:color="auto"/>
              <w:right w:val="single" w:sz="4" w:space="0" w:color="auto"/>
            </w:tcBorders>
            <w:shd w:val="clear" w:color="auto" w:fill="auto"/>
            <w:noWrap/>
            <w:vAlign w:val="center"/>
            <w:hideMark/>
          </w:tcPr>
          <w:p w14:paraId="45781380"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2.811.800</w:t>
            </w:r>
          </w:p>
        </w:tc>
        <w:tc>
          <w:tcPr>
            <w:tcW w:w="1600" w:type="dxa"/>
            <w:tcBorders>
              <w:top w:val="nil"/>
              <w:left w:val="nil"/>
              <w:bottom w:val="single" w:sz="4" w:space="0" w:color="auto"/>
              <w:right w:val="single" w:sz="4" w:space="0" w:color="auto"/>
            </w:tcBorders>
            <w:shd w:val="clear" w:color="auto" w:fill="auto"/>
            <w:noWrap/>
            <w:vAlign w:val="center"/>
            <w:hideMark/>
          </w:tcPr>
          <w:p w14:paraId="2A90FDBA"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1.052.198</w:t>
            </w:r>
          </w:p>
        </w:tc>
        <w:tc>
          <w:tcPr>
            <w:tcW w:w="1200" w:type="dxa"/>
            <w:tcBorders>
              <w:top w:val="nil"/>
              <w:left w:val="nil"/>
              <w:bottom w:val="single" w:sz="4" w:space="0" w:color="auto"/>
              <w:right w:val="single" w:sz="4" w:space="0" w:color="auto"/>
            </w:tcBorders>
            <w:shd w:val="clear" w:color="auto" w:fill="auto"/>
            <w:noWrap/>
            <w:vAlign w:val="center"/>
            <w:hideMark/>
          </w:tcPr>
          <w:p w14:paraId="17629573"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661.424</w:t>
            </w:r>
          </w:p>
        </w:tc>
        <w:tc>
          <w:tcPr>
            <w:tcW w:w="1200" w:type="dxa"/>
            <w:tcBorders>
              <w:top w:val="nil"/>
              <w:left w:val="nil"/>
              <w:bottom w:val="single" w:sz="4" w:space="0" w:color="auto"/>
              <w:right w:val="single" w:sz="4" w:space="0" w:color="auto"/>
            </w:tcBorders>
            <w:shd w:val="clear" w:color="auto" w:fill="auto"/>
            <w:noWrap/>
            <w:vAlign w:val="center"/>
            <w:hideMark/>
          </w:tcPr>
          <w:p w14:paraId="3C0C1E31"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200" w:type="dxa"/>
            <w:tcBorders>
              <w:top w:val="nil"/>
              <w:left w:val="nil"/>
              <w:bottom w:val="single" w:sz="4" w:space="0" w:color="auto"/>
              <w:right w:val="single" w:sz="4" w:space="0" w:color="auto"/>
            </w:tcBorders>
            <w:shd w:val="clear" w:color="auto" w:fill="auto"/>
            <w:noWrap/>
            <w:vAlign w:val="center"/>
            <w:hideMark/>
          </w:tcPr>
          <w:p w14:paraId="37EF073B"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4.525.421</w:t>
            </w:r>
          </w:p>
        </w:tc>
        <w:tc>
          <w:tcPr>
            <w:tcW w:w="1520" w:type="dxa"/>
            <w:tcBorders>
              <w:top w:val="nil"/>
              <w:left w:val="nil"/>
              <w:bottom w:val="single" w:sz="4" w:space="0" w:color="auto"/>
              <w:right w:val="single" w:sz="4" w:space="0" w:color="auto"/>
            </w:tcBorders>
            <w:shd w:val="clear" w:color="auto" w:fill="auto"/>
            <w:noWrap/>
            <w:vAlign w:val="center"/>
            <w:hideMark/>
          </w:tcPr>
          <w:p w14:paraId="67F53C92"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2.373.884</w:t>
            </w:r>
          </w:p>
        </w:tc>
      </w:tr>
      <w:tr w:rsidR="009A09ED" w:rsidRPr="00E02C7F" w14:paraId="2370DA59"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12343567"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N_73</w:t>
            </w:r>
          </w:p>
        </w:tc>
        <w:tc>
          <w:tcPr>
            <w:tcW w:w="1200" w:type="dxa"/>
            <w:tcBorders>
              <w:top w:val="nil"/>
              <w:left w:val="nil"/>
              <w:bottom w:val="single" w:sz="4" w:space="0" w:color="auto"/>
              <w:right w:val="single" w:sz="4" w:space="0" w:color="auto"/>
            </w:tcBorders>
            <w:shd w:val="clear" w:color="auto" w:fill="auto"/>
            <w:noWrap/>
            <w:vAlign w:val="center"/>
            <w:hideMark/>
          </w:tcPr>
          <w:p w14:paraId="77F159C6"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155.607</w:t>
            </w:r>
          </w:p>
        </w:tc>
        <w:tc>
          <w:tcPr>
            <w:tcW w:w="1600" w:type="dxa"/>
            <w:tcBorders>
              <w:top w:val="nil"/>
              <w:left w:val="nil"/>
              <w:bottom w:val="single" w:sz="4" w:space="0" w:color="auto"/>
              <w:right w:val="single" w:sz="4" w:space="0" w:color="auto"/>
            </w:tcBorders>
            <w:shd w:val="clear" w:color="auto" w:fill="auto"/>
            <w:noWrap/>
            <w:vAlign w:val="center"/>
            <w:hideMark/>
          </w:tcPr>
          <w:p w14:paraId="010E0B54"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58.229</w:t>
            </w:r>
          </w:p>
        </w:tc>
        <w:tc>
          <w:tcPr>
            <w:tcW w:w="1200" w:type="dxa"/>
            <w:tcBorders>
              <w:top w:val="nil"/>
              <w:left w:val="nil"/>
              <w:bottom w:val="single" w:sz="4" w:space="0" w:color="auto"/>
              <w:right w:val="single" w:sz="4" w:space="0" w:color="auto"/>
            </w:tcBorders>
            <w:shd w:val="clear" w:color="auto" w:fill="auto"/>
            <w:noWrap/>
            <w:vAlign w:val="center"/>
            <w:hideMark/>
          </w:tcPr>
          <w:p w14:paraId="12D53583"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36.604</w:t>
            </w:r>
          </w:p>
        </w:tc>
        <w:tc>
          <w:tcPr>
            <w:tcW w:w="1200" w:type="dxa"/>
            <w:tcBorders>
              <w:top w:val="nil"/>
              <w:left w:val="nil"/>
              <w:bottom w:val="single" w:sz="4" w:space="0" w:color="auto"/>
              <w:right w:val="single" w:sz="4" w:space="0" w:color="auto"/>
            </w:tcBorders>
            <w:shd w:val="clear" w:color="auto" w:fill="auto"/>
            <w:noWrap/>
            <w:vAlign w:val="center"/>
            <w:hideMark/>
          </w:tcPr>
          <w:p w14:paraId="1872AB93"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200" w:type="dxa"/>
            <w:tcBorders>
              <w:top w:val="nil"/>
              <w:left w:val="nil"/>
              <w:bottom w:val="single" w:sz="4" w:space="0" w:color="auto"/>
              <w:right w:val="single" w:sz="4" w:space="0" w:color="auto"/>
            </w:tcBorders>
            <w:shd w:val="clear" w:color="auto" w:fill="auto"/>
            <w:noWrap/>
            <w:vAlign w:val="center"/>
            <w:hideMark/>
          </w:tcPr>
          <w:p w14:paraId="022CE23D"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250.440</w:t>
            </w:r>
          </w:p>
        </w:tc>
        <w:tc>
          <w:tcPr>
            <w:tcW w:w="1520" w:type="dxa"/>
            <w:tcBorders>
              <w:top w:val="nil"/>
              <w:left w:val="nil"/>
              <w:bottom w:val="single" w:sz="4" w:space="0" w:color="auto"/>
              <w:right w:val="single" w:sz="4" w:space="0" w:color="auto"/>
            </w:tcBorders>
            <w:shd w:val="clear" w:color="auto" w:fill="auto"/>
            <w:noWrap/>
            <w:vAlign w:val="center"/>
            <w:hideMark/>
          </w:tcPr>
          <w:p w14:paraId="0EEFDFFE"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131.372</w:t>
            </w:r>
          </w:p>
        </w:tc>
      </w:tr>
      <w:tr w:rsidR="009A09ED" w:rsidRPr="00E02C7F" w14:paraId="434E0027"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3B754A9B"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N_74</w:t>
            </w:r>
          </w:p>
        </w:tc>
        <w:tc>
          <w:tcPr>
            <w:tcW w:w="1200" w:type="dxa"/>
            <w:tcBorders>
              <w:top w:val="nil"/>
              <w:left w:val="nil"/>
              <w:bottom w:val="single" w:sz="4" w:space="0" w:color="auto"/>
              <w:right w:val="single" w:sz="4" w:space="0" w:color="auto"/>
            </w:tcBorders>
            <w:shd w:val="clear" w:color="auto" w:fill="auto"/>
            <w:noWrap/>
            <w:vAlign w:val="center"/>
            <w:hideMark/>
          </w:tcPr>
          <w:p w14:paraId="1DBBFC55"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150.552</w:t>
            </w:r>
          </w:p>
        </w:tc>
        <w:tc>
          <w:tcPr>
            <w:tcW w:w="1600" w:type="dxa"/>
            <w:tcBorders>
              <w:top w:val="nil"/>
              <w:left w:val="nil"/>
              <w:bottom w:val="single" w:sz="4" w:space="0" w:color="auto"/>
              <w:right w:val="single" w:sz="4" w:space="0" w:color="auto"/>
            </w:tcBorders>
            <w:shd w:val="clear" w:color="auto" w:fill="auto"/>
            <w:noWrap/>
            <w:vAlign w:val="center"/>
            <w:hideMark/>
          </w:tcPr>
          <w:p w14:paraId="4FCC06D8"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56.338</w:t>
            </w:r>
          </w:p>
        </w:tc>
        <w:tc>
          <w:tcPr>
            <w:tcW w:w="1200" w:type="dxa"/>
            <w:tcBorders>
              <w:top w:val="nil"/>
              <w:left w:val="nil"/>
              <w:bottom w:val="single" w:sz="4" w:space="0" w:color="auto"/>
              <w:right w:val="single" w:sz="4" w:space="0" w:color="auto"/>
            </w:tcBorders>
            <w:shd w:val="clear" w:color="auto" w:fill="auto"/>
            <w:noWrap/>
            <w:vAlign w:val="center"/>
            <w:hideMark/>
          </w:tcPr>
          <w:p w14:paraId="612F6EA0"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35.415</w:t>
            </w:r>
          </w:p>
        </w:tc>
        <w:tc>
          <w:tcPr>
            <w:tcW w:w="1200" w:type="dxa"/>
            <w:tcBorders>
              <w:top w:val="nil"/>
              <w:left w:val="nil"/>
              <w:bottom w:val="single" w:sz="4" w:space="0" w:color="auto"/>
              <w:right w:val="single" w:sz="4" w:space="0" w:color="auto"/>
            </w:tcBorders>
            <w:shd w:val="clear" w:color="auto" w:fill="auto"/>
            <w:noWrap/>
            <w:vAlign w:val="center"/>
            <w:hideMark/>
          </w:tcPr>
          <w:p w14:paraId="73B3C803"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971</w:t>
            </w:r>
          </w:p>
        </w:tc>
        <w:tc>
          <w:tcPr>
            <w:tcW w:w="1200" w:type="dxa"/>
            <w:tcBorders>
              <w:top w:val="nil"/>
              <w:left w:val="nil"/>
              <w:bottom w:val="single" w:sz="4" w:space="0" w:color="auto"/>
              <w:right w:val="single" w:sz="4" w:space="0" w:color="auto"/>
            </w:tcBorders>
            <w:shd w:val="clear" w:color="auto" w:fill="auto"/>
            <w:noWrap/>
            <w:vAlign w:val="center"/>
            <w:hideMark/>
          </w:tcPr>
          <w:p w14:paraId="530D1DC4"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243.276</w:t>
            </w:r>
          </w:p>
        </w:tc>
        <w:tc>
          <w:tcPr>
            <w:tcW w:w="1520" w:type="dxa"/>
            <w:tcBorders>
              <w:top w:val="nil"/>
              <w:left w:val="nil"/>
              <w:bottom w:val="single" w:sz="4" w:space="0" w:color="auto"/>
              <w:right w:val="single" w:sz="4" w:space="0" w:color="auto"/>
            </w:tcBorders>
            <w:shd w:val="clear" w:color="auto" w:fill="auto"/>
            <w:noWrap/>
            <w:vAlign w:val="center"/>
            <w:hideMark/>
          </w:tcPr>
          <w:p w14:paraId="393BB9A7"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127.105</w:t>
            </w:r>
          </w:p>
        </w:tc>
      </w:tr>
      <w:tr w:rsidR="009A09ED" w:rsidRPr="00E02C7F" w14:paraId="3D1226E0"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2268B2C2"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N_75</w:t>
            </w:r>
          </w:p>
        </w:tc>
        <w:tc>
          <w:tcPr>
            <w:tcW w:w="1200" w:type="dxa"/>
            <w:tcBorders>
              <w:top w:val="nil"/>
              <w:left w:val="nil"/>
              <w:bottom w:val="single" w:sz="4" w:space="0" w:color="auto"/>
              <w:right w:val="single" w:sz="4" w:space="0" w:color="auto"/>
            </w:tcBorders>
            <w:shd w:val="clear" w:color="auto" w:fill="auto"/>
            <w:noWrap/>
            <w:vAlign w:val="center"/>
            <w:hideMark/>
          </w:tcPr>
          <w:p w14:paraId="259E871B"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165.849</w:t>
            </w:r>
          </w:p>
        </w:tc>
        <w:tc>
          <w:tcPr>
            <w:tcW w:w="1600" w:type="dxa"/>
            <w:tcBorders>
              <w:top w:val="nil"/>
              <w:left w:val="nil"/>
              <w:bottom w:val="single" w:sz="4" w:space="0" w:color="auto"/>
              <w:right w:val="single" w:sz="4" w:space="0" w:color="auto"/>
            </w:tcBorders>
            <w:shd w:val="clear" w:color="auto" w:fill="auto"/>
            <w:noWrap/>
            <w:vAlign w:val="center"/>
            <w:hideMark/>
          </w:tcPr>
          <w:p w14:paraId="4DB1ED5A"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62.062</w:t>
            </w:r>
          </w:p>
        </w:tc>
        <w:tc>
          <w:tcPr>
            <w:tcW w:w="1200" w:type="dxa"/>
            <w:tcBorders>
              <w:top w:val="nil"/>
              <w:left w:val="nil"/>
              <w:bottom w:val="single" w:sz="4" w:space="0" w:color="auto"/>
              <w:right w:val="single" w:sz="4" w:space="0" w:color="auto"/>
            </w:tcBorders>
            <w:shd w:val="clear" w:color="auto" w:fill="auto"/>
            <w:noWrap/>
            <w:vAlign w:val="center"/>
            <w:hideMark/>
          </w:tcPr>
          <w:p w14:paraId="3DEB67AB"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39.013</w:t>
            </w:r>
          </w:p>
        </w:tc>
        <w:tc>
          <w:tcPr>
            <w:tcW w:w="1200" w:type="dxa"/>
            <w:tcBorders>
              <w:top w:val="nil"/>
              <w:left w:val="nil"/>
              <w:bottom w:val="single" w:sz="4" w:space="0" w:color="auto"/>
              <w:right w:val="single" w:sz="4" w:space="0" w:color="auto"/>
            </w:tcBorders>
            <w:shd w:val="clear" w:color="auto" w:fill="auto"/>
            <w:noWrap/>
            <w:vAlign w:val="center"/>
            <w:hideMark/>
          </w:tcPr>
          <w:p w14:paraId="0AF4DA06"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1.221</w:t>
            </w:r>
          </w:p>
        </w:tc>
        <w:tc>
          <w:tcPr>
            <w:tcW w:w="1200" w:type="dxa"/>
            <w:tcBorders>
              <w:top w:val="nil"/>
              <w:left w:val="nil"/>
              <w:bottom w:val="single" w:sz="4" w:space="0" w:color="auto"/>
              <w:right w:val="single" w:sz="4" w:space="0" w:color="auto"/>
            </w:tcBorders>
            <w:shd w:val="clear" w:color="auto" w:fill="auto"/>
            <w:noWrap/>
            <w:vAlign w:val="center"/>
            <w:hideMark/>
          </w:tcPr>
          <w:p w14:paraId="6E5CD5EB"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268.145</w:t>
            </w:r>
          </w:p>
        </w:tc>
        <w:tc>
          <w:tcPr>
            <w:tcW w:w="1520" w:type="dxa"/>
            <w:tcBorders>
              <w:top w:val="nil"/>
              <w:left w:val="nil"/>
              <w:bottom w:val="single" w:sz="4" w:space="0" w:color="auto"/>
              <w:right w:val="single" w:sz="4" w:space="0" w:color="auto"/>
            </w:tcBorders>
            <w:shd w:val="clear" w:color="auto" w:fill="auto"/>
            <w:noWrap/>
            <w:vAlign w:val="center"/>
            <w:hideMark/>
          </w:tcPr>
          <w:p w14:paraId="7A878BFB"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140.019</w:t>
            </w:r>
          </w:p>
        </w:tc>
      </w:tr>
      <w:tr w:rsidR="009A09ED" w:rsidRPr="00E02C7F" w14:paraId="05F0E933"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7C6A419A"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N_76</w:t>
            </w:r>
          </w:p>
        </w:tc>
        <w:tc>
          <w:tcPr>
            <w:tcW w:w="1200" w:type="dxa"/>
            <w:tcBorders>
              <w:top w:val="nil"/>
              <w:left w:val="nil"/>
              <w:bottom w:val="single" w:sz="4" w:space="0" w:color="auto"/>
              <w:right w:val="single" w:sz="4" w:space="0" w:color="auto"/>
            </w:tcBorders>
            <w:shd w:val="clear" w:color="auto" w:fill="auto"/>
            <w:noWrap/>
            <w:vAlign w:val="center"/>
            <w:hideMark/>
          </w:tcPr>
          <w:p w14:paraId="1363B62C"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115.880</w:t>
            </w:r>
          </w:p>
        </w:tc>
        <w:tc>
          <w:tcPr>
            <w:tcW w:w="1600" w:type="dxa"/>
            <w:tcBorders>
              <w:top w:val="nil"/>
              <w:left w:val="nil"/>
              <w:bottom w:val="single" w:sz="4" w:space="0" w:color="auto"/>
              <w:right w:val="single" w:sz="4" w:space="0" w:color="auto"/>
            </w:tcBorders>
            <w:shd w:val="clear" w:color="auto" w:fill="auto"/>
            <w:noWrap/>
            <w:vAlign w:val="center"/>
            <w:hideMark/>
          </w:tcPr>
          <w:p w14:paraId="735067CF"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43.363</w:t>
            </w:r>
          </w:p>
        </w:tc>
        <w:tc>
          <w:tcPr>
            <w:tcW w:w="1200" w:type="dxa"/>
            <w:tcBorders>
              <w:top w:val="nil"/>
              <w:left w:val="nil"/>
              <w:bottom w:val="single" w:sz="4" w:space="0" w:color="auto"/>
              <w:right w:val="single" w:sz="4" w:space="0" w:color="auto"/>
            </w:tcBorders>
            <w:shd w:val="clear" w:color="auto" w:fill="auto"/>
            <w:noWrap/>
            <w:vAlign w:val="center"/>
            <w:hideMark/>
          </w:tcPr>
          <w:p w14:paraId="6EAB6862"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27.259</w:t>
            </w:r>
          </w:p>
        </w:tc>
        <w:tc>
          <w:tcPr>
            <w:tcW w:w="1200" w:type="dxa"/>
            <w:tcBorders>
              <w:top w:val="nil"/>
              <w:left w:val="nil"/>
              <w:bottom w:val="single" w:sz="4" w:space="0" w:color="auto"/>
              <w:right w:val="single" w:sz="4" w:space="0" w:color="auto"/>
            </w:tcBorders>
            <w:shd w:val="clear" w:color="auto" w:fill="auto"/>
            <w:noWrap/>
            <w:vAlign w:val="center"/>
            <w:hideMark/>
          </w:tcPr>
          <w:p w14:paraId="40D05EEE"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853</w:t>
            </w:r>
          </w:p>
        </w:tc>
        <w:tc>
          <w:tcPr>
            <w:tcW w:w="1200" w:type="dxa"/>
            <w:tcBorders>
              <w:top w:val="nil"/>
              <w:left w:val="nil"/>
              <w:bottom w:val="single" w:sz="4" w:space="0" w:color="auto"/>
              <w:right w:val="single" w:sz="4" w:space="0" w:color="auto"/>
            </w:tcBorders>
            <w:shd w:val="clear" w:color="auto" w:fill="auto"/>
            <w:noWrap/>
            <w:vAlign w:val="center"/>
            <w:hideMark/>
          </w:tcPr>
          <w:p w14:paraId="14D69686"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187.356</w:t>
            </w:r>
          </w:p>
        </w:tc>
        <w:tc>
          <w:tcPr>
            <w:tcW w:w="1520" w:type="dxa"/>
            <w:tcBorders>
              <w:top w:val="nil"/>
              <w:left w:val="nil"/>
              <w:bottom w:val="single" w:sz="4" w:space="0" w:color="auto"/>
              <w:right w:val="single" w:sz="4" w:space="0" w:color="auto"/>
            </w:tcBorders>
            <w:shd w:val="clear" w:color="auto" w:fill="auto"/>
            <w:noWrap/>
            <w:vAlign w:val="center"/>
            <w:hideMark/>
          </w:tcPr>
          <w:p w14:paraId="07593FCA"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97.833</w:t>
            </w:r>
          </w:p>
        </w:tc>
      </w:tr>
      <w:tr w:rsidR="009A09ED" w:rsidRPr="00E02C7F" w14:paraId="6B66C1FF"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062F0194"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N_77</w:t>
            </w:r>
          </w:p>
        </w:tc>
        <w:tc>
          <w:tcPr>
            <w:tcW w:w="1200" w:type="dxa"/>
            <w:tcBorders>
              <w:top w:val="nil"/>
              <w:left w:val="nil"/>
              <w:bottom w:val="single" w:sz="4" w:space="0" w:color="auto"/>
              <w:right w:val="single" w:sz="4" w:space="0" w:color="auto"/>
            </w:tcBorders>
            <w:shd w:val="clear" w:color="auto" w:fill="auto"/>
            <w:noWrap/>
            <w:vAlign w:val="center"/>
            <w:hideMark/>
          </w:tcPr>
          <w:p w14:paraId="545C3925"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76.642</w:t>
            </w:r>
          </w:p>
        </w:tc>
        <w:tc>
          <w:tcPr>
            <w:tcW w:w="1600" w:type="dxa"/>
            <w:tcBorders>
              <w:top w:val="nil"/>
              <w:left w:val="nil"/>
              <w:bottom w:val="single" w:sz="4" w:space="0" w:color="auto"/>
              <w:right w:val="single" w:sz="4" w:space="0" w:color="auto"/>
            </w:tcBorders>
            <w:shd w:val="clear" w:color="auto" w:fill="auto"/>
            <w:noWrap/>
            <w:vAlign w:val="center"/>
            <w:hideMark/>
          </w:tcPr>
          <w:p w14:paraId="71092AFD"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28.680</w:t>
            </w:r>
          </w:p>
        </w:tc>
        <w:tc>
          <w:tcPr>
            <w:tcW w:w="1200" w:type="dxa"/>
            <w:tcBorders>
              <w:top w:val="nil"/>
              <w:left w:val="nil"/>
              <w:bottom w:val="single" w:sz="4" w:space="0" w:color="auto"/>
              <w:right w:val="single" w:sz="4" w:space="0" w:color="auto"/>
            </w:tcBorders>
            <w:shd w:val="clear" w:color="auto" w:fill="auto"/>
            <w:noWrap/>
            <w:vAlign w:val="center"/>
            <w:hideMark/>
          </w:tcPr>
          <w:p w14:paraId="07C310FE"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18.029</w:t>
            </w:r>
          </w:p>
        </w:tc>
        <w:tc>
          <w:tcPr>
            <w:tcW w:w="1200" w:type="dxa"/>
            <w:tcBorders>
              <w:top w:val="nil"/>
              <w:left w:val="nil"/>
              <w:bottom w:val="single" w:sz="4" w:space="0" w:color="auto"/>
              <w:right w:val="single" w:sz="4" w:space="0" w:color="auto"/>
            </w:tcBorders>
            <w:shd w:val="clear" w:color="auto" w:fill="auto"/>
            <w:noWrap/>
            <w:vAlign w:val="center"/>
            <w:hideMark/>
          </w:tcPr>
          <w:p w14:paraId="616F9519"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564</w:t>
            </w:r>
          </w:p>
        </w:tc>
        <w:tc>
          <w:tcPr>
            <w:tcW w:w="1200" w:type="dxa"/>
            <w:tcBorders>
              <w:top w:val="nil"/>
              <w:left w:val="nil"/>
              <w:bottom w:val="single" w:sz="4" w:space="0" w:color="auto"/>
              <w:right w:val="single" w:sz="4" w:space="0" w:color="auto"/>
            </w:tcBorders>
            <w:shd w:val="clear" w:color="auto" w:fill="auto"/>
            <w:noWrap/>
            <w:vAlign w:val="center"/>
            <w:hideMark/>
          </w:tcPr>
          <w:p w14:paraId="10B7BC19"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123.915</w:t>
            </w:r>
          </w:p>
        </w:tc>
        <w:tc>
          <w:tcPr>
            <w:tcW w:w="1520" w:type="dxa"/>
            <w:tcBorders>
              <w:top w:val="nil"/>
              <w:left w:val="nil"/>
              <w:bottom w:val="single" w:sz="4" w:space="0" w:color="auto"/>
              <w:right w:val="single" w:sz="4" w:space="0" w:color="auto"/>
            </w:tcBorders>
            <w:shd w:val="clear" w:color="auto" w:fill="auto"/>
            <w:noWrap/>
            <w:vAlign w:val="center"/>
            <w:hideMark/>
          </w:tcPr>
          <w:p w14:paraId="73B7C0A7"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64.706</w:t>
            </w:r>
          </w:p>
        </w:tc>
      </w:tr>
      <w:tr w:rsidR="009A09ED" w:rsidRPr="00E02C7F" w14:paraId="217F65F8"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602D5317"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N_78</w:t>
            </w:r>
          </w:p>
        </w:tc>
        <w:tc>
          <w:tcPr>
            <w:tcW w:w="1200" w:type="dxa"/>
            <w:tcBorders>
              <w:top w:val="nil"/>
              <w:left w:val="nil"/>
              <w:bottom w:val="single" w:sz="4" w:space="0" w:color="auto"/>
              <w:right w:val="single" w:sz="4" w:space="0" w:color="auto"/>
            </w:tcBorders>
            <w:shd w:val="clear" w:color="auto" w:fill="auto"/>
            <w:noWrap/>
            <w:vAlign w:val="center"/>
            <w:hideMark/>
          </w:tcPr>
          <w:p w14:paraId="45D97225"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217.184</w:t>
            </w:r>
          </w:p>
        </w:tc>
        <w:tc>
          <w:tcPr>
            <w:tcW w:w="1600" w:type="dxa"/>
            <w:tcBorders>
              <w:top w:val="nil"/>
              <w:left w:val="nil"/>
              <w:bottom w:val="single" w:sz="4" w:space="0" w:color="auto"/>
              <w:right w:val="single" w:sz="4" w:space="0" w:color="auto"/>
            </w:tcBorders>
            <w:shd w:val="clear" w:color="auto" w:fill="auto"/>
            <w:noWrap/>
            <w:vAlign w:val="center"/>
            <w:hideMark/>
          </w:tcPr>
          <w:p w14:paraId="41FCD8A6"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81.272</w:t>
            </w:r>
          </w:p>
        </w:tc>
        <w:tc>
          <w:tcPr>
            <w:tcW w:w="1200" w:type="dxa"/>
            <w:tcBorders>
              <w:top w:val="nil"/>
              <w:left w:val="nil"/>
              <w:bottom w:val="single" w:sz="4" w:space="0" w:color="auto"/>
              <w:right w:val="single" w:sz="4" w:space="0" w:color="auto"/>
            </w:tcBorders>
            <w:shd w:val="clear" w:color="auto" w:fill="auto"/>
            <w:noWrap/>
            <w:vAlign w:val="center"/>
            <w:hideMark/>
          </w:tcPr>
          <w:p w14:paraId="1C101EAA"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51.088</w:t>
            </w:r>
          </w:p>
        </w:tc>
        <w:tc>
          <w:tcPr>
            <w:tcW w:w="1200" w:type="dxa"/>
            <w:tcBorders>
              <w:top w:val="nil"/>
              <w:left w:val="nil"/>
              <w:bottom w:val="single" w:sz="4" w:space="0" w:color="auto"/>
              <w:right w:val="single" w:sz="4" w:space="0" w:color="auto"/>
            </w:tcBorders>
            <w:shd w:val="clear" w:color="auto" w:fill="auto"/>
            <w:noWrap/>
            <w:vAlign w:val="center"/>
            <w:hideMark/>
          </w:tcPr>
          <w:p w14:paraId="317528BD"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1.599</w:t>
            </w:r>
          </w:p>
        </w:tc>
        <w:tc>
          <w:tcPr>
            <w:tcW w:w="1200" w:type="dxa"/>
            <w:tcBorders>
              <w:top w:val="nil"/>
              <w:left w:val="nil"/>
              <w:bottom w:val="single" w:sz="4" w:space="0" w:color="auto"/>
              <w:right w:val="single" w:sz="4" w:space="0" w:color="auto"/>
            </w:tcBorders>
            <w:shd w:val="clear" w:color="auto" w:fill="auto"/>
            <w:noWrap/>
            <w:vAlign w:val="center"/>
            <w:hideMark/>
          </w:tcPr>
          <w:p w14:paraId="76A8B159"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351.143</w:t>
            </w:r>
          </w:p>
        </w:tc>
        <w:tc>
          <w:tcPr>
            <w:tcW w:w="1520" w:type="dxa"/>
            <w:tcBorders>
              <w:top w:val="nil"/>
              <w:left w:val="nil"/>
              <w:bottom w:val="single" w:sz="4" w:space="0" w:color="auto"/>
              <w:right w:val="single" w:sz="4" w:space="0" w:color="auto"/>
            </w:tcBorders>
            <w:shd w:val="clear" w:color="auto" w:fill="auto"/>
            <w:noWrap/>
            <w:vAlign w:val="center"/>
            <w:hideMark/>
          </w:tcPr>
          <w:p w14:paraId="40A8A99B"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183.359</w:t>
            </w:r>
          </w:p>
        </w:tc>
      </w:tr>
      <w:tr w:rsidR="009A09ED" w:rsidRPr="00E02C7F" w14:paraId="68BE3914"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2F779996"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N_79</w:t>
            </w:r>
          </w:p>
        </w:tc>
        <w:tc>
          <w:tcPr>
            <w:tcW w:w="1200" w:type="dxa"/>
            <w:tcBorders>
              <w:top w:val="nil"/>
              <w:left w:val="nil"/>
              <w:bottom w:val="single" w:sz="4" w:space="0" w:color="auto"/>
              <w:right w:val="single" w:sz="4" w:space="0" w:color="auto"/>
            </w:tcBorders>
            <w:shd w:val="clear" w:color="auto" w:fill="auto"/>
            <w:noWrap/>
            <w:vAlign w:val="center"/>
            <w:hideMark/>
          </w:tcPr>
          <w:p w14:paraId="1A4BD5B4"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75.407</w:t>
            </w:r>
          </w:p>
        </w:tc>
        <w:tc>
          <w:tcPr>
            <w:tcW w:w="1600" w:type="dxa"/>
            <w:tcBorders>
              <w:top w:val="nil"/>
              <w:left w:val="nil"/>
              <w:bottom w:val="single" w:sz="4" w:space="0" w:color="auto"/>
              <w:right w:val="single" w:sz="4" w:space="0" w:color="auto"/>
            </w:tcBorders>
            <w:shd w:val="clear" w:color="auto" w:fill="auto"/>
            <w:noWrap/>
            <w:vAlign w:val="center"/>
            <w:hideMark/>
          </w:tcPr>
          <w:p w14:paraId="6A52156F"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28.218</w:t>
            </w:r>
          </w:p>
        </w:tc>
        <w:tc>
          <w:tcPr>
            <w:tcW w:w="1200" w:type="dxa"/>
            <w:tcBorders>
              <w:top w:val="nil"/>
              <w:left w:val="nil"/>
              <w:bottom w:val="single" w:sz="4" w:space="0" w:color="auto"/>
              <w:right w:val="single" w:sz="4" w:space="0" w:color="auto"/>
            </w:tcBorders>
            <w:shd w:val="clear" w:color="auto" w:fill="auto"/>
            <w:noWrap/>
            <w:vAlign w:val="center"/>
            <w:hideMark/>
          </w:tcPr>
          <w:p w14:paraId="6A0D2242"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17.738</w:t>
            </w:r>
          </w:p>
        </w:tc>
        <w:tc>
          <w:tcPr>
            <w:tcW w:w="1200" w:type="dxa"/>
            <w:tcBorders>
              <w:top w:val="nil"/>
              <w:left w:val="nil"/>
              <w:bottom w:val="single" w:sz="4" w:space="0" w:color="auto"/>
              <w:right w:val="single" w:sz="4" w:space="0" w:color="auto"/>
            </w:tcBorders>
            <w:shd w:val="clear" w:color="auto" w:fill="auto"/>
            <w:noWrap/>
            <w:vAlign w:val="center"/>
            <w:hideMark/>
          </w:tcPr>
          <w:p w14:paraId="14E81D23"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555</w:t>
            </w:r>
          </w:p>
        </w:tc>
        <w:tc>
          <w:tcPr>
            <w:tcW w:w="1200" w:type="dxa"/>
            <w:tcBorders>
              <w:top w:val="nil"/>
              <w:left w:val="nil"/>
              <w:bottom w:val="single" w:sz="4" w:space="0" w:color="auto"/>
              <w:right w:val="single" w:sz="4" w:space="0" w:color="auto"/>
            </w:tcBorders>
            <w:shd w:val="clear" w:color="auto" w:fill="auto"/>
            <w:noWrap/>
            <w:vAlign w:val="center"/>
            <w:hideMark/>
          </w:tcPr>
          <w:p w14:paraId="27B2956B"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121.918</w:t>
            </w:r>
          </w:p>
        </w:tc>
        <w:tc>
          <w:tcPr>
            <w:tcW w:w="1520" w:type="dxa"/>
            <w:tcBorders>
              <w:top w:val="nil"/>
              <w:left w:val="nil"/>
              <w:bottom w:val="single" w:sz="4" w:space="0" w:color="auto"/>
              <w:right w:val="single" w:sz="4" w:space="0" w:color="auto"/>
            </w:tcBorders>
            <w:shd w:val="clear" w:color="auto" w:fill="auto"/>
            <w:noWrap/>
            <w:vAlign w:val="center"/>
            <w:hideMark/>
          </w:tcPr>
          <w:p w14:paraId="091AEB36"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63.663</w:t>
            </w:r>
          </w:p>
        </w:tc>
      </w:tr>
      <w:tr w:rsidR="009A09ED" w:rsidRPr="00E02C7F" w14:paraId="54130515"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64A09286"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N_80</w:t>
            </w:r>
          </w:p>
        </w:tc>
        <w:tc>
          <w:tcPr>
            <w:tcW w:w="1200" w:type="dxa"/>
            <w:tcBorders>
              <w:top w:val="nil"/>
              <w:left w:val="nil"/>
              <w:bottom w:val="single" w:sz="4" w:space="0" w:color="auto"/>
              <w:right w:val="single" w:sz="4" w:space="0" w:color="auto"/>
            </w:tcBorders>
            <w:shd w:val="clear" w:color="auto" w:fill="auto"/>
            <w:noWrap/>
            <w:vAlign w:val="center"/>
            <w:hideMark/>
          </w:tcPr>
          <w:p w14:paraId="7F220BD9"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66.639</w:t>
            </w:r>
          </w:p>
        </w:tc>
        <w:tc>
          <w:tcPr>
            <w:tcW w:w="1600" w:type="dxa"/>
            <w:tcBorders>
              <w:top w:val="nil"/>
              <w:left w:val="nil"/>
              <w:bottom w:val="single" w:sz="4" w:space="0" w:color="auto"/>
              <w:right w:val="single" w:sz="4" w:space="0" w:color="auto"/>
            </w:tcBorders>
            <w:shd w:val="clear" w:color="auto" w:fill="auto"/>
            <w:noWrap/>
            <w:vAlign w:val="center"/>
            <w:hideMark/>
          </w:tcPr>
          <w:p w14:paraId="582D769F"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24.937</w:t>
            </w:r>
          </w:p>
        </w:tc>
        <w:tc>
          <w:tcPr>
            <w:tcW w:w="1200" w:type="dxa"/>
            <w:tcBorders>
              <w:top w:val="nil"/>
              <w:left w:val="nil"/>
              <w:bottom w:val="single" w:sz="4" w:space="0" w:color="auto"/>
              <w:right w:val="single" w:sz="4" w:space="0" w:color="auto"/>
            </w:tcBorders>
            <w:shd w:val="clear" w:color="auto" w:fill="auto"/>
            <w:noWrap/>
            <w:vAlign w:val="center"/>
            <w:hideMark/>
          </w:tcPr>
          <w:p w14:paraId="632C9617"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15.676</w:t>
            </w:r>
          </w:p>
        </w:tc>
        <w:tc>
          <w:tcPr>
            <w:tcW w:w="1200" w:type="dxa"/>
            <w:tcBorders>
              <w:top w:val="nil"/>
              <w:left w:val="nil"/>
              <w:bottom w:val="single" w:sz="4" w:space="0" w:color="auto"/>
              <w:right w:val="single" w:sz="4" w:space="0" w:color="auto"/>
            </w:tcBorders>
            <w:shd w:val="clear" w:color="auto" w:fill="auto"/>
            <w:noWrap/>
            <w:vAlign w:val="center"/>
            <w:hideMark/>
          </w:tcPr>
          <w:p w14:paraId="4086D283"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491</w:t>
            </w:r>
          </w:p>
        </w:tc>
        <w:tc>
          <w:tcPr>
            <w:tcW w:w="1200" w:type="dxa"/>
            <w:tcBorders>
              <w:top w:val="nil"/>
              <w:left w:val="nil"/>
              <w:bottom w:val="single" w:sz="4" w:space="0" w:color="auto"/>
              <w:right w:val="single" w:sz="4" w:space="0" w:color="auto"/>
            </w:tcBorders>
            <w:shd w:val="clear" w:color="auto" w:fill="auto"/>
            <w:noWrap/>
            <w:vAlign w:val="center"/>
            <w:hideMark/>
          </w:tcPr>
          <w:p w14:paraId="0F46C37C"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107.742</w:t>
            </w:r>
          </w:p>
        </w:tc>
        <w:tc>
          <w:tcPr>
            <w:tcW w:w="1520" w:type="dxa"/>
            <w:tcBorders>
              <w:top w:val="nil"/>
              <w:left w:val="nil"/>
              <w:bottom w:val="single" w:sz="4" w:space="0" w:color="auto"/>
              <w:right w:val="single" w:sz="4" w:space="0" w:color="auto"/>
            </w:tcBorders>
            <w:shd w:val="clear" w:color="auto" w:fill="auto"/>
            <w:noWrap/>
            <w:vAlign w:val="center"/>
            <w:hideMark/>
          </w:tcPr>
          <w:p w14:paraId="28C621FF"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56.260</w:t>
            </w:r>
          </w:p>
        </w:tc>
      </w:tr>
      <w:tr w:rsidR="009A09ED" w:rsidRPr="00E02C7F" w14:paraId="7690E7B3"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78B6E179"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N_81</w:t>
            </w:r>
          </w:p>
        </w:tc>
        <w:tc>
          <w:tcPr>
            <w:tcW w:w="1200" w:type="dxa"/>
            <w:tcBorders>
              <w:top w:val="nil"/>
              <w:left w:val="nil"/>
              <w:bottom w:val="single" w:sz="4" w:space="0" w:color="auto"/>
              <w:right w:val="single" w:sz="4" w:space="0" w:color="auto"/>
            </w:tcBorders>
            <w:shd w:val="clear" w:color="auto" w:fill="auto"/>
            <w:noWrap/>
            <w:vAlign w:val="center"/>
            <w:hideMark/>
          </w:tcPr>
          <w:p w14:paraId="1AF4DFE9"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28.429</w:t>
            </w:r>
          </w:p>
        </w:tc>
        <w:tc>
          <w:tcPr>
            <w:tcW w:w="1600" w:type="dxa"/>
            <w:tcBorders>
              <w:top w:val="nil"/>
              <w:left w:val="nil"/>
              <w:bottom w:val="single" w:sz="4" w:space="0" w:color="auto"/>
              <w:right w:val="single" w:sz="4" w:space="0" w:color="auto"/>
            </w:tcBorders>
            <w:shd w:val="clear" w:color="auto" w:fill="auto"/>
            <w:noWrap/>
            <w:vAlign w:val="center"/>
            <w:hideMark/>
          </w:tcPr>
          <w:p w14:paraId="3F3EB859"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10.638</w:t>
            </w:r>
          </w:p>
        </w:tc>
        <w:tc>
          <w:tcPr>
            <w:tcW w:w="1200" w:type="dxa"/>
            <w:tcBorders>
              <w:top w:val="nil"/>
              <w:left w:val="nil"/>
              <w:bottom w:val="single" w:sz="4" w:space="0" w:color="auto"/>
              <w:right w:val="single" w:sz="4" w:space="0" w:color="auto"/>
            </w:tcBorders>
            <w:shd w:val="clear" w:color="auto" w:fill="auto"/>
            <w:noWrap/>
            <w:vAlign w:val="center"/>
            <w:hideMark/>
          </w:tcPr>
          <w:p w14:paraId="64330BD7"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6.687</w:t>
            </w:r>
          </w:p>
        </w:tc>
        <w:tc>
          <w:tcPr>
            <w:tcW w:w="1200" w:type="dxa"/>
            <w:tcBorders>
              <w:top w:val="nil"/>
              <w:left w:val="nil"/>
              <w:bottom w:val="single" w:sz="4" w:space="0" w:color="auto"/>
              <w:right w:val="single" w:sz="4" w:space="0" w:color="auto"/>
            </w:tcBorders>
            <w:shd w:val="clear" w:color="auto" w:fill="auto"/>
            <w:noWrap/>
            <w:vAlign w:val="center"/>
            <w:hideMark/>
          </w:tcPr>
          <w:p w14:paraId="155A2B52"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167</w:t>
            </w:r>
          </w:p>
        </w:tc>
        <w:tc>
          <w:tcPr>
            <w:tcW w:w="1200" w:type="dxa"/>
            <w:tcBorders>
              <w:top w:val="nil"/>
              <w:left w:val="nil"/>
              <w:bottom w:val="single" w:sz="4" w:space="0" w:color="auto"/>
              <w:right w:val="single" w:sz="4" w:space="0" w:color="auto"/>
            </w:tcBorders>
            <w:shd w:val="clear" w:color="auto" w:fill="auto"/>
            <w:noWrap/>
            <w:vAlign w:val="center"/>
            <w:hideMark/>
          </w:tcPr>
          <w:p w14:paraId="3F3CB810"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45.922</w:t>
            </w:r>
          </w:p>
        </w:tc>
        <w:tc>
          <w:tcPr>
            <w:tcW w:w="1520" w:type="dxa"/>
            <w:tcBorders>
              <w:top w:val="nil"/>
              <w:left w:val="nil"/>
              <w:bottom w:val="single" w:sz="4" w:space="0" w:color="auto"/>
              <w:right w:val="single" w:sz="4" w:space="0" w:color="auto"/>
            </w:tcBorders>
            <w:shd w:val="clear" w:color="auto" w:fill="auto"/>
            <w:noWrap/>
            <w:vAlign w:val="center"/>
            <w:hideMark/>
          </w:tcPr>
          <w:p w14:paraId="176E1E66"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24.002</w:t>
            </w:r>
          </w:p>
        </w:tc>
      </w:tr>
      <w:tr w:rsidR="009A09ED" w:rsidRPr="00E02C7F" w14:paraId="03B2AC2A"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3015A428"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N_82</w:t>
            </w:r>
          </w:p>
        </w:tc>
        <w:tc>
          <w:tcPr>
            <w:tcW w:w="1200" w:type="dxa"/>
            <w:tcBorders>
              <w:top w:val="nil"/>
              <w:left w:val="nil"/>
              <w:bottom w:val="single" w:sz="4" w:space="0" w:color="auto"/>
              <w:right w:val="single" w:sz="4" w:space="0" w:color="auto"/>
            </w:tcBorders>
            <w:shd w:val="clear" w:color="auto" w:fill="auto"/>
            <w:noWrap/>
            <w:vAlign w:val="center"/>
            <w:hideMark/>
          </w:tcPr>
          <w:p w14:paraId="49475C2F"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139.712</w:t>
            </w:r>
          </w:p>
        </w:tc>
        <w:tc>
          <w:tcPr>
            <w:tcW w:w="1600" w:type="dxa"/>
            <w:tcBorders>
              <w:top w:val="nil"/>
              <w:left w:val="nil"/>
              <w:bottom w:val="single" w:sz="4" w:space="0" w:color="auto"/>
              <w:right w:val="single" w:sz="4" w:space="0" w:color="auto"/>
            </w:tcBorders>
            <w:shd w:val="clear" w:color="auto" w:fill="auto"/>
            <w:noWrap/>
            <w:vAlign w:val="center"/>
            <w:hideMark/>
          </w:tcPr>
          <w:p w14:paraId="51A8661E"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52.281</w:t>
            </w:r>
          </w:p>
        </w:tc>
        <w:tc>
          <w:tcPr>
            <w:tcW w:w="1200" w:type="dxa"/>
            <w:tcBorders>
              <w:top w:val="nil"/>
              <w:left w:val="nil"/>
              <w:bottom w:val="single" w:sz="4" w:space="0" w:color="auto"/>
              <w:right w:val="single" w:sz="4" w:space="0" w:color="auto"/>
            </w:tcBorders>
            <w:shd w:val="clear" w:color="auto" w:fill="auto"/>
            <w:noWrap/>
            <w:vAlign w:val="center"/>
            <w:hideMark/>
          </w:tcPr>
          <w:p w14:paraId="44626E15"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32.865</w:t>
            </w:r>
          </w:p>
        </w:tc>
        <w:tc>
          <w:tcPr>
            <w:tcW w:w="1200" w:type="dxa"/>
            <w:tcBorders>
              <w:top w:val="nil"/>
              <w:left w:val="nil"/>
              <w:bottom w:val="single" w:sz="4" w:space="0" w:color="auto"/>
              <w:right w:val="single" w:sz="4" w:space="0" w:color="auto"/>
            </w:tcBorders>
            <w:shd w:val="clear" w:color="auto" w:fill="auto"/>
            <w:noWrap/>
            <w:vAlign w:val="center"/>
            <w:hideMark/>
          </w:tcPr>
          <w:p w14:paraId="0F25E5A9"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986</w:t>
            </w:r>
          </w:p>
        </w:tc>
        <w:tc>
          <w:tcPr>
            <w:tcW w:w="1200" w:type="dxa"/>
            <w:tcBorders>
              <w:top w:val="nil"/>
              <w:left w:val="nil"/>
              <w:bottom w:val="single" w:sz="4" w:space="0" w:color="auto"/>
              <w:right w:val="single" w:sz="4" w:space="0" w:color="auto"/>
            </w:tcBorders>
            <w:shd w:val="clear" w:color="auto" w:fill="auto"/>
            <w:noWrap/>
            <w:vAlign w:val="center"/>
            <w:hideMark/>
          </w:tcPr>
          <w:p w14:paraId="3BE8498E"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225.844</w:t>
            </w:r>
          </w:p>
        </w:tc>
        <w:tc>
          <w:tcPr>
            <w:tcW w:w="1520" w:type="dxa"/>
            <w:tcBorders>
              <w:top w:val="nil"/>
              <w:left w:val="nil"/>
              <w:bottom w:val="single" w:sz="4" w:space="0" w:color="auto"/>
              <w:right w:val="single" w:sz="4" w:space="0" w:color="auto"/>
            </w:tcBorders>
            <w:shd w:val="clear" w:color="auto" w:fill="auto"/>
            <w:noWrap/>
            <w:vAlign w:val="center"/>
            <w:hideMark/>
          </w:tcPr>
          <w:p w14:paraId="595A9929"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117.953</w:t>
            </w:r>
          </w:p>
        </w:tc>
      </w:tr>
      <w:tr w:rsidR="009A09ED" w:rsidRPr="00E02C7F" w14:paraId="5D0F32BB"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78837ACE"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N_83</w:t>
            </w:r>
          </w:p>
        </w:tc>
        <w:tc>
          <w:tcPr>
            <w:tcW w:w="1200" w:type="dxa"/>
            <w:tcBorders>
              <w:top w:val="nil"/>
              <w:left w:val="nil"/>
              <w:bottom w:val="single" w:sz="4" w:space="0" w:color="auto"/>
              <w:right w:val="single" w:sz="4" w:space="0" w:color="auto"/>
            </w:tcBorders>
            <w:shd w:val="clear" w:color="auto" w:fill="auto"/>
            <w:noWrap/>
            <w:vAlign w:val="center"/>
            <w:hideMark/>
          </w:tcPr>
          <w:p w14:paraId="670B2FD6"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145.812</w:t>
            </w:r>
          </w:p>
        </w:tc>
        <w:tc>
          <w:tcPr>
            <w:tcW w:w="1600" w:type="dxa"/>
            <w:tcBorders>
              <w:top w:val="nil"/>
              <w:left w:val="nil"/>
              <w:bottom w:val="single" w:sz="4" w:space="0" w:color="auto"/>
              <w:right w:val="single" w:sz="4" w:space="0" w:color="auto"/>
            </w:tcBorders>
            <w:shd w:val="clear" w:color="auto" w:fill="auto"/>
            <w:noWrap/>
            <w:vAlign w:val="center"/>
            <w:hideMark/>
          </w:tcPr>
          <w:p w14:paraId="33372073"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54.564</w:t>
            </w:r>
          </w:p>
        </w:tc>
        <w:tc>
          <w:tcPr>
            <w:tcW w:w="1200" w:type="dxa"/>
            <w:tcBorders>
              <w:top w:val="nil"/>
              <w:left w:val="nil"/>
              <w:bottom w:val="single" w:sz="4" w:space="0" w:color="auto"/>
              <w:right w:val="single" w:sz="4" w:space="0" w:color="auto"/>
            </w:tcBorders>
            <w:shd w:val="clear" w:color="auto" w:fill="auto"/>
            <w:noWrap/>
            <w:vAlign w:val="center"/>
            <w:hideMark/>
          </w:tcPr>
          <w:p w14:paraId="64E4B158"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34.300</w:t>
            </w:r>
          </w:p>
        </w:tc>
        <w:tc>
          <w:tcPr>
            <w:tcW w:w="1200" w:type="dxa"/>
            <w:tcBorders>
              <w:top w:val="nil"/>
              <w:left w:val="nil"/>
              <w:bottom w:val="single" w:sz="4" w:space="0" w:color="auto"/>
              <w:right w:val="single" w:sz="4" w:space="0" w:color="auto"/>
            </w:tcBorders>
            <w:shd w:val="clear" w:color="auto" w:fill="auto"/>
            <w:noWrap/>
            <w:vAlign w:val="center"/>
            <w:hideMark/>
          </w:tcPr>
          <w:p w14:paraId="34746771"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709</w:t>
            </w:r>
          </w:p>
        </w:tc>
        <w:tc>
          <w:tcPr>
            <w:tcW w:w="1200" w:type="dxa"/>
            <w:tcBorders>
              <w:top w:val="nil"/>
              <w:left w:val="nil"/>
              <w:bottom w:val="single" w:sz="4" w:space="0" w:color="auto"/>
              <w:right w:val="single" w:sz="4" w:space="0" w:color="auto"/>
            </w:tcBorders>
            <w:shd w:val="clear" w:color="auto" w:fill="auto"/>
            <w:noWrap/>
            <w:vAlign w:val="center"/>
            <w:hideMark/>
          </w:tcPr>
          <w:p w14:paraId="70B13828"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235.384</w:t>
            </w:r>
          </w:p>
        </w:tc>
        <w:tc>
          <w:tcPr>
            <w:tcW w:w="1520" w:type="dxa"/>
            <w:tcBorders>
              <w:top w:val="nil"/>
              <w:left w:val="nil"/>
              <w:bottom w:val="single" w:sz="4" w:space="0" w:color="auto"/>
              <w:right w:val="single" w:sz="4" w:space="0" w:color="auto"/>
            </w:tcBorders>
            <w:shd w:val="clear" w:color="auto" w:fill="auto"/>
            <w:noWrap/>
            <w:vAlign w:val="center"/>
            <w:hideMark/>
          </w:tcPr>
          <w:p w14:paraId="59C45C21"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123.103</w:t>
            </w:r>
          </w:p>
        </w:tc>
      </w:tr>
      <w:tr w:rsidR="009A09ED" w:rsidRPr="00E02C7F" w14:paraId="67BEB67F"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2B1A1A7C"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N_84</w:t>
            </w:r>
          </w:p>
        </w:tc>
        <w:tc>
          <w:tcPr>
            <w:tcW w:w="1200" w:type="dxa"/>
            <w:tcBorders>
              <w:top w:val="nil"/>
              <w:left w:val="nil"/>
              <w:bottom w:val="single" w:sz="4" w:space="0" w:color="auto"/>
              <w:right w:val="single" w:sz="4" w:space="0" w:color="auto"/>
            </w:tcBorders>
            <w:shd w:val="clear" w:color="auto" w:fill="auto"/>
            <w:noWrap/>
            <w:vAlign w:val="center"/>
            <w:hideMark/>
          </w:tcPr>
          <w:p w14:paraId="2376C5C4"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539</w:t>
            </w:r>
          </w:p>
        </w:tc>
        <w:tc>
          <w:tcPr>
            <w:tcW w:w="1600" w:type="dxa"/>
            <w:tcBorders>
              <w:top w:val="nil"/>
              <w:left w:val="nil"/>
              <w:bottom w:val="single" w:sz="4" w:space="0" w:color="auto"/>
              <w:right w:val="single" w:sz="4" w:space="0" w:color="auto"/>
            </w:tcBorders>
            <w:shd w:val="clear" w:color="auto" w:fill="auto"/>
            <w:noWrap/>
            <w:vAlign w:val="center"/>
            <w:hideMark/>
          </w:tcPr>
          <w:p w14:paraId="1E8DA4F4"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202</w:t>
            </w:r>
          </w:p>
        </w:tc>
        <w:tc>
          <w:tcPr>
            <w:tcW w:w="1200" w:type="dxa"/>
            <w:tcBorders>
              <w:top w:val="nil"/>
              <w:left w:val="nil"/>
              <w:bottom w:val="single" w:sz="4" w:space="0" w:color="auto"/>
              <w:right w:val="single" w:sz="4" w:space="0" w:color="auto"/>
            </w:tcBorders>
            <w:shd w:val="clear" w:color="auto" w:fill="auto"/>
            <w:noWrap/>
            <w:vAlign w:val="center"/>
            <w:hideMark/>
          </w:tcPr>
          <w:p w14:paraId="3AFDF9AF"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127</w:t>
            </w:r>
          </w:p>
        </w:tc>
        <w:tc>
          <w:tcPr>
            <w:tcW w:w="1200" w:type="dxa"/>
            <w:tcBorders>
              <w:top w:val="nil"/>
              <w:left w:val="nil"/>
              <w:bottom w:val="single" w:sz="4" w:space="0" w:color="auto"/>
              <w:right w:val="single" w:sz="4" w:space="0" w:color="auto"/>
            </w:tcBorders>
            <w:shd w:val="clear" w:color="auto" w:fill="auto"/>
            <w:noWrap/>
            <w:vAlign w:val="center"/>
            <w:hideMark/>
          </w:tcPr>
          <w:p w14:paraId="3C608EA2"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3</w:t>
            </w:r>
          </w:p>
        </w:tc>
        <w:tc>
          <w:tcPr>
            <w:tcW w:w="1200" w:type="dxa"/>
            <w:tcBorders>
              <w:top w:val="nil"/>
              <w:left w:val="nil"/>
              <w:bottom w:val="single" w:sz="4" w:space="0" w:color="auto"/>
              <w:right w:val="single" w:sz="4" w:space="0" w:color="auto"/>
            </w:tcBorders>
            <w:shd w:val="clear" w:color="auto" w:fill="auto"/>
            <w:noWrap/>
            <w:vAlign w:val="center"/>
            <w:hideMark/>
          </w:tcPr>
          <w:p w14:paraId="5F4CB172"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871</w:t>
            </w:r>
          </w:p>
        </w:tc>
        <w:tc>
          <w:tcPr>
            <w:tcW w:w="1520" w:type="dxa"/>
            <w:tcBorders>
              <w:top w:val="nil"/>
              <w:left w:val="nil"/>
              <w:bottom w:val="single" w:sz="4" w:space="0" w:color="auto"/>
              <w:right w:val="single" w:sz="4" w:space="0" w:color="auto"/>
            </w:tcBorders>
            <w:shd w:val="clear" w:color="auto" w:fill="auto"/>
            <w:noWrap/>
            <w:vAlign w:val="center"/>
            <w:hideMark/>
          </w:tcPr>
          <w:p w14:paraId="1C403F07"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455</w:t>
            </w:r>
          </w:p>
        </w:tc>
      </w:tr>
      <w:tr w:rsidR="009A09ED" w:rsidRPr="00E02C7F" w14:paraId="0C91FD03"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1A6C26DE"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N_85</w:t>
            </w:r>
          </w:p>
        </w:tc>
        <w:tc>
          <w:tcPr>
            <w:tcW w:w="1200" w:type="dxa"/>
            <w:tcBorders>
              <w:top w:val="nil"/>
              <w:left w:val="nil"/>
              <w:bottom w:val="single" w:sz="4" w:space="0" w:color="auto"/>
              <w:right w:val="single" w:sz="4" w:space="0" w:color="auto"/>
            </w:tcBorders>
            <w:shd w:val="clear" w:color="auto" w:fill="auto"/>
            <w:noWrap/>
            <w:vAlign w:val="center"/>
            <w:hideMark/>
          </w:tcPr>
          <w:p w14:paraId="421BC85F"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246.917</w:t>
            </w:r>
          </w:p>
        </w:tc>
        <w:tc>
          <w:tcPr>
            <w:tcW w:w="1600" w:type="dxa"/>
            <w:tcBorders>
              <w:top w:val="nil"/>
              <w:left w:val="nil"/>
              <w:bottom w:val="single" w:sz="4" w:space="0" w:color="auto"/>
              <w:right w:val="single" w:sz="4" w:space="0" w:color="auto"/>
            </w:tcBorders>
            <w:shd w:val="clear" w:color="auto" w:fill="auto"/>
            <w:noWrap/>
            <w:vAlign w:val="center"/>
            <w:hideMark/>
          </w:tcPr>
          <w:p w14:paraId="3EE2C76B"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92.398</w:t>
            </w:r>
          </w:p>
        </w:tc>
        <w:tc>
          <w:tcPr>
            <w:tcW w:w="1200" w:type="dxa"/>
            <w:tcBorders>
              <w:top w:val="nil"/>
              <w:left w:val="nil"/>
              <w:bottom w:val="single" w:sz="4" w:space="0" w:color="auto"/>
              <w:right w:val="single" w:sz="4" w:space="0" w:color="auto"/>
            </w:tcBorders>
            <w:shd w:val="clear" w:color="auto" w:fill="auto"/>
            <w:noWrap/>
            <w:vAlign w:val="center"/>
            <w:hideMark/>
          </w:tcPr>
          <w:p w14:paraId="1D0924B9"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58.083</w:t>
            </w:r>
          </w:p>
        </w:tc>
        <w:tc>
          <w:tcPr>
            <w:tcW w:w="1200" w:type="dxa"/>
            <w:tcBorders>
              <w:top w:val="nil"/>
              <w:left w:val="nil"/>
              <w:bottom w:val="single" w:sz="4" w:space="0" w:color="auto"/>
              <w:right w:val="single" w:sz="4" w:space="0" w:color="auto"/>
            </w:tcBorders>
            <w:shd w:val="clear" w:color="auto" w:fill="auto"/>
            <w:noWrap/>
            <w:vAlign w:val="center"/>
            <w:hideMark/>
          </w:tcPr>
          <w:p w14:paraId="02D28050"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1.818</w:t>
            </w:r>
          </w:p>
        </w:tc>
        <w:tc>
          <w:tcPr>
            <w:tcW w:w="1200" w:type="dxa"/>
            <w:tcBorders>
              <w:top w:val="nil"/>
              <w:left w:val="nil"/>
              <w:bottom w:val="single" w:sz="4" w:space="0" w:color="auto"/>
              <w:right w:val="single" w:sz="4" w:space="0" w:color="auto"/>
            </w:tcBorders>
            <w:shd w:val="clear" w:color="auto" w:fill="auto"/>
            <w:noWrap/>
            <w:vAlign w:val="center"/>
            <w:hideMark/>
          </w:tcPr>
          <w:p w14:paraId="60912BE4"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399.216</w:t>
            </w:r>
          </w:p>
        </w:tc>
        <w:tc>
          <w:tcPr>
            <w:tcW w:w="1520" w:type="dxa"/>
            <w:tcBorders>
              <w:top w:val="nil"/>
              <w:left w:val="nil"/>
              <w:bottom w:val="single" w:sz="4" w:space="0" w:color="auto"/>
              <w:right w:val="single" w:sz="4" w:space="0" w:color="auto"/>
            </w:tcBorders>
            <w:shd w:val="clear" w:color="auto" w:fill="auto"/>
            <w:noWrap/>
            <w:vAlign w:val="center"/>
            <w:hideMark/>
          </w:tcPr>
          <w:p w14:paraId="3C4DB7D3"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208.462</w:t>
            </w:r>
          </w:p>
        </w:tc>
      </w:tr>
      <w:tr w:rsidR="009A09ED" w:rsidRPr="00E02C7F" w14:paraId="7A2B3710"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57A40A05"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N_86</w:t>
            </w:r>
          </w:p>
        </w:tc>
        <w:tc>
          <w:tcPr>
            <w:tcW w:w="1200" w:type="dxa"/>
            <w:tcBorders>
              <w:top w:val="nil"/>
              <w:left w:val="nil"/>
              <w:bottom w:val="single" w:sz="4" w:space="0" w:color="auto"/>
              <w:right w:val="single" w:sz="4" w:space="0" w:color="auto"/>
            </w:tcBorders>
            <w:shd w:val="clear" w:color="auto" w:fill="auto"/>
            <w:noWrap/>
            <w:vAlign w:val="center"/>
            <w:hideMark/>
          </w:tcPr>
          <w:p w14:paraId="4B2148EB"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76.564</w:t>
            </w:r>
          </w:p>
        </w:tc>
        <w:tc>
          <w:tcPr>
            <w:tcW w:w="1600" w:type="dxa"/>
            <w:tcBorders>
              <w:top w:val="nil"/>
              <w:left w:val="nil"/>
              <w:bottom w:val="single" w:sz="4" w:space="0" w:color="auto"/>
              <w:right w:val="single" w:sz="4" w:space="0" w:color="auto"/>
            </w:tcBorders>
            <w:shd w:val="clear" w:color="auto" w:fill="auto"/>
            <w:noWrap/>
            <w:vAlign w:val="center"/>
            <w:hideMark/>
          </w:tcPr>
          <w:p w14:paraId="56F736D0"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28.651</w:t>
            </w:r>
          </w:p>
        </w:tc>
        <w:tc>
          <w:tcPr>
            <w:tcW w:w="1200" w:type="dxa"/>
            <w:tcBorders>
              <w:top w:val="nil"/>
              <w:left w:val="nil"/>
              <w:bottom w:val="single" w:sz="4" w:space="0" w:color="auto"/>
              <w:right w:val="single" w:sz="4" w:space="0" w:color="auto"/>
            </w:tcBorders>
            <w:shd w:val="clear" w:color="auto" w:fill="auto"/>
            <w:noWrap/>
            <w:vAlign w:val="center"/>
            <w:hideMark/>
          </w:tcPr>
          <w:p w14:paraId="64FEA26D"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18.010</w:t>
            </w:r>
          </w:p>
        </w:tc>
        <w:tc>
          <w:tcPr>
            <w:tcW w:w="1200" w:type="dxa"/>
            <w:tcBorders>
              <w:top w:val="nil"/>
              <w:left w:val="nil"/>
              <w:bottom w:val="single" w:sz="4" w:space="0" w:color="auto"/>
              <w:right w:val="single" w:sz="4" w:space="0" w:color="auto"/>
            </w:tcBorders>
            <w:shd w:val="clear" w:color="auto" w:fill="auto"/>
            <w:noWrap/>
            <w:vAlign w:val="center"/>
            <w:hideMark/>
          </w:tcPr>
          <w:p w14:paraId="17AA19C6"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564</w:t>
            </w:r>
          </w:p>
        </w:tc>
        <w:tc>
          <w:tcPr>
            <w:tcW w:w="1200" w:type="dxa"/>
            <w:tcBorders>
              <w:top w:val="nil"/>
              <w:left w:val="nil"/>
              <w:bottom w:val="single" w:sz="4" w:space="0" w:color="auto"/>
              <w:right w:val="single" w:sz="4" w:space="0" w:color="auto"/>
            </w:tcBorders>
            <w:shd w:val="clear" w:color="auto" w:fill="auto"/>
            <w:noWrap/>
            <w:vAlign w:val="center"/>
            <w:hideMark/>
          </w:tcPr>
          <w:p w14:paraId="73AB832A"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123.789</w:t>
            </w:r>
          </w:p>
        </w:tc>
        <w:tc>
          <w:tcPr>
            <w:tcW w:w="1520" w:type="dxa"/>
            <w:tcBorders>
              <w:top w:val="nil"/>
              <w:left w:val="nil"/>
              <w:bottom w:val="single" w:sz="4" w:space="0" w:color="auto"/>
              <w:right w:val="single" w:sz="4" w:space="0" w:color="auto"/>
            </w:tcBorders>
            <w:shd w:val="clear" w:color="auto" w:fill="auto"/>
            <w:noWrap/>
            <w:vAlign w:val="center"/>
            <w:hideMark/>
          </w:tcPr>
          <w:p w14:paraId="15D3D1FB"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64.640</w:t>
            </w:r>
          </w:p>
        </w:tc>
      </w:tr>
      <w:tr w:rsidR="009A09ED" w:rsidRPr="00E02C7F" w14:paraId="46152580"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66EC5972"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N_87</w:t>
            </w:r>
          </w:p>
        </w:tc>
        <w:tc>
          <w:tcPr>
            <w:tcW w:w="1200" w:type="dxa"/>
            <w:tcBorders>
              <w:top w:val="nil"/>
              <w:left w:val="nil"/>
              <w:bottom w:val="single" w:sz="4" w:space="0" w:color="auto"/>
              <w:right w:val="single" w:sz="4" w:space="0" w:color="auto"/>
            </w:tcBorders>
            <w:shd w:val="clear" w:color="auto" w:fill="auto"/>
            <w:noWrap/>
            <w:vAlign w:val="center"/>
            <w:hideMark/>
          </w:tcPr>
          <w:p w14:paraId="14305531"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7.210</w:t>
            </w:r>
          </w:p>
        </w:tc>
        <w:tc>
          <w:tcPr>
            <w:tcW w:w="1600" w:type="dxa"/>
            <w:tcBorders>
              <w:top w:val="nil"/>
              <w:left w:val="nil"/>
              <w:bottom w:val="single" w:sz="4" w:space="0" w:color="auto"/>
              <w:right w:val="single" w:sz="4" w:space="0" w:color="auto"/>
            </w:tcBorders>
            <w:shd w:val="clear" w:color="auto" w:fill="auto"/>
            <w:noWrap/>
            <w:vAlign w:val="center"/>
            <w:hideMark/>
          </w:tcPr>
          <w:p w14:paraId="1D40E60F"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2.698</w:t>
            </w:r>
          </w:p>
        </w:tc>
        <w:tc>
          <w:tcPr>
            <w:tcW w:w="1200" w:type="dxa"/>
            <w:tcBorders>
              <w:top w:val="nil"/>
              <w:left w:val="nil"/>
              <w:bottom w:val="single" w:sz="4" w:space="0" w:color="auto"/>
              <w:right w:val="single" w:sz="4" w:space="0" w:color="auto"/>
            </w:tcBorders>
            <w:shd w:val="clear" w:color="auto" w:fill="auto"/>
            <w:noWrap/>
            <w:vAlign w:val="center"/>
            <w:hideMark/>
          </w:tcPr>
          <w:p w14:paraId="5DC69C33"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1.696</w:t>
            </w:r>
          </w:p>
        </w:tc>
        <w:tc>
          <w:tcPr>
            <w:tcW w:w="1200" w:type="dxa"/>
            <w:tcBorders>
              <w:top w:val="nil"/>
              <w:left w:val="nil"/>
              <w:bottom w:val="single" w:sz="4" w:space="0" w:color="auto"/>
              <w:right w:val="single" w:sz="4" w:space="0" w:color="auto"/>
            </w:tcBorders>
            <w:shd w:val="clear" w:color="auto" w:fill="auto"/>
            <w:noWrap/>
            <w:vAlign w:val="center"/>
            <w:hideMark/>
          </w:tcPr>
          <w:p w14:paraId="276326B2"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47</w:t>
            </w:r>
          </w:p>
        </w:tc>
        <w:tc>
          <w:tcPr>
            <w:tcW w:w="1200" w:type="dxa"/>
            <w:tcBorders>
              <w:top w:val="nil"/>
              <w:left w:val="nil"/>
              <w:bottom w:val="single" w:sz="4" w:space="0" w:color="auto"/>
              <w:right w:val="single" w:sz="4" w:space="0" w:color="auto"/>
            </w:tcBorders>
            <w:shd w:val="clear" w:color="auto" w:fill="auto"/>
            <w:noWrap/>
            <w:vAlign w:val="center"/>
            <w:hideMark/>
          </w:tcPr>
          <w:p w14:paraId="21D05029"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11.651</w:t>
            </w:r>
          </w:p>
        </w:tc>
        <w:tc>
          <w:tcPr>
            <w:tcW w:w="1520" w:type="dxa"/>
            <w:tcBorders>
              <w:top w:val="nil"/>
              <w:left w:val="nil"/>
              <w:bottom w:val="single" w:sz="4" w:space="0" w:color="auto"/>
              <w:right w:val="single" w:sz="4" w:space="0" w:color="auto"/>
            </w:tcBorders>
            <w:shd w:val="clear" w:color="auto" w:fill="auto"/>
            <w:noWrap/>
            <w:vAlign w:val="center"/>
            <w:hideMark/>
          </w:tcPr>
          <w:p w14:paraId="4F9FF209"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6.087</w:t>
            </w:r>
          </w:p>
        </w:tc>
      </w:tr>
      <w:tr w:rsidR="009A09ED" w:rsidRPr="00E02C7F" w14:paraId="008E8CAC"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344C7E5C"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N_88</w:t>
            </w:r>
          </w:p>
        </w:tc>
        <w:tc>
          <w:tcPr>
            <w:tcW w:w="1200" w:type="dxa"/>
            <w:tcBorders>
              <w:top w:val="nil"/>
              <w:left w:val="nil"/>
              <w:bottom w:val="single" w:sz="4" w:space="0" w:color="auto"/>
              <w:right w:val="single" w:sz="4" w:space="0" w:color="auto"/>
            </w:tcBorders>
            <w:shd w:val="clear" w:color="auto" w:fill="auto"/>
            <w:noWrap/>
            <w:vAlign w:val="center"/>
            <w:hideMark/>
          </w:tcPr>
          <w:p w14:paraId="7598679C"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83.546</w:t>
            </w:r>
          </w:p>
        </w:tc>
        <w:tc>
          <w:tcPr>
            <w:tcW w:w="1600" w:type="dxa"/>
            <w:tcBorders>
              <w:top w:val="nil"/>
              <w:left w:val="nil"/>
              <w:bottom w:val="single" w:sz="4" w:space="0" w:color="auto"/>
              <w:right w:val="single" w:sz="4" w:space="0" w:color="auto"/>
            </w:tcBorders>
            <w:shd w:val="clear" w:color="auto" w:fill="auto"/>
            <w:noWrap/>
            <w:vAlign w:val="center"/>
            <w:hideMark/>
          </w:tcPr>
          <w:p w14:paraId="72CBC3DB"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31.264</w:t>
            </w:r>
          </w:p>
        </w:tc>
        <w:tc>
          <w:tcPr>
            <w:tcW w:w="1200" w:type="dxa"/>
            <w:tcBorders>
              <w:top w:val="nil"/>
              <w:left w:val="nil"/>
              <w:bottom w:val="single" w:sz="4" w:space="0" w:color="auto"/>
              <w:right w:val="single" w:sz="4" w:space="0" w:color="auto"/>
            </w:tcBorders>
            <w:shd w:val="clear" w:color="auto" w:fill="auto"/>
            <w:noWrap/>
            <w:vAlign w:val="center"/>
            <w:hideMark/>
          </w:tcPr>
          <w:p w14:paraId="0E258FE3"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19.653</w:t>
            </w:r>
          </w:p>
        </w:tc>
        <w:tc>
          <w:tcPr>
            <w:tcW w:w="1200" w:type="dxa"/>
            <w:tcBorders>
              <w:top w:val="nil"/>
              <w:left w:val="nil"/>
              <w:bottom w:val="single" w:sz="4" w:space="0" w:color="auto"/>
              <w:right w:val="single" w:sz="4" w:space="0" w:color="auto"/>
            </w:tcBorders>
            <w:shd w:val="clear" w:color="auto" w:fill="auto"/>
            <w:noWrap/>
            <w:vAlign w:val="center"/>
            <w:hideMark/>
          </w:tcPr>
          <w:p w14:paraId="520DBD86"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615</w:t>
            </w:r>
          </w:p>
        </w:tc>
        <w:tc>
          <w:tcPr>
            <w:tcW w:w="1200" w:type="dxa"/>
            <w:tcBorders>
              <w:top w:val="nil"/>
              <w:left w:val="nil"/>
              <w:bottom w:val="single" w:sz="4" w:space="0" w:color="auto"/>
              <w:right w:val="single" w:sz="4" w:space="0" w:color="auto"/>
            </w:tcBorders>
            <w:shd w:val="clear" w:color="auto" w:fill="auto"/>
            <w:noWrap/>
            <w:vAlign w:val="center"/>
            <w:hideMark/>
          </w:tcPr>
          <w:p w14:paraId="742C9126"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135.078</w:t>
            </w:r>
          </w:p>
        </w:tc>
        <w:tc>
          <w:tcPr>
            <w:tcW w:w="1520" w:type="dxa"/>
            <w:tcBorders>
              <w:top w:val="nil"/>
              <w:left w:val="nil"/>
              <w:bottom w:val="single" w:sz="4" w:space="0" w:color="auto"/>
              <w:right w:val="single" w:sz="4" w:space="0" w:color="auto"/>
            </w:tcBorders>
            <w:shd w:val="clear" w:color="auto" w:fill="auto"/>
            <w:noWrap/>
            <w:vAlign w:val="center"/>
            <w:hideMark/>
          </w:tcPr>
          <w:p w14:paraId="6CC945FB"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70.535</w:t>
            </w:r>
          </w:p>
        </w:tc>
      </w:tr>
      <w:tr w:rsidR="009A09ED" w:rsidRPr="00E02C7F" w14:paraId="4D9CF42D"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77B757E8"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N_89</w:t>
            </w:r>
          </w:p>
        </w:tc>
        <w:tc>
          <w:tcPr>
            <w:tcW w:w="1200" w:type="dxa"/>
            <w:tcBorders>
              <w:top w:val="nil"/>
              <w:left w:val="nil"/>
              <w:bottom w:val="single" w:sz="4" w:space="0" w:color="auto"/>
              <w:right w:val="single" w:sz="4" w:space="0" w:color="auto"/>
            </w:tcBorders>
            <w:shd w:val="clear" w:color="auto" w:fill="auto"/>
            <w:noWrap/>
            <w:vAlign w:val="center"/>
            <w:hideMark/>
          </w:tcPr>
          <w:p w14:paraId="4FB44CAD"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600" w:type="dxa"/>
            <w:tcBorders>
              <w:top w:val="nil"/>
              <w:left w:val="nil"/>
              <w:bottom w:val="single" w:sz="4" w:space="0" w:color="auto"/>
              <w:right w:val="single" w:sz="4" w:space="0" w:color="auto"/>
            </w:tcBorders>
            <w:shd w:val="clear" w:color="auto" w:fill="auto"/>
            <w:noWrap/>
            <w:vAlign w:val="center"/>
            <w:hideMark/>
          </w:tcPr>
          <w:p w14:paraId="52EE75B8"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200" w:type="dxa"/>
            <w:tcBorders>
              <w:top w:val="nil"/>
              <w:left w:val="nil"/>
              <w:bottom w:val="single" w:sz="4" w:space="0" w:color="auto"/>
              <w:right w:val="single" w:sz="4" w:space="0" w:color="auto"/>
            </w:tcBorders>
            <w:shd w:val="clear" w:color="auto" w:fill="auto"/>
            <w:noWrap/>
            <w:vAlign w:val="center"/>
            <w:hideMark/>
          </w:tcPr>
          <w:p w14:paraId="2126EAC3"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200" w:type="dxa"/>
            <w:tcBorders>
              <w:top w:val="nil"/>
              <w:left w:val="nil"/>
              <w:bottom w:val="single" w:sz="4" w:space="0" w:color="auto"/>
              <w:right w:val="single" w:sz="4" w:space="0" w:color="auto"/>
            </w:tcBorders>
            <w:shd w:val="clear" w:color="auto" w:fill="auto"/>
            <w:noWrap/>
            <w:vAlign w:val="center"/>
            <w:hideMark/>
          </w:tcPr>
          <w:p w14:paraId="6D09094A"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200" w:type="dxa"/>
            <w:tcBorders>
              <w:top w:val="nil"/>
              <w:left w:val="nil"/>
              <w:bottom w:val="single" w:sz="4" w:space="0" w:color="auto"/>
              <w:right w:val="single" w:sz="4" w:space="0" w:color="auto"/>
            </w:tcBorders>
            <w:shd w:val="clear" w:color="auto" w:fill="auto"/>
            <w:noWrap/>
            <w:vAlign w:val="center"/>
            <w:hideMark/>
          </w:tcPr>
          <w:p w14:paraId="0EB63C8B"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520" w:type="dxa"/>
            <w:tcBorders>
              <w:top w:val="nil"/>
              <w:left w:val="nil"/>
              <w:bottom w:val="single" w:sz="4" w:space="0" w:color="auto"/>
              <w:right w:val="single" w:sz="4" w:space="0" w:color="auto"/>
            </w:tcBorders>
            <w:shd w:val="clear" w:color="auto" w:fill="auto"/>
            <w:noWrap/>
            <w:vAlign w:val="center"/>
            <w:hideMark/>
          </w:tcPr>
          <w:p w14:paraId="003D601D"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r>
      <w:tr w:rsidR="009A09ED" w:rsidRPr="00E02C7F" w14:paraId="2C4FF9B1"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195052AB"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N_90</w:t>
            </w:r>
          </w:p>
        </w:tc>
        <w:tc>
          <w:tcPr>
            <w:tcW w:w="1200" w:type="dxa"/>
            <w:tcBorders>
              <w:top w:val="nil"/>
              <w:left w:val="nil"/>
              <w:bottom w:val="single" w:sz="4" w:space="0" w:color="auto"/>
              <w:right w:val="single" w:sz="4" w:space="0" w:color="auto"/>
            </w:tcBorders>
            <w:shd w:val="clear" w:color="auto" w:fill="auto"/>
            <w:noWrap/>
            <w:vAlign w:val="center"/>
            <w:hideMark/>
          </w:tcPr>
          <w:p w14:paraId="398036B3"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40.361</w:t>
            </w:r>
          </w:p>
        </w:tc>
        <w:tc>
          <w:tcPr>
            <w:tcW w:w="1600" w:type="dxa"/>
            <w:tcBorders>
              <w:top w:val="nil"/>
              <w:left w:val="nil"/>
              <w:bottom w:val="single" w:sz="4" w:space="0" w:color="auto"/>
              <w:right w:val="single" w:sz="4" w:space="0" w:color="auto"/>
            </w:tcBorders>
            <w:shd w:val="clear" w:color="auto" w:fill="auto"/>
            <w:noWrap/>
            <w:vAlign w:val="center"/>
            <w:hideMark/>
          </w:tcPr>
          <w:p w14:paraId="06BF3CEF"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15.103</w:t>
            </w:r>
          </w:p>
        </w:tc>
        <w:tc>
          <w:tcPr>
            <w:tcW w:w="1200" w:type="dxa"/>
            <w:tcBorders>
              <w:top w:val="nil"/>
              <w:left w:val="nil"/>
              <w:bottom w:val="single" w:sz="4" w:space="0" w:color="auto"/>
              <w:right w:val="single" w:sz="4" w:space="0" w:color="auto"/>
            </w:tcBorders>
            <w:shd w:val="clear" w:color="auto" w:fill="auto"/>
            <w:noWrap/>
            <w:vAlign w:val="center"/>
            <w:hideMark/>
          </w:tcPr>
          <w:p w14:paraId="7191505F"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9.494</w:t>
            </w:r>
          </w:p>
        </w:tc>
        <w:tc>
          <w:tcPr>
            <w:tcW w:w="1200" w:type="dxa"/>
            <w:tcBorders>
              <w:top w:val="nil"/>
              <w:left w:val="nil"/>
              <w:bottom w:val="single" w:sz="4" w:space="0" w:color="auto"/>
              <w:right w:val="single" w:sz="4" w:space="0" w:color="auto"/>
            </w:tcBorders>
            <w:shd w:val="clear" w:color="auto" w:fill="auto"/>
            <w:noWrap/>
            <w:vAlign w:val="center"/>
            <w:hideMark/>
          </w:tcPr>
          <w:p w14:paraId="6EC54B83"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297</w:t>
            </w:r>
          </w:p>
        </w:tc>
        <w:tc>
          <w:tcPr>
            <w:tcW w:w="1200" w:type="dxa"/>
            <w:tcBorders>
              <w:top w:val="nil"/>
              <w:left w:val="nil"/>
              <w:bottom w:val="single" w:sz="4" w:space="0" w:color="auto"/>
              <w:right w:val="single" w:sz="4" w:space="0" w:color="auto"/>
            </w:tcBorders>
            <w:shd w:val="clear" w:color="auto" w:fill="auto"/>
            <w:noWrap/>
            <w:vAlign w:val="center"/>
            <w:hideMark/>
          </w:tcPr>
          <w:p w14:paraId="21EEDC4C"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65.255</w:t>
            </w:r>
          </w:p>
        </w:tc>
        <w:tc>
          <w:tcPr>
            <w:tcW w:w="1520" w:type="dxa"/>
            <w:tcBorders>
              <w:top w:val="nil"/>
              <w:left w:val="nil"/>
              <w:bottom w:val="single" w:sz="4" w:space="0" w:color="auto"/>
              <w:right w:val="single" w:sz="4" w:space="0" w:color="auto"/>
            </w:tcBorders>
            <w:shd w:val="clear" w:color="auto" w:fill="auto"/>
            <w:noWrap/>
            <w:vAlign w:val="center"/>
            <w:hideMark/>
          </w:tcPr>
          <w:p w14:paraId="63862540"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34.075</w:t>
            </w:r>
          </w:p>
        </w:tc>
      </w:tr>
      <w:tr w:rsidR="009A09ED" w:rsidRPr="00E02C7F" w14:paraId="16F9F694"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132AD54B"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N_91</w:t>
            </w:r>
          </w:p>
        </w:tc>
        <w:tc>
          <w:tcPr>
            <w:tcW w:w="1200" w:type="dxa"/>
            <w:tcBorders>
              <w:top w:val="nil"/>
              <w:left w:val="nil"/>
              <w:bottom w:val="single" w:sz="4" w:space="0" w:color="auto"/>
              <w:right w:val="single" w:sz="4" w:space="0" w:color="auto"/>
            </w:tcBorders>
            <w:shd w:val="clear" w:color="auto" w:fill="auto"/>
            <w:noWrap/>
            <w:vAlign w:val="center"/>
            <w:hideMark/>
          </w:tcPr>
          <w:p w14:paraId="6D45577D"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8.604</w:t>
            </w:r>
          </w:p>
        </w:tc>
        <w:tc>
          <w:tcPr>
            <w:tcW w:w="1600" w:type="dxa"/>
            <w:tcBorders>
              <w:top w:val="nil"/>
              <w:left w:val="nil"/>
              <w:bottom w:val="single" w:sz="4" w:space="0" w:color="auto"/>
              <w:right w:val="single" w:sz="4" w:space="0" w:color="auto"/>
            </w:tcBorders>
            <w:shd w:val="clear" w:color="auto" w:fill="auto"/>
            <w:noWrap/>
            <w:vAlign w:val="center"/>
            <w:hideMark/>
          </w:tcPr>
          <w:p w14:paraId="183A4DEC"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3.220</w:t>
            </w:r>
          </w:p>
        </w:tc>
        <w:tc>
          <w:tcPr>
            <w:tcW w:w="1200" w:type="dxa"/>
            <w:tcBorders>
              <w:top w:val="nil"/>
              <w:left w:val="nil"/>
              <w:bottom w:val="single" w:sz="4" w:space="0" w:color="auto"/>
              <w:right w:val="single" w:sz="4" w:space="0" w:color="auto"/>
            </w:tcBorders>
            <w:shd w:val="clear" w:color="auto" w:fill="auto"/>
            <w:noWrap/>
            <w:vAlign w:val="center"/>
            <w:hideMark/>
          </w:tcPr>
          <w:p w14:paraId="0FCC25C9"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2.024</w:t>
            </w:r>
          </w:p>
        </w:tc>
        <w:tc>
          <w:tcPr>
            <w:tcW w:w="1200" w:type="dxa"/>
            <w:tcBorders>
              <w:top w:val="nil"/>
              <w:left w:val="nil"/>
              <w:bottom w:val="single" w:sz="4" w:space="0" w:color="auto"/>
              <w:right w:val="single" w:sz="4" w:space="0" w:color="auto"/>
            </w:tcBorders>
            <w:shd w:val="clear" w:color="auto" w:fill="auto"/>
            <w:noWrap/>
            <w:vAlign w:val="center"/>
            <w:hideMark/>
          </w:tcPr>
          <w:p w14:paraId="25D25BB3"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12</w:t>
            </w:r>
          </w:p>
        </w:tc>
        <w:tc>
          <w:tcPr>
            <w:tcW w:w="1200" w:type="dxa"/>
            <w:tcBorders>
              <w:top w:val="nil"/>
              <w:left w:val="nil"/>
              <w:bottom w:val="single" w:sz="4" w:space="0" w:color="auto"/>
              <w:right w:val="single" w:sz="4" w:space="0" w:color="auto"/>
            </w:tcBorders>
            <w:shd w:val="clear" w:color="auto" w:fill="auto"/>
            <w:noWrap/>
            <w:vAlign w:val="center"/>
            <w:hideMark/>
          </w:tcPr>
          <w:p w14:paraId="1214A70A"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13.860</w:t>
            </w:r>
          </w:p>
        </w:tc>
        <w:tc>
          <w:tcPr>
            <w:tcW w:w="1520" w:type="dxa"/>
            <w:tcBorders>
              <w:top w:val="nil"/>
              <w:left w:val="nil"/>
              <w:bottom w:val="single" w:sz="4" w:space="0" w:color="auto"/>
              <w:right w:val="single" w:sz="4" w:space="0" w:color="auto"/>
            </w:tcBorders>
            <w:shd w:val="clear" w:color="auto" w:fill="auto"/>
            <w:noWrap/>
            <w:vAlign w:val="center"/>
            <w:hideMark/>
          </w:tcPr>
          <w:p w14:paraId="3D58E946"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7.264</w:t>
            </w:r>
          </w:p>
        </w:tc>
      </w:tr>
      <w:tr w:rsidR="009A09ED" w:rsidRPr="00E02C7F" w14:paraId="21856B30"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0E753E92"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N_92</w:t>
            </w:r>
          </w:p>
        </w:tc>
        <w:tc>
          <w:tcPr>
            <w:tcW w:w="1200" w:type="dxa"/>
            <w:tcBorders>
              <w:top w:val="nil"/>
              <w:left w:val="nil"/>
              <w:bottom w:val="single" w:sz="4" w:space="0" w:color="auto"/>
              <w:right w:val="single" w:sz="4" w:space="0" w:color="auto"/>
            </w:tcBorders>
            <w:shd w:val="clear" w:color="auto" w:fill="auto"/>
            <w:noWrap/>
            <w:vAlign w:val="center"/>
            <w:hideMark/>
          </w:tcPr>
          <w:p w14:paraId="42EE205C"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134.629</w:t>
            </w:r>
          </w:p>
        </w:tc>
        <w:tc>
          <w:tcPr>
            <w:tcW w:w="1600" w:type="dxa"/>
            <w:tcBorders>
              <w:top w:val="nil"/>
              <w:left w:val="nil"/>
              <w:bottom w:val="single" w:sz="4" w:space="0" w:color="auto"/>
              <w:right w:val="single" w:sz="4" w:space="0" w:color="auto"/>
            </w:tcBorders>
            <w:shd w:val="clear" w:color="auto" w:fill="auto"/>
            <w:noWrap/>
            <w:vAlign w:val="center"/>
            <w:hideMark/>
          </w:tcPr>
          <w:p w14:paraId="445C418A"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50.379</w:t>
            </w:r>
          </w:p>
        </w:tc>
        <w:tc>
          <w:tcPr>
            <w:tcW w:w="1200" w:type="dxa"/>
            <w:tcBorders>
              <w:top w:val="nil"/>
              <w:left w:val="nil"/>
              <w:bottom w:val="single" w:sz="4" w:space="0" w:color="auto"/>
              <w:right w:val="single" w:sz="4" w:space="0" w:color="auto"/>
            </w:tcBorders>
            <w:shd w:val="clear" w:color="auto" w:fill="auto"/>
            <w:noWrap/>
            <w:vAlign w:val="center"/>
            <w:hideMark/>
          </w:tcPr>
          <w:p w14:paraId="224B15FD"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31.669</w:t>
            </w:r>
          </w:p>
        </w:tc>
        <w:tc>
          <w:tcPr>
            <w:tcW w:w="1200" w:type="dxa"/>
            <w:tcBorders>
              <w:top w:val="nil"/>
              <w:left w:val="nil"/>
              <w:bottom w:val="single" w:sz="4" w:space="0" w:color="auto"/>
              <w:right w:val="single" w:sz="4" w:space="0" w:color="auto"/>
            </w:tcBorders>
            <w:shd w:val="clear" w:color="auto" w:fill="auto"/>
            <w:noWrap/>
            <w:vAlign w:val="center"/>
            <w:hideMark/>
          </w:tcPr>
          <w:p w14:paraId="35974FFF"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991</w:t>
            </w:r>
          </w:p>
        </w:tc>
        <w:tc>
          <w:tcPr>
            <w:tcW w:w="1200" w:type="dxa"/>
            <w:tcBorders>
              <w:top w:val="nil"/>
              <w:left w:val="nil"/>
              <w:bottom w:val="single" w:sz="4" w:space="0" w:color="auto"/>
              <w:right w:val="single" w:sz="4" w:space="0" w:color="auto"/>
            </w:tcBorders>
            <w:shd w:val="clear" w:color="auto" w:fill="auto"/>
            <w:noWrap/>
            <w:vAlign w:val="center"/>
            <w:hideMark/>
          </w:tcPr>
          <w:p w14:paraId="08E4AF40"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217.668</w:t>
            </w:r>
          </w:p>
        </w:tc>
        <w:tc>
          <w:tcPr>
            <w:tcW w:w="1520" w:type="dxa"/>
            <w:tcBorders>
              <w:top w:val="nil"/>
              <w:left w:val="nil"/>
              <w:bottom w:val="single" w:sz="4" w:space="0" w:color="auto"/>
              <w:right w:val="single" w:sz="4" w:space="0" w:color="auto"/>
            </w:tcBorders>
            <w:shd w:val="clear" w:color="auto" w:fill="auto"/>
            <w:noWrap/>
            <w:vAlign w:val="center"/>
            <w:hideMark/>
          </w:tcPr>
          <w:p w14:paraId="4823D3E9"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113.661</w:t>
            </w:r>
          </w:p>
        </w:tc>
      </w:tr>
      <w:tr w:rsidR="009A09ED" w:rsidRPr="00E02C7F" w14:paraId="164C6638"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166DC63D"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N_93</w:t>
            </w:r>
          </w:p>
        </w:tc>
        <w:tc>
          <w:tcPr>
            <w:tcW w:w="1200" w:type="dxa"/>
            <w:tcBorders>
              <w:top w:val="nil"/>
              <w:left w:val="nil"/>
              <w:bottom w:val="single" w:sz="4" w:space="0" w:color="auto"/>
              <w:right w:val="single" w:sz="4" w:space="0" w:color="auto"/>
            </w:tcBorders>
            <w:shd w:val="clear" w:color="auto" w:fill="auto"/>
            <w:noWrap/>
            <w:vAlign w:val="center"/>
            <w:hideMark/>
          </w:tcPr>
          <w:p w14:paraId="0C5AD5AD"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600" w:type="dxa"/>
            <w:tcBorders>
              <w:top w:val="nil"/>
              <w:left w:val="nil"/>
              <w:bottom w:val="single" w:sz="4" w:space="0" w:color="auto"/>
              <w:right w:val="single" w:sz="4" w:space="0" w:color="auto"/>
            </w:tcBorders>
            <w:shd w:val="clear" w:color="auto" w:fill="auto"/>
            <w:noWrap/>
            <w:vAlign w:val="center"/>
            <w:hideMark/>
          </w:tcPr>
          <w:p w14:paraId="13C3F437"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200" w:type="dxa"/>
            <w:tcBorders>
              <w:top w:val="nil"/>
              <w:left w:val="nil"/>
              <w:bottom w:val="single" w:sz="4" w:space="0" w:color="auto"/>
              <w:right w:val="single" w:sz="4" w:space="0" w:color="auto"/>
            </w:tcBorders>
            <w:shd w:val="clear" w:color="auto" w:fill="auto"/>
            <w:noWrap/>
            <w:vAlign w:val="center"/>
            <w:hideMark/>
          </w:tcPr>
          <w:p w14:paraId="5F7C9574"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200" w:type="dxa"/>
            <w:tcBorders>
              <w:top w:val="nil"/>
              <w:left w:val="nil"/>
              <w:bottom w:val="single" w:sz="4" w:space="0" w:color="auto"/>
              <w:right w:val="single" w:sz="4" w:space="0" w:color="auto"/>
            </w:tcBorders>
            <w:shd w:val="clear" w:color="auto" w:fill="auto"/>
            <w:noWrap/>
            <w:vAlign w:val="center"/>
            <w:hideMark/>
          </w:tcPr>
          <w:p w14:paraId="497E7B2D"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200" w:type="dxa"/>
            <w:tcBorders>
              <w:top w:val="nil"/>
              <w:left w:val="nil"/>
              <w:bottom w:val="single" w:sz="4" w:space="0" w:color="auto"/>
              <w:right w:val="single" w:sz="4" w:space="0" w:color="auto"/>
            </w:tcBorders>
            <w:shd w:val="clear" w:color="auto" w:fill="auto"/>
            <w:noWrap/>
            <w:vAlign w:val="center"/>
            <w:hideMark/>
          </w:tcPr>
          <w:p w14:paraId="144846BD"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520" w:type="dxa"/>
            <w:tcBorders>
              <w:top w:val="nil"/>
              <w:left w:val="nil"/>
              <w:bottom w:val="single" w:sz="4" w:space="0" w:color="auto"/>
              <w:right w:val="single" w:sz="4" w:space="0" w:color="auto"/>
            </w:tcBorders>
            <w:shd w:val="clear" w:color="auto" w:fill="auto"/>
            <w:noWrap/>
            <w:vAlign w:val="center"/>
            <w:hideMark/>
          </w:tcPr>
          <w:p w14:paraId="33CE8EE3"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r>
      <w:tr w:rsidR="009A09ED" w:rsidRPr="00E02C7F" w14:paraId="7326F77C"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0BFA3E53"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N_94</w:t>
            </w:r>
          </w:p>
        </w:tc>
        <w:tc>
          <w:tcPr>
            <w:tcW w:w="1200" w:type="dxa"/>
            <w:tcBorders>
              <w:top w:val="nil"/>
              <w:left w:val="nil"/>
              <w:bottom w:val="single" w:sz="4" w:space="0" w:color="auto"/>
              <w:right w:val="single" w:sz="4" w:space="0" w:color="auto"/>
            </w:tcBorders>
            <w:shd w:val="clear" w:color="auto" w:fill="auto"/>
            <w:noWrap/>
            <w:vAlign w:val="center"/>
            <w:hideMark/>
          </w:tcPr>
          <w:p w14:paraId="1A35B0AD"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60.961</w:t>
            </w:r>
          </w:p>
        </w:tc>
        <w:tc>
          <w:tcPr>
            <w:tcW w:w="1600" w:type="dxa"/>
            <w:tcBorders>
              <w:top w:val="nil"/>
              <w:left w:val="nil"/>
              <w:bottom w:val="single" w:sz="4" w:space="0" w:color="auto"/>
              <w:right w:val="single" w:sz="4" w:space="0" w:color="auto"/>
            </w:tcBorders>
            <w:shd w:val="clear" w:color="auto" w:fill="auto"/>
            <w:noWrap/>
            <w:vAlign w:val="center"/>
            <w:hideMark/>
          </w:tcPr>
          <w:p w14:paraId="18C78B02"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22.812</w:t>
            </w:r>
          </w:p>
        </w:tc>
        <w:tc>
          <w:tcPr>
            <w:tcW w:w="1200" w:type="dxa"/>
            <w:tcBorders>
              <w:top w:val="nil"/>
              <w:left w:val="nil"/>
              <w:bottom w:val="single" w:sz="4" w:space="0" w:color="auto"/>
              <w:right w:val="single" w:sz="4" w:space="0" w:color="auto"/>
            </w:tcBorders>
            <w:shd w:val="clear" w:color="auto" w:fill="auto"/>
            <w:noWrap/>
            <w:vAlign w:val="center"/>
            <w:hideMark/>
          </w:tcPr>
          <w:p w14:paraId="3A2C7B02"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14.340</w:t>
            </w:r>
          </w:p>
        </w:tc>
        <w:tc>
          <w:tcPr>
            <w:tcW w:w="1200" w:type="dxa"/>
            <w:tcBorders>
              <w:top w:val="nil"/>
              <w:left w:val="nil"/>
              <w:bottom w:val="single" w:sz="4" w:space="0" w:color="auto"/>
              <w:right w:val="single" w:sz="4" w:space="0" w:color="auto"/>
            </w:tcBorders>
            <w:shd w:val="clear" w:color="auto" w:fill="auto"/>
            <w:noWrap/>
            <w:vAlign w:val="center"/>
            <w:hideMark/>
          </w:tcPr>
          <w:p w14:paraId="5777C6CE"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624</w:t>
            </w:r>
          </w:p>
        </w:tc>
        <w:tc>
          <w:tcPr>
            <w:tcW w:w="1200" w:type="dxa"/>
            <w:tcBorders>
              <w:top w:val="nil"/>
              <w:left w:val="nil"/>
              <w:bottom w:val="single" w:sz="4" w:space="0" w:color="auto"/>
              <w:right w:val="single" w:sz="4" w:space="0" w:color="auto"/>
            </w:tcBorders>
            <w:shd w:val="clear" w:color="auto" w:fill="auto"/>
            <w:noWrap/>
            <w:vAlign w:val="center"/>
            <w:hideMark/>
          </w:tcPr>
          <w:p w14:paraId="2912A6D4"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98.737</w:t>
            </w:r>
          </w:p>
        </w:tc>
        <w:tc>
          <w:tcPr>
            <w:tcW w:w="1520" w:type="dxa"/>
            <w:tcBorders>
              <w:top w:val="nil"/>
              <w:left w:val="nil"/>
              <w:bottom w:val="single" w:sz="4" w:space="0" w:color="auto"/>
              <w:right w:val="single" w:sz="4" w:space="0" w:color="auto"/>
            </w:tcBorders>
            <w:shd w:val="clear" w:color="auto" w:fill="auto"/>
            <w:noWrap/>
            <w:vAlign w:val="center"/>
            <w:hideMark/>
          </w:tcPr>
          <w:p w14:paraId="4B96CC43"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51.467</w:t>
            </w:r>
          </w:p>
        </w:tc>
      </w:tr>
      <w:tr w:rsidR="009A09ED" w:rsidRPr="00E02C7F" w14:paraId="599E90CE"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38F14563"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N_95</w:t>
            </w:r>
          </w:p>
        </w:tc>
        <w:tc>
          <w:tcPr>
            <w:tcW w:w="1200" w:type="dxa"/>
            <w:tcBorders>
              <w:top w:val="nil"/>
              <w:left w:val="nil"/>
              <w:bottom w:val="single" w:sz="4" w:space="0" w:color="auto"/>
              <w:right w:val="single" w:sz="4" w:space="0" w:color="auto"/>
            </w:tcBorders>
            <w:shd w:val="clear" w:color="auto" w:fill="auto"/>
            <w:noWrap/>
            <w:vAlign w:val="center"/>
            <w:hideMark/>
          </w:tcPr>
          <w:p w14:paraId="1AFFABAD"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39.673</w:t>
            </w:r>
          </w:p>
        </w:tc>
        <w:tc>
          <w:tcPr>
            <w:tcW w:w="1600" w:type="dxa"/>
            <w:tcBorders>
              <w:top w:val="nil"/>
              <w:left w:val="nil"/>
              <w:bottom w:val="single" w:sz="4" w:space="0" w:color="auto"/>
              <w:right w:val="single" w:sz="4" w:space="0" w:color="auto"/>
            </w:tcBorders>
            <w:shd w:val="clear" w:color="auto" w:fill="auto"/>
            <w:noWrap/>
            <w:vAlign w:val="center"/>
            <w:hideMark/>
          </w:tcPr>
          <w:p w14:paraId="5D69D4FA"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14.846</w:t>
            </w:r>
          </w:p>
        </w:tc>
        <w:tc>
          <w:tcPr>
            <w:tcW w:w="1200" w:type="dxa"/>
            <w:tcBorders>
              <w:top w:val="nil"/>
              <w:left w:val="nil"/>
              <w:bottom w:val="single" w:sz="4" w:space="0" w:color="auto"/>
              <w:right w:val="single" w:sz="4" w:space="0" w:color="auto"/>
            </w:tcBorders>
            <w:shd w:val="clear" w:color="auto" w:fill="auto"/>
            <w:noWrap/>
            <w:vAlign w:val="center"/>
            <w:hideMark/>
          </w:tcPr>
          <w:p w14:paraId="401C5F73"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9.332</w:t>
            </w:r>
          </w:p>
        </w:tc>
        <w:tc>
          <w:tcPr>
            <w:tcW w:w="1200" w:type="dxa"/>
            <w:tcBorders>
              <w:top w:val="nil"/>
              <w:left w:val="nil"/>
              <w:bottom w:val="single" w:sz="4" w:space="0" w:color="auto"/>
              <w:right w:val="single" w:sz="4" w:space="0" w:color="auto"/>
            </w:tcBorders>
            <w:shd w:val="clear" w:color="auto" w:fill="auto"/>
            <w:noWrap/>
            <w:vAlign w:val="center"/>
            <w:hideMark/>
          </w:tcPr>
          <w:p w14:paraId="1B869672"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292</w:t>
            </w:r>
          </w:p>
        </w:tc>
        <w:tc>
          <w:tcPr>
            <w:tcW w:w="1200" w:type="dxa"/>
            <w:tcBorders>
              <w:top w:val="nil"/>
              <w:left w:val="nil"/>
              <w:bottom w:val="single" w:sz="4" w:space="0" w:color="auto"/>
              <w:right w:val="single" w:sz="4" w:space="0" w:color="auto"/>
            </w:tcBorders>
            <w:shd w:val="clear" w:color="auto" w:fill="auto"/>
            <w:noWrap/>
            <w:vAlign w:val="center"/>
            <w:hideMark/>
          </w:tcPr>
          <w:p w14:paraId="15465AD3"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64.143</w:t>
            </w:r>
          </w:p>
        </w:tc>
        <w:tc>
          <w:tcPr>
            <w:tcW w:w="1520" w:type="dxa"/>
            <w:tcBorders>
              <w:top w:val="nil"/>
              <w:left w:val="nil"/>
              <w:bottom w:val="single" w:sz="4" w:space="0" w:color="auto"/>
              <w:right w:val="single" w:sz="4" w:space="0" w:color="auto"/>
            </w:tcBorders>
            <w:shd w:val="clear" w:color="auto" w:fill="auto"/>
            <w:noWrap/>
            <w:vAlign w:val="center"/>
            <w:hideMark/>
          </w:tcPr>
          <w:p w14:paraId="47170819"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33.494</w:t>
            </w:r>
          </w:p>
        </w:tc>
      </w:tr>
      <w:tr w:rsidR="009A09ED" w:rsidRPr="00E02C7F" w14:paraId="1DC79631"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332613FE"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N_96</w:t>
            </w:r>
          </w:p>
        </w:tc>
        <w:tc>
          <w:tcPr>
            <w:tcW w:w="1200" w:type="dxa"/>
            <w:tcBorders>
              <w:top w:val="nil"/>
              <w:left w:val="nil"/>
              <w:bottom w:val="single" w:sz="4" w:space="0" w:color="auto"/>
              <w:right w:val="single" w:sz="4" w:space="0" w:color="auto"/>
            </w:tcBorders>
            <w:shd w:val="clear" w:color="auto" w:fill="auto"/>
            <w:noWrap/>
            <w:vAlign w:val="center"/>
            <w:hideMark/>
          </w:tcPr>
          <w:p w14:paraId="56D9B2FD"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48.996</w:t>
            </w:r>
          </w:p>
        </w:tc>
        <w:tc>
          <w:tcPr>
            <w:tcW w:w="1600" w:type="dxa"/>
            <w:tcBorders>
              <w:top w:val="nil"/>
              <w:left w:val="nil"/>
              <w:bottom w:val="single" w:sz="4" w:space="0" w:color="auto"/>
              <w:right w:val="single" w:sz="4" w:space="0" w:color="auto"/>
            </w:tcBorders>
            <w:shd w:val="clear" w:color="auto" w:fill="auto"/>
            <w:noWrap/>
            <w:vAlign w:val="center"/>
            <w:hideMark/>
          </w:tcPr>
          <w:p w14:paraId="78B48B31"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18.335</w:t>
            </w:r>
          </w:p>
        </w:tc>
        <w:tc>
          <w:tcPr>
            <w:tcW w:w="1200" w:type="dxa"/>
            <w:tcBorders>
              <w:top w:val="nil"/>
              <w:left w:val="nil"/>
              <w:bottom w:val="single" w:sz="4" w:space="0" w:color="auto"/>
              <w:right w:val="single" w:sz="4" w:space="0" w:color="auto"/>
            </w:tcBorders>
            <w:shd w:val="clear" w:color="auto" w:fill="auto"/>
            <w:noWrap/>
            <w:vAlign w:val="center"/>
            <w:hideMark/>
          </w:tcPr>
          <w:p w14:paraId="414CDD99"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11.525</w:t>
            </w:r>
          </w:p>
        </w:tc>
        <w:tc>
          <w:tcPr>
            <w:tcW w:w="1200" w:type="dxa"/>
            <w:tcBorders>
              <w:top w:val="nil"/>
              <w:left w:val="nil"/>
              <w:bottom w:val="single" w:sz="4" w:space="0" w:color="auto"/>
              <w:right w:val="single" w:sz="4" w:space="0" w:color="auto"/>
            </w:tcBorders>
            <w:shd w:val="clear" w:color="auto" w:fill="auto"/>
            <w:noWrap/>
            <w:vAlign w:val="center"/>
            <w:hideMark/>
          </w:tcPr>
          <w:p w14:paraId="3CDE07BB"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361</w:t>
            </w:r>
          </w:p>
        </w:tc>
        <w:tc>
          <w:tcPr>
            <w:tcW w:w="1200" w:type="dxa"/>
            <w:tcBorders>
              <w:top w:val="nil"/>
              <w:left w:val="nil"/>
              <w:bottom w:val="single" w:sz="4" w:space="0" w:color="auto"/>
              <w:right w:val="single" w:sz="4" w:space="0" w:color="auto"/>
            </w:tcBorders>
            <w:shd w:val="clear" w:color="auto" w:fill="auto"/>
            <w:noWrap/>
            <w:vAlign w:val="center"/>
            <w:hideMark/>
          </w:tcPr>
          <w:p w14:paraId="2CDB5FE9"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79.216</w:t>
            </w:r>
          </w:p>
        </w:tc>
        <w:tc>
          <w:tcPr>
            <w:tcW w:w="1520" w:type="dxa"/>
            <w:tcBorders>
              <w:top w:val="nil"/>
              <w:left w:val="nil"/>
              <w:bottom w:val="single" w:sz="4" w:space="0" w:color="auto"/>
              <w:right w:val="single" w:sz="4" w:space="0" w:color="auto"/>
            </w:tcBorders>
            <w:shd w:val="clear" w:color="auto" w:fill="auto"/>
            <w:noWrap/>
            <w:vAlign w:val="center"/>
            <w:hideMark/>
          </w:tcPr>
          <w:p w14:paraId="76FB325A"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41.365</w:t>
            </w:r>
          </w:p>
        </w:tc>
      </w:tr>
      <w:tr w:rsidR="009A09ED" w:rsidRPr="00E02C7F" w14:paraId="44769E28"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0CD99412"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N_97</w:t>
            </w:r>
          </w:p>
        </w:tc>
        <w:tc>
          <w:tcPr>
            <w:tcW w:w="1200" w:type="dxa"/>
            <w:tcBorders>
              <w:top w:val="nil"/>
              <w:left w:val="nil"/>
              <w:bottom w:val="single" w:sz="4" w:space="0" w:color="auto"/>
              <w:right w:val="single" w:sz="4" w:space="0" w:color="auto"/>
            </w:tcBorders>
            <w:shd w:val="clear" w:color="auto" w:fill="auto"/>
            <w:noWrap/>
            <w:vAlign w:val="center"/>
            <w:hideMark/>
          </w:tcPr>
          <w:p w14:paraId="121227D8"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600" w:type="dxa"/>
            <w:tcBorders>
              <w:top w:val="nil"/>
              <w:left w:val="nil"/>
              <w:bottom w:val="single" w:sz="4" w:space="0" w:color="auto"/>
              <w:right w:val="single" w:sz="4" w:space="0" w:color="auto"/>
            </w:tcBorders>
            <w:shd w:val="clear" w:color="auto" w:fill="auto"/>
            <w:noWrap/>
            <w:vAlign w:val="center"/>
            <w:hideMark/>
          </w:tcPr>
          <w:p w14:paraId="5D8F50E0"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200" w:type="dxa"/>
            <w:tcBorders>
              <w:top w:val="nil"/>
              <w:left w:val="nil"/>
              <w:bottom w:val="single" w:sz="4" w:space="0" w:color="auto"/>
              <w:right w:val="single" w:sz="4" w:space="0" w:color="auto"/>
            </w:tcBorders>
            <w:shd w:val="clear" w:color="auto" w:fill="auto"/>
            <w:noWrap/>
            <w:vAlign w:val="center"/>
            <w:hideMark/>
          </w:tcPr>
          <w:p w14:paraId="5E1E7F2F"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200" w:type="dxa"/>
            <w:tcBorders>
              <w:top w:val="nil"/>
              <w:left w:val="nil"/>
              <w:bottom w:val="single" w:sz="4" w:space="0" w:color="auto"/>
              <w:right w:val="single" w:sz="4" w:space="0" w:color="auto"/>
            </w:tcBorders>
            <w:shd w:val="clear" w:color="auto" w:fill="auto"/>
            <w:noWrap/>
            <w:vAlign w:val="center"/>
            <w:hideMark/>
          </w:tcPr>
          <w:p w14:paraId="530217CC"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200" w:type="dxa"/>
            <w:tcBorders>
              <w:top w:val="nil"/>
              <w:left w:val="nil"/>
              <w:bottom w:val="single" w:sz="4" w:space="0" w:color="auto"/>
              <w:right w:val="single" w:sz="4" w:space="0" w:color="auto"/>
            </w:tcBorders>
            <w:shd w:val="clear" w:color="auto" w:fill="auto"/>
            <w:noWrap/>
            <w:vAlign w:val="center"/>
            <w:hideMark/>
          </w:tcPr>
          <w:p w14:paraId="1257D244"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520" w:type="dxa"/>
            <w:tcBorders>
              <w:top w:val="nil"/>
              <w:left w:val="nil"/>
              <w:bottom w:val="single" w:sz="4" w:space="0" w:color="auto"/>
              <w:right w:val="single" w:sz="4" w:space="0" w:color="auto"/>
            </w:tcBorders>
            <w:shd w:val="clear" w:color="auto" w:fill="auto"/>
            <w:noWrap/>
            <w:vAlign w:val="center"/>
            <w:hideMark/>
          </w:tcPr>
          <w:p w14:paraId="4E2A366C"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r>
      <w:tr w:rsidR="009A09ED" w:rsidRPr="00E02C7F" w14:paraId="32FB3514"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159E44F8"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N_98</w:t>
            </w:r>
          </w:p>
        </w:tc>
        <w:tc>
          <w:tcPr>
            <w:tcW w:w="1200" w:type="dxa"/>
            <w:tcBorders>
              <w:top w:val="nil"/>
              <w:left w:val="nil"/>
              <w:bottom w:val="single" w:sz="4" w:space="0" w:color="auto"/>
              <w:right w:val="single" w:sz="4" w:space="0" w:color="auto"/>
            </w:tcBorders>
            <w:shd w:val="clear" w:color="auto" w:fill="auto"/>
            <w:noWrap/>
            <w:vAlign w:val="center"/>
            <w:hideMark/>
          </w:tcPr>
          <w:p w14:paraId="73C888CD"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112.116</w:t>
            </w:r>
          </w:p>
        </w:tc>
        <w:tc>
          <w:tcPr>
            <w:tcW w:w="1600" w:type="dxa"/>
            <w:tcBorders>
              <w:top w:val="nil"/>
              <w:left w:val="nil"/>
              <w:bottom w:val="single" w:sz="4" w:space="0" w:color="auto"/>
              <w:right w:val="single" w:sz="4" w:space="0" w:color="auto"/>
            </w:tcBorders>
            <w:shd w:val="clear" w:color="auto" w:fill="auto"/>
            <w:noWrap/>
            <w:vAlign w:val="center"/>
            <w:hideMark/>
          </w:tcPr>
          <w:p w14:paraId="6F350ED7"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41.955</w:t>
            </w:r>
          </w:p>
        </w:tc>
        <w:tc>
          <w:tcPr>
            <w:tcW w:w="1200" w:type="dxa"/>
            <w:tcBorders>
              <w:top w:val="nil"/>
              <w:left w:val="nil"/>
              <w:bottom w:val="single" w:sz="4" w:space="0" w:color="auto"/>
              <w:right w:val="single" w:sz="4" w:space="0" w:color="auto"/>
            </w:tcBorders>
            <w:shd w:val="clear" w:color="auto" w:fill="auto"/>
            <w:noWrap/>
            <w:vAlign w:val="center"/>
            <w:hideMark/>
          </w:tcPr>
          <w:p w14:paraId="61873D5F"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26.373</w:t>
            </w:r>
          </w:p>
        </w:tc>
        <w:tc>
          <w:tcPr>
            <w:tcW w:w="1200" w:type="dxa"/>
            <w:tcBorders>
              <w:top w:val="nil"/>
              <w:left w:val="nil"/>
              <w:bottom w:val="single" w:sz="4" w:space="0" w:color="auto"/>
              <w:right w:val="single" w:sz="4" w:space="0" w:color="auto"/>
            </w:tcBorders>
            <w:shd w:val="clear" w:color="auto" w:fill="auto"/>
            <w:noWrap/>
            <w:vAlign w:val="center"/>
            <w:hideMark/>
          </w:tcPr>
          <w:p w14:paraId="1C4A5BAD"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895</w:t>
            </w:r>
          </w:p>
        </w:tc>
        <w:tc>
          <w:tcPr>
            <w:tcW w:w="1200" w:type="dxa"/>
            <w:tcBorders>
              <w:top w:val="nil"/>
              <w:left w:val="nil"/>
              <w:bottom w:val="single" w:sz="4" w:space="0" w:color="auto"/>
              <w:right w:val="single" w:sz="4" w:space="0" w:color="auto"/>
            </w:tcBorders>
            <w:shd w:val="clear" w:color="auto" w:fill="auto"/>
            <w:noWrap/>
            <w:vAlign w:val="center"/>
            <w:hideMark/>
          </w:tcPr>
          <w:p w14:paraId="6BABC07B"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181.339</w:t>
            </w:r>
          </w:p>
        </w:tc>
        <w:tc>
          <w:tcPr>
            <w:tcW w:w="1520" w:type="dxa"/>
            <w:tcBorders>
              <w:top w:val="nil"/>
              <w:left w:val="nil"/>
              <w:bottom w:val="single" w:sz="4" w:space="0" w:color="auto"/>
              <w:right w:val="single" w:sz="4" w:space="0" w:color="auto"/>
            </w:tcBorders>
            <w:shd w:val="clear" w:color="auto" w:fill="auto"/>
            <w:noWrap/>
            <w:vAlign w:val="center"/>
            <w:hideMark/>
          </w:tcPr>
          <w:p w14:paraId="37041736"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94.655</w:t>
            </w:r>
          </w:p>
        </w:tc>
      </w:tr>
      <w:tr w:rsidR="009A09ED" w:rsidRPr="00E02C7F" w14:paraId="150D8116"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6A301E86"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N_99</w:t>
            </w:r>
          </w:p>
        </w:tc>
        <w:tc>
          <w:tcPr>
            <w:tcW w:w="1200" w:type="dxa"/>
            <w:tcBorders>
              <w:top w:val="nil"/>
              <w:left w:val="nil"/>
              <w:bottom w:val="single" w:sz="4" w:space="0" w:color="auto"/>
              <w:right w:val="single" w:sz="4" w:space="0" w:color="auto"/>
            </w:tcBorders>
            <w:shd w:val="clear" w:color="auto" w:fill="auto"/>
            <w:noWrap/>
            <w:vAlign w:val="center"/>
            <w:hideMark/>
          </w:tcPr>
          <w:p w14:paraId="530FE7D9"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45.544</w:t>
            </w:r>
          </w:p>
        </w:tc>
        <w:tc>
          <w:tcPr>
            <w:tcW w:w="1600" w:type="dxa"/>
            <w:tcBorders>
              <w:top w:val="nil"/>
              <w:left w:val="nil"/>
              <w:bottom w:val="single" w:sz="4" w:space="0" w:color="auto"/>
              <w:right w:val="single" w:sz="4" w:space="0" w:color="auto"/>
            </w:tcBorders>
            <w:shd w:val="clear" w:color="auto" w:fill="auto"/>
            <w:noWrap/>
            <w:vAlign w:val="center"/>
            <w:hideMark/>
          </w:tcPr>
          <w:p w14:paraId="243E62A0"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17.043</w:t>
            </w:r>
          </w:p>
        </w:tc>
        <w:tc>
          <w:tcPr>
            <w:tcW w:w="1200" w:type="dxa"/>
            <w:tcBorders>
              <w:top w:val="nil"/>
              <w:left w:val="nil"/>
              <w:bottom w:val="single" w:sz="4" w:space="0" w:color="auto"/>
              <w:right w:val="single" w:sz="4" w:space="0" w:color="auto"/>
            </w:tcBorders>
            <w:shd w:val="clear" w:color="auto" w:fill="auto"/>
            <w:noWrap/>
            <w:vAlign w:val="center"/>
            <w:hideMark/>
          </w:tcPr>
          <w:p w14:paraId="085A5218"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10.713</w:t>
            </w:r>
          </w:p>
        </w:tc>
        <w:tc>
          <w:tcPr>
            <w:tcW w:w="1200" w:type="dxa"/>
            <w:tcBorders>
              <w:top w:val="nil"/>
              <w:left w:val="nil"/>
              <w:bottom w:val="single" w:sz="4" w:space="0" w:color="auto"/>
              <w:right w:val="single" w:sz="4" w:space="0" w:color="auto"/>
            </w:tcBorders>
            <w:shd w:val="clear" w:color="auto" w:fill="auto"/>
            <w:noWrap/>
            <w:vAlign w:val="center"/>
            <w:hideMark/>
          </w:tcPr>
          <w:p w14:paraId="0C0C1E84"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335</w:t>
            </w:r>
          </w:p>
        </w:tc>
        <w:tc>
          <w:tcPr>
            <w:tcW w:w="1200" w:type="dxa"/>
            <w:tcBorders>
              <w:top w:val="nil"/>
              <w:left w:val="nil"/>
              <w:bottom w:val="single" w:sz="4" w:space="0" w:color="auto"/>
              <w:right w:val="single" w:sz="4" w:space="0" w:color="auto"/>
            </w:tcBorders>
            <w:shd w:val="clear" w:color="auto" w:fill="auto"/>
            <w:noWrap/>
            <w:vAlign w:val="center"/>
            <w:hideMark/>
          </w:tcPr>
          <w:p w14:paraId="47FB5F7B"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73.635</w:t>
            </w:r>
          </w:p>
        </w:tc>
        <w:tc>
          <w:tcPr>
            <w:tcW w:w="1520" w:type="dxa"/>
            <w:tcBorders>
              <w:top w:val="nil"/>
              <w:left w:val="nil"/>
              <w:bottom w:val="single" w:sz="4" w:space="0" w:color="auto"/>
              <w:right w:val="single" w:sz="4" w:space="0" w:color="auto"/>
            </w:tcBorders>
            <w:shd w:val="clear" w:color="auto" w:fill="auto"/>
            <w:noWrap/>
            <w:vAlign w:val="center"/>
            <w:hideMark/>
          </w:tcPr>
          <w:p w14:paraId="118ACE00"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38.451</w:t>
            </w:r>
          </w:p>
        </w:tc>
      </w:tr>
      <w:tr w:rsidR="009A09ED" w:rsidRPr="00E02C7F" w14:paraId="0052A0CC"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421DED7A"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N_100</w:t>
            </w:r>
          </w:p>
        </w:tc>
        <w:tc>
          <w:tcPr>
            <w:tcW w:w="1200" w:type="dxa"/>
            <w:tcBorders>
              <w:top w:val="nil"/>
              <w:left w:val="nil"/>
              <w:bottom w:val="single" w:sz="4" w:space="0" w:color="auto"/>
              <w:right w:val="single" w:sz="4" w:space="0" w:color="auto"/>
            </w:tcBorders>
            <w:shd w:val="clear" w:color="auto" w:fill="auto"/>
            <w:noWrap/>
            <w:vAlign w:val="center"/>
            <w:hideMark/>
          </w:tcPr>
          <w:p w14:paraId="112C3BE9"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251</w:t>
            </w:r>
          </w:p>
        </w:tc>
        <w:tc>
          <w:tcPr>
            <w:tcW w:w="1600" w:type="dxa"/>
            <w:tcBorders>
              <w:top w:val="nil"/>
              <w:left w:val="nil"/>
              <w:bottom w:val="single" w:sz="4" w:space="0" w:color="auto"/>
              <w:right w:val="single" w:sz="4" w:space="0" w:color="auto"/>
            </w:tcBorders>
            <w:shd w:val="clear" w:color="auto" w:fill="auto"/>
            <w:noWrap/>
            <w:vAlign w:val="center"/>
            <w:hideMark/>
          </w:tcPr>
          <w:p w14:paraId="69032445"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94</w:t>
            </w:r>
          </w:p>
        </w:tc>
        <w:tc>
          <w:tcPr>
            <w:tcW w:w="1200" w:type="dxa"/>
            <w:tcBorders>
              <w:top w:val="nil"/>
              <w:left w:val="nil"/>
              <w:bottom w:val="single" w:sz="4" w:space="0" w:color="auto"/>
              <w:right w:val="single" w:sz="4" w:space="0" w:color="auto"/>
            </w:tcBorders>
            <w:shd w:val="clear" w:color="auto" w:fill="auto"/>
            <w:noWrap/>
            <w:vAlign w:val="center"/>
            <w:hideMark/>
          </w:tcPr>
          <w:p w14:paraId="389367F9"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59</w:t>
            </w:r>
          </w:p>
        </w:tc>
        <w:tc>
          <w:tcPr>
            <w:tcW w:w="1200" w:type="dxa"/>
            <w:tcBorders>
              <w:top w:val="nil"/>
              <w:left w:val="nil"/>
              <w:bottom w:val="single" w:sz="4" w:space="0" w:color="auto"/>
              <w:right w:val="single" w:sz="4" w:space="0" w:color="auto"/>
            </w:tcBorders>
            <w:shd w:val="clear" w:color="auto" w:fill="auto"/>
            <w:noWrap/>
            <w:vAlign w:val="center"/>
            <w:hideMark/>
          </w:tcPr>
          <w:p w14:paraId="0A088D6F"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w:t>
            </w:r>
          </w:p>
        </w:tc>
        <w:tc>
          <w:tcPr>
            <w:tcW w:w="1200" w:type="dxa"/>
            <w:tcBorders>
              <w:top w:val="nil"/>
              <w:left w:val="nil"/>
              <w:bottom w:val="single" w:sz="4" w:space="0" w:color="auto"/>
              <w:right w:val="single" w:sz="4" w:space="0" w:color="auto"/>
            </w:tcBorders>
            <w:shd w:val="clear" w:color="auto" w:fill="auto"/>
            <w:noWrap/>
            <w:vAlign w:val="center"/>
            <w:hideMark/>
          </w:tcPr>
          <w:p w14:paraId="052683DD"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406</w:t>
            </w:r>
          </w:p>
        </w:tc>
        <w:tc>
          <w:tcPr>
            <w:tcW w:w="1520" w:type="dxa"/>
            <w:tcBorders>
              <w:top w:val="nil"/>
              <w:left w:val="nil"/>
              <w:bottom w:val="single" w:sz="4" w:space="0" w:color="auto"/>
              <w:right w:val="single" w:sz="4" w:space="0" w:color="auto"/>
            </w:tcBorders>
            <w:shd w:val="clear" w:color="auto" w:fill="auto"/>
            <w:noWrap/>
            <w:vAlign w:val="center"/>
            <w:hideMark/>
          </w:tcPr>
          <w:p w14:paraId="319D7307"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212</w:t>
            </w:r>
          </w:p>
        </w:tc>
      </w:tr>
      <w:tr w:rsidR="009A09ED" w:rsidRPr="00E02C7F" w14:paraId="10BB9C28"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7CEF6FFF"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N_101</w:t>
            </w:r>
          </w:p>
        </w:tc>
        <w:tc>
          <w:tcPr>
            <w:tcW w:w="1200" w:type="dxa"/>
            <w:tcBorders>
              <w:top w:val="nil"/>
              <w:left w:val="nil"/>
              <w:bottom w:val="single" w:sz="4" w:space="0" w:color="auto"/>
              <w:right w:val="single" w:sz="4" w:space="0" w:color="auto"/>
            </w:tcBorders>
            <w:shd w:val="clear" w:color="auto" w:fill="auto"/>
            <w:noWrap/>
            <w:vAlign w:val="center"/>
            <w:hideMark/>
          </w:tcPr>
          <w:p w14:paraId="08A88B31"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43.721</w:t>
            </w:r>
          </w:p>
        </w:tc>
        <w:tc>
          <w:tcPr>
            <w:tcW w:w="1600" w:type="dxa"/>
            <w:tcBorders>
              <w:top w:val="nil"/>
              <w:left w:val="nil"/>
              <w:bottom w:val="single" w:sz="4" w:space="0" w:color="auto"/>
              <w:right w:val="single" w:sz="4" w:space="0" w:color="auto"/>
            </w:tcBorders>
            <w:shd w:val="clear" w:color="auto" w:fill="auto"/>
            <w:noWrap/>
            <w:vAlign w:val="center"/>
            <w:hideMark/>
          </w:tcPr>
          <w:p w14:paraId="44F09AC3"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16.361</w:t>
            </w:r>
          </w:p>
        </w:tc>
        <w:tc>
          <w:tcPr>
            <w:tcW w:w="1200" w:type="dxa"/>
            <w:tcBorders>
              <w:top w:val="nil"/>
              <w:left w:val="nil"/>
              <w:bottom w:val="single" w:sz="4" w:space="0" w:color="auto"/>
              <w:right w:val="single" w:sz="4" w:space="0" w:color="auto"/>
            </w:tcBorders>
            <w:shd w:val="clear" w:color="auto" w:fill="auto"/>
            <w:noWrap/>
            <w:vAlign w:val="center"/>
            <w:hideMark/>
          </w:tcPr>
          <w:p w14:paraId="5D6DFB03"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10.285</w:t>
            </w:r>
          </w:p>
        </w:tc>
        <w:tc>
          <w:tcPr>
            <w:tcW w:w="1200" w:type="dxa"/>
            <w:tcBorders>
              <w:top w:val="nil"/>
              <w:left w:val="nil"/>
              <w:bottom w:val="single" w:sz="4" w:space="0" w:color="auto"/>
              <w:right w:val="single" w:sz="4" w:space="0" w:color="auto"/>
            </w:tcBorders>
            <w:shd w:val="clear" w:color="auto" w:fill="auto"/>
            <w:noWrap/>
            <w:vAlign w:val="center"/>
            <w:hideMark/>
          </w:tcPr>
          <w:p w14:paraId="5F438990"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322</w:t>
            </w:r>
          </w:p>
        </w:tc>
        <w:tc>
          <w:tcPr>
            <w:tcW w:w="1200" w:type="dxa"/>
            <w:tcBorders>
              <w:top w:val="nil"/>
              <w:left w:val="nil"/>
              <w:bottom w:val="single" w:sz="4" w:space="0" w:color="auto"/>
              <w:right w:val="single" w:sz="4" w:space="0" w:color="auto"/>
            </w:tcBorders>
            <w:shd w:val="clear" w:color="auto" w:fill="auto"/>
            <w:noWrap/>
            <w:vAlign w:val="center"/>
            <w:hideMark/>
          </w:tcPr>
          <w:p w14:paraId="3D015399"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70.688</w:t>
            </w:r>
          </w:p>
        </w:tc>
        <w:tc>
          <w:tcPr>
            <w:tcW w:w="1520" w:type="dxa"/>
            <w:tcBorders>
              <w:top w:val="nil"/>
              <w:left w:val="nil"/>
              <w:bottom w:val="single" w:sz="4" w:space="0" w:color="auto"/>
              <w:right w:val="single" w:sz="4" w:space="0" w:color="auto"/>
            </w:tcBorders>
            <w:shd w:val="clear" w:color="auto" w:fill="auto"/>
            <w:noWrap/>
            <w:vAlign w:val="center"/>
            <w:hideMark/>
          </w:tcPr>
          <w:p w14:paraId="76F0D8D7"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36.912</w:t>
            </w:r>
          </w:p>
        </w:tc>
      </w:tr>
      <w:tr w:rsidR="009A09ED" w:rsidRPr="00E02C7F" w14:paraId="01F75763"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08625B2A"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N_102</w:t>
            </w:r>
          </w:p>
        </w:tc>
        <w:tc>
          <w:tcPr>
            <w:tcW w:w="1200" w:type="dxa"/>
            <w:tcBorders>
              <w:top w:val="nil"/>
              <w:left w:val="nil"/>
              <w:bottom w:val="single" w:sz="4" w:space="0" w:color="auto"/>
              <w:right w:val="single" w:sz="4" w:space="0" w:color="auto"/>
            </w:tcBorders>
            <w:shd w:val="clear" w:color="auto" w:fill="auto"/>
            <w:noWrap/>
            <w:vAlign w:val="center"/>
            <w:hideMark/>
          </w:tcPr>
          <w:p w14:paraId="40500950"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6.605</w:t>
            </w:r>
          </w:p>
        </w:tc>
        <w:tc>
          <w:tcPr>
            <w:tcW w:w="1600" w:type="dxa"/>
            <w:tcBorders>
              <w:top w:val="nil"/>
              <w:left w:val="nil"/>
              <w:bottom w:val="single" w:sz="4" w:space="0" w:color="auto"/>
              <w:right w:val="single" w:sz="4" w:space="0" w:color="auto"/>
            </w:tcBorders>
            <w:shd w:val="clear" w:color="auto" w:fill="auto"/>
            <w:noWrap/>
            <w:vAlign w:val="center"/>
            <w:hideMark/>
          </w:tcPr>
          <w:p w14:paraId="59821E99"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2.472</w:t>
            </w:r>
          </w:p>
        </w:tc>
        <w:tc>
          <w:tcPr>
            <w:tcW w:w="1200" w:type="dxa"/>
            <w:tcBorders>
              <w:top w:val="nil"/>
              <w:left w:val="nil"/>
              <w:bottom w:val="single" w:sz="4" w:space="0" w:color="auto"/>
              <w:right w:val="single" w:sz="4" w:space="0" w:color="auto"/>
            </w:tcBorders>
            <w:shd w:val="clear" w:color="auto" w:fill="auto"/>
            <w:noWrap/>
            <w:vAlign w:val="center"/>
            <w:hideMark/>
          </w:tcPr>
          <w:p w14:paraId="6FDCB9EE"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1.554</w:t>
            </w:r>
          </w:p>
        </w:tc>
        <w:tc>
          <w:tcPr>
            <w:tcW w:w="1200" w:type="dxa"/>
            <w:tcBorders>
              <w:top w:val="nil"/>
              <w:left w:val="nil"/>
              <w:bottom w:val="single" w:sz="4" w:space="0" w:color="auto"/>
              <w:right w:val="single" w:sz="4" w:space="0" w:color="auto"/>
            </w:tcBorders>
            <w:shd w:val="clear" w:color="auto" w:fill="auto"/>
            <w:noWrap/>
            <w:vAlign w:val="center"/>
            <w:hideMark/>
          </w:tcPr>
          <w:p w14:paraId="01D5E450"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1.210</w:t>
            </w:r>
          </w:p>
        </w:tc>
        <w:tc>
          <w:tcPr>
            <w:tcW w:w="1200" w:type="dxa"/>
            <w:tcBorders>
              <w:top w:val="nil"/>
              <w:left w:val="nil"/>
              <w:bottom w:val="single" w:sz="4" w:space="0" w:color="auto"/>
              <w:right w:val="single" w:sz="4" w:space="0" w:color="auto"/>
            </w:tcBorders>
            <w:shd w:val="clear" w:color="auto" w:fill="auto"/>
            <w:noWrap/>
            <w:vAlign w:val="center"/>
            <w:hideMark/>
          </w:tcPr>
          <w:p w14:paraId="05A4867E"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11.840</w:t>
            </w:r>
          </w:p>
        </w:tc>
        <w:tc>
          <w:tcPr>
            <w:tcW w:w="1520" w:type="dxa"/>
            <w:tcBorders>
              <w:top w:val="nil"/>
              <w:left w:val="nil"/>
              <w:bottom w:val="single" w:sz="4" w:space="0" w:color="auto"/>
              <w:right w:val="single" w:sz="4" w:space="0" w:color="auto"/>
            </w:tcBorders>
            <w:shd w:val="clear" w:color="auto" w:fill="auto"/>
            <w:noWrap/>
            <w:vAlign w:val="center"/>
            <w:hideMark/>
          </w:tcPr>
          <w:p w14:paraId="13C83073"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5.576</w:t>
            </w:r>
          </w:p>
        </w:tc>
      </w:tr>
      <w:tr w:rsidR="009A09ED" w:rsidRPr="00E02C7F" w14:paraId="77E312DC"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08E011E1"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N_103</w:t>
            </w:r>
          </w:p>
        </w:tc>
        <w:tc>
          <w:tcPr>
            <w:tcW w:w="1200" w:type="dxa"/>
            <w:tcBorders>
              <w:top w:val="nil"/>
              <w:left w:val="nil"/>
              <w:bottom w:val="single" w:sz="4" w:space="0" w:color="auto"/>
              <w:right w:val="single" w:sz="4" w:space="0" w:color="auto"/>
            </w:tcBorders>
            <w:shd w:val="clear" w:color="auto" w:fill="auto"/>
            <w:noWrap/>
            <w:vAlign w:val="center"/>
            <w:hideMark/>
          </w:tcPr>
          <w:p w14:paraId="171AACC5"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250.687</w:t>
            </w:r>
          </w:p>
        </w:tc>
        <w:tc>
          <w:tcPr>
            <w:tcW w:w="1600" w:type="dxa"/>
            <w:tcBorders>
              <w:top w:val="nil"/>
              <w:left w:val="nil"/>
              <w:bottom w:val="single" w:sz="4" w:space="0" w:color="auto"/>
              <w:right w:val="single" w:sz="4" w:space="0" w:color="auto"/>
            </w:tcBorders>
            <w:shd w:val="clear" w:color="auto" w:fill="auto"/>
            <w:noWrap/>
            <w:vAlign w:val="center"/>
            <w:hideMark/>
          </w:tcPr>
          <w:p w14:paraId="7562B32D"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93.809</w:t>
            </w:r>
          </w:p>
        </w:tc>
        <w:tc>
          <w:tcPr>
            <w:tcW w:w="1200" w:type="dxa"/>
            <w:tcBorders>
              <w:top w:val="nil"/>
              <w:left w:val="nil"/>
              <w:bottom w:val="single" w:sz="4" w:space="0" w:color="auto"/>
              <w:right w:val="single" w:sz="4" w:space="0" w:color="auto"/>
            </w:tcBorders>
            <w:shd w:val="clear" w:color="auto" w:fill="auto"/>
            <w:noWrap/>
            <w:vAlign w:val="center"/>
            <w:hideMark/>
          </w:tcPr>
          <w:p w14:paraId="6680B7E4"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58.969</w:t>
            </w:r>
          </w:p>
        </w:tc>
        <w:tc>
          <w:tcPr>
            <w:tcW w:w="1200" w:type="dxa"/>
            <w:tcBorders>
              <w:top w:val="nil"/>
              <w:left w:val="nil"/>
              <w:bottom w:val="single" w:sz="4" w:space="0" w:color="auto"/>
              <w:right w:val="single" w:sz="4" w:space="0" w:color="auto"/>
            </w:tcBorders>
            <w:shd w:val="clear" w:color="auto" w:fill="auto"/>
            <w:noWrap/>
            <w:vAlign w:val="center"/>
            <w:hideMark/>
          </w:tcPr>
          <w:p w14:paraId="731BA37B"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728</w:t>
            </w:r>
          </w:p>
        </w:tc>
        <w:tc>
          <w:tcPr>
            <w:tcW w:w="1200" w:type="dxa"/>
            <w:tcBorders>
              <w:top w:val="nil"/>
              <w:left w:val="nil"/>
              <w:bottom w:val="single" w:sz="4" w:space="0" w:color="auto"/>
              <w:right w:val="single" w:sz="4" w:space="0" w:color="auto"/>
            </w:tcBorders>
            <w:shd w:val="clear" w:color="auto" w:fill="auto"/>
            <w:noWrap/>
            <w:vAlign w:val="center"/>
            <w:hideMark/>
          </w:tcPr>
          <w:p w14:paraId="065B96FB"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404.194</w:t>
            </w:r>
          </w:p>
        </w:tc>
        <w:tc>
          <w:tcPr>
            <w:tcW w:w="1520" w:type="dxa"/>
            <w:tcBorders>
              <w:top w:val="nil"/>
              <w:left w:val="nil"/>
              <w:bottom w:val="single" w:sz="4" w:space="0" w:color="auto"/>
              <w:right w:val="single" w:sz="4" w:space="0" w:color="auto"/>
            </w:tcBorders>
            <w:shd w:val="clear" w:color="auto" w:fill="auto"/>
            <w:noWrap/>
            <w:vAlign w:val="center"/>
            <w:hideMark/>
          </w:tcPr>
          <w:p w14:paraId="02BBC0E0"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211.644</w:t>
            </w:r>
          </w:p>
        </w:tc>
      </w:tr>
      <w:tr w:rsidR="009A09ED" w:rsidRPr="00E02C7F" w14:paraId="5B710D23"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5D5778AF"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N_104</w:t>
            </w:r>
          </w:p>
        </w:tc>
        <w:tc>
          <w:tcPr>
            <w:tcW w:w="1200" w:type="dxa"/>
            <w:tcBorders>
              <w:top w:val="nil"/>
              <w:left w:val="nil"/>
              <w:bottom w:val="single" w:sz="4" w:space="0" w:color="auto"/>
              <w:right w:val="single" w:sz="4" w:space="0" w:color="auto"/>
            </w:tcBorders>
            <w:shd w:val="clear" w:color="auto" w:fill="auto"/>
            <w:noWrap/>
            <w:vAlign w:val="center"/>
            <w:hideMark/>
          </w:tcPr>
          <w:p w14:paraId="7FBDBE97"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154.042</w:t>
            </w:r>
          </w:p>
        </w:tc>
        <w:tc>
          <w:tcPr>
            <w:tcW w:w="1600" w:type="dxa"/>
            <w:tcBorders>
              <w:top w:val="nil"/>
              <w:left w:val="nil"/>
              <w:bottom w:val="single" w:sz="4" w:space="0" w:color="auto"/>
              <w:right w:val="single" w:sz="4" w:space="0" w:color="auto"/>
            </w:tcBorders>
            <w:shd w:val="clear" w:color="auto" w:fill="auto"/>
            <w:noWrap/>
            <w:vAlign w:val="center"/>
            <w:hideMark/>
          </w:tcPr>
          <w:p w14:paraId="2D45B213"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57.644</w:t>
            </w:r>
          </w:p>
        </w:tc>
        <w:tc>
          <w:tcPr>
            <w:tcW w:w="1200" w:type="dxa"/>
            <w:tcBorders>
              <w:top w:val="nil"/>
              <w:left w:val="nil"/>
              <w:bottom w:val="single" w:sz="4" w:space="0" w:color="auto"/>
              <w:right w:val="single" w:sz="4" w:space="0" w:color="auto"/>
            </w:tcBorders>
            <w:shd w:val="clear" w:color="auto" w:fill="auto"/>
            <w:noWrap/>
            <w:vAlign w:val="center"/>
            <w:hideMark/>
          </w:tcPr>
          <w:p w14:paraId="65CD491C"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36.236</w:t>
            </w:r>
          </w:p>
        </w:tc>
        <w:tc>
          <w:tcPr>
            <w:tcW w:w="1200" w:type="dxa"/>
            <w:tcBorders>
              <w:top w:val="nil"/>
              <w:left w:val="nil"/>
              <w:bottom w:val="single" w:sz="4" w:space="0" w:color="auto"/>
              <w:right w:val="single" w:sz="4" w:space="0" w:color="auto"/>
            </w:tcBorders>
            <w:shd w:val="clear" w:color="auto" w:fill="auto"/>
            <w:noWrap/>
            <w:vAlign w:val="center"/>
            <w:hideMark/>
          </w:tcPr>
          <w:p w14:paraId="0F7A9895"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1.134</w:t>
            </w:r>
          </w:p>
        </w:tc>
        <w:tc>
          <w:tcPr>
            <w:tcW w:w="1200" w:type="dxa"/>
            <w:tcBorders>
              <w:top w:val="nil"/>
              <w:left w:val="nil"/>
              <w:bottom w:val="single" w:sz="4" w:space="0" w:color="auto"/>
              <w:right w:val="single" w:sz="4" w:space="0" w:color="auto"/>
            </w:tcBorders>
            <w:shd w:val="clear" w:color="auto" w:fill="auto"/>
            <w:noWrap/>
            <w:vAlign w:val="center"/>
            <w:hideMark/>
          </w:tcPr>
          <w:p w14:paraId="6D3C44B3"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249.055</w:t>
            </w:r>
          </w:p>
        </w:tc>
        <w:tc>
          <w:tcPr>
            <w:tcW w:w="1520" w:type="dxa"/>
            <w:tcBorders>
              <w:top w:val="nil"/>
              <w:left w:val="nil"/>
              <w:bottom w:val="single" w:sz="4" w:space="0" w:color="auto"/>
              <w:right w:val="single" w:sz="4" w:space="0" w:color="auto"/>
            </w:tcBorders>
            <w:shd w:val="clear" w:color="auto" w:fill="auto"/>
            <w:noWrap/>
            <w:vAlign w:val="center"/>
            <w:hideMark/>
          </w:tcPr>
          <w:p w14:paraId="3C246630"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130.051</w:t>
            </w:r>
          </w:p>
        </w:tc>
      </w:tr>
      <w:tr w:rsidR="009A09ED" w:rsidRPr="00E02C7F" w14:paraId="556806B3"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1B11DF6B"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N_105</w:t>
            </w:r>
          </w:p>
        </w:tc>
        <w:tc>
          <w:tcPr>
            <w:tcW w:w="1200" w:type="dxa"/>
            <w:tcBorders>
              <w:top w:val="nil"/>
              <w:left w:val="nil"/>
              <w:bottom w:val="single" w:sz="4" w:space="0" w:color="auto"/>
              <w:right w:val="single" w:sz="4" w:space="0" w:color="auto"/>
            </w:tcBorders>
            <w:shd w:val="clear" w:color="auto" w:fill="auto"/>
            <w:noWrap/>
            <w:vAlign w:val="center"/>
            <w:hideMark/>
          </w:tcPr>
          <w:p w14:paraId="17B4CE56"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199.412</w:t>
            </w:r>
          </w:p>
        </w:tc>
        <w:tc>
          <w:tcPr>
            <w:tcW w:w="1600" w:type="dxa"/>
            <w:tcBorders>
              <w:top w:val="nil"/>
              <w:left w:val="nil"/>
              <w:bottom w:val="single" w:sz="4" w:space="0" w:color="auto"/>
              <w:right w:val="single" w:sz="4" w:space="0" w:color="auto"/>
            </w:tcBorders>
            <w:shd w:val="clear" w:color="auto" w:fill="auto"/>
            <w:noWrap/>
            <w:vAlign w:val="center"/>
            <w:hideMark/>
          </w:tcPr>
          <w:p w14:paraId="0E5C7124"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74.622</w:t>
            </w:r>
          </w:p>
        </w:tc>
        <w:tc>
          <w:tcPr>
            <w:tcW w:w="1200" w:type="dxa"/>
            <w:tcBorders>
              <w:top w:val="nil"/>
              <w:left w:val="nil"/>
              <w:bottom w:val="single" w:sz="4" w:space="0" w:color="auto"/>
              <w:right w:val="single" w:sz="4" w:space="0" w:color="auto"/>
            </w:tcBorders>
            <w:shd w:val="clear" w:color="auto" w:fill="auto"/>
            <w:noWrap/>
            <w:vAlign w:val="center"/>
            <w:hideMark/>
          </w:tcPr>
          <w:p w14:paraId="0B6D38E4"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46.908</w:t>
            </w:r>
          </w:p>
        </w:tc>
        <w:tc>
          <w:tcPr>
            <w:tcW w:w="1200" w:type="dxa"/>
            <w:tcBorders>
              <w:top w:val="nil"/>
              <w:left w:val="nil"/>
              <w:bottom w:val="single" w:sz="4" w:space="0" w:color="auto"/>
              <w:right w:val="single" w:sz="4" w:space="0" w:color="auto"/>
            </w:tcBorders>
            <w:shd w:val="clear" w:color="auto" w:fill="auto"/>
            <w:noWrap/>
            <w:vAlign w:val="center"/>
            <w:hideMark/>
          </w:tcPr>
          <w:p w14:paraId="782C28E3"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1.468</w:t>
            </w:r>
          </w:p>
        </w:tc>
        <w:tc>
          <w:tcPr>
            <w:tcW w:w="1200" w:type="dxa"/>
            <w:tcBorders>
              <w:top w:val="nil"/>
              <w:left w:val="nil"/>
              <w:bottom w:val="single" w:sz="4" w:space="0" w:color="auto"/>
              <w:right w:val="single" w:sz="4" w:space="0" w:color="auto"/>
            </w:tcBorders>
            <w:shd w:val="clear" w:color="auto" w:fill="auto"/>
            <w:noWrap/>
            <w:vAlign w:val="center"/>
            <w:hideMark/>
          </w:tcPr>
          <w:p w14:paraId="51299728"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322.410</w:t>
            </w:r>
          </w:p>
        </w:tc>
        <w:tc>
          <w:tcPr>
            <w:tcW w:w="1520" w:type="dxa"/>
            <w:tcBorders>
              <w:top w:val="nil"/>
              <w:left w:val="nil"/>
              <w:bottom w:val="single" w:sz="4" w:space="0" w:color="auto"/>
              <w:right w:val="single" w:sz="4" w:space="0" w:color="auto"/>
            </w:tcBorders>
            <w:shd w:val="clear" w:color="auto" w:fill="auto"/>
            <w:noWrap/>
            <w:vAlign w:val="center"/>
            <w:hideMark/>
          </w:tcPr>
          <w:p w14:paraId="4398BBC3"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168.355</w:t>
            </w:r>
          </w:p>
        </w:tc>
      </w:tr>
      <w:tr w:rsidR="009A09ED" w:rsidRPr="00E02C7F" w14:paraId="6DACC74E"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12D5D939"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lastRenderedPageBreak/>
              <w:t>N_106</w:t>
            </w:r>
          </w:p>
        </w:tc>
        <w:tc>
          <w:tcPr>
            <w:tcW w:w="1200" w:type="dxa"/>
            <w:tcBorders>
              <w:top w:val="nil"/>
              <w:left w:val="nil"/>
              <w:bottom w:val="single" w:sz="4" w:space="0" w:color="auto"/>
              <w:right w:val="single" w:sz="4" w:space="0" w:color="auto"/>
            </w:tcBorders>
            <w:shd w:val="clear" w:color="auto" w:fill="auto"/>
            <w:noWrap/>
            <w:vAlign w:val="center"/>
            <w:hideMark/>
          </w:tcPr>
          <w:p w14:paraId="30FB0B2B"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78.571</w:t>
            </w:r>
          </w:p>
        </w:tc>
        <w:tc>
          <w:tcPr>
            <w:tcW w:w="1600" w:type="dxa"/>
            <w:tcBorders>
              <w:top w:val="nil"/>
              <w:left w:val="nil"/>
              <w:bottom w:val="single" w:sz="4" w:space="0" w:color="auto"/>
              <w:right w:val="single" w:sz="4" w:space="0" w:color="auto"/>
            </w:tcBorders>
            <w:shd w:val="clear" w:color="auto" w:fill="auto"/>
            <w:noWrap/>
            <w:vAlign w:val="center"/>
            <w:hideMark/>
          </w:tcPr>
          <w:p w14:paraId="29E83196"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29.402</w:t>
            </w:r>
          </w:p>
        </w:tc>
        <w:tc>
          <w:tcPr>
            <w:tcW w:w="1200" w:type="dxa"/>
            <w:tcBorders>
              <w:top w:val="nil"/>
              <w:left w:val="nil"/>
              <w:bottom w:val="single" w:sz="4" w:space="0" w:color="auto"/>
              <w:right w:val="single" w:sz="4" w:space="0" w:color="auto"/>
            </w:tcBorders>
            <w:shd w:val="clear" w:color="auto" w:fill="auto"/>
            <w:noWrap/>
            <w:vAlign w:val="center"/>
            <w:hideMark/>
          </w:tcPr>
          <w:p w14:paraId="4BC30D7A"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18.482</w:t>
            </w:r>
          </w:p>
        </w:tc>
        <w:tc>
          <w:tcPr>
            <w:tcW w:w="1200" w:type="dxa"/>
            <w:tcBorders>
              <w:top w:val="nil"/>
              <w:left w:val="nil"/>
              <w:bottom w:val="single" w:sz="4" w:space="0" w:color="auto"/>
              <w:right w:val="single" w:sz="4" w:space="0" w:color="auto"/>
            </w:tcBorders>
            <w:shd w:val="clear" w:color="auto" w:fill="auto"/>
            <w:noWrap/>
            <w:vAlign w:val="center"/>
            <w:hideMark/>
          </w:tcPr>
          <w:p w14:paraId="14E8CDD3"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527</w:t>
            </w:r>
          </w:p>
        </w:tc>
        <w:tc>
          <w:tcPr>
            <w:tcW w:w="1200" w:type="dxa"/>
            <w:tcBorders>
              <w:top w:val="nil"/>
              <w:left w:val="nil"/>
              <w:bottom w:val="single" w:sz="4" w:space="0" w:color="auto"/>
              <w:right w:val="single" w:sz="4" w:space="0" w:color="auto"/>
            </w:tcBorders>
            <w:shd w:val="clear" w:color="auto" w:fill="auto"/>
            <w:noWrap/>
            <w:vAlign w:val="center"/>
            <w:hideMark/>
          </w:tcPr>
          <w:p w14:paraId="422CDC96"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126.981</w:t>
            </w:r>
          </w:p>
        </w:tc>
        <w:tc>
          <w:tcPr>
            <w:tcW w:w="1520" w:type="dxa"/>
            <w:tcBorders>
              <w:top w:val="nil"/>
              <w:left w:val="nil"/>
              <w:bottom w:val="single" w:sz="4" w:space="0" w:color="auto"/>
              <w:right w:val="single" w:sz="4" w:space="0" w:color="auto"/>
            </w:tcBorders>
            <w:shd w:val="clear" w:color="auto" w:fill="auto"/>
            <w:noWrap/>
            <w:vAlign w:val="center"/>
            <w:hideMark/>
          </w:tcPr>
          <w:p w14:paraId="4E174487"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66.334</w:t>
            </w:r>
          </w:p>
        </w:tc>
      </w:tr>
      <w:tr w:rsidR="009A09ED" w:rsidRPr="00E02C7F" w14:paraId="613BB0F5"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1866FA7E"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N_107</w:t>
            </w:r>
          </w:p>
        </w:tc>
        <w:tc>
          <w:tcPr>
            <w:tcW w:w="1200" w:type="dxa"/>
            <w:tcBorders>
              <w:top w:val="nil"/>
              <w:left w:val="nil"/>
              <w:bottom w:val="single" w:sz="4" w:space="0" w:color="auto"/>
              <w:right w:val="single" w:sz="4" w:space="0" w:color="auto"/>
            </w:tcBorders>
            <w:shd w:val="clear" w:color="auto" w:fill="auto"/>
            <w:noWrap/>
            <w:vAlign w:val="center"/>
            <w:hideMark/>
          </w:tcPr>
          <w:p w14:paraId="41A470B1"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75.170</w:t>
            </w:r>
          </w:p>
        </w:tc>
        <w:tc>
          <w:tcPr>
            <w:tcW w:w="1600" w:type="dxa"/>
            <w:tcBorders>
              <w:top w:val="nil"/>
              <w:left w:val="nil"/>
              <w:bottom w:val="single" w:sz="4" w:space="0" w:color="auto"/>
              <w:right w:val="single" w:sz="4" w:space="0" w:color="auto"/>
            </w:tcBorders>
            <w:shd w:val="clear" w:color="auto" w:fill="auto"/>
            <w:noWrap/>
            <w:vAlign w:val="center"/>
            <w:hideMark/>
          </w:tcPr>
          <w:p w14:paraId="5C8403A0"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28.129</w:t>
            </w:r>
          </w:p>
        </w:tc>
        <w:tc>
          <w:tcPr>
            <w:tcW w:w="1200" w:type="dxa"/>
            <w:tcBorders>
              <w:top w:val="nil"/>
              <w:left w:val="nil"/>
              <w:bottom w:val="single" w:sz="4" w:space="0" w:color="auto"/>
              <w:right w:val="single" w:sz="4" w:space="0" w:color="auto"/>
            </w:tcBorders>
            <w:shd w:val="clear" w:color="auto" w:fill="auto"/>
            <w:noWrap/>
            <w:vAlign w:val="center"/>
            <w:hideMark/>
          </w:tcPr>
          <w:p w14:paraId="4F8BFC59"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17.682</w:t>
            </w:r>
          </w:p>
        </w:tc>
        <w:tc>
          <w:tcPr>
            <w:tcW w:w="1200" w:type="dxa"/>
            <w:tcBorders>
              <w:top w:val="nil"/>
              <w:left w:val="nil"/>
              <w:bottom w:val="single" w:sz="4" w:space="0" w:color="auto"/>
              <w:right w:val="single" w:sz="4" w:space="0" w:color="auto"/>
            </w:tcBorders>
            <w:shd w:val="clear" w:color="auto" w:fill="auto"/>
            <w:noWrap/>
            <w:vAlign w:val="center"/>
            <w:hideMark/>
          </w:tcPr>
          <w:p w14:paraId="485CB966"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452</w:t>
            </w:r>
          </w:p>
        </w:tc>
        <w:tc>
          <w:tcPr>
            <w:tcW w:w="1200" w:type="dxa"/>
            <w:tcBorders>
              <w:top w:val="nil"/>
              <w:left w:val="nil"/>
              <w:bottom w:val="single" w:sz="4" w:space="0" w:color="auto"/>
              <w:right w:val="single" w:sz="4" w:space="0" w:color="auto"/>
            </w:tcBorders>
            <w:shd w:val="clear" w:color="auto" w:fill="auto"/>
            <w:noWrap/>
            <w:vAlign w:val="center"/>
            <w:hideMark/>
          </w:tcPr>
          <w:p w14:paraId="28415A71"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121.433</w:t>
            </w:r>
          </w:p>
        </w:tc>
        <w:tc>
          <w:tcPr>
            <w:tcW w:w="1520" w:type="dxa"/>
            <w:tcBorders>
              <w:top w:val="nil"/>
              <w:left w:val="nil"/>
              <w:bottom w:val="single" w:sz="4" w:space="0" w:color="auto"/>
              <w:right w:val="single" w:sz="4" w:space="0" w:color="auto"/>
            </w:tcBorders>
            <w:shd w:val="clear" w:color="auto" w:fill="auto"/>
            <w:noWrap/>
            <w:vAlign w:val="center"/>
            <w:hideMark/>
          </w:tcPr>
          <w:p w14:paraId="6E377977"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63.463</w:t>
            </w:r>
          </w:p>
        </w:tc>
      </w:tr>
      <w:tr w:rsidR="009A09ED" w:rsidRPr="00E02C7F" w14:paraId="48B835E5"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4A00820B"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N_108</w:t>
            </w:r>
          </w:p>
        </w:tc>
        <w:tc>
          <w:tcPr>
            <w:tcW w:w="1200" w:type="dxa"/>
            <w:tcBorders>
              <w:top w:val="nil"/>
              <w:left w:val="nil"/>
              <w:bottom w:val="single" w:sz="4" w:space="0" w:color="auto"/>
              <w:right w:val="single" w:sz="4" w:space="0" w:color="auto"/>
            </w:tcBorders>
            <w:shd w:val="clear" w:color="auto" w:fill="auto"/>
            <w:noWrap/>
            <w:vAlign w:val="center"/>
            <w:hideMark/>
          </w:tcPr>
          <w:p w14:paraId="1089AE13"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600" w:type="dxa"/>
            <w:tcBorders>
              <w:top w:val="nil"/>
              <w:left w:val="nil"/>
              <w:bottom w:val="single" w:sz="4" w:space="0" w:color="auto"/>
              <w:right w:val="single" w:sz="4" w:space="0" w:color="auto"/>
            </w:tcBorders>
            <w:shd w:val="clear" w:color="auto" w:fill="auto"/>
            <w:noWrap/>
            <w:vAlign w:val="center"/>
            <w:hideMark/>
          </w:tcPr>
          <w:p w14:paraId="0CE7CCB9"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200" w:type="dxa"/>
            <w:tcBorders>
              <w:top w:val="nil"/>
              <w:left w:val="nil"/>
              <w:bottom w:val="single" w:sz="4" w:space="0" w:color="auto"/>
              <w:right w:val="single" w:sz="4" w:space="0" w:color="auto"/>
            </w:tcBorders>
            <w:shd w:val="clear" w:color="auto" w:fill="auto"/>
            <w:noWrap/>
            <w:vAlign w:val="center"/>
            <w:hideMark/>
          </w:tcPr>
          <w:p w14:paraId="33A58310"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200" w:type="dxa"/>
            <w:tcBorders>
              <w:top w:val="nil"/>
              <w:left w:val="nil"/>
              <w:bottom w:val="single" w:sz="4" w:space="0" w:color="auto"/>
              <w:right w:val="single" w:sz="4" w:space="0" w:color="auto"/>
            </w:tcBorders>
            <w:shd w:val="clear" w:color="auto" w:fill="auto"/>
            <w:noWrap/>
            <w:vAlign w:val="center"/>
            <w:hideMark/>
          </w:tcPr>
          <w:p w14:paraId="6FA1DCF1"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200" w:type="dxa"/>
            <w:tcBorders>
              <w:top w:val="nil"/>
              <w:left w:val="nil"/>
              <w:bottom w:val="single" w:sz="4" w:space="0" w:color="auto"/>
              <w:right w:val="single" w:sz="4" w:space="0" w:color="auto"/>
            </w:tcBorders>
            <w:shd w:val="clear" w:color="auto" w:fill="auto"/>
            <w:noWrap/>
            <w:vAlign w:val="center"/>
            <w:hideMark/>
          </w:tcPr>
          <w:p w14:paraId="2FA60B7A"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520" w:type="dxa"/>
            <w:tcBorders>
              <w:top w:val="nil"/>
              <w:left w:val="nil"/>
              <w:bottom w:val="single" w:sz="4" w:space="0" w:color="auto"/>
              <w:right w:val="single" w:sz="4" w:space="0" w:color="auto"/>
            </w:tcBorders>
            <w:shd w:val="clear" w:color="auto" w:fill="auto"/>
            <w:noWrap/>
            <w:vAlign w:val="center"/>
            <w:hideMark/>
          </w:tcPr>
          <w:p w14:paraId="10131FD0"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r>
      <w:tr w:rsidR="009A09ED" w:rsidRPr="00E02C7F" w14:paraId="4A347D36"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5DF86908"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N_109</w:t>
            </w:r>
          </w:p>
        </w:tc>
        <w:tc>
          <w:tcPr>
            <w:tcW w:w="1200" w:type="dxa"/>
            <w:tcBorders>
              <w:top w:val="nil"/>
              <w:left w:val="nil"/>
              <w:bottom w:val="single" w:sz="4" w:space="0" w:color="auto"/>
              <w:right w:val="single" w:sz="4" w:space="0" w:color="auto"/>
            </w:tcBorders>
            <w:shd w:val="clear" w:color="auto" w:fill="auto"/>
            <w:noWrap/>
            <w:vAlign w:val="center"/>
            <w:hideMark/>
          </w:tcPr>
          <w:p w14:paraId="1DE245C1"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66.328</w:t>
            </w:r>
          </w:p>
        </w:tc>
        <w:tc>
          <w:tcPr>
            <w:tcW w:w="1600" w:type="dxa"/>
            <w:tcBorders>
              <w:top w:val="nil"/>
              <w:left w:val="nil"/>
              <w:bottom w:val="single" w:sz="4" w:space="0" w:color="auto"/>
              <w:right w:val="single" w:sz="4" w:space="0" w:color="auto"/>
            </w:tcBorders>
            <w:shd w:val="clear" w:color="auto" w:fill="auto"/>
            <w:noWrap/>
            <w:vAlign w:val="center"/>
            <w:hideMark/>
          </w:tcPr>
          <w:p w14:paraId="0C9ABB88"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24.821</w:t>
            </w:r>
          </w:p>
        </w:tc>
        <w:tc>
          <w:tcPr>
            <w:tcW w:w="1200" w:type="dxa"/>
            <w:tcBorders>
              <w:top w:val="nil"/>
              <w:left w:val="nil"/>
              <w:bottom w:val="single" w:sz="4" w:space="0" w:color="auto"/>
              <w:right w:val="single" w:sz="4" w:space="0" w:color="auto"/>
            </w:tcBorders>
            <w:shd w:val="clear" w:color="auto" w:fill="auto"/>
            <w:noWrap/>
            <w:vAlign w:val="center"/>
            <w:hideMark/>
          </w:tcPr>
          <w:p w14:paraId="27190FA6"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15.603</w:t>
            </w:r>
          </w:p>
        </w:tc>
        <w:tc>
          <w:tcPr>
            <w:tcW w:w="1200" w:type="dxa"/>
            <w:tcBorders>
              <w:top w:val="nil"/>
              <w:left w:val="nil"/>
              <w:bottom w:val="single" w:sz="4" w:space="0" w:color="auto"/>
              <w:right w:val="single" w:sz="4" w:space="0" w:color="auto"/>
            </w:tcBorders>
            <w:shd w:val="clear" w:color="auto" w:fill="auto"/>
            <w:noWrap/>
            <w:vAlign w:val="center"/>
            <w:hideMark/>
          </w:tcPr>
          <w:p w14:paraId="077A1279"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200" w:type="dxa"/>
            <w:tcBorders>
              <w:top w:val="nil"/>
              <w:left w:val="nil"/>
              <w:bottom w:val="single" w:sz="4" w:space="0" w:color="auto"/>
              <w:right w:val="single" w:sz="4" w:space="0" w:color="auto"/>
            </w:tcBorders>
            <w:shd w:val="clear" w:color="auto" w:fill="auto"/>
            <w:noWrap/>
            <w:vAlign w:val="center"/>
            <w:hideMark/>
          </w:tcPr>
          <w:p w14:paraId="71236427"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106.751</w:t>
            </w:r>
          </w:p>
        </w:tc>
        <w:tc>
          <w:tcPr>
            <w:tcW w:w="1520" w:type="dxa"/>
            <w:tcBorders>
              <w:top w:val="nil"/>
              <w:left w:val="nil"/>
              <w:bottom w:val="single" w:sz="4" w:space="0" w:color="auto"/>
              <w:right w:val="single" w:sz="4" w:space="0" w:color="auto"/>
            </w:tcBorders>
            <w:shd w:val="clear" w:color="auto" w:fill="auto"/>
            <w:noWrap/>
            <w:vAlign w:val="center"/>
            <w:hideMark/>
          </w:tcPr>
          <w:p w14:paraId="75C60ED8"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55.998</w:t>
            </w:r>
          </w:p>
        </w:tc>
      </w:tr>
      <w:tr w:rsidR="009A09ED" w:rsidRPr="00E02C7F" w14:paraId="63B34678"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5AB46D7D"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N_110</w:t>
            </w:r>
          </w:p>
        </w:tc>
        <w:tc>
          <w:tcPr>
            <w:tcW w:w="1200" w:type="dxa"/>
            <w:tcBorders>
              <w:top w:val="nil"/>
              <w:left w:val="nil"/>
              <w:bottom w:val="single" w:sz="4" w:space="0" w:color="auto"/>
              <w:right w:val="single" w:sz="4" w:space="0" w:color="auto"/>
            </w:tcBorders>
            <w:shd w:val="clear" w:color="auto" w:fill="auto"/>
            <w:noWrap/>
            <w:vAlign w:val="center"/>
            <w:hideMark/>
          </w:tcPr>
          <w:p w14:paraId="56D92B53"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254.053</w:t>
            </w:r>
          </w:p>
        </w:tc>
        <w:tc>
          <w:tcPr>
            <w:tcW w:w="1600" w:type="dxa"/>
            <w:tcBorders>
              <w:top w:val="nil"/>
              <w:left w:val="nil"/>
              <w:bottom w:val="single" w:sz="4" w:space="0" w:color="auto"/>
              <w:right w:val="single" w:sz="4" w:space="0" w:color="auto"/>
            </w:tcBorders>
            <w:shd w:val="clear" w:color="auto" w:fill="auto"/>
            <w:noWrap/>
            <w:vAlign w:val="center"/>
            <w:hideMark/>
          </w:tcPr>
          <w:p w14:paraId="646003F7"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95.069</w:t>
            </w:r>
          </w:p>
        </w:tc>
        <w:tc>
          <w:tcPr>
            <w:tcW w:w="1200" w:type="dxa"/>
            <w:tcBorders>
              <w:top w:val="nil"/>
              <w:left w:val="nil"/>
              <w:bottom w:val="single" w:sz="4" w:space="0" w:color="auto"/>
              <w:right w:val="single" w:sz="4" w:space="0" w:color="auto"/>
            </w:tcBorders>
            <w:shd w:val="clear" w:color="auto" w:fill="auto"/>
            <w:noWrap/>
            <w:vAlign w:val="center"/>
            <w:hideMark/>
          </w:tcPr>
          <w:p w14:paraId="5284FB63"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59.761</w:t>
            </w:r>
          </w:p>
        </w:tc>
        <w:tc>
          <w:tcPr>
            <w:tcW w:w="1200" w:type="dxa"/>
            <w:tcBorders>
              <w:top w:val="nil"/>
              <w:left w:val="nil"/>
              <w:bottom w:val="single" w:sz="4" w:space="0" w:color="auto"/>
              <w:right w:val="single" w:sz="4" w:space="0" w:color="auto"/>
            </w:tcBorders>
            <w:shd w:val="clear" w:color="auto" w:fill="auto"/>
            <w:noWrap/>
            <w:vAlign w:val="center"/>
            <w:hideMark/>
          </w:tcPr>
          <w:p w14:paraId="52ACEAF1"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1.870</w:t>
            </w:r>
          </w:p>
        </w:tc>
        <w:tc>
          <w:tcPr>
            <w:tcW w:w="1200" w:type="dxa"/>
            <w:tcBorders>
              <w:top w:val="nil"/>
              <w:left w:val="nil"/>
              <w:bottom w:val="single" w:sz="4" w:space="0" w:color="auto"/>
              <w:right w:val="single" w:sz="4" w:space="0" w:color="auto"/>
            </w:tcBorders>
            <w:shd w:val="clear" w:color="auto" w:fill="auto"/>
            <w:noWrap/>
            <w:vAlign w:val="center"/>
            <w:hideMark/>
          </w:tcPr>
          <w:p w14:paraId="4EBE018E"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410.753</w:t>
            </w:r>
          </w:p>
        </w:tc>
        <w:tc>
          <w:tcPr>
            <w:tcW w:w="1520" w:type="dxa"/>
            <w:tcBorders>
              <w:top w:val="nil"/>
              <w:left w:val="nil"/>
              <w:bottom w:val="single" w:sz="4" w:space="0" w:color="auto"/>
              <w:right w:val="single" w:sz="4" w:space="0" w:color="auto"/>
            </w:tcBorders>
            <w:shd w:val="clear" w:color="auto" w:fill="auto"/>
            <w:noWrap/>
            <w:vAlign w:val="center"/>
            <w:hideMark/>
          </w:tcPr>
          <w:p w14:paraId="6A4E94E7"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214.486</w:t>
            </w:r>
          </w:p>
        </w:tc>
      </w:tr>
      <w:tr w:rsidR="009A09ED" w:rsidRPr="00E02C7F" w14:paraId="3C856699"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6FA360A7"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N_111</w:t>
            </w:r>
          </w:p>
        </w:tc>
        <w:tc>
          <w:tcPr>
            <w:tcW w:w="1200" w:type="dxa"/>
            <w:tcBorders>
              <w:top w:val="nil"/>
              <w:left w:val="nil"/>
              <w:bottom w:val="single" w:sz="4" w:space="0" w:color="auto"/>
              <w:right w:val="single" w:sz="4" w:space="0" w:color="auto"/>
            </w:tcBorders>
            <w:shd w:val="clear" w:color="auto" w:fill="auto"/>
            <w:noWrap/>
            <w:vAlign w:val="center"/>
            <w:hideMark/>
          </w:tcPr>
          <w:p w14:paraId="69BFD88F"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146.846</w:t>
            </w:r>
          </w:p>
        </w:tc>
        <w:tc>
          <w:tcPr>
            <w:tcW w:w="1600" w:type="dxa"/>
            <w:tcBorders>
              <w:top w:val="nil"/>
              <w:left w:val="nil"/>
              <w:bottom w:val="single" w:sz="4" w:space="0" w:color="auto"/>
              <w:right w:val="single" w:sz="4" w:space="0" w:color="auto"/>
            </w:tcBorders>
            <w:shd w:val="clear" w:color="auto" w:fill="auto"/>
            <w:noWrap/>
            <w:vAlign w:val="center"/>
            <w:hideMark/>
          </w:tcPr>
          <w:p w14:paraId="7FE3C362"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54.951</w:t>
            </w:r>
          </w:p>
        </w:tc>
        <w:tc>
          <w:tcPr>
            <w:tcW w:w="1200" w:type="dxa"/>
            <w:tcBorders>
              <w:top w:val="nil"/>
              <w:left w:val="nil"/>
              <w:bottom w:val="single" w:sz="4" w:space="0" w:color="auto"/>
              <w:right w:val="single" w:sz="4" w:space="0" w:color="auto"/>
            </w:tcBorders>
            <w:shd w:val="clear" w:color="auto" w:fill="auto"/>
            <w:noWrap/>
            <w:vAlign w:val="center"/>
            <w:hideMark/>
          </w:tcPr>
          <w:p w14:paraId="5FCB73D8"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34.543</w:t>
            </w:r>
          </w:p>
        </w:tc>
        <w:tc>
          <w:tcPr>
            <w:tcW w:w="1200" w:type="dxa"/>
            <w:tcBorders>
              <w:top w:val="nil"/>
              <w:left w:val="nil"/>
              <w:bottom w:val="single" w:sz="4" w:space="0" w:color="auto"/>
              <w:right w:val="single" w:sz="4" w:space="0" w:color="auto"/>
            </w:tcBorders>
            <w:shd w:val="clear" w:color="auto" w:fill="auto"/>
            <w:noWrap/>
            <w:vAlign w:val="center"/>
            <w:hideMark/>
          </w:tcPr>
          <w:p w14:paraId="1B281F3B"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1.081</w:t>
            </w:r>
          </w:p>
        </w:tc>
        <w:tc>
          <w:tcPr>
            <w:tcW w:w="1200" w:type="dxa"/>
            <w:tcBorders>
              <w:top w:val="nil"/>
              <w:left w:val="nil"/>
              <w:bottom w:val="single" w:sz="4" w:space="0" w:color="auto"/>
              <w:right w:val="single" w:sz="4" w:space="0" w:color="auto"/>
            </w:tcBorders>
            <w:shd w:val="clear" w:color="auto" w:fill="auto"/>
            <w:noWrap/>
            <w:vAlign w:val="center"/>
            <w:hideMark/>
          </w:tcPr>
          <w:p w14:paraId="6D42D447"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237.420</w:t>
            </w:r>
          </w:p>
        </w:tc>
        <w:tc>
          <w:tcPr>
            <w:tcW w:w="1520" w:type="dxa"/>
            <w:tcBorders>
              <w:top w:val="nil"/>
              <w:left w:val="nil"/>
              <w:bottom w:val="single" w:sz="4" w:space="0" w:color="auto"/>
              <w:right w:val="single" w:sz="4" w:space="0" w:color="auto"/>
            </w:tcBorders>
            <w:shd w:val="clear" w:color="auto" w:fill="auto"/>
            <w:noWrap/>
            <w:vAlign w:val="center"/>
            <w:hideMark/>
          </w:tcPr>
          <w:p w14:paraId="37D68A53"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123.975</w:t>
            </w:r>
          </w:p>
        </w:tc>
      </w:tr>
      <w:tr w:rsidR="009A09ED" w:rsidRPr="00E02C7F" w14:paraId="043F5DBA"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64BDCA41"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N_112</w:t>
            </w:r>
          </w:p>
        </w:tc>
        <w:tc>
          <w:tcPr>
            <w:tcW w:w="1200" w:type="dxa"/>
            <w:tcBorders>
              <w:top w:val="nil"/>
              <w:left w:val="nil"/>
              <w:bottom w:val="single" w:sz="4" w:space="0" w:color="auto"/>
              <w:right w:val="single" w:sz="4" w:space="0" w:color="auto"/>
            </w:tcBorders>
            <w:shd w:val="clear" w:color="auto" w:fill="auto"/>
            <w:noWrap/>
            <w:vAlign w:val="center"/>
            <w:hideMark/>
          </w:tcPr>
          <w:p w14:paraId="6005152D"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51.033</w:t>
            </w:r>
          </w:p>
        </w:tc>
        <w:tc>
          <w:tcPr>
            <w:tcW w:w="1600" w:type="dxa"/>
            <w:tcBorders>
              <w:top w:val="nil"/>
              <w:left w:val="nil"/>
              <w:bottom w:val="single" w:sz="4" w:space="0" w:color="auto"/>
              <w:right w:val="single" w:sz="4" w:space="0" w:color="auto"/>
            </w:tcBorders>
            <w:shd w:val="clear" w:color="auto" w:fill="auto"/>
            <w:noWrap/>
            <w:vAlign w:val="center"/>
            <w:hideMark/>
          </w:tcPr>
          <w:p w14:paraId="3E0A38F6"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19.097</w:t>
            </w:r>
          </w:p>
        </w:tc>
        <w:tc>
          <w:tcPr>
            <w:tcW w:w="1200" w:type="dxa"/>
            <w:tcBorders>
              <w:top w:val="nil"/>
              <w:left w:val="nil"/>
              <w:bottom w:val="single" w:sz="4" w:space="0" w:color="auto"/>
              <w:right w:val="single" w:sz="4" w:space="0" w:color="auto"/>
            </w:tcBorders>
            <w:shd w:val="clear" w:color="auto" w:fill="auto"/>
            <w:noWrap/>
            <w:vAlign w:val="center"/>
            <w:hideMark/>
          </w:tcPr>
          <w:p w14:paraId="29381880"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12.005</w:t>
            </w:r>
          </w:p>
        </w:tc>
        <w:tc>
          <w:tcPr>
            <w:tcW w:w="1200" w:type="dxa"/>
            <w:tcBorders>
              <w:top w:val="nil"/>
              <w:left w:val="nil"/>
              <w:bottom w:val="single" w:sz="4" w:space="0" w:color="auto"/>
              <w:right w:val="single" w:sz="4" w:space="0" w:color="auto"/>
            </w:tcBorders>
            <w:shd w:val="clear" w:color="auto" w:fill="auto"/>
            <w:noWrap/>
            <w:vAlign w:val="center"/>
            <w:hideMark/>
          </w:tcPr>
          <w:p w14:paraId="6810A5E3"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200</w:t>
            </w:r>
          </w:p>
        </w:tc>
        <w:tc>
          <w:tcPr>
            <w:tcW w:w="1200" w:type="dxa"/>
            <w:tcBorders>
              <w:top w:val="nil"/>
              <w:left w:val="nil"/>
              <w:bottom w:val="single" w:sz="4" w:space="0" w:color="auto"/>
              <w:right w:val="single" w:sz="4" w:space="0" w:color="auto"/>
            </w:tcBorders>
            <w:shd w:val="clear" w:color="auto" w:fill="auto"/>
            <w:noWrap/>
            <w:vAlign w:val="center"/>
            <w:hideMark/>
          </w:tcPr>
          <w:p w14:paraId="61B8E8ED"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82.335</w:t>
            </w:r>
          </w:p>
        </w:tc>
        <w:tc>
          <w:tcPr>
            <w:tcW w:w="1520" w:type="dxa"/>
            <w:tcBorders>
              <w:top w:val="nil"/>
              <w:left w:val="nil"/>
              <w:bottom w:val="single" w:sz="4" w:space="0" w:color="auto"/>
              <w:right w:val="single" w:sz="4" w:space="0" w:color="auto"/>
            </w:tcBorders>
            <w:shd w:val="clear" w:color="auto" w:fill="auto"/>
            <w:noWrap/>
            <w:vAlign w:val="center"/>
            <w:hideMark/>
          </w:tcPr>
          <w:p w14:paraId="0DCCC8C8"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43.085</w:t>
            </w:r>
          </w:p>
        </w:tc>
      </w:tr>
      <w:tr w:rsidR="009A09ED" w:rsidRPr="00E02C7F" w14:paraId="186C9422"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0DFB5D79"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N_113</w:t>
            </w:r>
          </w:p>
        </w:tc>
        <w:tc>
          <w:tcPr>
            <w:tcW w:w="1200" w:type="dxa"/>
            <w:tcBorders>
              <w:top w:val="nil"/>
              <w:left w:val="nil"/>
              <w:bottom w:val="single" w:sz="4" w:space="0" w:color="auto"/>
              <w:right w:val="single" w:sz="4" w:space="0" w:color="auto"/>
            </w:tcBorders>
            <w:shd w:val="clear" w:color="auto" w:fill="auto"/>
            <w:noWrap/>
            <w:vAlign w:val="center"/>
            <w:hideMark/>
          </w:tcPr>
          <w:p w14:paraId="7F3DA792"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524.855</w:t>
            </w:r>
          </w:p>
        </w:tc>
        <w:tc>
          <w:tcPr>
            <w:tcW w:w="1600" w:type="dxa"/>
            <w:tcBorders>
              <w:top w:val="nil"/>
              <w:left w:val="nil"/>
              <w:bottom w:val="single" w:sz="4" w:space="0" w:color="auto"/>
              <w:right w:val="single" w:sz="4" w:space="0" w:color="auto"/>
            </w:tcBorders>
            <w:shd w:val="clear" w:color="auto" w:fill="auto"/>
            <w:noWrap/>
            <w:vAlign w:val="center"/>
            <w:hideMark/>
          </w:tcPr>
          <w:p w14:paraId="7B528A37"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196.405</w:t>
            </w:r>
          </w:p>
        </w:tc>
        <w:tc>
          <w:tcPr>
            <w:tcW w:w="1200" w:type="dxa"/>
            <w:tcBorders>
              <w:top w:val="nil"/>
              <w:left w:val="nil"/>
              <w:bottom w:val="single" w:sz="4" w:space="0" w:color="auto"/>
              <w:right w:val="single" w:sz="4" w:space="0" w:color="auto"/>
            </w:tcBorders>
            <w:shd w:val="clear" w:color="auto" w:fill="auto"/>
            <w:noWrap/>
            <w:vAlign w:val="center"/>
            <w:hideMark/>
          </w:tcPr>
          <w:p w14:paraId="288D5BB0"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123.462</w:t>
            </w:r>
          </w:p>
        </w:tc>
        <w:tc>
          <w:tcPr>
            <w:tcW w:w="1200" w:type="dxa"/>
            <w:tcBorders>
              <w:top w:val="nil"/>
              <w:left w:val="nil"/>
              <w:bottom w:val="single" w:sz="4" w:space="0" w:color="auto"/>
              <w:right w:val="single" w:sz="4" w:space="0" w:color="auto"/>
            </w:tcBorders>
            <w:shd w:val="clear" w:color="auto" w:fill="auto"/>
            <w:noWrap/>
            <w:vAlign w:val="center"/>
            <w:hideMark/>
          </w:tcPr>
          <w:p w14:paraId="52034494"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3.386</w:t>
            </w:r>
          </w:p>
        </w:tc>
        <w:tc>
          <w:tcPr>
            <w:tcW w:w="1200" w:type="dxa"/>
            <w:tcBorders>
              <w:top w:val="nil"/>
              <w:left w:val="nil"/>
              <w:bottom w:val="single" w:sz="4" w:space="0" w:color="auto"/>
              <w:right w:val="single" w:sz="4" w:space="0" w:color="auto"/>
            </w:tcBorders>
            <w:shd w:val="clear" w:color="auto" w:fill="auto"/>
            <w:noWrap/>
            <w:vAlign w:val="center"/>
            <w:hideMark/>
          </w:tcPr>
          <w:p w14:paraId="626AD335"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848.108</w:t>
            </w:r>
          </w:p>
        </w:tc>
        <w:tc>
          <w:tcPr>
            <w:tcW w:w="1520" w:type="dxa"/>
            <w:tcBorders>
              <w:top w:val="nil"/>
              <w:left w:val="nil"/>
              <w:bottom w:val="single" w:sz="4" w:space="0" w:color="auto"/>
              <w:right w:val="single" w:sz="4" w:space="0" w:color="auto"/>
            </w:tcBorders>
            <w:shd w:val="clear" w:color="auto" w:fill="auto"/>
            <w:noWrap/>
            <w:vAlign w:val="center"/>
            <w:hideMark/>
          </w:tcPr>
          <w:p w14:paraId="3735723E"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443.113</w:t>
            </w:r>
          </w:p>
        </w:tc>
      </w:tr>
      <w:tr w:rsidR="009A09ED" w:rsidRPr="00E02C7F" w14:paraId="65FB4D3C"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187BAD80"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N_114</w:t>
            </w:r>
          </w:p>
        </w:tc>
        <w:tc>
          <w:tcPr>
            <w:tcW w:w="1200" w:type="dxa"/>
            <w:tcBorders>
              <w:top w:val="nil"/>
              <w:left w:val="nil"/>
              <w:bottom w:val="single" w:sz="4" w:space="0" w:color="auto"/>
              <w:right w:val="single" w:sz="4" w:space="0" w:color="auto"/>
            </w:tcBorders>
            <w:shd w:val="clear" w:color="auto" w:fill="auto"/>
            <w:noWrap/>
            <w:vAlign w:val="center"/>
            <w:hideMark/>
          </w:tcPr>
          <w:p w14:paraId="5BBBD679"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600" w:type="dxa"/>
            <w:tcBorders>
              <w:top w:val="nil"/>
              <w:left w:val="nil"/>
              <w:bottom w:val="single" w:sz="4" w:space="0" w:color="auto"/>
              <w:right w:val="single" w:sz="4" w:space="0" w:color="auto"/>
            </w:tcBorders>
            <w:shd w:val="clear" w:color="auto" w:fill="auto"/>
            <w:noWrap/>
            <w:vAlign w:val="center"/>
            <w:hideMark/>
          </w:tcPr>
          <w:p w14:paraId="501FCB07"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200" w:type="dxa"/>
            <w:tcBorders>
              <w:top w:val="nil"/>
              <w:left w:val="nil"/>
              <w:bottom w:val="single" w:sz="4" w:space="0" w:color="auto"/>
              <w:right w:val="single" w:sz="4" w:space="0" w:color="auto"/>
            </w:tcBorders>
            <w:shd w:val="clear" w:color="auto" w:fill="auto"/>
            <w:noWrap/>
            <w:vAlign w:val="center"/>
            <w:hideMark/>
          </w:tcPr>
          <w:p w14:paraId="6EBCBB09"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200" w:type="dxa"/>
            <w:tcBorders>
              <w:top w:val="nil"/>
              <w:left w:val="nil"/>
              <w:bottom w:val="single" w:sz="4" w:space="0" w:color="auto"/>
              <w:right w:val="single" w:sz="4" w:space="0" w:color="auto"/>
            </w:tcBorders>
            <w:shd w:val="clear" w:color="auto" w:fill="auto"/>
            <w:noWrap/>
            <w:vAlign w:val="center"/>
            <w:hideMark/>
          </w:tcPr>
          <w:p w14:paraId="59602CE6"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200" w:type="dxa"/>
            <w:tcBorders>
              <w:top w:val="nil"/>
              <w:left w:val="nil"/>
              <w:bottom w:val="single" w:sz="4" w:space="0" w:color="auto"/>
              <w:right w:val="single" w:sz="4" w:space="0" w:color="auto"/>
            </w:tcBorders>
            <w:shd w:val="clear" w:color="auto" w:fill="auto"/>
            <w:noWrap/>
            <w:vAlign w:val="center"/>
            <w:hideMark/>
          </w:tcPr>
          <w:p w14:paraId="59A74B4B"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520" w:type="dxa"/>
            <w:tcBorders>
              <w:top w:val="nil"/>
              <w:left w:val="nil"/>
              <w:bottom w:val="single" w:sz="4" w:space="0" w:color="auto"/>
              <w:right w:val="single" w:sz="4" w:space="0" w:color="auto"/>
            </w:tcBorders>
            <w:shd w:val="clear" w:color="auto" w:fill="auto"/>
            <w:noWrap/>
            <w:vAlign w:val="center"/>
            <w:hideMark/>
          </w:tcPr>
          <w:p w14:paraId="020070FD"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r>
      <w:tr w:rsidR="009A09ED" w:rsidRPr="00E02C7F" w14:paraId="67F59B82"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74CEE0E5"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N_115</w:t>
            </w:r>
          </w:p>
        </w:tc>
        <w:tc>
          <w:tcPr>
            <w:tcW w:w="1200" w:type="dxa"/>
            <w:tcBorders>
              <w:top w:val="nil"/>
              <w:left w:val="nil"/>
              <w:bottom w:val="single" w:sz="4" w:space="0" w:color="auto"/>
              <w:right w:val="single" w:sz="4" w:space="0" w:color="auto"/>
            </w:tcBorders>
            <w:shd w:val="clear" w:color="auto" w:fill="auto"/>
            <w:noWrap/>
            <w:vAlign w:val="center"/>
            <w:hideMark/>
          </w:tcPr>
          <w:p w14:paraId="3F96A9D4"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35.830</w:t>
            </w:r>
          </w:p>
        </w:tc>
        <w:tc>
          <w:tcPr>
            <w:tcW w:w="1600" w:type="dxa"/>
            <w:tcBorders>
              <w:top w:val="nil"/>
              <w:left w:val="nil"/>
              <w:bottom w:val="single" w:sz="4" w:space="0" w:color="auto"/>
              <w:right w:val="single" w:sz="4" w:space="0" w:color="auto"/>
            </w:tcBorders>
            <w:shd w:val="clear" w:color="auto" w:fill="auto"/>
            <w:noWrap/>
            <w:vAlign w:val="center"/>
            <w:hideMark/>
          </w:tcPr>
          <w:p w14:paraId="11FDEE6E"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13.408</w:t>
            </w:r>
          </w:p>
        </w:tc>
        <w:tc>
          <w:tcPr>
            <w:tcW w:w="1200" w:type="dxa"/>
            <w:tcBorders>
              <w:top w:val="nil"/>
              <w:left w:val="nil"/>
              <w:bottom w:val="single" w:sz="4" w:space="0" w:color="auto"/>
              <w:right w:val="single" w:sz="4" w:space="0" w:color="auto"/>
            </w:tcBorders>
            <w:shd w:val="clear" w:color="auto" w:fill="auto"/>
            <w:noWrap/>
            <w:vAlign w:val="center"/>
            <w:hideMark/>
          </w:tcPr>
          <w:p w14:paraId="55B09F37"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8.428</w:t>
            </w:r>
          </w:p>
        </w:tc>
        <w:tc>
          <w:tcPr>
            <w:tcW w:w="1200" w:type="dxa"/>
            <w:tcBorders>
              <w:top w:val="nil"/>
              <w:left w:val="nil"/>
              <w:bottom w:val="single" w:sz="4" w:space="0" w:color="auto"/>
              <w:right w:val="single" w:sz="4" w:space="0" w:color="auto"/>
            </w:tcBorders>
            <w:shd w:val="clear" w:color="auto" w:fill="auto"/>
            <w:noWrap/>
            <w:vAlign w:val="center"/>
            <w:hideMark/>
          </w:tcPr>
          <w:p w14:paraId="73D8F617"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264</w:t>
            </w:r>
          </w:p>
        </w:tc>
        <w:tc>
          <w:tcPr>
            <w:tcW w:w="1200" w:type="dxa"/>
            <w:tcBorders>
              <w:top w:val="nil"/>
              <w:left w:val="nil"/>
              <w:bottom w:val="single" w:sz="4" w:space="0" w:color="auto"/>
              <w:right w:val="single" w:sz="4" w:space="0" w:color="auto"/>
            </w:tcBorders>
            <w:shd w:val="clear" w:color="auto" w:fill="auto"/>
            <w:noWrap/>
            <w:vAlign w:val="center"/>
            <w:hideMark/>
          </w:tcPr>
          <w:p w14:paraId="6565CCE2"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57.929</w:t>
            </w:r>
          </w:p>
        </w:tc>
        <w:tc>
          <w:tcPr>
            <w:tcW w:w="1520" w:type="dxa"/>
            <w:tcBorders>
              <w:top w:val="nil"/>
              <w:left w:val="nil"/>
              <w:bottom w:val="single" w:sz="4" w:space="0" w:color="auto"/>
              <w:right w:val="single" w:sz="4" w:space="0" w:color="auto"/>
            </w:tcBorders>
            <w:shd w:val="clear" w:color="auto" w:fill="auto"/>
            <w:noWrap/>
            <w:vAlign w:val="center"/>
            <w:hideMark/>
          </w:tcPr>
          <w:p w14:paraId="0D71F5F6"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30.249</w:t>
            </w:r>
          </w:p>
        </w:tc>
      </w:tr>
      <w:tr w:rsidR="009A09ED" w:rsidRPr="00E02C7F" w14:paraId="25718931"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545BAC75"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N_116</w:t>
            </w:r>
          </w:p>
        </w:tc>
        <w:tc>
          <w:tcPr>
            <w:tcW w:w="1200" w:type="dxa"/>
            <w:tcBorders>
              <w:top w:val="nil"/>
              <w:left w:val="nil"/>
              <w:bottom w:val="single" w:sz="4" w:space="0" w:color="auto"/>
              <w:right w:val="single" w:sz="4" w:space="0" w:color="auto"/>
            </w:tcBorders>
            <w:shd w:val="clear" w:color="auto" w:fill="auto"/>
            <w:noWrap/>
            <w:vAlign w:val="center"/>
            <w:hideMark/>
          </w:tcPr>
          <w:p w14:paraId="5BF3E35D"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31.085</w:t>
            </w:r>
          </w:p>
        </w:tc>
        <w:tc>
          <w:tcPr>
            <w:tcW w:w="1600" w:type="dxa"/>
            <w:tcBorders>
              <w:top w:val="nil"/>
              <w:left w:val="nil"/>
              <w:bottom w:val="single" w:sz="4" w:space="0" w:color="auto"/>
              <w:right w:val="single" w:sz="4" w:space="0" w:color="auto"/>
            </w:tcBorders>
            <w:shd w:val="clear" w:color="auto" w:fill="auto"/>
            <w:noWrap/>
            <w:vAlign w:val="center"/>
            <w:hideMark/>
          </w:tcPr>
          <w:p w14:paraId="36663EFA"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11.632</w:t>
            </w:r>
          </w:p>
        </w:tc>
        <w:tc>
          <w:tcPr>
            <w:tcW w:w="1200" w:type="dxa"/>
            <w:tcBorders>
              <w:top w:val="nil"/>
              <w:left w:val="nil"/>
              <w:bottom w:val="single" w:sz="4" w:space="0" w:color="auto"/>
              <w:right w:val="single" w:sz="4" w:space="0" w:color="auto"/>
            </w:tcBorders>
            <w:shd w:val="clear" w:color="auto" w:fill="auto"/>
            <w:noWrap/>
            <w:vAlign w:val="center"/>
            <w:hideMark/>
          </w:tcPr>
          <w:p w14:paraId="0B8ACEA5"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7.312</w:t>
            </w:r>
          </w:p>
        </w:tc>
        <w:tc>
          <w:tcPr>
            <w:tcW w:w="1200" w:type="dxa"/>
            <w:tcBorders>
              <w:top w:val="nil"/>
              <w:left w:val="nil"/>
              <w:bottom w:val="single" w:sz="4" w:space="0" w:color="auto"/>
              <w:right w:val="single" w:sz="4" w:space="0" w:color="auto"/>
            </w:tcBorders>
            <w:shd w:val="clear" w:color="auto" w:fill="auto"/>
            <w:noWrap/>
            <w:vAlign w:val="center"/>
            <w:hideMark/>
          </w:tcPr>
          <w:p w14:paraId="672650E7"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229</w:t>
            </w:r>
          </w:p>
        </w:tc>
        <w:tc>
          <w:tcPr>
            <w:tcW w:w="1200" w:type="dxa"/>
            <w:tcBorders>
              <w:top w:val="nil"/>
              <w:left w:val="nil"/>
              <w:bottom w:val="single" w:sz="4" w:space="0" w:color="auto"/>
              <w:right w:val="single" w:sz="4" w:space="0" w:color="auto"/>
            </w:tcBorders>
            <w:shd w:val="clear" w:color="auto" w:fill="auto"/>
            <w:noWrap/>
            <w:vAlign w:val="center"/>
            <w:hideMark/>
          </w:tcPr>
          <w:p w14:paraId="43FA9A44"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50.259</w:t>
            </w:r>
          </w:p>
        </w:tc>
        <w:tc>
          <w:tcPr>
            <w:tcW w:w="1520" w:type="dxa"/>
            <w:tcBorders>
              <w:top w:val="nil"/>
              <w:left w:val="nil"/>
              <w:bottom w:val="single" w:sz="4" w:space="0" w:color="auto"/>
              <w:right w:val="single" w:sz="4" w:space="0" w:color="auto"/>
            </w:tcBorders>
            <w:shd w:val="clear" w:color="auto" w:fill="auto"/>
            <w:noWrap/>
            <w:vAlign w:val="center"/>
            <w:hideMark/>
          </w:tcPr>
          <w:p w14:paraId="7FFCEF34"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26.244</w:t>
            </w:r>
          </w:p>
        </w:tc>
      </w:tr>
      <w:tr w:rsidR="009A09ED" w:rsidRPr="00E02C7F" w14:paraId="28FCFFED"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0FA8D47A"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N_117</w:t>
            </w:r>
          </w:p>
        </w:tc>
        <w:tc>
          <w:tcPr>
            <w:tcW w:w="1200" w:type="dxa"/>
            <w:tcBorders>
              <w:top w:val="nil"/>
              <w:left w:val="nil"/>
              <w:bottom w:val="single" w:sz="4" w:space="0" w:color="auto"/>
              <w:right w:val="single" w:sz="4" w:space="0" w:color="auto"/>
            </w:tcBorders>
            <w:shd w:val="clear" w:color="auto" w:fill="auto"/>
            <w:noWrap/>
            <w:vAlign w:val="center"/>
            <w:hideMark/>
          </w:tcPr>
          <w:p w14:paraId="5AEBFE39"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51.719</w:t>
            </w:r>
          </w:p>
        </w:tc>
        <w:tc>
          <w:tcPr>
            <w:tcW w:w="1600" w:type="dxa"/>
            <w:tcBorders>
              <w:top w:val="nil"/>
              <w:left w:val="nil"/>
              <w:bottom w:val="single" w:sz="4" w:space="0" w:color="auto"/>
              <w:right w:val="single" w:sz="4" w:space="0" w:color="auto"/>
            </w:tcBorders>
            <w:shd w:val="clear" w:color="auto" w:fill="auto"/>
            <w:noWrap/>
            <w:vAlign w:val="center"/>
            <w:hideMark/>
          </w:tcPr>
          <w:p w14:paraId="2A84A980"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19.354</w:t>
            </w:r>
          </w:p>
        </w:tc>
        <w:tc>
          <w:tcPr>
            <w:tcW w:w="1200" w:type="dxa"/>
            <w:tcBorders>
              <w:top w:val="nil"/>
              <w:left w:val="nil"/>
              <w:bottom w:val="single" w:sz="4" w:space="0" w:color="auto"/>
              <w:right w:val="single" w:sz="4" w:space="0" w:color="auto"/>
            </w:tcBorders>
            <w:shd w:val="clear" w:color="auto" w:fill="auto"/>
            <w:noWrap/>
            <w:vAlign w:val="center"/>
            <w:hideMark/>
          </w:tcPr>
          <w:p w14:paraId="3E675058"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12.166</w:t>
            </w:r>
          </w:p>
        </w:tc>
        <w:tc>
          <w:tcPr>
            <w:tcW w:w="1200" w:type="dxa"/>
            <w:tcBorders>
              <w:top w:val="nil"/>
              <w:left w:val="nil"/>
              <w:bottom w:val="single" w:sz="4" w:space="0" w:color="auto"/>
              <w:right w:val="single" w:sz="4" w:space="0" w:color="auto"/>
            </w:tcBorders>
            <w:shd w:val="clear" w:color="auto" w:fill="auto"/>
            <w:noWrap/>
            <w:vAlign w:val="center"/>
            <w:hideMark/>
          </w:tcPr>
          <w:p w14:paraId="1C820654"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381</w:t>
            </w:r>
          </w:p>
        </w:tc>
        <w:tc>
          <w:tcPr>
            <w:tcW w:w="1200" w:type="dxa"/>
            <w:tcBorders>
              <w:top w:val="nil"/>
              <w:left w:val="nil"/>
              <w:bottom w:val="single" w:sz="4" w:space="0" w:color="auto"/>
              <w:right w:val="single" w:sz="4" w:space="0" w:color="auto"/>
            </w:tcBorders>
            <w:shd w:val="clear" w:color="auto" w:fill="auto"/>
            <w:noWrap/>
            <w:vAlign w:val="center"/>
            <w:hideMark/>
          </w:tcPr>
          <w:p w14:paraId="43398D7F"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83.620</w:t>
            </w:r>
          </w:p>
        </w:tc>
        <w:tc>
          <w:tcPr>
            <w:tcW w:w="1520" w:type="dxa"/>
            <w:tcBorders>
              <w:top w:val="nil"/>
              <w:left w:val="nil"/>
              <w:bottom w:val="single" w:sz="4" w:space="0" w:color="auto"/>
              <w:right w:val="single" w:sz="4" w:space="0" w:color="auto"/>
            </w:tcBorders>
            <w:shd w:val="clear" w:color="auto" w:fill="auto"/>
            <w:noWrap/>
            <w:vAlign w:val="center"/>
            <w:hideMark/>
          </w:tcPr>
          <w:p w14:paraId="11F617D5"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43.664</w:t>
            </w:r>
          </w:p>
        </w:tc>
      </w:tr>
      <w:tr w:rsidR="009A09ED" w:rsidRPr="00E02C7F" w14:paraId="3F7C64DB"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0CF2EDC2"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N_118</w:t>
            </w:r>
          </w:p>
        </w:tc>
        <w:tc>
          <w:tcPr>
            <w:tcW w:w="1200" w:type="dxa"/>
            <w:tcBorders>
              <w:top w:val="nil"/>
              <w:left w:val="nil"/>
              <w:bottom w:val="single" w:sz="4" w:space="0" w:color="auto"/>
              <w:right w:val="single" w:sz="4" w:space="0" w:color="auto"/>
            </w:tcBorders>
            <w:shd w:val="clear" w:color="auto" w:fill="auto"/>
            <w:noWrap/>
            <w:vAlign w:val="center"/>
            <w:hideMark/>
          </w:tcPr>
          <w:p w14:paraId="5E97E9F7"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314.265</w:t>
            </w:r>
          </w:p>
        </w:tc>
        <w:tc>
          <w:tcPr>
            <w:tcW w:w="1600" w:type="dxa"/>
            <w:tcBorders>
              <w:top w:val="nil"/>
              <w:left w:val="nil"/>
              <w:bottom w:val="single" w:sz="4" w:space="0" w:color="auto"/>
              <w:right w:val="single" w:sz="4" w:space="0" w:color="auto"/>
            </w:tcBorders>
            <w:shd w:val="clear" w:color="auto" w:fill="auto"/>
            <w:noWrap/>
            <w:vAlign w:val="center"/>
            <w:hideMark/>
          </w:tcPr>
          <w:p w14:paraId="04F7954E"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117.600</w:t>
            </w:r>
          </w:p>
        </w:tc>
        <w:tc>
          <w:tcPr>
            <w:tcW w:w="1200" w:type="dxa"/>
            <w:tcBorders>
              <w:top w:val="nil"/>
              <w:left w:val="nil"/>
              <w:bottom w:val="single" w:sz="4" w:space="0" w:color="auto"/>
              <w:right w:val="single" w:sz="4" w:space="0" w:color="auto"/>
            </w:tcBorders>
            <w:shd w:val="clear" w:color="auto" w:fill="auto"/>
            <w:noWrap/>
            <w:vAlign w:val="center"/>
            <w:hideMark/>
          </w:tcPr>
          <w:p w14:paraId="29278C62"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73.925</w:t>
            </w:r>
          </w:p>
        </w:tc>
        <w:tc>
          <w:tcPr>
            <w:tcW w:w="1200" w:type="dxa"/>
            <w:tcBorders>
              <w:top w:val="nil"/>
              <w:left w:val="nil"/>
              <w:bottom w:val="single" w:sz="4" w:space="0" w:color="auto"/>
              <w:right w:val="single" w:sz="4" w:space="0" w:color="auto"/>
            </w:tcBorders>
            <w:shd w:val="clear" w:color="auto" w:fill="auto"/>
            <w:noWrap/>
            <w:vAlign w:val="center"/>
            <w:hideMark/>
          </w:tcPr>
          <w:p w14:paraId="6D41442C"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2.314</w:t>
            </w:r>
          </w:p>
        </w:tc>
        <w:tc>
          <w:tcPr>
            <w:tcW w:w="1200" w:type="dxa"/>
            <w:tcBorders>
              <w:top w:val="nil"/>
              <w:left w:val="nil"/>
              <w:bottom w:val="single" w:sz="4" w:space="0" w:color="auto"/>
              <w:right w:val="single" w:sz="4" w:space="0" w:color="auto"/>
            </w:tcBorders>
            <w:shd w:val="clear" w:color="auto" w:fill="auto"/>
            <w:noWrap/>
            <w:vAlign w:val="center"/>
            <w:hideMark/>
          </w:tcPr>
          <w:p w14:paraId="7BE12B24"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508.104</w:t>
            </w:r>
          </w:p>
        </w:tc>
        <w:tc>
          <w:tcPr>
            <w:tcW w:w="1520" w:type="dxa"/>
            <w:tcBorders>
              <w:top w:val="nil"/>
              <w:left w:val="nil"/>
              <w:bottom w:val="single" w:sz="4" w:space="0" w:color="auto"/>
              <w:right w:val="single" w:sz="4" w:space="0" w:color="auto"/>
            </w:tcBorders>
            <w:shd w:val="clear" w:color="auto" w:fill="auto"/>
            <w:noWrap/>
            <w:vAlign w:val="center"/>
            <w:hideMark/>
          </w:tcPr>
          <w:p w14:paraId="0840F825"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265.321</w:t>
            </w:r>
          </w:p>
        </w:tc>
      </w:tr>
      <w:tr w:rsidR="009A09ED" w:rsidRPr="00E02C7F" w14:paraId="24C5AC9E"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2235EEFE"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N_119</w:t>
            </w:r>
          </w:p>
        </w:tc>
        <w:tc>
          <w:tcPr>
            <w:tcW w:w="1200" w:type="dxa"/>
            <w:tcBorders>
              <w:top w:val="nil"/>
              <w:left w:val="nil"/>
              <w:bottom w:val="single" w:sz="4" w:space="0" w:color="auto"/>
              <w:right w:val="single" w:sz="4" w:space="0" w:color="auto"/>
            </w:tcBorders>
            <w:shd w:val="clear" w:color="auto" w:fill="auto"/>
            <w:noWrap/>
            <w:vAlign w:val="center"/>
            <w:hideMark/>
          </w:tcPr>
          <w:p w14:paraId="0A1E3A0D"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55.407</w:t>
            </w:r>
          </w:p>
        </w:tc>
        <w:tc>
          <w:tcPr>
            <w:tcW w:w="1600" w:type="dxa"/>
            <w:tcBorders>
              <w:top w:val="nil"/>
              <w:left w:val="nil"/>
              <w:bottom w:val="single" w:sz="4" w:space="0" w:color="auto"/>
              <w:right w:val="single" w:sz="4" w:space="0" w:color="auto"/>
            </w:tcBorders>
            <w:shd w:val="clear" w:color="auto" w:fill="auto"/>
            <w:noWrap/>
            <w:vAlign w:val="center"/>
            <w:hideMark/>
          </w:tcPr>
          <w:p w14:paraId="44A5CBE8"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20.734</w:t>
            </w:r>
          </w:p>
        </w:tc>
        <w:tc>
          <w:tcPr>
            <w:tcW w:w="1200" w:type="dxa"/>
            <w:tcBorders>
              <w:top w:val="nil"/>
              <w:left w:val="nil"/>
              <w:bottom w:val="single" w:sz="4" w:space="0" w:color="auto"/>
              <w:right w:val="single" w:sz="4" w:space="0" w:color="auto"/>
            </w:tcBorders>
            <w:shd w:val="clear" w:color="auto" w:fill="auto"/>
            <w:noWrap/>
            <w:vAlign w:val="center"/>
            <w:hideMark/>
          </w:tcPr>
          <w:p w14:paraId="278C4C30"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13.033</w:t>
            </w:r>
          </w:p>
        </w:tc>
        <w:tc>
          <w:tcPr>
            <w:tcW w:w="1200" w:type="dxa"/>
            <w:tcBorders>
              <w:top w:val="nil"/>
              <w:left w:val="nil"/>
              <w:bottom w:val="single" w:sz="4" w:space="0" w:color="auto"/>
              <w:right w:val="single" w:sz="4" w:space="0" w:color="auto"/>
            </w:tcBorders>
            <w:shd w:val="clear" w:color="auto" w:fill="auto"/>
            <w:noWrap/>
            <w:vAlign w:val="center"/>
            <w:hideMark/>
          </w:tcPr>
          <w:p w14:paraId="4C539D29"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287</w:t>
            </w:r>
          </w:p>
        </w:tc>
        <w:tc>
          <w:tcPr>
            <w:tcW w:w="1200" w:type="dxa"/>
            <w:tcBorders>
              <w:top w:val="nil"/>
              <w:left w:val="nil"/>
              <w:bottom w:val="single" w:sz="4" w:space="0" w:color="auto"/>
              <w:right w:val="single" w:sz="4" w:space="0" w:color="auto"/>
            </w:tcBorders>
            <w:shd w:val="clear" w:color="auto" w:fill="auto"/>
            <w:noWrap/>
            <w:vAlign w:val="center"/>
            <w:hideMark/>
          </w:tcPr>
          <w:p w14:paraId="3EC111ED"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89.462</w:t>
            </w:r>
          </w:p>
        </w:tc>
        <w:tc>
          <w:tcPr>
            <w:tcW w:w="1520" w:type="dxa"/>
            <w:tcBorders>
              <w:top w:val="nil"/>
              <w:left w:val="nil"/>
              <w:bottom w:val="single" w:sz="4" w:space="0" w:color="auto"/>
              <w:right w:val="single" w:sz="4" w:space="0" w:color="auto"/>
            </w:tcBorders>
            <w:shd w:val="clear" w:color="auto" w:fill="auto"/>
            <w:noWrap/>
            <w:vAlign w:val="center"/>
            <w:hideMark/>
          </w:tcPr>
          <w:p w14:paraId="0FD97762"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46.778</w:t>
            </w:r>
          </w:p>
        </w:tc>
      </w:tr>
      <w:tr w:rsidR="009A09ED" w:rsidRPr="00E02C7F" w14:paraId="14765FBA"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4E7BDDD9"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N_120</w:t>
            </w:r>
          </w:p>
        </w:tc>
        <w:tc>
          <w:tcPr>
            <w:tcW w:w="1200" w:type="dxa"/>
            <w:tcBorders>
              <w:top w:val="nil"/>
              <w:left w:val="nil"/>
              <w:bottom w:val="single" w:sz="4" w:space="0" w:color="auto"/>
              <w:right w:val="single" w:sz="4" w:space="0" w:color="auto"/>
            </w:tcBorders>
            <w:shd w:val="clear" w:color="auto" w:fill="auto"/>
            <w:noWrap/>
            <w:vAlign w:val="center"/>
            <w:hideMark/>
          </w:tcPr>
          <w:p w14:paraId="00FAAD5F"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112.092</w:t>
            </w:r>
          </w:p>
        </w:tc>
        <w:tc>
          <w:tcPr>
            <w:tcW w:w="1600" w:type="dxa"/>
            <w:tcBorders>
              <w:top w:val="nil"/>
              <w:left w:val="nil"/>
              <w:bottom w:val="single" w:sz="4" w:space="0" w:color="auto"/>
              <w:right w:val="single" w:sz="4" w:space="0" w:color="auto"/>
            </w:tcBorders>
            <w:shd w:val="clear" w:color="auto" w:fill="auto"/>
            <w:noWrap/>
            <w:vAlign w:val="center"/>
            <w:hideMark/>
          </w:tcPr>
          <w:p w14:paraId="2BD9B954"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41.946</w:t>
            </w:r>
          </w:p>
        </w:tc>
        <w:tc>
          <w:tcPr>
            <w:tcW w:w="1200" w:type="dxa"/>
            <w:tcBorders>
              <w:top w:val="nil"/>
              <w:left w:val="nil"/>
              <w:bottom w:val="single" w:sz="4" w:space="0" w:color="auto"/>
              <w:right w:val="single" w:sz="4" w:space="0" w:color="auto"/>
            </w:tcBorders>
            <w:shd w:val="clear" w:color="auto" w:fill="auto"/>
            <w:noWrap/>
            <w:vAlign w:val="center"/>
            <w:hideMark/>
          </w:tcPr>
          <w:p w14:paraId="5AA79E9C"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26.368</w:t>
            </w:r>
          </w:p>
        </w:tc>
        <w:tc>
          <w:tcPr>
            <w:tcW w:w="1200" w:type="dxa"/>
            <w:tcBorders>
              <w:top w:val="nil"/>
              <w:left w:val="nil"/>
              <w:bottom w:val="single" w:sz="4" w:space="0" w:color="auto"/>
              <w:right w:val="single" w:sz="4" w:space="0" w:color="auto"/>
            </w:tcBorders>
            <w:shd w:val="clear" w:color="auto" w:fill="auto"/>
            <w:noWrap/>
            <w:vAlign w:val="center"/>
            <w:hideMark/>
          </w:tcPr>
          <w:p w14:paraId="6B7CBCDE"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825</w:t>
            </w:r>
          </w:p>
        </w:tc>
        <w:tc>
          <w:tcPr>
            <w:tcW w:w="1200" w:type="dxa"/>
            <w:tcBorders>
              <w:top w:val="nil"/>
              <w:left w:val="nil"/>
              <w:bottom w:val="single" w:sz="4" w:space="0" w:color="auto"/>
              <w:right w:val="single" w:sz="4" w:space="0" w:color="auto"/>
            </w:tcBorders>
            <w:shd w:val="clear" w:color="auto" w:fill="auto"/>
            <w:noWrap/>
            <w:vAlign w:val="center"/>
            <w:hideMark/>
          </w:tcPr>
          <w:p w14:paraId="2B66925A"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181.230</w:t>
            </w:r>
          </w:p>
        </w:tc>
        <w:tc>
          <w:tcPr>
            <w:tcW w:w="1520" w:type="dxa"/>
            <w:tcBorders>
              <w:top w:val="nil"/>
              <w:left w:val="nil"/>
              <w:bottom w:val="single" w:sz="4" w:space="0" w:color="auto"/>
              <w:right w:val="single" w:sz="4" w:space="0" w:color="auto"/>
            </w:tcBorders>
            <w:shd w:val="clear" w:color="auto" w:fill="auto"/>
            <w:noWrap/>
            <w:vAlign w:val="center"/>
            <w:hideMark/>
          </w:tcPr>
          <w:p w14:paraId="19094A5C"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94.634</w:t>
            </w:r>
          </w:p>
        </w:tc>
      </w:tr>
      <w:tr w:rsidR="009A09ED" w:rsidRPr="00E02C7F" w14:paraId="108262DA"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1C430DCE"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N_121</w:t>
            </w:r>
          </w:p>
        </w:tc>
        <w:tc>
          <w:tcPr>
            <w:tcW w:w="1200" w:type="dxa"/>
            <w:tcBorders>
              <w:top w:val="nil"/>
              <w:left w:val="nil"/>
              <w:bottom w:val="single" w:sz="4" w:space="0" w:color="auto"/>
              <w:right w:val="single" w:sz="4" w:space="0" w:color="auto"/>
            </w:tcBorders>
            <w:shd w:val="clear" w:color="auto" w:fill="auto"/>
            <w:noWrap/>
            <w:vAlign w:val="center"/>
            <w:hideMark/>
          </w:tcPr>
          <w:p w14:paraId="53756A42"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108.975</w:t>
            </w:r>
          </w:p>
        </w:tc>
        <w:tc>
          <w:tcPr>
            <w:tcW w:w="1600" w:type="dxa"/>
            <w:tcBorders>
              <w:top w:val="nil"/>
              <w:left w:val="nil"/>
              <w:bottom w:val="single" w:sz="4" w:space="0" w:color="auto"/>
              <w:right w:val="single" w:sz="4" w:space="0" w:color="auto"/>
            </w:tcBorders>
            <w:shd w:val="clear" w:color="auto" w:fill="auto"/>
            <w:noWrap/>
            <w:vAlign w:val="center"/>
            <w:hideMark/>
          </w:tcPr>
          <w:p w14:paraId="5A7A3852"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40.779</w:t>
            </w:r>
          </w:p>
        </w:tc>
        <w:tc>
          <w:tcPr>
            <w:tcW w:w="1200" w:type="dxa"/>
            <w:tcBorders>
              <w:top w:val="nil"/>
              <w:left w:val="nil"/>
              <w:bottom w:val="single" w:sz="4" w:space="0" w:color="auto"/>
              <w:right w:val="single" w:sz="4" w:space="0" w:color="auto"/>
            </w:tcBorders>
            <w:shd w:val="clear" w:color="auto" w:fill="auto"/>
            <w:noWrap/>
            <w:vAlign w:val="center"/>
            <w:hideMark/>
          </w:tcPr>
          <w:p w14:paraId="1DCF9388"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25.634</w:t>
            </w:r>
          </w:p>
        </w:tc>
        <w:tc>
          <w:tcPr>
            <w:tcW w:w="1200" w:type="dxa"/>
            <w:tcBorders>
              <w:top w:val="nil"/>
              <w:left w:val="nil"/>
              <w:bottom w:val="single" w:sz="4" w:space="0" w:color="auto"/>
              <w:right w:val="single" w:sz="4" w:space="0" w:color="auto"/>
            </w:tcBorders>
            <w:shd w:val="clear" w:color="auto" w:fill="auto"/>
            <w:noWrap/>
            <w:vAlign w:val="center"/>
            <w:hideMark/>
          </w:tcPr>
          <w:p w14:paraId="3F5B97E8"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877</w:t>
            </w:r>
          </w:p>
        </w:tc>
        <w:tc>
          <w:tcPr>
            <w:tcW w:w="1200" w:type="dxa"/>
            <w:tcBorders>
              <w:top w:val="nil"/>
              <w:left w:val="nil"/>
              <w:bottom w:val="single" w:sz="4" w:space="0" w:color="auto"/>
              <w:right w:val="single" w:sz="4" w:space="0" w:color="auto"/>
            </w:tcBorders>
            <w:shd w:val="clear" w:color="auto" w:fill="auto"/>
            <w:noWrap/>
            <w:vAlign w:val="center"/>
            <w:hideMark/>
          </w:tcPr>
          <w:p w14:paraId="37DF6E68"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176.265</w:t>
            </w:r>
          </w:p>
        </w:tc>
        <w:tc>
          <w:tcPr>
            <w:tcW w:w="1520" w:type="dxa"/>
            <w:tcBorders>
              <w:top w:val="nil"/>
              <w:left w:val="nil"/>
              <w:bottom w:val="single" w:sz="4" w:space="0" w:color="auto"/>
              <w:right w:val="single" w:sz="4" w:space="0" w:color="auto"/>
            </w:tcBorders>
            <w:shd w:val="clear" w:color="auto" w:fill="auto"/>
            <w:noWrap/>
            <w:vAlign w:val="center"/>
            <w:hideMark/>
          </w:tcPr>
          <w:p w14:paraId="119B5E6E"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92.003</w:t>
            </w:r>
          </w:p>
        </w:tc>
      </w:tr>
      <w:tr w:rsidR="009A09ED" w:rsidRPr="00E02C7F" w14:paraId="14FDADAD"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75170435"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N_122</w:t>
            </w:r>
          </w:p>
        </w:tc>
        <w:tc>
          <w:tcPr>
            <w:tcW w:w="1200" w:type="dxa"/>
            <w:tcBorders>
              <w:top w:val="nil"/>
              <w:left w:val="nil"/>
              <w:bottom w:val="single" w:sz="4" w:space="0" w:color="auto"/>
              <w:right w:val="single" w:sz="4" w:space="0" w:color="auto"/>
            </w:tcBorders>
            <w:shd w:val="clear" w:color="auto" w:fill="auto"/>
            <w:noWrap/>
            <w:vAlign w:val="center"/>
            <w:hideMark/>
          </w:tcPr>
          <w:p w14:paraId="0F095C3E"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600" w:type="dxa"/>
            <w:tcBorders>
              <w:top w:val="nil"/>
              <w:left w:val="nil"/>
              <w:bottom w:val="single" w:sz="4" w:space="0" w:color="auto"/>
              <w:right w:val="single" w:sz="4" w:space="0" w:color="auto"/>
            </w:tcBorders>
            <w:shd w:val="clear" w:color="auto" w:fill="auto"/>
            <w:noWrap/>
            <w:vAlign w:val="center"/>
            <w:hideMark/>
          </w:tcPr>
          <w:p w14:paraId="75247B14"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200" w:type="dxa"/>
            <w:tcBorders>
              <w:top w:val="nil"/>
              <w:left w:val="nil"/>
              <w:bottom w:val="single" w:sz="4" w:space="0" w:color="auto"/>
              <w:right w:val="single" w:sz="4" w:space="0" w:color="auto"/>
            </w:tcBorders>
            <w:shd w:val="clear" w:color="auto" w:fill="auto"/>
            <w:noWrap/>
            <w:vAlign w:val="center"/>
            <w:hideMark/>
          </w:tcPr>
          <w:p w14:paraId="1392B630"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200" w:type="dxa"/>
            <w:tcBorders>
              <w:top w:val="nil"/>
              <w:left w:val="nil"/>
              <w:bottom w:val="single" w:sz="4" w:space="0" w:color="auto"/>
              <w:right w:val="single" w:sz="4" w:space="0" w:color="auto"/>
            </w:tcBorders>
            <w:shd w:val="clear" w:color="auto" w:fill="auto"/>
            <w:noWrap/>
            <w:vAlign w:val="center"/>
            <w:hideMark/>
          </w:tcPr>
          <w:p w14:paraId="7E6415F1"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200" w:type="dxa"/>
            <w:tcBorders>
              <w:top w:val="nil"/>
              <w:left w:val="nil"/>
              <w:bottom w:val="single" w:sz="4" w:space="0" w:color="auto"/>
              <w:right w:val="single" w:sz="4" w:space="0" w:color="auto"/>
            </w:tcBorders>
            <w:shd w:val="clear" w:color="auto" w:fill="auto"/>
            <w:noWrap/>
            <w:vAlign w:val="center"/>
            <w:hideMark/>
          </w:tcPr>
          <w:p w14:paraId="60AABBD4"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520" w:type="dxa"/>
            <w:tcBorders>
              <w:top w:val="nil"/>
              <w:left w:val="nil"/>
              <w:bottom w:val="single" w:sz="4" w:space="0" w:color="auto"/>
              <w:right w:val="single" w:sz="4" w:space="0" w:color="auto"/>
            </w:tcBorders>
            <w:shd w:val="clear" w:color="auto" w:fill="auto"/>
            <w:noWrap/>
            <w:vAlign w:val="center"/>
            <w:hideMark/>
          </w:tcPr>
          <w:p w14:paraId="10F4A8D5"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r>
      <w:tr w:rsidR="009A09ED" w:rsidRPr="00E02C7F" w14:paraId="44C895A6"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62FC8576"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N_123</w:t>
            </w:r>
          </w:p>
        </w:tc>
        <w:tc>
          <w:tcPr>
            <w:tcW w:w="1200" w:type="dxa"/>
            <w:tcBorders>
              <w:top w:val="nil"/>
              <w:left w:val="nil"/>
              <w:bottom w:val="single" w:sz="4" w:space="0" w:color="auto"/>
              <w:right w:val="single" w:sz="4" w:space="0" w:color="auto"/>
            </w:tcBorders>
            <w:shd w:val="clear" w:color="auto" w:fill="auto"/>
            <w:noWrap/>
            <w:vAlign w:val="center"/>
            <w:hideMark/>
          </w:tcPr>
          <w:p w14:paraId="0C98E1E0"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88.770</w:t>
            </w:r>
          </w:p>
        </w:tc>
        <w:tc>
          <w:tcPr>
            <w:tcW w:w="1600" w:type="dxa"/>
            <w:tcBorders>
              <w:top w:val="nil"/>
              <w:left w:val="nil"/>
              <w:bottom w:val="single" w:sz="4" w:space="0" w:color="auto"/>
              <w:right w:val="single" w:sz="4" w:space="0" w:color="auto"/>
            </w:tcBorders>
            <w:shd w:val="clear" w:color="auto" w:fill="auto"/>
            <w:noWrap/>
            <w:vAlign w:val="center"/>
            <w:hideMark/>
          </w:tcPr>
          <w:p w14:paraId="601E1854"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33.218</w:t>
            </w:r>
          </w:p>
        </w:tc>
        <w:tc>
          <w:tcPr>
            <w:tcW w:w="1200" w:type="dxa"/>
            <w:tcBorders>
              <w:top w:val="nil"/>
              <w:left w:val="nil"/>
              <w:bottom w:val="single" w:sz="4" w:space="0" w:color="auto"/>
              <w:right w:val="single" w:sz="4" w:space="0" w:color="auto"/>
            </w:tcBorders>
            <w:shd w:val="clear" w:color="auto" w:fill="auto"/>
            <w:noWrap/>
            <w:vAlign w:val="center"/>
            <w:hideMark/>
          </w:tcPr>
          <w:p w14:paraId="7D983311"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20.881</w:t>
            </w:r>
          </w:p>
        </w:tc>
        <w:tc>
          <w:tcPr>
            <w:tcW w:w="1200" w:type="dxa"/>
            <w:tcBorders>
              <w:top w:val="nil"/>
              <w:left w:val="nil"/>
              <w:bottom w:val="single" w:sz="4" w:space="0" w:color="auto"/>
              <w:right w:val="single" w:sz="4" w:space="0" w:color="auto"/>
            </w:tcBorders>
            <w:shd w:val="clear" w:color="auto" w:fill="auto"/>
            <w:noWrap/>
            <w:vAlign w:val="center"/>
            <w:hideMark/>
          </w:tcPr>
          <w:p w14:paraId="52EC0A3C"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654</w:t>
            </w:r>
          </w:p>
        </w:tc>
        <w:tc>
          <w:tcPr>
            <w:tcW w:w="1200" w:type="dxa"/>
            <w:tcBorders>
              <w:top w:val="nil"/>
              <w:left w:val="nil"/>
              <w:bottom w:val="single" w:sz="4" w:space="0" w:color="auto"/>
              <w:right w:val="single" w:sz="4" w:space="0" w:color="auto"/>
            </w:tcBorders>
            <w:shd w:val="clear" w:color="auto" w:fill="auto"/>
            <w:noWrap/>
            <w:vAlign w:val="center"/>
            <w:hideMark/>
          </w:tcPr>
          <w:p w14:paraId="445191C3"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143.523</w:t>
            </w:r>
          </w:p>
        </w:tc>
        <w:tc>
          <w:tcPr>
            <w:tcW w:w="1520" w:type="dxa"/>
            <w:tcBorders>
              <w:top w:val="nil"/>
              <w:left w:val="nil"/>
              <w:bottom w:val="single" w:sz="4" w:space="0" w:color="auto"/>
              <w:right w:val="single" w:sz="4" w:space="0" w:color="auto"/>
            </w:tcBorders>
            <w:shd w:val="clear" w:color="auto" w:fill="auto"/>
            <w:noWrap/>
            <w:vAlign w:val="center"/>
            <w:hideMark/>
          </w:tcPr>
          <w:p w14:paraId="0851CA3F"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74.945</w:t>
            </w:r>
          </w:p>
        </w:tc>
      </w:tr>
      <w:tr w:rsidR="009A09ED" w:rsidRPr="00E02C7F" w14:paraId="44E4BB8A"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5E21D513"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N_124</w:t>
            </w:r>
          </w:p>
        </w:tc>
        <w:tc>
          <w:tcPr>
            <w:tcW w:w="1200" w:type="dxa"/>
            <w:tcBorders>
              <w:top w:val="nil"/>
              <w:left w:val="nil"/>
              <w:bottom w:val="single" w:sz="4" w:space="0" w:color="auto"/>
              <w:right w:val="single" w:sz="4" w:space="0" w:color="auto"/>
            </w:tcBorders>
            <w:shd w:val="clear" w:color="auto" w:fill="auto"/>
            <w:noWrap/>
            <w:vAlign w:val="center"/>
            <w:hideMark/>
          </w:tcPr>
          <w:p w14:paraId="52F81696"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42.340</w:t>
            </w:r>
          </w:p>
        </w:tc>
        <w:tc>
          <w:tcPr>
            <w:tcW w:w="1600" w:type="dxa"/>
            <w:tcBorders>
              <w:top w:val="nil"/>
              <w:left w:val="nil"/>
              <w:bottom w:val="single" w:sz="4" w:space="0" w:color="auto"/>
              <w:right w:val="single" w:sz="4" w:space="0" w:color="auto"/>
            </w:tcBorders>
            <w:shd w:val="clear" w:color="auto" w:fill="auto"/>
            <w:noWrap/>
            <w:vAlign w:val="center"/>
            <w:hideMark/>
          </w:tcPr>
          <w:p w14:paraId="12876CC9"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15.844</w:t>
            </w:r>
          </w:p>
        </w:tc>
        <w:tc>
          <w:tcPr>
            <w:tcW w:w="1200" w:type="dxa"/>
            <w:tcBorders>
              <w:top w:val="nil"/>
              <w:left w:val="nil"/>
              <w:bottom w:val="single" w:sz="4" w:space="0" w:color="auto"/>
              <w:right w:val="single" w:sz="4" w:space="0" w:color="auto"/>
            </w:tcBorders>
            <w:shd w:val="clear" w:color="auto" w:fill="auto"/>
            <w:noWrap/>
            <w:vAlign w:val="center"/>
            <w:hideMark/>
          </w:tcPr>
          <w:p w14:paraId="70650AE5"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9.960</w:t>
            </w:r>
          </w:p>
        </w:tc>
        <w:tc>
          <w:tcPr>
            <w:tcW w:w="1200" w:type="dxa"/>
            <w:tcBorders>
              <w:top w:val="nil"/>
              <w:left w:val="nil"/>
              <w:bottom w:val="single" w:sz="4" w:space="0" w:color="auto"/>
              <w:right w:val="single" w:sz="4" w:space="0" w:color="auto"/>
            </w:tcBorders>
            <w:shd w:val="clear" w:color="auto" w:fill="auto"/>
            <w:noWrap/>
            <w:vAlign w:val="center"/>
            <w:hideMark/>
          </w:tcPr>
          <w:p w14:paraId="6F5FF603"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312</w:t>
            </w:r>
          </w:p>
        </w:tc>
        <w:tc>
          <w:tcPr>
            <w:tcW w:w="1200" w:type="dxa"/>
            <w:tcBorders>
              <w:top w:val="nil"/>
              <w:left w:val="nil"/>
              <w:bottom w:val="single" w:sz="4" w:space="0" w:color="auto"/>
              <w:right w:val="single" w:sz="4" w:space="0" w:color="auto"/>
            </w:tcBorders>
            <w:shd w:val="clear" w:color="auto" w:fill="auto"/>
            <w:noWrap/>
            <w:vAlign w:val="center"/>
            <w:hideMark/>
          </w:tcPr>
          <w:p w14:paraId="4F6DD6D6"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68.455</w:t>
            </w:r>
          </w:p>
        </w:tc>
        <w:tc>
          <w:tcPr>
            <w:tcW w:w="1520" w:type="dxa"/>
            <w:tcBorders>
              <w:top w:val="nil"/>
              <w:left w:val="nil"/>
              <w:bottom w:val="single" w:sz="4" w:space="0" w:color="auto"/>
              <w:right w:val="single" w:sz="4" w:space="0" w:color="auto"/>
            </w:tcBorders>
            <w:shd w:val="clear" w:color="auto" w:fill="auto"/>
            <w:noWrap/>
            <w:vAlign w:val="center"/>
            <w:hideMark/>
          </w:tcPr>
          <w:p w14:paraId="43D7B26C"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35.746</w:t>
            </w:r>
          </w:p>
        </w:tc>
      </w:tr>
      <w:tr w:rsidR="009A09ED" w:rsidRPr="00E02C7F" w14:paraId="0F34B1E7"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15FB82F7"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N_125</w:t>
            </w:r>
          </w:p>
        </w:tc>
        <w:tc>
          <w:tcPr>
            <w:tcW w:w="1200" w:type="dxa"/>
            <w:tcBorders>
              <w:top w:val="nil"/>
              <w:left w:val="nil"/>
              <w:bottom w:val="single" w:sz="4" w:space="0" w:color="auto"/>
              <w:right w:val="single" w:sz="4" w:space="0" w:color="auto"/>
            </w:tcBorders>
            <w:shd w:val="clear" w:color="auto" w:fill="auto"/>
            <w:noWrap/>
            <w:vAlign w:val="center"/>
            <w:hideMark/>
          </w:tcPr>
          <w:p w14:paraId="6CDBEB6F"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88.714</w:t>
            </w:r>
          </w:p>
        </w:tc>
        <w:tc>
          <w:tcPr>
            <w:tcW w:w="1600" w:type="dxa"/>
            <w:tcBorders>
              <w:top w:val="nil"/>
              <w:left w:val="nil"/>
              <w:bottom w:val="single" w:sz="4" w:space="0" w:color="auto"/>
              <w:right w:val="single" w:sz="4" w:space="0" w:color="auto"/>
            </w:tcBorders>
            <w:shd w:val="clear" w:color="auto" w:fill="auto"/>
            <w:noWrap/>
            <w:vAlign w:val="center"/>
            <w:hideMark/>
          </w:tcPr>
          <w:p w14:paraId="4BE3F9E2"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33.197</w:t>
            </w:r>
          </w:p>
        </w:tc>
        <w:tc>
          <w:tcPr>
            <w:tcW w:w="1200" w:type="dxa"/>
            <w:tcBorders>
              <w:top w:val="nil"/>
              <w:left w:val="nil"/>
              <w:bottom w:val="single" w:sz="4" w:space="0" w:color="auto"/>
              <w:right w:val="single" w:sz="4" w:space="0" w:color="auto"/>
            </w:tcBorders>
            <w:shd w:val="clear" w:color="auto" w:fill="auto"/>
            <w:noWrap/>
            <w:vAlign w:val="center"/>
            <w:hideMark/>
          </w:tcPr>
          <w:p w14:paraId="03F636FC"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20.868</w:t>
            </w:r>
          </w:p>
        </w:tc>
        <w:tc>
          <w:tcPr>
            <w:tcW w:w="1200" w:type="dxa"/>
            <w:tcBorders>
              <w:top w:val="nil"/>
              <w:left w:val="nil"/>
              <w:bottom w:val="single" w:sz="4" w:space="0" w:color="auto"/>
              <w:right w:val="single" w:sz="4" w:space="0" w:color="auto"/>
            </w:tcBorders>
            <w:shd w:val="clear" w:color="auto" w:fill="auto"/>
            <w:noWrap/>
            <w:vAlign w:val="center"/>
            <w:hideMark/>
          </w:tcPr>
          <w:p w14:paraId="17A819E5"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868</w:t>
            </w:r>
          </w:p>
        </w:tc>
        <w:tc>
          <w:tcPr>
            <w:tcW w:w="1200" w:type="dxa"/>
            <w:tcBorders>
              <w:top w:val="nil"/>
              <w:left w:val="nil"/>
              <w:bottom w:val="single" w:sz="4" w:space="0" w:color="auto"/>
              <w:right w:val="single" w:sz="4" w:space="0" w:color="auto"/>
            </w:tcBorders>
            <w:shd w:val="clear" w:color="auto" w:fill="auto"/>
            <w:noWrap/>
            <w:vAlign w:val="center"/>
            <w:hideMark/>
          </w:tcPr>
          <w:p w14:paraId="26F63072"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143.647</w:t>
            </w:r>
          </w:p>
        </w:tc>
        <w:tc>
          <w:tcPr>
            <w:tcW w:w="1520" w:type="dxa"/>
            <w:tcBorders>
              <w:top w:val="nil"/>
              <w:left w:val="nil"/>
              <w:bottom w:val="single" w:sz="4" w:space="0" w:color="auto"/>
              <w:right w:val="single" w:sz="4" w:space="0" w:color="auto"/>
            </w:tcBorders>
            <w:shd w:val="clear" w:color="auto" w:fill="auto"/>
            <w:noWrap/>
            <w:vAlign w:val="center"/>
            <w:hideMark/>
          </w:tcPr>
          <w:p w14:paraId="4DAD5F7A"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74.897</w:t>
            </w:r>
          </w:p>
        </w:tc>
      </w:tr>
      <w:tr w:rsidR="009A09ED" w:rsidRPr="00E02C7F" w14:paraId="611305E6"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73999194"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N_126</w:t>
            </w:r>
          </w:p>
        </w:tc>
        <w:tc>
          <w:tcPr>
            <w:tcW w:w="1200" w:type="dxa"/>
            <w:tcBorders>
              <w:top w:val="nil"/>
              <w:left w:val="nil"/>
              <w:bottom w:val="single" w:sz="4" w:space="0" w:color="auto"/>
              <w:right w:val="single" w:sz="4" w:space="0" w:color="auto"/>
            </w:tcBorders>
            <w:shd w:val="clear" w:color="auto" w:fill="auto"/>
            <w:noWrap/>
            <w:vAlign w:val="center"/>
            <w:hideMark/>
          </w:tcPr>
          <w:p w14:paraId="6572D07A"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53.420</w:t>
            </w:r>
          </w:p>
        </w:tc>
        <w:tc>
          <w:tcPr>
            <w:tcW w:w="1600" w:type="dxa"/>
            <w:tcBorders>
              <w:top w:val="nil"/>
              <w:left w:val="nil"/>
              <w:bottom w:val="single" w:sz="4" w:space="0" w:color="auto"/>
              <w:right w:val="single" w:sz="4" w:space="0" w:color="auto"/>
            </w:tcBorders>
            <w:shd w:val="clear" w:color="auto" w:fill="auto"/>
            <w:noWrap/>
            <w:vAlign w:val="center"/>
            <w:hideMark/>
          </w:tcPr>
          <w:p w14:paraId="00B4BFF3"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19.990</w:t>
            </w:r>
          </w:p>
        </w:tc>
        <w:tc>
          <w:tcPr>
            <w:tcW w:w="1200" w:type="dxa"/>
            <w:tcBorders>
              <w:top w:val="nil"/>
              <w:left w:val="nil"/>
              <w:bottom w:val="single" w:sz="4" w:space="0" w:color="auto"/>
              <w:right w:val="single" w:sz="4" w:space="0" w:color="auto"/>
            </w:tcBorders>
            <w:shd w:val="clear" w:color="auto" w:fill="auto"/>
            <w:noWrap/>
            <w:vAlign w:val="center"/>
            <w:hideMark/>
          </w:tcPr>
          <w:p w14:paraId="313488C6"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12.566</w:t>
            </w:r>
          </w:p>
        </w:tc>
        <w:tc>
          <w:tcPr>
            <w:tcW w:w="1200" w:type="dxa"/>
            <w:tcBorders>
              <w:top w:val="nil"/>
              <w:left w:val="nil"/>
              <w:bottom w:val="single" w:sz="4" w:space="0" w:color="auto"/>
              <w:right w:val="single" w:sz="4" w:space="0" w:color="auto"/>
            </w:tcBorders>
            <w:shd w:val="clear" w:color="auto" w:fill="auto"/>
            <w:noWrap/>
            <w:vAlign w:val="center"/>
            <w:hideMark/>
          </w:tcPr>
          <w:p w14:paraId="476FCFF3"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298</w:t>
            </w:r>
          </w:p>
        </w:tc>
        <w:tc>
          <w:tcPr>
            <w:tcW w:w="1200" w:type="dxa"/>
            <w:tcBorders>
              <w:top w:val="nil"/>
              <w:left w:val="nil"/>
              <w:bottom w:val="single" w:sz="4" w:space="0" w:color="auto"/>
              <w:right w:val="single" w:sz="4" w:space="0" w:color="auto"/>
            </w:tcBorders>
            <w:shd w:val="clear" w:color="auto" w:fill="auto"/>
            <w:noWrap/>
            <w:vAlign w:val="center"/>
            <w:hideMark/>
          </w:tcPr>
          <w:p w14:paraId="27896F37"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86.275</w:t>
            </w:r>
          </w:p>
        </w:tc>
        <w:tc>
          <w:tcPr>
            <w:tcW w:w="1520" w:type="dxa"/>
            <w:tcBorders>
              <w:top w:val="nil"/>
              <w:left w:val="nil"/>
              <w:bottom w:val="single" w:sz="4" w:space="0" w:color="auto"/>
              <w:right w:val="single" w:sz="4" w:space="0" w:color="auto"/>
            </w:tcBorders>
            <w:shd w:val="clear" w:color="auto" w:fill="auto"/>
            <w:noWrap/>
            <w:vAlign w:val="center"/>
            <w:hideMark/>
          </w:tcPr>
          <w:p w14:paraId="5E7C4940"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45.100</w:t>
            </w:r>
          </w:p>
        </w:tc>
      </w:tr>
      <w:tr w:rsidR="009A09ED" w:rsidRPr="00E02C7F" w14:paraId="6CCF0F78"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31D626BE"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N_127</w:t>
            </w:r>
          </w:p>
        </w:tc>
        <w:tc>
          <w:tcPr>
            <w:tcW w:w="1200" w:type="dxa"/>
            <w:tcBorders>
              <w:top w:val="nil"/>
              <w:left w:val="nil"/>
              <w:bottom w:val="single" w:sz="4" w:space="0" w:color="auto"/>
              <w:right w:val="single" w:sz="4" w:space="0" w:color="auto"/>
            </w:tcBorders>
            <w:shd w:val="clear" w:color="auto" w:fill="auto"/>
            <w:noWrap/>
            <w:vAlign w:val="center"/>
            <w:hideMark/>
          </w:tcPr>
          <w:p w14:paraId="7F9906DC"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74.306</w:t>
            </w:r>
          </w:p>
        </w:tc>
        <w:tc>
          <w:tcPr>
            <w:tcW w:w="1600" w:type="dxa"/>
            <w:tcBorders>
              <w:top w:val="nil"/>
              <w:left w:val="nil"/>
              <w:bottom w:val="single" w:sz="4" w:space="0" w:color="auto"/>
              <w:right w:val="single" w:sz="4" w:space="0" w:color="auto"/>
            </w:tcBorders>
            <w:shd w:val="clear" w:color="auto" w:fill="auto"/>
            <w:noWrap/>
            <w:vAlign w:val="center"/>
            <w:hideMark/>
          </w:tcPr>
          <w:p w14:paraId="2CA91CD6"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27.806</w:t>
            </w:r>
          </w:p>
        </w:tc>
        <w:tc>
          <w:tcPr>
            <w:tcW w:w="1200" w:type="dxa"/>
            <w:tcBorders>
              <w:top w:val="nil"/>
              <w:left w:val="nil"/>
              <w:bottom w:val="single" w:sz="4" w:space="0" w:color="auto"/>
              <w:right w:val="single" w:sz="4" w:space="0" w:color="auto"/>
            </w:tcBorders>
            <w:shd w:val="clear" w:color="auto" w:fill="auto"/>
            <w:noWrap/>
            <w:vAlign w:val="center"/>
            <w:hideMark/>
          </w:tcPr>
          <w:p w14:paraId="6EC3FB68"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17.479</w:t>
            </w:r>
          </w:p>
        </w:tc>
        <w:tc>
          <w:tcPr>
            <w:tcW w:w="1200" w:type="dxa"/>
            <w:tcBorders>
              <w:top w:val="nil"/>
              <w:left w:val="nil"/>
              <w:bottom w:val="single" w:sz="4" w:space="0" w:color="auto"/>
              <w:right w:val="single" w:sz="4" w:space="0" w:color="auto"/>
            </w:tcBorders>
            <w:shd w:val="clear" w:color="auto" w:fill="auto"/>
            <w:noWrap/>
            <w:vAlign w:val="center"/>
            <w:hideMark/>
          </w:tcPr>
          <w:p w14:paraId="6F90B16D"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513</w:t>
            </w:r>
          </w:p>
        </w:tc>
        <w:tc>
          <w:tcPr>
            <w:tcW w:w="1200" w:type="dxa"/>
            <w:tcBorders>
              <w:top w:val="nil"/>
              <w:left w:val="nil"/>
              <w:bottom w:val="single" w:sz="4" w:space="0" w:color="auto"/>
              <w:right w:val="single" w:sz="4" w:space="0" w:color="auto"/>
            </w:tcBorders>
            <w:shd w:val="clear" w:color="auto" w:fill="auto"/>
            <w:noWrap/>
            <w:vAlign w:val="center"/>
            <w:hideMark/>
          </w:tcPr>
          <w:p w14:paraId="1CF38AFA"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120.104</w:t>
            </w:r>
          </w:p>
        </w:tc>
        <w:tc>
          <w:tcPr>
            <w:tcW w:w="1520" w:type="dxa"/>
            <w:tcBorders>
              <w:top w:val="nil"/>
              <w:left w:val="nil"/>
              <w:bottom w:val="single" w:sz="4" w:space="0" w:color="auto"/>
              <w:right w:val="single" w:sz="4" w:space="0" w:color="auto"/>
            </w:tcBorders>
            <w:shd w:val="clear" w:color="auto" w:fill="auto"/>
            <w:noWrap/>
            <w:vAlign w:val="center"/>
            <w:hideMark/>
          </w:tcPr>
          <w:p w14:paraId="46274D58"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62.733</w:t>
            </w:r>
          </w:p>
        </w:tc>
      </w:tr>
      <w:tr w:rsidR="009A09ED" w:rsidRPr="00E02C7F" w14:paraId="21F9A499"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5E915B03"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N_128</w:t>
            </w:r>
          </w:p>
        </w:tc>
        <w:tc>
          <w:tcPr>
            <w:tcW w:w="1200" w:type="dxa"/>
            <w:tcBorders>
              <w:top w:val="nil"/>
              <w:left w:val="nil"/>
              <w:bottom w:val="single" w:sz="4" w:space="0" w:color="auto"/>
              <w:right w:val="single" w:sz="4" w:space="0" w:color="auto"/>
            </w:tcBorders>
            <w:shd w:val="clear" w:color="auto" w:fill="auto"/>
            <w:noWrap/>
            <w:vAlign w:val="center"/>
            <w:hideMark/>
          </w:tcPr>
          <w:p w14:paraId="095D7C00"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65.249</w:t>
            </w:r>
          </w:p>
        </w:tc>
        <w:tc>
          <w:tcPr>
            <w:tcW w:w="1600" w:type="dxa"/>
            <w:tcBorders>
              <w:top w:val="nil"/>
              <w:left w:val="nil"/>
              <w:bottom w:val="single" w:sz="4" w:space="0" w:color="auto"/>
              <w:right w:val="single" w:sz="4" w:space="0" w:color="auto"/>
            </w:tcBorders>
            <w:shd w:val="clear" w:color="auto" w:fill="auto"/>
            <w:noWrap/>
            <w:vAlign w:val="center"/>
            <w:hideMark/>
          </w:tcPr>
          <w:p w14:paraId="626AD3C8"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24.417</w:t>
            </w:r>
          </w:p>
        </w:tc>
        <w:tc>
          <w:tcPr>
            <w:tcW w:w="1200" w:type="dxa"/>
            <w:tcBorders>
              <w:top w:val="nil"/>
              <w:left w:val="nil"/>
              <w:bottom w:val="single" w:sz="4" w:space="0" w:color="auto"/>
              <w:right w:val="single" w:sz="4" w:space="0" w:color="auto"/>
            </w:tcBorders>
            <w:shd w:val="clear" w:color="auto" w:fill="auto"/>
            <w:noWrap/>
            <w:vAlign w:val="center"/>
            <w:hideMark/>
          </w:tcPr>
          <w:p w14:paraId="374B79F2"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15.349</w:t>
            </w:r>
          </w:p>
        </w:tc>
        <w:tc>
          <w:tcPr>
            <w:tcW w:w="1200" w:type="dxa"/>
            <w:tcBorders>
              <w:top w:val="nil"/>
              <w:left w:val="nil"/>
              <w:bottom w:val="single" w:sz="4" w:space="0" w:color="auto"/>
              <w:right w:val="single" w:sz="4" w:space="0" w:color="auto"/>
            </w:tcBorders>
            <w:shd w:val="clear" w:color="auto" w:fill="auto"/>
            <w:noWrap/>
            <w:vAlign w:val="center"/>
            <w:hideMark/>
          </w:tcPr>
          <w:p w14:paraId="65920E08"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452</w:t>
            </w:r>
          </w:p>
        </w:tc>
        <w:tc>
          <w:tcPr>
            <w:tcW w:w="1200" w:type="dxa"/>
            <w:tcBorders>
              <w:top w:val="nil"/>
              <w:left w:val="nil"/>
              <w:bottom w:val="single" w:sz="4" w:space="0" w:color="auto"/>
              <w:right w:val="single" w:sz="4" w:space="0" w:color="auto"/>
            </w:tcBorders>
            <w:shd w:val="clear" w:color="auto" w:fill="auto"/>
            <w:noWrap/>
            <w:vAlign w:val="center"/>
            <w:hideMark/>
          </w:tcPr>
          <w:p w14:paraId="2F312FEF"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105.467</w:t>
            </w:r>
          </w:p>
        </w:tc>
        <w:tc>
          <w:tcPr>
            <w:tcW w:w="1520" w:type="dxa"/>
            <w:tcBorders>
              <w:top w:val="nil"/>
              <w:left w:val="nil"/>
              <w:bottom w:val="single" w:sz="4" w:space="0" w:color="auto"/>
              <w:right w:val="single" w:sz="4" w:space="0" w:color="auto"/>
            </w:tcBorders>
            <w:shd w:val="clear" w:color="auto" w:fill="auto"/>
            <w:noWrap/>
            <w:vAlign w:val="center"/>
            <w:hideMark/>
          </w:tcPr>
          <w:p w14:paraId="0D08B44D"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55.087</w:t>
            </w:r>
          </w:p>
        </w:tc>
      </w:tr>
      <w:tr w:rsidR="009A09ED" w:rsidRPr="00E02C7F" w14:paraId="72EABC76"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012C4506"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N_129</w:t>
            </w:r>
          </w:p>
        </w:tc>
        <w:tc>
          <w:tcPr>
            <w:tcW w:w="1200" w:type="dxa"/>
            <w:tcBorders>
              <w:top w:val="nil"/>
              <w:left w:val="nil"/>
              <w:bottom w:val="single" w:sz="4" w:space="0" w:color="auto"/>
              <w:right w:val="single" w:sz="4" w:space="0" w:color="auto"/>
            </w:tcBorders>
            <w:shd w:val="clear" w:color="auto" w:fill="auto"/>
            <w:noWrap/>
            <w:vAlign w:val="center"/>
            <w:hideMark/>
          </w:tcPr>
          <w:p w14:paraId="1A609694"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211.679</w:t>
            </w:r>
          </w:p>
        </w:tc>
        <w:tc>
          <w:tcPr>
            <w:tcW w:w="1600" w:type="dxa"/>
            <w:tcBorders>
              <w:top w:val="nil"/>
              <w:left w:val="nil"/>
              <w:bottom w:val="single" w:sz="4" w:space="0" w:color="auto"/>
              <w:right w:val="single" w:sz="4" w:space="0" w:color="auto"/>
            </w:tcBorders>
            <w:shd w:val="clear" w:color="auto" w:fill="auto"/>
            <w:noWrap/>
            <w:vAlign w:val="center"/>
            <w:hideMark/>
          </w:tcPr>
          <w:p w14:paraId="067D635E"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79.212</w:t>
            </w:r>
          </w:p>
        </w:tc>
        <w:tc>
          <w:tcPr>
            <w:tcW w:w="1200" w:type="dxa"/>
            <w:tcBorders>
              <w:top w:val="nil"/>
              <w:left w:val="nil"/>
              <w:bottom w:val="single" w:sz="4" w:space="0" w:color="auto"/>
              <w:right w:val="single" w:sz="4" w:space="0" w:color="auto"/>
            </w:tcBorders>
            <w:shd w:val="clear" w:color="auto" w:fill="auto"/>
            <w:noWrap/>
            <w:vAlign w:val="center"/>
            <w:hideMark/>
          </w:tcPr>
          <w:p w14:paraId="1359C396"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49.794</w:t>
            </w:r>
          </w:p>
        </w:tc>
        <w:tc>
          <w:tcPr>
            <w:tcW w:w="1200" w:type="dxa"/>
            <w:tcBorders>
              <w:top w:val="nil"/>
              <w:left w:val="nil"/>
              <w:bottom w:val="single" w:sz="4" w:space="0" w:color="auto"/>
              <w:right w:val="single" w:sz="4" w:space="0" w:color="auto"/>
            </w:tcBorders>
            <w:shd w:val="clear" w:color="auto" w:fill="auto"/>
            <w:noWrap/>
            <w:vAlign w:val="center"/>
            <w:hideMark/>
          </w:tcPr>
          <w:p w14:paraId="75B116AF"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304</w:t>
            </w:r>
          </w:p>
        </w:tc>
        <w:tc>
          <w:tcPr>
            <w:tcW w:w="1200" w:type="dxa"/>
            <w:tcBorders>
              <w:top w:val="nil"/>
              <w:left w:val="nil"/>
              <w:bottom w:val="single" w:sz="4" w:space="0" w:color="auto"/>
              <w:right w:val="single" w:sz="4" w:space="0" w:color="auto"/>
            </w:tcBorders>
            <w:shd w:val="clear" w:color="auto" w:fill="auto"/>
            <w:noWrap/>
            <w:vAlign w:val="center"/>
            <w:hideMark/>
          </w:tcPr>
          <w:p w14:paraId="25C0412F"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340.989</w:t>
            </w:r>
          </w:p>
        </w:tc>
        <w:tc>
          <w:tcPr>
            <w:tcW w:w="1520" w:type="dxa"/>
            <w:tcBorders>
              <w:top w:val="nil"/>
              <w:left w:val="nil"/>
              <w:bottom w:val="single" w:sz="4" w:space="0" w:color="auto"/>
              <w:right w:val="single" w:sz="4" w:space="0" w:color="auto"/>
            </w:tcBorders>
            <w:shd w:val="clear" w:color="auto" w:fill="auto"/>
            <w:noWrap/>
            <w:vAlign w:val="center"/>
            <w:hideMark/>
          </w:tcPr>
          <w:p w14:paraId="5B915EB2"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178.712</w:t>
            </w:r>
          </w:p>
        </w:tc>
      </w:tr>
      <w:tr w:rsidR="009A09ED" w:rsidRPr="00E02C7F" w14:paraId="0D670CA6"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324CE6FD"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N_130</w:t>
            </w:r>
          </w:p>
        </w:tc>
        <w:tc>
          <w:tcPr>
            <w:tcW w:w="1200" w:type="dxa"/>
            <w:tcBorders>
              <w:top w:val="nil"/>
              <w:left w:val="nil"/>
              <w:bottom w:val="single" w:sz="4" w:space="0" w:color="auto"/>
              <w:right w:val="single" w:sz="4" w:space="0" w:color="auto"/>
            </w:tcBorders>
            <w:shd w:val="clear" w:color="auto" w:fill="auto"/>
            <w:noWrap/>
            <w:vAlign w:val="center"/>
            <w:hideMark/>
          </w:tcPr>
          <w:p w14:paraId="4B4655F2"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32.543</w:t>
            </w:r>
          </w:p>
        </w:tc>
        <w:tc>
          <w:tcPr>
            <w:tcW w:w="1600" w:type="dxa"/>
            <w:tcBorders>
              <w:top w:val="nil"/>
              <w:left w:val="nil"/>
              <w:bottom w:val="single" w:sz="4" w:space="0" w:color="auto"/>
              <w:right w:val="single" w:sz="4" w:space="0" w:color="auto"/>
            </w:tcBorders>
            <w:shd w:val="clear" w:color="auto" w:fill="auto"/>
            <w:noWrap/>
            <w:vAlign w:val="center"/>
            <w:hideMark/>
          </w:tcPr>
          <w:p w14:paraId="645BFD2D"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12.178</w:t>
            </w:r>
          </w:p>
        </w:tc>
        <w:tc>
          <w:tcPr>
            <w:tcW w:w="1200" w:type="dxa"/>
            <w:tcBorders>
              <w:top w:val="nil"/>
              <w:left w:val="nil"/>
              <w:bottom w:val="single" w:sz="4" w:space="0" w:color="auto"/>
              <w:right w:val="single" w:sz="4" w:space="0" w:color="auto"/>
            </w:tcBorders>
            <w:shd w:val="clear" w:color="auto" w:fill="auto"/>
            <w:noWrap/>
            <w:vAlign w:val="center"/>
            <w:hideMark/>
          </w:tcPr>
          <w:p w14:paraId="380CA680"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7.655</w:t>
            </w:r>
          </w:p>
        </w:tc>
        <w:tc>
          <w:tcPr>
            <w:tcW w:w="1200" w:type="dxa"/>
            <w:tcBorders>
              <w:top w:val="nil"/>
              <w:left w:val="nil"/>
              <w:bottom w:val="single" w:sz="4" w:space="0" w:color="auto"/>
              <w:right w:val="single" w:sz="4" w:space="0" w:color="auto"/>
            </w:tcBorders>
            <w:shd w:val="clear" w:color="auto" w:fill="auto"/>
            <w:noWrap/>
            <w:vAlign w:val="center"/>
            <w:hideMark/>
          </w:tcPr>
          <w:p w14:paraId="585C5FB4"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240</w:t>
            </w:r>
          </w:p>
        </w:tc>
        <w:tc>
          <w:tcPr>
            <w:tcW w:w="1200" w:type="dxa"/>
            <w:tcBorders>
              <w:top w:val="nil"/>
              <w:left w:val="nil"/>
              <w:bottom w:val="single" w:sz="4" w:space="0" w:color="auto"/>
              <w:right w:val="single" w:sz="4" w:space="0" w:color="auto"/>
            </w:tcBorders>
            <w:shd w:val="clear" w:color="auto" w:fill="auto"/>
            <w:noWrap/>
            <w:vAlign w:val="center"/>
            <w:hideMark/>
          </w:tcPr>
          <w:p w14:paraId="6AD0691C"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52.616</w:t>
            </w:r>
          </w:p>
        </w:tc>
        <w:tc>
          <w:tcPr>
            <w:tcW w:w="1520" w:type="dxa"/>
            <w:tcBorders>
              <w:top w:val="nil"/>
              <w:left w:val="nil"/>
              <w:bottom w:val="single" w:sz="4" w:space="0" w:color="auto"/>
              <w:right w:val="single" w:sz="4" w:space="0" w:color="auto"/>
            </w:tcBorders>
            <w:shd w:val="clear" w:color="auto" w:fill="auto"/>
            <w:noWrap/>
            <w:vAlign w:val="center"/>
            <w:hideMark/>
          </w:tcPr>
          <w:p w14:paraId="585D4684"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27.475</w:t>
            </w:r>
          </w:p>
        </w:tc>
      </w:tr>
      <w:tr w:rsidR="009A09ED" w:rsidRPr="00E02C7F" w14:paraId="64844795"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455CF5DA"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N_131</w:t>
            </w:r>
          </w:p>
        </w:tc>
        <w:tc>
          <w:tcPr>
            <w:tcW w:w="1200" w:type="dxa"/>
            <w:tcBorders>
              <w:top w:val="nil"/>
              <w:left w:val="nil"/>
              <w:bottom w:val="single" w:sz="4" w:space="0" w:color="auto"/>
              <w:right w:val="single" w:sz="4" w:space="0" w:color="auto"/>
            </w:tcBorders>
            <w:shd w:val="clear" w:color="auto" w:fill="auto"/>
            <w:noWrap/>
            <w:vAlign w:val="center"/>
            <w:hideMark/>
          </w:tcPr>
          <w:p w14:paraId="1A5072DB"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108.146</w:t>
            </w:r>
          </w:p>
        </w:tc>
        <w:tc>
          <w:tcPr>
            <w:tcW w:w="1600" w:type="dxa"/>
            <w:tcBorders>
              <w:top w:val="nil"/>
              <w:left w:val="nil"/>
              <w:bottom w:val="single" w:sz="4" w:space="0" w:color="auto"/>
              <w:right w:val="single" w:sz="4" w:space="0" w:color="auto"/>
            </w:tcBorders>
            <w:shd w:val="clear" w:color="auto" w:fill="auto"/>
            <w:noWrap/>
            <w:vAlign w:val="center"/>
            <w:hideMark/>
          </w:tcPr>
          <w:p w14:paraId="1B52FA0D"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40.469</w:t>
            </w:r>
          </w:p>
        </w:tc>
        <w:tc>
          <w:tcPr>
            <w:tcW w:w="1200" w:type="dxa"/>
            <w:tcBorders>
              <w:top w:val="nil"/>
              <w:left w:val="nil"/>
              <w:bottom w:val="single" w:sz="4" w:space="0" w:color="auto"/>
              <w:right w:val="single" w:sz="4" w:space="0" w:color="auto"/>
            </w:tcBorders>
            <w:shd w:val="clear" w:color="auto" w:fill="auto"/>
            <w:noWrap/>
            <w:vAlign w:val="center"/>
            <w:hideMark/>
          </w:tcPr>
          <w:p w14:paraId="594F8AEE"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25.439</w:t>
            </w:r>
          </w:p>
        </w:tc>
        <w:tc>
          <w:tcPr>
            <w:tcW w:w="1200" w:type="dxa"/>
            <w:tcBorders>
              <w:top w:val="nil"/>
              <w:left w:val="nil"/>
              <w:bottom w:val="single" w:sz="4" w:space="0" w:color="auto"/>
              <w:right w:val="single" w:sz="4" w:space="0" w:color="auto"/>
            </w:tcBorders>
            <w:shd w:val="clear" w:color="auto" w:fill="auto"/>
            <w:noWrap/>
            <w:vAlign w:val="center"/>
            <w:hideMark/>
          </w:tcPr>
          <w:p w14:paraId="5B91ADDE"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796</w:t>
            </w:r>
          </w:p>
        </w:tc>
        <w:tc>
          <w:tcPr>
            <w:tcW w:w="1200" w:type="dxa"/>
            <w:tcBorders>
              <w:top w:val="nil"/>
              <w:left w:val="nil"/>
              <w:bottom w:val="single" w:sz="4" w:space="0" w:color="auto"/>
              <w:right w:val="single" w:sz="4" w:space="0" w:color="auto"/>
            </w:tcBorders>
            <w:shd w:val="clear" w:color="auto" w:fill="auto"/>
            <w:noWrap/>
            <w:vAlign w:val="center"/>
            <w:hideMark/>
          </w:tcPr>
          <w:p w14:paraId="7EC7FC94"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174.851</w:t>
            </w:r>
          </w:p>
        </w:tc>
        <w:tc>
          <w:tcPr>
            <w:tcW w:w="1520" w:type="dxa"/>
            <w:tcBorders>
              <w:top w:val="nil"/>
              <w:left w:val="nil"/>
              <w:bottom w:val="single" w:sz="4" w:space="0" w:color="auto"/>
              <w:right w:val="single" w:sz="4" w:space="0" w:color="auto"/>
            </w:tcBorders>
            <w:shd w:val="clear" w:color="auto" w:fill="auto"/>
            <w:noWrap/>
            <w:vAlign w:val="center"/>
            <w:hideMark/>
          </w:tcPr>
          <w:p w14:paraId="5931BF49"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91.303</w:t>
            </w:r>
          </w:p>
        </w:tc>
      </w:tr>
      <w:tr w:rsidR="009A09ED" w:rsidRPr="00E02C7F" w14:paraId="636F1886"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41BB06D4"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N_132</w:t>
            </w:r>
          </w:p>
        </w:tc>
        <w:tc>
          <w:tcPr>
            <w:tcW w:w="1200" w:type="dxa"/>
            <w:tcBorders>
              <w:top w:val="nil"/>
              <w:left w:val="nil"/>
              <w:bottom w:val="single" w:sz="4" w:space="0" w:color="auto"/>
              <w:right w:val="single" w:sz="4" w:space="0" w:color="auto"/>
            </w:tcBorders>
            <w:shd w:val="clear" w:color="auto" w:fill="auto"/>
            <w:noWrap/>
            <w:vAlign w:val="center"/>
            <w:hideMark/>
          </w:tcPr>
          <w:p w14:paraId="3F01DBD7"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189.544</w:t>
            </w:r>
          </w:p>
        </w:tc>
        <w:tc>
          <w:tcPr>
            <w:tcW w:w="1600" w:type="dxa"/>
            <w:tcBorders>
              <w:top w:val="nil"/>
              <w:left w:val="nil"/>
              <w:bottom w:val="single" w:sz="4" w:space="0" w:color="auto"/>
              <w:right w:val="single" w:sz="4" w:space="0" w:color="auto"/>
            </w:tcBorders>
            <w:shd w:val="clear" w:color="auto" w:fill="auto"/>
            <w:noWrap/>
            <w:vAlign w:val="center"/>
            <w:hideMark/>
          </w:tcPr>
          <w:p w14:paraId="455BA55E"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70.929</w:t>
            </w:r>
          </w:p>
        </w:tc>
        <w:tc>
          <w:tcPr>
            <w:tcW w:w="1200" w:type="dxa"/>
            <w:tcBorders>
              <w:top w:val="nil"/>
              <w:left w:val="nil"/>
              <w:bottom w:val="single" w:sz="4" w:space="0" w:color="auto"/>
              <w:right w:val="single" w:sz="4" w:space="0" w:color="auto"/>
            </w:tcBorders>
            <w:shd w:val="clear" w:color="auto" w:fill="auto"/>
            <w:noWrap/>
            <w:vAlign w:val="center"/>
            <w:hideMark/>
          </w:tcPr>
          <w:p w14:paraId="67E3CDF4"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44.587</w:t>
            </w:r>
          </w:p>
        </w:tc>
        <w:tc>
          <w:tcPr>
            <w:tcW w:w="1200" w:type="dxa"/>
            <w:tcBorders>
              <w:top w:val="nil"/>
              <w:left w:val="nil"/>
              <w:bottom w:val="single" w:sz="4" w:space="0" w:color="auto"/>
              <w:right w:val="single" w:sz="4" w:space="0" w:color="auto"/>
            </w:tcBorders>
            <w:shd w:val="clear" w:color="auto" w:fill="auto"/>
            <w:noWrap/>
            <w:vAlign w:val="center"/>
            <w:hideMark/>
          </w:tcPr>
          <w:p w14:paraId="2960FC6F"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200" w:type="dxa"/>
            <w:tcBorders>
              <w:top w:val="nil"/>
              <w:left w:val="nil"/>
              <w:bottom w:val="single" w:sz="4" w:space="0" w:color="auto"/>
              <w:right w:val="single" w:sz="4" w:space="0" w:color="auto"/>
            </w:tcBorders>
            <w:shd w:val="clear" w:color="auto" w:fill="auto"/>
            <w:noWrap/>
            <w:vAlign w:val="center"/>
            <w:hideMark/>
          </w:tcPr>
          <w:p w14:paraId="08C0EC4B"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305.060</w:t>
            </w:r>
          </w:p>
        </w:tc>
        <w:tc>
          <w:tcPr>
            <w:tcW w:w="1520" w:type="dxa"/>
            <w:tcBorders>
              <w:top w:val="nil"/>
              <w:left w:val="nil"/>
              <w:bottom w:val="single" w:sz="4" w:space="0" w:color="auto"/>
              <w:right w:val="single" w:sz="4" w:space="0" w:color="auto"/>
            </w:tcBorders>
            <w:shd w:val="clear" w:color="auto" w:fill="auto"/>
            <w:noWrap/>
            <w:vAlign w:val="center"/>
            <w:hideMark/>
          </w:tcPr>
          <w:p w14:paraId="6C35B509"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160.024</w:t>
            </w:r>
          </w:p>
        </w:tc>
      </w:tr>
      <w:tr w:rsidR="009A09ED" w:rsidRPr="00E02C7F" w14:paraId="61F1D8B3"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380CA911"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N_133</w:t>
            </w:r>
          </w:p>
        </w:tc>
        <w:tc>
          <w:tcPr>
            <w:tcW w:w="1200" w:type="dxa"/>
            <w:tcBorders>
              <w:top w:val="nil"/>
              <w:left w:val="nil"/>
              <w:bottom w:val="single" w:sz="4" w:space="0" w:color="auto"/>
              <w:right w:val="single" w:sz="4" w:space="0" w:color="auto"/>
            </w:tcBorders>
            <w:shd w:val="clear" w:color="auto" w:fill="auto"/>
            <w:noWrap/>
            <w:vAlign w:val="center"/>
            <w:hideMark/>
          </w:tcPr>
          <w:p w14:paraId="58BEC997"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10.604</w:t>
            </w:r>
          </w:p>
        </w:tc>
        <w:tc>
          <w:tcPr>
            <w:tcW w:w="1600" w:type="dxa"/>
            <w:tcBorders>
              <w:top w:val="nil"/>
              <w:left w:val="nil"/>
              <w:bottom w:val="single" w:sz="4" w:space="0" w:color="auto"/>
              <w:right w:val="single" w:sz="4" w:space="0" w:color="auto"/>
            </w:tcBorders>
            <w:shd w:val="clear" w:color="auto" w:fill="auto"/>
            <w:noWrap/>
            <w:vAlign w:val="center"/>
            <w:hideMark/>
          </w:tcPr>
          <w:p w14:paraId="2A488C95"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3.968</w:t>
            </w:r>
          </w:p>
        </w:tc>
        <w:tc>
          <w:tcPr>
            <w:tcW w:w="1200" w:type="dxa"/>
            <w:tcBorders>
              <w:top w:val="nil"/>
              <w:left w:val="nil"/>
              <w:bottom w:val="single" w:sz="4" w:space="0" w:color="auto"/>
              <w:right w:val="single" w:sz="4" w:space="0" w:color="auto"/>
            </w:tcBorders>
            <w:shd w:val="clear" w:color="auto" w:fill="auto"/>
            <w:noWrap/>
            <w:vAlign w:val="center"/>
            <w:hideMark/>
          </w:tcPr>
          <w:p w14:paraId="3C460B18"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2.494</w:t>
            </w:r>
          </w:p>
        </w:tc>
        <w:tc>
          <w:tcPr>
            <w:tcW w:w="1200" w:type="dxa"/>
            <w:tcBorders>
              <w:top w:val="nil"/>
              <w:left w:val="nil"/>
              <w:bottom w:val="single" w:sz="4" w:space="0" w:color="auto"/>
              <w:right w:val="single" w:sz="4" w:space="0" w:color="auto"/>
            </w:tcBorders>
            <w:shd w:val="clear" w:color="auto" w:fill="auto"/>
            <w:noWrap/>
            <w:vAlign w:val="center"/>
            <w:hideMark/>
          </w:tcPr>
          <w:p w14:paraId="66245ED3"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78</w:t>
            </w:r>
          </w:p>
        </w:tc>
        <w:tc>
          <w:tcPr>
            <w:tcW w:w="1200" w:type="dxa"/>
            <w:tcBorders>
              <w:top w:val="nil"/>
              <w:left w:val="nil"/>
              <w:bottom w:val="single" w:sz="4" w:space="0" w:color="auto"/>
              <w:right w:val="single" w:sz="4" w:space="0" w:color="auto"/>
            </w:tcBorders>
            <w:shd w:val="clear" w:color="auto" w:fill="auto"/>
            <w:noWrap/>
            <w:vAlign w:val="center"/>
            <w:hideMark/>
          </w:tcPr>
          <w:p w14:paraId="1C56ACF4"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17.144</w:t>
            </w:r>
          </w:p>
        </w:tc>
        <w:tc>
          <w:tcPr>
            <w:tcW w:w="1520" w:type="dxa"/>
            <w:tcBorders>
              <w:top w:val="nil"/>
              <w:left w:val="nil"/>
              <w:bottom w:val="single" w:sz="4" w:space="0" w:color="auto"/>
              <w:right w:val="single" w:sz="4" w:space="0" w:color="auto"/>
            </w:tcBorders>
            <w:shd w:val="clear" w:color="auto" w:fill="auto"/>
            <w:noWrap/>
            <w:vAlign w:val="center"/>
            <w:hideMark/>
          </w:tcPr>
          <w:p w14:paraId="4435E07C"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8.952</w:t>
            </w:r>
          </w:p>
        </w:tc>
      </w:tr>
      <w:tr w:rsidR="009A09ED" w:rsidRPr="00E02C7F" w14:paraId="3433D495"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16133B33"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N_134</w:t>
            </w:r>
          </w:p>
        </w:tc>
        <w:tc>
          <w:tcPr>
            <w:tcW w:w="1200" w:type="dxa"/>
            <w:tcBorders>
              <w:top w:val="nil"/>
              <w:left w:val="nil"/>
              <w:bottom w:val="single" w:sz="4" w:space="0" w:color="auto"/>
              <w:right w:val="single" w:sz="4" w:space="0" w:color="auto"/>
            </w:tcBorders>
            <w:shd w:val="clear" w:color="auto" w:fill="auto"/>
            <w:noWrap/>
            <w:vAlign w:val="center"/>
            <w:hideMark/>
          </w:tcPr>
          <w:p w14:paraId="7AD2C3C7"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67.140</w:t>
            </w:r>
          </w:p>
        </w:tc>
        <w:tc>
          <w:tcPr>
            <w:tcW w:w="1600" w:type="dxa"/>
            <w:tcBorders>
              <w:top w:val="nil"/>
              <w:left w:val="nil"/>
              <w:bottom w:val="single" w:sz="4" w:space="0" w:color="auto"/>
              <w:right w:val="single" w:sz="4" w:space="0" w:color="auto"/>
            </w:tcBorders>
            <w:shd w:val="clear" w:color="auto" w:fill="auto"/>
            <w:noWrap/>
            <w:vAlign w:val="center"/>
            <w:hideMark/>
          </w:tcPr>
          <w:p w14:paraId="02ADA89A"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25.124</w:t>
            </w:r>
          </w:p>
        </w:tc>
        <w:tc>
          <w:tcPr>
            <w:tcW w:w="1200" w:type="dxa"/>
            <w:tcBorders>
              <w:top w:val="nil"/>
              <w:left w:val="nil"/>
              <w:bottom w:val="single" w:sz="4" w:space="0" w:color="auto"/>
              <w:right w:val="single" w:sz="4" w:space="0" w:color="auto"/>
            </w:tcBorders>
            <w:shd w:val="clear" w:color="auto" w:fill="auto"/>
            <w:noWrap/>
            <w:vAlign w:val="center"/>
            <w:hideMark/>
          </w:tcPr>
          <w:p w14:paraId="5B29C06F"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15.793</w:t>
            </w:r>
          </w:p>
        </w:tc>
        <w:tc>
          <w:tcPr>
            <w:tcW w:w="1200" w:type="dxa"/>
            <w:tcBorders>
              <w:top w:val="nil"/>
              <w:left w:val="nil"/>
              <w:bottom w:val="single" w:sz="4" w:space="0" w:color="auto"/>
              <w:right w:val="single" w:sz="4" w:space="0" w:color="auto"/>
            </w:tcBorders>
            <w:shd w:val="clear" w:color="auto" w:fill="auto"/>
            <w:noWrap/>
            <w:vAlign w:val="center"/>
            <w:hideMark/>
          </w:tcPr>
          <w:p w14:paraId="6BC84DC5"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494</w:t>
            </w:r>
          </w:p>
        </w:tc>
        <w:tc>
          <w:tcPr>
            <w:tcW w:w="1200" w:type="dxa"/>
            <w:tcBorders>
              <w:top w:val="nil"/>
              <w:left w:val="nil"/>
              <w:bottom w:val="single" w:sz="4" w:space="0" w:color="auto"/>
              <w:right w:val="single" w:sz="4" w:space="0" w:color="auto"/>
            </w:tcBorders>
            <w:shd w:val="clear" w:color="auto" w:fill="auto"/>
            <w:noWrap/>
            <w:vAlign w:val="center"/>
            <w:hideMark/>
          </w:tcPr>
          <w:p w14:paraId="7E5C818A"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108.552</w:t>
            </w:r>
          </w:p>
        </w:tc>
        <w:tc>
          <w:tcPr>
            <w:tcW w:w="1520" w:type="dxa"/>
            <w:tcBorders>
              <w:top w:val="nil"/>
              <w:left w:val="nil"/>
              <w:bottom w:val="single" w:sz="4" w:space="0" w:color="auto"/>
              <w:right w:val="single" w:sz="4" w:space="0" w:color="auto"/>
            </w:tcBorders>
            <w:shd w:val="clear" w:color="auto" w:fill="auto"/>
            <w:noWrap/>
            <w:vAlign w:val="center"/>
            <w:hideMark/>
          </w:tcPr>
          <w:p w14:paraId="3DE27874"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56.683</w:t>
            </w:r>
          </w:p>
        </w:tc>
      </w:tr>
      <w:tr w:rsidR="009A09ED" w:rsidRPr="00E02C7F" w14:paraId="5AF55BDD"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436F14D2"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N_135</w:t>
            </w:r>
          </w:p>
        </w:tc>
        <w:tc>
          <w:tcPr>
            <w:tcW w:w="1200" w:type="dxa"/>
            <w:tcBorders>
              <w:top w:val="nil"/>
              <w:left w:val="nil"/>
              <w:bottom w:val="single" w:sz="4" w:space="0" w:color="auto"/>
              <w:right w:val="single" w:sz="4" w:space="0" w:color="auto"/>
            </w:tcBorders>
            <w:shd w:val="clear" w:color="auto" w:fill="auto"/>
            <w:noWrap/>
            <w:vAlign w:val="center"/>
            <w:hideMark/>
          </w:tcPr>
          <w:p w14:paraId="177E9B13"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600" w:type="dxa"/>
            <w:tcBorders>
              <w:top w:val="nil"/>
              <w:left w:val="nil"/>
              <w:bottom w:val="single" w:sz="4" w:space="0" w:color="auto"/>
              <w:right w:val="single" w:sz="4" w:space="0" w:color="auto"/>
            </w:tcBorders>
            <w:shd w:val="clear" w:color="auto" w:fill="auto"/>
            <w:noWrap/>
            <w:vAlign w:val="center"/>
            <w:hideMark/>
          </w:tcPr>
          <w:p w14:paraId="6F0FF91F"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200" w:type="dxa"/>
            <w:tcBorders>
              <w:top w:val="nil"/>
              <w:left w:val="nil"/>
              <w:bottom w:val="single" w:sz="4" w:space="0" w:color="auto"/>
              <w:right w:val="single" w:sz="4" w:space="0" w:color="auto"/>
            </w:tcBorders>
            <w:shd w:val="clear" w:color="auto" w:fill="auto"/>
            <w:noWrap/>
            <w:vAlign w:val="center"/>
            <w:hideMark/>
          </w:tcPr>
          <w:p w14:paraId="52D51691"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200" w:type="dxa"/>
            <w:tcBorders>
              <w:top w:val="nil"/>
              <w:left w:val="nil"/>
              <w:bottom w:val="single" w:sz="4" w:space="0" w:color="auto"/>
              <w:right w:val="single" w:sz="4" w:space="0" w:color="auto"/>
            </w:tcBorders>
            <w:shd w:val="clear" w:color="auto" w:fill="auto"/>
            <w:noWrap/>
            <w:vAlign w:val="center"/>
            <w:hideMark/>
          </w:tcPr>
          <w:p w14:paraId="53CF9FB4"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200" w:type="dxa"/>
            <w:tcBorders>
              <w:top w:val="nil"/>
              <w:left w:val="nil"/>
              <w:bottom w:val="single" w:sz="4" w:space="0" w:color="auto"/>
              <w:right w:val="single" w:sz="4" w:space="0" w:color="auto"/>
            </w:tcBorders>
            <w:shd w:val="clear" w:color="auto" w:fill="auto"/>
            <w:noWrap/>
            <w:vAlign w:val="center"/>
            <w:hideMark/>
          </w:tcPr>
          <w:p w14:paraId="5F2E8CDD"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c>
          <w:tcPr>
            <w:tcW w:w="1520" w:type="dxa"/>
            <w:tcBorders>
              <w:top w:val="nil"/>
              <w:left w:val="nil"/>
              <w:bottom w:val="single" w:sz="4" w:space="0" w:color="auto"/>
              <w:right w:val="single" w:sz="4" w:space="0" w:color="auto"/>
            </w:tcBorders>
            <w:shd w:val="clear" w:color="auto" w:fill="auto"/>
            <w:noWrap/>
            <w:vAlign w:val="center"/>
            <w:hideMark/>
          </w:tcPr>
          <w:p w14:paraId="17DED746"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w:t>
            </w:r>
          </w:p>
        </w:tc>
      </w:tr>
      <w:tr w:rsidR="009A09ED" w:rsidRPr="00E02C7F" w14:paraId="5B4E7444"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11D21969"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N_136</w:t>
            </w:r>
          </w:p>
        </w:tc>
        <w:tc>
          <w:tcPr>
            <w:tcW w:w="1200" w:type="dxa"/>
            <w:tcBorders>
              <w:top w:val="nil"/>
              <w:left w:val="nil"/>
              <w:bottom w:val="single" w:sz="4" w:space="0" w:color="auto"/>
              <w:right w:val="single" w:sz="4" w:space="0" w:color="auto"/>
            </w:tcBorders>
            <w:shd w:val="clear" w:color="auto" w:fill="auto"/>
            <w:noWrap/>
            <w:vAlign w:val="center"/>
            <w:hideMark/>
          </w:tcPr>
          <w:p w14:paraId="442588BE"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120.886</w:t>
            </w:r>
          </w:p>
        </w:tc>
        <w:tc>
          <w:tcPr>
            <w:tcW w:w="1600" w:type="dxa"/>
            <w:tcBorders>
              <w:top w:val="nil"/>
              <w:left w:val="nil"/>
              <w:bottom w:val="single" w:sz="4" w:space="0" w:color="auto"/>
              <w:right w:val="single" w:sz="4" w:space="0" w:color="auto"/>
            </w:tcBorders>
            <w:shd w:val="clear" w:color="auto" w:fill="auto"/>
            <w:noWrap/>
            <w:vAlign w:val="center"/>
            <w:hideMark/>
          </w:tcPr>
          <w:p w14:paraId="6EFBB251"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45.236</w:t>
            </w:r>
          </w:p>
        </w:tc>
        <w:tc>
          <w:tcPr>
            <w:tcW w:w="1200" w:type="dxa"/>
            <w:tcBorders>
              <w:top w:val="nil"/>
              <w:left w:val="nil"/>
              <w:bottom w:val="single" w:sz="4" w:space="0" w:color="auto"/>
              <w:right w:val="single" w:sz="4" w:space="0" w:color="auto"/>
            </w:tcBorders>
            <w:shd w:val="clear" w:color="auto" w:fill="auto"/>
            <w:noWrap/>
            <w:vAlign w:val="center"/>
            <w:hideMark/>
          </w:tcPr>
          <w:p w14:paraId="48F4D0B3"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28.436</w:t>
            </w:r>
          </w:p>
        </w:tc>
        <w:tc>
          <w:tcPr>
            <w:tcW w:w="1200" w:type="dxa"/>
            <w:tcBorders>
              <w:top w:val="nil"/>
              <w:left w:val="nil"/>
              <w:bottom w:val="single" w:sz="4" w:space="0" w:color="auto"/>
              <w:right w:val="single" w:sz="4" w:space="0" w:color="auto"/>
            </w:tcBorders>
            <w:shd w:val="clear" w:color="auto" w:fill="auto"/>
            <w:noWrap/>
            <w:vAlign w:val="center"/>
            <w:hideMark/>
          </w:tcPr>
          <w:p w14:paraId="72F745DB"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890</w:t>
            </w:r>
          </w:p>
        </w:tc>
        <w:tc>
          <w:tcPr>
            <w:tcW w:w="1200" w:type="dxa"/>
            <w:tcBorders>
              <w:top w:val="nil"/>
              <w:left w:val="nil"/>
              <w:bottom w:val="single" w:sz="4" w:space="0" w:color="auto"/>
              <w:right w:val="single" w:sz="4" w:space="0" w:color="auto"/>
            </w:tcBorders>
            <w:shd w:val="clear" w:color="auto" w:fill="auto"/>
            <w:noWrap/>
            <w:vAlign w:val="center"/>
            <w:hideMark/>
          </w:tcPr>
          <w:p w14:paraId="133FD2CE"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195.448</w:t>
            </w:r>
          </w:p>
        </w:tc>
        <w:tc>
          <w:tcPr>
            <w:tcW w:w="1520" w:type="dxa"/>
            <w:tcBorders>
              <w:top w:val="nil"/>
              <w:left w:val="nil"/>
              <w:bottom w:val="single" w:sz="4" w:space="0" w:color="auto"/>
              <w:right w:val="single" w:sz="4" w:space="0" w:color="auto"/>
            </w:tcBorders>
            <w:shd w:val="clear" w:color="auto" w:fill="auto"/>
            <w:noWrap/>
            <w:vAlign w:val="center"/>
            <w:hideMark/>
          </w:tcPr>
          <w:p w14:paraId="1286E010"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102.059</w:t>
            </w:r>
          </w:p>
        </w:tc>
      </w:tr>
      <w:tr w:rsidR="009A09ED" w:rsidRPr="00E02C7F" w14:paraId="393AA0C8"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6BCF4638"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N_137</w:t>
            </w:r>
          </w:p>
        </w:tc>
        <w:tc>
          <w:tcPr>
            <w:tcW w:w="1200" w:type="dxa"/>
            <w:tcBorders>
              <w:top w:val="nil"/>
              <w:left w:val="nil"/>
              <w:bottom w:val="single" w:sz="4" w:space="0" w:color="auto"/>
              <w:right w:val="single" w:sz="4" w:space="0" w:color="auto"/>
            </w:tcBorders>
            <w:shd w:val="clear" w:color="auto" w:fill="auto"/>
            <w:noWrap/>
            <w:vAlign w:val="center"/>
            <w:hideMark/>
          </w:tcPr>
          <w:p w14:paraId="09C5B34E"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145.924</w:t>
            </w:r>
          </w:p>
        </w:tc>
        <w:tc>
          <w:tcPr>
            <w:tcW w:w="1600" w:type="dxa"/>
            <w:tcBorders>
              <w:top w:val="nil"/>
              <w:left w:val="nil"/>
              <w:bottom w:val="single" w:sz="4" w:space="0" w:color="auto"/>
              <w:right w:val="single" w:sz="4" w:space="0" w:color="auto"/>
            </w:tcBorders>
            <w:shd w:val="clear" w:color="auto" w:fill="auto"/>
            <w:noWrap/>
            <w:vAlign w:val="center"/>
            <w:hideMark/>
          </w:tcPr>
          <w:p w14:paraId="007C6C77"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54.606</w:t>
            </w:r>
          </w:p>
        </w:tc>
        <w:tc>
          <w:tcPr>
            <w:tcW w:w="1200" w:type="dxa"/>
            <w:tcBorders>
              <w:top w:val="nil"/>
              <w:left w:val="nil"/>
              <w:bottom w:val="single" w:sz="4" w:space="0" w:color="auto"/>
              <w:right w:val="single" w:sz="4" w:space="0" w:color="auto"/>
            </w:tcBorders>
            <w:shd w:val="clear" w:color="auto" w:fill="auto"/>
            <w:noWrap/>
            <w:vAlign w:val="center"/>
            <w:hideMark/>
          </w:tcPr>
          <w:p w14:paraId="4059BC64"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34.326</w:t>
            </w:r>
          </w:p>
        </w:tc>
        <w:tc>
          <w:tcPr>
            <w:tcW w:w="1200" w:type="dxa"/>
            <w:tcBorders>
              <w:top w:val="nil"/>
              <w:left w:val="nil"/>
              <w:bottom w:val="single" w:sz="4" w:space="0" w:color="auto"/>
              <w:right w:val="single" w:sz="4" w:space="0" w:color="auto"/>
            </w:tcBorders>
            <w:shd w:val="clear" w:color="auto" w:fill="auto"/>
            <w:noWrap/>
            <w:vAlign w:val="center"/>
            <w:hideMark/>
          </w:tcPr>
          <w:p w14:paraId="4D9D13C8"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1.074</w:t>
            </w:r>
          </w:p>
        </w:tc>
        <w:tc>
          <w:tcPr>
            <w:tcW w:w="1200" w:type="dxa"/>
            <w:tcBorders>
              <w:top w:val="nil"/>
              <w:left w:val="nil"/>
              <w:bottom w:val="single" w:sz="4" w:space="0" w:color="auto"/>
              <w:right w:val="single" w:sz="4" w:space="0" w:color="auto"/>
            </w:tcBorders>
            <w:shd w:val="clear" w:color="auto" w:fill="auto"/>
            <w:noWrap/>
            <w:vAlign w:val="center"/>
            <w:hideMark/>
          </w:tcPr>
          <w:p w14:paraId="1E0CC197"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235.931</w:t>
            </w:r>
          </w:p>
        </w:tc>
        <w:tc>
          <w:tcPr>
            <w:tcW w:w="1520" w:type="dxa"/>
            <w:tcBorders>
              <w:top w:val="nil"/>
              <w:left w:val="nil"/>
              <w:bottom w:val="single" w:sz="4" w:space="0" w:color="auto"/>
              <w:right w:val="single" w:sz="4" w:space="0" w:color="auto"/>
            </w:tcBorders>
            <w:shd w:val="clear" w:color="auto" w:fill="auto"/>
            <w:noWrap/>
            <w:vAlign w:val="center"/>
            <w:hideMark/>
          </w:tcPr>
          <w:p w14:paraId="6A6B80D7"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123.198</w:t>
            </w:r>
          </w:p>
        </w:tc>
      </w:tr>
      <w:tr w:rsidR="009A09ED" w:rsidRPr="00E02C7F" w14:paraId="3A035976"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1936E8FB"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N_138</w:t>
            </w:r>
          </w:p>
        </w:tc>
        <w:tc>
          <w:tcPr>
            <w:tcW w:w="1200" w:type="dxa"/>
            <w:tcBorders>
              <w:top w:val="nil"/>
              <w:left w:val="nil"/>
              <w:bottom w:val="single" w:sz="4" w:space="0" w:color="auto"/>
              <w:right w:val="single" w:sz="4" w:space="0" w:color="auto"/>
            </w:tcBorders>
            <w:shd w:val="clear" w:color="auto" w:fill="auto"/>
            <w:noWrap/>
            <w:vAlign w:val="center"/>
            <w:hideMark/>
          </w:tcPr>
          <w:p w14:paraId="6A94B43B"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30.485</w:t>
            </w:r>
          </w:p>
        </w:tc>
        <w:tc>
          <w:tcPr>
            <w:tcW w:w="1600" w:type="dxa"/>
            <w:tcBorders>
              <w:top w:val="nil"/>
              <w:left w:val="nil"/>
              <w:bottom w:val="single" w:sz="4" w:space="0" w:color="auto"/>
              <w:right w:val="single" w:sz="4" w:space="0" w:color="auto"/>
            </w:tcBorders>
            <w:shd w:val="clear" w:color="auto" w:fill="auto"/>
            <w:noWrap/>
            <w:vAlign w:val="center"/>
            <w:hideMark/>
          </w:tcPr>
          <w:p w14:paraId="65D32D79"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11.408</w:t>
            </w:r>
          </w:p>
        </w:tc>
        <w:tc>
          <w:tcPr>
            <w:tcW w:w="1200" w:type="dxa"/>
            <w:tcBorders>
              <w:top w:val="nil"/>
              <w:left w:val="nil"/>
              <w:bottom w:val="single" w:sz="4" w:space="0" w:color="auto"/>
              <w:right w:val="single" w:sz="4" w:space="0" w:color="auto"/>
            </w:tcBorders>
            <w:shd w:val="clear" w:color="auto" w:fill="auto"/>
            <w:noWrap/>
            <w:vAlign w:val="center"/>
            <w:hideMark/>
          </w:tcPr>
          <w:p w14:paraId="71846654"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7.171</w:t>
            </w:r>
          </w:p>
        </w:tc>
        <w:tc>
          <w:tcPr>
            <w:tcW w:w="1200" w:type="dxa"/>
            <w:tcBorders>
              <w:top w:val="nil"/>
              <w:left w:val="nil"/>
              <w:bottom w:val="single" w:sz="4" w:space="0" w:color="auto"/>
              <w:right w:val="single" w:sz="4" w:space="0" w:color="auto"/>
            </w:tcBorders>
            <w:shd w:val="clear" w:color="auto" w:fill="auto"/>
            <w:noWrap/>
            <w:vAlign w:val="center"/>
            <w:hideMark/>
          </w:tcPr>
          <w:p w14:paraId="7F568984"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224</w:t>
            </w:r>
          </w:p>
        </w:tc>
        <w:tc>
          <w:tcPr>
            <w:tcW w:w="1200" w:type="dxa"/>
            <w:tcBorders>
              <w:top w:val="nil"/>
              <w:left w:val="nil"/>
              <w:bottom w:val="single" w:sz="4" w:space="0" w:color="auto"/>
              <w:right w:val="single" w:sz="4" w:space="0" w:color="auto"/>
            </w:tcBorders>
            <w:shd w:val="clear" w:color="auto" w:fill="auto"/>
            <w:noWrap/>
            <w:vAlign w:val="center"/>
            <w:hideMark/>
          </w:tcPr>
          <w:p w14:paraId="35E68776"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49.288</w:t>
            </w:r>
          </w:p>
        </w:tc>
        <w:tc>
          <w:tcPr>
            <w:tcW w:w="1520" w:type="dxa"/>
            <w:tcBorders>
              <w:top w:val="nil"/>
              <w:left w:val="nil"/>
              <w:bottom w:val="single" w:sz="4" w:space="0" w:color="auto"/>
              <w:right w:val="single" w:sz="4" w:space="0" w:color="auto"/>
            </w:tcBorders>
            <w:shd w:val="clear" w:color="auto" w:fill="auto"/>
            <w:noWrap/>
            <w:vAlign w:val="center"/>
            <w:hideMark/>
          </w:tcPr>
          <w:p w14:paraId="67E7931B"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25.737</w:t>
            </w:r>
          </w:p>
        </w:tc>
      </w:tr>
      <w:tr w:rsidR="009A09ED" w:rsidRPr="00E02C7F" w14:paraId="388D8841"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2D8BD7DD"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N_139</w:t>
            </w:r>
          </w:p>
        </w:tc>
        <w:tc>
          <w:tcPr>
            <w:tcW w:w="1200" w:type="dxa"/>
            <w:tcBorders>
              <w:top w:val="nil"/>
              <w:left w:val="nil"/>
              <w:bottom w:val="single" w:sz="4" w:space="0" w:color="auto"/>
              <w:right w:val="single" w:sz="4" w:space="0" w:color="auto"/>
            </w:tcBorders>
            <w:shd w:val="clear" w:color="auto" w:fill="auto"/>
            <w:noWrap/>
            <w:vAlign w:val="center"/>
            <w:hideMark/>
          </w:tcPr>
          <w:p w14:paraId="68E50483"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119.657</w:t>
            </w:r>
          </w:p>
        </w:tc>
        <w:tc>
          <w:tcPr>
            <w:tcW w:w="1600" w:type="dxa"/>
            <w:tcBorders>
              <w:top w:val="nil"/>
              <w:left w:val="nil"/>
              <w:bottom w:val="single" w:sz="4" w:space="0" w:color="auto"/>
              <w:right w:val="single" w:sz="4" w:space="0" w:color="auto"/>
            </w:tcBorders>
            <w:shd w:val="clear" w:color="auto" w:fill="auto"/>
            <w:noWrap/>
            <w:vAlign w:val="center"/>
            <w:hideMark/>
          </w:tcPr>
          <w:p w14:paraId="34EAFD84"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44.777</w:t>
            </w:r>
          </w:p>
        </w:tc>
        <w:tc>
          <w:tcPr>
            <w:tcW w:w="1200" w:type="dxa"/>
            <w:tcBorders>
              <w:top w:val="nil"/>
              <w:left w:val="nil"/>
              <w:bottom w:val="single" w:sz="4" w:space="0" w:color="auto"/>
              <w:right w:val="single" w:sz="4" w:space="0" w:color="auto"/>
            </w:tcBorders>
            <w:shd w:val="clear" w:color="auto" w:fill="auto"/>
            <w:noWrap/>
            <w:vAlign w:val="center"/>
            <w:hideMark/>
          </w:tcPr>
          <w:p w14:paraId="360C8852"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28.147</w:t>
            </w:r>
          </w:p>
        </w:tc>
        <w:tc>
          <w:tcPr>
            <w:tcW w:w="1200" w:type="dxa"/>
            <w:tcBorders>
              <w:top w:val="nil"/>
              <w:left w:val="nil"/>
              <w:bottom w:val="single" w:sz="4" w:space="0" w:color="auto"/>
              <w:right w:val="single" w:sz="4" w:space="0" w:color="auto"/>
            </w:tcBorders>
            <w:shd w:val="clear" w:color="auto" w:fill="auto"/>
            <w:noWrap/>
            <w:vAlign w:val="center"/>
            <w:hideMark/>
          </w:tcPr>
          <w:p w14:paraId="19D683B0"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861</w:t>
            </w:r>
          </w:p>
        </w:tc>
        <w:tc>
          <w:tcPr>
            <w:tcW w:w="1200" w:type="dxa"/>
            <w:tcBorders>
              <w:top w:val="nil"/>
              <w:left w:val="nil"/>
              <w:bottom w:val="single" w:sz="4" w:space="0" w:color="auto"/>
              <w:right w:val="single" w:sz="4" w:space="0" w:color="auto"/>
            </w:tcBorders>
            <w:shd w:val="clear" w:color="auto" w:fill="auto"/>
            <w:noWrap/>
            <w:vAlign w:val="center"/>
            <w:hideMark/>
          </w:tcPr>
          <w:p w14:paraId="5586BEDE"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193.441</w:t>
            </w:r>
          </w:p>
        </w:tc>
        <w:tc>
          <w:tcPr>
            <w:tcW w:w="1520" w:type="dxa"/>
            <w:tcBorders>
              <w:top w:val="nil"/>
              <w:left w:val="nil"/>
              <w:bottom w:val="single" w:sz="4" w:space="0" w:color="auto"/>
              <w:right w:val="single" w:sz="4" w:space="0" w:color="auto"/>
            </w:tcBorders>
            <w:shd w:val="clear" w:color="auto" w:fill="auto"/>
            <w:noWrap/>
            <w:vAlign w:val="center"/>
            <w:hideMark/>
          </w:tcPr>
          <w:p w14:paraId="2D5532E0"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101.021</w:t>
            </w:r>
          </w:p>
        </w:tc>
      </w:tr>
      <w:tr w:rsidR="009A09ED" w:rsidRPr="00CA12A8" w14:paraId="0753B8FE" w14:textId="77777777" w:rsidTr="006B5A62">
        <w:trPr>
          <w:trHeight w:val="20"/>
          <w:jc w:val="center"/>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28B0E707"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N_140</w:t>
            </w:r>
          </w:p>
        </w:tc>
        <w:tc>
          <w:tcPr>
            <w:tcW w:w="1200" w:type="dxa"/>
            <w:tcBorders>
              <w:top w:val="nil"/>
              <w:left w:val="nil"/>
              <w:bottom w:val="single" w:sz="4" w:space="0" w:color="auto"/>
              <w:right w:val="single" w:sz="4" w:space="0" w:color="auto"/>
            </w:tcBorders>
            <w:shd w:val="clear" w:color="auto" w:fill="auto"/>
            <w:noWrap/>
            <w:vAlign w:val="center"/>
            <w:hideMark/>
          </w:tcPr>
          <w:p w14:paraId="259BC0FA"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28.642</w:t>
            </w:r>
          </w:p>
        </w:tc>
        <w:tc>
          <w:tcPr>
            <w:tcW w:w="1600" w:type="dxa"/>
            <w:tcBorders>
              <w:top w:val="nil"/>
              <w:left w:val="nil"/>
              <w:bottom w:val="single" w:sz="4" w:space="0" w:color="auto"/>
              <w:right w:val="single" w:sz="4" w:space="0" w:color="auto"/>
            </w:tcBorders>
            <w:shd w:val="clear" w:color="auto" w:fill="auto"/>
            <w:noWrap/>
            <w:vAlign w:val="center"/>
            <w:hideMark/>
          </w:tcPr>
          <w:p w14:paraId="6346EA98"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10.718</w:t>
            </w:r>
          </w:p>
        </w:tc>
        <w:tc>
          <w:tcPr>
            <w:tcW w:w="1200" w:type="dxa"/>
            <w:tcBorders>
              <w:top w:val="nil"/>
              <w:left w:val="nil"/>
              <w:bottom w:val="single" w:sz="4" w:space="0" w:color="auto"/>
              <w:right w:val="single" w:sz="4" w:space="0" w:color="auto"/>
            </w:tcBorders>
            <w:shd w:val="clear" w:color="auto" w:fill="auto"/>
            <w:noWrap/>
            <w:vAlign w:val="center"/>
            <w:hideMark/>
          </w:tcPr>
          <w:p w14:paraId="32A2B6C4"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6.737</w:t>
            </w:r>
          </w:p>
        </w:tc>
        <w:tc>
          <w:tcPr>
            <w:tcW w:w="1200" w:type="dxa"/>
            <w:tcBorders>
              <w:top w:val="nil"/>
              <w:left w:val="nil"/>
              <w:bottom w:val="single" w:sz="4" w:space="0" w:color="auto"/>
              <w:right w:val="single" w:sz="4" w:space="0" w:color="auto"/>
            </w:tcBorders>
            <w:shd w:val="clear" w:color="auto" w:fill="auto"/>
            <w:noWrap/>
            <w:vAlign w:val="center"/>
            <w:hideMark/>
          </w:tcPr>
          <w:p w14:paraId="274A461C"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211</w:t>
            </w:r>
          </w:p>
        </w:tc>
        <w:tc>
          <w:tcPr>
            <w:tcW w:w="1200" w:type="dxa"/>
            <w:tcBorders>
              <w:top w:val="nil"/>
              <w:left w:val="nil"/>
              <w:bottom w:val="single" w:sz="4" w:space="0" w:color="auto"/>
              <w:right w:val="single" w:sz="4" w:space="0" w:color="auto"/>
            </w:tcBorders>
            <w:shd w:val="clear" w:color="auto" w:fill="auto"/>
            <w:noWrap/>
            <w:vAlign w:val="center"/>
            <w:hideMark/>
          </w:tcPr>
          <w:p w14:paraId="67706FE5" w14:textId="77777777" w:rsidR="009A09ED" w:rsidRPr="00E02C7F"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46.308</w:t>
            </w:r>
          </w:p>
        </w:tc>
        <w:tc>
          <w:tcPr>
            <w:tcW w:w="1520" w:type="dxa"/>
            <w:tcBorders>
              <w:top w:val="nil"/>
              <w:left w:val="nil"/>
              <w:bottom w:val="single" w:sz="4" w:space="0" w:color="auto"/>
              <w:right w:val="single" w:sz="4" w:space="0" w:color="auto"/>
            </w:tcBorders>
            <w:shd w:val="clear" w:color="auto" w:fill="auto"/>
            <w:noWrap/>
            <w:vAlign w:val="center"/>
            <w:hideMark/>
          </w:tcPr>
          <w:p w14:paraId="5F818838" w14:textId="77777777" w:rsidR="009A09ED" w:rsidRPr="00CA12A8" w:rsidRDefault="009A09ED" w:rsidP="006B5A62">
            <w:pPr>
              <w:spacing w:after="0" w:line="240" w:lineRule="auto"/>
              <w:jc w:val="center"/>
              <w:rPr>
                <w:rFonts w:asciiTheme="minorHAnsi" w:eastAsia="Times New Roman" w:hAnsiTheme="minorHAnsi"/>
                <w:sz w:val="20"/>
                <w:szCs w:val="20"/>
                <w:lang w:val="es-AR" w:eastAsia="es-AR"/>
              </w:rPr>
            </w:pPr>
            <w:r w:rsidRPr="00E02C7F">
              <w:rPr>
                <w:rFonts w:asciiTheme="minorHAnsi" w:eastAsia="Times New Roman" w:hAnsiTheme="minorHAnsi"/>
                <w:sz w:val="20"/>
                <w:szCs w:val="20"/>
                <w:lang w:val="es-AR" w:eastAsia="es-AR"/>
              </w:rPr>
              <w:t>24.181</w:t>
            </w:r>
          </w:p>
        </w:tc>
      </w:tr>
    </w:tbl>
    <w:p w14:paraId="36598884" w14:textId="54B24763" w:rsidR="00535FE1" w:rsidRPr="00C91C8F" w:rsidRDefault="00535FE1" w:rsidP="00590C9C">
      <w:pPr>
        <w:spacing w:after="0"/>
        <w:rPr>
          <w:lang w:val="es-ES"/>
        </w:rPr>
      </w:pPr>
    </w:p>
    <w:p w14:paraId="5BE510D2" w14:textId="77777777" w:rsidR="00DC3DF5" w:rsidRDefault="00DC3DF5">
      <w:pPr>
        <w:spacing w:after="0" w:line="240" w:lineRule="auto"/>
        <w:jc w:val="left"/>
        <w:rPr>
          <w:rFonts w:eastAsia="Times New Roman"/>
          <w:b/>
          <w:color w:val="4472C4"/>
          <w:sz w:val="28"/>
          <w:szCs w:val="26"/>
        </w:rPr>
      </w:pPr>
      <w:bookmarkStart w:id="500" w:name="_Toc34398166"/>
      <w:r>
        <w:br w:type="page"/>
      </w:r>
    </w:p>
    <w:p w14:paraId="6BC1F8F4" w14:textId="1F0D4A38" w:rsidR="0079428C" w:rsidRPr="0023494E" w:rsidRDefault="0079428C" w:rsidP="00C9210F">
      <w:pPr>
        <w:pStyle w:val="Ttulo2"/>
      </w:pPr>
      <w:bookmarkStart w:id="501" w:name="_Toc39797877"/>
      <w:r w:rsidRPr="0023494E">
        <w:lastRenderedPageBreak/>
        <w:t>D</w:t>
      </w:r>
      <w:r w:rsidR="00E8341C">
        <w:t>eterminación de</w:t>
      </w:r>
      <w:r w:rsidRPr="0023494E">
        <w:t xml:space="preserve"> bienes intangibles</w:t>
      </w:r>
      <w:bookmarkEnd w:id="500"/>
      <w:bookmarkEnd w:id="501"/>
    </w:p>
    <w:p w14:paraId="0B78A5A0" w14:textId="75ADCD24" w:rsidR="0079428C" w:rsidRDefault="0079428C" w:rsidP="0079428C">
      <w:pPr>
        <w:rPr>
          <w:lang w:val="es-ES"/>
        </w:rPr>
      </w:pPr>
      <w:r w:rsidRPr="00C91C8F">
        <w:rPr>
          <w:lang w:val="es-ES"/>
        </w:rPr>
        <w:t>En la siguiente tabla se presenta los Bienes Intangibles:</w:t>
      </w:r>
    </w:p>
    <w:p w14:paraId="4F74F870" w14:textId="2187A5C9" w:rsidR="00481AED" w:rsidRPr="002F3394" w:rsidRDefault="00481AED" w:rsidP="00481AED">
      <w:pPr>
        <w:pStyle w:val="Subttulo"/>
      </w:pPr>
      <w:bookmarkStart w:id="502" w:name="_Toc39797963"/>
      <w:r w:rsidRPr="002F3394">
        <w:t xml:space="preserve">Tabla </w:t>
      </w:r>
      <w:fldSimple w:instr=" SEQ Tabla \* ARABIC ">
        <w:r w:rsidR="001F3E2E">
          <w:rPr>
            <w:noProof/>
          </w:rPr>
          <w:t>53</w:t>
        </w:r>
      </w:fldSimple>
      <w:r w:rsidRPr="002F3394">
        <w:t xml:space="preserve">: </w:t>
      </w:r>
      <w:r>
        <w:t>Resultados Bienes Intangibles</w:t>
      </w:r>
      <w:bookmarkEnd w:id="502"/>
    </w:p>
    <w:tbl>
      <w:tblPr>
        <w:tblW w:w="56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CellMar>
          <w:left w:w="70" w:type="dxa"/>
          <w:right w:w="70" w:type="dxa"/>
        </w:tblCellMar>
        <w:tblLook w:val="04A0" w:firstRow="1" w:lastRow="0" w:firstColumn="1" w:lastColumn="0" w:noHBand="0" w:noVBand="1"/>
      </w:tblPr>
      <w:tblGrid>
        <w:gridCol w:w="4109"/>
        <w:gridCol w:w="1516"/>
      </w:tblGrid>
      <w:tr w:rsidR="0019370D" w:rsidRPr="0019370D" w14:paraId="4219DCB9" w14:textId="77777777" w:rsidTr="006B5A62">
        <w:trPr>
          <w:trHeight w:val="260"/>
          <w:jc w:val="center"/>
        </w:trPr>
        <w:tc>
          <w:tcPr>
            <w:tcW w:w="4109" w:type="dxa"/>
            <w:shd w:val="clear" w:color="auto" w:fill="D9D9D9" w:themeFill="background1" w:themeFillShade="D9"/>
            <w:noWrap/>
            <w:vAlign w:val="bottom"/>
            <w:hideMark/>
          </w:tcPr>
          <w:p w14:paraId="151326AE" w14:textId="77777777" w:rsidR="0019370D" w:rsidRPr="0019370D" w:rsidRDefault="0019370D" w:rsidP="006B5A62">
            <w:pPr>
              <w:spacing w:after="0" w:line="240" w:lineRule="auto"/>
              <w:jc w:val="left"/>
              <w:rPr>
                <w:rFonts w:asciiTheme="minorHAnsi" w:eastAsia="Times New Roman" w:hAnsiTheme="minorHAnsi" w:cstheme="minorHAnsi"/>
                <w:b/>
                <w:sz w:val="20"/>
                <w:szCs w:val="20"/>
                <w:lang w:val="es-AR" w:eastAsia="es-AR"/>
              </w:rPr>
            </w:pPr>
            <w:r w:rsidRPr="0019370D">
              <w:rPr>
                <w:rFonts w:asciiTheme="minorHAnsi" w:eastAsia="Times New Roman" w:hAnsiTheme="minorHAnsi" w:cstheme="minorHAnsi"/>
                <w:b/>
                <w:sz w:val="20"/>
                <w:szCs w:val="20"/>
                <w:lang w:val="es-AR" w:eastAsia="es-AR"/>
              </w:rPr>
              <w:t>Cálculo Intangibles</w:t>
            </w:r>
          </w:p>
        </w:tc>
        <w:tc>
          <w:tcPr>
            <w:tcW w:w="1516" w:type="dxa"/>
            <w:shd w:val="clear" w:color="auto" w:fill="D9D9D9" w:themeFill="background1" w:themeFillShade="D9"/>
            <w:noWrap/>
            <w:vAlign w:val="bottom"/>
            <w:hideMark/>
          </w:tcPr>
          <w:p w14:paraId="1ABF9091" w14:textId="77777777" w:rsidR="0019370D" w:rsidRPr="0019370D" w:rsidRDefault="0019370D" w:rsidP="006B5A62">
            <w:pPr>
              <w:spacing w:after="0" w:line="240" w:lineRule="auto"/>
              <w:jc w:val="center"/>
              <w:rPr>
                <w:rFonts w:asciiTheme="minorHAnsi" w:eastAsia="Times New Roman" w:hAnsiTheme="minorHAnsi" w:cstheme="minorHAnsi"/>
                <w:b/>
                <w:sz w:val="20"/>
                <w:szCs w:val="20"/>
                <w:lang w:val="es-AR" w:eastAsia="es-AR"/>
              </w:rPr>
            </w:pPr>
            <w:r w:rsidRPr="0019370D">
              <w:rPr>
                <w:rFonts w:asciiTheme="minorHAnsi" w:eastAsia="Times New Roman" w:hAnsiTheme="minorHAnsi" w:cstheme="minorHAnsi"/>
                <w:b/>
                <w:sz w:val="20"/>
                <w:szCs w:val="20"/>
                <w:lang w:val="es-AR" w:eastAsia="es-AR"/>
              </w:rPr>
              <w:t>USD</w:t>
            </w:r>
          </w:p>
        </w:tc>
      </w:tr>
      <w:tr w:rsidR="0019370D" w:rsidRPr="0019370D" w14:paraId="0D013D2B" w14:textId="77777777" w:rsidTr="006B5A62">
        <w:trPr>
          <w:trHeight w:val="250"/>
          <w:jc w:val="center"/>
        </w:trPr>
        <w:tc>
          <w:tcPr>
            <w:tcW w:w="4109" w:type="dxa"/>
            <w:shd w:val="clear" w:color="auto" w:fill="FFFFFF" w:themeFill="background1"/>
            <w:noWrap/>
            <w:vAlign w:val="bottom"/>
            <w:hideMark/>
          </w:tcPr>
          <w:p w14:paraId="75357B12" w14:textId="77777777" w:rsidR="0019370D" w:rsidRPr="0019370D" w:rsidRDefault="0019370D" w:rsidP="006B5A62">
            <w:pPr>
              <w:spacing w:after="0" w:line="240" w:lineRule="auto"/>
              <w:jc w:val="left"/>
              <w:rPr>
                <w:rFonts w:asciiTheme="minorHAnsi" w:eastAsia="Times New Roman" w:hAnsiTheme="minorHAnsi" w:cstheme="minorHAnsi"/>
                <w:sz w:val="20"/>
                <w:szCs w:val="20"/>
                <w:lang w:val="es-AR" w:eastAsia="es-AR"/>
              </w:rPr>
            </w:pPr>
            <w:r w:rsidRPr="0019370D">
              <w:rPr>
                <w:rFonts w:asciiTheme="minorHAnsi" w:eastAsia="Times New Roman" w:hAnsiTheme="minorHAnsi" w:cstheme="minorHAnsi"/>
                <w:sz w:val="20"/>
                <w:szCs w:val="20"/>
                <w:lang w:val="es-AR" w:eastAsia="es-AR"/>
              </w:rPr>
              <w:t>Asesorías</w:t>
            </w:r>
          </w:p>
        </w:tc>
        <w:tc>
          <w:tcPr>
            <w:tcW w:w="1516" w:type="dxa"/>
            <w:shd w:val="clear" w:color="auto" w:fill="FFFFFF" w:themeFill="background1"/>
            <w:noWrap/>
            <w:hideMark/>
          </w:tcPr>
          <w:p w14:paraId="1FBF67E3" w14:textId="77777777" w:rsidR="0019370D" w:rsidRPr="0019370D" w:rsidRDefault="0019370D" w:rsidP="006B5A62">
            <w:pPr>
              <w:spacing w:after="0" w:line="240" w:lineRule="auto"/>
              <w:jc w:val="center"/>
              <w:rPr>
                <w:rFonts w:asciiTheme="minorHAnsi" w:eastAsia="Times New Roman" w:hAnsiTheme="minorHAnsi" w:cstheme="minorHAnsi"/>
                <w:sz w:val="20"/>
                <w:szCs w:val="20"/>
                <w:lang w:val="es-AR" w:eastAsia="es-AR"/>
              </w:rPr>
            </w:pPr>
            <w:r w:rsidRPr="0019370D">
              <w:rPr>
                <w:sz w:val="20"/>
                <w:szCs w:val="20"/>
              </w:rPr>
              <w:t xml:space="preserve"> 896.453 </w:t>
            </w:r>
          </w:p>
        </w:tc>
      </w:tr>
      <w:tr w:rsidR="0019370D" w:rsidRPr="0019370D" w14:paraId="1577D947" w14:textId="77777777" w:rsidTr="006B5A62">
        <w:trPr>
          <w:trHeight w:val="250"/>
          <w:jc w:val="center"/>
        </w:trPr>
        <w:tc>
          <w:tcPr>
            <w:tcW w:w="4109" w:type="dxa"/>
            <w:shd w:val="clear" w:color="auto" w:fill="FFFFFF" w:themeFill="background1"/>
            <w:noWrap/>
            <w:vAlign w:val="bottom"/>
            <w:hideMark/>
          </w:tcPr>
          <w:p w14:paraId="03945BF6" w14:textId="77777777" w:rsidR="0019370D" w:rsidRPr="0019370D" w:rsidRDefault="0019370D" w:rsidP="006B5A62">
            <w:pPr>
              <w:spacing w:after="0" w:line="240" w:lineRule="auto"/>
              <w:jc w:val="left"/>
              <w:rPr>
                <w:rFonts w:asciiTheme="minorHAnsi" w:eastAsia="Times New Roman" w:hAnsiTheme="minorHAnsi" w:cstheme="minorHAnsi"/>
                <w:sz w:val="20"/>
                <w:szCs w:val="20"/>
                <w:lang w:val="es-AR" w:eastAsia="es-AR"/>
              </w:rPr>
            </w:pPr>
            <w:r w:rsidRPr="0019370D">
              <w:rPr>
                <w:rFonts w:asciiTheme="minorHAnsi" w:eastAsia="Times New Roman" w:hAnsiTheme="minorHAnsi" w:cstheme="minorHAnsi"/>
                <w:sz w:val="20"/>
                <w:szCs w:val="20"/>
                <w:lang w:val="es-AR" w:eastAsia="es-AR"/>
              </w:rPr>
              <w:t>Salarios Personal sin Beneficios ( 2 meses)</w:t>
            </w:r>
          </w:p>
        </w:tc>
        <w:tc>
          <w:tcPr>
            <w:tcW w:w="1516" w:type="dxa"/>
            <w:shd w:val="clear" w:color="auto" w:fill="FFFFFF" w:themeFill="background1"/>
            <w:noWrap/>
            <w:hideMark/>
          </w:tcPr>
          <w:p w14:paraId="6D98AED3" w14:textId="77777777" w:rsidR="0019370D" w:rsidRPr="0019370D" w:rsidRDefault="0019370D" w:rsidP="006B5A62">
            <w:pPr>
              <w:spacing w:after="0" w:line="240" w:lineRule="auto"/>
              <w:jc w:val="center"/>
              <w:rPr>
                <w:rFonts w:asciiTheme="minorHAnsi" w:eastAsia="Times New Roman" w:hAnsiTheme="minorHAnsi" w:cstheme="minorHAnsi"/>
                <w:sz w:val="20"/>
                <w:szCs w:val="20"/>
                <w:lang w:val="es-AR" w:eastAsia="es-AR"/>
              </w:rPr>
            </w:pPr>
            <w:r w:rsidRPr="0019370D">
              <w:rPr>
                <w:sz w:val="20"/>
                <w:szCs w:val="20"/>
              </w:rPr>
              <w:t xml:space="preserve"> 1.073.544 </w:t>
            </w:r>
          </w:p>
        </w:tc>
      </w:tr>
      <w:tr w:rsidR="0019370D" w:rsidRPr="0019370D" w14:paraId="56E6F7D7" w14:textId="77777777" w:rsidTr="006B5A62">
        <w:trPr>
          <w:trHeight w:val="250"/>
          <w:jc w:val="center"/>
        </w:trPr>
        <w:tc>
          <w:tcPr>
            <w:tcW w:w="4109" w:type="dxa"/>
            <w:shd w:val="clear" w:color="auto" w:fill="FFFFFF" w:themeFill="background1"/>
            <w:noWrap/>
            <w:vAlign w:val="bottom"/>
            <w:hideMark/>
          </w:tcPr>
          <w:p w14:paraId="31D73F9A" w14:textId="77777777" w:rsidR="0019370D" w:rsidRPr="0019370D" w:rsidRDefault="0019370D" w:rsidP="006B5A62">
            <w:pPr>
              <w:spacing w:after="0" w:line="240" w:lineRule="auto"/>
              <w:jc w:val="left"/>
              <w:rPr>
                <w:rFonts w:asciiTheme="minorHAnsi" w:eastAsia="Times New Roman" w:hAnsiTheme="minorHAnsi" w:cstheme="minorHAnsi"/>
                <w:sz w:val="20"/>
                <w:szCs w:val="20"/>
                <w:lang w:val="es-AR" w:eastAsia="es-AR"/>
              </w:rPr>
            </w:pPr>
            <w:r w:rsidRPr="0019370D">
              <w:rPr>
                <w:rFonts w:asciiTheme="minorHAnsi" w:eastAsia="Times New Roman" w:hAnsiTheme="minorHAnsi" w:cstheme="minorHAnsi"/>
                <w:sz w:val="20"/>
                <w:szCs w:val="20"/>
                <w:lang w:val="es-AR" w:eastAsia="es-AR"/>
              </w:rPr>
              <w:t>Capacitación (1 mes)</w:t>
            </w:r>
          </w:p>
        </w:tc>
        <w:tc>
          <w:tcPr>
            <w:tcW w:w="1516" w:type="dxa"/>
            <w:shd w:val="clear" w:color="auto" w:fill="FFFFFF" w:themeFill="background1"/>
            <w:noWrap/>
            <w:hideMark/>
          </w:tcPr>
          <w:p w14:paraId="29AFC360" w14:textId="77777777" w:rsidR="0019370D" w:rsidRPr="0019370D" w:rsidRDefault="0019370D" w:rsidP="006B5A62">
            <w:pPr>
              <w:spacing w:after="0" w:line="240" w:lineRule="auto"/>
              <w:jc w:val="center"/>
              <w:rPr>
                <w:rFonts w:asciiTheme="minorHAnsi" w:eastAsia="Times New Roman" w:hAnsiTheme="minorHAnsi" w:cstheme="minorHAnsi"/>
                <w:sz w:val="20"/>
                <w:szCs w:val="20"/>
                <w:lang w:val="es-AR" w:eastAsia="es-AR"/>
              </w:rPr>
            </w:pPr>
            <w:r w:rsidRPr="0019370D">
              <w:rPr>
                <w:sz w:val="20"/>
                <w:szCs w:val="20"/>
              </w:rPr>
              <w:t xml:space="preserve"> 8.888 </w:t>
            </w:r>
          </w:p>
        </w:tc>
      </w:tr>
      <w:tr w:rsidR="0019370D" w:rsidRPr="0019370D" w14:paraId="19080AD3" w14:textId="77777777" w:rsidTr="006B5A62">
        <w:trPr>
          <w:trHeight w:val="250"/>
          <w:jc w:val="center"/>
        </w:trPr>
        <w:tc>
          <w:tcPr>
            <w:tcW w:w="4109" w:type="dxa"/>
            <w:shd w:val="clear" w:color="auto" w:fill="FFFFFF" w:themeFill="background1"/>
            <w:noWrap/>
            <w:vAlign w:val="bottom"/>
            <w:hideMark/>
          </w:tcPr>
          <w:p w14:paraId="75BED542" w14:textId="77777777" w:rsidR="0019370D" w:rsidRPr="0019370D" w:rsidRDefault="0019370D" w:rsidP="006B5A62">
            <w:pPr>
              <w:spacing w:after="0" w:line="240" w:lineRule="auto"/>
              <w:jc w:val="left"/>
              <w:rPr>
                <w:rFonts w:asciiTheme="minorHAnsi" w:eastAsia="Times New Roman" w:hAnsiTheme="minorHAnsi" w:cstheme="minorHAnsi"/>
                <w:sz w:val="20"/>
                <w:szCs w:val="20"/>
                <w:lang w:val="es-AR" w:eastAsia="es-AR"/>
              </w:rPr>
            </w:pPr>
            <w:r w:rsidRPr="0019370D">
              <w:rPr>
                <w:rFonts w:asciiTheme="minorHAnsi" w:eastAsia="Times New Roman" w:hAnsiTheme="minorHAnsi" w:cstheme="minorHAnsi"/>
                <w:sz w:val="20"/>
                <w:szCs w:val="20"/>
                <w:lang w:val="es-AR" w:eastAsia="es-AR"/>
              </w:rPr>
              <w:t>Costo anual OyM  (un mes)</w:t>
            </w:r>
          </w:p>
        </w:tc>
        <w:tc>
          <w:tcPr>
            <w:tcW w:w="1516" w:type="dxa"/>
            <w:shd w:val="clear" w:color="auto" w:fill="FFFFFF" w:themeFill="background1"/>
            <w:noWrap/>
            <w:hideMark/>
          </w:tcPr>
          <w:p w14:paraId="3508433B" w14:textId="77777777" w:rsidR="0019370D" w:rsidRPr="0019370D" w:rsidRDefault="0019370D" w:rsidP="006B5A62">
            <w:pPr>
              <w:spacing w:after="0" w:line="240" w:lineRule="auto"/>
              <w:jc w:val="center"/>
              <w:rPr>
                <w:rFonts w:asciiTheme="minorHAnsi" w:eastAsia="Times New Roman" w:hAnsiTheme="minorHAnsi" w:cstheme="minorHAnsi"/>
                <w:sz w:val="20"/>
                <w:szCs w:val="20"/>
                <w:lang w:val="es-AR" w:eastAsia="es-AR"/>
              </w:rPr>
            </w:pPr>
            <w:r w:rsidRPr="0019370D">
              <w:rPr>
                <w:sz w:val="20"/>
                <w:szCs w:val="20"/>
              </w:rPr>
              <w:t xml:space="preserve"> 2.557.261 </w:t>
            </w:r>
          </w:p>
        </w:tc>
      </w:tr>
      <w:tr w:rsidR="0019370D" w:rsidRPr="00FB6D6B" w14:paraId="23A0BBDD" w14:textId="77777777" w:rsidTr="006B5A62">
        <w:trPr>
          <w:trHeight w:val="260"/>
          <w:jc w:val="center"/>
        </w:trPr>
        <w:tc>
          <w:tcPr>
            <w:tcW w:w="4109" w:type="dxa"/>
            <w:shd w:val="clear" w:color="auto" w:fill="FFFFFF" w:themeFill="background1"/>
            <w:noWrap/>
            <w:vAlign w:val="bottom"/>
            <w:hideMark/>
          </w:tcPr>
          <w:p w14:paraId="6493F2B4" w14:textId="77777777" w:rsidR="0019370D" w:rsidRPr="0019370D" w:rsidRDefault="0019370D" w:rsidP="006B5A62">
            <w:pPr>
              <w:spacing w:after="0" w:line="240" w:lineRule="auto"/>
              <w:jc w:val="left"/>
              <w:rPr>
                <w:rFonts w:asciiTheme="minorHAnsi" w:eastAsia="Times New Roman" w:hAnsiTheme="minorHAnsi" w:cstheme="minorHAnsi"/>
                <w:b/>
                <w:sz w:val="20"/>
                <w:szCs w:val="20"/>
                <w:lang w:val="es-AR" w:eastAsia="es-AR"/>
              </w:rPr>
            </w:pPr>
            <w:r w:rsidRPr="0019370D">
              <w:rPr>
                <w:rFonts w:asciiTheme="minorHAnsi" w:eastAsia="Times New Roman" w:hAnsiTheme="minorHAnsi" w:cstheme="minorHAnsi"/>
                <w:b/>
                <w:sz w:val="20"/>
                <w:szCs w:val="20"/>
                <w:lang w:val="es-AR" w:eastAsia="es-AR"/>
              </w:rPr>
              <w:t>Total Intangibles</w:t>
            </w:r>
          </w:p>
        </w:tc>
        <w:tc>
          <w:tcPr>
            <w:tcW w:w="1516" w:type="dxa"/>
            <w:shd w:val="clear" w:color="auto" w:fill="FFFFFF" w:themeFill="background1"/>
            <w:noWrap/>
            <w:hideMark/>
          </w:tcPr>
          <w:p w14:paraId="1AD2CA1F" w14:textId="77777777" w:rsidR="0019370D" w:rsidRPr="00FB6D6B" w:rsidRDefault="0019370D" w:rsidP="006B5A62">
            <w:pPr>
              <w:spacing w:after="0" w:line="240" w:lineRule="auto"/>
              <w:jc w:val="center"/>
              <w:rPr>
                <w:rFonts w:asciiTheme="minorHAnsi" w:eastAsia="Times New Roman" w:hAnsiTheme="minorHAnsi" w:cstheme="minorHAnsi"/>
                <w:b/>
                <w:bCs/>
                <w:sz w:val="20"/>
                <w:szCs w:val="20"/>
                <w:lang w:val="es-AR" w:eastAsia="es-AR"/>
              </w:rPr>
            </w:pPr>
            <w:r w:rsidRPr="0019370D">
              <w:rPr>
                <w:sz w:val="20"/>
                <w:szCs w:val="20"/>
              </w:rPr>
              <w:t xml:space="preserve"> 4.536.147</w:t>
            </w:r>
            <w:r w:rsidRPr="00FB6D6B">
              <w:rPr>
                <w:sz w:val="20"/>
                <w:szCs w:val="20"/>
              </w:rPr>
              <w:t xml:space="preserve"> </w:t>
            </w:r>
          </w:p>
        </w:tc>
      </w:tr>
    </w:tbl>
    <w:p w14:paraId="1494548E" w14:textId="77777777" w:rsidR="0079428C" w:rsidRDefault="0079428C" w:rsidP="00590C9C">
      <w:pPr>
        <w:spacing w:after="0"/>
        <w:rPr>
          <w:highlight w:val="yellow"/>
          <w:lang w:val="es-ES"/>
        </w:rPr>
      </w:pPr>
    </w:p>
    <w:p w14:paraId="197C86B5" w14:textId="187C5176" w:rsidR="0079428C" w:rsidRPr="0023494E" w:rsidRDefault="0079428C" w:rsidP="00C9210F">
      <w:pPr>
        <w:pStyle w:val="Ttulo2"/>
      </w:pPr>
      <w:bookmarkStart w:id="503" w:name="_Toc34398167"/>
      <w:bookmarkStart w:id="504" w:name="_Toc39797878"/>
      <w:r w:rsidRPr="0023494E">
        <w:t>D</w:t>
      </w:r>
      <w:r w:rsidR="00E8341C">
        <w:t xml:space="preserve">eterminación de </w:t>
      </w:r>
      <w:r w:rsidRPr="0023494E">
        <w:t>economías de ámbito</w:t>
      </w:r>
      <w:bookmarkEnd w:id="503"/>
      <w:bookmarkEnd w:id="504"/>
    </w:p>
    <w:p w14:paraId="59488D4B" w14:textId="404E8F98" w:rsidR="0079428C" w:rsidRDefault="0079428C" w:rsidP="0079428C">
      <w:pPr>
        <w:rPr>
          <w:lang w:val="es-ES"/>
        </w:rPr>
      </w:pPr>
      <w:r w:rsidRPr="00C91C8F">
        <w:rPr>
          <w:lang w:val="es-ES"/>
        </w:rPr>
        <w:t>En la siguiente tabla se presentan las partidas que el Consultor propone sujetas a economías de ámbito:</w:t>
      </w:r>
    </w:p>
    <w:p w14:paraId="39FF2584" w14:textId="497C2334" w:rsidR="00481AED" w:rsidRPr="002F3394" w:rsidRDefault="00481AED" w:rsidP="00481AED">
      <w:pPr>
        <w:pStyle w:val="Subttulo"/>
      </w:pPr>
      <w:bookmarkStart w:id="505" w:name="_Toc39797964"/>
      <w:r w:rsidRPr="002F3394">
        <w:t xml:space="preserve">Tabla </w:t>
      </w:r>
      <w:fldSimple w:instr=" SEQ Tabla \* ARABIC ">
        <w:r w:rsidR="001F3E2E">
          <w:rPr>
            <w:noProof/>
          </w:rPr>
          <w:t>54</w:t>
        </w:r>
      </w:fldSimple>
      <w:r w:rsidRPr="002F3394">
        <w:t xml:space="preserve">: </w:t>
      </w:r>
      <w:r>
        <w:t>Determinación de economías de ámbito</w:t>
      </w:r>
      <w:bookmarkEnd w:id="505"/>
    </w:p>
    <w:tbl>
      <w:tblPr>
        <w:tblW w:w="9900" w:type="dxa"/>
        <w:tblInd w:w="55" w:type="dxa"/>
        <w:tblCellMar>
          <w:left w:w="70" w:type="dxa"/>
          <w:right w:w="70" w:type="dxa"/>
        </w:tblCellMar>
        <w:tblLook w:val="04A0" w:firstRow="1" w:lastRow="0" w:firstColumn="1" w:lastColumn="0" w:noHBand="0" w:noVBand="1"/>
      </w:tblPr>
      <w:tblGrid>
        <w:gridCol w:w="1200"/>
        <w:gridCol w:w="4900"/>
        <w:gridCol w:w="1360"/>
        <w:gridCol w:w="1220"/>
        <w:gridCol w:w="1220"/>
      </w:tblGrid>
      <w:tr w:rsidR="00B025A5" w:rsidRPr="00B025A5" w14:paraId="53326B64" w14:textId="77777777" w:rsidTr="006B5A62">
        <w:trPr>
          <w:trHeight w:val="290"/>
          <w:tblHeader/>
        </w:trPr>
        <w:tc>
          <w:tcPr>
            <w:tcW w:w="1200" w:type="dxa"/>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2239AB3D" w14:textId="77777777" w:rsidR="00B025A5" w:rsidRPr="00B025A5" w:rsidRDefault="00B025A5" w:rsidP="006B5A62">
            <w:pPr>
              <w:spacing w:after="0" w:line="240" w:lineRule="auto"/>
              <w:jc w:val="center"/>
              <w:rPr>
                <w:rFonts w:asciiTheme="minorHAnsi" w:eastAsia="Times New Roman" w:hAnsiTheme="minorHAnsi" w:cstheme="minorHAnsi"/>
                <w:b/>
                <w:bCs/>
                <w:color w:val="000000"/>
                <w:sz w:val="20"/>
                <w:szCs w:val="20"/>
                <w:lang w:val="es-AR" w:eastAsia="es-AR"/>
              </w:rPr>
            </w:pPr>
            <w:r w:rsidRPr="00B025A5">
              <w:rPr>
                <w:rFonts w:asciiTheme="minorHAnsi" w:eastAsia="Times New Roman" w:hAnsiTheme="minorHAnsi" w:cstheme="minorHAnsi"/>
                <w:b/>
                <w:bCs/>
                <w:color w:val="000000"/>
                <w:sz w:val="20"/>
                <w:szCs w:val="20"/>
                <w:lang w:val="es-AR" w:eastAsia="es-AR"/>
              </w:rPr>
              <w:t xml:space="preserve">Tipo Partida </w:t>
            </w:r>
          </w:p>
        </w:tc>
        <w:tc>
          <w:tcPr>
            <w:tcW w:w="4900" w:type="dxa"/>
            <w:tcBorders>
              <w:top w:val="single" w:sz="4" w:space="0" w:color="auto"/>
              <w:left w:val="nil"/>
              <w:bottom w:val="single" w:sz="4" w:space="0" w:color="auto"/>
              <w:right w:val="single" w:sz="4" w:space="0" w:color="auto"/>
            </w:tcBorders>
            <w:shd w:val="clear" w:color="000000" w:fill="D9D9D9"/>
            <w:noWrap/>
            <w:vAlign w:val="center"/>
            <w:hideMark/>
          </w:tcPr>
          <w:p w14:paraId="196AF524" w14:textId="77777777" w:rsidR="00B025A5" w:rsidRPr="00B025A5" w:rsidRDefault="00B025A5" w:rsidP="006B5A62">
            <w:pPr>
              <w:spacing w:after="0" w:line="240" w:lineRule="auto"/>
              <w:jc w:val="center"/>
              <w:rPr>
                <w:rFonts w:asciiTheme="minorHAnsi" w:eastAsia="Times New Roman" w:hAnsiTheme="minorHAnsi" w:cstheme="minorHAnsi"/>
                <w:b/>
                <w:bCs/>
                <w:color w:val="000000"/>
                <w:sz w:val="20"/>
                <w:szCs w:val="20"/>
                <w:lang w:val="es-AR" w:eastAsia="es-AR"/>
              </w:rPr>
            </w:pPr>
            <w:r w:rsidRPr="00B025A5">
              <w:rPr>
                <w:rFonts w:asciiTheme="minorHAnsi" w:eastAsia="Times New Roman" w:hAnsiTheme="minorHAnsi" w:cstheme="minorHAnsi"/>
                <w:b/>
                <w:bCs/>
                <w:color w:val="000000"/>
                <w:sz w:val="20"/>
                <w:szCs w:val="20"/>
                <w:lang w:val="es-AR" w:eastAsia="es-AR"/>
              </w:rPr>
              <w:t xml:space="preserve"> Partida </w:t>
            </w:r>
          </w:p>
        </w:tc>
        <w:tc>
          <w:tcPr>
            <w:tcW w:w="1360" w:type="dxa"/>
            <w:tcBorders>
              <w:top w:val="single" w:sz="4" w:space="0" w:color="auto"/>
              <w:left w:val="nil"/>
              <w:bottom w:val="single" w:sz="4" w:space="0" w:color="auto"/>
              <w:right w:val="single" w:sz="4" w:space="0" w:color="auto"/>
            </w:tcBorders>
            <w:shd w:val="clear" w:color="000000" w:fill="D9D9D9"/>
            <w:noWrap/>
            <w:vAlign w:val="center"/>
            <w:hideMark/>
          </w:tcPr>
          <w:p w14:paraId="374B1F79" w14:textId="77777777" w:rsidR="00B025A5" w:rsidRPr="00B025A5" w:rsidRDefault="00B025A5" w:rsidP="006B5A62">
            <w:pPr>
              <w:spacing w:after="0" w:line="240" w:lineRule="auto"/>
              <w:jc w:val="center"/>
              <w:rPr>
                <w:rFonts w:asciiTheme="minorHAnsi" w:eastAsia="Times New Roman" w:hAnsiTheme="minorHAnsi" w:cstheme="minorHAnsi"/>
                <w:b/>
                <w:bCs/>
                <w:color w:val="000000"/>
                <w:sz w:val="20"/>
                <w:szCs w:val="20"/>
                <w:lang w:val="es-AR" w:eastAsia="es-AR"/>
              </w:rPr>
            </w:pPr>
            <w:r w:rsidRPr="00B025A5">
              <w:rPr>
                <w:rFonts w:asciiTheme="minorHAnsi" w:eastAsia="Times New Roman" w:hAnsiTheme="minorHAnsi" w:cstheme="minorHAnsi"/>
                <w:b/>
                <w:bCs/>
                <w:color w:val="000000"/>
                <w:sz w:val="20"/>
                <w:szCs w:val="20"/>
                <w:lang w:val="es-AR" w:eastAsia="es-AR"/>
              </w:rPr>
              <w:t xml:space="preserve"> Costo Personal </w:t>
            </w:r>
          </w:p>
        </w:tc>
        <w:tc>
          <w:tcPr>
            <w:tcW w:w="1220" w:type="dxa"/>
            <w:tcBorders>
              <w:top w:val="single" w:sz="4" w:space="0" w:color="auto"/>
              <w:left w:val="nil"/>
              <w:bottom w:val="single" w:sz="4" w:space="0" w:color="auto"/>
              <w:right w:val="single" w:sz="4" w:space="0" w:color="auto"/>
            </w:tcBorders>
            <w:shd w:val="clear" w:color="000000" w:fill="D9D9D9"/>
            <w:noWrap/>
            <w:vAlign w:val="center"/>
            <w:hideMark/>
          </w:tcPr>
          <w:p w14:paraId="5803440A" w14:textId="77777777" w:rsidR="00B025A5" w:rsidRPr="00B025A5" w:rsidRDefault="00B025A5" w:rsidP="006B5A62">
            <w:pPr>
              <w:spacing w:after="0" w:line="240" w:lineRule="auto"/>
              <w:jc w:val="center"/>
              <w:rPr>
                <w:rFonts w:asciiTheme="minorHAnsi" w:eastAsia="Times New Roman" w:hAnsiTheme="minorHAnsi" w:cstheme="minorHAnsi"/>
                <w:b/>
                <w:bCs/>
                <w:color w:val="000000"/>
                <w:sz w:val="20"/>
                <w:szCs w:val="20"/>
                <w:lang w:val="es-AR" w:eastAsia="es-AR"/>
              </w:rPr>
            </w:pPr>
            <w:r w:rsidRPr="00B025A5">
              <w:rPr>
                <w:rFonts w:asciiTheme="minorHAnsi" w:eastAsia="Times New Roman" w:hAnsiTheme="minorHAnsi" w:cstheme="minorHAnsi"/>
                <w:b/>
                <w:bCs/>
                <w:color w:val="000000"/>
                <w:sz w:val="20"/>
                <w:szCs w:val="20"/>
                <w:lang w:val="es-AR" w:eastAsia="es-AR"/>
              </w:rPr>
              <w:t xml:space="preserve"> Gasto </w:t>
            </w:r>
          </w:p>
        </w:tc>
        <w:tc>
          <w:tcPr>
            <w:tcW w:w="1220" w:type="dxa"/>
            <w:tcBorders>
              <w:top w:val="single" w:sz="4" w:space="0" w:color="auto"/>
              <w:left w:val="nil"/>
              <w:bottom w:val="single" w:sz="4" w:space="0" w:color="auto"/>
              <w:right w:val="single" w:sz="4" w:space="0" w:color="auto"/>
            </w:tcBorders>
            <w:shd w:val="clear" w:color="000000" w:fill="D9D9D9"/>
            <w:noWrap/>
            <w:vAlign w:val="center"/>
            <w:hideMark/>
          </w:tcPr>
          <w:p w14:paraId="105620BB" w14:textId="77777777" w:rsidR="00B025A5" w:rsidRPr="00B025A5" w:rsidRDefault="00B025A5" w:rsidP="006B5A62">
            <w:pPr>
              <w:spacing w:after="0" w:line="240" w:lineRule="auto"/>
              <w:jc w:val="center"/>
              <w:rPr>
                <w:rFonts w:asciiTheme="minorHAnsi" w:eastAsia="Times New Roman" w:hAnsiTheme="minorHAnsi" w:cstheme="minorHAnsi"/>
                <w:b/>
                <w:bCs/>
                <w:color w:val="000000"/>
                <w:sz w:val="20"/>
                <w:szCs w:val="20"/>
                <w:lang w:val="es-AR" w:eastAsia="es-AR"/>
              </w:rPr>
            </w:pPr>
            <w:r w:rsidRPr="00B025A5">
              <w:rPr>
                <w:rFonts w:asciiTheme="minorHAnsi" w:eastAsia="Times New Roman" w:hAnsiTheme="minorHAnsi" w:cstheme="minorHAnsi"/>
                <w:b/>
                <w:bCs/>
                <w:color w:val="000000"/>
                <w:sz w:val="20"/>
                <w:szCs w:val="20"/>
                <w:lang w:val="es-AR" w:eastAsia="es-AR"/>
              </w:rPr>
              <w:t xml:space="preserve"> AVI BM&amp;I </w:t>
            </w:r>
          </w:p>
        </w:tc>
      </w:tr>
      <w:tr w:rsidR="00B025A5" w:rsidRPr="00B025A5" w14:paraId="37644409" w14:textId="77777777" w:rsidTr="006B5A62">
        <w:trPr>
          <w:trHeight w:val="29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504EC3C7"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Corporativo </w:t>
            </w:r>
          </w:p>
        </w:tc>
        <w:tc>
          <w:tcPr>
            <w:tcW w:w="4900" w:type="dxa"/>
            <w:tcBorders>
              <w:top w:val="nil"/>
              <w:left w:val="nil"/>
              <w:bottom w:val="single" w:sz="4" w:space="0" w:color="auto"/>
              <w:right w:val="single" w:sz="4" w:space="0" w:color="auto"/>
            </w:tcBorders>
            <w:shd w:val="clear" w:color="auto" w:fill="auto"/>
            <w:noWrap/>
            <w:vAlign w:val="bottom"/>
            <w:hideMark/>
          </w:tcPr>
          <w:p w14:paraId="78B98B12"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Remuneracion directorio </w:t>
            </w:r>
          </w:p>
        </w:tc>
        <w:tc>
          <w:tcPr>
            <w:tcW w:w="1360" w:type="dxa"/>
            <w:tcBorders>
              <w:top w:val="nil"/>
              <w:left w:val="nil"/>
              <w:bottom w:val="single" w:sz="4" w:space="0" w:color="auto"/>
              <w:right w:val="single" w:sz="4" w:space="0" w:color="auto"/>
            </w:tcBorders>
            <w:shd w:val="clear" w:color="auto" w:fill="auto"/>
            <w:noWrap/>
            <w:vAlign w:val="bottom"/>
            <w:hideMark/>
          </w:tcPr>
          <w:p w14:paraId="01193352"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   </w:t>
            </w:r>
          </w:p>
        </w:tc>
        <w:tc>
          <w:tcPr>
            <w:tcW w:w="1220" w:type="dxa"/>
            <w:tcBorders>
              <w:top w:val="nil"/>
              <w:left w:val="nil"/>
              <w:bottom w:val="single" w:sz="4" w:space="0" w:color="auto"/>
              <w:right w:val="single" w:sz="4" w:space="0" w:color="auto"/>
            </w:tcBorders>
            <w:shd w:val="clear" w:color="auto" w:fill="auto"/>
            <w:noWrap/>
            <w:vAlign w:val="bottom"/>
            <w:hideMark/>
          </w:tcPr>
          <w:p w14:paraId="3ED274FB"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273.460 </w:t>
            </w:r>
          </w:p>
        </w:tc>
        <w:tc>
          <w:tcPr>
            <w:tcW w:w="1220" w:type="dxa"/>
            <w:tcBorders>
              <w:top w:val="nil"/>
              <w:left w:val="nil"/>
              <w:bottom w:val="single" w:sz="4" w:space="0" w:color="auto"/>
              <w:right w:val="single" w:sz="4" w:space="0" w:color="auto"/>
            </w:tcBorders>
            <w:shd w:val="clear" w:color="auto" w:fill="auto"/>
            <w:noWrap/>
            <w:vAlign w:val="bottom"/>
            <w:hideMark/>
          </w:tcPr>
          <w:p w14:paraId="2ADE90C3"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   </w:t>
            </w:r>
          </w:p>
        </w:tc>
      </w:tr>
      <w:tr w:rsidR="00B025A5" w:rsidRPr="00B025A5" w14:paraId="6D0D0C10" w14:textId="77777777" w:rsidTr="006B5A62">
        <w:trPr>
          <w:trHeight w:val="29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1C92D3C8"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Corporativo </w:t>
            </w:r>
          </w:p>
        </w:tc>
        <w:tc>
          <w:tcPr>
            <w:tcW w:w="4900" w:type="dxa"/>
            <w:tcBorders>
              <w:top w:val="nil"/>
              <w:left w:val="nil"/>
              <w:bottom w:val="single" w:sz="4" w:space="0" w:color="auto"/>
              <w:right w:val="single" w:sz="4" w:space="0" w:color="auto"/>
            </w:tcBorders>
            <w:shd w:val="clear" w:color="auto" w:fill="auto"/>
            <w:noWrap/>
            <w:vAlign w:val="bottom"/>
            <w:hideMark/>
          </w:tcPr>
          <w:p w14:paraId="47D35036"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Software Sistemas informáticos Administración </w:t>
            </w:r>
          </w:p>
        </w:tc>
        <w:tc>
          <w:tcPr>
            <w:tcW w:w="1360" w:type="dxa"/>
            <w:tcBorders>
              <w:top w:val="nil"/>
              <w:left w:val="nil"/>
              <w:bottom w:val="single" w:sz="4" w:space="0" w:color="auto"/>
              <w:right w:val="single" w:sz="4" w:space="0" w:color="auto"/>
            </w:tcBorders>
            <w:shd w:val="clear" w:color="auto" w:fill="auto"/>
            <w:noWrap/>
            <w:vAlign w:val="bottom"/>
            <w:hideMark/>
          </w:tcPr>
          <w:p w14:paraId="10B8F612"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   </w:t>
            </w:r>
          </w:p>
        </w:tc>
        <w:tc>
          <w:tcPr>
            <w:tcW w:w="1220" w:type="dxa"/>
            <w:tcBorders>
              <w:top w:val="nil"/>
              <w:left w:val="nil"/>
              <w:bottom w:val="single" w:sz="4" w:space="0" w:color="auto"/>
              <w:right w:val="single" w:sz="4" w:space="0" w:color="auto"/>
            </w:tcBorders>
            <w:shd w:val="clear" w:color="auto" w:fill="auto"/>
            <w:noWrap/>
            <w:vAlign w:val="bottom"/>
            <w:hideMark/>
          </w:tcPr>
          <w:p w14:paraId="22C4CAD6"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   </w:t>
            </w:r>
          </w:p>
        </w:tc>
        <w:tc>
          <w:tcPr>
            <w:tcW w:w="1220" w:type="dxa"/>
            <w:tcBorders>
              <w:top w:val="nil"/>
              <w:left w:val="nil"/>
              <w:bottom w:val="single" w:sz="4" w:space="0" w:color="auto"/>
              <w:right w:val="single" w:sz="4" w:space="0" w:color="auto"/>
            </w:tcBorders>
            <w:shd w:val="clear" w:color="auto" w:fill="auto"/>
            <w:noWrap/>
            <w:vAlign w:val="bottom"/>
            <w:hideMark/>
          </w:tcPr>
          <w:p w14:paraId="72A6335B"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572.202 </w:t>
            </w:r>
          </w:p>
        </w:tc>
      </w:tr>
      <w:tr w:rsidR="00B025A5" w:rsidRPr="00B025A5" w14:paraId="2237F1EA" w14:textId="77777777" w:rsidTr="006B5A62">
        <w:trPr>
          <w:trHeight w:val="29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2894B222"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Corporativo </w:t>
            </w:r>
          </w:p>
        </w:tc>
        <w:tc>
          <w:tcPr>
            <w:tcW w:w="4900" w:type="dxa"/>
            <w:tcBorders>
              <w:top w:val="nil"/>
              <w:left w:val="nil"/>
              <w:bottom w:val="single" w:sz="4" w:space="0" w:color="auto"/>
              <w:right w:val="single" w:sz="4" w:space="0" w:color="auto"/>
            </w:tcBorders>
            <w:shd w:val="clear" w:color="auto" w:fill="auto"/>
            <w:noWrap/>
            <w:vAlign w:val="bottom"/>
            <w:hideMark/>
          </w:tcPr>
          <w:p w14:paraId="6B82809D"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Hardware Sistemas informáticos Administración </w:t>
            </w:r>
          </w:p>
        </w:tc>
        <w:tc>
          <w:tcPr>
            <w:tcW w:w="1360" w:type="dxa"/>
            <w:tcBorders>
              <w:top w:val="nil"/>
              <w:left w:val="nil"/>
              <w:bottom w:val="single" w:sz="4" w:space="0" w:color="auto"/>
              <w:right w:val="single" w:sz="4" w:space="0" w:color="auto"/>
            </w:tcBorders>
            <w:shd w:val="clear" w:color="auto" w:fill="auto"/>
            <w:noWrap/>
            <w:vAlign w:val="bottom"/>
            <w:hideMark/>
          </w:tcPr>
          <w:p w14:paraId="088D0511"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   </w:t>
            </w:r>
          </w:p>
        </w:tc>
        <w:tc>
          <w:tcPr>
            <w:tcW w:w="1220" w:type="dxa"/>
            <w:tcBorders>
              <w:top w:val="nil"/>
              <w:left w:val="nil"/>
              <w:bottom w:val="single" w:sz="4" w:space="0" w:color="auto"/>
              <w:right w:val="single" w:sz="4" w:space="0" w:color="auto"/>
            </w:tcBorders>
            <w:shd w:val="clear" w:color="auto" w:fill="auto"/>
            <w:noWrap/>
            <w:vAlign w:val="bottom"/>
            <w:hideMark/>
          </w:tcPr>
          <w:p w14:paraId="25082496"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   </w:t>
            </w:r>
          </w:p>
        </w:tc>
        <w:tc>
          <w:tcPr>
            <w:tcW w:w="1220" w:type="dxa"/>
            <w:tcBorders>
              <w:top w:val="nil"/>
              <w:left w:val="nil"/>
              <w:bottom w:val="single" w:sz="4" w:space="0" w:color="auto"/>
              <w:right w:val="single" w:sz="4" w:space="0" w:color="auto"/>
            </w:tcBorders>
            <w:shd w:val="clear" w:color="auto" w:fill="auto"/>
            <w:noWrap/>
            <w:vAlign w:val="bottom"/>
            <w:hideMark/>
          </w:tcPr>
          <w:p w14:paraId="447045F0"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575.099 </w:t>
            </w:r>
          </w:p>
        </w:tc>
      </w:tr>
      <w:tr w:rsidR="00B025A5" w:rsidRPr="00B025A5" w14:paraId="59BFEBAC" w14:textId="77777777" w:rsidTr="006B5A62">
        <w:trPr>
          <w:trHeight w:val="29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57485CCC"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Corporativo </w:t>
            </w:r>
          </w:p>
        </w:tc>
        <w:tc>
          <w:tcPr>
            <w:tcW w:w="4900" w:type="dxa"/>
            <w:tcBorders>
              <w:top w:val="nil"/>
              <w:left w:val="nil"/>
              <w:bottom w:val="single" w:sz="4" w:space="0" w:color="auto"/>
              <w:right w:val="single" w:sz="4" w:space="0" w:color="auto"/>
            </w:tcBorders>
            <w:shd w:val="clear" w:color="auto" w:fill="auto"/>
            <w:noWrap/>
            <w:vAlign w:val="bottom"/>
            <w:hideMark/>
          </w:tcPr>
          <w:p w14:paraId="0E1CE032"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Ciberseguridad </w:t>
            </w:r>
          </w:p>
        </w:tc>
        <w:tc>
          <w:tcPr>
            <w:tcW w:w="1360" w:type="dxa"/>
            <w:tcBorders>
              <w:top w:val="nil"/>
              <w:left w:val="nil"/>
              <w:bottom w:val="single" w:sz="4" w:space="0" w:color="auto"/>
              <w:right w:val="single" w:sz="4" w:space="0" w:color="auto"/>
            </w:tcBorders>
            <w:shd w:val="clear" w:color="auto" w:fill="auto"/>
            <w:noWrap/>
            <w:vAlign w:val="bottom"/>
            <w:hideMark/>
          </w:tcPr>
          <w:p w14:paraId="04D188BA"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   </w:t>
            </w:r>
          </w:p>
        </w:tc>
        <w:tc>
          <w:tcPr>
            <w:tcW w:w="1220" w:type="dxa"/>
            <w:tcBorders>
              <w:top w:val="nil"/>
              <w:left w:val="nil"/>
              <w:bottom w:val="single" w:sz="4" w:space="0" w:color="auto"/>
              <w:right w:val="single" w:sz="4" w:space="0" w:color="auto"/>
            </w:tcBorders>
            <w:shd w:val="clear" w:color="auto" w:fill="auto"/>
            <w:noWrap/>
            <w:vAlign w:val="bottom"/>
            <w:hideMark/>
          </w:tcPr>
          <w:p w14:paraId="757701A3"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30.000 </w:t>
            </w:r>
          </w:p>
        </w:tc>
        <w:tc>
          <w:tcPr>
            <w:tcW w:w="1220" w:type="dxa"/>
            <w:tcBorders>
              <w:top w:val="nil"/>
              <w:left w:val="nil"/>
              <w:bottom w:val="single" w:sz="4" w:space="0" w:color="auto"/>
              <w:right w:val="single" w:sz="4" w:space="0" w:color="auto"/>
            </w:tcBorders>
            <w:shd w:val="clear" w:color="auto" w:fill="auto"/>
            <w:noWrap/>
            <w:vAlign w:val="bottom"/>
            <w:hideMark/>
          </w:tcPr>
          <w:p w14:paraId="7186C1A6"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   </w:t>
            </w:r>
          </w:p>
        </w:tc>
      </w:tr>
      <w:tr w:rsidR="00B025A5" w:rsidRPr="00B025A5" w14:paraId="15320817" w14:textId="77777777" w:rsidTr="006B5A62">
        <w:trPr>
          <w:trHeight w:val="29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32C114C1"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Corporativo </w:t>
            </w:r>
          </w:p>
        </w:tc>
        <w:tc>
          <w:tcPr>
            <w:tcW w:w="4900" w:type="dxa"/>
            <w:tcBorders>
              <w:top w:val="nil"/>
              <w:left w:val="nil"/>
              <w:bottom w:val="single" w:sz="4" w:space="0" w:color="auto"/>
              <w:right w:val="single" w:sz="4" w:space="0" w:color="auto"/>
            </w:tcBorders>
            <w:shd w:val="clear" w:color="auto" w:fill="auto"/>
            <w:noWrap/>
            <w:vAlign w:val="bottom"/>
            <w:hideMark/>
          </w:tcPr>
          <w:p w14:paraId="3445FFD7"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Memoria anual </w:t>
            </w:r>
          </w:p>
        </w:tc>
        <w:tc>
          <w:tcPr>
            <w:tcW w:w="1360" w:type="dxa"/>
            <w:tcBorders>
              <w:top w:val="nil"/>
              <w:left w:val="nil"/>
              <w:bottom w:val="single" w:sz="4" w:space="0" w:color="auto"/>
              <w:right w:val="single" w:sz="4" w:space="0" w:color="auto"/>
            </w:tcBorders>
            <w:shd w:val="clear" w:color="auto" w:fill="auto"/>
            <w:noWrap/>
            <w:vAlign w:val="bottom"/>
            <w:hideMark/>
          </w:tcPr>
          <w:p w14:paraId="7C7498C5"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   </w:t>
            </w:r>
          </w:p>
        </w:tc>
        <w:tc>
          <w:tcPr>
            <w:tcW w:w="1220" w:type="dxa"/>
            <w:tcBorders>
              <w:top w:val="nil"/>
              <w:left w:val="nil"/>
              <w:bottom w:val="single" w:sz="4" w:space="0" w:color="auto"/>
              <w:right w:val="single" w:sz="4" w:space="0" w:color="auto"/>
            </w:tcBorders>
            <w:shd w:val="clear" w:color="auto" w:fill="auto"/>
            <w:noWrap/>
            <w:vAlign w:val="bottom"/>
            <w:hideMark/>
          </w:tcPr>
          <w:p w14:paraId="2015AA37"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47.523 </w:t>
            </w:r>
          </w:p>
        </w:tc>
        <w:tc>
          <w:tcPr>
            <w:tcW w:w="1220" w:type="dxa"/>
            <w:tcBorders>
              <w:top w:val="nil"/>
              <w:left w:val="nil"/>
              <w:bottom w:val="single" w:sz="4" w:space="0" w:color="auto"/>
              <w:right w:val="single" w:sz="4" w:space="0" w:color="auto"/>
            </w:tcBorders>
            <w:shd w:val="clear" w:color="auto" w:fill="auto"/>
            <w:noWrap/>
            <w:vAlign w:val="bottom"/>
            <w:hideMark/>
          </w:tcPr>
          <w:p w14:paraId="7A2FC1FD"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   </w:t>
            </w:r>
          </w:p>
        </w:tc>
      </w:tr>
      <w:tr w:rsidR="00B025A5" w:rsidRPr="00B025A5" w14:paraId="719C0C15" w14:textId="77777777" w:rsidTr="006B5A62">
        <w:trPr>
          <w:trHeight w:val="29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3B6D1387"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Corporativo </w:t>
            </w:r>
          </w:p>
        </w:tc>
        <w:tc>
          <w:tcPr>
            <w:tcW w:w="4900" w:type="dxa"/>
            <w:tcBorders>
              <w:top w:val="nil"/>
              <w:left w:val="nil"/>
              <w:bottom w:val="single" w:sz="4" w:space="0" w:color="auto"/>
              <w:right w:val="single" w:sz="4" w:space="0" w:color="auto"/>
            </w:tcBorders>
            <w:shd w:val="clear" w:color="auto" w:fill="auto"/>
            <w:noWrap/>
            <w:vAlign w:val="bottom"/>
            <w:hideMark/>
          </w:tcPr>
          <w:p w14:paraId="6292EC38"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Mantenimiento Software Administración </w:t>
            </w:r>
          </w:p>
        </w:tc>
        <w:tc>
          <w:tcPr>
            <w:tcW w:w="1360" w:type="dxa"/>
            <w:tcBorders>
              <w:top w:val="nil"/>
              <w:left w:val="nil"/>
              <w:bottom w:val="single" w:sz="4" w:space="0" w:color="auto"/>
              <w:right w:val="single" w:sz="4" w:space="0" w:color="auto"/>
            </w:tcBorders>
            <w:shd w:val="clear" w:color="auto" w:fill="auto"/>
            <w:noWrap/>
            <w:vAlign w:val="bottom"/>
            <w:hideMark/>
          </w:tcPr>
          <w:p w14:paraId="397D19CE"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   </w:t>
            </w:r>
          </w:p>
        </w:tc>
        <w:tc>
          <w:tcPr>
            <w:tcW w:w="1220" w:type="dxa"/>
            <w:tcBorders>
              <w:top w:val="nil"/>
              <w:left w:val="nil"/>
              <w:bottom w:val="single" w:sz="4" w:space="0" w:color="auto"/>
              <w:right w:val="single" w:sz="4" w:space="0" w:color="auto"/>
            </w:tcBorders>
            <w:shd w:val="clear" w:color="auto" w:fill="auto"/>
            <w:noWrap/>
            <w:vAlign w:val="bottom"/>
            <w:hideMark/>
          </w:tcPr>
          <w:p w14:paraId="0F53B82D"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351.921 </w:t>
            </w:r>
          </w:p>
        </w:tc>
        <w:tc>
          <w:tcPr>
            <w:tcW w:w="1220" w:type="dxa"/>
            <w:tcBorders>
              <w:top w:val="nil"/>
              <w:left w:val="nil"/>
              <w:bottom w:val="single" w:sz="4" w:space="0" w:color="auto"/>
              <w:right w:val="single" w:sz="4" w:space="0" w:color="auto"/>
            </w:tcBorders>
            <w:shd w:val="clear" w:color="auto" w:fill="auto"/>
            <w:noWrap/>
            <w:vAlign w:val="bottom"/>
            <w:hideMark/>
          </w:tcPr>
          <w:p w14:paraId="19CD3CA4"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   </w:t>
            </w:r>
          </w:p>
        </w:tc>
      </w:tr>
      <w:tr w:rsidR="00B025A5" w:rsidRPr="00B025A5" w14:paraId="71E94D9D" w14:textId="77777777" w:rsidTr="006B5A62">
        <w:trPr>
          <w:trHeight w:val="29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0A887DCA"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Corporativo </w:t>
            </w:r>
          </w:p>
        </w:tc>
        <w:tc>
          <w:tcPr>
            <w:tcW w:w="4900" w:type="dxa"/>
            <w:tcBorders>
              <w:top w:val="nil"/>
              <w:left w:val="nil"/>
              <w:bottom w:val="single" w:sz="4" w:space="0" w:color="auto"/>
              <w:right w:val="single" w:sz="4" w:space="0" w:color="auto"/>
            </w:tcBorders>
            <w:shd w:val="clear" w:color="auto" w:fill="auto"/>
            <w:noWrap/>
            <w:vAlign w:val="bottom"/>
            <w:hideMark/>
          </w:tcPr>
          <w:p w14:paraId="314E611C"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Mantenimiento Hardware Administración </w:t>
            </w:r>
          </w:p>
        </w:tc>
        <w:tc>
          <w:tcPr>
            <w:tcW w:w="1360" w:type="dxa"/>
            <w:tcBorders>
              <w:top w:val="nil"/>
              <w:left w:val="nil"/>
              <w:bottom w:val="single" w:sz="4" w:space="0" w:color="auto"/>
              <w:right w:val="single" w:sz="4" w:space="0" w:color="auto"/>
            </w:tcBorders>
            <w:shd w:val="clear" w:color="auto" w:fill="auto"/>
            <w:noWrap/>
            <w:vAlign w:val="bottom"/>
            <w:hideMark/>
          </w:tcPr>
          <w:p w14:paraId="26F047E4"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   </w:t>
            </w:r>
          </w:p>
        </w:tc>
        <w:tc>
          <w:tcPr>
            <w:tcW w:w="1220" w:type="dxa"/>
            <w:tcBorders>
              <w:top w:val="nil"/>
              <w:left w:val="nil"/>
              <w:bottom w:val="single" w:sz="4" w:space="0" w:color="auto"/>
              <w:right w:val="single" w:sz="4" w:space="0" w:color="auto"/>
            </w:tcBorders>
            <w:shd w:val="clear" w:color="auto" w:fill="auto"/>
            <w:noWrap/>
            <w:vAlign w:val="bottom"/>
            <w:hideMark/>
          </w:tcPr>
          <w:p w14:paraId="6B02ABB3"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117.901 </w:t>
            </w:r>
          </w:p>
        </w:tc>
        <w:tc>
          <w:tcPr>
            <w:tcW w:w="1220" w:type="dxa"/>
            <w:tcBorders>
              <w:top w:val="nil"/>
              <w:left w:val="nil"/>
              <w:bottom w:val="single" w:sz="4" w:space="0" w:color="auto"/>
              <w:right w:val="single" w:sz="4" w:space="0" w:color="auto"/>
            </w:tcBorders>
            <w:shd w:val="clear" w:color="auto" w:fill="auto"/>
            <w:noWrap/>
            <w:vAlign w:val="bottom"/>
            <w:hideMark/>
          </w:tcPr>
          <w:p w14:paraId="6081E2DE"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   </w:t>
            </w:r>
          </w:p>
        </w:tc>
      </w:tr>
      <w:tr w:rsidR="00B025A5" w:rsidRPr="00B025A5" w14:paraId="534BC802" w14:textId="77777777" w:rsidTr="006B5A62">
        <w:trPr>
          <w:trHeight w:val="29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1E53809D"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Area </w:t>
            </w:r>
          </w:p>
        </w:tc>
        <w:tc>
          <w:tcPr>
            <w:tcW w:w="4900" w:type="dxa"/>
            <w:tcBorders>
              <w:top w:val="nil"/>
              <w:left w:val="nil"/>
              <w:bottom w:val="single" w:sz="4" w:space="0" w:color="auto"/>
              <w:right w:val="single" w:sz="4" w:space="0" w:color="auto"/>
            </w:tcBorders>
            <w:shd w:val="clear" w:color="auto" w:fill="auto"/>
            <w:noWrap/>
            <w:vAlign w:val="bottom"/>
            <w:hideMark/>
          </w:tcPr>
          <w:p w14:paraId="0479D530"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Gerencia General </w:t>
            </w:r>
          </w:p>
        </w:tc>
        <w:tc>
          <w:tcPr>
            <w:tcW w:w="1360" w:type="dxa"/>
            <w:tcBorders>
              <w:top w:val="nil"/>
              <w:left w:val="nil"/>
              <w:bottom w:val="single" w:sz="4" w:space="0" w:color="auto"/>
              <w:right w:val="single" w:sz="4" w:space="0" w:color="auto"/>
            </w:tcBorders>
            <w:shd w:val="clear" w:color="auto" w:fill="auto"/>
            <w:noWrap/>
            <w:vAlign w:val="bottom"/>
            <w:hideMark/>
          </w:tcPr>
          <w:p w14:paraId="50F45739"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   </w:t>
            </w:r>
          </w:p>
        </w:tc>
        <w:tc>
          <w:tcPr>
            <w:tcW w:w="1220" w:type="dxa"/>
            <w:tcBorders>
              <w:top w:val="nil"/>
              <w:left w:val="nil"/>
              <w:bottom w:val="single" w:sz="4" w:space="0" w:color="auto"/>
              <w:right w:val="single" w:sz="4" w:space="0" w:color="auto"/>
            </w:tcBorders>
            <w:shd w:val="clear" w:color="auto" w:fill="auto"/>
            <w:noWrap/>
            <w:vAlign w:val="bottom"/>
            <w:hideMark/>
          </w:tcPr>
          <w:p w14:paraId="48C2F5CE"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21.302 </w:t>
            </w:r>
          </w:p>
        </w:tc>
        <w:tc>
          <w:tcPr>
            <w:tcW w:w="1220" w:type="dxa"/>
            <w:tcBorders>
              <w:top w:val="nil"/>
              <w:left w:val="nil"/>
              <w:bottom w:val="single" w:sz="4" w:space="0" w:color="auto"/>
              <w:right w:val="single" w:sz="4" w:space="0" w:color="auto"/>
            </w:tcBorders>
            <w:shd w:val="clear" w:color="auto" w:fill="auto"/>
            <w:noWrap/>
            <w:vAlign w:val="bottom"/>
            <w:hideMark/>
          </w:tcPr>
          <w:p w14:paraId="7A5CC057"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870 </w:t>
            </w:r>
          </w:p>
        </w:tc>
      </w:tr>
      <w:tr w:rsidR="00B025A5" w:rsidRPr="00B025A5" w14:paraId="5B77968D" w14:textId="77777777" w:rsidTr="006B5A62">
        <w:trPr>
          <w:trHeight w:val="29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1D44DF0D"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Personal </w:t>
            </w:r>
          </w:p>
        </w:tc>
        <w:tc>
          <w:tcPr>
            <w:tcW w:w="4900" w:type="dxa"/>
            <w:tcBorders>
              <w:top w:val="nil"/>
              <w:left w:val="nil"/>
              <w:bottom w:val="single" w:sz="4" w:space="0" w:color="auto"/>
              <w:right w:val="single" w:sz="4" w:space="0" w:color="auto"/>
            </w:tcBorders>
            <w:shd w:val="clear" w:color="auto" w:fill="auto"/>
            <w:noWrap/>
            <w:vAlign w:val="bottom"/>
            <w:hideMark/>
          </w:tcPr>
          <w:p w14:paraId="762DC5E5"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Gerente General </w:t>
            </w:r>
          </w:p>
        </w:tc>
        <w:tc>
          <w:tcPr>
            <w:tcW w:w="1360" w:type="dxa"/>
            <w:tcBorders>
              <w:top w:val="nil"/>
              <w:left w:val="nil"/>
              <w:bottom w:val="single" w:sz="4" w:space="0" w:color="auto"/>
              <w:right w:val="single" w:sz="4" w:space="0" w:color="auto"/>
            </w:tcBorders>
            <w:shd w:val="clear" w:color="auto" w:fill="auto"/>
            <w:noWrap/>
            <w:vAlign w:val="bottom"/>
            <w:hideMark/>
          </w:tcPr>
          <w:p w14:paraId="550DC9AB"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293.448 </w:t>
            </w:r>
          </w:p>
        </w:tc>
        <w:tc>
          <w:tcPr>
            <w:tcW w:w="1220" w:type="dxa"/>
            <w:tcBorders>
              <w:top w:val="nil"/>
              <w:left w:val="nil"/>
              <w:bottom w:val="single" w:sz="4" w:space="0" w:color="auto"/>
              <w:right w:val="single" w:sz="4" w:space="0" w:color="auto"/>
            </w:tcBorders>
            <w:shd w:val="clear" w:color="auto" w:fill="auto"/>
            <w:noWrap/>
            <w:vAlign w:val="bottom"/>
            <w:hideMark/>
          </w:tcPr>
          <w:p w14:paraId="0CFE791F"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11.414 </w:t>
            </w:r>
          </w:p>
        </w:tc>
        <w:tc>
          <w:tcPr>
            <w:tcW w:w="1220" w:type="dxa"/>
            <w:tcBorders>
              <w:top w:val="nil"/>
              <w:left w:val="nil"/>
              <w:bottom w:val="single" w:sz="4" w:space="0" w:color="auto"/>
              <w:right w:val="single" w:sz="4" w:space="0" w:color="auto"/>
            </w:tcBorders>
            <w:shd w:val="clear" w:color="auto" w:fill="auto"/>
            <w:noWrap/>
            <w:vAlign w:val="bottom"/>
            <w:hideMark/>
          </w:tcPr>
          <w:p w14:paraId="19793F21"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4.256 </w:t>
            </w:r>
          </w:p>
        </w:tc>
      </w:tr>
      <w:tr w:rsidR="00B025A5" w:rsidRPr="00B025A5" w14:paraId="567308C6" w14:textId="77777777" w:rsidTr="006B5A62">
        <w:trPr>
          <w:trHeight w:val="29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15D77698"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Personal </w:t>
            </w:r>
          </w:p>
        </w:tc>
        <w:tc>
          <w:tcPr>
            <w:tcW w:w="4900" w:type="dxa"/>
            <w:tcBorders>
              <w:top w:val="nil"/>
              <w:left w:val="nil"/>
              <w:bottom w:val="single" w:sz="4" w:space="0" w:color="auto"/>
              <w:right w:val="single" w:sz="4" w:space="0" w:color="auto"/>
            </w:tcBorders>
            <w:shd w:val="clear" w:color="auto" w:fill="auto"/>
            <w:noWrap/>
            <w:vAlign w:val="bottom"/>
            <w:hideMark/>
          </w:tcPr>
          <w:p w14:paraId="05ED50C2"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Secretaria Gerente General </w:t>
            </w:r>
          </w:p>
        </w:tc>
        <w:tc>
          <w:tcPr>
            <w:tcW w:w="1360" w:type="dxa"/>
            <w:tcBorders>
              <w:top w:val="nil"/>
              <w:left w:val="nil"/>
              <w:bottom w:val="single" w:sz="4" w:space="0" w:color="auto"/>
              <w:right w:val="single" w:sz="4" w:space="0" w:color="auto"/>
            </w:tcBorders>
            <w:shd w:val="clear" w:color="auto" w:fill="auto"/>
            <w:noWrap/>
            <w:vAlign w:val="bottom"/>
            <w:hideMark/>
          </w:tcPr>
          <w:p w14:paraId="7C3FC40B"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40.730 </w:t>
            </w:r>
          </w:p>
        </w:tc>
        <w:tc>
          <w:tcPr>
            <w:tcW w:w="1220" w:type="dxa"/>
            <w:tcBorders>
              <w:top w:val="nil"/>
              <w:left w:val="nil"/>
              <w:bottom w:val="single" w:sz="4" w:space="0" w:color="auto"/>
              <w:right w:val="single" w:sz="4" w:space="0" w:color="auto"/>
            </w:tcBorders>
            <w:shd w:val="clear" w:color="auto" w:fill="auto"/>
            <w:noWrap/>
            <w:vAlign w:val="bottom"/>
            <w:hideMark/>
          </w:tcPr>
          <w:p w14:paraId="3550C239"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2.466 </w:t>
            </w:r>
          </w:p>
        </w:tc>
        <w:tc>
          <w:tcPr>
            <w:tcW w:w="1220" w:type="dxa"/>
            <w:tcBorders>
              <w:top w:val="nil"/>
              <w:left w:val="nil"/>
              <w:bottom w:val="single" w:sz="4" w:space="0" w:color="auto"/>
              <w:right w:val="single" w:sz="4" w:space="0" w:color="auto"/>
            </w:tcBorders>
            <w:shd w:val="clear" w:color="auto" w:fill="auto"/>
            <w:noWrap/>
            <w:vAlign w:val="bottom"/>
            <w:hideMark/>
          </w:tcPr>
          <w:p w14:paraId="7637D1A8"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2.295 </w:t>
            </w:r>
          </w:p>
        </w:tc>
      </w:tr>
      <w:tr w:rsidR="00B025A5" w:rsidRPr="00B025A5" w14:paraId="0DAA741F" w14:textId="77777777" w:rsidTr="006B5A62">
        <w:trPr>
          <w:trHeight w:val="29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16247F9B"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Area </w:t>
            </w:r>
          </w:p>
        </w:tc>
        <w:tc>
          <w:tcPr>
            <w:tcW w:w="4900" w:type="dxa"/>
            <w:tcBorders>
              <w:top w:val="nil"/>
              <w:left w:val="nil"/>
              <w:bottom w:val="single" w:sz="4" w:space="0" w:color="auto"/>
              <w:right w:val="single" w:sz="4" w:space="0" w:color="auto"/>
            </w:tcBorders>
            <w:shd w:val="clear" w:color="auto" w:fill="auto"/>
            <w:noWrap/>
            <w:vAlign w:val="bottom"/>
            <w:hideMark/>
          </w:tcPr>
          <w:p w14:paraId="11401176"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Subgerencia de Relaciones Institucionales </w:t>
            </w:r>
          </w:p>
        </w:tc>
        <w:tc>
          <w:tcPr>
            <w:tcW w:w="1360" w:type="dxa"/>
            <w:tcBorders>
              <w:top w:val="nil"/>
              <w:left w:val="nil"/>
              <w:bottom w:val="single" w:sz="4" w:space="0" w:color="auto"/>
              <w:right w:val="single" w:sz="4" w:space="0" w:color="auto"/>
            </w:tcBorders>
            <w:shd w:val="clear" w:color="auto" w:fill="auto"/>
            <w:noWrap/>
            <w:vAlign w:val="bottom"/>
            <w:hideMark/>
          </w:tcPr>
          <w:p w14:paraId="61EA9F87"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   </w:t>
            </w:r>
          </w:p>
        </w:tc>
        <w:tc>
          <w:tcPr>
            <w:tcW w:w="1220" w:type="dxa"/>
            <w:tcBorders>
              <w:top w:val="nil"/>
              <w:left w:val="nil"/>
              <w:bottom w:val="single" w:sz="4" w:space="0" w:color="auto"/>
              <w:right w:val="single" w:sz="4" w:space="0" w:color="auto"/>
            </w:tcBorders>
            <w:shd w:val="clear" w:color="auto" w:fill="auto"/>
            <w:noWrap/>
            <w:vAlign w:val="bottom"/>
            <w:hideMark/>
          </w:tcPr>
          <w:p w14:paraId="00F6D8B6"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21.302 </w:t>
            </w:r>
          </w:p>
        </w:tc>
        <w:tc>
          <w:tcPr>
            <w:tcW w:w="1220" w:type="dxa"/>
            <w:tcBorders>
              <w:top w:val="nil"/>
              <w:left w:val="nil"/>
              <w:bottom w:val="single" w:sz="4" w:space="0" w:color="auto"/>
              <w:right w:val="single" w:sz="4" w:space="0" w:color="auto"/>
            </w:tcBorders>
            <w:shd w:val="clear" w:color="auto" w:fill="auto"/>
            <w:noWrap/>
            <w:vAlign w:val="bottom"/>
            <w:hideMark/>
          </w:tcPr>
          <w:p w14:paraId="18E4695B"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870 </w:t>
            </w:r>
          </w:p>
        </w:tc>
      </w:tr>
      <w:tr w:rsidR="00B025A5" w:rsidRPr="00B025A5" w14:paraId="71F65F92" w14:textId="77777777" w:rsidTr="006B5A62">
        <w:trPr>
          <w:trHeight w:val="29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5F3580BF"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Personal </w:t>
            </w:r>
          </w:p>
        </w:tc>
        <w:tc>
          <w:tcPr>
            <w:tcW w:w="4900" w:type="dxa"/>
            <w:tcBorders>
              <w:top w:val="nil"/>
              <w:left w:val="nil"/>
              <w:bottom w:val="single" w:sz="4" w:space="0" w:color="auto"/>
              <w:right w:val="single" w:sz="4" w:space="0" w:color="auto"/>
            </w:tcBorders>
            <w:shd w:val="clear" w:color="auto" w:fill="auto"/>
            <w:noWrap/>
            <w:vAlign w:val="bottom"/>
            <w:hideMark/>
          </w:tcPr>
          <w:p w14:paraId="2298F96A"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Subgerente de Relaciones Institucionales </w:t>
            </w:r>
          </w:p>
        </w:tc>
        <w:tc>
          <w:tcPr>
            <w:tcW w:w="1360" w:type="dxa"/>
            <w:tcBorders>
              <w:top w:val="nil"/>
              <w:left w:val="nil"/>
              <w:bottom w:val="single" w:sz="4" w:space="0" w:color="auto"/>
              <w:right w:val="single" w:sz="4" w:space="0" w:color="auto"/>
            </w:tcBorders>
            <w:shd w:val="clear" w:color="auto" w:fill="auto"/>
            <w:noWrap/>
            <w:vAlign w:val="bottom"/>
            <w:hideMark/>
          </w:tcPr>
          <w:p w14:paraId="61A52774"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96.092 </w:t>
            </w:r>
          </w:p>
        </w:tc>
        <w:tc>
          <w:tcPr>
            <w:tcW w:w="1220" w:type="dxa"/>
            <w:tcBorders>
              <w:top w:val="nil"/>
              <w:left w:val="nil"/>
              <w:bottom w:val="single" w:sz="4" w:space="0" w:color="auto"/>
              <w:right w:val="single" w:sz="4" w:space="0" w:color="auto"/>
            </w:tcBorders>
            <w:shd w:val="clear" w:color="auto" w:fill="auto"/>
            <w:noWrap/>
            <w:vAlign w:val="bottom"/>
            <w:hideMark/>
          </w:tcPr>
          <w:p w14:paraId="17E78614"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8.970 </w:t>
            </w:r>
          </w:p>
        </w:tc>
        <w:tc>
          <w:tcPr>
            <w:tcW w:w="1220" w:type="dxa"/>
            <w:tcBorders>
              <w:top w:val="nil"/>
              <w:left w:val="nil"/>
              <w:bottom w:val="single" w:sz="4" w:space="0" w:color="auto"/>
              <w:right w:val="single" w:sz="4" w:space="0" w:color="auto"/>
            </w:tcBorders>
            <w:shd w:val="clear" w:color="auto" w:fill="auto"/>
            <w:noWrap/>
            <w:vAlign w:val="bottom"/>
            <w:hideMark/>
          </w:tcPr>
          <w:p w14:paraId="280F6730"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3.668 </w:t>
            </w:r>
          </w:p>
        </w:tc>
      </w:tr>
      <w:tr w:rsidR="00B025A5" w:rsidRPr="00B025A5" w14:paraId="6CF2ADBF" w14:textId="77777777" w:rsidTr="006B5A62">
        <w:trPr>
          <w:trHeight w:val="29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13BD5AA7"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Personal </w:t>
            </w:r>
          </w:p>
        </w:tc>
        <w:tc>
          <w:tcPr>
            <w:tcW w:w="4900" w:type="dxa"/>
            <w:tcBorders>
              <w:top w:val="nil"/>
              <w:left w:val="nil"/>
              <w:bottom w:val="single" w:sz="4" w:space="0" w:color="auto"/>
              <w:right w:val="single" w:sz="4" w:space="0" w:color="auto"/>
            </w:tcBorders>
            <w:shd w:val="clear" w:color="auto" w:fill="auto"/>
            <w:noWrap/>
            <w:vAlign w:val="bottom"/>
            <w:hideMark/>
          </w:tcPr>
          <w:p w14:paraId="624B80D2"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Secretaria de Subgerencia Relaciones Institucionales </w:t>
            </w:r>
          </w:p>
        </w:tc>
        <w:tc>
          <w:tcPr>
            <w:tcW w:w="1360" w:type="dxa"/>
            <w:tcBorders>
              <w:top w:val="nil"/>
              <w:left w:val="nil"/>
              <w:bottom w:val="single" w:sz="4" w:space="0" w:color="auto"/>
              <w:right w:val="single" w:sz="4" w:space="0" w:color="auto"/>
            </w:tcBorders>
            <w:shd w:val="clear" w:color="auto" w:fill="auto"/>
            <w:noWrap/>
            <w:vAlign w:val="bottom"/>
            <w:hideMark/>
          </w:tcPr>
          <w:p w14:paraId="0599F56C"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23.971 </w:t>
            </w:r>
          </w:p>
        </w:tc>
        <w:tc>
          <w:tcPr>
            <w:tcW w:w="1220" w:type="dxa"/>
            <w:tcBorders>
              <w:top w:val="nil"/>
              <w:left w:val="nil"/>
              <w:bottom w:val="single" w:sz="4" w:space="0" w:color="auto"/>
              <w:right w:val="single" w:sz="4" w:space="0" w:color="auto"/>
            </w:tcBorders>
            <w:shd w:val="clear" w:color="auto" w:fill="auto"/>
            <w:noWrap/>
            <w:vAlign w:val="bottom"/>
            <w:hideMark/>
          </w:tcPr>
          <w:p w14:paraId="7E68F0BF"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2.421 </w:t>
            </w:r>
          </w:p>
        </w:tc>
        <w:tc>
          <w:tcPr>
            <w:tcW w:w="1220" w:type="dxa"/>
            <w:tcBorders>
              <w:top w:val="nil"/>
              <w:left w:val="nil"/>
              <w:bottom w:val="single" w:sz="4" w:space="0" w:color="auto"/>
              <w:right w:val="single" w:sz="4" w:space="0" w:color="auto"/>
            </w:tcBorders>
            <w:shd w:val="clear" w:color="auto" w:fill="auto"/>
            <w:noWrap/>
            <w:vAlign w:val="bottom"/>
            <w:hideMark/>
          </w:tcPr>
          <w:p w14:paraId="1AE8B84A"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2.079 </w:t>
            </w:r>
          </w:p>
        </w:tc>
      </w:tr>
      <w:tr w:rsidR="00B025A5" w:rsidRPr="00B025A5" w14:paraId="318DBAB5" w14:textId="77777777" w:rsidTr="006B5A62">
        <w:trPr>
          <w:trHeight w:val="29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35006170"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Area </w:t>
            </w:r>
          </w:p>
        </w:tc>
        <w:tc>
          <w:tcPr>
            <w:tcW w:w="4900" w:type="dxa"/>
            <w:tcBorders>
              <w:top w:val="nil"/>
              <w:left w:val="nil"/>
              <w:bottom w:val="single" w:sz="4" w:space="0" w:color="auto"/>
              <w:right w:val="single" w:sz="4" w:space="0" w:color="auto"/>
            </w:tcBorders>
            <w:shd w:val="clear" w:color="auto" w:fill="auto"/>
            <w:noWrap/>
            <w:vAlign w:val="bottom"/>
            <w:hideMark/>
          </w:tcPr>
          <w:p w14:paraId="6AA6D27D"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Subgerencia de Legales </w:t>
            </w:r>
          </w:p>
        </w:tc>
        <w:tc>
          <w:tcPr>
            <w:tcW w:w="1360" w:type="dxa"/>
            <w:tcBorders>
              <w:top w:val="nil"/>
              <w:left w:val="nil"/>
              <w:bottom w:val="single" w:sz="4" w:space="0" w:color="auto"/>
              <w:right w:val="single" w:sz="4" w:space="0" w:color="auto"/>
            </w:tcBorders>
            <w:shd w:val="clear" w:color="auto" w:fill="auto"/>
            <w:noWrap/>
            <w:vAlign w:val="bottom"/>
            <w:hideMark/>
          </w:tcPr>
          <w:p w14:paraId="1CE5E638"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   </w:t>
            </w:r>
          </w:p>
        </w:tc>
        <w:tc>
          <w:tcPr>
            <w:tcW w:w="1220" w:type="dxa"/>
            <w:tcBorders>
              <w:top w:val="nil"/>
              <w:left w:val="nil"/>
              <w:bottom w:val="single" w:sz="4" w:space="0" w:color="auto"/>
              <w:right w:val="single" w:sz="4" w:space="0" w:color="auto"/>
            </w:tcBorders>
            <w:shd w:val="clear" w:color="auto" w:fill="auto"/>
            <w:noWrap/>
            <w:vAlign w:val="bottom"/>
            <w:hideMark/>
          </w:tcPr>
          <w:p w14:paraId="3ABDBFE5"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21.302 </w:t>
            </w:r>
          </w:p>
        </w:tc>
        <w:tc>
          <w:tcPr>
            <w:tcW w:w="1220" w:type="dxa"/>
            <w:tcBorders>
              <w:top w:val="nil"/>
              <w:left w:val="nil"/>
              <w:bottom w:val="single" w:sz="4" w:space="0" w:color="auto"/>
              <w:right w:val="single" w:sz="4" w:space="0" w:color="auto"/>
            </w:tcBorders>
            <w:shd w:val="clear" w:color="auto" w:fill="auto"/>
            <w:noWrap/>
            <w:vAlign w:val="bottom"/>
            <w:hideMark/>
          </w:tcPr>
          <w:p w14:paraId="1C778DF5"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870 </w:t>
            </w:r>
          </w:p>
        </w:tc>
      </w:tr>
      <w:tr w:rsidR="00B025A5" w:rsidRPr="00B025A5" w14:paraId="15867F03" w14:textId="77777777" w:rsidTr="006B5A62">
        <w:trPr>
          <w:trHeight w:val="29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25408F44"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Personal </w:t>
            </w:r>
          </w:p>
        </w:tc>
        <w:tc>
          <w:tcPr>
            <w:tcW w:w="4900" w:type="dxa"/>
            <w:tcBorders>
              <w:top w:val="nil"/>
              <w:left w:val="nil"/>
              <w:bottom w:val="single" w:sz="4" w:space="0" w:color="auto"/>
              <w:right w:val="single" w:sz="4" w:space="0" w:color="auto"/>
            </w:tcBorders>
            <w:shd w:val="clear" w:color="auto" w:fill="auto"/>
            <w:noWrap/>
            <w:vAlign w:val="bottom"/>
            <w:hideMark/>
          </w:tcPr>
          <w:p w14:paraId="38C4F18E"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Subgerente de Legales </w:t>
            </w:r>
          </w:p>
        </w:tc>
        <w:tc>
          <w:tcPr>
            <w:tcW w:w="1360" w:type="dxa"/>
            <w:tcBorders>
              <w:top w:val="nil"/>
              <w:left w:val="nil"/>
              <w:bottom w:val="single" w:sz="4" w:space="0" w:color="auto"/>
              <w:right w:val="single" w:sz="4" w:space="0" w:color="auto"/>
            </w:tcBorders>
            <w:shd w:val="clear" w:color="auto" w:fill="auto"/>
            <w:noWrap/>
            <w:vAlign w:val="bottom"/>
            <w:hideMark/>
          </w:tcPr>
          <w:p w14:paraId="7673A3DB"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216.402 </w:t>
            </w:r>
          </w:p>
        </w:tc>
        <w:tc>
          <w:tcPr>
            <w:tcW w:w="1220" w:type="dxa"/>
            <w:tcBorders>
              <w:top w:val="nil"/>
              <w:left w:val="nil"/>
              <w:bottom w:val="single" w:sz="4" w:space="0" w:color="auto"/>
              <w:right w:val="single" w:sz="4" w:space="0" w:color="auto"/>
            </w:tcBorders>
            <w:shd w:val="clear" w:color="auto" w:fill="auto"/>
            <w:noWrap/>
            <w:vAlign w:val="bottom"/>
            <w:hideMark/>
          </w:tcPr>
          <w:p w14:paraId="4D620F81"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9.420 </w:t>
            </w:r>
          </w:p>
        </w:tc>
        <w:tc>
          <w:tcPr>
            <w:tcW w:w="1220" w:type="dxa"/>
            <w:tcBorders>
              <w:top w:val="nil"/>
              <w:left w:val="nil"/>
              <w:bottom w:val="single" w:sz="4" w:space="0" w:color="auto"/>
              <w:right w:val="single" w:sz="4" w:space="0" w:color="auto"/>
            </w:tcBorders>
            <w:shd w:val="clear" w:color="auto" w:fill="auto"/>
            <w:noWrap/>
            <w:vAlign w:val="bottom"/>
            <w:hideMark/>
          </w:tcPr>
          <w:p w14:paraId="45F9A6F2"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3.668 </w:t>
            </w:r>
          </w:p>
        </w:tc>
      </w:tr>
      <w:tr w:rsidR="00B025A5" w:rsidRPr="00B025A5" w14:paraId="549A45CA" w14:textId="77777777" w:rsidTr="006B5A62">
        <w:trPr>
          <w:trHeight w:val="29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63C35B8C"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Area </w:t>
            </w:r>
          </w:p>
        </w:tc>
        <w:tc>
          <w:tcPr>
            <w:tcW w:w="4900" w:type="dxa"/>
            <w:tcBorders>
              <w:top w:val="nil"/>
              <w:left w:val="nil"/>
              <w:bottom w:val="single" w:sz="4" w:space="0" w:color="auto"/>
              <w:right w:val="single" w:sz="4" w:space="0" w:color="auto"/>
            </w:tcBorders>
            <w:shd w:val="clear" w:color="auto" w:fill="auto"/>
            <w:noWrap/>
            <w:vAlign w:val="bottom"/>
            <w:hideMark/>
          </w:tcPr>
          <w:p w14:paraId="589BF24F"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Subgerencia de Recursos Humanos </w:t>
            </w:r>
          </w:p>
        </w:tc>
        <w:tc>
          <w:tcPr>
            <w:tcW w:w="1360" w:type="dxa"/>
            <w:tcBorders>
              <w:top w:val="nil"/>
              <w:left w:val="nil"/>
              <w:bottom w:val="single" w:sz="4" w:space="0" w:color="auto"/>
              <w:right w:val="single" w:sz="4" w:space="0" w:color="auto"/>
            </w:tcBorders>
            <w:shd w:val="clear" w:color="auto" w:fill="auto"/>
            <w:noWrap/>
            <w:vAlign w:val="bottom"/>
            <w:hideMark/>
          </w:tcPr>
          <w:p w14:paraId="71ABA27A"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   </w:t>
            </w:r>
          </w:p>
        </w:tc>
        <w:tc>
          <w:tcPr>
            <w:tcW w:w="1220" w:type="dxa"/>
            <w:tcBorders>
              <w:top w:val="nil"/>
              <w:left w:val="nil"/>
              <w:bottom w:val="single" w:sz="4" w:space="0" w:color="auto"/>
              <w:right w:val="single" w:sz="4" w:space="0" w:color="auto"/>
            </w:tcBorders>
            <w:shd w:val="clear" w:color="auto" w:fill="auto"/>
            <w:noWrap/>
            <w:vAlign w:val="bottom"/>
            <w:hideMark/>
          </w:tcPr>
          <w:p w14:paraId="60852418"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21.302 </w:t>
            </w:r>
          </w:p>
        </w:tc>
        <w:tc>
          <w:tcPr>
            <w:tcW w:w="1220" w:type="dxa"/>
            <w:tcBorders>
              <w:top w:val="nil"/>
              <w:left w:val="nil"/>
              <w:bottom w:val="single" w:sz="4" w:space="0" w:color="auto"/>
              <w:right w:val="single" w:sz="4" w:space="0" w:color="auto"/>
            </w:tcBorders>
            <w:shd w:val="clear" w:color="auto" w:fill="auto"/>
            <w:noWrap/>
            <w:vAlign w:val="bottom"/>
            <w:hideMark/>
          </w:tcPr>
          <w:p w14:paraId="6EC69DA2"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870 </w:t>
            </w:r>
          </w:p>
        </w:tc>
      </w:tr>
      <w:tr w:rsidR="00B025A5" w:rsidRPr="00B025A5" w14:paraId="311B6474" w14:textId="77777777" w:rsidTr="006B5A62">
        <w:trPr>
          <w:trHeight w:val="29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3D742C7A"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Personal </w:t>
            </w:r>
          </w:p>
        </w:tc>
        <w:tc>
          <w:tcPr>
            <w:tcW w:w="4900" w:type="dxa"/>
            <w:tcBorders>
              <w:top w:val="nil"/>
              <w:left w:val="nil"/>
              <w:bottom w:val="single" w:sz="4" w:space="0" w:color="auto"/>
              <w:right w:val="single" w:sz="4" w:space="0" w:color="auto"/>
            </w:tcBorders>
            <w:shd w:val="clear" w:color="auto" w:fill="auto"/>
            <w:noWrap/>
            <w:vAlign w:val="bottom"/>
            <w:hideMark/>
          </w:tcPr>
          <w:p w14:paraId="2CDB12D9"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Subgerente de Recursos Humanos </w:t>
            </w:r>
          </w:p>
        </w:tc>
        <w:tc>
          <w:tcPr>
            <w:tcW w:w="1360" w:type="dxa"/>
            <w:tcBorders>
              <w:top w:val="nil"/>
              <w:left w:val="nil"/>
              <w:bottom w:val="single" w:sz="4" w:space="0" w:color="auto"/>
              <w:right w:val="single" w:sz="4" w:space="0" w:color="auto"/>
            </w:tcBorders>
            <w:shd w:val="clear" w:color="auto" w:fill="auto"/>
            <w:noWrap/>
            <w:vAlign w:val="bottom"/>
            <w:hideMark/>
          </w:tcPr>
          <w:p w14:paraId="6B6ED018"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71.001 </w:t>
            </w:r>
          </w:p>
        </w:tc>
        <w:tc>
          <w:tcPr>
            <w:tcW w:w="1220" w:type="dxa"/>
            <w:tcBorders>
              <w:top w:val="nil"/>
              <w:left w:val="nil"/>
              <w:bottom w:val="single" w:sz="4" w:space="0" w:color="auto"/>
              <w:right w:val="single" w:sz="4" w:space="0" w:color="auto"/>
            </w:tcBorders>
            <w:shd w:val="clear" w:color="auto" w:fill="auto"/>
            <w:noWrap/>
            <w:vAlign w:val="bottom"/>
            <w:hideMark/>
          </w:tcPr>
          <w:p w14:paraId="15320A94"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8.970 </w:t>
            </w:r>
          </w:p>
        </w:tc>
        <w:tc>
          <w:tcPr>
            <w:tcW w:w="1220" w:type="dxa"/>
            <w:tcBorders>
              <w:top w:val="nil"/>
              <w:left w:val="nil"/>
              <w:bottom w:val="single" w:sz="4" w:space="0" w:color="auto"/>
              <w:right w:val="single" w:sz="4" w:space="0" w:color="auto"/>
            </w:tcBorders>
            <w:shd w:val="clear" w:color="auto" w:fill="auto"/>
            <w:noWrap/>
            <w:vAlign w:val="bottom"/>
            <w:hideMark/>
          </w:tcPr>
          <w:p w14:paraId="3BCC8BC9"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3.668 </w:t>
            </w:r>
          </w:p>
        </w:tc>
      </w:tr>
      <w:tr w:rsidR="00B025A5" w:rsidRPr="00B025A5" w14:paraId="16A31129" w14:textId="77777777" w:rsidTr="006B5A62">
        <w:trPr>
          <w:trHeight w:val="29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02E98618"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Personal </w:t>
            </w:r>
          </w:p>
        </w:tc>
        <w:tc>
          <w:tcPr>
            <w:tcW w:w="4900" w:type="dxa"/>
            <w:tcBorders>
              <w:top w:val="nil"/>
              <w:left w:val="nil"/>
              <w:bottom w:val="single" w:sz="4" w:space="0" w:color="auto"/>
              <w:right w:val="single" w:sz="4" w:space="0" w:color="auto"/>
            </w:tcBorders>
            <w:shd w:val="clear" w:color="auto" w:fill="auto"/>
            <w:noWrap/>
            <w:vAlign w:val="bottom"/>
            <w:hideMark/>
          </w:tcPr>
          <w:p w14:paraId="53C9F2ED"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Secretaria de Subgerencia de Recursos Humanos </w:t>
            </w:r>
          </w:p>
        </w:tc>
        <w:tc>
          <w:tcPr>
            <w:tcW w:w="1360" w:type="dxa"/>
            <w:tcBorders>
              <w:top w:val="nil"/>
              <w:left w:val="nil"/>
              <w:bottom w:val="single" w:sz="4" w:space="0" w:color="auto"/>
              <w:right w:val="single" w:sz="4" w:space="0" w:color="auto"/>
            </w:tcBorders>
            <w:shd w:val="clear" w:color="auto" w:fill="auto"/>
            <w:noWrap/>
            <w:vAlign w:val="bottom"/>
            <w:hideMark/>
          </w:tcPr>
          <w:p w14:paraId="05794E63"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23.971 </w:t>
            </w:r>
          </w:p>
        </w:tc>
        <w:tc>
          <w:tcPr>
            <w:tcW w:w="1220" w:type="dxa"/>
            <w:tcBorders>
              <w:top w:val="nil"/>
              <w:left w:val="nil"/>
              <w:bottom w:val="single" w:sz="4" w:space="0" w:color="auto"/>
              <w:right w:val="single" w:sz="4" w:space="0" w:color="auto"/>
            </w:tcBorders>
            <w:shd w:val="clear" w:color="auto" w:fill="auto"/>
            <w:noWrap/>
            <w:vAlign w:val="bottom"/>
            <w:hideMark/>
          </w:tcPr>
          <w:p w14:paraId="19C0DFBE"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2.421 </w:t>
            </w:r>
          </w:p>
        </w:tc>
        <w:tc>
          <w:tcPr>
            <w:tcW w:w="1220" w:type="dxa"/>
            <w:tcBorders>
              <w:top w:val="nil"/>
              <w:left w:val="nil"/>
              <w:bottom w:val="single" w:sz="4" w:space="0" w:color="auto"/>
              <w:right w:val="single" w:sz="4" w:space="0" w:color="auto"/>
            </w:tcBorders>
            <w:shd w:val="clear" w:color="auto" w:fill="auto"/>
            <w:noWrap/>
            <w:vAlign w:val="bottom"/>
            <w:hideMark/>
          </w:tcPr>
          <w:p w14:paraId="17544335"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2.079 </w:t>
            </w:r>
          </w:p>
        </w:tc>
      </w:tr>
      <w:tr w:rsidR="00B025A5" w:rsidRPr="00B025A5" w14:paraId="1B9B39AF" w14:textId="77777777" w:rsidTr="006B5A62">
        <w:trPr>
          <w:trHeight w:val="29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08D6219F"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Area </w:t>
            </w:r>
          </w:p>
        </w:tc>
        <w:tc>
          <w:tcPr>
            <w:tcW w:w="4900" w:type="dxa"/>
            <w:tcBorders>
              <w:top w:val="nil"/>
              <w:left w:val="nil"/>
              <w:bottom w:val="single" w:sz="4" w:space="0" w:color="auto"/>
              <w:right w:val="single" w:sz="4" w:space="0" w:color="auto"/>
            </w:tcBorders>
            <w:shd w:val="clear" w:color="auto" w:fill="auto"/>
            <w:noWrap/>
            <w:vAlign w:val="bottom"/>
            <w:hideMark/>
          </w:tcPr>
          <w:p w14:paraId="19D48E6E"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Departamento Administración del Personal </w:t>
            </w:r>
          </w:p>
        </w:tc>
        <w:tc>
          <w:tcPr>
            <w:tcW w:w="1360" w:type="dxa"/>
            <w:tcBorders>
              <w:top w:val="nil"/>
              <w:left w:val="nil"/>
              <w:bottom w:val="single" w:sz="4" w:space="0" w:color="auto"/>
              <w:right w:val="single" w:sz="4" w:space="0" w:color="auto"/>
            </w:tcBorders>
            <w:shd w:val="clear" w:color="auto" w:fill="auto"/>
            <w:noWrap/>
            <w:vAlign w:val="bottom"/>
            <w:hideMark/>
          </w:tcPr>
          <w:p w14:paraId="0A68D83F"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   </w:t>
            </w:r>
          </w:p>
        </w:tc>
        <w:tc>
          <w:tcPr>
            <w:tcW w:w="1220" w:type="dxa"/>
            <w:tcBorders>
              <w:top w:val="nil"/>
              <w:left w:val="nil"/>
              <w:bottom w:val="single" w:sz="4" w:space="0" w:color="auto"/>
              <w:right w:val="single" w:sz="4" w:space="0" w:color="auto"/>
            </w:tcBorders>
            <w:shd w:val="clear" w:color="auto" w:fill="auto"/>
            <w:noWrap/>
            <w:vAlign w:val="bottom"/>
            <w:hideMark/>
          </w:tcPr>
          <w:p w14:paraId="733CAAE5"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235 </w:t>
            </w:r>
          </w:p>
        </w:tc>
        <w:tc>
          <w:tcPr>
            <w:tcW w:w="1220" w:type="dxa"/>
            <w:tcBorders>
              <w:top w:val="nil"/>
              <w:left w:val="nil"/>
              <w:bottom w:val="single" w:sz="4" w:space="0" w:color="auto"/>
              <w:right w:val="single" w:sz="4" w:space="0" w:color="auto"/>
            </w:tcBorders>
            <w:shd w:val="clear" w:color="auto" w:fill="auto"/>
            <w:noWrap/>
            <w:vAlign w:val="bottom"/>
            <w:hideMark/>
          </w:tcPr>
          <w:p w14:paraId="7975145D"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794 </w:t>
            </w:r>
          </w:p>
        </w:tc>
      </w:tr>
      <w:tr w:rsidR="00B025A5" w:rsidRPr="00B025A5" w14:paraId="6938FA98" w14:textId="77777777" w:rsidTr="006B5A62">
        <w:trPr>
          <w:trHeight w:val="29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2D00B8D4"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Personal </w:t>
            </w:r>
          </w:p>
        </w:tc>
        <w:tc>
          <w:tcPr>
            <w:tcW w:w="4900" w:type="dxa"/>
            <w:tcBorders>
              <w:top w:val="nil"/>
              <w:left w:val="nil"/>
              <w:bottom w:val="single" w:sz="4" w:space="0" w:color="auto"/>
              <w:right w:val="single" w:sz="4" w:space="0" w:color="auto"/>
            </w:tcBorders>
            <w:shd w:val="clear" w:color="auto" w:fill="auto"/>
            <w:noWrap/>
            <w:vAlign w:val="bottom"/>
            <w:hideMark/>
          </w:tcPr>
          <w:p w14:paraId="0FBF7715"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Jefe Departamento Administración del Personal </w:t>
            </w:r>
          </w:p>
        </w:tc>
        <w:tc>
          <w:tcPr>
            <w:tcW w:w="1360" w:type="dxa"/>
            <w:tcBorders>
              <w:top w:val="nil"/>
              <w:left w:val="nil"/>
              <w:bottom w:val="single" w:sz="4" w:space="0" w:color="auto"/>
              <w:right w:val="single" w:sz="4" w:space="0" w:color="auto"/>
            </w:tcBorders>
            <w:shd w:val="clear" w:color="auto" w:fill="auto"/>
            <w:noWrap/>
            <w:vAlign w:val="bottom"/>
            <w:hideMark/>
          </w:tcPr>
          <w:p w14:paraId="3F4820D8"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115.050 </w:t>
            </w:r>
          </w:p>
        </w:tc>
        <w:tc>
          <w:tcPr>
            <w:tcW w:w="1220" w:type="dxa"/>
            <w:tcBorders>
              <w:top w:val="nil"/>
              <w:left w:val="nil"/>
              <w:bottom w:val="single" w:sz="4" w:space="0" w:color="auto"/>
              <w:right w:val="single" w:sz="4" w:space="0" w:color="auto"/>
            </w:tcBorders>
            <w:shd w:val="clear" w:color="auto" w:fill="auto"/>
            <w:noWrap/>
            <w:vAlign w:val="bottom"/>
            <w:hideMark/>
          </w:tcPr>
          <w:p w14:paraId="4D20CB7F"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8.081 </w:t>
            </w:r>
          </w:p>
        </w:tc>
        <w:tc>
          <w:tcPr>
            <w:tcW w:w="1220" w:type="dxa"/>
            <w:tcBorders>
              <w:top w:val="nil"/>
              <w:left w:val="nil"/>
              <w:bottom w:val="single" w:sz="4" w:space="0" w:color="auto"/>
              <w:right w:val="single" w:sz="4" w:space="0" w:color="auto"/>
            </w:tcBorders>
            <w:shd w:val="clear" w:color="auto" w:fill="auto"/>
            <w:noWrap/>
            <w:vAlign w:val="bottom"/>
            <w:hideMark/>
          </w:tcPr>
          <w:p w14:paraId="7E2B967B"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2.327 </w:t>
            </w:r>
          </w:p>
        </w:tc>
      </w:tr>
      <w:tr w:rsidR="00B025A5" w:rsidRPr="00B025A5" w14:paraId="12E56093" w14:textId="77777777" w:rsidTr="006B5A62">
        <w:trPr>
          <w:trHeight w:val="29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49F29A78"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lastRenderedPageBreak/>
              <w:t xml:space="preserve"> Personal </w:t>
            </w:r>
          </w:p>
        </w:tc>
        <w:tc>
          <w:tcPr>
            <w:tcW w:w="4900" w:type="dxa"/>
            <w:tcBorders>
              <w:top w:val="nil"/>
              <w:left w:val="nil"/>
              <w:bottom w:val="single" w:sz="4" w:space="0" w:color="auto"/>
              <w:right w:val="single" w:sz="4" w:space="0" w:color="auto"/>
            </w:tcBorders>
            <w:shd w:val="clear" w:color="auto" w:fill="auto"/>
            <w:noWrap/>
            <w:vAlign w:val="bottom"/>
            <w:hideMark/>
          </w:tcPr>
          <w:p w14:paraId="7B1CD418"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Analista de remuneraciones </w:t>
            </w:r>
          </w:p>
        </w:tc>
        <w:tc>
          <w:tcPr>
            <w:tcW w:w="1360" w:type="dxa"/>
            <w:tcBorders>
              <w:top w:val="nil"/>
              <w:left w:val="nil"/>
              <w:bottom w:val="single" w:sz="4" w:space="0" w:color="auto"/>
              <w:right w:val="single" w:sz="4" w:space="0" w:color="auto"/>
            </w:tcBorders>
            <w:shd w:val="clear" w:color="auto" w:fill="auto"/>
            <w:noWrap/>
            <w:vAlign w:val="bottom"/>
            <w:hideMark/>
          </w:tcPr>
          <w:p w14:paraId="1C018924"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37.517 </w:t>
            </w:r>
          </w:p>
        </w:tc>
        <w:tc>
          <w:tcPr>
            <w:tcW w:w="1220" w:type="dxa"/>
            <w:tcBorders>
              <w:top w:val="nil"/>
              <w:left w:val="nil"/>
              <w:bottom w:val="single" w:sz="4" w:space="0" w:color="auto"/>
              <w:right w:val="single" w:sz="4" w:space="0" w:color="auto"/>
            </w:tcBorders>
            <w:shd w:val="clear" w:color="auto" w:fill="auto"/>
            <w:noWrap/>
            <w:vAlign w:val="bottom"/>
            <w:hideMark/>
          </w:tcPr>
          <w:p w14:paraId="01F6FDA1"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2.421 </w:t>
            </w:r>
          </w:p>
        </w:tc>
        <w:tc>
          <w:tcPr>
            <w:tcW w:w="1220" w:type="dxa"/>
            <w:tcBorders>
              <w:top w:val="nil"/>
              <w:left w:val="nil"/>
              <w:bottom w:val="single" w:sz="4" w:space="0" w:color="auto"/>
              <w:right w:val="single" w:sz="4" w:space="0" w:color="auto"/>
            </w:tcBorders>
            <w:shd w:val="clear" w:color="auto" w:fill="auto"/>
            <w:noWrap/>
            <w:vAlign w:val="bottom"/>
            <w:hideMark/>
          </w:tcPr>
          <w:p w14:paraId="7B6CAAE7"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2.079 </w:t>
            </w:r>
          </w:p>
        </w:tc>
      </w:tr>
      <w:tr w:rsidR="00B025A5" w:rsidRPr="00B025A5" w14:paraId="29D2C25F" w14:textId="77777777" w:rsidTr="006B5A62">
        <w:trPr>
          <w:trHeight w:val="29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04B6AD2A"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Personal </w:t>
            </w:r>
          </w:p>
        </w:tc>
        <w:tc>
          <w:tcPr>
            <w:tcW w:w="4900" w:type="dxa"/>
            <w:tcBorders>
              <w:top w:val="nil"/>
              <w:left w:val="nil"/>
              <w:bottom w:val="single" w:sz="4" w:space="0" w:color="auto"/>
              <w:right w:val="single" w:sz="4" w:space="0" w:color="auto"/>
            </w:tcBorders>
            <w:shd w:val="clear" w:color="auto" w:fill="auto"/>
            <w:noWrap/>
            <w:vAlign w:val="bottom"/>
            <w:hideMark/>
          </w:tcPr>
          <w:p w14:paraId="6F1DDBDA"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Analista de Selección y desarrollo del personal </w:t>
            </w:r>
          </w:p>
        </w:tc>
        <w:tc>
          <w:tcPr>
            <w:tcW w:w="1360" w:type="dxa"/>
            <w:tcBorders>
              <w:top w:val="nil"/>
              <w:left w:val="nil"/>
              <w:bottom w:val="single" w:sz="4" w:space="0" w:color="auto"/>
              <w:right w:val="single" w:sz="4" w:space="0" w:color="auto"/>
            </w:tcBorders>
            <w:shd w:val="clear" w:color="auto" w:fill="auto"/>
            <w:noWrap/>
            <w:vAlign w:val="bottom"/>
            <w:hideMark/>
          </w:tcPr>
          <w:p w14:paraId="678831DB"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54.151 </w:t>
            </w:r>
          </w:p>
        </w:tc>
        <w:tc>
          <w:tcPr>
            <w:tcW w:w="1220" w:type="dxa"/>
            <w:tcBorders>
              <w:top w:val="nil"/>
              <w:left w:val="nil"/>
              <w:bottom w:val="single" w:sz="4" w:space="0" w:color="auto"/>
              <w:right w:val="single" w:sz="4" w:space="0" w:color="auto"/>
            </w:tcBorders>
            <w:shd w:val="clear" w:color="auto" w:fill="auto"/>
            <w:noWrap/>
            <w:vAlign w:val="bottom"/>
            <w:hideMark/>
          </w:tcPr>
          <w:p w14:paraId="6EED7B8B"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2.421 </w:t>
            </w:r>
          </w:p>
        </w:tc>
        <w:tc>
          <w:tcPr>
            <w:tcW w:w="1220" w:type="dxa"/>
            <w:tcBorders>
              <w:top w:val="nil"/>
              <w:left w:val="nil"/>
              <w:bottom w:val="single" w:sz="4" w:space="0" w:color="auto"/>
              <w:right w:val="single" w:sz="4" w:space="0" w:color="auto"/>
            </w:tcBorders>
            <w:shd w:val="clear" w:color="auto" w:fill="auto"/>
            <w:noWrap/>
            <w:vAlign w:val="bottom"/>
            <w:hideMark/>
          </w:tcPr>
          <w:p w14:paraId="27A96D4C"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2.079 </w:t>
            </w:r>
          </w:p>
        </w:tc>
      </w:tr>
      <w:tr w:rsidR="00B025A5" w:rsidRPr="00B025A5" w14:paraId="43AD4015" w14:textId="77777777" w:rsidTr="006B5A62">
        <w:trPr>
          <w:trHeight w:val="29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15776E1D"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Area </w:t>
            </w:r>
          </w:p>
        </w:tc>
        <w:tc>
          <w:tcPr>
            <w:tcW w:w="4900" w:type="dxa"/>
            <w:tcBorders>
              <w:top w:val="nil"/>
              <w:left w:val="nil"/>
              <w:bottom w:val="single" w:sz="4" w:space="0" w:color="auto"/>
              <w:right w:val="single" w:sz="4" w:space="0" w:color="auto"/>
            </w:tcBorders>
            <w:shd w:val="clear" w:color="auto" w:fill="auto"/>
            <w:noWrap/>
            <w:vAlign w:val="bottom"/>
            <w:hideMark/>
          </w:tcPr>
          <w:p w14:paraId="21C7F979"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Gerencia de Administración y Finanzas </w:t>
            </w:r>
          </w:p>
        </w:tc>
        <w:tc>
          <w:tcPr>
            <w:tcW w:w="1360" w:type="dxa"/>
            <w:tcBorders>
              <w:top w:val="nil"/>
              <w:left w:val="nil"/>
              <w:bottom w:val="single" w:sz="4" w:space="0" w:color="auto"/>
              <w:right w:val="single" w:sz="4" w:space="0" w:color="auto"/>
            </w:tcBorders>
            <w:shd w:val="clear" w:color="auto" w:fill="auto"/>
            <w:noWrap/>
            <w:vAlign w:val="bottom"/>
            <w:hideMark/>
          </w:tcPr>
          <w:p w14:paraId="0FBA4D82"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   </w:t>
            </w:r>
          </w:p>
        </w:tc>
        <w:tc>
          <w:tcPr>
            <w:tcW w:w="1220" w:type="dxa"/>
            <w:tcBorders>
              <w:top w:val="nil"/>
              <w:left w:val="nil"/>
              <w:bottom w:val="single" w:sz="4" w:space="0" w:color="auto"/>
              <w:right w:val="single" w:sz="4" w:space="0" w:color="auto"/>
            </w:tcBorders>
            <w:shd w:val="clear" w:color="auto" w:fill="auto"/>
            <w:noWrap/>
            <w:vAlign w:val="bottom"/>
            <w:hideMark/>
          </w:tcPr>
          <w:p w14:paraId="793C30B1"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21.302 </w:t>
            </w:r>
          </w:p>
        </w:tc>
        <w:tc>
          <w:tcPr>
            <w:tcW w:w="1220" w:type="dxa"/>
            <w:tcBorders>
              <w:top w:val="nil"/>
              <w:left w:val="nil"/>
              <w:bottom w:val="single" w:sz="4" w:space="0" w:color="auto"/>
              <w:right w:val="single" w:sz="4" w:space="0" w:color="auto"/>
            </w:tcBorders>
            <w:shd w:val="clear" w:color="auto" w:fill="auto"/>
            <w:noWrap/>
            <w:vAlign w:val="bottom"/>
            <w:hideMark/>
          </w:tcPr>
          <w:p w14:paraId="1524E68C"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870 </w:t>
            </w:r>
          </w:p>
        </w:tc>
      </w:tr>
      <w:tr w:rsidR="00B025A5" w:rsidRPr="00B025A5" w14:paraId="737F545D" w14:textId="77777777" w:rsidTr="006B5A62">
        <w:trPr>
          <w:trHeight w:val="29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68803A72"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Personal </w:t>
            </w:r>
          </w:p>
        </w:tc>
        <w:tc>
          <w:tcPr>
            <w:tcW w:w="4900" w:type="dxa"/>
            <w:tcBorders>
              <w:top w:val="nil"/>
              <w:left w:val="nil"/>
              <w:bottom w:val="single" w:sz="4" w:space="0" w:color="auto"/>
              <w:right w:val="single" w:sz="4" w:space="0" w:color="auto"/>
            </w:tcBorders>
            <w:shd w:val="clear" w:color="auto" w:fill="auto"/>
            <w:noWrap/>
            <w:vAlign w:val="bottom"/>
            <w:hideMark/>
          </w:tcPr>
          <w:p w14:paraId="1A4F18EF"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Gerente de Administración y Finanzas </w:t>
            </w:r>
          </w:p>
        </w:tc>
        <w:tc>
          <w:tcPr>
            <w:tcW w:w="1360" w:type="dxa"/>
            <w:tcBorders>
              <w:top w:val="nil"/>
              <w:left w:val="nil"/>
              <w:bottom w:val="single" w:sz="4" w:space="0" w:color="auto"/>
              <w:right w:val="single" w:sz="4" w:space="0" w:color="auto"/>
            </w:tcBorders>
            <w:shd w:val="clear" w:color="auto" w:fill="auto"/>
            <w:noWrap/>
            <w:vAlign w:val="bottom"/>
            <w:hideMark/>
          </w:tcPr>
          <w:p w14:paraId="677C436B"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202.289 </w:t>
            </w:r>
          </w:p>
        </w:tc>
        <w:tc>
          <w:tcPr>
            <w:tcW w:w="1220" w:type="dxa"/>
            <w:tcBorders>
              <w:top w:val="nil"/>
              <w:left w:val="nil"/>
              <w:bottom w:val="single" w:sz="4" w:space="0" w:color="auto"/>
              <w:right w:val="single" w:sz="4" w:space="0" w:color="auto"/>
            </w:tcBorders>
            <w:shd w:val="clear" w:color="auto" w:fill="auto"/>
            <w:noWrap/>
            <w:vAlign w:val="bottom"/>
            <w:hideMark/>
          </w:tcPr>
          <w:p w14:paraId="25333B5C"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8.970 </w:t>
            </w:r>
          </w:p>
        </w:tc>
        <w:tc>
          <w:tcPr>
            <w:tcW w:w="1220" w:type="dxa"/>
            <w:tcBorders>
              <w:top w:val="nil"/>
              <w:left w:val="nil"/>
              <w:bottom w:val="single" w:sz="4" w:space="0" w:color="auto"/>
              <w:right w:val="single" w:sz="4" w:space="0" w:color="auto"/>
            </w:tcBorders>
            <w:shd w:val="clear" w:color="auto" w:fill="auto"/>
            <w:noWrap/>
            <w:vAlign w:val="bottom"/>
            <w:hideMark/>
          </w:tcPr>
          <w:p w14:paraId="397909F2"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3.668 </w:t>
            </w:r>
          </w:p>
        </w:tc>
      </w:tr>
      <w:tr w:rsidR="00B025A5" w:rsidRPr="00B025A5" w14:paraId="4181AFA4" w14:textId="77777777" w:rsidTr="006B5A62">
        <w:trPr>
          <w:trHeight w:val="29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76D4709D"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Personal </w:t>
            </w:r>
          </w:p>
        </w:tc>
        <w:tc>
          <w:tcPr>
            <w:tcW w:w="4900" w:type="dxa"/>
            <w:tcBorders>
              <w:top w:val="nil"/>
              <w:left w:val="nil"/>
              <w:bottom w:val="single" w:sz="4" w:space="0" w:color="auto"/>
              <w:right w:val="single" w:sz="4" w:space="0" w:color="auto"/>
            </w:tcBorders>
            <w:shd w:val="clear" w:color="auto" w:fill="auto"/>
            <w:noWrap/>
            <w:vAlign w:val="bottom"/>
            <w:hideMark/>
          </w:tcPr>
          <w:p w14:paraId="4EF12867"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Secretaria de Gerencia de Administración y Finanzas </w:t>
            </w:r>
          </w:p>
        </w:tc>
        <w:tc>
          <w:tcPr>
            <w:tcW w:w="1360" w:type="dxa"/>
            <w:tcBorders>
              <w:top w:val="nil"/>
              <w:left w:val="nil"/>
              <w:bottom w:val="single" w:sz="4" w:space="0" w:color="auto"/>
              <w:right w:val="single" w:sz="4" w:space="0" w:color="auto"/>
            </w:tcBorders>
            <w:shd w:val="clear" w:color="auto" w:fill="auto"/>
            <w:noWrap/>
            <w:vAlign w:val="bottom"/>
            <w:hideMark/>
          </w:tcPr>
          <w:p w14:paraId="14A7CA84"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23.971 </w:t>
            </w:r>
          </w:p>
        </w:tc>
        <w:tc>
          <w:tcPr>
            <w:tcW w:w="1220" w:type="dxa"/>
            <w:tcBorders>
              <w:top w:val="nil"/>
              <w:left w:val="nil"/>
              <w:bottom w:val="single" w:sz="4" w:space="0" w:color="auto"/>
              <w:right w:val="single" w:sz="4" w:space="0" w:color="auto"/>
            </w:tcBorders>
            <w:shd w:val="clear" w:color="auto" w:fill="auto"/>
            <w:noWrap/>
            <w:vAlign w:val="bottom"/>
            <w:hideMark/>
          </w:tcPr>
          <w:p w14:paraId="0410EE4B"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2.421 </w:t>
            </w:r>
          </w:p>
        </w:tc>
        <w:tc>
          <w:tcPr>
            <w:tcW w:w="1220" w:type="dxa"/>
            <w:tcBorders>
              <w:top w:val="nil"/>
              <w:left w:val="nil"/>
              <w:bottom w:val="single" w:sz="4" w:space="0" w:color="auto"/>
              <w:right w:val="single" w:sz="4" w:space="0" w:color="auto"/>
            </w:tcBorders>
            <w:shd w:val="clear" w:color="auto" w:fill="auto"/>
            <w:noWrap/>
            <w:vAlign w:val="bottom"/>
            <w:hideMark/>
          </w:tcPr>
          <w:p w14:paraId="1892598A"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2.079 </w:t>
            </w:r>
          </w:p>
        </w:tc>
      </w:tr>
      <w:tr w:rsidR="00B025A5" w:rsidRPr="00B025A5" w14:paraId="6E5ECF1D" w14:textId="77777777" w:rsidTr="006B5A62">
        <w:trPr>
          <w:trHeight w:val="29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273BFC5F"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Area </w:t>
            </w:r>
          </w:p>
        </w:tc>
        <w:tc>
          <w:tcPr>
            <w:tcW w:w="4900" w:type="dxa"/>
            <w:tcBorders>
              <w:top w:val="nil"/>
              <w:left w:val="nil"/>
              <w:bottom w:val="single" w:sz="4" w:space="0" w:color="auto"/>
              <w:right w:val="single" w:sz="4" w:space="0" w:color="auto"/>
            </w:tcBorders>
            <w:shd w:val="clear" w:color="auto" w:fill="auto"/>
            <w:noWrap/>
            <w:vAlign w:val="bottom"/>
            <w:hideMark/>
          </w:tcPr>
          <w:p w14:paraId="434DA187"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Departamento Contabilidad </w:t>
            </w:r>
          </w:p>
        </w:tc>
        <w:tc>
          <w:tcPr>
            <w:tcW w:w="1360" w:type="dxa"/>
            <w:tcBorders>
              <w:top w:val="nil"/>
              <w:left w:val="nil"/>
              <w:bottom w:val="single" w:sz="4" w:space="0" w:color="auto"/>
              <w:right w:val="single" w:sz="4" w:space="0" w:color="auto"/>
            </w:tcBorders>
            <w:shd w:val="clear" w:color="auto" w:fill="auto"/>
            <w:noWrap/>
            <w:vAlign w:val="bottom"/>
            <w:hideMark/>
          </w:tcPr>
          <w:p w14:paraId="143A89CB"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   </w:t>
            </w:r>
          </w:p>
        </w:tc>
        <w:tc>
          <w:tcPr>
            <w:tcW w:w="1220" w:type="dxa"/>
            <w:tcBorders>
              <w:top w:val="nil"/>
              <w:left w:val="nil"/>
              <w:bottom w:val="single" w:sz="4" w:space="0" w:color="auto"/>
              <w:right w:val="single" w:sz="4" w:space="0" w:color="auto"/>
            </w:tcBorders>
            <w:shd w:val="clear" w:color="auto" w:fill="auto"/>
            <w:noWrap/>
            <w:vAlign w:val="bottom"/>
            <w:hideMark/>
          </w:tcPr>
          <w:p w14:paraId="24C4EABE"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235 </w:t>
            </w:r>
          </w:p>
        </w:tc>
        <w:tc>
          <w:tcPr>
            <w:tcW w:w="1220" w:type="dxa"/>
            <w:tcBorders>
              <w:top w:val="nil"/>
              <w:left w:val="nil"/>
              <w:bottom w:val="single" w:sz="4" w:space="0" w:color="auto"/>
              <w:right w:val="single" w:sz="4" w:space="0" w:color="auto"/>
            </w:tcBorders>
            <w:shd w:val="clear" w:color="auto" w:fill="auto"/>
            <w:noWrap/>
            <w:vAlign w:val="bottom"/>
            <w:hideMark/>
          </w:tcPr>
          <w:p w14:paraId="316E4521"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794 </w:t>
            </w:r>
          </w:p>
        </w:tc>
      </w:tr>
      <w:tr w:rsidR="00B025A5" w:rsidRPr="00B025A5" w14:paraId="3B72540D" w14:textId="77777777" w:rsidTr="006B5A62">
        <w:trPr>
          <w:trHeight w:val="29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463C7A5B"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Personal </w:t>
            </w:r>
          </w:p>
        </w:tc>
        <w:tc>
          <w:tcPr>
            <w:tcW w:w="4900" w:type="dxa"/>
            <w:tcBorders>
              <w:top w:val="nil"/>
              <w:left w:val="nil"/>
              <w:bottom w:val="single" w:sz="4" w:space="0" w:color="auto"/>
              <w:right w:val="single" w:sz="4" w:space="0" w:color="auto"/>
            </w:tcBorders>
            <w:shd w:val="clear" w:color="auto" w:fill="auto"/>
            <w:noWrap/>
            <w:vAlign w:val="bottom"/>
            <w:hideMark/>
          </w:tcPr>
          <w:p w14:paraId="192EC16A"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Contador General </w:t>
            </w:r>
          </w:p>
        </w:tc>
        <w:tc>
          <w:tcPr>
            <w:tcW w:w="1360" w:type="dxa"/>
            <w:tcBorders>
              <w:top w:val="nil"/>
              <w:left w:val="nil"/>
              <w:bottom w:val="single" w:sz="4" w:space="0" w:color="auto"/>
              <w:right w:val="single" w:sz="4" w:space="0" w:color="auto"/>
            </w:tcBorders>
            <w:shd w:val="clear" w:color="auto" w:fill="auto"/>
            <w:noWrap/>
            <w:vAlign w:val="bottom"/>
            <w:hideMark/>
          </w:tcPr>
          <w:p w14:paraId="31BEB682"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58.522 </w:t>
            </w:r>
          </w:p>
        </w:tc>
        <w:tc>
          <w:tcPr>
            <w:tcW w:w="1220" w:type="dxa"/>
            <w:tcBorders>
              <w:top w:val="nil"/>
              <w:left w:val="nil"/>
              <w:bottom w:val="single" w:sz="4" w:space="0" w:color="auto"/>
              <w:right w:val="single" w:sz="4" w:space="0" w:color="auto"/>
            </w:tcBorders>
            <w:shd w:val="clear" w:color="auto" w:fill="auto"/>
            <w:noWrap/>
            <w:vAlign w:val="bottom"/>
            <w:hideMark/>
          </w:tcPr>
          <w:p w14:paraId="7C6C5923"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3.081 </w:t>
            </w:r>
          </w:p>
        </w:tc>
        <w:tc>
          <w:tcPr>
            <w:tcW w:w="1220" w:type="dxa"/>
            <w:tcBorders>
              <w:top w:val="nil"/>
              <w:left w:val="nil"/>
              <w:bottom w:val="single" w:sz="4" w:space="0" w:color="auto"/>
              <w:right w:val="single" w:sz="4" w:space="0" w:color="auto"/>
            </w:tcBorders>
            <w:shd w:val="clear" w:color="auto" w:fill="auto"/>
            <w:noWrap/>
            <w:vAlign w:val="bottom"/>
            <w:hideMark/>
          </w:tcPr>
          <w:p w14:paraId="63A49198"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2.295 </w:t>
            </w:r>
          </w:p>
        </w:tc>
      </w:tr>
      <w:tr w:rsidR="00B025A5" w:rsidRPr="00B025A5" w14:paraId="51AFE411" w14:textId="77777777" w:rsidTr="006B5A62">
        <w:trPr>
          <w:trHeight w:val="29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2C0F5CC7"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Personal </w:t>
            </w:r>
          </w:p>
        </w:tc>
        <w:tc>
          <w:tcPr>
            <w:tcW w:w="4900" w:type="dxa"/>
            <w:tcBorders>
              <w:top w:val="nil"/>
              <w:left w:val="nil"/>
              <w:bottom w:val="single" w:sz="4" w:space="0" w:color="auto"/>
              <w:right w:val="single" w:sz="4" w:space="0" w:color="auto"/>
            </w:tcBorders>
            <w:shd w:val="clear" w:color="auto" w:fill="auto"/>
            <w:noWrap/>
            <w:vAlign w:val="bottom"/>
            <w:hideMark/>
          </w:tcPr>
          <w:p w14:paraId="646700E7"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Analista contable </w:t>
            </w:r>
          </w:p>
        </w:tc>
        <w:tc>
          <w:tcPr>
            <w:tcW w:w="1360" w:type="dxa"/>
            <w:tcBorders>
              <w:top w:val="nil"/>
              <w:left w:val="nil"/>
              <w:bottom w:val="single" w:sz="4" w:space="0" w:color="auto"/>
              <w:right w:val="single" w:sz="4" w:space="0" w:color="auto"/>
            </w:tcBorders>
            <w:shd w:val="clear" w:color="auto" w:fill="auto"/>
            <w:noWrap/>
            <w:vAlign w:val="bottom"/>
            <w:hideMark/>
          </w:tcPr>
          <w:p w14:paraId="5E9A8A1D"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25.180 </w:t>
            </w:r>
          </w:p>
        </w:tc>
        <w:tc>
          <w:tcPr>
            <w:tcW w:w="1220" w:type="dxa"/>
            <w:tcBorders>
              <w:top w:val="nil"/>
              <w:left w:val="nil"/>
              <w:bottom w:val="single" w:sz="4" w:space="0" w:color="auto"/>
              <w:right w:val="single" w:sz="4" w:space="0" w:color="auto"/>
            </w:tcBorders>
            <w:shd w:val="clear" w:color="auto" w:fill="auto"/>
            <w:noWrap/>
            <w:vAlign w:val="bottom"/>
            <w:hideMark/>
          </w:tcPr>
          <w:p w14:paraId="69B15F76"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2.421 </w:t>
            </w:r>
          </w:p>
        </w:tc>
        <w:tc>
          <w:tcPr>
            <w:tcW w:w="1220" w:type="dxa"/>
            <w:tcBorders>
              <w:top w:val="nil"/>
              <w:left w:val="nil"/>
              <w:bottom w:val="single" w:sz="4" w:space="0" w:color="auto"/>
              <w:right w:val="single" w:sz="4" w:space="0" w:color="auto"/>
            </w:tcBorders>
            <w:shd w:val="clear" w:color="auto" w:fill="auto"/>
            <w:noWrap/>
            <w:vAlign w:val="bottom"/>
            <w:hideMark/>
          </w:tcPr>
          <w:p w14:paraId="54A82568"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2.079 </w:t>
            </w:r>
          </w:p>
        </w:tc>
      </w:tr>
      <w:tr w:rsidR="00B025A5" w:rsidRPr="00B025A5" w14:paraId="10D6AEE2" w14:textId="77777777" w:rsidTr="006B5A62">
        <w:trPr>
          <w:trHeight w:val="29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63CD3F7C"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Personal </w:t>
            </w:r>
          </w:p>
        </w:tc>
        <w:tc>
          <w:tcPr>
            <w:tcW w:w="4900" w:type="dxa"/>
            <w:tcBorders>
              <w:top w:val="nil"/>
              <w:left w:val="nil"/>
              <w:bottom w:val="single" w:sz="4" w:space="0" w:color="auto"/>
              <w:right w:val="single" w:sz="4" w:space="0" w:color="auto"/>
            </w:tcBorders>
            <w:shd w:val="clear" w:color="auto" w:fill="auto"/>
            <w:noWrap/>
            <w:vAlign w:val="bottom"/>
            <w:hideMark/>
          </w:tcPr>
          <w:p w14:paraId="540953AF"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Analista de Activo Fijo y Seguros </w:t>
            </w:r>
          </w:p>
        </w:tc>
        <w:tc>
          <w:tcPr>
            <w:tcW w:w="1360" w:type="dxa"/>
            <w:tcBorders>
              <w:top w:val="nil"/>
              <w:left w:val="nil"/>
              <w:bottom w:val="single" w:sz="4" w:space="0" w:color="auto"/>
              <w:right w:val="single" w:sz="4" w:space="0" w:color="auto"/>
            </w:tcBorders>
            <w:shd w:val="clear" w:color="auto" w:fill="auto"/>
            <w:noWrap/>
            <w:vAlign w:val="bottom"/>
            <w:hideMark/>
          </w:tcPr>
          <w:p w14:paraId="04DC4009"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47.730 </w:t>
            </w:r>
          </w:p>
        </w:tc>
        <w:tc>
          <w:tcPr>
            <w:tcW w:w="1220" w:type="dxa"/>
            <w:tcBorders>
              <w:top w:val="nil"/>
              <w:left w:val="nil"/>
              <w:bottom w:val="single" w:sz="4" w:space="0" w:color="auto"/>
              <w:right w:val="single" w:sz="4" w:space="0" w:color="auto"/>
            </w:tcBorders>
            <w:shd w:val="clear" w:color="auto" w:fill="auto"/>
            <w:noWrap/>
            <w:vAlign w:val="bottom"/>
            <w:hideMark/>
          </w:tcPr>
          <w:p w14:paraId="10915C7C"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2.421 </w:t>
            </w:r>
          </w:p>
        </w:tc>
        <w:tc>
          <w:tcPr>
            <w:tcW w:w="1220" w:type="dxa"/>
            <w:tcBorders>
              <w:top w:val="nil"/>
              <w:left w:val="nil"/>
              <w:bottom w:val="single" w:sz="4" w:space="0" w:color="auto"/>
              <w:right w:val="single" w:sz="4" w:space="0" w:color="auto"/>
            </w:tcBorders>
            <w:shd w:val="clear" w:color="auto" w:fill="auto"/>
            <w:noWrap/>
            <w:vAlign w:val="bottom"/>
            <w:hideMark/>
          </w:tcPr>
          <w:p w14:paraId="3395B1E7"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2.079 </w:t>
            </w:r>
          </w:p>
        </w:tc>
      </w:tr>
      <w:tr w:rsidR="00B025A5" w:rsidRPr="00B025A5" w14:paraId="3DCB91F6" w14:textId="77777777" w:rsidTr="006B5A62">
        <w:trPr>
          <w:trHeight w:val="29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16FFBDEA"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Personal </w:t>
            </w:r>
          </w:p>
        </w:tc>
        <w:tc>
          <w:tcPr>
            <w:tcW w:w="4900" w:type="dxa"/>
            <w:tcBorders>
              <w:top w:val="nil"/>
              <w:left w:val="nil"/>
              <w:bottom w:val="single" w:sz="4" w:space="0" w:color="auto"/>
              <w:right w:val="single" w:sz="4" w:space="0" w:color="auto"/>
            </w:tcBorders>
            <w:shd w:val="clear" w:color="auto" w:fill="auto"/>
            <w:noWrap/>
            <w:vAlign w:val="bottom"/>
            <w:hideMark/>
          </w:tcPr>
          <w:p w14:paraId="6C257B1E"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Analista de impuestos </w:t>
            </w:r>
          </w:p>
        </w:tc>
        <w:tc>
          <w:tcPr>
            <w:tcW w:w="1360" w:type="dxa"/>
            <w:tcBorders>
              <w:top w:val="nil"/>
              <w:left w:val="nil"/>
              <w:bottom w:val="single" w:sz="4" w:space="0" w:color="auto"/>
              <w:right w:val="single" w:sz="4" w:space="0" w:color="auto"/>
            </w:tcBorders>
            <w:shd w:val="clear" w:color="auto" w:fill="auto"/>
            <w:noWrap/>
            <w:vAlign w:val="bottom"/>
            <w:hideMark/>
          </w:tcPr>
          <w:p w14:paraId="74F1282E"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44.059 </w:t>
            </w:r>
          </w:p>
        </w:tc>
        <w:tc>
          <w:tcPr>
            <w:tcW w:w="1220" w:type="dxa"/>
            <w:tcBorders>
              <w:top w:val="nil"/>
              <w:left w:val="nil"/>
              <w:bottom w:val="single" w:sz="4" w:space="0" w:color="auto"/>
              <w:right w:val="single" w:sz="4" w:space="0" w:color="auto"/>
            </w:tcBorders>
            <w:shd w:val="clear" w:color="auto" w:fill="auto"/>
            <w:noWrap/>
            <w:vAlign w:val="bottom"/>
            <w:hideMark/>
          </w:tcPr>
          <w:p w14:paraId="629F5755"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2.421 </w:t>
            </w:r>
          </w:p>
        </w:tc>
        <w:tc>
          <w:tcPr>
            <w:tcW w:w="1220" w:type="dxa"/>
            <w:tcBorders>
              <w:top w:val="nil"/>
              <w:left w:val="nil"/>
              <w:bottom w:val="single" w:sz="4" w:space="0" w:color="auto"/>
              <w:right w:val="single" w:sz="4" w:space="0" w:color="auto"/>
            </w:tcBorders>
            <w:shd w:val="clear" w:color="auto" w:fill="auto"/>
            <w:noWrap/>
            <w:vAlign w:val="bottom"/>
            <w:hideMark/>
          </w:tcPr>
          <w:p w14:paraId="15E64401"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2.079 </w:t>
            </w:r>
          </w:p>
        </w:tc>
      </w:tr>
      <w:tr w:rsidR="00B025A5" w:rsidRPr="00B025A5" w14:paraId="0E1ADABD" w14:textId="77777777" w:rsidTr="006B5A62">
        <w:trPr>
          <w:trHeight w:val="29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45AB5BAA"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Area </w:t>
            </w:r>
          </w:p>
        </w:tc>
        <w:tc>
          <w:tcPr>
            <w:tcW w:w="4900" w:type="dxa"/>
            <w:tcBorders>
              <w:top w:val="nil"/>
              <w:left w:val="nil"/>
              <w:bottom w:val="single" w:sz="4" w:space="0" w:color="auto"/>
              <w:right w:val="single" w:sz="4" w:space="0" w:color="auto"/>
            </w:tcBorders>
            <w:shd w:val="clear" w:color="auto" w:fill="auto"/>
            <w:noWrap/>
            <w:vAlign w:val="bottom"/>
            <w:hideMark/>
          </w:tcPr>
          <w:p w14:paraId="59E865AB"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Departamento Finanzas </w:t>
            </w:r>
          </w:p>
        </w:tc>
        <w:tc>
          <w:tcPr>
            <w:tcW w:w="1360" w:type="dxa"/>
            <w:tcBorders>
              <w:top w:val="nil"/>
              <w:left w:val="nil"/>
              <w:bottom w:val="single" w:sz="4" w:space="0" w:color="auto"/>
              <w:right w:val="single" w:sz="4" w:space="0" w:color="auto"/>
            </w:tcBorders>
            <w:shd w:val="clear" w:color="auto" w:fill="auto"/>
            <w:noWrap/>
            <w:vAlign w:val="bottom"/>
            <w:hideMark/>
          </w:tcPr>
          <w:p w14:paraId="439133F4"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   </w:t>
            </w:r>
          </w:p>
        </w:tc>
        <w:tc>
          <w:tcPr>
            <w:tcW w:w="1220" w:type="dxa"/>
            <w:tcBorders>
              <w:top w:val="nil"/>
              <w:left w:val="nil"/>
              <w:bottom w:val="single" w:sz="4" w:space="0" w:color="auto"/>
              <w:right w:val="single" w:sz="4" w:space="0" w:color="auto"/>
            </w:tcBorders>
            <w:shd w:val="clear" w:color="auto" w:fill="auto"/>
            <w:noWrap/>
            <w:vAlign w:val="bottom"/>
            <w:hideMark/>
          </w:tcPr>
          <w:p w14:paraId="3482E185"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235 </w:t>
            </w:r>
          </w:p>
        </w:tc>
        <w:tc>
          <w:tcPr>
            <w:tcW w:w="1220" w:type="dxa"/>
            <w:tcBorders>
              <w:top w:val="nil"/>
              <w:left w:val="nil"/>
              <w:bottom w:val="single" w:sz="4" w:space="0" w:color="auto"/>
              <w:right w:val="single" w:sz="4" w:space="0" w:color="auto"/>
            </w:tcBorders>
            <w:shd w:val="clear" w:color="auto" w:fill="auto"/>
            <w:noWrap/>
            <w:vAlign w:val="bottom"/>
            <w:hideMark/>
          </w:tcPr>
          <w:p w14:paraId="1C1288E8"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794 </w:t>
            </w:r>
          </w:p>
        </w:tc>
      </w:tr>
      <w:tr w:rsidR="00B025A5" w:rsidRPr="00B025A5" w14:paraId="039C37D9" w14:textId="77777777" w:rsidTr="006B5A62">
        <w:trPr>
          <w:trHeight w:val="29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37464FD0"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Personal </w:t>
            </w:r>
          </w:p>
        </w:tc>
        <w:tc>
          <w:tcPr>
            <w:tcW w:w="4900" w:type="dxa"/>
            <w:tcBorders>
              <w:top w:val="nil"/>
              <w:left w:val="nil"/>
              <w:bottom w:val="single" w:sz="4" w:space="0" w:color="auto"/>
              <w:right w:val="single" w:sz="4" w:space="0" w:color="auto"/>
            </w:tcBorders>
            <w:shd w:val="clear" w:color="auto" w:fill="auto"/>
            <w:noWrap/>
            <w:vAlign w:val="bottom"/>
            <w:hideMark/>
          </w:tcPr>
          <w:p w14:paraId="1F70BF86"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Jefe de Departamento de Finanzas </w:t>
            </w:r>
          </w:p>
        </w:tc>
        <w:tc>
          <w:tcPr>
            <w:tcW w:w="1360" w:type="dxa"/>
            <w:tcBorders>
              <w:top w:val="nil"/>
              <w:left w:val="nil"/>
              <w:bottom w:val="single" w:sz="4" w:space="0" w:color="auto"/>
              <w:right w:val="single" w:sz="4" w:space="0" w:color="auto"/>
            </w:tcBorders>
            <w:shd w:val="clear" w:color="auto" w:fill="auto"/>
            <w:noWrap/>
            <w:vAlign w:val="bottom"/>
            <w:hideMark/>
          </w:tcPr>
          <w:p w14:paraId="43702CCE"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58.658 </w:t>
            </w:r>
          </w:p>
        </w:tc>
        <w:tc>
          <w:tcPr>
            <w:tcW w:w="1220" w:type="dxa"/>
            <w:tcBorders>
              <w:top w:val="nil"/>
              <w:left w:val="nil"/>
              <w:bottom w:val="single" w:sz="4" w:space="0" w:color="auto"/>
              <w:right w:val="single" w:sz="4" w:space="0" w:color="auto"/>
            </w:tcBorders>
            <w:shd w:val="clear" w:color="auto" w:fill="auto"/>
            <w:noWrap/>
            <w:vAlign w:val="bottom"/>
            <w:hideMark/>
          </w:tcPr>
          <w:p w14:paraId="4173AC5C"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8.081 </w:t>
            </w:r>
          </w:p>
        </w:tc>
        <w:tc>
          <w:tcPr>
            <w:tcW w:w="1220" w:type="dxa"/>
            <w:tcBorders>
              <w:top w:val="nil"/>
              <w:left w:val="nil"/>
              <w:bottom w:val="single" w:sz="4" w:space="0" w:color="auto"/>
              <w:right w:val="single" w:sz="4" w:space="0" w:color="auto"/>
            </w:tcBorders>
            <w:shd w:val="clear" w:color="auto" w:fill="auto"/>
            <w:noWrap/>
            <w:vAlign w:val="bottom"/>
            <w:hideMark/>
          </w:tcPr>
          <w:p w14:paraId="0DA810E1"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2.327 </w:t>
            </w:r>
          </w:p>
        </w:tc>
      </w:tr>
      <w:tr w:rsidR="00B025A5" w:rsidRPr="00B025A5" w14:paraId="6B1EB9BD" w14:textId="77777777" w:rsidTr="006B5A62">
        <w:trPr>
          <w:trHeight w:val="29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1B172479"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Personal </w:t>
            </w:r>
          </w:p>
        </w:tc>
        <w:tc>
          <w:tcPr>
            <w:tcW w:w="4900" w:type="dxa"/>
            <w:tcBorders>
              <w:top w:val="nil"/>
              <w:left w:val="nil"/>
              <w:bottom w:val="single" w:sz="4" w:space="0" w:color="auto"/>
              <w:right w:val="single" w:sz="4" w:space="0" w:color="auto"/>
            </w:tcBorders>
            <w:shd w:val="clear" w:color="auto" w:fill="auto"/>
            <w:noWrap/>
            <w:vAlign w:val="bottom"/>
            <w:hideMark/>
          </w:tcPr>
          <w:p w14:paraId="61DF08FA"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Tesorero </w:t>
            </w:r>
          </w:p>
        </w:tc>
        <w:tc>
          <w:tcPr>
            <w:tcW w:w="1360" w:type="dxa"/>
            <w:tcBorders>
              <w:top w:val="nil"/>
              <w:left w:val="nil"/>
              <w:bottom w:val="single" w:sz="4" w:space="0" w:color="auto"/>
              <w:right w:val="single" w:sz="4" w:space="0" w:color="auto"/>
            </w:tcBorders>
            <w:shd w:val="clear" w:color="auto" w:fill="auto"/>
            <w:noWrap/>
            <w:vAlign w:val="bottom"/>
            <w:hideMark/>
          </w:tcPr>
          <w:p w14:paraId="4468428D"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70.494 </w:t>
            </w:r>
          </w:p>
        </w:tc>
        <w:tc>
          <w:tcPr>
            <w:tcW w:w="1220" w:type="dxa"/>
            <w:tcBorders>
              <w:top w:val="nil"/>
              <w:left w:val="nil"/>
              <w:bottom w:val="single" w:sz="4" w:space="0" w:color="auto"/>
              <w:right w:val="single" w:sz="4" w:space="0" w:color="auto"/>
            </w:tcBorders>
            <w:shd w:val="clear" w:color="auto" w:fill="auto"/>
            <w:noWrap/>
            <w:vAlign w:val="bottom"/>
            <w:hideMark/>
          </w:tcPr>
          <w:p w14:paraId="6ECDEBFE"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2.421 </w:t>
            </w:r>
          </w:p>
        </w:tc>
        <w:tc>
          <w:tcPr>
            <w:tcW w:w="1220" w:type="dxa"/>
            <w:tcBorders>
              <w:top w:val="nil"/>
              <w:left w:val="nil"/>
              <w:bottom w:val="single" w:sz="4" w:space="0" w:color="auto"/>
              <w:right w:val="single" w:sz="4" w:space="0" w:color="auto"/>
            </w:tcBorders>
            <w:shd w:val="clear" w:color="auto" w:fill="auto"/>
            <w:noWrap/>
            <w:vAlign w:val="bottom"/>
            <w:hideMark/>
          </w:tcPr>
          <w:p w14:paraId="6CE36821"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2.079 </w:t>
            </w:r>
          </w:p>
        </w:tc>
      </w:tr>
      <w:tr w:rsidR="00B025A5" w:rsidRPr="00B025A5" w14:paraId="4D1AA061" w14:textId="77777777" w:rsidTr="006B5A62">
        <w:trPr>
          <w:trHeight w:val="29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14C87C54"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Personal </w:t>
            </w:r>
          </w:p>
        </w:tc>
        <w:tc>
          <w:tcPr>
            <w:tcW w:w="4900" w:type="dxa"/>
            <w:tcBorders>
              <w:top w:val="nil"/>
              <w:left w:val="nil"/>
              <w:bottom w:val="single" w:sz="4" w:space="0" w:color="auto"/>
              <w:right w:val="single" w:sz="4" w:space="0" w:color="auto"/>
            </w:tcBorders>
            <w:shd w:val="clear" w:color="auto" w:fill="auto"/>
            <w:noWrap/>
            <w:vAlign w:val="bottom"/>
            <w:hideMark/>
          </w:tcPr>
          <w:p w14:paraId="6A564EF2"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Analista de finanzas </w:t>
            </w:r>
          </w:p>
        </w:tc>
        <w:tc>
          <w:tcPr>
            <w:tcW w:w="1360" w:type="dxa"/>
            <w:tcBorders>
              <w:top w:val="nil"/>
              <w:left w:val="nil"/>
              <w:bottom w:val="single" w:sz="4" w:space="0" w:color="auto"/>
              <w:right w:val="single" w:sz="4" w:space="0" w:color="auto"/>
            </w:tcBorders>
            <w:shd w:val="clear" w:color="auto" w:fill="auto"/>
            <w:noWrap/>
            <w:vAlign w:val="bottom"/>
            <w:hideMark/>
          </w:tcPr>
          <w:p w14:paraId="0C1F8F1B"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49.053 </w:t>
            </w:r>
          </w:p>
        </w:tc>
        <w:tc>
          <w:tcPr>
            <w:tcW w:w="1220" w:type="dxa"/>
            <w:tcBorders>
              <w:top w:val="nil"/>
              <w:left w:val="nil"/>
              <w:bottom w:val="single" w:sz="4" w:space="0" w:color="auto"/>
              <w:right w:val="single" w:sz="4" w:space="0" w:color="auto"/>
            </w:tcBorders>
            <w:shd w:val="clear" w:color="auto" w:fill="auto"/>
            <w:noWrap/>
            <w:vAlign w:val="bottom"/>
            <w:hideMark/>
          </w:tcPr>
          <w:p w14:paraId="31C1B595"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2.421 </w:t>
            </w:r>
          </w:p>
        </w:tc>
        <w:tc>
          <w:tcPr>
            <w:tcW w:w="1220" w:type="dxa"/>
            <w:tcBorders>
              <w:top w:val="nil"/>
              <w:left w:val="nil"/>
              <w:bottom w:val="single" w:sz="4" w:space="0" w:color="auto"/>
              <w:right w:val="single" w:sz="4" w:space="0" w:color="auto"/>
            </w:tcBorders>
            <w:shd w:val="clear" w:color="auto" w:fill="auto"/>
            <w:noWrap/>
            <w:vAlign w:val="bottom"/>
            <w:hideMark/>
          </w:tcPr>
          <w:p w14:paraId="6F5FE680"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2.079 </w:t>
            </w:r>
          </w:p>
        </w:tc>
      </w:tr>
      <w:tr w:rsidR="00B025A5" w:rsidRPr="00B025A5" w14:paraId="72083E58" w14:textId="77777777" w:rsidTr="006B5A62">
        <w:trPr>
          <w:trHeight w:val="29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11878807"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Area </w:t>
            </w:r>
          </w:p>
        </w:tc>
        <w:tc>
          <w:tcPr>
            <w:tcW w:w="4900" w:type="dxa"/>
            <w:tcBorders>
              <w:top w:val="nil"/>
              <w:left w:val="nil"/>
              <w:bottom w:val="single" w:sz="4" w:space="0" w:color="auto"/>
              <w:right w:val="single" w:sz="4" w:space="0" w:color="auto"/>
            </w:tcBorders>
            <w:shd w:val="clear" w:color="auto" w:fill="auto"/>
            <w:noWrap/>
            <w:vAlign w:val="bottom"/>
            <w:hideMark/>
          </w:tcPr>
          <w:p w14:paraId="177A1F68"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Departamento Sistemas </w:t>
            </w:r>
          </w:p>
        </w:tc>
        <w:tc>
          <w:tcPr>
            <w:tcW w:w="1360" w:type="dxa"/>
            <w:tcBorders>
              <w:top w:val="nil"/>
              <w:left w:val="nil"/>
              <w:bottom w:val="single" w:sz="4" w:space="0" w:color="auto"/>
              <w:right w:val="single" w:sz="4" w:space="0" w:color="auto"/>
            </w:tcBorders>
            <w:shd w:val="clear" w:color="auto" w:fill="auto"/>
            <w:noWrap/>
            <w:vAlign w:val="bottom"/>
            <w:hideMark/>
          </w:tcPr>
          <w:p w14:paraId="4313885C"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   </w:t>
            </w:r>
          </w:p>
        </w:tc>
        <w:tc>
          <w:tcPr>
            <w:tcW w:w="1220" w:type="dxa"/>
            <w:tcBorders>
              <w:top w:val="nil"/>
              <w:left w:val="nil"/>
              <w:bottom w:val="single" w:sz="4" w:space="0" w:color="auto"/>
              <w:right w:val="single" w:sz="4" w:space="0" w:color="auto"/>
            </w:tcBorders>
            <w:shd w:val="clear" w:color="auto" w:fill="auto"/>
            <w:noWrap/>
            <w:vAlign w:val="bottom"/>
            <w:hideMark/>
          </w:tcPr>
          <w:p w14:paraId="5F63185F"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235 </w:t>
            </w:r>
          </w:p>
        </w:tc>
        <w:tc>
          <w:tcPr>
            <w:tcW w:w="1220" w:type="dxa"/>
            <w:tcBorders>
              <w:top w:val="nil"/>
              <w:left w:val="nil"/>
              <w:bottom w:val="single" w:sz="4" w:space="0" w:color="auto"/>
              <w:right w:val="single" w:sz="4" w:space="0" w:color="auto"/>
            </w:tcBorders>
            <w:shd w:val="clear" w:color="auto" w:fill="auto"/>
            <w:noWrap/>
            <w:vAlign w:val="bottom"/>
            <w:hideMark/>
          </w:tcPr>
          <w:p w14:paraId="77AAE460"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794 </w:t>
            </w:r>
          </w:p>
        </w:tc>
      </w:tr>
      <w:tr w:rsidR="00B025A5" w:rsidRPr="00B025A5" w14:paraId="32424F8D" w14:textId="77777777" w:rsidTr="006B5A62">
        <w:trPr>
          <w:trHeight w:val="29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414C9F65"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Personal </w:t>
            </w:r>
          </w:p>
        </w:tc>
        <w:tc>
          <w:tcPr>
            <w:tcW w:w="4900" w:type="dxa"/>
            <w:tcBorders>
              <w:top w:val="nil"/>
              <w:left w:val="nil"/>
              <w:bottom w:val="single" w:sz="4" w:space="0" w:color="auto"/>
              <w:right w:val="single" w:sz="4" w:space="0" w:color="auto"/>
            </w:tcBorders>
            <w:shd w:val="clear" w:color="auto" w:fill="auto"/>
            <w:noWrap/>
            <w:vAlign w:val="bottom"/>
            <w:hideMark/>
          </w:tcPr>
          <w:p w14:paraId="338BAF0C"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Jefe de Departamento de Sistemas </w:t>
            </w:r>
          </w:p>
        </w:tc>
        <w:tc>
          <w:tcPr>
            <w:tcW w:w="1360" w:type="dxa"/>
            <w:tcBorders>
              <w:top w:val="nil"/>
              <w:left w:val="nil"/>
              <w:bottom w:val="single" w:sz="4" w:space="0" w:color="auto"/>
              <w:right w:val="single" w:sz="4" w:space="0" w:color="auto"/>
            </w:tcBorders>
            <w:shd w:val="clear" w:color="auto" w:fill="auto"/>
            <w:noWrap/>
            <w:vAlign w:val="bottom"/>
            <w:hideMark/>
          </w:tcPr>
          <w:p w14:paraId="10C73288"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83.457 </w:t>
            </w:r>
          </w:p>
        </w:tc>
        <w:tc>
          <w:tcPr>
            <w:tcW w:w="1220" w:type="dxa"/>
            <w:tcBorders>
              <w:top w:val="nil"/>
              <w:left w:val="nil"/>
              <w:bottom w:val="single" w:sz="4" w:space="0" w:color="auto"/>
              <w:right w:val="single" w:sz="4" w:space="0" w:color="auto"/>
            </w:tcBorders>
            <w:shd w:val="clear" w:color="auto" w:fill="auto"/>
            <w:noWrap/>
            <w:vAlign w:val="bottom"/>
            <w:hideMark/>
          </w:tcPr>
          <w:p w14:paraId="44EA56B6"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8.081 </w:t>
            </w:r>
          </w:p>
        </w:tc>
        <w:tc>
          <w:tcPr>
            <w:tcW w:w="1220" w:type="dxa"/>
            <w:tcBorders>
              <w:top w:val="nil"/>
              <w:left w:val="nil"/>
              <w:bottom w:val="single" w:sz="4" w:space="0" w:color="auto"/>
              <w:right w:val="single" w:sz="4" w:space="0" w:color="auto"/>
            </w:tcBorders>
            <w:shd w:val="clear" w:color="auto" w:fill="auto"/>
            <w:noWrap/>
            <w:vAlign w:val="bottom"/>
            <w:hideMark/>
          </w:tcPr>
          <w:p w14:paraId="6D0D4CA5"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2.327 </w:t>
            </w:r>
          </w:p>
        </w:tc>
      </w:tr>
      <w:tr w:rsidR="00B025A5" w:rsidRPr="00B025A5" w14:paraId="30C8B72D" w14:textId="77777777" w:rsidTr="006B5A62">
        <w:trPr>
          <w:trHeight w:val="29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34F2A692"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Personal </w:t>
            </w:r>
          </w:p>
        </w:tc>
        <w:tc>
          <w:tcPr>
            <w:tcW w:w="4900" w:type="dxa"/>
            <w:tcBorders>
              <w:top w:val="nil"/>
              <w:left w:val="nil"/>
              <w:bottom w:val="single" w:sz="4" w:space="0" w:color="auto"/>
              <w:right w:val="single" w:sz="4" w:space="0" w:color="auto"/>
            </w:tcBorders>
            <w:shd w:val="clear" w:color="auto" w:fill="auto"/>
            <w:noWrap/>
            <w:vAlign w:val="bottom"/>
            <w:hideMark/>
          </w:tcPr>
          <w:p w14:paraId="5BECFA6A"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Analista de aplicaciones Administrativas </w:t>
            </w:r>
          </w:p>
        </w:tc>
        <w:tc>
          <w:tcPr>
            <w:tcW w:w="1360" w:type="dxa"/>
            <w:tcBorders>
              <w:top w:val="nil"/>
              <w:left w:val="nil"/>
              <w:bottom w:val="single" w:sz="4" w:space="0" w:color="auto"/>
              <w:right w:val="single" w:sz="4" w:space="0" w:color="auto"/>
            </w:tcBorders>
            <w:shd w:val="clear" w:color="auto" w:fill="auto"/>
            <w:noWrap/>
            <w:vAlign w:val="bottom"/>
            <w:hideMark/>
          </w:tcPr>
          <w:p w14:paraId="2D4FAA5F"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47.778 </w:t>
            </w:r>
          </w:p>
        </w:tc>
        <w:tc>
          <w:tcPr>
            <w:tcW w:w="1220" w:type="dxa"/>
            <w:tcBorders>
              <w:top w:val="nil"/>
              <w:left w:val="nil"/>
              <w:bottom w:val="single" w:sz="4" w:space="0" w:color="auto"/>
              <w:right w:val="single" w:sz="4" w:space="0" w:color="auto"/>
            </w:tcBorders>
            <w:shd w:val="clear" w:color="auto" w:fill="auto"/>
            <w:noWrap/>
            <w:vAlign w:val="bottom"/>
            <w:hideMark/>
          </w:tcPr>
          <w:p w14:paraId="6447CDA2"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2.421 </w:t>
            </w:r>
          </w:p>
        </w:tc>
        <w:tc>
          <w:tcPr>
            <w:tcW w:w="1220" w:type="dxa"/>
            <w:tcBorders>
              <w:top w:val="nil"/>
              <w:left w:val="nil"/>
              <w:bottom w:val="single" w:sz="4" w:space="0" w:color="auto"/>
              <w:right w:val="single" w:sz="4" w:space="0" w:color="auto"/>
            </w:tcBorders>
            <w:shd w:val="clear" w:color="auto" w:fill="auto"/>
            <w:noWrap/>
            <w:vAlign w:val="bottom"/>
            <w:hideMark/>
          </w:tcPr>
          <w:p w14:paraId="31A8B8DD"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2.079 </w:t>
            </w:r>
          </w:p>
        </w:tc>
      </w:tr>
      <w:tr w:rsidR="00B025A5" w:rsidRPr="00B025A5" w14:paraId="1F2B67F0" w14:textId="77777777" w:rsidTr="006B5A62">
        <w:trPr>
          <w:trHeight w:val="29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1F27F85D"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Personal </w:t>
            </w:r>
          </w:p>
        </w:tc>
        <w:tc>
          <w:tcPr>
            <w:tcW w:w="4900" w:type="dxa"/>
            <w:tcBorders>
              <w:top w:val="nil"/>
              <w:left w:val="nil"/>
              <w:bottom w:val="single" w:sz="4" w:space="0" w:color="auto"/>
              <w:right w:val="single" w:sz="4" w:space="0" w:color="auto"/>
            </w:tcBorders>
            <w:shd w:val="clear" w:color="auto" w:fill="auto"/>
            <w:noWrap/>
            <w:vAlign w:val="bottom"/>
            <w:hideMark/>
          </w:tcPr>
          <w:p w14:paraId="5B6FD868"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Analista de aplicaciones Técnicas </w:t>
            </w:r>
          </w:p>
        </w:tc>
        <w:tc>
          <w:tcPr>
            <w:tcW w:w="1360" w:type="dxa"/>
            <w:tcBorders>
              <w:top w:val="nil"/>
              <w:left w:val="nil"/>
              <w:bottom w:val="single" w:sz="4" w:space="0" w:color="auto"/>
              <w:right w:val="single" w:sz="4" w:space="0" w:color="auto"/>
            </w:tcBorders>
            <w:shd w:val="clear" w:color="auto" w:fill="auto"/>
            <w:noWrap/>
            <w:vAlign w:val="bottom"/>
            <w:hideMark/>
          </w:tcPr>
          <w:p w14:paraId="6CCDF8B4"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47.778 </w:t>
            </w:r>
          </w:p>
        </w:tc>
        <w:tc>
          <w:tcPr>
            <w:tcW w:w="1220" w:type="dxa"/>
            <w:tcBorders>
              <w:top w:val="nil"/>
              <w:left w:val="nil"/>
              <w:bottom w:val="single" w:sz="4" w:space="0" w:color="auto"/>
              <w:right w:val="single" w:sz="4" w:space="0" w:color="auto"/>
            </w:tcBorders>
            <w:shd w:val="clear" w:color="auto" w:fill="auto"/>
            <w:noWrap/>
            <w:vAlign w:val="bottom"/>
            <w:hideMark/>
          </w:tcPr>
          <w:p w14:paraId="34CAF2F3"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2.421 </w:t>
            </w:r>
          </w:p>
        </w:tc>
        <w:tc>
          <w:tcPr>
            <w:tcW w:w="1220" w:type="dxa"/>
            <w:tcBorders>
              <w:top w:val="nil"/>
              <w:left w:val="nil"/>
              <w:bottom w:val="single" w:sz="4" w:space="0" w:color="auto"/>
              <w:right w:val="single" w:sz="4" w:space="0" w:color="auto"/>
            </w:tcBorders>
            <w:shd w:val="clear" w:color="auto" w:fill="auto"/>
            <w:noWrap/>
            <w:vAlign w:val="bottom"/>
            <w:hideMark/>
          </w:tcPr>
          <w:p w14:paraId="68D71AC8"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2.079 </w:t>
            </w:r>
          </w:p>
        </w:tc>
      </w:tr>
      <w:tr w:rsidR="00B025A5" w:rsidRPr="00B025A5" w14:paraId="1205F1C9" w14:textId="77777777" w:rsidTr="006B5A62">
        <w:trPr>
          <w:trHeight w:val="29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5F3F30A3"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Personal </w:t>
            </w:r>
          </w:p>
        </w:tc>
        <w:tc>
          <w:tcPr>
            <w:tcW w:w="4900" w:type="dxa"/>
            <w:tcBorders>
              <w:top w:val="nil"/>
              <w:left w:val="nil"/>
              <w:bottom w:val="single" w:sz="4" w:space="0" w:color="auto"/>
              <w:right w:val="single" w:sz="4" w:space="0" w:color="auto"/>
            </w:tcBorders>
            <w:shd w:val="clear" w:color="auto" w:fill="auto"/>
            <w:noWrap/>
            <w:vAlign w:val="bottom"/>
            <w:hideMark/>
          </w:tcPr>
          <w:p w14:paraId="1639BDE0"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Técnico de Hardware y Soporte Microinformático </w:t>
            </w:r>
          </w:p>
        </w:tc>
        <w:tc>
          <w:tcPr>
            <w:tcW w:w="1360" w:type="dxa"/>
            <w:tcBorders>
              <w:top w:val="nil"/>
              <w:left w:val="nil"/>
              <w:bottom w:val="single" w:sz="4" w:space="0" w:color="auto"/>
              <w:right w:val="single" w:sz="4" w:space="0" w:color="auto"/>
            </w:tcBorders>
            <w:shd w:val="clear" w:color="auto" w:fill="auto"/>
            <w:noWrap/>
            <w:vAlign w:val="bottom"/>
            <w:hideMark/>
          </w:tcPr>
          <w:p w14:paraId="4035F9FD"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56.614 </w:t>
            </w:r>
          </w:p>
        </w:tc>
        <w:tc>
          <w:tcPr>
            <w:tcW w:w="1220" w:type="dxa"/>
            <w:tcBorders>
              <w:top w:val="nil"/>
              <w:left w:val="nil"/>
              <w:bottom w:val="single" w:sz="4" w:space="0" w:color="auto"/>
              <w:right w:val="single" w:sz="4" w:space="0" w:color="auto"/>
            </w:tcBorders>
            <w:shd w:val="clear" w:color="auto" w:fill="auto"/>
            <w:noWrap/>
            <w:vAlign w:val="bottom"/>
            <w:hideMark/>
          </w:tcPr>
          <w:p w14:paraId="71C440EA"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8.614 </w:t>
            </w:r>
          </w:p>
        </w:tc>
        <w:tc>
          <w:tcPr>
            <w:tcW w:w="1220" w:type="dxa"/>
            <w:tcBorders>
              <w:top w:val="nil"/>
              <w:left w:val="nil"/>
              <w:bottom w:val="single" w:sz="4" w:space="0" w:color="auto"/>
              <w:right w:val="single" w:sz="4" w:space="0" w:color="auto"/>
            </w:tcBorders>
            <w:shd w:val="clear" w:color="auto" w:fill="auto"/>
            <w:noWrap/>
            <w:vAlign w:val="bottom"/>
            <w:hideMark/>
          </w:tcPr>
          <w:p w14:paraId="10FB4154"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6.238 </w:t>
            </w:r>
          </w:p>
        </w:tc>
      </w:tr>
      <w:tr w:rsidR="00B025A5" w:rsidRPr="00A364AC" w14:paraId="5FB9ED29" w14:textId="77777777" w:rsidTr="006B5A62">
        <w:trPr>
          <w:trHeight w:val="29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09195D53"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Personal </w:t>
            </w:r>
          </w:p>
        </w:tc>
        <w:tc>
          <w:tcPr>
            <w:tcW w:w="4900" w:type="dxa"/>
            <w:tcBorders>
              <w:top w:val="nil"/>
              <w:left w:val="nil"/>
              <w:bottom w:val="single" w:sz="4" w:space="0" w:color="auto"/>
              <w:right w:val="single" w:sz="4" w:space="0" w:color="auto"/>
            </w:tcBorders>
            <w:shd w:val="clear" w:color="auto" w:fill="auto"/>
            <w:noWrap/>
            <w:vAlign w:val="bottom"/>
            <w:hideMark/>
          </w:tcPr>
          <w:p w14:paraId="2D1E008F"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Técnico de Redes y comunicación de datos </w:t>
            </w:r>
          </w:p>
        </w:tc>
        <w:tc>
          <w:tcPr>
            <w:tcW w:w="1360" w:type="dxa"/>
            <w:tcBorders>
              <w:top w:val="nil"/>
              <w:left w:val="nil"/>
              <w:bottom w:val="single" w:sz="4" w:space="0" w:color="auto"/>
              <w:right w:val="single" w:sz="4" w:space="0" w:color="auto"/>
            </w:tcBorders>
            <w:shd w:val="clear" w:color="auto" w:fill="auto"/>
            <w:noWrap/>
            <w:vAlign w:val="bottom"/>
            <w:hideMark/>
          </w:tcPr>
          <w:p w14:paraId="73084BC2"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18.871 </w:t>
            </w:r>
          </w:p>
        </w:tc>
        <w:tc>
          <w:tcPr>
            <w:tcW w:w="1220" w:type="dxa"/>
            <w:tcBorders>
              <w:top w:val="nil"/>
              <w:left w:val="nil"/>
              <w:bottom w:val="single" w:sz="4" w:space="0" w:color="auto"/>
              <w:right w:val="single" w:sz="4" w:space="0" w:color="auto"/>
            </w:tcBorders>
            <w:shd w:val="clear" w:color="auto" w:fill="auto"/>
            <w:noWrap/>
            <w:vAlign w:val="bottom"/>
            <w:hideMark/>
          </w:tcPr>
          <w:p w14:paraId="204F3B34" w14:textId="77777777" w:rsidR="00B025A5" w:rsidRPr="00B025A5"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2.871 </w:t>
            </w:r>
          </w:p>
        </w:tc>
        <w:tc>
          <w:tcPr>
            <w:tcW w:w="1220" w:type="dxa"/>
            <w:tcBorders>
              <w:top w:val="nil"/>
              <w:left w:val="nil"/>
              <w:bottom w:val="single" w:sz="4" w:space="0" w:color="auto"/>
              <w:right w:val="single" w:sz="4" w:space="0" w:color="auto"/>
            </w:tcBorders>
            <w:shd w:val="clear" w:color="auto" w:fill="auto"/>
            <w:noWrap/>
            <w:vAlign w:val="bottom"/>
            <w:hideMark/>
          </w:tcPr>
          <w:p w14:paraId="1A9EF8C2" w14:textId="77777777" w:rsidR="00B025A5" w:rsidRPr="00A364AC" w:rsidRDefault="00B025A5" w:rsidP="006B5A62">
            <w:pPr>
              <w:spacing w:after="0" w:line="240" w:lineRule="auto"/>
              <w:jc w:val="left"/>
              <w:rPr>
                <w:rFonts w:asciiTheme="minorHAnsi" w:eastAsia="Times New Roman" w:hAnsiTheme="minorHAnsi" w:cstheme="minorHAnsi"/>
                <w:color w:val="000000"/>
                <w:sz w:val="20"/>
                <w:szCs w:val="20"/>
                <w:lang w:val="es-AR" w:eastAsia="es-AR"/>
              </w:rPr>
            </w:pPr>
            <w:r w:rsidRPr="00B025A5">
              <w:rPr>
                <w:rFonts w:asciiTheme="minorHAnsi" w:eastAsia="Times New Roman" w:hAnsiTheme="minorHAnsi" w:cstheme="minorHAnsi"/>
                <w:color w:val="000000"/>
                <w:sz w:val="20"/>
                <w:szCs w:val="20"/>
                <w:lang w:val="es-AR" w:eastAsia="es-AR"/>
              </w:rPr>
              <w:t xml:space="preserve">            2.079</w:t>
            </w:r>
            <w:r w:rsidRPr="00A364AC">
              <w:rPr>
                <w:rFonts w:asciiTheme="minorHAnsi" w:eastAsia="Times New Roman" w:hAnsiTheme="minorHAnsi" w:cstheme="minorHAnsi"/>
                <w:color w:val="000000"/>
                <w:sz w:val="20"/>
                <w:szCs w:val="20"/>
                <w:lang w:val="es-AR" w:eastAsia="es-AR"/>
              </w:rPr>
              <w:t xml:space="preserve"> </w:t>
            </w:r>
          </w:p>
        </w:tc>
      </w:tr>
    </w:tbl>
    <w:p w14:paraId="7CB2AE78" w14:textId="77777777" w:rsidR="00673372" w:rsidRDefault="00673372" w:rsidP="00673372">
      <w:pPr>
        <w:pStyle w:val="Prrafodelista1"/>
        <w:ind w:left="0"/>
      </w:pPr>
    </w:p>
    <w:p w14:paraId="7C60B954" w14:textId="0AFD3788" w:rsidR="00673372" w:rsidRDefault="00673372" w:rsidP="00673372">
      <w:pPr>
        <w:pStyle w:val="Prrafodelista1"/>
        <w:ind w:left="0"/>
      </w:pPr>
      <w:r w:rsidRPr="00673372">
        <w:t>El cálculo de los descuentos aplicables al VATT en un todo de acuerdo a la metodología descripta en este informe se presenta en la tabla Economías de ámbito_tdr.xlsx contenida en la carpeta CuadroResultados del Anexo COMA_3 Modelo_rev1.</w:t>
      </w:r>
    </w:p>
    <w:p w14:paraId="4D2E03D2" w14:textId="25B2D4DC" w:rsidR="00D73D5B" w:rsidRDefault="00D73D5B" w:rsidP="00D73D5B">
      <w:pPr>
        <w:pStyle w:val="Ttulo1"/>
      </w:pPr>
      <w:bookmarkStart w:id="506" w:name="_Toc39797879"/>
      <w:r>
        <w:t>D</w:t>
      </w:r>
      <w:r w:rsidR="00E8341C">
        <w:t xml:space="preserve">eterminación de </w:t>
      </w:r>
      <w:r>
        <w:t>L</w:t>
      </w:r>
      <w:r w:rsidR="00E8341C">
        <w:t>abores de ampliación</w:t>
      </w:r>
      <w:bookmarkEnd w:id="506"/>
    </w:p>
    <w:p w14:paraId="51A36334" w14:textId="7E2AC5F5" w:rsidR="00F4775A" w:rsidRDefault="00F4775A" w:rsidP="00F4775A">
      <w:pPr>
        <w:pStyle w:val="Prrafodelista1"/>
        <w:ind w:left="0"/>
      </w:pPr>
      <w:r>
        <w:t>Aplicando la metodología descrita en el punto 6.3.2 se obtuvo el V</w:t>
      </w:r>
      <w:r w:rsidR="00A477D0">
        <w:t>.</w:t>
      </w:r>
      <w:r>
        <w:t>I</w:t>
      </w:r>
      <w:r w:rsidR="00A477D0">
        <w:t>. de labores de ampliación y el A.</w:t>
      </w:r>
      <w:r>
        <w:t>V</w:t>
      </w:r>
      <w:r w:rsidR="00A477D0">
        <w:t>.</w:t>
      </w:r>
      <w:r>
        <w:t>I</w:t>
      </w:r>
      <w:r w:rsidR="00A477D0">
        <w:t>.</w:t>
      </w:r>
      <w:r>
        <w:t xml:space="preserve">  </w:t>
      </w:r>
      <w:proofErr w:type="gramStart"/>
      <w:r>
        <w:t>a</w:t>
      </w:r>
      <w:proofErr w:type="gramEnd"/>
      <w:r>
        <w:t xml:space="preserve"> recuperar en el siguiente cuadrienio, que se muestran en el cuadro siguiente:</w:t>
      </w:r>
    </w:p>
    <w:p w14:paraId="0421AE51" w14:textId="77777777" w:rsidR="00F4775A" w:rsidRDefault="00F4775A" w:rsidP="00F4775A">
      <w:pPr>
        <w:pStyle w:val="Prrafodelista1"/>
        <w:ind w:left="0"/>
      </w:pPr>
    </w:p>
    <w:p w14:paraId="1B290689" w14:textId="77777777" w:rsidR="00F4775A" w:rsidRDefault="00F4775A" w:rsidP="00F4775A">
      <w:pPr>
        <w:pStyle w:val="Prrafodelista1"/>
        <w:ind w:left="0"/>
        <w:sectPr w:rsidR="00F4775A" w:rsidSect="00F04B20">
          <w:pgSz w:w="12242" w:h="15842" w:code="1"/>
          <w:pgMar w:top="1134" w:right="1418" w:bottom="1134" w:left="1134" w:header="851" w:footer="1134" w:gutter="0"/>
          <w:cols w:space="708"/>
          <w:titlePg/>
          <w:docGrid w:linePitch="360"/>
        </w:sectPr>
      </w:pPr>
    </w:p>
    <w:p w14:paraId="15851861" w14:textId="07CCF1AB" w:rsidR="00481AED" w:rsidRPr="002F3394" w:rsidRDefault="00481AED" w:rsidP="00481AED">
      <w:pPr>
        <w:pStyle w:val="Subttulo"/>
      </w:pPr>
      <w:bookmarkStart w:id="507" w:name="_Toc39797965"/>
      <w:r w:rsidRPr="002F3394">
        <w:lastRenderedPageBreak/>
        <w:t xml:space="preserve">Tabla </w:t>
      </w:r>
      <w:fldSimple w:instr=" SEQ Tabla \* ARABIC ">
        <w:r w:rsidR="001F3E2E">
          <w:rPr>
            <w:noProof/>
          </w:rPr>
          <w:t>55</w:t>
        </w:r>
      </w:fldSimple>
      <w:r w:rsidRPr="002F3394">
        <w:t xml:space="preserve">: </w:t>
      </w:r>
      <w:r>
        <w:t>V.I. Labores de Ampliación</w:t>
      </w:r>
      <w:bookmarkEnd w:id="507"/>
    </w:p>
    <w:tbl>
      <w:tblPr>
        <w:tblStyle w:val="Tablaconcuadrcula"/>
        <w:tblW w:w="0" w:type="auto"/>
        <w:jc w:val="center"/>
        <w:tblLayout w:type="fixed"/>
        <w:tblCellMar>
          <w:left w:w="57" w:type="dxa"/>
          <w:right w:w="57" w:type="dxa"/>
        </w:tblCellMar>
        <w:tblLook w:val="04A0" w:firstRow="1" w:lastRow="0" w:firstColumn="1" w:lastColumn="0" w:noHBand="0" w:noVBand="1"/>
      </w:tblPr>
      <w:tblGrid>
        <w:gridCol w:w="567"/>
        <w:gridCol w:w="11624"/>
        <w:gridCol w:w="1418"/>
      </w:tblGrid>
      <w:tr w:rsidR="00F4775A" w:rsidRPr="00FA4351" w14:paraId="5FACD2B1" w14:textId="77777777" w:rsidTr="00C84FEB">
        <w:trPr>
          <w:tblHeader/>
          <w:jc w:val="center"/>
        </w:trPr>
        <w:tc>
          <w:tcPr>
            <w:tcW w:w="567" w:type="dxa"/>
            <w:shd w:val="solid" w:color="BFBFBF" w:themeColor="background1" w:themeShade="BF" w:fill="auto"/>
            <w:vAlign w:val="center"/>
          </w:tcPr>
          <w:p w14:paraId="560145FF" w14:textId="77777777" w:rsidR="00F4775A" w:rsidRPr="00481AED" w:rsidRDefault="00F4775A" w:rsidP="00EC712D">
            <w:pPr>
              <w:spacing w:before="20" w:after="20"/>
              <w:jc w:val="center"/>
              <w:rPr>
                <w:rFonts w:asciiTheme="minorHAnsi" w:hAnsiTheme="minorHAnsi" w:cstheme="minorHAnsi"/>
                <w:b/>
                <w:bCs/>
                <w:sz w:val="20"/>
                <w:szCs w:val="20"/>
              </w:rPr>
            </w:pPr>
            <w:r w:rsidRPr="00481AED">
              <w:rPr>
                <w:rFonts w:asciiTheme="minorHAnsi" w:hAnsiTheme="minorHAnsi" w:cstheme="minorHAnsi"/>
                <w:b/>
                <w:bCs/>
                <w:sz w:val="20"/>
                <w:szCs w:val="20"/>
              </w:rPr>
              <w:t>N°</w:t>
            </w:r>
          </w:p>
        </w:tc>
        <w:tc>
          <w:tcPr>
            <w:tcW w:w="11624" w:type="dxa"/>
            <w:shd w:val="solid" w:color="BFBFBF" w:themeColor="background1" w:themeShade="BF" w:fill="auto"/>
            <w:vAlign w:val="center"/>
          </w:tcPr>
          <w:p w14:paraId="09E733B0" w14:textId="77777777" w:rsidR="00F4775A" w:rsidRPr="00481AED" w:rsidRDefault="00F4775A" w:rsidP="00EC712D">
            <w:pPr>
              <w:spacing w:before="20" w:after="20"/>
              <w:jc w:val="center"/>
              <w:rPr>
                <w:rFonts w:asciiTheme="minorHAnsi" w:hAnsiTheme="minorHAnsi" w:cstheme="minorHAnsi"/>
                <w:b/>
                <w:bCs/>
                <w:sz w:val="20"/>
                <w:szCs w:val="20"/>
              </w:rPr>
            </w:pPr>
            <w:r w:rsidRPr="00481AED">
              <w:rPr>
                <w:rFonts w:asciiTheme="minorHAnsi" w:hAnsiTheme="minorHAnsi" w:cstheme="minorHAnsi"/>
                <w:b/>
                <w:bCs/>
                <w:sz w:val="20"/>
                <w:szCs w:val="20"/>
              </w:rPr>
              <w:t>Obra de Ampliación</w:t>
            </w:r>
          </w:p>
        </w:tc>
        <w:tc>
          <w:tcPr>
            <w:tcW w:w="1418" w:type="dxa"/>
            <w:shd w:val="solid" w:color="BFBFBF" w:themeColor="background1" w:themeShade="BF" w:fill="auto"/>
            <w:vAlign w:val="center"/>
          </w:tcPr>
          <w:p w14:paraId="1538EA77" w14:textId="77777777" w:rsidR="00481AED" w:rsidRPr="00481AED" w:rsidRDefault="00F4775A" w:rsidP="00EC712D">
            <w:pPr>
              <w:spacing w:before="20" w:after="20"/>
              <w:jc w:val="center"/>
              <w:rPr>
                <w:rFonts w:asciiTheme="minorHAnsi" w:hAnsiTheme="minorHAnsi" w:cstheme="minorHAnsi"/>
                <w:b/>
                <w:bCs/>
                <w:sz w:val="20"/>
                <w:szCs w:val="20"/>
                <w:lang w:val="en-US"/>
              </w:rPr>
            </w:pPr>
            <w:r w:rsidRPr="00481AED">
              <w:rPr>
                <w:rFonts w:asciiTheme="minorHAnsi" w:hAnsiTheme="minorHAnsi" w:cstheme="minorHAnsi"/>
                <w:b/>
                <w:bCs/>
                <w:sz w:val="20"/>
                <w:szCs w:val="20"/>
                <w:lang w:val="en-US"/>
              </w:rPr>
              <w:t>VI Lab. Amp.</w:t>
            </w:r>
          </w:p>
          <w:p w14:paraId="38E90D37" w14:textId="2527E468" w:rsidR="00F4775A" w:rsidRPr="00481AED" w:rsidRDefault="00204436" w:rsidP="00EC712D">
            <w:pPr>
              <w:spacing w:before="20" w:after="20"/>
              <w:jc w:val="center"/>
              <w:rPr>
                <w:rFonts w:asciiTheme="minorHAnsi" w:hAnsiTheme="minorHAnsi" w:cstheme="minorHAnsi"/>
                <w:b/>
                <w:bCs/>
                <w:sz w:val="20"/>
                <w:szCs w:val="20"/>
                <w:lang w:val="en-US"/>
              </w:rPr>
            </w:pPr>
            <w:r w:rsidRPr="00481AED">
              <w:rPr>
                <w:rFonts w:asciiTheme="minorHAnsi" w:hAnsiTheme="minorHAnsi" w:cstheme="minorHAnsi"/>
                <w:b/>
                <w:bCs/>
                <w:sz w:val="20"/>
                <w:szCs w:val="20"/>
                <w:lang w:val="en-US"/>
              </w:rPr>
              <w:t>USD</w:t>
            </w:r>
            <w:r w:rsidR="00481AED" w:rsidRPr="00481AED">
              <w:rPr>
                <w:rFonts w:asciiTheme="minorHAnsi" w:hAnsiTheme="minorHAnsi" w:cstheme="minorHAnsi"/>
                <w:b/>
                <w:bCs/>
                <w:sz w:val="20"/>
                <w:szCs w:val="20"/>
                <w:lang w:val="en-US"/>
              </w:rPr>
              <w:t xml:space="preserve"> dic 2017</w:t>
            </w:r>
          </w:p>
        </w:tc>
      </w:tr>
      <w:tr w:rsidR="00F4775A" w:rsidRPr="00FA4351" w14:paraId="1D64505F" w14:textId="77777777" w:rsidTr="00C84FEB">
        <w:trPr>
          <w:jc w:val="center"/>
        </w:trPr>
        <w:tc>
          <w:tcPr>
            <w:tcW w:w="567" w:type="dxa"/>
            <w:vAlign w:val="center"/>
          </w:tcPr>
          <w:p w14:paraId="041BB6BB" w14:textId="77777777" w:rsidR="00F4775A" w:rsidRPr="00481AED" w:rsidRDefault="00F4775A" w:rsidP="00EC712D">
            <w:pPr>
              <w:spacing w:before="20" w:after="20"/>
              <w:jc w:val="center"/>
              <w:rPr>
                <w:rFonts w:asciiTheme="minorHAnsi" w:hAnsiTheme="minorHAnsi" w:cstheme="minorHAnsi"/>
                <w:sz w:val="20"/>
                <w:szCs w:val="20"/>
              </w:rPr>
            </w:pPr>
            <w:r w:rsidRPr="00481AED">
              <w:rPr>
                <w:rFonts w:asciiTheme="minorHAnsi" w:hAnsiTheme="minorHAnsi" w:cstheme="minorHAnsi"/>
                <w:color w:val="000000"/>
                <w:sz w:val="20"/>
                <w:szCs w:val="20"/>
              </w:rPr>
              <w:t>1</w:t>
            </w:r>
          </w:p>
        </w:tc>
        <w:tc>
          <w:tcPr>
            <w:tcW w:w="11624" w:type="dxa"/>
            <w:vAlign w:val="center"/>
          </w:tcPr>
          <w:p w14:paraId="363DE306" w14:textId="77777777" w:rsidR="00F4775A" w:rsidRPr="00481AED" w:rsidRDefault="00F4775A" w:rsidP="00EC712D">
            <w:pPr>
              <w:spacing w:before="20" w:after="20"/>
              <w:rPr>
                <w:rFonts w:asciiTheme="minorHAnsi" w:hAnsiTheme="minorHAnsi" w:cstheme="minorHAnsi"/>
                <w:sz w:val="20"/>
                <w:szCs w:val="20"/>
              </w:rPr>
            </w:pPr>
            <w:r w:rsidRPr="00481AED">
              <w:rPr>
                <w:rFonts w:asciiTheme="minorHAnsi" w:hAnsiTheme="minorHAnsi" w:cstheme="minorHAnsi"/>
                <w:sz w:val="20"/>
                <w:szCs w:val="20"/>
              </w:rPr>
              <w:t>Obra de ampliación Tendido Segundo Circuito Línea 2x220 kV Encuentro – Lagunas</w:t>
            </w:r>
          </w:p>
        </w:tc>
        <w:tc>
          <w:tcPr>
            <w:tcW w:w="1418" w:type="dxa"/>
            <w:vAlign w:val="center"/>
          </w:tcPr>
          <w:p w14:paraId="7F3B34C4" w14:textId="77777777" w:rsidR="00F4775A" w:rsidRPr="00481AED" w:rsidRDefault="00F4775A" w:rsidP="00EC712D">
            <w:pPr>
              <w:spacing w:before="20" w:after="20"/>
              <w:jc w:val="right"/>
              <w:rPr>
                <w:rFonts w:asciiTheme="minorHAnsi" w:hAnsiTheme="minorHAnsi" w:cstheme="minorHAnsi"/>
                <w:sz w:val="20"/>
                <w:szCs w:val="20"/>
              </w:rPr>
            </w:pPr>
            <w:r w:rsidRPr="00481AED">
              <w:rPr>
                <w:rFonts w:asciiTheme="minorHAnsi" w:hAnsiTheme="minorHAnsi" w:cstheme="minorHAnsi"/>
                <w:color w:val="000000"/>
                <w:sz w:val="20"/>
                <w:szCs w:val="20"/>
              </w:rPr>
              <w:t>-</w:t>
            </w:r>
          </w:p>
        </w:tc>
      </w:tr>
      <w:tr w:rsidR="00F4775A" w:rsidRPr="00FA4351" w14:paraId="51FFB971" w14:textId="77777777" w:rsidTr="00C84FEB">
        <w:trPr>
          <w:jc w:val="center"/>
        </w:trPr>
        <w:tc>
          <w:tcPr>
            <w:tcW w:w="567" w:type="dxa"/>
            <w:vAlign w:val="center"/>
          </w:tcPr>
          <w:p w14:paraId="2C6C0815" w14:textId="77777777" w:rsidR="00F4775A" w:rsidRPr="00481AED" w:rsidRDefault="00F4775A" w:rsidP="00EC712D">
            <w:pPr>
              <w:spacing w:before="20" w:after="20"/>
              <w:jc w:val="center"/>
              <w:rPr>
                <w:rFonts w:asciiTheme="minorHAnsi" w:hAnsiTheme="minorHAnsi" w:cstheme="minorHAnsi"/>
                <w:sz w:val="20"/>
                <w:szCs w:val="20"/>
              </w:rPr>
            </w:pPr>
            <w:r w:rsidRPr="00481AED">
              <w:rPr>
                <w:rFonts w:asciiTheme="minorHAnsi" w:hAnsiTheme="minorHAnsi" w:cstheme="minorHAnsi"/>
                <w:color w:val="000000"/>
                <w:sz w:val="20"/>
                <w:szCs w:val="20"/>
              </w:rPr>
              <w:t>2</w:t>
            </w:r>
          </w:p>
        </w:tc>
        <w:tc>
          <w:tcPr>
            <w:tcW w:w="11624" w:type="dxa"/>
            <w:vAlign w:val="center"/>
          </w:tcPr>
          <w:p w14:paraId="477ED09D" w14:textId="77777777" w:rsidR="00F4775A" w:rsidRPr="00481AED" w:rsidRDefault="00F4775A" w:rsidP="00EC712D">
            <w:pPr>
              <w:spacing w:before="20" w:after="20"/>
              <w:rPr>
                <w:rFonts w:asciiTheme="minorHAnsi" w:hAnsiTheme="minorHAnsi" w:cstheme="minorHAnsi"/>
                <w:sz w:val="20"/>
                <w:szCs w:val="20"/>
              </w:rPr>
            </w:pPr>
            <w:r w:rsidRPr="00481AED">
              <w:rPr>
                <w:rFonts w:asciiTheme="minorHAnsi" w:hAnsiTheme="minorHAnsi" w:cstheme="minorHAnsi"/>
                <w:sz w:val="20"/>
                <w:szCs w:val="20"/>
              </w:rPr>
              <w:t>Obra de tendido segundo circuito línea 2x220 kV Cardones – Diego de Almagro, con secc. En S/E Carrera Pinto</w:t>
            </w:r>
          </w:p>
        </w:tc>
        <w:tc>
          <w:tcPr>
            <w:tcW w:w="1418" w:type="dxa"/>
            <w:vAlign w:val="center"/>
          </w:tcPr>
          <w:p w14:paraId="6715FFB5" w14:textId="77777777" w:rsidR="00F4775A" w:rsidRPr="00481AED" w:rsidRDefault="00F4775A" w:rsidP="00EC712D">
            <w:pPr>
              <w:spacing w:before="20" w:after="20"/>
              <w:jc w:val="right"/>
              <w:rPr>
                <w:rFonts w:asciiTheme="minorHAnsi" w:hAnsiTheme="minorHAnsi" w:cstheme="minorHAnsi"/>
                <w:sz w:val="20"/>
                <w:szCs w:val="20"/>
              </w:rPr>
            </w:pPr>
            <w:r w:rsidRPr="00481AED">
              <w:rPr>
                <w:rFonts w:asciiTheme="minorHAnsi" w:hAnsiTheme="minorHAnsi" w:cstheme="minorHAnsi"/>
                <w:color w:val="000000"/>
                <w:sz w:val="20"/>
                <w:szCs w:val="20"/>
              </w:rPr>
              <w:t>-</w:t>
            </w:r>
          </w:p>
        </w:tc>
      </w:tr>
      <w:tr w:rsidR="00F4775A" w:rsidRPr="00FA4351" w14:paraId="00E833DC" w14:textId="77777777" w:rsidTr="00C84FEB">
        <w:trPr>
          <w:jc w:val="center"/>
        </w:trPr>
        <w:tc>
          <w:tcPr>
            <w:tcW w:w="567" w:type="dxa"/>
            <w:vAlign w:val="center"/>
          </w:tcPr>
          <w:p w14:paraId="5A79F319" w14:textId="77777777" w:rsidR="00F4775A" w:rsidRPr="00481AED" w:rsidRDefault="00F4775A" w:rsidP="00EC712D">
            <w:pPr>
              <w:spacing w:before="20" w:after="20"/>
              <w:jc w:val="center"/>
              <w:rPr>
                <w:rFonts w:asciiTheme="minorHAnsi" w:hAnsiTheme="minorHAnsi" w:cstheme="minorHAnsi"/>
                <w:sz w:val="20"/>
                <w:szCs w:val="20"/>
              </w:rPr>
            </w:pPr>
            <w:r w:rsidRPr="00481AED">
              <w:rPr>
                <w:rFonts w:asciiTheme="minorHAnsi" w:hAnsiTheme="minorHAnsi" w:cstheme="minorHAnsi"/>
                <w:color w:val="000000"/>
                <w:sz w:val="20"/>
                <w:szCs w:val="20"/>
              </w:rPr>
              <w:t>3</w:t>
            </w:r>
          </w:p>
        </w:tc>
        <w:tc>
          <w:tcPr>
            <w:tcW w:w="11624" w:type="dxa"/>
            <w:vAlign w:val="center"/>
          </w:tcPr>
          <w:p w14:paraId="136FF820" w14:textId="77777777" w:rsidR="00F4775A" w:rsidRPr="00481AED" w:rsidRDefault="00F4775A" w:rsidP="00EC712D">
            <w:pPr>
              <w:spacing w:before="20" w:after="20"/>
              <w:rPr>
                <w:rFonts w:asciiTheme="minorHAnsi" w:hAnsiTheme="minorHAnsi" w:cstheme="minorHAnsi"/>
                <w:sz w:val="20"/>
                <w:szCs w:val="20"/>
              </w:rPr>
            </w:pPr>
            <w:r w:rsidRPr="00481AED">
              <w:rPr>
                <w:rFonts w:asciiTheme="minorHAnsi" w:hAnsiTheme="minorHAnsi" w:cstheme="minorHAnsi"/>
                <w:sz w:val="20"/>
                <w:szCs w:val="20"/>
              </w:rPr>
              <w:t>Tendido segundo circuito línea 2x220 kV Ciruelos – Pichirropulli</w:t>
            </w:r>
          </w:p>
        </w:tc>
        <w:tc>
          <w:tcPr>
            <w:tcW w:w="1418" w:type="dxa"/>
            <w:vAlign w:val="center"/>
          </w:tcPr>
          <w:p w14:paraId="498EA8A2" w14:textId="77777777" w:rsidR="00F4775A" w:rsidRPr="00481AED" w:rsidRDefault="00F4775A" w:rsidP="00EC712D">
            <w:pPr>
              <w:spacing w:before="20" w:after="20"/>
              <w:jc w:val="right"/>
              <w:rPr>
                <w:rFonts w:asciiTheme="minorHAnsi" w:hAnsiTheme="minorHAnsi" w:cstheme="minorHAnsi"/>
                <w:sz w:val="20"/>
                <w:szCs w:val="20"/>
              </w:rPr>
            </w:pPr>
            <w:r w:rsidRPr="00481AED">
              <w:rPr>
                <w:rFonts w:asciiTheme="minorHAnsi" w:hAnsiTheme="minorHAnsi" w:cstheme="minorHAnsi"/>
                <w:color w:val="000000"/>
                <w:sz w:val="20"/>
                <w:szCs w:val="20"/>
              </w:rPr>
              <w:t>-</w:t>
            </w:r>
          </w:p>
        </w:tc>
      </w:tr>
      <w:tr w:rsidR="00F4775A" w:rsidRPr="00FA4351" w14:paraId="2A31E48C" w14:textId="77777777" w:rsidTr="00C84FEB">
        <w:trPr>
          <w:jc w:val="center"/>
        </w:trPr>
        <w:tc>
          <w:tcPr>
            <w:tcW w:w="567" w:type="dxa"/>
            <w:vAlign w:val="center"/>
          </w:tcPr>
          <w:p w14:paraId="671A2CB3" w14:textId="77777777" w:rsidR="00F4775A" w:rsidRPr="00481AED" w:rsidRDefault="00F4775A" w:rsidP="00EC712D">
            <w:pPr>
              <w:spacing w:before="20" w:after="20"/>
              <w:jc w:val="center"/>
              <w:rPr>
                <w:rFonts w:asciiTheme="minorHAnsi" w:hAnsiTheme="minorHAnsi" w:cstheme="minorHAnsi"/>
                <w:sz w:val="20"/>
                <w:szCs w:val="20"/>
              </w:rPr>
            </w:pPr>
            <w:r w:rsidRPr="00481AED">
              <w:rPr>
                <w:rFonts w:asciiTheme="minorHAnsi" w:hAnsiTheme="minorHAnsi" w:cstheme="minorHAnsi"/>
                <w:color w:val="000000"/>
                <w:sz w:val="20"/>
                <w:szCs w:val="20"/>
              </w:rPr>
              <w:t>4</w:t>
            </w:r>
          </w:p>
        </w:tc>
        <w:tc>
          <w:tcPr>
            <w:tcW w:w="11624" w:type="dxa"/>
            <w:vAlign w:val="center"/>
          </w:tcPr>
          <w:p w14:paraId="7231CE8E" w14:textId="77777777" w:rsidR="00F4775A" w:rsidRPr="00481AED" w:rsidRDefault="00F4775A" w:rsidP="00EC712D">
            <w:pPr>
              <w:spacing w:before="20" w:after="20"/>
              <w:rPr>
                <w:rFonts w:asciiTheme="minorHAnsi" w:hAnsiTheme="minorHAnsi" w:cstheme="minorHAnsi"/>
                <w:sz w:val="20"/>
                <w:szCs w:val="20"/>
              </w:rPr>
            </w:pPr>
            <w:r w:rsidRPr="00481AED">
              <w:rPr>
                <w:rFonts w:asciiTheme="minorHAnsi" w:hAnsiTheme="minorHAnsi" w:cstheme="minorHAnsi"/>
                <w:sz w:val="20"/>
                <w:szCs w:val="20"/>
              </w:rPr>
              <w:t>Obra de ampliación S/E San Andrés 220 kV</w:t>
            </w:r>
          </w:p>
        </w:tc>
        <w:tc>
          <w:tcPr>
            <w:tcW w:w="1418" w:type="dxa"/>
            <w:vAlign w:val="center"/>
          </w:tcPr>
          <w:p w14:paraId="7BCE08BB" w14:textId="77777777" w:rsidR="00F4775A" w:rsidRPr="00481AED" w:rsidRDefault="00F4775A" w:rsidP="00EC712D">
            <w:pPr>
              <w:spacing w:before="20" w:after="20"/>
              <w:jc w:val="right"/>
              <w:rPr>
                <w:rFonts w:asciiTheme="minorHAnsi" w:hAnsiTheme="minorHAnsi" w:cstheme="minorHAnsi"/>
                <w:sz w:val="20"/>
                <w:szCs w:val="20"/>
              </w:rPr>
            </w:pPr>
            <w:r w:rsidRPr="00481AED">
              <w:rPr>
                <w:rFonts w:asciiTheme="minorHAnsi" w:hAnsiTheme="minorHAnsi" w:cstheme="minorHAnsi"/>
                <w:color w:val="000000"/>
                <w:sz w:val="20"/>
                <w:szCs w:val="20"/>
              </w:rPr>
              <w:t>-</w:t>
            </w:r>
          </w:p>
        </w:tc>
      </w:tr>
      <w:tr w:rsidR="00F4775A" w:rsidRPr="00FA4351" w14:paraId="7AA86F3D" w14:textId="77777777" w:rsidTr="00C84FEB">
        <w:trPr>
          <w:jc w:val="center"/>
        </w:trPr>
        <w:tc>
          <w:tcPr>
            <w:tcW w:w="567" w:type="dxa"/>
            <w:vAlign w:val="center"/>
          </w:tcPr>
          <w:p w14:paraId="57199704" w14:textId="77777777" w:rsidR="00F4775A" w:rsidRPr="00481AED" w:rsidRDefault="00F4775A" w:rsidP="00EC712D">
            <w:pPr>
              <w:spacing w:before="20" w:after="20"/>
              <w:jc w:val="center"/>
              <w:rPr>
                <w:rFonts w:asciiTheme="minorHAnsi" w:hAnsiTheme="minorHAnsi" w:cstheme="minorHAnsi"/>
                <w:sz w:val="20"/>
                <w:szCs w:val="20"/>
              </w:rPr>
            </w:pPr>
            <w:r w:rsidRPr="00481AED">
              <w:rPr>
                <w:rFonts w:asciiTheme="minorHAnsi" w:hAnsiTheme="minorHAnsi" w:cstheme="minorHAnsi"/>
                <w:color w:val="000000"/>
                <w:sz w:val="20"/>
                <w:szCs w:val="20"/>
              </w:rPr>
              <w:t>5</w:t>
            </w:r>
          </w:p>
        </w:tc>
        <w:tc>
          <w:tcPr>
            <w:tcW w:w="11624" w:type="dxa"/>
            <w:vAlign w:val="center"/>
          </w:tcPr>
          <w:p w14:paraId="0BC34B39" w14:textId="77777777" w:rsidR="00F4775A" w:rsidRPr="00481AED" w:rsidRDefault="00F4775A" w:rsidP="00EC712D">
            <w:pPr>
              <w:spacing w:before="20" w:after="20"/>
              <w:rPr>
                <w:rFonts w:asciiTheme="minorHAnsi" w:hAnsiTheme="minorHAnsi" w:cstheme="minorHAnsi"/>
                <w:sz w:val="20"/>
                <w:szCs w:val="20"/>
              </w:rPr>
            </w:pPr>
            <w:r w:rsidRPr="00481AED">
              <w:rPr>
                <w:rFonts w:asciiTheme="minorHAnsi" w:hAnsiTheme="minorHAnsi" w:cstheme="minorHAnsi"/>
                <w:sz w:val="20"/>
                <w:szCs w:val="20"/>
              </w:rPr>
              <w:t>Barra seccionadora en Subestación Tarapacá 220 kV</w:t>
            </w:r>
          </w:p>
        </w:tc>
        <w:tc>
          <w:tcPr>
            <w:tcW w:w="1418" w:type="dxa"/>
            <w:vAlign w:val="center"/>
          </w:tcPr>
          <w:p w14:paraId="5E298A38" w14:textId="77777777" w:rsidR="00F4775A" w:rsidRPr="00481AED" w:rsidRDefault="00F4775A" w:rsidP="00EC712D">
            <w:pPr>
              <w:spacing w:before="20" w:after="20"/>
              <w:jc w:val="right"/>
              <w:rPr>
                <w:rFonts w:asciiTheme="minorHAnsi" w:hAnsiTheme="minorHAnsi" w:cstheme="minorHAnsi"/>
                <w:sz w:val="20"/>
                <w:szCs w:val="20"/>
              </w:rPr>
            </w:pPr>
            <w:r w:rsidRPr="00481AED">
              <w:rPr>
                <w:rFonts w:asciiTheme="minorHAnsi" w:hAnsiTheme="minorHAnsi" w:cstheme="minorHAnsi"/>
                <w:color w:val="000000"/>
                <w:sz w:val="20"/>
                <w:szCs w:val="20"/>
              </w:rPr>
              <w:t>116.304,12</w:t>
            </w:r>
          </w:p>
        </w:tc>
      </w:tr>
      <w:tr w:rsidR="00F4775A" w:rsidRPr="00FA4351" w14:paraId="2A6D4121" w14:textId="77777777" w:rsidTr="00C84FEB">
        <w:trPr>
          <w:jc w:val="center"/>
        </w:trPr>
        <w:tc>
          <w:tcPr>
            <w:tcW w:w="567" w:type="dxa"/>
            <w:vAlign w:val="center"/>
          </w:tcPr>
          <w:p w14:paraId="2AC082C1" w14:textId="77777777" w:rsidR="00F4775A" w:rsidRPr="00481AED" w:rsidRDefault="00F4775A" w:rsidP="00EC712D">
            <w:pPr>
              <w:spacing w:before="20" w:after="20"/>
              <w:jc w:val="center"/>
              <w:rPr>
                <w:rFonts w:asciiTheme="minorHAnsi" w:hAnsiTheme="minorHAnsi" w:cstheme="minorHAnsi"/>
                <w:sz w:val="20"/>
                <w:szCs w:val="20"/>
              </w:rPr>
            </w:pPr>
            <w:r w:rsidRPr="00481AED">
              <w:rPr>
                <w:rFonts w:asciiTheme="minorHAnsi" w:hAnsiTheme="minorHAnsi" w:cstheme="minorHAnsi"/>
                <w:color w:val="000000"/>
                <w:sz w:val="20"/>
                <w:szCs w:val="20"/>
              </w:rPr>
              <w:t>6</w:t>
            </w:r>
          </w:p>
        </w:tc>
        <w:tc>
          <w:tcPr>
            <w:tcW w:w="11624" w:type="dxa"/>
            <w:vAlign w:val="center"/>
          </w:tcPr>
          <w:p w14:paraId="3664E8E0" w14:textId="77777777" w:rsidR="00F4775A" w:rsidRPr="00481AED" w:rsidRDefault="00F4775A" w:rsidP="00EC712D">
            <w:pPr>
              <w:spacing w:before="20" w:after="20"/>
              <w:rPr>
                <w:rFonts w:asciiTheme="minorHAnsi" w:hAnsiTheme="minorHAnsi" w:cstheme="minorHAnsi"/>
                <w:sz w:val="20"/>
                <w:szCs w:val="20"/>
              </w:rPr>
            </w:pPr>
            <w:r w:rsidRPr="00481AED">
              <w:rPr>
                <w:rFonts w:asciiTheme="minorHAnsi" w:hAnsiTheme="minorHAnsi" w:cstheme="minorHAnsi"/>
                <w:sz w:val="20"/>
                <w:szCs w:val="20"/>
              </w:rPr>
              <w:t>Obra de ampliación S/E Seccionadora Nueva Encuentro 220 kV</w:t>
            </w:r>
          </w:p>
        </w:tc>
        <w:tc>
          <w:tcPr>
            <w:tcW w:w="1418" w:type="dxa"/>
            <w:vAlign w:val="center"/>
          </w:tcPr>
          <w:p w14:paraId="5846AD25" w14:textId="77777777" w:rsidR="00F4775A" w:rsidRPr="00481AED" w:rsidRDefault="00F4775A" w:rsidP="00EC712D">
            <w:pPr>
              <w:spacing w:before="20" w:after="20"/>
              <w:jc w:val="right"/>
              <w:rPr>
                <w:rFonts w:asciiTheme="minorHAnsi" w:hAnsiTheme="minorHAnsi" w:cstheme="minorHAnsi"/>
                <w:sz w:val="20"/>
                <w:szCs w:val="20"/>
              </w:rPr>
            </w:pPr>
            <w:r w:rsidRPr="00481AED">
              <w:rPr>
                <w:rFonts w:asciiTheme="minorHAnsi" w:hAnsiTheme="minorHAnsi" w:cstheme="minorHAnsi"/>
                <w:color w:val="000000"/>
                <w:sz w:val="20"/>
                <w:szCs w:val="20"/>
              </w:rPr>
              <w:t>190.441,29</w:t>
            </w:r>
          </w:p>
        </w:tc>
      </w:tr>
      <w:tr w:rsidR="00F4775A" w:rsidRPr="00FA4351" w14:paraId="60731780" w14:textId="77777777" w:rsidTr="00C84FEB">
        <w:trPr>
          <w:jc w:val="center"/>
        </w:trPr>
        <w:tc>
          <w:tcPr>
            <w:tcW w:w="567" w:type="dxa"/>
            <w:vAlign w:val="center"/>
          </w:tcPr>
          <w:p w14:paraId="3C685CEA" w14:textId="77777777" w:rsidR="00F4775A" w:rsidRPr="00481AED" w:rsidRDefault="00F4775A" w:rsidP="00EC712D">
            <w:pPr>
              <w:spacing w:before="20" w:after="20"/>
              <w:jc w:val="center"/>
              <w:rPr>
                <w:rFonts w:asciiTheme="minorHAnsi" w:hAnsiTheme="minorHAnsi" w:cstheme="minorHAnsi"/>
                <w:sz w:val="20"/>
                <w:szCs w:val="20"/>
              </w:rPr>
            </w:pPr>
            <w:r w:rsidRPr="00481AED">
              <w:rPr>
                <w:rFonts w:asciiTheme="minorHAnsi" w:hAnsiTheme="minorHAnsi" w:cstheme="minorHAnsi"/>
                <w:color w:val="000000"/>
                <w:sz w:val="20"/>
                <w:szCs w:val="20"/>
              </w:rPr>
              <w:t>7</w:t>
            </w:r>
          </w:p>
        </w:tc>
        <w:tc>
          <w:tcPr>
            <w:tcW w:w="11624" w:type="dxa"/>
            <w:vAlign w:val="center"/>
          </w:tcPr>
          <w:p w14:paraId="0AC15341" w14:textId="77777777" w:rsidR="00F4775A" w:rsidRPr="00481AED" w:rsidRDefault="00F4775A" w:rsidP="00EC712D">
            <w:pPr>
              <w:spacing w:before="20" w:after="20"/>
              <w:rPr>
                <w:rFonts w:asciiTheme="minorHAnsi" w:hAnsiTheme="minorHAnsi" w:cstheme="minorHAnsi"/>
                <w:sz w:val="20"/>
                <w:szCs w:val="20"/>
              </w:rPr>
            </w:pPr>
            <w:r w:rsidRPr="00481AED">
              <w:rPr>
                <w:rFonts w:asciiTheme="minorHAnsi" w:hAnsiTheme="minorHAnsi" w:cstheme="minorHAnsi"/>
                <w:sz w:val="20"/>
                <w:szCs w:val="20"/>
              </w:rPr>
              <w:t>Obra de ampliación cambio interruptor paño acoplador 52JR S/E Alto Jahuel</w:t>
            </w:r>
          </w:p>
        </w:tc>
        <w:tc>
          <w:tcPr>
            <w:tcW w:w="1418" w:type="dxa"/>
            <w:vAlign w:val="center"/>
          </w:tcPr>
          <w:p w14:paraId="35A39AB6" w14:textId="77777777" w:rsidR="00F4775A" w:rsidRPr="00481AED" w:rsidRDefault="00F4775A" w:rsidP="00EC712D">
            <w:pPr>
              <w:spacing w:before="20" w:after="20"/>
              <w:jc w:val="right"/>
              <w:rPr>
                <w:rFonts w:asciiTheme="minorHAnsi" w:hAnsiTheme="minorHAnsi" w:cstheme="minorHAnsi"/>
                <w:sz w:val="20"/>
                <w:szCs w:val="20"/>
              </w:rPr>
            </w:pPr>
            <w:r w:rsidRPr="00481AED">
              <w:rPr>
                <w:rFonts w:asciiTheme="minorHAnsi" w:hAnsiTheme="minorHAnsi" w:cstheme="minorHAnsi"/>
                <w:color w:val="000000"/>
                <w:sz w:val="20"/>
                <w:szCs w:val="20"/>
              </w:rPr>
              <w:t>118.025,16</w:t>
            </w:r>
          </w:p>
        </w:tc>
      </w:tr>
      <w:tr w:rsidR="00F4775A" w:rsidRPr="00FA4351" w14:paraId="461DCC06" w14:textId="77777777" w:rsidTr="00C84FEB">
        <w:trPr>
          <w:jc w:val="center"/>
        </w:trPr>
        <w:tc>
          <w:tcPr>
            <w:tcW w:w="567" w:type="dxa"/>
            <w:vAlign w:val="center"/>
          </w:tcPr>
          <w:p w14:paraId="3A596C1B" w14:textId="77777777" w:rsidR="00F4775A" w:rsidRPr="00481AED" w:rsidRDefault="00F4775A" w:rsidP="00EC712D">
            <w:pPr>
              <w:spacing w:before="20" w:after="20"/>
              <w:jc w:val="center"/>
              <w:rPr>
                <w:rFonts w:asciiTheme="minorHAnsi" w:hAnsiTheme="minorHAnsi" w:cstheme="minorHAnsi"/>
                <w:sz w:val="20"/>
                <w:szCs w:val="20"/>
              </w:rPr>
            </w:pPr>
            <w:r w:rsidRPr="00481AED">
              <w:rPr>
                <w:rFonts w:asciiTheme="minorHAnsi" w:hAnsiTheme="minorHAnsi" w:cstheme="minorHAnsi"/>
                <w:color w:val="000000"/>
                <w:sz w:val="20"/>
                <w:szCs w:val="20"/>
              </w:rPr>
              <w:t>8</w:t>
            </w:r>
          </w:p>
        </w:tc>
        <w:tc>
          <w:tcPr>
            <w:tcW w:w="11624" w:type="dxa"/>
            <w:vAlign w:val="center"/>
          </w:tcPr>
          <w:p w14:paraId="13952326" w14:textId="77777777" w:rsidR="00F4775A" w:rsidRPr="00481AED" w:rsidRDefault="00F4775A" w:rsidP="00EC712D">
            <w:pPr>
              <w:spacing w:before="20" w:after="20"/>
              <w:rPr>
                <w:rFonts w:asciiTheme="minorHAnsi" w:hAnsiTheme="minorHAnsi" w:cstheme="minorHAnsi"/>
                <w:sz w:val="20"/>
                <w:szCs w:val="20"/>
              </w:rPr>
            </w:pPr>
            <w:r w:rsidRPr="00481AED">
              <w:rPr>
                <w:rFonts w:asciiTheme="minorHAnsi" w:hAnsiTheme="minorHAnsi" w:cstheme="minorHAnsi"/>
                <w:sz w:val="20"/>
                <w:szCs w:val="20"/>
              </w:rPr>
              <w:t>Obra de ampliación S/E Cardones 220 kV (Dex-310-2013)</w:t>
            </w:r>
          </w:p>
        </w:tc>
        <w:tc>
          <w:tcPr>
            <w:tcW w:w="1418" w:type="dxa"/>
            <w:vAlign w:val="center"/>
          </w:tcPr>
          <w:p w14:paraId="5B722C63" w14:textId="77777777" w:rsidR="00F4775A" w:rsidRPr="00481AED" w:rsidRDefault="00F4775A" w:rsidP="00EC712D">
            <w:pPr>
              <w:spacing w:before="20" w:after="20"/>
              <w:jc w:val="right"/>
              <w:rPr>
                <w:rFonts w:asciiTheme="minorHAnsi" w:hAnsiTheme="minorHAnsi" w:cstheme="minorHAnsi"/>
                <w:sz w:val="20"/>
                <w:szCs w:val="20"/>
              </w:rPr>
            </w:pPr>
            <w:r w:rsidRPr="00481AED">
              <w:rPr>
                <w:rFonts w:asciiTheme="minorHAnsi" w:hAnsiTheme="minorHAnsi" w:cstheme="minorHAnsi"/>
                <w:color w:val="000000"/>
                <w:sz w:val="20"/>
                <w:szCs w:val="20"/>
              </w:rPr>
              <w:t>57.613,92</w:t>
            </w:r>
          </w:p>
        </w:tc>
      </w:tr>
      <w:tr w:rsidR="00F4775A" w:rsidRPr="00FA4351" w14:paraId="219742EF" w14:textId="77777777" w:rsidTr="00C84FEB">
        <w:trPr>
          <w:jc w:val="center"/>
        </w:trPr>
        <w:tc>
          <w:tcPr>
            <w:tcW w:w="567" w:type="dxa"/>
            <w:vAlign w:val="center"/>
          </w:tcPr>
          <w:p w14:paraId="0028D7E7" w14:textId="77777777" w:rsidR="00F4775A" w:rsidRPr="00481AED" w:rsidRDefault="00F4775A" w:rsidP="00EC712D">
            <w:pPr>
              <w:spacing w:before="20" w:after="20"/>
              <w:jc w:val="center"/>
              <w:rPr>
                <w:rFonts w:asciiTheme="minorHAnsi" w:hAnsiTheme="minorHAnsi" w:cstheme="minorHAnsi"/>
                <w:sz w:val="20"/>
                <w:szCs w:val="20"/>
              </w:rPr>
            </w:pPr>
            <w:r w:rsidRPr="00481AED">
              <w:rPr>
                <w:rFonts w:asciiTheme="minorHAnsi" w:hAnsiTheme="minorHAnsi" w:cstheme="minorHAnsi"/>
                <w:color w:val="000000"/>
                <w:sz w:val="20"/>
                <w:szCs w:val="20"/>
              </w:rPr>
              <w:t>9</w:t>
            </w:r>
          </w:p>
        </w:tc>
        <w:tc>
          <w:tcPr>
            <w:tcW w:w="11624" w:type="dxa"/>
            <w:vAlign w:val="center"/>
          </w:tcPr>
          <w:p w14:paraId="39EF649A" w14:textId="77777777" w:rsidR="00F4775A" w:rsidRPr="00481AED" w:rsidRDefault="00F4775A" w:rsidP="00EC712D">
            <w:pPr>
              <w:spacing w:before="20" w:after="20"/>
              <w:rPr>
                <w:rFonts w:asciiTheme="minorHAnsi" w:hAnsiTheme="minorHAnsi" w:cstheme="minorHAnsi"/>
                <w:sz w:val="20"/>
                <w:szCs w:val="20"/>
              </w:rPr>
            </w:pPr>
            <w:r w:rsidRPr="00481AED">
              <w:rPr>
                <w:rFonts w:asciiTheme="minorHAnsi" w:hAnsiTheme="minorHAnsi" w:cstheme="minorHAnsi"/>
                <w:sz w:val="20"/>
                <w:szCs w:val="20"/>
              </w:rPr>
              <w:t>Obra de ampliación S/E Cerro Navia 220 kV (Dex-310-2013)</w:t>
            </w:r>
          </w:p>
        </w:tc>
        <w:tc>
          <w:tcPr>
            <w:tcW w:w="1418" w:type="dxa"/>
            <w:vAlign w:val="center"/>
          </w:tcPr>
          <w:p w14:paraId="2FF33DD1" w14:textId="77777777" w:rsidR="00F4775A" w:rsidRPr="00481AED" w:rsidRDefault="00F4775A" w:rsidP="00EC712D">
            <w:pPr>
              <w:spacing w:before="20" w:after="20"/>
              <w:jc w:val="right"/>
              <w:rPr>
                <w:rFonts w:asciiTheme="minorHAnsi" w:hAnsiTheme="minorHAnsi" w:cstheme="minorHAnsi"/>
                <w:sz w:val="20"/>
                <w:szCs w:val="20"/>
              </w:rPr>
            </w:pPr>
            <w:r w:rsidRPr="00481AED">
              <w:rPr>
                <w:rFonts w:asciiTheme="minorHAnsi" w:hAnsiTheme="minorHAnsi" w:cstheme="minorHAnsi"/>
                <w:color w:val="000000"/>
                <w:sz w:val="20"/>
                <w:szCs w:val="20"/>
              </w:rPr>
              <w:t>723.010,26</w:t>
            </w:r>
          </w:p>
        </w:tc>
      </w:tr>
      <w:tr w:rsidR="00F4775A" w:rsidRPr="00FA4351" w14:paraId="20F3250B" w14:textId="77777777" w:rsidTr="00C84FEB">
        <w:trPr>
          <w:jc w:val="center"/>
        </w:trPr>
        <w:tc>
          <w:tcPr>
            <w:tcW w:w="567" w:type="dxa"/>
            <w:vAlign w:val="center"/>
          </w:tcPr>
          <w:p w14:paraId="42EF93A8" w14:textId="77777777" w:rsidR="00F4775A" w:rsidRPr="00481AED" w:rsidRDefault="00F4775A" w:rsidP="00EC712D">
            <w:pPr>
              <w:spacing w:before="20" w:after="20"/>
              <w:jc w:val="center"/>
              <w:rPr>
                <w:rFonts w:asciiTheme="minorHAnsi" w:hAnsiTheme="minorHAnsi" w:cstheme="minorHAnsi"/>
                <w:sz w:val="20"/>
                <w:szCs w:val="20"/>
              </w:rPr>
            </w:pPr>
            <w:r w:rsidRPr="00481AED">
              <w:rPr>
                <w:rFonts w:asciiTheme="minorHAnsi" w:hAnsiTheme="minorHAnsi" w:cstheme="minorHAnsi"/>
                <w:color w:val="000000"/>
                <w:sz w:val="20"/>
                <w:szCs w:val="20"/>
              </w:rPr>
              <w:t>10</w:t>
            </w:r>
          </w:p>
        </w:tc>
        <w:tc>
          <w:tcPr>
            <w:tcW w:w="11624" w:type="dxa"/>
            <w:vAlign w:val="center"/>
          </w:tcPr>
          <w:p w14:paraId="7C005CC9" w14:textId="77777777" w:rsidR="00F4775A" w:rsidRPr="00481AED" w:rsidRDefault="00F4775A" w:rsidP="00EC712D">
            <w:pPr>
              <w:spacing w:before="20" w:after="20"/>
              <w:rPr>
                <w:rFonts w:asciiTheme="minorHAnsi" w:hAnsiTheme="minorHAnsi" w:cstheme="minorHAnsi"/>
                <w:sz w:val="20"/>
                <w:szCs w:val="20"/>
              </w:rPr>
            </w:pPr>
            <w:r w:rsidRPr="00481AED">
              <w:rPr>
                <w:rFonts w:asciiTheme="minorHAnsi" w:hAnsiTheme="minorHAnsi" w:cstheme="minorHAnsi"/>
                <w:sz w:val="20"/>
                <w:szCs w:val="20"/>
              </w:rPr>
              <w:t>Obra de ampliación S/E Charrúa 500 kV y cambio interruptor paños acopladores 52JR1, 52JR2, 52JR3</w:t>
            </w:r>
          </w:p>
        </w:tc>
        <w:tc>
          <w:tcPr>
            <w:tcW w:w="1418" w:type="dxa"/>
            <w:vAlign w:val="center"/>
          </w:tcPr>
          <w:p w14:paraId="34F4732C" w14:textId="7596F73E" w:rsidR="00F4775A" w:rsidRPr="00481AED" w:rsidRDefault="00F4775A" w:rsidP="00EC712D">
            <w:pPr>
              <w:spacing w:before="20" w:after="20"/>
              <w:jc w:val="right"/>
              <w:rPr>
                <w:rFonts w:asciiTheme="minorHAnsi" w:hAnsiTheme="minorHAnsi" w:cstheme="minorHAnsi"/>
                <w:sz w:val="20"/>
                <w:szCs w:val="20"/>
              </w:rPr>
            </w:pPr>
            <w:r w:rsidRPr="00481AED">
              <w:rPr>
                <w:rFonts w:asciiTheme="minorHAnsi" w:hAnsiTheme="minorHAnsi" w:cstheme="minorHAnsi"/>
                <w:color w:val="000000"/>
                <w:sz w:val="20"/>
                <w:szCs w:val="20"/>
              </w:rPr>
              <w:t>1.039.633,5</w:t>
            </w:r>
          </w:p>
        </w:tc>
      </w:tr>
      <w:tr w:rsidR="00F4775A" w:rsidRPr="00FA4351" w14:paraId="58C47E8B" w14:textId="77777777" w:rsidTr="00C84FEB">
        <w:trPr>
          <w:jc w:val="center"/>
        </w:trPr>
        <w:tc>
          <w:tcPr>
            <w:tcW w:w="567" w:type="dxa"/>
            <w:vAlign w:val="center"/>
          </w:tcPr>
          <w:p w14:paraId="2AE0EA78" w14:textId="77777777" w:rsidR="00F4775A" w:rsidRPr="00481AED" w:rsidRDefault="00F4775A" w:rsidP="00EC712D">
            <w:pPr>
              <w:spacing w:before="20" w:after="20"/>
              <w:jc w:val="center"/>
              <w:rPr>
                <w:rFonts w:asciiTheme="minorHAnsi" w:hAnsiTheme="minorHAnsi" w:cstheme="minorHAnsi"/>
                <w:sz w:val="20"/>
                <w:szCs w:val="20"/>
              </w:rPr>
            </w:pPr>
            <w:r w:rsidRPr="00481AED">
              <w:rPr>
                <w:rFonts w:asciiTheme="minorHAnsi" w:hAnsiTheme="minorHAnsi" w:cstheme="minorHAnsi"/>
                <w:color w:val="000000"/>
                <w:sz w:val="20"/>
                <w:szCs w:val="20"/>
              </w:rPr>
              <w:t>11</w:t>
            </w:r>
          </w:p>
        </w:tc>
        <w:tc>
          <w:tcPr>
            <w:tcW w:w="11624" w:type="dxa"/>
            <w:vAlign w:val="center"/>
          </w:tcPr>
          <w:p w14:paraId="118FBE69" w14:textId="77777777" w:rsidR="00F4775A" w:rsidRPr="00481AED" w:rsidRDefault="00F4775A" w:rsidP="00EC712D">
            <w:pPr>
              <w:spacing w:before="20" w:after="20"/>
              <w:rPr>
                <w:rFonts w:asciiTheme="minorHAnsi" w:hAnsiTheme="minorHAnsi" w:cstheme="minorHAnsi"/>
                <w:sz w:val="20"/>
                <w:szCs w:val="20"/>
              </w:rPr>
            </w:pPr>
            <w:r w:rsidRPr="00481AED">
              <w:rPr>
                <w:rFonts w:asciiTheme="minorHAnsi" w:hAnsiTheme="minorHAnsi" w:cstheme="minorHAnsi"/>
                <w:sz w:val="20"/>
                <w:szCs w:val="20"/>
              </w:rPr>
              <w:t>Obra de ampliación S/E Ciruelos 220 kV (Dex-310-2013)</w:t>
            </w:r>
          </w:p>
        </w:tc>
        <w:tc>
          <w:tcPr>
            <w:tcW w:w="1418" w:type="dxa"/>
            <w:vAlign w:val="center"/>
          </w:tcPr>
          <w:p w14:paraId="52887A31" w14:textId="77777777" w:rsidR="00F4775A" w:rsidRPr="00481AED" w:rsidRDefault="00F4775A" w:rsidP="00EC712D">
            <w:pPr>
              <w:spacing w:before="20" w:after="20"/>
              <w:jc w:val="right"/>
              <w:rPr>
                <w:rFonts w:asciiTheme="minorHAnsi" w:hAnsiTheme="minorHAnsi" w:cstheme="minorHAnsi"/>
                <w:sz w:val="20"/>
                <w:szCs w:val="20"/>
              </w:rPr>
            </w:pPr>
            <w:r w:rsidRPr="00481AED">
              <w:rPr>
                <w:rFonts w:asciiTheme="minorHAnsi" w:hAnsiTheme="minorHAnsi" w:cstheme="minorHAnsi"/>
                <w:color w:val="000000"/>
                <w:sz w:val="20"/>
                <w:szCs w:val="20"/>
              </w:rPr>
              <w:t>197.739,70</w:t>
            </w:r>
          </w:p>
        </w:tc>
      </w:tr>
      <w:tr w:rsidR="00F4775A" w:rsidRPr="00FA4351" w14:paraId="0D818E80" w14:textId="77777777" w:rsidTr="00C84FEB">
        <w:trPr>
          <w:jc w:val="center"/>
        </w:trPr>
        <w:tc>
          <w:tcPr>
            <w:tcW w:w="567" w:type="dxa"/>
            <w:vAlign w:val="center"/>
          </w:tcPr>
          <w:p w14:paraId="0537850C" w14:textId="77777777" w:rsidR="00F4775A" w:rsidRPr="00481AED" w:rsidRDefault="00F4775A" w:rsidP="00EC712D">
            <w:pPr>
              <w:spacing w:before="20" w:after="20"/>
              <w:jc w:val="center"/>
              <w:rPr>
                <w:rFonts w:asciiTheme="minorHAnsi" w:hAnsiTheme="minorHAnsi" w:cstheme="minorHAnsi"/>
                <w:sz w:val="20"/>
                <w:szCs w:val="20"/>
              </w:rPr>
            </w:pPr>
            <w:r w:rsidRPr="00481AED">
              <w:rPr>
                <w:rFonts w:asciiTheme="minorHAnsi" w:hAnsiTheme="minorHAnsi" w:cstheme="minorHAnsi"/>
                <w:color w:val="000000"/>
                <w:sz w:val="20"/>
                <w:szCs w:val="20"/>
              </w:rPr>
              <w:t>12</w:t>
            </w:r>
          </w:p>
        </w:tc>
        <w:tc>
          <w:tcPr>
            <w:tcW w:w="11624" w:type="dxa"/>
            <w:vAlign w:val="center"/>
          </w:tcPr>
          <w:p w14:paraId="3DF7DC13" w14:textId="77777777" w:rsidR="00F4775A" w:rsidRPr="00481AED" w:rsidRDefault="00F4775A" w:rsidP="00EC712D">
            <w:pPr>
              <w:spacing w:before="20" w:after="20"/>
              <w:rPr>
                <w:rFonts w:asciiTheme="minorHAnsi" w:hAnsiTheme="minorHAnsi" w:cstheme="minorHAnsi"/>
                <w:sz w:val="20"/>
                <w:szCs w:val="20"/>
              </w:rPr>
            </w:pPr>
            <w:r w:rsidRPr="00481AED">
              <w:rPr>
                <w:rFonts w:asciiTheme="minorHAnsi" w:hAnsiTheme="minorHAnsi" w:cstheme="minorHAnsi"/>
                <w:sz w:val="20"/>
                <w:szCs w:val="20"/>
              </w:rPr>
              <w:t>Obra de ampliación S/E Diego de Almagro 220 kV (Dex-310-2013)</w:t>
            </w:r>
          </w:p>
        </w:tc>
        <w:tc>
          <w:tcPr>
            <w:tcW w:w="1418" w:type="dxa"/>
            <w:vAlign w:val="center"/>
          </w:tcPr>
          <w:p w14:paraId="68C2A003" w14:textId="77777777" w:rsidR="00F4775A" w:rsidRPr="00481AED" w:rsidRDefault="00F4775A" w:rsidP="00EC712D">
            <w:pPr>
              <w:spacing w:before="20" w:after="20"/>
              <w:jc w:val="right"/>
              <w:rPr>
                <w:rFonts w:asciiTheme="minorHAnsi" w:hAnsiTheme="minorHAnsi" w:cstheme="minorHAnsi"/>
                <w:sz w:val="20"/>
                <w:szCs w:val="20"/>
              </w:rPr>
            </w:pPr>
            <w:r w:rsidRPr="00481AED">
              <w:rPr>
                <w:rFonts w:asciiTheme="minorHAnsi" w:hAnsiTheme="minorHAnsi" w:cstheme="minorHAnsi"/>
                <w:color w:val="000000"/>
                <w:sz w:val="20"/>
                <w:szCs w:val="20"/>
              </w:rPr>
              <w:t>388.782,91</w:t>
            </w:r>
          </w:p>
        </w:tc>
      </w:tr>
      <w:tr w:rsidR="00F4775A" w:rsidRPr="00FA4351" w14:paraId="380AE450" w14:textId="77777777" w:rsidTr="00C84FEB">
        <w:trPr>
          <w:jc w:val="center"/>
        </w:trPr>
        <w:tc>
          <w:tcPr>
            <w:tcW w:w="567" w:type="dxa"/>
            <w:vAlign w:val="center"/>
          </w:tcPr>
          <w:p w14:paraId="3E447E32" w14:textId="77777777" w:rsidR="00F4775A" w:rsidRPr="00481AED" w:rsidRDefault="00F4775A" w:rsidP="00EC712D">
            <w:pPr>
              <w:spacing w:before="20" w:after="20"/>
              <w:jc w:val="center"/>
              <w:rPr>
                <w:rFonts w:asciiTheme="minorHAnsi" w:hAnsiTheme="minorHAnsi" w:cstheme="minorHAnsi"/>
                <w:sz w:val="20"/>
                <w:szCs w:val="20"/>
              </w:rPr>
            </w:pPr>
            <w:r w:rsidRPr="00481AED">
              <w:rPr>
                <w:rFonts w:asciiTheme="minorHAnsi" w:hAnsiTheme="minorHAnsi" w:cstheme="minorHAnsi"/>
                <w:color w:val="000000"/>
                <w:sz w:val="20"/>
                <w:szCs w:val="20"/>
              </w:rPr>
              <w:t>13</w:t>
            </w:r>
          </w:p>
        </w:tc>
        <w:tc>
          <w:tcPr>
            <w:tcW w:w="11624" w:type="dxa"/>
            <w:vAlign w:val="center"/>
          </w:tcPr>
          <w:p w14:paraId="64AA18C2" w14:textId="77777777" w:rsidR="00F4775A" w:rsidRPr="00481AED" w:rsidRDefault="00F4775A" w:rsidP="00EC712D">
            <w:pPr>
              <w:spacing w:before="20" w:after="20"/>
              <w:rPr>
                <w:rFonts w:asciiTheme="minorHAnsi" w:hAnsiTheme="minorHAnsi" w:cstheme="minorHAnsi"/>
                <w:sz w:val="20"/>
                <w:szCs w:val="20"/>
              </w:rPr>
            </w:pPr>
            <w:r w:rsidRPr="00481AED">
              <w:rPr>
                <w:rFonts w:asciiTheme="minorHAnsi" w:hAnsiTheme="minorHAnsi" w:cstheme="minorHAnsi"/>
                <w:sz w:val="20"/>
                <w:szCs w:val="20"/>
              </w:rPr>
              <w:t>Obra de ampliación S/E Encuentro 220 kV, aumento de capacidad de línea 2x220 Crucero-Encuentro y cambio TTCC y trampa de onda paño J5 S/E Crucero</w:t>
            </w:r>
          </w:p>
        </w:tc>
        <w:tc>
          <w:tcPr>
            <w:tcW w:w="1418" w:type="dxa"/>
            <w:vAlign w:val="center"/>
          </w:tcPr>
          <w:p w14:paraId="6C84A716" w14:textId="5DB130B0" w:rsidR="00F4775A" w:rsidRPr="00481AED" w:rsidRDefault="00F4775A" w:rsidP="00EC712D">
            <w:pPr>
              <w:spacing w:before="20" w:after="20"/>
              <w:jc w:val="right"/>
              <w:rPr>
                <w:rFonts w:asciiTheme="minorHAnsi" w:hAnsiTheme="minorHAnsi" w:cstheme="minorHAnsi"/>
                <w:sz w:val="20"/>
                <w:szCs w:val="20"/>
              </w:rPr>
            </w:pPr>
            <w:r w:rsidRPr="00481AED">
              <w:rPr>
                <w:rFonts w:asciiTheme="minorHAnsi" w:hAnsiTheme="minorHAnsi" w:cstheme="minorHAnsi"/>
                <w:color w:val="000000"/>
                <w:sz w:val="20"/>
                <w:szCs w:val="20"/>
              </w:rPr>
              <w:t>1.778.606,6</w:t>
            </w:r>
          </w:p>
        </w:tc>
      </w:tr>
      <w:tr w:rsidR="00F4775A" w:rsidRPr="00FA4351" w14:paraId="76F58BBB" w14:textId="77777777" w:rsidTr="00C84FEB">
        <w:trPr>
          <w:jc w:val="center"/>
        </w:trPr>
        <w:tc>
          <w:tcPr>
            <w:tcW w:w="567" w:type="dxa"/>
            <w:vAlign w:val="center"/>
          </w:tcPr>
          <w:p w14:paraId="14E5AB81" w14:textId="77777777" w:rsidR="00F4775A" w:rsidRPr="00481AED" w:rsidRDefault="00F4775A" w:rsidP="00EC712D">
            <w:pPr>
              <w:spacing w:before="20" w:after="20"/>
              <w:jc w:val="center"/>
              <w:rPr>
                <w:rFonts w:asciiTheme="minorHAnsi" w:hAnsiTheme="minorHAnsi" w:cstheme="minorHAnsi"/>
                <w:sz w:val="20"/>
                <w:szCs w:val="20"/>
              </w:rPr>
            </w:pPr>
            <w:r w:rsidRPr="00481AED">
              <w:rPr>
                <w:rFonts w:asciiTheme="minorHAnsi" w:hAnsiTheme="minorHAnsi" w:cstheme="minorHAnsi"/>
                <w:color w:val="000000"/>
                <w:sz w:val="20"/>
                <w:szCs w:val="20"/>
              </w:rPr>
              <w:t>14</w:t>
            </w:r>
          </w:p>
        </w:tc>
        <w:tc>
          <w:tcPr>
            <w:tcW w:w="11624" w:type="dxa"/>
            <w:vAlign w:val="center"/>
          </w:tcPr>
          <w:p w14:paraId="49F1308E" w14:textId="77777777" w:rsidR="00F4775A" w:rsidRPr="00481AED" w:rsidRDefault="00F4775A" w:rsidP="00EC712D">
            <w:pPr>
              <w:spacing w:before="20" w:after="20"/>
              <w:rPr>
                <w:rFonts w:asciiTheme="minorHAnsi" w:hAnsiTheme="minorHAnsi" w:cstheme="minorHAnsi"/>
                <w:sz w:val="20"/>
                <w:szCs w:val="20"/>
              </w:rPr>
            </w:pPr>
            <w:r w:rsidRPr="00481AED">
              <w:rPr>
                <w:rFonts w:asciiTheme="minorHAnsi" w:hAnsiTheme="minorHAnsi" w:cstheme="minorHAnsi"/>
                <w:sz w:val="20"/>
                <w:szCs w:val="20"/>
              </w:rPr>
              <w:t>Obra de ampliación S/E Lagunas 220 kV, Banco de condensadores de 60 MVAr y cambio TTCC paños J1 y J2</w:t>
            </w:r>
          </w:p>
        </w:tc>
        <w:tc>
          <w:tcPr>
            <w:tcW w:w="1418" w:type="dxa"/>
            <w:vAlign w:val="center"/>
          </w:tcPr>
          <w:p w14:paraId="44E0965F" w14:textId="77777777" w:rsidR="00F4775A" w:rsidRPr="00481AED" w:rsidRDefault="00F4775A" w:rsidP="00EC712D">
            <w:pPr>
              <w:spacing w:before="20" w:after="20"/>
              <w:jc w:val="right"/>
              <w:rPr>
                <w:rFonts w:asciiTheme="minorHAnsi" w:hAnsiTheme="minorHAnsi" w:cstheme="minorHAnsi"/>
                <w:sz w:val="20"/>
                <w:szCs w:val="20"/>
              </w:rPr>
            </w:pPr>
            <w:r w:rsidRPr="00481AED">
              <w:rPr>
                <w:rFonts w:asciiTheme="minorHAnsi" w:hAnsiTheme="minorHAnsi" w:cstheme="minorHAnsi"/>
                <w:color w:val="000000"/>
                <w:sz w:val="20"/>
                <w:szCs w:val="20"/>
              </w:rPr>
              <w:t>68.240,59</w:t>
            </w:r>
          </w:p>
        </w:tc>
      </w:tr>
      <w:tr w:rsidR="00F4775A" w:rsidRPr="00FA4351" w14:paraId="29C84CC8" w14:textId="77777777" w:rsidTr="00C84FEB">
        <w:trPr>
          <w:jc w:val="center"/>
        </w:trPr>
        <w:tc>
          <w:tcPr>
            <w:tcW w:w="567" w:type="dxa"/>
            <w:vAlign w:val="center"/>
          </w:tcPr>
          <w:p w14:paraId="44FE813D" w14:textId="77777777" w:rsidR="00F4775A" w:rsidRPr="00481AED" w:rsidRDefault="00F4775A" w:rsidP="00EC712D">
            <w:pPr>
              <w:spacing w:before="20" w:after="20"/>
              <w:jc w:val="center"/>
              <w:rPr>
                <w:rFonts w:asciiTheme="minorHAnsi" w:hAnsiTheme="minorHAnsi" w:cstheme="minorHAnsi"/>
                <w:sz w:val="20"/>
                <w:szCs w:val="20"/>
              </w:rPr>
            </w:pPr>
            <w:r w:rsidRPr="00481AED">
              <w:rPr>
                <w:rFonts w:asciiTheme="minorHAnsi" w:hAnsiTheme="minorHAnsi" w:cstheme="minorHAnsi"/>
                <w:color w:val="000000"/>
                <w:sz w:val="20"/>
                <w:szCs w:val="20"/>
              </w:rPr>
              <w:t>15</w:t>
            </w:r>
          </w:p>
        </w:tc>
        <w:tc>
          <w:tcPr>
            <w:tcW w:w="11624" w:type="dxa"/>
            <w:vAlign w:val="center"/>
          </w:tcPr>
          <w:p w14:paraId="72B0E82F" w14:textId="77777777" w:rsidR="00F4775A" w:rsidRPr="00481AED" w:rsidRDefault="00F4775A" w:rsidP="00EC712D">
            <w:pPr>
              <w:spacing w:before="20" w:after="20"/>
              <w:rPr>
                <w:rFonts w:asciiTheme="minorHAnsi" w:hAnsiTheme="minorHAnsi" w:cstheme="minorHAnsi"/>
                <w:sz w:val="20"/>
                <w:szCs w:val="20"/>
              </w:rPr>
            </w:pPr>
            <w:r w:rsidRPr="00481AED">
              <w:rPr>
                <w:rFonts w:asciiTheme="minorHAnsi" w:hAnsiTheme="minorHAnsi" w:cstheme="minorHAnsi"/>
                <w:sz w:val="20"/>
                <w:szCs w:val="20"/>
              </w:rPr>
              <w:t>Obra de ampliación S/E Las Palmas 220 kV (Dex-310-2013)</w:t>
            </w:r>
          </w:p>
        </w:tc>
        <w:tc>
          <w:tcPr>
            <w:tcW w:w="1418" w:type="dxa"/>
            <w:vAlign w:val="center"/>
          </w:tcPr>
          <w:p w14:paraId="07C849EA" w14:textId="77777777" w:rsidR="00F4775A" w:rsidRPr="00481AED" w:rsidRDefault="00F4775A" w:rsidP="00EC712D">
            <w:pPr>
              <w:spacing w:before="20" w:after="20"/>
              <w:jc w:val="right"/>
              <w:rPr>
                <w:rFonts w:asciiTheme="minorHAnsi" w:hAnsiTheme="minorHAnsi" w:cstheme="minorHAnsi"/>
                <w:sz w:val="20"/>
                <w:szCs w:val="20"/>
              </w:rPr>
            </w:pPr>
            <w:r w:rsidRPr="00481AED">
              <w:rPr>
                <w:rFonts w:asciiTheme="minorHAnsi" w:hAnsiTheme="minorHAnsi" w:cstheme="minorHAnsi"/>
                <w:color w:val="000000"/>
                <w:sz w:val="20"/>
                <w:szCs w:val="20"/>
              </w:rPr>
              <w:t>12.729,72</w:t>
            </w:r>
          </w:p>
        </w:tc>
      </w:tr>
      <w:tr w:rsidR="00F4775A" w:rsidRPr="00FA4351" w14:paraId="038E352C" w14:textId="77777777" w:rsidTr="00C84FEB">
        <w:trPr>
          <w:jc w:val="center"/>
        </w:trPr>
        <w:tc>
          <w:tcPr>
            <w:tcW w:w="567" w:type="dxa"/>
            <w:vAlign w:val="center"/>
          </w:tcPr>
          <w:p w14:paraId="04366608" w14:textId="77777777" w:rsidR="00F4775A" w:rsidRPr="00481AED" w:rsidRDefault="00F4775A" w:rsidP="00EC712D">
            <w:pPr>
              <w:spacing w:before="20" w:after="20"/>
              <w:jc w:val="center"/>
              <w:rPr>
                <w:rFonts w:asciiTheme="minorHAnsi" w:hAnsiTheme="minorHAnsi" w:cstheme="minorHAnsi"/>
                <w:sz w:val="20"/>
                <w:szCs w:val="20"/>
              </w:rPr>
            </w:pPr>
            <w:r w:rsidRPr="00481AED">
              <w:rPr>
                <w:rFonts w:asciiTheme="minorHAnsi" w:hAnsiTheme="minorHAnsi" w:cstheme="minorHAnsi"/>
                <w:color w:val="000000"/>
                <w:sz w:val="20"/>
                <w:szCs w:val="20"/>
              </w:rPr>
              <w:t>16</w:t>
            </w:r>
          </w:p>
        </w:tc>
        <w:tc>
          <w:tcPr>
            <w:tcW w:w="11624" w:type="dxa"/>
            <w:vAlign w:val="center"/>
          </w:tcPr>
          <w:p w14:paraId="35F4FE6C" w14:textId="77777777" w:rsidR="00F4775A" w:rsidRPr="00481AED" w:rsidRDefault="00F4775A" w:rsidP="00EC712D">
            <w:pPr>
              <w:spacing w:before="20" w:after="20"/>
              <w:rPr>
                <w:rFonts w:asciiTheme="minorHAnsi" w:hAnsiTheme="minorHAnsi" w:cstheme="minorHAnsi"/>
                <w:sz w:val="20"/>
                <w:szCs w:val="20"/>
              </w:rPr>
            </w:pPr>
            <w:r w:rsidRPr="00481AED">
              <w:rPr>
                <w:rFonts w:asciiTheme="minorHAnsi" w:hAnsiTheme="minorHAnsi" w:cstheme="minorHAnsi"/>
                <w:sz w:val="20"/>
                <w:szCs w:val="20"/>
              </w:rPr>
              <w:t>Obra de ampliación S/E Maitencillo 220 kV (Dex-310-2013)</w:t>
            </w:r>
          </w:p>
        </w:tc>
        <w:tc>
          <w:tcPr>
            <w:tcW w:w="1418" w:type="dxa"/>
            <w:vAlign w:val="center"/>
          </w:tcPr>
          <w:p w14:paraId="12D153F2" w14:textId="77777777" w:rsidR="00F4775A" w:rsidRPr="00481AED" w:rsidRDefault="00F4775A" w:rsidP="00EC712D">
            <w:pPr>
              <w:spacing w:before="20" w:after="20"/>
              <w:jc w:val="right"/>
              <w:rPr>
                <w:rFonts w:asciiTheme="minorHAnsi" w:hAnsiTheme="minorHAnsi" w:cstheme="minorHAnsi"/>
                <w:sz w:val="20"/>
                <w:szCs w:val="20"/>
              </w:rPr>
            </w:pPr>
            <w:r w:rsidRPr="00481AED">
              <w:rPr>
                <w:rFonts w:asciiTheme="minorHAnsi" w:hAnsiTheme="minorHAnsi" w:cstheme="minorHAnsi"/>
                <w:color w:val="000000"/>
                <w:sz w:val="20"/>
                <w:szCs w:val="20"/>
              </w:rPr>
              <w:t>95.987,65</w:t>
            </w:r>
          </w:p>
        </w:tc>
      </w:tr>
      <w:tr w:rsidR="00F4775A" w:rsidRPr="00FA4351" w14:paraId="73152603" w14:textId="77777777" w:rsidTr="00C84FEB">
        <w:trPr>
          <w:jc w:val="center"/>
        </w:trPr>
        <w:tc>
          <w:tcPr>
            <w:tcW w:w="567" w:type="dxa"/>
            <w:vAlign w:val="center"/>
          </w:tcPr>
          <w:p w14:paraId="019A8CB0" w14:textId="77777777" w:rsidR="00F4775A" w:rsidRPr="00481AED" w:rsidRDefault="00F4775A" w:rsidP="00EC712D">
            <w:pPr>
              <w:spacing w:before="20" w:after="20"/>
              <w:jc w:val="center"/>
              <w:rPr>
                <w:rFonts w:asciiTheme="minorHAnsi" w:hAnsiTheme="minorHAnsi" w:cstheme="minorHAnsi"/>
                <w:sz w:val="20"/>
                <w:szCs w:val="20"/>
              </w:rPr>
            </w:pPr>
            <w:r w:rsidRPr="00481AED">
              <w:rPr>
                <w:rFonts w:asciiTheme="minorHAnsi" w:hAnsiTheme="minorHAnsi" w:cstheme="minorHAnsi"/>
                <w:color w:val="000000"/>
                <w:sz w:val="20"/>
                <w:szCs w:val="20"/>
              </w:rPr>
              <w:t>17</w:t>
            </w:r>
          </w:p>
        </w:tc>
        <w:tc>
          <w:tcPr>
            <w:tcW w:w="11624" w:type="dxa"/>
            <w:vAlign w:val="center"/>
          </w:tcPr>
          <w:p w14:paraId="2113FC27" w14:textId="77777777" w:rsidR="00F4775A" w:rsidRPr="00481AED" w:rsidRDefault="00F4775A" w:rsidP="00EC712D">
            <w:pPr>
              <w:spacing w:before="20" w:after="20"/>
              <w:rPr>
                <w:rFonts w:asciiTheme="minorHAnsi" w:hAnsiTheme="minorHAnsi" w:cstheme="minorHAnsi"/>
                <w:sz w:val="20"/>
                <w:szCs w:val="20"/>
              </w:rPr>
            </w:pPr>
            <w:r w:rsidRPr="00481AED">
              <w:rPr>
                <w:rFonts w:asciiTheme="minorHAnsi" w:hAnsiTheme="minorHAnsi" w:cstheme="minorHAnsi"/>
                <w:sz w:val="20"/>
                <w:szCs w:val="20"/>
              </w:rPr>
              <w:t>Obra de ampliación S/E Polpaico 500 kV y Cambio interruptor paño acoplador 52JR (Dex-310-2013)</w:t>
            </w:r>
          </w:p>
        </w:tc>
        <w:tc>
          <w:tcPr>
            <w:tcW w:w="1418" w:type="dxa"/>
            <w:vAlign w:val="center"/>
          </w:tcPr>
          <w:p w14:paraId="16BD3133" w14:textId="77777777" w:rsidR="00F4775A" w:rsidRPr="00481AED" w:rsidRDefault="00F4775A" w:rsidP="00EC712D">
            <w:pPr>
              <w:spacing w:before="20" w:after="20"/>
              <w:jc w:val="right"/>
              <w:rPr>
                <w:rFonts w:asciiTheme="minorHAnsi" w:hAnsiTheme="minorHAnsi" w:cstheme="minorHAnsi"/>
                <w:sz w:val="20"/>
                <w:szCs w:val="20"/>
              </w:rPr>
            </w:pPr>
            <w:r w:rsidRPr="00481AED">
              <w:rPr>
                <w:rFonts w:asciiTheme="minorHAnsi" w:hAnsiTheme="minorHAnsi" w:cstheme="minorHAnsi"/>
                <w:sz w:val="20"/>
                <w:szCs w:val="20"/>
              </w:rPr>
              <w:t>491.353,67</w:t>
            </w:r>
          </w:p>
        </w:tc>
      </w:tr>
      <w:tr w:rsidR="00F4775A" w:rsidRPr="00FA4351" w14:paraId="5FB97BF0" w14:textId="77777777" w:rsidTr="00C84FEB">
        <w:trPr>
          <w:jc w:val="center"/>
        </w:trPr>
        <w:tc>
          <w:tcPr>
            <w:tcW w:w="567" w:type="dxa"/>
            <w:vAlign w:val="center"/>
          </w:tcPr>
          <w:p w14:paraId="0D60374B" w14:textId="77777777" w:rsidR="00F4775A" w:rsidRPr="00481AED" w:rsidRDefault="00F4775A" w:rsidP="00EC712D">
            <w:pPr>
              <w:spacing w:before="20" w:after="20"/>
              <w:jc w:val="center"/>
              <w:rPr>
                <w:rFonts w:asciiTheme="minorHAnsi" w:hAnsiTheme="minorHAnsi" w:cstheme="minorHAnsi"/>
                <w:sz w:val="20"/>
                <w:szCs w:val="20"/>
              </w:rPr>
            </w:pPr>
            <w:r w:rsidRPr="00481AED">
              <w:rPr>
                <w:rFonts w:asciiTheme="minorHAnsi" w:hAnsiTheme="minorHAnsi" w:cstheme="minorHAnsi"/>
                <w:color w:val="000000"/>
                <w:sz w:val="20"/>
                <w:szCs w:val="20"/>
              </w:rPr>
              <w:t>18</w:t>
            </w:r>
          </w:p>
        </w:tc>
        <w:tc>
          <w:tcPr>
            <w:tcW w:w="11624" w:type="dxa"/>
            <w:vAlign w:val="center"/>
          </w:tcPr>
          <w:p w14:paraId="3F35ED39" w14:textId="77777777" w:rsidR="00F4775A" w:rsidRPr="00481AED" w:rsidRDefault="00F4775A" w:rsidP="00EC712D">
            <w:pPr>
              <w:spacing w:before="20" w:after="20"/>
              <w:rPr>
                <w:rFonts w:asciiTheme="minorHAnsi" w:hAnsiTheme="minorHAnsi" w:cstheme="minorHAnsi"/>
                <w:sz w:val="20"/>
                <w:szCs w:val="20"/>
              </w:rPr>
            </w:pPr>
            <w:r w:rsidRPr="00481AED">
              <w:rPr>
                <w:rFonts w:asciiTheme="minorHAnsi" w:hAnsiTheme="minorHAnsi" w:cstheme="minorHAnsi"/>
                <w:sz w:val="20"/>
                <w:szCs w:val="20"/>
              </w:rPr>
              <w:t>Obra de ampliación S/E Rapel 220 kV e Instalación paño 52JS (Dex-310-2013)</w:t>
            </w:r>
          </w:p>
        </w:tc>
        <w:tc>
          <w:tcPr>
            <w:tcW w:w="1418" w:type="dxa"/>
            <w:vAlign w:val="center"/>
          </w:tcPr>
          <w:p w14:paraId="12DA674C" w14:textId="77777777" w:rsidR="00F4775A" w:rsidRPr="00481AED" w:rsidRDefault="00F4775A" w:rsidP="00EC712D">
            <w:pPr>
              <w:spacing w:before="20" w:after="20"/>
              <w:jc w:val="right"/>
              <w:rPr>
                <w:rFonts w:asciiTheme="minorHAnsi" w:hAnsiTheme="minorHAnsi" w:cstheme="minorHAnsi"/>
                <w:sz w:val="20"/>
                <w:szCs w:val="20"/>
              </w:rPr>
            </w:pPr>
            <w:r w:rsidRPr="00481AED">
              <w:rPr>
                <w:rFonts w:asciiTheme="minorHAnsi" w:hAnsiTheme="minorHAnsi" w:cstheme="minorHAnsi"/>
                <w:color w:val="000000"/>
                <w:sz w:val="20"/>
                <w:szCs w:val="20"/>
              </w:rPr>
              <w:t>73.255,55</w:t>
            </w:r>
          </w:p>
        </w:tc>
      </w:tr>
      <w:tr w:rsidR="00F4775A" w:rsidRPr="00FA4351" w14:paraId="28596067" w14:textId="77777777" w:rsidTr="00C84FEB">
        <w:trPr>
          <w:jc w:val="center"/>
        </w:trPr>
        <w:tc>
          <w:tcPr>
            <w:tcW w:w="567" w:type="dxa"/>
            <w:vAlign w:val="center"/>
          </w:tcPr>
          <w:p w14:paraId="69D4A244" w14:textId="77777777" w:rsidR="00F4775A" w:rsidRPr="00481AED" w:rsidRDefault="00F4775A" w:rsidP="00EC712D">
            <w:pPr>
              <w:spacing w:before="20" w:after="20"/>
              <w:jc w:val="center"/>
              <w:rPr>
                <w:rFonts w:asciiTheme="minorHAnsi" w:hAnsiTheme="minorHAnsi" w:cstheme="minorHAnsi"/>
                <w:sz w:val="20"/>
                <w:szCs w:val="20"/>
              </w:rPr>
            </w:pPr>
            <w:r w:rsidRPr="00481AED">
              <w:rPr>
                <w:rFonts w:asciiTheme="minorHAnsi" w:hAnsiTheme="minorHAnsi" w:cstheme="minorHAnsi"/>
                <w:color w:val="000000"/>
                <w:sz w:val="20"/>
                <w:szCs w:val="20"/>
              </w:rPr>
              <w:t>19</w:t>
            </w:r>
          </w:p>
        </w:tc>
        <w:tc>
          <w:tcPr>
            <w:tcW w:w="11624" w:type="dxa"/>
            <w:vAlign w:val="center"/>
          </w:tcPr>
          <w:p w14:paraId="1D62031E" w14:textId="77777777" w:rsidR="00F4775A" w:rsidRPr="00481AED" w:rsidRDefault="00F4775A" w:rsidP="00EC712D">
            <w:pPr>
              <w:spacing w:before="20" w:after="20"/>
              <w:rPr>
                <w:rFonts w:asciiTheme="minorHAnsi" w:hAnsiTheme="minorHAnsi" w:cstheme="minorHAnsi"/>
                <w:sz w:val="20"/>
                <w:szCs w:val="20"/>
              </w:rPr>
            </w:pPr>
            <w:r w:rsidRPr="00481AED">
              <w:rPr>
                <w:rFonts w:asciiTheme="minorHAnsi" w:hAnsiTheme="minorHAnsi" w:cstheme="minorHAnsi"/>
                <w:sz w:val="20"/>
                <w:szCs w:val="20"/>
              </w:rPr>
              <w:t>Obra de reemplazo de desconectadores en S/E Quillota y S/E Polpaico</w:t>
            </w:r>
          </w:p>
        </w:tc>
        <w:tc>
          <w:tcPr>
            <w:tcW w:w="1418" w:type="dxa"/>
            <w:vAlign w:val="center"/>
          </w:tcPr>
          <w:p w14:paraId="541E4567" w14:textId="77777777" w:rsidR="00F4775A" w:rsidRPr="00481AED" w:rsidRDefault="00F4775A" w:rsidP="00EC712D">
            <w:pPr>
              <w:spacing w:before="20" w:after="20"/>
              <w:jc w:val="right"/>
              <w:rPr>
                <w:rFonts w:asciiTheme="minorHAnsi" w:hAnsiTheme="minorHAnsi" w:cstheme="minorHAnsi"/>
                <w:sz w:val="20"/>
                <w:szCs w:val="20"/>
              </w:rPr>
            </w:pPr>
            <w:r w:rsidRPr="00481AED">
              <w:rPr>
                <w:rFonts w:asciiTheme="minorHAnsi" w:hAnsiTheme="minorHAnsi" w:cstheme="minorHAnsi"/>
                <w:color w:val="000000"/>
                <w:sz w:val="20"/>
                <w:szCs w:val="20"/>
              </w:rPr>
              <w:t>45.480,31</w:t>
            </w:r>
          </w:p>
        </w:tc>
      </w:tr>
      <w:tr w:rsidR="00F4775A" w:rsidRPr="00FA4351" w14:paraId="3D5C88FD" w14:textId="77777777" w:rsidTr="00C84FEB">
        <w:trPr>
          <w:jc w:val="center"/>
        </w:trPr>
        <w:tc>
          <w:tcPr>
            <w:tcW w:w="567" w:type="dxa"/>
            <w:vAlign w:val="center"/>
          </w:tcPr>
          <w:p w14:paraId="07D41D0C" w14:textId="77777777" w:rsidR="00F4775A" w:rsidRPr="00481AED" w:rsidRDefault="00F4775A" w:rsidP="00EC712D">
            <w:pPr>
              <w:spacing w:before="20" w:after="20"/>
              <w:jc w:val="center"/>
              <w:rPr>
                <w:rFonts w:asciiTheme="minorHAnsi" w:hAnsiTheme="minorHAnsi" w:cstheme="minorHAnsi"/>
                <w:sz w:val="20"/>
                <w:szCs w:val="20"/>
              </w:rPr>
            </w:pPr>
            <w:r w:rsidRPr="00481AED">
              <w:rPr>
                <w:rFonts w:asciiTheme="minorHAnsi" w:hAnsiTheme="minorHAnsi" w:cstheme="minorHAnsi"/>
                <w:color w:val="000000"/>
                <w:sz w:val="20"/>
                <w:szCs w:val="20"/>
              </w:rPr>
              <w:t>20</w:t>
            </w:r>
          </w:p>
        </w:tc>
        <w:tc>
          <w:tcPr>
            <w:tcW w:w="11624" w:type="dxa"/>
            <w:vAlign w:val="center"/>
          </w:tcPr>
          <w:p w14:paraId="6F6B0FBA" w14:textId="77777777" w:rsidR="00F4775A" w:rsidRPr="00481AED" w:rsidRDefault="00F4775A" w:rsidP="00EC712D">
            <w:pPr>
              <w:spacing w:before="20" w:after="20"/>
              <w:rPr>
                <w:rFonts w:asciiTheme="minorHAnsi" w:hAnsiTheme="minorHAnsi" w:cstheme="minorHAnsi"/>
                <w:sz w:val="20"/>
                <w:szCs w:val="20"/>
              </w:rPr>
            </w:pPr>
            <w:r w:rsidRPr="00481AED">
              <w:rPr>
                <w:rFonts w:asciiTheme="minorHAnsi" w:hAnsiTheme="minorHAnsi" w:cstheme="minorHAnsi"/>
                <w:sz w:val="20"/>
                <w:szCs w:val="20"/>
              </w:rPr>
              <w:t>Obra de ampliación S/E Ancoa 500 kV (Dex-310-2013)</w:t>
            </w:r>
          </w:p>
        </w:tc>
        <w:tc>
          <w:tcPr>
            <w:tcW w:w="1418" w:type="dxa"/>
            <w:vAlign w:val="center"/>
          </w:tcPr>
          <w:p w14:paraId="79473F83" w14:textId="77777777" w:rsidR="00F4775A" w:rsidRPr="00481AED" w:rsidRDefault="00F4775A" w:rsidP="00EC712D">
            <w:pPr>
              <w:spacing w:before="20" w:after="20"/>
              <w:jc w:val="right"/>
              <w:rPr>
                <w:rFonts w:asciiTheme="minorHAnsi" w:hAnsiTheme="minorHAnsi" w:cstheme="minorHAnsi"/>
                <w:sz w:val="20"/>
                <w:szCs w:val="20"/>
              </w:rPr>
            </w:pPr>
            <w:r w:rsidRPr="00481AED">
              <w:rPr>
                <w:rFonts w:asciiTheme="minorHAnsi" w:hAnsiTheme="minorHAnsi" w:cstheme="minorHAnsi"/>
                <w:color w:val="000000"/>
                <w:sz w:val="20"/>
                <w:szCs w:val="20"/>
              </w:rPr>
              <w:t>131.406,10</w:t>
            </w:r>
          </w:p>
        </w:tc>
      </w:tr>
      <w:tr w:rsidR="00F4775A" w:rsidRPr="00FA4351" w14:paraId="6FA5D25E" w14:textId="77777777" w:rsidTr="00C84FEB">
        <w:trPr>
          <w:jc w:val="center"/>
        </w:trPr>
        <w:tc>
          <w:tcPr>
            <w:tcW w:w="567" w:type="dxa"/>
            <w:vAlign w:val="center"/>
          </w:tcPr>
          <w:p w14:paraId="22002A41" w14:textId="77777777" w:rsidR="00F4775A" w:rsidRPr="00481AED" w:rsidRDefault="00F4775A" w:rsidP="00EC712D">
            <w:pPr>
              <w:spacing w:before="20" w:after="20"/>
              <w:jc w:val="center"/>
              <w:rPr>
                <w:rFonts w:asciiTheme="minorHAnsi" w:hAnsiTheme="minorHAnsi" w:cstheme="minorHAnsi"/>
                <w:sz w:val="20"/>
                <w:szCs w:val="20"/>
              </w:rPr>
            </w:pPr>
            <w:r w:rsidRPr="00481AED">
              <w:rPr>
                <w:rFonts w:asciiTheme="minorHAnsi" w:hAnsiTheme="minorHAnsi" w:cstheme="minorHAnsi"/>
                <w:color w:val="000000"/>
                <w:sz w:val="20"/>
                <w:szCs w:val="20"/>
              </w:rPr>
              <w:t>21</w:t>
            </w:r>
          </w:p>
        </w:tc>
        <w:tc>
          <w:tcPr>
            <w:tcW w:w="11624" w:type="dxa"/>
            <w:vAlign w:val="center"/>
          </w:tcPr>
          <w:p w14:paraId="7B61B901" w14:textId="77777777" w:rsidR="00F4775A" w:rsidRPr="00481AED" w:rsidRDefault="00F4775A" w:rsidP="00EC712D">
            <w:pPr>
              <w:spacing w:before="20" w:after="20"/>
              <w:rPr>
                <w:rFonts w:asciiTheme="minorHAnsi" w:hAnsiTheme="minorHAnsi" w:cstheme="minorHAnsi"/>
                <w:sz w:val="20"/>
                <w:szCs w:val="20"/>
              </w:rPr>
            </w:pPr>
            <w:r w:rsidRPr="00481AED">
              <w:rPr>
                <w:rFonts w:asciiTheme="minorHAnsi" w:hAnsiTheme="minorHAnsi" w:cstheme="minorHAnsi"/>
                <w:sz w:val="20"/>
                <w:szCs w:val="20"/>
              </w:rPr>
              <w:t>Obra de aumento de capacidad de línea Maitencillo – Cardones 1x220 kV</w:t>
            </w:r>
          </w:p>
        </w:tc>
        <w:tc>
          <w:tcPr>
            <w:tcW w:w="1418" w:type="dxa"/>
            <w:vAlign w:val="center"/>
          </w:tcPr>
          <w:p w14:paraId="6F0360CF" w14:textId="77777777" w:rsidR="00F4775A" w:rsidRPr="00481AED" w:rsidRDefault="00F4775A" w:rsidP="00EC712D">
            <w:pPr>
              <w:spacing w:before="20" w:after="20"/>
              <w:jc w:val="right"/>
              <w:rPr>
                <w:rFonts w:asciiTheme="minorHAnsi" w:hAnsiTheme="minorHAnsi" w:cstheme="minorHAnsi"/>
                <w:sz w:val="20"/>
                <w:szCs w:val="20"/>
              </w:rPr>
            </w:pPr>
            <w:r w:rsidRPr="00481AED">
              <w:rPr>
                <w:rFonts w:asciiTheme="minorHAnsi" w:hAnsiTheme="minorHAnsi" w:cstheme="minorHAnsi"/>
                <w:color w:val="000000"/>
                <w:sz w:val="20"/>
                <w:szCs w:val="20"/>
              </w:rPr>
              <w:t>1.576.349,19</w:t>
            </w:r>
          </w:p>
        </w:tc>
      </w:tr>
      <w:tr w:rsidR="00F4775A" w:rsidRPr="00FA4351" w14:paraId="6C6E1327" w14:textId="77777777" w:rsidTr="00C84FEB">
        <w:trPr>
          <w:jc w:val="center"/>
        </w:trPr>
        <w:tc>
          <w:tcPr>
            <w:tcW w:w="567" w:type="dxa"/>
            <w:vAlign w:val="center"/>
          </w:tcPr>
          <w:p w14:paraId="47845303" w14:textId="77777777" w:rsidR="00F4775A" w:rsidRPr="00481AED" w:rsidRDefault="00F4775A" w:rsidP="00EC712D">
            <w:pPr>
              <w:spacing w:before="20" w:after="20"/>
              <w:jc w:val="center"/>
              <w:rPr>
                <w:rFonts w:asciiTheme="minorHAnsi" w:hAnsiTheme="minorHAnsi" w:cstheme="minorHAnsi"/>
                <w:sz w:val="20"/>
                <w:szCs w:val="20"/>
              </w:rPr>
            </w:pPr>
            <w:r w:rsidRPr="00481AED">
              <w:rPr>
                <w:rFonts w:asciiTheme="minorHAnsi" w:hAnsiTheme="minorHAnsi" w:cstheme="minorHAnsi"/>
                <w:color w:val="000000"/>
                <w:sz w:val="20"/>
                <w:szCs w:val="20"/>
              </w:rPr>
              <w:t>22</w:t>
            </w:r>
          </w:p>
        </w:tc>
        <w:tc>
          <w:tcPr>
            <w:tcW w:w="11624" w:type="dxa"/>
            <w:vAlign w:val="center"/>
          </w:tcPr>
          <w:p w14:paraId="3A718576" w14:textId="77777777" w:rsidR="00F4775A" w:rsidRPr="00481AED" w:rsidRDefault="00F4775A" w:rsidP="00EC712D">
            <w:pPr>
              <w:spacing w:before="20" w:after="20"/>
              <w:rPr>
                <w:rFonts w:asciiTheme="minorHAnsi" w:hAnsiTheme="minorHAnsi" w:cstheme="minorHAnsi"/>
                <w:sz w:val="20"/>
                <w:szCs w:val="20"/>
              </w:rPr>
            </w:pPr>
            <w:r w:rsidRPr="00481AED">
              <w:rPr>
                <w:rFonts w:asciiTheme="minorHAnsi" w:hAnsiTheme="minorHAnsi" w:cstheme="minorHAnsi"/>
                <w:sz w:val="20"/>
                <w:szCs w:val="20"/>
              </w:rPr>
              <w:t>Obra de seccionamiento barra 500 kV subestación Alto Jahuel</w:t>
            </w:r>
          </w:p>
        </w:tc>
        <w:tc>
          <w:tcPr>
            <w:tcW w:w="1418" w:type="dxa"/>
            <w:vAlign w:val="center"/>
          </w:tcPr>
          <w:p w14:paraId="3019E4DF" w14:textId="77777777" w:rsidR="00F4775A" w:rsidRPr="00481AED" w:rsidRDefault="00F4775A" w:rsidP="00EC712D">
            <w:pPr>
              <w:spacing w:before="20" w:after="20"/>
              <w:jc w:val="right"/>
              <w:rPr>
                <w:rFonts w:asciiTheme="minorHAnsi" w:hAnsiTheme="minorHAnsi" w:cstheme="minorHAnsi"/>
                <w:sz w:val="20"/>
                <w:szCs w:val="20"/>
              </w:rPr>
            </w:pPr>
            <w:r w:rsidRPr="00481AED">
              <w:rPr>
                <w:rFonts w:asciiTheme="minorHAnsi" w:hAnsiTheme="minorHAnsi" w:cstheme="minorHAnsi"/>
                <w:color w:val="000000"/>
                <w:sz w:val="20"/>
                <w:szCs w:val="20"/>
              </w:rPr>
              <w:t>175.411,79</w:t>
            </w:r>
          </w:p>
        </w:tc>
      </w:tr>
      <w:tr w:rsidR="00F4775A" w:rsidRPr="00FA4351" w14:paraId="4F433269" w14:textId="77777777" w:rsidTr="00C84FEB">
        <w:trPr>
          <w:jc w:val="center"/>
        </w:trPr>
        <w:tc>
          <w:tcPr>
            <w:tcW w:w="567" w:type="dxa"/>
            <w:vAlign w:val="center"/>
          </w:tcPr>
          <w:p w14:paraId="55E1BEB2" w14:textId="77777777" w:rsidR="00F4775A" w:rsidRPr="00481AED" w:rsidRDefault="00F4775A" w:rsidP="00EC712D">
            <w:pPr>
              <w:spacing w:before="20" w:after="20"/>
              <w:jc w:val="center"/>
              <w:rPr>
                <w:rFonts w:asciiTheme="minorHAnsi" w:hAnsiTheme="minorHAnsi" w:cstheme="minorHAnsi"/>
                <w:sz w:val="20"/>
                <w:szCs w:val="20"/>
              </w:rPr>
            </w:pPr>
            <w:r w:rsidRPr="00481AED">
              <w:rPr>
                <w:rFonts w:asciiTheme="minorHAnsi" w:hAnsiTheme="minorHAnsi" w:cstheme="minorHAnsi"/>
                <w:color w:val="000000"/>
                <w:sz w:val="20"/>
                <w:szCs w:val="20"/>
              </w:rPr>
              <w:t>23</w:t>
            </w:r>
          </w:p>
        </w:tc>
        <w:tc>
          <w:tcPr>
            <w:tcW w:w="11624" w:type="dxa"/>
            <w:vAlign w:val="center"/>
          </w:tcPr>
          <w:p w14:paraId="505D927F" w14:textId="77777777" w:rsidR="00F4775A" w:rsidRPr="00481AED" w:rsidRDefault="00F4775A" w:rsidP="00EC712D">
            <w:pPr>
              <w:spacing w:before="20" w:after="20"/>
              <w:rPr>
                <w:rFonts w:asciiTheme="minorHAnsi" w:hAnsiTheme="minorHAnsi" w:cstheme="minorHAnsi"/>
                <w:sz w:val="20"/>
                <w:szCs w:val="20"/>
              </w:rPr>
            </w:pPr>
            <w:r w:rsidRPr="00481AED">
              <w:rPr>
                <w:rFonts w:asciiTheme="minorHAnsi" w:hAnsiTheme="minorHAnsi" w:cstheme="minorHAnsi"/>
                <w:sz w:val="20"/>
                <w:szCs w:val="20"/>
              </w:rPr>
              <w:t>Obra de seccionamiento barra 500 kV subestación Ancoa</w:t>
            </w:r>
          </w:p>
        </w:tc>
        <w:tc>
          <w:tcPr>
            <w:tcW w:w="1418" w:type="dxa"/>
            <w:vAlign w:val="center"/>
          </w:tcPr>
          <w:p w14:paraId="30C9F831" w14:textId="77777777" w:rsidR="00F4775A" w:rsidRPr="00481AED" w:rsidRDefault="00F4775A" w:rsidP="00EC712D">
            <w:pPr>
              <w:spacing w:before="20" w:after="20"/>
              <w:jc w:val="right"/>
              <w:rPr>
                <w:rFonts w:asciiTheme="minorHAnsi" w:hAnsiTheme="minorHAnsi" w:cstheme="minorHAnsi"/>
                <w:sz w:val="20"/>
                <w:szCs w:val="20"/>
              </w:rPr>
            </w:pPr>
            <w:r w:rsidRPr="00481AED">
              <w:rPr>
                <w:rFonts w:asciiTheme="minorHAnsi" w:hAnsiTheme="minorHAnsi" w:cstheme="minorHAnsi"/>
                <w:color w:val="000000"/>
                <w:sz w:val="20"/>
                <w:szCs w:val="20"/>
              </w:rPr>
              <w:t>63.270,80</w:t>
            </w:r>
          </w:p>
        </w:tc>
      </w:tr>
      <w:tr w:rsidR="00F4775A" w:rsidRPr="00FA4351" w14:paraId="489F9D33" w14:textId="77777777" w:rsidTr="00C84FEB">
        <w:trPr>
          <w:jc w:val="center"/>
        </w:trPr>
        <w:tc>
          <w:tcPr>
            <w:tcW w:w="567" w:type="dxa"/>
            <w:vAlign w:val="center"/>
          </w:tcPr>
          <w:p w14:paraId="5FF1D257" w14:textId="77777777" w:rsidR="00F4775A" w:rsidRPr="00481AED" w:rsidRDefault="00F4775A" w:rsidP="00EC712D">
            <w:pPr>
              <w:spacing w:before="20" w:after="20"/>
              <w:jc w:val="center"/>
              <w:rPr>
                <w:rFonts w:asciiTheme="minorHAnsi" w:hAnsiTheme="minorHAnsi" w:cstheme="minorHAnsi"/>
                <w:sz w:val="20"/>
                <w:szCs w:val="20"/>
              </w:rPr>
            </w:pPr>
            <w:r w:rsidRPr="00481AED">
              <w:rPr>
                <w:rFonts w:asciiTheme="minorHAnsi" w:hAnsiTheme="minorHAnsi" w:cstheme="minorHAnsi"/>
                <w:color w:val="000000"/>
                <w:sz w:val="20"/>
                <w:szCs w:val="20"/>
              </w:rPr>
              <w:lastRenderedPageBreak/>
              <w:t>24</w:t>
            </w:r>
          </w:p>
        </w:tc>
        <w:tc>
          <w:tcPr>
            <w:tcW w:w="11624" w:type="dxa"/>
            <w:vAlign w:val="center"/>
          </w:tcPr>
          <w:p w14:paraId="5B1F3888" w14:textId="77777777" w:rsidR="00F4775A" w:rsidRPr="00481AED" w:rsidRDefault="00F4775A" w:rsidP="00EC712D">
            <w:pPr>
              <w:spacing w:before="20" w:after="20"/>
              <w:rPr>
                <w:rFonts w:asciiTheme="minorHAnsi" w:hAnsiTheme="minorHAnsi" w:cstheme="minorHAnsi"/>
                <w:sz w:val="20"/>
                <w:szCs w:val="20"/>
              </w:rPr>
            </w:pPr>
            <w:r w:rsidRPr="00481AED">
              <w:rPr>
                <w:rFonts w:asciiTheme="minorHAnsi" w:hAnsiTheme="minorHAnsi" w:cstheme="minorHAnsi"/>
                <w:sz w:val="20"/>
                <w:szCs w:val="20"/>
              </w:rPr>
              <w:t>Obra de seccionamiento barra 500 kV subestación Charrúa</w:t>
            </w:r>
          </w:p>
        </w:tc>
        <w:tc>
          <w:tcPr>
            <w:tcW w:w="1418" w:type="dxa"/>
            <w:vAlign w:val="center"/>
          </w:tcPr>
          <w:p w14:paraId="57C8ACF2" w14:textId="77777777" w:rsidR="00F4775A" w:rsidRPr="00481AED" w:rsidRDefault="00F4775A" w:rsidP="00EC712D">
            <w:pPr>
              <w:spacing w:before="20" w:after="20"/>
              <w:jc w:val="right"/>
              <w:rPr>
                <w:rFonts w:asciiTheme="minorHAnsi" w:hAnsiTheme="minorHAnsi" w:cstheme="minorHAnsi"/>
                <w:sz w:val="20"/>
                <w:szCs w:val="20"/>
              </w:rPr>
            </w:pPr>
            <w:r w:rsidRPr="00481AED">
              <w:rPr>
                <w:rFonts w:asciiTheme="minorHAnsi" w:hAnsiTheme="minorHAnsi" w:cstheme="minorHAnsi"/>
                <w:color w:val="000000"/>
                <w:sz w:val="20"/>
                <w:szCs w:val="20"/>
              </w:rPr>
              <w:t>176.676,59</w:t>
            </w:r>
          </w:p>
        </w:tc>
      </w:tr>
      <w:tr w:rsidR="00481AED" w:rsidRPr="00FA4351" w14:paraId="708C344E" w14:textId="77777777" w:rsidTr="00C84FEB">
        <w:trPr>
          <w:jc w:val="center"/>
        </w:trPr>
        <w:tc>
          <w:tcPr>
            <w:tcW w:w="567" w:type="dxa"/>
            <w:vAlign w:val="center"/>
          </w:tcPr>
          <w:p w14:paraId="41093684" w14:textId="3775F51E" w:rsidR="00481AED" w:rsidRPr="00481AED" w:rsidRDefault="00481AED" w:rsidP="00EC712D">
            <w:pPr>
              <w:spacing w:before="20" w:after="20"/>
              <w:jc w:val="center"/>
              <w:rPr>
                <w:rFonts w:asciiTheme="minorHAnsi" w:hAnsiTheme="minorHAnsi" w:cstheme="minorHAnsi"/>
                <w:color w:val="000000"/>
                <w:sz w:val="20"/>
                <w:szCs w:val="20"/>
              </w:rPr>
            </w:pPr>
            <w:r w:rsidRPr="00481AED">
              <w:rPr>
                <w:rFonts w:asciiTheme="minorHAnsi" w:hAnsiTheme="minorHAnsi" w:cstheme="minorHAnsi"/>
                <w:color w:val="000000"/>
                <w:sz w:val="20"/>
                <w:szCs w:val="20"/>
              </w:rPr>
              <w:t>25</w:t>
            </w:r>
          </w:p>
        </w:tc>
        <w:tc>
          <w:tcPr>
            <w:tcW w:w="11624" w:type="dxa"/>
            <w:vAlign w:val="center"/>
          </w:tcPr>
          <w:p w14:paraId="197D3D06" w14:textId="43494A4D" w:rsidR="00481AED" w:rsidRPr="00481AED" w:rsidRDefault="00481AED" w:rsidP="00EC712D">
            <w:pPr>
              <w:spacing w:before="20" w:after="20"/>
              <w:rPr>
                <w:rFonts w:asciiTheme="minorHAnsi" w:hAnsiTheme="minorHAnsi" w:cstheme="minorHAnsi"/>
                <w:sz w:val="20"/>
                <w:szCs w:val="20"/>
              </w:rPr>
            </w:pPr>
            <w:r w:rsidRPr="00481AED">
              <w:rPr>
                <w:rFonts w:asciiTheme="minorHAnsi" w:hAnsiTheme="minorHAnsi" w:cstheme="minorHAnsi"/>
                <w:sz w:val="20"/>
                <w:szCs w:val="20"/>
              </w:rPr>
              <w:t>Obra de seccionamiento barra principal en S/E Carrera Pinto</w:t>
            </w:r>
          </w:p>
        </w:tc>
        <w:tc>
          <w:tcPr>
            <w:tcW w:w="1418" w:type="dxa"/>
            <w:vAlign w:val="center"/>
          </w:tcPr>
          <w:p w14:paraId="749AC533" w14:textId="6DB453F8" w:rsidR="00481AED" w:rsidRPr="00481AED" w:rsidRDefault="00481AED" w:rsidP="00EC712D">
            <w:pPr>
              <w:spacing w:before="20" w:after="20"/>
              <w:jc w:val="right"/>
              <w:rPr>
                <w:rFonts w:asciiTheme="minorHAnsi" w:hAnsiTheme="minorHAnsi" w:cstheme="minorHAnsi"/>
                <w:color w:val="000000"/>
                <w:sz w:val="20"/>
                <w:szCs w:val="20"/>
              </w:rPr>
            </w:pPr>
            <w:r w:rsidRPr="00481AED">
              <w:rPr>
                <w:rFonts w:asciiTheme="minorHAnsi" w:hAnsiTheme="minorHAnsi" w:cstheme="minorHAnsi"/>
                <w:color w:val="000000"/>
                <w:sz w:val="20"/>
                <w:szCs w:val="20"/>
              </w:rPr>
              <w:t>47.394,37</w:t>
            </w:r>
          </w:p>
        </w:tc>
      </w:tr>
      <w:tr w:rsidR="00481AED" w:rsidRPr="00FA4351" w14:paraId="38A36429" w14:textId="77777777" w:rsidTr="00C84FEB">
        <w:trPr>
          <w:jc w:val="center"/>
        </w:trPr>
        <w:tc>
          <w:tcPr>
            <w:tcW w:w="567" w:type="dxa"/>
            <w:vAlign w:val="center"/>
          </w:tcPr>
          <w:p w14:paraId="5F4AB5EF" w14:textId="3A0655CB" w:rsidR="00481AED" w:rsidRPr="00481AED" w:rsidRDefault="00481AED" w:rsidP="00EC712D">
            <w:pPr>
              <w:spacing w:before="20" w:after="20"/>
              <w:jc w:val="center"/>
              <w:rPr>
                <w:rFonts w:asciiTheme="minorHAnsi" w:hAnsiTheme="minorHAnsi" w:cstheme="minorHAnsi"/>
                <w:color w:val="000000"/>
                <w:sz w:val="20"/>
                <w:szCs w:val="20"/>
              </w:rPr>
            </w:pPr>
            <w:r w:rsidRPr="00481AED">
              <w:rPr>
                <w:rFonts w:asciiTheme="minorHAnsi" w:hAnsiTheme="minorHAnsi" w:cstheme="minorHAnsi"/>
                <w:color w:val="000000"/>
                <w:sz w:val="20"/>
                <w:szCs w:val="20"/>
              </w:rPr>
              <w:t>26</w:t>
            </w:r>
          </w:p>
        </w:tc>
        <w:tc>
          <w:tcPr>
            <w:tcW w:w="11624" w:type="dxa"/>
            <w:vAlign w:val="center"/>
          </w:tcPr>
          <w:p w14:paraId="5032685E" w14:textId="20161A99" w:rsidR="00481AED" w:rsidRPr="00481AED" w:rsidRDefault="00481AED" w:rsidP="00EC712D">
            <w:pPr>
              <w:spacing w:before="20" w:after="20"/>
              <w:rPr>
                <w:rFonts w:asciiTheme="minorHAnsi" w:hAnsiTheme="minorHAnsi" w:cstheme="minorHAnsi"/>
                <w:sz w:val="20"/>
                <w:szCs w:val="20"/>
              </w:rPr>
            </w:pPr>
            <w:r w:rsidRPr="00481AED">
              <w:rPr>
                <w:rFonts w:asciiTheme="minorHAnsi" w:hAnsiTheme="minorHAnsi" w:cstheme="minorHAnsi"/>
                <w:sz w:val="20"/>
                <w:szCs w:val="20"/>
              </w:rPr>
              <w:t>Obra de seccionamiento completo en subestación Rahue</w:t>
            </w:r>
          </w:p>
        </w:tc>
        <w:tc>
          <w:tcPr>
            <w:tcW w:w="1418" w:type="dxa"/>
            <w:vAlign w:val="center"/>
          </w:tcPr>
          <w:p w14:paraId="38DAB01F" w14:textId="0B072EDC" w:rsidR="00481AED" w:rsidRPr="00481AED" w:rsidRDefault="00481AED" w:rsidP="00EC712D">
            <w:pPr>
              <w:spacing w:before="20" w:after="20"/>
              <w:jc w:val="right"/>
              <w:rPr>
                <w:rFonts w:asciiTheme="minorHAnsi" w:hAnsiTheme="minorHAnsi" w:cstheme="minorHAnsi"/>
                <w:color w:val="000000"/>
                <w:sz w:val="20"/>
                <w:szCs w:val="20"/>
              </w:rPr>
            </w:pPr>
            <w:r w:rsidRPr="00481AED">
              <w:rPr>
                <w:rFonts w:asciiTheme="minorHAnsi" w:hAnsiTheme="minorHAnsi" w:cstheme="minorHAnsi"/>
                <w:color w:val="000000"/>
                <w:sz w:val="20"/>
                <w:szCs w:val="20"/>
              </w:rPr>
              <w:t>54.133,04</w:t>
            </w:r>
          </w:p>
        </w:tc>
      </w:tr>
      <w:tr w:rsidR="00481AED" w:rsidRPr="00FA4351" w14:paraId="228AE283" w14:textId="77777777" w:rsidTr="00C84FEB">
        <w:trPr>
          <w:jc w:val="center"/>
        </w:trPr>
        <w:tc>
          <w:tcPr>
            <w:tcW w:w="567" w:type="dxa"/>
            <w:vAlign w:val="center"/>
          </w:tcPr>
          <w:p w14:paraId="22A79F92" w14:textId="2D9D6825" w:rsidR="00481AED" w:rsidRPr="00481AED" w:rsidRDefault="00481AED" w:rsidP="00EC712D">
            <w:pPr>
              <w:spacing w:before="20" w:after="20"/>
              <w:jc w:val="center"/>
              <w:rPr>
                <w:rFonts w:asciiTheme="minorHAnsi" w:hAnsiTheme="minorHAnsi" w:cstheme="minorHAnsi"/>
                <w:color w:val="000000"/>
                <w:sz w:val="20"/>
                <w:szCs w:val="20"/>
              </w:rPr>
            </w:pPr>
            <w:r w:rsidRPr="00481AED">
              <w:rPr>
                <w:rFonts w:asciiTheme="minorHAnsi" w:hAnsiTheme="minorHAnsi" w:cstheme="minorHAnsi"/>
                <w:color w:val="000000"/>
                <w:sz w:val="20"/>
                <w:szCs w:val="20"/>
              </w:rPr>
              <w:t>27</w:t>
            </w:r>
          </w:p>
        </w:tc>
        <w:tc>
          <w:tcPr>
            <w:tcW w:w="11624" w:type="dxa"/>
            <w:vAlign w:val="center"/>
          </w:tcPr>
          <w:p w14:paraId="13A16A06" w14:textId="0AB10C17" w:rsidR="00481AED" w:rsidRPr="00481AED" w:rsidRDefault="00481AED" w:rsidP="00EC712D">
            <w:pPr>
              <w:spacing w:before="20" w:after="20"/>
              <w:rPr>
                <w:rFonts w:asciiTheme="minorHAnsi" w:hAnsiTheme="minorHAnsi" w:cstheme="minorHAnsi"/>
                <w:sz w:val="20"/>
                <w:szCs w:val="20"/>
              </w:rPr>
            </w:pPr>
            <w:r w:rsidRPr="00481AED">
              <w:rPr>
                <w:rFonts w:asciiTheme="minorHAnsi" w:hAnsiTheme="minorHAnsi" w:cstheme="minorHAnsi"/>
                <w:sz w:val="20"/>
                <w:szCs w:val="20"/>
              </w:rPr>
              <w:t>Obra de ampliación cambio de interruptores 52J23 y 52J3 en S/E Charrúa 220 kV</w:t>
            </w:r>
          </w:p>
        </w:tc>
        <w:tc>
          <w:tcPr>
            <w:tcW w:w="1418" w:type="dxa"/>
            <w:vAlign w:val="center"/>
          </w:tcPr>
          <w:p w14:paraId="326D34AF" w14:textId="45298E1F" w:rsidR="00481AED" w:rsidRPr="00481AED" w:rsidRDefault="00481AED" w:rsidP="00EC712D">
            <w:pPr>
              <w:spacing w:before="20" w:after="20"/>
              <w:jc w:val="right"/>
              <w:rPr>
                <w:rFonts w:asciiTheme="minorHAnsi" w:hAnsiTheme="minorHAnsi" w:cstheme="minorHAnsi"/>
                <w:color w:val="000000"/>
                <w:sz w:val="20"/>
                <w:szCs w:val="20"/>
              </w:rPr>
            </w:pPr>
            <w:r w:rsidRPr="00481AED">
              <w:rPr>
                <w:rFonts w:asciiTheme="minorHAnsi" w:hAnsiTheme="minorHAnsi" w:cstheme="minorHAnsi"/>
                <w:color w:val="000000"/>
                <w:sz w:val="20"/>
                <w:szCs w:val="20"/>
              </w:rPr>
              <w:t>93.281,40</w:t>
            </w:r>
          </w:p>
        </w:tc>
      </w:tr>
      <w:tr w:rsidR="00481AED" w:rsidRPr="00FA4351" w14:paraId="2CB17428" w14:textId="77777777" w:rsidTr="00C84FEB">
        <w:trPr>
          <w:jc w:val="center"/>
        </w:trPr>
        <w:tc>
          <w:tcPr>
            <w:tcW w:w="567" w:type="dxa"/>
            <w:vAlign w:val="center"/>
          </w:tcPr>
          <w:p w14:paraId="34CD5C7F" w14:textId="663E04D7" w:rsidR="00481AED" w:rsidRPr="00481AED" w:rsidRDefault="00481AED" w:rsidP="00EC712D">
            <w:pPr>
              <w:spacing w:before="20" w:after="20"/>
              <w:jc w:val="center"/>
              <w:rPr>
                <w:rFonts w:asciiTheme="minorHAnsi" w:hAnsiTheme="minorHAnsi" w:cstheme="minorHAnsi"/>
                <w:color w:val="000000"/>
                <w:sz w:val="20"/>
                <w:szCs w:val="20"/>
              </w:rPr>
            </w:pPr>
            <w:r w:rsidRPr="00481AED">
              <w:rPr>
                <w:rFonts w:asciiTheme="minorHAnsi" w:hAnsiTheme="minorHAnsi" w:cstheme="minorHAnsi"/>
                <w:color w:val="000000"/>
                <w:sz w:val="20"/>
                <w:szCs w:val="20"/>
              </w:rPr>
              <w:t>28</w:t>
            </w:r>
          </w:p>
        </w:tc>
        <w:tc>
          <w:tcPr>
            <w:tcW w:w="11624" w:type="dxa"/>
            <w:vAlign w:val="center"/>
          </w:tcPr>
          <w:p w14:paraId="45623ACB" w14:textId="744C942E" w:rsidR="00481AED" w:rsidRPr="00481AED" w:rsidRDefault="00481AED" w:rsidP="00EC712D">
            <w:pPr>
              <w:spacing w:before="20" w:after="20"/>
              <w:rPr>
                <w:rFonts w:asciiTheme="minorHAnsi" w:hAnsiTheme="minorHAnsi" w:cstheme="minorHAnsi"/>
                <w:sz w:val="20"/>
                <w:szCs w:val="20"/>
              </w:rPr>
            </w:pPr>
            <w:r w:rsidRPr="00481AED">
              <w:rPr>
                <w:rFonts w:asciiTheme="minorHAnsi" w:hAnsiTheme="minorHAnsi" w:cstheme="minorHAnsi"/>
                <w:sz w:val="20"/>
                <w:szCs w:val="20"/>
              </w:rPr>
              <w:t>Obra de ampliación cambio de interruptores 52JS, 52JCE1, 52J6, 52JZ3 y 52J7 en S/E Alto Jahuel 220 kV</w:t>
            </w:r>
          </w:p>
        </w:tc>
        <w:tc>
          <w:tcPr>
            <w:tcW w:w="1418" w:type="dxa"/>
            <w:vAlign w:val="center"/>
          </w:tcPr>
          <w:p w14:paraId="64766299" w14:textId="38DD8E04" w:rsidR="00481AED" w:rsidRPr="00481AED" w:rsidRDefault="00481AED" w:rsidP="00EC712D">
            <w:pPr>
              <w:spacing w:before="20" w:after="20"/>
              <w:jc w:val="right"/>
              <w:rPr>
                <w:rFonts w:asciiTheme="minorHAnsi" w:hAnsiTheme="minorHAnsi" w:cstheme="minorHAnsi"/>
                <w:color w:val="000000"/>
                <w:sz w:val="20"/>
                <w:szCs w:val="20"/>
              </w:rPr>
            </w:pPr>
            <w:r w:rsidRPr="00481AED">
              <w:rPr>
                <w:rFonts w:asciiTheme="minorHAnsi" w:hAnsiTheme="minorHAnsi" w:cstheme="minorHAnsi"/>
                <w:color w:val="000000"/>
                <w:sz w:val="20"/>
                <w:szCs w:val="20"/>
              </w:rPr>
              <w:t>184.029,15</w:t>
            </w:r>
          </w:p>
        </w:tc>
      </w:tr>
      <w:tr w:rsidR="00481AED" w:rsidRPr="00FA4351" w14:paraId="7EBA1546" w14:textId="77777777" w:rsidTr="00C84FEB">
        <w:trPr>
          <w:jc w:val="center"/>
        </w:trPr>
        <w:tc>
          <w:tcPr>
            <w:tcW w:w="567" w:type="dxa"/>
            <w:vAlign w:val="center"/>
          </w:tcPr>
          <w:p w14:paraId="711092CD" w14:textId="269DF91C" w:rsidR="00481AED" w:rsidRPr="00481AED" w:rsidRDefault="00481AED" w:rsidP="00EC712D">
            <w:pPr>
              <w:spacing w:before="20" w:after="20"/>
              <w:jc w:val="center"/>
              <w:rPr>
                <w:rFonts w:asciiTheme="minorHAnsi" w:hAnsiTheme="minorHAnsi" w:cstheme="minorHAnsi"/>
                <w:color w:val="000000"/>
                <w:sz w:val="20"/>
                <w:szCs w:val="20"/>
              </w:rPr>
            </w:pPr>
            <w:r w:rsidRPr="00481AED">
              <w:rPr>
                <w:rFonts w:asciiTheme="minorHAnsi" w:hAnsiTheme="minorHAnsi" w:cstheme="minorHAnsi"/>
                <w:color w:val="000000"/>
                <w:sz w:val="20"/>
                <w:szCs w:val="20"/>
              </w:rPr>
              <w:t>29</w:t>
            </w:r>
          </w:p>
        </w:tc>
        <w:tc>
          <w:tcPr>
            <w:tcW w:w="11624" w:type="dxa"/>
            <w:vAlign w:val="center"/>
          </w:tcPr>
          <w:p w14:paraId="23DCB544" w14:textId="156A6FDB" w:rsidR="00481AED" w:rsidRPr="00481AED" w:rsidRDefault="00481AED" w:rsidP="00EC712D">
            <w:pPr>
              <w:spacing w:before="20" w:after="20"/>
              <w:rPr>
                <w:rFonts w:asciiTheme="minorHAnsi" w:hAnsiTheme="minorHAnsi" w:cstheme="minorHAnsi"/>
                <w:sz w:val="20"/>
                <w:szCs w:val="20"/>
              </w:rPr>
            </w:pPr>
            <w:r w:rsidRPr="00481AED">
              <w:rPr>
                <w:rFonts w:asciiTheme="minorHAnsi" w:hAnsiTheme="minorHAnsi" w:cstheme="minorHAnsi"/>
                <w:sz w:val="20"/>
                <w:szCs w:val="20"/>
              </w:rPr>
              <w:t>Obra de ampliación cambio de interruptores 52JT5, 52JT6 y 52J15 en S/E Charrúa 220 kV</w:t>
            </w:r>
          </w:p>
        </w:tc>
        <w:tc>
          <w:tcPr>
            <w:tcW w:w="1418" w:type="dxa"/>
            <w:vAlign w:val="center"/>
          </w:tcPr>
          <w:p w14:paraId="6522AFAB" w14:textId="2F51DF61" w:rsidR="00481AED" w:rsidRPr="00481AED" w:rsidRDefault="00481AED" w:rsidP="00EC712D">
            <w:pPr>
              <w:spacing w:before="20" w:after="20"/>
              <w:jc w:val="right"/>
              <w:rPr>
                <w:rFonts w:asciiTheme="minorHAnsi" w:hAnsiTheme="minorHAnsi" w:cstheme="minorHAnsi"/>
                <w:color w:val="000000"/>
                <w:sz w:val="20"/>
                <w:szCs w:val="20"/>
              </w:rPr>
            </w:pPr>
            <w:r w:rsidRPr="00481AED">
              <w:rPr>
                <w:rFonts w:asciiTheme="minorHAnsi" w:hAnsiTheme="minorHAnsi" w:cstheme="minorHAnsi"/>
                <w:color w:val="000000"/>
                <w:sz w:val="20"/>
                <w:szCs w:val="20"/>
              </w:rPr>
              <w:t>109.830,86</w:t>
            </w:r>
          </w:p>
        </w:tc>
      </w:tr>
      <w:tr w:rsidR="00481AED" w:rsidRPr="00FA4351" w14:paraId="74231AD6" w14:textId="77777777" w:rsidTr="00C84FEB">
        <w:trPr>
          <w:jc w:val="center"/>
        </w:trPr>
        <w:tc>
          <w:tcPr>
            <w:tcW w:w="567" w:type="dxa"/>
            <w:vAlign w:val="center"/>
          </w:tcPr>
          <w:p w14:paraId="72E1BEB7" w14:textId="72F35644" w:rsidR="00481AED" w:rsidRPr="00481AED" w:rsidRDefault="00481AED" w:rsidP="00EC712D">
            <w:pPr>
              <w:spacing w:before="20" w:after="20"/>
              <w:jc w:val="center"/>
              <w:rPr>
                <w:rFonts w:asciiTheme="minorHAnsi" w:hAnsiTheme="minorHAnsi" w:cstheme="minorHAnsi"/>
                <w:color w:val="000000"/>
                <w:sz w:val="20"/>
                <w:szCs w:val="20"/>
              </w:rPr>
            </w:pPr>
            <w:r w:rsidRPr="00481AED">
              <w:rPr>
                <w:rFonts w:asciiTheme="minorHAnsi" w:hAnsiTheme="minorHAnsi" w:cstheme="minorHAnsi"/>
                <w:color w:val="000000"/>
                <w:sz w:val="20"/>
                <w:szCs w:val="20"/>
              </w:rPr>
              <w:t>30</w:t>
            </w:r>
          </w:p>
        </w:tc>
        <w:tc>
          <w:tcPr>
            <w:tcW w:w="11624" w:type="dxa"/>
            <w:vAlign w:val="center"/>
          </w:tcPr>
          <w:p w14:paraId="595E7860" w14:textId="7C415A39" w:rsidR="00481AED" w:rsidRPr="00481AED" w:rsidRDefault="00481AED" w:rsidP="00EC712D">
            <w:pPr>
              <w:spacing w:before="20" w:after="20"/>
              <w:rPr>
                <w:rFonts w:asciiTheme="minorHAnsi" w:hAnsiTheme="minorHAnsi" w:cstheme="minorHAnsi"/>
                <w:sz w:val="20"/>
                <w:szCs w:val="20"/>
              </w:rPr>
            </w:pPr>
            <w:r w:rsidRPr="00481AED">
              <w:rPr>
                <w:rFonts w:asciiTheme="minorHAnsi" w:hAnsiTheme="minorHAnsi" w:cstheme="minorHAnsi"/>
                <w:sz w:val="20"/>
                <w:szCs w:val="20"/>
              </w:rPr>
              <w:t>Obra de ampliación S/E Temuco 220 kV</w:t>
            </w:r>
          </w:p>
        </w:tc>
        <w:tc>
          <w:tcPr>
            <w:tcW w:w="1418" w:type="dxa"/>
            <w:vAlign w:val="center"/>
          </w:tcPr>
          <w:p w14:paraId="183CEB7F" w14:textId="722F2FB8" w:rsidR="00481AED" w:rsidRPr="00481AED" w:rsidRDefault="00481AED" w:rsidP="00EC712D">
            <w:pPr>
              <w:spacing w:before="20" w:after="20"/>
              <w:jc w:val="right"/>
              <w:rPr>
                <w:rFonts w:asciiTheme="minorHAnsi" w:hAnsiTheme="minorHAnsi" w:cstheme="minorHAnsi"/>
                <w:color w:val="000000"/>
                <w:sz w:val="20"/>
                <w:szCs w:val="20"/>
              </w:rPr>
            </w:pPr>
            <w:r w:rsidRPr="00481AED">
              <w:rPr>
                <w:rFonts w:asciiTheme="minorHAnsi" w:hAnsiTheme="minorHAnsi" w:cstheme="minorHAnsi"/>
                <w:color w:val="000000"/>
                <w:sz w:val="20"/>
                <w:szCs w:val="20"/>
              </w:rPr>
              <w:t>303.441,54</w:t>
            </w:r>
          </w:p>
        </w:tc>
      </w:tr>
      <w:tr w:rsidR="00481AED" w:rsidRPr="00FA4351" w14:paraId="4E525D02" w14:textId="77777777" w:rsidTr="00C84FEB">
        <w:trPr>
          <w:jc w:val="center"/>
        </w:trPr>
        <w:tc>
          <w:tcPr>
            <w:tcW w:w="567" w:type="dxa"/>
            <w:vAlign w:val="center"/>
          </w:tcPr>
          <w:p w14:paraId="7F7EFAC0" w14:textId="17469F28" w:rsidR="00481AED" w:rsidRPr="00481AED" w:rsidRDefault="00481AED" w:rsidP="00EC712D">
            <w:pPr>
              <w:spacing w:before="20" w:after="20"/>
              <w:jc w:val="center"/>
              <w:rPr>
                <w:rFonts w:asciiTheme="minorHAnsi" w:hAnsiTheme="minorHAnsi" w:cstheme="minorHAnsi"/>
                <w:color w:val="000000"/>
                <w:sz w:val="20"/>
                <w:szCs w:val="20"/>
              </w:rPr>
            </w:pPr>
            <w:r w:rsidRPr="00481AED">
              <w:rPr>
                <w:rFonts w:asciiTheme="minorHAnsi" w:hAnsiTheme="minorHAnsi" w:cstheme="minorHAnsi"/>
                <w:color w:val="000000"/>
                <w:sz w:val="20"/>
                <w:szCs w:val="20"/>
              </w:rPr>
              <w:t>31</w:t>
            </w:r>
          </w:p>
        </w:tc>
        <w:tc>
          <w:tcPr>
            <w:tcW w:w="11624" w:type="dxa"/>
            <w:vAlign w:val="center"/>
          </w:tcPr>
          <w:p w14:paraId="4566940E" w14:textId="0B547802" w:rsidR="00481AED" w:rsidRPr="00481AED" w:rsidRDefault="00481AED" w:rsidP="00EC712D">
            <w:pPr>
              <w:spacing w:before="20" w:after="20"/>
              <w:rPr>
                <w:rFonts w:asciiTheme="minorHAnsi" w:hAnsiTheme="minorHAnsi" w:cstheme="minorHAnsi"/>
                <w:sz w:val="20"/>
                <w:szCs w:val="20"/>
              </w:rPr>
            </w:pPr>
            <w:r w:rsidRPr="00481AED">
              <w:rPr>
                <w:rFonts w:asciiTheme="minorHAnsi" w:hAnsiTheme="minorHAnsi" w:cstheme="minorHAnsi"/>
                <w:sz w:val="20"/>
                <w:szCs w:val="20"/>
              </w:rPr>
              <w:t>Normalización en S/E Alto Jahuel 220 kV</w:t>
            </w:r>
          </w:p>
        </w:tc>
        <w:tc>
          <w:tcPr>
            <w:tcW w:w="1418" w:type="dxa"/>
            <w:vAlign w:val="center"/>
          </w:tcPr>
          <w:p w14:paraId="0B4AC41E" w14:textId="428C9A3A" w:rsidR="00481AED" w:rsidRPr="00481AED" w:rsidRDefault="00481AED" w:rsidP="00EC712D">
            <w:pPr>
              <w:spacing w:before="20" w:after="20"/>
              <w:jc w:val="right"/>
              <w:rPr>
                <w:rFonts w:asciiTheme="minorHAnsi" w:hAnsiTheme="minorHAnsi" w:cstheme="minorHAnsi"/>
                <w:color w:val="000000"/>
                <w:sz w:val="20"/>
                <w:szCs w:val="20"/>
              </w:rPr>
            </w:pPr>
            <w:r w:rsidRPr="00481AED">
              <w:rPr>
                <w:rFonts w:asciiTheme="minorHAnsi" w:hAnsiTheme="minorHAnsi" w:cstheme="minorHAnsi"/>
                <w:color w:val="000000"/>
                <w:sz w:val="20"/>
                <w:szCs w:val="20"/>
              </w:rPr>
              <w:t>65.373,73</w:t>
            </w:r>
          </w:p>
        </w:tc>
      </w:tr>
      <w:tr w:rsidR="00481AED" w:rsidRPr="00FA4351" w14:paraId="3869DE37" w14:textId="77777777" w:rsidTr="00C84FEB">
        <w:trPr>
          <w:jc w:val="center"/>
        </w:trPr>
        <w:tc>
          <w:tcPr>
            <w:tcW w:w="567" w:type="dxa"/>
            <w:vAlign w:val="center"/>
          </w:tcPr>
          <w:p w14:paraId="46B5CE60" w14:textId="27057113" w:rsidR="00481AED" w:rsidRPr="00481AED" w:rsidRDefault="00481AED" w:rsidP="00EC712D">
            <w:pPr>
              <w:spacing w:before="20" w:after="20"/>
              <w:jc w:val="center"/>
              <w:rPr>
                <w:rFonts w:asciiTheme="minorHAnsi" w:hAnsiTheme="minorHAnsi" w:cstheme="minorHAnsi"/>
                <w:color w:val="000000"/>
                <w:sz w:val="20"/>
                <w:szCs w:val="20"/>
              </w:rPr>
            </w:pPr>
            <w:r w:rsidRPr="00481AED">
              <w:rPr>
                <w:rFonts w:asciiTheme="minorHAnsi" w:hAnsiTheme="minorHAnsi" w:cstheme="minorHAnsi"/>
                <w:color w:val="000000"/>
                <w:sz w:val="20"/>
                <w:szCs w:val="20"/>
              </w:rPr>
              <w:t>32</w:t>
            </w:r>
          </w:p>
        </w:tc>
        <w:tc>
          <w:tcPr>
            <w:tcW w:w="11624" w:type="dxa"/>
            <w:vAlign w:val="center"/>
          </w:tcPr>
          <w:p w14:paraId="47BB1244" w14:textId="16CF9CC1" w:rsidR="00481AED" w:rsidRPr="00481AED" w:rsidRDefault="00481AED" w:rsidP="00EC712D">
            <w:pPr>
              <w:spacing w:before="20" w:after="20"/>
              <w:rPr>
                <w:rFonts w:asciiTheme="minorHAnsi" w:hAnsiTheme="minorHAnsi" w:cstheme="minorHAnsi"/>
                <w:sz w:val="20"/>
                <w:szCs w:val="20"/>
              </w:rPr>
            </w:pPr>
            <w:r w:rsidRPr="00481AED">
              <w:rPr>
                <w:rFonts w:asciiTheme="minorHAnsi" w:hAnsiTheme="minorHAnsi" w:cstheme="minorHAnsi"/>
                <w:sz w:val="20"/>
                <w:szCs w:val="20"/>
              </w:rPr>
              <w:t>Aumento de capacidad de la línea 1x220 kV Cardones - Carrera Pinto - Diego de Almagro</w:t>
            </w:r>
          </w:p>
        </w:tc>
        <w:tc>
          <w:tcPr>
            <w:tcW w:w="1418" w:type="dxa"/>
            <w:vAlign w:val="center"/>
          </w:tcPr>
          <w:p w14:paraId="6EB888ED" w14:textId="35BD4A17" w:rsidR="00481AED" w:rsidRPr="00481AED" w:rsidRDefault="00481AED" w:rsidP="00EC712D">
            <w:pPr>
              <w:spacing w:before="20" w:after="20"/>
              <w:jc w:val="right"/>
              <w:rPr>
                <w:rFonts w:asciiTheme="minorHAnsi" w:hAnsiTheme="minorHAnsi" w:cstheme="minorHAnsi"/>
                <w:color w:val="000000"/>
                <w:sz w:val="20"/>
                <w:szCs w:val="20"/>
              </w:rPr>
            </w:pPr>
            <w:r w:rsidRPr="00481AED">
              <w:rPr>
                <w:rFonts w:asciiTheme="minorHAnsi" w:hAnsiTheme="minorHAnsi" w:cstheme="minorHAnsi"/>
                <w:color w:val="000000"/>
                <w:sz w:val="20"/>
                <w:szCs w:val="20"/>
              </w:rPr>
              <w:t>9.965.223,98</w:t>
            </w:r>
          </w:p>
        </w:tc>
      </w:tr>
      <w:tr w:rsidR="00481AED" w:rsidRPr="00FA4351" w14:paraId="564EBEF3" w14:textId="77777777" w:rsidTr="00C84FEB">
        <w:trPr>
          <w:jc w:val="center"/>
        </w:trPr>
        <w:tc>
          <w:tcPr>
            <w:tcW w:w="567" w:type="dxa"/>
            <w:vAlign w:val="center"/>
          </w:tcPr>
          <w:p w14:paraId="28A543C8" w14:textId="39D0341D" w:rsidR="00481AED" w:rsidRPr="00481AED" w:rsidRDefault="00481AED" w:rsidP="00EC712D">
            <w:pPr>
              <w:spacing w:before="20" w:after="20"/>
              <w:jc w:val="center"/>
              <w:rPr>
                <w:rFonts w:asciiTheme="minorHAnsi" w:hAnsiTheme="minorHAnsi" w:cstheme="minorHAnsi"/>
                <w:color w:val="000000"/>
                <w:sz w:val="20"/>
                <w:szCs w:val="20"/>
              </w:rPr>
            </w:pPr>
            <w:r w:rsidRPr="00481AED">
              <w:rPr>
                <w:rFonts w:asciiTheme="minorHAnsi" w:hAnsiTheme="minorHAnsi" w:cstheme="minorHAnsi"/>
                <w:color w:val="000000"/>
                <w:sz w:val="20"/>
                <w:szCs w:val="20"/>
              </w:rPr>
              <w:t>33</w:t>
            </w:r>
          </w:p>
        </w:tc>
        <w:tc>
          <w:tcPr>
            <w:tcW w:w="11624" w:type="dxa"/>
            <w:vAlign w:val="center"/>
          </w:tcPr>
          <w:p w14:paraId="67262AB1" w14:textId="036C1BA0" w:rsidR="00481AED" w:rsidRPr="00481AED" w:rsidRDefault="00481AED" w:rsidP="00EC712D">
            <w:pPr>
              <w:spacing w:before="20" w:after="20"/>
              <w:rPr>
                <w:rFonts w:asciiTheme="minorHAnsi" w:hAnsiTheme="minorHAnsi" w:cstheme="minorHAnsi"/>
                <w:sz w:val="20"/>
                <w:szCs w:val="20"/>
              </w:rPr>
            </w:pPr>
            <w:r w:rsidRPr="00481AED">
              <w:rPr>
                <w:rFonts w:asciiTheme="minorHAnsi" w:hAnsiTheme="minorHAnsi" w:cstheme="minorHAnsi"/>
                <w:sz w:val="20"/>
                <w:szCs w:val="20"/>
              </w:rPr>
              <w:t>Obra nueva Línea Ancoa –A. Jahuel 2x500 kV (2do cto) (*)</w:t>
            </w:r>
          </w:p>
        </w:tc>
        <w:tc>
          <w:tcPr>
            <w:tcW w:w="1418" w:type="dxa"/>
            <w:vAlign w:val="center"/>
          </w:tcPr>
          <w:p w14:paraId="3E40C83E" w14:textId="656C697E" w:rsidR="00481AED" w:rsidRPr="00481AED" w:rsidRDefault="00481AED" w:rsidP="00EC712D">
            <w:pPr>
              <w:spacing w:before="20" w:after="20"/>
              <w:jc w:val="right"/>
              <w:rPr>
                <w:rFonts w:asciiTheme="minorHAnsi" w:hAnsiTheme="minorHAnsi" w:cstheme="minorHAnsi"/>
                <w:color w:val="000000"/>
                <w:sz w:val="20"/>
                <w:szCs w:val="20"/>
              </w:rPr>
            </w:pPr>
            <w:r w:rsidRPr="00481AED">
              <w:rPr>
                <w:rFonts w:asciiTheme="minorHAnsi" w:hAnsiTheme="minorHAnsi" w:cstheme="minorHAnsi"/>
                <w:color w:val="000000"/>
                <w:sz w:val="20"/>
                <w:szCs w:val="20"/>
              </w:rPr>
              <w:t>-</w:t>
            </w:r>
          </w:p>
        </w:tc>
      </w:tr>
      <w:tr w:rsidR="00481AED" w:rsidRPr="00FA4351" w14:paraId="681084EC" w14:textId="77777777" w:rsidTr="00C84FEB">
        <w:trPr>
          <w:jc w:val="center"/>
        </w:trPr>
        <w:tc>
          <w:tcPr>
            <w:tcW w:w="567" w:type="dxa"/>
            <w:vAlign w:val="center"/>
          </w:tcPr>
          <w:p w14:paraId="7F08EC77" w14:textId="0B17F299" w:rsidR="00481AED" w:rsidRPr="00481AED" w:rsidRDefault="00481AED" w:rsidP="00EC712D">
            <w:pPr>
              <w:spacing w:before="20" w:after="20"/>
              <w:jc w:val="center"/>
              <w:rPr>
                <w:rFonts w:asciiTheme="minorHAnsi" w:hAnsiTheme="minorHAnsi" w:cstheme="minorHAnsi"/>
                <w:color w:val="000000"/>
                <w:sz w:val="20"/>
                <w:szCs w:val="20"/>
              </w:rPr>
            </w:pPr>
            <w:r w:rsidRPr="00481AED">
              <w:rPr>
                <w:rFonts w:asciiTheme="minorHAnsi" w:hAnsiTheme="minorHAnsi" w:cstheme="minorHAnsi"/>
                <w:color w:val="000000"/>
                <w:sz w:val="20"/>
                <w:szCs w:val="20"/>
              </w:rPr>
              <w:t>34</w:t>
            </w:r>
          </w:p>
        </w:tc>
        <w:tc>
          <w:tcPr>
            <w:tcW w:w="11624" w:type="dxa"/>
            <w:vAlign w:val="center"/>
          </w:tcPr>
          <w:p w14:paraId="14649FE6" w14:textId="30C299AC" w:rsidR="00481AED" w:rsidRPr="00481AED" w:rsidRDefault="00481AED" w:rsidP="00EC712D">
            <w:pPr>
              <w:spacing w:before="20" w:after="20"/>
              <w:rPr>
                <w:rFonts w:asciiTheme="minorHAnsi" w:hAnsiTheme="minorHAnsi" w:cstheme="minorHAnsi"/>
                <w:sz w:val="20"/>
                <w:szCs w:val="20"/>
              </w:rPr>
            </w:pPr>
            <w:r w:rsidRPr="00481AED">
              <w:rPr>
                <w:rFonts w:asciiTheme="minorHAnsi" w:hAnsiTheme="minorHAnsi" w:cstheme="minorHAnsi"/>
                <w:sz w:val="20"/>
                <w:szCs w:val="20"/>
              </w:rPr>
              <w:t>Línea Punta Cortés Tuniche 2x220kV</w:t>
            </w:r>
          </w:p>
        </w:tc>
        <w:tc>
          <w:tcPr>
            <w:tcW w:w="1418" w:type="dxa"/>
            <w:vAlign w:val="center"/>
          </w:tcPr>
          <w:p w14:paraId="7356E809" w14:textId="348E16E7" w:rsidR="00481AED" w:rsidRPr="00481AED" w:rsidRDefault="00481AED" w:rsidP="00EC712D">
            <w:pPr>
              <w:spacing w:before="20" w:after="20"/>
              <w:jc w:val="right"/>
              <w:rPr>
                <w:rFonts w:asciiTheme="minorHAnsi" w:hAnsiTheme="minorHAnsi" w:cstheme="minorHAnsi"/>
                <w:color w:val="000000"/>
                <w:sz w:val="20"/>
                <w:szCs w:val="20"/>
              </w:rPr>
            </w:pPr>
            <w:r w:rsidRPr="00481AED">
              <w:rPr>
                <w:rFonts w:asciiTheme="minorHAnsi" w:hAnsiTheme="minorHAnsi" w:cstheme="minorHAnsi"/>
                <w:color w:val="000000"/>
                <w:sz w:val="20"/>
                <w:szCs w:val="20"/>
              </w:rPr>
              <w:t>84.178,57</w:t>
            </w:r>
          </w:p>
        </w:tc>
      </w:tr>
    </w:tbl>
    <w:p w14:paraId="4CE1E528" w14:textId="77777777" w:rsidR="00F4775A" w:rsidRDefault="00F4775A" w:rsidP="00F4775A">
      <w:pPr>
        <w:rPr>
          <w:sz w:val="20"/>
          <w:szCs w:val="20"/>
        </w:rPr>
      </w:pPr>
    </w:p>
    <w:p w14:paraId="11210ED8" w14:textId="77777777" w:rsidR="00F4775A" w:rsidRDefault="00F4775A" w:rsidP="00F4775A">
      <w:pPr>
        <w:pStyle w:val="Prrafodelista1"/>
        <w:ind w:left="0"/>
        <w:rPr>
          <w:sz w:val="20"/>
          <w:szCs w:val="20"/>
        </w:rPr>
      </w:pPr>
      <w:r w:rsidRPr="00F64FD2">
        <w:rPr>
          <w:sz w:val="20"/>
          <w:szCs w:val="20"/>
        </w:rPr>
        <w:t xml:space="preserve">(*) AJTE, propietario de la obra de ampliación “Obra nueva Línea Ancoa - A. Jahuel 2x500 kV (2do cto)”, informó las características de las labores de ampliación efectuadas, pero no </w:t>
      </w:r>
      <w:r>
        <w:rPr>
          <w:sz w:val="20"/>
          <w:szCs w:val="20"/>
        </w:rPr>
        <w:t>presentó</w:t>
      </w:r>
      <w:r w:rsidRPr="00F64FD2">
        <w:rPr>
          <w:sz w:val="20"/>
          <w:szCs w:val="20"/>
        </w:rPr>
        <w:t xml:space="preserve"> un desglose de los costos </w:t>
      </w:r>
      <w:r>
        <w:rPr>
          <w:sz w:val="20"/>
          <w:szCs w:val="20"/>
        </w:rPr>
        <w:t>respectivos</w:t>
      </w:r>
      <w:r w:rsidRPr="00F64FD2">
        <w:rPr>
          <w:sz w:val="20"/>
          <w:szCs w:val="20"/>
        </w:rPr>
        <w:t>. El Consultor determinará el V.I. y el A.V.I. correspondiente en el Informe Final Preliminar, y una vez remitidos los antecedentes respectivos.</w:t>
      </w:r>
    </w:p>
    <w:p w14:paraId="3C4329BE" w14:textId="77777777" w:rsidR="00F4775A" w:rsidRDefault="00F4775A" w:rsidP="00F4775A">
      <w:pPr>
        <w:pStyle w:val="Prrafodelista1"/>
        <w:ind w:left="0"/>
        <w:rPr>
          <w:sz w:val="20"/>
          <w:szCs w:val="20"/>
        </w:rPr>
      </w:pPr>
    </w:p>
    <w:p w14:paraId="77A53D7B" w14:textId="77777777" w:rsidR="00F4775A" w:rsidRDefault="00F4775A" w:rsidP="00F4775A">
      <w:pPr>
        <w:rPr>
          <w:sz w:val="20"/>
          <w:szCs w:val="20"/>
        </w:rPr>
      </w:pPr>
      <w:r>
        <w:rPr>
          <w:sz w:val="20"/>
          <w:szCs w:val="20"/>
        </w:rPr>
        <w:br w:type="page"/>
      </w:r>
    </w:p>
    <w:p w14:paraId="5CD7B4C4" w14:textId="0D3B7ACB" w:rsidR="00481AED" w:rsidRPr="002F3394" w:rsidRDefault="00481AED" w:rsidP="00481AED">
      <w:pPr>
        <w:pStyle w:val="Subttulo"/>
      </w:pPr>
      <w:bookmarkStart w:id="508" w:name="_Toc39797966"/>
      <w:r w:rsidRPr="002F3394">
        <w:lastRenderedPageBreak/>
        <w:t xml:space="preserve">Tabla </w:t>
      </w:r>
      <w:fldSimple w:instr=" SEQ Tabla \* ARABIC ">
        <w:r w:rsidR="001F3E2E">
          <w:rPr>
            <w:noProof/>
          </w:rPr>
          <w:t>56</w:t>
        </w:r>
      </w:fldSimple>
      <w:r w:rsidRPr="002F3394">
        <w:t xml:space="preserve">: </w:t>
      </w:r>
      <w:r>
        <w:t>V.I. A.V.I. Labores de Ampliación a recuperar</w:t>
      </w:r>
      <w:bookmarkEnd w:id="508"/>
    </w:p>
    <w:tbl>
      <w:tblPr>
        <w:tblStyle w:val="Tablaconcuadrcula"/>
        <w:tblW w:w="0" w:type="auto"/>
        <w:jc w:val="center"/>
        <w:tblLayout w:type="fixed"/>
        <w:tblCellMar>
          <w:left w:w="57" w:type="dxa"/>
          <w:right w:w="57" w:type="dxa"/>
        </w:tblCellMar>
        <w:tblLook w:val="04A0" w:firstRow="1" w:lastRow="0" w:firstColumn="1" w:lastColumn="0" w:noHBand="0" w:noVBand="1"/>
      </w:tblPr>
      <w:tblGrid>
        <w:gridCol w:w="567"/>
        <w:gridCol w:w="10773"/>
        <w:gridCol w:w="1134"/>
        <w:gridCol w:w="1134"/>
      </w:tblGrid>
      <w:tr w:rsidR="00F4775A" w:rsidRPr="001F3E2E" w14:paraId="176C05EF" w14:textId="77777777" w:rsidTr="0053093A">
        <w:trPr>
          <w:tblHeader/>
          <w:jc w:val="center"/>
        </w:trPr>
        <w:tc>
          <w:tcPr>
            <w:tcW w:w="567" w:type="dxa"/>
            <w:shd w:val="clear" w:color="auto" w:fill="D9D9D9" w:themeFill="background1" w:themeFillShade="D9"/>
            <w:vAlign w:val="center"/>
          </w:tcPr>
          <w:p w14:paraId="1E9159FF" w14:textId="77777777" w:rsidR="00F4775A" w:rsidRPr="00481AED" w:rsidRDefault="00F4775A" w:rsidP="00C84FEB">
            <w:pPr>
              <w:spacing w:before="20" w:after="20" w:line="240" w:lineRule="auto"/>
              <w:jc w:val="center"/>
              <w:rPr>
                <w:rFonts w:asciiTheme="minorHAnsi" w:hAnsiTheme="minorHAnsi" w:cstheme="minorHAnsi"/>
                <w:b/>
                <w:bCs/>
                <w:sz w:val="20"/>
                <w:szCs w:val="20"/>
              </w:rPr>
            </w:pPr>
            <w:r w:rsidRPr="00481AED">
              <w:rPr>
                <w:rFonts w:asciiTheme="minorHAnsi" w:hAnsiTheme="minorHAnsi" w:cstheme="minorHAnsi"/>
                <w:b/>
                <w:bCs/>
                <w:sz w:val="20"/>
                <w:szCs w:val="20"/>
              </w:rPr>
              <w:t>N°</w:t>
            </w:r>
          </w:p>
        </w:tc>
        <w:tc>
          <w:tcPr>
            <w:tcW w:w="10773" w:type="dxa"/>
            <w:shd w:val="clear" w:color="auto" w:fill="D9D9D9" w:themeFill="background1" w:themeFillShade="D9"/>
            <w:vAlign w:val="center"/>
          </w:tcPr>
          <w:p w14:paraId="493657B0" w14:textId="77777777" w:rsidR="00F4775A" w:rsidRPr="00481AED" w:rsidRDefault="00F4775A" w:rsidP="00C84FEB">
            <w:pPr>
              <w:spacing w:before="20" w:after="20" w:line="240" w:lineRule="auto"/>
              <w:jc w:val="center"/>
              <w:rPr>
                <w:rFonts w:asciiTheme="minorHAnsi" w:hAnsiTheme="minorHAnsi" w:cstheme="minorHAnsi"/>
                <w:b/>
                <w:bCs/>
                <w:sz w:val="20"/>
                <w:szCs w:val="20"/>
              </w:rPr>
            </w:pPr>
            <w:r w:rsidRPr="00481AED">
              <w:rPr>
                <w:rFonts w:asciiTheme="minorHAnsi" w:hAnsiTheme="minorHAnsi" w:cstheme="minorHAnsi"/>
                <w:b/>
                <w:bCs/>
                <w:sz w:val="20"/>
                <w:szCs w:val="20"/>
              </w:rPr>
              <w:t>Obra de Ampliación</w:t>
            </w:r>
          </w:p>
        </w:tc>
        <w:tc>
          <w:tcPr>
            <w:tcW w:w="1134" w:type="dxa"/>
            <w:shd w:val="clear" w:color="auto" w:fill="D9D9D9" w:themeFill="background1" w:themeFillShade="D9"/>
            <w:vAlign w:val="center"/>
          </w:tcPr>
          <w:p w14:paraId="44CEE2CA" w14:textId="77777777" w:rsidR="00F4775A" w:rsidRPr="00481AED" w:rsidRDefault="00F4775A" w:rsidP="00C84FEB">
            <w:pPr>
              <w:spacing w:before="20" w:after="20" w:line="240" w:lineRule="auto"/>
              <w:jc w:val="center"/>
              <w:rPr>
                <w:rFonts w:asciiTheme="minorHAnsi" w:hAnsiTheme="minorHAnsi" w:cstheme="minorHAnsi"/>
                <w:b/>
                <w:bCs/>
                <w:sz w:val="20"/>
                <w:szCs w:val="20"/>
              </w:rPr>
            </w:pPr>
            <w:r w:rsidRPr="00481AED">
              <w:rPr>
                <w:rFonts w:asciiTheme="minorHAnsi" w:hAnsiTheme="minorHAnsi" w:cstheme="minorHAnsi"/>
                <w:b/>
                <w:bCs/>
                <w:sz w:val="20"/>
                <w:szCs w:val="20"/>
              </w:rPr>
              <w:t>A.V.I. sin ajuste</w:t>
            </w:r>
          </w:p>
          <w:p w14:paraId="4038E1AD" w14:textId="18B236D1" w:rsidR="00F4775A" w:rsidRPr="00481AED" w:rsidRDefault="00204436" w:rsidP="00C84FEB">
            <w:pPr>
              <w:spacing w:before="20" w:after="20" w:line="240" w:lineRule="auto"/>
              <w:jc w:val="center"/>
              <w:rPr>
                <w:rFonts w:asciiTheme="minorHAnsi" w:hAnsiTheme="minorHAnsi" w:cstheme="minorHAnsi"/>
                <w:b/>
                <w:bCs/>
                <w:sz w:val="20"/>
                <w:szCs w:val="20"/>
              </w:rPr>
            </w:pPr>
            <w:r w:rsidRPr="00481AED">
              <w:rPr>
                <w:rFonts w:asciiTheme="minorHAnsi" w:hAnsiTheme="minorHAnsi" w:cstheme="minorHAnsi"/>
                <w:b/>
                <w:bCs/>
                <w:sz w:val="20"/>
                <w:szCs w:val="20"/>
              </w:rPr>
              <w:t>USD</w:t>
            </w:r>
            <w:r w:rsidR="00F4775A" w:rsidRPr="00481AED">
              <w:rPr>
                <w:rFonts w:asciiTheme="minorHAnsi" w:hAnsiTheme="minorHAnsi" w:cstheme="minorHAnsi"/>
                <w:b/>
                <w:bCs/>
                <w:sz w:val="20"/>
                <w:szCs w:val="20"/>
              </w:rPr>
              <w:t xml:space="preserve"> dic 2017</w:t>
            </w:r>
          </w:p>
        </w:tc>
        <w:tc>
          <w:tcPr>
            <w:tcW w:w="1134" w:type="dxa"/>
            <w:shd w:val="clear" w:color="auto" w:fill="D9D9D9" w:themeFill="background1" w:themeFillShade="D9"/>
            <w:vAlign w:val="center"/>
          </w:tcPr>
          <w:p w14:paraId="61367167" w14:textId="77777777" w:rsidR="00F4775A" w:rsidRPr="00481AED" w:rsidRDefault="00F4775A" w:rsidP="00C84FEB">
            <w:pPr>
              <w:spacing w:before="20" w:after="20" w:line="240" w:lineRule="auto"/>
              <w:jc w:val="center"/>
              <w:rPr>
                <w:rFonts w:asciiTheme="minorHAnsi" w:hAnsiTheme="minorHAnsi" w:cstheme="minorHAnsi"/>
                <w:b/>
                <w:bCs/>
                <w:sz w:val="20"/>
                <w:szCs w:val="20"/>
                <w:lang w:val="en-US"/>
              </w:rPr>
            </w:pPr>
            <w:r w:rsidRPr="00481AED">
              <w:rPr>
                <w:rFonts w:asciiTheme="minorHAnsi" w:hAnsiTheme="minorHAnsi" w:cstheme="minorHAnsi"/>
                <w:b/>
                <w:bCs/>
                <w:sz w:val="20"/>
                <w:szCs w:val="20"/>
                <w:lang w:val="en-US"/>
              </w:rPr>
              <w:t>A.E.I.R.</w:t>
            </w:r>
          </w:p>
          <w:p w14:paraId="698466E3" w14:textId="454319D4" w:rsidR="00F4775A" w:rsidRPr="00C84FEB" w:rsidRDefault="00204436" w:rsidP="00C84FEB">
            <w:pPr>
              <w:spacing w:before="20" w:after="20" w:line="240" w:lineRule="auto"/>
              <w:jc w:val="center"/>
              <w:rPr>
                <w:rFonts w:asciiTheme="minorHAnsi" w:hAnsiTheme="minorHAnsi" w:cstheme="minorHAnsi"/>
                <w:b/>
                <w:bCs/>
                <w:sz w:val="20"/>
                <w:szCs w:val="20"/>
                <w:lang w:val="en-US"/>
              </w:rPr>
            </w:pPr>
            <w:r w:rsidRPr="00481AED">
              <w:rPr>
                <w:rFonts w:asciiTheme="minorHAnsi" w:hAnsiTheme="minorHAnsi" w:cstheme="minorHAnsi"/>
                <w:b/>
                <w:bCs/>
                <w:sz w:val="20"/>
                <w:szCs w:val="20"/>
                <w:lang w:val="en-US"/>
              </w:rPr>
              <w:t>USD</w:t>
            </w:r>
            <w:r w:rsidR="00F4775A" w:rsidRPr="00481AED">
              <w:rPr>
                <w:rFonts w:asciiTheme="minorHAnsi" w:hAnsiTheme="minorHAnsi" w:cstheme="minorHAnsi"/>
                <w:b/>
                <w:bCs/>
                <w:sz w:val="20"/>
                <w:szCs w:val="20"/>
                <w:lang w:val="en-US"/>
              </w:rPr>
              <w:t xml:space="preserve"> dic 2017</w:t>
            </w:r>
          </w:p>
        </w:tc>
      </w:tr>
      <w:tr w:rsidR="00F4775A" w:rsidRPr="00481AED" w14:paraId="7170634A" w14:textId="77777777" w:rsidTr="00C84FEB">
        <w:trPr>
          <w:jc w:val="center"/>
        </w:trPr>
        <w:tc>
          <w:tcPr>
            <w:tcW w:w="567" w:type="dxa"/>
            <w:vAlign w:val="center"/>
          </w:tcPr>
          <w:p w14:paraId="262C51C8" w14:textId="77777777" w:rsidR="00F4775A" w:rsidRPr="00481AED" w:rsidRDefault="00F4775A" w:rsidP="00C84FEB">
            <w:pPr>
              <w:spacing w:before="20" w:after="20" w:line="240" w:lineRule="auto"/>
              <w:jc w:val="center"/>
              <w:rPr>
                <w:rFonts w:asciiTheme="minorHAnsi" w:hAnsiTheme="minorHAnsi" w:cstheme="minorHAnsi"/>
                <w:sz w:val="20"/>
                <w:szCs w:val="20"/>
              </w:rPr>
            </w:pPr>
            <w:r w:rsidRPr="00481AED">
              <w:rPr>
                <w:rFonts w:asciiTheme="minorHAnsi" w:hAnsiTheme="minorHAnsi" w:cstheme="minorHAnsi"/>
                <w:color w:val="000000"/>
                <w:sz w:val="20"/>
                <w:szCs w:val="20"/>
              </w:rPr>
              <w:t>1</w:t>
            </w:r>
          </w:p>
        </w:tc>
        <w:tc>
          <w:tcPr>
            <w:tcW w:w="10773" w:type="dxa"/>
            <w:vAlign w:val="center"/>
          </w:tcPr>
          <w:p w14:paraId="0D4A22BA" w14:textId="77777777" w:rsidR="00F4775A" w:rsidRPr="00481AED" w:rsidRDefault="00F4775A" w:rsidP="00C84FEB">
            <w:pPr>
              <w:spacing w:before="20" w:after="20" w:line="240" w:lineRule="auto"/>
              <w:rPr>
                <w:rFonts w:asciiTheme="minorHAnsi" w:hAnsiTheme="minorHAnsi" w:cstheme="minorHAnsi"/>
                <w:sz w:val="20"/>
                <w:szCs w:val="20"/>
              </w:rPr>
            </w:pPr>
            <w:r w:rsidRPr="00481AED">
              <w:rPr>
                <w:rFonts w:asciiTheme="minorHAnsi" w:hAnsiTheme="minorHAnsi" w:cstheme="minorHAnsi"/>
                <w:sz w:val="20"/>
                <w:szCs w:val="20"/>
              </w:rPr>
              <w:t>Obra de ampliación Tendido Segundo Circuito Línea 2x220 kV Encuentro – Lagunas</w:t>
            </w:r>
          </w:p>
        </w:tc>
        <w:tc>
          <w:tcPr>
            <w:tcW w:w="1134" w:type="dxa"/>
            <w:vAlign w:val="center"/>
          </w:tcPr>
          <w:p w14:paraId="7022EE78" w14:textId="77777777" w:rsidR="00F4775A" w:rsidRPr="00481AED" w:rsidRDefault="00F4775A" w:rsidP="00C84FEB">
            <w:pPr>
              <w:spacing w:before="20" w:after="20" w:line="240" w:lineRule="auto"/>
              <w:jc w:val="right"/>
              <w:rPr>
                <w:rFonts w:asciiTheme="minorHAnsi" w:hAnsiTheme="minorHAnsi" w:cstheme="minorHAnsi"/>
                <w:sz w:val="20"/>
                <w:szCs w:val="20"/>
              </w:rPr>
            </w:pPr>
            <w:r w:rsidRPr="00481AED">
              <w:rPr>
                <w:rFonts w:asciiTheme="minorHAnsi" w:hAnsiTheme="minorHAnsi" w:cstheme="minorHAnsi"/>
                <w:sz w:val="20"/>
                <w:szCs w:val="20"/>
              </w:rPr>
              <w:t>-</w:t>
            </w:r>
          </w:p>
        </w:tc>
        <w:tc>
          <w:tcPr>
            <w:tcW w:w="1134" w:type="dxa"/>
            <w:vAlign w:val="center"/>
          </w:tcPr>
          <w:p w14:paraId="07235494" w14:textId="77777777" w:rsidR="00F4775A" w:rsidRPr="00481AED" w:rsidRDefault="00F4775A" w:rsidP="00C84FEB">
            <w:pPr>
              <w:spacing w:before="20" w:after="20" w:line="240" w:lineRule="auto"/>
              <w:jc w:val="right"/>
              <w:rPr>
                <w:sz w:val="20"/>
                <w:szCs w:val="20"/>
              </w:rPr>
            </w:pPr>
            <w:r w:rsidRPr="00481AED">
              <w:rPr>
                <w:sz w:val="20"/>
                <w:szCs w:val="20"/>
              </w:rPr>
              <w:t>-</w:t>
            </w:r>
          </w:p>
        </w:tc>
      </w:tr>
      <w:tr w:rsidR="00F4775A" w:rsidRPr="00481AED" w14:paraId="0ECDB59A" w14:textId="77777777" w:rsidTr="00C84FEB">
        <w:trPr>
          <w:jc w:val="center"/>
        </w:trPr>
        <w:tc>
          <w:tcPr>
            <w:tcW w:w="567" w:type="dxa"/>
            <w:vAlign w:val="center"/>
          </w:tcPr>
          <w:p w14:paraId="7F9E108E" w14:textId="77777777" w:rsidR="00F4775A" w:rsidRPr="00481AED" w:rsidRDefault="00F4775A" w:rsidP="00C84FEB">
            <w:pPr>
              <w:spacing w:before="20" w:after="20" w:line="240" w:lineRule="auto"/>
              <w:jc w:val="center"/>
              <w:rPr>
                <w:rFonts w:asciiTheme="minorHAnsi" w:hAnsiTheme="minorHAnsi" w:cstheme="minorHAnsi"/>
                <w:sz w:val="20"/>
                <w:szCs w:val="20"/>
              </w:rPr>
            </w:pPr>
            <w:r w:rsidRPr="00481AED">
              <w:rPr>
                <w:rFonts w:asciiTheme="minorHAnsi" w:hAnsiTheme="minorHAnsi" w:cstheme="minorHAnsi"/>
                <w:color w:val="000000"/>
                <w:sz w:val="20"/>
                <w:szCs w:val="20"/>
              </w:rPr>
              <w:t>2</w:t>
            </w:r>
          </w:p>
        </w:tc>
        <w:tc>
          <w:tcPr>
            <w:tcW w:w="10773" w:type="dxa"/>
            <w:vAlign w:val="center"/>
          </w:tcPr>
          <w:p w14:paraId="6DEE0F65" w14:textId="77777777" w:rsidR="00F4775A" w:rsidRPr="00481AED" w:rsidRDefault="00F4775A" w:rsidP="00C84FEB">
            <w:pPr>
              <w:spacing w:before="20" w:after="20" w:line="240" w:lineRule="auto"/>
              <w:rPr>
                <w:rFonts w:asciiTheme="minorHAnsi" w:hAnsiTheme="minorHAnsi" w:cstheme="minorHAnsi"/>
                <w:sz w:val="20"/>
                <w:szCs w:val="20"/>
              </w:rPr>
            </w:pPr>
            <w:r w:rsidRPr="00481AED">
              <w:rPr>
                <w:rFonts w:asciiTheme="minorHAnsi" w:hAnsiTheme="minorHAnsi" w:cstheme="minorHAnsi"/>
                <w:sz w:val="20"/>
                <w:szCs w:val="20"/>
              </w:rPr>
              <w:t>Obra de tendido segundo circuito línea 2x220 kV Cardones – Diego de Almagro, con secc. En S/E Carrera Pinto</w:t>
            </w:r>
          </w:p>
        </w:tc>
        <w:tc>
          <w:tcPr>
            <w:tcW w:w="1134" w:type="dxa"/>
            <w:vAlign w:val="center"/>
          </w:tcPr>
          <w:p w14:paraId="60D1809D" w14:textId="77777777" w:rsidR="00F4775A" w:rsidRPr="00481AED" w:rsidRDefault="00F4775A" w:rsidP="00C84FEB">
            <w:pPr>
              <w:spacing w:before="20" w:after="20" w:line="240" w:lineRule="auto"/>
              <w:jc w:val="right"/>
              <w:rPr>
                <w:rFonts w:asciiTheme="minorHAnsi" w:hAnsiTheme="minorHAnsi" w:cstheme="minorHAnsi"/>
                <w:sz w:val="20"/>
                <w:szCs w:val="20"/>
              </w:rPr>
            </w:pPr>
            <w:r w:rsidRPr="00481AED">
              <w:rPr>
                <w:rFonts w:asciiTheme="minorHAnsi" w:hAnsiTheme="minorHAnsi" w:cstheme="minorHAnsi"/>
                <w:sz w:val="20"/>
                <w:szCs w:val="20"/>
              </w:rPr>
              <w:t>-</w:t>
            </w:r>
          </w:p>
        </w:tc>
        <w:tc>
          <w:tcPr>
            <w:tcW w:w="1134" w:type="dxa"/>
            <w:vAlign w:val="center"/>
          </w:tcPr>
          <w:p w14:paraId="603FE8AA" w14:textId="77777777" w:rsidR="00F4775A" w:rsidRPr="00481AED" w:rsidRDefault="00F4775A" w:rsidP="00C84FEB">
            <w:pPr>
              <w:spacing w:before="20" w:after="20" w:line="240" w:lineRule="auto"/>
              <w:jc w:val="right"/>
              <w:rPr>
                <w:sz w:val="20"/>
                <w:szCs w:val="20"/>
              </w:rPr>
            </w:pPr>
            <w:r w:rsidRPr="00481AED">
              <w:rPr>
                <w:sz w:val="20"/>
                <w:szCs w:val="20"/>
              </w:rPr>
              <w:t>-</w:t>
            </w:r>
          </w:p>
        </w:tc>
      </w:tr>
      <w:tr w:rsidR="00F4775A" w:rsidRPr="00481AED" w14:paraId="4D940E2F" w14:textId="77777777" w:rsidTr="00C84FEB">
        <w:trPr>
          <w:jc w:val="center"/>
        </w:trPr>
        <w:tc>
          <w:tcPr>
            <w:tcW w:w="567" w:type="dxa"/>
            <w:vAlign w:val="center"/>
          </w:tcPr>
          <w:p w14:paraId="04BC8162" w14:textId="77777777" w:rsidR="00F4775A" w:rsidRPr="00481AED" w:rsidRDefault="00F4775A" w:rsidP="00C84FEB">
            <w:pPr>
              <w:spacing w:before="20" w:after="20" w:line="240" w:lineRule="auto"/>
              <w:jc w:val="center"/>
              <w:rPr>
                <w:rFonts w:asciiTheme="minorHAnsi" w:hAnsiTheme="minorHAnsi" w:cstheme="minorHAnsi"/>
                <w:sz w:val="20"/>
                <w:szCs w:val="20"/>
              </w:rPr>
            </w:pPr>
            <w:r w:rsidRPr="00481AED">
              <w:rPr>
                <w:rFonts w:asciiTheme="minorHAnsi" w:hAnsiTheme="minorHAnsi" w:cstheme="minorHAnsi"/>
                <w:color w:val="000000"/>
                <w:sz w:val="20"/>
                <w:szCs w:val="20"/>
              </w:rPr>
              <w:t>3</w:t>
            </w:r>
          </w:p>
        </w:tc>
        <w:tc>
          <w:tcPr>
            <w:tcW w:w="10773" w:type="dxa"/>
            <w:vAlign w:val="center"/>
          </w:tcPr>
          <w:p w14:paraId="4EBC3510" w14:textId="77777777" w:rsidR="00F4775A" w:rsidRPr="00481AED" w:rsidRDefault="00F4775A" w:rsidP="00C84FEB">
            <w:pPr>
              <w:spacing w:before="20" w:after="20" w:line="240" w:lineRule="auto"/>
              <w:rPr>
                <w:rFonts w:asciiTheme="minorHAnsi" w:hAnsiTheme="minorHAnsi" w:cstheme="minorHAnsi"/>
                <w:sz w:val="20"/>
                <w:szCs w:val="20"/>
              </w:rPr>
            </w:pPr>
            <w:r w:rsidRPr="00481AED">
              <w:rPr>
                <w:rFonts w:asciiTheme="minorHAnsi" w:hAnsiTheme="minorHAnsi" w:cstheme="minorHAnsi"/>
                <w:sz w:val="20"/>
                <w:szCs w:val="20"/>
              </w:rPr>
              <w:t>Tendido segundo circuito línea 2x220 kV Ciruelos – Pichirropulli</w:t>
            </w:r>
          </w:p>
        </w:tc>
        <w:tc>
          <w:tcPr>
            <w:tcW w:w="1134" w:type="dxa"/>
            <w:vAlign w:val="center"/>
          </w:tcPr>
          <w:p w14:paraId="254C83F3" w14:textId="77777777" w:rsidR="00F4775A" w:rsidRPr="00481AED" w:rsidRDefault="00F4775A" w:rsidP="00C84FEB">
            <w:pPr>
              <w:spacing w:before="20" w:after="20" w:line="240" w:lineRule="auto"/>
              <w:jc w:val="right"/>
              <w:rPr>
                <w:rFonts w:asciiTheme="minorHAnsi" w:hAnsiTheme="minorHAnsi" w:cstheme="minorHAnsi"/>
                <w:sz w:val="20"/>
                <w:szCs w:val="20"/>
              </w:rPr>
            </w:pPr>
            <w:r w:rsidRPr="00481AED">
              <w:rPr>
                <w:rFonts w:asciiTheme="minorHAnsi" w:hAnsiTheme="minorHAnsi" w:cstheme="minorHAnsi"/>
                <w:sz w:val="20"/>
                <w:szCs w:val="20"/>
              </w:rPr>
              <w:t>-</w:t>
            </w:r>
          </w:p>
        </w:tc>
        <w:tc>
          <w:tcPr>
            <w:tcW w:w="1134" w:type="dxa"/>
            <w:vAlign w:val="center"/>
          </w:tcPr>
          <w:p w14:paraId="036ED2A7" w14:textId="77777777" w:rsidR="00F4775A" w:rsidRPr="00481AED" w:rsidRDefault="00F4775A" w:rsidP="00C84FEB">
            <w:pPr>
              <w:spacing w:before="20" w:after="20" w:line="240" w:lineRule="auto"/>
              <w:jc w:val="right"/>
              <w:rPr>
                <w:sz w:val="20"/>
                <w:szCs w:val="20"/>
              </w:rPr>
            </w:pPr>
            <w:r w:rsidRPr="00481AED">
              <w:rPr>
                <w:sz w:val="20"/>
                <w:szCs w:val="20"/>
              </w:rPr>
              <w:t>-</w:t>
            </w:r>
          </w:p>
        </w:tc>
      </w:tr>
      <w:tr w:rsidR="00F4775A" w:rsidRPr="00481AED" w14:paraId="7E1BFCB8" w14:textId="77777777" w:rsidTr="00C84FEB">
        <w:trPr>
          <w:jc w:val="center"/>
        </w:trPr>
        <w:tc>
          <w:tcPr>
            <w:tcW w:w="567" w:type="dxa"/>
            <w:vAlign w:val="center"/>
          </w:tcPr>
          <w:p w14:paraId="43F0FFC9" w14:textId="77777777" w:rsidR="00F4775A" w:rsidRPr="00481AED" w:rsidRDefault="00F4775A" w:rsidP="00C84FEB">
            <w:pPr>
              <w:spacing w:before="20" w:after="20" w:line="240" w:lineRule="auto"/>
              <w:jc w:val="center"/>
              <w:rPr>
                <w:rFonts w:asciiTheme="minorHAnsi" w:hAnsiTheme="minorHAnsi" w:cstheme="minorHAnsi"/>
                <w:sz w:val="20"/>
                <w:szCs w:val="20"/>
              </w:rPr>
            </w:pPr>
            <w:r w:rsidRPr="00481AED">
              <w:rPr>
                <w:rFonts w:asciiTheme="minorHAnsi" w:hAnsiTheme="minorHAnsi" w:cstheme="minorHAnsi"/>
                <w:color w:val="000000"/>
                <w:sz w:val="20"/>
                <w:szCs w:val="20"/>
              </w:rPr>
              <w:t>4</w:t>
            </w:r>
          </w:p>
        </w:tc>
        <w:tc>
          <w:tcPr>
            <w:tcW w:w="10773" w:type="dxa"/>
            <w:vAlign w:val="center"/>
          </w:tcPr>
          <w:p w14:paraId="0F918C47" w14:textId="77777777" w:rsidR="00F4775A" w:rsidRPr="00481AED" w:rsidRDefault="00F4775A" w:rsidP="00C84FEB">
            <w:pPr>
              <w:spacing w:before="20" w:after="20" w:line="240" w:lineRule="auto"/>
              <w:rPr>
                <w:rFonts w:asciiTheme="minorHAnsi" w:hAnsiTheme="minorHAnsi" w:cstheme="minorHAnsi"/>
                <w:sz w:val="20"/>
                <w:szCs w:val="20"/>
              </w:rPr>
            </w:pPr>
            <w:r w:rsidRPr="00481AED">
              <w:rPr>
                <w:rFonts w:asciiTheme="minorHAnsi" w:hAnsiTheme="minorHAnsi" w:cstheme="minorHAnsi"/>
                <w:sz w:val="20"/>
                <w:szCs w:val="20"/>
              </w:rPr>
              <w:t>Obra de ampliación S/E San Andrés 220 kV</w:t>
            </w:r>
          </w:p>
        </w:tc>
        <w:tc>
          <w:tcPr>
            <w:tcW w:w="1134" w:type="dxa"/>
            <w:vAlign w:val="center"/>
          </w:tcPr>
          <w:p w14:paraId="5DBF337E" w14:textId="77777777" w:rsidR="00F4775A" w:rsidRPr="00481AED" w:rsidRDefault="00F4775A" w:rsidP="00C84FEB">
            <w:pPr>
              <w:spacing w:before="20" w:after="20" w:line="240" w:lineRule="auto"/>
              <w:jc w:val="right"/>
              <w:rPr>
                <w:rFonts w:asciiTheme="minorHAnsi" w:hAnsiTheme="minorHAnsi" w:cstheme="minorHAnsi"/>
                <w:sz w:val="20"/>
                <w:szCs w:val="20"/>
              </w:rPr>
            </w:pPr>
            <w:r w:rsidRPr="00481AED">
              <w:rPr>
                <w:rFonts w:asciiTheme="minorHAnsi" w:hAnsiTheme="minorHAnsi" w:cstheme="minorHAnsi"/>
                <w:sz w:val="20"/>
                <w:szCs w:val="20"/>
              </w:rPr>
              <w:t>-</w:t>
            </w:r>
          </w:p>
        </w:tc>
        <w:tc>
          <w:tcPr>
            <w:tcW w:w="1134" w:type="dxa"/>
            <w:vAlign w:val="center"/>
          </w:tcPr>
          <w:p w14:paraId="0B274F5B" w14:textId="77777777" w:rsidR="00F4775A" w:rsidRPr="00481AED" w:rsidRDefault="00F4775A" w:rsidP="00C84FEB">
            <w:pPr>
              <w:spacing w:before="20" w:after="20" w:line="240" w:lineRule="auto"/>
              <w:jc w:val="right"/>
              <w:rPr>
                <w:sz w:val="20"/>
                <w:szCs w:val="20"/>
              </w:rPr>
            </w:pPr>
            <w:r w:rsidRPr="00481AED">
              <w:rPr>
                <w:sz w:val="20"/>
                <w:szCs w:val="20"/>
              </w:rPr>
              <w:t>-</w:t>
            </w:r>
          </w:p>
        </w:tc>
      </w:tr>
      <w:tr w:rsidR="00F4775A" w:rsidRPr="00481AED" w14:paraId="1F6D040A" w14:textId="77777777" w:rsidTr="00C84FEB">
        <w:trPr>
          <w:jc w:val="center"/>
        </w:trPr>
        <w:tc>
          <w:tcPr>
            <w:tcW w:w="567" w:type="dxa"/>
            <w:vAlign w:val="center"/>
          </w:tcPr>
          <w:p w14:paraId="12BB148F" w14:textId="77777777" w:rsidR="00F4775A" w:rsidRPr="00481AED" w:rsidRDefault="00F4775A" w:rsidP="00C84FEB">
            <w:pPr>
              <w:spacing w:before="20" w:after="20" w:line="240" w:lineRule="auto"/>
              <w:jc w:val="center"/>
              <w:rPr>
                <w:rFonts w:asciiTheme="minorHAnsi" w:hAnsiTheme="minorHAnsi" w:cstheme="minorHAnsi"/>
                <w:sz w:val="20"/>
                <w:szCs w:val="20"/>
              </w:rPr>
            </w:pPr>
            <w:r w:rsidRPr="00481AED">
              <w:rPr>
                <w:rFonts w:asciiTheme="minorHAnsi" w:hAnsiTheme="minorHAnsi" w:cstheme="minorHAnsi"/>
                <w:color w:val="000000"/>
                <w:sz w:val="20"/>
                <w:szCs w:val="20"/>
              </w:rPr>
              <w:t>5</w:t>
            </w:r>
          </w:p>
        </w:tc>
        <w:tc>
          <w:tcPr>
            <w:tcW w:w="10773" w:type="dxa"/>
            <w:vAlign w:val="center"/>
          </w:tcPr>
          <w:p w14:paraId="2E107337" w14:textId="77777777" w:rsidR="00F4775A" w:rsidRPr="00481AED" w:rsidRDefault="00F4775A" w:rsidP="00C84FEB">
            <w:pPr>
              <w:spacing w:before="20" w:after="20" w:line="240" w:lineRule="auto"/>
              <w:rPr>
                <w:rFonts w:asciiTheme="minorHAnsi" w:hAnsiTheme="minorHAnsi" w:cstheme="minorHAnsi"/>
                <w:sz w:val="20"/>
                <w:szCs w:val="20"/>
              </w:rPr>
            </w:pPr>
            <w:r w:rsidRPr="00481AED">
              <w:rPr>
                <w:rFonts w:asciiTheme="minorHAnsi" w:hAnsiTheme="minorHAnsi" w:cstheme="minorHAnsi"/>
                <w:sz w:val="20"/>
                <w:szCs w:val="20"/>
              </w:rPr>
              <w:t>Barra seccionadora en Subestación Tarapacá 220 kV</w:t>
            </w:r>
          </w:p>
        </w:tc>
        <w:tc>
          <w:tcPr>
            <w:tcW w:w="1134" w:type="dxa"/>
            <w:vAlign w:val="center"/>
          </w:tcPr>
          <w:p w14:paraId="4820C079" w14:textId="77777777" w:rsidR="00F4775A" w:rsidRPr="00481AED" w:rsidRDefault="00F4775A" w:rsidP="00C84FEB">
            <w:pPr>
              <w:spacing w:before="20" w:after="20" w:line="240" w:lineRule="auto"/>
              <w:jc w:val="right"/>
              <w:rPr>
                <w:rFonts w:asciiTheme="minorHAnsi" w:hAnsiTheme="minorHAnsi" w:cstheme="minorHAnsi"/>
                <w:sz w:val="20"/>
                <w:szCs w:val="20"/>
              </w:rPr>
            </w:pPr>
            <w:r w:rsidRPr="00481AED">
              <w:rPr>
                <w:rFonts w:asciiTheme="minorHAnsi" w:hAnsiTheme="minorHAnsi" w:cstheme="minorHAnsi"/>
                <w:sz w:val="20"/>
                <w:szCs w:val="20"/>
              </w:rPr>
              <w:t>30.811,14</w:t>
            </w:r>
          </w:p>
        </w:tc>
        <w:tc>
          <w:tcPr>
            <w:tcW w:w="1134" w:type="dxa"/>
            <w:vAlign w:val="center"/>
          </w:tcPr>
          <w:p w14:paraId="2B84C457" w14:textId="77777777" w:rsidR="00F4775A" w:rsidRPr="00481AED" w:rsidRDefault="00F4775A" w:rsidP="00C84FEB">
            <w:pPr>
              <w:spacing w:before="20" w:after="20" w:line="240" w:lineRule="auto"/>
              <w:jc w:val="right"/>
              <w:rPr>
                <w:sz w:val="20"/>
                <w:szCs w:val="20"/>
              </w:rPr>
            </w:pPr>
            <w:r w:rsidRPr="00481AED">
              <w:rPr>
                <w:sz w:val="20"/>
                <w:szCs w:val="20"/>
              </w:rPr>
              <w:t>5.855</w:t>
            </w:r>
          </w:p>
        </w:tc>
      </w:tr>
      <w:tr w:rsidR="00F4775A" w:rsidRPr="00481AED" w14:paraId="3498B0C7" w14:textId="77777777" w:rsidTr="00C84FEB">
        <w:trPr>
          <w:jc w:val="center"/>
        </w:trPr>
        <w:tc>
          <w:tcPr>
            <w:tcW w:w="567" w:type="dxa"/>
            <w:vAlign w:val="center"/>
          </w:tcPr>
          <w:p w14:paraId="3440C395" w14:textId="77777777" w:rsidR="00F4775A" w:rsidRPr="00481AED" w:rsidRDefault="00F4775A" w:rsidP="00C84FEB">
            <w:pPr>
              <w:spacing w:before="20" w:after="20" w:line="240" w:lineRule="auto"/>
              <w:jc w:val="center"/>
              <w:rPr>
                <w:rFonts w:asciiTheme="minorHAnsi" w:hAnsiTheme="minorHAnsi" w:cstheme="minorHAnsi"/>
                <w:sz w:val="20"/>
                <w:szCs w:val="20"/>
              </w:rPr>
            </w:pPr>
            <w:r w:rsidRPr="00481AED">
              <w:rPr>
                <w:rFonts w:asciiTheme="minorHAnsi" w:hAnsiTheme="minorHAnsi" w:cstheme="minorHAnsi"/>
                <w:color w:val="000000"/>
                <w:sz w:val="20"/>
                <w:szCs w:val="20"/>
              </w:rPr>
              <w:t>6</w:t>
            </w:r>
          </w:p>
        </w:tc>
        <w:tc>
          <w:tcPr>
            <w:tcW w:w="10773" w:type="dxa"/>
            <w:vAlign w:val="center"/>
          </w:tcPr>
          <w:p w14:paraId="339BFDB3" w14:textId="77777777" w:rsidR="00F4775A" w:rsidRPr="00481AED" w:rsidRDefault="00F4775A" w:rsidP="00C84FEB">
            <w:pPr>
              <w:spacing w:before="20" w:after="20" w:line="240" w:lineRule="auto"/>
              <w:rPr>
                <w:rFonts w:asciiTheme="minorHAnsi" w:hAnsiTheme="minorHAnsi" w:cstheme="minorHAnsi"/>
                <w:sz w:val="20"/>
                <w:szCs w:val="20"/>
              </w:rPr>
            </w:pPr>
            <w:r w:rsidRPr="00481AED">
              <w:rPr>
                <w:rFonts w:asciiTheme="minorHAnsi" w:hAnsiTheme="minorHAnsi" w:cstheme="minorHAnsi"/>
                <w:sz w:val="20"/>
                <w:szCs w:val="20"/>
              </w:rPr>
              <w:t>Obra de ampliación S/E Seccionadora Nueva Encuentro 220 kV</w:t>
            </w:r>
          </w:p>
        </w:tc>
        <w:tc>
          <w:tcPr>
            <w:tcW w:w="1134" w:type="dxa"/>
            <w:vAlign w:val="center"/>
          </w:tcPr>
          <w:p w14:paraId="02609C50" w14:textId="77777777" w:rsidR="00F4775A" w:rsidRPr="00481AED" w:rsidRDefault="00F4775A" w:rsidP="00C84FEB">
            <w:pPr>
              <w:spacing w:before="20" w:after="20" w:line="240" w:lineRule="auto"/>
              <w:jc w:val="right"/>
              <w:rPr>
                <w:rFonts w:asciiTheme="minorHAnsi" w:hAnsiTheme="minorHAnsi" w:cstheme="minorHAnsi"/>
                <w:sz w:val="20"/>
                <w:szCs w:val="20"/>
              </w:rPr>
            </w:pPr>
            <w:r w:rsidRPr="00481AED">
              <w:rPr>
                <w:rFonts w:asciiTheme="minorHAnsi" w:hAnsiTheme="minorHAnsi" w:cstheme="minorHAnsi"/>
                <w:sz w:val="20"/>
                <w:szCs w:val="20"/>
              </w:rPr>
              <w:t>50.451,47</w:t>
            </w:r>
          </w:p>
        </w:tc>
        <w:tc>
          <w:tcPr>
            <w:tcW w:w="1134" w:type="dxa"/>
            <w:vAlign w:val="center"/>
          </w:tcPr>
          <w:p w14:paraId="4F596C33" w14:textId="77777777" w:rsidR="00F4775A" w:rsidRPr="00481AED" w:rsidRDefault="00F4775A" w:rsidP="00C84FEB">
            <w:pPr>
              <w:spacing w:before="20" w:after="20" w:line="240" w:lineRule="auto"/>
              <w:jc w:val="right"/>
              <w:rPr>
                <w:sz w:val="20"/>
                <w:szCs w:val="20"/>
              </w:rPr>
            </w:pPr>
            <w:r w:rsidRPr="00481AED">
              <w:rPr>
                <w:sz w:val="20"/>
                <w:szCs w:val="20"/>
              </w:rPr>
              <w:t>9.588</w:t>
            </w:r>
          </w:p>
        </w:tc>
      </w:tr>
      <w:tr w:rsidR="00F4775A" w:rsidRPr="00481AED" w14:paraId="0142584A" w14:textId="77777777" w:rsidTr="00C84FEB">
        <w:trPr>
          <w:jc w:val="center"/>
        </w:trPr>
        <w:tc>
          <w:tcPr>
            <w:tcW w:w="567" w:type="dxa"/>
            <w:vAlign w:val="center"/>
          </w:tcPr>
          <w:p w14:paraId="60C2A160" w14:textId="77777777" w:rsidR="00F4775A" w:rsidRPr="00481AED" w:rsidRDefault="00F4775A" w:rsidP="00C84FEB">
            <w:pPr>
              <w:spacing w:before="20" w:after="20" w:line="240" w:lineRule="auto"/>
              <w:jc w:val="center"/>
              <w:rPr>
                <w:rFonts w:asciiTheme="minorHAnsi" w:hAnsiTheme="minorHAnsi" w:cstheme="minorHAnsi"/>
                <w:sz w:val="20"/>
                <w:szCs w:val="20"/>
              </w:rPr>
            </w:pPr>
            <w:r w:rsidRPr="00481AED">
              <w:rPr>
                <w:rFonts w:asciiTheme="minorHAnsi" w:hAnsiTheme="minorHAnsi" w:cstheme="minorHAnsi"/>
                <w:color w:val="000000"/>
                <w:sz w:val="20"/>
                <w:szCs w:val="20"/>
              </w:rPr>
              <w:t>7</w:t>
            </w:r>
          </w:p>
        </w:tc>
        <w:tc>
          <w:tcPr>
            <w:tcW w:w="10773" w:type="dxa"/>
            <w:vAlign w:val="center"/>
          </w:tcPr>
          <w:p w14:paraId="25B5CCF9" w14:textId="77777777" w:rsidR="00F4775A" w:rsidRPr="00481AED" w:rsidRDefault="00F4775A" w:rsidP="00C84FEB">
            <w:pPr>
              <w:spacing w:before="20" w:after="20" w:line="240" w:lineRule="auto"/>
              <w:rPr>
                <w:rFonts w:asciiTheme="minorHAnsi" w:hAnsiTheme="minorHAnsi" w:cstheme="minorHAnsi"/>
                <w:sz w:val="20"/>
                <w:szCs w:val="20"/>
              </w:rPr>
            </w:pPr>
            <w:r w:rsidRPr="00481AED">
              <w:rPr>
                <w:rFonts w:asciiTheme="minorHAnsi" w:hAnsiTheme="minorHAnsi" w:cstheme="minorHAnsi"/>
                <w:sz w:val="20"/>
                <w:szCs w:val="20"/>
              </w:rPr>
              <w:t>Obra de ampliación cambio interruptor paño acoplador 52JR S/E Alto Jahuel</w:t>
            </w:r>
          </w:p>
        </w:tc>
        <w:tc>
          <w:tcPr>
            <w:tcW w:w="1134" w:type="dxa"/>
            <w:vAlign w:val="center"/>
          </w:tcPr>
          <w:p w14:paraId="4A8531EA" w14:textId="77777777" w:rsidR="00F4775A" w:rsidRPr="00481AED" w:rsidRDefault="00F4775A" w:rsidP="00C84FEB">
            <w:pPr>
              <w:spacing w:before="20" w:after="20" w:line="240" w:lineRule="auto"/>
              <w:jc w:val="right"/>
              <w:rPr>
                <w:rFonts w:asciiTheme="minorHAnsi" w:hAnsiTheme="minorHAnsi" w:cstheme="minorHAnsi"/>
                <w:sz w:val="20"/>
                <w:szCs w:val="20"/>
              </w:rPr>
            </w:pPr>
            <w:r w:rsidRPr="00481AED">
              <w:rPr>
                <w:rFonts w:asciiTheme="minorHAnsi" w:hAnsiTheme="minorHAnsi" w:cstheme="minorHAnsi"/>
                <w:sz w:val="20"/>
                <w:szCs w:val="20"/>
              </w:rPr>
              <w:t>30.473,78</w:t>
            </w:r>
          </w:p>
        </w:tc>
        <w:tc>
          <w:tcPr>
            <w:tcW w:w="1134" w:type="dxa"/>
            <w:vAlign w:val="center"/>
          </w:tcPr>
          <w:p w14:paraId="72D8C674" w14:textId="77777777" w:rsidR="00F4775A" w:rsidRPr="00481AED" w:rsidRDefault="00F4775A" w:rsidP="00C84FEB">
            <w:pPr>
              <w:spacing w:before="20" w:after="20" w:line="240" w:lineRule="auto"/>
              <w:jc w:val="right"/>
              <w:rPr>
                <w:sz w:val="20"/>
                <w:szCs w:val="20"/>
              </w:rPr>
            </w:pPr>
            <w:r w:rsidRPr="00481AED">
              <w:rPr>
                <w:sz w:val="20"/>
                <w:szCs w:val="20"/>
              </w:rPr>
              <w:t>5.910</w:t>
            </w:r>
          </w:p>
        </w:tc>
      </w:tr>
      <w:tr w:rsidR="00F4775A" w:rsidRPr="00481AED" w14:paraId="179ECB33" w14:textId="77777777" w:rsidTr="00C84FEB">
        <w:trPr>
          <w:jc w:val="center"/>
        </w:trPr>
        <w:tc>
          <w:tcPr>
            <w:tcW w:w="567" w:type="dxa"/>
            <w:vAlign w:val="center"/>
          </w:tcPr>
          <w:p w14:paraId="6941C401" w14:textId="77777777" w:rsidR="00F4775A" w:rsidRPr="00481AED" w:rsidRDefault="00F4775A" w:rsidP="00C84FEB">
            <w:pPr>
              <w:spacing w:before="20" w:after="20" w:line="240" w:lineRule="auto"/>
              <w:jc w:val="center"/>
              <w:rPr>
                <w:rFonts w:asciiTheme="minorHAnsi" w:hAnsiTheme="minorHAnsi" w:cstheme="minorHAnsi"/>
                <w:sz w:val="20"/>
                <w:szCs w:val="20"/>
              </w:rPr>
            </w:pPr>
            <w:r w:rsidRPr="00481AED">
              <w:rPr>
                <w:rFonts w:asciiTheme="minorHAnsi" w:hAnsiTheme="minorHAnsi" w:cstheme="minorHAnsi"/>
                <w:color w:val="000000"/>
                <w:sz w:val="20"/>
                <w:szCs w:val="20"/>
              </w:rPr>
              <w:t>8</w:t>
            </w:r>
          </w:p>
        </w:tc>
        <w:tc>
          <w:tcPr>
            <w:tcW w:w="10773" w:type="dxa"/>
            <w:vAlign w:val="center"/>
          </w:tcPr>
          <w:p w14:paraId="1B095241" w14:textId="77777777" w:rsidR="00F4775A" w:rsidRPr="00481AED" w:rsidRDefault="00F4775A" w:rsidP="00C84FEB">
            <w:pPr>
              <w:spacing w:before="20" w:after="20" w:line="240" w:lineRule="auto"/>
              <w:rPr>
                <w:rFonts w:asciiTheme="minorHAnsi" w:hAnsiTheme="minorHAnsi" w:cstheme="minorHAnsi"/>
                <w:sz w:val="20"/>
                <w:szCs w:val="20"/>
              </w:rPr>
            </w:pPr>
            <w:r w:rsidRPr="00481AED">
              <w:rPr>
                <w:rFonts w:asciiTheme="minorHAnsi" w:hAnsiTheme="minorHAnsi" w:cstheme="minorHAnsi"/>
                <w:sz w:val="20"/>
                <w:szCs w:val="20"/>
              </w:rPr>
              <w:t>Obra de ampliación S/E Cardones 220 kV (Dex-310-2013)</w:t>
            </w:r>
          </w:p>
        </w:tc>
        <w:tc>
          <w:tcPr>
            <w:tcW w:w="1134" w:type="dxa"/>
            <w:vAlign w:val="center"/>
          </w:tcPr>
          <w:p w14:paraId="4FA5382B" w14:textId="77777777" w:rsidR="00F4775A" w:rsidRPr="00481AED" w:rsidRDefault="00F4775A" w:rsidP="00C84FEB">
            <w:pPr>
              <w:spacing w:before="20" w:after="20" w:line="240" w:lineRule="auto"/>
              <w:jc w:val="right"/>
              <w:rPr>
                <w:rFonts w:asciiTheme="minorHAnsi" w:hAnsiTheme="minorHAnsi" w:cstheme="minorHAnsi"/>
                <w:sz w:val="20"/>
                <w:szCs w:val="20"/>
              </w:rPr>
            </w:pPr>
            <w:r w:rsidRPr="00481AED">
              <w:rPr>
                <w:rFonts w:asciiTheme="minorHAnsi" w:hAnsiTheme="minorHAnsi" w:cstheme="minorHAnsi"/>
                <w:sz w:val="20"/>
                <w:szCs w:val="20"/>
              </w:rPr>
              <w:t>14.608,59</w:t>
            </w:r>
          </w:p>
        </w:tc>
        <w:tc>
          <w:tcPr>
            <w:tcW w:w="1134" w:type="dxa"/>
            <w:vAlign w:val="center"/>
          </w:tcPr>
          <w:p w14:paraId="10689813" w14:textId="77777777" w:rsidR="00F4775A" w:rsidRPr="00481AED" w:rsidRDefault="00F4775A" w:rsidP="00C84FEB">
            <w:pPr>
              <w:spacing w:before="20" w:after="20" w:line="240" w:lineRule="auto"/>
              <w:jc w:val="right"/>
              <w:rPr>
                <w:sz w:val="20"/>
                <w:szCs w:val="20"/>
              </w:rPr>
            </w:pPr>
            <w:r w:rsidRPr="00481AED">
              <w:rPr>
                <w:sz w:val="20"/>
                <w:szCs w:val="20"/>
              </w:rPr>
              <w:t>2.873</w:t>
            </w:r>
          </w:p>
        </w:tc>
      </w:tr>
      <w:tr w:rsidR="00F4775A" w:rsidRPr="00481AED" w14:paraId="2AD6C74B" w14:textId="77777777" w:rsidTr="00C84FEB">
        <w:trPr>
          <w:jc w:val="center"/>
        </w:trPr>
        <w:tc>
          <w:tcPr>
            <w:tcW w:w="567" w:type="dxa"/>
            <w:vAlign w:val="center"/>
          </w:tcPr>
          <w:p w14:paraId="41E62324" w14:textId="77777777" w:rsidR="00F4775A" w:rsidRPr="00481AED" w:rsidRDefault="00F4775A" w:rsidP="00C84FEB">
            <w:pPr>
              <w:spacing w:before="20" w:after="20" w:line="240" w:lineRule="auto"/>
              <w:jc w:val="center"/>
              <w:rPr>
                <w:rFonts w:asciiTheme="minorHAnsi" w:hAnsiTheme="minorHAnsi" w:cstheme="minorHAnsi"/>
                <w:sz w:val="20"/>
                <w:szCs w:val="20"/>
              </w:rPr>
            </w:pPr>
            <w:r w:rsidRPr="00481AED">
              <w:rPr>
                <w:rFonts w:asciiTheme="minorHAnsi" w:hAnsiTheme="minorHAnsi" w:cstheme="minorHAnsi"/>
                <w:color w:val="000000"/>
                <w:sz w:val="20"/>
                <w:szCs w:val="20"/>
              </w:rPr>
              <w:t>9</w:t>
            </w:r>
          </w:p>
        </w:tc>
        <w:tc>
          <w:tcPr>
            <w:tcW w:w="10773" w:type="dxa"/>
            <w:vAlign w:val="center"/>
          </w:tcPr>
          <w:p w14:paraId="34DEFE16" w14:textId="77777777" w:rsidR="00F4775A" w:rsidRPr="00481AED" w:rsidRDefault="00F4775A" w:rsidP="00C84FEB">
            <w:pPr>
              <w:spacing w:before="20" w:after="20" w:line="240" w:lineRule="auto"/>
              <w:rPr>
                <w:rFonts w:asciiTheme="minorHAnsi" w:hAnsiTheme="minorHAnsi" w:cstheme="minorHAnsi"/>
                <w:sz w:val="20"/>
                <w:szCs w:val="20"/>
              </w:rPr>
            </w:pPr>
            <w:r w:rsidRPr="00481AED">
              <w:rPr>
                <w:rFonts w:asciiTheme="minorHAnsi" w:hAnsiTheme="minorHAnsi" w:cstheme="minorHAnsi"/>
                <w:sz w:val="20"/>
                <w:szCs w:val="20"/>
              </w:rPr>
              <w:t>Obra de ampliación S/E Cerro Navia 220 kV (Dex-310-2013)</w:t>
            </w:r>
          </w:p>
        </w:tc>
        <w:tc>
          <w:tcPr>
            <w:tcW w:w="1134" w:type="dxa"/>
            <w:vAlign w:val="center"/>
          </w:tcPr>
          <w:p w14:paraId="69C65BF2" w14:textId="77777777" w:rsidR="00F4775A" w:rsidRPr="00481AED" w:rsidRDefault="00F4775A" w:rsidP="00C84FEB">
            <w:pPr>
              <w:spacing w:before="20" w:after="20" w:line="240" w:lineRule="auto"/>
              <w:jc w:val="right"/>
              <w:rPr>
                <w:rFonts w:asciiTheme="minorHAnsi" w:hAnsiTheme="minorHAnsi" w:cstheme="minorHAnsi"/>
                <w:sz w:val="20"/>
                <w:szCs w:val="20"/>
              </w:rPr>
            </w:pPr>
            <w:r w:rsidRPr="00481AED">
              <w:rPr>
                <w:rFonts w:asciiTheme="minorHAnsi" w:hAnsiTheme="minorHAnsi" w:cstheme="minorHAnsi"/>
                <w:sz w:val="20"/>
                <w:szCs w:val="20"/>
              </w:rPr>
              <w:t>185.717,34</w:t>
            </w:r>
          </w:p>
        </w:tc>
        <w:tc>
          <w:tcPr>
            <w:tcW w:w="1134" w:type="dxa"/>
            <w:vAlign w:val="center"/>
          </w:tcPr>
          <w:p w14:paraId="79C23777" w14:textId="77777777" w:rsidR="00F4775A" w:rsidRPr="00481AED" w:rsidRDefault="00F4775A" w:rsidP="00C84FEB">
            <w:pPr>
              <w:spacing w:before="20" w:after="20" w:line="240" w:lineRule="auto"/>
              <w:jc w:val="right"/>
              <w:rPr>
                <w:sz w:val="20"/>
                <w:szCs w:val="20"/>
              </w:rPr>
            </w:pPr>
            <w:r w:rsidRPr="00481AED">
              <w:rPr>
                <w:sz w:val="20"/>
                <w:szCs w:val="20"/>
              </w:rPr>
              <w:t>36.163</w:t>
            </w:r>
          </w:p>
        </w:tc>
      </w:tr>
      <w:tr w:rsidR="00F4775A" w:rsidRPr="00481AED" w14:paraId="27A3648D" w14:textId="77777777" w:rsidTr="00C84FEB">
        <w:trPr>
          <w:jc w:val="center"/>
        </w:trPr>
        <w:tc>
          <w:tcPr>
            <w:tcW w:w="567" w:type="dxa"/>
            <w:vAlign w:val="center"/>
          </w:tcPr>
          <w:p w14:paraId="0CA853DA" w14:textId="77777777" w:rsidR="00F4775A" w:rsidRPr="00481AED" w:rsidRDefault="00F4775A" w:rsidP="00C84FEB">
            <w:pPr>
              <w:spacing w:before="20" w:after="20" w:line="240" w:lineRule="auto"/>
              <w:jc w:val="center"/>
              <w:rPr>
                <w:rFonts w:asciiTheme="minorHAnsi" w:hAnsiTheme="minorHAnsi" w:cstheme="minorHAnsi"/>
                <w:sz w:val="20"/>
                <w:szCs w:val="20"/>
              </w:rPr>
            </w:pPr>
            <w:r w:rsidRPr="00481AED">
              <w:rPr>
                <w:rFonts w:asciiTheme="minorHAnsi" w:hAnsiTheme="minorHAnsi" w:cstheme="minorHAnsi"/>
                <w:color w:val="000000"/>
                <w:sz w:val="20"/>
                <w:szCs w:val="20"/>
              </w:rPr>
              <w:t>10</w:t>
            </w:r>
          </w:p>
        </w:tc>
        <w:tc>
          <w:tcPr>
            <w:tcW w:w="10773" w:type="dxa"/>
            <w:vAlign w:val="center"/>
          </w:tcPr>
          <w:p w14:paraId="30A5903D" w14:textId="77777777" w:rsidR="00F4775A" w:rsidRPr="00481AED" w:rsidRDefault="00F4775A" w:rsidP="00C84FEB">
            <w:pPr>
              <w:spacing w:before="20" w:after="20" w:line="240" w:lineRule="auto"/>
              <w:rPr>
                <w:rFonts w:asciiTheme="minorHAnsi" w:hAnsiTheme="minorHAnsi" w:cstheme="minorHAnsi"/>
                <w:sz w:val="20"/>
                <w:szCs w:val="20"/>
              </w:rPr>
            </w:pPr>
            <w:r w:rsidRPr="00481AED">
              <w:rPr>
                <w:rFonts w:asciiTheme="minorHAnsi" w:hAnsiTheme="minorHAnsi" w:cstheme="minorHAnsi"/>
                <w:sz w:val="20"/>
                <w:szCs w:val="20"/>
              </w:rPr>
              <w:t>Obra de ampliación S/E Charrúa 500 kV y cambio interruptor paños acopladores 52JR1, 52JR2, 52JR3</w:t>
            </w:r>
          </w:p>
        </w:tc>
        <w:tc>
          <w:tcPr>
            <w:tcW w:w="1134" w:type="dxa"/>
            <w:vAlign w:val="center"/>
          </w:tcPr>
          <w:p w14:paraId="5A9B36EC" w14:textId="77777777" w:rsidR="00F4775A" w:rsidRPr="00481AED" w:rsidRDefault="00F4775A" w:rsidP="00C84FEB">
            <w:pPr>
              <w:spacing w:before="20" w:after="20" w:line="240" w:lineRule="auto"/>
              <w:jc w:val="right"/>
              <w:rPr>
                <w:rFonts w:asciiTheme="minorHAnsi" w:hAnsiTheme="minorHAnsi" w:cstheme="minorHAnsi"/>
                <w:sz w:val="20"/>
                <w:szCs w:val="20"/>
              </w:rPr>
            </w:pPr>
            <w:r w:rsidRPr="00481AED">
              <w:rPr>
                <w:rFonts w:asciiTheme="minorHAnsi" w:hAnsiTheme="minorHAnsi" w:cstheme="minorHAnsi"/>
                <w:sz w:val="20"/>
                <w:szCs w:val="20"/>
              </w:rPr>
              <w:t>271.909,49</w:t>
            </w:r>
          </w:p>
        </w:tc>
        <w:tc>
          <w:tcPr>
            <w:tcW w:w="1134" w:type="dxa"/>
            <w:vAlign w:val="center"/>
          </w:tcPr>
          <w:p w14:paraId="0F96CF82" w14:textId="77777777" w:rsidR="00F4775A" w:rsidRPr="00481AED" w:rsidRDefault="00F4775A" w:rsidP="00C84FEB">
            <w:pPr>
              <w:spacing w:before="20" w:after="20" w:line="240" w:lineRule="auto"/>
              <w:jc w:val="right"/>
              <w:rPr>
                <w:sz w:val="20"/>
                <w:szCs w:val="20"/>
              </w:rPr>
            </w:pPr>
            <w:r w:rsidRPr="00481AED">
              <w:rPr>
                <w:sz w:val="20"/>
                <w:szCs w:val="20"/>
              </w:rPr>
              <w:t>52.202</w:t>
            </w:r>
          </w:p>
        </w:tc>
      </w:tr>
      <w:tr w:rsidR="00F4775A" w:rsidRPr="00481AED" w14:paraId="66E38717" w14:textId="77777777" w:rsidTr="00C84FEB">
        <w:trPr>
          <w:jc w:val="center"/>
        </w:trPr>
        <w:tc>
          <w:tcPr>
            <w:tcW w:w="567" w:type="dxa"/>
            <w:vAlign w:val="center"/>
          </w:tcPr>
          <w:p w14:paraId="42554326" w14:textId="77777777" w:rsidR="00F4775A" w:rsidRPr="00481AED" w:rsidRDefault="00F4775A" w:rsidP="00C84FEB">
            <w:pPr>
              <w:spacing w:before="20" w:after="20" w:line="240" w:lineRule="auto"/>
              <w:jc w:val="center"/>
              <w:rPr>
                <w:rFonts w:asciiTheme="minorHAnsi" w:hAnsiTheme="minorHAnsi" w:cstheme="minorHAnsi"/>
                <w:sz w:val="20"/>
                <w:szCs w:val="20"/>
              </w:rPr>
            </w:pPr>
            <w:r w:rsidRPr="00481AED">
              <w:rPr>
                <w:rFonts w:asciiTheme="minorHAnsi" w:hAnsiTheme="minorHAnsi" w:cstheme="minorHAnsi"/>
                <w:color w:val="000000"/>
                <w:sz w:val="20"/>
                <w:szCs w:val="20"/>
              </w:rPr>
              <w:t>11</w:t>
            </w:r>
          </w:p>
        </w:tc>
        <w:tc>
          <w:tcPr>
            <w:tcW w:w="10773" w:type="dxa"/>
            <w:vAlign w:val="center"/>
          </w:tcPr>
          <w:p w14:paraId="5BFDDF0C" w14:textId="77777777" w:rsidR="00F4775A" w:rsidRPr="00481AED" w:rsidRDefault="00F4775A" w:rsidP="00C84FEB">
            <w:pPr>
              <w:spacing w:before="20" w:after="20" w:line="240" w:lineRule="auto"/>
              <w:rPr>
                <w:rFonts w:asciiTheme="minorHAnsi" w:hAnsiTheme="minorHAnsi" w:cstheme="minorHAnsi"/>
                <w:sz w:val="20"/>
                <w:szCs w:val="20"/>
              </w:rPr>
            </w:pPr>
            <w:r w:rsidRPr="00481AED">
              <w:rPr>
                <w:rFonts w:asciiTheme="minorHAnsi" w:hAnsiTheme="minorHAnsi" w:cstheme="minorHAnsi"/>
                <w:sz w:val="20"/>
                <w:szCs w:val="20"/>
              </w:rPr>
              <w:t>Obra de ampliación S/E Ciruelos 220 kV (Dex-310-2013)</w:t>
            </w:r>
          </w:p>
        </w:tc>
        <w:tc>
          <w:tcPr>
            <w:tcW w:w="1134" w:type="dxa"/>
            <w:vAlign w:val="center"/>
          </w:tcPr>
          <w:p w14:paraId="3562ABD2" w14:textId="77777777" w:rsidR="00F4775A" w:rsidRPr="00481AED" w:rsidRDefault="00F4775A" w:rsidP="00C84FEB">
            <w:pPr>
              <w:spacing w:before="20" w:after="20" w:line="240" w:lineRule="auto"/>
              <w:jc w:val="right"/>
              <w:rPr>
                <w:rFonts w:asciiTheme="minorHAnsi" w:hAnsiTheme="minorHAnsi" w:cstheme="minorHAnsi"/>
                <w:sz w:val="20"/>
                <w:szCs w:val="20"/>
              </w:rPr>
            </w:pPr>
            <w:r w:rsidRPr="00481AED">
              <w:rPr>
                <w:rFonts w:asciiTheme="minorHAnsi" w:hAnsiTheme="minorHAnsi" w:cstheme="minorHAnsi"/>
                <w:sz w:val="20"/>
                <w:szCs w:val="20"/>
              </w:rPr>
              <w:t>53.601,08</w:t>
            </w:r>
          </w:p>
        </w:tc>
        <w:tc>
          <w:tcPr>
            <w:tcW w:w="1134" w:type="dxa"/>
            <w:vAlign w:val="center"/>
          </w:tcPr>
          <w:p w14:paraId="256676AD" w14:textId="77777777" w:rsidR="00F4775A" w:rsidRPr="00481AED" w:rsidRDefault="00F4775A" w:rsidP="00C84FEB">
            <w:pPr>
              <w:spacing w:before="20" w:after="20" w:line="240" w:lineRule="auto"/>
              <w:jc w:val="right"/>
              <w:rPr>
                <w:sz w:val="20"/>
                <w:szCs w:val="20"/>
              </w:rPr>
            </w:pPr>
            <w:r w:rsidRPr="00481AED">
              <w:rPr>
                <w:sz w:val="20"/>
                <w:szCs w:val="20"/>
              </w:rPr>
              <w:t>10.001</w:t>
            </w:r>
          </w:p>
        </w:tc>
      </w:tr>
      <w:tr w:rsidR="00F4775A" w:rsidRPr="00481AED" w14:paraId="34E36FE6" w14:textId="77777777" w:rsidTr="00C84FEB">
        <w:trPr>
          <w:jc w:val="center"/>
        </w:trPr>
        <w:tc>
          <w:tcPr>
            <w:tcW w:w="567" w:type="dxa"/>
            <w:vAlign w:val="center"/>
          </w:tcPr>
          <w:p w14:paraId="41C258B1" w14:textId="77777777" w:rsidR="00F4775A" w:rsidRPr="00481AED" w:rsidRDefault="00F4775A" w:rsidP="00C84FEB">
            <w:pPr>
              <w:spacing w:before="20" w:after="20" w:line="240" w:lineRule="auto"/>
              <w:jc w:val="center"/>
              <w:rPr>
                <w:rFonts w:asciiTheme="minorHAnsi" w:hAnsiTheme="minorHAnsi" w:cstheme="minorHAnsi"/>
                <w:sz w:val="20"/>
                <w:szCs w:val="20"/>
              </w:rPr>
            </w:pPr>
            <w:r w:rsidRPr="00481AED">
              <w:rPr>
                <w:rFonts w:asciiTheme="minorHAnsi" w:hAnsiTheme="minorHAnsi" w:cstheme="minorHAnsi"/>
                <w:color w:val="000000"/>
                <w:sz w:val="20"/>
                <w:szCs w:val="20"/>
              </w:rPr>
              <w:t>12</w:t>
            </w:r>
          </w:p>
        </w:tc>
        <w:tc>
          <w:tcPr>
            <w:tcW w:w="10773" w:type="dxa"/>
            <w:vAlign w:val="center"/>
          </w:tcPr>
          <w:p w14:paraId="57D16840" w14:textId="77777777" w:rsidR="00F4775A" w:rsidRPr="00481AED" w:rsidRDefault="00F4775A" w:rsidP="00C84FEB">
            <w:pPr>
              <w:spacing w:before="20" w:after="20" w:line="240" w:lineRule="auto"/>
              <w:rPr>
                <w:rFonts w:asciiTheme="minorHAnsi" w:hAnsiTheme="minorHAnsi" w:cstheme="minorHAnsi"/>
                <w:sz w:val="20"/>
                <w:szCs w:val="20"/>
              </w:rPr>
            </w:pPr>
            <w:r w:rsidRPr="00481AED">
              <w:rPr>
                <w:rFonts w:asciiTheme="minorHAnsi" w:hAnsiTheme="minorHAnsi" w:cstheme="minorHAnsi"/>
                <w:sz w:val="20"/>
                <w:szCs w:val="20"/>
              </w:rPr>
              <w:t>Obra de ampliación S/E Diego de Almagro 220 kV (Dex-310-2013)</w:t>
            </w:r>
          </w:p>
        </w:tc>
        <w:tc>
          <w:tcPr>
            <w:tcW w:w="1134" w:type="dxa"/>
            <w:vAlign w:val="center"/>
          </w:tcPr>
          <w:p w14:paraId="179932F3" w14:textId="77777777" w:rsidR="00F4775A" w:rsidRPr="00481AED" w:rsidRDefault="00F4775A" w:rsidP="00C84FEB">
            <w:pPr>
              <w:spacing w:before="20" w:after="20" w:line="240" w:lineRule="auto"/>
              <w:jc w:val="right"/>
              <w:rPr>
                <w:rFonts w:asciiTheme="minorHAnsi" w:hAnsiTheme="minorHAnsi" w:cstheme="minorHAnsi"/>
                <w:sz w:val="20"/>
                <w:szCs w:val="20"/>
              </w:rPr>
            </w:pPr>
            <w:r w:rsidRPr="00481AED">
              <w:rPr>
                <w:rFonts w:asciiTheme="minorHAnsi" w:hAnsiTheme="minorHAnsi" w:cstheme="minorHAnsi"/>
                <w:sz w:val="20"/>
                <w:szCs w:val="20"/>
              </w:rPr>
              <w:t>101.161,95</w:t>
            </w:r>
          </w:p>
        </w:tc>
        <w:tc>
          <w:tcPr>
            <w:tcW w:w="1134" w:type="dxa"/>
            <w:vAlign w:val="center"/>
          </w:tcPr>
          <w:p w14:paraId="6B4443A1" w14:textId="77777777" w:rsidR="00F4775A" w:rsidRPr="00481AED" w:rsidRDefault="00F4775A" w:rsidP="00C84FEB">
            <w:pPr>
              <w:spacing w:before="20" w:after="20" w:line="240" w:lineRule="auto"/>
              <w:jc w:val="right"/>
              <w:rPr>
                <w:sz w:val="20"/>
                <w:szCs w:val="20"/>
              </w:rPr>
            </w:pPr>
            <w:r w:rsidRPr="00481AED">
              <w:rPr>
                <w:sz w:val="20"/>
                <w:szCs w:val="20"/>
              </w:rPr>
              <w:t>19.500</w:t>
            </w:r>
          </w:p>
        </w:tc>
      </w:tr>
      <w:tr w:rsidR="00F4775A" w:rsidRPr="00481AED" w14:paraId="483B68F8" w14:textId="77777777" w:rsidTr="00C84FEB">
        <w:trPr>
          <w:jc w:val="center"/>
        </w:trPr>
        <w:tc>
          <w:tcPr>
            <w:tcW w:w="567" w:type="dxa"/>
            <w:vAlign w:val="center"/>
          </w:tcPr>
          <w:p w14:paraId="1448A080" w14:textId="77777777" w:rsidR="00F4775A" w:rsidRPr="00481AED" w:rsidRDefault="00F4775A" w:rsidP="00C84FEB">
            <w:pPr>
              <w:spacing w:before="20" w:after="20" w:line="240" w:lineRule="auto"/>
              <w:jc w:val="center"/>
              <w:rPr>
                <w:rFonts w:asciiTheme="minorHAnsi" w:hAnsiTheme="minorHAnsi" w:cstheme="minorHAnsi"/>
                <w:sz w:val="20"/>
                <w:szCs w:val="20"/>
              </w:rPr>
            </w:pPr>
            <w:r w:rsidRPr="00481AED">
              <w:rPr>
                <w:rFonts w:asciiTheme="minorHAnsi" w:hAnsiTheme="minorHAnsi" w:cstheme="minorHAnsi"/>
                <w:color w:val="000000"/>
                <w:sz w:val="20"/>
                <w:szCs w:val="20"/>
              </w:rPr>
              <w:t>13</w:t>
            </w:r>
          </w:p>
        </w:tc>
        <w:tc>
          <w:tcPr>
            <w:tcW w:w="10773" w:type="dxa"/>
            <w:vAlign w:val="center"/>
          </w:tcPr>
          <w:p w14:paraId="41420F17" w14:textId="77777777" w:rsidR="00F4775A" w:rsidRPr="00481AED" w:rsidRDefault="00F4775A" w:rsidP="00C84FEB">
            <w:pPr>
              <w:spacing w:before="20" w:after="20" w:line="240" w:lineRule="auto"/>
              <w:rPr>
                <w:rFonts w:asciiTheme="minorHAnsi" w:hAnsiTheme="minorHAnsi" w:cstheme="minorHAnsi"/>
                <w:sz w:val="20"/>
                <w:szCs w:val="20"/>
              </w:rPr>
            </w:pPr>
            <w:r w:rsidRPr="00481AED">
              <w:rPr>
                <w:rFonts w:asciiTheme="minorHAnsi" w:hAnsiTheme="minorHAnsi" w:cstheme="minorHAnsi"/>
                <w:sz w:val="20"/>
                <w:szCs w:val="20"/>
              </w:rPr>
              <w:t>Obra de ampliación S/E Encuentro 220 kV, aumento de capacidad de línea 2x220 Crucero-Encuentro y cambio TTCC y trampa de onda paño J5 S/E Crucero</w:t>
            </w:r>
          </w:p>
        </w:tc>
        <w:tc>
          <w:tcPr>
            <w:tcW w:w="1134" w:type="dxa"/>
            <w:vAlign w:val="center"/>
          </w:tcPr>
          <w:p w14:paraId="1E49AEDD" w14:textId="77777777" w:rsidR="00F4775A" w:rsidRPr="00481AED" w:rsidRDefault="00F4775A" w:rsidP="00C84FEB">
            <w:pPr>
              <w:spacing w:before="20" w:after="20" w:line="240" w:lineRule="auto"/>
              <w:jc w:val="right"/>
              <w:rPr>
                <w:rFonts w:asciiTheme="minorHAnsi" w:hAnsiTheme="minorHAnsi" w:cstheme="minorHAnsi"/>
                <w:sz w:val="20"/>
                <w:szCs w:val="20"/>
              </w:rPr>
            </w:pPr>
            <w:r w:rsidRPr="00481AED">
              <w:rPr>
                <w:rFonts w:asciiTheme="minorHAnsi" w:hAnsiTheme="minorHAnsi" w:cstheme="minorHAnsi"/>
                <w:sz w:val="20"/>
                <w:szCs w:val="20"/>
              </w:rPr>
              <w:t>467.578,14</w:t>
            </w:r>
          </w:p>
        </w:tc>
        <w:tc>
          <w:tcPr>
            <w:tcW w:w="1134" w:type="dxa"/>
            <w:vAlign w:val="center"/>
          </w:tcPr>
          <w:p w14:paraId="0BC60F08" w14:textId="77777777" w:rsidR="00F4775A" w:rsidRPr="00481AED" w:rsidRDefault="00F4775A" w:rsidP="00C84FEB">
            <w:pPr>
              <w:spacing w:before="20" w:after="20" w:line="240" w:lineRule="auto"/>
              <w:jc w:val="right"/>
              <w:rPr>
                <w:sz w:val="20"/>
                <w:szCs w:val="20"/>
              </w:rPr>
            </w:pPr>
            <w:r w:rsidRPr="00481AED">
              <w:rPr>
                <w:sz w:val="20"/>
                <w:szCs w:val="20"/>
              </w:rPr>
              <w:t>89.403</w:t>
            </w:r>
          </w:p>
        </w:tc>
      </w:tr>
      <w:tr w:rsidR="00F4775A" w:rsidRPr="00481AED" w14:paraId="47A40945" w14:textId="77777777" w:rsidTr="00C84FEB">
        <w:trPr>
          <w:jc w:val="center"/>
        </w:trPr>
        <w:tc>
          <w:tcPr>
            <w:tcW w:w="567" w:type="dxa"/>
            <w:vAlign w:val="center"/>
          </w:tcPr>
          <w:p w14:paraId="2A36BB60" w14:textId="77777777" w:rsidR="00F4775A" w:rsidRPr="00481AED" w:rsidRDefault="00F4775A" w:rsidP="00C84FEB">
            <w:pPr>
              <w:spacing w:before="20" w:after="20" w:line="240" w:lineRule="auto"/>
              <w:jc w:val="center"/>
              <w:rPr>
                <w:rFonts w:asciiTheme="minorHAnsi" w:hAnsiTheme="minorHAnsi" w:cstheme="minorHAnsi"/>
                <w:sz w:val="20"/>
                <w:szCs w:val="20"/>
              </w:rPr>
            </w:pPr>
            <w:r w:rsidRPr="00481AED">
              <w:rPr>
                <w:rFonts w:asciiTheme="minorHAnsi" w:hAnsiTheme="minorHAnsi" w:cstheme="minorHAnsi"/>
                <w:color w:val="000000"/>
                <w:sz w:val="20"/>
                <w:szCs w:val="20"/>
              </w:rPr>
              <w:t>14</w:t>
            </w:r>
          </w:p>
        </w:tc>
        <w:tc>
          <w:tcPr>
            <w:tcW w:w="10773" w:type="dxa"/>
            <w:vAlign w:val="center"/>
          </w:tcPr>
          <w:p w14:paraId="10BF1E15" w14:textId="77777777" w:rsidR="00F4775A" w:rsidRPr="00481AED" w:rsidRDefault="00F4775A" w:rsidP="00C84FEB">
            <w:pPr>
              <w:spacing w:before="20" w:after="20" w:line="240" w:lineRule="auto"/>
              <w:rPr>
                <w:rFonts w:asciiTheme="minorHAnsi" w:hAnsiTheme="minorHAnsi" w:cstheme="minorHAnsi"/>
                <w:sz w:val="20"/>
                <w:szCs w:val="20"/>
              </w:rPr>
            </w:pPr>
            <w:r w:rsidRPr="00481AED">
              <w:rPr>
                <w:rFonts w:asciiTheme="minorHAnsi" w:hAnsiTheme="minorHAnsi" w:cstheme="minorHAnsi"/>
                <w:sz w:val="20"/>
                <w:szCs w:val="20"/>
              </w:rPr>
              <w:t>Obra de ampliación S/E Lagunas 220 kV, Banco de condensadores de 60 MVAr y cambio TTCC paños J1 y J2</w:t>
            </w:r>
          </w:p>
        </w:tc>
        <w:tc>
          <w:tcPr>
            <w:tcW w:w="1134" w:type="dxa"/>
            <w:vAlign w:val="center"/>
          </w:tcPr>
          <w:p w14:paraId="0EF1B4B1" w14:textId="77777777" w:rsidR="00F4775A" w:rsidRPr="00481AED" w:rsidRDefault="00F4775A" w:rsidP="00C84FEB">
            <w:pPr>
              <w:spacing w:before="20" w:after="20" w:line="240" w:lineRule="auto"/>
              <w:jc w:val="right"/>
              <w:rPr>
                <w:rFonts w:asciiTheme="minorHAnsi" w:hAnsiTheme="minorHAnsi" w:cstheme="minorHAnsi"/>
                <w:sz w:val="20"/>
                <w:szCs w:val="20"/>
              </w:rPr>
            </w:pPr>
            <w:r w:rsidRPr="00481AED">
              <w:rPr>
                <w:rFonts w:asciiTheme="minorHAnsi" w:hAnsiTheme="minorHAnsi" w:cstheme="minorHAnsi"/>
                <w:sz w:val="20"/>
                <w:szCs w:val="20"/>
              </w:rPr>
              <w:t>17.939,78</w:t>
            </w:r>
          </w:p>
        </w:tc>
        <w:tc>
          <w:tcPr>
            <w:tcW w:w="1134" w:type="dxa"/>
            <w:vAlign w:val="center"/>
          </w:tcPr>
          <w:p w14:paraId="69ADB274" w14:textId="77777777" w:rsidR="00F4775A" w:rsidRPr="00481AED" w:rsidRDefault="00F4775A" w:rsidP="00C84FEB">
            <w:pPr>
              <w:spacing w:before="20" w:after="20" w:line="240" w:lineRule="auto"/>
              <w:jc w:val="right"/>
              <w:rPr>
                <w:sz w:val="20"/>
                <w:szCs w:val="20"/>
              </w:rPr>
            </w:pPr>
            <w:r w:rsidRPr="00481AED">
              <w:rPr>
                <w:sz w:val="20"/>
                <w:szCs w:val="20"/>
              </w:rPr>
              <w:t>3.430</w:t>
            </w:r>
          </w:p>
        </w:tc>
      </w:tr>
      <w:tr w:rsidR="00F4775A" w:rsidRPr="00481AED" w14:paraId="4CBE2B2E" w14:textId="77777777" w:rsidTr="00C84FEB">
        <w:trPr>
          <w:jc w:val="center"/>
        </w:trPr>
        <w:tc>
          <w:tcPr>
            <w:tcW w:w="567" w:type="dxa"/>
            <w:vAlign w:val="center"/>
          </w:tcPr>
          <w:p w14:paraId="7B0482F1" w14:textId="77777777" w:rsidR="00F4775A" w:rsidRPr="00481AED" w:rsidRDefault="00F4775A" w:rsidP="00C84FEB">
            <w:pPr>
              <w:spacing w:before="20" w:after="20" w:line="240" w:lineRule="auto"/>
              <w:jc w:val="center"/>
              <w:rPr>
                <w:rFonts w:asciiTheme="minorHAnsi" w:hAnsiTheme="minorHAnsi" w:cstheme="minorHAnsi"/>
                <w:sz w:val="20"/>
                <w:szCs w:val="20"/>
              </w:rPr>
            </w:pPr>
            <w:r w:rsidRPr="00481AED">
              <w:rPr>
                <w:rFonts w:asciiTheme="minorHAnsi" w:hAnsiTheme="minorHAnsi" w:cstheme="minorHAnsi"/>
                <w:color w:val="000000"/>
                <w:sz w:val="20"/>
                <w:szCs w:val="20"/>
              </w:rPr>
              <w:t>15</w:t>
            </w:r>
          </w:p>
        </w:tc>
        <w:tc>
          <w:tcPr>
            <w:tcW w:w="10773" w:type="dxa"/>
            <w:vAlign w:val="center"/>
          </w:tcPr>
          <w:p w14:paraId="77204073" w14:textId="77777777" w:rsidR="00F4775A" w:rsidRPr="00481AED" w:rsidRDefault="00F4775A" w:rsidP="00C84FEB">
            <w:pPr>
              <w:spacing w:before="20" w:after="20" w:line="240" w:lineRule="auto"/>
              <w:rPr>
                <w:rFonts w:asciiTheme="minorHAnsi" w:hAnsiTheme="minorHAnsi" w:cstheme="minorHAnsi"/>
                <w:sz w:val="20"/>
                <w:szCs w:val="20"/>
              </w:rPr>
            </w:pPr>
            <w:r w:rsidRPr="00481AED">
              <w:rPr>
                <w:rFonts w:asciiTheme="minorHAnsi" w:hAnsiTheme="minorHAnsi" w:cstheme="minorHAnsi"/>
                <w:sz w:val="20"/>
                <w:szCs w:val="20"/>
              </w:rPr>
              <w:t>Obra de ampliación S/E Las Palmas 220 kV (Dex-310-2013)</w:t>
            </w:r>
          </w:p>
        </w:tc>
        <w:tc>
          <w:tcPr>
            <w:tcW w:w="1134" w:type="dxa"/>
            <w:vAlign w:val="center"/>
          </w:tcPr>
          <w:p w14:paraId="2B556102" w14:textId="77777777" w:rsidR="00F4775A" w:rsidRPr="00481AED" w:rsidRDefault="00F4775A" w:rsidP="00C84FEB">
            <w:pPr>
              <w:spacing w:before="20" w:after="20" w:line="240" w:lineRule="auto"/>
              <w:jc w:val="right"/>
              <w:rPr>
                <w:rFonts w:asciiTheme="minorHAnsi" w:hAnsiTheme="minorHAnsi" w:cstheme="minorHAnsi"/>
                <w:sz w:val="20"/>
                <w:szCs w:val="20"/>
              </w:rPr>
            </w:pPr>
            <w:r w:rsidRPr="00481AED">
              <w:rPr>
                <w:rFonts w:asciiTheme="minorHAnsi" w:hAnsiTheme="minorHAnsi" w:cstheme="minorHAnsi"/>
                <w:sz w:val="20"/>
                <w:szCs w:val="20"/>
              </w:rPr>
              <w:t>3.269,84</w:t>
            </w:r>
          </w:p>
        </w:tc>
        <w:tc>
          <w:tcPr>
            <w:tcW w:w="1134" w:type="dxa"/>
            <w:vAlign w:val="center"/>
          </w:tcPr>
          <w:p w14:paraId="05774C7E" w14:textId="77777777" w:rsidR="00F4775A" w:rsidRPr="00481AED" w:rsidRDefault="00F4775A" w:rsidP="00C84FEB">
            <w:pPr>
              <w:spacing w:before="20" w:after="20" w:line="240" w:lineRule="auto"/>
              <w:jc w:val="right"/>
              <w:rPr>
                <w:sz w:val="20"/>
                <w:szCs w:val="20"/>
              </w:rPr>
            </w:pPr>
            <w:r w:rsidRPr="00481AED">
              <w:rPr>
                <w:sz w:val="20"/>
                <w:szCs w:val="20"/>
              </w:rPr>
              <w:t>637</w:t>
            </w:r>
          </w:p>
        </w:tc>
      </w:tr>
      <w:tr w:rsidR="00F4775A" w:rsidRPr="00481AED" w14:paraId="66BF61FB" w14:textId="77777777" w:rsidTr="00C84FEB">
        <w:trPr>
          <w:jc w:val="center"/>
        </w:trPr>
        <w:tc>
          <w:tcPr>
            <w:tcW w:w="567" w:type="dxa"/>
            <w:vAlign w:val="center"/>
          </w:tcPr>
          <w:p w14:paraId="368B6066" w14:textId="77777777" w:rsidR="00F4775A" w:rsidRPr="00481AED" w:rsidRDefault="00F4775A" w:rsidP="00C84FEB">
            <w:pPr>
              <w:spacing w:before="20" w:after="20" w:line="240" w:lineRule="auto"/>
              <w:jc w:val="center"/>
              <w:rPr>
                <w:rFonts w:asciiTheme="minorHAnsi" w:hAnsiTheme="minorHAnsi" w:cstheme="minorHAnsi"/>
                <w:sz w:val="20"/>
                <w:szCs w:val="20"/>
              </w:rPr>
            </w:pPr>
            <w:r w:rsidRPr="00481AED">
              <w:rPr>
                <w:rFonts w:asciiTheme="minorHAnsi" w:hAnsiTheme="minorHAnsi" w:cstheme="minorHAnsi"/>
                <w:color w:val="000000"/>
                <w:sz w:val="20"/>
                <w:szCs w:val="20"/>
              </w:rPr>
              <w:t>16</w:t>
            </w:r>
          </w:p>
        </w:tc>
        <w:tc>
          <w:tcPr>
            <w:tcW w:w="10773" w:type="dxa"/>
            <w:vAlign w:val="center"/>
          </w:tcPr>
          <w:p w14:paraId="1BFDF6FC" w14:textId="77777777" w:rsidR="00F4775A" w:rsidRPr="00481AED" w:rsidRDefault="00F4775A" w:rsidP="00C84FEB">
            <w:pPr>
              <w:spacing w:before="20" w:after="20" w:line="240" w:lineRule="auto"/>
              <w:rPr>
                <w:rFonts w:asciiTheme="minorHAnsi" w:hAnsiTheme="minorHAnsi" w:cstheme="minorHAnsi"/>
                <w:sz w:val="20"/>
                <w:szCs w:val="20"/>
              </w:rPr>
            </w:pPr>
            <w:r w:rsidRPr="00481AED">
              <w:rPr>
                <w:rFonts w:asciiTheme="minorHAnsi" w:hAnsiTheme="minorHAnsi" w:cstheme="minorHAnsi"/>
                <w:sz w:val="20"/>
                <w:szCs w:val="20"/>
              </w:rPr>
              <w:t>Obra de ampliación S/E Maitencillo 220 kV (Dex-310-2013)</w:t>
            </w:r>
          </w:p>
        </w:tc>
        <w:tc>
          <w:tcPr>
            <w:tcW w:w="1134" w:type="dxa"/>
            <w:vAlign w:val="center"/>
          </w:tcPr>
          <w:p w14:paraId="78F8D16C" w14:textId="77777777" w:rsidR="00F4775A" w:rsidRPr="00481AED" w:rsidRDefault="00F4775A" w:rsidP="00C84FEB">
            <w:pPr>
              <w:spacing w:before="20" w:after="20" w:line="240" w:lineRule="auto"/>
              <w:jc w:val="right"/>
              <w:rPr>
                <w:rFonts w:asciiTheme="minorHAnsi" w:hAnsiTheme="minorHAnsi" w:cstheme="minorHAnsi"/>
                <w:sz w:val="20"/>
                <w:szCs w:val="20"/>
              </w:rPr>
            </w:pPr>
            <w:r w:rsidRPr="00481AED">
              <w:rPr>
                <w:rFonts w:asciiTheme="minorHAnsi" w:hAnsiTheme="minorHAnsi" w:cstheme="minorHAnsi"/>
                <w:sz w:val="20"/>
                <w:szCs w:val="20"/>
              </w:rPr>
              <w:t>24.656,04</w:t>
            </w:r>
          </w:p>
        </w:tc>
        <w:tc>
          <w:tcPr>
            <w:tcW w:w="1134" w:type="dxa"/>
            <w:vAlign w:val="center"/>
          </w:tcPr>
          <w:p w14:paraId="7C871F0E" w14:textId="77777777" w:rsidR="00F4775A" w:rsidRPr="00481AED" w:rsidRDefault="00F4775A" w:rsidP="00C84FEB">
            <w:pPr>
              <w:spacing w:before="20" w:after="20" w:line="240" w:lineRule="auto"/>
              <w:jc w:val="right"/>
              <w:rPr>
                <w:sz w:val="20"/>
                <w:szCs w:val="20"/>
              </w:rPr>
            </w:pPr>
            <w:r w:rsidRPr="00481AED">
              <w:rPr>
                <w:sz w:val="20"/>
                <w:szCs w:val="20"/>
              </w:rPr>
              <w:t>4.801</w:t>
            </w:r>
          </w:p>
        </w:tc>
      </w:tr>
      <w:tr w:rsidR="00F4775A" w:rsidRPr="00481AED" w14:paraId="0D9371C6" w14:textId="77777777" w:rsidTr="00C84FEB">
        <w:trPr>
          <w:jc w:val="center"/>
        </w:trPr>
        <w:tc>
          <w:tcPr>
            <w:tcW w:w="567" w:type="dxa"/>
            <w:vAlign w:val="center"/>
          </w:tcPr>
          <w:p w14:paraId="571ECACD" w14:textId="77777777" w:rsidR="00F4775A" w:rsidRPr="00481AED" w:rsidRDefault="00F4775A" w:rsidP="00C84FEB">
            <w:pPr>
              <w:spacing w:before="20" w:after="20" w:line="240" w:lineRule="auto"/>
              <w:jc w:val="center"/>
              <w:rPr>
                <w:rFonts w:asciiTheme="minorHAnsi" w:hAnsiTheme="minorHAnsi" w:cstheme="minorHAnsi"/>
                <w:sz w:val="20"/>
                <w:szCs w:val="20"/>
              </w:rPr>
            </w:pPr>
            <w:r w:rsidRPr="00481AED">
              <w:rPr>
                <w:rFonts w:asciiTheme="minorHAnsi" w:hAnsiTheme="minorHAnsi" w:cstheme="minorHAnsi"/>
                <w:color w:val="000000"/>
                <w:sz w:val="20"/>
                <w:szCs w:val="20"/>
              </w:rPr>
              <w:t>17</w:t>
            </w:r>
          </w:p>
        </w:tc>
        <w:tc>
          <w:tcPr>
            <w:tcW w:w="10773" w:type="dxa"/>
            <w:vAlign w:val="center"/>
          </w:tcPr>
          <w:p w14:paraId="5356F489" w14:textId="77777777" w:rsidR="00F4775A" w:rsidRPr="00481AED" w:rsidRDefault="00F4775A" w:rsidP="00C84FEB">
            <w:pPr>
              <w:spacing w:before="20" w:after="20" w:line="240" w:lineRule="auto"/>
              <w:rPr>
                <w:rFonts w:asciiTheme="minorHAnsi" w:hAnsiTheme="minorHAnsi" w:cstheme="minorHAnsi"/>
                <w:sz w:val="20"/>
                <w:szCs w:val="20"/>
              </w:rPr>
            </w:pPr>
            <w:r w:rsidRPr="00481AED">
              <w:rPr>
                <w:rFonts w:asciiTheme="minorHAnsi" w:hAnsiTheme="minorHAnsi" w:cstheme="minorHAnsi"/>
                <w:sz w:val="20"/>
                <w:szCs w:val="20"/>
              </w:rPr>
              <w:t>Obra de ampliación S/E Polpaico 500 kV y Cambio interruptor paño acoplador 52JR (Dex-310-2013)</w:t>
            </w:r>
          </w:p>
        </w:tc>
        <w:tc>
          <w:tcPr>
            <w:tcW w:w="1134" w:type="dxa"/>
            <w:vAlign w:val="center"/>
          </w:tcPr>
          <w:p w14:paraId="49F01259" w14:textId="77777777" w:rsidR="00F4775A" w:rsidRPr="00481AED" w:rsidRDefault="00F4775A" w:rsidP="00C84FEB">
            <w:pPr>
              <w:spacing w:before="20" w:after="20" w:line="240" w:lineRule="auto"/>
              <w:jc w:val="right"/>
              <w:rPr>
                <w:rFonts w:asciiTheme="minorHAnsi" w:hAnsiTheme="minorHAnsi" w:cstheme="minorHAnsi"/>
                <w:sz w:val="20"/>
                <w:szCs w:val="20"/>
              </w:rPr>
            </w:pPr>
            <w:r w:rsidRPr="00481AED">
              <w:rPr>
                <w:rFonts w:asciiTheme="minorHAnsi" w:hAnsiTheme="minorHAnsi" w:cstheme="minorHAnsi"/>
                <w:sz w:val="20"/>
                <w:szCs w:val="20"/>
              </w:rPr>
              <w:t>129.503,71</w:t>
            </w:r>
          </w:p>
        </w:tc>
        <w:tc>
          <w:tcPr>
            <w:tcW w:w="1134" w:type="dxa"/>
            <w:vAlign w:val="center"/>
          </w:tcPr>
          <w:p w14:paraId="19FCAD5C" w14:textId="77777777" w:rsidR="00F4775A" w:rsidRPr="00481AED" w:rsidRDefault="00F4775A" w:rsidP="00C84FEB">
            <w:pPr>
              <w:spacing w:before="20" w:after="20" w:line="240" w:lineRule="auto"/>
              <w:jc w:val="right"/>
              <w:rPr>
                <w:sz w:val="20"/>
                <w:szCs w:val="20"/>
              </w:rPr>
            </w:pPr>
            <w:r w:rsidRPr="00481AED">
              <w:rPr>
                <w:sz w:val="20"/>
                <w:szCs w:val="20"/>
              </w:rPr>
              <w:t>24.711</w:t>
            </w:r>
          </w:p>
        </w:tc>
      </w:tr>
      <w:tr w:rsidR="00F4775A" w:rsidRPr="00481AED" w14:paraId="0D0B0606" w14:textId="77777777" w:rsidTr="00C84FEB">
        <w:trPr>
          <w:jc w:val="center"/>
        </w:trPr>
        <w:tc>
          <w:tcPr>
            <w:tcW w:w="567" w:type="dxa"/>
            <w:vAlign w:val="center"/>
          </w:tcPr>
          <w:p w14:paraId="6C807A1D" w14:textId="77777777" w:rsidR="00F4775A" w:rsidRPr="00481AED" w:rsidRDefault="00F4775A" w:rsidP="00C84FEB">
            <w:pPr>
              <w:spacing w:before="20" w:after="20" w:line="240" w:lineRule="auto"/>
              <w:jc w:val="center"/>
              <w:rPr>
                <w:rFonts w:asciiTheme="minorHAnsi" w:hAnsiTheme="minorHAnsi" w:cstheme="minorHAnsi"/>
                <w:sz w:val="20"/>
                <w:szCs w:val="20"/>
              </w:rPr>
            </w:pPr>
            <w:r w:rsidRPr="00481AED">
              <w:rPr>
                <w:rFonts w:asciiTheme="minorHAnsi" w:hAnsiTheme="minorHAnsi" w:cstheme="minorHAnsi"/>
                <w:color w:val="000000"/>
                <w:sz w:val="20"/>
                <w:szCs w:val="20"/>
              </w:rPr>
              <w:t>18</w:t>
            </w:r>
          </w:p>
        </w:tc>
        <w:tc>
          <w:tcPr>
            <w:tcW w:w="10773" w:type="dxa"/>
            <w:vAlign w:val="center"/>
          </w:tcPr>
          <w:p w14:paraId="17D9ABCA" w14:textId="77777777" w:rsidR="00F4775A" w:rsidRPr="00481AED" w:rsidRDefault="00F4775A" w:rsidP="00C84FEB">
            <w:pPr>
              <w:spacing w:before="20" w:after="20" w:line="240" w:lineRule="auto"/>
              <w:rPr>
                <w:rFonts w:asciiTheme="minorHAnsi" w:hAnsiTheme="minorHAnsi" w:cstheme="minorHAnsi"/>
                <w:sz w:val="20"/>
                <w:szCs w:val="20"/>
              </w:rPr>
            </w:pPr>
            <w:r w:rsidRPr="00481AED">
              <w:rPr>
                <w:rFonts w:asciiTheme="minorHAnsi" w:hAnsiTheme="minorHAnsi" w:cstheme="minorHAnsi"/>
                <w:sz w:val="20"/>
                <w:szCs w:val="20"/>
              </w:rPr>
              <w:t>Obra de ampliación S/E Rapel 220 kV e Instalación paño 52JS (Dex-310-2013)</w:t>
            </w:r>
          </w:p>
        </w:tc>
        <w:tc>
          <w:tcPr>
            <w:tcW w:w="1134" w:type="dxa"/>
            <w:vAlign w:val="center"/>
          </w:tcPr>
          <w:p w14:paraId="14A02499" w14:textId="77777777" w:rsidR="00F4775A" w:rsidRPr="00481AED" w:rsidRDefault="00F4775A" w:rsidP="00C84FEB">
            <w:pPr>
              <w:spacing w:before="20" w:after="20" w:line="240" w:lineRule="auto"/>
              <w:jc w:val="right"/>
              <w:rPr>
                <w:rFonts w:asciiTheme="minorHAnsi" w:hAnsiTheme="minorHAnsi" w:cstheme="minorHAnsi"/>
                <w:sz w:val="20"/>
                <w:szCs w:val="20"/>
              </w:rPr>
            </w:pPr>
            <w:r w:rsidRPr="00481AED">
              <w:rPr>
                <w:rFonts w:asciiTheme="minorHAnsi" w:hAnsiTheme="minorHAnsi" w:cstheme="minorHAnsi"/>
                <w:sz w:val="20"/>
                <w:szCs w:val="20"/>
              </w:rPr>
              <w:t>18.865,61</w:t>
            </w:r>
          </w:p>
        </w:tc>
        <w:tc>
          <w:tcPr>
            <w:tcW w:w="1134" w:type="dxa"/>
            <w:vAlign w:val="center"/>
          </w:tcPr>
          <w:p w14:paraId="5EA8CE9B" w14:textId="77777777" w:rsidR="00F4775A" w:rsidRPr="00481AED" w:rsidRDefault="00F4775A" w:rsidP="00C84FEB">
            <w:pPr>
              <w:spacing w:before="20" w:after="20" w:line="240" w:lineRule="auto"/>
              <w:jc w:val="right"/>
              <w:rPr>
                <w:sz w:val="20"/>
                <w:szCs w:val="20"/>
              </w:rPr>
            </w:pPr>
            <w:r w:rsidRPr="00481AED">
              <w:rPr>
                <w:sz w:val="20"/>
                <w:szCs w:val="20"/>
              </w:rPr>
              <w:t>3.666</w:t>
            </w:r>
          </w:p>
        </w:tc>
      </w:tr>
      <w:tr w:rsidR="00F4775A" w:rsidRPr="00481AED" w14:paraId="631E4545" w14:textId="77777777" w:rsidTr="00C84FEB">
        <w:trPr>
          <w:jc w:val="center"/>
        </w:trPr>
        <w:tc>
          <w:tcPr>
            <w:tcW w:w="567" w:type="dxa"/>
            <w:vAlign w:val="center"/>
          </w:tcPr>
          <w:p w14:paraId="7AF2D55D" w14:textId="77777777" w:rsidR="00F4775A" w:rsidRPr="00481AED" w:rsidRDefault="00F4775A" w:rsidP="00C84FEB">
            <w:pPr>
              <w:spacing w:before="20" w:after="20" w:line="240" w:lineRule="auto"/>
              <w:jc w:val="center"/>
              <w:rPr>
                <w:rFonts w:asciiTheme="minorHAnsi" w:hAnsiTheme="minorHAnsi" w:cstheme="minorHAnsi"/>
                <w:sz w:val="20"/>
                <w:szCs w:val="20"/>
              </w:rPr>
            </w:pPr>
            <w:r w:rsidRPr="00481AED">
              <w:rPr>
                <w:rFonts w:asciiTheme="minorHAnsi" w:hAnsiTheme="minorHAnsi" w:cstheme="minorHAnsi"/>
                <w:color w:val="000000"/>
                <w:sz w:val="20"/>
                <w:szCs w:val="20"/>
              </w:rPr>
              <w:t>19</w:t>
            </w:r>
          </w:p>
        </w:tc>
        <w:tc>
          <w:tcPr>
            <w:tcW w:w="10773" w:type="dxa"/>
            <w:vAlign w:val="center"/>
          </w:tcPr>
          <w:p w14:paraId="50F05209" w14:textId="77777777" w:rsidR="00F4775A" w:rsidRPr="00481AED" w:rsidRDefault="00F4775A" w:rsidP="00C84FEB">
            <w:pPr>
              <w:spacing w:before="20" w:after="20" w:line="240" w:lineRule="auto"/>
              <w:rPr>
                <w:rFonts w:asciiTheme="minorHAnsi" w:hAnsiTheme="minorHAnsi" w:cstheme="minorHAnsi"/>
                <w:sz w:val="20"/>
                <w:szCs w:val="20"/>
              </w:rPr>
            </w:pPr>
            <w:r w:rsidRPr="00481AED">
              <w:rPr>
                <w:rFonts w:asciiTheme="minorHAnsi" w:hAnsiTheme="minorHAnsi" w:cstheme="minorHAnsi"/>
                <w:sz w:val="20"/>
                <w:szCs w:val="20"/>
              </w:rPr>
              <w:t>Obra de reemplazo de desconectadores en S/E Quillota y S/E Polpaico</w:t>
            </w:r>
          </w:p>
        </w:tc>
        <w:tc>
          <w:tcPr>
            <w:tcW w:w="1134" w:type="dxa"/>
            <w:vAlign w:val="center"/>
          </w:tcPr>
          <w:p w14:paraId="2E8809D9" w14:textId="77777777" w:rsidR="00F4775A" w:rsidRPr="00481AED" w:rsidRDefault="00F4775A" w:rsidP="00C84FEB">
            <w:pPr>
              <w:spacing w:before="20" w:after="20" w:line="240" w:lineRule="auto"/>
              <w:jc w:val="right"/>
              <w:rPr>
                <w:rFonts w:asciiTheme="minorHAnsi" w:hAnsiTheme="minorHAnsi" w:cstheme="minorHAnsi"/>
                <w:sz w:val="20"/>
                <w:szCs w:val="20"/>
              </w:rPr>
            </w:pPr>
            <w:r w:rsidRPr="00481AED">
              <w:rPr>
                <w:rFonts w:asciiTheme="minorHAnsi" w:hAnsiTheme="minorHAnsi" w:cstheme="minorHAnsi"/>
                <w:sz w:val="20"/>
                <w:szCs w:val="20"/>
              </w:rPr>
              <w:t>11.803,61</w:t>
            </w:r>
          </w:p>
        </w:tc>
        <w:tc>
          <w:tcPr>
            <w:tcW w:w="1134" w:type="dxa"/>
            <w:vAlign w:val="center"/>
          </w:tcPr>
          <w:p w14:paraId="33EE96DC" w14:textId="77777777" w:rsidR="00F4775A" w:rsidRPr="00481AED" w:rsidRDefault="00F4775A" w:rsidP="00C84FEB">
            <w:pPr>
              <w:spacing w:before="20" w:after="20" w:line="240" w:lineRule="auto"/>
              <w:jc w:val="right"/>
              <w:rPr>
                <w:sz w:val="20"/>
                <w:szCs w:val="20"/>
              </w:rPr>
            </w:pPr>
            <w:r w:rsidRPr="00481AED">
              <w:rPr>
                <w:sz w:val="20"/>
                <w:szCs w:val="20"/>
              </w:rPr>
              <w:t>2.280</w:t>
            </w:r>
          </w:p>
        </w:tc>
      </w:tr>
      <w:tr w:rsidR="00F4775A" w:rsidRPr="00481AED" w14:paraId="049C69A2" w14:textId="77777777" w:rsidTr="00C84FEB">
        <w:trPr>
          <w:jc w:val="center"/>
        </w:trPr>
        <w:tc>
          <w:tcPr>
            <w:tcW w:w="567" w:type="dxa"/>
            <w:vAlign w:val="center"/>
          </w:tcPr>
          <w:p w14:paraId="1B544F9F" w14:textId="77777777" w:rsidR="00F4775A" w:rsidRPr="00481AED" w:rsidRDefault="00F4775A" w:rsidP="00C84FEB">
            <w:pPr>
              <w:spacing w:before="20" w:after="20" w:line="240" w:lineRule="auto"/>
              <w:jc w:val="center"/>
              <w:rPr>
                <w:rFonts w:asciiTheme="minorHAnsi" w:hAnsiTheme="minorHAnsi" w:cstheme="minorHAnsi"/>
                <w:sz w:val="20"/>
                <w:szCs w:val="20"/>
              </w:rPr>
            </w:pPr>
            <w:r w:rsidRPr="00481AED">
              <w:rPr>
                <w:rFonts w:asciiTheme="minorHAnsi" w:hAnsiTheme="minorHAnsi" w:cstheme="minorHAnsi"/>
                <w:color w:val="000000"/>
                <w:sz w:val="20"/>
                <w:szCs w:val="20"/>
              </w:rPr>
              <w:t>20</w:t>
            </w:r>
          </w:p>
        </w:tc>
        <w:tc>
          <w:tcPr>
            <w:tcW w:w="10773" w:type="dxa"/>
            <w:vAlign w:val="center"/>
          </w:tcPr>
          <w:p w14:paraId="0C7F3B4A" w14:textId="77777777" w:rsidR="00F4775A" w:rsidRPr="00481AED" w:rsidRDefault="00F4775A" w:rsidP="00C84FEB">
            <w:pPr>
              <w:spacing w:before="20" w:after="20" w:line="240" w:lineRule="auto"/>
              <w:rPr>
                <w:rFonts w:asciiTheme="minorHAnsi" w:hAnsiTheme="minorHAnsi" w:cstheme="minorHAnsi"/>
                <w:sz w:val="20"/>
                <w:szCs w:val="20"/>
              </w:rPr>
            </w:pPr>
            <w:r w:rsidRPr="00481AED">
              <w:rPr>
                <w:rFonts w:asciiTheme="minorHAnsi" w:hAnsiTheme="minorHAnsi" w:cstheme="minorHAnsi"/>
                <w:sz w:val="20"/>
                <w:szCs w:val="20"/>
              </w:rPr>
              <w:t>Obra de ampliación S/E Ancoa 500 kV (Dex-310-2013)</w:t>
            </w:r>
          </w:p>
        </w:tc>
        <w:tc>
          <w:tcPr>
            <w:tcW w:w="1134" w:type="dxa"/>
            <w:vAlign w:val="center"/>
          </w:tcPr>
          <w:p w14:paraId="08124606" w14:textId="77777777" w:rsidR="00F4775A" w:rsidRPr="00481AED" w:rsidRDefault="00F4775A" w:rsidP="00C84FEB">
            <w:pPr>
              <w:spacing w:before="20" w:after="20" w:line="240" w:lineRule="auto"/>
              <w:jc w:val="right"/>
              <w:rPr>
                <w:rFonts w:asciiTheme="minorHAnsi" w:hAnsiTheme="minorHAnsi" w:cstheme="minorHAnsi"/>
                <w:sz w:val="20"/>
                <w:szCs w:val="20"/>
              </w:rPr>
            </w:pPr>
            <w:r w:rsidRPr="00481AED">
              <w:rPr>
                <w:rFonts w:asciiTheme="minorHAnsi" w:hAnsiTheme="minorHAnsi" w:cstheme="minorHAnsi"/>
                <w:sz w:val="20"/>
                <w:szCs w:val="20"/>
              </w:rPr>
              <w:t>34.368,42</w:t>
            </w:r>
          </w:p>
        </w:tc>
        <w:tc>
          <w:tcPr>
            <w:tcW w:w="1134" w:type="dxa"/>
            <w:vAlign w:val="center"/>
          </w:tcPr>
          <w:p w14:paraId="40151A3D" w14:textId="77777777" w:rsidR="00F4775A" w:rsidRPr="00481AED" w:rsidRDefault="00F4775A" w:rsidP="00C84FEB">
            <w:pPr>
              <w:spacing w:before="20" w:after="20" w:line="240" w:lineRule="auto"/>
              <w:jc w:val="right"/>
              <w:rPr>
                <w:sz w:val="20"/>
                <w:szCs w:val="20"/>
              </w:rPr>
            </w:pPr>
            <w:r w:rsidRPr="00481AED">
              <w:rPr>
                <w:sz w:val="20"/>
                <w:szCs w:val="20"/>
              </w:rPr>
              <w:t>6.598</w:t>
            </w:r>
          </w:p>
        </w:tc>
      </w:tr>
      <w:tr w:rsidR="00F4775A" w:rsidRPr="00481AED" w14:paraId="1A7B6DF6" w14:textId="77777777" w:rsidTr="00C84FEB">
        <w:trPr>
          <w:jc w:val="center"/>
        </w:trPr>
        <w:tc>
          <w:tcPr>
            <w:tcW w:w="567" w:type="dxa"/>
            <w:vAlign w:val="center"/>
          </w:tcPr>
          <w:p w14:paraId="7F8D2CA9" w14:textId="77777777" w:rsidR="00F4775A" w:rsidRPr="00481AED" w:rsidRDefault="00F4775A" w:rsidP="00C84FEB">
            <w:pPr>
              <w:spacing w:before="20" w:after="20" w:line="240" w:lineRule="auto"/>
              <w:jc w:val="center"/>
              <w:rPr>
                <w:rFonts w:asciiTheme="minorHAnsi" w:hAnsiTheme="minorHAnsi" w:cstheme="minorHAnsi"/>
                <w:sz w:val="20"/>
                <w:szCs w:val="20"/>
              </w:rPr>
            </w:pPr>
            <w:r w:rsidRPr="00481AED">
              <w:rPr>
                <w:rFonts w:asciiTheme="minorHAnsi" w:hAnsiTheme="minorHAnsi" w:cstheme="minorHAnsi"/>
                <w:color w:val="000000"/>
                <w:sz w:val="20"/>
                <w:szCs w:val="20"/>
              </w:rPr>
              <w:t>21</w:t>
            </w:r>
          </w:p>
        </w:tc>
        <w:tc>
          <w:tcPr>
            <w:tcW w:w="10773" w:type="dxa"/>
            <w:vAlign w:val="center"/>
          </w:tcPr>
          <w:p w14:paraId="65F7542A" w14:textId="77777777" w:rsidR="00F4775A" w:rsidRPr="00481AED" w:rsidRDefault="00F4775A" w:rsidP="00C84FEB">
            <w:pPr>
              <w:spacing w:before="20" w:after="20" w:line="240" w:lineRule="auto"/>
              <w:rPr>
                <w:rFonts w:asciiTheme="minorHAnsi" w:hAnsiTheme="minorHAnsi" w:cstheme="minorHAnsi"/>
                <w:sz w:val="20"/>
                <w:szCs w:val="20"/>
              </w:rPr>
            </w:pPr>
            <w:r w:rsidRPr="00481AED">
              <w:rPr>
                <w:rFonts w:asciiTheme="minorHAnsi" w:hAnsiTheme="minorHAnsi" w:cstheme="minorHAnsi"/>
                <w:sz w:val="20"/>
                <w:szCs w:val="20"/>
              </w:rPr>
              <w:t>Obra de aumento de capacidad de línea Maitencillo – Cardones 1x220 kV</w:t>
            </w:r>
          </w:p>
        </w:tc>
        <w:tc>
          <w:tcPr>
            <w:tcW w:w="1134" w:type="dxa"/>
            <w:vAlign w:val="center"/>
          </w:tcPr>
          <w:p w14:paraId="5C64CA5D" w14:textId="77777777" w:rsidR="00F4775A" w:rsidRPr="00481AED" w:rsidRDefault="00F4775A" w:rsidP="00C84FEB">
            <w:pPr>
              <w:spacing w:before="20" w:after="20" w:line="240" w:lineRule="auto"/>
              <w:jc w:val="right"/>
              <w:rPr>
                <w:rFonts w:asciiTheme="minorHAnsi" w:hAnsiTheme="minorHAnsi" w:cstheme="minorHAnsi"/>
                <w:sz w:val="20"/>
                <w:szCs w:val="20"/>
              </w:rPr>
            </w:pPr>
            <w:r w:rsidRPr="00481AED">
              <w:rPr>
                <w:rFonts w:asciiTheme="minorHAnsi" w:hAnsiTheme="minorHAnsi" w:cstheme="minorHAnsi"/>
                <w:sz w:val="20"/>
                <w:szCs w:val="20"/>
              </w:rPr>
              <w:t>421.016,36</w:t>
            </w:r>
          </w:p>
        </w:tc>
        <w:tc>
          <w:tcPr>
            <w:tcW w:w="1134" w:type="dxa"/>
            <w:vAlign w:val="center"/>
          </w:tcPr>
          <w:p w14:paraId="21B43C56" w14:textId="77777777" w:rsidR="00F4775A" w:rsidRPr="00481AED" w:rsidRDefault="00F4775A" w:rsidP="00C84FEB">
            <w:pPr>
              <w:spacing w:before="20" w:after="20" w:line="240" w:lineRule="auto"/>
              <w:jc w:val="right"/>
              <w:rPr>
                <w:sz w:val="20"/>
                <w:szCs w:val="20"/>
              </w:rPr>
            </w:pPr>
            <w:r w:rsidRPr="00481AED">
              <w:rPr>
                <w:sz w:val="20"/>
                <w:szCs w:val="20"/>
              </w:rPr>
              <w:t>80.192</w:t>
            </w:r>
          </w:p>
        </w:tc>
      </w:tr>
      <w:tr w:rsidR="00F4775A" w:rsidRPr="00481AED" w14:paraId="3B10AD51" w14:textId="77777777" w:rsidTr="00C84FEB">
        <w:trPr>
          <w:jc w:val="center"/>
        </w:trPr>
        <w:tc>
          <w:tcPr>
            <w:tcW w:w="567" w:type="dxa"/>
            <w:vAlign w:val="center"/>
          </w:tcPr>
          <w:p w14:paraId="0C362B1F" w14:textId="77777777" w:rsidR="00F4775A" w:rsidRPr="00481AED" w:rsidRDefault="00F4775A" w:rsidP="00C84FEB">
            <w:pPr>
              <w:spacing w:before="20" w:after="20" w:line="240" w:lineRule="auto"/>
              <w:jc w:val="center"/>
              <w:rPr>
                <w:rFonts w:asciiTheme="minorHAnsi" w:hAnsiTheme="minorHAnsi" w:cstheme="minorHAnsi"/>
                <w:sz w:val="20"/>
                <w:szCs w:val="20"/>
              </w:rPr>
            </w:pPr>
            <w:r w:rsidRPr="00481AED">
              <w:rPr>
                <w:rFonts w:asciiTheme="minorHAnsi" w:hAnsiTheme="minorHAnsi" w:cstheme="minorHAnsi"/>
                <w:color w:val="000000"/>
                <w:sz w:val="20"/>
                <w:szCs w:val="20"/>
              </w:rPr>
              <w:t>22</w:t>
            </w:r>
          </w:p>
        </w:tc>
        <w:tc>
          <w:tcPr>
            <w:tcW w:w="10773" w:type="dxa"/>
            <w:vAlign w:val="center"/>
          </w:tcPr>
          <w:p w14:paraId="1520F2F2" w14:textId="77777777" w:rsidR="00F4775A" w:rsidRPr="00481AED" w:rsidRDefault="00F4775A" w:rsidP="00C84FEB">
            <w:pPr>
              <w:spacing w:before="20" w:after="20" w:line="240" w:lineRule="auto"/>
              <w:rPr>
                <w:rFonts w:asciiTheme="minorHAnsi" w:hAnsiTheme="minorHAnsi" w:cstheme="minorHAnsi"/>
                <w:sz w:val="20"/>
                <w:szCs w:val="20"/>
              </w:rPr>
            </w:pPr>
            <w:r w:rsidRPr="00481AED">
              <w:rPr>
                <w:rFonts w:asciiTheme="minorHAnsi" w:hAnsiTheme="minorHAnsi" w:cstheme="minorHAnsi"/>
                <w:sz w:val="20"/>
                <w:szCs w:val="20"/>
              </w:rPr>
              <w:t>Obra de seccionamiento barra 500 kV subestación Alto Jahuel</w:t>
            </w:r>
          </w:p>
        </w:tc>
        <w:tc>
          <w:tcPr>
            <w:tcW w:w="1134" w:type="dxa"/>
            <w:vAlign w:val="center"/>
          </w:tcPr>
          <w:p w14:paraId="2C14E79C" w14:textId="77777777" w:rsidR="00F4775A" w:rsidRPr="00481AED" w:rsidRDefault="00F4775A" w:rsidP="00C84FEB">
            <w:pPr>
              <w:spacing w:before="20" w:after="20" w:line="240" w:lineRule="auto"/>
              <w:jc w:val="right"/>
              <w:rPr>
                <w:rFonts w:asciiTheme="minorHAnsi" w:hAnsiTheme="minorHAnsi" w:cstheme="minorHAnsi"/>
                <w:sz w:val="20"/>
                <w:szCs w:val="20"/>
              </w:rPr>
            </w:pPr>
            <w:r w:rsidRPr="00481AED">
              <w:rPr>
                <w:rFonts w:asciiTheme="minorHAnsi" w:hAnsiTheme="minorHAnsi" w:cstheme="minorHAnsi"/>
                <w:sz w:val="20"/>
                <w:szCs w:val="20"/>
              </w:rPr>
              <w:t>47.187,17</w:t>
            </w:r>
          </w:p>
        </w:tc>
        <w:tc>
          <w:tcPr>
            <w:tcW w:w="1134" w:type="dxa"/>
            <w:vAlign w:val="center"/>
          </w:tcPr>
          <w:p w14:paraId="39062044" w14:textId="77777777" w:rsidR="00F4775A" w:rsidRPr="00481AED" w:rsidRDefault="00F4775A" w:rsidP="00C84FEB">
            <w:pPr>
              <w:spacing w:before="20" w:after="20" w:line="240" w:lineRule="auto"/>
              <w:jc w:val="right"/>
              <w:rPr>
                <w:sz w:val="20"/>
                <w:szCs w:val="20"/>
              </w:rPr>
            </w:pPr>
            <w:r w:rsidRPr="00481AED">
              <w:rPr>
                <w:sz w:val="20"/>
                <w:szCs w:val="20"/>
              </w:rPr>
              <w:t>8.859</w:t>
            </w:r>
          </w:p>
        </w:tc>
      </w:tr>
      <w:tr w:rsidR="00F4775A" w:rsidRPr="00481AED" w14:paraId="75499739" w14:textId="77777777" w:rsidTr="00C84FEB">
        <w:trPr>
          <w:jc w:val="center"/>
        </w:trPr>
        <w:tc>
          <w:tcPr>
            <w:tcW w:w="567" w:type="dxa"/>
            <w:vAlign w:val="center"/>
          </w:tcPr>
          <w:p w14:paraId="09D5C363" w14:textId="77777777" w:rsidR="00F4775A" w:rsidRPr="00481AED" w:rsidRDefault="00F4775A" w:rsidP="00C84FEB">
            <w:pPr>
              <w:spacing w:before="20" w:after="20" w:line="240" w:lineRule="auto"/>
              <w:jc w:val="center"/>
              <w:rPr>
                <w:rFonts w:asciiTheme="minorHAnsi" w:hAnsiTheme="minorHAnsi" w:cstheme="minorHAnsi"/>
                <w:sz w:val="20"/>
                <w:szCs w:val="20"/>
              </w:rPr>
            </w:pPr>
            <w:r w:rsidRPr="00481AED">
              <w:rPr>
                <w:rFonts w:asciiTheme="minorHAnsi" w:hAnsiTheme="minorHAnsi" w:cstheme="minorHAnsi"/>
                <w:color w:val="000000"/>
                <w:sz w:val="20"/>
                <w:szCs w:val="20"/>
              </w:rPr>
              <w:t>23</w:t>
            </w:r>
          </w:p>
        </w:tc>
        <w:tc>
          <w:tcPr>
            <w:tcW w:w="10773" w:type="dxa"/>
            <w:vAlign w:val="center"/>
          </w:tcPr>
          <w:p w14:paraId="68B560F7" w14:textId="77777777" w:rsidR="00F4775A" w:rsidRPr="00481AED" w:rsidRDefault="00F4775A" w:rsidP="00C84FEB">
            <w:pPr>
              <w:spacing w:before="20" w:after="20" w:line="240" w:lineRule="auto"/>
              <w:rPr>
                <w:rFonts w:asciiTheme="minorHAnsi" w:hAnsiTheme="minorHAnsi" w:cstheme="minorHAnsi"/>
                <w:sz w:val="20"/>
                <w:szCs w:val="20"/>
              </w:rPr>
            </w:pPr>
            <w:r w:rsidRPr="00481AED">
              <w:rPr>
                <w:rFonts w:asciiTheme="minorHAnsi" w:hAnsiTheme="minorHAnsi" w:cstheme="minorHAnsi"/>
                <w:sz w:val="20"/>
                <w:szCs w:val="20"/>
              </w:rPr>
              <w:t>Obra de seccionamiento barra 500 kV subestación Ancoa</w:t>
            </w:r>
          </w:p>
        </w:tc>
        <w:tc>
          <w:tcPr>
            <w:tcW w:w="1134" w:type="dxa"/>
            <w:vAlign w:val="center"/>
          </w:tcPr>
          <w:p w14:paraId="1155BFD2" w14:textId="77777777" w:rsidR="00F4775A" w:rsidRPr="00481AED" w:rsidRDefault="00F4775A" w:rsidP="00C84FEB">
            <w:pPr>
              <w:spacing w:before="20" w:after="20" w:line="240" w:lineRule="auto"/>
              <w:jc w:val="right"/>
              <w:rPr>
                <w:rFonts w:asciiTheme="minorHAnsi" w:hAnsiTheme="minorHAnsi" w:cstheme="minorHAnsi"/>
                <w:sz w:val="20"/>
                <w:szCs w:val="20"/>
              </w:rPr>
            </w:pPr>
            <w:r w:rsidRPr="00481AED">
              <w:rPr>
                <w:rFonts w:asciiTheme="minorHAnsi" w:hAnsiTheme="minorHAnsi" w:cstheme="minorHAnsi"/>
                <w:sz w:val="20"/>
                <w:szCs w:val="20"/>
              </w:rPr>
              <w:t>17.107,20</w:t>
            </w:r>
          </w:p>
        </w:tc>
        <w:tc>
          <w:tcPr>
            <w:tcW w:w="1134" w:type="dxa"/>
            <w:vAlign w:val="center"/>
          </w:tcPr>
          <w:p w14:paraId="21AC97D5" w14:textId="77777777" w:rsidR="00F4775A" w:rsidRPr="00481AED" w:rsidRDefault="00F4775A" w:rsidP="00C84FEB">
            <w:pPr>
              <w:spacing w:before="20" w:after="20" w:line="240" w:lineRule="auto"/>
              <w:jc w:val="right"/>
              <w:rPr>
                <w:sz w:val="20"/>
                <w:szCs w:val="20"/>
              </w:rPr>
            </w:pPr>
            <w:r w:rsidRPr="00481AED">
              <w:rPr>
                <w:sz w:val="20"/>
                <w:szCs w:val="20"/>
              </w:rPr>
              <w:t>3.198</w:t>
            </w:r>
          </w:p>
        </w:tc>
      </w:tr>
      <w:tr w:rsidR="00F4775A" w:rsidRPr="00481AED" w14:paraId="38E7AC7B" w14:textId="77777777" w:rsidTr="00C84FEB">
        <w:trPr>
          <w:jc w:val="center"/>
        </w:trPr>
        <w:tc>
          <w:tcPr>
            <w:tcW w:w="567" w:type="dxa"/>
            <w:vAlign w:val="center"/>
          </w:tcPr>
          <w:p w14:paraId="233B6589" w14:textId="77777777" w:rsidR="00F4775A" w:rsidRPr="00481AED" w:rsidRDefault="00F4775A" w:rsidP="00C84FEB">
            <w:pPr>
              <w:spacing w:before="20" w:after="20" w:line="240" w:lineRule="auto"/>
              <w:jc w:val="center"/>
              <w:rPr>
                <w:rFonts w:asciiTheme="minorHAnsi" w:hAnsiTheme="minorHAnsi" w:cstheme="minorHAnsi"/>
                <w:sz w:val="20"/>
                <w:szCs w:val="20"/>
              </w:rPr>
            </w:pPr>
            <w:r w:rsidRPr="00481AED">
              <w:rPr>
                <w:rFonts w:asciiTheme="minorHAnsi" w:hAnsiTheme="minorHAnsi" w:cstheme="minorHAnsi"/>
                <w:color w:val="000000"/>
                <w:sz w:val="20"/>
                <w:szCs w:val="20"/>
              </w:rPr>
              <w:lastRenderedPageBreak/>
              <w:t>24</w:t>
            </w:r>
          </w:p>
        </w:tc>
        <w:tc>
          <w:tcPr>
            <w:tcW w:w="10773" w:type="dxa"/>
            <w:vAlign w:val="center"/>
          </w:tcPr>
          <w:p w14:paraId="38B30E1D" w14:textId="77777777" w:rsidR="00F4775A" w:rsidRPr="00481AED" w:rsidRDefault="00F4775A" w:rsidP="00C84FEB">
            <w:pPr>
              <w:spacing w:before="20" w:after="20" w:line="240" w:lineRule="auto"/>
              <w:rPr>
                <w:rFonts w:asciiTheme="minorHAnsi" w:hAnsiTheme="minorHAnsi" w:cstheme="minorHAnsi"/>
                <w:sz w:val="20"/>
                <w:szCs w:val="20"/>
              </w:rPr>
            </w:pPr>
            <w:r w:rsidRPr="00481AED">
              <w:rPr>
                <w:rFonts w:asciiTheme="minorHAnsi" w:hAnsiTheme="minorHAnsi" w:cstheme="minorHAnsi"/>
                <w:sz w:val="20"/>
                <w:szCs w:val="20"/>
              </w:rPr>
              <w:t>Obra de seccionamiento barra 500 kV subestación Charrúa</w:t>
            </w:r>
          </w:p>
        </w:tc>
        <w:tc>
          <w:tcPr>
            <w:tcW w:w="1134" w:type="dxa"/>
            <w:vAlign w:val="center"/>
          </w:tcPr>
          <w:p w14:paraId="4831441A" w14:textId="77777777" w:rsidR="00F4775A" w:rsidRPr="00481AED" w:rsidRDefault="00F4775A" w:rsidP="00C84FEB">
            <w:pPr>
              <w:spacing w:before="20" w:after="20" w:line="240" w:lineRule="auto"/>
              <w:jc w:val="right"/>
              <w:rPr>
                <w:rFonts w:asciiTheme="minorHAnsi" w:hAnsiTheme="minorHAnsi" w:cstheme="minorHAnsi"/>
                <w:sz w:val="20"/>
                <w:szCs w:val="20"/>
              </w:rPr>
            </w:pPr>
            <w:r w:rsidRPr="00481AED">
              <w:rPr>
                <w:rFonts w:asciiTheme="minorHAnsi" w:hAnsiTheme="minorHAnsi" w:cstheme="minorHAnsi"/>
                <w:sz w:val="20"/>
                <w:szCs w:val="20"/>
              </w:rPr>
              <w:t>47.285,74</w:t>
            </w:r>
          </w:p>
        </w:tc>
        <w:tc>
          <w:tcPr>
            <w:tcW w:w="1134" w:type="dxa"/>
            <w:vAlign w:val="center"/>
          </w:tcPr>
          <w:p w14:paraId="250E83EC" w14:textId="77777777" w:rsidR="00F4775A" w:rsidRPr="00481AED" w:rsidRDefault="00F4775A" w:rsidP="00C84FEB">
            <w:pPr>
              <w:spacing w:before="20" w:after="20" w:line="240" w:lineRule="auto"/>
              <w:jc w:val="right"/>
              <w:rPr>
                <w:sz w:val="20"/>
                <w:szCs w:val="20"/>
              </w:rPr>
            </w:pPr>
            <w:r w:rsidRPr="00481AED">
              <w:rPr>
                <w:sz w:val="20"/>
                <w:szCs w:val="20"/>
              </w:rPr>
              <w:t>8.913</w:t>
            </w:r>
          </w:p>
        </w:tc>
      </w:tr>
      <w:tr w:rsidR="00F4775A" w:rsidRPr="00481AED" w14:paraId="54D33CAA" w14:textId="77777777" w:rsidTr="00C84FEB">
        <w:trPr>
          <w:jc w:val="center"/>
        </w:trPr>
        <w:tc>
          <w:tcPr>
            <w:tcW w:w="567" w:type="dxa"/>
            <w:vAlign w:val="center"/>
          </w:tcPr>
          <w:p w14:paraId="2AD0C9EB" w14:textId="77777777" w:rsidR="00F4775A" w:rsidRPr="00481AED" w:rsidRDefault="00F4775A" w:rsidP="00C84FEB">
            <w:pPr>
              <w:spacing w:before="20" w:after="20" w:line="240" w:lineRule="auto"/>
              <w:jc w:val="center"/>
              <w:rPr>
                <w:rFonts w:asciiTheme="minorHAnsi" w:hAnsiTheme="minorHAnsi" w:cstheme="minorHAnsi"/>
                <w:sz w:val="20"/>
                <w:szCs w:val="20"/>
              </w:rPr>
            </w:pPr>
            <w:r w:rsidRPr="00481AED">
              <w:rPr>
                <w:rFonts w:asciiTheme="minorHAnsi" w:hAnsiTheme="minorHAnsi" w:cstheme="minorHAnsi"/>
                <w:color w:val="000000"/>
                <w:sz w:val="20"/>
                <w:szCs w:val="20"/>
              </w:rPr>
              <w:t>25</w:t>
            </w:r>
          </w:p>
        </w:tc>
        <w:tc>
          <w:tcPr>
            <w:tcW w:w="10773" w:type="dxa"/>
            <w:vAlign w:val="center"/>
          </w:tcPr>
          <w:p w14:paraId="26DF110B" w14:textId="77777777" w:rsidR="00F4775A" w:rsidRPr="00481AED" w:rsidRDefault="00F4775A" w:rsidP="00C84FEB">
            <w:pPr>
              <w:spacing w:before="20" w:after="20" w:line="240" w:lineRule="auto"/>
              <w:rPr>
                <w:rFonts w:asciiTheme="minorHAnsi" w:hAnsiTheme="minorHAnsi" w:cstheme="minorHAnsi"/>
                <w:sz w:val="20"/>
                <w:szCs w:val="20"/>
              </w:rPr>
            </w:pPr>
            <w:r w:rsidRPr="00481AED">
              <w:rPr>
                <w:rFonts w:asciiTheme="minorHAnsi" w:hAnsiTheme="minorHAnsi" w:cstheme="minorHAnsi"/>
                <w:sz w:val="20"/>
                <w:szCs w:val="20"/>
              </w:rPr>
              <w:t>Obra de seccionamiento barra principal en S/E Carrera Pinto</w:t>
            </w:r>
          </w:p>
        </w:tc>
        <w:tc>
          <w:tcPr>
            <w:tcW w:w="1134" w:type="dxa"/>
            <w:vAlign w:val="center"/>
          </w:tcPr>
          <w:p w14:paraId="569D9036" w14:textId="77777777" w:rsidR="00F4775A" w:rsidRPr="00481AED" w:rsidRDefault="00F4775A" w:rsidP="00C84FEB">
            <w:pPr>
              <w:spacing w:before="20" w:after="20" w:line="240" w:lineRule="auto"/>
              <w:jc w:val="right"/>
              <w:rPr>
                <w:rFonts w:asciiTheme="minorHAnsi" w:hAnsiTheme="minorHAnsi" w:cstheme="minorHAnsi"/>
                <w:sz w:val="20"/>
                <w:szCs w:val="20"/>
              </w:rPr>
            </w:pPr>
            <w:r w:rsidRPr="00481AED">
              <w:rPr>
                <w:rFonts w:asciiTheme="minorHAnsi" w:hAnsiTheme="minorHAnsi" w:cstheme="minorHAnsi"/>
                <w:sz w:val="20"/>
                <w:szCs w:val="20"/>
              </w:rPr>
              <w:t>12.587,82</w:t>
            </w:r>
          </w:p>
        </w:tc>
        <w:tc>
          <w:tcPr>
            <w:tcW w:w="1134" w:type="dxa"/>
            <w:vAlign w:val="center"/>
          </w:tcPr>
          <w:p w14:paraId="75B250D0" w14:textId="77777777" w:rsidR="00F4775A" w:rsidRPr="00481AED" w:rsidRDefault="00F4775A" w:rsidP="00C84FEB">
            <w:pPr>
              <w:spacing w:before="20" w:after="20" w:line="240" w:lineRule="auto"/>
              <w:jc w:val="right"/>
              <w:rPr>
                <w:sz w:val="20"/>
                <w:szCs w:val="20"/>
              </w:rPr>
            </w:pPr>
            <w:r w:rsidRPr="00481AED">
              <w:rPr>
                <w:sz w:val="20"/>
                <w:szCs w:val="20"/>
              </w:rPr>
              <w:t>2.387</w:t>
            </w:r>
          </w:p>
        </w:tc>
      </w:tr>
      <w:tr w:rsidR="00F4775A" w:rsidRPr="00481AED" w14:paraId="53751393" w14:textId="77777777" w:rsidTr="00C84FEB">
        <w:trPr>
          <w:jc w:val="center"/>
        </w:trPr>
        <w:tc>
          <w:tcPr>
            <w:tcW w:w="567" w:type="dxa"/>
            <w:vAlign w:val="center"/>
          </w:tcPr>
          <w:p w14:paraId="46CB1E66" w14:textId="77777777" w:rsidR="00F4775A" w:rsidRPr="00481AED" w:rsidRDefault="00F4775A" w:rsidP="00C84FEB">
            <w:pPr>
              <w:spacing w:before="20" w:after="20" w:line="240" w:lineRule="auto"/>
              <w:jc w:val="center"/>
              <w:rPr>
                <w:rFonts w:asciiTheme="minorHAnsi" w:hAnsiTheme="minorHAnsi" w:cstheme="minorHAnsi"/>
                <w:sz w:val="20"/>
                <w:szCs w:val="20"/>
              </w:rPr>
            </w:pPr>
            <w:r w:rsidRPr="00481AED">
              <w:rPr>
                <w:rFonts w:asciiTheme="minorHAnsi" w:hAnsiTheme="minorHAnsi" w:cstheme="minorHAnsi"/>
                <w:color w:val="000000"/>
                <w:sz w:val="20"/>
                <w:szCs w:val="20"/>
              </w:rPr>
              <w:t>26</w:t>
            </w:r>
          </w:p>
        </w:tc>
        <w:tc>
          <w:tcPr>
            <w:tcW w:w="10773" w:type="dxa"/>
            <w:vAlign w:val="center"/>
          </w:tcPr>
          <w:p w14:paraId="795A0452" w14:textId="77777777" w:rsidR="00F4775A" w:rsidRPr="00481AED" w:rsidRDefault="00F4775A" w:rsidP="00C84FEB">
            <w:pPr>
              <w:spacing w:before="20" w:after="20" w:line="240" w:lineRule="auto"/>
              <w:rPr>
                <w:rFonts w:asciiTheme="minorHAnsi" w:hAnsiTheme="minorHAnsi" w:cstheme="minorHAnsi"/>
                <w:sz w:val="20"/>
                <w:szCs w:val="20"/>
              </w:rPr>
            </w:pPr>
            <w:r w:rsidRPr="00481AED">
              <w:rPr>
                <w:rFonts w:asciiTheme="minorHAnsi" w:hAnsiTheme="minorHAnsi" w:cstheme="minorHAnsi"/>
                <w:sz w:val="20"/>
                <w:szCs w:val="20"/>
              </w:rPr>
              <w:t>Obra de seccionamiento completo en subestación Rahue</w:t>
            </w:r>
          </w:p>
        </w:tc>
        <w:tc>
          <w:tcPr>
            <w:tcW w:w="1134" w:type="dxa"/>
            <w:vAlign w:val="center"/>
          </w:tcPr>
          <w:p w14:paraId="0D64B2C1" w14:textId="77777777" w:rsidR="00F4775A" w:rsidRPr="00481AED" w:rsidRDefault="00F4775A" w:rsidP="00C84FEB">
            <w:pPr>
              <w:spacing w:before="20" w:after="20" w:line="240" w:lineRule="auto"/>
              <w:jc w:val="right"/>
              <w:rPr>
                <w:rFonts w:asciiTheme="minorHAnsi" w:hAnsiTheme="minorHAnsi" w:cstheme="minorHAnsi"/>
                <w:sz w:val="20"/>
                <w:szCs w:val="20"/>
              </w:rPr>
            </w:pPr>
            <w:r w:rsidRPr="00481AED">
              <w:rPr>
                <w:rFonts w:asciiTheme="minorHAnsi" w:hAnsiTheme="minorHAnsi" w:cstheme="minorHAnsi"/>
                <w:sz w:val="20"/>
                <w:szCs w:val="20"/>
              </w:rPr>
              <w:t>14.673,78</w:t>
            </w:r>
          </w:p>
        </w:tc>
        <w:tc>
          <w:tcPr>
            <w:tcW w:w="1134" w:type="dxa"/>
            <w:vAlign w:val="center"/>
          </w:tcPr>
          <w:p w14:paraId="6B2A5E6B" w14:textId="77777777" w:rsidR="00F4775A" w:rsidRPr="00481AED" w:rsidRDefault="00F4775A" w:rsidP="00C84FEB">
            <w:pPr>
              <w:spacing w:before="20" w:after="20" w:line="240" w:lineRule="auto"/>
              <w:jc w:val="right"/>
              <w:rPr>
                <w:sz w:val="20"/>
                <w:szCs w:val="20"/>
              </w:rPr>
            </w:pPr>
            <w:r w:rsidRPr="00481AED">
              <w:rPr>
                <w:sz w:val="20"/>
                <w:szCs w:val="20"/>
              </w:rPr>
              <w:t>2.738</w:t>
            </w:r>
          </w:p>
        </w:tc>
      </w:tr>
      <w:tr w:rsidR="00F4775A" w:rsidRPr="00481AED" w14:paraId="36BA92EE" w14:textId="77777777" w:rsidTr="00C84FEB">
        <w:trPr>
          <w:jc w:val="center"/>
        </w:trPr>
        <w:tc>
          <w:tcPr>
            <w:tcW w:w="567" w:type="dxa"/>
            <w:vAlign w:val="center"/>
          </w:tcPr>
          <w:p w14:paraId="4D7CCD09" w14:textId="77777777" w:rsidR="00F4775A" w:rsidRPr="00481AED" w:rsidRDefault="00F4775A" w:rsidP="00C84FEB">
            <w:pPr>
              <w:spacing w:before="20" w:after="20" w:line="240" w:lineRule="auto"/>
              <w:jc w:val="center"/>
              <w:rPr>
                <w:rFonts w:asciiTheme="minorHAnsi" w:hAnsiTheme="minorHAnsi" w:cstheme="minorHAnsi"/>
                <w:sz w:val="20"/>
                <w:szCs w:val="20"/>
              </w:rPr>
            </w:pPr>
            <w:r w:rsidRPr="00481AED">
              <w:rPr>
                <w:rFonts w:asciiTheme="minorHAnsi" w:hAnsiTheme="minorHAnsi" w:cstheme="minorHAnsi"/>
                <w:color w:val="000000"/>
                <w:sz w:val="20"/>
                <w:szCs w:val="20"/>
              </w:rPr>
              <w:t>27</w:t>
            </w:r>
          </w:p>
        </w:tc>
        <w:tc>
          <w:tcPr>
            <w:tcW w:w="10773" w:type="dxa"/>
            <w:vAlign w:val="center"/>
          </w:tcPr>
          <w:p w14:paraId="47D2BBEB" w14:textId="77777777" w:rsidR="00F4775A" w:rsidRPr="00481AED" w:rsidRDefault="00F4775A" w:rsidP="00C84FEB">
            <w:pPr>
              <w:spacing w:before="20" w:after="20" w:line="240" w:lineRule="auto"/>
              <w:rPr>
                <w:rFonts w:asciiTheme="minorHAnsi" w:hAnsiTheme="minorHAnsi" w:cstheme="minorHAnsi"/>
                <w:sz w:val="20"/>
                <w:szCs w:val="20"/>
              </w:rPr>
            </w:pPr>
            <w:r w:rsidRPr="00481AED">
              <w:rPr>
                <w:rFonts w:asciiTheme="minorHAnsi" w:hAnsiTheme="minorHAnsi" w:cstheme="minorHAnsi"/>
                <w:sz w:val="20"/>
                <w:szCs w:val="20"/>
              </w:rPr>
              <w:t>Obra de ampliación cambio de interruptores 52J23 y 52J3 en S/E Charrúa 220 kV</w:t>
            </w:r>
          </w:p>
        </w:tc>
        <w:tc>
          <w:tcPr>
            <w:tcW w:w="1134" w:type="dxa"/>
            <w:vAlign w:val="center"/>
          </w:tcPr>
          <w:p w14:paraId="7A80048D" w14:textId="77777777" w:rsidR="00F4775A" w:rsidRPr="00481AED" w:rsidRDefault="00F4775A" w:rsidP="00C84FEB">
            <w:pPr>
              <w:spacing w:before="20" w:after="20" w:line="240" w:lineRule="auto"/>
              <w:jc w:val="right"/>
              <w:rPr>
                <w:rFonts w:asciiTheme="minorHAnsi" w:hAnsiTheme="minorHAnsi" w:cstheme="minorHAnsi"/>
                <w:sz w:val="20"/>
                <w:szCs w:val="20"/>
              </w:rPr>
            </w:pPr>
            <w:r w:rsidRPr="00481AED">
              <w:rPr>
                <w:rFonts w:asciiTheme="minorHAnsi" w:hAnsiTheme="minorHAnsi" w:cstheme="minorHAnsi"/>
                <w:sz w:val="20"/>
                <w:szCs w:val="20"/>
              </w:rPr>
              <w:t>25.673,27</w:t>
            </w:r>
          </w:p>
        </w:tc>
        <w:tc>
          <w:tcPr>
            <w:tcW w:w="1134" w:type="dxa"/>
            <w:vAlign w:val="center"/>
          </w:tcPr>
          <w:p w14:paraId="1C3BA1CA" w14:textId="77777777" w:rsidR="00F4775A" w:rsidRPr="00481AED" w:rsidRDefault="00F4775A" w:rsidP="00C84FEB">
            <w:pPr>
              <w:spacing w:before="20" w:after="20" w:line="240" w:lineRule="auto"/>
              <w:jc w:val="right"/>
              <w:rPr>
                <w:sz w:val="20"/>
                <w:szCs w:val="20"/>
              </w:rPr>
            </w:pPr>
            <w:r w:rsidRPr="00481AED">
              <w:rPr>
                <w:sz w:val="20"/>
                <w:szCs w:val="20"/>
              </w:rPr>
              <w:t>4.732</w:t>
            </w:r>
          </w:p>
        </w:tc>
      </w:tr>
      <w:tr w:rsidR="00F4775A" w:rsidRPr="00481AED" w14:paraId="290E0961" w14:textId="77777777" w:rsidTr="00C84FEB">
        <w:trPr>
          <w:jc w:val="center"/>
        </w:trPr>
        <w:tc>
          <w:tcPr>
            <w:tcW w:w="567" w:type="dxa"/>
            <w:vAlign w:val="center"/>
          </w:tcPr>
          <w:p w14:paraId="2EA3986B" w14:textId="77777777" w:rsidR="00F4775A" w:rsidRPr="00481AED" w:rsidRDefault="00F4775A" w:rsidP="00C84FEB">
            <w:pPr>
              <w:spacing w:before="20" w:after="20" w:line="240" w:lineRule="auto"/>
              <w:jc w:val="center"/>
              <w:rPr>
                <w:rFonts w:asciiTheme="minorHAnsi" w:hAnsiTheme="minorHAnsi" w:cstheme="minorHAnsi"/>
                <w:sz w:val="20"/>
                <w:szCs w:val="20"/>
              </w:rPr>
            </w:pPr>
            <w:r w:rsidRPr="00481AED">
              <w:rPr>
                <w:rFonts w:asciiTheme="minorHAnsi" w:hAnsiTheme="minorHAnsi" w:cstheme="minorHAnsi"/>
                <w:color w:val="000000"/>
                <w:sz w:val="20"/>
                <w:szCs w:val="20"/>
              </w:rPr>
              <w:t>28</w:t>
            </w:r>
          </w:p>
        </w:tc>
        <w:tc>
          <w:tcPr>
            <w:tcW w:w="10773" w:type="dxa"/>
            <w:vAlign w:val="center"/>
          </w:tcPr>
          <w:p w14:paraId="551B002F" w14:textId="77777777" w:rsidR="00F4775A" w:rsidRPr="00481AED" w:rsidRDefault="00F4775A" w:rsidP="00C84FEB">
            <w:pPr>
              <w:spacing w:before="20" w:after="20" w:line="240" w:lineRule="auto"/>
              <w:rPr>
                <w:rFonts w:asciiTheme="minorHAnsi" w:hAnsiTheme="minorHAnsi" w:cstheme="minorHAnsi"/>
                <w:sz w:val="20"/>
                <w:szCs w:val="20"/>
              </w:rPr>
            </w:pPr>
            <w:r w:rsidRPr="00481AED">
              <w:rPr>
                <w:rFonts w:asciiTheme="minorHAnsi" w:hAnsiTheme="minorHAnsi" w:cstheme="minorHAnsi"/>
                <w:sz w:val="20"/>
                <w:szCs w:val="20"/>
              </w:rPr>
              <w:t>Obra de ampliación cambio de interruptores 52JS, 52JCE1, 52J6, 52JZ3 y 52J7 en S/E Alto Jahuel 220 kV</w:t>
            </w:r>
          </w:p>
        </w:tc>
        <w:tc>
          <w:tcPr>
            <w:tcW w:w="1134" w:type="dxa"/>
            <w:vAlign w:val="center"/>
          </w:tcPr>
          <w:p w14:paraId="07E2F793" w14:textId="77777777" w:rsidR="00F4775A" w:rsidRPr="00481AED" w:rsidRDefault="00F4775A" w:rsidP="00C84FEB">
            <w:pPr>
              <w:spacing w:before="20" w:after="20" w:line="240" w:lineRule="auto"/>
              <w:jc w:val="right"/>
              <w:rPr>
                <w:rFonts w:asciiTheme="minorHAnsi" w:hAnsiTheme="minorHAnsi" w:cstheme="minorHAnsi"/>
                <w:sz w:val="20"/>
                <w:szCs w:val="20"/>
              </w:rPr>
            </w:pPr>
            <w:r w:rsidRPr="00481AED">
              <w:rPr>
                <w:rFonts w:asciiTheme="minorHAnsi" w:hAnsiTheme="minorHAnsi" w:cstheme="minorHAnsi"/>
                <w:sz w:val="20"/>
                <w:szCs w:val="20"/>
              </w:rPr>
              <w:t>50.649,22</w:t>
            </w:r>
          </w:p>
        </w:tc>
        <w:tc>
          <w:tcPr>
            <w:tcW w:w="1134" w:type="dxa"/>
            <w:vAlign w:val="center"/>
          </w:tcPr>
          <w:p w14:paraId="2940767B" w14:textId="77777777" w:rsidR="00F4775A" w:rsidRPr="00481AED" w:rsidRDefault="00F4775A" w:rsidP="00C84FEB">
            <w:pPr>
              <w:spacing w:before="20" w:after="20" w:line="240" w:lineRule="auto"/>
              <w:jc w:val="right"/>
              <w:rPr>
                <w:sz w:val="20"/>
                <w:szCs w:val="20"/>
              </w:rPr>
            </w:pPr>
            <w:r w:rsidRPr="00481AED">
              <w:rPr>
                <w:sz w:val="20"/>
                <w:szCs w:val="20"/>
              </w:rPr>
              <w:t>9.335</w:t>
            </w:r>
          </w:p>
        </w:tc>
      </w:tr>
      <w:tr w:rsidR="00F4775A" w:rsidRPr="00481AED" w14:paraId="75705C73" w14:textId="77777777" w:rsidTr="00C84FEB">
        <w:trPr>
          <w:jc w:val="center"/>
        </w:trPr>
        <w:tc>
          <w:tcPr>
            <w:tcW w:w="567" w:type="dxa"/>
            <w:vAlign w:val="center"/>
          </w:tcPr>
          <w:p w14:paraId="1A8A86A9" w14:textId="77777777" w:rsidR="00F4775A" w:rsidRPr="00481AED" w:rsidRDefault="00F4775A" w:rsidP="00C84FEB">
            <w:pPr>
              <w:spacing w:before="20" w:after="20" w:line="240" w:lineRule="auto"/>
              <w:jc w:val="center"/>
              <w:rPr>
                <w:rFonts w:asciiTheme="minorHAnsi" w:hAnsiTheme="minorHAnsi" w:cstheme="minorHAnsi"/>
                <w:sz w:val="20"/>
                <w:szCs w:val="20"/>
              </w:rPr>
            </w:pPr>
            <w:r w:rsidRPr="00481AED">
              <w:rPr>
                <w:rFonts w:asciiTheme="minorHAnsi" w:hAnsiTheme="minorHAnsi" w:cstheme="minorHAnsi"/>
                <w:color w:val="000000"/>
                <w:sz w:val="20"/>
                <w:szCs w:val="20"/>
              </w:rPr>
              <w:t>29</w:t>
            </w:r>
          </w:p>
        </w:tc>
        <w:tc>
          <w:tcPr>
            <w:tcW w:w="10773" w:type="dxa"/>
            <w:vAlign w:val="center"/>
          </w:tcPr>
          <w:p w14:paraId="4F5CD29E" w14:textId="77777777" w:rsidR="00F4775A" w:rsidRPr="00481AED" w:rsidRDefault="00F4775A" w:rsidP="00C84FEB">
            <w:pPr>
              <w:spacing w:before="20" w:after="20" w:line="240" w:lineRule="auto"/>
              <w:rPr>
                <w:rFonts w:asciiTheme="minorHAnsi" w:hAnsiTheme="minorHAnsi" w:cstheme="minorHAnsi"/>
                <w:sz w:val="20"/>
                <w:szCs w:val="20"/>
              </w:rPr>
            </w:pPr>
            <w:r w:rsidRPr="00481AED">
              <w:rPr>
                <w:rFonts w:asciiTheme="minorHAnsi" w:hAnsiTheme="minorHAnsi" w:cstheme="minorHAnsi"/>
                <w:sz w:val="20"/>
                <w:szCs w:val="20"/>
              </w:rPr>
              <w:t>Obra de ampliación cambio de interruptores 52JT5, 52JT6 y 52J15 en S/E Charrúa 220 kV</w:t>
            </w:r>
          </w:p>
        </w:tc>
        <w:tc>
          <w:tcPr>
            <w:tcW w:w="1134" w:type="dxa"/>
            <w:vAlign w:val="center"/>
          </w:tcPr>
          <w:p w14:paraId="3708CD58" w14:textId="77777777" w:rsidR="00F4775A" w:rsidRPr="00481AED" w:rsidRDefault="00F4775A" w:rsidP="00C84FEB">
            <w:pPr>
              <w:spacing w:before="20" w:after="20" w:line="240" w:lineRule="auto"/>
              <w:jc w:val="right"/>
              <w:rPr>
                <w:rFonts w:asciiTheme="minorHAnsi" w:hAnsiTheme="minorHAnsi" w:cstheme="minorHAnsi"/>
                <w:sz w:val="20"/>
                <w:szCs w:val="20"/>
              </w:rPr>
            </w:pPr>
            <w:r w:rsidRPr="00481AED">
              <w:rPr>
                <w:rFonts w:asciiTheme="minorHAnsi" w:hAnsiTheme="minorHAnsi" w:cstheme="minorHAnsi"/>
                <w:sz w:val="20"/>
                <w:szCs w:val="20"/>
              </w:rPr>
              <w:t>30.304,61</w:t>
            </w:r>
          </w:p>
        </w:tc>
        <w:tc>
          <w:tcPr>
            <w:tcW w:w="1134" w:type="dxa"/>
            <w:vAlign w:val="center"/>
          </w:tcPr>
          <w:p w14:paraId="67BA698E" w14:textId="77777777" w:rsidR="00F4775A" w:rsidRPr="00481AED" w:rsidRDefault="00F4775A" w:rsidP="00C84FEB">
            <w:pPr>
              <w:spacing w:before="20" w:after="20" w:line="240" w:lineRule="auto"/>
              <w:jc w:val="right"/>
              <w:rPr>
                <w:sz w:val="20"/>
                <w:szCs w:val="20"/>
              </w:rPr>
            </w:pPr>
            <w:r w:rsidRPr="00481AED">
              <w:rPr>
                <w:sz w:val="20"/>
                <w:szCs w:val="20"/>
              </w:rPr>
              <w:t>5.574</w:t>
            </w:r>
          </w:p>
        </w:tc>
      </w:tr>
      <w:tr w:rsidR="00F4775A" w:rsidRPr="00481AED" w14:paraId="28D2744D" w14:textId="77777777" w:rsidTr="00C84FEB">
        <w:trPr>
          <w:jc w:val="center"/>
        </w:trPr>
        <w:tc>
          <w:tcPr>
            <w:tcW w:w="567" w:type="dxa"/>
            <w:vAlign w:val="center"/>
          </w:tcPr>
          <w:p w14:paraId="7297AF3F" w14:textId="77777777" w:rsidR="00F4775A" w:rsidRPr="00481AED" w:rsidRDefault="00F4775A" w:rsidP="00C84FEB">
            <w:pPr>
              <w:spacing w:before="20" w:after="20" w:line="240" w:lineRule="auto"/>
              <w:jc w:val="center"/>
              <w:rPr>
                <w:rFonts w:asciiTheme="minorHAnsi" w:hAnsiTheme="minorHAnsi" w:cstheme="minorHAnsi"/>
                <w:sz w:val="20"/>
                <w:szCs w:val="20"/>
              </w:rPr>
            </w:pPr>
            <w:r w:rsidRPr="00481AED">
              <w:rPr>
                <w:rFonts w:asciiTheme="minorHAnsi" w:hAnsiTheme="minorHAnsi" w:cstheme="minorHAnsi"/>
                <w:color w:val="000000"/>
                <w:sz w:val="20"/>
                <w:szCs w:val="20"/>
              </w:rPr>
              <w:t>30</w:t>
            </w:r>
          </w:p>
        </w:tc>
        <w:tc>
          <w:tcPr>
            <w:tcW w:w="10773" w:type="dxa"/>
            <w:vAlign w:val="center"/>
          </w:tcPr>
          <w:p w14:paraId="402AED50" w14:textId="77777777" w:rsidR="00F4775A" w:rsidRPr="00481AED" w:rsidRDefault="00F4775A" w:rsidP="00C84FEB">
            <w:pPr>
              <w:spacing w:before="20" w:after="20" w:line="240" w:lineRule="auto"/>
              <w:rPr>
                <w:rFonts w:asciiTheme="minorHAnsi" w:hAnsiTheme="minorHAnsi" w:cstheme="minorHAnsi"/>
                <w:sz w:val="20"/>
                <w:szCs w:val="20"/>
              </w:rPr>
            </w:pPr>
            <w:r w:rsidRPr="00481AED">
              <w:rPr>
                <w:rFonts w:asciiTheme="minorHAnsi" w:hAnsiTheme="minorHAnsi" w:cstheme="minorHAnsi"/>
                <w:sz w:val="20"/>
                <w:szCs w:val="20"/>
              </w:rPr>
              <w:t>Obra de ampliación S/E Temuco 220 kV</w:t>
            </w:r>
          </w:p>
        </w:tc>
        <w:tc>
          <w:tcPr>
            <w:tcW w:w="1134" w:type="dxa"/>
            <w:vAlign w:val="center"/>
          </w:tcPr>
          <w:p w14:paraId="49DEDF6B" w14:textId="77777777" w:rsidR="00F4775A" w:rsidRPr="00481AED" w:rsidRDefault="00F4775A" w:rsidP="00C84FEB">
            <w:pPr>
              <w:spacing w:before="20" w:after="20" w:line="240" w:lineRule="auto"/>
              <w:jc w:val="right"/>
              <w:rPr>
                <w:rFonts w:asciiTheme="minorHAnsi" w:hAnsiTheme="minorHAnsi" w:cstheme="minorHAnsi"/>
                <w:sz w:val="20"/>
                <w:szCs w:val="20"/>
              </w:rPr>
            </w:pPr>
            <w:r w:rsidRPr="00481AED">
              <w:rPr>
                <w:rFonts w:asciiTheme="minorHAnsi" w:hAnsiTheme="minorHAnsi" w:cstheme="minorHAnsi"/>
                <w:sz w:val="20"/>
                <w:szCs w:val="20"/>
              </w:rPr>
              <w:t>83.092,59</w:t>
            </w:r>
          </w:p>
        </w:tc>
        <w:tc>
          <w:tcPr>
            <w:tcW w:w="1134" w:type="dxa"/>
            <w:vAlign w:val="center"/>
          </w:tcPr>
          <w:p w14:paraId="062DDF0C" w14:textId="77777777" w:rsidR="00F4775A" w:rsidRPr="00481AED" w:rsidRDefault="00F4775A" w:rsidP="00C84FEB">
            <w:pPr>
              <w:spacing w:before="20" w:after="20" w:line="240" w:lineRule="auto"/>
              <w:jc w:val="right"/>
              <w:rPr>
                <w:sz w:val="20"/>
                <w:szCs w:val="20"/>
              </w:rPr>
            </w:pPr>
            <w:r w:rsidRPr="00481AED">
              <w:rPr>
                <w:sz w:val="20"/>
                <w:szCs w:val="20"/>
              </w:rPr>
              <w:t>15.377</w:t>
            </w:r>
          </w:p>
        </w:tc>
      </w:tr>
      <w:tr w:rsidR="00F4775A" w:rsidRPr="00481AED" w14:paraId="26498959" w14:textId="77777777" w:rsidTr="00C84FEB">
        <w:trPr>
          <w:jc w:val="center"/>
        </w:trPr>
        <w:tc>
          <w:tcPr>
            <w:tcW w:w="567" w:type="dxa"/>
            <w:vAlign w:val="center"/>
          </w:tcPr>
          <w:p w14:paraId="2CC47681" w14:textId="77777777" w:rsidR="00F4775A" w:rsidRPr="00481AED" w:rsidRDefault="00F4775A" w:rsidP="00C84FEB">
            <w:pPr>
              <w:spacing w:before="20" w:after="20" w:line="240" w:lineRule="auto"/>
              <w:jc w:val="center"/>
              <w:rPr>
                <w:rFonts w:asciiTheme="minorHAnsi" w:hAnsiTheme="minorHAnsi" w:cstheme="minorHAnsi"/>
                <w:sz w:val="20"/>
                <w:szCs w:val="20"/>
              </w:rPr>
            </w:pPr>
            <w:r w:rsidRPr="00481AED">
              <w:rPr>
                <w:rFonts w:asciiTheme="minorHAnsi" w:hAnsiTheme="minorHAnsi" w:cstheme="minorHAnsi"/>
                <w:color w:val="000000"/>
                <w:sz w:val="20"/>
                <w:szCs w:val="20"/>
              </w:rPr>
              <w:t>31</w:t>
            </w:r>
          </w:p>
        </w:tc>
        <w:tc>
          <w:tcPr>
            <w:tcW w:w="10773" w:type="dxa"/>
            <w:vAlign w:val="center"/>
          </w:tcPr>
          <w:p w14:paraId="0803061D" w14:textId="77777777" w:rsidR="00F4775A" w:rsidRPr="00481AED" w:rsidRDefault="00F4775A" w:rsidP="00C84FEB">
            <w:pPr>
              <w:spacing w:before="20" w:after="20" w:line="240" w:lineRule="auto"/>
              <w:rPr>
                <w:rFonts w:asciiTheme="minorHAnsi" w:hAnsiTheme="minorHAnsi" w:cstheme="minorHAnsi"/>
                <w:sz w:val="20"/>
                <w:szCs w:val="20"/>
              </w:rPr>
            </w:pPr>
            <w:r w:rsidRPr="00481AED">
              <w:rPr>
                <w:rFonts w:asciiTheme="minorHAnsi" w:hAnsiTheme="minorHAnsi" w:cstheme="minorHAnsi"/>
                <w:sz w:val="20"/>
                <w:szCs w:val="20"/>
              </w:rPr>
              <w:t>Normalización en S/E Alto Jahuel 220 kV</w:t>
            </w:r>
          </w:p>
        </w:tc>
        <w:tc>
          <w:tcPr>
            <w:tcW w:w="1134" w:type="dxa"/>
            <w:vAlign w:val="center"/>
          </w:tcPr>
          <w:p w14:paraId="770E3271" w14:textId="77777777" w:rsidR="00F4775A" w:rsidRPr="00481AED" w:rsidRDefault="00F4775A" w:rsidP="00C84FEB">
            <w:pPr>
              <w:spacing w:before="20" w:after="20" w:line="240" w:lineRule="auto"/>
              <w:jc w:val="right"/>
              <w:rPr>
                <w:rFonts w:asciiTheme="minorHAnsi" w:hAnsiTheme="minorHAnsi" w:cstheme="minorHAnsi"/>
                <w:sz w:val="20"/>
                <w:szCs w:val="20"/>
              </w:rPr>
            </w:pPr>
            <w:r w:rsidRPr="00481AED">
              <w:rPr>
                <w:rFonts w:asciiTheme="minorHAnsi" w:hAnsiTheme="minorHAnsi" w:cstheme="minorHAnsi"/>
                <w:sz w:val="20"/>
                <w:szCs w:val="20"/>
              </w:rPr>
              <w:t>17.820,27</w:t>
            </w:r>
          </w:p>
        </w:tc>
        <w:tc>
          <w:tcPr>
            <w:tcW w:w="1134" w:type="dxa"/>
            <w:vAlign w:val="center"/>
          </w:tcPr>
          <w:p w14:paraId="76B203D2" w14:textId="77777777" w:rsidR="00F4775A" w:rsidRPr="00481AED" w:rsidRDefault="00F4775A" w:rsidP="00C84FEB">
            <w:pPr>
              <w:spacing w:before="20" w:after="20" w:line="240" w:lineRule="auto"/>
              <w:jc w:val="right"/>
              <w:rPr>
                <w:sz w:val="20"/>
                <w:szCs w:val="20"/>
              </w:rPr>
            </w:pPr>
            <w:r w:rsidRPr="00481AED">
              <w:rPr>
                <w:sz w:val="20"/>
                <w:szCs w:val="20"/>
              </w:rPr>
              <w:t>3.270</w:t>
            </w:r>
          </w:p>
        </w:tc>
      </w:tr>
      <w:tr w:rsidR="00F4775A" w:rsidRPr="00481AED" w14:paraId="3059BDB2" w14:textId="77777777" w:rsidTr="00C84FEB">
        <w:trPr>
          <w:jc w:val="center"/>
        </w:trPr>
        <w:tc>
          <w:tcPr>
            <w:tcW w:w="567" w:type="dxa"/>
            <w:vAlign w:val="center"/>
          </w:tcPr>
          <w:p w14:paraId="6E26F11F" w14:textId="77777777" w:rsidR="00F4775A" w:rsidRPr="00481AED" w:rsidRDefault="00F4775A" w:rsidP="00C84FEB">
            <w:pPr>
              <w:spacing w:before="20" w:after="20" w:line="240" w:lineRule="auto"/>
              <w:jc w:val="center"/>
              <w:rPr>
                <w:rFonts w:asciiTheme="minorHAnsi" w:hAnsiTheme="minorHAnsi" w:cstheme="minorHAnsi"/>
                <w:sz w:val="20"/>
                <w:szCs w:val="20"/>
              </w:rPr>
            </w:pPr>
            <w:r w:rsidRPr="00481AED">
              <w:rPr>
                <w:rFonts w:asciiTheme="minorHAnsi" w:hAnsiTheme="minorHAnsi" w:cstheme="minorHAnsi"/>
                <w:color w:val="000000"/>
                <w:sz w:val="20"/>
                <w:szCs w:val="20"/>
              </w:rPr>
              <w:t>32</w:t>
            </w:r>
          </w:p>
        </w:tc>
        <w:tc>
          <w:tcPr>
            <w:tcW w:w="10773" w:type="dxa"/>
            <w:vAlign w:val="center"/>
          </w:tcPr>
          <w:p w14:paraId="66FD31A3" w14:textId="77777777" w:rsidR="00F4775A" w:rsidRPr="00481AED" w:rsidRDefault="00F4775A" w:rsidP="00C84FEB">
            <w:pPr>
              <w:spacing w:before="20" w:after="20" w:line="240" w:lineRule="auto"/>
              <w:rPr>
                <w:rFonts w:asciiTheme="minorHAnsi" w:hAnsiTheme="minorHAnsi" w:cstheme="minorHAnsi"/>
                <w:sz w:val="20"/>
                <w:szCs w:val="20"/>
              </w:rPr>
            </w:pPr>
            <w:r w:rsidRPr="00481AED">
              <w:rPr>
                <w:rFonts w:asciiTheme="minorHAnsi" w:hAnsiTheme="minorHAnsi" w:cstheme="minorHAnsi"/>
                <w:sz w:val="20"/>
                <w:szCs w:val="20"/>
              </w:rPr>
              <w:t>Aumento de capacidad de la línea 1x220 kV Cardones - Carrera Pinto - Diego de Almagro</w:t>
            </w:r>
          </w:p>
        </w:tc>
        <w:tc>
          <w:tcPr>
            <w:tcW w:w="1134" w:type="dxa"/>
            <w:vAlign w:val="center"/>
          </w:tcPr>
          <w:p w14:paraId="1A663254" w14:textId="77777777" w:rsidR="00F4775A" w:rsidRPr="00481AED" w:rsidRDefault="00F4775A" w:rsidP="00C84FEB">
            <w:pPr>
              <w:spacing w:before="20" w:after="20" w:line="240" w:lineRule="auto"/>
              <w:jc w:val="right"/>
              <w:rPr>
                <w:rFonts w:asciiTheme="minorHAnsi" w:hAnsiTheme="minorHAnsi" w:cstheme="minorHAnsi"/>
                <w:sz w:val="20"/>
                <w:szCs w:val="20"/>
              </w:rPr>
            </w:pPr>
            <w:r w:rsidRPr="00481AED">
              <w:rPr>
                <w:rFonts w:asciiTheme="minorHAnsi" w:hAnsiTheme="minorHAnsi" w:cstheme="minorHAnsi"/>
                <w:sz w:val="20"/>
                <w:szCs w:val="20"/>
              </w:rPr>
              <w:t>2.765.468,79</w:t>
            </w:r>
          </w:p>
        </w:tc>
        <w:tc>
          <w:tcPr>
            <w:tcW w:w="1134" w:type="dxa"/>
            <w:vAlign w:val="center"/>
          </w:tcPr>
          <w:p w14:paraId="5DA57A82" w14:textId="77777777" w:rsidR="00F4775A" w:rsidRPr="00481AED" w:rsidRDefault="00F4775A" w:rsidP="00C84FEB">
            <w:pPr>
              <w:spacing w:before="20" w:after="20" w:line="240" w:lineRule="auto"/>
              <w:jc w:val="right"/>
              <w:rPr>
                <w:sz w:val="20"/>
                <w:szCs w:val="20"/>
              </w:rPr>
            </w:pPr>
            <w:r w:rsidRPr="00481AED">
              <w:rPr>
                <w:sz w:val="20"/>
                <w:szCs w:val="20"/>
              </w:rPr>
              <w:t>508.913</w:t>
            </w:r>
          </w:p>
        </w:tc>
      </w:tr>
      <w:tr w:rsidR="00F4775A" w:rsidRPr="00481AED" w14:paraId="2C837361" w14:textId="77777777" w:rsidTr="00C84FEB">
        <w:trPr>
          <w:jc w:val="center"/>
        </w:trPr>
        <w:tc>
          <w:tcPr>
            <w:tcW w:w="567" w:type="dxa"/>
            <w:vAlign w:val="center"/>
          </w:tcPr>
          <w:p w14:paraId="7DCF21CA" w14:textId="77777777" w:rsidR="00F4775A" w:rsidRPr="00481AED" w:rsidRDefault="00F4775A" w:rsidP="00C84FEB">
            <w:pPr>
              <w:spacing w:before="20" w:after="20" w:line="240" w:lineRule="auto"/>
              <w:jc w:val="center"/>
              <w:rPr>
                <w:rFonts w:asciiTheme="minorHAnsi" w:hAnsiTheme="minorHAnsi" w:cstheme="minorHAnsi"/>
                <w:sz w:val="20"/>
                <w:szCs w:val="20"/>
              </w:rPr>
            </w:pPr>
            <w:r w:rsidRPr="00481AED">
              <w:rPr>
                <w:rFonts w:asciiTheme="minorHAnsi" w:hAnsiTheme="minorHAnsi" w:cstheme="minorHAnsi"/>
                <w:color w:val="000000"/>
                <w:sz w:val="20"/>
                <w:szCs w:val="20"/>
              </w:rPr>
              <w:t>33</w:t>
            </w:r>
          </w:p>
        </w:tc>
        <w:tc>
          <w:tcPr>
            <w:tcW w:w="10773" w:type="dxa"/>
            <w:vAlign w:val="center"/>
          </w:tcPr>
          <w:p w14:paraId="0E503135" w14:textId="77777777" w:rsidR="00F4775A" w:rsidRPr="00481AED" w:rsidRDefault="00F4775A" w:rsidP="00C84FEB">
            <w:pPr>
              <w:spacing w:before="20" w:after="20" w:line="240" w:lineRule="auto"/>
              <w:rPr>
                <w:rFonts w:asciiTheme="minorHAnsi" w:hAnsiTheme="minorHAnsi" w:cstheme="minorHAnsi"/>
                <w:sz w:val="20"/>
                <w:szCs w:val="20"/>
              </w:rPr>
            </w:pPr>
            <w:r w:rsidRPr="00481AED">
              <w:rPr>
                <w:rFonts w:asciiTheme="minorHAnsi" w:hAnsiTheme="minorHAnsi" w:cstheme="minorHAnsi"/>
                <w:sz w:val="20"/>
                <w:szCs w:val="20"/>
              </w:rPr>
              <w:t>Obra nueva Línea Ancoa –A. Jahuel 2x500 kV (2do cto) (*)</w:t>
            </w:r>
          </w:p>
        </w:tc>
        <w:tc>
          <w:tcPr>
            <w:tcW w:w="1134" w:type="dxa"/>
            <w:vAlign w:val="center"/>
          </w:tcPr>
          <w:p w14:paraId="357C643E" w14:textId="77777777" w:rsidR="00F4775A" w:rsidRPr="00481AED" w:rsidRDefault="00F4775A" w:rsidP="00C84FEB">
            <w:pPr>
              <w:spacing w:before="20" w:after="20" w:line="240" w:lineRule="auto"/>
              <w:jc w:val="right"/>
              <w:rPr>
                <w:rFonts w:asciiTheme="minorHAnsi" w:hAnsiTheme="minorHAnsi" w:cstheme="minorHAnsi"/>
                <w:sz w:val="20"/>
                <w:szCs w:val="20"/>
              </w:rPr>
            </w:pPr>
            <w:r w:rsidRPr="00481AED">
              <w:rPr>
                <w:rFonts w:asciiTheme="minorHAnsi" w:hAnsiTheme="minorHAnsi" w:cstheme="minorHAnsi"/>
                <w:sz w:val="20"/>
                <w:szCs w:val="20"/>
              </w:rPr>
              <w:t>-</w:t>
            </w:r>
          </w:p>
        </w:tc>
        <w:tc>
          <w:tcPr>
            <w:tcW w:w="1134" w:type="dxa"/>
            <w:vAlign w:val="center"/>
          </w:tcPr>
          <w:p w14:paraId="001E7BE3" w14:textId="77777777" w:rsidR="00F4775A" w:rsidRPr="00481AED" w:rsidRDefault="00F4775A" w:rsidP="00C84FEB">
            <w:pPr>
              <w:spacing w:before="20" w:after="20" w:line="240" w:lineRule="auto"/>
              <w:jc w:val="right"/>
              <w:rPr>
                <w:sz w:val="20"/>
                <w:szCs w:val="20"/>
              </w:rPr>
            </w:pPr>
            <w:r w:rsidRPr="00481AED">
              <w:rPr>
                <w:sz w:val="20"/>
                <w:szCs w:val="20"/>
              </w:rPr>
              <w:t>-</w:t>
            </w:r>
          </w:p>
        </w:tc>
      </w:tr>
      <w:tr w:rsidR="00F4775A" w:rsidRPr="00481AED" w14:paraId="26F4C785" w14:textId="77777777" w:rsidTr="00C84FEB">
        <w:trPr>
          <w:jc w:val="center"/>
        </w:trPr>
        <w:tc>
          <w:tcPr>
            <w:tcW w:w="567" w:type="dxa"/>
            <w:vAlign w:val="center"/>
          </w:tcPr>
          <w:p w14:paraId="49EE27C1" w14:textId="77777777" w:rsidR="00F4775A" w:rsidRPr="00481AED" w:rsidRDefault="00F4775A" w:rsidP="00C84FEB">
            <w:pPr>
              <w:spacing w:before="20" w:after="20" w:line="240" w:lineRule="auto"/>
              <w:jc w:val="center"/>
              <w:rPr>
                <w:rFonts w:asciiTheme="minorHAnsi" w:hAnsiTheme="minorHAnsi" w:cstheme="minorHAnsi"/>
                <w:sz w:val="20"/>
                <w:szCs w:val="20"/>
              </w:rPr>
            </w:pPr>
            <w:r w:rsidRPr="00481AED">
              <w:rPr>
                <w:rFonts w:asciiTheme="minorHAnsi" w:hAnsiTheme="minorHAnsi" w:cstheme="minorHAnsi"/>
                <w:color w:val="000000"/>
                <w:sz w:val="20"/>
                <w:szCs w:val="20"/>
              </w:rPr>
              <w:t>34</w:t>
            </w:r>
          </w:p>
        </w:tc>
        <w:tc>
          <w:tcPr>
            <w:tcW w:w="10773" w:type="dxa"/>
            <w:vAlign w:val="center"/>
          </w:tcPr>
          <w:p w14:paraId="50780555" w14:textId="77777777" w:rsidR="00F4775A" w:rsidRPr="00481AED" w:rsidRDefault="00F4775A" w:rsidP="00C84FEB">
            <w:pPr>
              <w:spacing w:before="20" w:after="20" w:line="240" w:lineRule="auto"/>
              <w:rPr>
                <w:rFonts w:asciiTheme="minorHAnsi" w:hAnsiTheme="minorHAnsi" w:cstheme="minorHAnsi"/>
                <w:sz w:val="20"/>
                <w:szCs w:val="20"/>
              </w:rPr>
            </w:pPr>
            <w:r w:rsidRPr="00481AED">
              <w:rPr>
                <w:rFonts w:asciiTheme="minorHAnsi" w:hAnsiTheme="minorHAnsi" w:cstheme="minorHAnsi"/>
                <w:sz w:val="20"/>
                <w:szCs w:val="20"/>
              </w:rPr>
              <w:t>Línea Punta Cortés Tuniche 2x220kV</w:t>
            </w:r>
          </w:p>
        </w:tc>
        <w:tc>
          <w:tcPr>
            <w:tcW w:w="1134" w:type="dxa"/>
            <w:vAlign w:val="center"/>
          </w:tcPr>
          <w:p w14:paraId="27716F23" w14:textId="77777777" w:rsidR="00F4775A" w:rsidRPr="00481AED" w:rsidRDefault="00F4775A" w:rsidP="00C84FEB">
            <w:pPr>
              <w:spacing w:before="20" w:after="20" w:line="240" w:lineRule="auto"/>
              <w:jc w:val="right"/>
              <w:rPr>
                <w:rFonts w:asciiTheme="minorHAnsi" w:hAnsiTheme="minorHAnsi" w:cstheme="minorHAnsi"/>
                <w:sz w:val="20"/>
                <w:szCs w:val="20"/>
              </w:rPr>
            </w:pPr>
            <w:r w:rsidRPr="00481AED">
              <w:rPr>
                <w:rFonts w:asciiTheme="minorHAnsi" w:hAnsiTheme="minorHAnsi" w:cstheme="minorHAnsi"/>
                <w:sz w:val="20"/>
                <w:szCs w:val="20"/>
              </w:rPr>
              <w:t>23.416,41</w:t>
            </w:r>
          </w:p>
        </w:tc>
        <w:tc>
          <w:tcPr>
            <w:tcW w:w="1134" w:type="dxa"/>
            <w:vAlign w:val="center"/>
          </w:tcPr>
          <w:p w14:paraId="45C162B6" w14:textId="77777777" w:rsidR="00F4775A" w:rsidRPr="00481AED" w:rsidRDefault="00F4775A" w:rsidP="00C84FEB">
            <w:pPr>
              <w:spacing w:before="20" w:after="20" w:line="240" w:lineRule="auto"/>
              <w:jc w:val="right"/>
              <w:rPr>
                <w:sz w:val="20"/>
                <w:szCs w:val="20"/>
              </w:rPr>
            </w:pPr>
            <w:r w:rsidRPr="00481AED">
              <w:rPr>
                <w:sz w:val="20"/>
                <w:szCs w:val="20"/>
              </w:rPr>
              <w:t>4.300</w:t>
            </w:r>
          </w:p>
        </w:tc>
      </w:tr>
    </w:tbl>
    <w:p w14:paraId="17970645" w14:textId="77777777" w:rsidR="00F4775A" w:rsidRDefault="00F4775A" w:rsidP="00F4775A">
      <w:pPr>
        <w:pStyle w:val="Prrafodelista1"/>
        <w:ind w:left="0"/>
      </w:pPr>
    </w:p>
    <w:p w14:paraId="1C52A22A" w14:textId="77777777" w:rsidR="00A35E38" w:rsidRDefault="00A35E38" w:rsidP="00A35E38">
      <w:pPr>
        <w:pStyle w:val="Prrafodelista1"/>
        <w:ind w:left="0"/>
        <w:rPr>
          <w:sz w:val="20"/>
          <w:szCs w:val="20"/>
        </w:rPr>
      </w:pPr>
      <w:r w:rsidRPr="00F64FD2">
        <w:rPr>
          <w:sz w:val="20"/>
          <w:szCs w:val="20"/>
        </w:rPr>
        <w:t xml:space="preserve">(*) AJTE, propietario de la obra de ampliación “Obra nueva Línea Ancoa - A. Jahuel 2x500 kV (2do cto)”, informó las características de las labores de ampliación efectuadas, pero no </w:t>
      </w:r>
      <w:r>
        <w:rPr>
          <w:sz w:val="20"/>
          <w:szCs w:val="20"/>
        </w:rPr>
        <w:t>presentó</w:t>
      </w:r>
      <w:r w:rsidRPr="00F64FD2">
        <w:rPr>
          <w:sz w:val="20"/>
          <w:szCs w:val="20"/>
        </w:rPr>
        <w:t xml:space="preserve"> un desglose de los costos </w:t>
      </w:r>
      <w:r>
        <w:rPr>
          <w:sz w:val="20"/>
          <w:szCs w:val="20"/>
        </w:rPr>
        <w:t>respectivos</w:t>
      </w:r>
      <w:r w:rsidRPr="00F64FD2">
        <w:rPr>
          <w:sz w:val="20"/>
          <w:szCs w:val="20"/>
        </w:rPr>
        <w:t>. El Consultor determinará el V.I. y el A.V.I. correspondiente en el Informe Final Preliminar, y una vez remitidos los antecedentes respectivos.</w:t>
      </w:r>
    </w:p>
    <w:p w14:paraId="17D84D73" w14:textId="77777777" w:rsidR="00F4775A" w:rsidRDefault="00F4775A" w:rsidP="00F4775A">
      <w:pPr>
        <w:pStyle w:val="Prrafodelista1"/>
        <w:ind w:left="0"/>
      </w:pPr>
    </w:p>
    <w:p w14:paraId="601FFA16" w14:textId="77777777" w:rsidR="00F4775A" w:rsidRDefault="00F4775A" w:rsidP="00F4775A">
      <w:pPr>
        <w:pStyle w:val="Prrafodelista1"/>
        <w:ind w:left="0"/>
      </w:pPr>
    </w:p>
    <w:p w14:paraId="6CA69FDA" w14:textId="77777777" w:rsidR="0053093A" w:rsidRDefault="0053093A">
      <w:pPr>
        <w:spacing w:after="0" w:line="240" w:lineRule="auto"/>
        <w:jc w:val="left"/>
        <w:rPr>
          <w:b/>
          <w:iCs/>
          <w:sz w:val="22"/>
          <w:szCs w:val="20"/>
        </w:rPr>
      </w:pPr>
      <w:r>
        <w:br w:type="page"/>
      </w:r>
    </w:p>
    <w:p w14:paraId="00B9D1ED" w14:textId="1A027DF3" w:rsidR="00A35E38" w:rsidRPr="002F3394" w:rsidRDefault="00A35E38" w:rsidP="00A35E38">
      <w:pPr>
        <w:pStyle w:val="Subttulo"/>
      </w:pPr>
      <w:bookmarkStart w:id="509" w:name="_Toc39797967"/>
      <w:r w:rsidRPr="002F3394">
        <w:lastRenderedPageBreak/>
        <w:t xml:space="preserve">Tabla </w:t>
      </w:r>
      <w:fldSimple w:instr=" SEQ Tabla \* ARABIC ">
        <w:r w:rsidR="001F3E2E">
          <w:rPr>
            <w:noProof/>
          </w:rPr>
          <w:t>57</w:t>
        </w:r>
      </w:fldSimple>
      <w:r w:rsidRPr="002F3394">
        <w:t xml:space="preserve">: </w:t>
      </w:r>
      <w:r>
        <w:t>V.I. A.V.I. Labores de Ampliación a recuperar</w:t>
      </w:r>
      <w:bookmarkEnd w:id="509"/>
    </w:p>
    <w:tbl>
      <w:tblPr>
        <w:tblStyle w:val="Tablaconcuadrcula"/>
        <w:tblW w:w="0" w:type="auto"/>
        <w:jc w:val="center"/>
        <w:tblLayout w:type="fixed"/>
        <w:tblCellMar>
          <w:left w:w="57" w:type="dxa"/>
          <w:right w:w="57" w:type="dxa"/>
        </w:tblCellMar>
        <w:tblLook w:val="04A0" w:firstRow="1" w:lastRow="0" w:firstColumn="1" w:lastColumn="0" w:noHBand="0" w:noVBand="1"/>
      </w:tblPr>
      <w:tblGrid>
        <w:gridCol w:w="567"/>
        <w:gridCol w:w="11340"/>
        <w:gridCol w:w="1701"/>
      </w:tblGrid>
      <w:tr w:rsidR="00F4775A" w:rsidRPr="00A35E38" w14:paraId="012004E1" w14:textId="77777777" w:rsidTr="0053093A">
        <w:trPr>
          <w:tblHeader/>
          <w:jc w:val="center"/>
        </w:trPr>
        <w:tc>
          <w:tcPr>
            <w:tcW w:w="567" w:type="dxa"/>
            <w:shd w:val="solid" w:color="BFBFBF" w:themeColor="background1" w:themeShade="BF" w:fill="auto"/>
            <w:vAlign w:val="center"/>
          </w:tcPr>
          <w:p w14:paraId="64EC794E" w14:textId="77777777" w:rsidR="00F4775A" w:rsidRPr="00A35E38" w:rsidRDefault="00F4775A" w:rsidP="0053093A">
            <w:pPr>
              <w:spacing w:before="20" w:after="20" w:line="240" w:lineRule="auto"/>
              <w:jc w:val="center"/>
              <w:rPr>
                <w:rFonts w:asciiTheme="majorHAnsi" w:hAnsiTheme="majorHAnsi" w:cstheme="minorHAnsi"/>
                <w:b/>
                <w:bCs/>
                <w:sz w:val="20"/>
                <w:szCs w:val="20"/>
              </w:rPr>
            </w:pPr>
            <w:r w:rsidRPr="00A35E38">
              <w:rPr>
                <w:rFonts w:asciiTheme="majorHAnsi" w:hAnsiTheme="majorHAnsi" w:cstheme="minorHAnsi"/>
                <w:b/>
                <w:bCs/>
                <w:sz w:val="20"/>
                <w:szCs w:val="20"/>
              </w:rPr>
              <w:t>N°</w:t>
            </w:r>
          </w:p>
        </w:tc>
        <w:tc>
          <w:tcPr>
            <w:tcW w:w="11340" w:type="dxa"/>
            <w:shd w:val="solid" w:color="BFBFBF" w:themeColor="background1" w:themeShade="BF" w:fill="auto"/>
            <w:vAlign w:val="center"/>
          </w:tcPr>
          <w:p w14:paraId="5EF68F5C" w14:textId="77777777" w:rsidR="00F4775A" w:rsidRPr="00A35E38" w:rsidRDefault="00F4775A" w:rsidP="0053093A">
            <w:pPr>
              <w:spacing w:before="20" w:after="20" w:line="240" w:lineRule="auto"/>
              <w:jc w:val="center"/>
              <w:rPr>
                <w:rFonts w:asciiTheme="majorHAnsi" w:hAnsiTheme="majorHAnsi" w:cstheme="minorHAnsi"/>
                <w:b/>
                <w:bCs/>
                <w:sz w:val="20"/>
                <w:szCs w:val="20"/>
              </w:rPr>
            </w:pPr>
            <w:r w:rsidRPr="00A35E38">
              <w:rPr>
                <w:rFonts w:asciiTheme="majorHAnsi" w:hAnsiTheme="majorHAnsi" w:cstheme="minorHAnsi"/>
                <w:b/>
                <w:bCs/>
                <w:sz w:val="20"/>
                <w:szCs w:val="20"/>
              </w:rPr>
              <w:t>Obra de Ampliación</w:t>
            </w:r>
          </w:p>
        </w:tc>
        <w:tc>
          <w:tcPr>
            <w:tcW w:w="1701" w:type="dxa"/>
            <w:shd w:val="solid" w:color="BFBFBF" w:themeColor="background1" w:themeShade="BF" w:fill="auto"/>
            <w:vAlign w:val="center"/>
          </w:tcPr>
          <w:p w14:paraId="010BAE1B" w14:textId="77777777" w:rsidR="00A35E38" w:rsidRDefault="00F4775A" w:rsidP="0053093A">
            <w:pPr>
              <w:spacing w:before="20" w:after="20" w:line="240" w:lineRule="auto"/>
              <w:jc w:val="center"/>
              <w:rPr>
                <w:rFonts w:asciiTheme="majorHAnsi" w:hAnsiTheme="majorHAnsi" w:cstheme="minorHAnsi"/>
                <w:b/>
                <w:bCs/>
                <w:sz w:val="20"/>
                <w:szCs w:val="20"/>
              </w:rPr>
            </w:pPr>
            <w:r w:rsidRPr="00A35E38">
              <w:rPr>
                <w:rFonts w:asciiTheme="majorHAnsi" w:hAnsiTheme="majorHAnsi" w:cstheme="minorHAnsi"/>
                <w:b/>
                <w:bCs/>
                <w:sz w:val="20"/>
                <w:szCs w:val="20"/>
              </w:rPr>
              <w:t>A.V.I. con ajuste</w:t>
            </w:r>
          </w:p>
          <w:p w14:paraId="40D33188" w14:textId="77457C84" w:rsidR="00F4775A" w:rsidRPr="00A35E38" w:rsidRDefault="00204436" w:rsidP="0053093A">
            <w:pPr>
              <w:spacing w:before="20" w:after="20" w:line="240" w:lineRule="auto"/>
              <w:jc w:val="center"/>
              <w:rPr>
                <w:rFonts w:asciiTheme="majorHAnsi" w:hAnsiTheme="majorHAnsi" w:cstheme="minorHAnsi"/>
                <w:b/>
                <w:bCs/>
                <w:sz w:val="20"/>
                <w:szCs w:val="20"/>
              </w:rPr>
            </w:pPr>
            <w:r w:rsidRPr="00A35E38">
              <w:rPr>
                <w:rFonts w:asciiTheme="majorHAnsi" w:hAnsiTheme="majorHAnsi" w:cstheme="minorHAnsi"/>
                <w:b/>
                <w:bCs/>
                <w:sz w:val="20"/>
                <w:szCs w:val="20"/>
              </w:rPr>
              <w:t>USD</w:t>
            </w:r>
            <w:r w:rsidR="00F4775A" w:rsidRPr="00A35E38">
              <w:rPr>
                <w:rFonts w:asciiTheme="majorHAnsi" w:hAnsiTheme="majorHAnsi" w:cstheme="minorHAnsi"/>
                <w:b/>
                <w:bCs/>
                <w:sz w:val="20"/>
                <w:szCs w:val="20"/>
              </w:rPr>
              <w:t xml:space="preserve"> dic 2017</w:t>
            </w:r>
          </w:p>
        </w:tc>
      </w:tr>
      <w:tr w:rsidR="00F4775A" w:rsidRPr="00A35E38" w14:paraId="559E53BD" w14:textId="77777777" w:rsidTr="0053093A">
        <w:trPr>
          <w:jc w:val="center"/>
        </w:trPr>
        <w:tc>
          <w:tcPr>
            <w:tcW w:w="567" w:type="dxa"/>
            <w:vAlign w:val="center"/>
          </w:tcPr>
          <w:p w14:paraId="4467D061" w14:textId="77777777" w:rsidR="00F4775A" w:rsidRPr="00A35E38" w:rsidRDefault="00F4775A" w:rsidP="0053093A">
            <w:pPr>
              <w:spacing w:before="20" w:after="20" w:line="240" w:lineRule="auto"/>
              <w:jc w:val="center"/>
              <w:rPr>
                <w:rFonts w:asciiTheme="minorHAnsi" w:hAnsiTheme="minorHAnsi" w:cstheme="minorHAnsi"/>
                <w:sz w:val="20"/>
                <w:szCs w:val="20"/>
              </w:rPr>
            </w:pPr>
            <w:r w:rsidRPr="00A35E38">
              <w:rPr>
                <w:rFonts w:asciiTheme="minorHAnsi" w:hAnsiTheme="minorHAnsi" w:cstheme="minorHAnsi"/>
                <w:color w:val="000000"/>
                <w:sz w:val="20"/>
                <w:szCs w:val="20"/>
              </w:rPr>
              <w:t>1</w:t>
            </w:r>
          </w:p>
        </w:tc>
        <w:tc>
          <w:tcPr>
            <w:tcW w:w="11340" w:type="dxa"/>
            <w:vAlign w:val="center"/>
          </w:tcPr>
          <w:p w14:paraId="5DB1EC42" w14:textId="77777777" w:rsidR="00F4775A" w:rsidRPr="00A35E38" w:rsidRDefault="00F4775A" w:rsidP="0053093A">
            <w:pPr>
              <w:spacing w:before="20" w:after="20" w:line="240" w:lineRule="auto"/>
              <w:rPr>
                <w:rFonts w:asciiTheme="minorHAnsi" w:hAnsiTheme="minorHAnsi" w:cstheme="minorHAnsi"/>
                <w:sz w:val="20"/>
                <w:szCs w:val="20"/>
              </w:rPr>
            </w:pPr>
            <w:r w:rsidRPr="00A35E38">
              <w:rPr>
                <w:rFonts w:asciiTheme="minorHAnsi" w:hAnsiTheme="minorHAnsi" w:cstheme="minorHAnsi"/>
                <w:sz w:val="20"/>
                <w:szCs w:val="20"/>
              </w:rPr>
              <w:t>Obra de ampliación Tendido Segundo Circuito Línea 2x220 kV Encuentro – Lagunas</w:t>
            </w:r>
          </w:p>
        </w:tc>
        <w:tc>
          <w:tcPr>
            <w:tcW w:w="1701" w:type="dxa"/>
            <w:vAlign w:val="center"/>
          </w:tcPr>
          <w:p w14:paraId="0DC18F2C" w14:textId="77777777" w:rsidR="00F4775A" w:rsidRPr="00A35E38" w:rsidRDefault="00F4775A" w:rsidP="0053093A">
            <w:pPr>
              <w:spacing w:before="20" w:after="20" w:line="240" w:lineRule="auto"/>
              <w:jc w:val="right"/>
              <w:rPr>
                <w:rFonts w:asciiTheme="minorHAnsi" w:hAnsiTheme="minorHAnsi"/>
                <w:sz w:val="20"/>
                <w:szCs w:val="20"/>
              </w:rPr>
            </w:pPr>
            <w:r w:rsidRPr="00A35E38">
              <w:rPr>
                <w:rFonts w:asciiTheme="minorHAnsi" w:hAnsiTheme="minorHAnsi"/>
                <w:sz w:val="20"/>
                <w:szCs w:val="20"/>
              </w:rPr>
              <w:t>-</w:t>
            </w:r>
          </w:p>
        </w:tc>
      </w:tr>
      <w:tr w:rsidR="00F4775A" w:rsidRPr="00A35E38" w14:paraId="25D5B3D5" w14:textId="77777777" w:rsidTr="0053093A">
        <w:trPr>
          <w:jc w:val="center"/>
        </w:trPr>
        <w:tc>
          <w:tcPr>
            <w:tcW w:w="567" w:type="dxa"/>
            <w:vAlign w:val="center"/>
          </w:tcPr>
          <w:p w14:paraId="35FF61D0" w14:textId="77777777" w:rsidR="00F4775A" w:rsidRPr="00A35E38" w:rsidRDefault="00F4775A" w:rsidP="0053093A">
            <w:pPr>
              <w:spacing w:before="20" w:after="20" w:line="240" w:lineRule="auto"/>
              <w:jc w:val="center"/>
              <w:rPr>
                <w:rFonts w:asciiTheme="minorHAnsi" w:hAnsiTheme="minorHAnsi" w:cstheme="minorHAnsi"/>
                <w:sz w:val="20"/>
                <w:szCs w:val="20"/>
              </w:rPr>
            </w:pPr>
            <w:r w:rsidRPr="00A35E38">
              <w:rPr>
                <w:rFonts w:asciiTheme="minorHAnsi" w:hAnsiTheme="minorHAnsi" w:cstheme="minorHAnsi"/>
                <w:color w:val="000000"/>
                <w:sz w:val="20"/>
                <w:szCs w:val="20"/>
              </w:rPr>
              <w:t>2</w:t>
            </w:r>
          </w:p>
        </w:tc>
        <w:tc>
          <w:tcPr>
            <w:tcW w:w="11340" w:type="dxa"/>
            <w:vAlign w:val="center"/>
          </w:tcPr>
          <w:p w14:paraId="21582E79" w14:textId="77777777" w:rsidR="00F4775A" w:rsidRPr="00A35E38" w:rsidRDefault="00F4775A" w:rsidP="0053093A">
            <w:pPr>
              <w:spacing w:before="20" w:after="20" w:line="240" w:lineRule="auto"/>
              <w:rPr>
                <w:rFonts w:asciiTheme="minorHAnsi" w:hAnsiTheme="minorHAnsi" w:cstheme="minorHAnsi"/>
                <w:sz w:val="20"/>
                <w:szCs w:val="20"/>
              </w:rPr>
            </w:pPr>
            <w:r w:rsidRPr="00A35E38">
              <w:rPr>
                <w:rFonts w:asciiTheme="minorHAnsi" w:hAnsiTheme="minorHAnsi" w:cstheme="minorHAnsi"/>
                <w:sz w:val="20"/>
                <w:szCs w:val="20"/>
              </w:rPr>
              <w:t>Obra de tendido segundo circuito línea 2x220 kV Cardones – Diego de Almagro, con secc. En S/E Carrera Pinto</w:t>
            </w:r>
          </w:p>
        </w:tc>
        <w:tc>
          <w:tcPr>
            <w:tcW w:w="1701" w:type="dxa"/>
            <w:vAlign w:val="center"/>
          </w:tcPr>
          <w:p w14:paraId="4EFB9D7D" w14:textId="77777777" w:rsidR="00F4775A" w:rsidRPr="00A35E38" w:rsidRDefault="00F4775A" w:rsidP="0053093A">
            <w:pPr>
              <w:spacing w:before="20" w:after="20" w:line="240" w:lineRule="auto"/>
              <w:jc w:val="right"/>
              <w:rPr>
                <w:rFonts w:asciiTheme="minorHAnsi" w:hAnsiTheme="minorHAnsi"/>
                <w:sz w:val="20"/>
                <w:szCs w:val="20"/>
              </w:rPr>
            </w:pPr>
            <w:r w:rsidRPr="00A35E38">
              <w:rPr>
                <w:rFonts w:asciiTheme="minorHAnsi" w:hAnsiTheme="minorHAnsi"/>
                <w:sz w:val="20"/>
                <w:szCs w:val="20"/>
              </w:rPr>
              <w:t>-</w:t>
            </w:r>
          </w:p>
        </w:tc>
      </w:tr>
      <w:tr w:rsidR="00F4775A" w:rsidRPr="00A35E38" w14:paraId="53588B38" w14:textId="77777777" w:rsidTr="0053093A">
        <w:trPr>
          <w:jc w:val="center"/>
        </w:trPr>
        <w:tc>
          <w:tcPr>
            <w:tcW w:w="567" w:type="dxa"/>
            <w:vAlign w:val="center"/>
          </w:tcPr>
          <w:p w14:paraId="1260A9AE" w14:textId="77777777" w:rsidR="00F4775A" w:rsidRPr="00A35E38" w:rsidRDefault="00F4775A" w:rsidP="0053093A">
            <w:pPr>
              <w:spacing w:before="20" w:after="20" w:line="240" w:lineRule="auto"/>
              <w:jc w:val="center"/>
              <w:rPr>
                <w:rFonts w:asciiTheme="minorHAnsi" w:hAnsiTheme="minorHAnsi" w:cstheme="minorHAnsi"/>
                <w:sz w:val="20"/>
                <w:szCs w:val="20"/>
              </w:rPr>
            </w:pPr>
            <w:r w:rsidRPr="00A35E38">
              <w:rPr>
                <w:rFonts w:asciiTheme="minorHAnsi" w:hAnsiTheme="minorHAnsi" w:cstheme="minorHAnsi"/>
                <w:color w:val="000000"/>
                <w:sz w:val="20"/>
                <w:szCs w:val="20"/>
              </w:rPr>
              <w:t>3</w:t>
            </w:r>
          </w:p>
        </w:tc>
        <w:tc>
          <w:tcPr>
            <w:tcW w:w="11340" w:type="dxa"/>
            <w:vAlign w:val="center"/>
          </w:tcPr>
          <w:p w14:paraId="215A2DA3" w14:textId="77777777" w:rsidR="00F4775A" w:rsidRPr="00A35E38" w:rsidRDefault="00F4775A" w:rsidP="0053093A">
            <w:pPr>
              <w:spacing w:before="20" w:after="20" w:line="240" w:lineRule="auto"/>
              <w:rPr>
                <w:rFonts w:asciiTheme="minorHAnsi" w:hAnsiTheme="minorHAnsi" w:cstheme="minorHAnsi"/>
                <w:sz w:val="20"/>
                <w:szCs w:val="20"/>
              </w:rPr>
            </w:pPr>
            <w:r w:rsidRPr="00A35E38">
              <w:rPr>
                <w:rFonts w:asciiTheme="minorHAnsi" w:hAnsiTheme="minorHAnsi" w:cstheme="minorHAnsi"/>
                <w:sz w:val="20"/>
                <w:szCs w:val="20"/>
              </w:rPr>
              <w:t>Tendido segundo circuito línea 2x220 kV Ciruelos – Pichirropulli</w:t>
            </w:r>
          </w:p>
        </w:tc>
        <w:tc>
          <w:tcPr>
            <w:tcW w:w="1701" w:type="dxa"/>
            <w:vAlign w:val="center"/>
          </w:tcPr>
          <w:p w14:paraId="1B958D40" w14:textId="77777777" w:rsidR="00F4775A" w:rsidRPr="00A35E38" w:rsidRDefault="00F4775A" w:rsidP="0053093A">
            <w:pPr>
              <w:spacing w:before="20" w:after="20" w:line="240" w:lineRule="auto"/>
              <w:jc w:val="right"/>
              <w:rPr>
                <w:rFonts w:asciiTheme="minorHAnsi" w:hAnsiTheme="minorHAnsi"/>
                <w:sz w:val="20"/>
                <w:szCs w:val="20"/>
              </w:rPr>
            </w:pPr>
            <w:r w:rsidRPr="00A35E38">
              <w:rPr>
                <w:rFonts w:asciiTheme="minorHAnsi" w:hAnsiTheme="minorHAnsi"/>
                <w:sz w:val="20"/>
                <w:szCs w:val="20"/>
              </w:rPr>
              <w:t>-</w:t>
            </w:r>
          </w:p>
        </w:tc>
      </w:tr>
      <w:tr w:rsidR="00F4775A" w:rsidRPr="00A35E38" w14:paraId="23ABD073" w14:textId="77777777" w:rsidTr="0053093A">
        <w:trPr>
          <w:jc w:val="center"/>
        </w:trPr>
        <w:tc>
          <w:tcPr>
            <w:tcW w:w="567" w:type="dxa"/>
            <w:vAlign w:val="center"/>
          </w:tcPr>
          <w:p w14:paraId="06E1BB50" w14:textId="77777777" w:rsidR="00F4775A" w:rsidRPr="00A35E38" w:rsidRDefault="00F4775A" w:rsidP="0053093A">
            <w:pPr>
              <w:spacing w:before="20" w:after="20" w:line="240" w:lineRule="auto"/>
              <w:jc w:val="center"/>
              <w:rPr>
                <w:rFonts w:asciiTheme="minorHAnsi" w:hAnsiTheme="minorHAnsi" w:cstheme="minorHAnsi"/>
                <w:sz w:val="20"/>
                <w:szCs w:val="20"/>
              </w:rPr>
            </w:pPr>
            <w:r w:rsidRPr="00A35E38">
              <w:rPr>
                <w:rFonts w:asciiTheme="minorHAnsi" w:hAnsiTheme="minorHAnsi" w:cstheme="minorHAnsi"/>
                <w:color w:val="000000"/>
                <w:sz w:val="20"/>
                <w:szCs w:val="20"/>
              </w:rPr>
              <w:t>4</w:t>
            </w:r>
          </w:p>
        </w:tc>
        <w:tc>
          <w:tcPr>
            <w:tcW w:w="11340" w:type="dxa"/>
            <w:vAlign w:val="center"/>
          </w:tcPr>
          <w:p w14:paraId="1CDBA8FB" w14:textId="77777777" w:rsidR="00F4775A" w:rsidRPr="00A35E38" w:rsidRDefault="00F4775A" w:rsidP="0053093A">
            <w:pPr>
              <w:spacing w:before="20" w:after="20" w:line="240" w:lineRule="auto"/>
              <w:rPr>
                <w:rFonts w:asciiTheme="minorHAnsi" w:hAnsiTheme="minorHAnsi" w:cstheme="minorHAnsi"/>
                <w:sz w:val="20"/>
                <w:szCs w:val="20"/>
              </w:rPr>
            </w:pPr>
            <w:r w:rsidRPr="00A35E38">
              <w:rPr>
                <w:rFonts w:asciiTheme="minorHAnsi" w:hAnsiTheme="minorHAnsi" w:cstheme="minorHAnsi"/>
                <w:sz w:val="20"/>
                <w:szCs w:val="20"/>
              </w:rPr>
              <w:t>Obra de ampliación S/E San Andrés 220 kV</w:t>
            </w:r>
          </w:p>
        </w:tc>
        <w:tc>
          <w:tcPr>
            <w:tcW w:w="1701" w:type="dxa"/>
            <w:vAlign w:val="center"/>
          </w:tcPr>
          <w:p w14:paraId="31EE7283" w14:textId="77777777" w:rsidR="00F4775A" w:rsidRPr="00A35E38" w:rsidRDefault="00F4775A" w:rsidP="0053093A">
            <w:pPr>
              <w:spacing w:before="20" w:after="20" w:line="240" w:lineRule="auto"/>
              <w:jc w:val="right"/>
              <w:rPr>
                <w:rFonts w:asciiTheme="minorHAnsi" w:hAnsiTheme="minorHAnsi"/>
                <w:sz w:val="20"/>
                <w:szCs w:val="20"/>
              </w:rPr>
            </w:pPr>
            <w:r w:rsidRPr="00A35E38">
              <w:rPr>
                <w:rFonts w:asciiTheme="minorHAnsi" w:hAnsiTheme="minorHAnsi"/>
                <w:sz w:val="20"/>
                <w:szCs w:val="20"/>
              </w:rPr>
              <w:t>-</w:t>
            </w:r>
          </w:p>
        </w:tc>
      </w:tr>
      <w:tr w:rsidR="00F4775A" w:rsidRPr="00A35E38" w14:paraId="5DCE502F" w14:textId="77777777" w:rsidTr="0053093A">
        <w:trPr>
          <w:jc w:val="center"/>
        </w:trPr>
        <w:tc>
          <w:tcPr>
            <w:tcW w:w="567" w:type="dxa"/>
            <w:vAlign w:val="center"/>
          </w:tcPr>
          <w:p w14:paraId="1168A2D9" w14:textId="77777777" w:rsidR="00F4775A" w:rsidRPr="00A35E38" w:rsidRDefault="00F4775A" w:rsidP="0053093A">
            <w:pPr>
              <w:spacing w:before="20" w:after="20" w:line="240" w:lineRule="auto"/>
              <w:jc w:val="center"/>
              <w:rPr>
                <w:rFonts w:asciiTheme="minorHAnsi" w:hAnsiTheme="minorHAnsi" w:cstheme="minorHAnsi"/>
                <w:sz w:val="20"/>
                <w:szCs w:val="20"/>
              </w:rPr>
            </w:pPr>
            <w:r w:rsidRPr="00A35E38">
              <w:rPr>
                <w:rFonts w:asciiTheme="minorHAnsi" w:hAnsiTheme="minorHAnsi" w:cstheme="minorHAnsi"/>
                <w:color w:val="000000"/>
                <w:sz w:val="20"/>
                <w:szCs w:val="20"/>
              </w:rPr>
              <w:t>5</w:t>
            </w:r>
          </w:p>
        </w:tc>
        <w:tc>
          <w:tcPr>
            <w:tcW w:w="11340" w:type="dxa"/>
            <w:vAlign w:val="center"/>
          </w:tcPr>
          <w:p w14:paraId="763C14DA" w14:textId="77777777" w:rsidR="00F4775A" w:rsidRPr="00A35E38" w:rsidRDefault="00F4775A" w:rsidP="0053093A">
            <w:pPr>
              <w:spacing w:before="20" w:after="20" w:line="240" w:lineRule="auto"/>
              <w:rPr>
                <w:rFonts w:asciiTheme="minorHAnsi" w:hAnsiTheme="minorHAnsi" w:cstheme="minorHAnsi"/>
                <w:sz w:val="20"/>
                <w:szCs w:val="20"/>
              </w:rPr>
            </w:pPr>
            <w:r w:rsidRPr="00A35E38">
              <w:rPr>
                <w:rFonts w:asciiTheme="minorHAnsi" w:hAnsiTheme="minorHAnsi" w:cstheme="minorHAnsi"/>
                <w:sz w:val="20"/>
                <w:szCs w:val="20"/>
              </w:rPr>
              <w:t>Barra seccionadora en Subestación Tarapacá 220 kV</w:t>
            </w:r>
          </w:p>
        </w:tc>
        <w:tc>
          <w:tcPr>
            <w:tcW w:w="1701" w:type="dxa"/>
            <w:vAlign w:val="center"/>
          </w:tcPr>
          <w:p w14:paraId="79F8EDF9" w14:textId="77777777" w:rsidR="00F4775A" w:rsidRPr="00A35E38" w:rsidRDefault="00F4775A" w:rsidP="0053093A">
            <w:pPr>
              <w:spacing w:before="20" w:after="20" w:line="240" w:lineRule="auto"/>
              <w:jc w:val="right"/>
              <w:rPr>
                <w:rFonts w:asciiTheme="minorHAnsi" w:hAnsiTheme="minorHAnsi"/>
                <w:sz w:val="20"/>
                <w:szCs w:val="20"/>
              </w:rPr>
            </w:pPr>
            <w:r w:rsidRPr="00A35E38">
              <w:rPr>
                <w:rFonts w:asciiTheme="minorHAnsi" w:hAnsiTheme="minorHAnsi"/>
                <w:sz w:val="20"/>
                <w:szCs w:val="20"/>
              </w:rPr>
              <w:t>36.666,54</w:t>
            </w:r>
          </w:p>
        </w:tc>
      </w:tr>
      <w:tr w:rsidR="00F4775A" w:rsidRPr="00A35E38" w14:paraId="59A9D76A" w14:textId="77777777" w:rsidTr="0053093A">
        <w:trPr>
          <w:jc w:val="center"/>
        </w:trPr>
        <w:tc>
          <w:tcPr>
            <w:tcW w:w="567" w:type="dxa"/>
            <w:vAlign w:val="center"/>
          </w:tcPr>
          <w:p w14:paraId="4EE6F61D" w14:textId="77777777" w:rsidR="00F4775A" w:rsidRPr="00A35E38" w:rsidRDefault="00F4775A" w:rsidP="0053093A">
            <w:pPr>
              <w:spacing w:before="20" w:after="20" w:line="240" w:lineRule="auto"/>
              <w:jc w:val="center"/>
              <w:rPr>
                <w:rFonts w:asciiTheme="minorHAnsi" w:hAnsiTheme="minorHAnsi" w:cstheme="minorHAnsi"/>
                <w:sz w:val="20"/>
                <w:szCs w:val="20"/>
              </w:rPr>
            </w:pPr>
            <w:r w:rsidRPr="00A35E38">
              <w:rPr>
                <w:rFonts w:asciiTheme="minorHAnsi" w:hAnsiTheme="minorHAnsi" w:cstheme="minorHAnsi"/>
                <w:color w:val="000000"/>
                <w:sz w:val="20"/>
                <w:szCs w:val="20"/>
              </w:rPr>
              <w:t>6</w:t>
            </w:r>
          </w:p>
        </w:tc>
        <w:tc>
          <w:tcPr>
            <w:tcW w:w="11340" w:type="dxa"/>
            <w:vAlign w:val="center"/>
          </w:tcPr>
          <w:p w14:paraId="0D7C849D" w14:textId="77777777" w:rsidR="00F4775A" w:rsidRPr="00A35E38" w:rsidRDefault="00F4775A" w:rsidP="0053093A">
            <w:pPr>
              <w:spacing w:before="20" w:after="20" w:line="240" w:lineRule="auto"/>
              <w:rPr>
                <w:rFonts w:asciiTheme="minorHAnsi" w:hAnsiTheme="minorHAnsi" w:cstheme="minorHAnsi"/>
                <w:sz w:val="20"/>
                <w:szCs w:val="20"/>
              </w:rPr>
            </w:pPr>
            <w:r w:rsidRPr="00A35E38">
              <w:rPr>
                <w:rFonts w:asciiTheme="minorHAnsi" w:hAnsiTheme="minorHAnsi" w:cstheme="minorHAnsi"/>
                <w:sz w:val="20"/>
                <w:szCs w:val="20"/>
              </w:rPr>
              <w:t>Obra de ampliación S/E Seccionadora Nueva Encuentro 220 kV</w:t>
            </w:r>
          </w:p>
        </w:tc>
        <w:tc>
          <w:tcPr>
            <w:tcW w:w="1701" w:type="dxa"/>
            <w:vAlign w:val="center"/>
          </w:tcPr>
          <w:p w14:paraId="7CF838D9" w14:textId="77777777" w:rsidR="00F4775A" w:rsidRPr="00A35E38" w:rsidRDefault="00F4775A" w:rsidP="0053093A">
            <w:pPr>
              <w:spacing w:before="20" w:after="20" w:line="240" w:lineRule="auto"/>
              <w:jc w:val="right"/>
              <w:rPr>
                <w:rFonts w:asciiTheme="minorHAnsi" w:hAnsiTheme="minorHAnsi"/>
                <w:sz w:val="20"/>
                <w:szCs w:val="20"/>
              </w:rPr>
            </w:pPr>
            <w:r w:rsidRPr="00A35E38">
              <w:rPr>
                <w:rFonts w:asciiTheme="minorHAnsi" w:hAnsiTheme="minorHAnsi"/>
                <w:sz w:val="20"/>
                <w:szCs w:val="20"/>
              </w:rPr>
              <w:t>60.039,35</w:t>
            </w:r>
          </w:p>
        </w:tc>
      </w:tr>
      <w:tr w:rsidR="00F4775A" w:rsidRPr="00A35E38" w14:paraId="38714972" w14:textId="77777777" w:rsidTr="0053093A">
        <w:trPr>
          <w:jc w:val="center"/>
        </w:trPr>
        <w:tc>
          <w:tcPr>
            <w:tcW w:w="567" w:type="dxa"/>
            <w:vAlign w:val="center"/>
          </w:tcPr>
          <w:p w14:paraId="63B9DDA4" w14:textId="77777777" w:rsidR="00F4775A" w:rsidRPr="00A35E38" w:rsidRDefault="00F4775A" w:rsidP="0053093A">
            <w:pPr>
              <w:spacing w:before="20" w:after="20" w:line="240" w:lineRule="auto"/>
              <w:jc w:val="center"/>
              <w:rPr>
                <w:rFonts w:asciiTheme="minorHAnsi" w:hAnsiTheme="minorHAnsi" w:cstheme="minorHAnsi"/>
                <w:sz w:val="20"/>
                <w:szCs w:val="20"/>
              </w:rPr>
            </w:pPr>
            <w:r w:rsidRPr="00A35E38">
              <w:rPr>
                <w:rFonts w:asciiTheme="minorHAnsi" w:hAnsiTheme="minorHAnsi" w:cstheme="minorHAnsi"/>
                <w:color w:val="000000"/>
                <w:sz w:val="20"/>
                <w:szCs w:val="20"/>
              </w:rPr>
              <w:t>7</w:t>
            </w:r>
          </w:p>
        </w:tc>
        <w:tc>
          <w:tcPr>
            <w:tcW w:w="11340" w:type="dxa"/>
            <w:vAlign w:val="center"/>
          </w:tcPr>
          <w:p w14:paraId="6C78B823" w14:textId="77777777" w:rsidR="00F4775A" w:rsidRPr="00A35E38" w:rsidRDefault="00F4775A" w:rsidP="0053093A">
            <w:pPr>
              <w:spacing w:before="20" w:after="20" w:line="240" w:lineRule="auto"/>
              <w:rPr>
                <w:rFonts w:asciiTheme="minorHAnsi" w:hAnsiTheme="minorHAnsi" w:cstheme="minorHAnsi"/>
                <w:sz w:val="20"/>
                <w:szCs w:val="20"/>
              </w:rPr>
            </w:pPr>
            <w:r w:rsidRPr="00A35E38">
              <w:rPr>
                <w:rFonts w:asciiTheme="minorHAnsi" w:hAnsiTheme="minorHAnsi" w:cstheme="minorHAnsi"/>
                <w:sz w:val="20"/>
                <w:szCs w:val="20"/>
              </w:rPr>
              <w:t>Obra de ampliación cambio interruptor paño acoplador 52JR S/E Alto Jahuel</w:t>
            </w:r>
          </w:p>
        </w:tc>
        <w:tc>
          <w:tcPr>
            <w:tcW w:w="1701" w:type="dxa"/>
            <w:vAlign w:val="center"/>
          </w:tcPr>
          <w:p w14:paraId="6E3D1591" w14:textId="77777777" w:rsidR="00F4775A" w:rsidRPr="00A35E38" w:rsidRDefault="00F4775A" w:rsidP="0053093A">
            <w:pPr>
              <w:spacing w:before="20" w:after="20" w:line="240" w:lineRule="auto"/>
              <w:jc w:val="right"/>
              <w:rPr>
                <w:rFonts w:asciiTheme="minorHAnsi" w:hAnsiTheme="minorHAnsi"/>
                <w:sz w:val="20"/>
                <w:szCs w:val="20"/>
              </w:rPr>
            </w:pPr>
            <w:r w:rsidRPr="00A35E38">
              <w:rPr>
                <w:rFonts w:asciiTheme="minorHAnsi" w:hAnsiTheme="minorHAnsi"/>
                <w:sz w:val="20"/>
                <w:szCs w:val="20"/>
              </w:rPr>
              <w:t>36.383,77</w:t>
            </w:r>
          </w:p>
        </w:tc>
      </w:tr>
      <w:tr w:rsidR="00F4775A" w:rsidRPr="00A35E38" w14:paraId="7A3533D1" w14:textId="77777777" w:rsidTr="0053093A">
        <w:trPr>
          <w:jc w:val="center"/>
        </w:trPr>
        <w:tc>
          <w:tcPr>
            <w:tcW w:w="567" w:type="dxa"/>
            <w:vAlign w:val="center"/>
          </w:tcPr>
          <w:p w14:paraId="6D1B784C" w14:textId="77777777" w:rsidR="00F4775A" w:rsidRPr="00A35E38" w:rsidRDefault="00F4775A" w:rsidP="0053093A">
            <w:pPr>
              <w:spacing w:before="20" w:after="20" w:line="240" w:lineRule="auto"/>
              <w:jc w:val="center"/>
              <w:rPr>
                <w:rFonts w:asciiTheme="minorHAnsi" w:hAnsiTheme="minorHAnsi" w:cstheme="minorHAnsi"/>
                <w:sz w:val="20"/>
                <w:szCs w:val="20"/>
              </w:rPr>
            </w:pPr>
            <w:r w:rsidRPr="00A35E38">
              <w:rPr>
                <w:rFonts w:asciiTheme="minorHAnsi" w:hAnsiTheme="minorHAnsi" w:cstheme="minorHAnsi"/>
                <w:color w:val="000000"/>
                <w:sz w:val="20"/>
                <w:szCs w:val="20"/>
              </w:rPr>
              <w:t>8</w:t>
            </w:r>
          </w:p>
        </w:tc>
        <w:tc>
          <w:tcPr>
            <w:tcW w:w="11340" w:type="dxa"/>
            <w:vAlign w:val="center"/>
          </w:tcPr>
          <w:p w14:paraId="51E2EC4D" w14:textId="77777777" w:rsidR="00F4775A" w:rsidRPr="00A35E38" w:rsidRDefault="00F4775A" w:rsidP="0053093A">
            <w:pPr>
              <w:spacing w:before="20" w:after="20" w:line="240" w:lineRule="auto"/>
              <w:rPr>
                <w:rFonts w:asciiTheme="minorHAnsi" w:hAnsiTheme="minorHAnsi" w:cstheme="minorHAnsi"/>
                <w:sz w:val="20"/>
                <w:szCs w:val="20"/>
              </w:rPr>
            </w:pPr>
            <w:r w:rsidRPr="00A35E38">
              <w:rPr>
                <w:rFonts w:asciiTheme="minorHAnsi" w:hAnsiTheme="minorHAnsi" w:cstheme="minorHAnsi"/>
                <w:sz w:val="20"/>
                <w:szCs w:val="20"/>
              </w:rPr>
              <w:t>Obra de ampliación S/E Cardones 220 kV (Dex-310-2013)</w:t>
            </w:r>
          </w:p>
        </w:tc>
        <w:tc>
          <w:tcPr>
            <w:tcW w:w="1701" w:type="dxa"/>
            <w:vAlign w:val="center"/>
          </w:tcPr>
          <w:p w14:paraId="09902702" w14:textId="77777777" w:rsidR="00F4775A" w:rsidRPr="00A35E38" w:rsidRDefault="00F4775A" w:rsidP="0053093A">
            <w:pPr>
              <w:spacing w:before="20" w:after="20" w:line="240" w:lineRule="auto"/>
              <w:jc w:val="right"/>
              <w:rPr>
                <w:rFonts w:asciiTheme="minorHAnsi" w:hAnsiTheme="minorHAnsi"/>
                <w:sz w:val="20"/>
                <w:szCs w:val="20"/>
              </w:rPr>
            </w:pPr>
            <w:r w:rsidRPr="00A35E38">
              <w:rPr>
                <w:rFonts w:asciiTheme="minorHAnsi" w:hAnsiTheme="minorHAnsi"/>
                <w:sz w:val="20"/>
                <w:szCs w:val="20"/>
              </w:rPr>
              <w:t>17.482,06</w:t>
            </w:r>
          </w:p>
        </w:tc>
      </w:tr>
      <w:tr w:rsidR="00F4775A" w:rsidRPr="00A35E38" w14:paraId="1325A97B" w14:textId="77777777" w:rsidTr="0053093A">
        <w:trPr>
          <w:jc w:val="center"/>
        </w:trPr>
        <w:tc>
          <w:tcPr>
            <w:tcW w:w="567" w:type="dxa"/>
            <w:vAlign w:val="center"/>
          </w:tcPr>
          <w:p w14:paraId="6611CCB0" w14:textId="77777777" w:rsidR="00F4775A" w:rsidRPr="00A35E38" w:rsidRDefault="00F4775A" w:rsidP="0053093A">
            <w:pPr>
              <w:spacing w:before="20" w:after="20" w:line="240" w:lineRule="auto"/>
              <w:jc w:val="center"/>
              <w:rPr>
                <w:rFonts w:asciiTheme="minorHAnsi" w:hAnsiTheme="minorHAnsi" w:cstheme="minorHAnsi"/>
                <w:sz w:val="20"/>
                <w:szCs w:val="20"/>
              </w:rPr>
            </w:pPr>
            <w:r w:rsidRPr="00A35E38">
              <w:rPr>
                <w:rFonts w:asciiTheme="minorHAnsi" w:hAnsiTheme="minorHAnsi" w:cstheme="minorHAnsi"/>
                <w:color w:val="000000"/>
                <w:sz w:val="20"/>
                <w:szCs w:val="20"/>
              </w:rPr>
              <w:t>9</w:t>
            </w:r>
          </w:p>
        </w:tc>
        <w:tc>
          <w:tcPr>
            <w:tcW w:w="11340" w:type="dxa"/>
            <w:vAlign w:val="center"/>
          </w:tcPr>
          <w:p w14:paraId="53E66E34" w14:textId="77777777" w:rsidR="00F4775A" w:rsidRPr="00A35E38" w:rsidRDefault="00F4775A" w:rsidP="0053093A">
            <w:pPr>
              <w:spacing w:before="20" w:after="20" w:line="240" w:lineRule="auto"/>
              <w:rPr>
                <w:rFonts w:asciiTheme="minorHAnsi" w:hAnsiTheme="minorHAnsi" w:cstheme="minorHAnsi"/>
                <w:sz w:val="20"/>
                <w:szCs w:val="20"/>
              </w:rPr>
            </w:pPr>
            <w:r w:rsidRPr="00A35E38">
              <w:rPr>
                <w:rFonts w:asciiTheme="minorHAnsi" w:hAnsiTheme="minorHAnsi" w:cstheme="minorHAnsi"/>
                <w:sz w:val="20"/>
                <w:szCs w:val="20"/>
              </w:rPr>
              <w:t>Obra de ampliación S/E Cerro Navia 220 kV (Dex-310-2013)</w:t>
            </w:r>
          </w:p>
        </w:tc>
        <w:tc>
          <w:tcPr>
            <w:tcW w:w="1701" w:type="dxa"/>
            <w:vAlign w:val="center"/>
          </w:tcPr>
          <w:p w14:paraId="4A1E9ACE" w14:textId="77777777" w:rsidR="00F4775A" w:rsidRPr="00A35E38" w:rsidRDefault="00F4775A" w:rsidP="0053093A">
            <w:pPr>
              <w:spacing w:before="20" w:after="20" w:line="240" w:lineRule="auto"/>
              <w:jc w:val="right"/>
              <w:rPr>
                <w:rFonts w:asciiTheme="minorHAnsi" w:hAnsiTheme="minorHAnsi"/>
                <w:sz w:val="20"/>
                <w:szCs w:val="20"/>
              </w:rPr>
            </w:pPr>
            <w:r w:rsidRPr="00A35E38">
              <w:rPr>
                <w:rFonts w:asciiTheme="minorHAnsi" w:hAnsiTheme="minorHAnsi"/>
                <w:sz w:val="20"/>
                <w:szCs w:val="20"/>
              </w:rPr>
              <w:t>221.880,72</w:t>
            </w:r>
          </w:p>
        </w:tc>
      </w:tr>
      <w:tr w:rsidR="00F4775A" w:rsidRPr="00A35E38" w14:paraId="63D2CB08" w14:textId="77777777" w:rsidTr="0053093A">
        <w:trPr>
          <w:jc w:val="center"/>
        </w:trPr>
        <w:tc>
          <w:tcPr>
            <w:tcW w:w="567" w:type="dxa"/>
            <w:vAlign w:val="center"/>
          </w:tcPr>
          <w:p w14:paraId="26E38297" w14:textId="77777777" w:rsidR="00F4775A" w:rsidRPr="00A35E38" w:rsidRDefault="00F4775A" w:rsidP="0053093A">
            <w:pPr>
              <w:spacing w:before="20" w:after="20" w:line="240" w:lineRule="auto"/>
              <w:jc w:val="center"/>
              <w:rPr>
                <w:rFonts w:asciiTheme="minorHAnsi" w:hAnsiTheme="minorHAnsi" w:cstheme="minorHAnsi"/>
                <w:sz w:val="20"/>
                <w:szCs w:val="20"/>
              </w:rPr>
            </w:pPr>
            <w:r w:rsidRPr="00A35E38">
              <w:rPr>
                <w:rFonts w:asciiTheme="minorHAnsi" w:hAnsiTheme="minorHAnsi" w:cstheme="minorHAnsi"/>
                <w:color w:val="000000"/>
                <w:sz w:val="20"/>
                <w:szCs w:val="20"/>
              </w:rPr>
              <w:t>10</w:t>
            </w:r>
          </w:p>
        </w:tc>
        <w:tc>
          <w:tcPr>
            <w:tcW w:w="11340" w:type="dxa"/>
            <w:vAlign w:val="center"/>
          </w:tcPr>
          <w:p w14:paraId="0115A976" w14:textId="77777777" w:rsidR="00F4775A" w:rsidRPr="00A35E38" w:rsidRDefault="00F4775A" w:rsidP="0053093A">
            <w:pPr>
              <w:spacing w:before="20" w:after="20" w:line="240" w:lineRule="auto"/>
              <w:rPr>
                <w:rFonts w:asciiTheme="minorHAnsi" w:hAnsiTheme="minorHAnsi" w:cstheme="minorHAnsi"/>
                <w:sz w:val="20"/>
                <w:szCs w:val="20"/>
              </w:rPr>
            </w:pPr>
            <w:r w:rsidRPr="00A35E38">
              <w:rPr>
                <w:rFonts w:asciiTheme="minorHAnsi" w:hAnsiTheme="minorHAnsi" w:cstheme="minorHAnsi"/>
                <w:sz w:val="20"/>
                <w:szCs w:val="20"/>
              </w:rPr>
              <w:t>Obra de ampliación S/E Charrúa 500 kV y cambio interruptor paños acopladores 52JR1, 52JR2, 52JR3</w:t>
            </w:r>
          </w:p>
        </w:tc>
        <w:tc>
          <w:tcPr>
            <w:tcW w:w="1701" w:type="dxa"/>
            <w:vAlign w:val="center"/>
          </w:tcPr>
          <w:p w14:paraId="3712B5BC" w14:textId="77777777" w:rsidR="00F4775A" w:rsidRPr="00A35E38" w:rsidRDefault="00F4775A" w:rsidP="0053093A">
            <w:pPr>
              <w:spacing w:before="20" w:after="20" w:line="240" w:lineRule="auto"/>
              <w:jc w:val="right"/>
              <w:rPr>
                <w:rFonts w:asciiTheme="minorHAnsi" w:hAnsiTheme="minorHAnsi"/>
                <w:sz w:val="20"/>
                <w:szCs w:val="20"/>
              </w:rPr>
            </w:pPr>
            <w:r w:rsidRPr="00A35E38">
              <w:rPr>
                <w:rFonts w:asciiTheme="minorHAnsi" w:hAnsiTheme="minorHAnsi"/>
                <w:sz w:val="20"/>
                <w:szCs w:val="20"/>
              </w:rPr>
              <w:t>324.111,27</w:t>
            </w:r>
          </w:p>
        </w:tc>
      </w:tr>
      <w:tr w:rsidR="00F4775A" w:rsidRPr="00A35E38" w14:paraId="7CAFA58E" w14:textId="77777777" w:rsidTr="0053093A">
        <w:trPr>
          <w:jc w:val="center"/>
        </w:trPr>
        <w:tc>
          <w:tcPr>
            <w:tcW w:w="567" w:type="dxa"/>
            <w:vAlign w:val="center"/>
          </w:tcPr>
          <w:p w14:paraId="28C3E021" w14:textId="77777777" w:rsidR="00F4775A" w:rsidRPr="00A35E38" w:rsidRDefault="00F4775A" w:rsidP="0053093A">
            <w:pPr>
              <w:spacing w:before="20" w:after="20" w:line="240" w:lineRule="auto"/>
              <w:jc w:val="center"/>
              <w:rPr>
                <w:rFonts w:asciiTheme="minorHAnsi" w:hAnsiTheme="minorHAnsi" w:cstheme="minorHAnsi"/>
                <w:sz w:val="20"/>
                <w:szCs w:val="20"/>
              </w:rPr>
            </w:pPr>
            <w:r w:rsidRPr="00A35E38">
              <w:rPr>
                <w:rFonts w:asciiTheme="minorHAnsi" w:hAnsiTheme="minorHAnsi" w:cstheme="minorHAnsi"/>
                <w:color w:val="000000"/>
                <w:sz w:val="20"/>
                <w:szCs w:val="20"/>
              </w:rPr>
              <w:t>11</w:t>
            </w:r>
          </w:p>
        </w:tc>
        <w:tc>
          <w:tcPr>
            <w:tcW w:w="11340" w:type="dxa"/>
            <w:vAlign w:val="center"/>
          </w:tcPr>
          <w:p w14:paraId="7D7A0CE1" w14:textId="77777777" w:rsidR="00F4775A" w:rsidRPr="00A35E38" w:rsidRDefault="00F4775A" w:rsidP="0053093A">
            <w:pPr>
              <w:spacing w:before="20" w:after="20" w:line="240" w:lineRule="auto"/>
              <w:rPr>
                <w:rFonts w:asciiTheme="minorHAnsi" w:hAnsiTheme="minorHAnsi" w:cstheme="minorHAnsi"/>
                <w:sz w:val="20"/>
                <w:szCs w:val="20"/>
              </w:rPr>
            </w:pPr>
            <w:r w:rsidRPr="00A35E38">
              <w:rPr>
                <w:rFonts w:asciiTheme="minorHAnsi" w:hAnsiTheme="minorHAnsi" w:cstheme="minorHAnsi"/>
                <w:sz w:val="20"/>
                <w:szCs w:val="20"/>
              </w:rPr>
              <w:t>Obra de ampliación S/E Ciruelos 220 kV (Dex-310-2013)</w:t>
            </w:r>
          </w:p>
        </w:tc>
        <w:tc>
          <w:tcPr>
            <w:tcW w:w="1701" w:type="dxa"/>
            <w:vAlign w:val="center"/>
          </w:tcPr>
          <w:p w14:paraId="4E4D0B19" w14:textId="77777777" w:rsidR="00F4775A" w:rsidRPr="00A35E38" w:rsidRDefault="00F4775A" w:rsidP="0053093A">
            <w:pPr>
              <w:spacing w:before="20" w:after="20" w:line="240" w:lineRule="auto"/>
              <w:jc w:val="right"/>
              <w:rPr>
                <w:rFonts w:asciiTheme="minorHAnsi" w:hAnsiTheme="minorHAnsi"/>
                <w:sz w:val="20"/>
                <w:szCs w:val="20"/>
              </w:rPr>
            </w:pPr>
            <w:r w:rsidRPr="00A35E38">
              <w:rPr>
                <w:rFonts w:asciiTheme="minorHAnsi" w:hAnsiTheme="minorHAnsi"/>
                <w:sz w:val="20"/>
                <w:szCs w:val="20"/>
              </w:rPr>
              <w:t>63.602,22</w:t>
            </w:r>
          </w:p>
        </w:tc>
      </w:tr>
      <w:tr w:rsidR="00F4775A" w:rsidRPr="00A35E38" w14:paraId="5BAB4765" w14:textId="77777777" w:rsidTr="0053093A">
        <w:trPr>
          <w:jc w:val="center"/>
        </w:trPr>
        <w:tc>
          <w:tcPr>
            <w:tcW w:w="567" w:type="dxa"/>
            <w:vAlign w:val="center"/>
          </w:tcPr>
          <w:p w14:paraId="796F32DE" w14:textId="77777777" w:rsidR="00F4775A" w:rsidRPr="00A35E38" w:rsidRDefault="00F4775A" w:rsidP="0053093A">
            <w:pPr>
              <w:spacing w:before="20" w:after="20" w:line="240" w:lineRule="auto"/>
              <w:jc w:val="center"/>
              <w:rPr>
                <w:rFonts w:asciiTheme="minorHAnsi" w:hAnsiTheme="minorHAnsi" w:cstheme="minorHAnsi"/>
                <w:sz w:val="20"/>
                <w:szCs w:val="20"/>
              </w:rPr>
            </w:pPr>
            <w:r w:rsidRPr="00A35E38">
              <w:rPr>
                <w:rFonts w:asciiTheme="minorHAnsi" w:hAnsiTheme="minorHAnsi" w:cstheme="minorHAnsi"/>
                <w:color w:val="000000"/>
                <w:sz w:val="20"/>
                <w:szCs w:val="20"/>
              </w:rPr>
              <w:t>12</w:t>
            </w:r>
          </w:p>
        </w:tc>
        <w:tc>
          <w:tcPr>
            <w:tcW w:w="11340" w:type="dxa"/>
            <w:vAlign w:val="center"/>
          </w:tcPr>
          <w:p w14:paraId="39FF5946" w14:textId="77777777" w:rsidR="00F4775A" w:rsidRPr="00A35E38" w:rsidRDefault="00F4775A" w:rsidP="0053093A">
            <w:pPr>
              <w:spacing w:before="20" w:after="20" w:line="240" w:lineRule="auto"/>
              <w:rPr>
                <w:rFonts w:asciiTheme="minorHAnsi" w:hAnsiTheme="minorHAnsi" w:cstheme="minorHAnsi"/>
                <w:sz w:val="20"/>
                <w:szCs w:val="20"/>
              </w:rPr>
            </w:pPr>
            <w:r w:rsidRPr="00A35E38">
              <w:rPr>
                <w:rFonts w:asciiTheme="minorHAnsi" w:hAnsiTheme="minorHAnsi" w:cstheme="minorHAnsi"/>
                <w:sz w:val="20"/>
                <w:szCs w:val="20"/>
              </w:rPr>
              <w:t>Obra de ampliación S/E Diego de Almagro 220 kV (Dex-310-2013)</w:t>
            </w:r>
          </w:p>
        </w:tc>
        <w:tc>
          <w:tcPr>
            <w:tcW w:w="1701" w:type="dxa"/>
            <w:vAlign w:val="center"/>
          </w:tcPr>
          <w:p w14:paraId="14109831" w14:textId="77777777" w:rsidR="00F4775A" w:rsidRPr="00A35E38" w:rsidRDefault="00F4775A" w:rsidP="0053093A">
            <w:pPr>
              <w:spacing w:before="20" w:after="20" w:line="240" w:lineRule="auto"/>
              <w:jc w:val="right"/>
              <w:rPr>
                <w:rFonts w:asciiTheme="minorHAnsi" w:hAnsiTheme="minorHAnsi"/>
                <w:sz w:val="20"/>
                <w:szCs w:val="20"/>
              </w:rPr>
            </w:pPr>
            <w:r w:rsidRPr="00A35E38">
              <w:rPr>
                <w:rFonts w:asciiTheme="minorHAnsi" w:hAnsiTheme="minorHAnsi"/>
                <w:sz w:val="20"/>
                <w:szCs w:val="20"/>
              </w:rPr>
              <w:t>120.662,17</w:t>
            </w:r>
          </w:p>
        </w:tc>
      </w:tr>
      <w:tr w:rsidR="00F4775A" w:rsidRPr="00A35E38" w14:paraId="002611F6" w14:textId="77777777" w:rsidTr="0053093A">
        <w:trPr>
          <w:jc w:val="center"/>
        </w:trPr>
        <w:tc>
          <w:tcPr>
            <w:tcW w:w="567" w:type="dxa"/>
            <w:vAlign w:val="center"/>
          </w:tcPr>
          <w:p w14:paraId="54DEE55A" w14:textId="77777777" w:rsidR="00F4775A" w:rsidRPr="00A35E38" w:rsidRDefault="00F4775A" w:rsidP="0053093A">
            <w:pPr>
              <w:spacing w:before="20" w:after="20" w:line="240" w:lineRule="auto"/>
              <w:jc w:val="center"/>
              <w:rPr>
                <w:rFonts w:asciiTheme="minorHAnsi" w:hAnsiTheme="minorHAnsi" w:cstheme="minorHAnsi"/>
                <w:sz w:val="20"/>
                <w:szCs w:val="20"/>
              </w:rPr>
            </w:pPr>
            <w:r w:rsidRPr="00A35E38">
              <w:rPr>
                <w:rFonts w:asciiTheme="minorHAnsi" w:hAnsiTheme="minorHAnsi" w:cstheme="minorHAnsi"/>
                <w:color w:val="000000"/>
                <w:sz w:val="20"/>
                <w:szCs w:val="20"/>
              </w:rPr>
              <w:t>13</w:t>
            </w:r>
          </w:p>
        </w:tc>
        <w:tc>
          <w:tcPr>
            <w:tcW w:w="11340" w:type="dxa"/>
            <w:vAlign w:val="center"/>
          </w:tcPr>
          <w:p w14:paraId="06118A9C" w14:textId="77777777" w:rsidR="00F4775A" w:rsidRPr="00A35E38" w:rsidRDefault="00F4775A" w:rsidP="0053093A">
            <w:pPr>
              <w:spacing w:before="20" w:after="20" w:line="240" w:lineRule="auto"/>
              <w:rPr>
                <w:rFonts w:asciiTheme="minorHAnsi" w:hAnsiTheme="minorHAnsi" w:cstheme="minorHAnsi"/>
                <w:sz w:val="20"/>
                <w:szCs w:val="20"/>
              </w:rPr>
            </w:pPr>
            <w:r w:rsidRPr="00A35E38">
              <w:rPr>
                <w:rFonts w:asciiTheme="minorHAnsi" w:hAnsiTheme="minorHAnsi" w:cstheme="minorHAnsi"/>
                <w:sz w:val="20"/>
                <w:szCs w:val="20"/>
              </w:rPr>
              <w:t>Obra de ampliación S/E Encuentro 220 kV, aumento de capacidad de línea 2x220 Crucero-Encuentro y cambio TTCC y trampa de onda paño J5 S/E Crucero</w:t>
            </w:r>
          </w:p>
        </w:tc>
        <w:tc>
          <w:tcPr>
            <w:tcW w:w="1701" w:type="dxa"/>
            <w:vAlign w:val="center"/>
          </w:tcPr>
          <w:p w14:paraId="69FF3F23" w14:textId="77777777" w:rsidR="00F4775A" w:rsidRPr="00A35E38" w:rsidRDefault="00F4775A" w:rsidP="0053093A">
            <w:pPr>
              <w:spacing w:before="20" w:after="20" w:line="240" w:lineRule="auto"/>
              <w:jc w:val="right"/>
              <w:rPr>
                <w:rFonts w:asciiTheme="minorHAnsi" w:hAnsiTheme="minorHAnsi"/>
                <w:sz w:val="20"/>
                <w:szCs w:val="20"/>
              </w:rPr>
            </w:pPr>
            <w:r w:rsidRPr="00A35E38">
              <w:rPr>
                <w:rFonts w:asciiTheme="minorHAnsi" w:hAnsiTheme="minorHAnsi"/>
                <w:sz w:val="20"/>
                <w:szCs w:val="20"/>
              </w:rPr>
              <w:t>556.981,10</w:t>
            </w:r>
          </w:p>
        </w:tc>
      </w:tr>
      <w:tr w:rsidR="00F4775A" w:rsidRPr="00A35E38" w14:paraId="50504220" w14:textId="77777777" w:rsidTr="0053093A">
        <w:trPr>
          <w:jc w:val="center"/>
        </w:trPr>
        <w:tc>
          <w:tcPr>
            <w:tcW w:w="567" w:type="dxa"/>
            <w:vAlign w:val="center"/>
          </w:tcPr>
          <w:p w14:paraId="4F8BC197" w14:textId="77777777" w:rsidR="00F4775A" w:rsidRPr="00A35E38" w:rsidRDefault="00F4775A" w:rsidP="0053093A">
            <w:pPr>
              <w:spacing w:before="20" w:after="20" w:line="240" w:lineRule="auto"/>
              <w:jc w:val="center"/>
              <w:rPr>
                <w:rFonts w:asciiTheme="minorHAnsi" w:hAnsiTheme="minorHAnsi" w:cstheme="minorHAnsi"/>
                <w:sz w:val="20"/>
                <w:szCs w:val="20"/>
              </w:rPr>
            </w:pPr>
            <w:r w:rsidRPr="00A35E38">
              <w:rPr>
                <w:rFonts w:asciiTheme="minorHAnsi" w:hAnsiTheme="minorHAnsi" w:cstheme="minorHAnsi"/>
                <w:color w:val="000000"/>
                <w:sz w:val="20"/>
                <w:szCs w:val="20"/>
              </w:rPr>
              <w:t>14</w:t>
            </w:r>
          </w:p>
        </w:tc>
        <w:tc>
          <w:tcPr>
            <w:tcW w:w="11340" w:type="dxa"/>
            <w:vAlign w:val="center"/>
          </w:tcPr>
          <w:p w14:paraId="3F8E92AD" w14:textId="77777777" w:rsidR="00F4775A" w:rsidRPr="00A35E38" w:rsidRDefault="00F4775A" w:rsidP="0053093A">
            <w:pPr>
              <w:spacing w:before="20" w:after="20" w:line="240" w:lineRule="auto"/>
              <w:rPr>
                <w:rFonts w:asciiTheme="minorHAnsi" w:hAnsiTheme="minorHAnsi" w:cstheme="minorHAnsi"/>
                <w:sz w:val="20"/>
                <w:szCs w:val="20"/>
              </w:rPr>
            </w:pPr>
            <w:r w:rsidRPr="00A35E38">
              <w:rPr>
                <w:rFonts w:asciiTheme="minorHAnsi" w:hAnsiTheme="minorHAnsi" w:cstheme="minorHAnsi"/>
                <w:sz w:val="20"/>
                <w:szCs w:val="20"/>
              </w:rPr>
              <w:t>Obra de ampliación S/E Lagunas 220 kV, Banco de condensadores de 60 MVAr y cambio TTCC paños J1 y J2</w:t>
            </w:r>
          </w:p>
        </w:tc>
        <w:tc>
          <w:tcPr>
            <w:tcW w:w="1701" w:type="dxa"/>
            <w:vAlign w:val="center"/>
          </w:tcPr>
          <w:p w14:paraId="5B9DD063" w14:textId="77777777" w:rsidR="00F4775A" w:rsidRPr="00A35E38" w:rsidRDefault="00F4775A" w:rsidP="0053093A">
            <w:pPr>
              <w:spacing w:before="20" w:after="20" w:line="240" w:lineRule="auto"/>
              <w:jc w:val="right"/>
              <w:rPr>
                <w:rFonts w:asciiTheme="minorHAnsi" w:hAnsiTheme="minorHAnsi"/>
                <w:sz w:val="20"/>
                <w:szCs w:val="20"/>
              </w:rPr>
            </w:pPr>
            <w:r w:rsidRPr="00A35E38">
              <w:rPr>
                <w:rFonts w:asciiTheme="minorHAnsi" w:hAnsiTheme="minorHAnsi"/>
                <w:sz w:val="20"/>
                <w:szCs w:val="20"/>
              </w:rPr>
              <w:t>21.369,94</w:t>
            </w:r>
          </w:p>
        </w:tc>
      </w:tr>
      <w:tr w:rsidR="00F4775A" w:rsidRPr="00A35E38" w14:paraId="79BE5C50" w14:textId="77777777" w:rsidTr="0053093A">
        <w:trPr>
          <w:jc w:val="center"/>
        </w:trPr>
        <w:tc>
          <w:tcPr>
            <w:tcW w:w="567" w:type="dxa"/>
            <w:vAlign w:val="center"/>
          </w:tcPr>
          <w:p w14:paraId="3205AF80" w14:textId="77777777" w:rsidR="00F4775A" w:rsidRPr="00A35E38" w:rsidRDefault="00F4775A" w:rsidP="0053093A">
            <w:pPr>
              <w:spacing w:before="20" w:after="20" w:line="240" w:lineRule="auto"/>
              <w:jc w:val="center"/>
              <w:rPr>
                <w:rFonts w:asciiTheme="minorHAnsi" w:hAnsiTheme="minorHAnsi" w:cstheme="minorHAnsi"/>
                <w:sz w:val="20"/>
                <w:szCs w:val="20"/>
              </w:rPr>
            </w:pPr>
            <w:r w:rsidRPr="00A35E38">
              <w:rPr>
                <w:rFonts w:asciiTheme="minorHAnsi" w:hAnsiTheme="minorHAnsi" w:cstheme="minorHAnsi"/>
                <w:color w:val="000000"/>
                <w:sz w:val="20"/>
                <w:szCs w:val="20"/>
              </w:rPr>
              <w:t>15</w:t>
            </w:r>
          </w:p>
        </w:tc>
        <w:tc>
          <w:tcPr>
            <w:tcW w:w="11340" w:type="dxa"/>
            <w:vAlign w:val="center"/>
          </w:tcPr>
          <w:p w14:paraId="1F2A8E3B" w14:textId="77777777" w:rsidR="00F4775A" w:rsidRPr="00A35E38" w:rsidRDefault="00F4775A" w:rsidP="0053093A">
            <w:pPr>
              <w:spacing w:before="20" w:after="20" w:line="240" w:lineRule="auto"/>
              <w:rPr>
                <w:rFonts w:asciiTheme="minorHAnsi" w:hAnsiTheme="minorHAnsi" w:cstheme="minorHAnsi"/>
                <w:sz w:val="20"/>
                <w:szCs w:val="20"/>
              </w:rPr>
            </w:pPr>
            <w:r w:rsidRPr="00A35E38">
              <w:rPr>
                <w:rFonts w:asciiTheme="minorHAnsi" w:hAnsiTheme="minorHAnsi" w:cstheme="minorHAnsi"/>
                <w:sz w:val="20"/>
                <w:szCs w:val="20"/>
              </w:rPr>
              <w:t>Obra de ampliación S/E Las Palmas 220 kV (Dex-310-2013)</w:t>
            </w:r>
          </w:p>
        </w:tc>
        <w:tc>
          <w:tcPr>
            <w:tcW w:w="1701" w:type="dxa"/>
            <w:vAlign w:val="center"/>
          </w:tcPr>
          <w:p w14:paraId="3E9F20E9" w14:textId="77777777" w:rsidR="00F4775A" w:rsidRPr="00A35E38" w:rsidRDefault="00F4775A" w:rsidP="0053093A">
            <w:pPr>
              <w:spacing w:before="20" w:after="20" w:line="240" w:lineRule="auto"/>
              <w:jc w:val="right"/>
              <w:rPr>
                <w:rFonts w:asciiTheme="minorHAnsi" w:hAnsiTheme="minorHAnsi"/>
                <w:sz w:val="20"/>
                <w:szCs w:val="20"/>
              </w:rPr>
            </w:pPr>
            <w:r w:rsidRPr="00A35E38">
              <w:rPr>
                <w:rFonts w:asciiTheme="minorHAnsi" w:hAnsiTheme="minorHAnsi"/>
                <w:sz w:val="20"/>
                <w:szCs w:val="20"/>
              </w:rPr>
              <w:t>3.906,55</w:t>
            </w:r>
          </w:p>
        </w:tc>
      </w:tr>
      <w:tr w:rsidR="00F4775A" w:rsidRPr="00A35E38" w14:paraId="287CF29B" w14:textId="77777777" w:rsidTr="0053093A">
        <w:trPr>
          <w:jc w:val="center"/>
        </w:trPr>
        <w:tc>
          <w:tcPr>
            <w:tcW w:w="567" w:type="dxa"/>
            <w:vAlign w:val="center"/>
          </w:tcPr>
          <w:p w14:paraId="16E868D1" w14:textId="77777777" w:rsidR="00F4775A" w:rsidRPr="00A35E38" w:rsidRDefault="00F4775A" w:rsidP="0053093A">
            <w:pPr>
              <w:spacing w:before="20" w:after="20" w:line="240" w:lineRule="auto"/>
              <w:jc w:val="center"/>
              <w:rPr>
                <w:rFonts w:asciiTheme="minorHAnsi" w:hAnsiTheme="minorHAnsi" w:cstheme="minorHAnsi"/>
                <w:sz w:val="20"/>
                <w:szCs w:val="20"/>
              </w:rPr>
            </w:pPr>
            <w:r w:rsidRPr="00A35E38">
              <w:rPr>
                <w:rFonts w:asciiTheme="minorHAnsi" w:hAnsiTheme="minorHAnsi" w:cstheme="minorHAnsi"/>
                <w:color w:val="000000"/>
                <w:sz w:val="20"/>
                <w:szCs w:val="20"/>
              </w:rPr>
              <w:t>16</w:t>
            </w:r>
          </w:p>
        </w:tc>
        <w:tc>
          <w:tcPr>
            <w:tcW w:w="11340" w:type="dxa"/>
            <w:vAlign w:val="center"/>
          </w:tcPr>
          <w:p w14:paraId="6D09E839" w14:textId="77777777" w:rsidR="00F4775A" w:rsidRPr="00A35E38" w:rsidRDefault="00F4775A" w:rsidP="0053093A">
            <w:pPr>
              <w:spacing w:before="20" w:after="20" w:line="240" w:lineRule="auto"/>
              <w:rPr>
                <w:rFonts w:asciiTheme="minorHAnsi" w:hAnsiTheme="minorHAnsi" w:cstheme="minorHAnsi"/>
                <w:sz w:val="20"/>
                <w:szCs w:val="20"/>
              </w:rPr>
            </w:pPr>
            <w:r w:rsidRPr="00A35E38">
              <w:rPr>
                <w:rFonts w:asciiTheme="minorHAnsi" w:hAnsiTheme="minorHAnsi" w:cstheme="minorHAnsi"/>
                <w:sz w:val="20"/>
                <w:szCs w:val="20"/>
              </w:rPr>
              <w:t>Obra de ampliación S/E Maitencillo 220 kV (Dex-310-2013)</w:t>
            </w:r>
          </w:p>
        </w:tc>
        <w:tc>
          <w:tcPr>
            <w:tcW w:w="1701" w:type="dxa"/>
            <w:vAlign w:val="center"/>
          </w:tcPr>
          <w:p w14:paraId="301ECBCB" w14:textId="77777777" w:rsidR="00F4775A" w:rsidRPr="00A35E38" w:rsidRDefault="00F4775A" w:rsidP="0053093A">
            <w:pPr>
              <w:spacing w:before="20" w:after="20" w:line="240" w:lineRule="auto"/>
              <w:jc w:val="right"/>
              <w:rPr>
                <w:rFonts w:asciiTheme="minorHAnsi" w:hAnsiTheme="minorHAnsi"/>
                <w:sz w:val="20"/>
                <w:szCs w:val="20"/>
              </w:rPr>
            </w:pPr>
            <w:r w:rsidRPr="00A35E38">
              <w:rPr>
                <w:rFonts w:asciiTheme="minorHAnsi" w:hAnsiTheme="minorHAnsi"/>
                <w:sz w:val="20"/>
                <w:szCs w:val="20"/>
              </w:rPr>
              <w:t>29.457,13</w:t>
            </w:r>
          </w:p>
        </w:tc>
      </w:tr>
      <w:tr w:rsidR="00F4775A" w:rsidRPr="00A35E38" w14:paraId="32337E9A" w14:textId="77777777" w:rsidTr="0053093A">
        <w:trPr>
          <w:jc w:val="center"/>
        </w:trPr>
        <w:tc>
          <w:tcPr>
            <w:tcW w:w="567" w:type="dxa"/>
            <w:vAlign w:val="center"/>
          </w:tcPr>
          <w:p w14:paraId="5C73DF33" w14:textId="77777777" w:rsidR="00F4775A" w:rsidRPr="00A35E38" w:rsidRDefault="00F4775A" w:rsidP="0053093A">
            <w:pPr>
              <w:spacing w:before="20" w:after="20" w:line="240" w:lineRule="auto"/>
              <w:jc w:val="center"/>
              <w:rPr>
                <w:rFonts w:asciiTheme="minorHAnsi" w:hAnsiTheme="minorHAnsi" w:cstheme="minorHAnsi"/>
                <w:sz w:val="20"/>
                <w:szCs w:val="20"/>
              </w:rPr>
            </w:pPr>
            <w:r w:rsidRPr="00A35E38">
              <w:rPr>
                <w:rFonts w:asciiTheme="minorHAnsi" w:hAnsiTheme="minorHAnsi" w:cstheme="minorHAnsi"/>
                <w:color w:val="000000"/>
                <w:sz w:val="20"/>
                <w:szCs w:val="20"/>
              </w:rPr>
              <w:t>17</w:t>
            </w:r>
          </w:p>
        </w:tc>
        <w:tc>
          <w:tcPr>
            <w:tcW w:w="11340" w:type="dxa"/>
            <w:vAlign w:val="center"/>
          </w:tcPr>
          <w:p w14:paraId="64469EE3" w14:textId="77777777" w:rsidR="00F4775A" w:rsidRPr="00A35E38" w:rsidRDefault="00F4775A" w:rsidP="0053093A">
            <w:pPr>
              <w:spacing w:before="20" w:after="20" w:line="240" w:lineRule="auto"/>
              <w:rPr>
                <w:rFonts w:asciiTheme="minorHAnsi" w:hAnsiTheme="minorHAnsi" w:cstheme="minorHAnsi"/>
                <w:sz w:val="20"/>
                <w:szCs w:val="20"/>
              </w:rPr>
            </w:pPr>
            <w:r w:rsidRPr="00A35E38">
              <w:rPr>
                <w:rFonts w:asciiTheme="minorHAnsi" w:hAnsiTheme="minorHAnsi" w:cstheme="minorHAnsi"/>
                <w:sz w:val="20"/>
                <w:szCs w:val="20"/>
              </w:rPr>
              <w:t>Obra de ampliación S/E Polpaico 500 kV y Cambio interruptor paño acoplador 52JR (Dex-310-2013)</w:t>
            </w:r>
          </w:p>
        </w:tc>
        <w:tc>
          <w:tcPr>
            <w:tcW w:w="1701" w:type="dxa"/>
            <w:vAlign w:val="center"/>
          </w:tcPr>
          <w:p w14:paraId="044A51DF" w14:textId="77777777" w:rsidR="00F4775A" w:rsidRPr="00A35E38" w:rsidRDefault="00F4775A" w:rsidP="0053093A">
            <w:pPr>
              <w:spacing w:before="20" w:after="20" w:line="240" w:lineRule="auto"/>
              <w:jc w:val="right"/>
              <w:rPr>
                <w:rFonts w:asciiTheme="minorHAnsi" w:hAnsiTheme="minorHAnsi"/>
                <w:sz w:val="20"/>
                <w:szCs w:val="20"/>
              </w:rPr>
            </w:pPr>
            <w:r w:rsidRPr="00A35E38">
              <w:rPr>
                <w:rFonts w:asciiTheme="minorHAnsi" w:hAnsiTheme="minorHAnsi"/>
                <w:sz w:val="20"/>
                <w:szCs w:val="20"/>
              </w:rPr>
              <w:t>154.215,12</w:t>
            </w:r>
          </w:p>
        </w:tc>
      </w:tr>
      <w:tr w:rsidR="00F4775A" w:rsidRPr="00A35E38" w14:paraId="4B9AA727" w14:textId="77777777" w:rsidTr="0053093A">
        <w:trPr>
          <w:jc w:val="center"/>
        </w:trPr>
        <w:tc>
          <w:tcPr>
            <w:tcW w:w="567" w:type="dxa"/>
            <w:vAlign w:val="center"/>
          </w:tcPr>
          <w:p w14:paraId="7C8CA253" w14:textId="77777777" w:rsidR="00F4775A" w:rsidRPr="00A35E38" w:rsidRDefault="00F4775A" w:rsidP="0053093A">
            <w:pPr>
              <w:spacing w:before="20" w:after="20" w:line="240" w:lineRule="auto"/>
              <w:jc w:val="center"/>
              <w:rPr>
                <w:rFonts w:asciiTheme="minorHAnsi" w:hAnsiTheme="minorHAnsi" w:cstheme="minorHAnsi"/>
                <w:sz w:val="20"/>
                <w:szCs w:val="20"/>
              </w:rPr>
            </w:pPr>
            <w:r w:rsidRPr="00A35E38">
              <w:rPr>
                <w:rFonts w:asciiTheme="minorHAnsi" w:hAnsiTheme="minorHAnsi" w:cstheme="minorHAnsi"/>
                <w:color w:val="000000"/>
                <w:sz w:val="20"/>
                <w:szCs w:val="20"/>
              </w:rPr>
              <w:t>18</w:t>
            </w:r>
          </w:p>
        </w:tc>
        <w:tc>
          <w:tcPr>
            <w:tcW w:w="11340" w:type="dxa"/>
            <w:vAlign w:val="center"/>
          </w:tcPr>
          <w:p w14:paraId="3A3C35D3" w14:textId="77777777" w:rsidR="00F4775A" w:rsidRPr="00A35E38" w:rsidRDefault="00F4775A" w:rsidP="0053093A">
            <w:pPr>
              <w:spacing w:before="20" w:after="20" w:line="240" w:lineRule="auto"/>
              <w:rPr>
                <w:rFonts w:asciiTheme="minorHAnsi" w:hAnsiTheme="minorHAnsi" w:cstheme="minorHAnsi"/>
                <w:sz w:val="20"/>
                <w:szCs w:val="20"/>
              </w:rPr>
            </w:pPr>
            <w:r w:rsidRPr="00A35E38">
              <w:rPr>
                <w:rFonts w:asciiTheme="minorHAnsi" w:hAnsiTheme="minorHAnsi" w:cstheme="minorHAnsi"/>
                <w:sz w:val="20"/>
                <w:szCs w:val="20"/>
              </w:rPr>
              <w:t>Obra de ampliación S/E Rapel 220 kV e Instalación paño 52JS (Dex-310-2013)</w:t>
            </w:r>
          </w:p>
        </w:tc>
        <w:tc>
          <w:tcPr>
            <w:tcW w:w="1701" w:type="dxa"/>
            <w:vAlign w:val="center"/>
          </w:tcPr>
          <w:p w14:paraId="32E9BA3E" w14:textId="77777777" w:rsidR="00F4775A" w:rsidRPr="00A35E38" w:rsidRDefault="00F4775A" w:rsidP="0053093A">
            <w:pPr>
              <w:spacing w:before="20" w:after="20" w:line="240" w:lineRule="auto"/>
              <w:jc w:val="right"/>
              <w:rPr>
                <w:rFonts w:asciiTheme="minorHAnsi" w:hAnsiTheme="minorHAnsi"/>
                <w:sz w:val="20"/>
                <w:szCs w:val="20"/>
              </w:rPr>
            </w:pPr>
            <w:r w:rsidRPr="00A35E38">
              <w:rPr>
                <w:rFonts w:asciiTheme="minorHAnsi" w:hAnsiTheme="minorHAnsi"/>
                <w:sz w:val="20"/>
                <w:szCs w:val="20"/>
              </w:rPr>
              <w:t>22.531,76</w:t>
            </w:r>
          </w:p>
        </w:tc>
      </w:tr>
      <w:tr w:rsidR="00F4775A" w:rsidRPr="00A35E38" w14:paraId="0997D3B9" w14:textId="77777777" w:rsidTr="0053093A">
        <w:trPr>
          <w:jc w:val="center"/>
        </w:trPr>
        <w:tc>
          <w:tcPr>
            <w:tcW w:w="567" w:type="dxa"/>
            <w:vAlign w:val="center"/>
          </w:tcPr>
          <w:p w14:paraId="070B59B7" w14:textId="77777777" w:rsidR="00F4775A" w:rsidRPr="00A35E38" w:rsidRDefault="00F4775A" w:rsidP="0053093A">
            <w:pPr>
              <w:spacing w:before="20" w:after="20" w:line="240" w:lineRule="auto"/>
              <w:jc w:val="center"/>
              <w:rPr>
                <w:rFonts w:asciiTheme="minorHAnsi" w:hAnsiTheme="minorHAnsi" w:cstheme="minorHAnsi"/>
                <w:sz w:val="20"/>
                <w:szCs w:val="20"/>
              </w:rPr>
            </w:pPr>
            <w:r w:rsidRPr="00A35E38">
              <w:rPr>
                <w:rFonts w:asciiTheme="minorHAnsi" w:hAnsiTheme="minorHAnsi" w:cstheme="minorHAnsi"/>
                <w:color w:val="000000"/>
                <w:sz w:val="20"/>
                <w:szCs w:val="20"/>
              </w:rPr>
              <w:t>19</w:t>
            </w:r>
          </w:p>
        </w:tc>
        <w:tc>
          <w:tcPr>
            <w:tcW w:w="11340" w:type="dxa"/>
            <w:vAlign w:val="center"/>
          </w:tcPr>
          <w:p w14:paraId="597D6D16" w14:textId="77777777" w:rsidR="00F4775A" w:rsidRPr="00A35E38" w:rsidRDefault="00F4775A" w:rsidP="0053093A">
            <w:pPr>
              <w:spacing w:before="20" w:after="20" w:line="240" w:lineRule="auto"/>
              <w:rPr>
                <w:rFonts w:asciiTheme="minorHAnsi" w:hAnsiTheme="minorHAnsi" w:cstheme="minorHAnsi"/>
                <w:sz w:val="20"/>
                <w:szCs w:val="20"/>
              </w:rPr>
            </w:pPr>
            <w:r w:rsidRPr="00A35E38">
              <w:rPr>
                <w:rFonts w:asciiTheme="minorHAnsi" w:hAnsiTheme="minorHAnsi" w:cstheme="minorHAnsi"/>
                <w:sz w:val="20"/>
                <w:szCs w:val="20"/>
              </w:rPr>
              <w:t>Obra de reemplazo de desconectadores en S/E Quillota y S/E Polpaico</w:t>
            </w:r>
          </w:p>
        </w:tc>
        <w:tc>
          <w:tcPr>
            <w:tcW w:w="1701" w:type="dxa"/>
            <w:vAlign w:val="center"/>
          </w:tcPr>
          <w:p w14:paraId="3BCEDA41" w14:textId="77777777" w:rsidR="00F4775A" w:rsidRPr="00A35E38" w:rsidRDefault="00F4775A" w:rsidP="0053093A">
            <w:pPr>
              <w:spacing w:before="20" w:after="20" w:line="240" w:lineRule="auto"/>
              <w:jc w:val="right"/>
              <w:rPr>
                <w:rFonts w:asciiTheme="minorHAnsi" w:hAnsiTheme="minorHAnsi"/>
                <w:sz w:val="20"/>
                <w:szCs w:val="20"/>
              </w:rPr>
            </w:pPr>
            <w:r w:rsidRPr="00A35E38">
              <w:rPr>
                <w:rFonts w:asciiTheme="minorHAnsi" w:hAnsiTheme="minorHAnsi"/>
                <w:sz w:val="20"/>
                <w:szCs w:val="20"/>
              </w:rPr>
              <w:t>14.083,52</w:t>
            </w:r>
          </w:p>
        </w:tc>
      </w:tr>
      <w:tr w:rsidR="00F4775A" w:rsidRPr="00A35E38" w14:paraId="5BE0B3F4" w14:textId="77777777" w:rsidTr="0053093A">
        <w:trPr>
          <w:jc w:val="center"/>
        </w:trPr>
        <w:tc>
          <w:tcPr>
            <w:tcW w:w="567" w:type="dxa"/>
            <w:vAlign w:val="center"/>
          </w:tcPr>
          <w:p w14:paraId="20A20719" w14:textId="77777777" w:rsidR="00F4775A" w:rsidRPr="00A35E38" w:rsidRDefault="00F4775A" w:rsidP="0053093A">
            <w:pPr>
              <w:spacing w:before="20" w:after="20" w:line="240" w:lineRule="auto"/>
              <w:jc w:val="center"/>
              <w:rPr>
                <w:rFonts w:asciiTheme="minorHAnsi" w:hAnsiTheme="minorHAnsi" w:cstheme="minorHAnsi"/>
                <w:sz w:val="20"/>
                <w:szCs w:val="20"/>
              </w:rPr>
            </w:pPr>
            <w:r w:rsidRPr="00A35E38">
              <w:rPr>
                <w:rFonts w:asciiTheme="minorHAnsi" w:hAnsiTheme="minorHAnsi" w:cstheme="minorHAnsi"/>
                <w:color w:val="000000"/>
                <w:sz w:val="20"/>
                <w:szCs w:val="20"/>
              </w:rPr>
              <w:t>20</w:t>
            </w:r>
          </w:p>
        </w:tc>
        <w:tc>
          <w:tcPr>
            <w:tcW w:w="11340" w:type="dxa"/>
            <w:vAlign w:val="center"/>
          </w:tcPr>
          <w:p w14:paraId="02F707FA" w14:textId="77777777" w:rsidR="00F4775A" w:rsidRPr="00A35E38" w:rsidRDefault="00F4775A" w:rsidP="0053093A">
            <w:pPr>
              <w:spacing w:before="20" w:after="20" w:line="240" w:lineRule="auto"/>
              <w:rPr>
                <w:rFonts w:asciiTheme="minorHAnsi" w:hAnsiTheme="minorHAnsi" w:cstheme="minorHAnsi"/>
                <w:sz w:val="20"/>
                <w:szCs w:val="20"/>
              </w:rPr>
            </w:pPr>
            <w:r w:rsidRPr="00A35E38">
              <w:rPr>
                <w:rFonts w:asciiTheme="minorHAnsi" w:hAnsiTheme="minorHAnsi" w:cstheme="minorHAnsi"/>
                <w:sz w:val="20"/>
                <w:szCs w:val="20"/>
              </w:rPr>
              <w:t>Obra de ampliación S/E Ancoa 500 kV (Dex-310-2013)</w:t>
            </w:r>
          </w:p>
        </w:tc>
        <w:tc>
          <w:tcPr>
            <w:tcW w:w="1701" w:type="dxa"/>
            <w:vAlign w:val="center"/>
          </w:tcPr>
          <w:p w14:paraId="59F9B6A5" w14:textId="77777777" w:rsidR="00F4775A" w:rsidRPr="00A35E38" w:rsidRDefault="00F4775A" w:rsidP="0053093A">
            <w:pPr>
              <w:spacing w:before="20" w:after="20" w:line="240" w:lineRule="auto"/>
              <w:jc w:val="right"/>
              <w:rPr>
                <w:rFonts w:asciiTheme="minorHAnsi" w:hAnsiTheme="minorHAnsi"/>
                <w:sz w:val="20"/>
                <w:szCs w:val="20"/>
              </w:rPr>
            </w:pPr>
            <w:r w:rsidRPr="00A35E38">
              <w:rPr>
                <w:rFonts w:asciiTheme="minorHAnsi" w:hAnsiTheme="minorHAnsi"/>
                <w:sz w:val="20"/>
                <w:szCs w:val="20"/>
              </w:rPr>
              <w:t>40.966,55</w:t>
            </w:r>
          </w:p>
        </w:tc>
      </w:tr>
      <w:tr w:rsidR="00F4775A" w:rsidRPr="00A35E38" w14:paraId="1C097EEF" w14:textId="77777777" w:rsidTr="0053093A">
        <w:trPr>
          <w:jc w:val="center"/>
        </w:trPr>
        <w:tc>
          <w:tcPr>
            <w:tcW w:w="567" w:type="dxa"/>
            <w:vAlign w:val="center"/>
          </w:tcPr>
          <w:p w14:paraId="56648A94" w14:textId="77777777" w:rsidR="00F4775A" w:rsidRPr="00A35E38" w:rsidRDefault="00F4775A" w:rsidP="0053093A">
            <w:pPr>
              <w:spacing w:before="20" w:after="20" w:line="240" w:lineRule="auto"/>
              <w:jc w:val="center"/>
              <w:rPr>
                <w:rFonts w:asciiTheme="minorHAnsi" w:hAnsiTheme="minorHAnsi" w:cstheme="minorHAnsi"/>
                <w:sz w:val="20"/>
                <w:szCs w:val="20"/>
              </w:rPr>
            </w:pPr>
            <w:r w:rsidRPr="00A35E38">
              <w:rPr>
                <w:rFonts w:asciiTheme="minorHAnsi" w:hAnsiTheme="minorHAnsi" w:cstheme="minorHAnsi"/>
                <w:color w:val="000000"/>
                <w:sz w:val="20"/>
                <w:szCs w:val="20"/>
              </w:rPr>
              <w:t>21</w:t>
            </w:r>
          </w:p>
        </w:tc>
        <w:tc>
          <w:tcPr>
            <w:tcW w:w="11340" w:type="dxa"/>
            <w:vAlign w:val="center"/>
          </w:tcPr>
          <w:p w14:paraId="6A254207" w14:textId="77777777" w:rsidR="00F4775A" w:rsidRPr="00A35E38" w:rsidRDefault="00F4775A" w:rsidP="0053093A">
            <w:pPr>
              <w:spacing w:before="20" w:after="20" w:line="240" w:lineRule="auto"/>
              <w:rPr>
                <w:rFonts w:asciiTheme="minorHAnsi" w:hAnsiTheme="minorHAnsi" w:cstheme="minorHAnsi"/>
                <w:sz w:val="20"/>
                <w:szCs w:val="20"/>
              </w:rPr>
            </w:pPr>
            <w:r w:rsidRPr="00A35E38">
              <w:rPr>
                <w:rFonts w:asciiTheme="minorHAnsi" w:hAnsiTheme="minorHAnsi" w:cstheme="minorHAnsi"/>
                <w:sz w:val="20"/>
                <w:szCs w:val="20"/>
              </w:rPr>
              <w:t>Obra de aumento de capacidad de línea Maitencillo – Cardones 1x220 kV</w:t>
            </w:r>
          </w:p>
        </w:tc>
        <w:tc>
          <w:tcPr>
            <w:tcW w:w="1701" w:type="dxa"/>
            <w:vAlign w:val="center"/>
          </w:tcPr>
          <w:p w14:paraId="326306D2" w14:textId="77777777" w:rsidR="00F4775A" w:rsidRPr="00A35E38" w:rsidRDefault="00F4775A" w:rsidP="0053093A">
            <w:pPr>
              <w:spacing w:before="20" w:after="20" w:line="240" w:lineRule="auto"/>
              <w:jc w:val="right"/>
              <w:rPr>
                <w:rFonts w:asciiTheme="minorHAnsi" w:hAnsiTheme="minorHAnsi"/>
                <w:sz w:val="20"/>
                <w:szCs w:val="20"/>
              </w:rPr>
            </w:pPr>
            <w:r w:rsidRPr="00A35E38">
              <w:rPr>
                <w:rFonts w:asciiTheme="minorHAnsi" w:hAnsiTheme="minorHAnsi"/>
                <w:sz w:val="20"/>
                <w:szCs w:val="20"/>
              </w:rPr>
              <w:t>501.207,86</w:t>
            </w:r>
          </w:p>
        </w:tc>
      </w:tr>
      <w:tr w:rsidR="00F4775A" w:rsidRPr="00A35E38" w14:paraId="1935BABD" w14:textId="77777777" w:rsidTr="0053093A">
        <w:trPr>
          <w:jc w:val="center"/>
        </w:trPr>
        <w:tc>
          <w:tcPr>
            <w:tcW w:w="567" w:type="dxa"/>
            <w:vAlign w:val="center"/>
          </w:tcPr>
          <w:p w14:paraId="335745BB" w14:textId="77777777" w:rsidR="00F4775A" w:rsidRPr="00A35E38" w:rsidRDefault="00F4775A" w:rsidP="0053093A">
            <w:pPr>
              <w:spacing w:before="20" w:after="20" w:line="240" w:lineRule="auto"/>
              <w:jc w:val="center"/>
              <w:rPr>
                <w:rFonts w:asciiTheme="minorHAnsi" w:hAnsiTheme="minorHAnsi" w:cstheme="minorHAnsi"/>
                <w:sz w:val="20"/>
                <w:szCs w:val="20"/>
              </w:rPr>
            </w:pPr>
            <w:r w:rsidRPr="00A35E38">
              <w:rPr>
                <w:rFonts w:asciiTheme="minorHAnsi" w:hAnsiTheme="minorHAnsi" w:cstheme="minorHAnsi"/>
                <w:color w:val="000000"/>
                <w:sz w:val="20"/>
                <w:szCs w:val="20"/>
              </w:rPr>
              <w:t>22</w:t>
            </w:r>
          </w:p>
        </w:tc>
        <w:tc>
          <w:tcPr>
            <w:tcW w:w="11340" w:type="dxa"/>
            <w:vAlign w:val="center"/>
          </w:tcPr>
          <w:p w14:paraId="361AE589" w14:textId="77777777" w:rsidR="00F4775A" w:rsidRPr="00A35E38" w:rsidRDefault="00F4775A" w:rsidP="0053093A">
            <w:pPr>
              <w:spacing w:before="20" w:after="20" w:line="240" w:lineRule="auto"/>
              <w:rPr>
                <w:rFonts w:asciiTheme="minorHAnsi" w:hAnsiTheme="minorHAnsi" w:cstheme="minorHAnsi"/>
                <w:sz w:val="20"/>
                <w:szCs w:val="20"/>
              </w:rPr>
            </w:pPr>
            <w:r w:rsidRPr="00A35E38">
              <w:rPr>
                <w:rFonts w:asciiTheme="minorHAnsi" w:hAnsiTheme="minorHAnsi" w:cstheme="minorHAnsi"/>
                <w:sz w:val="20"/>
                <w:szCs w:val="20"/>
              </w:rPr>
              <w:t>Obra de seccionamiento barra 500 kV subestación Alto Jahuel</w:t>
            </w:r>
          </w:p>
        </w:tc>
        <w:tc>
          <w:tcPr>
            <w:tcW w:w="1701" w:type="dxa"/>
            <w:vAlign w:val="center"/>
          </w:tcPr>
          <w:p w14:paraId="40E48100" w14:textId="77777777" w:rsidR="00F4775A" w:rsidRPr="00A35E38" w:rsidRDefault="00F4775A" w:rsidP="0053093A">
            <w:pPr>
              <w:spacing w:before="20" w:after="20" w:line="240" w:lineRule="auto"/>
              <w:jc w:val="right"/>
              <w:rPr>
                <w:rFonts w:asciiTheme="minorHAnsi" w:hAnsiTheme="minorHAnsi"/>
                <w:sz w:val="20"/>
                <w:szCs w:val="20"/>
              </w:rPr>
            </w:pPr>
            <w:r w:rsidRPr="00A35E38">
              <w:rPr>
                <w:rFonts w:asciiTheme="minorHAnsi" w:hAnsiTheme="minorHAnsi"/>
                <w:sz w:val="20"/>
                <w:szCs w:val="20"/>
              </w:rPr>
              <w:t>56.045,71</w:t>
            </w:r>
          </w:p>
        </w:tc>
      </w:tr>
      <w:tr w:rsidR="00F4775A" w:rsidRPr="00A35E38" w14:paraId="18CAD46A" w14:textId="77777777" w:rsidTr="0053093A">
        <w:trPr>
          <w:jc w:val="center"/>
        </w:trPr>
        <w:tc>
          <w:tcPr>
            <w:tcW w:w="567" w:type="dxa"/>
            <w:vAlign w:val="center"/>
          </w:tcPr>
          <w:p w14:paraId="3D49A10E" w14:textId="77777777" w:rsidR="00F4775A" w:rsidRPr="00A35E38" w:rsidRDefault="00F4775A" w:rsidP="0053093A">
            <w:pPr>
              <w:spacing w:before="20" w:after="20" w:line="240" w:lineRule="auto"/>
              <w:jc w:val="center"/>
              <w:rPr>
                <w:rFonts w:asciiTheme="minorHAnsi" w:hAnsiTheme="minorHAnsi" w:cstheme="minorHAnsi"/>
                <w:sz w:val="20"/>
                <w:szCs w:val="20"/>
              </w:rPr>
            </w:pPr>
            <w:r w:rsidRPr="00A35E38">
              <w:rPr>
                <w:rFonts w:asciiTheme="minorHAnsi" w:hAnsiTheme="minorHAnsi" w:cstheme="minorHAnsi"/>
                <w:color w:val="000000"/>
                <w:sz w:val="20"/>
                <w:szCs w:val="20"/>
              </w:rPr>
              <w:t>23</w:t>
            </w:r>
          </w:p>
        </w:tc>
        <w:tc>
          <w:tcPr>
            <w:tcW w:w="11340" w:type="dxa"/>
            <w:vAlign w:val="center"/>
          </w:tcPr>
          <w:p w14:paraId="4CB458FF" w14:textId="77777777" w:rsidR="00F4775A" w:rsidRPr="00A35E38" w:rsidRDefault="00F4775A" w:rsidP="0053093A">
            <w:pPr>
              <w:spacing w:before="20" w:after="20" w:line="240" w:lineRule="auto"/>
              <w:rPr>
                <w:rFonts w:asciiTheme="minorHAnsi" w:hAnsiTheme="minorHAnsi" w:cstheme="minorHAnsi"/>
                <w:sz w:val="20"/>
                <w:szCs w:val="20"/>
              </w:rPr>
            </w:pPr>
            <w:r w:rsidRPr="00A35E38">
              <w:rPr>
                <w:rFonts w:asciiTheme="minorHAnsi" w:hAnsiTheme="minorHAnsi" w:cstheme="minorHAnsi"/>
                <w:sz w:val="20"/>
                <w:szCs w:val="20"/>
              </w:rPr>
              <w:t>Obra de seccionamiento barra 500 kV subestación Ancoa</w:t>
            </w:r>
          </w:p>
        </w:tc>
        <w:tc>
          <w:tcPr>
            <w:tcW w:w="1701" w:type="dxa"/>
            <w:vAlign w:val="center"/>
          </w:tcPr>
          <w:p w14:paraId="3DC71058" w14:textId="77777777" w:rsidR="00F4775A" w:rsidRPr="00A35E38" w:rsidRDefault="00F4775A" w:rsidP="0053093A">
            <w:pPr>
              <w:spacing w:before="20" w:after="20" w:line="240" w:lineRule="auto"/>
              <w:jc w:val="right"/>
              <w:rPr>
                <w:rFonts w:asciiTheme="minorHAnsi" w:hAnsiTheme="minorHAnsi"/>
                <w:sz w:val="20"/>
                <w:szCs w:val="20"/>
              </w:rPr>
            </w:pPr>
            <w:r w:rsidRPr="00A35E38">
              <w:rPr>
                <w:rFonts w:asciiTheme="minorHAnsi" w:hAnsiTheme="minorHAnsi"/>
                <w:sz w:val="20"/>
                <w:szCs w:val="20"/>
              </w:rPr>
              <w:t>20.305,68</w:t>
            </w:r>
          </w:p>
        </w:tc>
      </w:tr>
      <w:tr w:rsidR="00F4775A" w:rsidRPr="00A35E38" w14:paraId="27B5D721" w14:textId="77777777" w:rsidTr="0053093A">
        <w:trPr>
          <w:jc w:val="center"/>
        </w:trPr>
        <w:tc>
          <w:tcPr>
            <w:tcW w:w="567" w:type="dxa"/>
            <w:vAlign w:val="center"/>
          </w:tcPr>
          <w:p w14:paraId="3843B52F" w14:textId="77777777" w:rsidR="00F4775A" w:rsidRPr="00A35E38" w:rsidRDefault="00F4775A" w:rsidP="0053093A">
            <w:pPr>
              <w:spacing w:before="20" w:after="20" w:line="240" w:lineRule="auto"/>
              <w:jc w:val="center"/>
              <w:rPr>
                <w:rFonts w:asciiTheme="minorHAnsi" w:hAnsiTheme="minorHAnsi" w:cstheme="minorHAnsi"/>
                <w:sz w:val="20"/>
                <w:szCs w:val="20"/>
              </w:rPr>
            </w:pPr>
            <w:r w:rsidRPr="00A35E38">
              <w:rPr>
                <w:rFonts w:asciiTheme="minorHAnsi" w:hAnsiTheme="minorHAnsi" w:cstheme="minorHAnsi"/>
                <w:color w:val="000000"/>
                <w:sz w:val="20"/>
                <w:szCs w:val="20"/>
              </w:rPr>
              <w:t>24</w:t>
            </w:r>
          </w:p>
        </w:tc>
        <w:tc>
          <w:tcPr>
            <w:tcW w:w="11340" w:type="dxa"/>
            <w:vAlign w:val="center"/>
          </w:tcPr>
          <w:p w14:paraId="188A9B47" w14:textId="77777777" w:rsidR="00F4775A" w:rsidRPr="00A35E38" w:rsidRDefault="00F4775A" w:rsidP="0053093A">
            <w:pPr>
              <w:spacing w:before="20" w:after="20" w:line="240" w:lineRule="auto"/>
              <w:rPr>
                <w:rFonts w:asciiTheme="minorHAnsi" w:hAnsiTheme="minorHAnsi" w:cstheme="minorHAnsi"/>
                <w:sz w:val="20"/>
                <w:szCs w:val="20"/>
              </w:rPr>
            </w:pPr>
            <w:r w:rsidRPr="00A35E38">
              <w:rPr>
                <w:rFonts w:asciiTheme="minorHAnsi" w:hAnsiTheme="minorHAnsi" w:cstheme="minorHAnsi"/>
                <w:sz w:val="20"/>
                <w:szCs w:val="20"/>
              </w:rPr>
              <w:t>Obra de seccionamiento barra 500 kV subestación Charrúa</w:t>
            </w:r>
          </w:p>
        </w:tc>
        <w:tc>
          <w:tcPr>
            <w:tcW w:w="1701" w:type="dxa"/>
            <w:vAlign w:val="center"/>
          </w:tcPr>
          <w:p w14:paraId="1873A60C" w14:textId="77777777" w:rsidR="00F4775A" w:rsidRPr="00A35E38" w:rsidRDefault="00F4775A" w:rsidP="0053093A">
            <w:pPr>
              <w:spacing w:before="20" w:after="20" w:line="240" w:lineRule="auto"/>
              <w:jc w:val="right"/>
              <w:rPr>
                <w:rFonts w:asciiTheme="minorHAnsi" w:hAnsiTheme="minorHAnsi"/>
                <w:sz w:val="20"/>
                <w:szCs w:val="20"/>
              </w:rPr>
            </w:pPr>
            <w:r w:rsidRPr="00A35E38">
              <w:rPr>
                <w:rFonts w:asciiTheme="minorHAnsi" w:hAnsiTheme="minorHAnsi"/>
                <w:sz w:val="20"/>
                <w:szCs w:val="20"/>
              </w:rPr>
              <w:t>56.199,08</w:t>
            </w:r>
          </w:p>
        </w:tc>
      </w:tr>
      <w:tr w:rsidR="00A35E38" w:rsidRPr="00A35E38" w14:paraId="09923EBC" w14:textId="77777777" w:rsidTr="0053093A">
        <w:trPr>
          <w:jc w:val="center"/>
        </w:trPr>
        <w:tc>
          <w:tcPr>
            <w:tcW w:w="567" w:type="dxa"/>
            <w:vAlign w:val="center"/>
          </w:tcPr>
          <w:p w14:paraId="08077F79" w14:textId="4294975F" w:rsidR="00A35E38" w:rsidRPr="00A35E38" w:rsidRDefault="00A35E38" w:rsidP="0053093A">
            <w:pPr>
              <w:spacing w:before="20" w:after="20" w:line="240" w:lineRule="auto"/>
              <w:jc w:val="center"/>
              <w:rPr>
                <w:rFonts w:asciiTheme="minorHAnsi" w:hAnsiTheme="minorHAnsi" w:cstheme="minorHAnsi"/>
                <w:color w:val="000000"/>
                <w:sz w:val="20"/>
                <w:szCs w:val="20"/>
              </w:rPr>
            </w:pPr>
            <w:r w:rsidRPr="00A35E38">
              <w:rPr>
                <w:rFonts w:asciiTheme="minorHAnsi" w:hAnsiTheme="minorHAnsi" w:cstheme="minorHAnsi"/>
                <w:color w:val="000000"/>
                <w:sz w:val="20"/>
                <w:szCs w:val="20"/>
              </w:rPr>
              <w:t>25</w:t>
            </w:r>
          </w:p>
        </w:tc>
        <w:tc>
          <w:tcPr>
            <w:tcW w:w="11340" w:type="dxa"/>
            <w:vAlign w:val="center"/>
          </w:tcPr>
          <w:p w14:paraId="22B1FA02" w14:textId="597FF8B1" w:rsidR="00A35E38" w:rsidRPr="00A35E38" w:rsidRDefault="00A35E38" w:rsidP="0053093A">
            <w:pPr>
              <w:spacing w:before="20" w:after="20" w:line="240" w:lineRule="auto"/>
              <w:rPr>
                <w:rFonts w:asciiTheme="minorHAnsi" w:hAnsiTheme="minorHAnsi" w:cstheme="minorHAnsi"/>
                <w:sz w:val="20"/>
                <w:szCs w:val="20"/>
              </w:rPr>
            </w:pPr>
            <w:r w:rsidRPr="00A35E38">
              <w:rPr>
                <w:rFonts w:asciiTheme="minorHAnsi" w:hAnsiTheme="minorHAnsi" w:cstheme="minorHAnsi"/>
                <w:sz w:val="20"/>
                <w:szCs w:val="20"/>
              </w:rPr>
              <w:t>Obra de seccionamiento barra principal en S/E Carrera Pinto</w:t>
            </w:r>
          </w:p>
        </w:tc>
        <w:tc>
          <w:tcPr>
            <w:tcW w:w="1701" w:type="dxa"/>
            <w:vAlign w:val="center"/>
          </w:tcPr>
          <w:p w14:paraId="20D0E948" w14:textId="1D748EB2" w:rsidR="00A35E38" w:rsidRPr="00A35E38" w:rsidRDefault="00A35E38" w:rsidP="0053093A">
            <w:pPr>
              <w:spacing w:before="20" w:after="20" w:line="240" w:lineRule="auto"/>
              <w:jc w:val="right"/>
              <w:rPr>
                <w:rFonts w:asciiTheme="minorHAnsi" w:hAnsiTheme="minorHAnsi"/>
                <w:sz w:val="20"/>
                <w:szCs w:val="20"/>
              </w:rPr>
            </w:pPr>
            <w:r w:rsidRPr="00A35E38">
              <w:rPr>
                <w:rFonts w:asciiTheme="minorHAnsi" w:hAnsiTheme="minorHAnsi"/>
                <w:sz w:val="20"/>
                <w:szCs w:val="20"/>
              </w:rPr>
              <w:t>14.975,16</w:t>
            </w:r>
          </w:p>
        </w:tc>
      </w:tr>
      <w:tr w:rsidR="00A35E38" w:rsidRPr="00A35E38" w14:paraId="0913F159" w14:textId="77777777" w:rsidTr="0053093A">
        <w:trPr>
          <w:jc w:val="center"/>
        </w:trPr>
        <w:tc>
          <w:tcPr>
            <w:tcW w:w="567" w:type="dxa"/>
            <w:vAlign w:val="center"/>
          </w:tcPr>
          <w:p w14:paraId="2DE15111" w14:textId="1B9307D3" w:rsidR="00A35E38" w:rsidRPr="00A35E38" w:rsidRDefault="00A35E38" w:rsidP="0053093A">
            <w:pPr>
              <w:spacing w:before="20" w:after="20" w:line="240" w:lineRule="auto"/>
              <w:jc w:val="center"/>
              <w:rPr>
                <w:rFonts w:asciiTheme="minorHAnsi" w:hAnsiTheme="minorHAnsi" w:cstheme="minorHAnsi"/>
                <w:color w:val="000000"/>
                <w:sz w:val="20"/>
                <w:szCs w:val="20"/>
              </w:rPr>
            </w:pPr>
            <w:r w:rsidRPr="00A35E38">
              <w:rPr>
                <w:rFonts w:asciiTheme="minorHAnsi" w:hAnsiTheme="minorHAnsi" w:cstheme="minorHAnsi"/>
                <w:color w:val="000000"/>
                <w:sz w:val="20"/>
                <w:szCs w:val="20"/>
              </w:rPr>
              <w:lastRenderedPageBreak/>
              <w:t>26</w:t>
            </w:r>
          </w:p>
        </w:tc>
        <w:tc>
          <w:tcPr>
            <w:tcW w:w="11340" w:type="dxa"/>
            <w:vAlign w:val="center"/>
          </w:tcPr>
          <w:p w14:paraId="37EFD2CA" w14:textId="729FF63A" w:rsidR="00A35E38" w:rsidRPr="00A35E38" w:rsidRDefault="00A35E38" w:rsidP="0053093A">
            <w:pPr>
              <w:spacing w:before="20" w:after="20" w:line="240" w:lineRule="auto"/>
              <w:rPr>
                <w:rFonts w:asciiTheme="minorHAnsi" w:hAnsiTheme="minorHAnsi" w:cstheme="minorHAnsi"/>
                <w:sz w:val="20"/>
                <w:szCs w:val="20"/>
              </w:rPr>
            </w:pPr>
            <w:r w:rsidRPr="00A35E38">
              <w:rPr>
                <w:rFonts w:asciiTheme="minorHAnsi" w:hAnsiTheme="minorHAnsi" w:cstheme="minorHAnsi"/>
                <w:sz w:val="20"/>
                <w:szCs w:val="20"/>
              </w:rPr>
              <w:t>Obra de seccionamiento completo en subestación Rahue</w:t>
            </w:r>
          </w:p>
        </w:tc>
        <w:tc>
          <w:tcPr>
            <w:tcW w:w="1701" w:type="dxa"/>
            <w:vAlign w:val="center"/>
          </w:tcPr>
          <w:p w14:paraId="06767284" w14:textId="7DB60155" w:rsidR="00A35E38" w:rsidRPr="00A35E38" w:rsidRDefault="00A35E38" w:rsidP="0053093A">
            <w:pPr>
              <w:spacing w:before="20" w:after="20" w:line="240" w:lineRule="auto"/>
              <w:jc w:val="right"/>
              <w:rPr>
                <w:rFonts w:asciiTheme="minorHAnsi" w:hAnsiTheme="minorHAnsi"/>
                <w:sz w:val="20"/>
                <w:szCs w:val="20"/>
              </w:rPr>
            </w:pPr>
            <w:r w:rsidRPr="00A35E38">
              <w:rPr>
                <w:rFonts w:asciiTheme="minorHAnsi" w:hAnsiTheme="minorHAnsi"/>
                <w:sz w:val="20"/>
                <w:szCs w:val="20"/>
              </w:rPr>
              <w:t>17.411,69</w:t>
            </w:r>
          </w:p>
        </w:tc>
      </w:tr>
      <w:tr w:rsidR="00A35E38" w:rsidRPr="00A35E38" w14:paraId="4B8654B9" w14:textId="77777777" w:rsidTr="0053093A">
        <w:trPr>
          <w:jc w:val="center"/>
        </w:trPr>
        <w:tc>
          <w:tcPr>
            <w:tcW w:w="567" w:type="dxa"/>
            <w:vAlign w:val="center"/>
          </w:tcPr>
          <w:p w14:paraId="5B8D07F4" w14:textId="4A5E1A3B" w:rsidR="00A35E38" w:rsidRPr="00A35E38" w:rsidRDefault="00A35E38" w:rsidP="0053093A">
            <w:pPr>
              <w:spacing w:before="20" w:after="20" w:line="240" w:lineRule="auto"/>
              <w:jc w:val="center"/>
              <w:rPr>
                <w:rFonts w:asciiTheme="minorHAnsi" w:hAnsiTheme="minorHAnsi" w:cstheme="minorHAnsi"/>
                <w:color w:val="000000"/>
                <w:sz w:val="20"/>
                <w:szCs w:val="20"/>
              </w:rPr>
            </w:pPr>
            <w:r w:rsidRPr="00A35E38">
              <w:rPr>
                <w:rFonts w:asciiTheme="minorHAnsi" w:hAnsiTheme="minorHAnsi" w:cstheme="minorHAnsi"/>
                <w:color w:val="000000"/>
                <w:sz w:val="20"/>
                <w:szCs w:val="20"/>
              </w:rPr>
              <w:t>27</w:t>
            </w:r>
          </w:p>
        </w:tc>
        <w:tc>
          <w:tcPr>
            <w:tcW w:w="11340" w:type="dxa"/>
            <w:vAlign w:val="center"/>
          </w:tcPr>
          <w:p w14:paraId="4C770A89" w14:textId="1721291F" w:rsidR="00A35E38" w:rsidRPr="00A35E38" w:rsidRDefault="00A35E38" w:rsidP="0053093A">
            <w:pPr>
              <w:spacing w:before="20" w:after="20" w:line="240" w:lineRule="auto"/>
              <w:rPr>
                <w:rFonts w:asciiTheme="minorHAnsi" w:hAnsiTheme="minorHAnsi" w:cstheme="minorHAnsi"/>
                <w:sz w:val="20"/>
                <w:szCs w:val="20"/>
              </w:rPr>
            </w:pPr>
            <w:r w:rsidRPr="00A35E38">
              <w:rPr>
                <w:rFonts w:asciiTheme="minorHAnsi" w:hAnsiTheme="minorHAnsi" w:cstheme="minorHAnsi"/>
                <w:sz w:val="20"/>
                <w:szCs w:val="20"/>
              </w:rPr>
              <w:t>Obra de ampliación cambio de interruptores 52J23 y 52J3 en S/E Charrúa 220 kV</w:t>
            </w:r>
          </w:p>
        </w:tc>
        <w:tc>
          <w:tcPr>
            <w:tcW w:w="1701" w:type="dxa"/>
            <w:vAlign w:val="center"/>
          </w:tcPr>
          <w:p w14:paraId="0DDBFD05" w14:textId="6E333C03" w:rsidR="00A35E38" w:rsidRPr="00A35E38" w:rsidRDefault="00A35E38" w:rsidP="0053093A">
            <w:pPr>
              <w:spacing w:before="20" w:after="20" w:line="240" w:lineRule="auto"/>
              <w:jc w:val="right"/>
              <w:rPr>
                <w:rFonts w:asciiTheme="minorHAnsi" w:hAnsiTheme="minorHAnsi"/>
                <w:sz w:val="20"/>
                <w:szCs w:val="20"/>
              </w:rPr>
            </w:pPr>
            <w:r w:rsidRPr="00A35E38">
              <w:rPr>
                <w:rFonts w:asciiTheme="minorHAnsi" w:hAnsiTheme="minorHAnsi"/>
                <w:sz w:val="20"/>
                <w:szCs w:val="20"/>
              </w:rPr>
              <w:t>30.405,00</w:t>
            </w:r>
          </w:p>
        </w:tc>
      </w:tr>
      <w:tr w:rsidR="00A35E38" w:rsidRPr="00A35E38" w14:paraId="4DC7FFD5" w14:textId="77777777" w:rsidTr="0053093A">
        <w:trPr>
          <w:jc w:val="center"/>
        </w:trPr>
        <w:tc>
          <w:tcPr>
            <w:tcW w:w="567" w:type="dxa"/>
            <w:vAlign w:val="center"/>
          </w:tcPr>
          <w:p w14:paraId="534A05DF" w14:textId="3E92304F" w:rsidR="00A35E38" w:rsidRPr="00A35E38" w:rsidRDefault="00A35E38" w:rsidP="0053093A">
            <w:pPr>
              <w:spacing w:before="20" w:after="20" w:line="240" w:lineRule="auto"/>
              <w:jc w:val="center"/>
              <w:rPr>
                <w:rFonts w:asciiTheme="minorHAnsi" w:hAnsiTheme="minorHAnsi" w:cstheme="minorHAnsi"/>
                <w:color w:val="000000"/>
                <w:sz w:val="20"/>
                <w:szCs w:val="20"/>
              </w:rPr>
            </w:pPr>
            <w:r w:rsidRPr="00A35E38">
              <w:rPr>
                <w:rFonts w:asciiTheme="minorHAnsi" w:hAnsiTheme="minorHAnsi" w:cstheme="minorHAnsi"/>
                <w:color w:val="000000"/>
                <w:sz w:val="20"/>
                <w:szCs w:val="20"/>
              </w:rPr>
              <w:t>28</w:t>
            </w:r>
          </w:p>
        </w:tc>
        <w:tc>
          <w:tcPr>
            <w:tcW w:w="11340" w:type="dxa"/>
            <w:vAlign w:val="center"/>
          </w:tcPr>
          <w:p w14:paraId="59D02F8D" w14:textId="09540BDD" w:rsidR="00A35E38" w:rsidRPr="00A35E38" w:rsidRDefault="00A35E38" w:rsidP="0053093A">
            <w:pPr>
              <w:spacing w:before="20" w:after="20" w:line="240" w:lineRule="auto"/>
              <w:rPr>
                <w:rFonts w:asciiTheme="minorHAnsi" w:hAnsiTheme="minorHAnsi" w:cstheme="minorHAnsi"/>
                <w:sz w:val="20"/>
                <w:szCs w:val="20"/>
              </w:rPr>
            </w:pPr>
            <w:r w:rsidRPr="00A35E38">
              <w:rPr>
                <w:rFonts w:asciiTheme="minorHAnsi" w:hAnsiTheme="minorHAnsi" w:cstheme="minorHAnsi"/>
                <w:sz w:val="20"/>
                <w:szCs w:val="20"/>
              </w:rPr>
              <w:t>Obra de ampliación cambio de interruptores 52JS, 52JCE1, 52J6, 52JZ3 y 52J7 en S/E Alto Jahuel 220 kV</w:t>
            </w:r>
          </w:p>
        </w:tc>
        <w:tc>
          <w:tcPr>
            <w:tcW w:w="1701" w:type="dxa"/>
            <w:vAlign w:val="center"/>
          </w:tcPr>
          <w:p w14:paraId="22BD2883" w14:textId="7857C37F" w:rsidR="00A35E38" w:rsidRPr="00A35E38" w:rsidRDefault="00A35E38" w:rsidP="0053093A">
            <w:pPr>
              <w:spacing w:before="20" w:after="20" w:line="240" w:lineRule="auto"/>
              <w:jc w:val="right"/>
              <w:rPr>
                <w:rFonts w:asciiTheme="minorHAnsi" w:hAnsiTheme="minorHAnsi"/>
                <w:sz w:val="20"/>
                <w:szCs w:val="20"/>
              </w:rPr>
            </w:pPr>
            <w:r w:rsidRPr="00A35E38">
              <w:rPr>
                <w:rFonts w:asciiTheme="minorHAnsi" w:hAnsiTheme="minorHAnsi"/>
                <w:sz w:val="20"/>
                <w:szCs w:val="20"/>
              </w:rPr>
              <w:t>59.984,17</w:t>
            </w:r>
          </w:p>
        </w:tc>
      </w:tr>
      <w:tr w:rsidR="00A35E38" w:rsidRPr="00A35E38" w14:paraId="4F6D332E" w14:textId="77777777" w:rsidTr="0053093A">
        <w:trPr>
          <w:jc w:val="center"/>
        </w:trPr>
        <w:tc>
          <w:tcPr>
            <w:tcW w:w="567" w:type="dxa"/>
            <w:vAlign w:val="center"/>
          </w:tcPr>
          <w:p w14:paraId="511D3FE6" w14:textId="59F3D167" w:rsidR="00A35E38" w:rsidRPr="00A35E38" w:rsidRDefault="00A35E38" w:rsidP="0053093A">
            <w:pPr>
              <w:spacing w:before="20" w:after="20" w:line="240" w:lineRule="auto"/>
              <w:jc w:val="center"/>
              <w:rPr>
                <w:rFonts w:asciiTheme="minorHAnsi" w:hAnsiTheme="minorHAnsi" w:cstheme="minorHAnsi"/>
                <w:color w:val="000000"/>
                <w:sz w:val="20"/>
                <w:szCs w:val="20"/>
              </w:rPr>
            </w:pPr>
            <w:r w:rsidRPr="00A35E38">
              <w:rPr>
                <w:rFonts w:asciiTheme="minorHAnsi" w:hAnsiTheme="minorHAnsi" w:cstheme="minorHAnsi"/>
                <w:color w:val="000000"/>
                <w:sz w:val="20"/>
                <w:szCs w:val="20"/>
              </w:rPr>
              <w:t>29</w:t>
            </w:r>
          </w:p>
        </w:tc>
        <w:tc>
          <w:tcPr>
            <w:tcW w:w="11340" w:type="dxa"/>
            <w:vAlign w:val="center"/>
          </w:tcPr>
          <w:p w14:paraId="6A293DFB" w14:textId="79B53667" w:rsidR="00A35E38" w:rsidRPr="00A35E38" w:rsidRDefault="00A35E38" w:rsidP="0053093A">
            <w:pPr>
              <w:spacing w:before="20" w:after="20" w:line="240" w:lineRule="auto"/>
              <w:rPr>
                <w:rFonts w:asciiTheme="minorHAnsi" w:hAnsiTheme="minorHAnsi" w:cstheme="minorHAnsi"/>
                <w:sz w:val="20"/>
                <w:szCs w:val="20"/>
              </w:rPr>
            </w:pPr>
            <w:r w:rsidRPr="00A35E38">
              <w:rPr>
                <w:rFonts w:asciiTheme="minorHAnsi" w:hAnsiTheme="minorHAnsi" w:cstheme="minorHAnsi"/>
                <w:sz w:val="20"/>
                <w:szCs w:val="20"/>
              </w:rPr>
              <w:t>Obra de ampliación cambio de interruptores 52JT5, 52JT6 y 52J15 en S/E Charrúa 220 kV</w:t>
            </w:r>
          </w:p>
        </w:tc>
        <w:tc>
          <w:tcPr>
            <w:tcW w:w="1701" w:type="dxa"/>
            <w:vAlign w:val="center"/>
          </w:tcPr>
          <w:p w14:paraId="4B3BC7CF" w14:textId="37F51364" w:rsidR="00A35E38" w:rsidRPr="00A35E38" w:rsidRDefault="00A35E38" w:rsidP="0053093A">
            <w:pPr>
              <w:spacing w:before="20" w:after="20" w:line="240" w:lineRule="auto"/>
              <w:jc w:val="right"/>
              <w:rPr>
                <w:rFonts w:asciiTheme="minorHAnsi" w:hAnsiTheme="minorHAnsi"/>
                <w:sz w:val="20"/>
                <w:szCs w:val="20"/>
              </w:rPr>
            </w:pPr>
            <w:r w:rsidRPr="00A35E38">
              <w:rPr>
                <w:rFonts w:asciiTheme="minorHAnsi" w:hAnsiTheme="minorHAnsi"/>
                <w:sz w:val="20"/>
                <w:szCs w:val="20"/>
              </w:rPr>
              <w:t>35.878,48</w:t>
            </w:r>
          </w:p>
        </w:tc>
      </w:tr>
      <w:tr w:rsidR="00A35E38" w:rsidRPr="00A35E38" w14:paraId="357CE63A" w14:textId="77777777" w:rsidTr="0053093A">
        <w:trPr>
          <w:jc w:val="center"/>
        </w:trPr>
        <w:tc>
          <w:tcPr>
            <w:tcW w:w="567" w:type="dxa"/>
            <w:vAlign w:val="center"/>
          </w:tcPr>
          <w:p w14:paraId="2092763C" w14:textId="4FF5B47A" w:rsidR="00A35E38" w:rsidRPr="00A35E38" w:rsidRDefault="00A35E38" w:rsidP="0053093A">
            <w:pPr>
              <w:spacing w:before="20" w:after="20" w:line="240" w:lineRule="auto"/>
              <w:jc w:val="center"/>
              <w:rPr>
                <w:rFonts w:asciiTheme="minorHAnsi" w:hAnsiTheme="minorHAnsi" w:cstheme="minorHAnsi"/>
                <w:color w:val="000000"/>
                <w:sz w:val="20"/>
                <w:szCs w:val="20"/>
              </w:rPr>
            </w:pPr>
            <w:r w:rsidRPr="00A35E38">
              <w:rPr>
                <w:rFonts w:asciiTheme="minorHAnsi" w:hAnsiTheme="minorHAnsi" w:cstheme="minorHAnsi"/>
                <w:color w:val="000000"/>
                <w:sz w:val="20"/>
                <w:szCs w:val="20"/>
              </w:rPr>
              <w:t>30</w:t>
            </w:r>
          </w:p>
        </w:tc>
        <w:tc>
          <w:tcPr>
            <w:tcW w:w="11340" w:type="dxa"/>
            <w:vAlign w:val="center"/>
          </w:tcPr>
          <w:p w14:paraId="2DCE8CF4" w14:textId="20197B4C" w:rsidR="00A35E38" w:rsidRPr="00A35E38" w:rsidRDefault="00A35E38" w:rsidP="0053093A">
            <w:pPr>
              <w:spacing w:before="20" w:after="20" w:line="240" w:lineRule="auto"/>
              <w:rPr>
                <w:rFonts w:asciiTheme="minorHAnsi" w:hAnsiTheme="minorHAnsi" w:cstheme="minorHAnsi"/>
                <w:sz w:val="20"/>
                <w:szCs w:val="20"/>
              </w:rPr>
            </w:pPr>
            <w:r w:rsidRPr="00A35E38">
              <w:rPr>
                <w:rFonts w:asciiTheme="minorHAnsi" w:hAnsiTheme="minorHAnsi" w:cstheme="minorHAnsi"/>
                <w:sz w:val="20"/>
                <w:szCs w:val="20"/>
              </w:rPr>
              <w:t>Obra de ampliación S/E Temuco 220 kV</w:t>
            </w:r>
          </w:p>
        </w:tc>
        <w:tc>
          <w:tcPr>
            <w:tcW w:w="1701" w:type="dxa"/>
            <w:vAlign w:val="center"/>
          </w:tcPr>
          <w:p w14:paraId="6802261C" w14:textId="0C9BD752" w:rsidR="00A35E38" w:rsidRPr="00A35E38" w:rsidRDefault="00A35E38" w:rsidP="0053093A">
            <w:pPr>
              <w:spacing w:before="20" w:after="20" w:line="240" w:lineRule="auto"/>
              <w:jc w:val="right"/>
              <w:rPr>
                <w:rFonts w:asciiTheme="minorHAnsi" w:hAnsiTheme="minorHAnsi"/>
                <w:sz w:val="20"/>
                <w:szCs w:val="20"/>
              </w:rPr>
            </w:pPr>
            <w:r w:rsidRPr="00A35E38">
              <w:rPr>
                <w:rFonts w:asciiTheme="minorHAnsi" w:hAnsiTheme="minorHAnsi"/>
                <w:sz w:val="20"/>
                <w:szCs w:val="20"/>
              </w:rPr>
              <w:t>98.469,97</w:t>
            </w:r>
          </w:p>
        </w:tc>
      </w:tr>
      <w:tr w:rsidR="00A35E38" w:rsidRPr="00A35E38" w14:paraId="174F898B" w14:textId="77777777" w:rsidTr="0053093A">
        <w:trPr>
          <w:jc w:val="center"/>
        </w:trPr>
        <w:tc>
          <w:tcPr>
            <w:tcW w:w="567" w:type="dxa"/>
            <w:vAlign w:val="center"/>
          </w:tcPr>
          <w:p w14:paraId="07B8E5BA" w14:textId="51A02DEB" w:rsidR="00A35E38" w:rsidRPr="00A35E38" w:rsidRDefault="00A35E38" w:rsidP="0053093A">
            <w:pPr>
              <w:spacing w:before="20" w:after="20" w:line="240" w:lineRule="auto"/>
              <w:jc w:val="center"/>
              <w:rPr>
                <w:rFonts w:asciiTheme="minorHAnsi" w:hAnsiTheme="minorHAnsi" w:cstheme="minorHAnsi"/>
                <w:color w:val="000000"/>
                <w:sz w:val="20"/>
                <w:szCs w:val="20"/>
              </w:rPr>
            </w:pPr>
            <w:r w:rsidRPr="00A35E38">
              <w:rPr>
                <w:rFonts w:asciiTheme="minorHAnsi" w:hAnsiTheme="minorHAnsi" w:cstheme="minorHAnsi"/>
                <w:color w:val="000000"/>
                <w:sz w:val="20"/>
                <w:szCs w:val="20"/>
              </w:rPr>
              <w:t>31</w:t>
            </w:r>
          </w:p>
        </w:tc>
        <w:tc>
          <w:tcPr>
            <w:tcW w:w="11340" w:type="dxa"/>
            <w:vAlign w:val="center"/>
          </w:tcPr>
          <w:p w14:paraId="5B51B6DB" w14:textId="090E7501" w:rsidR="00A35E38" w:rsidRPr="00A35E38" w:rsidRDefault="00A35E38" w:rsidP="0053093A">
            <w:pPr>
              <w:spacing w:before="20" w:after="20" w:line="240" w:lineRule="auto"/>
              <w:rPr>
                <w:rFonts w:asciiTheme="minorHAnsi" w:hAnsiTheme="minorHAnsi" w:cstheme="minorHAnsi"/>
                <w:sz w:val="20"/>
                <w:szCs w:val="20"/>
              </w:rPr>
            </w:pPr>
            <w:r w:rsidRPr="00A35E38">
              <w:rPr>
                <w:rFonts w:asciiTheme="minorHAnsi" w:hAnsiTheme="minorHAnsi" w:cstheme="minorHAnsi"/>
                <w:sz w:val="20"/>
                <w:szCs w:val="20"/>
              </w:rPr>
              <w:t>Normalización en S/E Alto Jahuel 220 kV</w:t>
            </w:r>
          </w:p>
        </w:tc>
        <w:tc>
          <w:tcPr>
            <w:tcW w:w="1701" w:type="dxa"/>
            <w:vAlign w:val="center"/>
          </w:tcPr>
          <w:p w14:paraId="68E0E8CA" w14:textId="0AAB58AB" w:rsidR="00A35E38" w:rsidRPr="00A35E38" w:rsidRDefault="00A35E38" w:rsidP="0053093A">
            <w:pPr>
              <w:spacing w:before="20" w:after="20" w:line="240" w:lineRule="auto"/>
              <w:jc w:val="right"/>
              <w:rPr>
                <w:rFonts w:asciiTheme="minorHAnsi" w:hAnsiTheme="minorHAnsi"/>
                <w:sz w:val="20"/>
                <w:szCs w:val="20"/>
              </w:rPr>
            </w:pPr>
            <w:r w:rsidRPr="00A35E38">
              <w:rPr>
                <w:rFonts w:asciiTheme="minorHAnsi" w:hAnsiTheme="minorHAnsi"/>
                <w:sz w:val="20"/>
                <w:szCs w:val="20"/>
              </w:rPr>
              <w:t>21.090,63</w:t>
            </w:r>
          </w:p>
        </w:tc>
      </w:tr>
      <w:tr w:rsidR="00A35E38" w:rsidRPr="00A35E38" w14:paraId="39DAEA1C" w14:textId="77777777" w:rsidTr="0053093A">
        <w:trPr>
          <w:jc w:val="center"/>
        </w:trPr>
        <w:tc>
          <w:tcPr>
            <w:tcW w:w="567" w:type="dxa"/>
            <w:vAlign w:val="center"/>
          </w:tcPr>
          <w:p w14:paraId="1507D1E8" w14:textId="6A755F87" w:rsidR="00A35E38" w:rsidRPr="00A35E38" w:rsidRDefault="00A35E38" w:rsidP="0053093A">
            <w:pPr>
              <w:spacing w:before="20" w:after="20" w:line="240" w:lineRule="auto"/>
              <w:jc w:val="center"/>
              <w:rPr>
                <w:rFonts w:asciiTheme="minorHAnsi" w:hAnsiTheme="minorHAnsi" w:cstheme="minorHAnsi"/>
                <w:color w:val="000000"/>
                <w:sz w:val="20"/>
                <w:szCs w:val="20"/>
              </w:rPr>
            </w:pPr>
            <w:r w:rsidRPr="00A35E38">
              <w:rPr>
                <w:rFonts w:asciiTheme="minorHAnsi" w:hAnsiTheme="minorHAnsi" w:cstheme="minorHAnsi"/>
                <w:color w:val="000000"/>
                <w:sz w:val="20"/>
                <w:szCs w:val="20"/>
              </w:rPr>
              <w:t>32</w:t>
            </w:r>
          </w:p>
        </w:tc>
        <w:tc>
          <w:tcPr>
            <w:tcW w:w="11340" w:type="dxa"/>
            <w:vAlign w:val="center"/>
          </w:tcPr>
          <w:p w14:paraId="680C78B0" w14:textId="33DE9BDB" w:rsidR="00A35E38" w:rsidRPr="00A35E38" w:rsidRDefault="00A35E38" w:rsidP="0053093A">
            <w:pPr>
              <w:spacing w:before="20" w:after="20" w:line="240" w:lineRule="auto"/>
              <w:rPr>
                <w:rFonts w:asciiTheme="minorHAnsi" w:hAnsiTheme="minorHAnsi" w:cstheme="minorHAnsi"/>
                <w:sz w:val="20"/>
                <w:szCs w:val="20"/>
              </w:rPr>
            </w:pPr>
            <w:r w:rsidRPr="00A35E38">
              <w:rPr>
                <w:rFonts w:asciiTheme="minorHAnsi" w:hAnsiTheme="minorHAnsi" w:cstheme="minorHAnsi"/>
                <w:sz w:val="20"/>
                <w:szCs w:val="20"/>
              </w:rPr>
              <w:t>Aumento de capacidad de la línea 1x220 kV Cardones - Carrera Pinto - Diego de Almagro</w:t>
            </w:r>
          </w:p>
        </w:tc>
        <w:tc>
          <w:tcPr>
            <w:tcW w:w="1701" w:type="dxa"/>
            <w:vAlign w:val="center"/>
          </w:tcPr>
          <w:p w14:paraId="417ED5BF" w14:textId="7E0DE3EA" w:rsidR="00A35E38" w:rsidRPr="00A35E38" w:rsidRDefault="00A35E38" w:rsidP="0053093A">
            <w:pPr>
              <w:spacing w:before="20" w:after="20" w:line="240" w:lineRule="auto"/>
              <w:jc w:val="right"/>
              <w:rPr>
                <w:rFonts w:asciiTheme="minorHAnsi" w:hAnsiTheme="minorHAnsi"/>
                <w:sz w:val="20"/>
                <w:szCs w:val="20"/>
              </w:rPr>
            </w:pPr>
            <w:r w:rsidRPr="00A35E38">
              <w:rPr>
                <w:rFonts w:asciiTheme="minorHAnsi" w:hAnsiTheme="minorHAnsi"/>
                <w:sz w:val="20"/>
                <w:szCs w:val="20"/>
              </w:rPr>
              <w:t>3.274.382,06</w:t>
            </w:r>
          </w:p>
        </w:tc>
      </w:tr>
      <w:tr w:rsidR="00A35E38" w:rsidRPr="00A35E38" w14:paraId="18650F88" w14:textId="77777777" w:rsidTr="0053093A">
        <w:trPr>
          <w:jc w:val="center"/>
        </w:trPr>
        <w:tc>
          <w:tcPr>
            <w:tcW w:w="567" w:type="dxa"/>
            <w:vAlign w:val="center"/>
          </w:tcPr>
          <w:p w14:paraId="791B7483" w14:textId="75ED9385" w:rsidR="00A35E38" w:rsidRPr="00A35E38" w:rsidRDefault="00A35E38" w:rsidP="0053093A">
            <w:pPr>
              <w:spacing w:before="20" w:after="20" w:line="240" w:lineRule="auto"/>
              <w:jc w:val="center"/>
              <w:rPr>
                <w:rFonts w:asciiTheme="minorHAnsi" w:hAnsiTheme="minorHAnsi" w:cstheme="minorHAnsi"/>
                <w:color w:val="000000"/>
                <w:sz w:val="20"/>
                <w:szCs w:val="20"/>
              </w:rPr>
            </w:pPr>
            <w:r w:rsidRPr="00A35E38">
              <w:rPr>
                <w:rFonts w:asciiTheme="minorHAnsi" w:hAnsiTheme="minorHAnsi" w:cstheme="minorHAnsi"/>
                <w:color w:val="000000"/>
                <w:sz w:val="20"/>
                <w:szCs w:val="20"/>
              </w:rPr>
              <w:t>33</w:t>
            </w:r>
          </w:p>
        </w:tc>
        <w:tc>
          <w:tcPr>
            <w:tcW w:w="11340" w:type="dxa"/>
            <w:vAlign w:val="center"/>
          </w:tcPr>
          <w:p w14:paraId="2D51C7AB" w14:textId="36415DE9" w:rsidR="00A35E38" w:rsidRPr="00A35E38" w:rsidRDefault="00A35E38" w:rsidP="0053093A">
            <w:pPr>
              <w:spacing w:before="20" w:after="20" w:line="240" w:lineRule="auto"/>
              <w:rPr>
                <w:rFonts w:asciiTheme="minorHAnsi" w:hAnsiTheme="minorHAnsi" w:cstheme="minorHAnsi"/>
                <w:sz w:val="20"/>
                <w:szCs w:val="20"/>
              </w:rPr>
            </w:pPr>
            <w:r w:rsidRPr="00A35E38">
              <w:rPr>
                <w:rFonts w:asciiTheme="minorHAnsi" w:hAnsiTheme="minorHAnsi" w:cstheme="minorHAnsi"/>
                <w:sz w:val="20"/>
                <w:szCs w:val="20"/>
              </w:rPr>
              <w:t>Obra nueva Línea Ancoa –A. Jahuel 2x500 kV (2do cto) (*)</w:t>
            </w:r>
          </w:p>
        </w:tc>
        <w:tc>
          <w:tcPr>
            <w:tcW w:w="1701" w:type="dxa"/>
            <w:vAlign w:val="center"/>
          </w:tcPr>
          <w:p w14:paraId="3565AB30" w14:textId="04BC9295" w:rsidR="00A35E38" w:rsidRPr="00A35E38" w:rsidRDefault="00A35E38" w:rsidP="0053093A">
            <w:pPr>
              <w:spacing w:before="20" w:after="20" w:line="240" w:lineRule="auto"/>
              <w:jc w:val="right"/>
              <w:rPr>
                <w:rFonts w:asciiTheme="minorHAnsi" w:hAnsiTheme="minorHAnsi"/>
                <w:sz w:val="20"/>
                <w:szCs w:val="20"/>
              </w:rPr>
            </w:pPr>
            <w:r w:rsidRPr="00A35E38">
              <w:rPr>
                <w:rFonts w:asciiTheme="minorHAnsi" w:hAnsiTheme="minorHAnsi"/>
                <w:sz w:val="20"/>
                <w:szCs w:val="20"/>
              </w:rPr>
              <w:t>-</w:t>
            </w:r>
          </w:p>
        </w:tc>
      </w:tr>
      <w:tr w:rsidR="00A35E38" w:rsidRPr="00A35E38" w14:paraId="5375856A" w14:textId="77777777" w:rsidTr="0053093A">
        <w:trPr>
          <w:jc w:val="center"/>
        </w:trPr>
        <w:tc>
          <w:tcPr>
            <w:tcW w:w="567" w:type="dxa"/>
            <w:vAlign w:val="center"/>
          </w:tcPr>
          <w:p w14:paraId="0E18DCA6" w14:textId="515016EC" w:rsidR="00A35E38" w:rsidRPr="00A35E38" w:rsidRDefault="00A35E38" w:rsidP="0053093A">
            <w:pPr>
              <w:spacing w:before="20" w:after="20" w:line="240" w:lineRule="auto"/>
              <w:jc w:val="center"/>
              <w:rPr>
                <w:rFonts w:asciiTheme="minorHAnsi" w:hAnsiTheme="minorHAnsi" w:cstheme="minorHAnsi"/>
                <w:color w:val="000000"/>
                <w:sz w:val="20"/>
                <w:szCs w:val="20"/>
              </w:rPr>
            </w:pPr>
            <w:r w:rsidRPr="00A35E38">
              <w:rPr>
                <w:rFonts w:asciiTheme="minorHAnsi" w:hAnsiTheme="minorHAnsi" w:cstheme="minorHAnsi"/>
                <w:color w:val="000000"/>
                <w:sz w:val="20"/>
                <w:szCs w:val="20"/>
              </w:rPr>
              <w:t>34</w:t>
            </w:r>
          </w:p>
        </w:tc>
        <w:tc>
          <w:tcPr>
            <w:tcW w:w="11340" w:type="dxa"/>
            <w:vAlign w:val="center"/>
          </w:tcPr>
          <w:p w14:paraId="6AD596C8" w14:textId="088C4FCD" w:rsidR="00A35E38" w:rsidRPr="00A35E38" w:rsidRDefault="00A35E38" w:rsidP="0053093A">
            <w:pPr>
              <w:spacing w:before="20" w:after="20" w:line="240" w:lineRule="auto"/>
              <w:rPr>
                <w:rFonts w:asciiTheme="minorHAnsi" w:hAnsiTheme="minorHAnsi" w:cstheme="minorHAnsi"/>
                <w:sz w:val="20"/>
                <w:szCs w:val="20"/>
              </w:rPr>
            </w:pPr>
            <w:r w:rsidRPr="00A35E38">
              <w:rPr>
                <w:rFonts w:asciiTheme="minorHAnsi" w:hAnsiTheme="minorHAnsi" w:cstheme="minorHAnsi"/>
                <w:sz w:val="20"/>
                <w:szCs w:val="20"/>
              </w:rPr>
              <w:t>Línea Punta Cortés Tuniche 2x220kV</w:t>
            </w:r>
          </w:p>
        </w:tc>
        <w:tc>
          <w:tcPr>
            <w:tcW w:w="1701" w:type="dxa"/>
            <w:vAlign w:val="center"/>
          </w:tcPr>
          <w:p w14:paraId="1F0665A1" w14:textId="09DE2CD0" w:rsidR="00A35E38" w:rsidRPr="00A35E38" w:rsidRDefault="00A35E38" w:rsidP="0053093A">
            <w:pPr>
              <w:spacing w:before="20" w:after="20" w:line="240" w:lineRule="auto"/>
              <w:jc w:val="right"/>
              <w:rPr>
                <w:rFonts w:asciiTheme="minorHAnsi" w:hAnsiTheme="minorHAnsi"/>
                <w:sz w:val="20"/>
                <w:szCs w:val="20"/>
              </w:rPr>
            </w:pPr>
            <w:r w:rsidRPr="00A35E38">
              <w:rPr>
                <w:rFonts w:asciiTheme="minorHAnsi" w:hAnsiTheme="minorHAnsi"/>
                <w:sz w:val="20"/>
                <w:szCs w:val="20"/>
              </w:rPr>
              <w:t>27.716,31</w:t>
            </w:r>
          </w:p>
        </w:tc>
      </w:tr>
      <w:tr w:rsidR="00A35E38" w:rsidRPr="00A35E38" w14:paraId="7A678F1A" w14:textId="77777777" w:rsidTr="0053093A">
        <w:trPr>
          <w:jc w:val="center"/>
        </w:trPr>
        <w:tc>
          <w:tcPr>
            <w:tcW w:w="567" w:type="dxa"/>
            <w:vAlign w:val="center"/>
          </w:tcPr>
          <w:p w14:paraId="22A3F086" w14:textId="77777777" w:rsidR="00A35E38" w:rsidRPr="00A35E38" w:rsidRDefault="00A35E38" w:rsidP="0053093A">
            <w:pPr>
              <w:spacing w:before="20" w:after="20" w:line="240" w:lineRule="auto"/>
              <w:jc w:val="center"/>
              <w:rPr>
                <w:rFonts w:asciiTheme="minorHAnsi" w:hAnsiTheme="minorHAnsi" w:cstheme="minorHAnsi"/>
                <w:color w:val="000000"/>
                <w:sz w:val="20"/>
                <w:szCs w:val="20"/>
              </w:rPr>
            </w:pPr>
          </w:p>
        </w:tc>
        <w:tc>
          <w:tcPr>
            <w:tcW w:w="11340" w:type="dxa"/>
            <w:vAlign w:val="center"/>
          </w:tcPr>
          <w:p w14:paraId="064F11A3" w14:textId="77777777" w:rsidR="00A35E38" w:rsidRPr="00A35E38" w:rsidRDefault="00A35E38" w:rsidP="0053093A">
            <w:pPr>
              <w:spacing w:before="20" w:after="20" w:line="240" w:lineRule="auto"/>
              <w:rPr>
                <w:rFonts w:asciiTheme="minorHAnsi" w:hAnsiTheme="minorHAnsi" w:cstheme="minorHAnsi"/>
                <w:sz w:val="20"/>
                <w:szCs w:val="20"/>
              </w:rPr>
            </w:pPr>
          </w:p>
        </w:tc>
        <w:tc>
          <w:tcPr>
            <w:tcW w:w="1701" w:type="dxa"/>
            <w:vAlign w:val="center"/>
          </w:tcPr>
          <w:p w14:paraId="22643C3C" w14:textId="77777777" w:rsidR="00A35E38" w:rsidRPr="00A35E38" w:rsidRDefault="00A35E38" w:rsidP="0053093A">
            <w:pPr>
              <w:spacing w:before="20" w:after="20" w:line="240" w:lineRule="auto"/>
              <w:jc w:val="right"/>
              <w:rPr>
                <w:rFonts w:asciiTheme="minorHAnsi" w:hAnsiTheme="minorHAnsi"/>
                <w:sz w:val="20"/>
                <w:szCs w:val="20"/>
              </w:rPr>
            </w:pPr>
          </w:p>
        </w:tc>
      </w:tr>
    </w:tbl>
    <w:p w14:paraId="5644A63C" w14:textId="3A0ABC56" w:rsidR="00F4775A" w:rsidRDefault="00F4775A" w:rsidP="00F4775A">
      <w:pPr>
        <w:pStyle w:val="Prrafodelista1"/>
        <w:ind w:left="0"/>
      </w:pPr>
    </w:p>
    <w:p w14:paraId="1A1B54B8" w14:textId="77777777" w:rsidR="00A35E38" w:rsidRDefault="00A35E38" w:rsidP="00A35E38">
      <w:pPr>
        <w:pStyle w:val="Prrafodelista1"/>
        <w:ind w:left="0"/>
        <w:rPr>
          <w:sz w:val="20"/>
          <w:szCs w:val="20"/>
        </w:rPr>
      </w:pPr>
      <w:r w:rsidRPr="00F64FD2">
        <w:rPr>
          <w:sz w:val="20"/>
          <w:szCs w:val="20"/>
        </w:rPr>
        <w:t xml:space="preserve">(*) AJTE, propietario de la obra de ampliación “Obra nueva Línea Ancoa - A. Jahuel 2x500 kV (2do cto)”, informó las características de las labores de ampliación efectuadas, pero no </w:t>
      </w:r>
      <w:r>
        <w:rPr>
          <w:sz w:val="20"/>
          <w:szCs w:val="20"/>
        </w:rPr>
        <w:t>presentó</w:t>
      </w:r>
      <w:r w:rsidRPr="00F64FD2">
        <w:rPr>
          <w:sz w:val="20"/>
          <w:szCs w:val="20"/>
        </w:rPr>
        <w:t xml:space="preserve"> un desglose de los costos </w:t>
      </w:r>
      <w:r>
        <w:rPr>
          <w:sz w:val="20"/>
          <w:szCs w:val="20"/>
        </w:rPr>
        <w:t>respectivos</w:t>
      </w:r>
      <w:r w:rsidRPr="00F64FD2">
        <w:rPr>
          <w:sz w:val="20"/>
          <w:szCs w:val="20"/>
        </w:rPr>
        <w:t>. El Consultor determinará el V.I. y el A.V.I. correspondiente en el Informe Final Preliminar, y una vez remitidos los antecedentes respectivos.</w:t>
      </w:r>
    </w:p>
    <w:p w14:paraId="7C136B37" w14:textId="253D3FA5" w:rsidR="00A35E38" w:rsidRDefault="00A35E38" w:rsidP="00F4775A">
      <w:pPr>
        <w:pStyle w:val="Prrafodelista1"/>
        <w:ind w:left="0"/>
      </w:pPr>
    </w:p>
    <w:p w14:paraId="39BF66AC" w14:textId="77777777" w:rsidR="00A35E38" w:rsidRDefault="00A35E38" w:rsidP="00F4775A">
      <w:pPr>
        <w:pStyle w:val="Prrafodelista1"/>
        <w:ind w:left="0"/>
        <w:sectPr w:rsidR="00A35E38" w:rsidSect="00997297">
          <w:pgSz w:w="15842" w:h="12242" w:orient="landscape" w:code="1"/>
          <w:pgMar w:top="1418" w:right="1134" w:bottom="1134" w:left="1134" w:header="851" w:footer="1134" w:gutter="0"/>
          <w:cols w:space="708"/>
          <w:titlePg/>
          <w:docGrid w:linePitch="360"/>
        </w:sectPr>
      </w:pPr>
    </w:p>
    <w:p w14:paraId="68D40531" w14:textId="6F7B3163" w:rsidR="009E32FD" w:rsidRPr="009E32FD" w:rsidRDefault="009E32FD" w:rsidP="009E32FD">
      <w:pPr>
        <w:pStyle w:val="Ttulo1"/>
      </w:pPr>
      <w:bookmarkStart w:id="510" w:name="_Toc39797880"/>
      <w:r w:rsidRPr="009E32FD">
        <w:lastRenderedPageBreak/>
        <w:t>D</w:t>
      </w:r>
      <w:r w:rsidR="00E8341C">
        <w:t>eterminación del V.A.T.T.</w:t>
      </w:r>
      <w:bookmarkEnd w:id="510"/>
    </w:p>
    <w:p w14:paraId="28D80F87" w14:textId="77777777" w:rsidR="001B4185" w:rsidRPr="001B4185" w:rsidRDefault="001B4185" w:rsidP="001B4185">
      <w:pPr>
        <w:pStyle w:val="Ttulo2"/>
        <w:rPr>
          <w:sz w:val="24"/>
          <w:szCs w:val="24"/>
        </w:rPr>
      </w:pPr>
      <w:bookmarkStart w:id="511" w:name="_Toc27147801"/>
      <w:bookmarkStart w:id="512" w:name="_Toc39797881"/>
      <w:r w:rsidRPr="001B4185">
        <w:rPr>
          <w:sz w:val="24"/>
          <w:szCs w:val="24"/>
        </w:rPr>
        <w:t>Antecedentes generales</w:t>
      </w:r>
      <w:bookmarkEnd w:id="511"/>
      <w:bookmarkEnd w:id="512"/>
    </w:p>
    <w:p w14:paraId="03D88903" w14:textId="77777777" w:rsidR="001B4185" w:rsidRPr="001B4185" w:rsidRDefault="001B4185" w:rsidP="001B4185">
      <w:pPr>
        <w:pStyle w:val="Ttulo3"/>
      </w:pPr>
      <w:bookmarkStart w:id="513" w:name="_Toc27147802"/>
      <w:bookmarkStart w:id="514" w:name="_Toc39797882"/>
      <w:r w:rsidRPr="001B4185">
        <w:t>Conceptos Generales</w:t>
      </w:r>
      <w:bookmarkEnd w:id="513"/>
      <w:bookmarkEnd w:id="514"/>
    </w:p>
    <w:p w14:paraId="250CD8D6" w14:textId="77777777" w:rsidR="001B4185" w:rsidRPr="00EE2F47" w:rsidRDefault="001B4185" w:rsidP="001B4185">
      <w:r w:rsidRPr="00EE2F47">
        <w:t>Se define el Valor Anual de la Transmisión por Tramo, o V.A.T.T. como la suma de la Anualidad del Valor de Inversión del tramo en estudio (A.V.I.), y de los costos anuales de operación, mantenimiento y administración del tramo respectivo (C.O.M.A.), ajustados por los efectos de impuestos a la renta.</w:t>
      </w:r>
    </w:p>
    <w:p w14:paraId="78E74BAD" w14:textId="77777777" w:rsidR="001B4185" w:rsidRPr="00EE2F47" w:rsidRDefault="001B4185" w:rsidP="001B4185">
      <w:r w:rsidRPr="00EE2F47">
        <w:t>Así, el A.V.I. -o anualidad del V.I.- correspondiente a la anualidad del valor de inversión de un tramo de transporte o de subestación, se establece como una componente del V.A.T.T., y se define como la suma de las anualidades del valor de inversión de cada tipo de instalación que componen el tramo de transporte o de subestación, incluida la anualidad de los derechos relacionados con el uso de suelo y medio ambiente</w:t>
      </w:r>
      <w:r w:rsidRPr="00047802">
        <w:rPr>
          <w:vertAlign w:val="superscript"/>
        </w:rPr>
        <w:footnoteReference w:id="34"/>
      </w:r>
      <w:r w:rsidRPr="00EE2F47">
        <w:t>.</w:t>
      </w:r>
    </w:p>
    <w:p w14:paraId="5C4F260E" w14:textId="77777777" w:rsidR="001B4185" w:rsidRPr="00EE2F47" w:rsidRDefault="001B4185" w:rsidP="001B4185">
      <w:r w:rsidRPr="00EE2F47">
        <w:t>En tanto anualidad de componentes de inversión, el A.V.I. de las instalaciones existentes debe calcularse considerando la vida útil de cada tipo de instalación o componente, así como la tasa de descuento correspondiente, esta última según la definición y procedimiento de determinación establecidos a estos efectos en el Artículo 118° y Artículo 119° de la LGSE respectivamente.</w:t>
      </w:r>
    </w:p>
    <w:p w14:paraId="6373CAD0" w14:textId="77777777" w:rsidR="001B4185" w:rsidRPr="00EE2F47" w:rsidRDefault="001B4185" w:rsidP="001B4185">
      <w:r w:rsidRPr="00EE2F47">
        <w:t>De acuerdo a las señaladas disposiciones legales, la tasa de descuento a utilizar para determinar el V.A.T.T. aplicable al cuadrienio 2020-2023 corresponde al 7,00%, según se consigna en el Informe Técnico de la CNE a que se refiere el Artículo 119°, y que contiene el valor de ésta, así como el de sus diferentes componentes</w:t>
      </w:r>
      <w:r w:rsidRPr="00047802">
        <w:rPr>
          <w:vertAlign w:val="superscript"/>
        </w:rPr>
        <w:footnoteReference w:id="35"/>
      </w:r>
      <w:r w:rsidRPr="00EE2F47">
        <w:t>.</w:t>
      </w:r>
    </w:p>
    <w:p w14:paraId="6C3884B2" w14:textId="77777777" w:rsidR="001B4185" w:rsidRDefault="001B4185" w:rsidP="001B4185">
      <w:bookmarkStart w:id="515" w:name="_Hlk10546588"/>
      <w:r w:rsidRPr="00EE2F47">
        <w:t>Por su parte, la vida útil de las componentes de inversión a considerar, establecidas en años, corresponde a las indicadas en el Informe Técnico establecido en el artículo 104° de la LGSE</w:t>
      </w:r>
      <w:r w:rsidRPr="00047802">
        <w:rPr>
          <w:vertAlign w:val="superscript"/>
        </w:rPr>
        <w:footnoteReference w:id="36"/>
      </w:r>
      <w:r w:rsidRPr="00EE2F47">
        <w:t>.</w:t>
      </w:r>
    </w:p>
    <w:p w14:paraId="4F479986" w14:textId="77777777" w:rsidR="001B4185" w:rsidRPr="00EE2F47" w:rsidRDefault="001B4185" w:rsidP="001B4185">
      <w:pPr>
        <w:pStyle w:val="Ttulo3"/>
      </w:pPr>
      <w:bookmarkStart w:id="516" w:name="_Toc27147803"/>
      <w:bookmarkStart w:id="517" w:name="_Toc39797883"/>
      <w:bookmarkEnd w:id="515"/>
      <w:r w:rsidRPr="00EE2F47">
        <w:t>V.A.T.T. y Tipos de Obras de Transmisión</w:t>
      </w:r>
      <w:bookmarkEnd w:id="516"/>
      <w:bookmarkEnd w:id="517"/>
    </w:p>
    <w:p w14:paraId="08D98313" w14:textId="77777777" w:rsidR="001B4185" w:rsidRPr="00EE2F47" w:rsidRDefault="001B4185" w:rsidP="001B4185">
      <w:r w:rsidRPr="00EE2F47">
        <w:lastRenderedPageBreak/>
        <w:t xml:space="preserve">Conforme a las disposiciones de la LGSE, la determinación del V.A.T.T. se efectuará en consideración a si las instalaciones son existentes o si se han desarrollado como obras nuevas u obras de ampliación. </w:t>
      </w:r>
    </w:p>
    <w:p w14:paraId="1B8617C4" w14:textId="77777777" w:rsidR="001B4185" w:rsidRPr="00EE2F47" w:rsidRDefault="001B4185" w:rsidP="001B4185">
      <w:r w:rsidRPr="00EE2F47">
        <w:t>En efecto, el Artículo 99° de la LGSE señala que en el caso de obras nuevas el valor anual de la transmisión por tramo resultante de la licitación y su fórmula de indexación constituirá su remuneración por cinco períodos tarifarios a partir de su entrada en operación, transcurridos los cuales las instalaciones y su valorización deberán ser revisadas y actualizadas en el proceso de tarificación de la transmisión correspondiente.</w:t>
      </w:r>
    </w:p>
    <w:p w14:paraId="024A85F6" w14:textId="335D249C" w:rsidR="001B4185" w:rsidRPr="00EE2F47" w:rsidRDefault="001B4185" w:rsidP="001B4185">
      <w:r w:rsidRPr="00EE2F47">
        <w:t xml:space="preserve">Por su parte, y respecto a las obras de ampliación, la misma disposición establece que el propietario de éstas recibirá como remuneración el V.A.T.T., compuesto por el A.V.I. más el C.O.M.A. correspondiente, considerando los ajustes por efectos de impuestos a la renta, y en que el A.V.I. será determinado considerando el V.I. adjudicado y la tasa de descuento correspondiente utilizada en el estudio de valorización vigente al momento de la adjudicación. La ley añade que el A.V.I. resultante le corresponderá al propietario por cinco períodos tarifarios a partir de la entrada en operación de la obra de ampliación respectiva, transcurridos los cuales las instalaciones y su valorización </w:t>
      </w:r>
      <w:proofErr w:type="gramStart"/>
      <w:r w:rsidRPr="00EE2F47">
        <w:t>deberán</w:t>
      </w:r>
      <w:proofErr w:type="gramEnd"/>
      <w:r w:rsidRPr="00EE2F47">
        <w:t xml:space="preserve"> ser revisadas y actualizadas en el proceso de tarificación de la transmisión correspondiente.</w:t>
      </w:r>
    </w:p>
    <w:p w14:paraId="0001D3FC" w14:textId="77777777" w:rsidR="001B4185" w:rsidRDefault="001B4185" w:rsidP="001B4185">
      <w:r w:rsidRPr="00EE2F47">
        <w:t>De esta forma, la determinación del V.A.T.T. debe efectuarse en consideración al tipo de obra de transmisión de que se trate -obra existente, obra nueva u obra de ampliación- conforme se señala en el punto siguiente.</w:t>
      </w:r>
    </w:p>
    <w:p w14:paraId="34FBB075" w14:textId="77777777" w:rsidR="001B4185" w:rsidRPr="00F55404" w:rsidRDefault="001B4185" w:rsidP="00F55404">
      <w:pPr>
        <w:pStyle w:val="Ttulo2"/>
        <w:rPr>
          <w:sz w:val="24"/>
          <w:szCs w:val="24"/>
        </w:rPr>
      </w:pPr>
      <w:bookmarkStart w:id="518" w:name="_Toc27147804"/>
      <w:bookmarkStart w:id="519" w:name="_Toc39797884"/>
      <w:r w:rsidRPr="00F55404">
        <w:rPr>
          <w:sz w:val="24"/>
          <w:szCs w:val="24"/>
        </w:rPr>
        <w:t>Disposiciones de las bases</w:t>
      </w:r>
      <w:bookmarkEnd w:id="518"/>
      <w:bookmarkEnd w:id="519"/>
    </w:p>
    <w:p w14:paraId="36AD5065" w14:textId="77777777" w:rsidR="001B4185" w:rsidRPr="00F55404" w:rsidRDefault="001B4185" w:rsidP="00F55404">
      <w:pPr>
        <w:pStyle w:val="Ttulo3"/>
      </w:pPr>
      <w:bookmarkStart w:id="520" w:name="_Toc27147805"/>
      <w:bookmarkStart w:id="521" w:name="_Toc39797885"/>
      <w:r w:rsidRPr="00F55404">
        <w:t>Definición del V.A.T.T.</w:t>
      </w:r>
      <w:bookmarkEnd w:id="520"/>
      <w:bookmarkEnd w:id="521"/>
    </w:p>
    <w:p w14:paraId="31F20F01" w14:textId="77777777" w:rsidR="001B4185" w:rsidRPr="00EE2F47" w:rsidRDefault="001B4185" w:rsidP="001B4185">
      <w:r w:rsidRPr="00EE2F47">
        <w:t>La definición del Valor Anual de la Transmisión por Tramo o V.A.T.T. se presenta expresamente en el punto 3.1 de las Bases del Estudio, y que señala:</w:t>
      </w:r>
    </w:p>
    <w:p w14:paraId="2E366AD0" w14:textId="77777777" w:rsidR="001B4185" w:rsidRPr="00EE2F47" w:rsidRDefault="001B4185" w:rsidP="002D4B20">
      <w:r w:rsidRPr="00EE2F47">
        <w:t>“</w:t>
      </w:r>
      <w:r w:rsidRPr="002D4B20">
        <w:rPr>
          <w:i/>
        </w:rPr>
        <w:t>Por Valor Anual de la Transmisión por Tramo, o V.A.T.T., se entenderá la suma de la Anualidad del Valor de Inversión del tramo en estudio (A.V.I.), más los costos anuales de operación, mantenimiento y administración del tramo respectivo (C.O.M.A.), ajustados por los efectos de impuestos a la renta</w:t>
      </w:r>
      <w:r w:rsidRPr="00EE2F47">
        <w:t>”</w:t>
      </w:r>
      <w:r w:rsidRPr="00CC4FE5">
        <w:rPr>
          <w:rStyle w:val="Refdenotaalpie"/>
        </w:rPr>
        <w:footnoteReference w:id="37"/>
      </w:r>
      <w:r w:rsidRPr="00CC4FE5">
        <w:t>.</w:t>
      </w:r>
    </w:p>
    <w:p w14:paraId="78AC720B" w14:textId="77777777" w:rsidR="001B4185" w:rsidRPr="00EE2F47" w:rsidRDefault="001B4185" w:rsidP="00F55404">
      <w:pPr>
        <w:pStyle w:val="Ttulo3"/>
      </w:pPr>
      <w:bookmarkStart w:id="522" w:name="_Toc27147806"/>
      <w:bookmarkStart w:id="523" w:name="_Toc39797886"/>
      <w:r w:rsidRPr="00EE2F47">
        <w:t>Componentes del V.A.T.T.</w:t>
      </w:r>
      <w:bookmarkEnd w:id="522"/>
      <w:bookmarkEnd w:id="523"/>
    </w:p>
    <w:p w14:paraId="0AA010F4" w14:textId="77777777" w:rsidR="001B4185" w:rsidRPr="00EE2F47" w:rsidRDefault="001B4185" w:rsidP="001B4185">
      <w:r w:rsidRPr="00EE2F47">
        <w:lastRenderedPageBreak/>
        <w:t>La formulación específica para la determinación del V.A.T.T. se establece en el punto 3.9 de las Bases, el que se refiere a las componentes del V.A.T.T.</w:t>
      </w:r>
      <w:r w:rsidRPr="00CC4FE5">
        <w:rPr>
          <w:rStyle w:val="Refdenotaalpie"/>
        </w:rPr>
        <w:footnoteReference w:id="38"/>
      </w:r>
    </w:p>
    <w:p w14:paraId="39B704FB" w14:textId="77777777" w:rsidR="001B4185" w:rsidRPr="00EE2F47" w:rsidRDefault="001B4185" w:rsidP="004268A9">
      <w:r w:rsidRPr="00EE2F47">
        <w:t>En efecto, y de acuerdo a lo establecido en la Resolución Exenta N°380, las Bases indican que el V.A.T.T. de cada tramo, y por tipo de instalación, se determinará conforme a las siguientes expresiones:</w:t>
      </w:r>
    </w:p>
    <w:p w14:paraId="3D46EEB2" w14:textId="77777777" w:rsidR="001B4185" w:rsidRPr="002D4B20" w:rsidRDefault="001B4185" w:rsidP="00273FE4">
      <w:pPr>
        <w:pStyle w:val="Listanumerada"/>
        <w:numPr>
          <w:ilvl w:val="0"/>
          <w:numId w:val="36"/>
        </w:numPr>
        <w:ind w:left="567" w:hanging="567"/>
      </w:pPr>
      <w:r w:rsidRPr="002D4B20">
        <w:t>Para Instalaciones Existentes:</w:t>
      </w:r>
    </w:p>
    <w:p w14:paraId="653FF083" w14:textId="77777777" w:rsidR="001B4185" w:rsidRPr="00C636E3" w:rsidRDefault="0088072F" w:rsidP="004268A9">
      <w:pPr>
        <w:spacing w:after="120"/>
        <w:jc w:val="center"/>
      </w:pPr>
      <m:oMathPara>
        <m:oMath>
          <m:sSub>
            <m:sSubPr>
              <m:ctrlPr>
                <w:rPr>
                  <w:rFonts w:ascii="Cambria Math" w:hAnsi="Cambria Math"/>
                </w:rPr>
              </m:ctrlPr>
            </m:sSubPr>
            <m:e>
              <m:r>
                <w:rPr>
                  <w:rFonts w:ascii="Cambria Math" w:hAnsi="Cambria Math"/>
                </w:rPr>
                <m:t>(V.A.T.T)</m:t>
              </m:r>
            </m:e>
            <m:sub>
              <m:r>
                <w:rPr>
                  <w:rFonts w:ascii="Cambria Math" w:hAnsi="Cambria Math"/>
                </w:rPr>
                <m:t>i</m:t>
              </m:r>
            </m:sub>
          </m:sSub>
          <m:r>
            <w:rPr>
              <w:rFonts w:ascii="Cambria Math" w:hAnsi="Cambria Math"/>
            </w:rPr>
            <m:t>=</m:t>
          </m:r>
          <m:sSub>
            <m:sSubPr>
              <m:ctrlPr>
                <w:rPr>
                  <w:rFonts w:ascii="Cambria Math" w:hAnsi="Cambria Math"/>
                </w:rPr>
              </m:ctrlPr>
            </m:sSubPr>
            <m:e>
              <m:sSub>
                <m:sSubPr>
                  <m:ctrlPr>
                    <w:rPr>
                      <w:rFonts w:ascii="Cambria Math" w:hAnsi="Cambria Math"/>
                    </w:rPr>
                  </m:ctrlPr>
                </m:sSubPr>
                <m:e>
                  <m:r>
                    <w:rPr>
                      <w:rFonts w:ascii="Cambria Math" w:hAnsi="Cambria Math"/>
                    </w:rPr>
                    <m:t>(A.V.I.</m:t>
                  </m:r>
                </m:e>
                <m:sub>
                  <m:r>
                    <w:rPr>
                      <w:rFonts w:ascii="Cambria Math" w:hAnsi="Cambria Math"/>
                    </w:rPr>
                    <m:t>IIEE</m:t>
                  </m:r>
                </m:sub>
              </m:sSub>
              <m:r>
                <w:rPr>
                  <w:rFonts w:ascii="Cambria Math" w:hAnsi="Cambria Math"/>
                </w:rPr>
                <m:t>)</m:t>
              </m:r>
            </m:e>
            <m:sub>
              <m:r>
                <w:rPr>
                  <w:rFonts w:ascii="Cambria Math" w:hAnsi="Cambria Math"/>
                </w:rPr>
                <m:t>i</m:t>
              </m:r>
            </m:sub>
          </m:sSub>
          <m:r>
            <w:rPr>
              <w:rFonts w:ascii="Cambria Math" w:hAnsi="Cambria Math"/>
            </w:rPr>
            <m:t>+</m:t>
          </m:r>
          <m:sSub>
            <m:sSubPr>
              <m:ctrlPr>
                <w:rPr>
                  <w:rFonts w:ascii="Cambria Math" w:hAnsi="Cambria Math"/>
                </w:rPr>
              </m:ctrlPr>
            </m:sSubPr>
            <m:e>
              <m:sSub>
                <m:sSubPr>
                  <m:ctrlPr>
                    <w:rPr>
                      <w:rFonts w:ascii="Cambria Math" w:hAnsi="Cambria Math"/>
                    </w:rPr>
                  </m:ctrlPr>
                </m:sSubPr>
                <m:e>
                  <m:r>
                    <w:rPr>
                      <w:rFonts w:ascii="Cambria Math" w:hAnsi="Cambria Math"/>
                    </w:rPr>
                    <m:t>(C.O.M.A.</m:t>
                  </m:r>
                </m:e>
                <m:sub>
                  <m:r>
                    <w:rPr>
                      <w:rFonts w:ascii="Cambria Math" w:hAnsi="Cambria Math"/>
                    </w:rPr>
                    <m:t>IIEE</m:t>
                  </m:r>
                </m:sub>
              </m:sSub>
              <m:r>
                <w:rPr>
                  <w:rFonts w:ascii="Cambria Math" w:hAnsi="Cambria Math"/>
                </w:rPr>
                <m:t>)</m:t>
              </m:r>
            </m:e>
            <m:sub>
              <m:r>
                <w:rPr>
                  <w:rFonts w:ascii="Cambria Math" w:hAnsi="Cambria Math"/>
                </w:rPr>
                <m:t>i</m:t>
              </m:r>
            </m:sub>
          </m:sSub>
          <m:r>
            <w:rPr>
              <w:rFonts w:ascii="Cambria Math" w:hAnsi="Cambria Math"/>
            </w:rPr>
            <m:t>+</m:t>
          </m:r>
          <m:sSub>
            <m:sSubPr>
              <m:ctrlPr>
                <w:rPr>
                  <w:rFonts w:ascii="Cambria Math" w:hAnsi="Cambria Math"/>
                </w:rPr>
              </m:ctrlPr>
            </m:sSubPr>
            <m:e>
              <m:r>
                <w:rPr>
                  <w:rFonts w:ascii="Cambria Math" w:hAnsi="Cambria Math"/>
                </w:rPr>
                <m:t>(A.E.I.R.)</m:t>
              </m:r>
            </m:e>
            <m:sub>
              <m:r>
                <w:rPr>
                  <w:rFonts w:ascii="Cambria Math" w:hAnsi="Cambria Math"/>
                </w:rPr>
                <m:t>i</m:t>
              </m:r>
            </m:sub>
          </m:sSub>
        </m:oMath>
      </m:oMathPara>
    </w:p>
    <w:p w14:paraId="60FAC73A" w14:textId="77777777" w:rsidR="001B4185" w:rsidRPr="00735C00" w:rsidRDefault="001B4185" w:rsidP="00273FE4">
      <w:pPr>
        <w:pStyle w:val="Listanumerada"/>
        <w:numPr>
          <w:ilvl w:val="0"/>
          <w:numId w:val="36"/>
        </w:numPr>
        <w:ind w:left="567" w:hanging="567"/>
      </w:pPr>
      <w:r w:rsidRPr="00735C00">
        <w:t>Para Obras Nuevas:</w:t>
      </w:r>
    </w:p>
    <w:p w14:paraId="0FB9DCA8" w14:textId="77777777" w:rsidR="001B4185" w:rsidRPr="00C636E3" w:rsidRDefault="0088072F" w:rsidP="004268A9">
      <w:pPr>
        <w:spacing w:after="120"/>
        <w:jc w:val="center"/>
      </w:pPr>
      <m:oMathPara>
        <m:oMath>
          <m:sSub>
            <m:sSubPr>
              <m:ctrlPr>
                <w:rPr>
                  <w:rFonts w:ascii="Cambria Math" w:hAnsi="Cambria Math"/>
                </w:rPr>
              </m:ctrlPr>
            </m:sSubPr>
            <m:e>
              <m:r>
                <w:rPr>
                  <w:rFonts w:ascii="Cambria Math" w:hAnsi="Cambria Math"/>
                </w:rPr>
                <m:t>(V.A.T.T)</m:t>
              </m:r>
            </m:e>
            <m:sub>
              <m:r>
                <w:rPr>
                  <w:rFonts w:ascii="Cambria Math" w:hAnsi="Cambria Math"/>
                </w:rPr>
                <m:t>i</m:t>
              </m:r>
            </m:sub>
          </m:sSub>
          <m:r>
            <w:rPr>
              <w:rFonts w:ascii="Cambria Math" w:hAnsi="Cambria Math"/>
            </w:rPr>
            <m:t>=</m:t>
          </m:r>
          <m:sSub>
            <m:sSubPr>
              <m:ctrlPr>
                <w:rPr>
                  <w:rFonts w:ascii="Cambria Math" w:hAnsi="Cambria Math"/>
                </w:rPr>
              </m:ctrlPr>
            </m:sSubPr>
            <m:e>
              <m:sSub>
                <m:sSubPr>
                  <m:ctrlPr>
                    <w:rPr>
                      <w:rFonts w:ascii="Cambria Math" w:hAnsi="Cambria Math"/>
                    </w:rPr>
                  </m:ctrlPr>
                </m:sSubPr>
                <m:e>
                  <m:r>
                    <w:rPr>
                      <w:rFonts w:ascii="Cambria Math" w:hAnsi="Cambria Math"/>
                    </w:rPr>
                    <m:t>(V.A.T.T.</m:t>
                  </m:r>
                </m:e>
                <m:sub>
                  <m:r>
                    <w:rPr>
                      <w:rFonts w:ascii="Cambria Math" w:hAnsi="Cambria Math"/>
                    </w:rPr>
                    <m:t>OONN</m:t>
                  </m:r>
                </m:sub>
              </m:sSub>
              <m:r>
                <w:rPr>
                  <w:rFonts w:ascii="Cambria Math" w:hAnsi="Cambria Math"/>
                </w:rPr>
                <m:t>)</m:t>
              </m:r>
            </m:e>
            <m:sub>
              <m:r>
                <w:rPr>
                  <w:rFonts w:ascii="Cambria Math" w:hAnsi="Cambria Math"/>
                </w:rPr>
                <m:t>i</m:t>
              </m:r>
            </m:sub>
          </m:sSub>
        </m:oMath>
      </m:oMathPara>
    </w:p>
    <w:p w14:paraId="6852D1AD" w14:textId="77777777" w:rsidR="001B4185" w:rsidRPr="00735C00" w:rsidRDefault="001B4185" w:rsidP="00273FE4">
      <w:pPr>
        <w:pStyle w:val="Listanumerada"/>
        <w:numPr>
          <w:ilvl w:val="0"/>
          <w:numId w:val="36"/>
        </w:numPr>
        <w:ind w:left="567" w:hanging="567"/>
      </w:pPr>
      <w:r w:rsidRPr="00735C00">
        <w:t>Para Obras de Ampliación:</w:t>
      </w:r>
    </w:p>
    <w:p w14:paraId="4C42BFF9" w14:textId="77777777" w:rsidR="001B4185" w:rsidRPr="00C636E3" w:rsidRDefault="0088072F" w:rsidP="004268A9">
      <w:pPr>
        <w:spacing w:after="120"/>
        <w:jc w:val="center"/>
      </w:pPr>
      <m:oMathPara>
        <m:oMath>
          <m:sSub>
            <m:sSubPr>
              <m:ctrlPr>
                <w:rPr>
                  <w:rFonts w:ascii="Cambria Math" w:hAnsi="Cambria Math"/>
                </w:rPr>
              </m:ctrlPr>
            </m:sSubPr>
            <m:e>
              <m:r>
                <w:rPr>
                  <w:rFonts w:ascii="Cambria Math" w:hAnsi="Cambria Math"/>
                </w:rPr>
                <m:t>(V.A.T.T)</m:t>
              </m:r>
            </m:e>
            <m:sub>
              <m:r>
                <w:rPr>
                  <w:rFonts w:ascii="Cambria Math" w:hAnsi="Cambria Math"/>
                </w:rPr>
                <m:t>i</m:t>
              </m:r>
            </m:sub>
          </m:sSub>
          <m:r>
            <w:rPr>
              <w:rFonts w:ascii="Cambria Math" w:hAnsi="Cambria Math"/>
            </w:rPr>
            <m:t>=</m:t>
          </m:r>
          <m:sSub>
            <m:sSubPr>
              <m:ctrlPr>
                <w:rPr>
                  <w:rFonts w:ascii="Cambria Math" w:hAnsi="Cambria Math"/>
                </w:rPr>
              </m:ctrlPr>
            </m:sSubPr>
            <m:e>
              <m:sSub>
                <m:sSubPr>
                  <m:ctrlPr>
                    <w:rPr>
                      <w:rFonts w:ascii="Cambria Math" w:hAnsi="Cambria Math"/>
                    </w:rPr>
                  </m:ctrlPr>
                </m:sSubPr>
                <m:e>
                  <m:r>
                    <w:rPr>
                      <w:rFonts w:ascii="Cambria Math" w:hAnsi="Cambria Math"/>
                    </w:rPr>
                    <m:t>(A.V.I.</m:t>
                  </m:r>
                </m:e>
                <m:sub>
                  <m:r>
                    <w:rPr>
                      <w:rFonts w:ascii="Cambria Math" w:hAnsi="Cambria Math"/>
                    </w:rPr>
                    <m:t>OOAA</m:t>
                  </m:r>
                </m:sub>
              </m:sSub>
              <m:r>
                <w:rPr>
                  <w:rFonts w:ascii="Cambria Math" w:hAnsi="Cambria Math"/>
                </w:rPr>
                <m:t>)</m:t>
              </m:r>
            </m:e>
            <m:sub>
              <m:r>
                <w:rPr>
                  <w:rFonts w:ascii="Cambria Math" w:hAnsi="Cambria Math"/>
                </w:rPr>
                <m:t>i</m:t>
              </m:r>
            </m:sub>
          </m:sSub>
          <m:r>
            <w:rPr>
              <w:rFonts w:ascii="Cambria Math" w:hAnsi="Cambria Math"/>
            </w:rPr>
            <m:t>+</m:t>
          </m:r>
          <m:sSub>
            <m:sSubPr>
              <m:ctrlPr>
                <w:rPr>
                  <w:rFonts w:ascii="Cambria Math" w:hAnsi="Cambria Math"/>
                </w:rPr>
              </m:ctrlPr>
            </m:sSubPr>
            <m:e>
              <m:sSub>
                <m:sSubPr>
                  <m:ctrlPr>
                    <w:rPr>
                      <w:rFonts w:ascii="Cambria Math" w:hAnsi="Cambria Math"/>
                    </w:rPr>
                  </m:ctrlPr>
                </m:sSubPr>
                <m:e>
                  <m:r>
                    <w:rPr>
                      <w:rFonts w:ascii="Cambria Math" w:hAnsi="Cambria Math"/>
                    </w:rPr>
                    <m:t>(C.O.M.A.</m:t>
                  </m:r>
                </m:e>
                <m:sub>
                  <m:r>
                    <w:rPr>
                      <w:rFonts w:ascii="Cambria Math" w:hAnsi="Cambria Math"/>
                    </w:rPr>
                    <m:t>OOAA</m:t>
                  </m:r>
                </m:sub>
              </m:sSub>
              <m:r>
                <w:rPr>
                  <w:rFonts w:ascii="Cambria Math" w:hAnsi="Cambria Math"/>
                </w:rPr>
                <m:t>)</m:t>
              </m:r>
            </m:e>
            <m:sub>
              <m:r>
                <w:rPr>
                  <w:rFonts w:ascii="Cambria Math" w:hAnsi="Cambria Math"/>
                </w:rPr>
                <m:t>i</m:t>
              </m:r>
            </m:sub>
          </m:sSub>
          <m:r>
            <w:rPr>
              <w:rFonts w:ascii="Cambria Math" w:hAnsi="Cambria Math"/>
            </w:rPr>
            <m:t>+</m:t>
          </m:r>
          <m:sSub>
            <m:sSubPr>
              <m:ctrlPr>
                <w:rPr>
                  <w:rFonts w:ascii="Cambria Math" w:hAnsi="Cambria Math"/>
                </w:rPr>
              </m:ctrlPr>
            </m:sSubPr>
            <m:e>
              <m:r>
                <w:rPr>
                  <w:rFonts w:ascii="Cambria Math" w:hAnsi="Cambria Math"/>
                </w:rPr>
                <m:t>(A.E.I.R.)</m:t>
              </m:r>
            </m:e>
            <m:sub>
              <m:r>
                <w:rPr>
                  <w:rFonts w:ascii="Cambria Math" w:hAnsi="Cambria Math"/>
                </w:rPr>
                <m:t>i</m:t>
              </m:r>
            </m:sub>
          </m:sSub>
        </m:oMath>
      </m:oMathPara>
    </w:p>
    <w:p w14:paraId="37CBA367" w14:textId="0DE7F48F" w:rsidR="001B4185" w:rsidRPr="00EE2F47" w:rsidRDefault="002D4B20" w:rsidP="004268A9">
      <w:pPr>
        <w:spacing w:after="120"/>
      </w:pPr>
      <w:r>
        <w:t>Donde</w:t>
      </w:r>
    </w:p>
    <w:tbl>
      <w:tblPr>
        <w:tblW w:w="0" w:type="auto"/>
        <w:tblCellMar>
          <w:left w:w="57" w:type="dxa"/>
          <w:right w:w="57" w:type="dxa"/>
        </w:tblCellMar>
        <w:tblLook w:val="04A0" w:firstRow="1" w:lastRow="0" w:firstColumn="1" w:lastColumn="0" w:noHBand="0" w:noVBand="1"/>
      </w:tblPr>
      <w:tblGrid>
        <w:gridCol w:w="1906"/>
        <w:gridCol w:w="179"/>
        <w:gridCol w:w="6630"/>
      </w:tblGrid>
      <w:tr w:rsidR="002D4B20" w:rsidRPr="002C2818" w14:paraId="461EC9E7" w14:textId="77777777" w:rsidTr="002D4B20">
        <w:tc>
          <w:tcPr>
            <w:tcW w:w="0" w:type="auto"/>
            <w:shd w:val="clear" w:color="auto" w:fill="auto"/>
            <w:vAlign w:val="center"/>
          </w:tcPr>
          <w:p w14:paraId="1A486822" w14:textId="02642151" w:rsidR="002D4B20" w:rsidRPr="002D4B20" w:rsidRDefault="0088072F" w:rsidP="001B4185">
            <w:pPr>
              <w:spacing w:before="40" w:after="40" w:line="240" w:lineRule="auto"/>
            </w:pPr>
            <m:oMathPara>
              <m:oMathParaPr>
                <m:jc m:val="left"/>
              </m:oMathParaPr>
              <m:oMath>
                <m:sSub>
                  <m:sSubPr>
                    <m:ctrlPr>
                      <w:rPr>
                        <w:rFonts w:ascii="Cambria Math" w:hAnsi="Cambria Math"/>
                      </w:rPr>
                    </m:ctrlPr>
                  </m:sSubPr>
                  <m:e>
                    <m:r>
                      <w:rPr>
                        <w:rFonts w:ascii="Cambria Math" w:hAnsi="Cambria Math"/>
                      </w:rPr>
                      <m:t>(V.A.T.T)</m:t>
                    </m:r>
                  </m:e>
                  <m:sub>
                    <m:r>
                      <w:rPr>
                        <w:rFonts w:ascii="Cambria Math" w:hAnsi="Cambria Math"/>
                      </w:rPr>
                      <m:t>i</m:t>
                    </m:r>
                  </m:sub>
                </m:sSub>
              </m:oMath>
            </m:oMathPara>
          </w:p>
        </w:tc>
        <w:tc>
          <w:tcPr>
            <w:tcW w:w="0" w:type="auto"/>
          </w:tcPr>
          <w:p w14:paraId="109C8D26" w14:textId="5A85910B" w:rsidR="002D4B20" w:rsidRPr="002C2818" w:rsidRDefault="002D4B20" w:rsidP="001B4185">
            <w:pPr>
              <w:spacing w:before="40" w:after="40" w:line="240" w:lineRule="auto"/>
            </w:pPr>
            <w:r>
              <w:t>:</w:t>
            </w:r>
          </w:p>
        </w:tc>
        <w:tc>
          <w:tcPr>
            <w:tcW w:w="0" w:type="auto"/>
            <w:shd w:val="clear" w:color="auto" w:fill="auto"/>
          </w:tcPr>
          <w:p w14:paraId="66CF9F4A" w14:textId="4358AC7F" w:rsidR="002D4B20" w:rsidRPr="002C2818" w:rsidRDefault="000E4E9A" w:rsidP="000E4E9A">
            <w:pPr>
              <w:spacing w:before="40" w:after="40" w:line="240" w:lineRule="auto"/>
            </w:pPr>
            <w:r>
              <w:t xml:space="preserve">V.A.T.T. asociado al tramo </w:t>
            </w:r>
            <m:oMath>
              <m:r>
                <w:rPr>
                  <w:rFonts w:ascii="Cambria Math" w:hAnsi="Cambria Math"/>
                </w:rPr>
                <m:t>i</m:t>
              </m:r>
            </m:oMath>
          </w:p>
        </w:tc>
      </w:tr>
      <w:tr w:rsidR="002D4B20" w:rsidRPr="002C2818" w14:paraId="4EE7023B" w14:textId="77777777" w:rsidTr="002D4B20">
        <w:tc>
          <w:tcPr>
            <w:tcW w:w="0" w:type="auto"/>
            <w:shd w:val="clear" w:color="auto" w:fill="auto"/>
            <w:vAlign w:val="center"/>
          </w:tcPr>
          <w:p w14:paraId="26346B9A" w14:textId="2038FDF3" w:rsidR="002D4B20" w:rsidRPr="002D4B20" w:rsidRDefault="0088072F" w:rsidP="001B4185">
            <w:pPr>
              <w:spacing w:before="40" w:after="40" w:line="240" w:lineRule="auto"/>
            </w:pPr>
            <m:oMathPara>
              <m:oMathParaPr>
                <m:jc m:val="left"/>
              </m:oMathParaPr>
              <m:oMath>
                <m:sSub>
                  <m:sSubPr>
                    <m:ctrlPr>
                      <w:rPr>
                        <w:rFonts w:ascii="Cambria Math" w:hAnsi="Cambria Math"/>
                      </w:rPr>
                    </m:ctrlPr>
                  </m:sSubPr>
                  <m:e>
                    <m:sSub>
                      <m:sSubPr>
                        <m:ctrlPr>
                          <w:rPr>
                            <w:rFonts w:ascii="Cambria Math" w:hAnsi="Cambria Math"/>
                          </w:rPr>
                        </m:ctrlPr>
                      </m:sSubPr>
                      <m:e>
                        <m:r>
                          <w:rPr>
                            <w:rFonts w:ascii="Cambria Math" w:hAnsi="Cambria Math"/>
                          </w:rPr>
                          <m:t>(A.V.I.</m:t>
                        </m:r>
                      </m:e>
                      <m:sub>
                        <m:r>
                          <w:rPr>
                            <w:rFonts w:ascii="Cambria Math" w:hAnsi="Cambria Math"/>
                          </w:rPr>
                          <m:t>IIEE</m:t>
                        </m:r>
                      </m:sub>
                    </m:sSub>
                    <m:r>
                      <w:rPr>
                        <w:rFonts w:ascii="Cambria Math" w:hAnsi="Cambria Math"/>
                      </w:rPr>
                      <m:t>)</m:t>
                    </m:r>
                  </m:e>
                  <m:sub>
                    <m:r>
                      <w:rPr>
                        <w:rFonts w:ascii="Cambria Math" w:hAnsi="Cambria Math"/>
                      </w:rPr>
                      <m:t>i</m:t>
                    </m:r>
                  </m:sub>
                </m:sSub>
              </m:oMath>
            </m:oMathPara>
          </w:p>
        </w:tc>
        <w:tc>
          <w:tcPr>
            <w:tcW w:w="0" w:type="auto"/>
          </w:tcPr>
          <w:p w14:paraId="7D916448" w14:textId="73B0149D" w:rsidR="002D4B20" w:rsidRPr="002C2818" w:rsidRDefault="002D4B20" w:rsidP="001B4185">
            <w:pPr>
              <w:spacing w:before="40" w:after="40" w:line="240" w:lineRule="auto"/>
            </w:pPr>
            <w:r>
              <w:t>:</w:t>
            </w:r>
          </w:p>
        </w:tc>
        <w:tc>
          <w:tcPr>
            <w:tcW w:w="0" w:type="auto"/>
            <w:shd w:val="clear" w:color="auto" w:fill="auto"/>
          </w:tcPr>
          <w:p w14:paraId="4410ADC4" w14:textId="39C21F98" w:rsidR="002D4B20" w:rsidRPr="002C2818" w:rsidRDefault="002D4B20" w:rsidP="000E4E9A">
            <w:pPr>
              <w:spacing w:before="40" w:after="40" w:line="240" w:lineRule="auto"/>
            </w:pPr>
            <w:r w:rsidRPr="002C2818">
              <w:t xml:space="preserve">A.V.I. asociado al tramo existente </w:t>
            </w:r>
            <m:oMath>
              <m:r>
                <w:rPr>
                  <w:rFonts w:ascii="Cambria Math" w:hAnsi="Cambria Math"/>
                </w:rPr>
                <m:t>i</m:t>
              </m:r>
            </m:oMath>
          </w:p>
        </w:tc>
      </w:tr>
      <w:tr w:rsidR="002D4B20" w:rsidRPr="002C2818" w14:paraId="11F41309" w14:textId="77777777" w:rsidTr="002D4B20">
        <w:tc>
          <w:tcPr>
            <w:tcW w:w="0" w:type="auto"/>
            <w:shd w:val="clear" w:color="auto" w:fill="auto"/>
            <w:vAlign w:val="center"/>
          </w:tcPr>
          <w:p w14:paraId="0F4D7CF6" w14:textId="0868854E" w:rsidR="002D4B20" w:rsidRPr="002D4B20" w:rsidRDefault="0088072F" w:rsidP="001B4185">
            <w:pPr>
              <w:spacing w:before="40" w:after="40" w:line="240" w:lineRule="auto"/>
            </w:pPr>
            <m:oMathPara>
              <m:oMathParaPr>
                <m:jc m:val="left"/>
              </m:oMathParaPr>
              <m:oMath>
                <m:sSub>
                  <m:sSubPr>
                    <m:ctrlPr>
                      <w:rPr>
                        <w:rFonts w:ascii="Cambria Math" w:hAnsi="Cambria Math"/>
                      </w:rPr>
                    </m:ctrlPr>
                  </m:sSubPr>
                  <m:e>
                    <m:sSub>
                      <m:sSubPr>
                        <m:ctrlPr>
                          <w:rPr>
                            <w:rFonts w:ascii="Cambria Math" w:hAnsi="Cambria Math"/>
                          </w:rPr>
                        </m:ctrlPr>
                      </m:sSubPr>
                      <m:e>
                        <m:r>
                          <w:rPr>
                            <w:rFonts w:ascii="Cambria Math" w:hAnsi="Cambria Math"/>
                          </w:rPr>
                          <m:t>(C.O.M.A.</m:t>
                        </m:r>
                      </m:e>
                      <m:sub>
                        <m:r>
                          <w:rPr>
                            <w:rFonts w:ascii="Cambria Math" w:hAnsi="Cambria Math"/>
                          </w:rPr>
                          <m:t>IIEE</m:t>
                        </m:r>
                      </m:sub>
                    </m:sSub>
                    <m:r>
                      <w:rPr>
                        <w:rFonts w:ascii="Cambria Math" w:hAnsi="Cambria Math"/>
                      </w:rPr>
                      <m:t>)</m:t>
                    </m:r>
                  </m:e>
                  <m:sub>
                    <m:r>
                      <w:rPr>
                        <w:rFonts w:ascii="Cambria Math" w:hAnsi="Cambria Math"/>
                      </w:rPr>
                      <m:t>i</m:t>
                    </m:r>
                  </m:sub>
                </m:sSub>
              </m:oMath>
            </m:oMathPara>
          </w:p>
        </w:tc>
        <w:tc>
          <w:tcPr>
            <w:tcW w:w="0" w:type="auto"/>
          </w:tcPr>
          <w:p w14:paraId="04E19F4F" w14:textId="04A03C6B" w:rsidR="002D4B20" w:rsidRPr="002C2818" w:rsidRDefault="002D4B20" w:rsidP="001B4185">
            <w:pPr>
              <w:spacing w:before="40" w:after="40" w:line="240" w:lineRule="auto"/>
            </w:pPr>
            <w:r>
              <w:t>:</w:t>
            </w:r>
          </w:p>
        </w:tc>
        <w:tc>
          <w:tcPr>
            <w:tcW w:w="0" w:type="auto"/>
            <w:shd w:val="clear" w:color="auto" w:fill="auto"/>
          </w:tcPr>
          <w:p w14:paraId="2ABF8F95" w14:textId="571F8350" w:rsidR="002D4B20" w:rsidRPr="002C2818" w:rsidRDefault="002D4B20" w:rsidP="001B4185">
            <w:pPr>
              <w:spacing w:before="40" w:after="40" w:line="240" w:lineRule="auto"/>
            </w:pPr>
            <w:r w:rsidRPr="002C2818">
              <w:t xml:space="preserve">C.O.M.A. asociado al tramo existente </w:t>
            </w:r>
            <m:oMath>
              <m:r>
                <w:rPr>
                  <w:rFonts w:ascii="Cambria Math" w:hAnsi="Cambria Math"/>
                </w:rPr>
                <m:t>i</m:t>
              </m:r>
            </m:oMath>
          </w:p>
        </w:tc>
      </w:tr>
      <w:tr w:rsidR="002D4B20" w:rsidRPr="002C2818" w14:paraId="50A95ABB" w14:textId="77777777" w:rsidTr="002D4B20">
        <w:tc>
          <w:tcPr>
            <w:tcW w:w="0" w:type="auto"/>
            <w:shd w:val="clear" w:color="auto" w:fill="auto"/>
            <w:vAlign w:val="center"/>
          </w:tcPr>
          <w:p w14:paraId="5B8AF3D2" w14:textId="02863112" w:rsidR="002D4B20" w:rsidRPr="002D4B20" w:rsidRDefault="0088072F" w:rsidP="001B4185">
            <w:pPr>
              <w:spacing w:before="40" w:after="40" w:line="240" w:lineRule="auto"/>
            </w:pPr>
            <m:oMathPara>
              <m:oMathParaPr>
                <m:jc m:val="left"/>
              </m:oMathParaPr>
              <m:oMath>
                <m:sSub>
                  <m:sSubPr>
                    <m:ctrlPr>
                      <w:rPr>
                        <w:rFonts w:ascii="Cambria Math" w:hAnsi="Cambria Math"/>
                      </w:rPr>
                    </m:ctrlPr>
                  </m:sSubPr>
                  <m:e>
                    <m:r>
                      <w:rPr>
                        <w:rFonts w:ascii="Cambria Math" w:hAnsi="Cambria Math"/>
                      </w:rPr>
                      <m:t>(A.E.I.R.)</m:t>
                    </m:r>
                  </m:e>
                  <m:sub>
                    <m:r>
                      <w:rPr>
                        <w:rFonts w:ascii="Cambria Math" w:hAnsi="Cambria Math"/>
                      </w:rPr>
                      <m:t>i</m:t>
                    </m:r>
                  </m:sub>
                </m:sSub>
              </m:oMath>
            </m:oMathPara>
          </w:p>
        </w:tc>
        <w:tc>
          <w:tcPr>
            <w:tcW w:w="0" w:type="auto"/>
          </w:tcPr>
          <w:p w14:paraId="1E843A39" w14:textId="6298E382" w:rsidR="002D4B20" w:rsidRPr="002C2818" w:rsidRDefault="002D4B20" w:rsidP="001B4185">
            <w:pPr>
              <w:spacing w:before="40" w:after="40" w:line="240" w:lineRule="auto"/>
            </w:pPr>
            <w:r>
              <w:t>:</w:t>
            </w:r>
          </w:p>
        </w:tc>
        <w:tc>
          <w:tcPr>
            <w:tcW w:w="0" w:type="auto"/>
            <w:shd w:val="clear" w:color="auto" w:fill="auto"/>
          </w:tcPr>
          <w:p w14:paraId="7CB897ED" w14:textId="6AEEEDBB" w:rsidR="002D4B20" w:rsidRPr="002C2818" w:rsidRDefault="002D4B20" w:rsidP="001B4185">
            <w:pPr>
              <w:spacing w:before="40" w:after="40" w:line="240" w:lineRule="auto"/>
            </w:pPr>
            <w:r w:rsidRPr="002C2818">
              <w:t xml:space="preserve">Ajuste por los Efectos de Impuestos a la Renta asociados al tramo </w:t>
            </w:r>
            <m:oMath>
              <m:r>
                <w:rPr>
                  <w:rFonts w:ascii="Cambria Math" w:hAnsi="Cambria Math"/>
                </w:rPr>
                <m:t>i</m:t>
              </m:r>
            </m:oMath>
          </w:p>
        </w:tc>
      </w:tr>
      <w:tr w:rsidR="002D4B20" w:rsidRPr="002C2818" w14:paraId="77C4F783" w14:textId="77777777" w:rsidTr="002D4B20">
        <w:tc>
          <w:tcPr>
            <w:tcW w:w="0" w:type="auto"/>
            <w:shd w:val="clear" w:color="auto" w:fill="auto"/>
            <w:vAlign w:val="center"/>
          </w:tcPr>
          <w:p w14:paraId="0C0A86B0" w14:textId="14EC13EA" w:rsidR="002D4B20" w:rsidRPr="002D4B20" w:rsidRDefault="0088072F" w:rsidP="001B4185">
            <w:pPr>
              <w:spacing w:before="40" w:after="40" w:line="240" w:lineRule="auto"/>
            </w:pPr>
            <m:oMathPara>
              <m:oMathParaPr>
                <m:jc m:val="left"/>
              </m:oMathParaPr>
              <m:oMath>
                <m:sSub>
                  <m:sSubPr>
                    <m:ctrlPr>
                      <w:rPr>
                        <w:rFonts w:ascii="Cambria Math" w:hAnsi="Cambria Math"/>
                      </w:rPr>
                    </m:ctrlPr>
                  </m:sSubPr>
                  <m:e>
                    <m:sSub>
                      <m:sSubPr>
                        <m:ctrlPr>
                          <w:rPr>
                            <w:rFonts w:ascii="Cambria Math" w:hAnsi="Cambria Math"/>
                          </w:rPr>
                        </m:ctrlPr>
                      </m:sSubPr>
                      <m:e>
                        <m:r>
                          <w:rPr>
                            <w:rFonts w:ascii="Cambria Math" w:hAnsi="Cambria Math"/>
                          </w:rPr>
                          <m:t>(V.A.T.T.</m:t>
                        </m:r>
                      </m:e>
                      <m:sub>
                        <m:r>
                          <w:rPr>
                            <w:rFonts w:ascii="Cambria Math" w:hAnsi="Cambria Math"/>
                          </w:rPr>
                          <m:t>OONN</m:t>
                        </m:r>
                      </m:sub>
                    </m:sSub>
                    <m:r>
                      <w:rPr>
                        <w:rFonts w:ascii="Cambria Math" w:hAnsi="Cambria Math"/>
                      </w:rPr>
                      <m:t>)</m:t>
                    </m:r>
                  </m:e>
                  <m:sub>
                    <m:r>
                      <w:rPr>
                        <w:rFonts w:ascii="Cambria Math" w:hAnsi="Cambria Math"/>
                      </w:rPr>
                      <m:t>i</m:t>
                    </m:r>
                  </m:sub>
                </m:sSub>
              </m:oMath>
            </m:oMathPara>
          </w:p>
        </w:tc>
        <w:tc>
          <w:tcPr>
            <w:tcW w:w="0" w:type="auto"/>
          </w:tcPr>
          <w:p w14:paraId="75383A82" w14:textId="2DE3F3D4" w:rsidR="002D4B20" w:rsidRPr="002C2818" w:rsidRDefault="002D4B20" w:rsidP="001B4185">
            <w:pPr>
              <w:spacing w:before="40" w:after="40" w:line="240" w:lineRule="auto"/>
            </w:pPr>
            <w:r>
              <w:t>:</w:t>
            </w:r>
          </w:p>
        </w:tc>
        <w:tc>
          <w:tcPr>
            <w:tcW w:w="0" w:type="auto"/>
            <w:shd w:val="clear" w:color="auto" w:fill="auto"/>
          </w:tcPr>
          <w:p w14:paraId="0ADDBDBF" w14:textId="26D6521B" w:rsidR="002D4B20" w:rsidRPr="002C2818" w:rsidRDefault="002D4B20" w:rsidP="001B4185">
            <w:pPr>
              <w:spacing w:before="40" w:after="40" w:line="240" w:lineRule="auto"/>
            </w:pPr>
            <w:r w:rsidRPr="002C2818">
              <w:t xml:space="preserve">V.A.T.T. de las Obras Nuevas asociadas al tramo </w:t>
            </w:r>
            <m:oMath>
              <m:r>
                <w:rPr>
                  <w:rFonts w:ascii="Cambria Math" w:hAnsi="Cambria Math"/>
                </w:rPr>
                <m:t>i</m:t>
              </m:r>
            </m:oMath>
          </w:p>
        </w:tc>
      </w:tr>
      <w:tr w:rsidR="002D4B20" w:rsidRPr="002C2818" w14:paraId="45A7A328" w14:textId="77777777" w:rsidTr="002D4B20">
        <w:tc>
          <w:tcPr>
            <w:tcW w:w="0" w:type="auto"/>
            <w:shd w:val="clear" w:color="auto" w:fill="auto"/>
            <w:vAlign w:val="center"/>
          </w:tcPr>
          <w:p w14:paraId="5A586675" w14:textId="0ED3821C" w:rsidR="002D4B20" w:rsidRPr="002D4B20" w:rsidRDefault="0088072F" w:rsidP="001B4185">
            <w:pPr>
              <w:spacing w:before="40" w:after="40" w:line="240" w:lineRule="auto"/>
            </w:pPr>
            <m:oMathPara>
              <m:oMathParaPr>
                <m:jc m:val="left"/>
              </m:oMathParaPr>
              <m:oMath>
                <m:sSub>
                  <m:sSubPr>
                    <m:ctrlPr>
                      <w:rPr>
                        <w:rFonts w:ascii="Cambria Math" w:hAnsi="Cambria Math"/>
                      </w:rPr>
                    </m:ctrlPr>
                  </m:sSubPr>
                  <m:e>
                    <m:sSub>
                      <m:sSubPr>
                        <m:ctrlPr>
                          <w:rPr>
                            <w:rFonts w:ascii="Cambria Math" w:hAnsi="Cambria Math"/>
                          </w:rPr>
                        </m:ctrlPr>
                      </m:sSubPr>
                      <m:e>
                        <m:r>
                          <w:rPr>
                            <w:rFonts w:ascii="Cambria Math" w:hAnsi="Cambria Math"/>
                          </w:rPr>
                          <m:t>(A.V.I.</m:t>
                        </m:r>
                      </m:e>
                      <m:sub>
                        <m:r>
                          <w:rPr>
                            <w:rFonts w:ascii="Cambria Math" w:hAnsi="Cambria Math"/>
                          </w:rPr>
                          <m:t>OOAA</m:t>
                        </m:r>
                      </m:sub>
                    </m:sSub>
                    <m:r>
                      <w:rPr>
                        <w:rFonts w:ascii="Cambria Math" w:hAnsi="Cambria Math"/>
                      </w:rPr>
                      <m:t>)</m:t>
                    </m:r>
                  </m:e>
                  <m:sub>
                    <m:r>
                      <w:rPr>
                        <w:rFonts w:ascii="Cambria Math" w:hAnsi="Cambria Math"/>
                      </w:rPr>
                      <m:t>i</m:t>
                    </m:r>
                  </m:sub>
                </m:sSub>
              </m:oMath>
            </m:oMathPara>
          </w:p>
        </w:tc>
        <w:tc>
          <w:tcPr>
            <w:tcW w:w="0" w:type="auto"/>
          </w:tcPr>
          <w:p w14:paraId="193AB143" w14:textId="32FEBAB5" w:rsidR="002D4B20" w:rsidRPr="002C2818" w:rsidRDefault="002D4B20" w:rsidP="001B4185">
            <w:pPr>
              <w:spacing w:before="40" w:after="40" w:line="240" w:lineRule="auto"/>
            </w:pPr>
            <w:r>
              <w:t>:</w:t>
            </w:r>
          </w:p>
        </w:tc>
        <w:tc>
          <w:tcPr>
            <w:tcW w:w="0" w:type="auto"/>
            <w:shd w:val="clear" w:color="auto" w:fill="auto"/>
          </w:tcPr>
          <w:p w14:paraId="0C5F78BD" w14:textId="52E64DA6" w:rsidR="002D4B20" w:rsidRPr="002C2818" w:rsidRDefault="002D4B20" w:rsidP="001B4185">
            <w:pPr>
              <w:spacing w:before="40" w:after="40" w:line="240" w:lineRule="auto"/>
            </w:pPr>
            <w:r w:rsidRPr="002C2818">
              <w:t xml:space="preserve">A.V.I. de las Obras de Ampliación asociadas al tramo </w:t>
            </w:r>
            <m:oMath>
              <m:r>
                <w:rPr>
                  <w:rFonts w:ascii="Cambria Math" w:hAnsi="Cambria Math"/>
                </w:rPr>
                <m:t>i</m:t>
              </m:r>
            </m:oMath>
          </w:p>
        </w:tc>
      </w:tr>
      <w:tr w:rsidR="002D4B20" w:rsidRPr="002C2818" w14:paraId="7DD0A7DE" w14:textId="77777777" w:rsidTr="002D4B20">
        <w:tc>
          <w:tcPr>
            <w:tcW w:w="0" w:type="auto"/>
            <w:shd w:val="clear" w:color="auto" w:fill="auto"/>
            <w:vAlign w:val="center"/>
          </w:tcPr>
          <w:p w14:paraId="4B2B0DB9" w14:textId="2D802055" w:rsidR="002D4B20" w:rsidRPr="002D4B20" w:rsidRDefault="0088072F" w:rsidP="001B4185">
            <w:pPr>
              <w:spacing w:before="40" w:after="40" w:line="240" w:lineRule="auto"/>
            </w:pPr>
            <m:oMathPara>
              <m:oMathParaPr>
                <m:jc m:val="left"/>
              </m:oMathParaPr>
              <m:oMath>
                <m:sSub>
                  <m:sSubPr>
                    <m:ctrlPr>
                      <w:rPr>
                        <w:rFonts w:ascii="Cambria Math" w:hAnsi="Cambria Math"/>
                      </w:rPr>
                    </m:ctrlPr>
                  </m:sSubPr>
                  <m:e>
                    <m:sSub>
                      <m:sSubPr>
                        <m:ctrlPr>
                          <w:rPr>
                            <w:rFonts w:ascii="Cambria Math" w:hAnsi="Cambria Math"/>
                          </w:rPr>
                        </m:ctrlPr>
                      </m:sSubPr>
                      <m:e>
                        <m:r>
                          <w:rPr>
                            <w:rFonts w:ascii="Cambria Math" w:hAnsi="Cambria Math"/>
                          </w:rPr>
                          <m:t>(C.O.M.A.</m:t>
                        </m:r>
                      </m:e>
                      <m:sub>
                        <m:r>
                          <w:rPr>
                            <w:rFonts w:ascii="Cambria Math" w:hAnsi="Cambria Math"/>
                          </w:rPr>
                          <m:t>OOAA</m:t>
                        </m:r>
                      </m:sub>
                    </m:sSub>
                    <m:r>
                      <w:rPr>
                        <w:rFonts w:ascii="Cambria Math" w:hAnsi="Cambria Math"/>
                      </w:rPr>
                      <m:t>)</m:t>
                    </m:r>
                  </m:e>
                  <m:sub>
                    <m:r>
                      <w:rPr>
                        <w:rFonts w:ascii="Cambria Math" w:hAnsi="Cambria Math"/>
                      </w:rPr>
                      <m:t>i</m:t>
                    </m:r>
                  </m:sub>
                </m:sSub>
              </m:oMath>
            </m:oMathPara>
          </w:p>
        </w:tc>
        <w:tc>
          <w:tcPr>
            <w:tcW w:w="0" w:type="auto"/>
          </w:tcPr>
          <w:p w14:paraId="058C621C" w14:textId="0F67CA4D" w:rsidR="002D4B20" w:rsidRPr="002C2818" w:rsidRDefault="002D4B20" w:rsidP="001B4185">
            <w:pPr>
              <w:spacing w:before="40" w:after="40" w:line="240" w:lineRule="auto"/>
            </w:pPr>
            <w:r>
              <w:t>:</w:t>
            </w:r>
          </w:p>
        </w:tc>
        <w:tc>
          <w:tcPr>
            <w:tcW w:w="0" w:type="auto"/>
            <w:shd w:val="clear" w:color="auto" w:fill="auto"/>
          </w:tcPr>
          <w:p w14:paraId="4DBA4407" w14:textId="0CCA9EA7" w:rsidR="002D4B20" w:rsidRPr="002C2818" w:rsidRDefault="002D4B20" w:rsidP="001B4185">
            <w:pPr>
              <w:spacing w:before="40" w:after="40" w:line="240" w:lineRule="auto"/>
            </w:pPr>
            <w:r w:rsidRPr="002C2818">
              <w:t xml:space="preserve">C.O.M.A. de las Obras de Ampliación asociadas al tramo </w:t>
            </w:r>
            <m:oMath>
              <m:r>
                <w:rPr>
                  <w:rFonts w:ascii="Cambria Math" w:hAnsi="Cambria Math"/>
                </w:rPr>
                <m:t>i</m:t>
              </m:r>
            </m:oMath>
          </w:p>
        </w:tc>
      </w:tr>
    </w:tbl>
    <w:p w14:paraId="48C4DBFF" w14:textId="77777777" w:rsidR="00CD6359" w:rsidRDefault="00CD6359" w:rsidP="004268A9">
      <w:pPr>
        <w:spacing w:after="0"/>
      </w:pPr>
    </w:p>
    <w:p w14:paraId="4338924A" w14:textId="77777777" w:rsidR="001B4185" w:rsidRPr="00EE2F47" w:rsidRDefault="001B4185" w:rsidP="001B4185">
      <w:r w:rsidRPr="00EE2F47">
        <w:t>Por su parte, las Bases establecen que el A.V.I. de los tramos, tanto de Instalaciones Existentes como de Obras de Ampliación, se determinará mediante la expresión:</w:t>
      </w:r>
    </w:p>
    <w:p w14:paraId="6C50F3C0" w14:textId="77777777" w:rsidR="001B4185" w:rsidRPr="00C636E3" w:rsidRDefault="0088072F" w:rsidP="001B4185">
      <w:pPr>
        <w:spacing w:after="0"/>
        <w:jc w:val="center"/>
      </w:pPr>
      <m:oMathPara>
        <m:oMath>
          <m:sSub>
            <m:sSubPr>
              <m:ctrlPr>
                <w:rPr>
                  <w:rFonts w:ascii="Cambria Math" w:hAnsi="Cambria Math"/>
                </w:rPr>
              </m:ctrlPr>
            </m:sSubPr>
            <m:e>
              <m:sSub>
                <m:sSubPr>
                  <m:ctrlPr>
                    <w:rPr>
                      <w:rFonts w:ascii="Cambria Math" w:hAnsi="Cambria Math"/>
                    </w:rPr>
                  </m:ctrlPr>
                </m:sSubPr>
                <m:e>
                  <m:r>
                    <w:rPr>
                      <w:rFonts w:ascii="Cambria Math" w:hAnsi="Cambria Math"/>
                    </w:rPr>
                    <m:t>(A.V.I.</m:t>
                  </m:r>
                </m:e>
                <m:sub>
                  <m:r>
                    <w:rPr>
                      <w:rFonts w:ascii="Cambria Math" w:hAnsi="Cambria Math"/>
                    </w:rPr>
                    <m:t>TO</m:t>
                  </m:r>
                </m:sub>
              </m:sSub>
              <m:r>
                <w:rPr>
                  <w:rFonts w:ascii="Cambria Math" w:hAnsi="Cambria Math"/>
                </w:rPr>
                <m:t>)</m:t>
              </m:r>
            </m:e>
            <m:sub>
              <m:r>
                <w:rPr>
                  <w:rFonts w:ascii="Cambria Math" w:hAnsi="Cambria Math"/>
                </w:rPr>
                <m:t>i</m:t>
              </m:r>
            </m:sub>
          </m:sSub>
          <m:r>
            <w:rPr>
              <w:rFonts w:ascii="Cambria Math" w:hAnsi="Cambria Math"/>
            </w:rPr>
            <m:t>=</m:t>
          </m:r>
          <m:nary>
            <m:naryPr>
              <m:chr m:val="∑"/>
              <m:limLoc m:val="undOvr"/>
              <m:ctrlPr>
                <w:rPr>
                  <w:rFonts w:ascii="Cambria Math" w:hAnsi="Cambria Math"/>
                </w:rPr>
              </m:ctrlPr>
            </m:naryPr>
            <m:sub>
              <m:r>
                <w:rPr>
                  <w:rFonts w:ascii="Cambria Math" w:hAnsi="Cambria Math"/>
                </w:rPr>
                <m:t>j=1</m:t>
              </m:r>
            </m:sub>
            <m:sup>
              <m:sSub>
                <m:sSubPr>
                  <m:ctrlPr>
                    <w:rPr>
                      <w:rFonts w:ascii="Cambria Math" w:hAnsi="Cambria Math"/>
                    </w:rPr>
                  </m:ctrlPr>
                </m:sSubPr>
                <m:e>
                  <m:r>
                    <w:rPr>
                      <w:rFonts w:ascii="Cambria Math" w:hAnsi="Cambria Math"/>
                    </w:rPr>
                    <m:t>N</m:t>
                  </m:r>
                </m:e>
                <m:sub>
                  <m:r>
                    <w:rPr>
                      <w:rFonts w:ascii="Cambria Math" w:hAnsi="Cambria Math"/>
                    </w:rPr>
                    <m:t>IEI-i</m:t>
                  </m:r>
                </m:sub>
              </m:sSub>
            </m:sup>
            <m:e>
              <m:d>
                <m:dPr>
                  <m:begChr m:val="["/>
                  <m:endChr m:val="]"/>
                  <m:ctrlPr>
                    <w:rPr>
                      <w:rFonts w:ascii="Cambria Math" w:hAnsi="Cambria Math"/>
                    </w:rPr>
                  </m:ctrlPr>
                </m:dPr>
                <m:e>
                  <m:sSub>
                    <m:sSubPr>
                      <m:ctrlPr>
                        <w:rPr>
                          <w:rFonts w:ascii="Cambria Math" w:hAnsi="Cambria Math"/>
                        </w:rPr>
                      </m:ctrlPr>
                    </m:sSubPr>
                    <m:e>
                      <m:r>
                        <w:rPr>
                          <w:rFonts w:ascii="Cambria Math" w:hAnsi="Cambria Math"/>
                        </w:rPr>
                        <m:t>a</m:t>
                      </m:r>
                    </m:e>
                    <m:sub>
                      <m:r>
                        <w:rPr>
                          <w:rFonts w:ascii="Cambria Math" w:hAnsi="Cambria Math"/>
                        </w:rPr>
                        <m:t>j</m:t>
                      </m:r>
                    </m:sub>
                  </m:sSub>
                  <m:r>
                    <w:rPr>
                      <w:rFonts w:ascii="Cambria Math" w:hAnsi="Cambria Math"/>
                    </w:rPr>
                    <m:t xml:space="preserve">× </m:t>
                  </m:r>
                  <m:sSub>
                    <m:sSubPr>
                      <m:ctrlPr>
                        <w:rPr>
                          <w:rFonts w:ascii="Cambria Math" w:hAnsi="Cambria Math"/>
                        </w:rPr>
                      </m:ctrlPr>
                    </m:sSubPr>
                    <m:e>
                      <m:r>
                        <w:rPr>
                          <w:rFonts w:ascii="Cambria Math" w:hAnsi="Cambria Math"/>
                        </w:rPr>
                        <m:t>(V.I.)</m:t>
                      </m:r>
                    </m:e>
                    <m:sub>
                      <m:r>
                        <w:rPr>
                          <w:rFonts w:ascii="Cambria Math" w:hAnsi="Cambria Math"/>
                        </w:rPr>
                        <m:t>ij</m:t>
                      </m:r>
                    </m:sub>
                  </m:sSub>
                </m:e>
              </m:d>
            </m:e>
          </m:nary>
        </m:oMath>
      </m:oMathPara>
    </w:p>
    <w:p w14:paraId="78A408E7" w14:textId="25FD0CC4" w:rsidR="001B4185" w:rsidRDefault="002D4B20" w:rsidP="004268A9">
      <w:pPr>
        <w:spacing w:after="120"/>
      </w:pPr>
      <w:r>
        <w:t>Donde</w:t>
      </w:r>
    </w:p>
    <w:tbl>
      <w:tblPr>
        <w:tblW w:w="9599" w:type="dxa"/>
        <w:tblCellMar>
          <w:left w:w="57" w:type="dxa"/>
          <w:right w:w="57" w:type="dxa"/>
        </w:tblCellMar>
        <w:tblLook w:val="04A0" w:firstRow="1" w:lastRow="0" w:firstColumn="1" w:lastColumn="0" w:noHBand="0" w:noVBand="1"/>
      </w:tblPr>
      <w:tblGrid>
        <w:gridCol w:w="1313"/>
        <w:gridCol w:w="179"/>
        <w:gridCol w:w="8107"/>
      </w:tblGrid>
      <w:tr w:rsidR="002D4B20" w:rsidRPr="002C2818" w14:paraId="2A815A0E" w14:textId="77777777" w:rsidTr="002D4B20">
        <w:tc>
          <w:tcPr>
            <w:tcW w:w="0" w:type="auto"/>
            <w:shd w:val="clear" w:color="auto" w:fill="auto"/>
          </w:tcPr>
          <w:p w14:paraId="5A753C0F" w14:textId="753E0B3E" w:rsidR="002D4B20" w:rsidRPr="002D4B20" w:rsidRDefault="0088072F" w:rsidP="002D4B20">
            <w:pPr>
              <w:spacing w:before="40" w:after="40" w:line="240" w:lineRule="auto"/>
              <w:jc w:val="left"/>
            </w:pPr>
            <m:oMathPara>
              <m:oMathParaPr>
                <m:jc m:val="left"/>
              </m:oMathParaPr>
              <m:oMath>
                <m:sSub>
                  <m:sSubPr>
                    <m:ctrlPr>
                      <w:rPr>
                        <w:rFonts w:ascii="Cambria Math" w:hAnsi="Cambria Math"/>
                      </w:rPr>
                    </m:ctrlPr>
                  </m:sSubPr>
                  <m:e>
                    <m:sSub>
                      <m:sSubPr>
                        <m:ctrlPr>
                          <w:rPr>
                            <w:rFonts w:ascii="Cambria Math" w:hAnsi="Cambria Math"/>
                          </w:rPr>
                        </m:ctrlPr>
                      </m:sSubPr>
                      <m:e>
                        <m:r>
                          <w:rPr>
                            <w:rFonts w:ascii="Cambria Math" w:hAnsi="Cambria Math"/>
                          </w:rPr>
                          <m:t>(A.V.I.</m:t>
                        </m:r>
                      </m:e>
                      <m:sub>
                        <m:r>
                          <w:rPr>
                            <w:rFonts w:ascii="Cambria Math" w:hAnsi="Cambria Math"/>
                          </w:rPr>
                          <m:t>TO</m:t>
                        </m:r>
                      </m:sub>
                    </m:sSub>
                    <m:r>
                      <w:rPr>
                        <w:rFonts w:ascii="Cambria Math" w:hAnsi="Cambria Math"/>
                      </w:rPr>
                      <m:t>)</m:t>
                    </m:r>
                  </m:e>
                  <m:sub>
                    <m:r>
                      <w:rPr>
                        <w:rFonts w:ascii="Cambria Math" w:hAnsi="Cambria Math"/>
                      </w:rPr>
                      <m:t>i</m:t>
                    </m:r>
                  </m:sub>
                </m:sSub>
              </m:oMath>
            </m:oMathPara>
          </w:p>
        </w:tc>
        <w:tc>
          <w:tcPr>
            <w:tcW w:w="0" w:type="auto"/>
          </w:tcPr>
          <w:p w14:paraId="5E8DE3DD" w14:textId="77777777" w:rsidR="002D4B20" w:rsidRPr="002C2818" w:rsidRDefault="002D4B20" w:rsidP="002D4B20">
            <w:pPr>
              <w:spacing w:before="40" w:after="40" w:line="240" w:lineRule="auto"/>
            </w:pPr>
            <w:r>
              <w:t>:</w:t>
            </w:r>
          </w:p>
        </w:tc>
        <w:tc>
          <w:tcPr>
            <w:tcW w:w="8107" w:type="dxa"/>
          </w:tcPr>
          <w:p w14:paraId="5AF013D0" w14:textId="6F0CEB20" w:rsidR="002D4B20" w:rsidRPr="002C2818" w:rsidRDefault="000E4E9A" w:rsidP="000E4E9A">
            <w:pPr>
              <w:spacing w:before="40" w:after="40" w:line="240" w:lineRule="auto"/>
            </w:pPr>
            <w:r>
              <w:t xml:space="preserve">A.V.I. del tramo </w:t>
            </w:r>
            <m:oMath>
              <m:r>
                <w:rPr>
                  <w:rFonts w:ascii="Cambria Math" w:hAnsi="Cambria Math"/>
                </w:rPr>
                <m:t>i</m:t>
              </m:r>
            </m:oMath>
            <w:r>
              <w:t xml:space="preserve"> asociado al tipo de obra </w:t>
            </w:r>
            <m:oMath>
              <m:r>
                <w:rPr>
                  <w:rFonts w:ascii="Cambria Math" w:hAnsi="Cambria Math"/>
                </w:rPr>
                <m:t>TO</m:t>
              </m:r>
            </m:oMath>
            <w:r w:rsidR="002D4B20" w:rsidRPr="002C2818">
              <w:t>.</w:t>
            </w:r>
          </w:p>
        </w:tc>
      </w:tr>
      <w:tr w:rsidR="002D4B20" w:rsidRPr="002C2818" w14:paraId="26E2498A" w14:textId="77777777" w:rsidTr="002D4B20">
        <w:tc>
          <w:tcPr>
            <w:tcW w:w="0" w:type="auto"/>
            <w:shd w:val="clear" w:color="auto" w:fill="auto"/>
          </w:tcPr>
          <w:p w14:paraId="3F689231" w14:textId="3D357AAB" w:rsidR="002D4B20" w:rsidRPr="002D4B20" w:rsidRDefault="0088072F" w:rsidP="002D4B20">
            <w:pPr>
              <w:spacing w:before="40" w:after="40" w:line="240" w:lineRule="auto"/>
              <w:jc w:val="left"/>
            </w:pPr>
            <m:oMathPara>
              <m:oMathParaPr>
                <m:jc m:val="left"/>
              </m:oMathParaPr>
              <m:oMath>
                <m:sSub>
                  <m:sSubPr>
                    <m:ctrlPr>
                      <w:rPr>
                        <w:rFonts w:ascii="Cambria Math" w:hAnsi="Cambria Math"/>
                      </w:rPr>
                    </m:ctrlPr>
                  </m:sSubPr>
                  <m:e>
                    <m:r>
                      <w:rPr>
                        <w:rFonts w:ascii="Cambria Math" w:hAnsi="Cambria Math"/>
                      </w:rPr>
                      <m:t>N</m:t>
                    </m:r>
                  </m:e>
                  <m:sub>
                    <m:r>
                      <w:rPr>
                        <w:rFonts w:ascii="Cambria Math" w:hAnsi="Cambria Math"/>
                      </w:rPr>
                      <m:t>IEI-i</m:t>
                    </m:r>
                  </m:sub>
                </m:sSub>
              </m:oMath>
            </m:oMathPara>
          </w:p>
        </w:tc>
        <w:tc>
          <w:tcPr>
            <w:tcW w:w="0" w:type="auto"/>
          </w:tcPr>
          <w:p w14:paraId="29BD4A1A" w14:textId="77777777" w:rsidR="002D4B20" w:rsidRPr="002C2818" w:rsidRDefault="002D4B20" w:rsidP="002D4B20">
            <w:pPr>
              <w:spacing w:before="40" w:after="40" w:line="240" w:lineRule="auto"/>
            </w:pPr>
            <w:r>
              <w:t>:</w:t>
            </w:r>
          </w:p>
        </w:tc>
        <w:tc>
          <w:tcPr>
            <w:tcW w:w="8107" w:type="dxa"/>
          </w:tcPr>
          <w:p w14:paraId="56FE9ED4" w14:textId="1728815F" w:rsidR="002D4B20" w:rsidRPr="002C2818" w:rsidRDefault="002D4B20" w:rsidP="000E4E9A">
            <w:pPr>
              <w:spacing w:before="40" w:after="40" w:line="240" w:lineRule="auto"/>
            </w:pPr>
            <w:r w:rsidRPr="002C2818">
              <w:t>Número de instalaciones económicamente identif</w:t>
            </w:r>
            <w:r w:rsidR="000E4E9A">
              <w:t xml:space="preserve">icables contenidas en el tramo </w:t>
            </w:r>
            <m:oMath>
              <m:r>
                <w:rPr>
                  <w:rFonts w:ascii="Cambria Math" w:hAnsi="Cambria Math"/>
                </w:rPr>
                <w:lastRenderedPageBreak/>
                <m:t>i</m:t>
              </m:r>
            </m:oMath>
            <w:r w:rsidRPr="002C2818">
              <w:rPr>
                <w:rStyle w:val="Refdenotaalpie"/>
              </w:rPr>
              <w:footnoteReference w:id="39"/>
            </w:r>
          </w:p>
        </w:tc>
      </w:tr>
      <w:tr w:rsidR="002D4B20" w:rsidRPr="002C2818" w14:paraId="769BF925" w14:textId="77777777" w:rsidTr="002D4B20">
        <w:tc>
          <w:tcPr>
            <w:tcW w:w="0" w:type="auto"/>
            <w:shd w:val="clear" w:color="auto" w:fill="auto"/>
          </w:tcPr>
          <w:p w14:paraId="522BFCF0" w14:textId="495B5891" w:rsidR="002D4B20" w:rsidRPr="002D4B20" w:rsidRDefault="0088072F" w:rsidP="002D4B20">
            <w:pPr>
              <w:spacing w:before="40" w:after="40" w:line="240" w:lineRule="auto"/>
              <w:jc w:val="left"/>
            </w:pPr>
            <m:oMathPara>
              <m:oMathParaPr>
                <m:jc m:val="left"/>
              </m:oMathParaPr>
              <m:oMath>
                <m:sSub>
                  <m:sSubPr>
                    <m:ctrlPr>
                      <w:rPr>
                        <w:rFonts w:ascii="Cambria Math" w:hAnsi="Cambria Math"/>
                      </w:rPr>
                    </m:ctrlPr>
                  </m:sSubPr>
                  <m:e>
                    <m:r>
                      <w:rPr>
                        <w:rFonts w:ascii="Cambria Math" w:hAnsi="Cambria Math"/>
                      </w:rPr>
                      <m:t>(V.I.)</m:t>
                    </m:r>
                  </m:e>
                  <m:sub>
                    <m:r>
                      <w:rPr>
                        <w:rFonts w:ascii="Cambria Math" w:hAnsi="Cambria Math"/>
                      </w:rPr>
                      <m:t>ij</m:t>
                    </m:r>
                  </m:sub>
                </m:sSub>
              </m:oMath>
            </m:oMathPara>
          </w:p>
        </w:tc>
        <w:tc>
          <w:tcPr>
            <w:tcW w:w="0" w:type="auto"/>
          </w:tcPr>
          <w:p w14:paraId="7C9359CD" w14:textId="77777777" w:rsidR="002D4B20" w:rsidRPr="002C2818" w:rsidRDefault="002D4B20" w:rsidP="002D4B20">
            <w:pPr>
              <w:spacing w:before="40" w:after="40" w:line="240" w:lineRule="auto"/>
            </w:pPr>
            <w:r>
              <w:t>:</w:t>
            </w:r>
          </w:p>
        </w:tc>
        <w:tc>
          <w:tcPr>
            <w:tcW w:w="8107" w:type="dxa"/>
          </w:tcPr>
          <w:p w14:paraId="438CA10F" w14:textId="394DB0DB" w:rsidR="002D4B20" w:rsidRPr="002C2818" w:rsidRDefault="002D4B20" w:rsidP="000E4E9A">
            <w:pPr>
              <w:spacing w:before="40" w:after="40" w:line="240" w:lineRule="auto"/>
            </w:pPr>
            <w:r w:rsidRPr="002C2818">
              <w:t xml:space="preserve">V.I. de la instalación </w:t>
            </w:r>
            <w:r w:rsidR="000E4E9A">
              <w:t xml:space="preserve">económicamente identificable </w:t>
            </w:r>
            <m:oMath>
              <m:r>
                <w:rPr>
                  <w:rFonts w:ascii="Cambria Math" w:hAnsi="Cambria Math"/>
                </w:rPr>
                <m:t>j</m:t>
              </m:r>
            </m:oMath>
            <w:r w:rsidR="000E4E9A">
              <w:t xml:space="preserve"> asociada al tramo </w:t>
            </w:r>
            <m:oMath>
              <m:r>
                <w:rPr>
                  <w:rFonts w:ascii="Cambria Math" w:hAnsi="Cambria Math"/>
                </w:rPr>
                <m:t>i</m:t>
              </m:r>
            </m:oMath>
            <w:r w:rsidRPr="002C2818">
              <w:t>.</w:t>
            </w:r>
          </w:p>
        </w:tc>
      </w:tr>
      <w:tr w:rsidR="002D4B20" w:rsidRPr="002C2818" w14:paraId="31213270" w14:textId="77777777" w:rsidTr="002D4B20">
        <w:trPr>
          <w:trHeight w:val="80"/>
        </w:trPr>
        <w:tc>
          <w:tcPr>
            <w:tcW w:w="0" w:type="auto"/>
            <w:shd w:val="clear" w:color="auto" w:fill="auto"/>
          </w:tcPr>
          <w:p w14:paraId="58B1EBE3" w14:textId="79931516" w:rsidR="002D4B20" w:rsidRPr="002D4B20" w:rsidRDefault="0088072F" w:rsidP="004268A9">
            <w:pPr>
              <w:spacing w:before="40" w:after="120" w:line="240" w:lineRule="auto"/>
              <w:jc w:val="left"/>
            </w:pPr>
            <m:oMathPara>
              <m:oMathParaPr>
                <m:jc m:val="left"/>
              </m:oMathParaPr>
              <m:oMath>
                <m:sSub>
                  <m:sSubPr>
                    <m:ctrlPr>
                      <w:rPr>
                        <w:rFonts w:ascii="Cambria Math" w:hAnsi="Cambria Math"/>
                      </w:rPr>
                    </m:ctrlPr>
                  </m:sSubPr>
                  <m:e>
                    <m:r>
                      <w:rPr>
                        <w:rFonts w:ascii="Cambria Math" w:hAnsi="Cambria Math"/>
                      </w:rPr>
                      <m:t>a</m:t>
                    </m:r>
                  </m:e>
                  <m:sub>
                    <m:r>
                      <w:rPr>
                        <w:rFonts w:ascii="Cambria Math" w:hAnsi="Cambria Math"/>
                      </w:rPr>
                      <m:t>j</m:t>
                    </m:r>
                  </m:sub>
                </m:sSub>
              </m:oMath>
            </m:oMathPara>
          </w:p>
        </w:tc>
        <w:tc>
          <w:tcPr>
            <w:tcW w:w="0" w:type="auto"/>
          </w:tcPr>
          <w:p w14:paraId="3CB34F96" w14:textId="77777777" w:rsidR="002D4B20" w:rsidRPr="002C2818" w:rsidRDefault="002D4B20" w:rsidP="004268A9">
            <w:pPr>
              <w:spacing w:before="40" w:after="120" w:line="240" w:lineRule="auto"/>
            </w:pPr>
            <w:r>
              <w:t>:</w:t>
            </w:r>
          </w:p>
        </w:tc>
        <w:tc>
          <w:tcPr>
            <w:tcW w:w="8107" w:type="dxa"/>
          </w:tcPr>
          <w:p w14:paraId="2971A7EF" w14:textId="749BE659" w:rsidR="002D4B20" w:rsidRPr="002C2818" w:rsidRDefault="002D4B20" w:rsidP="004268A9">
            <w:pPr>
              <w:spacing w:before="40" w:after="120" w:line="240" w:lineRule="auto"/>
            </w:pPr>
            <w:r w:rsidRPr="002C2818">
              <w:t>Factor de recuperación del capital de la instalación económicamente identificable</w:t>
            </w:r>
            <w:r w:rsidR="000E4E9A">
              <w:rPr>
                <w:vertAlign w:val="superscript"/>
              </w:rPr>
              <w:softHyphen/>
            </w:r>
            <w:r w:rsidR="000E4E9A">
              <w:rPr>
                <w:vertAlign w:val="superscript"/>
              </w:rPr>
              <w:softHyphen/>
            </w:r>
            <w:r w:rsidR="000E4E9A">
              <w:t xml:space="preserve"> </w:t>
            </w:r>
            <m:oMath>
              <m:r>
                <w:rPr>
                  <w:rFonts w:ascii="Cambria Math" w:hAnsi="Cambria Math"/>
                </w:rPr>
                <m:t>j</m:t>
              </m:r>
            </m:oMath>
            <w:r w:rsidRPr="002C2818">
              <w:t>.</w:t>
            </w:r>
          </w:p>
        </w:tc>
      </w:tr>
    </w:tbl>
    <w:p w14:paraId="612CAB38" w14:textId="141BA050" w:rsidR="001B4185" w:rsidRPr="00EE2F47" w:rsidRDefault="001B4185" w:rsidP="004268A9">
      <w:pPr>
        <w:spacing w:after="120"/>
      </w:pPr>
      <w:r w:rsidRPr="00EE2F47">
        <w:t>Finalmente, el factor de recuperación del capital aj de ca</w:t>
      </w:r>
      <w:r w:rsidR="000E4E9A">
        <w:t xml:space="preserve">da instalación identificable </w:t>
      </w:r>
      <m:oMath>
        <m:r>
          <w:rPr>
            <w:rFonts w:ascii="Cambria Math" w:hAnsi="Cambria Math"/>
          </w:rPr>
          <m:t>j</m:t>
        </m:r>
      </m:oMath>
      <w:r w:rsidRPr="00EE2F47">
        <w:t xml:space="preserve"> se determinará mediante la expresión:</w:t>
      </w:r>
    </w:p>
    <w:p w14:paraId="09B1790F" w14:textId="77777777" w:rsidR="001B4185" w:rsidRPr="00C636E3" w:rsidRDefault="0088072F" w:rsidP="001B4185">
      <w:pPr>
        <w:spacing w:after="0"/>
        <w:jc w:val="center"/>
      </w:pPr>
      <m:oMathPara>
        <m:oMath>
          <m:sSub>
            <m:sSubPr>
              <m:ctrlPr>
                <w:rPr>
                  <w:rFonts w:ascii="Cambria Math" w:hAnsi="Cambria Math"/>
                </w:rPr>
              </m:ctrlPr>
            </m:sSubPr>
            <m:e>
              <m:r>
                <w:rPr>
                  <w:rFonts w:ascii="Cambria Math" w:hAnsi="Cambria Math"/>
                </w:rPr>
                <m:t>a</m:t>
              </m:r>
            </m:e>
            <m:sub>
              <m:r>
                <w:rPr>
                  <w:rFonts w:ascii="Cambria Math" w:hAnsi="Cambria Math"/>
                </w:rPr>
                <m:t>j</m:t>
              </m:r>
            </m:sub>
          </m:sSub>
          <m:r>
            <w:rPr>
              <w:rFonts w:ascii="Cambria Math" w:hAnsi="Cambria Math"/>
            </w:rPr>
            <m:t>=</m:t>
          </m:r>
          <m:f>
            <m:fPr>
              <m:ctrlPr>
                <w:rPr>
                  <w:rFonts w:ascii="Cambria Math" w:hAnsi="Cambria Math"/>
                </w:rPr>
              </m:ctrlPr>
            </m:fPr>
            <m:num>
              <m:r>
                <w:rPr>
                  <w:rFonts w:ascii="Cambria Math" w:hAnsi="Cambria Math"/>
                </w:rPr>
                <m:t>r×</m:t>
              </m:r>
              <m:sSup>
                <m:sSupPr>
                  <m:ctrlPr>
                    <w:rPr>
                      <w:rFonts w:ascii="Cambria Math" w:hAnsi="Cambria Math"/>
                    </w:rPr>
                  </m:ctrlPr>
                </m:sSupPr>
                <m:e>
                  <m:r>
                    <w:rPr>
                      <w:rFonts w:ascii="Cambria Math" w:hAnsi="Cambria Math"/>
                    </w:rPr>
                    <m:t>(1+r)</m:t>
                  </m:r>
                </m:e>
                <m:sup>
                  <m:sSub>
                    <m:sSubPr>
                      <m:ctrlPr>
                        <w:rPr>
                          <w:rFonts w:ascii="Cambria Math" w:hAnsi="Cambria Math"/>
                        </w:rPr>
                      </m:ctrlPr>
                    </m:sSubPr>
                    <m:e>
                      <m:r>
                        <w:rPr>
                          <w:rFonts w:ascii="Cambria Math" w:hAnsi="Cambria Math"/>
                        </w:rPr>
                        <m:t>VU</m:t>
                      </m:r>
                    </m:e>
                    <m:sub>
                      <m:r>
                        <w:rPr>
                          <w:rFonts w:ascii="Cambria Math" w:hAnsi="Cambria Math"/>
                        </w:rPr>
                        <m:t>j</m:t>
                      </m:r>
                    </m:sub>
                  </m:sSub>
                </m:sup>
              </m:sSup>
            </m:num>
            <m:den>
              <m:sSup>
                <m:sSupPr>
                  <m:ctrlPr>
                    <w:rPr>
                      <w:rFonts w:ascii="Cambria Math" w:hAnsi="Cambria Math"/>
                    </w:rPr>
                  </m:ctrlPr>
                </m:sSupPr>
                <m:e>
                  <m:r>
                    <w:rPr>
                      <w:rFonts w:ascii="Cambria Math" w:hAnsi="Cambria Math"/>
                    </w:rPr>
                    <m:t>(1+r)</m:t>
                  </m:r>
                </m:e>
                <m:sup>
                  <m:sSub>
                    <m:sSubPr>
                      <m:ctrlPr>
                        <w:rPr>
                          <w:rFonts w:ascii="Cambria Math" w:hAnsi="Cambria Math"/>
                        </w:rPr>
                      </m:ctrlPr>
                    </m:sSubPr>
                    <m:e>
                      <m:r>
                        <w:rPr>
                          <w:rFonts w:ascii="Cambria Math" w:hAnsi="Cambria Math"/>
                        </w:rPr>
                        <m:t>VU</m:t>
                      </m:r>
                    </m:e>
                    <m:sub>
                      <m:r>
                        <w:rPr>
                          <w:rFonts w:ascii="Cambria Math" w:hAnsi="Cambria Math"/>
                        </w:rPr>
                        <m:t>j</m:t>
                      </m:r>
                    </m:sub>
                  </m:sSub>
                </m:sup>
              </m:sSup>
              <m:r>
                <w:rPr>
                  <w:rFonts w:ascii="Cambria Math" w:hAnsi="Cambria Math"/>
                </w:rPr>
                <m:t>-1</m:t>
              </m:r>
            </m:den>
          </m:f>
        </m:oMath>
      </m:oMathPara>
    </w:p>
    <w:p w14:paraId="787DF5A2" w14:textId="4B0F486B" w:rsidR="001B4185" w:rsidRDefault="002D4B20" w:rsidP="001B4185">
      <w:r>
        <w:t>Donde</w:t>
      </w:r>
    </w:p>
    <w:tbl>
      <w:tblPr>
        <w:tblW w:w="8931" w:type="dxa"/>
        <w:tblCellMar>
          <w:left w:w="57" w:type="dxa"/>
          <w:right w:w="57" w:type="dxa"/>
        </w:tblCellMar>
        <w:tblLook w:val="04A0" w:firstRow="1" w:lastRow="0" w:firstColumn="1" w:lastColumn="0" w:noHBand="0" w:noVBand="1"/>
      </w:tblPr>
      <w:tblGrid>
        <w:gridCol w:w="671"/>
        <w:gridCol w:w="179"/>
        <w:gridCol w:w="8081"/>
      </w:tblGrid>
      <w:tr w:rsidR="002D4B20" w:rsidRPr="002C2818" w14:paraId="3AEFF213" w14:textId="77777777" w:rsidTr="002D4B20">
        <w:tc>
          <w:tcPr>
            <w:tcW w:w="0" w:type="auto"/>
            <w:shd w:val="clear" w:color="auto" w:fill="auto"/>
            <w:vAlign w:val="center"/>
          </w:tcPr>
          <w:p w14:paraId="00F67AAA" w14:textId="5DC4B577" w:rsidR="002D4B20" w:rsidRPr="002D4B20" w:rsidRDefault="002D4B20" w:rsidP="002D4B20">
            <w:pPr>
              <w:spacing w:before="40" w:after="40" w:line="240" w:lineRule="auto"/>
            </w:pPr>
            <m:oMathPara>
              <m:oMathParaPr>
                <m:jc m:val="left"/>
              </m:oMathParaPr>
              <m:oMath>
                <m:r>
                  <w:rPr>
                    <w:rFonts w:ascii="Cambria Math" w:hAnsi="Cambria Math"/>
                  </w:rPr>
                  <m:t>r</m:t>
                </m:r>
              </m:oMath>
            </m:oMathPara>
          </w:p>
        </w:tc>
        <w:tc>
          <w:tcPr>
            <w:tcW w:w="134" w:type="dxa"/>
          </w:tcPr>
          <w:p w14:paraId="0ACC774B" w14:textId="77777777" w:rsidR="002D4B20" w:rsidRPr="002C2818" w:rsidRDefault="002D4B20" w:rsidP="002D4B20">
            <w:pPr>
              <w:spacing w:before="40" w:after="40" w:line="240" w:lineRule="auto"/>
            </w:pPr>
            <w:r>
              <w:t>:</w:t>
            </w:r>
          </w:p>
        </w:tc>
        <w:tc>
          <w:tcPr>
            <w:tcW w:w="8081" w:type="dxa"/>
          </w:tcPr>
          <w:p w14:paraId="6109402D" w14:textId="0C246949" w:rsidR="002D4B20" w:rsidRPr="002C2818" w:rsidRDefault="002D4B20" w:rsidP="002D4B20">
            <w:pPr>
              <w:spacing w:before="40" w:after="40" w:line="240" w:lineRule="auto"/>
            </w:pPr>
            <w:r w:rsidRPr="002C2818">
              <w:t>Tasa de descuento a que hace referencia el artículo 118° de la Ley.</w:t>
            </w:r>
          </w:p>
        </w:tc>
      </w:tr>
      <w:tr w:rsidR="002D4B20" w:rsidRPr="002C2818" w14:paraId="0FD7EFFA" w14:textId="77777777" w:rsidTr="002D4B20">
        <w:tc>
          <w:tcPr>
            <w:tcW w:w="0" w:type="auto"/>
            <w:shd w:val="clear" w:color="auto" w:fill="auto"/>
          </w:tcPr>
          <w:p w14:paraId="22269E78" w14:textId="0CF06B2C" w:rsidR="002D4B20" w:rsidRPr="002D4B20" w:rsidRDefault="0088072F" w:rsidP="002D4B20">
            <w:pPr>
              <w:spacing w:before="40" w:after="40" w:line="240" w:lineRule="auto"/>
              <w:jc w:val="left"/>
            </w:pPr>
            <m:oMathPara>
              <m:oMathParaPr>
                <m:jc m:val="left"/>
              </m:oMathParaPr>
              <m:oMath>
                <m:sSub>
                  <m:sSubPr>
                    <m:ctrlPr>
                      <w:rPr>
                        <w:rFonts w:ascii="Cambria Math" w:hAnsi="Cambria Math"/>
                      </w:rPr>
                    </m:ctrlPr>
                  </m:sSubPr>
                  <m:e>
                    <m:r>
                      <w:rPr>
                        <w:rFonts w:ascii="Cambria Math" w:hAnsi="Cambria Math"/>
                      </w:rPr>
                      <m:t>VU</m:t>
                    </m:r>
                  </m:e>
                  <m:sub>
                    <m:r>
                      <w:rPr>
                        <w:rFonts w:ascii="Cambria Math" w:hAnsi="Cambria Math"/>
                      </w:rPr>
                      <m:t>j</m:t>
                    </m:r>
                  </m:sub>
                </m:sSub>
              </m:oMath>
            </m:oMathPara>
          </w:p>
        </w:tc>
        <w:tc>
          <w:tcPr>
            <w:tcW w:w="134" w:type="dxa"/>
          </w:tcPr>
          <w:p w14:paraId="3E9A13B9" w14:textId="77777777" w:rsidR="002D4B20" w:rsidRPr="002C2818" w:rsidRDefault="002D4B20" w:rsidP="002D4B20">
            <w:pPr>
              <w:spacing w:before="40" w:after="40" w:line="240" w:lineRule="auto"/>
            </w:pPr>
            <w:r>
              <w:t>:</w:t>
            </w:r>
          </w:p>
        </w:tc>
        <w:tc>
          <w:tcPr>
            <w:tcW w:w="8081" w:type="dxa"/>
          </w:tcPr>
          <w:p w14:paraId="37F3678A" w14:textId="1AF06483" w:rsidR="002D4B20" w:rsidRPr="002C2818" w:rsidRDefault="002D4B20" w:rsidP="00F727A2">
            <w:pPr>
              <w:spacing w:before="40" w:after="40" w:line="240" w:lineRule="auto"/>
            </w:pPr>
            <w:r w:rsidRPr="002C2818">
              <w:t xml:space="preserve">Vida útil de la instalación </w:t>
            </w:r>
            <w:r w:rsidR="00F727A2">
              <w:t xml:space="preserve">económicamente identificable </w:t>
            </w:r>
            <m:oMath>
              <m:r>
                <w:rPr>
                  <w:rFonts w:ascii="Cambria Math" w:hAnsi="Cambria Math"/>
                </w:rPr>
                <m:t>j</m:t>
              </m:r>
            </m:oMath>
            <w:r w:rsidRPr="002C2818">
              <w:t xml:space="preserve"> expresada en años.</w:t>
            </w:r>
          </w:p>
        </w:tc>
      </w:tr>
    </w:tbl>
    <w:p w14:paraId="57661D84" w14:textId="77777777" w:rsidR="002D4B20" w:rsidRPr="00EE2F47" w:rsidRDefault="002D4B20" w:rsidP="001B4185"/>
    <w:p w14:paraId="554A2DC4" w14:textId="41E00633" w:rsidR="001B4185" w:rsidRPr="00EE2F47" w:rsidRDefault="001B4185" w:rsidP="001B4185">
      <w:r w:rsidRPr="00EE2F47">
        <w:t xml:space="preserve">De acuerdo a las disposiciones de la LGSE, las Bases indican que, para el caso de las Obras de Ampliación, el término </w:t>
      </w:r>
      <m:oMath>
        <m:sSub>
          <m:sSubPr>
            <m:ctrlPr>
              <w:rPr>
                <w:rFonts w:ascii="Cambria Math" w:hAnsi="Cambria Math"/>
              </w:rPr>
            </m:ctrlPr>
          </m:sSubPr>
          <m:e>
            <m:r>
              <w:rPr>
                <w:rFonts w:ascii="Cambria Math" w:hAnsi="Cambria Math"/>
              </w:rPr>
              <m:t>a</m:t>
            </m:r>
          </m:e>
          <m:sub>
            <m:r>
              <w:rPr>
                <w:rFonts w:ascii="Cambria Math" w:hAnsi="Cambria Math"/>
              </w:rPr>
              <m:t>j</m:t>
            </m:r>
          </m:sub>
        </m:sSub>
      </m:oMath>
      <w:r w:rsidRPr="00EE2F47">
        <w:t xml:space="preserve"> se mantendrá constante por cinco períodos tarifarios a partir de su entrada en operación, y se determinará empleando la tasa de descuento utilizada en el Estudio vigente al momento de la adjudicación.</w:t>
      </w:r>
    </w:p>
    <w:p w14:paraId="19CAA6A6" w14:textId="428DB035" w:rsidR="001B4185" w:rsidRDefault="001B4185" w:rsidP="001B4185">
      <w:r w:rsidRPr="00EE2F47">
        <w:t xml:space="preserve">Los valores de </w:t>
      </w:r>
      <m:oMath>
        <m:sSub>
          <m:sSubPr>
            <m:ctrlPr>
              <w:rPr>
                <w:rFonts w:ascii="Cambria Math" w:hAnsi="Cambria Math"/>
              </w:rPr>
            </m:ctrlPr>
          </m:sSubPr>
          <m:e>
            <m:r>
              <w:rPr>
                <w:rFonts w:ascii="Cambria Math" w:hAnsi="Cambria Math"/>
              </w:rPr>
              <m:t>VU</m:t>
            </m:r>
          </m:e>
          <m:sub>
            <m:r>
              <w:rPr>
                <w:rFonts w:ascii="Cambria Math" w:hAnsi="Cambria Math"/>
              </w:rPr>
              <m:t>j</m:t>
            </m:r>
          </m:sub>
        </m:sSub>
      </m:oMath>
      <w:r w:rsidRPr="00EE2F47">
        <w:t xml:space="preserve"> corresponden a los indicados en el señalado Informe Técnico Definitivo de vida útil al que hace referencia el Artículo 104° de la ley.</w:t>
      </w:r>
    </w:p>
    <w:p w14:paraId="56B4CFC2" w14:textId="77777777" w:rsidR="001B4185" w:rsidRPr="00EE2F47" w:rsidRDefault="001B4185" w:rsidP="00F55404">
      <w:pPr>
        <w:pStyle w:val="Ttulo3"/>
      </w:pPr>
      <w:bookmarkStart w:id="524" w:name="_Toc27147807"/>
      <w:bookmarkStart w:id="525" w:name="_Toc39797887"/>
      <w:r w:rsidRPr="00EE2F47">
        <w:t>Ajuste por Efectos de Impuesto a la Renta</w:t>
      </w:r>
      <w:bookmarkEnd w:id="524"/>
      <w:bookmarkEnd w:id="525"/>
    </w:p>
    <w:p w14:paraId="71931E1D" w14:textId="77777777" w:rsidR="001B4185" w:rsidRPr="00EE2F47" w:rsidRDefault="001B4185" w:rsidP="004268A9">
      <w:pPr>
        <w:spacing w:after="120"/>
      </w:pPr>
      <w:r w:rsidRPr="00EE2F47">
        <w:t xml:space="preserve">El </w:t>
      </w:r>
      <w:bookmarkStart w:id="526" w:name="OLE_LINK7"/>
      <w:r w:rsidRPr="00EE2F47">
        <w:t xml:space="preserve">ajuste por efectos de impuesto a la renta (A.E.I.R.) </w:t>
      </w:r>
      <w:bookmarkEnd w:id="526"/>
      <w:r w:rsidRPr="00EE2F47">
        <w:t>señalado en el punto anterior, se determinará mediante la siguiente expresión, establecida en la Resolución Exenta N°380</w:t>
      </w:r>
      <w:r w:rsidRPr="002238EE">
        <w:rPr>
          <w:rStyle w:val="Refdenotaalpie"/>
        </w:rPr>
        <w:footnoteReference w:id="40"/>
      </w:r>
      <w:r w:rsidRPr="00EE2F47">
        <w:t>:</w:t>
      </w:r>
    </w:p>
    <w:p w14:paraId="33F73A2B" w14:textId="138A7D95" w:rsidR="001B4185" w:rsidRPr="00C636E3" w:rsidRDefault="0088072F" w:rsidP="001B4185">
      <w:pPr>
        <w:spacing w:after="0"/>
        <w:jc w:val="center"/>
      </w:pPr>
      <m:oMathPara>
        <m:oMath>
          <m:sSub>
            <m:sSubPr>
              <m:ctrlPr>
                <w:rPr>
                  <w:rFonts w:ascii="Cambria Math" w:hAnsi="Cambria Math"/>
                </w:rPr>
              </m:ctrlPr>
            </m:sSubPr>
            <m:e>
              <m:r>
                <w:rPr>
                  <w:rFonts w:ascii="Cambria Math" w:hAnsi="Cambria Math"/>
                </w:rPr>
                <m:t>(A.E.I.R.)</m:t>
              </m:r>
            </m:e>
            <m:sub>
              <m:r>
                <w:rPr>
                  <w:rFonts w:ascii="Cambria Math" w:hAnsi="Cambria Math"/>
                </w:rPr>
                <m:t>i</m:t>
              </m:r>
            </m:sub>
          </m:sSub>
          <m:r>
            <w:rPr>
              <w:rFonts w:ascii="Cambria Math" w:hAnsi="Cambria Math"/>
            </w:rPr>
            <m:t>=</m:t>
          </m:r>
          <m:f>
            <m:fPr>
              <m:ctrlPr>
                <w:rPr>
                  <w:rFonts w:ascii="Cambria Math" w:hAnsi="Cambria Math"/>
                </w:rPr>
              </m:ctrlPr>
            </m:fPr>
            <m:num>
              <m:r>
                <w:rPr>
                  <w:rFonts w:ascii="Cambria Math" w:hAnsi="Cambria Math"/>
                </w:rPr>
                <m:t>t∙</m:t>
              </m:r>
              <m:d>
                <m:dPr>
                  <m:begChr m:val="["/>
                  <m:endChr m:val="]"/>
                  <m:ctrlPr>
                    <w:rPr>
                      <w:rFonts w:ascii="Cambria Math" w:hAnsi="Cambria Math"/>
                    </w:rPr>
                  </m:ctrlPr>
                </m:dPr>
                <m:e>
                  <m:sSub>
                    <m:sSubPr>
                      <m:ctrlPr>
                        <w:rPr>
                          <w:rFonts w:ascii="Cambria Math" w:hAnsi="Cambria Math"/>
                        </w:rPr>
                      </m:ctrlPr>
                    </m:sSubPr>
                    <m:e>
                      <m:r>
                        <w:rPr>
                          <w:rFonts w:ascii="Cambria Math" w:hAnsi="Cambria Math"/>
                        </w:rPr>
                        <m:t>(A.V.I.)</m:t>
                      </m:r>
                    </m:e>
                    <m:sub>
                      <m:r>
                        <w:rPr>
                          <w:rFonts w:ascii="Cambria Math" w:hAnsi="Cambria Math"/>
                        </w:rPr>
                        <m:t>i</m:t>
                      </m:r>
                    </m:sub>
                  </m:sSub>
                  <m:r>
                    <w:rPr>
                      <w:rFonts w:ascii="Cambria Math" w:hAnsi="Cambria Math"/>
                    </w:rPr>
                    <m:t>-</m:t>
                  </m:r>
                  <m:sSub>
                    <m:sSubPr>
                      <m:ctrlPr>
                        <w:rPr>
                          <w:rFonts w:ascii="Cambria Math" w:hAnsi="Cambria Math"/>
                        </w:rPr>
                      </m:ctrlPr>
                    </m:sSubPr>
                    <m:e>
                      <m:r>
                        <w:rPr>
                          <w:rFonts w:ascii="Cambria Math" w:hAnsi="Cambria Math"/>
                        </w:rPr>
                        <m:t>D</m:t>
                      </m:r>
                    </m:e>
                    <m:sub>
                      <m:r>
                        <w:rPr>
                          <w:rFonts w:ascii="Cambria Math" w:hAnsi="Cambria Math"/>
                        </w:rPr>
                        <m:t>i</m:t>
                      </m:r>
                    </m:sub>
                  </m:sSub>
                </m:e>
              </m:d>
            </m:num>
            <m:den>
              <m:r>
                <w:rPr>
                  <w:rFonts w:ascii="Cambria Math" w:hAnsi="Cambria Math"/>
                </w:rPr>
                <m:t>(1-t)</m:t>
              </m:r>
            </m:den>
          </m:f>
        </m:oMath>
      </m:oMathPara>
    </w:p>
    <w:p w14:paraId="2E7F525F" w14:textId="3BC8F48E" w:rsidR="001B4185" w:rsidRPr="00EE2F47" w:rsidRDefault="00BA26CC" w:rsidP="001B4185">
      <w:r>
        <w:t>Donde</w:t>
      </w:r>
    </w:p>
    <w:tbl>
      <w:tblPr>
        <w:tblW w:w="0" w:type="auto"/>
        <w:jc w:val="center"/>
        <w:tblCellMar>
          <w:left w:w="57" w:type="dxa"/>
          <w:right w:w="57" w:type="dxa"/>
        </w:tblCellMar>
        <w:tblLook w:val="04A0" w:firstRow="1" w:lastRow="0" w:firstColumn="1" w:lastColumn="0" w:noHBand="0" w:noVBand="1"/>
      </w:tblPr>
      <w:tblGrid>
        <w:gridCol w:w="342"/>
        <w:gridCol w:w="179"/>
        <w:gridCol w:w="9283"/>
      </w:tblGrid>
      <w:tr w:rsidR="00BA26CC" w:rsidRPr="002C2818" w14:paraId="67D1E0E5" w14:textId="77777777" w:rsidTr="00BA26CC">
        <w:trPr>
          <w:jc w:val="center"/>
        </w:trPr>
        <w:tc>
          <w:tcPr>
            <w:tcW w:w="0" w:type="auto"/>
            <w:shd w:val="clear" w:color="auto" w:fill="auto"/>
          </w:tcPr>
          <w:p w14:paraId="6587DCAD" w14:textId="189B9EF8" w:rsidR="00BA26CC" w:rsidRPr="002C2818" w:rsidRDefault="00BA26CC" w:rsidP="004268A9">
            <w:pPr>
              <w:spacing w:after="120"/>
            </w:pPr>
            <m:oMath>
              <m:r>
                <w:rPr>
                  <w:rFonts w:ascii="Cambria Math" w:hAnsi="Cambria Math"/>
                </w:rPr>
                <m:t>t</m:t>
              </m:r>
            </m:oMath>
            <w:r>
              <w:t xml:space="preserve">      </w:t>
            </w:r>
          </w:p>
        </w:tc>
        <w:tc>
          <w:tcPr>
            <w:tcW w:w="0" w:type="auto"/>
          </w:tcPr>
          <w:p w14:paraId="1D2C8863" w14:textId="505D3037" w:rsidR="00BA26CC" w:rsidRPr="002C2818" w:rsidRDefault="00BA26CC" w:rsidP="004268A9">
            <w:pPr>
              <w:spacing w:after="120"/>
            </w:pPr>
            <w:r>
              <w:t>:</w:t>
            </w:r>
          </w:p>
        </w:tc>
        <w:tc>
          <w:tcPr>
            <w:tcW w:w="0" w:type="auto"/>
            <w:shd w:val="clear" w:color="auto" w:fill="auto"/>
          </w:tcPr>
          <w:p w14:paraId="2829D4B5" w14:textId="79CF34E1" w:rsidR="00BA26CC" w:rsidRPr="002C2818" w:rsidRDefault="00BA26CC" w:rsidP="004268A9">
            <w:pPr>
              <w:spacing w:after="120"/>
            </w:pPr>
            <w:r w:rsidRPr="002C2818">
              <w:t xml:space="preserve">Tasa de impuestos a las utilidades de primera categoría aplicables a la empresa eficiente. En caso de existir más de un régimen tributario, se considerará aquel régimen que resulte más </w:t>
            </w:r>
            <w:r w:rsidRPr="002C2818">
              <w:lastRenderedPageBreak/>
              <w:t>conveniente económicamente para la empresa eficiente.</w:t>
            </w:r>
          </w:p>
        </w:tc>
      </w:tr>
      <w:tr w:rsidR="00BA26CC" w:rsidRPr="002C2818" w14:paraId="2081F210" w14:textId="77777777" w:rsidTr="00BA26CC">
        <w:trPr>
          <w:jc w:val="center"/>
        </w:trPr>
        <w:tc>
          <w:tcPr>
            <w:tcW w:w="0" w:type="auto"/>
            <w:shd w:val="clear" w:color="auto" w:fill="auto"/>
          </w:tcPr>
          <w:p w14:paraId="79AD936B" w14:textId="1AD0C611" w:rsidR="00BA26CC" w:rsidRPr="002C2818" w:rsidRDefault="0088072F" w:rsidP="00BA26CC">
            <m:oMath>
              <m:sSub>
                <m:sSubPr>
                  <m:ctrlPr>
                    <w:rPr>
                      <w:rFonts w:ascii="Cambria Math" w:hAnsi="Cambria Math"/>
                    </w:rPr>
                  </m:ctrlPr>
                </m:sSubPr>
                <m:e>
                  <m:r>
                    <w:rPr>
                      <w:rFonts w:ascii="Cambria Math" w:hAnsi="Cambria Math"/>
                    </w:rPr>
                    <m:t>D</m:t>
                  </m:r>
                </m:e>
                <m:sub>
                  <m:r>
                    <w:rPr>
                      <w:rFonts w:ascii="Cambria Math" w:hAnsi="Cambria Math"/>
                    </w:rPr>
                    <m:t>i</m:t>
                  </m:r>
                </m:sub>
              </m:sSub>
            </m:oMath>
            <w:r w:rsidR="00BA26CC" w:rsidRPr="002C2818">
              <w:t xml:space="preserve">    </w:t>
            </w:r>
          </w:p>
        </w:tc>
        <w:tc>
          <w:tcPr>
            <w:tcW w:w="0" w:type="auto"/>
          </w:tcPr>
          <w:p w14:paraId="4D06B460" w14:textId="69328751" w:rsidR="00BA26CC" w:rsidRPr="002C2818" w:rsidRDefault="00BA26CC" w:rsidP="001B4185">
            <w:r>
              <w:t>:</w:t>
            </w:r>
          </w:p>
        </w:tc>
        <w:tc>
          <w:tcPr>
            <w:tcW w:w="0" w:type="auto"/>
            <w:shd w:val="clear" w:color="auto" w:fill="auto"/>
          </w:tcPr>
          <w:p w14:paraId="00C7B378" w14:textId="47375FDF" w:rsidR="00BA26CC" w:rsidRDefault="00BA26CC" w:rsidP="001B4185">
            <w:r w:rsidRPr="002C2818">
              <w:t>Depreciación a</w:t>
            </w:r>
            <w:r w:rsidR="000E4E9A">
              <w:t xml:space="preserve">nual de los activos del tramo </w:t>
            </w:r>
            <m:oMath>
              <m:r>
                <w:rPr>
                  <w:rFonts w:ascii="Cambria Math" w:hAnsi="Cambria Math"/>
                </w:rPr>
                <m:t>i</m:t>
              </m:r>
            </m:oMath>
            <w:r w:rsidRPr="002C2818">
              <w:t xml:space="preserve"> determinada para efectos de la valorización de los impuestos a la renta que le correspondería pagar a la empresa eficiente, la cual se define de la siguiente forma</w:t>
            </w:r>
            <w:r>
              <w:rPr>
                <w:rStyle w:val="Refdenotaalpie"/>
              </w:rPr>
              <w:footnoteReference w:id="41"/>
            </w:r>
            <w:r w:rsidRPr="002C2818">
              <w:t>:</w:t>
            </w:r>
          </w:p>
          <w:p w14:paraId="12FD7519" w14:textId="0BF91B69" w:rsidR="000E4E9A" w:rsidRPr="002C2818" w:rsidRDefault="0088072F" w:rsidP="000E4E9A">
            <w:pPr>
              <w:jc w:val="center"/>
            </w:pPr>
            <m:oMathPara>
              <m:oMath>
                <m:sSub>
                  <m:sSubPr>
                    <m:ctrlPr>
                      <w:rPr>
                        <w:rFonts w:ascii="Cambria Math" w:hAnsi="Cambria Math"/>
                      </w:rPr>
                    </m:ctrlPr>
                  </m:sSubPr>
                  <m:e>
                    <m:r>
                      <w:rPr>
                        <w:rFonts w:ascii="Cambria Math" w:hAnsi="Cambria Math"/>
                      </w:rPr>
                      <m:t>D</m:t>
                    </m:r>
                  </m:e>
                  <m:sub>
                    <m:r>
                      <w:rPr>
                        <w:rFonts w:ascii="Cambria Math" w:hAnsi="Cambria Math"/>
                      </w:rPr>
                      <m:t>i</m:t>
                    </m:r>
                  </m:sub>
                </m:sSub>
                <m:r>
                  <w:rPr>
                    <w:rFonts w:ascii="Cambria Math" w:hAnsi="Cambria Math"/>
                  </w:rPr>
                  <m:t>=</m:t>
                </m:r>
                <m:nary>
                  <m:naryPr>
                    <m:chr m:val="∑"/>
                    <m:limLoc m:val="undOvr"/>
                    <m:ctrlPr>
                      <w:rPr>
                        <w:rFonts w:ascii="Cambria Math" w:hAnsi="Cambria Math"/>
                      </w:rPr>
                    </m:ctrlPr>
                  </m:naryPr>
                  <m:sub>
                    <m:r>
                      <w:rPr>
                        <w:rFonts w:ascii="Cambria Math" w:hAnsi="Cambria Math"/>
                      </w:rPr>
                      <m:t>j=1</m:t>
                    </m:r>
                  </m:sub>
                  <m:sup>
                    <m:sSub>
                      <m:sSubPr>
                        <m:ctrlPr>
                          <w:rPr>
                            <w:rFonts w:ascii="Cambria Math" w:hAnsi="Cambria Math"/>
                          </w:rPr>
                        </m:ctrlPr>
                      </m:sSubPr>
                      <m:e>
                        <m:r>
                          <w:rPr>
                            <w:rFonts w:ascii="Cambria Math" w:hAnsi="Cambria Math"/>
                          </w:rPr>
                          <m:t>N</m:t>
                        </m:r>
                      </m:e>
                      <m:sub>
                        <m:r>
                          <w:rPr>
                            <w:rFonts w:ascii="Cambria Math" w:hAnsi="Cambria Math"/>
                          </w:rPr>
                          <m:t>IEI-i</m:t>
                        </m:r>
                      </m:sub>
                    </m:sSub>
                  </m:sup>
                  <m:e>
                    <m:sSub>
                      <m:sSubPr>
                        <m:ctrlPr>
                          <w:rPr>
                            <w:rFonts w:ascii="Cambria Math" w:hAnsi="Cambria Math"/>
                          </w:rPr>
                        </m:ctrlPr>
                      </m:sSubPr>
                      <m:e>
                        <m:r>
                          <w:rPr>
                            <w:rFonts w:ascii="Cambria Math" w:hAnsi="Cambria Math"/>
                          </w:rPr>
                          <m:t>d</m:t>
                        </m:r>
                      </m:e>
                      <m:sub>
                        <m:r>
                          <w:rPr>
                            <w:rFonts w:ascii="Cambria Math" w:hAnsi="Cambria Math"/>
                          </w:rPr>
                          <m:t>ij</m:t>
                        </m:r>
                      </m:sub>
                    </m:sSub>
                  </m:e>
                </m:nary>
              </m:oMath>
            </m:oMathPara>
          </w:p>
        </w:tc>
      </w:tr>
    </w:tbl>
    <w:p w14:paraId="26582DA4" w14:textId="77777777" w:rsidR="000E4E9A" w:rsidRDefault="000E4E9A" w:rsidP="000E4E9A">
      <w:bookmarkStart w:id="527" w:name="_Toc27147810"/>
      <w:r>
        <w:t>Con</w:t>
      </w:r>
    </w:p>
    <w:p w14:paraId="43A54330" w14:textId="536F8268" w:rsidR="000E4E9A" w:rsidRPr="000E4E9A" w:rsidRDefault="0088072F" w:rsidP="000E4E9A">
      <m:oMathPara>
        <m:oMath>
          <m:sSub>
            <m:sSubPr>
              <m:ctrlPr>
                <w:rPr>
                  <w:rFonts w:ascii="Cambria Math" w:hAnsi="Cambria Math"/>
                </w:rPr>
              </m:ctrlPr>
            </m:sSubPr>
            <m:e>
              <m:r>
                <w:rPr>
                  <w:rFonts w:ascii="Cambria Math" w:hAnsi="Cambria Math"/>
                </w:rPr>
                <m:t>d</m:t>
              </m:r>
            </m:e>
            <m:sub>
              <m:r>
                <w:rPr>
                  <w:rFonts w:ascii="Cambria Math" w:hAnsi="Cambria Math"/>
                </w:rPr>
                <m:t>ij</m:t>
              </m:r>
            </m:sub>
          </m:sSub>
          <m:r>
            <w:rPr>
              <w:rFonts w:ascii="Cambria Math" w:hAnsi="Cambria Math"/>
            </w:rPr>
            <m:t>=</m:t>
          </m:r>
          <m:d>
            <m:dPr>
              <m:begChr m:val="{"/>
              <m:endChr m:val=""/>
              <m:ctrlPr>
                <w:rPr>
                  <w:rFonts w:ascii="Cambria Math" w:hAnsi="Cambria Math"/>
                </w:rPr>
              </m:ctrlPr>
            </m:dPr>
            <m:e>
              <m:m>
                <m:mPr>
                  <m:mcs>
                    <m:mc>
                      <m:mcPr>
                        <m:count m:val="2"/>
                        <m:mcJc m:val="center"/>
                      </m:mcPr>
                    </m:mc>
                  </m:mcs>
                  <m:ctrlPr>
                    <w:rPr>
                      <w:rFonts w:ascii="Cambria Math" w:hAnsi="Cambria Math"/>
                      <w:i/>
                    </w:rPr>
                  </m:ctrlPr>
                </m:mPr>
                <m:mr>
                  <m:e>
                    <m:d>
                      <m:dPr>
                        <m:begChr m:val="["/>
                        <m:endChr m:val="]"/>
                        <m:ctrlPr>
                          <w:rPr>
                            <w:rFonts w:ascii="Cambria Math" w:hAnsi="Cambria Math"/>
                          </w:rPr>
                        </m:ctrlPr>
                      </m:dPr>
                      <m:e>
                        <m:f>
                          <m:fPr>
                            <m:ctrlPr>
                              <w:rPr>
                                <w:rFonts w:ascii="Cambria Math" w:hAnsi="Cambria Math"/>
                              </w:rPr>
                            </m:ctrlPr>
                          </m:fPr>
                          <m:num>
                            <m:r>
                              <w:rPr>
                                <w:rFonts w:ascii="Cambria Math" w:hAnsi="Cambria Math"/>
                              </w:rPr>
                              <m:t>(</m:t>
                            </m:r>
                            <m:sSub>
                              <m:sSubPr>
                                <m:ctrlPr>
                                  <w:rPr>
                                    <w:rFonts w:ascii="Cambria Math" w:hAnsi="Cambria Math"/>
                                  </w:rPr>
                                </m:ctrlPr>
                              </m:sSubPr>
                              <m:e>
                                <m:r>
                                  <w:rPr>
                                    <w:rFonts w:ascii="Cambria Math" w:hAnsi="Cambria Math"/>
                                  </w:rPr>
                                  <m:t>V.I.)</m:t>
                                </m:r>
                              </m:e>
                              <m:sub>
                                <m:r>
                                  <w:rPr>
                                    <w:rFonts w:ascii="Cambria Math" w:hAnsi="Cambria Math"/>
                                  </w:rPr>
                                  <m:t>ij</m:t>
                                </m:r>
                              </m:sub>
                            </m:sSub>
                          </m:num>
                          <m:den>
                            <m:sSub>
                              <m:sSubPr>
                                <m:ctrlPr>
                                  <w:rPr>
                                    <w:rFonts w:ascii="Cambria Math" w:hAnsi="Cambria Math"/>
                                  </w:rPr>
                                </m:ctrlPr>
                              </m:sSubPr>
                              <m:e>
                                <m:r>
                                  <w:rPr>
                                    <w:rFonts w:ascii="Cambria Math" w:hAnsi="Cambria Math"/>
                                  </w:rPr>
                                  <m:t>V</m:t>
                                </m:r>
                                <m:sSub>
                                  <m:sSubPr>
                                    <m:ctrlPr>
                                      <w:rPr>
                                        <w:rFonts w:ascii="Cambria Math" w:hAnsi="Cambria Math"/>
                                      </w:rPr>
                                    </m:ctrlPr>
                                  </m:sSubPr>
                                  <m:e>
                                    <m:r>
                                      <w:rPr>
                                        <w:rFonts w:ascii="Cambria Math" w:hAnsi="Cambria Math"/>
                                      </w:rPr>
                                      <m:t>U</m:t>
                                    </m:r>
                                  </m:e>
                                  <m:sub>
                                    <m:r>
                                      <w:rPr>
                                        <w:rFonts w:ascii="Cambria Math" w:hAnsi="Cambria Math"/>
                                      </w:rPr>
                                      <m:t>SII</m:t>
                                    </m:r>
                                  </m:sub>
                                </m:sSub>
                              </m:e>
                              <m:sub>
                                <m:r>
                                  <w:rPr>
                                    <w:rFonts w:ascii="Cambria Math" w:hAnsi="Cambria Math"/>
                                  </w:rPr>
                                  <m:t>j</m:t>
                                </m:r>
                              </m:sub>
                            </m:sSub>
                          </m:den>
                        </m:f>
                      </m:e>
                    </m:d>
                  </m:e>
                  <m:e>
                    <m:r>
                      <w:rPr>
                        <w:rFonts w:ascii="Cambria Math" w:hAnsi="Cambria Math"/>
                      </w:rPr>
                      <m:t xml:space="preserve">si </m:t>
                    </m:r>
                    <m:sSub>
                      <m:sSubPr>
                        <m:ctrlPr>
                          <w:rPr>
                            <w:rFonts w:ascii="Cambria Math" w:hAnsi="Cambria Math"/>
                          </w:rPr>
                        </m:ctrlPr>
                      </m:sSubPr>
                      <m:e>
                        <m:r>
                          <w:rPr>
                            <w:rFonts w:ascii="Cambria Math" w:hAnsi="Cambria Math"/>
                          </w:rPr>
                          <m:t>VU</m:t>
                        </m:r>
                      </m:e>
                      <m:sub>
                        <m:r>
                          <w:rPr>
                            <w:rFonts w:ascii="Cambria Math" w:hAnsi="Cambria Math"/>
                          </w:rPr>
                          <m:t>j</m:t>
                        </m:r>
                      </m:sub>
                    </m:sSub>
                    <m:r>
                      <w:rPr>
                        <w:rFonts w:ascii="Cambria Math" w:hAnsi="Cambria Math"/>
                      </w:rPr>
                      <m:t>≤</m:t>
                    </m:r>
                    <m:sSub>
                      <m:sSubPr>
                        <m:ctrlPr>
                          <w:rPr>
                            <w:rFonts w:ascii="Cambria Math" w:hAnsi="Cambria Math"/>
                          </w:rPr>
                        </m:ctrlPr>
                      </m:sSubPr>
                      <m:e>
                        <m:r>
                          <w:rPr>
                            <w:rFonts w:ascii="Cambria Math" w:hAnsi="Cambria Math"/>
                          </w:rPr>
                          <m:t>V</m:t>
                        </m:r>
                        <m:sSub>
                          <m:sSubPr>
                            <m:ctrlPr>
                              <w:rPr>
                                <w:rFonts w:ascii="Cambria Math" w:hAnsi="Cambria Math"/>
                                <w:i/>
                              </w:rPr>
                            </m:ctrlPr>
                          </m:sSubPr>
                          <m:e>
                            <m:r>
                              <w:rPr>
                                <w:rFonts w:ascii="Cambria Math" w:hAnsi="Cambria Math"/>
                              </w:rPr>
                              <m:t>U</m:t>
                            </m:r>
                          </m:e>
                          <m:sub>
                            <m:r>
                              <w:rPr>
                                <w:rFonts w:ascii="Cambria Math" w:hAnsi="Cambria Math"/>
                              </w:rPr>
                              <m:t>SII</m:t>
                            </m:r>
                          </m:sub>
                        </m:sSub>
                      </m:e>
                      <m:sub>
                        <m:r>
                          <w:rPr>
                            <w:rFonts w:ascii="Cambria Math" w:hAnsi="Cambria Math"/>
                          </w:rPr>
                          <m:t>j</m:t>
                        </m:r>
                      </m:sub>
                    </m:sSub>
                    <m:r>
                      <w:rPr>
                        <w:rFonts w:ascii="Cambria Math" w:hAnsi="Cambria Math"/>
                      </w:rPr>
                      <m:t xml:space="preserve"> </m:t>
                    </m:r>
                  </m:e>
                </m:mr>
                <m:mr>
                  <m:e>
                    <m:d>
                      <m:dPr>
                        <m:begChr m:val="["/>
                        <m:endChr m:val="]"/>
                        <m:ctrlPr>
                          <w:rPr>
                            <w:rFonts w:ascii="Cambria Math" w:hAnsi="Cambria Math"/>
                          </w:rPr>
                        </m:ctrlPr>
                      </m:dPr>
                      <m:e>
                        <m:f>
                          <m:fPr>
                            <m:ctrlPr>
                              <w:rPr>
                                <w:rFonts w:ascii="Cambria Math" w:hAnsi="Cambria Math"/>
                              </w:rPr>
                            </m:ctrlPr>
                          </m:fPr>
                          <m:num>
                            <m:sSub>
                              <m:sSubPr>
                                <m:ctrlPr>
                                  <w:rPr>
                                    <w:rFonts w:ascii="Cambria Math" w:hAnsi="Cambria Math"/>
                                  </w:rPr>
                                </m:ctrlPr>
                              </m:sSubPr>
                              <m:e>
                                <m:r>
                                  <w:rPr>
                                    <w:rFonts w:ascii="Cambria Math" w:hAnsi="Cambria Math"/>
                                  </w:rPr>
                                  <m:t>(V.I.)</m:t>
                                </m:r>
                              </m:e>
                              <m:sub>
                                <m:r>
                                  <w:rPr>
                                    <w:rFonts w:ascii="Cambria Math" w:hAnsi="Cambria Math"/>
                                  </w:rPr>
                                  <m:t>ij</m:t>
                                </m:r>
                              </m:sub>
                            </m:sSub>
                          </m:num>
                          <m:den>
                            <m:f>
                              <m:fPr>
                                <m:ctrlPr>
                                  <w:rPr>
                                    <w:rFonts w:ascii="Cambria Math" w:hAnsi="Cambria Math"/>
                                  </w:rPr>
                                </m:ctrlPr>
                              </m:fPr>
                              <m:num>
                                <m:sSub>
                                  <m:sSubPr>
                                    <m:ctrlPr>
                                      <w:rPr>
                                        <w:rFonts w:ascii="Cambria Math" w:hAnsi="Cambria Math"/>
                                      </w:rPr>
                                    </m:ctrlPr>
                                  </m:sSubPr>
                                  <m:e>
                                    <m:r>
                                      <w:rPr>
                                        <w:rFonts w:ascii="Cambria Math" w:hAnsi="Cambria Math"/>
                                      </w:rPr>
                                      <m:t>V</m:t>
                                    </m:r>
                                    <m:sSub>
                                      <m:sSubPr>
                                        <m:ctrlPr>
                                          <w:rPr>
                                            <w:rFonts w:ascii="Cambria Math" w:hAnsi="Cambria Math"/>
                                            <w:i/>
                                          </w:rPr>
                                        </m:ctrlPr>
                                      </m:sSubPr>
                                      <m:e>
                                        <m:r>
                                          <w:rPr>
                                            <w:rFonts w:ascii="Cambria Math" w:hAnsi="Cambria Math"/>
                                          </w:rPr>
                                          <m:t>U</m:t>
                                        </m:r>
                                      </m:e>
                                      <m:sub>
                                        <m:r>
                                          <w:rPr>
                                            <w:rFonts w:ascii="Cambria Math" w:hAnsi="Cambria Math"/>
                                          </w:rPr>
                                          <m:t>SII</m:t>
                                        </m:r>
                                      </m:sub>
                                    </m:sSub>
                                  </m:e>
                                  <m:sub>
                                    <m:r>
                                      <w:rPr>
                                        <w:rFonts w:ascii="Cambria Math" w:hAnsi="Cambria Math"/>
                                      </w:rPr>
                                      <m:t>j</m:t>
                                    </m:r>
                                  </m:sub>
                                </m:sSub>
                              </m:num>
                              <m:den>
                                <m:sSup>
                                  <m:sSupPr>
                                    <m:ctrlPr>
                                      <w:rPr>
                                        <w:rFonts w:ascii="Cambria Math" w:hAnsi="Cambria Math"/>
                                      </w:rPr>
                                    </m:ctrlPr>
                                  </m:sSupPr>
                                  <m:e>
                                    <m:r>
                                      <w:rPr>
                                        <w:rFonts w:ascii="Cambria Math" w:hAnsi="Cambria Math"/>
                                      </w:rPr>
                                      <m:t>(1+r)</m:t>
                                    </m:r>
                                  </m:e>
                                  <m:sup>
                                    <m:r>
                                      <w:rPr>
                                        <w:rFonts w:ascii="Cambria Math" w:hAnsi="Cambria Math"/>
                                      </w:rPr>
                                      <m:t>(</m:t>
                                    </m:r>
                                    <m:sSub>
                                      <m:sSubPr>
                                        <m:ctrlPr>
                                          <w:rPr>
                                            <w:rFonts w:ascii="Cambria Math" w:hAnsi="Cambria Math"/>
                                          </w:rPr>
                                        </m:ctrlPr>
                                      </m:sSubPr>
                                      <m:e>
                                        <m:r>
                                          <w:rPr>
                                            <w:rFonts w:ascii="Cambria Math" w:hAnsi="Cambria Math"/>
                                          </w:rPr>
                                          <m:t>VU</m:t>
                                        </m:r>
                                      </m:e>
                                      <m:sub>
                                        <m:r>
                                          <w:rPr>
                                            <w:rFonts w:ascii="Cambria Math" w:hAnsi="Cambria Math"/>
                                          </w:rPr>
                                          <m:t>j</m:t>
                                        </m:r>
                                      </m:sub>
                                    </m:sSub>
                                    <m:r>
                                      <w:rPr>
                                        <w:rFonts w:ascii="Cambria Math" w:hAnsi="Cambria Math"/>
                                      </w:rPr>
                                      <m:t>-</m:t>
                                    </m:r>
                                    <m:sSub>
                                      <m:sSubPr>
                                        <m:ctrlPr>
                                          <w:rPr>
                                            <w:rFonts w:ascii="Cambria Math" w:hAnsi="Cambria Math"/>
                                          </w:rPr>
                                        </m:ctrlPr>
                                      </m:sSubPr>
                                      <m:e>
                                        <m:r>
                                          <w:rPr>
                                            <w:rFonts w:ascii="Cambria Math" w:hAnsi="Cambria Math"/>
                                          </w:rPr>
                                          <m:t>V</m:t>
                                        </m:r>
                                        <m:sSub>
                                          <m:sSubPr>
                                            <m:ctrlPr>
                                              <w:rPr>
                                                <w:rFonts w:ascii="Cambria Math" w:hAnsi="Cambria Math"/>
                                                <w:i/>
                                              </w:rPr>
                                            </m:ctrlPr>
                                          </m:sSubPr>
                                          <m:e>
                                            <m:r>
                                              <w:rPr>
                                                <w:rFonts w:ascii="Cambria Math" w:hAnsi="Cambria Math"/>
                                              </w:rPr>
                                              <m:t>U</m:t>
                                            </m:r>
                                          </m:e>
                                          <m:sub>
                                            <m:r>
                                              <w:rPr>
                                                <w:rFonts w:ascii="Cambria Math" w:hAnsi="Cambria Math"/>
                                              </w:rPr>
                                              <m:t>SII</m:t>
                                            </m:r>
                                          </m:sub>
                                        </m:sSub>
                                      </m:e>
                                      <m:sub>
                                        <m:r>
                                          <w:rPr>
                                            <w:rFonts w:ascii="Cambria Math" w:hAnsi="Cambria Math"/>
                                          </w:rPr>
                                          <m:t>j</m:t>
                                        </m:r>
                                      </m:sub>
                                    </m:sSub>
                                    <m:r>
                                      <w:rPr>
                                        <w:rFonts w:ascii="Cambria Math" w:hAnsi="Cambria Math"/>
                                      </w:rPr>
                                      <m:t>)</m:t>
                                    </m:r>
                                  </m:sup>
                                </m:sSup>
                              </m:den>
                            </m:f>
                            <m:r>
                              <w:rPr>
                                <w:rFonts w:ascii="Cambria Math" w:hAnsi="Cambria Math"/>
                              </w:rPr>
                              <m:t>∙</m:t>
                            </m:r>
                            <m:f>
                              <m:fPr>
                                <m:ctrlPr>
                                  <w:rPr>
                                    <w:rFonts w:ascii="Cambria Math" w:hAnsi="Cambria Math"/>
                                  </w:rPr>
                                </m:ctrlPr>
                              </m:fPr>
                              <m:num>
                                <m:sSup>
                                  <m:sSupPr>
                                    <m:ctrlPr>
                                      <w:rPr>
                                        <w:rFonts w:ascii="Cambria Math" w:hAnsi="Cambria Math"/>
                                      </w:rPr>
                                    </m:ctrlPr>
                                  </m:sSupPr>
                                  <m:e>
                                    <m:r>
                                      <w:rPr>
                                        <w:rFonts w:ascii="Cambria Math" w:hAnsi="Cambria Math"/>
                                      </w:rPr>
                                      <m:t>(1+r)</m:t>
                                    </m:r>
                                  </m:e>
                                  <m:sup>
                                    <m:sSub>
                                      <m:sSubPr>
                                        <m:ctrlPr>
                                          <w:rPr>
                                            <w:rFonts w:ascii="Cambria Math" w:hAnsi="Cambria Math"/>
                                          </w:rPr>
                                        </m:ctrlPr>
                                      </m:sSubPr>
                                      <m:e>
                                        <m:r>
                                          <w:rPr>
                                            <w:rFonts w:ascii="Cambria Math" w:hAnsi="Cambria Math"/>
                                          </w:rPr>
                                          <m:t>VU</m:t>
                                        </m:r>
                                      </m:e>
                                      <m:sub>
                                        <m:r>
                                          <w:rPr>
                                            <w:rFonts w:ascii="Cambria Math" w:hAnsi="Cambria Math"/>
                                          </w:rPr>
                                          <m:t>j</m:t>
                                        </m:r>
                                      </m:sub>
                                    </m:sSub>
                                  </m:sup>
                                </m:sSup>
                                <m:r>
                                  <w:rPr>
                                    <w:rFonts w:ascii="Cambria Math" w:hAnsi="Cambria Math"/>
                                  </w:rPr>
                                  <m:t>-1</m:t>
                                </m:r>
                              </m:num>
                              <m:den>
                                <m:sSup>
                                  <m:sSupPr>
                                    <m:ctrlPr>
                                      <w:rPr>
                                        <w:rFonts w:ascii="Cambria Math" w:hAnsi="Cambria Math"/>
                                      </w:rPr>
                                    </m:ctrlPr>
                                  </m:sSupPr>
                                  <m:e>
                                    <m:r>
                                      <w:rPr>
                                        <w:rFonts w:ascii="Cambria Math" w:hAnsi="Cambria Math"/>
                                      </w:rPr>
                                      <m:t>(1+r)</m:t>
                                    </m:r>
                                  </m:e>
                                  <m:sup>
                                    <m:sSub>
                                      <m:sSubPr>
                                        <m:ctrlPr>
                                          <w:rPr>
                                            <w:rFonts w:ascii="Cambria Math" w:hAnsi="Cambria Math"/>
                                          </w:rPr>
                                        </m:ctrlPr>
                                      </m:sSubPr>
                                      <m:e>
                                        <m:r>
                                          <w:rPr>
                                            <w:rFonts w:ascii="Cambria Math" w:hAnsi="Cambria Math"/>
                                          </w:rPr>
                                          <m:t>V</m:t>
                                        </m:r>
                                        <m:sSub>
                                          <m:sSubPr>
                                            <m:ctrlPr>
                                              <w:rPr>
                                                <w:rFonts w:ascii="Cambria Math" w:hAnsi="Cambria Math"/>
                                                <w:i/>
                                              </w:rPr>
                                            </m:ctrlPr>
                                          </m:sSubPr>
                                          <m:e>
                                            <m:r>
                                              <w:rPr>
                                                <w:rFonts w:ascii="Cambria Math" w:hAnsi="Cambria Math"/>
                                              </w:rPr>
                                              <m:t>U</m:t>
                                            </m:r>
                                          </m:e>
                                          <m:sub>
                                            <m:r>
                                              <w:rPr>
                                                <w:rFonts w:ascii="Cambria Math" w:hAnsi="Cambria Math"/>
                                              </w:rPr>
                                              <m:t>SII</m:t>
                                            </m:r>
                                          </m:sub>
                                        </m:sSub>
                                      </m:e>
                                      <m:sub>
                                        <m:r>
                                          <w:rPr>
                                            <w:rFonts w:ascii="Cambria Math" w:hAnsi="Cambria Math"/>
                                          </w:rPr>
                                          <m:t>j</m:t>
                                        </m:r>
                                      </m:sub>
                                    </m:sSub>
                                  </m:sup>
                                </m:sSup>
                                <m:r>
                                  <w:rPr>
                                    <w:rFonts w:ascii="Cambria Math" w:hAnsi="Cambria Math"/>
                                  </w:rPr>
                                  <m:t>-1</m:t>
                                </m:r>
                              </m:den>
                            </m:f>
                          </m:den>
                        </m:f>
                      </m:e>
                    </m:d>
                  </m:e>
                  <m:e>
                    <m:r>
                      <w:rPr>
                        <w:rFonts w:ascii="Cambria Math" w:hAnsi="Cambria Math"/>
                      </w:rPr>
                      <m:t xml:space="preserve">si </m:t>
                    </m:r>
                    <m:sSub>
                      <m:sSubPr>
                        <m:ctrlPr>
                          <w:rPr>
                            <w:rFonts w:ascii="Cambria Math" w:hAnsi="Cambria Math"/>
                          </w:rPr>
                        </m:ctrlPr>
                      </m:sSubPr>
                      <m:e>
                        <m:r>
                          <w:rPr>
                            <w:rFonts w:ascii="Cambria Math" w:hAnsi="Cambria Math"/>
                          </w:rPr>
                          <m:t>VU</m:t>
                        </m:r>
                      </m:e>
                      <m:sub>
                        <m:r>
                          <w:rPr>
                            <w:rFonts w:ascii="Cambria Math" w:hAnsi="Cambria Math"/>
                          </w:rPr>
                          <m:t>j</m:t>
                        </m:r>
                      </m:sub>
                    </m:sSub>
                    <m:r>
                      <w:rPr>
                        <w:rFonts w:ascii="Cambria Math" w:hAnsi="Cambria Math"/>
                      </w:rPr>
                      <m:t>&gt;</m:t>
                    </m:r>
                    <m:sSub>
                      <m:sSubPr>
                        <m:ctrlPr>
                          <w:rPr>
                            <w:rFonts w:ascii="Cambria Math" w:hAnsi="Cambria Math"/>
                          </w:rPr>
                        </m:ctrlPr>
                      </m:sSubPr>
                      <m:e>
                        <m:r>
                          <w:rPr>
                            <w:rFonts w:ascii="Cambria Math" w:hAnsi="Cambria Math"/>
                          </w:rPr>
                          <m:t>V</m:t>
                        </m:r>
                        <m:sSub>
                          <m:sSubPr>
                            <m:ctrlPr>
                              <w:rPr>
                                <w:rFonts w:ascii="Cambria Math" w:hAnsi="Cambria Math"/>
                                <w:i/>
                              </w:rPr>
                            </m:ctrlPr>
                          </m:sSubPr>
                          <m:e>
                            <m:r>
                              <w:rPr>
                                <w:rFonts w:ascii="Cambria Math" w:hAnsi="Cambria Math"/>
                              </w:rPr>
                              <m:t>U</m:t>
                            </m:r>
                          </m:e>
                          <m:sub>
                            <m:r>
                              <w:rPr>
                                <w:rFonts w:ascii="Cambria Math" w:hAnsi="Cambria Math"/>
                              </w:rPr>
                              <m:t>SII</m:t>
                            </m:r>
                          </m:sub>
                        </m:sSub>
                      </m:e>
                      <m:sub>
                        <m:r>
                          <w:rPr>
                            <w:rFonts w:ascii="Cambria Math" w:hAnsi="Cambria Math"/>
                          </w:rPr>
                          <m:t>j</m:t>
                        </m:r>
                      </m:sub>
                    </m:sSub>
                  </m:e>
                </m:mr>
              </m:m>
            </m:e>
          </m:d>
        </m:oMath>
      </m:oMathPara>
    </w:p>
    <w:p w14:paraId="316CD6CE" w14:textId="09306CA6" w:rsidR="000E4E9A" w:rsidRPr="000E4E9A" w:rsidRDefault="000E4E9A" w:rsidP="000E4E9A">
      <w:r>
        <w:t>Donde</w:t>
      </w:r>
    </w:p>
    <w:tbl>
      <w:tblPr>
        <w:tblW w:w="9550" w:type="dxa"/>
        <w:tblCellMar>
          <w:left w:w="57" w:type="dxa"/>
          <w:right w:w="57" w:type="dxa"/>
        </w:tblCellMar>
        <w:tblLook w:val="04A0" w:firstRow="1" w:lastRow="0" w:firstColumn="1" w:lastColumn="0" w:noHBand="0" w:noVBand="1"/>
      </w:tblPr>
      <w:tblGrid>
        <w:gridCol w:w="754"/>
        <w:gridCol w:w="179"/>
        <w:gridCol w:w="8617"/>
      </w:tblGrid>
      <w:tr w:rsidR="000E4E9A" w:rsidRPr="002C2818" w14:paraId="6CFDEC8E" w14:textId="77777777" w:rsidTr="000E4E9A">
        <w:tc>
          <w:tcPr>
            <w:tcW w:w="0" w:type="auto"/>
            <w:shd w:val="clear" w:color="auto" w:fill="auto"/>
          </w:tcPr>
          <w:p w14:paraId="6AEFB836" w14:textId="790DAF94" w:rsidR="000E4E9A" w:rsidRPr="002D4B20" w:rsidRDefault="0088072F" w:rsidP="000E4E9A">
            <w:pPr>
              <w:spacing w:before="40" w:after="40" w:line="240" w:lineRule="auto"/>
              <w:jc w:val="left"/>
            </w:pPr>
            <m:oMathPara>
              <m:oMathParaPr>
                <m:jc m:val="left"/>
              </m:oMathParaPr>
              <m:oMath>
                <m:sSub>
                  <m:sSubPr>
                    <m:ctrlPr>
                      <w:rPr>
                        <w:rFonts w:ascii="Cambria Math" w:hAnsi="Cambria Math"/>
                      </w:rPr>
                    </m:ctrlPr>
                  </m:sSubPr>
                  <m:e>
                    <m:r>
                      <w:rPr>
                        <w:rFonts w:ascii="Cambria Math" w:hAnsi="Cambria Math"/>
                      </w:rPr>
                      <m:t>V</m:t>
                    </m:r>
                    <m:sSub>
                      <m:sSubPr>
                        <m:ctrlPr>
                          <w:rPr>
                            <w:rFonts w:ascii="Cambria Math" w:hAnsi="Cambria Math"/>
                            <w:i/>
                          </w:rPr>
                        </m:ctrlPr>
                      </m:sSubPr>
                      <m:e>
                        <m:r>
                          <w:rPr>
                            <w:rFonts w:ascii="Cambria Math" w:hAnsi="Cambria Math"/>
                          </w:rPr>
                          <m:t>U</m:t>
                        </m:r>
                      </m:e>
                      <m:sub>
                        <m:r>
                          <w:rPr>
                            <w:rFonts w:ascii="Cambria Math" w:hAnsi="Cambria Math"/>
                          </w:rPr>
                          <m:t>SII</m:t>
                        </m:r>
                      </m:sub>
                    </m:sSub>
                  </m:e>
                  <m:sub>
                    <m:r>
                      <w:rPr>
                        <w:rFonts w:ascii="Cambria Math" w:hAnsi="Cambria Math"/>
                      </w:rPr>
                      <m:t>j</m:t>
                    </m:r>
                  </m:sub>
                </m:sSub>
              </m:oMath>
            </m:oMathPara>
          </w:p>
        </w:tc>
        <w:tc>
          <w:tcPr>
            <w:tcW w:w="179" w:type="dxa"/>
          </w:tcPr>
          <w:p w14:paraId="097AE389" w14:textId="77777777" w:rsidR="000E4E9A" w:rsidRPr="002C2818" w:rsidRDefault="000E4E9A" w:rsidP="00653A58">
            <w:pPr>
              <w:spacing w:before="40" w:after="40" w:line="240" w:lineRule="auto"/>
            </w:pPr>
            <w:r>
              <w:t>:</w:t>
            </w:r>
          </w:p>
        </w:tc>
        <w:tc>
          <w:tcPr>
            <w:tcW w:w="8617" w:type="dxa"/>
          </w:tcPr>
          <w:p w14:paraId="4A77B23F" w14:textId="651FD5B7" w:rsidR="000E4E9A" w:rsidRPr="002C2818" w:rsidRDefault="000E4E9A" w:rsidP="000E4E9A">
            <w:pPr>
              <w:spacing w:before="40" w:after="40" w:line="240" w:lineRule="auto"/>
            </w:pPr>
            <w:r w:rsidRPr="002C2818">
              <w:t xml:space="preserve">Vida útil normal fijada por el Servicio de Impuestos Internos mediante Resolución Nº 43 del 26 de diciembre de 2002 y sus modificaciones o la que la reemplace, para dicha instalación </w:t>
            </w:r>
            <w:r>
              <w:t xml:space="preserve">económicamente identificable </w:t>
            </w:r>
            <m:oMath>
              <m:r>
                <w:rPr>
                  <w:rFonts w:ascii="Cambria Math" w:hAnsi="Cambria Math"/>
                </w:rPr>
                <m:t>j</m:t>
              </m:r>
            </m:oMath>
            <w:r w:rsidRPr="002C2818">
              <w:t>, expresada en años.</w:t>
            </w:r>
          </w:p>
        </w:tc>
      </w:tr>
      <w:tr w:rsidR="000E4E9A" w:rsidRPr="002C2818" w14:paraId="492AA738" w14:textId="77777777" w:rsidTr="000E4E9A">
        <w:tc>
          <w:tcPr>
            <w:tcW w:w="0" w:type="auto"/>
            <w:shd w:val="clear" w:color="auto" w:fill="auto"/>
          </w:tcPr>
          <w:p w14:paraId="64690356" w14:textId="77777777" w:rsidR="000E4E9A" w:rsidRPr="002D4B20" w:rsidRDefault="0088072F" w:rsidP="00653A58">
            <w:pPr>
              <w:spacing w:before="40" w:after="40" w:line="240" w:lineRule="auto"/>
              <w:jc w:val="left"/>
            </w:pPr>
            <m:oMathPara>
              <m:oMathParaPr>
                <m:jc m:val="left"/>
              </m:oMathParaPr>
              <m:oMath>
                <m:sSub>
                  <m:sSubPr>
                    <m:ctrlPr>
                      <w:rPr>
                        <w:rFonts w:ascii="Cambria Math" w:hAnsi="Cambria Math"/>
                      </w:rPr>
                    </m:ctrlPr>
                  </m:sSubPr>
                  <m:e>
                    <m:r>
                      <w:rPr>
                        <w:rFonts w:ascii="Cambria Math" w:hAnsi="Cambria Math"/>
                      </w:rPr>
                      <m:t>VU</m:t>
                    </m:r>
                  </m:e>
                  <m:sub>
                    <m:r>
                      <w:rPr>
                        <w:rFonts w:ascii="Cambria Math" w:hAnsi="Cambria Math"/>
                      </w:rPr>
                      <m:t>j</m:t>
                    </m:r>
                  </m:sub>
                </m:sSub>
              </m:oMath>
            </m:oMathPara>
          </w:p>
        </w:tc>
        <w:tc>
          <w:tcPr>
            <w:tcW w:w="179" w:type="dxa"/>
          </w:tcPr>
          <w:p w14:paraId="2BB1EEE8" w14:textId="77777777" w:rsidR="000E4E9A" w:rsidRPr="002C2818" w:rsidRDefault="000E4E9A" w:rsidP="00653A58">
            <w:pPr>
              <w:spacing w:before="40" w:after="40" w:line="240" w:lineRule="auto"/>
            </w:pPr>
            <w:r>
              <w:t>:</w:t>
            </w:r>
          </w:p>
        </w:tc>
        <w:tc>
          <w:tcPr>
            <w:tcW w:w="8617" w:type="dxa"/>
          </w:tcPr>
          <w:p w14:paraId="64270D00" w14:textId="08A0A45F" w:rsidR="000E4E9A" w:rsidRPr="002C2818" w:rsidRDefault="000E4E9A" w:rsidP="000E4E9A">
            <w:pPr>
              <w:spacing w:before="40" w:after="40" w:line="240" w:lineRule="auto"/>
            </w:pPr>
            <w:r w:rsidRPr="002C2818">
              <w:t xml:space="preserve">Vida útil de la instalación </w:t>
            </w:r>
            <w:r>
              <w:t xml:space="preserve">económicamente identificable </w:t>
            </w:r>
            <m:oMath>
              <m:r>
                <w:rPr>
                  <w:rFonts w:ascii="Cambria Math" w:hAnsi="Cambria Math"/>
                </w:rPr>
                <m:t>j</m:t>
              </m:r>
            </m:oMath>
            <w:r w:rsidRPr="002C2818">
              <w:t xml:space="preserve"> expresada en años.</w:t>
            </w:r>
          </w:p>
        </w:tc>
      </w:tr>
      <w:tr w:rsidR="000E4E9A" w:rsidRPr="002C2818" w14:paraId="76C4582D" w14:textId="77777777" w:rsidTr="000E4E9A">
        <w:tc>
          <w:tcPr>
            <w:tcW w:w="0" w:type="auto"/>
            <w:shd w:val="clear" w:color="auto" w:fill="auto"/>
          </w:tcPr>
          <w:p w14:paraId="18F37AB3" w14:textId="7CDA9998" w:rsidR="000E4E9A" w:rsidRPr="000E4E9A" w:rsidRDefault="000E4E9A" w:rsidP="000E4E9A">
            <w:pPr>
              <w:spacing w:before="40" w:after="40" w:line="240" w:lineRule="auto"/>
              <w:jc w:val="left"/>
            </w:pPr>
            <m:oMathPara>
              <m:oMathParaPr>
                <m:jc m:val="left"/>
              </m:oMathParaPr>
              <m:oMath>
                <m:r>
                  <w:rPr>
                    <w:rFonts w:ascii="Cambria Math" w:hAnsi="Cambria Math"/>
                  </w:rPr>
                  <m:t>r</m:t>
                </m:r>
              </m:oMath>
            </m:oMathPara>
          </w:p>
        </w:tc>
        <w:tc>
          <w:tcPr>
            <w:tcW w:w="179" w:type="dxa"/>
          </w:tcPr>
          <w:p w14:paraId="4FB6F51E" w14:textId="741A0F78" w:rsidR="000E4E9A" w:rsidRDefault="000E4E9A" w:rsidP="000E4E9A">
            <w:pPr>
              <w:spacing w:before="40" w:after="40" w:line="240" w:lineRule="auto"/>
            </w:pPr>
            <w:r>
              <w:t>:</w:t>
            </w:r>
          </w:p>
        </w:tc>
        <w:tc>
          <w:tcPr>
            <w:tcW w:w="8617" w:type="dxa"/>
          </w:tcPr>
          <w:p w14:paraId="38E65129" w14:textId="20582F45" w:rsidR="000E4E9A" w:rsidRPr="002C2818" w:rsidRDefault="000E4E9A" w:rsidP="000E4E9A">
            <w:pPr>
              <w:spacing w:before="40" w:after="40" w:line="240" w:lineRule="auto"/>
            </w:pPr>
            <w:r w:rsidRPr="002C2818">
              <w:t>Tasa de descuento a que hace referencia el artículo 118° de la Ley.</w:t>
            </w:r>
          </w:p>
        </w:tc>
      </w:tr>
    </w:tbl>
    <w:p w14:paraId="32679713" w14:textId="31DD8206" w:rsidR="000E4E9A" w:rsidRDefault="000E4E9A" w:rsidP="004268A9">
      <w:pPr>
        <w:spacing w:after="120"/>
      </w:pPr>
    </w:p>
    <w:p w14:paraId="16794CE0" w14:textId="76E4D3FB" w:rsidR="00FD6857" w:rsidRPr="003C0294" w:rsidRDefault="003C0294" w:rsidP="00F727A2">
      <w:pPr>
        <w:pStyle w:val="Ttulo2"/>
      </w:pPr>
      <w:bookmarkStart w:id="528" w:name="_Toc39797888"/>
      <w:r w:rsidRPr="003C0294">
        <w:t>Tasa de Descuento</w:t>
      </w:r>
      <w:bookmarkEnd w:id="528"/>
    </w:p>
    <w:p w14:paraId="4686E545" w14:textId="30084358" w:rsidR="003C0294" w:rsidRDefault="003C0294" w:rsidP="00F55404">
      <w:r w:rsidRPr="00EE2F47">
        <w:t xml:space="preserve">De acuerdo a las señaladas disposiciones legales, la tasa de descuento a utilizar para determinar el V.A.T.T. aplicable al cuadrienio 2020-2023 corresponde al </w:t>
      </w:r>
      <w:r w:rsidRPr="003C0294">
        <w:rPr>
          <w:b/>
          <w:bCs/>
        </w:rPr>
        <w:t>7,00%</w:t>
      </w:r>
      <w:r w:rsidRPr="003C0294">
        <w:t xml:space="preserve"> después de impuestos</w:t>
      </w:r>
      <w:r w:rsidRPr="00EE2F47">
        <w:t xml:space="preserve">, según se </w:t>
      </w:r>
      <w:r w:rsidRPr="00EE2F47">
        <w:lastRenderedPageBreak/>
        <w:t>consigna en el Informe Técnico de la CNE a que se refiere el Artículo 119°, y que contiene el valor de ésta, así como el de sus diferentes componentes</w:t>
      </w:r>
      <w:r w:rsidR="00F727A2">
        <w:t>.</w:t>
      </w:r>
      <w:r w:rsidRPr="00532572">
        <w:rPr>
          <w:rStyle w:val="Refdenotaalpie"/>
        </w:rPr>
        <w:footnoteReference w:id="42"/>
      </w:r>
    </w:p>
    <w:p w14:paraId="4016753D" w14:textId="77777777" w:rsidR="00F55404" w:rsidRPr="00F727A2" w:rsidRDefault="00FD6857" w:rsidP="00F727A2">
      <w:pPr>
        <w:pStyle w:val="Ttulo2"/>
      </w:pPr>
      <w:bookmarkStart w:id="529" w:name="_Toc39797889"/>
      <w:r w:rsidRPr="00F727A2">
        <w:t xml:space="preserve">Vida Útil de las Instalaciones y </w:t>
      </w:r>
      <w:r w:rsidR="001B4185" w:rsidRPr="00F727A2">
        <w:t>Resolución Exenta N°412</w:t>
      </w:r>
      <w:bookmarkEnd w:id="527"/>
      <w:bookmarkEnd w:id="529"/>
    </w:p>
    <w:p w14:paraId="389C7196" w14:textId="77777777" w:rsidR="001B4185" w:rsidRPr="00EE2F47" w:rsidRDefault="001B4185" w:rsidP="001B4185">
      <w:r w:rsidRPr="00EE2F47">
        <w:t>El 5 de junio de 2018 la CNE emitió la Resolución Exenta N°412 que “Aprueba Informe Técnico Definitivo de Vidas Útiles a que se refiere el artículo 104° de la Ley General de Servicios Eléctricos y determina las vidas útiles de las instalaciones de transmisión que indica, aplicables por tres períodos tarifarios consecutivos”</w:t>
      </w:r>
      <w:r w:rsidR="00847C84">
        <w:rPr>
          <w:rStyle w:val="Refdenotaalpie"/>
        </w:rPr>
        <w:footnoteReference w:id="43"/>
      </w:r>
      <w:r w:rsidRPr="00EE2F47">
        <w:t>.</w:t>
      </w:r>
    </w:p>
    <w:p w14:paraId="64BE6BD2" w14:textId="77777777" w:rsidR="001B4185" w:rsidRDefault="001B4185" w:rsidP="001B4185">
      <w:r w:rsidRPr="00EE2F47">
        <w:t>El Informe Técnico señalado analiza las 15 categorías de instalaciones establecidas en el Artículo 5° de la Resolución N°380, determinando para cada una de ellas la correspondiente vida útil establecida en años. Las mismas son las siguientes:</w:t>
      </w:r>
    </w:p>
    <w:p w14:paraId="384ACCFC" w14:textId="2CB0C1B2" w:rsidR="001B4185" w:rsidRPr="003E08AB" w:rsidRDefault="003A0B8A" w:rsidP="003A0B8A">
      <w:pPr>
        <w:pStyle w:val="Subttulo"/>
      </w:pPr>
      <w:bookmarkStart w:id="530" w:name="_Toc27147881"/>
      <w:bookmarkStart w:id="531" w:name="_Toc39797968"/>
      <w:r w:rsidRPr="002F3394">
        <w:t xml:space="preserve">Tabla </w:t>
      </w:r>
      <w:fldSimple w:instr=" SEQ Tabla \* ARABIC ">
        <w:r w:rsidR="001F3E2E">
          <w:rPr>
            <w:noProof/>
          </w:rPr>
          <w:t>58</w:t>
        </w:r>
      </w:fldSimple>
      <w:r w:rsidRPr="002F3394">
        <w:t>:</w:t>
      </w:r>
      <w:r>
        <w:t xml:space="preserve"> </w:t>
      </w:r>
      <w:r w:rsidR="001B4185" w:rsidRPr="00684304">
        <w:t>Vida Útil por Categoría de Elemento (años). Res. Exta. N°412</w:t>
      </w:r>
      <w:bookmarkEnd w:id="530"/>
      <w:bookmarkEnd w:id="531"/>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firstRow="1" w:lastRow="0" w:firstColumn="1" w:lastColumn="0" w:noHBand="0" w:noVBand="1"/>
      </w:tblPr>
      <w:tblGrid>
        <w:gridCol w:w="851"/>
        <w:gridCol w:w="7088"/>
        <w:gridCol w:w="1701"/>
      </w:tblGrid>
      <w:tr w:rsidR="001B4185" w:rsidRPr="002C2818" w14:paraId="487C1ED0" w14:textId="77777777" w:rsidTr="003A0B8A">
        <w:trPr>
          <w:tblHeader/>
          <w:jc w:val="center"/>
        </w:trPr>
        <w:tc>
          <w:tcPr>
            <w:tcW w:w="851" w:type="dxa"/>
            <w:shd w:val="clear" w:color="auto" w:fill="D9D9D9" w:themeFill="background1" w:themeFillShade="D9"/>
            <w:vAlign w:val="center"/>
          </w:tcPr>
          <w:p w14:paraId="28A6A17C" w14:textId="77777777" w:rsidR="001B4185" w:rsidRPr="002C2818" w:rsidRDefault="001B4185" w:rsidP="001B4185">
            <w:pPr>
              <w:spacing w:before="20" w:after="20" w:line="240" w:lineRule="auto"/>
              <w:jc w:val="center"/>
              <w:rPr>
                <w:rFonts w:cs="Calibri"/>
                <w:b/>
                <w:bCs/>
                <w:sz w:val="20"/>
                <w:szCs w:val="20"/>
              </w:rPr>
            </w:pPr>
            <w:r w:rsidRPr="002C2818">
              <w:rPr>
                <w:rFonts w:cs="Calibri"/>
                <w:b/>
                <w:bCs/>
                <w:sz w:val="20"/>
                <w:szCs w:val="20"/>
              </w:rPr>
              <w:t>N°</w:t>
            </w:r>
          </w:p>
        </w:tc>
        <w:tc>
          <w:tcPr>
            <w:tcW w:w="7088" w:type="dxa"/>
            <w:shd w:val="clear" w:color="auto" w:fill="D9D9D9" w:themeFill="background1" w:themeFillShade="D9"/>
            <w:vAlign w:val="center"/>
          </w:tcPr>
          <w:p w14:paraId="1B8DE5E5" w14:textId="77777777" w:rsidR="001B4185" w:rsidRPr="002C2818" w:rsidRDefault="001B4185" w:rsidP="001B4185">
            <w:pPr>
              <w:spacing w:before="20" w:after="20" w:line="240" w:lineRule="auto"/>
              <w:jc w:val="center"/>
              <w:rPr>
                <w:rFonts w:cs="Calibri"/>
                <w:b/>
                <w:bCs/>
                <w:sz w:val="20"/>
                <w:szCs w:val="20"/>
              </w:rPr>
            </w:pPr>
            <w:r w:rsidRPr="002C2818">
              <w:rPr>
                <w:rFonts w:cs="Calibri"/>
                <w:b/>
                <w:bCs/>
                <w:sz w:val="20"/>
                <w:szCs w:val="20"/>
              </w:rPr>
              <w:t>Categoría de elementos</w:t>
            </w:r>
          </w:p>
        </w:tc>
        <w:tc>
          <w:tcPr>
            <w:tcW w:w="1701" w:type="dxa"/>
            <w:shd w:val="clear" w:color="auto" w:fill="D9D9D9" w:themeFill="background1" w:themeFillShade="D9"/>
            <w:vAlign w:val="center"/>
          </w:tcPr>
          <w:p w14:paraId="2DB93F7C" w14:textId="77777777" w:rsidR="001B4185" w:rsidRPr="002C2818" w:rsidRDefault="001B4185" w:rsidP="001B4185">
            <w:pPr>
              <w:spacing w:before="20" w:after="20" w:line="240" w:lineRule="auto"/>
              <w:jc w:val="center"/>
              <w:rPr>
                <w:rFonts w:cs="Calibri"/>
                <w:b/>
                <w:bCs/>
                <w:sz w:val="20"/>
                <w:szCs w:val="20"/>
              </w:rPr>
            </w:pPr>
            <w:r w:rsidRPr="002C2818">
              <w:rPr>
                <w:rFonts w:cs="Calibri"/>
                <w:b/>
                <w:bCs/>
                <w:sz w:val="20"/>
                <w:szCs w:val="20"/>
              </w:rPr>
              <w:t>Vida útil</w:t>
            </w:r>
          </w:p>
          <w:p w14:paraId="36C541DA" w14:textId="77777777" w:rsidR="001B4185" w:rsidRPr="002C2818" w:rsidRDefault="001B4185" w:rsidP="001B4185">
            <w:pPr>
              <w:spacing w:before="20" w:after="20" w:line="240" w:lineRule="auto"/>
              <w:jc w:val="center"/>
              <w:rPr>
                <w:rFonts w:cs="Calibri"/>
                <w:b/>
                <w:bCs/>
                <w:sz w:val="20"/>
                <w:szCs w:val="20"/>
              </w:rPr>
            </w:pPr>
            <w:r w:rsidRPr="002C2818">
              <w:rPr>
                <w:rFonts w:cs="Calibri"/>
                <w:b/>
                <w:bCs/>
                <w:sz w:val="20"/>
                <w:szCs w:val="20"/>
              </w:rPr>
              <w:t>[Años]</w:t>
            </w:r>
          </w:p>
        </w:tc>
      </w:tr>
      <w:tr w:rsidR="001B4185" w:rsidRPr="002C2818" w14:paraId="3FF98A41" w14:textId="77777777">
        <w:trPr>
          <w:jc w:val="center"/>
        </w:trPr>
        <w:tc>
          <w:tcPr>
            <w:tcW w:w="851" w:type="dxa"/>
            <w:shd w:val="clear" w:color="auto" w:fill="auto"/>
            <w:vAlign w:val="center"/>
          </w:tcPr>
          <w:p w14:paraId="5CB6EA80" w14:textId="77777777" w:rsidR="001B4185" w:rsidRPr="002C2818" w:rsidRDefault="001B4185" w:rsidP="001B4185">
            <w:pPr>
              <w:spacing w:before="20" w:after="20" w:line="240" w:lineRule="auto"/>
              <w:jc w:val="center"/>
              <w:rPr>
                <w:rFonts w:cs="Calibri"/>
                <w:sz w:val="20"/>
                <w:szCs w:val="20"/>
              </w:rPr>
            </w:pPr>
            <w:r w:rsidRPr="002C2818">
              <w:rPr>
                <w:rFonts w:cs="Calibri"/>
                <w:sz w:val="20"/>
                <w:szCs w:val="20"/>
              </w:rPr>
              <w:t>1</w:t>
            </w:r>
          </w:p>
        </w:tc>
        <w:tc>
          <w:tcPr>
            <w:tcW w:w="7088" w:type="dxa"/>
            <w:shd w:val="clear" w:color="auto" w:fill="auto"/>
            <w:vAlign w:val="center"/>
          </w:tcPr>
          <w:p w14:paraId="704F21A4" w14:textId="77777777" w:rsidR="001B4185" w:rsidRPr="002C2818" w:rsidRDefault="001B4185" w:rsidP="001B4185">
            <w:pPr>
              <w:spacing w:before="20" w:after="20" w:line="240" w:lineRule="auto"/>
              <w:rPr>
                <w:rFonts w:cs="Calibri"/>
                <w:sz w:val="20"/>
                <w:szCs w:val="20"/>
              </w:rPr>
            </w:pPr>
            <w:r w:rsidRPr="002C2818">
              <w:rPr>
                <w:rFonts w:cs="Calibri"/>
                <w:sz w:val="20"/>
                <w:szCs w:val="20"/>
              </w:rPr>
              <w:t>Derechos relacionados con el uso de suelo y medio ambiente</w:t>
            </w:r>
          </w:p>
        </w:tc>
        <w:tc>
          <w:tcPr>
            <w:tcW w:w="1701" w:type="dxa"/>
            <w:shd w:val="clear" w:color="auto" w:fill="auto"/>
            <w:vAlign w:val="center"/>
          </w:tcPr>
          <w:p w14:paraId="26CA750F" w14:textId="77777777" w:rsidR="001B4185" w:rsidRPr="002C2818" w:rsidRDefault="001B4185" w:rsidP="001B4185">
            <w:pPr>
              <w:spacing w:before="20" w:after="20" w:line="240" w:lineRule="auto"/>
              <w:jc w:val="center"/>
              <w:rPr>
                <w:rFonts w:cs="Calibri"/>
                <w:sz w:val="20"/>
                <w:szCs w:val="20"/>
              </w:rPr>
            </w:pPr>
            <w:r w:rsidRPr="002C2818">
              <w:rPr>
                <w:rFonts w:cs="Calibri"/>
                <w:sz w:val="20"/>
                <w:szCs w:val="20"/>
              </w:rPr>
              <w:t>Perpetuidad</w:t>
            </w:r>
          </w:p>
        </w:tc>
      </w:tr>
      <w:tr w:rsidR="001B4185" w:rsidRPr="002C2818" w14:paraId="1BFB0226" w14:textId="77777777">
        <w:trPr>
          <w:jc w:val="center"/>
        </w:trPr>
        <w:tc>
          <w:tcPr>
            <w:tcW w:w="851" w:type="dxa"/>
            <w:shd w:val="clear" w:color="auto" w:fill="auto"/>
            <w:vAlign w:val="center"/>
          </w:tcPr>
          <w:p w14:paraId="6339B63B" w14:textId="77777777" w:rsidR="001B4185" w:rsidRPr="002C2818" w:rsidRDefault="001B4185" w:rsidP="001B4185">
            <w:pPr>
              <w:spacing w:before="20" w:after="20" w:line="240" w:lineRule="auto"/>
              <w:jc w:val="center"/>
              <w:rPr>
                <w:rFonts w:cs="Calibri"/>
                <w:sz w:val="20"/>
                <w:szCs w:val="20"/>
              </w:rPr>
            </w:pPr>
            <w:r w:rsidRPr="002C2818">
              <w:rPr>
                <w:rFonts w:cs="Calibri"/>
                <w:sz w:val="20"/>
                <w:szCs w:val="20"/>
              </w:rPr>
              <w:t>2</w:t>
            </w:r>
          </w:p>
        </w:tc>
        <w:tc>
          <w:tcPr>
            <w:tcW w:w="7088" w:type="dxa"/>
            <w:shd w:val="clear" w:color="auto" w:fill="auto"/>
            <w:vAlign w:val="center"/>
          </w:tcPr>
          <w:p w14:paraId="3810CE60" w14:textId="77777777" w:rsidR="001B4185" w:rsidRPr="002C2818" w:rsidRDefault="001B4185" w:rsidP="001B4185">
            <w:pPr>
              <w:spacing w:before="20" w:after="20" w:line="240" w:lineRule="auto"/>
              <w:rPr>
                <w:rFonts w:cs="Calibri"/>
                <w:sz w:val="20"/>
                <w:szCs w:val="20"/>
              </w:rPr>
            </w:pPr>
            <w:r w:rsidRPr="002C2818">
              <w:rPr>
                <w:rFonts w:cs="Calibri"/>
                <w:sz w:val="20"/>
                <w:szCs w:val="20"/>
              </w:rPr>
              <w:t>Obras civiles</w:t>
            </w:r>
          </w:p>
        </w:tc>
        <w:tc>
          <w:tcPr>
            <w:tcW w:w="1701" w:type="dxa"/>
            <w:shd w:val="clear" w:color="auto" w:fill="auto"/>
            <w:vAlign w:val="center"/>
          </w:tcPr>
          <w:p w14:paraId="77CA03A6" w14:textId="77777777" w:rsidR="001B4185" w:rsidRPr="002C2818" w:rsidRDefault="001B4185" w:rsidP="001B4185">
            <w:pPr>
              <w:spacing w:before="20" w:after="20" w:line="240" w:lineRule="auto"/>
              <w:jc w:val="center"/>
              <w:rPr>
                <w:rFonts w:cs="Calibri"/>
                <w:sz w:val="20"/>
                <w:szCs w:val="20"/>
              </w:rPr>
            </w:pPr>
            <w:r w:rsidRPr="002C2818">
              <w:rPr>
                <w:rFonts w:cs="Calibri"/>
                <w:sz w:val="20"/>
                <w:szCs w:val="20"/>
              </w:rPr>
              <w:t>50</w:t>
            </w:r>
          </w:p>
        </w:tc>
      </w:tr>
      <w:tr w:rsidR="001B4185" w:rsidRPr="002C2818" w14:paraId="03917482" w14:textId="77777777">
        <w:trPr>
          <w:jc w:val="center"/>
        </w:trPr>
        <w:tc>
          <w:tcPr>
            <w:tcW w:w="851" w:type="dxa"/>
            <w:shd w:val="clear" w:color="auto" w:fill="auto"/>
            <w:vAlign w:val="center"/>
          </w:tcPr>
          <w:p w14:paraId="078E359D" w14:textId="77777777" w:rsidR="001B4185" w:rsidRPr="002C2818" w:rsidRDefault="001B4185" w:rsidP="001B4185">
            <w:pPr>
              <w:spacing w:before="20" w:after="20" w:line="240" w:lineRule="auto"/>
              <w:jc w:val="center"/>
              <w:rPr>
                <w:rFonts w:cs="Calibri"/>
                <w:sz w:val="20"/>
                <w:szCs w:val="20"/>
              </w:rPr>
            </w:pPr>
            <w:r w:rsidRPr="002C2818">
              <w:rPr>
                <w:rFonts w:cs="Calibri"/>
                <w:sz w:val="20"/>
                <w:szCs w:val="20"/>
              </w:rPr>
              <w:t>3</w:t>
            </w:r>
          </w:p>
        </w:tc>
        <w:tc>
          <w:tcPr>
            <w:tcW w:w="7088" w:type="dxa"/>
            <w:shd w:val="clear" w:color="auto" w:fill="auto"/>
            <w:vAlign w:val="center"/>
          </w:tcPr>
          <w:p w14:paraId="75AB7849" w14:textId="77777777" w:rsidR="001B4185" w:rsidRPr="002C2818" w:rsidRDefault="001B4185" w:rsidP="001B4185">
            <w:pPr>
              <w:spacing w:before="20" w:after="20" w:line="240" w:lineRule="auto"/>
              <w:rPr>
                <w:rFonts w:cs="Calibri"/>
                <w:sz w:val="20"/>
                <w:szCs w:val="20"/>
              </w:rPr>
            </w:pPr>
            <w:r w:rsidRPr="002C2818">
              <w:rPr>
                <w:rFonts w:cs="Calibri"/>
                <w:sz w:val="20"/>
                <w:szCs w:val="20"/>
              </w:rPr>
              <w:t>Estructuras de líneas y/o subestaciones</w:t>
            </w:r>
          </w:p>
        </w:tc>
        <w:tc>
          <w:tcPr>
            <w:tcW w:w="1701" w:type="dxa"/>
            <w:shd w:val="clear" w:color="auto" w:fill="auto"/>
            <w:vAlign w:val="center"/>
          </w:tcPr>
          <w:p w14:paraId="4E3287D2" w14:textId="77777777" w:rsidR="001B4185" w:rsidRPr="002C2818" w:rsidRDefault="001B4185" w:rsidP="001B4185">
            <w:pPr>
              <w:spacing w:before="20" w:after="20" w:line="240" w:lineRule="auto"/>
              <w:jc w:val="center"/>
              <w:rPr>
                <w:rFonts w:cs="Calibri"/>
                <w:sz w:val="20"/>
                <w:szCs w:val="20"/>
              </w:rPr>
            </w:pPr>
            <w:r w:rsidRPr="002C2818">
              <w:rPr>
                <w:rFonts w:cs="Calibri"/>
                <w:sz w:val="20"/>
                <w:szCs w:val="20"/>
              </w:rPr>
              <w:t>50</w:t>
            </w:r>
          </w:p>
        </w:tc>
      </w:tr>
      <w:tr w:rsidR="001B4185" w:rsidRPr="002C2818" w14:paraId="6722F8B6" w14:textId="77777777">
        <w:trPr>
          <w:jc w:val="center"/>
        </w:trPr>
        <w:tc>
          <w:tcPr>
            <w:tcW w:w="851" w:type="dxa"/>
            <w:shd w:val="clear" w:color="auto" w:fill="auto"/>
            <w:vAlign w:val="center"/>
          </w:tcPr>
          <w:p w14:paraId="7E2F644F" w14:textId="77777777" w:rsidR="001B4185" w:rsidRPr="002C2818" w:rsidRDefault="001B4185" w:rsidP="001B4185">
            <w:pPr>
              <w:spacing w:before="20" w:after="20" w:line="240" w:lineRule="auto"/>
              <w:jc w:val="center"/>
              <w:rPr>
                <w:rFonts w:cs="Calibri"/>
                <w:sz w:val="20"/>
                <w:szCs w:val="20"/>
              </w:rPr>
            </w:pPr>
            <w:r w:rsidRPr="002C2818">
              <w:rPr>
                <w:rFonts w:cs="Calibri"/>
                <w:sz w:val="20"/>
                <w:szCs w:val="20"/>
              </w:rPr>
              <w:t>4</w:t>
            </w:r>
          </w:p>
        </w:tc>
        <w:tc>
          <w:tcPr>
            <w:tcW w:w="7088" w:type="dxa"/>
            <w:shd w:val="clear" w:color="auto" w:fill="auto"/>
            <w:vAlign w:val="center"/>
          </w:tcPr>
          <w:p w14:paraId="7B2816AB" w14:textId="77777777" w:rsidR="001B4185" w:rsidRPr="002C2818" w:rsidRDefault="001B4185" w:rsidP="001B4185">
            <w:pPr>
              <w:spacing w:before="20" w:after="20" w:line="240" w:lineRule="auto"/>
              <w:rPr>
                <w:rFonts w:cs="Calibri"/>
                <w:sz w:val="20"/>
                <w:szCs w:val="20"/>
              </w:rPr>
            </w:pPr>
            <w:r w:rsidRPr="002C2818">
              <w:rPr>
                <w:rFonts w:cs="Calibri"/>
                <w:sz w:val="20"/>
                <w:szCs w:val="20"/>
              </w:rPr>
              <w:t>Elementos de sujeción y aislación</w:t>
            </w:r>
          </w:p>
        </w:tc>
        <w:tc>
          <w:tcPr>
            <w:tcW w:w="1701" w:type="dxa"/>
            <w:shd w:val="clear" w:color="auto" w:fill="auto"/>
            <w:vAlign w:val="center"/>
          </w:tcPr>
          <w:p w14:paraId="4BFA9495" w14:textId="77777777" w:rsidR="001B4185" w:rsidRPr="002C2818" w:rsidRDefault="001B4185" w:rsidP="001B4185">
            <w:pPr>
              <w:spacing w:before="20" w:after="20" w:line="240" w:lineRule="auto"/>
              <w:jc w:val="center"/>
              <w:rPr>
                <w:rFonts w:cs="Calibri"/>
                <w:sz w:val="20"/>
                <w:szCs w:val="20"/>
              </w:rPr>
            </w:pPr>
            <w:r w:rsidRPr="002C2818">
              <w:rPr>
                <w:rFonts w:cs="Calibri"/>
                <w:sz w:val="20"/>
                <w:szCs w:val="20"/>
              </w:rPr>
              <w:t>30</w:t>
            </w:r>
          </w:p>
        </w:tc>
      </w:tr>
      <w:tr w:rsidR="001B4185" w:rsidRPr="002C2818" w14:paraId="32C25961" w14:textId="77777777">
        <w:trPr>
          <w:jc w:val="center"/>
        </w:trPr>
        <w:tc>
          <w:tcPr>
            <w:tcW w:w="851" w:type="dxa"/>
            <w:shd w:val="clear" w:color="auto" w:fill="auto"/>
            <w:vAlign w:val="center"/>
          </w:tcPr>
          <w:p w14:paraId="43AC3D20" w14:textId="77777777" w:rsidR="001B4185" w:rsidRPr="002C2818" w:rsidRDefault="001B4185" w:rsidP="001B4185">
            <w:pPr>
              <w:spacing w:before="20" w:after="20" w:line="240" w:lineRule="auto"/>
              <w:jc w:val="center"/>
              <w:rPr>
                <w:rFonts w:cs="Calibri"/>
                <w:sz w:val="20"/>
                <w:szCs w:val="20"/>
              </w:rPr>
            </w:pPr>
            <w:r w:rsidRPr="002C2818">
              <w:rPr>
                <w:rFonts w:cs="Calibri"/>
                <w:sz w:val="20"/>
                <w:szCs w:val="20"/>
              </w:rPr>
              <w:t>5</w:t>
            </w:r>
          </w:p>
        </w:tc>
        <w:tc>
          <w:tcPr>
            <w:tcW w:w="7088" w:type="dxa"/>
            <w:shd w:val="clear" w:color="auto" w:fill="auto"/>
            <w:vAlign w:val="center"/>
          </w:tcPr>
          <w:p w14:paraId="41B1DAC1" w14:textId="77777777" w:rsidR="001B4185" w:rsidRPr="002C2818" w:rsidRDefault="001B4185" w:rsidP="001B4185">
            <w:pPr>
              <w:spacing w:before="20" w:after="20" w:line="240" w:lineRule="auto"/>
              <w:rPr>
                <w:rFonts w:cs="Calibri"/>
                <w:sz w:val="20"/>
                <w:szCs w:val="20"/>
              </w:rPr>
            </w:pPr>
            <w:r w:rsidRPr="002C2818">
              <w:rPr>
                <w:rFonts w:cs="Calibri"/>
                <w:sz w:val="20"/>
                <w:szCs w:val="20"/>
              </w:rPr>
              <w:t>Equipamiento electromecánico y electromagnético</w:t>
            </w:r>
          </w:p>
        </w:tc>
        <w:tc>
          <w:tcPr>
            <w:tcW w:w="1701" w:type="dxa"/>
            <w:shd w:val="clear" w:color="auto" w:fill="auto"/>
            <w:vAlign w:val="center"/>
          </w:tcPr>
          <w:p w14:paraId="5F21E7B1" w14:textId="77777777" w:rsidR="001B4185" w:rsidRPr="002C2818" w:rsidRDefault="001B4185" w:rsidP="001B4185">
            <w:pPr>
              <w:spacing w:before="20" w:after="20" w:line="240" w:lineRule="auto"/>
              <w:jc w:val="center"/>
              <w:rPr>
                <w:rFonts w:cs="Calibri"/>
                <w:sz w:val="20"/>
                <w:szCs w:val="20"/>
              </w:rPr>
            </w:pPr>
            <w:r w:rsidRPr="002C2818">
              <w:rPr>
                <w:rFonts w:cs="Calibri"/>
                <w:sz w:val="20"/>
                <w:szCs w:val="20"/>
              </w:rPr>
              <w:t>40</w:t>
            </w:r>
          </w:p>
        </w:tc>
      </w:tr>
      <w:tr w:rsidR="001B4185" w:rsidRPr="002C2818" w14:paraId="7F0EFB32" w14:textId="77777777">
        <w:trPr>
          <w:jc w:val="center"/>
        </w:trPr>
        <w:tc>
          <w:tcPr>
            <w:tcW w:w="851" w:type="dxa"/>
            <w:shd w:val="clear" w:color="auto" w:fill="auto"/>
            <w:vAlign w:val="center"/>
          </w:tcPr>
          <w:p w14:paraId="64EB9D2D" w14:textId="77777777" w:rsidR="001B4185" w:rsidRPr="002C2818" w:rsidRDefault="001B4185" w:rsidP="001B4185">
            <w:pPr>
              <w:spacing w:before="20" w:after="20" w:line="240" w:lineRule="auto"/>
              <w:jc w:val="center"/>
              <w:rPr>
                <w:rFonts w:cs="Calibri"/>
                <w:sz w:val="20"/>
                <w:szCs w:val="20"/>
              </w:rPr>
            </w:pPr>
            <w:r w:rsidRPr="002C2818">
              <w:rPr>
                <w:rFonts w:cs="Calibri"/>
                <w:sz w:val="20"/>
                <w:szCs w:val="20"/>
              </w:rPr>
              <w:t>6</w:t>
            </w:r>
          </w:p>
        </w:tc>
        <w:tc>
          <w:tcPr>
            <w:tcW w:w="7088" w:type="dxa"/>
            <w:shd w:val="clear" w:color="auto" w:fill="auto"/>
            <w:vAlign w:val="center"/>
          </w:tcPr>
          <w:p w14:paraId="3DF9B75E" w14:textId="77777777" w:rsidR="001B4185" w:rsidRPr="002C2818" w:rsidRDefault="001B4185" w:rsidP="001B4185">
            <w:pPr>
              <w:spacing w:before="20" w:after="20" w:line="240" w:lineRule="auto"/>
              <w:rPr>
                <w:rFonts w:cs="Calibri"/>
                <w:sz w:val="20"/>
                <w:szCs w:val="20"/>
              </w:rPr>
            </w:pPr>
            <w:r w:rsidRPr="002C2818">
              <w:rPr>
                <w:rFonts w:cs="Calibri"/>
                <w:sz w:val="20"/>
                <w:szCs w:val="20"/>
              </w:rPr>
              <w:t>Conductores y cables de guardias</w:t>
            </w:r>
          </w:p>
        </w:tc>
        <w:tc>
          <w:tcPr>
            <w:tcW w:w="1701" w:type="dxa"/>
            <w:shd w:val="clear" w:color="auto" w:fill="auto"/>
            <w:vAlign w:val="center"/>
          </w:tcPr>
          <w:p w14:paraId="2FFC59D5" w14:textId="77777777" w:rsidR="001B4185" w:rsidRPr="002C2818" w:rsidRDefault="001B4185" w:rsidP="001B4185">
            <w:pPr>
              <w:spacing w:before="20" w:after="20" w:line="240" w:lineRule="auto"/>
              <w:jc w:val="center"/>
              <w:rPr>
                <w:rFonts w:cs="Calibri"/>
                <w:sz w:val="20"/>
                <w:szCs w:val="20"/>
              </w:rPr>
            </w:pPr>
            <w:r w:rsidRPr="002C2818">
              <w:rPr>
                <w:rFonts w:cs="Calibri"/>
                <w:sz w:val="20"/>
                <w:szCs w:val="20"/>
              </w:rPr>
              <w:t>50</w:t>
            </w:r>
          </w:p>
        </w:tc>
      </w:tr>
      <w:tr w:rsidR="001B4185" w:rsidRPr="002C2818" w14:paraId="5A1BD386" w14:textId="77777777">
        <w:trPr>
          <w:jc w:val="center"/>
        </w:trPr>
        <w:tc>
          <w:tcPr>
            <w:tcW w:w="851" w:type="dxa"/>
            <w:shd w:val="clear" w:color="auto" w:fill="auto"/>
            <w:vAlign w:val="center"/>
          </w:tcPr>
          <w:p w14:paraId="7CC79D8E" w14:textId="77777777" w:rsidR="001B4185" w:rsidRPr="002C2818" w:rsidRDefault="001B4185" w:rsidP="001B4185">
            <w:pPr>
              <w:spacing w:before="20" w:after="20" w:line="240" w:lineRule="auto"/>
              <w:jc w:val="center"/>
              <w:rPr>
                <w:rFonts w:cs="Calibri"/>
                <w:sz w:val="20"/>
                <w:szCs w:val="20"/>
              </w:rPr>
            </w:pPr>
            <w:r w:rsidRPr="002C2818">
              <w:rPr>
                <w:rFonts w:cs="Calibri"/>
                <w:sz w:val="20"/>
                <w:szCs w:val="20"/>
              </w:rPr>
              <w:t>7</w:t>
            </w:r>
          </w:p>
        </w:tc>
        <w:tc>
          <w:tcPr>
            <w:tcW w:w="7088" w:type="dxa"/>
            <w:shd w:val="clear" w:color="auto" w:fill="auto"/>
            <w:vAlign w:val="center"/>
          </w:tcPr>
          <w:p w14:paraId="10F43C1C" w14:textId="77777777" w:rsidR="001B4185" w:rsidRPr="002C2818" w:rsidRDefault="001B4185" w:rsidP="001B4185">
            <w:pPr>
              <w:spacing w:before="20" w:after="20" w:line="240" w:lineRule="auto"/>
              <w:rPr>
                <w:rFonts w:cs="Calibri"/>
                <w:sz w:val="20"/>
                <w:szCs w:val="20"/>
              </w:rPr>
            </w:pPr>
            <w:r w:rsidRPr="002C2818">
              <w:rPr>
                <w:rFonts w:cs="Calibri"/>
                <w:sz w:val="20"/>
                <w:szCs w:val="20"/>
              </w:rPr>
              <w:t>Protecciones electromecánicas y/o electromagnéticas</w:t>
            </w:r>
          </w:p>
        </w:tc>
        <w:tc>
          <w:tcPr>
            <w:tcW w:w="1701" w:type="dxa"/>
            <w:shd w:val="clear" w:color="auto" w:fill="auto"/>
            <w:vAlign w:val="center"/>
          </w:tcPr>
          <w:p w14:paraId="04B2CAD4" w14:textId="77777777" w:rsidR="001B4185" w:rsidRPr="002C2818" w:rsidRDefault="001B4185" w:rsidP="001B4185">
            <w:pPr>
              <w:spacing w:before="20" w:after="20" w:line="240" w:lineRule="auto"/>
              <w:jc w:val="center"/>
              <w:rPr>
                <w:rFonts w:cs="Calibri"/>
                <w:sz w:val="20"/>
                <w:szCs w:val="20"/>
              </w:rPr>
            </w:pPr>
            <w:r w:rsidRPr="002C2818">
              <w:rPr>
                <w:rFonts w:cs="Calibri"/>
                <w:sz w:val="20"/>
                <w:szCs w:val="20"/>
              </w:rPr>
              <w:t>20</w:t>
            </w:r>
          </w:p>
        </w:tc>
      </w:tr>
      <w:tr w:rsidR="001B4185" w:rsidRPr="002C2818" w14:paraId="5C4C243F" w14:textId="77777777">
        <w:trPr>
          <w:jc w:val="center"/>
        </w:trPr>
        <w:tc>
          <w:tcPr>
            <w:tcW w:w="851" w:type="dxa"/>
            <w:shd w:val="clear" w:color="auto" w:fill="auto"/>
            <w:vAlign w:val="center"/>
          </w:tcPr>
          <w:p w14:paraId="788E9178" w14:textId="77777777" w:rsidR="001B4185" w:rsidRPr="002C2818" w:rsidRDefault="001B4185" w:rsidP="001B4185">
            <w:pPr>
              <w:spacing w:before="20" w:after="20" w:line="240" w:lineRule="auto"/>
              <w:jc w:val="center"/>
              <w:rPr>
                <w:rFonts w:cs="Calibri"/>
                <w:sz w:val="20"/>
                <w:szCs w:val="20"/>
              </w:rPr>
            </w:pPr>
            <w:r w:rsidRPr="002C2818">
              <w:rPr>
                <w:rFonts w:cs="Calibri"/>
                <w:sz w:val="20"/>
                <w:szCs w:val="20"/>
              </w:rPr>
              <w:t>8</w:t>
            </w:r>
          </w:p>
        </w:tc>
        <w:tc>
          <w:tcPr>
            <w:tcW w:w="7088" w:type="dxa"/>
            <w:shd w:val="clear" w:color="auto" w:fill="auto"/>
            <w:vAlign w:val="center"/>
          </w:tcPr>
          <w:p w14:paraId="106FA7FA" w14:textId="77777777" w:rsidR="001B4185" w:rsidRPr="002C2818" w:rsidRDefault="001B4185" w:rsidP="001B4185">
            <w:pPr>
              <w:spacing w:before="20" w:after="20" w:line="240" w:lineRule="auto"/>
              <w:rPr>
                <w:rFonts w:cs="Calibri"/>
                <w:sz w:val="20"/>
                <w:szCs w:val="20"/>
              </w:rPr>
            </w:pPr>
            <w:r w:rsidRPr="002C2818">
              <w:rPr>
                <w:rFonts w:cs="Calibri"/>
                <w:sz w:val="20"/>
                <w:szCs w:val="20"/>
              </w:rPr>
              <w:t>Protecciones digitales</w:t>
            </w:r>
          </w:p>
        </w:tc>
        <w:tc>
          <w:tcPr>
            <w:tcW w:w="1701" w:type="dxa"/>
            <w:shd w:val="clear" w:color="auto" w:fill="auto"/>
            <w:vAlign w:val="center"/>
          </w:tcPr>
          <w:p w14:paraId="268BCD35" w14:textId="77777777" w:rsidR="001B4185" w:rsidRPr="002C2818" w:rsidRDefault="001B4185" w:rsidP="001B4185">
            <w:pPr>
              <w:spacing w:before="20" w:after="20" w:line="240" w:lineRule="auto"/>
              <w:jc w:val="center"/>
              <w:rPr>
                <w:rFonts w:cs="Calibri"/>
                <w:sz w:val="20"/>
                <w:szCs w:val="20"/>
              </w:rPr>
            </w:pPr>
            <w:r w:rsidRPr="002C2818">
              <w:rPr>
                <w:rFonts w:cs="Calibri"/>
                <w:sz w:val="20"/>
                <w:szCs w:val="20"/>
              </w:rPr>
              <w:t>15</w:t>
            </w:r>
          </w:p>
        </w:tc>
      </w:tr>
      <w:tr w:rsidR="001B4185" w:rsidRPr="002C2818" w14:paraId="77F80277" w14:textId="77777777">
        <w:trPr>
          <w:jc w:val="center"/>
        </w:trPr>
        <w:tc>
          <w:tcPr>
            <w:tcW w:w="851" w:type="dxa"/>
            <w:shd w:val="clear" w:color="auto" w:fill="auto"/>
            <w:vAlign w:val="center"/>
          </w:tcPr>
          <w:p w14:paraId="7017755A" w14:textId="77777777" w:rsidR="001B4185" w:rsidRPr="002C2818" w:rsidRDefault="001B4185" w:rsidP="001B4185">
            <w:pPr>
              <w:spacing w:before="20" w:after="20" w:line="240" w:lineRule="auto"/>
              <w:jc w:val="center"/>
              <w:rPr>
                <w:rFonts w:cs="Calibri"/>
                <w:sz w:val="20"/>
                <w:szCs w:val="20"/>
              </w:rPr>
            </w:pPr>
            <w:r w:rsidRPr="002C2818">
              <w:rPr>
                <w:rFonts w:cs="Calibri"/>
                <w:sz w:val="20"/>
                <w:szCs w:val="20"/>
              </w:rPr>
              <w:t>9</w:t>
            </w:r>
          </w:p>
        </w:tc>
        <w:tc>
          <w:tcPr>
            <w:tcW w:w="7088" w:type="dxa"/>
            <w:shd w:val="clear" w:color="auto" w:fill="auto"/>
            <w:vAlign w:val="center"/>
          </w:tcPr>
          <w:p w14:paraId="4EFDF02F" w14:textId="5BB26028" w:rsidR="001B4185" w:rsidRPr="002C2818" w:rsidRDefault="001B4185" w:rsidP="00E81133">
            <w:pPr>
              <w:spacing w:before="20" w:after="20" w:line="240" w:lineRule="auto"/>
              <w:rPr>
                <w:rFonts w:cs="Calibri"/>
                <w:sz w:val="20"/>
                <w:szCs w:val="20"/>
              </w:rPr>
            </w:pPr>
            <w:r w:rsidRPr="002C2818">
              <w:rPr>
                <w:rFonts w:cs="Calibri"/>
                <w:sz w:val="20"/>
                <w:szCs w:val="20"/>
              </w:rPr>
              <w:t xml:space="preserve">Equipos de control, </w:t>
            </w:r>
            <w:r w:rsidR="00E81133">
              <w:rPr>
                <w:rFonts w:cs="Calibri"/>
                <w:sz w:val="20"/>
                <w:szCs w:val="20"/>
              </w:rPr>
              <w:t>telecomando</w:t>
            </w:r>
            <w:r w:rsidRPr="002C2818">
              <w:rPr>
                <w:rFonts w:cs="Calibri"/>
                <w:sz w:val="20"/>
                <w:szCs w:val="20"/>
              </w:rPr>
              <w:t>, medición, comunicaciones y respaldo</w:t>
            </w:r>
          </w:p>
        </w:tc>
        <w:tc>
          <w:tcPr>
            <w:tcW w:w="1701" w:type="dxa"/>
            <w:shd w:val="clear" w:color="auto" w:fill="auto"/>
            <w:vAlign w:val="center"/>
          </w:tcPr>
          <w:p w14:paraId="7EF429E4" w14:textId="77777777" w:rsidR="001B4185" w:rsidRPr="002C2818" w:rsidRDefault="001B4185" w:rsidP="001B4185">
            <w:pPr>
              <w:spacing w:before="20" w:after="20" w:line="240" w:lineRule="auto"/>
              <w:jc w:val="center"/>
              <w:rPr>
                <w:rFonts w:cs="Calibri"/>
                <w:sz w:val="20"/>
                <w:szCs w:val="20"/>
              </w:rPr>
            </w:pPr>
            <w:r w:rsidRPr="002C2818">
              <w:rPr>
                <w:rFonts w:cs="Calibri"/>
                <w:sz w:val="20"/>
                <w:szCs w:val="20"/>
              </w:rPr>
              <w:t>10</w:t>
            </w:r>
          </w:p>
        </w:tc>
      </w:tr>
      <w:tr w:rsidR="001B4185" w:rsidRPr="002C2818" w14:paraId="6A736D33" w14:textId="77777777">
        <w:trPr>
          <w:jc w:val="center"/>
        </w:trPr>
        <w:tc>
          <w:tcPr>
            <w:tcW w:w="851" w:type="dxa"/>
            <w:shd w:val="clear" w:color="auto" w:fill="auto"/>
            <w:vAlign w:val="center"/>
          </w:tcPr>
          <w:p w14:paraId="00838C24" w14:textId="77777777" w:rsidR="001B4185" w:rsidRPr="002C2818" w:rsidRDefault="001B4185" w:rsidP="001B4185">
            <w:pPr>
              <w:spacing w:before="20" w:after="20" w:line="240" w:lineRule="auto"/>
              <w:jc w:val="center"/>
              <w:rPr>
                <w:rFonts w:cs="Calibri"/>
                <w:sz w:val="20"/>
                <w:szCs w:val="20"/>
              </w:rPr>
            </w:pPr>
            <w:r w:rsidRPr="002C2818">
              <w:rPr>
                <w:rFonts w:cs="Calibri"/>
                <w:sz w:val="20"/>
                <w:szCs w:val="20"/>
              </w:rPr>
              <w:t>10</w:t>
            </w:r>
          </w:p>
        </w:tc>
        <w:tc>
          <w:tcPr>
            <w:tcW w:w="7088" w:type="dxa"/>
            <w:shd w:val="clear" w:color="auto" w:fill="auto"/>
            <w:vAlign w:val="center"/>
          </w:tcPr>
          <w:p w14:paraId="51A3ECC3" w14:textId="77777777" w:rsidR="001B4185" w:rsidRPr="002C2818" w:rsidRDefault="001B4185" w:rsidP="001B4185">
            <w:pPr>
              <w:spacing w:before="20" w:after="20" w:line="240" w:lineRule="auto"/>
              <w:rPr>
                <w:rFonts w:cs="Calibri"/>
                <w:sz w:val="20"/>
                <w:szCs w:val="20"/>
              </w:rPr>
            </w:pPr>
            <w:r w:rsidRPr="002C2818">
              <w:rPr>
                <w:rFonts w:cs="Calibri"/>
                <w:sz w:val="20"/>
                <w:szCs w:val="20"/>
              </w:rPr>
              <w:t>Otros elementos secundarios de subestaciones o radioestaciones</w:t>
            </w:r>
          </w:p>
        </w:tc>
        <w:tc>
          <w:tcPr>
            <w:tcW w:w="1701" w:type="dxa"/>
            <w:shd w:val="clear" w:color="auto" w:fill="auto"/>
            <w:vAlign w:val="center"/>
          </w:tcPr>
          <w:p w14:paraId="18BECAB6" w14:textId="77777777" w:rsidR="001B4185" w:rsidRPr="002C2818" w:rsidRDefault="001B4185" w:rsidP="001B4185">
            <w:pPr>
              <w:spacing w:before="20" w:after="20" w:line="240" w:lineRule="auto"/>
              <w:jc w:val="center"/>
              <w:rPr>
                <w:rFonts w:cs="Calibri"/>
                <w:sz w:val="20"/>
                <w:szCs w:val="20"/>
              </w:rPr>
            </w:pPr>
            <w:r w:rsidRPr="002C2818">
              <w:rPr>
                <w:rFonts w:cs="Calibri"/>
                <w:sz w:val="20"/>
                <w:szCs w:val="20"/>
              </w:rPr>
              <w:t>40</w:t>
            </w:r>
          </w:p>
        </w:tc>
      </w:tr>
      <w:tr w:rsidR="001B4185" w:rsidRPr="002C2818" w14:paraId="0701F182" w14:textId="77777777">
        <w:trPr>
          <w:jc w:val="center"/>
        </w:trPr>
        <w:tc>
          <w:tcPr>
            <w:tcW w:w="851" w:type="dxa"/>
            <w:shd w:val="clear" w:color="auto" w:fill="auto"/>
            <w:vAlign w:val="center"/>
          </w:tcPr>
          <w:p w14:paraId="6931297F" w14:textId="77777777" w:rsidR="001B4185" w:rsidRPr="002C2818" w:rsidRDefault="001B4185" w:rsidP="001B4185">
            <w:pPr>
              <w:spacing w:before="20" w:after="20" w:line="240" w:lineRule="auto"/>
              <w:jc w:val="center"/>
              <w:rPr>
                <w:rFonts w:cs="Calibri"/>
                <w:sz w:val="20"/>
                <w:szCs w:val="20"/>
              </w:rPr>
            </w:pPr>
            <w:r w:rsidRPr="002C2818">
              <w:rPr>
                <w:rFonts w:cs="Calibri"/>
                <w:sz w:val="20"/>
                <w:szCs w:val="20"/>
              </w:rPr>
              <w:t>11</w:t>
            </w:r>
          </w:p>
        </w:tc>
        <w:tc>
          <w:tcPr>
            <w:tcW w:w="7088" w:type="dxa"/>
            <w:shd w:val="clear" w:color="auto" w:fill="auto"/>
            <w:vAlign w:val="center"/>
          </w:tcPr>
          <w:p w14:paraId="1E11E387" w14:textId="77777777" w:rsidR="001B4185" w:rsidRPr="002C2818" w:rsidRDefault="001B4185" w:rsidP="001B4185">
            <w:pPr>
              <w:spacing w:before="20" w:after="20" w:line="240" w:lineRule="auto"/>
              <w:rPr>
                <w:rFonts w:cs="Calibri"/>
                <w:sz w:val="20"/>
                <w:szCs w:val="20"/>
              </w:rPr>
            </w:pPr>
            <w:r w:rsidRPr="002C2818">
              <w:rPr>
                <w:rFonts w:cs="Calibri"/>
                <w:sz w:val="20"/>
                <w:szCs w:val="20"/>
              </w:rPr>
              <w:t>Bienes inmuebles distintos a terrenos</w:t>
            </w:r>
          </w:p>
        </w:tc>
        <w:tc>
          <w:tcPr>
            <w:tcW w:w="1701" w:type="dxa"/>
            <w:shd w:val="clear" w:color="auto" w:fill="auto"/>
            <w:vAlign w:val="center"/>
          </w:tcPr>
          <w:p w14:paraId="2F526538" w14:textId="77777777" w:rsidR="001B4185" w:rsidRPr="002C2818" w:rsidRDefault="001B4185" w:rsidP="001B4185">
            <w:pPr>
              <w:spacing w:before="20" w:after="20" w:line="240" w:lineRule="auto"/>
              <w:jc w:val="center"/>
              <w:rPr>
                <w:rFonts w:cs="Calibri"/>
                <w:sz w:val="20"/>
                <w:szCs w:val="20"/>
              </w:rPr>
            </w:pPr>
            <w:r w:rsidRPr="002C2818">
              <w:rPr>
                <w:rFonts w:cs="Calibri"/>
                <w:sz w:val="20"/>
                <w:szCs w:val="20"/>
              </w:rPr>
              <w:t>50</w:t>
            </w:r>
          </w:p>
        </w:tc>
      </w:tr>
      <w:tr w:rsidR="001B4185" w:rsidRPr="002C2818" w14:paraId="52FE9195" w14:textId="77777777">
        <w:trPr>
          <w:jc w:val="center"/>
        </w:trPr>
        <w:tc>
          <w:tcPr>
            <w:tcW w:w="851" w:type="dxa"/>
            <w:shd w:val="clear" w:color="auto" w:fill="auto"/>
            <w:vAlign w:val="center"/>
          </w:tcPr>
          <w:p w14:paraId="709ACBBC" w14:textId="77777777" w:rsidR="001B4185" w:rsidRPr="002C2818" w:rsidRDefault="001B4185" w:rsidP="001B4185">
            <w:pPr>
              <w:spacing w:before="20" w:after="20" w:line="240" w:lineRule="auto"/>
              <w:jc w:val="center"/>
              <w:rPr>
                <w:rFonts w:cs="Calibri"/>
                <w:sz w:val="20"/>
                <w:szCs w:val="20"/>
              </w:rPr>
            </w:pPr>
            <w:r w:rsidRPr="002C2818">
              <w:rPr>
                <w:rFonts w:cs="Calibri"/>
                <w:sz w:val="20"/>
                <w:szCs w:val="20"/>
              </w:rPr>
              <w:t>12</w:t>
            </w:r>
          </w:p>
        </w:tc>
        <w:tc>
          <w:tcPr>
            <w:tcW w:w="7088" w:type="dxa"/>
            <w:shd w:val="clear" w:color="auto" w:fill="auto"/>
            <w:vAlign w:val="center"/>
          </w:tcPr>
          <w:p w14:paraId="7D86DE62" w14:textId="77777777" w:rsidR="001B4185" w:rsidRPr="002C2818" w:rsidRDefault="001B4185" w:rsidP="001B4185">
            <w:pPr>
              <w:spacing w:before="20" w:after="20" w:line="240" w:lineRule="auto"/>
              <w:rPr>
                <w:rFonts w:cs="Calibri"/>
                <w:sz w:val="20"/>
                <w:szCs w:val="20"/>
              </w:rPr>
            </w:pPr>
            <w:r w:rsidRPr="002C2818">
              <w:rPr>
                <w:rFonts w:cs="Calibri"/>
                <w:sz w:val="20"/>
                <w:szCs w:val="20"/>
              </w:rPr>
              <w:t>Equipamiento de operación y mantenimiento no fungible</w:t>
            </w:r>
          </w:p>
        </w:tc>
        <w:tc>
          <w:tcPr>
            <w:tcW w:w="1701" w:type="dxa"/>
            <w:shd w:val="clear" w:color="auto" w:fill="auto"/>
            <w:vAlign w:val="center"/>
          </w:tcPr>
          <w:p w14:paraId="3A0E55CE" w14:textId="77777777" w:rsidR="001B4185" w:rsidRPr="002C2818" w:rsidRDefault="001B4185" w:rsidP="001B4185">
            <w:pPr>
              <w:spacing w:before="20" w:after="20" w:line="240" w:lineRule="auto"/>
              <w:jc w:val="center"/>
              <w:rPr>
                <w:rFonts w:cs="Calibri"/>
                <w:sz w:val="20"/>
                <w:szCs w:val="20"/>
              </w:rPr>
            </w:pPr>
            <w:r w:rsidRPr="002C2818">
              <w:rPr>
                <w:rFonts w:cs="Calibri"/>
                <w:sz w:val="20"/>
                <w:szCs w:val="20"/>
              </w:rPr>
              <w:t>15</w:t>
            </w:r>
          </w:p>
        </w:tc>
      </w:tr>
      <w:tr w:rsidR="001B4185" w:rsidRPr="002C2818" w14:paraId="4A498416" w14:textId="77777777">
        <w:trPr>
          <w:jc w:val="center"/>
        </w:trPr>
        <w:tc>
          <w:tcPr>
            <w:tcW w:w="851" w:type="dxa"/>
            <w:shd w:val="clear" w:color="auto" w:fill="auto"/>
            <w:vAlign w:val="center"/>
          </w:tcPr>
          <w:p w14:paraId="0B23E17E" w14:textId="77777777" w:rsidR="001B4185" w:rsidRPr="002C2818" w:rsidRDefault="001B4185" w:rsidP="001B4185">
            <w:pPr>
              <w:spacing w:before="20" w:after="20" w:line="240" w:lineRule="auto"/>
              <w:jc w:val="center"/>
              <w:rPr>
                <w:rFonts w:cs="Calibri"/>
                <w:sz w:val="20"/>
                <w:szCs w:val="20"/>
              </w:rPr>
            </w:pPr>
            <w:r w:rsidRPr="002C2818">
              <w:rPr>
                <w:rFonts w:cs="Calibri"/>
                <w:sz w:val="20"/>
                <w:szCs w:val="20"/>
              </w:rPr>
              <w:t>13</w:t>
            </w:r>
          </w:p>
        </w:tc>
        <w:tc>
          <w:tcPr>
            <w:tcW w:w="7088" w:type="dxa"/>
            <w:shd w:val="clear" w:color="auto" w:fill="auto"/>
            <w:vAlign w:val="center"/>
          </w:tcPr>
          <w:p w14:paraId="7A8E4283" w14:textId="77777777" w:rsidR="001B4185" w:rsidRPr="002C2818" w:rsidRDefault="001B4185" w:rsidP="001B4185">
            <w:pPr>
              <w:spacing w:before="20" w:after="20" w:line="240" w:lineRule="auto"/>
              <w:rPr>
                <w:rFonts w:cs="Calibri"/>
                <w:sz w:val="20"/>
                <w:szCs w:val="20"/>
              </w:rPr>
            </w:pPr>
            <w:r w:rsidRPr="002C2818">
              <w:rPr>
                <w:rFonts w:cs="Calibri"/>
                <w:sz w:val="20"/>
                <w:szCs w:val="20"/>
              </w:rPr>
              <w:t>Equipamiento de oficina no fungible</w:t>
            </w:r>
          </w:p>
        </w:tc>
        <w:tc>
          <w:tcPr>
            <w:tcW w:w="1701" w:type="dxa"/>
            <w:shd w:val="clear" w:color="auto" w:fill="auto"/>
            <w:vAlign w:val="center"/>
          </w:tcPr>
          <w:p w14:paraId="3E9A8E15" w14:textId="77777777" w:rsidR="001B4185" w:rsidRPr="002C2818" w:rsidRDefault="001B4185" w:rsidP="001B4185">
            <w:pPr>
              <w:spacing w:before="20" w:after="20" w:line="240" w:lineRule="auto"/>
              <w:jc w:val="center"/>
              <w:rPr>
                <w:rFonts w:cs="Calibri"/>
                <w:sz w:val="20"/>
                <w:szCs w:val="20"/>
              </w:rPr>
            </w:pPr>
            <w:r w:rsidRPr="002C2818">
              <w:rPr>
                <w:rFonts w:cs="Calibri"/>
                <w:sz w:val="20"/>
                <w:szCs w:val="20"/>
              </w:rPr>
              <w:t>15</w:t>
            </w:r>
          </w:p>
        </w:tc>
      </w:tr>
      <w:tr w:rsidR="001B4185" w:rsidRPr="002C2818" w14:paraId="0AC77B87" w14:textId="77777777">
        <w:trPr>
          <w:jc w:val="center"/>
        </w:trPr>
        <w:tc>
          <w:tcPr>
            <w:tcW w:w="851" w:type="dxa"/>
            <w:shd w:val="clear" w:color="auto" w:fill="auto"/>
            <w:vAlign w:val="center"/>
          </w:tcPr>
          <w:p w14:paraId="015D0C46" w14:textId="77777777" w:rsidR="001B4185" w:rsidRPr="002C2818" w:rsidRDefault="001B4185" w:rsidP="001B4185">
            <w:pPr>
              <w:spacing w:before="20" w:after="20" w:line="240" w:lineRule="auto"/>
              <w:jc w:val="center"/>
              <w:rPr>
                <w:rFonts w:cs="Calibri"/>
                <w:sz w:val="20"/>
                <w:szCs w:val="20"/>
              </w:rPr>
            </w:pPr>
            <w:r w:rsidRPr="002C2818">
              <w:rPr>
                <w:rFonts w:cs="Calibri"/>
                <w:sz w:val="20"/>
                <w:szCs w:val="20"/>
              </w:rPr>
              <w:t>14</w:t>
            </w:r>
          </w:p>
        </w:tc>
        <w:tc>
          <w:tcPr>
            <w:tcW w:w="7088" w:type="dxa"/>
            <w:shd w:val="clear" w:color="auto" w:fill="auto"/>
            <w:vAlign w:val="center"/>
          </w:tcPr>
          <w:p w14:paraId="69AC8975" w14:textId="77777777" w:rsidR="001B4185" w:rsidRPr="002C2818" w:rsidRDefault="001B4185" w:rsidP="001B4185">
            <w:pPr>
              <w:spacing w:before="20" w:after="20" w:line="240" w:lineRule="auto"/>
              <w:rPr>
                <w:rFonts w:cs="Calibri"/>
                <w:sz w:val="20"/>
                <w:szCs w:val="20"/>
              </w:rPr>
            </w:pPr>
            <w:r w:rsidRPr="002C2818">
              <w:rPr>
                <w:rFonts w:cs="Calibri"/>
                <w:sz w:val="20"/>
                <w:szCs w:val="20"/>
              </w:rPr>
              <w:t>Equipamiento computacional y sistemas de vigilancia</w:t>
            </w:r>
          </w:p>
        </w:tc>
        <w:tc>
          <w:tcPr>
            <w:tcW w:w="1701" w:type="dxa"/>
            <w:shd w:val="clear" w:color="auto" w:fill="auto"/>
            <w:vAlign w:val="center"/>
          </w:tcPr>
          <w:p w14:paraId="1B2237E8" w14:textId="77777777" w:rsidR="001B4185" w:rsidRPr="002C2818" w:rsidRDefault="001B4185" w:rsidP="001B4185">
            <w:pPr>
              <w:spacing w:before="20" w:after="20" w:line="240" w:lineRule="auto"/>
              <w:jc w:val="center"/>
              <w:rPr>
                <w:rFonts w:cs="Calibri"/>
                <w:sz w:val="20"/>
                <w:szCs w:val="20"/>
              </w:rPr>
            </w:pPr>
            <w:r w:rsidRPr="002C2818">
              <w:rPr>
                <w:rFonts w:cs="Calibri"/>
                <w:sz w:val="20"/>
                <w:szCs w:val="20"/>
              </w:rPr>
              <w:t>5</w:t>
            </w:r>
          </w:p>
        </w:tc>
      </w:tr>
      <w:tr w:rsidR="001B4185" w:rsidRPr="002C2818" w14:paraId="1D177B41" w14:textId="77777777">
        <w:trPr>
          <w:jc w:val="center"/>
        </w:trPr>
        <w:tc>
          <w:tcPr>
            <w:tcW w:w="851" w:type="dxa"/>
            <w:shd w:val="clear" w:color="auto" w:fill="auto"/>
            <w:vAlign w:val="center"/>
          </w:tcPr>
          <w:p w14:paraId="21DA9F05" w14:textId="77777777" w:rsidR="001B4185" w:rsidRPr="002C2818" w:rsidRDefault="001B4185" w:rsidP="001B4185">
            <w:pPr>
              <w:spacing w:before="20" w:after="20" w:line="240" w:lineRule="auto"/>
              <w:jc w:val="center"/>
              <w:rPr>
                <w:rFonts w:cs="Calibri"/>
                <w:sz w:val="20"/>
                <w:szCs w:val="20"/>
              </w:rPr>
            </w:pPr>
            <w:r w:rsidRPr="002C2818">
              <w:rPr>
                <w:rFonts w:cs="Calibri"/>
                <w:sz w:val="20"/>
                <w:szCs w:val="20"/>
              </w:rPr>
              <w:t>15</w:t>
            </w:r>
          </w:p>
        </w:tc>
        <w:tc>
          <w:tcPr>
            <w:tcW w:w="7088" w:type="dxa"/>
            <w:shd w:val="clear" w:color="auto" w:fill="auto"/>
            <w:vAlign w:val="center"/>
          </w:tcPr>
          <w:p w14:paraId="5B134667" w14:textId="77777777" w:rsidR="001B4185" w:rsidRPr="002C2818" w:rsidRDefault="001B4185" w:rsidP="001B4185">
            <w:pPr>
              <w:spacing w:before="20" w:after="20" w:line="240" w:lineRule="auto"/>
              <w:rPr>
                <w:rFonts w:cs="Calibri"/>
                <w:sz w:val="20"/>
                <w:szCs w:val="20"/>
              </w:rPr>
            </w:pPr>
            <w:r w:rsidRPr="002C2818">
              <w:rPr>
                <w:rFonts w:cs="Calibri"/>
                <w:sz w:val="20"/>
                <w:szCs w:val="20"/>
              </w:rPr>
              <w:t>Vehículos</w:t>
            </w:r>
          </w:p>
        </w:tc>
        <w:tc>
          <w:tcPr>
            <w:tcW w:w="1701" w:type="dxa"/>
            <w:shd w:val="clear" w:color="auto" w:fill="auto"/>
            <w:vAlign w:val="center"/>
          </w:tcPr>
          <w:p w14:paraId="0D80B11E" w14:textId="77777777" w:rsidR="001B4185" w:rsidRPr="002C2818" w:rsidRDefault="001B4185" w:rsidP="001B4185">
            <w:pPr>
              <w:spacing w:before="20" w:after="20" w:line="240" w:lineRule="auto"/>
              <w:jc w:val="center"/>
              <w:rPr>
                <w:rFonts w:cs="Calibri"/>
                <w:sz w:val="20"/>
                <w:szCs w:val="20"/>
              </w:rPr>
            </w:pPr>
            <w:r w:rsidRPr="002C2818">
              <w:rPr>
                <w:rFonts w:cs="Calibri"/>
                <w:sz w:val="20"/>
                <w:szCs w:val="20"/>
              </w:rPr>
              <w:t>5</w:t>
            </w:r>
          </w:p>
        </w:tc>
      </w:tr>
    </w:tbl>
    <w:p w14:paraId="28E03EA9" w14:textId="77777777" w:rsidR="001B4185" w:rsidRPr="00EE2F47" w:rsidRDefault="001B4185" w:rsidP="004268A9">
      <w:pPr>
        <w:spacing w:after="0"/>
      </w:pPr>
    </w:p>
    <w:p w14:paraId="3DD0AF43" w14:textId="77777777" w:rsidR="001B4185" w:rsidRDefault="001B4185" w:rsidP="001B4185">
      <w:r w:rsidRPr="00EE2F47">
        <w:lastRenderedPageBreak/>
        <w:t>En consistencia con las disposiciones legales, el Informe Técnico señala que las vidas útiles de los elementos de transmisión indicadas, agrupadas de acuerdo al señalado conjunto mínimo de instalaciones económicamente identificables, se aplicarán por tres periodos tarifarios consecutivos, es decir, para los estudios de valorización de los sistemas de transmisión en el periodo comprendido entre enero 2020 y diciembre de 2031.</w:t>
      </w:r>
    </w:p>
    <w:p w14:paraId="09E07D54" w14:textId="77777777" w:rsidR="001B4185" w:rsidRDefault="001B4185" w:rsidP="001B4185">
      <w:r>
        <w:t>De esta forma, las instalaciones componen un tramo -transporte y subestación- serán vinculadas a cada una de las categorías establecidas en el Artículo 5° de la Resolución N°380, correspondiéndoles así la vida útil en años que para cada una de ellas estableció la Resolución N°412.</w:t>
      </w:r>
    </w:p>
    <w:p w14:paraId="0434A6C8" w14:textId="77777777" w:rsidR="001B4185" w:rsidRPr="00F727A2" w:rsidRDefault="001B4185" w:rsidP="00F727A2">
      <w:pPr>
        <w:pStyle w:val="Ttulo2"/>
      </w:pPr>
      <w:bookmarkStart w:id="532" w:name="_Toc27147811"/>
      <w:bookmarkStart w:id="533" w:name="_Toc39797890"/>
      <w:r w:rsidRPr="00F727A2">
        <w:t>Resolución Nº 43 del Servicio de Impuestos Internos, 2002</w:t>
      </w:r>
      <w:bookmarkEnd w:id="532"/>
      <w:bookmarkEnd w:id="533"/>
    </w:p>
    <w:p w14:paraId="72EF0106" w14:textId="77777777" w:rsidR="001B4185" w:rsidRPr="00EE2F47" w:rsidRDefault="001B4185" w:rsidP="001B4185">
      <w:r w:rsidRPr="00EE2F47">
        <w:t>La Resolución Exenta N°43 del Servicio de Impuestos Internos (SII), del 26 de diciembre del 2002, fija la vida útil normal a los bienes físicos del activo inmovilizado para los efectos de su depreciación, conforme a las normas del N°5 del Artículo 31 de la Ley de la Renta, contenida en el Artículo 1° del DL N°824, de 1974.</w:t>
      </w:r>
    </w:p>
    <w:p w14:paraId="56073020" w14:textId="77777777" w:rsidR="001B4185" w:rsidRDefault="001B4185" w:rsidP="001B4185">
      <w:r w:rsidRPr="00EE2F47">
        <w:t xml:space="preserve">Por ejemplo, para activos correspondientes a Empresas Eléctricas, la </w:t>
      </w:r>
      <w:bookmarkStart w:id="534" w:name="_Hlk21012688"/>
      <w:r w:rsidRPr="00EE2F47">
        <w:t xml:space="preserve">Res. Exta. N°43 </w:t>
      </w:r>
      <w:bookmarkEnd w:id="534"/>
      <w:r w:rsidRPr="00EE2F47">
        <w:t>fija las siguientes</w:t>
      </w:r>
      <w:r w:rsidRPr="008B5C5A">
        <w:rPr>
          <w:rStyle w:val="Refdenotaalpie"/>
        </w:rPr>
        <w:footnoteReference w:id="44"/>
      </w:r>
      <w:r w:rsidRPr="00EE2F47">
        <w:t>:</w:t>
      </w:r>
    </w:p>
    <w:p w14:paraId="6CCE19A8" w14:textId="67E7D586" w:rsidR="001B4185" w:rsidRPr="003E08AB" w:rsidRDefault="003A0B8A" w:rsidP="003A0B8A">
      <w:pPr>
        <w:pStyle w:val="Subttulo"/>
      </w:pPr>
      <w:bookmarkStart w:id="535" w:name="_Toc27147882"/>
      <w:bookmarkStart w:id="536" w:name="_Toc39797969"/>
      <w:bookmarkStart w:id="537" w:name="_Hlk25659675"/>
      <w:r w:rsidRPr="002F3394">
        <w:t xml:space="preserve">Tabla </w:t>
      </w:r>
      <w:fldSimple w:instr=" SEQ Tabla \* ARABIC ">
        <w:r w:rsidR="001F3E2E">
          <w:rPr>
            <w:noProof/>
          </w:rPr>
          <w:t>59</w:t>
        </w:r>
      </w:fldSimple>
      <w:r>
        <w:t>:</w:t>
      </w:r>
      <w:r w:rsidR="001B4185" w:rsidRPr="00635F7D">
        <w:t xml:space="preserve"> </w:t>
      </w:r>
      <w:r w:rsidR="001B4185" w:rsidRPr="000759A7">
        <w:t>Nómina de bienes según actividades</w:t>
      </w:r>
      <w:r w:rsidR="001B4185">
        <w:t xml:space="preserve"> empresas eléctricas</w:t>
      </w:r>
      <w:bookmarkEnd w:id="535"/>
      <w:bookmarkEnd w:id="536"/>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firstRow="1" w:lastRow="0" w:firstColumn="1" w:lastColumn="0" w:noHBand="0" w:noVBand="1"/>
      </w:tblPr>
      <w:tblGrid>
        <w:gridCol w:w="8505"/>
        <w:gridCol w:w="1134"/>
      </w:tblGrid>
      <w:tr w:rsidR="001B4185" w:rsidRPr="004268A9" w14:paraId="1AC27B6B" w14:textId="77777777" w:rsidTr="004268A9">
        <w:trPr>
          <w:tblHeader/>
          <w:jc w:val="center"/>
        </w:trPr>
        <w:tc>
          <w:tcPr>
            <w:tcW w:w="8505" w:type="dxa"/>
            <w:shd w:val="clear" w:color="auto" w:fill="D0CECE"/>
            <w:vAlign w:val="center"/>
          </w:tcPr>
          <w:bookmarkEnd w:id="537"/>
          <w:p w14:paraId="39BB40A9" w14:textId="77777777" w:rsidR="001B4185" w:rsidRPr="004268A9" w:rsidRDefault="001B4185" w:rsidP="004268A9">
            <w:pPr>
              <w:numPr>
                <w:ilvl w:val="0"/>
                <w:numId w:val="5"/>
              </w:numPr>
              <w:spacing w:before="20" w:after="20" w:line="240" w:lineRule="auto"/>
              <w:ind w:left="0" w:firstLine="0"/>
              <w:jc w:val="center"/>
              <w:rPr>
                <w:rFonts w:asciiTheme="minorHAnsi" w:hAnsiTheme="minorHAnsi" w:cstheme="minorHAnsi"/>
                <w:b/>
                <w:bCs/>
                <w:sz w:val="20"/>
                <w:szCs w:val="20"/>
              </w:rPr>
            </w:pPr>
            <w:r w:rsidRPr="004268A9">
              <w:rPr>
                <w:rFonts w:asciiTheme="minorHAnsi" w:hAnsiTheme="minorHAnsi" w:cstheme="minorHAnsi"/>
                <w:b/>
                <w:bCs/>
                <w:sz w:val="20"/>
                <w:szCs w:val="20"/>
              </w:rPr>
              <w:t>SECTOR ENERGÉTICO</w:t>
            </w:r>
          </w:p>
          <w:p w14:paraId="5FAC6C55" w14:textId="77777777" w:rsidR="001B4185" w:rsidRPr="004268A9" w:rsidRDefault="001B4185" w:rsidP="004268A9">
            <w:pPr>
              <w:spacing w:before="20" w:after="20" w:line="240" w:lineRule="auto"/>
              <w:jc w:val="center"/>
              <w:rPr>
                <w:rFonts w:asciiTheme="minorHAnsi" w:hAnsiTheme="minorHAnsi" w:cstheme="minorHAnsi"/>
                <w:b/>
                <w:bCs/>
                <w:sz w:val="20"/>
                <w:szCs w:val="20"/>
              </w:rPr>
            </w:pPr>
            <w:r w:rsidRPr="004268A9">
              <w:rPr>
                <w:rFonts w:asciiTheme="minorHAnsi" w:hAnsiTheme="minorHAnsi" w:cstheme="minorHAnsi"/>
                <w:b/>
                <w:bCs/>
                <w:sz w:val="20"/>
                <w:szCs w:val="20"/>
              </w:rPr>
              <w:t>E.1 EMPRESAS ELÉCTRICAS</w:t>
            </w:r>
          </w:p>
          <w:p w14:paraId="74C4EA05" w14:textId="77777777" w:rsidR="001B4185" w:rsidRPr="004268A9" w:rsidRDefault="001B4185" w:rsidP="004268A9">
            <w:pPr>
              <w:spacing w:before="20" w:after="20" w:line="240" w:lineRule="auto"/>
              <w:jc w:val="center"/>
              <w:rPr>
                <w:rFonts w:asciiTheme="minorHAnsi" w:hAnsiTheme="minorHAnsi" w:cstheme="minorHAnsi"/>
                <w:b/>
                <w:bCs/>
                <w:sz w:val="20"/>
                <w:szCs w:val="20"/>
              </w:rPr>
            </w:pPr>
            <w:r w:rsidRPr="004268A9">
              <w:rPr>
                <w:rFonts w:asciiTheme="minorHAnsi" w:hAnsiTheme="minorHAnsi" w:cstheme="minorHAnsi"/>
                <w:b/>
                <w:bCs/>
                <w:sz w:val="20"/>
                <w:szCs w:val="20"/>
              </w:rPr>
              <w:t>NOMINA DE BIENES SEGÚN ACTIVIDADES</w:t>
            </w:r>
          </w:p>
        </w:tc>
        <w:tc>
          <w:tcPr>
            <w:tcW w:w="1134" w:type="dxa"/>
            <w:shd w:val="clear" w:color="auto" w:fill="D0CECE"/>
            <w:vAlign w:val="center"/>
          </w:tcPr>
          <w:p w14:paraId="4152A64C" w14:textId="77777777" w:rsidR="001B4185" w:rsidRPr="004268A9" w:rsidRDefault="001B4185" w:rsidP="004268A9">
            <w:pPr>
              <w:spacing w:before="20" w:after="20" w:line="240" w:lineRule="auto"/>
              <w:jc w:val="center"/>
              <w:rPr>
                <w:rFonts w:asciiTheme="minorHAnsi" w:hAnsiTheme="minorHAnsi" w:cstheme="minorHAnsi"/>
                <w:b/>
                <w:bCs/>
                <w:sz w:val="20"/>
                <w:szCs w:val="20"/>
              </w:rPr>
            </w:pPr>
            <w:r w:rsidRPr="004268A9">
              <w:rPr>
                <w:rFonts w:asciiTheme="minorHAnsi" w:hAnsiTheme="minorHAnsi" w:cstheme="minorHAnsi"/>
                <w:b/>
                <w:bCs/>
                <w:sz w:val="20"/>
                <w:szCs w:val="20"/>
              </w:rPr>
              <w:t>NUEVA VIDA ÚTIL NORMAL</w:t>
            </w:r>
          </w:p>
        </w:tc>
      </w:tr>
      <w:tr w:rsidR="001B4185" w:rsidRPr="004268A9" w14:paraId="6AE9C174" w14:textId="77777777" w:rsidTr="004268A9">
        <w:trPr>
          <w:jc w:val="center"/>
        </w:trPr>
        <w:tc>
          <w:tcPr>
            <w:tcW w:w="8505" w:type="dxa"/>
            <w:shd w:val="clear" w:color="auto" w:fill="auto"/>
            <w:vAlign w:val="center"/>
          </w:tcPr>
          <w:p w14:paraId="32056820" w14:textId="77777777" w:rsidR="001B4185" w:rsidRPr="004268A9" w:rsidRDefault="001B4185" w:rsidP="004268A9">
            <w:pPr>
              <w:spacing w:before="20" w:after="20" w:line="240" w:lineRule="auto"/>
              <w:rPr>
                <w:rFonts w:asciiTheme="minorHAnsi" w:hAnsiTheme="minorHAnsi" w:cstheme="minorHAnsi"/>
                <w:sz w:val="20"/>
                <w:szCs w:val="20"/>
              </w:rPr>
            </w:pPr>
            <w:r w:rsidRPr="004268A9">
              <w:rPr>
                <w:rFonts w:asciiTheme="minorHAnsi" w:hAnsiTheme="minorHAnsi" w:cstheme="minorHAnsi"/>
                <w:sz w:val="20"/>
                <w:szCs w:val="20"/>
              </w:rPr>
              <w:t>1) Equipos de generación y eléctricos utilizados en la generación.</w:t>
            </w:r>
          </w:p>
        </w:tc>
        <w:tc>
          <w:tcPr>
            <w:tcW w:w="1134" w:type="dxa"/>
            <w:shd w:val="clear" w:color="auto" w:fill="auto"/>
            <w:vAlign w:val="center"/>
          </w:tcPr>
          <w:p w14:paraId="14786C91" w14:textId="77777777" w:rsidR="001B4185" w:rsidRPr="004268A9" w:rsidRDefault="001B4185" w:rsidP="004268A9">
            <w:pPr>
              <w:spacing w:before="20" w:after="20" w:line="240" w:lineRule="auto"/>
              <w:jc w:val="center"/>
              <w:rPr>
                <w:rFonts w:asciiTheme="minorHAnsi" w:hAnsiTheme="minorHAnsi" w:cstheme="minorHAnsi"/>
                <w:sz w:val="20"/>
                <w:szCs w:val="20"/>
              </w:rPr>
            </w:pPr>
            <w:r w:rsidRPr="004268A9">
              <w:rPr>
                <w:rFonts w:asciiTheme="minorHAnsi" w:hAnsiTheme="minorHAnsi" w:cstheme="minorHAnsi"/>
                <w:sz w:val="20"/>
                <w:szCs w:val="20"/>
              </w:rPr>
              <w:t>10</w:t>
            </w:r>
          </w:p>
        </w:tc>
      </w:tr>
      <w:tr w:rsidR="001B4185" w:rsidRPr="004268A9" w14:paraId="0D89554C" w14:textId="77777777" w:rsidTr="004268A9">
        <w:trPr>
          <w:jc w:val="center"/>
        </w:trPr>
        <w:tc>
          <w:tcPr>
            <w:tcW w:w="8505" w:type="dxa"/>
            <w:shd w:val="clear" w:color="auto" w:fill="auto"/>
            <w:vAlign w:val="center"/>
          </w:tcPr>
          <w:p w14:paraId="24AF639F" w14:textId="77777777" w:rsidR="001B4185" w:rsidRPr="004268A9" w:rsidRDefault="001B4185" w:rsidP="004268A9">
            <w:pPr>
              <w:spacing w:before="20" w:after="20" w:line="240" w:lineRule="auto"/>
              <w:rPr>
                <w:rFonts w:asciiTheme="minorHAnsi" w:hAnsiTheme="minorHAnsi" w:cstheme="minorHAnsi"/>
                <w:sz w:val="20"/>
                <w:szCs w:val="20"/>
              </w:rPr>
            </w:pPr>
            <w:r w:rsidRPr="004268A9">
              <w:rPr>
                <w:rFonts w:asciiTheme="minorHAnsi" w:hAnsiTheme="minorHAnsi" w:cstheme="minorHAnsi"/>
                <w:sz w:val="20"/>
                <w:szCs w:val="20"/>
              </w:rPr>
              <w:t>2) Obras civiles hidráulicas y otros relacionados con la generación.</w:t>
            </w:r>
          </w:p>
        </w:tc>
        <w:tc>
          <w:tcPr>
            <w:tcW w:w="1134" w:type="dxa"/>
            <w:shd w:val="clear" w:color="auto" w:fill="auto"/>
            <w:vAlign w:val="center"/>
          </w:tcPr>
          <w:p w14:paraId="778D9490" w14:textId="77777777" w:rsidR="001B4185" w:rsidRPr="004268A9" w:rsidRDefault="001B4185" w:rsidP="004268A9">
            <w:pPr>
              <w:spacing w:before="20" w:after="20" w:line="240" w:lineRule="auto"/>
              <w:jc w:val="center"/>
              <w:rPr>
                <w:rFonts w:asciiTheme="minorHAnsi" w:hAnsiTheme="minorHAnsi" w:cstheme="minorHAnsi"/>
                <w:sz w:val="20"/>
                <w:szCs w:val="20"/>
              </w:rPr>
            </w:pPr>
          </w:p>
        </w:tc>
      </w:tr>
      <w:tr w:rsidR="001B4185" w:rsidRPr="004268A9" w14:paraId="7DFD9D75" w14:textId="77777777" w:rsidTr="004268A9">
        <w:trPr>
          <w:jc w:val="center"/>
        </w:trPr>
        <w:tc>
          <w:tcPr>
            <w:tcW w:w="8505" w:type="dxa"/>
            <w:shd w:val="clear" w:color="auto" w:fill="auto"/>
            <w:vAlign w:val="center"/>
          </w:tcPr>
          <w:p w14:paraId="6899F72F" w14:textId="77777777" w:rsidR="001B4185" w:rsidRPr="004268A9" w:rsidRDefault="001B4185" w:rsidP="004268A9">
            <w:pPr>
              <w:spacing w:before="20" w:after="20" w:line="240" w:lineRule="auto"/>
              <w:rPr>
                <w:rFonts w:asciiTheme="minorHAnsi" w:hAnsiTheme="minorHAnsi" w:cstheme="minorHAnsi"/>
                <w:sz w:val="20"/>
                <w:szCs w:val="20"/>
              </w:rPr>
            </w:pPr>
            <w:r w:rsidRPr="004268A9">
              <w:rPr>
                <w:rFonts w:asciiTheme="minorHAnsi" w:hAnsiTheme="minorHAnsi" w:cstheme="minorHAnsi"/>
                <w:sz w:val="20"/>
                <w:szCs w:val="20"/>
              </w:rPr>
              <w:t>-   Bocatomas, muros de presa.</w:t>
            </w:r>
          </w:p>
        </w:tc>
        <w:tc>
          <w:tcPr>
            <w:tcW w:w="1134" w:type="dxa"/>
            <w:shd w:val="clear" w:color="auto" w:fill="auto"/>
            <w:vAlign w:val="center"/>
          </w:tcPr>
          <w:p w14:paraId="75ACB737" w14:textId="77777777" w:rsidR="001B4185" w:rsidRPr="004268A9" w:rsidRDefault="001B4185" w:rsidP="004268A9">
            <w:pPr>
              <w:spacing w:before="20" w:after="20" w:line="240" w:lineRule="auto"/>
              <w:jc w:val="center"/>
              <w:rPr>
                <w:rFonts w:asciiTheme="minorHAnsi" w:hAnsiTheme="minorHAnsi" w:cstheme="minorHAnsi"/>
                <w:sz w:val="20"/>
                <w:szCs w:val="20"/>
              </w:rPr>
            </w:pPr>
            <w:r w:rsidRPr="004268A9">
              <w:rPr>
                <w:rFonts w:asciiTheme="minorHAnsi" w:hAnsiTheme="minorHAnsi" w:cstheme="minorHAnsi"/>
                <w:sz w:val="20"/>
                <w:szCs w:val="20"/>
              </w:rPr>
              <w:t>50</w:t>
            </w:r>
          </w:p>
        </w:tc>
      </w:tr>
      <w:tr w:rsidR="001B4185" w:rsidRPr="004268A9" w14:paraId="0488F043" w14:textId="77777777" w:rsidTr="004268A9">
        <w:trPr>
          <w:jc w:val="center"/>
        </w:trPr>
        <w:tc>
          <w:tcPr>
            <w:tcW w:w="8505" w:type="dxa"/>
            <w:shd w:val="clear" w:color="auto" w:fill="auto"/>
            <w:vAlign w:val="center"/>
          </w:tcPr>
          <w:p w14:paraId="058E81AD" w14:textId="77777777" w:rsidR="001B4185" w:rsidRPr="004268A9" w:rsidRDefault="001B4185" w:rsidP="004268A9">
            <w:pPr>
              <w:spacing w:before="20" w:after="20" w:line="240" w:lineRule="auto"/>
              <w:rPr>
                <w:rFonts w:asciiTheme="minorHAnsi" w:hAnsiTheme="minorHAnsi" w:cstheme="minorHAnsi"/>
                <w:sz w:val="20"/>
                <w:szCs w:val="20"/>
              </w:rPr>
            </w:pPr>
            <w:r w:rsidRPr="004268A9">
              <w:rPr>
                <w:rFonts w:asciiTheme="minorHAnsi" w:hAnsiTheme="minorHAnsi" w:cstheme="minorHAnsi"/>
                <w:sz w:val="20"/>
                <w:szCs w:val="20"/>
              </w:rPr>
              <w:t>-   Descargas</w:t>
            </w:r>
          </w:p>
        </w:tc>
        <w:tc>
          <w:tcPr>
            <w:tcW w:w="1134" w:type="dxa"/>
            <w:shd w:val="clear" w:color="auto" w:fill="auto"/>
            <w:vAlign w:val="center"/>
          </w:tcPr>
          <w:p w14:paraId="47117A2D" w14:textId="77777777" w:rsidR="001B4185" w:rsidRPr="004268A9" w:rsidRDefault="001B4185" w:rsidP="004268A9">
            <w:pPr>
              <w:spacing w:before="20" w:after="20" w:line="240" w:lineRule="auto"/>
              <w:jc w:val="center"/>
              <w:rPr>
                <w:rFonts w:asciiTheme="minorHAnsi" w:hAnsiTheme="minorHAnsi" w:cstheme="minorHAnsi"/>
                <w:sz w:val="20"/>
                <w:szCs w:val="20"/>
              </w:rPr>
            </w:pPr>
            <w:r w:rsidRPr="004268A9">
              <w:rPr>
                <w:rFonts w:asciiTheme="minorHAnsi" w:hAnsiTheme="minorHAnsi" w:cstheme="minorHAnsi"/>
                <w:sz w:val="20"/>
                <w:szCs w:val="20"/>
              </w:rPr>
              <w:t>30</w:t>
            </w:r>
          </w:p>
        </w:tc>
      </w:tr>
      <w:tr w:rsidR="001B4185" w:rsidRPr="004268A9" w14:paraId="3484AEF6" w14:textId="77777777" w:rsidTr="004268A9">
        <w:trPr>
          <w:jc w:val="center"/>
        </w:trPr>
        <w:tc>
          <w:tcPr>
            <w:tcW w:w="8505" w:type="dxa"/>
            <w:shd w:val="clear" w:color="auto" w:fill="auto"/>
            <w:vAlign w:val="center"/>
          </w:tcPr>
          <w:p w14:paraId="1475DAA3" w14:textId="77777777" w:rsidR="001B4185" w:rsidRPr="004268A9" w:rsidRDefault="001B4185" w:rsidP="004268A9">
            <w:pPr>
              <w:spacing w:before="20" w:after="20" w:line="240" w:lineRule="auto"/>
              <w:rPr>
                <w:rFonts w:asciiTheme="minorHAnsi" w:hAnsiTheme="minorHAnsi" w:cstheme="minorHAnsi"/>
                <w:sz w:val="20"/>
                <w:szCs w:val="20"/>
              </w:rPr>
            </w:pPr>
            <w:r w:rsidRPr="004268A9">
              <w:rPr>
                <w:rFonts w:asciiTheme="minorHAnsi" w:hAnsiTheme="minorHAnsi" w:cstheme="minorHAnsi"/>
                <w:sz w:val="20"/>
                <w:szCs w:val="20"/>
              </w:rPr>
              <w:t>-   Túneles, piques, pretiles, evacuaciones, cámaras de carga, tuberías de presión.</w:t>
            </w:r>
          </w:p>
        </w:tc>
        <w:tc>
          <w:tcPr>
            <w:tcW w:w="1134" w:type="dxa"/>
            <w:shd w:val="clear" w:color="auto" w:fill="auto"/>
            <w:vAlign w:val="center"/>
          </w:tcPr>
          <w:p w14:paraId="08515DB5" w14:textId="77777777" w:rsidR="001B4185" w:rsidRPr="004268A9" w:rsidRDefault="001B4185" w:rsidP="004268A9">
            <w:pPr>
              <w:spacing w:before="20" w:after="20" w:line="240" w:lineRule="auto"/>
              <w:jc w:val="center"/>
              <w:rPr>
                <w:rFonts w:asciiTheme="minorHAnsi" w:hAnsiTheme="minorHAnsi" w:cstheme="minorHAnsi"/>
                <w:sz w:val="20"/>
                <w:szCs w:val="20"/>
              </w:rPr>
            </w:pPr>
            <w:r w:rsidRPr="004268A9">
              <w:rPr>
                <w:rFonts w:asciiTheme="minorHAnsi" w:hAnsiTheme="minorHAnsi" w:cstheme="minorHAnsi"/>
                <w:sz w:val="20"/>
                <w:szCs w:val="20"/>
              </w:rPr>
              <w:t>20</w:t>
            </w:r>
          </w:p>
        </w:tc>
      </w:tr>
      <w:tr w:rsidR="001B4185" w:rsidRPr="004268A9" w14:paraId="37F9B372" w14:textId="77777777" w:rsidTr="004268A9">
        <w:trPr>
          <w:jc w:val="center"/>
        </w:trPr>
        <w:tc>
          <w:tcPr>
            <w:tcW w:w="8505" w:type="dxa"/>
            <w:shd w:val="clear" w:color="auto" w:fill="auto"/>
            <w:vAlign w:val="center"/>
          </w:tcPr>
          <w:p w14:paraId="6138F4C6" w14:textId="77777777" w:rsidR="001B4185" w:rsidRPr="004268A9" w:rsidRDefault="001B4185" w:rsidP="004268A9">
            <w:pPr>
              <w:spacing w:before="20" w:after="20" w:line="240" w:lineRule="auto"/>
              <w:rPr>
                <w:rFonts w:asciiTheme="minorHAnsi" w:hAnsiTheme="minorHAnsi" w:cstheme="minorHAnsi"/>
                <w:sz w:val="20"/>
                <w:szCs w:val="20"/>
              </w:rPr>
            </w:pPr>
            <w:r w:rsidRPr="004268A9">
              <w:rPr>
                <w:rFonts w:asciiTheme="minorHAnsi" w:hAnsiTheme="minorHAnsi" w:cstheme="minorHAnsi"/>
                <w:sz w:val="20"/>
                <w:szCs w:val="20"/>
              </w:rPr>
              <w:t>-   Canales</w:t>
            </w:r>
          </w:p>
        </w:tc>
        <w:tc>
          <w:tcPr>
            <w:tcW w:w="1134" w:type="dxa"/>
            <w:shd w:val="clear" w:color="auto" w:fill="auto"/>
            <w:vAlign w:val="center"/>
          </w:tcPr>
          <w:p w14:paraId="61132EDD" w14:textId="77777777" w:rsidR="001B4185" w:rsidRPr="004268A9" w:rsidRDefault="001B4185" w:rsidP="004268A9">
            <w:pPr>
              <w:spacing w:before="20" w:after="20" w:line="240" w:lineRule="auto"/>
              <w:jc w:val="center"/>
              <w:rPr>
                <w:rFonts w:asciiTheme="minorHAnsi" w:hAnsiTheme="minorHAnsi" w:cstheme="minorHAnsi"/>
                <w:sz w:val="20"/>
                <w:szCs w:val="20"/>
              </w:rPr>
            </w:pPr>
            <w:r w:rsidRPr="004268A9">
              <w:rPr>
                <w:rFonts w:asciiTheme="minorHAnsi" w:hAnsiTheme="minorHAnsi" w:cstheme="minorHAnsi"/>
                <w:sz w:val="20"/>
                <w:szCs w:val="20"/>
              </w:rPr>
              <w:t>18</w:t>
            </w:r>
          </w:p>
        </w:tc>
      </w:tr>
      <w:tr w:rsidR="001B4185" w:rsidRPr="004268A9" w14:paraId="6CA0E09F" w14:textId="77777777" w:rsidTr="004268A9">
        <w:trPr>
          <w:jc w:val="center"/>
        </w:trPr>
        <w:tc>
          <w:tcPr>
            <w:tcW w:w="8505" w:type="dxa"/>
            <w:shd w:val="clear" w:color="auto" w:fill="auto"/>
            <w:vAlign w:val="center"/>
          </w:tcPr>
          <w:p w14:paraId="0165EA1E" w14:textId="77777777" w:rsidR="001B4185" w:rsidRPr="004268A9" w:rsidRDefault="001B4185" w:rsidP="004268A9">
            <w:pPr>
              <w:spacing w:before="20" w:after="20" w:line="240" w:lineRule="auto"/>
              <w:rPr>
                <w:rFonts w:asciiTheme="minorHAnsi" w:hAnsiTheme="minorHAnsi" w:cstheme="minorHAnsi"/>
                <w:sz w:val="20"/>
                <w:szCs w:val="20"/>
              </w:rPr>
            </w:pPr>
            <w:r w:rsidRPr="004268A9">
              <w:rPr>
                <w:rFonts w:asciiTheme="minorHAnsi" w:hAnsiTheme="minorHAnsi" w:cstheme="minorHAnsi"/>
                <w:sz w:val="20"/>
                <w:szCs w:val="20"/>
              </w:rPr>
              <w:t>-   Sifones, captaciones, estanques y chimeneas de equilibrio.</w:t>
            </w:r>
          </w:p>
        </w:tc>
        <w:tc>
          <w:tcPr>
            <w:tcW w:w="1134" w:type="dxa"/>
            <w:shd w:val="clear" w:color="auto" w:fill="auto"/>
            <w:vAlign w:val="center"/>
          </w:tcPr>
          <w:p w14:paraId="3DD3423D" w14:textId="77777777" w:rsidR="001B4185" w:rsidRPr="004268A9" w:rsidRDefault="001B4185" w:rsidP="004268A9">
            <w:pPr>
              <w:spacing w:before="20" w:after="20" w:line="240" w:lineRule="auto"/>
              <w:jc w:val="center"/>
              <w:rPr>
                <w:rFonts w:asciiTheme="minorHAnsi" w:hAnsiTheme="minorHAnsi" w:cstheme="minorHAnsi"/>
                <w:sz w:val="20"/>
                <w:szCs w:val="20"/>
              </w:rPr>
            </w:pPr>
            <w:r w:rsidRPr="004268A9">
              <w:rPr>
                <w:rFonts w:asciiTheme="minorHAnsi" w:hAnsiTheme="minorHAnsi" w:cstheme="minorHAnsi"/>
                <w:sz w:val="20"/>
                <w:szCs w:val="20"/>
              </w:rPr>
              <w:t>10</w:t>
            </w:r>
          </w:p>
        </w:tc>
      </w:tr>
      <w:tr w:rsidR="001B4185" w:rsidRPr="004268A9" w14:paraId="02287D8F" w14:textId="77777777" w:rsidTr="004268A9">
        <w:trPr>
          <w:jc w:val="center"/>
        </w:trPr>
        <w:tc>
          <w:tcPr>
            <w:tcW w:w="8505" w:type="dxa"/>
            <w:shd w:val="clear" w:color="auto" w:fill="auto"/>
            <w:vAlign w:val="center"/>
          </w:tcPr>
          <w:p w14:paraId="72D61D7C" w14:textId="77777777" w:rsidR="001B4185" w:rsidRPr="004268A9" w:rsidRDefault="001B4185" w:rsidP="004268A9">
            <w:pPr>
              <w:spacing w:before="20" w:after="20" w:line="240" w:lineRule="auto"/>
              <w:rPr>
                <w:rFonts w:asciiTheme="minorHAnsi" w:hAnsiTheme="minorHAnsi" w:cstheme="minorHAnsi"/>
                <w:sz w:val="20"/>
                <w:szCs w:val="20"/>
              </w:rPr>
            </w:pPr>
            <w:r w:rsidRPr="004268A9">
              <w:rPr>
                <w:rFonts w:asciiTheme="minorHAnsi" w:hAnsiTheme="minorHAnsi" w:cstheme="minorHAnsi"/>
                <w:sz w:val="20"/>
                <w:szCs w:val="20"/>
              </w:rPr>
              <w:t>-   Desarenador</w:t>
            </w:r>
          </w:p>
        </w:tc>
        <w:tc>
          <w:tcPr>
            <w:tcW w:w="1134" w:type="dxa"/>
            <w:shd w:val="clear" w:color="auto" w:fill="auto"/>
            <w:vAlign w:val="center"/>
          </w:tcPr>
          <w:p w14:paraId="1B360347" w14:textId="77777777" w:rsidR="001B4185" w:rsidRPr="004268A9" w:rsidRDefault="001B4185" w:rsidP="004268A9">
            <w:pPr>
              <w:spacing w:before="20" w:after="20" w:line="240" w:lineRule="auto"/>
              <w:jc w:val="center"/>
              <w:rPr>
                <w:rFonts w:asciiTheme="minorHAnsi" w:hAnsiTheme="minorHAnsi" w:cstheme="minorHAnsi"/>
                <w:sz w:val="20"/>
                <w:szCs w:val="20"/>
              </w:rPr>
            </w:pPr>
            <w:r w:rsidRPr="004268A9">
              <w:rPr>
                <w:rFonts w:asciiTheme="minorHAnsi" w:hAnsiTheme="minorHAnsi" w:cstheme="minorHAnsi"/>
                <w:sz w:val="20"/>
                <w:szCs w:val="20"/>
              </w:rPr>
              <w:t>8</w:t>
            </w:r>
          </w:p>
        </w:tc>
      </w:tr>
      <w:tr w:rsidR="001B4185" w:rsidRPr="004268A9" w14:paraId="36CC4B51" w14:textId="77777777" w:rsidTr="004268A9">
        <w:trPr>
          <w:jc w:val="center"/>
        </w:trPr>
        <w:tc>
          <w:tcPr>
            <w:tcW w:w="8505" w:type="dxa"/>
            <w:shd w:val="clear" w:color="auto" w:fill="auto"/>
            <w:vAlign w:val="center"/>
          </w:tcPr>
          <w:p w14:paraId="6665845B" w14:textId="77777777" w:rsidR="001B4185" w:rsidRPr="004268A9" w:rsidRDefault="001B4185" w:rsidP="004268A9">
            <w:pPr>
              <w:spacing w:before="20" w:after="20" w:line="240" w:lineRule="auto"/>
              <w:rPr>
                <w:rFonts w:asciiTheme="minorHAnsi" w:hAnsiTheme="minorHAnsi" w:cstheme="minorHAnsi"/>
                <w:sz w:val="20"/>
                <w:szCs w:val="20"/>
              </w:rPr>
            </w:pPr>
            <w:r w:rsidRPr="004268A9">
              <w:rPr>
                <w:rFonts w:asciiTheme="minorHAnsi" w:hAnsiTheme="minorHAnsi" w:cstheme="minorHAnsi"/>
                <w:sz w:val="20"/>
                <w:szCs w:val="20"/>
              </w:rPr>
              <w:t>3) Líneas de distribución de alta tensión y baja tensión, líneas de transmisión, cables de transmisión, cables de poder.</w:t>
            </w:r>
          </w:p>
        </w:tc>
        <w:tc>
          <w:tcPr>
            <w:tcW w:w="1134" w:type="dxa"/>
            <w:shd w:val="clear" w:color="auto" w:fill="auto"/>
            <w:vAlign w:val="center"/>
          </w:tcPr>
          <w:p w14:paraId="5F9373BF" w14:textId="77777777" w:rsidR="001B4185" w:rsidRPr="004268A9" w:rsidRDefault="001B4185" w:rsidP="004268A9">
            <w:pPr>
              <w:spacing w:before="20" w:after="20" w:line="240" w:lineRule="auto"/>
              <w:jc w:val="center"/>
              <w:rPr>
                <w:rFonts w:asciiTheme="minorHAnsi" w:hAnsiTheme="minorHAnsi" w:cstheme="minorHAnsi"/>
                <w:sz w:val="20"/>
                <w:szCs w:val="20"/>
              </w:rPr>
            </w:pPr>
            <w:r w:rsidRPr="004268A9">
              <w:rPr>
                <w:rFonts w:asciiTheme="minorHAnsi" w:hAnsiTheme="minorHAnsi" w:cstheme="minorHAnsi"/>
                <w:sz w:val="20"/>
                <w:szCs w:val="20"/>
              </w:rPr>
              <w:t>20</w:t>
            </w:r>
          </w:p>
        </w:tc>
      </w:tr>
      <w:tr w:rsidR="001B4185" w:rsidRPr="004268A9" w14:paraId="0A442ABF" w14:textId="77777777" w:rsidTr="004268A9">
        <w:trPr>
          <w:jc w:val="center"/>
        </w:trPr>
        <w:tc>
          <w:tcPr>
            <w:tcW w:w="8505" w:type="dxa"/>
            <w:shd w:val="clear" w:color="auto" w:fill="auto"/>
            <w:vAlign w:val="center"/>
          </w:tcPr>
          <w:p w14:paraId="56722F9A" w14:textId="77777777" w:rsidR="001B4185" w:rsidRPr="004268A9" w:rsidRDefault="001B4185" w:rsidP="004268A9">
            <w:pPr>
              <w:spacing w:before="20" w:after="20" w:line="240" w:lineRule="auto"/>
              <w:rPr>
                <w:rFonts w:asciiTheme="minorHAnsi" w:hAnsiTheme="minorHAnsi" w:cstheme="minorHAnsi"/>
                <w:sz w:val="20"/>
                <w:szCs w:val="20"/>
              </w:rPr>
            </w:pPr>
            <w:r w:rsidRPr="004268A9">
              <w:rPr>
                <w:rFonts w:asciiTheme="minorHAnsi" w:hAnsiTheme="minorHAnsi" w:cstheme="minorHAnsi"/>
                <w:sz w:val="20"/>
                <w:szCs w:val="20"/>
              </w:rPr>
              <w:t>4) Líneas de alta tensión – Transporte.</w:t>
            </w:r>
          </w:p>
        </w:tc>
        <w:tc>
          <w:tcPr>
            <w:tcW w:w="1134" w:type="dxa"/>
            <w:shd w:val="clear" w:color="auto" w:fill="auto"/>
            <w:vAlign w:val="center"/>
          </w:tcPr>
          <w:p w14:paraId="7599043A" w14:textId="77777777" w:rsidR="001B4185" w:rsidRPr="004268A9" w:rsidRDefault="001B4185" w:rsidP="004268A9">
            <w:pPr>
              <w:spacing w:before="20" w:after="20" w:line="240" w:lineRule="auto"/>
              <w:jc w:val="center"/>
              <w:rPr>
                <w:rFonts w:asciiTheme="minorHAnsi" w:hAnsiTheme="minorHAnsi" w:cstheme="minorHAnsi"/>
                <w:sz w:val="20"/>
                <w:szCs w:val="20"/>
              </w:rPr>
            </w:pPr>
          </w:p>
        </w:tc>
      </w:tr>
      <w:tr w:rsidR="001B4185" w:rsidRPr="004268A9" w14:paraId="381584EC" w14:textId="77777777" w:rsidTr="004268A9">
        <w:trPr>
          <w:jc w:val="center"/>
        </w:trPr>
        <w:tc>
          <w:tcPr>
            <w:tcW w:w="8505" w:type="dxa"/>
            <w:shd w:val="clear" w:color="auto" w:fill="auto"/>
            <w:vAlign w:val="center"/>
          </w:tcPr>
          <w:p w14:paraId="742896A8" w14:textId="77777777" w:rsidR="001B4185" w:rsidRPr="004268A9" w:rsidRDefault="001B4185" w:rsidP="004268A9">
            <w:pPr>
              <w:spacing w:before="20" w:after="20" w:line="240" w:lineRule="auto"/>
              <w:rPr>
                <w:rFonts w:asciiTheme="minorHAnsi" w:hAnsiTheme="minorHAnsi" w:cstheme="minorHAnsi"/>
                <w:sz w:val="20"/>
                <w:szCs w:val="20"/>
              </w:rPr>
            </w:pPr>
            <w:r w:rsidRPr="004268A9">
              <w:rPr>
                <w:rFonts w:asciiTheme="minorHAnsi" w:hAnsiTheme="minorHAnsi" w:cstheme="minorHAnsi"/>
                <w:sz w:val="20"/>
                <w:szCs w:val="20"/>
              </w:rPr>
              <w:lastRenderedPageBreak/>
              <w:t>-   Obras civiles.</w:t>
            </w:r>
          </w:p>
        </w:tc>
        <w:tc>
          <w:tcPr>
            <w:tcW w:w="1134" w:type="dxa"/>
            <w:shd w:val="clear" w:color="auto" w:fill="auto"/>
            <w:vAlign w:val="center"/>
          </w:tcPr>
          <w:p w14:paraId="5428B0DA" w14:textId="77777777" w:rsidR="001B4185" w:rsidRPr="004268A9" w:rsidRDefault="001B4185" w:rsidP="004268A9">
            <w:pPr>
              <w:spacing w:before="20" w:after="20" w:line="240" w:lineRule="auto"/>
              <w:jc w:val="center"/>
              <w:rPr>
                <w:rFonts w:asciiTheme="minorHAnsi" w:hAnsiTheme="minorHAnsi" w:cstheme="minorHAnsi"/>
                <w:sz w:val="20"/>
                <w:szCs w:val="20"/>
              </w:rPr>
            </w:pPr>
            <w:r w:rsidRPr="004268A9">
              <w:rPr>
                <w:rFonts w:asciiTheme="minorHAnsi" w:hAnsiTheme="minorHAnsi" w:cstheme="minorHAnsi"/>
                <w:sz w:val="20"/>
                <w:szCs w:val="20"/>
              </w:rPr>
              <w:t>20</w:t>
            </w:r>
          </w:p>
        </w:tc>
      </w:tr>
      <w:tr w:rsidR="001B4185" w:rsidRPr="004268A9" w14:paraId="4FA4F7C3" w14:textId="77777777" w:rsidTr="004268A9">
        <w:trPr>
          <w:jc w:val="center"/>
        </w:trPr>
        <w:tc>
          <w:tcPr>
            <w:tcW w:w="8505" w:type="dxa"/>
            <w:shd w:val="clear" w:color="auto" w:fill="auto"/>
            <w:vAlign w:val="center"/>
          </w:tcPr>
          <w:p w14:paraId="2C991087" w14:textId="77777777" w:rsidR="001B4185" w:rsidRPr="004268A9" w:rsidRDefault="001B4185" w:rsidP="004268A9">
            <w:pPr>
              <w:spacing w:before="20" w:after="20" w:line="240" w:lineRule="auto"/>
              <w:rPr>
                <w:rFonts w:asciiTheme="minorHAnsi" w:hAnsiTheme="minorHAnsi" w:cstheme="minorHAnsi"/>
                <w:sz w:val="20"/>
                <w:szCs w:val="20"/>
              </w:rPr>
            </w:pPr>
            <w:r w:rsidRPr="004268A9">
              <w:rPr>
                <w:rFonts w:asciiTheme="minorHAnsi" w:hAnsiTheme="minorHAnsi" w:cstheme="minorHAnsi"/>
                <w:sz w:val="20"/>
                <w:szCs w:val="20"/>
              </w:rPr>
              <w:t>-  Conductores</w:t>
            </w:r>
          </w:p>
        </w:tc>
        <w:tc>
          <w:tcPr>
            <w:tcW w:w="1134" w:type="dxa"/>
            <w:shd w:val="clear" w:color="auto" w:fill="auto"/>
            <w:vAlign w:val="center"/>
          </w:tcPr>
          <w:p w14:paraId="071BC6C4" w14:textId="77777777" w:rsidR="001B4185" w:rsidRPr="004268A9" w:rsidRDefault="001B4185" w:rsidP="004268A9">
            <w:pPr>
              <w:spacing w:before="20" w:after="20" w:line="240" w:lineRule="auto"/>
              <w:jc w:val="center"/>
              <w:rPr>
                <w:rFonts w:asciiTheme="minorHAnsi" w:hAnsiTheme="minorHAnsi" w:cstheme="minorHAnsi"/>
                <w:sz w:val="20"/>
                <w:szCs w:val="20"/>
              </w:rPr>
            </w:pPr>
            <w:r w:rsidRPr="004268A9">
              <w:rPr>
                <w:rFonts w:asciiTheme="minorHAnsi" w:hAnsiTheme="minorHAnsi" w:cstheme="minorHAnsi"/>
                <w:sz w:val="20"/>
                <w:szCs w:val="20"/>
              </w:rPr>
              <w:t>20</w:t>
            </w:r>
          </w:p>
        </w:tc>
      </w:tr>
      <w:tr w:rsidR="001B4185" w:rsidRPr="004268A9" w14:paraId="7BDEE6DE" w14:textId="77777777" w:rsidTr="004268A9">
        <w:trPr>
          <w:jc w:val="center"/>
        </w:trPr>
        <w:tc>
          <w:tcPr>
            <w:tcW w:w="8505" w:type="dxa"/>
            <w:shd w:val="clear" w:color="auto" w:fill="auto"/>
            <w:vAlign w:val="center"/>
          </w:tcPr>
          <w:p w14:paraId="06C1D447" w14:textId="77777777" w:rsidR="001B4185" w:rsidRPr="004268A9" w:rsidRDefault="001B4185" w:rsidP="004268A9">
            <w:pPr>
              <w:spacing w:before="20" w:after="20" w:line="240" w:lineRule="auto"/>
              <w:rPr>
                <w:rFonts w:asciiTheme="minorHAnsi" w:hAnsiTheme="minorHAnsi" w:cstheme="minorHAnsi"/>
                <w:sz w:val="20"/>
                <w:szCs w:val="20"/>
              </w:rPr>
            </w:pPr>
            <w:r w:rsidRPr="004268A9">
              <w:rPr>
                <w:rFonts w:asciiTheme="minorHAnsi" w:hAnsiTheme="minorHAnsi" w:cstheme="minorHAnsi"/>
                <w:sz w:val="20"/>
                <w:szCs w:val="20"/>
              </w:rPr>
              <w:t>-   Apoyos de suspensión y apoyos de amarres.</w:t>
            </w:r>
          </w:p>
        </w:tc>
        <w:tc>
          <w:tcPr>
            <w:tcW w:w="1134" w:type="dxa"/>
            <w:shd w:val="clear" w:color="auto" w:fill="auto"/>
            <w:vAlign w:val="center"/>
          </w:tcPr>
          <w:p w14:paraId="54F95280" w14:textId="77777777" w:rsidR="001B4185" w:rsidRPr="004268A9" w:rsidRDefault="001B4185" w:rsidP="004268A9">
            <w:pPr>
              <w:spacing w:before="20" w:after="20" w:line="240" w:lineRule="auto"/>
              <w:jc w:val="center"/>
              <w:rPr>
                <w:rFonts w:asciiTheme="minorHAnsi" w:hAnsiTheme="minorHAnsi" w:cstheme="minorHAnsi"/>
                <w:sz w:val="20"/>
                <w:szCs w:val="20"/>
              </w:rPr>
            </w:pPr>
            <w:r w:rsidRPr="004268A9">
              <w:rPr>
                <w:rFonts w:asciiTheme="minorHAnsi" w:hAnsiTheme="minorHAnsi" w:cstheme="minorHAnsi"/>
                <w:sz w:val="20"/>
                <w:szCs w:val="20"/>
              </w:rPr>
              <w:t>10</w:t>
            </w:r>
          </w:p>
        </w:tc>
      </w:tr>
      <w:tr w:rsidR="001B4185" w:rsidRPr="004268A9" w14:paraId="4F3E26DB" w14:textId="77777777" w:rsidTr="004268A9">
        <w:trPr>
          <w:jc w:val="center"/>
        </w:trPr>
        <w:tc>
          <w:tcPr>
            <w:tcW w:w="8505" w:type="dxa"/>
            <w:shd w:val="clear" w:color="auto" w:fill="auto"/>
            <w:vAlign w:val="center"/>
          </w:tcPr>
          <w:p w14:paraId="314BC1D8" w14:textId="77777777" w:rsidR="001B4185" w:rsidRPr="004268A9" w:rsidRDefault="001B4185" w:rsidP="004268A9">
            <w:pPr>
              <w:spacing w:before="20" w:after="20" w:line="240" w:lineRule="auto"/>
              <w:rPr>
                <w:rFonts w:asciiTheme="minorHAnsi" w:hAnsiTheme="minorHAnsi" w:cstheme="minorHAnsi"/>
                <w:sz w:val="20"/>
                <w:szCs w:val="20"/>
              </w:rPr>
            </w:pPr>
            <w:r w:rsidRPr="004268A9">
              <w:rPr>
                <w:rFonts w:asciiTheme="minorHAnsi" w:hAnsiTheme="minorHAnsi" w:cstheme="minorHAnsi"/>
                <w:sz w:val="20"/>
                <w:szCs w:val="20"/>
              </w:rPr>
              <w:t>5) Cables de alta tensión – Transporte.</w:t>
            </w:r>
          </w:p>
        </w:tc>
        <w:tc>
          <w:tcPr>
            <w:tcW w:w="1134" w:type="dxa"/>
            <w:shd w:val="clear" w:color="auto" w:fill="auto"/>
            <w:vAlign w:val="center"/>
          </w:tcPr>
          <w:p w14:paraId="42584439" w14:textId="77777777" w:rsidR="001B4185" w:rsidRPr="004268A9" w:rsidRDefault="001B4185" w:rsidP="004268A9">
            <w:pPr>
              <w:spacing w:before="20" w:after="20" w:line="240" w:lineRule="auto"/>
              <w:jc w:val="center"/>
              <w:rPr>
                <w:rFonts w:asciiTheme="minorHAnsi" w:hAnsiTheme="minorHAnsi" w:cstheme="minorHAnsi"/>
                <w:sz w:val="20"/>
                <w:szCs w:val="20"/>
              </w:rPr>
            </w:pPr>
          </w:p>
        </w:tc>
      </w:tr>
      <w:tr w:rsidR="001B4185" w:rsidRPr="004268A9" w14:paraId="26E4ED11" w14:textId="77777777" w:rsidTr="004268A9">
        <w:trPr>
          <w:jc w:val="center"/>
        </w:trPr>
        <w:tc>
          <w:tcPr>
            <w:tcW w:w="8505" w:type="dxa"/>
            <w:shd w:val="clear" w:color="auto" w:fill="auto"/>
            <w:vAlign w:val="center"/>
          </w:tcPr>
          <w:p w14:paraId="1E658BD5" w14:textId="77777777" w:rsidR="001B4185" w:rsidRPr="004268A9" w:rsidRDefault="001B4185" w:rsidP="004268A9">
            <w:pPr>
              <w:spacing w:before="20" w:after="20" w:line="240" w:lineRule="auto"/>
              <w:rPr>
                <w:rFonts w:asciiTheme="minorHAnsi" w:hAnsiTheme="minorHAnsi" w:cstheme="minorHAnsi"/>
                <w:sz w:val="20"/>
                <w:szCs w:val="20"/>
              </w:rPr>
            </w:pPr>
            <w:r w:rsidRPr="004268A9">
              <w:rPr>
                <w:rFonts w:asciiTheme="minorHAnsi" w:hAnsiTheme="minorHAnsi" w:cstheme="minorHAnsi"/>
                <w:sz w:val="20"/>
                <w:szCs w:val="20"/>
              </w:rPr>
              <w:t>-   Obras civiles.</w:t>
            </w:r>
          </w:p>
        </w:tc>
        <w:tc>
          <w:tcPr>
            <w:tcW w:w="1134" w:type="dxa"/>
            <w:shd w:val="clear" w:color="auto" w:fill="auto"/>
            <w:vAlign w:val="center"/>
          </w:tcPr>
          <w:p w14:paraId="38B22FEA" w14:textId="77777777" w:rsidR="001B4185" w:rsidRPr="004268A9" w:rsidRDefault="001B4185" w:rsidP="004268A9">
            <w:pPr>
              <w:spacing w:before="20" w:after="20" w:line="240" w:lineRule="auto"/>
              <w:jc w:val="center"/>
              <w:rPr>
                <w:rFonts w:asciiTheme="minorHAnsi" w:hAnsiTheme="minorHAnsi" w:cstheme="minorHAnsi"/>
                <w:sz w:val="20"/>
                <w:szCs w:val="20"/>
              </w:rPr>
            </w:pPr>
            <w:r w:rsidRPr="004268A9">
              <w:rPr>
                <w:rFonts w:asciiTheme="minorHAnsi" w:hAnsiTheme="minorHAnsi" w:cstheme="minorHAnsi"/>
                <w:sz w:val="20"/>
                <w:szCs w:val="20"/>
              </w:rPr>
              <w:t>20</w:t>
            </w:r>
          </w:p>
        </w:tc>
      </w:tr>
      <w:tr w:rsidR="001B4185" w:rsidRPr="004268A9" w14:paraId="020C8B6C" w14:textId="77777777" w:rsidTr="004268A9">
        <w:trPr>
          <w:jc w:val="center"/>
        </w:trPr>
        <w:tc>
          <w:tcPr>
            <w:tcW w:w="8505" w:type="dxa"/>
            <w:shd w:val="clear" w:color="auto" w:fill="auto"/>
            <w:vAlign w:val="center"/>
          </w:tcPr>
          <w:p w14:paraId="37675C79" w14:textId="77777777" w:rsidR="001B4185" w:rsidRPr="004268A9" w:rsidRDefault="001B4185" w:rsidP="004268A9">
            <w:pPr>
              <w:spacing w:before="20" w:after="20" w:line="240" w:lineRule="auto"/>
              <w:rPr>
                <w:rFonts w:asciiTheme="minorHAnsi" w:hAnsiTheme="minorHAnsi" w:cstheme="minorHAnsi"/>
                <w:sz w:val="20"/>
                <w:szCs w:val="20"/>
              </w:rPr>
            </w:pPr>
            <w:r w:rsidRPr="004268A9">
              <w:rPr>
                <w:rFonts w:asciiTheme="minorHAnsi" w:hAnsiTheme="minorHAnsi" w:cstheme="minorHAnsi"/>
                <w:sz w:val="20"/>
                <w:szCs w:val="20"/>
              </w:rPr>
              <w:t>-   Conductores</w:t>
            </w:r>
          </w:p>
        </w:tc>
        <w:tc>
          <w:tcPr>
            <w:tcW w:w="1134" w:type="dxa"/>
            <w:shd w:val="clear" w:color="auto" w:fill="auto"/>
            <w:vAlign w:val="center"/>
          </w:tcPr>
          <w:p w14:paraId="135369BF" w14:textId="77777777" w:rsidR="001B4185" w:rsidRPr="004268A9" w:rsidRDefault="001B4185" w:rsidP="004268A9">
            <w:pPr>
              <w:spacing w:before="20" w:after="20" w:line="240" w:lineRule="auto"/>
              <w:jc w:val="center"/>
              <w:rPr>
                <w:rFonts w:asciiTheme="minorHAnsi" w:hAnsiTheme="minorHAnsi" w:cstheme="minorHAnsi"/>
                <w:sz w:val="20"/>
                <w:szCs w:val="20"/>
              </w:rPr>
            </w:pPr>
            <w:r w:rsidRPr="004268A9">
              <w:rPr>
                <w:rFonts w:asciiTheme="minorHAnsi" w:hAnsiTheme="minorHAnsi" w:cstheme="minorHAnsi"/>
                <w:sz w:val="20"/>
                <w:szCs w:val="20"/>
              </w:rPr>
              <w:t>20</w:t>
            </w:r>
          </w:p>
        </w:tc>
      </w:tr>
      <w:tr w:rsidR="001B4185" w:rsidRPr="004268A9" w14:paraId="220516D8" w14:textId="77777777" w:rsidTr="004268A9">
        <w:trPr>
          <w:jc w:val="center"/>
        </w:trPr>
        <w:tc>
          <w:tcPr>
            <w:tcW w:w="8505" w:type="dxa"/>
            <w:shd w:val="clear" w:color="auto" w:fill="auto"/>
            <w:vAlign w:val="center"/>
          </w:tcPr>
          <w:p w14:paraId="364D6934" w14:textId="77777777" w:rsidR="001B4185" w:rsidRPr="004268A9" w:rsidRDefault="001B4185" w:rsidP="004268A9">
            <w:pPr>
              <w:spacing w:before="20" w:after="20" w:line="240" w:lineRule="auto"/>
              <w:rPr>
                <w:rFonts w:asciiTheme="minorHAnsi" w:hAnsiTheme="minorHAnsi" w:cstheme="minorHAnsi"/>
                <w:sz w:val="20"/>
                <w:szCs w:val="20"/>
              </w:rPr>
            </w:pPr>
            <w:r w:rsidRPr="004268A9">
              <w:rPr>
                <w:rFonts w:asciiTheme="minorHAnsi" w:hAnsiTheme="minorHAnsi" w:cstheme="minorHAnsi"/>
                <w:sz w:val="20"/>
                <w:szCs w:val="20"/>
              </w:rPr>
              <w:t>6) Subestaciones – Transporte.</w:t>
            </w:r>
          </w:p>
        </w:tc>
        <w:tc>
          <w:tcPr>
            <w:tcW w:w="1134" w:type="dxa"/>
            <w:shd w:val="clear" w:color="auto" w:fill="auto"/>
            <w:vAlign w:val="center"/>
          </w:tcPr>
          <w:p w14:paraId="52C9C7DC" w14:textId="77777777" w:rsidR="001B4185" w:rsidRPr="004268A9" w:rsidRDefault="001B4185" w:rsidP="004268A9">
            <w:pPr>
              <w:spacing w:before="20" w:after="20" w:line="240" w:lineRule="auto"/>
              <w:jc w:val="center"/>
              <w:rPr>
                <w:rFonts w:asciiTheme="minorHAnsi" w:hAnsiTheme="minorHAnsi" w:cstheme="minorHAnsi"/>
                <w:sz w:val="20"/>
                <w:szCs w:val="20"/>
              </w:rPr>
            </w:pPr>
          </w:p>
        </w:tc>
      </w:tr>
      <w:tr w:rsidR="001B4185" w:rsidRPr="004268A9" w14:paraId="52EB6364" w14:textId="77777777" w:rsidTr="004268A9">
        <w:trPr>
          <w:jc w:val="center"/>
        </w:trPr>
        <w:tc>
          <w:tcPr>
            <w:tcW w:w="8505" w:type="dxa"/>
            <w:shd w:val="clear" w:color="auto" w:fill="auto"/>
            <w:vAlign w:val="center"/>
          </w:tcPr>
          <w:p w14:paraId="384A20BB" w14:textId="77777777" w:rsidR="001B4185" w:rsidRPr="004268A9" w:rsidRDefault="001B4185" w:rsidP="004268A9">
            <w:pPr>
              <w:spacing w:before="20" w:after="20" w:line="240" w:lineRule="auto"/>
              <w:rPr>
                <w:rFonts w:asciiTheme="minorHAnsi" w:hAnsiTheme="minorHAnsi" w:cstheme="minorHAnsi"/>
                <w:sz w:val="20"/>
                <w:szCs w:val="20"/>
              </w:rPr>
            </w:pPr>
            <w:r w:rsidRPr="004268A9">
              <w:rPr>
                <w:rFonts w:asciiTheme="minorHAnsi" w:hAnsiTheme="minorHAnsi" w:cstheme="minorHAnsi"/>
                <w:sz w:val="20"/>
                <w:szCs w:val="20"/>
              </w:rPr>
              <w:t>-   Obras civiles.</w:t>
            </w:r>
          </w:p>
        </w:tc>
        <w:tc>
          <w:tcPr>
            <w:tcW w:w="1134" w:type="dxa"/>
            <w:shd w:val="clear" w:color="auto" w:fill="auto"/>
            <w:vAlign w:val="center"/>
          </w:tcPr>
          <w:p w14:paraId="0ED66B9F" w14:textId="77777777" w:rsidR="001B4185" w:rsidRPr="004268A9" w:rsidRDefault="001B4185" w:rsidP="004268A9">
            <w:pPr>
              <w:spacing w:before="20" w:after="20" w:line="240" w:lineRule="auto"/>
              <w:jc w:val="center"/>
              <w:rPr>
                <w:rFonts w:asciiTheme="minorHAnsi" w:hAnsiTheme="minorHAnsi" w:cstheme="minorHAnsi"/>
                <w:sz w:val="20"/>
                <w:szCs w:val="20"/>
              </w:rPr>
            </w:pPr>
            <w:r w:rsidRPr="004268A9">
              <w:rPr>
                <w:rFonts w:asciiTheme="minorHAnsi" w:hAnsiTheme="minorHAnsi" w:cstheme="minorHAnsi"/>
                <w:sz w:val="20"/>
                <w:szCs w:val="20"/>
              </w:rPr>
              <w:t>25</w:t>
            </w:r>
          </w:p>
        </w:tc>
      </w:tr>
      <w:tr w:rsidR="001B4185" w:rsidRPr="004268A9" w14:paraId="7F98FB15" w14:textId="77777777" w:rsidTr="004268A9">
        <w:trPr>
          <w:jc w:val="center"/>
        </w:trPr>
        <w:tc>
          <w:tcPr>
            <w:tcW w:w="8505" w:type="dxa"/>
            <w:shd w:val="clear" w:color="auto" w:fill="auto"/>
            <w:vAlign w:val="center"/>
          </w:tcPr>
          <w:p w14:paraId="2B50C8BF" w14:textId="77777777" w:rsidR="001B4185" w:rsidRPr="004268A9" w:rsidRDefault="001B4185" w:rsidP="004268A9">
            <w:pPr>
              <w:spacing w:before="20" w:after="20" w:line="240" w:lineRule="auto"/>
              <w:rPr>
                <w:rFonts w:asciiTheme="minorHAnsi" w:hAnsiTheme="minorHAnsi" w:cstheme="minorHAnsi"/>
                <w:sz w:val="20"/>
                <w:szCs w:val="20"/>
              </w:rPr>
            </w:pPr>
            <w:r w:rsidRPr="004268A9">
              <w:rPr>
                <w:rFonts w:asciiTheme="minorHAnsi" w:hAnsiTheme="minorHAnsi" w:cstheme="minorHAnsi"/>
                <w:sz w:val="20"/>
                <w:szCs w:val="20"/>
              </w:rPr>
              <w:t>-   Construcciones y casetas de entronque (estaciones de bombeo, reactancias compensación).</w:t>
            </w:r>
          </w:p>
        </w:tc>
        <w:tc>
          <w:tcPr>
            <w:tcW w:w="1134" w:type="dxa"/>
            <w:shd w:val="clear" w:color="auto" w:fill="auto"/>
            <w:vAlign w:val="center"/>
          </w:tcPr>
          <w:p w14:paraId="553223EC" w14:textId="77777777" w:rsidR="001B4185" w:rsidRPr="004268A9" w:rsidRDefault="001B4185" w:rsidP="004268A9">
            <w:pPr>
              <w:spacing w:before="20" w:after="20" w:line="240" w:lineRule="auto"/>
              <w:jc w:val="center"/>
              <w:rPr>
                <w:rFonts w:asciiTheme="minorHAnsi" w:hAnsiTheme="minorHAnsi" w:cstheme="minorHAnsi"/>
                <w:sz w:val="20"/>
                <w:szCs w:val="20"/>
              </w:rPr>
            </w:pPr>
            <w:r w:rsidRPr="004268A9">
              <w:rPr>
                <w:rFonts w:asciiTheme="minorHAnsi" w:hAnsiTheme="minorHAnsi" w:cstheme="minorHAnsi"/>
                <w:sz w:val="20"/>
                <w:szCs w:val="20"/>
              </w:rPr>
              <w:t>20</w:t>
            </w:r>
          </w:p>
        </w:tc>
      </w:tr>
      <w:tr w:rsidR="001B4185" w:rsidRPr="004268A9" w14:paraId="7C80EE33" w14:textId="77777777" w:rsidTr="004268A9">
        <w:trPr>
          <w:jc w:val="center"/>
        </w:trPr>
        <w:tc>
          <w:tcPr>
            <w:tcW w:w="8505" w:type="dxa"/>
            <w:shd w:val="clear" w:color="auto" w:fill="auto"/>
            <w:vAlign w:val="center"/>
          </w:tcPr>
          <w:p w14:paraId="2AE5597A" w14:textId="0C8A4B8F" w:rsidR="001B4185" w:rsidRPr="004268A9" w:rsidRDefault="001B4185" w:rsidP="004268A9">
            <w:pPr>
              <w:spacing w:before="20" w:after="20" w:line="240" w:lineRule="auto"/>
              <w:rPr>
                <w:rFonts w:asciiTheme="minorHAnsi" w:hAnsiTheme="minorHAnsi" w:cstheme="minorHAnsi"/>
                <w:sz w:val="20"/>
                <w:szCs w:val="20"/>
              </w:rPr>
            </w:pPr>
            <w:r w:rsidRPr="004268A9">
              <w:rPr>
                <w:rFonts w:asciiTheme="minorHAnsi" w:hAnsiTheme="minorHAnsi" w:cstheme="minorHAnsi"/>
                <w:sz w:val="20"/>
                <w:szCs w:val="20"/>
              </w:rPr>
              <w:t xml:space="preserve">-   Transformadores, celdas de transformadores, celdas de líneas, equipos auxiliares y equipos de </w:t>
            </w:r>
            <w:r w:rsidR="00E81133" w:rsidRPr="004268A9">
              <w:rPr>
                <w:rFonts w:asciiTheme="minorHAnsi" w:hAnsiTheme="minorHAnsi" w:cstheme="minorHAnsi"/>
                <w:sz w:val="20"/>
                <w:szCs w:val="20"/>
              </w:rPr>
              <w:t>telecomandos</w:t>
            </w:r>
            <w:r w:rsidRPr="004268A9">
              <w:rPr>
                <w:rFonts w:asciiTheme="minorHAnsi" w:hAnsiTheme="minorHAnsi" w:cstheme="minorHAnsi"/>
                <w:sz w:val="20"/>
                <w:szCs w:val="20"/>
              </w:rPr>
              <w:t>.</w:t>
            </w:r>
          </w:p>
        </w:tc>
        <w:tc>
          <w:tcPr>
            <w:tcW w:w="1134" w:type="dxa"/>
            <w:shd w:val="clear" w:color="auto" w:fill="auto"/>
            <w:vAlign w:val="center"/>
          </w:tcPr>
          <w:p w14:paraId="3BA6791C" w14:textId="77777777" w:rsidR="001B4185" w:rsidRPr="004268A9" w:rsidRDefault="001B4185" w:rsidP="004268A9">
            <w:pPr>
              <w:spacing w:before="20" w:after="20" w:line="240" w:lineRule="auto"/>
              <w:jc w:val="center"/>
              <w:rPr>
                <w:rFonts w:asciiTheme="minorHAnsi" w:hAnsiTheme="minorHAnsi" w:cstheme="minorHAnsi"/>
                <w:sz w:val="20"/>
                <w:szCs w:val="20"/>
              </w:rPr>
            </w:pPr>
            <w:r w:rsidRPr="004268A9">
              <w:rPr>
                <w:rFonts w:asciiTheme="minorHAnsi" w:hAnsiTheme="minorHAnsi" w:cstheme="minorHAnsi"/>
                <w:sz w:val="20"/>
                <w:szCs w:val="20"/>
              </w:rPr>
              <w:t>10</w:t>
            </w:r>
          </w:p>
        </w:tc>
      </w:tr>
      <w:tr w:rsidR="001B4185" w:rsidRPr="004268A9" w14:paraId="4B25D5B6" w14:textId="77777777" w:rsidTr="004268A9">
        <w:trPr>
          <w:jc w:val="center"/>
        </w:trPr>
        <w:tc>
          <w:tcPr>
            <w:tcW w:w="8505" w:type="dxa"/>
            <w:shd w:val="clear" w:color="auto" w:fill="auto"/>
            <w:vAlign w:val="center"/>
          </w:tcPr>
          <w:p w14:paraId="793F2238" w14:textId="77777777" w:rsidR="001B4185" w:rsidRPr="004268A9" w:rsidRDefault="001B4185" w:rsidP="004268A9">
            <w:pPr>
              <w:spacing w:before="20" w:after="20" w:line="240" w:lineRule="auto"/>
              <w:rPr>
                <w:rFonts w:asciiTheme="minorHAnsi" w:hAnsiTheme="minorHAnsi" w:cstheme="minorHAnsi"/>
                <w:sz w:val="20"/>
                <w:szCs w:val="20"/>
              </w:rPr>
            </w:pPr>
            <w:r w:rsidRPr="004268A9">
              <w:rPr>
                <w:rFonts w:asciiTheme="minorHAnsi" w:hAnsiTheme="minorHAnsi" w:cstheme="minorHAnsi"/>
                <w:sz w:val="20"/>
                <w:szCs w:val="20"/>
              </w:rPr>
              <w:t>7) Líneas de alta tensión – Distribución.</w:t>
            </w:r>
          </w:p>
        </w:tc>
        <w:tc>
          <w:tcPr>
            <w:tcW w:w="1134" w:type="dxa"/>
            <w:shd w:val="clear" w:color="auto" w:fill="auto"/>
            <w:vAlign w:val="center"/>
          </w:tcPr>
          <w:p w14:paraId="0610BCC0" w14:textId="77777777" w:rsidR="001B4185" w:rsidRPr="004268A9" w:rsidRDefault="001B4185" w:rsidP="004268A9">
            <w:pPr>
              <w:spacing w:before="20" w:after="20" w:line="240" w:lineRule="auto"/>
              <w:jc w:val="center"/>
              <w:rPr>
                <w:rFonts w:asciiTheme="minorHAnsi" w:hAnsiTheme="minorHAnsi" w:cstheme="minorHAnsi"/>
                <w:sz w:val="20"/>
                <w:szCs w:val="20"/>
              </w:rPr>
            </w:pPr>
          </w:p>
        </w:tc>
      </w:tr>
      <w:tr w:rsidR="001B4185" w:rsidRPr="004268A9" w14:paraId="6C625257" w14:textId="77777777" w:rsidTr="004268A9">
        <w:trPr>
          <w:jc w:val="center"/>
        </w:trPr>
        <w:tc>
          <w:tcPr>
            <w:tcW w:w="8505" w:type="dxa"/>
            <w:shd w:val="clear" w:color="auto" w:fill="auto"/>
            <w:vAlign w:val="center"/>
          </w:tcPr>
          <w:p w14:paraId="0584774B" w14:textId="77777777" w:rsidR="001B4185" w:rsidRPr="004268A9" w:rsidRDefault="001B4185" w:rsidP="004268A9">
            <w:pPr>
              <w:spacing w:before="20" w:after="20" w:line="240" w:lineRule="auto"/>
              <w:rPr>
                <w:rFonts w:asciiTheme="minorHAnsi" w:hAnsiTheme="minorHAnsi" w:cstheme="minorHAnsi"/>
                <w:sz w:val="20"/>
                <w:szCs w:val="20"/>
              </w:rPr>
            </w:pPr>
            <w:r w:rsidRPr="004268A9">
              <w:rPr>
                <w:rFonts w:asciiTheme="minorHAnsi" w:hAnsiTheme="minorHAnsi" w:cstheme="minorHAnsi"/>
                <w:sz w:val="20"/>
                <w:szCs w:val="20"/>
              </w:rPr>
              <w:t>-   Obras civiles.</w:t>
            </w:r>
          </w:p>
        </w:tc>
        <w:tc>
          <w:tcPr>
            <w:tcW w:w="1134" w:type="dxa"/>
            <w:shd w:val="clear" w:color="auto" w:fill="auto"/>
            <w:vAlign w:val="center"/>
          </w:tcPr>
          <w:p w14:paraId="45E1395C" w14:textId="77777777" w:rsidR="001B4185" w:rsidRPr="004268A9" w:rsidRDefault="001B4185" w:rsidP="004268A9">
            <w:pPr>
              <w:spacing w:before="20" w:after="20" w:line="240" w:lineRule="auto"/>
              <w:jc w:val="center"/>
              <w:rPr>
                <w:rFonts w:asciiTheme="minorHAnsi" w:hAnsiTheme="minorHAnsi" w:cstheme="minorHAnsi"/>
                <w:sz w:val="20"/>
                <w:szCs w:val="20"/>
              </w:rPr>
            </w:pPr>
            <w:r w:rsidRPr="004268A9">
              <w:rPr>
                <w:rFonts w:asciiTheme="minorHAnsi" w:hAnsiTheme="minorHAnsi" w:cstheme="minorHAnsi"/>
                <w:sz w:val="20"/>
                <w:szCs w:val="20"/>
              </w:rPr>
              <w:t>20</w:t>
            </w:r>
          </w:p>
        </w:tc>
      </w:tr>
      <w:tr w:rsidR="001B4185" w:rsidRPr="004268A9" w14:paraId="27BC6CC3" w14:textId="77777777" w:rsidTr="004268A9">
        <w:trPr>
          <w:jc w:val="center"/>
        </w:trPr>
        <w:tc>
          <w:tcPr>
            <w:tcW w:w="8505" w:type="dxa"/>
            <w:shd w:val="clear" w:color="auto" w:fill="auto"/>
            <w:vAlign w:val="center"/>
          </w:tcPr>
          <w:p w14:paraId="12FDBE3B" w14:textId="77777777" w:rsidR="001B4185" w:rsidRPr="004268A9" w:rsidRDefault="001B4185" w:rsidP="004268A9">
            <w:pPr>
              <w:spacing w:before="20" w:after="20" w:line="240" w:lineRule="auto"/>
              <w:rPr>
                <w:rFonts w:asciiTheme="minorHAnsi" w:hAnsiTheme="minorHAnsi" w:cstheme="minorHAnsi"/>
                <w:sz w:val="20"/>
                <w:szCs w:val="20"/>
              </w:rPr>
            </w:pPr>
            <w:r w:rsidRPr="004268A9">
              <w:rPr>
                <w:rFonts w:asciiTheme="minorHAnsi" w:hAnsiTheme="minorHAnsi" w:cstheme="minorHAnsi"/>
                <w:sz w:val="20"/>
                <w:szCs w:val="20"/>
              </w:rPr>
              <w:t>-   Conductores</w:t>
            </w:r>
          </w:p>
        </w:tc>
        <w:tc>
          <w:tcPr>
            <w:tcW w:w="1134" w:type="dxa"/>
            <w:shd w:val="clear" w:color="auto" w:fill="auto"/>
            <w:vAlign w:val="center"/>
          </w:tcPr>
          <w:p w14:paraId="2B77A332" w14:textId="77777777" w:rsidR="001B4185" w:rsidRPr="004268A9" w:rsidRDefault="001B4185" w:rsidP="004268A9">
            <w:pPr>
              <w:spacing w:before="20" w:after="20" w:line="240" w:lineRule="auto"/>
              <w:jc w:val="center"/>
              <w:rPr>
                <w:rFonts w:asciiTheme="minorHAnsi" w:hAnsiTheme="minorHAnsi" w:cstheme="minorHAnsi"/>
                <w:sz w:val="20"/>
                <w:szCs w:val="20"/>
              </w:rPr>
            </w:pPr>
            <w:r w:rsidRPr="004268A9">
              <w:rPr>
                <w:rFonts w:asciiTheme="minorHAnsi" w:hAnsiTheme="minorHAnsi" w:cstheme="minorHAnsi"/>
                <w:sz w:val="20"/>
                <w:szCs w:val="20"/>
              </w:rPr>
              <w:t>20</w:t>
            </w:r>
          </w:p>
        </w:tc>
      </w:tr>
      <w:tr w:rsidR="001B4185" w:rsidRPr="004268A9" w14:paraId="732CA1F4" w14:textId="77777777" w:rsidTr="004268A9">
        <w:trPr>
          <w:jc w:val="center"/>
        </w:trPr>
        <w:tc>
          <w:tcPr>
            <w:tcW w:w="8505" w:type="dxa"/>
            <w:shd w:val="clear" w:color="auto" w:fill="auto"/>
            <w:vAlign w:val="center"/>
          </w:tcPr>
          <w:p w14:paraId="02A54624" w14:textId="77777777" w:rsidR="001B4185" w:rsidRPr="004268A9" w:rsidRDefault="001B4185" w:rsidP="004268A9">
            <w:pPr>
              <w:spacing w:before="20" w:after="20" w:line="240" w:lineRule="auto"/>
              <w:rPr>
                <w:rFonts w:asciiTheme="minorHAnsi" w:hAnsiTheme="minorHAnsi" w:cstheme="minorHAnsi"/>
                <w:sz w:val="20"/>
                <w:szCs w:val="20"/>
              </w:rPr>
            </w:pPr>
            <w:r w:rsidRPr="004268A9">
              <w:rPr>
                <w:rFonts w:asciiTheme="minorHAnsi" w:hAnsiTheme="minorHAnsi" w:cstheme="minorHAnsi"/>
                <w:sz w:val="20"/>
                <w:szCs w:val="20"/>
              </w:rPr>
              <w:t>-   Apoyos de suspensión, apoyos de amarres y remodelación de líneas.</w:t>
            </w:r>
          </w:p>
        </w:tc>
        <w:tc>
          <w:tcPr>
            <w:tcW w:w="1134" w:type="dxa"/>
            <w:shd w:val="clear" w:color="auto" w:fill="auto"/>
            <w:vAlign w:val="center"/>
          </w:tcPr>
          <w:p w14:paraId="198089A1" w14:textId="77777777" w:rsidR="001B4185" w:rsidRPr="004268A9" w:rsidRDefault="001B4185" w:rsidP="004268A9">
            <w:pPr>
              <w:spacing w:before="20" w:after="20" w:line="240" w:lineRule="auto"/>
              <w:jc w:val="center"/>
              <w:rPr>
                <w:rFonts w:asciiTheme="minorHAnsi" w:hAnsiTheme="minorHAnsi" w:cstheme="minorHAnsi"/>
                <w:sz w:val="20"/>
                <w:szCs w:val="20"/>
              </w:rPr>
            </w:pPr>
            <w:r w:rsidRPr="004268A9">
              <w:rPr>
                <w:rFonts w:asciiTheme="minorHAnsi" w:hAnsiTheme="minorHAnsi" w:cstheme="minorHAnsi"/>
                <w:sz w:val="20"/>
                <w:szCs w:val="20"/>
              </w:rPr>
              <w:t>10</w:t>
            </w:r>
          </w:p>
        </w:tc>
      </w:tr>
      <w:tr w:rsidR="001B4185" w:rsidRPr="004268A9" w14:paraId="5F5BA50F" w14:textId="77777777" w:rsidTr="004268A9">
        <w:trPr>
          <w:jc w:val="center"/>
        </w:trPr>
        <w:tc>
          <w:tcPr>
            <w:tcW w:w="8505" w:type="dxa"/>
            <w:shd w:val="clear" w:color="auto" w:fill="auto"/>
            <w:vAlign w:val="center"/>
          </w:tcPr>
          <w:p w14:paraId="124E14E4" w14:textId="77777777" w:rsidR="001B4185" w:rsidRPr="004268A9" w:rsidRDefault="001B4185" w:rsidP="004268A9">
            <w:pPr>
              <w:spacing w:before="20" w:after="20" w:line="240" w:lineRule="auto"/>
              <w:rPr>
                <w:rFonts w:asciiTheme="minorHAnsi" w:hAnsiTheme="minorHAnsi" w:cstheme="minorHAnsi"/>
                <w:sz w:val="20"/>
                <w:szCs w:val="20"/>
              </w:rPr>
            </w:pPr>
            <w:r w:rsidRPr="004268A9">
              <w:rPr>
                <w:rFonts w:asciiTheme="minorHAnsi" w:hAnsiTheme="minorHAnsi" w:cstheme="minorHAnsi"/>
                <w:sz w:val="20"/>
                <w:szCs w:val="20"/>
              </w:rPr>
              <w:t>8) Cables de alta tensión – Distribución.</w:t>
            </w:r>
          </w:p>
        </w:tc>
        <w:tc>
          <w:tcPr>
            <w:tcW w:w="1134" w:type="dxa"/>
            <w:shd w:val="clear" w:color="auto" w:fill="auto"/>
            <w:vAlign w:val="center"/>
          </w:tcPr>
          <w:p w14:paraId="58841D0F" w14:textId="77777777" w:rsidR="001B4185" w:rsidRPr="004268A9" w:rsidRDefault="001B4185" w:rsidP="004268A9">
            <w:pPr>
              <w:spacing w:before="20" w:after="20" w:line="240" w:lineRule="auto"/>
              <w:jc w:val="center"/>
              <w:rPr>
                <w:rFonts w:asciiTheme="minorHAnsi" w:hAnsiTheme="minorHAnsi" w:cstheme="minorHAnsi"/>
                <w:sz w:val="20"/>
                <w:szCs w:val="20"/>
              </w:rPr>
            </w:pPr>
          </w:p>
        </w:tc>
      </w:tr>
      <w:tr w:rsidR="001B4185" w:rsidRPr="004268A9" w14:paraId="7EC6CE8B" w14:textId="77777777" w:rsidTr="004268A9">
        <w:trPr>
          <w:jc w:val="center"/>
        </w:trPr>
        <w:tc>
          <w:tcPr>
            <w:tcW w:w="8505" w:type="dxa"/>
            <w:shd w:val="clear" w:color="auto" w:fill="auto"/>
            <w:vAlign w:val="center"/>
          </w:tcPr>
          <w:p w14:paraId="59D81DC5" w14:textId="77777777" w:rsidR="001B4185" w:rsidRPr="004268A9" w:rsidRDefault="001B4185" w:rsidP="004268A9">
            <w:pPr>
              <w:spacing w:before="20" w:after="20" w:line="240" w:lineRule="auto"/>
              <w:rPr>
                <w:rFonts w:asciiTheme="minorHAnsi" w:hAnsiTheme="minorHAnsi" w:cstheme="minorHAnsi"/>
                <w:sz w:val="20"/>
                <w:szCs w:val="20"/>
              </w:rPr>
            </w:pPr>
            <w:r w:rsidRPr="004268A9">
              <w:rPr>
                <w:rFonts w:asciiTheme="minorHAnsi" w:hAnsiTheme="minorHAnsi" w:cstheme="minorHAnsi"/>
                <w:sz w:val="20"/>
                <w:szCs w:val="20"/>
              </w:rPr>
              <w:t xml:space="preserve">-   Obras civiles. </w:t>
            </w:r>
          </w:p>
        </w:tc>
        <w:tc>
          <w:tcPr>
            <w:tcW w:w="1134" w:type="dxa"/>
            <w:shd w:val="clear" w:color="auto" w:fill="auto"/>
            <w:vAlign w:val="center"/>
          </w:tcPr>
          <w:p w14:paraId="52FAE8EE" w14:textId="77777777" w:rsidR="001B4185" w:rsidRPr="004268A9" w:rsidRDefault="001B4185" w:rsidP="004268A9">
            <w:pPr>
              <w:spacing w:before="20" w:after="20" w:line="240" w:lineRule="auto"/>
              <w:jc w:val="center"/>
              <w:rPr>
                <w:rFonts w:asciiTheme="minorHAnsi" w:hAnsiTheme="minorHAnsi" w:cstheme="minorHAnsi"/>
                <w:sz w:val="20"/>
                <w:szCs w:val="20"/>
              </w:rPr>
            </w:pPr>
            <w:r w:rsidRPr="004268A9">
              <w:rPr>
                <w:rFonts w:asciiTheme="minorHAnsi" w:hAnsiTheme="minorHAnsi" w:cstheme="minorHAnsi"/>
                <w:sz w:val="20"/>
                <w:szCs w:val="20"/>
              </w:rPr>
              <w:t>20</w:t>
            </w:r>
          </w:p>
        </w:tc>
      </w:tr>
      <w:tr w:rsidR="001B4185" w:rsidRPr="004268A9" w14:paraId="0213C731" w14:textId="77777777" w:rsidTr="004268A9">
        <w:trPr>
          <w:jc w:val="center"/>
        </w:trPr>
        <w:tc>
          <w:tcPr>
            <w:tcW w:w="8505" w:type="dxa"/>
            <w:shd w:val="clear" w:color="auto" w:fill="auto"/>
            <w:vAlign w:val="center"/>
          </w:tcPr>
          <w:p w14:paraId="2BEEB3C4" w14:textId="77777777" w:rsidR="001B4185" w:rsidRPr="004268A9" w:rsidRDefault="001B4185" w:rsidP="004268A9">
            <w:pPr>
              <w:spacing w:before="20" w:after="20" w:line="240" w:lineRule="auto"/>
              <w:rPr>
                <w:rFonts w:asciiTheme="minorHAnsi" w:hAnsiTheme="minorHAnsi" w:cstheme="minorHAnsi"/>
                <w:sz w:val="20"/>
                <w:szCs w:val="20"/>
              </w:rPr>
            </w:pPr>
            <w:r w:rsidRPr="004268A9">
              <w:rPr>
                <w:rFonts w:asciiTheme="minorHAnsi" w:hAnsiTheme="minorHAnsi" w:cstheme="minorHAnsi"/>
                <w:sz w:val="20"/>
                <w:szCs w:val="20"/>
              </w:rPr>
              <w:t>-   Conductores</w:t>
            </w:r>
          </w:p>
        </w:tc>
        <w:tc>
          <w:tcPr>
            <w:tcW w:w="1134" w:type="dxa"/>
            <w:shd w:val="clear" w:color="auto" w:fill="auto"/>
            <w:vAlign w:val="center"/>
          </w:tcPr>
          <w:p w14:paraId="7F73370C" w14:textId="77777777" w:rsidR="001B4185" w:rsidRPr="004268A9" w:rsidRDefault="001B4185" w:rsidP="004268A9">
            <w:pPr>
              <w:spacing w:before="20" w:after="20" w:line="240" w:lineRule="auto"/>
              <w:jc w:val="center"/>
              <w:rPr>
                <w:rFonts w:asciiTheme="minorHAnsi" w:hAnsiTheme="minorHAnsi" w:cstheme="minorHAnsi"/>
                <w:sz w:val="20"/>
                <w:szCs w:val="20"/>
              </w:rPr>
            </w:pPr>
            <w:r w:rsidRPr="004268A9">
              <w:rPr>
                <w:rFonts w:asciiTheme="minorHAnsi" w:hAnsiTheme="minorHAnsi" w:cstheme="minorHAnsi"/>
                <w:sz w:val="20"/>
                <w:szCs w:val="20"/>
              </w:rPr>
              <w:t>20</w:t>
            </w:r>
          </w:p>
        </w:tc>
      </w:tr>
      <w:tr w:rsidR="001B4185" w:rsidRPr="004268A9" w14:paraId="5C37FB2F" w14:textId="77777777" w:rsidTr="004268A9">
        <w:trPr>
          <w:jc w:val="center"/>
        </w:trPr>
        <w:tc>
          <w:tcPr>
            <w:tcW w:w="8505" w:type="dxa"/>
            <w:shd w:val="clear" w:color="auto" w:fill="auto"/>
            <w:vAlign w:val="center"/>
          </w:tcPr>
          <w:p w14:paraId="4BCD51C8" w14:textId="77777777" w:rsidR="001B4185" w:rsidRPr="004268A9" w:rsidRDefault="001B4185" w:rsidP="004268A9">
            <w:pPr>
              <w:spacing w:before="20" w:after="20" w:line="240" w:lineRule="auto"/>
              <w:rPr>
                <w:rFonts w:asciiTheme="minorHAnsi" w:hAnsiTheme="minorHAnsi" w:cstheme="minorHAnsi"/>
                <w:sz w:val="20"/>
                <w:szCs w:val="20"/>
              </w:rPr>
            </w:pPr>
            <w:r w:rsidRPr="004268A9">
              <w:rPr>
                <w:rFonts w:asciiTheme="minorHAnsi" w:hAnsiTheme="minorHAnsi" w:cstheme="minorHAnsi"/>
                <w:sz w:val="20"/>
                <w:szCs w:val="20"/>
              </w:rPr>
              <w:t>9) Líneas de media tensión – Aéreas.</w:t>
            </w:r>
          </w:p>
        </w:tc>
        <w:tc>
          <w:tcPr>
            <w:tcW w:w="1134" w:type="dxa"/>
            <w:shd w:val="clear" w:color="auto" w:fill="auto"/>
            <w:vAlign w:val="center"/>
          </w:tcPr>
          <w:p w14:paraId="1EC73B3B" w14:textId="77777777" w:rsidR="001B4185" w:rsidRPr="004268A9" w:rsidRDefault="001B4185" w:rsidP="004268A9">
            <w:pPr>
              <w:spacing w:before="20" w:after="20" w:line="240" w:lineRule="auto"/>
              <w:jc w:val="center"/>
              <w:rPr>
                <w:rFonts w:asciiTheme="minorHAnsi" w:hAnsiTheme="minorHAnsi" w:cstheme="minorHAnsi"/>
                <w:sz w:val="20"/>
                <w:szCs w:val="20"/>
              </w:rPr>
            </w:pPr>
          </w:p>
        </w:tc>
      </w:tr>
      <w:tr w:rsidR="001B4185" w:rsidRPr="004268A9" w14:paraId="7D9F7898" w14:textId="77777777" w:rsidTr="004268A9">
        <w:trPr>
          <w:jc w:val="center"/>
        </w:trPr>
        <w:tc>
          <w:tcPr>
            <w:tcW w:w="8505" w:type="dxa"/>
            <w:shd w:val="clear" w:color="auto" w:fill="auto"/>
            <w:vAlign w:val="center"/>
          </w:tcPr>
          <w:p w14:paraId="6AAC0F1E" w14:textId="77777777" w:rsidR="001B4185" w:rsidRPr="004268A9" w:rsidRDefault="001B4185" w:rsidP="004268A9">
            <w:pPr>
              <w:spacing w:before="20" w:after="20" w:line="240" w:lineRule="auto"/>
              <w:rPr>
                <w:rFonts w:asciiTheme="minorHAnsi" w:hAnsiTheme="minorHAnsi" w:cstheme="minorHAnsi"/>
                <w:sz w:val="20"/>
                <w:szCs w:val="20"/>
              </w:rPr>
            </w:pPr>
            <w:r w:rsidRPr="004268A9">
              <w:rPr>
                <w:rFonts w:asciiTheme="minorHAnsi" w:hAnsiTheme="minorHAnsi" w:cstheme="minorHAnsi"/>
                <w:sz w:val="20"/>
                <w:szCs w:val="20"/>
              </w:rPr>
              <w:t>-     Redes desnudas, redes aisladas, postes y otros.</w:t>
            </w:r>
          </w:p>
        </w:tc>
        <w:tc>
          <w:tcPr>
            <w:tcW w:w="1134" w:type="dxa"/>
            <w:shd w:val="clear" w:color="auto" w:fill="auto"/>
            <w:vAlign w:val="center"/>
          </w:tcPr>
          <w:p w14:paraId="65CCD1F4" w14:textId="77777777" w:rsidR="001B4185" w:rsidRPr="004268A9" w:rsidRDefault="001B4185" w:rsidP="004268A9">
            <w:pPr>
              <w:spacing w:before="20" w:after="20" w:line="240" w:lineRule="auto"/>
              <w:jc w:val="center"/>
              <w:rPr>
                <w:rFonts w:asciiTheme="minorHAnsi" w:hAnsiTheme="minorHAnsi" w:cstheme="minorHAnsi"/>
                <w:sz w:val="20"/>
                <w:szCs w:val="20"/>
              </w:rPr>
            </w:pPr>
            <w:r w:rsidRPr="004268A9">
              <w:rPr>
                <w:rFonts w:asciiTheme="minorHAnsi" w:hAnsiTheme="minorHAnsi" w:cstheme="minorHAnsi"/>
                <w:sz w:val="20"/>
                <w:szCs w:val="20"/>
              </w:rPr>
              <w:t>20</w:t>
            </w:r>
          </w:p>
        </w:tc>
      </w:tr>
      <w:tr w:rsidR="001B4185" w:rsidRPr="004268A9" w14:paraId="56C582A0" w14:textId="77777777" w:rsidTr="004268A9">
        <w:trPr>
          <w:jc w:val="center"/>
        </w:trPr>
        <w:tc>
          <w:tcPr>
            <w:tcW w:w="8505" w:type="dxa"/>
            <w:shd w:val="clear" w:color="auto" w:fill="auto"/>
            <w:vAlign w:val="center"/>
          </w:tcPr>
          <w:p w14:paraId="69E26231" w14:textId="77777777" w:rsidR="001B4185" w:rsidRPr="004268A9" w:rsidRDefault="001B4185" w:rsidP="004268A9">
            <w:pPr>
              <w:spacing w:before="20" w:after="20" w:line="240" w:lineRule="auto"/>
              <w:rPr>
                <w:rFonts w:asciiTheme="minorHAnsi" w:hAnsiTheme="minorHAnsi" w:cstheme="minorHAnsi"/>
                <w:sz w:val="20"/>
                <w:szCs w:val="20"/>
              </w:rPr>
            </w:pPr>
            <w:r w:rsidRPr="004268A9">
              <w:rPr>
                <w:rFonts w:asciiTheme="minorHAnsi" w:hAnsiTheme="minorHAnsi" w:cstheme="minorHAnsi"/>
                <w:sz w:val="20"/>
                <w:szCs w:val="20"/>
              </w:rPr>
              <w:t>-     Equipos</w:t>
            </w:r>
          </w:p>
        </w:tc>
        <w:tc>
          <w:tcPr>
            <w:tcW w:w="1134" w:type="dxa"/>
            <w:shd w:val="clear" w:color="auto" w:fill="auto"/>
            <w:vAlign w:val="center"/>
          </w:tcPr>
          <w:p w14:paraId="2CDDDF1F" w14:textId="77777777" w:rsidR="001B4185" w:rsidRPr="004268A9" w:rsidRDefault="001B4185" w:rsidP="004268A9">
            <w:pPr>
              <w:spacing w:before="20" w:after="20" w:line="240" w:lineRule="auto"/>
              <w:jc w:val="center"/>
              <w:rPr>
                <w:rFonts w:asciiTheme="minorHAnsi" w:hAnsiTheme="minorHAnsi" w:cstheme="minorHAnsi"/>
                <w:sz w:val="20"/>
                <w:szCs w:val="20"/>
              </w:rPr>
            </w:pPr>
            <w:r w:rsidRPr="004268A9">
              <w:rPr>
                <w:rFonts w:asciiTheme="minorHAnsi" w:hAnsiTheme="minorHAnsi" w:cstheme="minorHAnsi"/>
                <w:sz w:val="20"/>
                <w:szCs w:val="20"/>
              </w:rPr>
              <w:t>12</w:t>
            </w:r>
          </w:p>
        </w:tc>
      </w:tr>
      <w:tr w:rsidR="001B4185" w:rsidRPr="004268A9" w14:paraId="60314787" w14:textId="77777777" w:rsidTr="004268A9">
        <w:trPr>
          <w:jc w:val="center"/>
        </w:trPr>
        <w:tc>
          <w:tcPr>
            <w:tcW w:w="8505" w:type="dxa"/>
            <w:shd w:val="clear" w:color="auto" w:fill="auto"/>
            <w:vAlign w:val="center"/>
          </w:tcPr>
          <w:p w14:paraId="72311036" w14:textId="77777777" w:rsidR="001B4185" w:rsidRPr="004268A9" w:rsidRDefault="001B4185" w:rsidP="004268A9">
            <w:pPr>
              <w:spacing w:before="20" w:after="20" w:line="240" w:lineRule="auto"/>
              <w:rPr>
                <w:rFonts w:asciiTheme="minorHAnsi" w:hAnsiTheme="minorHAnsi" w:cstheme="minorHAnsi"/>
                <w:sz w:val="20"/>
                <w:szCs w:val="20"/>
              </w:rPr>
            </w:pPr>
            <w:r w:rsidRPr="004268A9">
              <w:rPr>
                <w:rFonts w:asciiTheme="minorHAnsi" w:hAnsiTheme="minorHAnsi" w:cstheme="minorHAnsi"/>
                <w:sz w:val="20"/>
                <w:szCs w:val="20"/>
              </w:rPr>
              <w:t>10) Líneas de media tensión – Subterráneas.</w:t>
            </w:r>
          </w:p>
        </w:tc>
        <w:tc>
          <w:tcPr>
            <w:tcW w:w="1134" w:type="dxa"/>
            <w:shd w:val="clear" w:color="auto" w:fill="auto"/>
            <w:vAlign w:val="center"/>
          </w:tcPr>
          <w:p w14:paraId="5F47CA85" w14:textId="77777777" w:rsidR="001B4185" w:rsidRPr="004268A9" w:rsidRDefault="001B4185" w:rsidP="004268A9">
            <w:pPr>
              <w:spacing w:before="20" w:after="20" w:line="240" w:lineRule="auto"/>
              <w:jc w:val="center"/>
              <w:rPr>
                <w:rFonts w:asciiTheme="minorHAnsi" w:hAnsiTheme="minorHAnsi" w:cstheme="minorHAnsi"/>
                <w:sz w:val="20"/>
                <w:szCs w:val="20"/>
              </w:rPr>
            </w:pPr>
          </w:p>
        </w:tc>
      </w:tr>
      <w:tr w:rsidR="001B4185" w:rsidRPr="004268A9" w14:paraId="4BE51DDE" w14:textId="77777777" w:rsidTr="004268A9">
        <w:trPr>
          <w:jc w:val="center"/>
        </w:trPr>
        <w:tc>
          <w:tcPr>
            <w:tcW w:w="8505" w:type="dxa"/>
            <w:shd w:val="clear" w:color="auto" w:fill="auto"/>
            <w:vAlign w:val="center"/>
          </w:tcPr>
          <w:p w14:paraId="5D91DF82" w14:textId="77777777" w:rsidR="001B4185" w:rsidRPr="004268A9" w:rsidRDefault="001B4185" w:rsidP="004268A9">
            <w:pPr>
              <w:spacing w:before="20" w:after="20" w:line="240" w:lineRule="auto"/>
              <w:rPr>
                <w:rFonts w:asciiTheme="minorHAnsi" w:hAnsiTheme="minorHAnsi" w:cstheme="minorHAnsi"/>
                <w:sz w:val="20"/>
                <w:szCs w:val="20"/>
              </w:rPr>
            </w:pPr>
            <w:r w:rsidRPr="004268A9">
              <w:rPr>
                <w:rFonts w:asciiTheme="minorHAnsi" w:hAnsiTheme="minorHAnsi" w:cstheme="minorHAnsi"/>
                <w:sz w:val="20"/>
                <w:szCs w:val="20"/>
              </w:rPr>
              <w:t>-     Redes, cámaras, canalizaciones y otros.</w:t>
            </w:r>
          </w:p>
        </w:tc>
        <w:tc>
          <w:tcPr>
            <w:tcW w:w="1134" w:type="dxa"/>
            <w:shd w:val="clear" w:color="auto" w:fill="auto"/>
            <w:vAlign w:val="center"/>
          </w:tcPr>
          <w:p w14:paraId="4038536C" w14:textId="77777777" w:rsidR="001B4185" w:rsidRPr="004268A9" w:rsidRDefault="001B4185" w:rsidP="004268A9">
            <w:pPr>
              <w:spacing w:before="20" w:after="20" w:line="240" w:lineRule="auto"/>
              <w:jc w:val="center"/>
              <w:rPr>
                <w:rFonts w:asciiTheme="minorHAnsi" w:hAnsiTheme="minorHAnsi" w:cstheme="minorHAnsi"/>
                <w:sz w:val="20"/>
                <w:szCs w:val="20"/>
              </w:rPr>
            </w:pPr>
            <w:r w:rsidRPr="004268A9">
              <w:rPr>
                <w:rFonts w:asciiTheme="minorHAnsi" w:hAnsiTheme="minorHAnsi" w:cstheme="minorHAnsi"/>
                <w:sz w:val="20"/>
                <w:szCs w:val="20"/>
              </w:rPr>
              <w:t>20</w:t>
            </w:r>
          </w:p>
        </w:tc>
      </w:tr>
      <w:tr w:rsidR="001B4185" w:rsidRPr="004268A9" w14:paraId="416EE2B3" w14:textId="77777777" w:rsidTr="004268A9">
        <w:trPr>
          <w:jc w:val="center"/>
        </w:trPr>
        <w:tc>
          <w:tcPr>
            <w:tcW w:w="8505" w:type="dxa"/>
            <w:shd w:val="clear" w:color="auto" w:fill="auto"/>
            <w:vAlign w:val="center"/>
          </w:tcPr>
          <w:p w14:paraId="2FB79A00" w14:textId="77777777" w:rsidR="001B4185" w:rsidRPr="004268A9" w:rsidRDefault="001B4185" w:rsidP="004268A9">
            <w:pPr>
              <w:spacing w:before="20" w:after="20" w:line="240" w:lineRule="auto"/>
              <w:rPr>
                <w:rFonts w:asciiTheme="minorHAnsi" w:hAnsiTheme="minorHAnsi" w:cstheme="minorHAnsi"/>
                <w:sz w:val="20"/>
                <w:szCs w:val="20"/>
              </w:rPr>
            </w:pPr>
            <w:r w:rsidRPr="004268A9">
              <w:rPr>
                <w:rFonts w:asciiTheme="minorHAnsi" w:hAnsiTheme="minorHAnsi" w:cstheme="minorHAnsi"/>
                <w:sz w:val="20"/>
                <w:szCs w:val="20"/>
              </w:rPr>
              <w:t>-     Equipos</w:t>
            </w:r>
          </w:p>
        </w:tc>
        <w:tc>
          <w:tcPr>
            <w:tcW w:w="1134" w:type="dxa"/>
            <w:shd w:val="clear" w:color="auto" w:fill="auto"/>
            <w:vAlign w:val="center"/>
          </w:tcPr>
          <w:p w14:paraId="319BCF5D" w14:textId="77777777" w:rsidR="001B4185" w:rsidRPr="004268A9" w:rsidRDefault="001B4185" w:rsidP="004268A9">
            <w:pPr>
              <w:spacing w:before="20" w:after="20" w:line="240" w:lineRule="auto"/>
              <w:jc w:val="center"/>
              <w:rPr>
                <w:rFonts w:asciiTheme="minorHAnsi" w:hAnsiTheme="minorHAnsi" w:cstheme="minorHAnsi"/>
                <w:sz w:val="20"/>
                <w:szCs w:val="20"/>
              </w:rPr>
            </w:pPr>
            <w:r w:rsidRPr="004268A9">
              <w:rPr>
                <w:rFonts w:asciiTheme="minorHAnsi" w:hAnsiTheme="minorHAnsi" w:cstheme="minorHAnsi"/>
                <w:sz w:val="20"/>
                <w:szCs w:val="20"/>
              </w:rPr>
              <w:t>12</w:t>
            </w:r>
          </w:p>
        </w:tc>
      </w:tr>
      <w:tr w:rsidR="001B4185" w:rsidRPr="004268A9" w14:paraId="1570C492" w14:textId="77777777" w:rsidTr="004268A9">
        <w:trPr>
          <w:jc w:val="center"/>
        </w:trPr>
        <w:tc>
          <w:tcPr>
            <w:tcW w:w="8505" w:type="dxa"/>
            <w:shd w:val="clear" w:color="auto" w:fill="auto"/>
            <w:vAlign w:val="center"/>
          </w:tcPr>
          <w:p w14:paraId="55FBC48B" w14:textId="77777777" w:rsidR="001B4185" w:rsidRPr="004268A9" w:rsidRDefault="001B4185" w:rsidP="004268A9">
            <w:pPr>
              <w:spacing w:before="20" w:after="20" w:line="240" w:lineRule="auto"/>
              <w:rPr>
                <w:rFonts w:asciiTheme="minorHAnsi" w:hAnsiTheme="minorHAnsi" w:cstheme="minorHAnsi"/>
                <w:sz w:val="20"/>
                <w:szCs w:val="20"/>
              </w:rPr>
            </w:pPr>
            <w:r w:rsidRPr="004268A9">
              <w:rPr>
                <w:rFonts w:asciiTheme="minorHAnsi" w:hAnsiTheme="minorHAnsi" w:cstheme="minorHAnsi"/>
                <w:sz w:val="20"/>
                <w:szCs w:val="20"/>
              </w:rPr>
              <w:t>11) Líneas de baja tensión – Aéreas.</w:t>
            </w:r>
          </w:p>
        </w:tc>
        <w:tc>
          <w:tcPr>
            <w:tcW w:w="1134" w:type="dxa"/>
            <w:shd w:val="clear" w:color="auto" w:fill="auto"/>
            <w:vAlign w:val="center"/>
          </w:tcPr>
          <w:p w14:paraId="36AFE855" w14:textId="77777777" w:rsidR="001B4185" w:rsidRPr="004268A9" w:rsidRDefault="001B4185" w:rsidP="004268A9">
            <w:pPr>
              <w:spacing w:before="20" w:after="20" w:line="240" w:lineRule="auto"/>
              <w:jc w:val="center"/>
              <w:rPr>
                <w:rFonts w:asciiTheme="minorHAnsi" w:hAnsiTheme="minorHAnsi" w:cstheme="minorHAnsi"/>
                <w:sz w:val="20"/>
                <w:szCs w:val="20"/>
              </w:rPr>
            </w:pPr>
          </w:p>
        </w:tc>
      </w:tr>
      <w:tr w:rsidR="001B4185" w:rsidRPr="004268A9" w14:paraId="21FFFE6E" w14:textId="77777777" w:rsidTr="004268A9">
        <w:trPr>
          <w:jc w:val="center"/>
        </w:trPr>
        <w:tc>
          <w:tcPr>
            <w:tcW w:w="8505" w:type="dxa"/>
            <w:shd w:val="clear" w:color="auto" w:fill="auto"/>
            <w:vAlign w:val="center"/>
          </w:tcPr>
          <w:p w14:paraId="2231D7A7" w14:textId="77777777" w:rsidR="001B4185" w:rsidRPr="004268A9" w:rsidRDefault="001B4185" w:rsidP="004268A9">
            <w:pPr>
              <w:spacing w:before="20" w:after="20" w:line="240" w:lineRule="auto"/>
              <w:rPr>
                <w:rFonts w:asciiTheme="minorHAnsi" w:hAnsiTheme="minorHAnsi" w:cstheme="minorHAnsi"/>
                <w:sz w:val="20"/>
                <w:szCs w:val="20"/>
              </w:rPr>
            </w:pPr>
            <w:r w:rsidRPr="004268A9">
              <w:rPr>
                <w:rFonts w:asciiTheme="minorHAnsi" w:hAnsiTheme="minorHAnsi" w:cstheme="minorHAnsi"/>
                <w:sz w:val="20"/>
                <w:szCs w:val="20"/>
              </w:rPr>
              <w:t xml:space="preserve">-     Redes desnudas, redes aisladas, postes y otros. </w:t>
            </w:r>
          </w:p>
        </w:tc>
        <w:tc>
          <w:tcPr>
            <w:tcW w:w="1134" w:type="dxa"/>
            <w:shd w:val="clear" w:color="auto" w:fill="auto"/>
            <w:vAlign w:val="center"/>
          </w:tcPr>
          <w:p w14:paraId="6D2AE780" w14:textId="77777777" w:rsidR="001B4185" w:rsidRPr="004268A9" w:rsidRDefault="001B4185" w:rsidP="004268A9">
            <w:pPr>
              <w:spacing w:before="20" w:after="20" w:line="240" w:lineRule="auto"/>
              <w:jc w:val="center"/>
              <w:rPr>
                <w:rFonts w:asciiTheme="minorHAnsi" w:hAnsiTheme="minorHAnsi" w:cstheme="minorHAnsi"/>
                <w:sz w:val="20"/>
                <w:szCs w:val="20"/>
              </w:rPr>
            </w:pPr>
            <w:r w:rsidRPr="004268A9">
              <w:rPr>
                <w:rFonts w:asciiTheme="minorHAnsi" w:hAnsiTheme="minorHAnsi" w:cstheme="minorHAnsi"/>
                <w:sz w:val="20"/>
                <w:szCs w:val="20"/>
              </w:rPr>
              <w:t>20</w:t>
            </w:r>
          </w:p>
        </w:tc>
      </w:tr>
      <w:tr w:rsidR="001B4185" w:rsidRPr="004268A9" w14:paraId="7162BC59" w14:textId="77777777" w:rsidTr="004268A9">
        <w:trPr>
          <w:jc w:val="center"/>
        </w:trPr>
        <w:tc>
          <w:tcPr>
            <w:tcW w:w="8505" w:type="dxa"/>
            <w:shd w:val="clear" w:color="auto" w:fill="auto"/>
            <w:vAlign w:val="center"/>
          </w:tcPr>
          <w:p w14:paraId="74D08F36" w14:textId="77777777" w:rsidR="001B4185" w:rsidRPr="004268A9" w:rsidRDefault="001B4185" w:rsidP="004268A9">
            <w:pPr>
              <w:spacing w:before="20" w:after="20" w:line="240" w:lineRule="auto"/>
              <w:rPr>
                <w:rFonts w:asciiTheme="minorHAnsi" w:hAnsiTheme="minorHAnsi" w:cstheme="minorHAnsi"/>
                <w:sz w:val="20"/>
                <w:szCs w:val="20"/>
              </w:rPr>
            </w:pPr>
            <w:r w:rsidRPr="004268A9">
              <w:rPr>
                <w:rFonts w:asciiTheme="minorHAnsi" w:hAnsiTheme="minorHAnsi" w:cstheme="minorHAnsi"/>
                <w:sz w:val="20"/>
                <w:szCs w:val="20"/>
              </w:rPr>
              <w:t>-     Equipos</w:t>
            </w:r>
          </w:p>
        </w:tc>
        <w:tc>
          <w:tcPr>
            <w:tcW w:w="1134" w:type="dxa"/>
            <w:shd w:val="clear" w:color="auto" w:fill="auto"/>
            <w:vAlign w:val="center"/>
          </w:tcPr>
          <w:p w14:paraId="0012EEE0" w14:textId="77777777" w:rsidR="001B4185" w:rsidRPr="004268A9" w:rsidRDefault="001B4185" w:rsidP="004268A9">
            <w:pPr>
              <w:spacing w:before="20" w:after="20" w:line="240" w:lineRule="auto"/>
              <w:jc w:val="center"/>
              <w:rPr>
                <w:rFonts w:asciiTheme="minorHAnsi" w:hAnsiTheme="minorHAnsi" w:cstheme="minorHAnsi"/>
                <w:sz w:val="20"/>
                <w:szCs w:val="20"/>
              </w:rPr>
            </w:pPr>
            <w:r w:rsidRPr="004268A9">
              <w:rPr>
                <w:rFonts w:asciiTheme="minorHAnsi" w:hAnsiTheme="minorHAnsi" w:cstheme="minorHAnsi"/>
                <w:sz w:val="20"/>
                <w:szCs w:val="20"/>
              </w:rPr>
              <w:t>12</w:t>
            </w:r>
          </w:p>
        </w:tc>
      </w:tr>
      <w:tr w:rsidR="001B4185" w:rsidRPr="004268A9" w14:paraId="2CCA5E32" w14:textId="77777777" w:rsidTr="004268A9">
        <w:trPr>
          <w:jc w:val="center"/>
        </w:trPr>
        <w:tc>
          <w:tcPr>
            <w:tcW w:w="8505" w:type="dxa"/>
            <w:shd w:val="clear" w:color="auto" w:fill="auto"/>
            <w:vAlign w:val="center"/>
          </w:tcPr>
          <w:p w14:paraId="73E08C47" w14:textId="77777777" w:rsidR="001B4185" w:rsidRPr="004268A9" w:rsidRDefault="001B4185" w:rsidP="004268A9">
            <w:pPr>
              <w:spacing w:before="20" w:after="20" w:line="240" w:lineRule="auto"/>
              <w:rPr>
                <w:rFonts w:asciiTheme="minorHAnsi" w:hAnsiTheme="minorHAnsi" w:cstheme="minorHAnsi"/>
                <w:sz w:val="20"/>
                <w:szCs w:val="20"/>
              </w:rPr>
            </w:pPr>
            <w:r w:rsidRPr="004268A9">
              <w:rPr>
                <w:rFonts w:asciiTheme="minorHAnsi" w:hAnsiTheme="minorHAnsi" w:cstheme="minorHAnsi"/>
                <w:sz w:val="20"/>
                <w:szCs w:val="20"/>
              </w:rPr>
              <w:t>12) Líneas de baja tensión – Subterráneas.</w:t>
            </w:r>
          </w:p>
        </w:tc>
        <w:tc>
          <w:tcPr>
            <w:tcW w:w="1134" w:type="dxa"/>
            <w:shd w:val="clear" w:color="auto" w:fill="auto"/>
            <w:vAlign w:val="center"/>
          </w:tcPr>
          <w:p w14:paraId="087287A4" w14:textId="77777777" w:rsidR="001B4185" w:rsidRPr="004268A9" w:rsidRDefault="001B4185" w:rsidP="004268A9">
            <w:pPr>
              <w:spacing w:before="20" w:after="20" w:line="240" w:lineRule="auto"/>
              <w:jc w:val="center"/>
              <w:rPr>
                <w:rFonts w:asciiTheme="minorHAnsi" w:hAnsiTheme="minorHAnsi" w:cstheme="minorHAnsi"/>
                <w:sz w:val="20"/>
                <w:szCs w:val="20"/>
              </w:rPr>
            </w:pPr>
          </w:p>
        </w:tc>
      </w:tr>
      <w:tr w:rsidR="001B4185" w:rsidRPr="004268A9" w14:paraId="261086B9" w14:textId="77777777" w:rsidTr="004268A9">
        <w:trPr>
          <w:jc w:val="center"/>
        </w:trPr>
        <w:tc>
          <w:tcPr>
            <w:tcW w:w="8505" w:type="dxa"/>
            <w:shd w:val="clear" w:color="auto" w:fill="auto"/>
            <w:vAlign w:val="center"/>
          </w:tcPr>
          <w:p w14:paraId="6A8C5FCE" w14:textId="77777777" w:rsidR="001B4185" w:rsidRPr="004268A9" w:rsidRDefault="001B4185" w:rsidP="004268A9">
            <w:pPr>
              <w:spacing w:before="20" w:after="20" w:line="240" w:lineRule="auto"/>
              <w:rPr>
                <w:rFonts w:asciiTheme="minorHAnsi" w:hAnsiTheme="minorHAnsi" w:cstheme="minorHAnsi"/>
                <w:sz w:val="20"/>
                <w:szCs w:val="20"/>
              </w:rPr>
            </w:pPr>
            <w:r w:rsidRPr="004268A9">
              <w:rPr>
                <w:rFonts w:asciiTheme="minorHAnsi" w:hAnsiTheme="minorHAnsi" w:cstheme="minorHAnsi"/>
                <w:sz w:val="20"/>
                <w:szCs w:val="20"/>
              </w:rPr>
              <w:t xml:space="preserve">-     Redes, cámaras, canalizaciones y otros. </w:t>
            </w:r>
          </w:p>
        </w:tc>
        <w:tc>
          <w:tcPr>
            <w:tcW w:w="1134" w:type="dxa"/>
            <w:shd w:val="clear" w:color="auto" w:fill="auto"/>
            <w:vAlign w:val="center"/>
          </w:tcPr>
          <w:p w14:paraId="26445228" w14:textId="77777777" w:rsidR="001B4185" w:rsidRPr="004268A9" w:rsidRDefault="001B4185" w:rsidP="004268A9">
            <w:pPr>
              <w:spacing w:before="20" w:after="20" w:line="240" w:lineRule="auto"/>
              <w:jc w:val="center"/>
              <w:rPr>
                <w:rFonts w:asciiTheme="minorHAnsi" w:hAnsiTheme="minorHAnsi" w:cstheme="minorHAnsi"/>
                <w:sz w:val="20"/>
                <w:szCs w:val="20"/>
              </w:rPr>
            </w:pPr>
            <w:r w:rsidRPr="004268A9">
              <w:rPr>
                <w:rFonts w:asciiTheme="minorHAnsi" w:hAnsiTheme="minorHAnsi" w:cstheme="minorHAnsi"/>
                <w:sz w:val="20"/>
                <w:szCs w:val="20"/>
              </w:rPr>
              <w:t>20</w:t>
            </w:r>
          </w:p>
        </w:tc>
      </w:tr>
      <w:tr w:rsidR="001B4185" w:rsidRPr="004268A9" w14:paraId="1AA804A3" w14:textId="77777777" w:rsidTr="004268A9">
        <w:trPr>
          <w:jc w:val="center"/>
        </w:trPr>
        <w:tc>
          <w:tcPr>
            <w:tcW w:w="8505" w:type="dxa"/>
            <w:shd w:val="clear" w:color="auto" w:fill="auto"/>
            <w:vAlign w:val="center"/>
          </w:tcPr>
          <w:p w14:paraId="630D37E7" w14:textId="77777777" w:rsidR="001B4185" w:rsidRPr="004268A9" w:rsidRDefault="001B4185" w:rsidP="004268A9">
            <w:pPr>
              <w:spacing w:before="20" w:after="20" w:line="240" w:lineRule="auto"/>
              <w:rPr>
                <w:rFonts w:asciiTheme="minorHAnsi" w:hAnsiTheme="minorHAnsi" w:cstheme="minorHAnsi"/>
                <w:sz w:val="20"/>
                <w:szCs w:val="20"/>
              </w:rPr>
            </w:pPr>
            <w:r w:rsidRPr="004268A9">
              <w:rPr>
                <w:rFonts w:asciiTheme="minorHAnsi" w:hAnsiTheme="minorHAnsi" w:cstheme="minorHAnsi"/>
                <w:sz w:val="20"/>
                <w:szCs w:val="20"/>
              </w:rPr>
              <w:t>-     Equipos.</w:t>
            </w:r>
          </w:p>
        </w:tc>
        <w:tc>
          <w:tcPr>
            <w:tcW w:w="1134" w:type="dxa"/>
            <w:shd w:val="clear" w:color="auto" w:fill="auto"/>
            <w:vAlign w:val="center"/>
          </w:tcPr>
          <w:p w14:paraId="0D268AD0" w14:textId="77777777" w:rsidR="001B4185" w:rsidRPr="004268A9" w:rsidRDefault="001B4185" w:rsidP="004268A9">
            <w:pPr>
              <w:spacing w:before="20" w:after="20" w:line="240" w:lineRule="auto"/>
              <w:jc w:val="center"/>
              <w:rPr>
                <w:rFonts w:asciiTheme="minorHAnsi" w:hAnsiTheme="minorHAnsi" w:cstheme="minorHAnsi"/>
                <w:sz w:val="20"/>
                <w:szCs w:val="20"/>
              </w:rPr>
            </w:pPr>
            <w:r w:rsidRPr="004268A9">
              <w:rPr>
                <w:rFonts w:asciiTheme="minorHAnsi" w:hAnsiTheme="minorHAnsi" w:cstheme="minorHAnsi"/>
                <w:sz w:val="20"/>
                <w:szCs w:val="20"/>
              </w:rPr>
              <w:t>12</w:t>
            </w:r>
          </w:p>
        </w:tc>
      </w:tr>
      <w:tr w:rsidR="001B4185" w:rsidRPr="004268A9" w14:paraId="0DD21A88" w14:textId="77777777" w:rsidTr="004268A9">
        <w:trPr>
          <w:jc w:val="center"/>
        </w:trPr>
        <w:tc>
          <w:tcPr>
            <w:tcW w:w="8505" w:type="dxa"/>
            <w:shd w:val="clear" w:color="auto" w:fill="auto"/>
            <w:vAlign w:val="center"/>
          </w:tcPr>
          <w:p w14:paraId="3AC6A819" w14:textId="77777777" w:rsidR="001B4185" w:rsidRPr="004268A9" w:rsidRDefault="001B4185" w:rsidP="004268A9">
            <w:pPr>
              <w:spacing w:before="20" w:after="20" w:line="240" w:lineRule="auto"/>
              <w:rPr>
                <w:rFonts w:asciiTheme="minorHAnsi" w:hAnsiTheme="minorHAnsi" w:cstheme="minorHAnsi"/>
                <w:sz w:val="20"/>
                <w:szCs w:val="20"/>
              </w:rPr>
            </w:pPr>
            <w:r w:rsidRPr="004268A9">
              <w:rPr>
                <w:rFonts w:asciiTheme="minorHAnsi" w:hAnsiTheme="minorHAnsi" w:cstheme="minorHAnsi"/>
                <w:sz w:val="20"/>
                <w:szCs w:val="20"/>
              </w:rPr>
              <w:t>13) Subestaciones de distribución.</w:t>
            </w:r>
          </w:p>
        </w:tc>
        <w:tc>
          <w:tcPr>
            <w:tcW w:w="1134" w:type="dxa"/>
            <w:shd w:val="clear" w:color="auto" w:fill="auto"/>
            <w:vAlign w:val="center"/>
          </w:tcPr>
          <w:p w14:paraId="722B9A79" w14:textId="77777777" w:rsidR="001B4185" w:rsidRPr="004268A9" w:rsidRDefault="001B4185" w:rsidP="004268A9">
            <w:pPr>
              <w:spacing w:before="20" w:after="20" w:line="240" w:lineRule="auto"/>
              <w:jc w:val="center"/>
              <w:rPr>
                <w:rFonts w:asciiTheme="minorHAnsi" w:hAnsiTheme="minorHAnsi" w:cstheme="minorHAnsi"/>
                <w:sz w:val="20"/>
                <w:szCs w:val="20"/>
              </w:rPr>
            </w:pPr>
          </w:p>
        </w:tc>
      </w:tr>
      <w:tr w:rsidR="001B4185" w:rsidRPr="004268A9" w14:paraId="5D2949A2" w14:textId="77777777" w:rsidTr="004268A9">
        <w:trPr>
          <w:jc w:val="center"/>
        </w:trPr>
        <w:tc>
          <w:tcPr>
            <w:tcW w:w="8505" w:type="dxa"/>
            <w:shd w:val="clear" w:color="auto" w:fill="auto"/>
            <w:vAlign w:val="center"/>
          </w:tcPr>
          <w:p w14:paraId="50508F93" w14:textId="77777777" w:rsidR="001B4185" w:rsidRPr="004268A9" w:rsidRDefault="001B4185" w:rsidP="004268A9">
            <w:pPr>
              <w:spacing w:before="20" w:after="20" w:line="240" w:lineRule="auto"/>
              <w:rPr>
                <w:rFonts w:asciiTheme="minorHAnsi" w:hAnsiTheme="minorHAnsi" w:cstheme="minorHAnsi"/>
                <w:sz w:val="20"/>
                <w:szCs w:val="20"/>
              </w:rPr>
            </w:pPr>
            <w:r w:rsidRPr="004268A9">
              <w:rPr>
                <w:rFonts w:asciiTheme="minorHAnsi" w:hAnsiTheme="minorHAnsi" w:cstheme="minorHAnsi"/>
                <w:sz w:val="20"/>
                <w:szCs w:val="20"/>
              </w:rPr>
              <w:t>-     Obras civiles y construcciones.</w:t>
            </w:r>
          </w:p>
        </w:tc>
        <w:tc>
          <w:tcPr>
            <w:tcW w:w="1134" w:type="dxa"/>
            <w:shd w:val="clear" w:color="auto" w:fill="auto"/>
            <w:vAlign w:val="center"/>
          </w:tcPr>
          <w:p w14:paraId="3DA0CEC6" w14:textId="77777777" w:rsidR="001B4185" w:rsidRPr="004268A9" w:rsidRDefault="001B4185" w:rsidP="004268A9">
            <w:pPr>
              <w:spacing w:before="20" w:after="20" w:line="240" w:lineRule="auto"/>
              <w:jc w:val="center"/>
              <w:rPr>
                <w:rFonts w:asciiTheme="minorHAnsi" w:hAnsiTheme="minorHAnsi" w:cstheme="minorHAnsi"/>
                <w:sz w:val="20"/>
                <w:szCs w:val="20"/>
              </w:rPr>
            </w:pPr>
            <w:r w:rsidRPr="004268A9">
              <w:rPr>
                <w:rFonts w:asciiTheme="minorHAnsi" w:hAnsiTheme="minorHAnsi" w:cstheme="minorHAnsi"/>
                <w:sz w:val="20"/>
                <w:szCs w:val="20"/>
              </w:rPr>
              <w:t>20</w:t>
            </w:r>
          </w:p>
        </w:tc>
      </w:tr>
      <w:tr w:rsidR="001B4185" w:rsidRPr="004268A9" w14:paraId="38E91D61" w14:textId="77777777" w:rsidTr="004268A9">
        <w:trPr>
          <w:jc w:val="center"/>
        </w:trPr>
        <w:tc>
          <w:tcPr>
            <w:tcW w:w="8505" w:type="dxa"/>
            <w:shd w:val="clear" w:color="auto" w:fill="auto"/>
            <w:vAlign w:val="center"/>
          </w:tcPr>
          <w:p w14:paraId="13FAC58A" w14:textId="09B6888D" w:rsidR="001B4185" w:rsidRPr="004268A9" w:rsidRDefault="001B4185" w:rsidP="004268A9">
            <w:pPr>
              <w:spacing w:before="20" w:after="20" w:line="240" w:lineRule="auto"/>
              <w:rPr>
                <w:rFonts w:asciiTheme="minorHAnsi" w:hAnsiTheme="minorHAnsi" w:cstheme="minorHAnsi"/>
                <w:sz w:val="20"/>
                <w:szCs w:val="20"/>
              </w:rPr>
            </w:pPr>
            <w:r w:rsidRPr="004268A9">
              <w:rPr>
                <w:rFonts w:asciiTheme="minorHAnsi" w:hAnsiTheme="minorHAnsi" w:cstheme="minorHAnsi"/>
                <w:sz w:val="20"/>
                <w:szCs w:val="20"/>
              </w:rPr>
              <w:t xml:space="preserve">-     Transformadores, celdas de transformadores, celdas de líneas, equipos auxiliares y equipos de </w:t>
            </w:r>
            <w:r w:rsidR="00E81133" w:rsidRPr="004268A9">
              <w:rPr>
                <w:rFonts w:asciiTheme="minorHAnsi" w:hAnsiTheme="minorHAnsi" w:cstheme="minorHAnsi"/>
                <w:sz w:val="20"/>
                <w:szCs w:val="20"/>
              </w:rPr>
              <w:t>telecomandos</w:t>
            </w:r>
            <w:r w:rsidRPr="004268A9">
              <w:rPr>
                <w:rFonts w:asciiTheme="minorHAnsi" w:hAnsiTheme="minorHAnsi" w:cstheme="minorHAnsi"/>
                <w:sz w:val="20"/>
                <w:szCs w:val="20"/>
              </w:rPr>
              <w:t>.</w:t>
            </w:r>
          </w:p>
        </w:tc>
        <w:tc>
          <w:tcPr>
            <w:tcW w:w="1134" w:type="dxa"/>
            <w:shd w:val="clear" w:color="auto" w:fill="auto"/>
            <w:vAlign w:val="center"/>
          </w:tcPr>
          <w:p w14:paraId="1678F203" w14:textId="77777777" w:rsidR="001B4185" w:rsidRPr="004268A9" w:rsidRDefault="001B4185" w:rsidP="004268A9">
            <w:pPr>
              <w:spacing w:before="20" w:after="20" w:line="240" w:lineRule="auto"/>
              <w:jc w:val="center"/>
              <w:rPr>
                <w:rFonts w:asciiTheme="minorHAnsi" w:hAnsiTheme="minorHAnsi" w:cstheme="minorHAnsi"/>
                <w:sz w:val="20"/>
                <w:szCs w:val="20"/>
              </w:rPr>
            </w:pPr>
            <w:r w:rsidRPr="004268A9">
              <w:rPr>
                <w:rFonts w:asciiTheme="minorHAnsi" w:hAnsiTheme="minorHAnsi" w:cstheme="minorHAnsi"/>
                <w:sz w:val="20"/>
                <w:szCs w:val="20"/>
              </w:rPr>
              <w:t>10</w:t>
            </w:r>
          </w:p>
        </w:tc>
      </w:tr>
      <w:tr w:rsidR="001B4185" w:rsidRPr="004268A9" w14:paraId="2F28691B" w14:textId="77777777" w:rsidTr="004268A9">
        <w:trPr>
          <w:jc w:val="center"/>
        </w:trPr>
        <w:tc>
          <w:tcPr>
            <w:tcW w:w="8505" w:type="dxa"/>
            <w:shd w:val="clear" w:color="auto" w:fill="auto"/>
            <w:vAlign w:val="center"/>
          </w:tcPr>
          <w:p w14:paraId="6218E63B" w14:textId="77777777" w:rsidR="001B4185" w:rsidRPr="004268A9" w:rsidRDefault="001B4185" w:rsidP="004268A9">
            <w:pPr>
              <w:spacing w:before="20" w:after="20" w:line="240" w:lineRule="auto"/>
              <w:rPr>
                <w:rFonts w:asciiTheme="minorHAnsi" w:hAnsiTheme="minorHAnsi" w:cstheme="minorHAnsi"/>
                <w:sz w:val="20"/>
                <w:szCs w:val="20"/>
              </w:rPr>
            </w:pPr>
            <w:r w:rsidRPr="004268A9">
              <w:rPr>
                <w:rFonts w:asciiTheme="minorHAnsi" w:hAnsiTheme="minorHAnsi" w:cstheme="minorHAnsi"/>
                <w:sz w:val="20"/>
                <w:szCs w:val="20"/>
              </w:rPr>
              <w:t>14) Subestaciones MT/MT.</w:t>
            </w:r>
          </w:p>
        </w:tc>
        <w:tc>
          <w:tcPr>
            <w:tcW w:w="1134" w:type="dxa"/>
            <w:shd w:val="clear" w:color="auto" w:fill="auto"/>
            <w:vAlign w:val="center"/>
          </w:tcPr>
          <w:p w14:paraId="70455706" w14:textId="77777777" w:rsidR="001B4185" w:rsidRPr="004268A9" w:rsidRDefault="001B4185" w:rsidP="004268A9">
            <w:pPr>
              <w:spacing w:before="20" w:after="20" w:line="240" w:lineRule="auto"/>
              <w:jc w:val="center"/>
              <w:rPr>
                <w:rFonts w:asciiTheme="minorHAnsi" w:hAnsiTheme="minorHAnsi" w:cstheme="minorHAnsi"/>
                <w:sz w:val="20"/>
                <w:szCs w:val="20"/>
              </w:rPr>
            </w:pPr>
          </w:p>
        </w:tc>
      </w:tr>
      <w:tr w:rsidR="001B4185" w:rsidRPr="004268A9" w14:paraId="64833AB5" w14:textId="77777777" w:rsidTr="004268A9">
        <w:trPr>
          <w:jc w:val="center"/>
        </w:trPr>
        <w:tc>
          <w:tcPr>
            <w:tcW w:w="8505" w:type="dxa"/>
            <w:shd w:val="clear" w:color="auto" w:fill="auto"/>
            <w:vAlign w:val="center"/>
          </w:tcPr>
          <w:p w14:paraId="3C550840" w14:textId="77777777" w:rsidR="001B4185" w:rsidRPr="004268A9" w:rsidRDefault="001B4185" w:rsidP="004268A9">
            <w:pPr>
              <w:spacing w:before="20" w:after="20" w:line="240" w:lineRule="auto"/>
              <w:rPr>
                <w:rFonts w:asciiTheme="minorHAnsi" w:hAnsiTheme="minorHAnsi" w:cstheme="minorHAnsi"/>
                <w:sz w:val="20"/>
                <w:szCs w:val="20"/>
              </w:rPr>
            </w:pPr>
            <w:r w:rsidRPr="004268A9">
              <w:rPr>
                <w:rFonts w:asciiTheme="minorHAnsi" w:hAnsiTheme="minorHAnsi" w:cstheme="minorHAnsi"/>
                <w:sz w:val="20"/>
                <w:szCs w:val="20"/>
              </w:rPr>
              <w:t xml:space="preserve">-     Obras civiles y construcciones. </w:t>
            </w:r>
          </w:p>
        </w:tc>
        <w:tc>
          <w:tcPr>
            <w:tcW w:w="1134" w:type="dxa"/>
            <w:shd w:val="clear" w:color="auto" w:fill="auto"/>
            <w:vAlign w:val="center"/>
          </w:tcPr>
          <w:p w14:paraId="252A581E" w14:textId="77777777" w:rsidR="001B4185" w:rsidRPr="004268A9" w:rsidRDefault="001B4185" w:rsidP="004268A9">
            <w:pPr>
              <w:spacing w:before="20" w:after="20" w:line="240" w:lineRule="auto"/>
              <w:jc w:val="center"/>
              <w:rPr>
                <w:rFonts w:asciiTheme="minorHAnsi" w:hAnsiTheme="minorHAnsi" w:cstheme="minorHAnsi"/>
                <w:sz w:val="20"/>
                <w:szCs w:val="20"/>
              </w:rPr>
            </w:pPr>
            <w:r w:rsidRPr="004268A9">
              <w:rPr>
                <w:rFonts w:asciiTheme="minorHAnsi" w:hAnsiTheme="minorHAnsi" w:cstheme="minorHAnsi"/>
                <w:sz w:val="20"/>
                <w:szCs w:val="20"/>
              </w:rPr>
              <w:t>20</w:t>
            </w:r>
          </w:p>
        </w:tc>
      </w:tr>
      <w:tr w:rsidR="001B4185" w:rsidRPr="004268A9" w14:paraId="01F45BAF" w14:textId="77777777" w:rsidTr="004268A9">
        <w:trPr>
          <w:jc w:val="center"/>
        </w:trPr>
        <w:tc>
          <w:tcPr>
            <w:tcW w:w="8505" w:type="dxa"/>
            <w:shd w:val="clear" w:color="auto" w:fill="auto"/>
            <w:vAlign w:val="center"/>
          </w:tcPr>
          <w:p w14:paraId="19701A5B" w14:textId="081715F0" w:rsidR="001B4185" w:rsidRPr="004268A9" w:rsidRDefault="001B4185" w:rsidP="004268A9">
            <w:pPr>
              <w:spacing w:before="20" w:after="20" w:line="240" w:lineRule="auto"/>
              <w:rPr>
                <w:rFonts w:asciiTheme="minorHAnsi" w:hAnsiTheme="minorHAnsi" w:cstheme="minorHAnsi"/>
                <w:sz w:val="20"/>
                <w:szCs w:val="20"/>
              </w:rPr>
            </w:pPr>
            <w:r w:rsidRPr="004268A9">
              <w:rPr>
                <w:rFonts w:asciiTheme="minorHAnsi" w:hAnsiTheme="minorHAnsi" w:cstheme="minorHAnsi"/>
                <w:sz w:val="20"/>
                <w:szCs w:val="20"/>
              </w:rPr>
              <w:t xml:space="preserve">-     Transformadores, celdas de transformadores, equipos auxiliares y equipos de </w:t>
            </w:r>
            <w:r w:rsidR="00E81133" w:rsidRPr="004268A9">
              <w:rPr>
                <w:rFonts w:asciiTheme="minorHAnsi" w:hAnsiTheme="minorHAnsi" w:cstheme="minorHAnsi"/>
                <w:sz w:val="20"/>
                <w:szCs w:val="20"/>
              </w:rPr>
              <w:t>telecomandos</w:t>
            </w:r>
          </w:p>
        </w:tc>
        <w:tc>
          <w:tcPr>
            <w:tcW w:w="1134" w:type="dxa"/>
            <w:shd w:val="clear" w:color="auto" w:fill="auto"/>
            <w:vAlign w:val="center"/>
          </w:tcPr>
          <w:p w14:paraId="7CAFDE69" w14:textId="77777777" w:rsidR="001B4185" w:rsidRPr="004268A9" w:rsidRDefault="001B4185" w:rsidP="004268A9">
            <w:pPr>
              <w:spacing w:before="20" w:after="20" w:line="240" w:lineRule="auto"/>
              <w:jc w:val="center"/>
              <w:rPr>
                <w:rFonts w:asciiTheme="minorHAnsi" w:hAnsiTheme="minorHAnsi" w:cstheme="minorHAnsi"/>
                <w:sz w:val="20"/>
                <w:szCs w:val="20"/>
              </w:rPr>
            </w:pPr>
            <w:r w:rsidRPr="004268A9">
              <w:rPr>
                <w:rFonts w:asciiTheme="minorHAnsi" w:hAnsiTheme="minorHAnsi" w:cstheme="minorHAnsi"/>
                <w:sz w:val="20"/>
                <w:szCs w:val="20"/>
              </w:rPr>
              <w:t>10</w:t>
            </w:r>
          </w:p>
        </w:tc>
      </w:tr>
      <w:tr w:rsidR="001B4185" w:rsidRPr="004268A9" w14:paraId="3F28B814" w14:textId="77777777" w:rsidTr="004268A9">
        <w:trPr>
          <w:jc w:val="center"/>
        </w:trPr>
        <w:tc>
          <w:tcPr>
            <w:tcW w:w="8505" w:type="dxa"/>
            <w:shd w:val="clear" w:color="auto" w:fill="auto"/>
            <w:vAlign w:val="center"/>
          </w:tcPr>
          <w:p w14:paraId="166DEDAB" w14:textId="77777777" w:rsidR="001B4185" w:rsidRPr="004268A9" w:rsidRDefault="001B4185" w:rsidP="004268A9">
            <w:pPr>
              <w:spacing w:before="20" w:after="20" w:line="240" w:lineRule="auto"/>
              <w:rPr>
                <w:rFonts w:asciiTheme="minorHAnsi" w:hAnsiTheme="minorHAnsi" w:cstheme="minorHAnsi"/>
                <w:sz w:val="20"/>
                <w:szCs w:val="20"/>
              </w:rPr>
            </w:pPr>
            <w:r w:rsidRPr="004268A9">
              <w:rPr>
                <w:rFonts w:asciiTheme="minorHAnsi" w:hAnsiTheme="minorHAnsi" w:cstheme="minorHAnsi"/>
                <w:sz w:val="20"/>
                <w:szCs w:val="20"/>
              </w:rPr>
              <w:t>15) Subestaciones anexas MT/MT.</w:t>
            </w:r>
          </w:p>
        </w:tc>
        <w:tc>
          <w:tcPr>
            <w:tcW w:w="1134" w:type="dxa"/>
            <w:shd w:val="clear" w:color="auto" w:fill="auto"/>
            <w:vAlign w:val="center"/>
          </w:tcPr>
          <w:p w14:paraId="1243693B" w14:textId="77777777" w:rsidR="001B4185" w:rsidRPr="004268A9" w:rsidRDefault="001B4185" w:rsidP="004268A9">
            <w:pPr>
              <w:spacing w:before="20" w:after="20" w:line="240" w:lineRule="auto"/>
              <w:jc w:val="center"/>
              <w:rPr>
                <w:rFonts w:asciiTheme="minorHAnsi" w:hAnsiTheme="minorHAnsi" w:cstheme="minorHAnsi"/>
                <w:sz w:val="20"/>
                <w:szCs w:val="20"/>
              </w:rPr>
            </w:pPr>
          </w:p>
        </w:tc>
      </w:tr>
      <w:tr w:rsidR="001B4185" w:rsidRPr="004268A9" w14:paraId="2BEFD941" w14:textId="77777777" w:rsidTr="004268A9">
        <w:trPr>
          <w:jc w:val="center"/>
        </w:trPr>
        <w:tc>
          <w:tcPr>
            <w:tcW w:w="8505" w:type="dxa"/>
            <w:shd w:val="clear" w:color="auto" w:fill="auto"/>
            <w:vAlign w:val="center"/>
          </w:tcPr>
          <w:p w14:paraId="182AA139" w14:textId="77777777" w:rsidR="001B4185" w:rsidRPr="004268A9" w:rsidRDefault="001B4185" w:rsidP="004268A9">
            <w:pPr>
              <w:spacing w:before="20" w:after="20" w:line="240" w:lineRule="auto"/>
              <w:rPr>
                <w:rFonts w:asciiTheme="minorHAnsi" w:hAnsiTheme="minorHAnsi" w:cstheme="minorHAnsi"/>
                <w:sz w:val="20"/>
                <w:szCs w:val="20"/>
              </w:rPr>
            </w:pPr>
            <w:r w:rsidRPr="004268A9">
              <w:rPr>
                <w:rFonts w:asciiTheme="minorHAnsi" w:hAnsiTheme="minorHAnsi" w:cstheme="minorHAnsi"/>
                <w:sz w:val="20"/>
                <w:szCs w:val="20"/>
              </w:rPr>
              <w:t>-     Obras civiles y construcciones</w:t>
            </w:r>
          </w:p>
        </w:tc>
        <w:tc>
          <w:tcPr>
            <w:tcW w:w="1134" w:type="dxa"/>
            <w:shd w:val="clear" w:color="auto" w:fill="auto"/>
            <w:vAlign w:val="center"/>
          </w:tcPr>
          <w:p w14:paraId="3677C5E6" w14:textId="77777777" w:rsidR="001B4185" w:rsidRPr="004268A9" w:rsidRDefault="001B4185" w:rsidP="004268A9">
            <w:pPr>
              <w:spacing w:before="20" w:after="20" w:line="240" w:lineRule="auto"/>
              <w:jc w:val="center"/>
              <w:rPr>
                <w:rFonts w:asciiTheme="minorHAnsi" w:hAnsiTheme="minorHAnsi" w:cstheme="minorHAnsi"/>
                <w:sz w:val="20"/>
                <w:szCs w:val="20"/>
              </w:rPr>
            </w:pPr>
            <w:r w:rsidRPr="004268A9">
              <w:rPr>
                <w:rFonts w:asciiTheme="minorHAnsi" w:hAnsiTheme="minorHAnsi" w:cstheme="minorHAnsi"/>
                <w:sz w:val="20"/>
                <w:szCs w:val="20"/>
              </w:rPr>
              <w:t>20</w:t>
            </w:r>
          </w:p>
        </w:tc>
      </w:tr>
      <w:tr w:rsidR="001B4185" w:rsidRPr="004268A9" w14:paraId="5D9C56D5" w14:textId="77777777" w:rsidTr="004268A9">
        <w:trPr>
          <w:jc w:val="center"/>
        </w:trPr>
        <w:tc>
          <w:tcPr>
            <w:tcW w:w="8505" w:type="dxa"/>
            <w:shd w:val="clear" w:color="auto" w:fill="auto"/>
            <w:vAlign w:val="center"/>
          </w:tcPr>
          <w:p w14:paraId="2B6E5E25" w14:textId="473035D0" w:rsidR="001B4185" w:rsidRPr="004268A9" w:rsidRDefault="001B4185" w:rsidP="004268A9">
            <w:pPr>
              <w:spacing w:before="20" w:after="20" w:line="240" w:lineRule="auto"/>
              <w:rPr>
                <w:rFonts w:asciiTheme="minorHAnsi" w:hAnsiTheme="minorHAnsi" w:cstheme="minorHAnsi"/>
                <w:sz w:val="20"/>
                <w:szCs w:val="20"/>
              </w:rPr>
            </w:pPr>
            <w:r w:rsidRPr="004268A9">
              <w:rPr>
                <w:rFonts w:asciiTheme="minorHAnsi" w:hAnsiTheme="minorHAnsi" w:cstheme="minorHAnsi"/>
                <w:sz w:val="20"/>
                <w:szCs w:val="20"/>
              </w:rPr>
              <w:lastRenderedPageBreak/>
              <w:t>-   Transformadores, celdas de transformadores, equipos auxiliares y equipos de tele</w:t>
            </w:r>
            <w:r w:rsidR="00E81133" w:rsidRPr="004268A9">
              <w:rPr>
                <w:rFonts w:asciiTheme="minorHAnsi" w:hAnsiTheme="minorHAnsi" w:cstheme="minorHAnsi"/>
                <w:sz w:val="20"/>
                <w:szCs w:val="20"/>
              </w:rPr>
              <w:t>comandos</w:t>
            </w:r>
            <w:r w:rsidRPr="004268A9">
              <w:rPr>
                <w:rFonts w:asciiTheme="minorHAnsi" w:hAnsiTheme="minorHAnsi" w:cstheme="minorHAnsi"/>
                <w:sz w:val="20"/>
                <w:szCs w:val="20"/>
              </w:rPr>
              <w:t>.</w:t>
            </w:r>
          </w:p>
        </w:tc>
        <w:tc>
          <w:tcPr>
            <w:tcW w:w="1134" w:type="dxa"/>
            <w:shd w:val="clear" w:color="auto" w:fill="auto"/>
            <w:vAlign w:val="center"/>
          </w:tcPr>
          <w:p w14:paraId="441E6884" w14:textId="77777777" w:rsidR="001B4185" w:rsidRPr="004268A9" w:rsidRDefault="001B4185" w:rsidP="004268A9">
            <w:pPr>
              <w:spacing w:before="20" w:after="20" w:line="240" w:lineRule="auto"/>
              <w:jc w:val="center"/>
              <w:rPr>
                <w:rFonts w:asciiTheme="minorHAnsi" w:hAnsiTheme="minorHAnsi" w:cstheme="minorHAnsi"/>
                <w:sz w:val="20"/>
                <w:szCs w:val="20"/>
              </w:rPr>
            </w:pPr>
            <w:r w:rsidRPr="004268A9">
              <w:rPr>
                <w:rFonts w:asciiTheme="minorHAnsi" w:hAnsiTheme="minorHAnsi" w:cstheme="minorHAnsi"/>
                <w:sz w:val="20"/>
                <w:szCs w:val="20"/>
              </w:rPr>
              <w:t>10</w:t>
            </w:r>
          </w:p>
        </w:tc>
      </w:tr>
      <w:tr w:rsidR="001B4185" w:rsidRPr="004268A9" w14:paraId="50C7A144" w14:textId="77777777" w:rsidTr="004268A9">
        <w:trPr>
          <w:jc w:val="center"/>
        </w:trPr>
        <w:tc>
          <w:tcPr>
            <w:tcW w:w="8505" w:type="dxa"/>
            <w:shd w:val="clear" w:color="auto" w:fill="auto"/>
            <w:vAlign w:val="center"/>
          </w:tcPr>
          <w:p w14:paraId="51BC2323" w14:textId="77777777" w:rsidR="001B4185" w:rsidRPr="004268A9" w:rsidRDefault="001B4185" w:rsidP="004268A9">
            <w:pPr>
              <w:spacing w:before="20" w:after="20" w:line="240" w:lineRule="auto"/>
              <w:rPr>
                <w:rFonts w:asciiTheme="minorHAnsi" w:hAnsiTheme="minorHAnsi" w:cstheme="minorHAnsi"/>
                <w:sz w:val="20"/>
                <w:szCs w:val="20"/>
              </w:rPr>
            </w:pPr>
            <w:r w:rsidRPr="004268A9">
              <w:rPr>
                <w:rFonts w:asciiTheme="minorHAnsi" w:hAnsiTheme="minorHAnsi" w:cstheme="minorHAnsi"/>
                <w:sz w:val="20"/>
                <w:szCs w:val="20"/>
              </w:rPr>
              <w:t>16) Centros de transformación MT/BT.</w:t>
            </w:r>
          </w:p>
        </w:tc>
        <w:tc>
          <w:tcPr>
            <w:tcW w:w="1134" w:type="dxa"/>
            <w:shd w:val="clear" w:color="auto" w:fill="auto"/>
            <w:vAlign w:val="center"/>
          </w:tcPr>
          <w:p w14:paraId="399CD5EC" w14:textId="77777777" w:rsidR="001B4185" w:rsidRPr="004268A9" w:rsidRDefault="001B4185" w:rsidP="004268A9">
            <w:pPr>
              <w:spacing w:before="20" w:after="20" w:line="240" w:lineRule="auto"/>
              <w:jc w:val="center"/>
              <w:rPr>
                <w:rFonts w:asciiTheme="minorHAnsi" w:hAnsiTheme="minorHAnsi" w:cstheme="minorHAnsi"/>
                <w:sz w:val="20"/>
                <w:szCs w:val="20"/>
              </w:rPr>
            </w:pPr>
          </w:p>
        </w:tc>
      </w:tr>
      <w:tr w:rsidR="001B4185" w:rsidRPr="004268A9" w14:paraId="7D0365FD" w14:textId="77777777" w:rsidTr="004268A9">
        <w:trPr>
          <w:jc w:val="center"/>
        </w:trPr>
        <w:tc>
          <w:tcPr>
            <w:tcW w:w="8505" w:type="dxa"/>
            <w:shd w:val="clear" w:color="auto" w:fill="auto"/>
            <w:vAlign w:val="center"/>
          </w:tcPr>
          <w:p w14:paraId="15828213" w14:textId="77777777" w:rsidR="001B4185" w:rsidRPr="004268A9" w:rsidRDefault="001B4185" w:rsidP="004268A9">
            <w:pPr>
              <w:spacing w:before="20" w:after="20" w:line="240" w:lineRule="auto"/>
              <w:rPr>
                <w:rFonts w:asciiTheme="minorHAnsi" w:hAnsiTheme="minorHAnsi" w:cstheme="minorHAnsi"/>
                <w:sz w:val="20"/>
                <w:szCs w:val="20"/>
              </w:rPr>
            </w:pPr>
            <w:r w:rsidRPr="004268A9">
              <w:rPr>
                <w:rFonts w:asciiTheme="minorHAnsi" w:hAnsiTheme="minorHAnsi" w:cstheme="minorHAnsi"/>
                <w:sz w:val="20"/>
                <w:szCs w:val="20"/>
              </w:rPr>
              <w:t>-     Obras civiles.</w:t>
            </w:r>
          </w:p>
        </w:tc>
        <w:tc>
          <w:tcPr>
            <w:tcW w:w="1134" w:type="dxa"/>
            <w:shd w:val="clear" w:color="auto" w:fill="auto"/>
            <w:vAlign w:val="center"/>
          </w:tcPr>
          <w:p w14:paraId="4AC4DA9C" w14:textId="77777777" w:rsidR="001B4185" w:rsidRPr="004268A9" w:rsidRDefault="001B4185" w:rsidP="004268A9">
            <w:pPr>
              <w:spacing w:before="20" w:after="20" w:line="240" w:lineRule="auto"/>
              <w:jc w:val="center"/>
              <w:rPr>
                <w:rFonts w:asciiTheme="minorHAnsi" w:hAnsiTheme="minorHAnsi" w:cstheme="minorHAnsi"/>
                <w:sz w:val="20"/>
                <w:szCs w:val="20"/>
              </w:rPr>
            </w:pPr>
            <w:r w:rsidRPr="004268A9">
              <w:rPr>
                <w:rFonts w:asciiTheme="minorHAnsi" w:hAnsiTheme="minorHAnsi" w:cstheme="minorHAnsi"/>
                <w:sz w:val="20"/>
                <w:szCs w:val="20"/>
              </w:rPr>
              <w:t>20</w:t>
            </w:r>
          </w:p>
        </w:tc>
      </w:tr>
      <w:tr w:rsidR="001B4185" w:rsidRPr="004268A9" w14:paraId="69115063" w14:textId="77777777" w:rsidTr="004268A9">
        <w:trPr>
          <w:jc w:val="center"/>
        </w:trPr>
        <w:tc>
          <w:tcPr>
            <w:tcW w:w="8505" w:type="dxa"/>
            <w:shd w:val="clear" w:color="auto" w:fill="auto"/>
            <w:vAlign w:val="center"/>
          </w:tcPr>
          <w:p w14:paraId="066C9A84" w14:textId="77777777" w:rsidR="001B4185" w:rsidRPr="004268A9" w:rsidRDefault="001B4185" w:rsidP="004268A9">
            <w:pPr>
              <w:spacing w:before="20" w:after="20" w:line="240" w:lineRule="auto"/>
              <w:rPr>
                <w:rFonts w:asciiTheme="minorHAnsi" w:hAnsiTheme="minorHAnsi" w:cstheme="minorHAnsi"/>
                <w:sz w:val="20"/>
                <w:szCs w:val="20"/>
              </w:rPr>
            </w:pPr>
            <w:r w:rsidRPr="004268A9">
              <w:rPr>
                <w:rFonts w:asciiTheme="minorHAnsi" w:hAnsiTheme="minorHAnsi" w:cstheme="minorHAnsi"/>
                <w:sz w:val="20"/>
                <w:szCs w:val="20"/>
              </w:rPr>
              <w:t>-     Transformadores aéreos, subterráneos y de superficie.</w:t>
            </w:r>
          </w:p>
        </w:tc>
        <w:tc>
          <w:tcPr>
            <w:tcW w:w="1134" w:type="dxa"/>
            <w:shd w:val="clear" w:color="auto" w:fill="auto"/>
            <w:vAlign w:val="center"/>
          </w:tcPr>
          <w:p w14:paraId="0F707A52" w14:textId="77777777" w:rsidR="001B4185" w:rsidRPr="004268A9" w:rsidRDefault="001B4185" w:rsidP="004268A9">
            <w:pPr>
              <w:spacing w:before="20" w:after="20" w:line="240" w:lineRule="auto"/>
              <w:jc w:val="center"/>
              <w:rPr>
                <w:rFonts w:asciiTheme="minorHAnsi" w:hAnsiTheme="minorHAnsi" w:cstheme="minorHAnsi"/>
                <w:sz w:val="20"/>
                <w:szCs w:val="20"/>
              </w:rPr>
            </w:pPr>
            <w:r w:rsidRPr="004268A9">
              <w:rPr>
                <w:rFonts w:asciiTheme="minorHAnsi" w:hAnsiTheme="minorHAnsi" w:cstheme="minorHAnsi"/>
                <w:sz w:val="20"/>
                <w:szCs w:val="20"/>
              </w:rPr>
              <w:t>10</w:t>
            </w:r>
          </w:p>
        </w:tc>
      </w:tr>
      <w:tr w:rsidR="001B4185" w:rsidRPr="004268A9" w14:paraId="1FF59AF9" w14:textId="77777777" w:rsidTr="004268A9">
        <w:trPr>
          <w:jc w:val="center"/>
        </w:trPr>
        <w:tc>
          <w:tcPr>
            <w:tcW w:w="8505" w:type="dxa"/>
            <w:shd w:val="clear" w:color="auto" w:fill="auto"/>
            <w:vAlign w:val="center"/>
          </w:tcPr>
          <w:p w14:paraId="5845D36F" w14:textId="77777777" w:rsidR="001B4185" w:rsidRPr="004268A9" w:rsidRDefault="001B4185" w:rsidP="004268A9">
            <w:pPr>
              <w:spacing w:before="20" w:after="20" w:line="240" w:lineRule="auto"/>
              <w:rPr>
                <w:rFonts w:asciiTheme="minorHAnsi" w:hAnsiTheme="minorHAnsi" w:cstheme="minorHAnsi"/>
                <w:sz w:val="20"/>
                <w:szCs w:val="20"/>
              </w:rPr>
            </w:pPr>
            <w:r w:rsidRPr="004268A9">
              <w:rPr>
                <w:rFonts w:asciiTheme="minorHAnsi" w:hAnsiTheme="minorHAnsi" w:cstheme="minorHAnsi"/>
                <w:sz w:val="20"/>
                <w:szCs w:val="20"/>
              </w:rPr>
              <w:t>-     Otros equipos eléctricos aéreos, subterráneos y comunes.</w:t>
            </w:r>
          </w:p>
        </w:tc>
        <w:tc>
          <w:tcPr>
            <w:tcW w:w="1134" w:type="dxa"/>
            <w:shd w:val="clear" w:color="auto" w:fill="auto"/>
            <w:vAlign w:val="center"/>
          </w:tcPr>
          <w:p w14:paraId="09CD31A1" w14:textId="77777777" w:rsidR="001B4185" w:rsidRPr="004268A9" w:rsidRDefault="001B4185" w:rsidP="004268A9">
            <w:pPr>
              <w:spacing w:before="20" w:after="20" w:line="240" w:lineRule="auto"/>
              <w:jc w:val="center"/>
              <w:rPr>
                <w:rFonts w:asciiTheme="minorHAnsi" w:hAnsiTheme="minorHAnsi" w:cstheme="minorHAnsi"/>
                <w:sz w:val="20"/>
                <w:szCs w:val="20"/>
              </w:rPr>
            </w:pPr>
            <w:r w:rsidRPr="004268A9">
              <w:rPr>
                <w:rFonts w:asciiTheme="minorHAnsi" w:hAnsiTheme="minorHAnsi" w:cstheme="minorHAnsi"/>
                <w:sz w:val="20"/>
                <w:szCs w:val="20"/>
              </w:rPr>
              <w:t>12</w:t>
            </w:r>
          </w:p>
        </w:tc>
      </w:tr>
      <w:tr w:rsidR="001B4185" w:rsidRPr="004268A9" w14:paraId="13764835" w14:textId="77777777" w:rsidTr="004268A9">
        <w:trPr>
          <w:jc w:val="center"/>
        </w:trPr>
        <w:tc>
          <w:tcPr>
            <w:tcW w:w="8505" w:type="dxa"/>
            <w:shd w:val="clear" w:color="auto" w:fill="auto"/>
            <w:vAlign w:val="center"/>
          </w:tcPr>
          <w:p w14:paraId="2C46FFC0" w14:textId="77777777" w:rsidR="001B4185" w:rsidRPr="004268A9" w:rsidRDefault="001B4185" w:rsidP="004268A9">
            <w:pPr>
              <w:spacing w:before="20" w:after="20" w:line="240" w:lineRule="auto"/>
              <w:rPr>
                <w:rFonts w:asciiTheme="minorHAnsi" w:hAnsiTheme="minorHAnsi" w:cstheme="minorHAnsi"/>
                <w:sz w:val="20"/>
                <w:szCs w:val="20"/>
              </w:rPr>
            </w:pPr>
            <w:r w:rsidRPr="004268A9">
              <w:rPr>
                <w:rFonts w:asciiTheme="minorHAnsi" w:hAnsiTheme="minorHAnsi" w:cstheme="minorHAnsi"/>
                <w:sz w:val="20"/>
                <w:szCs w:val="20"/>
              </w:rPr>
              <w:t>17) Contadores y aparatos de medida – Central de operaciones y servicio de clientes.</w:t>
            </w:r>
          </w:p>
        </w:tc>
        <w:tc>
          <w:tcPr>
            <w:tcW w:w="1134" w:type="dxa"/>
            <w:shd w:val="clear" w:color="auto" w:fill="auto"/>
            <w:vAlign w:val="center"/>
          </w:tcPr>
          <w:p w14:paraId="3ACE328E" w14:textId="77777777" w:rsidR="001B4185" w:rsidRPr="004268A9" w:rsidRDefault="001B4185" w:rsidP="004268A9">
            <w:pPr>
              <w:spacing w:before="20" w:after="20" w:line="240" w:lineRule="auto"/>
              <w:jc w:val="center"/>
              <w:rPr>
                <w:rFonts w:asciiTheme="minorHAnsi" w:hAnsiTheme="minorHAnsi" w:cstheme="minorHAnsi"/>
                <w:sz w:val="20"/>
                <w:szCs w:val="20"/>
              </w:rPr>
            </w:pPr>
            <w:r w:rsidRPr="004268A9">
              <w:rPr>
                <w:rFonts w:asciiTheme="minorHAnsi" w:hAnsiTheme="minorHAnsi" w:cstheme="minorHAnsi"/>
                <w:sz w:val="20"/>
                <w:szCs w:val="20"/>
              </w:rPr>
              <w:t>10</w:t>
            </w:r>
          </w:p>
        </w:tc>
      </w:tr>
      <w:tr w:rsidR="001B4185" w:rsidRPr="004268A9" w14:paraId="5B6F6402" w14:textId="77777777" w:rsidTr="004268A9">
        <w:trPr>
          <w:jc w:val="center"/>
        </w:trPr>
        <w:tc>
          <w:tcPr>
            <w:tcW w:w="8505" w:type="dxa"/>
            <w:shd w:val="clear" w:color="auto" w:fill="auto"/>
            <w:vAlign w:val="center"/>
          </w:tcPr>
          <w:p w14:paraId="3BBCCBD5" w14:textId="77777777" w:rsidR="001B4185" w:rsidRPr="004268A9" w:rsidRDefault="001B4185" w:rsidP="004268A9">
            <w:pPr>
              <w:spacing w:before="20" w:after="20" w:line="240" w:lineRule="auto"/>
              <w:rPr>
                <w:rFonts w:asciiTheme="minorHAnsi" w:hAnsiTheme="minorHAnsi" w:cstheme="minorHAnsi"/>
                <w:sz w:val="20"/>
                <w:szCs w:val="20"/>
              </w:rPr>
            </w:pPr>
            <w:r w:rsidRPr="004268A9">
              <w:rPr>
                <w:rFonts w:asciiTheme="minorHAnsi" w:hAnsiTheme="minorHAnsi" w:cstheme="minorHAnsi"/>
                <w:sz w:val="20"/>
                <w:szCs w:val="20"/>
              </w:rPr>
              <w:t xml:space="preserve">18) Otras instalaciones técnicas para energía eléctrica.  </w:t>
            </w:r>
          </w:p>
        </w:tc>
        <w:tc>
          <w:tcPr>
            <w:tcW w:w="1134" w:type="dxa"/>
            <w:shd w:val="clear" w:color="auto" w:fill="auto"/>
            <w:vAlign w:val="center"/>
          </w:tcPr>
          <w:p w14:paraId="54E47528" w14:textId="77777777" w:rsidR="001B4185" w:rsidRPr="004268A9" w:rsidRDefault="001B4185" w:rsidP="004268A9">
            <w:pPr>
              <w:spacing w:before="20" w:after="20" w:line="240" w:lineRule="auto"/>
              <w:jc w:val="center"/>
              <w:rPr>
                <w:rFonts w:asciiTheme="minorHAnsi" w:hAnsiTheme="minorHAnsi" w:cstheme="minorHAnsi"/>
                <w:sz w:val="20"/>
                <w:szCs w:val="20"/>
              </w:rPr>
            </w:pPr>
          </w:p>
        </w:tc>
      </w:tr>
      <w:tr w:rsidR="001B4185" w:rsidRPr="004268A9" w14:paraId="0ECDAF40" w14:textId="77777777" w:rsidTr="004268A9">
        <w:trPr>
          <w:jc w:val="center"/>
        </w:trPr>
        <w:tc>
          <w:tcPr>
            <w:tcW w:w="8505" w:type="dxa"/>
            <w:shd w:val="clear" w:color="auto" w:fill="auto"/>
            <w:vAlign w:val="center"/>
          </w:tcPr>
          <w:p w14:paraId="5B5C90D1" w14:textId="77777777" w:rsidR="001B4185" w:rsidRPr="004268A9" w:rsidRDefault="001B4185" w:rsidP="004268A9">
            <w:pPr>
              <w:spacing w:before="20" w:after="20" w:line="240" w:lineRule="auto"/>
              <w:rPr>
                <w:rFonts w:asciiTheme="minorHAnsi" w:hAnsiTheme="minorHAnsi" w:cstheme="minorHAnsi"/>
                <w:sz w:val="20"/>
                <w:szCs w:val="20"/>
              </w:rPr>
            </w:pPr>
            <w:r w:rsidRPr="004268A9">
              <w:rPr>
                <w:rFonts w:asciiTheme="minorHAnsi" w:hAnsiTheme="minorHAnsi" w:cstheme="minorHAnsi"/>
                <w:sz w:val="20"/>
                <w:szCs w:val="20"/>
              </w:rPr>
              <w:t>-      Obras civiles.</w:t>
            </w:r>
          </w:p>
        </w:tc>
        <w:tc>
          <w:tcPr>
            <w:tcW w:w="1134" w:type="dxa"/>
            <w:shd w:val="clear" w:color="auto" w:fill="auto"/>
            <w:vAlign w:val="center"/>
          </w:tcPr>
          <w:p w14:paraId="092C97F1" w14:textId="77777777" w:rsidR="001B4185" w:rsidRPr="004268A9" w:rsidRDefault="001B4185" w:rsidP="004268A9">
            <w:pPr>
              <w:spacing w:before="20" w:after="20" w:line="240" w:lineRule="auto"/>
              <w:jc w:val="center"/>
              <w:rPr>
                <w:rFonts w:asciiTheme="minorHAnsi" w:hAnsiTheme="minorHAnsi" w:cstheme="minorHAnsi"/>
                <w:sz w:val="20"/>
                <w:szCs w:val="20"/>
              </w:rPr>
            </w:pPr>
            <w:r w:rsidRPr="004268A9">
              <w:rPr>
                <w:rFonts w:asciiTheme="minorHAnsi" w:hAnsiTheme="minorHAnsi" w:cstheme="minorHAnsi"/>
                <w:sz w:val="20"/>
                <w:szCs w:val="20"/>
              </w:rPr>
              <w:t>20</w:t>
            </w:r>
          </w:p>
        </w:tc>
      </w:tr>
      <w:tr w:rsidR="001B4185" w:rsidRPr="004268A9" w14:paraId="7A2D8874" w14:textId="77777777" w:rsidTr="004268A9">
        <w:trPr>
          <w:jc w:val="center"/>
        </w:trPr>
        <w:tc>
          <w:tcPr>
            <w:tcW w:w="8505" w:type="dxa"/>
            <w:shd w:val="clear" w:color="auto" w:fill="auto"/>
            <w:vAlign w:val="center"/>
          </w:tcPr>
          <w:p w14:paraId="03C8F4A8" w14:textId="77777777" w:rsidR="001B4185" w:rsidRPr="004268A9" w:rsidRDefault="001B4185" w:rsidP="004268A9">
            <w:pPr>
              <w:spacing w:before="20" w:after="20" w:line="240" w:lineRule="auto"/>
              <w:rPr>
                <w:rFonts w:asciiTheme="minorHAnsi" w:hAnsiTheme="minorHAnsi" w:cstheme="minorHAnsi"/>
                <w:sz w:val="20"/>
                <w:szCs w:val="20"/>
              </w:rPr>
            </w:pPr>
            <w:r w:rsidRPr="004268A9">
              <w:rPr>
                <w:rFonts w:asciiTheme="minorHAnsi" w:hAnsiTheme="minorHAnsi" w:cstheme="minorHAnsi"/>
                <w:sz w:val="20"/>
                <w:szCs w:val="20"/>
              </w:rPr>
              <w:t>-     Equipos</w:t>
            </w:r>
          </w:p>
        </w:tc>
        <w:tc>
          <w:tcPr>
            <w:tcW w:w="1134" w:type="dxa"/>
            <w:shd w:val="clear" w:color="auto" w:fill="auto"/>
            <w:vAlign w:val="center"/>
          </w:tcPr>
          <w:p w14:paraId="4F5E92AB" w14:textId="77777777" w:rsidR="001B4185" w:rsidRPr="004268A9" w:rsidRDefault="001B4185" w:rsidP="004268A9">
            <w:pPr>
              <w:spacing w:before="20" w:after="20" w:line="240" w:lineRule="auto"/>
              <w:jc w:val="center"/>
              <w:rPr>
                <w:rFonts w:asciiTheme="minorHAnsi" w:hAnsiTheme="minorHAnsi" w:cstheme="minorHAnsi"/>
                <w:sz w:val="20"/>
                <w:szCs w:val="20"/>
              </w:rPr>
            </w:pPr>
            <w:r w:rsidRPr="004268A9">
              <w:rPr>
                <w:rFonts w:asciiTheme="minorHAnsi" w:hAnsiTheme="minorHAnsi" w:cstheme="minorHAnsi"/>
                <w:sz w:val="20"/>
                <w:szCs w:val="20"/>
              </w:rPr>
              <w:t>10</w:t>
            </w:r>
          </w:p>
        </w:tc>
      </w:tr>
      <w:tr w:rsidR="001B4185" w:rsidRPr="004268A9" w14:paraId="59D38B50" w14:textId="77777777" w:rsidTr="004268A9">
        <w:trPr>
          <w:jc w:val="center"/>
        </w:trPr>
        <w:tc>
          <w:tcPr>
            <w:tcW w:w="8505" w:type="dxa"/>
            <w:shd w:val="clear" w:color="auto" w:fill="auto"/>
            <w:vAlign w:val="center"/>
          </w:tcPr>
          <w:p w14:paraId="3FD8BE48" w14:textId="77777777" w:rsidR="001B4185" w:rsidRPr="004268A9" w:rsidRDefault="001B4185" w:rsidP="004268A9">
            <w:pPr>
              <w:spacing w:before="20" w:after="20" w:line="240" w:lineRule="auto"/>
              <w:rPr>
                <w:rFonts w:asciiTheme="minorHAnsi" w:hAnsiTheme="minorHAnsi" w:cstheme="minorHAnsi"/>
                <w:sz w:val="20"/>
                <w:szCs w:val="20"/>
              </w:rPr>
            </w:pPr>
            <w:r w:rsidRPr="004268A9">
              <w:rPr>
                <w:rFonts w:asciiTheme="minorHAnsi" w:hAnsiTheme="minorHAnsi" w:cstheme="minorHAnsi"/>
                <w:sz w:val="20"/>
                <w:szCs w:val="20"/>
              </w:rPr>
              <w:t>19) Alumbrado público.</w:t>
            </w:r>
          </w:p>
        </w:tc>
        <w:tc>
          <w:tcPr>
            <w:tcW w:w="1134" w:type="dxa"/>
            <w:shd w:val="clear" w:color="auto" w:fill="auto"/>
            <w:vAlign w:val="center"/>
          </w:tcPr>
          <w:p w14:paraId="7908989C" w14:textId="77777777" w:rsidR="001B4185" w:rsidRPr="004268A9" w:rsidRDefault="001B4185" w:rsidP="004268A9">
            <w:pPr>
              <w:spacing w:before="20" w:after="20" w:line="240" w:lineRule="auto"/>
              <w:jc w:val="center"/>
              <w:rPr>
                <w:rFonts w:asciiTheme="minorHAnsi" w:hAnsiTheme="minorHAnsi" w:cstheme="minorHAnsi"/>
                <w:sz w:val="20"/>
                <w:szCs w:val="20"/>
              </w:rPr>
            </w:pPr>
            <w:r w:rsidRPr="004268A9">
              <w:rPr>
                <w:rFonts w:asciiTheme="minorHAnsi" w:hAnsiTheme="minorHAnsi" w:cstheme="minorHAnsi"/>
                <w:sz w:val="20"/>
                <w:szCs w:val="20"/>
              </w:rPr>
              <w:t>10</w:t>
            </w:r>
          </w:p>
        </w:tc>
      </w:tr>
    </w:tbl>
    <w:p w14:paraId="2394529B" w14:textId="77777777" w:rsidR="001B4185" w:rsidRDefault="001B4185" w:rsidP="004268A9">
      <w:pPr>
        <w:spacing w:after="0"/>
      </w:pPr>
    </w:p>
    <w:p w14:paraId="0C31D649" w14:textId="65EE6AE7" w:rsidR="001B4185" w:rsidRPr="00EE2F47" w:rsidRDefault="001B4185" w:rsidP="001B4185">
      <w:r w:rsidRPr="00EE2F47">
        <w:t xml:space="preserve">Conforme las disposiciones indicadas en los puntos anteriores, los valores señalados en esta resolución son </w:t>
      </w:r>
      <w:proofErr w:type="gramStart"/>
      <w:r w:rsidRPr="00EE2F47">
        <w:t>utilizados</w:t>
      </w:r>
      <w:proofErr w:type="gramEnd"/>
      <w:r w:rsidRPr="00EE2F47">
        <w:t xml:space="preserve"> para la dete</w:t>
      </w:r>
      <w:r w:rsidR="00F727A2">
        <w:t xml:space="preserve">rminación de la depreciación </w:t>
      </w:r>
      <m:oMath>
        <m:sSub>
          <m:sSubPr>
            <m:ctrlPr>
              <w:rPr>
                <w:rFonts w:ascii="Cambria Math" w:hAnsi="Cambria Math"/>
                <w:i/>
              </w:rPr>
            </m:ctrlPr>
          </m:sSubPr>
          <m:e>
            <m:r>
              <w:rPr>
                <w:rFonts w:ascii="Cambria Math" w:hAnsi="Cambria Math"/>
              </w:rPr>
              <m:t>D</m:t>
            </m:r>
          </m:e>
          <m:sub>
            <m:r>
              <w:rPr>
                <w:rFonts w:ascii="Cambria Math" w:hAnsi="Cambria Math"/>
              </w:rPr>
              <m:t>i</m:t>
            </m:r>
          </m:sub>
        </m:sSub>
      </m:oMath>
      <w:r w:rsidRPr="00EE2F47">
        <w:t xml:space="preserve"> a utilizar para cada categoría de instalación económicamente identificable señalada en el punto precedente, y de ese modo determinar el A.E.I.R. correspondiente a cada una.</w:t>
      </w:r>
    </w:p>
    <w:p w14:paraId="6EF6570E" w14:textId="5014AA9B" w:rsidR="001B4185" w:rsidRPr="00EE2F47" w:rsidRDefault="001B4185" w:rsidP="001B4185">
      <w:r w:rsidRPr="00EE2F47">
        <w:t xml:space="preserve">Para lo anterior, </w:t>
      </w:r>
      <w:r w:rsidR="00990CDB">
        <w:t>debe efectuarse</w:t>
      </w:r>
      <w:r w:rsidRPr="00EE2F47">
        <w:t xml:space="preserve"> una homologación de las categorías de activos señaladas en la Resolución N°43 del SII, con las establecidas en la Resolución N°412 de la CNE, de modo de aplicar la formulación señalada en el punto precedente.</w:t>
      </w:r>
      <w:r>
        <w:t xml:space="preserve"> </w:t>
      </w:r>
      <w:r w:rsidRPr="009A447B">
        <w:t>La homologación de vidas útiles se efect</w:t>
      </w:r>
      <w:r w:rsidR="00990CDB">
        <w:t>úa</w:t>
      </w:r>
      <w:r w:rsidRPr="009A447B">
        <w:t xml:space="preserve"> </w:t>
      </w:r>
      <w:r>
        <w:t>asignando a cada categoría o componente de costo del Artículo 5° de la Resolución N°380, la vida útil normal de la Resolución N°43 correspondiente al activo que más se le asemeje conforme a la descripción que para él efectúa esta última resolución.</w:t>
      </w:r>
      <w:r w:rsidR="00990CDB">
        <w:t xml:space="preserve"> La homologación efectuada se muestra en el punto siguiente.</w:t>
      </w:r>
    </w:p>
    <w:p w14:paraId="7B769830" w14:textId="4222200E" w:rsidR="001B4185" w:rsidRDefault="001B4185" w:rsidP="001B4185">
      <w:r w:rsidRPr="00EE2F47">
        <w:t xml:space="preserve">Así, y conforme a lo indicado </w:t>
      </w:r>
      <w:r w:rsidR="00853220">
        <w:t>en los puntos anteriores</w:t>
      </w:r>
      <w:r w:rsidRPr="00EE2F47">
        <w:t>, la estructura de cálculo del A.E.I.R. se muestra en la sig</w:t>
      </w:r>
      <w:r w:rsidR="00F727A2">
        <w:t xml:space="preserve">uiente tabla para cada tramo </w:t>
      </w:r>
      <m:oMath>
        <m:r>
          <w:rPr>
            <w:rFonts w:ascii="Cambria Math" w:hAnsi="Cambria Math"/>
          </w:rPr>
          <m:t>i</m:t>
        </m:r>
      </m:oMath>
      <w:r w:rsidRPr="00EE2F47">
        <w:t xml:space="preserve"> de transporte o de subestación:</w:t>
      </w:r>
    </w:p>
    <w:p w14:paraId="05B233A2" w14:textId="1D50BFD6" w:rsidR="001B4185" w:rsidRPr="003E08AB" w:rsidRDefault="003A0B8A" w:rsidP="003A0B8A">
      <w:pPr>
        <w:pStyle w:val="Subttulo"/>
      </w:pPr>
      <w:bookmarkStart w:id="538" w:name="_Toc27147883"/>
      <w:bookmarkStart w:id="539" w:name="_Toc39797970"/>
      <w:r w:rsidRPr="002F3394">
        <w:t xml:space="preserve">Tabla </w:t>
      </w:r>
      <w:fldSimple w:instr=" SEQ Tabla \* ARABIC ">
        <w:r w:rsidR="001F3E2E">
          <w:rPr>
            <w:noProof/>
          </w:rPr>
          <w:t>60</w:t>
        </w:r>
      </w:fldSimple>
      <w:r>
        <w:t xml:space="preserve">: </w:t>
      </w:r>
      <w:r w:rsidR="00990CDB">
        <w:t>E</w:t>
      </w:r>
      <w:r w:rsidR="001B4185" w:rsidRPr="000759A7">
        <w:t>structura de cálculo del A.E.I.R.</w:t>
      </w:r>
      <w:r w:rsidR="001B4185">
        <w:t xml:space="preserve"> Instalaciones económicamente identificables Tramo </w:t>
      </w:r>
      <w:bookmarkEnd w:id="538"/>
      <m:oMath>
        <m:r>
          <m:rPr>
            <m:sty m:val="bi"/>
          </m:rPr>
          <w:rPr>
            <w:rFonts w:ascii="Cambria Math" w:hAnsi="Cambria Math"/>
          </w:rPr>
          <m:t>i</m:t>
        </m:r>
      </m:oMath>
      <w:bookmarkEnd w:id="539"/>
    </w:p>
    <w:p w14:paraId="207383CD" w14:textId="77777777" w:rsidR="001B4185" w:rsidRPr="00EE2F47" w:rsidRDefault="00C636E3" w:rsidP="001B4185">
      <w:pPr>
        <w:jc w:val="center"/>
      </w:pPr>
      <w:r w:rsidRPr="001B4185">
        <w:rPr>
          <w:noProof/>
          <w:lang w:eastAsia="es-CL"/>
        </w:rPr>
        <w:lastRenderedPageBreak/>
        <w:drawing>
          <wp:inline distT="0" distB="0" distL="0" distR="0" wp14:anchorId="01099256" wp14:editId="673FB10D">
            <wp:extent cx="6050915" cy="1987550"/>
            <wp:effectExtent l="0" t="0" r="0" b="0"/>
            <wp:docPr id="13"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6050915" cy="1987550"/>
                    </a:xfrm>
                    <a:prstGeom prst="rect">
                      <a:avLst/>
                    </a:prstGeom>
                    <a:noFill/>
                    <a:ln>
                      <a:noFill/>
                    </a:ln>
                  </pic:spPr>
                </pic:pic>
              </a:graphicData>
            </a:graphic>
          </wp:inline>
        </w:drawing>
      </w:r>
    </w:p>
    <w:p w14:paraId="6FBFC237" w14:textId="77777777" w:rsidR="001B4185" w:rsidRPr="00990CDB" w:rsidRDefault="00990CDB" w:rsidP="00990CDB">
      <w:pPr>
        <w:pStyle w:val="Ttulo2"/>
        <w:rPr>
          <w:sz w:val="24"/>
          <w:szCs w:val="24"/>
        </w:rPr>
      </w:pPr>
      <w:bookmarkStart w:id="540" w:name="_Toc39797891"/>
      <w:r w:rsidRPr="00990CDB">
        <w:rPr>
          <w:sz w:val="24"/>
          <w:szCs w:val="24"/>
        </w:rPr>
        <w:t>Homologación de Instalaciones Resolución CNE N°380 versus Resolución SII N°43</w:t>
      </w:r>
      <w:bookmarkEnd w:id="540"/>
    </w:p>
    <w:p w14:paraId="2A8AB8EF" w14:textId="77777777" w:rsidR="001D23DB" w:rsidRPr="001D23DB" w:rsidRDefault="001D23DB" w:rsidP="003A0B8A">
      <w:pPr>
        <w:pStyle w:val="Ttulo3"/>
      </w:pPr>
      <w:bookmarkStart w:id="541" w:name="_Toc39797892"/>
      <w:r w:rsidRPr="001D23DB">
        <w:t>Criterios Generales</w:t>
      </w:r>
      <w:bookmarkEnd w:id="541"/>
    </w:p>
    <w:p w14:paraId="26E57388" w14:textId="77777777" w:rsidR="001D23DB" w:rsidRDefault="001D23DB" w:rsidP="001D23DB">
      <w:r>
        <w:t xml:space="preserve">Para la determinación del ajuste por efecto de impuesto a la renta (A.E.I.R.) que conforma parte del V.A.T.T. de cada tramo, es necesario asignar a cada una de las 15 categorías de instalaciones económicamente identificables a que se refiere el Artículo 5° de la Resolución N°380, la correspondiente </w:t>
      </w:r>
      <w:r w:rsidRPr="00405A43">
        <w:rPr>
          <w:i/>
        </w:rPr>
        <w:t>vida útil normal</w:t>
      </w:r>
      <w:r>
        <w:t xml:space="preserve"> establecida en la Resolución N°43 del Servicio de Impuestos Internos (SII) para determinar el costo de depreciación tributaria de los activos correspondientes.</w:t>
      </w:r>
    </w:p>
    <w:p w14:paraId="4B8DDF8E" w14:textId="77777777" w:rsidR="001D23DB" w:rsidRDefault="001D23DB" w:rsidP="001D23DB">
      <w:r>
        <w:t>Como la categorización de activos establecida en la Resolución N°43 no coincide necesariamente con la categorización establecida en la Resolución N°380 -ni en la cantidad de activos tipificados, ni en su descripción- es necesario homologar los activos respectivos para, posteriormente, asignar a cada tipo de activo de la Resolución N°380, la respectiva vida útil tributaria señalada en la Resolución N°43.</w:t>
      </w:r>
    </w:p>
    <w:p w14:paraId="1CC61870" w14:textId="01CF9D12" w:rsidR="001D23DB" w:rsidRDefault="001D23DB" w:rsidP="001D23DB">
      <w:r>
        <w:t xml:space="preserve">A </w:t>
      </w:r>
      <w:r w:rsidR="00E81133">
        <w:t>continuación,</w:t>
      </w:r>
      <w:r>
        <w:t xml:space="preserve"> se describe el procedimiento y resultados de la homologación practicada. El procedimiento se describe en detalle en el </w:t>
      </w:r>
      <w:r w:rsidR="00F727A2">
        <w:t>“</w:t>
      </w:r>
      <w:r w:rsidR="00B51BAA" w:rsidRPr="00B51BAA">
        <w:t>Anexo VATT_1_Homologación R43 SII</w:t>
      </w:r>
      <w:r w:rsidR="00F727A2">
        <w:t>”</w:t>
      </w:r>
      <w:r w:rsidR="00B51BAA">
        <w:t>,</w:t>
      </w:r>
      <w:r w:rsidR="00163736">
        <w:t xml:space="preserve"> individualizando</w:t>
      </w:r>
      <w:r w:rsidR="002A125F">
        <w:t xml:space="preserve"> además</w:t>
      </w:r>
      <w:r w:rsidR="00163736">
        <w:t xml:space="preserve"> los activos de la Resolución N°43 asignados a las categorías de la Resolución N°380.</w:t>
      </w:r>
    </w:p>
    <w:p w14:paraId="56E0912B" w14:textId="77777777" w:rsidR="004268A9" w:rsidRDefault="004268A9" w:rsidP="001D23DB"/>
    <w:p w14:paraId="76A44FF5" w14:textId="77777777" w:rsidR="001D23DB" w:rsidRPr="001D23DB" w:rsidRDefault="001D23DB" w:rsidP="003A0B8A">
      <w:pPr>
        <w:pStyle w:val="Ttulo3"/>
      </w:pPr>
      <w:bookmarkStart w:id="542" w:name="_Toc39797893"/>
      <w:r w:rsidRPr="001D23DB">
        <w:t>Procedimiento y Resultado de la Homologación</w:t>
      </w:r>
      <w:bookmarkEnd w:id="542"/>
    </w:p>
    <w:p w14:paraId="189C70F4" w14:textId="77777777" w:rsidR="001D23DB" w:rsidRDefault="001D23DB" w:rsidP="001D23DB">
      <w:r>
        <w:t>Para efectuar la asignación u homologación, se definió el siguiente criterio y/o procedimiento general:</w:t>
      </w:r>
    </w:p>
    <w:p w14:paraId="44A5F95D" w14:textId="77777777" w:rsidR="001D23DB" w:rsidRDefault="001D23DB" w:rsidP="00273FE4">
      <w:pPr>
        <w:numPr>
          <w:ilvl w:val="0"/>
          <w:numId w:val="6"/>
        </w:numPr>
        <w:ind w:left="567" w:hanging="567"/>
      </w:pPr>
      <w:r>
        <w:t xml:space="preserve">Conforme a sus respectivas denominaciones generales, asignar primero a cada activo de los rubros </w:t>
      </w:r>
      <w:r w:rsidRPr="001D23DB">
        <w:t>Empresas Eléctricas</w:t>
      </w:r>
      <w:r>
        <w:t xml:space="preserve"> (42 tipos de activo) y </w:t>
      </w:r>
      <w:r w:rsidRPr="001D23DB">
        <w:t>Activos Genéricos</w:t>
      </w:r>
      <w:r>
        <w:t xml:space="preserve"> de la Res. N°43 (29 tipos </w:t>
      </w:r>
      <w:r>
        <w:lastRenderedPageBreak/>
        <w:t>de activo), alguno de los contenidos en la Res. N°380 (15 tipos de activo), cuando resulte procedente, y aceptando repetición, por ejemplo:</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42"/>
        <w:gridCol w:w="3238"/>
      </w:tblGrid>
      <w:tr w:rsidR="001D23DB" w:rsidRPr="00891F98" w14:paraId="23C39106" w14:textId="77777777" w:rsidTr="00891F98">
        <w:trPr>
          <w:trHeight w:hRule="exact" w:val="284"/>
          <w:jc w:val="center"/>
        </w:trPr>
        <w:tc>
          <w:tcPr>
            <w:tcW w:w="4942" w:type="dxa"/>
            <w:shd w:val="clear" w:color="auto" w:fill="auto"/>
          </w:tcPr>
          <w:p w14:paraId="20FE52C7" w14:textId="4CF16001" w:rsidR="001D23DB" w:rsidRPr="00891F98" w:rsidRDefault="001D23DB" w:rsidP="00B64CE0">
            <w:pPr>
              <w:spacing w:before="20" w:after="20"/>
              <w:jc w:val="center"/>
              <w:rPr>
                <w:b/>
                <w:sz w:val="20"/>
                <w:szCs w:val="20"/>
              </w:rPr>
            </w:pPr>
            <w:r w:rsidRPr="00891F98">
              <w:rPr>
                <w:b/>
                <w:sz w:val="20"/>
                <w:szCs w:val="20"/>
              </w:rPr>
              <w:t>Activo Res. N°43</w:t>
            </w:r>
          </w:p>
        </w:tc>
        <w:tc>
          <w:tcPr>
            <w:tcW w:w="3238" w:type="dxa"/>
            <w:shd w:val="clear" w:color="auto" w:fill="auto"/>
          </w:tcPr>
          <w:p w14:paraId="57BA5E61" w14:textId="77777777" w:rsidR="001D23DB" w:rsidRPr="00891F98" w:rsidRDefault="001D23DB" w:rsidP="00B64CE0">
            <w:pPr>
              <w:spacing w:before="20" w:after="20"/>
              <w:jc w:val="center"/>
              <w:rPr>
                <w:b/>
                <w:sz w:val="20"/>
                <w:szCs w:val="20"/>
              </w:rPr>
            </w:pPr>
            <w:r w:rsidRPr="00891F98">
              <w:rPr>
                <w:b/>
                <w:sz w:val="20"/>
                <w:szCs w:val="20"/>
              </w:rPr>
              <w:t>Instalación Res. N°380</w:t>
            </w:r>
          </w:p>
        </w:tc>
      </w:tr>
      <w:tr w:rsidR="001D23DB" w:rsidRPr="00891F98" w14:paraId="152BBE7D" w14:textId="77777777" w:rsidTr="00891F98">
        <w:trPr>
          <w:trHeight w:hRule="exact" w:val="284"/>
          <w:jc w:val="center"/>
        </w:trPr>
        <w:tc>
          <w:tcPr>
            <w:tcW w:w="4942" w:type="dxa"/>
            <w:shd w:val="clear" w:color="auto" w:fill="auto"/>
            <w:vAlign w:val="bottom"/>
          </w:tcPr>
          <w:p w14:paraId="209F483B" w14:textId="77777777" w:rsidR="001D23DB" w:rsidRPr="00891F98" w:rsidRDefault="001D23DB" w:rsidP="00B64CE0">
            <w:pPr>
              <w:spacing w:before="20" w:after="20"/>
              <w:rPr>
                <w:color w:val="000000"/>
                <w:sz w:val="20"/>
                <w:szCs w:val="20"/>
              </w:rPr>
            </w:pPr>
            <w:r w:rsidRPr="00891F98">
              <w:rPr>
                <w:color w:val="000000"/>
                <w:sz w:val="20"/>
                <w:szCs w:val="20"/>
              </w:rPr>
              <w:t>Conductores (Líneas de alta tensión-Transporte)</w:t>
            </w:r>
            <w:r w:rsidRPr="00891F98">
              <w:rPr>
                <w:rStyle w:val="Refdenotaalpie"/>
                <w:color w:val="000000"/>
                <w:sz w:val="20"/>
                <w:szCs w:val="20"/>
              </w:rPr>
              <w:footnoteReference w:id="45"/>
            </w:r>
          </w:p>
        </w:tc>
        <w:tc>
          <w:tcPr>
            <w:tcW w:w="3238" w:type="dxa"/>
            <w:shd w:val="clear" w:color="auto" w:fill="auto"/>
          </w:tcPr>
          <w:p w14:paraId="19A2C9FD" w14:textId="77777777" w:rsidR="001D23DB" w:rsidRPr="00891F98" w:rsidRDefault="001D23DB" w:rsidP="00B64CE0">
            <w:pPr>
              <w:spacing w:before="20" w:after="20"/>
              <w:rPr>
                <w:sz w:val="20"/>
                <w:szCs w:val="20"/>
              </w:rPr>
            </w:pPr>
            <w:r w:rsidRPr="00891F98">
              <w:rPr>
                <w:sz w:val="20"/>
                <w:szCs w:val="20"/>
              </w:rPr>
              <w:t>Conductores y cables de guardias</w:t>
            </w:r>
          </w:p>
        </w:tc>
      </w:tr>
      <w:tr w:rsidR="001D23DB" w:rsidRPr="00891F98" w14:paraId="27473B93" w14:textId="77777777" w:rsidTr="00891F98">
        <w:trPr>
          <w:trHeight w:hRule="exact" w:val="284"/>
          <w:jc w:val="center"/>
        </w:trPr>
        <w:tc>
          <w:tcPr>
            <w:tcW w:w="4942" w:type="dxa"/>
            <w:shd w:val="clear" w:color="auto" w:fill="auto"/>
            <w:vAlign w:val="bottom"/>
          </w:tcPr>
          <w:p w14:paraId="4A377124" w14:textId="77777777" w:rsidR="001D23DB" w:rsidRPr="00891F98" w:rsidRDefault="001D23DB" w:rsidP="00B64CE0">
            <w:pPr>
              <w:spacing w:before="20" w:after="20"/>
              <w:rPr>
                <w:color w:val="000000"/>
                <w:sz w:val="20"/>
                <w:szCs w:val="20"/>
              </w:rPr>
            </w:pPr>
            <w:r w:rsidRPr="00891F98">
              <w:rPr>
                <w:color w:val="000000"/>
                <w:sz w:val="20"/>
                <w:szCs w:val="20"/>
              </w:rPr>
              <w:t>Conductores (Cables de alta tensión-Transporte.)</w:t>
            </w:r>
          </w:p>
        </w:tc>
        <w:tc>
          <w:tcPr>
            <w:tcW w:w="3238" w:type="dxa"/>
            <w:shd w:val="clear" w:color="auto" w:fill="auto"/>
          </w:tcPr>
          <w:p w14:paraId="4BFC409A" w14:textId="77777777" w:rsidR="001D23DB" w:rsidRPr="00891F98" w:rsidRDefault="001D23DB" w:rsidP="00B64CE0">
            <w:pPr>
              <w:spacing w:before="20" w:after="20"/>
              <w:rPr>
                <w:sz w:val="20"/>
                <w:szCs w:val="20"/>
              </w:rPr>
            </w:pPr>
            <w:r w:rsidRPr="00891F98">
              <w:rPr>
                <w:sz w:val="20"/>
                <w:szCs w:val="20"/>
              </w:rPr>
              <w:t>Conductores y cables de guardias</w:t>
            </w:r>
          </w:p>
        </w:tc>
      </w:tr>
      <w:tr w:rsidR="001D23DB" w:rsidRPr="00891F98" w14:paraId="3DDACDE9" w14:textId="77777777" w:rsidTr="00891F98">
        <w:trPr>
          <w:trHeight w:hRule="exact" w:val="284"/>
          <w:jc w:val="center"/>
        </w:trPr>
        <w:tc>
          <w:tcPr>
            <w:tcW w:w="4942" w:type="dxa"/>
            <w:shd w:val="clear" w:color="auto" w:fill="auto"/>
            <w:vAlign w:val="bottom"/>
          </w:tcPr>
          <w:p w14:paraId="72C531E5" w14:textId="77777777" w:rsidR="001D23DB" w:rsidRPr="00891F98" w:rsidRDefault="001D23DB" w:rsidP="00B64CE0">
            <w:pPr>
              <w:spacing w:before="20" w:after="20"/>
              <w:rPr>
                <w:color w:val="000000"/>
                <w:sz w:val="20"/>
                <w:szCs w:val="20"/>
              </w:rPr>
            </w:pPr>
            <w:r w:rsidRPr="00891F98">
              <w:rPr>
                <w:color w:val="000000"/>
                <w:sz w:val="20"/>
                <w:szCs w:val="20"/>
              </w:rPr>
              <w:t>Conductores (Líneas de alta tensión-Distribución.)</w:t>
            </w:r>
          </w:p>
        </w:tc>
        <w:tc>
          <w:tcPr>
            <w:tcW w:w="3238" w:type="dxa"/>
            <w:shd w:val="clear" w:color="auto" w:fill="auto"/>
          </w:tcPr>
          <w:p w14:paraId="12180093" w14:textId="77777777" w:rsidR="001D23DB" w:rsidRPr="00891F98" w:rsidRDefault="001D23DB" w:rsidP="00B64CE0">
            <w:pPr>
              <w:spacing w:before="20" w:after="20"/>
              <w:rPr>
                <w:sz w:val="20"/>
                <w:szCs w:val="20"/>
              </w:rPr>
            </w:pPr>
            <w:r w:rsidRPr="00891F98">
              <w:rPr>
                <w:sz w:val="20"/>
                <w:szCs w:val="20"/>
              </w:rPr>
              <w:t>Conductores y cables de guardias</w:t>
            </w:r>
          </w:p>
        </w:tc>
      </w:tr>
    </w:tbl>
    <w:p w14:paraId="0E1A3A91" w14:textId="77777777" w:rsidR="001D23DB" w:rsidRDefault="001D23DB" w:rsidP="004268A9">
      <w:pPr>
        <w:spacing w:after="0"/>
      </w:pPr>
    </w:p>
    <w:p w14:paraId="1F4574C4" w14:textId="77777777" w:rsidR="001D23DB" w:rsidRDefault="001D23DB" w:rsidP="00273FE4">
      <w:pPr>
        <w:numPr>
          <w:ilvl w:val="0"/>
          <w:numId w:val="6"/>
        </w:numPr>
        <w:ind w:left="567" w:hanging="567"/>
      </w:pPr>
      <w:r>
        <w:t xml:space="preserve">En caso de que la vida útil normal de todos los activos Res. N°43 asignados a uno de la Res. N°380 fuera la misma, se asigna a </w:t>
      </w:r>
      <w:proofErr w:type="gramStart"/>
      <w:r>
        <w:t>este último</w:t>
      </w:r>
      <w:proofErr w:type="gramEnd"/>
      <w:r>
        <w:t xml:space="preserve"> dicha vida útil normal. En caso de no serlo, se asigna al activo Res. N°380 la vida útil normal del activo de la Res N°43 cuya especificación se acerca más a la establecida para el primero.</w:t>
      </w:r>
    </w:p>
    <w:p w14:paraId="469D3D7F" w14:textId="77777777" w:rsidR="001D23DB" w:rsidRPr="004268A9" w:rsidRDefault="001D23DB" w:rsidP="004268A9">
      <w:pPr>
        <w:ind w:left="567"/>
      </w:pPr>
      <w:r>
        <w:t xml:space="preserve">En el caso del ejemplo, si la vida útil normal de los tres activos Res. N°43 mostrados fuera igual, se establece dicho valor como vida útil normal de la </w:t>
      </w:r>
      <w:r w:rsidRPr="00E02BCB">
        <w:t xml:space="preserve">instalación </w:t>
      </w:r>
      <w:r w:rsidRPr="004268A9">
        <w:t>Conductores y cables de guardias</w:t>
      </w:r>
      <w:r w:rsidRPr="00E02BCB">
        <w:t xml:space="preserve">. Si no </w:t>
      </w:r>
      <w:r>
        <w:t xml:space="preserve">lo </w:t>
      </w:r>
      <w:r w:rsidRPr="00E02BCB">
        <w:t xml:space="preserve">fuera, </w:t>
      </w:r>
      <w:r>
        <w:t xml:space="preserve">se </w:t>
      </w:r>
      <w:r w:rsidRPr="00E02BCB">
        <w:t xml:space="preserve">asigna la vida útil del activo Res. N°43 </w:t>
      </w:r>
      <w:r w:rsidRPr="004268A9">
        <w:t>Conductores (Líneas de alta tensión-Transporte) por entenderse su especificación más próxima a la de los conductores a valorar en el estudio.</w:t>
      </w:r>
    </w:p>
    <w:p w14:paraId="194D171E" w14:textId="77777777" w:rsidR="001D23DB" w:rsidRPr="00E02BCB" w:rsidRDefault="001D23DB" w:rsidP="00273FE4">
      <w:pPr>
        <w:numPr>
          <w:ilvl w:val="0"/>
          <w:numId w:val="6"/>
        </w:numPr>
        <w:ind w:left="567" w:hanging="567"/>
      </w:pPr>
      <w:r w:rsidRPr="001D23DB">
        <w:t>Si ningún activo de la Res. N°380 resulta asignado a alguno de la Res. N°43, se procede a buscar en alguna de las otras agrupaciones de la Res. N°43 distintas a Empresas Eléctricas o Activos Genéricos, por ejemplo, en el rubro Empresas de Telecomunicaciones, eligiendo aquellos que utilicen tecnologías similares al activo de la Res. N°380 que se quiere valorar.</w:t>
      </w:r>
    </w:p>
    <w:p w14:paraId="3D7C958B" w14:textId="33292263" w:rsidR="001B4185" w:rsidRDefault="001D23DB" w:rsidP="009E32FD">
      <w:pPr>
        <w:rPr>
          <w:rFonts w:cs="Calibri"/>
        </w:rPr>
      </w:pPr>
      <w:r w:rsidRPr="001D23DB">
        <w:rPr>
          <w:rFonts w:cs="Calibri"/>
        </w:rPr>
        <w:t>Se presenta a continuación el resultado de la homologación para cada una de los 15 tipos de instalación de la Res. N°380</w:t>
      </w:r>
      <w:r>
        <w:rPr>
          <w:rFonts w:cs="Calibri"/>
        </w:rPr>
        <w:t>.</w:t>
      </w:r>
    </w:p>
    <w:p w14:paraId="4F6E14B0" w14:textId="039C5088" w:rsidR="00F727A2" w:rsidRPr="003E08AB" w:rsidRDefault="00F727A2" w:rsidP="00B64CE0">
      <w:pPr>
        <w:pStyle w:val="Subttulo"/>
        <w:spacing w:after="120"/>
      </w:pPr>
      <w:bookmarkStart w:id="543" w:name="_Toc39797971"/>
      <w:r w:rsidRPr="002F3394">
        <w:t xml:space="preserve">Tabla </w:t>
      </w:r>
      <w:fldSimple w:instr=" SEQ Tabla \* ARABIC ">
        <w:r w:rsidR="001F3E2E">
          <w:rPr>
            <w:noProof/>
          </w:rPr>
          <w:t>61</w:t>
        </w:r>
      </w:fldSimple>
      <w:r>
        <w:t>: Homologación vidas útiles SII y CNE</w:t>
      </w:r>
      <w:bookmarkEnd w:id="543"/>
    </w:p>
    <w:tbl>
      <w:tblPr>
        <w:tblW w:w="0" w:type="auto"/>
        <w:jc w:val="center"/>
        <w:tblLayout w:type="fixed"/>
        <w:tblCellMar>
          <w:left w:w="57" w:type="dxa"/>
          <w:right w:w="57" w:type="dxa"/>
        </w:tblCellMar>
        <w:tblLook w:val="0000" w:firstRow="0" w:lastRow="0" w:firstColumn="0" w:lastColumn="0" w:noHBand="0" w:noVBand="0"/>
      </w:tblPr>
      <w:tblGrid>
        <w:gridCol w:w="1134"/>
        <w:gridCol w:w="6237"/>
        <w:gridCol w:w="1134"/>
        <w:gridCol w:w="1134"/>
      </w:tblGrid>
      <w:tr w:rsidR="00F727A2" w:rsidRPr="00CF2138" w14:paraId="68D4A776" w14:textId="77777777" w:rsidTr="00B64CE0">
        <w:trPr>
          <w:jc w:val="center"/>
        </w:trPr>
        <w:tc>
          <w:tcPr>
            <w:tcW w:w="1134" w:type="dxa"/>
            <w:vMerge w:val="restart"/>
            <w:tcBorders>
              <w:top w:val="single" w:sz="6" w:space="0" w:color="auto"/>
              <w:left w:val="single" w:sz="6" w:space="0" w:color="auto"/>
              <w:right w:val="single" w:sz="6" w:space="0" w:color="auto"/>
            </w:tcBorders>
            <w:shd w:val="pct15" w:color="auto" w:fill="auto"/>
            <w:vAlign w:val="center"/>
          </w:tcPr>
          <w:p w14:paraId="6F81BF73" w14:textId="3CCBE79D" w:rsidR="00F727A2" w:rsidRPr="00550128" w:rsidRDefault="00F727A2" w:rsidP="00B64CE0">
            <w:pPr>
              <w:spacing w:before="20" w:after="20"/>
              <w:jc w:val="center"/>
              <w:rPr>
                <w:b/>
                <w:bCs/>
                <w:color w:val="000000"/>
                <w:sz w:val="20"/>
                <w:szCs w:val="20"/>
              </w:rPr>
            </w:pPr>
            <w:r w:rsidRPr="00550128">
              <w:rPr>
                <w:b/>
                <w:bCs/>
                <w:color w:val="000000"/>
                <w:sz w:val="20"/>
                <w:szCs w:val="20"/>
              </w:rPr>
              <w:t>Correlativo</w:t>
            </w:r>
          </w:p>
        </w:tc>
        <w:tc>
          <w:tcPr>
            <w:tcW w:w="6237" w:type="dxa"/>
            <w:vMerge w:val="restart"/>
            <w:tcBorders>
              <w:top w:val="single" w:sz="6" w:space="0" w:color="auto"/>
              <w:left w:val="single" w:sz="6" w:space="0" w:color="auto"/>
              <w:right w:val="single" w:sz="6" w:space="0" w:color="auto"/>
            </w:tcBorders>
            <w:shd w:val="pct15" w:color="auto" w:fill="auto"/>
            <w:vAlign w:val="center"/>
          </w:tcPr>
          <w:p w14:paraId="5F9A8354" w14:textId="758152EA" w:rsidR="00F727A2" w:rsidRPr="00550128" w:rsidRDefault="00F727A2" w:rsidP="00B64CE0">
            <w:pPr>
              <w:spacing w:before="20" w:after="20"/>
              <w:jc w:val="center"/>
              <w:rPr>
                <w:b/>
                <w:bCs/>
                <w:color w:val="000000"/>
                <w:sz w:val="20"/>
                <w:szCs w:val="20"/>
              </w:rPr>
            </w:pPr>
            <w:r w:rsidRPr="00550128">
              <w:rPr>
                <w:b/>
                <w:sz w:val="20"/>
                <w:szCs w:val="20"/>
              </w:rPr>
              <w:t>Instalaciones económicamente identificables</w:t>
            </w:r>
          </w:p>
        </w:tc>
        <w:tc>
          <w:tcPr>
            <w:tcW w:w="1134" w:type="dxa"/>
            <w:tcBorders>
              <w:top w:val="single" w:sz="6" w:space="0" w:color="auto"/>
              <w:left w:val="nil"/>
              <w:bottom w:val="nil"/>
              <w:right w:val="single" w:sz="6" w:space="0" w:color="auto"/>
            </w:tcBorders>
            <w:shd w:val="pct15" w:color="auto" w:fill="auto"/>
            <w:vAlign w:val="center"/>
          </w:tcPr>
          <w:p w14:paraId="45AD24BA" w14:textId="77777777" w:rsidR="00F727A2" w:rsidRPr="00163736" w:rsidRDefault="00F727A2" w:rsidP="00B64CE0">
            <w:pPr>
              <w:autoSpaceDE w:val="0"/>
              <w:autoSpaceDN w:val="0"/>
              <w:adjustRightInd w:val="0"/>
              <w:spacing w:before="20" w:after="20"/>
              <w:jc w:val="center"/>
              <w:rPr>
                <w:rFonts w:cs="Calibri"/>
                <w:b/>
                <w:bCs/>
                <w:color w:val="000000"/>
                <w:sz w:val="20"/>
                <w:szCs w:val="20"/>
              </w:rPr>
            </w:pPr>
            <w:r w:rsidRPr="00163736">
              <w:rPr>
                <w:rFonts w:cs="Calibri"/>
                <w:b/>
                <w:bCs/>
                <w:color w:val="000000"/>
                <w:sz w:val="20"/>
                <w:szCs w:val="20"/>
              </w:rPr>
              <w:t>VU R.412</w:t>
            </w:r>
          </w:p>
        </w:tc>
        <w:tc>
          <w:tcPr>
            <w:tcW w:w="1134" w:type="dxa"/>
            <w:tcBorders>
              <w:top w:val="single" w:sz="6" w:space="0" w:color="auto"/>
              <w:left w:val="nil"/>
              <w:bottom w:val="nil"/>
              <w:right w:val="single" w:sz="6" w:space="0" w:color="auto"/>
            </w:tcBorders>
            <w:shd w:val="pct15" w:color="auto" w:fill="auto"/>
            <w:vAlign w:val="center"/>
          </w:tcPr>
          <w:p w14:paraId="1E66CD09" w14:textId="77777777" w:rsidR="00F727A2" w:rsidRPr="00163736" w:rsidRDefault="00F727A2" w:rsidP="00B64CE0">
            <w:pPr>
              <w:autoSpaceDE w:val="0"/>
              <w:autoSpaceDN w:val="0"/>
              <w:adjustRightInd w:val="0"/>
              <w:spacing w:before="20" w:after="20"/>
              <w:jc w:val="center"/>
              <w:rPr>
                <w:rFonts w:cs="Calibri"/>
                <w:b/>
                <w:bCs/>
                <w:color w:val="000000"/>
                <w:sz w:val="20"/>
                <w:szCs w:val="20"/>
              </w:rPr>
            </w:pPr>
            <w:r w:rsidRPr="00163736">
              <w:rPr>
                <w:rFonts w:cs="Calibri"/>
                <w:b/>
                <w:bCs/>
                <w:color w:val="000000"/>
                <w:sz w:val="20"/>
                <w:szCs w:val="20"/>
              </w:rPr>
              <w:t>VU SII</w:t>
            </w:r>
          </w:p>
        </w:tc>
      </w:tr>
      <w:tr w:rsidR="00F727A2" w:rsidRPr="00CF2138" w14:paraId="26E7A6BB" w14:textId="77777777" w:rsidTr="00B64CE0">
        <w:trPr>
          <w:jc w:val="center"/>
        </w:trPr>
        <w:tc>
          <w:tcPr>
            <w:tcW w:w="1134" w:type="dxa"/>
            <w:vMerge/>
            <w:tcBorders>
              <w:left w:val="single" w:sz="6" w:space="0" w:color="auto"/>
              <w:bottom w:val="single" w:sz="6" w:space="0" w:color="auto"/>
              <w:right w:val="single" w:sz="6" w:space="0" w:color="auto"/>
            </w:tcBorders>
            <w:shd w:val="pct15" w:color="auto" w:fill="auto"/>
            <w:vAlign w:val="center"/>
          </w:tcPr>
          <w:p w14:paraId="412947DD" w14:textId="77777777" w:rsidR="00F727A2" w:rsidRPr="00163736" w:rsidRDefault="00F727A2" w:rsidP="00B64CE0">
            <w:pPr>
              <w:autoSpaceDE w:val="0"/>
              <w:autoSpaceDN w:val="0"/>
              <w:adjustRightInd w:val="0"/>
              <w:spacing w:before="20" w:after="20"/>
              <w:jc w:val="center"/>
              <w:rPr>
                <w:rFonts w:cs="Calibri"/>
                <w:b/>
                <w:bCs/>
                <w:color w:val="000000"/>
                <w:sz w:val="20"/>
                <w:szCs w:val="20"/>
              </w:rPr>
            </w:pPr>
          </w:p>
        </w:tc>
        <w:tc>
          <w:tcPr>
            <w:tcW w:w="6237" w:type="dxa"/>
            <w:vMerge/>
            <w:tcBorders>
              <w:left w:val="single" w:sz="6" w:space="0" w:color="auto"/>
              <w:bottom w:val="single" w:sz="6" w:space="0" w:color="auto"/>
              <w:right w:val="single" w:sz="6" w:space="0" w:color="auto"/>
            </w:tcBorders>
            <w:shd w:val="pct15" w:color="auto" w:fill="auto"/>
            <w:vAlign w:val="center"/>
          </w:tcPr>
          <w:p w14:paraId="67B6B5A3" w14:textId="77777777" w:rsidR="00F727A2" w:rsidRPr="00163736" w:rsidRDefault="00F727A2" w:rsidP="00B64CE0">
            <w:pPr>
              <w:autoSpaceDE w:val="0"/>
              <w:autoSpaceDN w:val="0"/>
              <w:adjustRightInd w:val="0"/>
              <w:spacing w:before="20" w:after="20"/>
              <w:rPr>
                <w:rFonts w:cs="Calibri"/>
                <w:b/>
                <w:bCs/>
                <w:color w:val="000000"/>
                <w:sz w:val="20"/>
                <w:szCs w:val="20"/>
              </w:rPr>
            </w:pPr>
          </w:p>
        </w:tc>
        <w:tc>
          <w:tcPr>
            <w:tcW w:w="1134" w:type="dxa"/>
            <w:tcBorders>
              <w:top w:val="nil"/>
              <w:left w:val="nil"/>
              <w:bottom w:val="single" w:sz="6" w:space="0" w:color="auto"/>
              <w:right w:val="single" w:sz="6" w:space="0" w:color="auto"/>
            </w:tcBorders>
            <w:shd w:val="pct15" w:color="auto" w:fill="auto"/>
            <w:vAlign w:val="center"/>
          </w:tcPr>
          <w:p w14:paraId="67630B93" w14:textId="77777777" w:rsidR="00F727A2" w:rsidRPr="00163736" w:rsidRDefault="00F727A2" w:rsidP="00B64CE0">
            <w:pPr>
              <w:autoSpaceDE w:val="0"/>
              <w:autoSpaceDN w:val="0"/>
              <w:adjustRightInd w:val="0"/>
              <w:spacing w:before="20" w:after="20"/>
              <w:jc w:val="center"/>
              <w:rPr>
                <w:rFonts w:cs="Calibri"/>
                <w:b/>
                <w:bCs/>
                <w:color w:val="000000"/>
                <w:sz w:val="20"/>
                <w:szCs w:val="20"/>
              </w:rPr>
            </w:pPr>
            <w:r w:rsidRPr="00163736">
              <w:rPr>
                <w:rFonts w:cs="Calibri"/>
                <w:b/>
                <w:bCs/>
                <w:color w:val="000000"/>
                <w:sz w:val="20"/>
                <w:szCs w:val="20"/>
              </w:rPr>
              <w:t>(Años)</w:t>
            </w:r>
          </w:p>
        </w:tc>
        <w:tc>
          <w:tcPr>
            <w:tcW w:w="1134" w:type="dxa"/>
            <w:tcBorders>
              <w:top w:val="nil"/>
              <w:left w:val="nil"/>
              <w:bottom w:val="single" w:sz="6" w:space="0" w:color="auto"/>
              <w:right w:val="single" w:sz="6" w:space="0" w:color="auto"/>
            </w:tcBorders>
            <w:shd w:val="pct15" w:color="auto" w:fill="auto"/>
            <w:vAlign w:val="center"/>
          </w:tcPr>
          <w:p w14:paraId="5DBFECAE" w14:textId="77777777" w:rsidR="00F727A2" w:rsidRPr="00163736" w:rsidRDefault="00F727A2" w:rsidP="00B64CE0">
            <w:pPr>
              <w:autoSpaceDE w:val="0"/>
              <w:autoSpaceDN w:val="0"/>
              <w:adjustRightInd w:val="0"/>
              <w:spacing w:before="20" w:after="20"/>
              <w:jc w:val="center"/>
              <w:rPr>
                <w:rFonts w:cs="Calibri"/>
                <w:b/>
                <w:bCs/>
                <w:color w:val="000000"/>
                <w:sz w:val="20"/>
                <w:szCs w:val="20"/>
              </w:rPr>
            </w:pPr>
            <w:r w:rsidRPr="00163736">
              <w:rPr>
                <w:rFonts w:cs="Calibri"/>
                <w:b/>
                <w:bCs/>
                <w:color w:val="000000"/>
                <w:sz w:val="20"/>
                <w:szCs w:val="20"/>
              </w:rPr>
              <w:t>(Años)</w:t>
            </w:r>
          </w:p>
        </w:tc>
      </w:tr>
      <w:tr w:rsidR="00163736" w:rsidRPr="00CF2138" w14:paraId="716FC7CF" w14:textId="77777777" w:rsidTr="00B64CE0">
        <w:trPr>
          <w:jc w:val="center"/>
        </w:trPr>
        <w:tc>
          <w:tcPr>
            <w:tcW w:w="1134" w:type="dxa"/>
            <w:tcBorders>
              <w:top w:val="nil"/>
              <w:left w:val="single" w:sz="6" w:space="0" w:color="auto"/>
              <w:bottom w:val="single" w:sz="6" w:space="0" w:color="auto"/>
              <w:right w:val="single" w:sz="6" w:space="0" w:color="auto"/>
            </w:tcBorders>
            <w:shd w:val="clear" w:color="auto" w:fill="auto"/>
            <w:vAlign w:val="center"/>
          </w:tcPr>
          <w:p w14:paraId="1FF40D68" w14:textId="77777777" w:rsidR="00163736" w:rsidRPr="00163736" w:rsidRDefault="00163736" w:rsidP="00B64CE0">
            <w:pPr>
              <w:autoSpaceDE w:val="0"/>
              <w:autoSpaceDN w:val="0"/>
              <w:adjustRightInd w:val="0"/>
              <w:spacing w:before="20" w:after="20"/>
              <w:jc w:val="center"/>
              <w:rPr>
                <w:rFonts w:cs="Calibri"/>
                <w:color w:val="000000"/>
                <w:sz w:val="20"/>
                <w:szCs w:val="20"/>
              </w:rPr>
            </w:pPr>
            <w:r w:rsidRPr="00163736">
              <w:rPr>
                <w:rFonts w:cs="Calibri"/>
                <w:color w:val="000000"/>
                <w:sz w:val="20"/>
                <w:szCs w:val="20"/>
              </w:rPr>
              <w:t>1</w:t>
            </w:r>
          </w:p>
        </w:tc>
        <w:tc>
          <w:tcPr>
            <w:tcW w:w="6237" w:type="dxa"/>
            <w:tcBorders>
              <w:top w:val="nil"/>
              <w:left w:val="single" w:sz="6" w:space="0" w:color="auto"/>
              <w:bottom w:val="single" w:sz="6" w:space="0" w:color="auto"/>
              <w:right w:val="single" w:sz="6" w:space="0" w:color="auto"/>
            </w:tcBorders>
            <w:shd w:val="clear" w:color="auto" w:fill="auto"/>
            <w:vAlign w:val="center"/>
          </w:tcPr>
          <w:p w14:paraId="70B30E78" w14:textId="77777777" w:rsidR="00163736" w:rsidRPr="00163736" w:rsidRDefault="00163736" w:rsidP="00B64CE0">
            <w:pPr>
              <w:autoSpaceDE w:val="0"/>
              <w:autoSpaceDN w:val="0"/>
              <w:adjustRightInd w:val="0"/>
              <w:spacing w:before="20" w:after="20"/>
              <w:rPr>
                <w:rFonts w:cs="Calibri"/>
                <w:color w:val="000000"/>
                <w:sz w:val="20"/>
                <w:szCs w:val="20"/>
              </w:rPr>
            </w:pPr>
            <w:r w:rsidRPr="00163736">
              <w:rPr>
                <w:rFonts w:cs="Calibri"/>
                <w:color w:val="000000"/>
                <w:sz w:val="20"/>
                <w:szCs w:val="20"/>
              </w:rPr>
              <w:t>Derechos relacionados con el uso de suelo y medio ambiente</w:t>
            </w:r>
          </w:p>
        </w:tc>
        <w:tc>
          <w:tcPr>
            <w:tcW w:w="1134" w:type="dxa"/>
            <w:tcBorders>
              <w:top w:val="nil"/>
              <w:left w:val="single" w:sz="6" w:space="0" w:color="auto"/>
              <w:bottom w:val="single" w:sz="6" w:space="0" w:color="auto"/>
              <w:right w:val="single" w:sz="6" w:space="0" w:color="auto"/>
            </w:tcBorders>
            <w:shd w:val="clear" w:color="auto" w:fill="auto"/>
            <w:vAlign w:val="center"/>
          </w:tcPr>
          <w:p w14:paraId="203EFA92" w14:textId="77777777" w:rsidR="00163736" w:rsidRPr="00163736" w:rsidRDefault="00163736" w:rsidP="00B64CE0">
            <w:pPr>
              <w:autoSpaceDE w:val="0"/>
              <w:autoSpaceDN w:val="0"/>
              <w:adjustRightInd w:val="0"/>
              <w:spacing w:before="20" w:after="20"/>
              <w:jc w:val="center"/>
              <w:rPr>
                <w:rFonts w:cs="Calibri"/>
                <w:color w:val="000000"/>
                <w:sz w:val="20"/>
                <w:szCs w:val="20"/>
              </w:rPr>
            </w:pPr>
            <w:r w:rsidRPr="00163736">
              <w:rPr>
                <w:rFonts w:cs="Calibri"/>
                <w:color w:val="000000"/>
                <w:sz w:val="20"/>
                <w:szCs w:val="20"/>
              </w:rPr>
              <w:t>Perpetuidad</w:t>
            </w:r>
          </w:p>
        </w:tc>
        <w:tc>
          <w:tcPr>
            <w:tcW w:w="1134" w:type="dxa"/>
            <w:tcBorders>
              <w:top w:val="nil"/>
              <w:left w:val="single" w:sz="6" w:space="0" w:color="auto"/>
              <w:bottom w:val="single" w:sz="6" w:space="0" w:color="auto"/>
              <w:right w:val="single" w:sz="6" w:space="0" w:color="auto"/>
            </w:tcBorders>
            <w:shd w:val="clear" w:color="auto" w:fill="auto"/>
            <w:vAlign w:val="center"/>
          </w:tcPr>
          <w:p w14:paraId="2B1F78F3" w14:textId="77777777" w:rsidR="00163736" w:rsidRPr="00163736" w:rsidRDefault="00163736" w:rsidP="00B64CE0">
            <w:pPr>
              <w:autoSpaceDE w:val="0"/>
              <w:autoSpaceDN w:val="0"/>
              <w:adjustRightInd w:val="0"/>
              <w:spacing w:before="20" w:after="20"/>
              <w:jc w:val="center"/>
              <w:rPr>
                <w:rFonts w:cs="Calibri"/>
                <w:color w:val="000000"/>
                <w:sz w:val="20"/>
                <w:szCs w:val="20"/>
              </w:rPr>
            </w:pPr>
            <w:r w:rsidRPr="00163736">
              <w:rPr>
                <w:rFonts w:cs="Calibri"/>
                <w:color w:val="000000"/>
                <w:sz w:val="20"/>
                <w:szCs w:val="20"/>
              </w:rPr>
              <w:t>Perpetuidad</w:t>
            </w:r>
          </w:p>
        </w:tc>
      </w:tr>
      <w:tr w:rsidR="00163736" w:rsidRPr="00CF2138" w14:paraId="21004156" w14:textId="77777777" w:rsidTr="00B64CE0">
        <w:trPr>
          <w:jc w:val="center"/>
        </w:trPr>
        <w:tc>
          <w:tcPr>
            <w:tcW w:w="1134" w:type="dxa"/>
            <w:tcBorders>
              <w:top w:val="single" w:sz="6" w:space="0" w:color="auto"/>
              <w:left w:val="single" w:sz="6" w:space="0" w:color="auto"/>
              <w:bottom w:val="single" w:sz="6" w:space="0" w:color="auto"/>
              <w:right w:val="single" w:sz="6" w:space="0" w:color="auto"/>
            </w:tcBorders>
            <w:shd w:val="clear" w:color="auto" w:fill="auto"/>
            <w:vAlign w:val="center"/>
          </w:tcPr>
          <w:p w14:paraId="68513F9E" w14:textId="77777777" w:rsidR="00163736" w:rsidRPr="00163736" w:rsidRDefault="00163736" w:rsidP="00B64CE0">
            <w:pPr>
              <w:autoSpaceDE w:val="0"/>
              <w:autoSpaceDN w:val="0"/>
              <w:adjustRightInd w:val="0"/>
              <w:spacing w:before="20" w:after="20"/>
              <w:jc w:val="center"/>
              <w:rPr>
                <w:rFonts w:cs="Calibri"/>
                <w:color w:val="000000"/>
                <w:sz w:val="20"/>
                <w:szCs w:val="20"/>
              </w:rPr>
            </w:pPr>
            <w:r w:rsidRPr="00163736">
              <w:rPr>
                <w:rFonts w:cs="Calibri"/>
                <w:color w:val="000000"/>
                <w:sz w:val="20"/>
                <w:szCs w:val="20"/>
              </w:rPr>
              <w:t>2</w:t>
            </w:r>
          </w:p>
        </w:tc>
        <w:tc>
          <w:tcPr>
            <w:tcW w:w="6237" w:type="dxa"/>
            <w:tcBorders>
              <w:top w:val="single" w:sz="6" w:space="0" w:color="auto"/>
              <w:left w:val="single" w:sz="6" w:space="0" w:color="auto"/>
              <w:bottom w:val="single" w:sz="6" w:space="0" w:color="auto"/>
              <w:right w:val="single" w:sz="6" w:space="0" w:color="auto"/>
            </w:tcBorders>
            <w:shd w:val="clear" w:color="auto" w:fill="auto"/>
            <w:vAlign w:val="center"/>
          </w:tcPr>
          <w:p w14:paraId="10026E23" w14:textId="77777777" w:rsidR="00163736" w:rsidRPr="00163736" w:rsidRDefault="00163736" w:rsidP="00B64CE0">
            <w:pPr>
              <w:autoSpaceDE w:val="0"/>
              <w:autoSpaceDN w:val="0"/>
              <w:adjustRightInd w:val="0"/>
              <w:spacing w:before="20" w:after="20"/>
              <w:rPr>
                <w:rFonts w:cs="Calibri"/>
                <w:color w:val="000000"/>
                <w:sz w:val="20"/>
                <w:szCs w:val="20"/>
              </w:rPr>
            </w:pPr>
            <w:r w:rsidRPr="00163736">
              <w:rPr>
                <w:rFonts w:cs="Calibri"/>
                <w:color w:val="000000"/>
                <w:sz w:val="20"/>
                <w:szCs w:val="20"/>
              </w:rPr>
              <w:t>Obras civiles</w:t>
            </w:r>
          </w:p>
        </w:tc>
        <w:tc>
          <w:tcPr>
            <w:tcW w:w="1134" w:type="dxa"/>
            <w:tcBorders>
              <w:top w:val="single" w:sz="6" w:space="0" w:color="auto"/>
              <w:left w:val="single" w:sz="6" w:space="0" w:color="auto"/>
              <w:bottom w:val="single" w:sz="6" w:space="0" w:color="auto"/>
              <w:right w:val="single" w:sz="6" w:space="0" w:color="auto"/>
            </w:tcBorders>
            <w:shd w:val="clear" w:color="auto" w:fill="auto"/>
            <w:vAlign w:val="center"/>
          </w:tcPr>
          <w:p w14:paraId="4847F11B" w14:textId="77777777" w:rsidR="00163736" w:rsidRPr="00163736" w:rsidRDefault="00163736" w:rsidP="00B64CE0">
            <w:pPr>
              <w:autoSpaceDE w:val="0"/>
              <w:autoSpaceDN w:val="0"/>
              <w:adjustRightInd w:val="0"/>
              <w:spacing w:before="20" w:after="20"/>
              <w:jc w:val="center"/>
              <w:rPr>
                <w:rFonts w:cs="Calibri"/>
                <w:color w:val="000000"/>
                <w:sz w:val="20"/>
                <w:szCs w:val="20"/>
              </w:rPr>
            </w:pPr>
            <w:r w:rsidRPr="00163736">
              <w:rPr>
                <w:rFonts w:cs="Calibri"/>
                <w:color w:val="000000"/>
                <w:sz w:val="20"/>
                <w:szCs w:val="20"/>
              </w:rPr>
              <w:t>50</w:t>
            </w:r>
          </w:p>
        </w:tc>
        <w:tc>
          <w:tcPr>
            <w:tcW w:w="1134" w:type="dxa"/>
            <w:tcBorders>
              <w:top w:val="single" w:sz="6" w:space="0" w:color="auto"/>
              <w:left w:val="single" w:sz="6" w:space="0" w:color="auto"/>
              <w:bottom w:val="single" w:sz="6" w:space="0" w:color="auto"/>
              <w:right w:val="single" w:sz="6" w:space="0" w:color="auto"/>
            </w:tcBorders>
            <w:shd w:val="clear" w:color="auto" w:fill="auto"/>
            <w:vAlign w:val="center"/>
          </w:tcPr>
          <w:p w14:paraId="0AF98216" w14:textId="77777777" w:rsidR="00163736" w:rsidRPr="00163736" w:rsidRDefault="00163736" w:rsidP="00B64CE0">
            <w:pPr>
              <w:autoSpaceDE w:val="0"/>
              <w:autoSpaceDN w:val="0"/>
              <w:adjustRightInd w:val="0"/>
              <w:spacing w:before="20" w:after="20"/>
              <w:jc w:val="center"/>
              <w:rPr>
                <w:rFonts w:cs="Calibri"/>
                <w:color w:val="000000"/>
                <w:sz w:val="20"/>
                <w:szCs w:val="20"/>
              </w:rPr>
            </w:pPr>
            <w:r w:rsidRPr="00163736">
              <w:rPr>
                <w:rFonts w:cs="Calibri"/>
                <w:color w:val="000000"/>
                <w:sz w:val="20"/>
                <w:szCs w:val="20"/>
              </w:rPr>
              <w:t>20</w:t>
            </w:r>
          </w:p>
        </w:tc>
      </w:tr>
      <w:tr w:rsidR="00163736" w:rsidRPr="00CF2138" w14:paraId="4E46BA47" w14:textId="77777777" w:rsidTr="00B64CE0">
        <w:trPr>
          <w:jc w:val="center"/>
        </w:trPr>
        <w:tc>
          <w:tcPr>
            <w:tcW w:w="1134" w:type="dxa"/>
            <w:tcBorders>
              <w:top w:val="single" w:sz="6" w:space="0" w:color="auto"/>
              <w:left w:val="single" w:sz="6" w:space="0" w:color="auto"/>
              <w:bottom w:val="single" w:sz="6" w:space="0" w:color="auto"/>
              <w:right w:val="single" w:sz="6" w:space="0" w:color="auto"/>
            </w:tcBorders>
            <w:shd w:val="clear" w:color="auto" w:fill="auto"/>
            <w:vAlign w:val="center"/>
          </w:tcPr>
          <w:p w14:paraId="21D754B0" w14:textId="77777777" w:rsidR="00163736" w:rsidRPr="00163736" w:rsidRDefault="00163736" w:rsidP="00B64CE0">
            <w:pPr>
              <w:autoSpaceDE w:val="0"/>
              <w:autoSpaceDN w:val="0"/>
              <w:adjustRightInd w:val="0"/>
              <w:spacing w:before="20" w:after="20"/>
              <w:jc w:val="center"/>
              <w:rPr>
                <w:rFonts w:cs="Calibri"/>
                <w:color w:val="000000"/>
                <w:sz w:val="20"/>
                <w:szCs w:val="20"/>
              </w:rPr>
            </w:pPr>
            <w:r w:rsidRPr="00163736">
              <w:rPr>
                <w:rFonts w:cs="Calibri"/>
                <w:color w:val="000000"/>
                <w:sz w:val="20"/>
                <w:szCs w:val="20"/>
              </w:rPr>
              <w:t>3</w:t>
            </w:r>
          </w:p>
        </w:tc>
        <w:tc>
          <w:tcPr>
            <w:tcW w:w="6237" w:type="dxa"/>
            <w:tcBorders>
              <w:top w:val="single" w:sz="6" w:space="0" w:color="auto"/>
              <w:left w:val="single" w:sz="6" w:space="0" w:color="auto"/>
              <w:bottom w:val="single" w:sz="6" w:space="0" w:color="auto"/>
              <w:right w:val="single" w:sz="6" w:space="0" w:color="auto"/>
            </w:tcBorders>
            <w:shd w:val="clear" w:color="auto" w:fill="auto"/>
            <w:vAlign w:val="center"/>
          </w:tcPr>
          <w:p w14:paraId="5CD8B29C" w14:textId="77777777" w:rsidR="00163736" w:rsidRPr="00163736" w:rsidRDefault="00163736" w:rsidP="00B64CE0">
            <w:pPr>
              <w:autoSpaceDE w:val="0"/>
              <w:autoSpaceDN w:val="0"/>
              <w:adjustRightInd w:val="0"/>
              <w:spacing w:before="20" w:after="20"/>
              <w:rPr>
                <w:rFonts w:cs="Calibri"/>
                <w:color w:val="000000"/>
                <w:sz w:val="20"/>
                <w:szCs w:val="20"/>
              </w:rPr>
            </w:pPr>
            <w:r w:rsidRPr="00163736">
              <w:rPr>
                <w:rFonts w:cs="Calibri"/>
                <w:color w:val="000000"/>
                <w:sz w:val="20"/>
                <w:szCs w:val="20"/>
              </w:rPr>
              <w:t>Estructuras de líneas y/o subestaciones</w:t>
            </w:r>
          </w:p>
        </w:tc>
        <w:tc>
          <w:tcPr>
            <w:tcW w:w="1134" w:type="dxa"/>
            <w:tcBorders>
              <w:top w:val="single" w:sz="6" w:space="0" w:color="auto"/>
              <w:left w:val="single" w:sz="6" w:space="0" w:color="auto"/>
              <w:bottom w:val="single" w:sz="6" w:space="0" w:color="auto"/>
              <w:right w:val="single" w:sz="6" w:space="0" w:color="auto"/>
            </w:tcBorders>
            <w:shd w:val="clear" w:color="auto" w:fill="auto"/>
            <w:vAlign w:val="center"/>
          </w:tcPr>
          <w:p w14:paraId="0049003D" w14:textId="77777777" w:rsidR="00163736" w:rsidRPr="00163736" w:rsidRDefault="00163736" w:rsidP="00B64CE0">
            <w:pPr>
              <w:autoSpaceDE w:val="0"/>
              <w:autoSpaceDN w:val="0"/>
              <w:adjustRightInd w:val="0"/>
              <w:spacing w:before="20" w:after="20"/>
              <w:jc w:val="center"/>
              <w:rPr>
                <w:rFonts w:cs="Calibri"/>
                <w:color w:val="000000"/>
                <w:sz w:val="20"/>
                <w:szCs w:val="20"/>
              </w:rPr>
            </w:pPr>
            <w:r w:rsidRPr="00163736">
              <w:rPr>
                <w:rFonts w:cs="Calibri"/>
                <w:color w:val="000000"/>
                <w:sz w:val="20"/>
                <w:szCs w:val="20"/>
              </w:rPr>
              <w:t>50</w:t>
            </w:r>
          </w:p>
        </w:tc>
        <w:tc>
          <w:tcPr>
            <w:tcW w:w="1134" w:type="dxa"/>
            <w:tcBorders>
              <w:top w:val="single" w:sz="6" w:space="0" w:color="auto"/>
              <w:left w:val="single" w:sz="6" w:space="0" w:color="auto"/>
              <w:bottom w:val="single" w:sz="6" w:space="0" w:color="auto"/>
              <w:right w:val="single" w:sz="6" w:space="0" w:color="auto"/>
            </w:tcBorders>
            <w:shd w:val="clear" w:color="auto" w:fill="auto"/>
            <w:vAlign w:val="center"/>
          </w:tcPr>
          <w:p w14:paraId="0B9AD76A" w14:textId="77777777" w:rsidR="00163736" w:rsidRPr="00163736" w:rsidRDefault="00163736" w:rsidP="00B64CE0">
            <w:pPr>
              <w:autoSpaceDE w:val="0"/>
              <w:autoSpaceDN w:val="0"/>
              <w:adjustRightInd w:val="0"/>
              <w:spacing w:before="20" w:after="20"/>
              <w:jc w:val="center"/>
              <w:rPr>
                <w:rFonts w:cs="Calibri"/>
                <w:color w:val="000000"/>
                <w:sz w:val="20"/>
                <w:szCs w:val="20"/>
              </w:rPr>
            </w:pPr>
            <w:r w:rsidRPr="00163736">
              <w:rPr>
                <w:rFonts w:cs="Calibri"/>
                <w:color w:val="000000"/>
                <w:sz w:val="20"/>
                <w:szCs w:val="20"/>
              </w:rPr>
              <w:t>20</w:t>
            </w:r>
          </w:p>
        </w:tc>
      </w:tr>
      <w:tr w:rsidR="00163736" w:rsidRPr="00CF2138" w14:paraId="3E28148D" w14:textId="77777777" w:rsidTr="00B64CE0">
        <w:trPr>
          <w:jc w:val="center"/>
        </w:trPr>
        <w:tc>
          <w:tcPr>
            <w:tcW w:w="1134" w:type="dxa"/>
            <w:tcBorders>
              <w:top w:val="single" w:sz="6" w:space="0" w:color="auto"/>
              <w:left w:val="single" w:sz="6" w:space="0" w:color="auto"/>
              <w:bottom w:val="single" w:sz="6" w:space="0" w:color="auto"/>
              <w:right w:val="single" w:sz="6" w:space="0" w:color="auto"/>
            </w:tcBorders>
            <w:shd w:val="clear" w:color="auto" w:fill="auto"/>
            <w:vAlign w:val="center"/>
          </w:tcPr>
          <w:p w14:paraId="0A650390" w14:textId="77777777" w:rsidR="00163736" w:rsidRPr="00163736" w:rsidRDefault="00163736" w:rsidP="00B64CE0">
            <w:pPr>
              <w:autoSpaceDE w:val="0"/>
              <w:autoSpaceDN w:val="0"/>
              <w:adjustRightInd w:val="0"/>
              <w:spacing w:before="20" w:after="20"/>
              <w:jc w:val="center"/>
              <w:rPr>
                <w:rFonts w:cs="Calibri"/>
                <w:color w:val="000000"/>
                <w:sz w:val="20"/>
                <w:szCs w:val="20"/>
              </w:rPr>
            </w:pPr>
            <w:r w:rsidRPr="00163736">
              <w:rPr>
                <w:rFonts w:cs="Calibri"/>
                <w:color w:val="000000"/>
                <w:sz w:val="20"/>
                <w:szCs w:val="20"/>
              </w:rPr>
              <w:t>4</w:t>
            </w:r>
          </w:p>
        </w:tc>
        <w:tc>
          <w:tcPr>
            <w:tcW w:w="6237" w:type="dxa"/>
            <w:tcBorders>
              <w:top w:val="single" w:sz="6" w:space="0" w:color="auto"/>
              <w:left w:val="single" w:sz="6" w:space="0" w:color="auto"/>
              <w:bottom w:val="single" w:sz="6" w:space="0" w:color="auto"/>
              <w:right w:val="single" w:sz="6" w:space="0" w:color="auto"/>
            </w:tcBorders>
            <w:shd w:val="clear" w:color="auto" w:fill="auto"/>
            <w:vAlign w:val="center"/>
          </w:tcPr>
          <w:p w14:paraId="60466455" w14:textId="77777777" w:rsidR="00163736" w:rsidRPr="00163736" w:rsidRDefault="00163736" w:rsidP="00B64CE0">
            <w:pPr>
              <w:autoSpaceDE w:val="0"/>
              <w:autoSpaceDN w:val="0"/>
              <w:adjustRightInd w:val="0"/>
              <w:spacing w:before="20" w:after="20"/>
              <w:rPr>
                <w:rFonts w:cs="Calibri"/>
                <w:color w:val="000000"/>
                <w:sz w:val="20"/>
                <w:szCs w:val="20"/>
              </w:rPr>
            </w:pPr>
            <w:r w:rsidRPr="00163736">
              <w:rPr>
                <w:rFonts w:cs="Calibri"/>
                <w:color w:val="000000"/>
                <w:sz w:val="20"/>
                <w:szCs w:val="20"/>
              </w:rPr>
              <w:t>Elementos de sujeción y aislación</w:t>
            </w:r>
          </w:p>
        </w:tc>
        <w:tc>
          <w:tcPr>
            <w:tcW w:w="1134" w:type="dxa"/>
            <w:tcBorders>
              <w:top w:val="single" w:sz="6" w:space="0" w:color="auto"/>
              <w:left w:val="single" w:sz="6" w:space="0" w:color="auto"/>
              <w:bottom w:val="single" w:sz="6" w:space="0" w:color="auto"/>
              <w:right w:val="single" w:sz="6" w:space="0" w:color="auto"/>
            </w:tcBorders>
            <w:shd w:val="clear" w:color="auto" w:fill="auto"/>
            <w:vAlign w:val="center"/>
          </w:tcPr>
          <w:p w14:paraId="0783F37D" w14:textId="77777777" w:rsidR="00163736" w:rsidRPr="00163736" w:rsidRDefault="00163736" w:rsidP="00B64CE0">
            <w:pPr>
              <w:autoSpaceDE w:val="0"/>
              <w:autoSpaceDN w:val="0"/>
              <w:adjustRightInd w:val="0"/>
              <w:spacing w:before="20" w:after="20"/>
              <w:jc w:val="center"/>
              <w:rPr>
                <w:rFonts w:cs="Calibri"/>
                <w:color w:val="000000"/>
                <w:sz w:val="20"/>
                <w:szCs w:val="20"/>
              </w:rPr>
            </w:pPr>
            <w:r w:rsidRPr="00163736">
              <w:rPr>
                <w:rFonts w:cs="Calibri"/>
                <w:color w:val="000000"/>
                <w:sz w:val="20"/>
                <w:szCs w:val="20"/>
              </w:rPr>
              <w:t>30</w:t>
            </w:r>
          </w:p>
        </w:tc>
        <w:tc>
          <w:tcPr>
            <w:tcW w:w="1134" w:type="dxa"/>
            <w:tcBorders>
              <w:top w:val="single" w:sz="6" w:space="0" w:color="auto"/>
              <w:left w:val="single" w:sz="6" w:space="0" w:color="auto"/>
              <w:bottom w:val="single" w:sz="6" w:space="0" w:color="auto"/>
              <w:right w:val="single" w:sz="6" w:space="0" w:color="auto"/>
            </w:tcBorders>
            <w:shd w:val="clear" w:color="auto" w:fill="auto"/>
            <w:vAlign w:val="center"/>
          </w:tcPr>
          <w:p w14:paraId="6C20B762" w14:textId="77777777" w:rsidR="00163736" w:rsidRPr="00163736" w:rsidRDefault="00163736" w:rsidP="00B64CE0">
            <w:pPr>
              <w:autoSpaceDE w:val="0"/>
              <w:autoSpaceDN w:val="0"/>
              <w:adjustRightInd w:val="0"/>
              <w:spacing w:before="20" w:after="20"/>
              <w:jc w:val="center"/>
              <w:rPr>
                <w:rFonts w:cs="Calibri"/>
                <w:color w:val="000000"/>
                <w:sz w:val="20"/>
                <w:szCs w:val="20"/>
              </w:rPr>
            </w:pPr>
            <w:r w:rsidRPr="00163736">
              <w:rPr>
                <w:rFonts w:cs="Calibri"/>
                <w:color w:val="000000"/>
                <w:sz w:val="20"/>
                <w:szCs w:val="20"/>
              </w:rPr>
              <w:t>10</w:t>
            </w:r>
          </w:p>
        </w:tc>
      </w:tr>
      <w:tr w:rsidR="00163736" w:rsidRPr="00CF2138" w14:paraId="5C9CED3D" w14:textId="77777777" w:rsidTr="00B64CE0">
        <w:trPr>
          <w:jc w:val="center"/>
        </w:trPr>
        <w:tc>
          <w:tcPr>
            <w:tcW w:w="1134" w:type="dxa"/>
            <w:tcBorders>
              <w:top w:val="single" w:sz="6" w:space="0" w:color="auto"/>
              <w:left w:val="single" w:sz="6" w:space="0" w:color="auto"/>
              <w:bottom w:val="single" w:sz="6" w:space="0" w:color="auto"/>
              <w:right w:val="single" w:sz="6" w:space="0" w:color="auto"/>
            </w:tcBorders>
            <w:shd w:val="clear" w:color="auto" w:fill="auto"/>
            <w:vAlign w:val="center"/>
          </w:tcPr>
          <w:p w14:paraId="22A93912" w14:textId="77777777" w:rsidR="00163736" w:rsidRPr="00163736" w:rsidRDefault="00163736" w:rsidP="00B64CE0">
            <w:pPr>
              <w:autoSpaceDE w:val="0"/>
              <w:autoSpaceDN w:val="0"/>
              <w:adjustRightInd w:val="0"/>
              <w:spacing w:before="20" w:after="20"/>
              <w:jc w:val="center"/>
              <w:rPr>
                <w:rFonts w:cs="Calibri"/>
                <w:color w:val="000000"/>
                <w:sz w:val="20"/>
                <w:szCs w:val="20"/>
              </w:rPr>
            </w:pPr>
            <w:r w:rsidRPr="00163736">
              <w:rPr>
                <w:rFonts w:cs="Calibri"/>
                <w:color w:val="000000"/>
                <w:sz w:val="20"/>
                <w:szCs w:val="20"/>
              </w:rPr>
              <w:t>5</w:t>
            </w:r>
          </w:p>
        </w:tc>
        <w:tc>
          <w:tcPr>
            <w:tcW w:w="6237" w:type="dxa"/>
            <w:tcBorders>
              <w:top w:val="single" w:sz="6" w:space="0" w:color="auto"/>
              <w:left w:val="single" w:sz="6" w:space="0" w:color="auto"/>
              <w:bottom w:val="single" w:sz="6" w:space="0" w:color="auto"/>
              <w:right w:val="single" w:sz="6" w:space="0" w:color="auto"/>
            </w:tcBorders>
            <w:shd w:val="clear" w:color="auto" w:fill="auto"/>
            <w:vAlign w:val="center"/>
          </w:tcPr>
          <w:p w14:paraId="50FF24D4" w14:textId="77777777" w:rsidR="00163736" w:rsidRPr="00163736" w:rsidRDefault="00163736" w:rsidP="00B64CE0">
            <w:pPr>
              <w:autoSpaceDE w:val="0"/>
              <w:autoSpaceDN w:val="0"/>
              <w:adjustRightInd w:val="0"/>
              <w:spacing w:before="20" w:after="20"/>
              <w:rPr>
                <w:rFonts w:cs="Calibri"/>
                <w:color w:val="000000"/>
                <w:sz w:val="20"/>
                <w:szCs w:val="20"/>
              </w:rPr>
            </w:pPr>
            <w:r w:rsidRPr="00163736">
              <w:rPr>
                <w:rFonts w:cs="Calibri"/>
                <w:color w:val="000000"/>
                <w:sz w:val="20"/>
                <w:szCs w:val="20"/>
              </w:rPr>
              <w:t>Equipamiento electromecánico y electromagnético</w:t>
            </w:r>
          </w:p>
        </w:tc>
        <w:tc>
          <w:tcPr>
            <w:tcW w:w="1134" w:type="dxa"/>
            <w:tcBorders>
              <w:top w:val="single" w:sz="6" w:space="0" w:color="auto"/>
              <w:left w:val="single" w:sz="6" w:space="0" w:color="auto"/>
              <w:bottom w:val="single" w:sz="6" w:space="0" w:color="auto"/>
              <w:right w:val="single" w:sz="6" w:space="0" w:color="auto"/>
            </w:tcBorders>
            <w:shd w:val="clear" w:color="auto" w:fill="auto"/>
            <w:vAlign w:val="center"/>
          </w:tcPr>
          <w:p w14:paraId="6734C92E" w14:textId="77777777" w:rsidR="00163736" w:rsidRPr="00163736" w:rsidRDefault="00163736" w:rsidP="00B64CE0">
            <w:pPr>
              <w:autoSpaceDE w:val="0"/>
              <w:autoSpaceDN w:val="0"/>
              <w:adjustRightInd w:val="0"/>
              <w:spacing w:before="20" w:after="20"/>
              <w:jc w:val="center"/>
              <w:rPr>
                <w:rFonts w:cs="Calibri"/>
                <w:color w:val="000000"/>
                <w:sz w:val="20"/>
                <w:szCs w:val="20"/>
              </w:rPr>
            </w:pPr>
            <w:r w:rsidRPr="00163736">
              <w:rPr>
                <w:rFonts w:cs="Calibri"/>
                <w:color w:val="000000"/>
                <w:sz w:val="20"/>
                <w:szCs w:val="20"/>
              </w:rPr>
              <w:t>40</w:t>
            </w:r>
          </w:p>
        </w:tc>
        <w:tc>
          <w:tcPr>
            <w:tcW w:w="1134" w:type="dxa"/>
            <w:tcBorders>
              <w:top w:val="single" w:sz="6" w:space="0" w:color="auto"/>
              <w:left w:val="single" w:sz="6" w:space="0" w:color="auto"/>
              <w:bottom w:val="single" w:sz="6" w:space="0" w:color="auto"/>
              <w:right w:val="single" w:sz="6" w:space="0" w:color="auto"/>
            </w:tcBorders>
            <w:shd w:val="clear" w:color="auto" w:fill="auto"/>
            <w:vAlign w:val="center"/>
          </w:tcPr>
          <w:p w14:paraId="6F16E6B0" w14:textId="77777777" w:rsidR="00163736" w:rsidRPr="00163736" w:rsidRDefault="00163736" w:rsidP="00B64CE0">
            <w:pPr>
              <w:autoSpaceDE w:val="0"/>
              <w:autoSpaceDN w:val="0"/>
              <w:adjustRightInd w:val="0"/>
              <w:spacing w:before="20" w:after="20"/>
              <w:jc w:val="center"/>
              <w:rPr>
                <w:rFonts w:cs="Calibri"/>
                <w:color w:val="000000"/>
                <w:sz w:val="20"/>
                <w:szCs w:val="20"/>
              </w:rPr>
            </w:pPr>
            <w:r w:rsidRPr="00163736">
              <w:rPr>
                <w:rFonts w:cs="Calibri"/>
                <w:color w:val="000000"/>
                <w:sz w:val="20"/>
                <w:szCs w:val="20"/>
              </w:rPr>
              <w:t>10</w:t>
            </w:r>
          </w:p>
        </w:tc>
      </w:tr>
      <w:tr w:rsidR="00163736" w:rsidRPr="00CF2138" w14:paraId="7BD490D2" w14:textId="77777777" w:rsidTr="00B64CE0">
        <w:trPr>
          <w:jc w:val="center"/>
        </w:trPr>
        <w:tc>
          <w:tcPr>
            <w:tcW w:w="1134" w:type="dxa"/>
            <w:tcBorders>
              <w:top w:val="single" w:sz="6" w:space="0" w:color="auto"/>
              <w:left w:val="single" w:sz="6" w:space="0" w:color="auto"/>
              <w:bottom w:val="single" w:sz="6" w:space="0" w:color="auto"/>
              <w:right w:val="single" w:sz="6" w:space="0" w:color="auto"/>
            </w:tcBorders>
            <w:shd w:val="clear" w:color="auto" w:fill="auto"/>
            <w:vAlign w:val="center"/>
          </w:tcPr>
          <w:p w14:paraId="0B462E61" w14:textId="77777777" w:rsidR="00163736" w:rsidRPr="00163736" w:rsidRDefault="00163736" w:rsidP="00B64CE0">
            <w:pPr>
              <w:autoSpaceDE w:val="0"/>
              <w:autoSpaceDN w:val="0"/>
              <w:adjustRightInd w:val="0"/>
              <w:spacing w:before="20" w:after="20"/>
              <w:jc w:val="center"/>
              <w:rPr>
                <w:rFonts w:cs="Calibri"/>
                <w:color w:val="000000"/>
                <w:sz w:val="20"/>
                <w:szCs w:val="20"/>
              </w:rPr>
            </w:pPr>
            <w:r w:rsidRPr="00163736">
              <w:rPr>
                <w:rFonts w:cs="Calibri"/>
                <w:color w:val="000000"/>
                <w:sz w:val="20"/>
                <w:szCs w:val="20"/>
              </w:rPr>
              <w:lastRenderedPageBreak/>
              <w:t>6</w:t>
            </w:r>
          </w:p>
        </w:tc>
        <w:tc>
          <w:tcPr>
            <w:tcW w:w="6237" w:type="dxa"/>
            <w:tcBorders>
              <w:top w:val="single" w:sz="6" w:space="0" w:color="auto"/>
              <w:left w:val="single" w:sz="6" w:space="0" w:color="auto"/>
              <w:bottom w:val="single" w:sz="6" w:space="0" w:color="auto"/>
              <w:right w:val="single" w:sz="6" w:space="0" w:color="auto"/>
            </w:tcBorders>
            <w:shd w:val="clear" w:color="auto" w:fill="auto"/>
            <w:vAlign w:val="center"/>
          </w:tcPr>
          <w:p w14:paraId="1E6E0453" w14:textId="77777777" w:rsidR="00163736" w:rsidRPr="00163736" w:rsidRDefault="00163736" w:rsidP="00B64CE0">
            <w:pPr>
              <w:autoSpaceDE w:val="0"/>
              <w:autoSpaceDN w:val="0"/>
              <w:adjustRightInd w:val="0"/>
              <w:spacing w:before="20" w:after="20"/>
              <w:rPr>
                <w:rFonts w:cs="Calibri"/>
                <w:color w:val="000000"/>
                <w:sz w:val="20"/>
                <w:szCs w:val="20"/>
              </w:rPr>
            </w:pPr>
            <w:r w:rsidRPr="00163736">
              <w:rPr>
                <w:rFonts w:cs="Calibri"/>
                <w:color w:val="000000"/>
                <w:sz w:val="20"/>
                <w:szCs w:val="20"/>
              </w:rPr>
              <w:t>Conductores y cables de guardias</w:t>
            </w:r>
          </w:p>
        </w:tc>
        <w:tc>
          <w:tcPr>
            <w:tcW w:w="1134" w:type="dxa"/>
            <w:tcBorders>
              <w:top w:val="single" w:sz="6" w:space="0" w:color="auto"/>
              <w:left w:val="single" w:sz="6" w:space="0" w:color="auto"/>
              <w:bottom w:val="single" w:sz="6" w:space="0" w:color="auto"/>
              <w:right w:val="single" w:sz="6" w:space="0" w:color="auto"/>
            </w:tcBorders>
            <w:shd w:val="clear" w:color="auto" w:fill="auto"/>
            <w:vAlign w:val="center"/>
          </w:tcPr>
          <w:p w14:paraId="7DA8A9C2" w14:textId="77777777" w:rsidR="00163736" w:rsidRPr="00163736" w:rsidRDefault="00163736" w:rsidP="00B64CE0">
            <w:pPr>
              <w:autoSpaceDE w:val="0"/>
              <w:autoSpaceDN w:val="0"/>
              <w:adjustRightInd w:val="0"/>
              <w:spacing w:before="20" w:after="20"/>
              <w:jc w:val="center"/>
              <w:rPr>
                <w:rFonts w:cs="Calibri"/>
                <w:color w:val="000000"/>
                <w:sz w:val="20"/>
                <w:szCs w:val="20"/>
              </w:rPr>
            </w:pPr>
            <w:r w:rsidRPr="00163736">
              <w:rPr>
                <w:rFonts w:cs="Calibri"/>
                <w:color w:val="000000"/>
                <w:sz w:val="20"/>
                <w:szCs w:val="20"/>
              </w:rPr>
              <w:t>50</w:t>
            </w:r>
          </w:p>
        </w:tc>
        <w:tc>
          <w:tcPr>
            <w:tcW w:w="1134" w:type="dxa"/>
            <w:tcBorders>
              <w:top w:val="single" w:sz="6" w:space="0" w:color="auto"/>
              <w:left w:val="single" w:sz="6" w:space="0" w:color="auto"/>
              <w:bottom w:val="single" w:sz="6" w:space="0" w:color="auto"/>
              <w:right w:val="single" w:sz="6" w:space="0" w:color="auto"/>
            </w:tcBorders>
            <w:shd w:val="clear" w:color="auto" w:fill="auto"/>
            <w:vAlign w:val="center"/>
          </w:tcPr>
          <w:p w14:paraId="4A856DDD" w14:textId="77777777" w:rsidR="00163736" w:rsidRPr="00163736" w:rsidRDefault="00163736" w:rsidP="00B64CE0">
            <w:pPr>
              <w:autoSpaceDE w:val="0"/>
              <w:autoSpaceDN w:val="0"/>
              <w:adjustRightInd w:val="0"/>
              <w:spacing w:before="20" w:after="20"/>
              <w:jc w:val="center"/>
              <w:rPr>
                <w:rFonts w:cs="Calibri"/>
                <w:color w:val="000000"/>
                <w:sz w:val="20"/>
                <w:szCs w:val="20"/>
              </w:rPr>
            </w:pPr>
            <w:r w:rsidRPr="00163736">
              <w:rPr>
                <w:rFonts w:cs="Calibri"/>
                <w:color w:val="000000"/>
                <w:sz w:val="20"/>
                <w:szCs w:val="20"/>
              </w:rPr>
              <w:t>20</w:t>
            </w:r>
          </w:p>
        </w:tc>
      </w:tr>
      <w:tr w:rsidR="00163736" w:rsidRPr="00CF2138" w14:paraId="44796469" w14:textId="77777777" w:rsidTr="00B64CE0">
        <w:trPr>
          <w:jc w:val="center"/>
        </w:trPr>
        <w:tc>
          <w:tcPr>
            <w:tcW w:w="1134" w:type="dxa"/>
            <w:tcBorders>
              <w:top w:val="single" w:sz="6" w:space="0" w:color="auto"/>
              <w:left w:val="single" w:sz="6" w:space="0" w:color="auto"/>
              <w:bottom w:val="single" w:sz="6" w:space="0" w:color="auto"/>
              <w:right w:val="single" w:sz="6" w:space="0" w:color="auto"/>
            </w:tcBorders>
            <w:shd w:val="clear" w:color="auto" w:fill="auto"/>
            <w:vAlign w:val="center"/>
          </w:tcPr>
          <w:p w14:paraId="24C4CAD1" w14:textId="77777777" w:rsidR="00163736" w:rsidRPr="00163736" w:rsidRDefault="00163736" w:rsidP="00B64CE0">
            <w:pPr>
              <w:autoSpaceDE w:val="0"/>
              <w:autoSpaceDN w:val="0"/>
              <w:adjustRightInd w:val="0"/>
              <w:spacing w:before="20" w:after="20"/>
              <w:jc w:val="center"/>
              <w:rPr>
                <w:rFonts w:cs="Calibri"/>
                <w:color w:val="000000"/>
                <w:sz w:val="20"/>
                <w:szCs w:val="20"/>
              </w:rPr>
            </w:pPr>
            <w:r w:rsidRPr="00163736">
              <w:rPr>
                <w:rFonts w:cs="Calibri"/>
                <w:color w:val="000000"/>
                <w:sz w:val="20"/>
                <w:szCs w:val="20"/>
              </w:rPr>
              <w:t>7</w:t>
            </w:r>
          </w:p>
        </w:tc>
        <w:tc>
          <w:tcPr>
            <w:tcW w:w="6237" w:type="dxa"/>
            <w:tcBorders>
              <w:top w:val="single" w:sz="6" w:space="0" w:color="auto"/>
              <w:left w:val="single" w:sz="6" w:space="0" w:color="auto"/>
              <w:bottom w:val="single" w:sz="6" w:space="0" w:color="auto"/>
              <w:right w:val="single" w:sz="6" w:space="0" w:color="auto"/>
            </w:tcBorders>
            <w:shd w:val="clear" w:color="auto" w:fill="auto"/>
            <w:vAlign w:val="center"/>
          </w:tcPr>
          <w:p w14:paraId="2CA57796" w14:textId="77777777" w:rsidR="00163736" w:rsidRPr="00163736" w:rsidRDefault="00163736" w:rsidP="00B64CE0">
            <w:pPr>
              <w:autoSpaceDE w:val="0"/>
              <w:autoSpaceDN w:val="0"/>
              <w:adjustRightInd w:val="0"/>
              <w:spacing w:before="20" w:after="20"/>
              <w:rPr>
                <w:rFonts w:cs="Calibri"/>
                <w:color w:val="000000"/>
                <w:sz w:val="20"/>
                <w:szCs w:val="20"/>
              </w:rPr>
            </w:pPr>
            <w:r w:rsidRPr="00163736">
              <w:rPr>
                <w:rFonts w:cs="Calibri"/>
                <w:color w:val="000000"/>
                <w:sz w:val="20"/>
                <w:szCs w:val="20"/>
              </w:rPr>
              <w:t>Protecciones electromecánicas y/o electromagnéticas</w:t>
            </w:r>
          </w:p>
        </w:tc>
        <w:tc>
          <w:tcPr>
            <w:tcW w:w="1134" w:type="dxa"/>
            <w:tcBorders>
              <w:top w:val="single" w:sz="6" w:space="0" w:color="auto"/>
              <w:left w:val="single" w:sz="6" w:space="0" w:color="auto"/>
              <w:bottom w:val="single" w:sz="6" w:space="0" w:color="auto"/>
              <w:right w:val="single" w:sz="6" w:space="0" w:color="auto"/>
            </w:tcBorders>
            <w:shd w:val="clear" w:color="auto" w:fill="auto"/>
            <w:vAlign w:val="center"/>
          </w:tcPr>
          <w:p w14:paraId="62E99027" w14:textId="77777777" w:rsidR="00163736" w:rsidRPr="00163736" w:rsidRDefault="00163736" w:rsidP="00B64CE0">
            <w:pPr>
              <w:autoSpaceDE w:val="0"/>
              <w:autoSpaceDN w:val="0"/>
              <w:adjustRightInd w:val="0"/>
              <w:spacing w:before="20" w:after="20"/>
              <w:jc w:val="center"/>
              <w:rPr>
                <w:rFonts w:cs="Calibri"/>
                <w:color w:val="000000"/>
                <w:sz w:val="20"/>
                <w:szCs w:val="20"/>
              </w:rPr>
            </w:pPr>
            <w:r w:rsidRPr="00163736">
              <w:rPr>
                <w:rFonts w:cs="Calibri"/>
                <w:color w:val="000000"/>
                <w:sz w:val="20"/>
                <w:szCs w:val="20"/>
              </w:rPr>
              <w:t>20</w:t>
            </w:r>
          </w:p>
        </w:tc>
        <w:tc>
          <w:tcPr>
            <w:tcW w:w="1134" w:type="dxa"/>
            <w:tcBorders>
              <w:top w:val="single" w:sz="6" w:space="0" w:color="auto"/>
              <w:left w:val="single" w:sz="6" w:space="0" w:color="auto"/>
              <w:bottom w:val="single" w:sz="6" w:space="0" w:color="auto"/>
              <w:right w:val="single" w:sz="6" w:space="0" w:color="auto"/>
            </w:tcBorders>
            <w:shd w:val="clear" w:color="auto" w:fill="auto"/>
            <w:vAlign w:val="center"/>
          </w:tcPr>
          <w:p w14:paraId="354C2021" w14:textId="77777777" w:rsidR="00163736" w:rsidRPr="00163736" w:rsidRDefault="00163736" w:rsidP="00B64CE0">
            <w:pPr>
              <w:autoSpaceDE w:val="0"/>
              <w:autoSpaceDN w:val="0"/>
              <w:adjustRightInd w:val="0"/>
              <w:spacing w:before="20" w:after="20"/>
              <w:jc w:val="center"/>
              <w:rPr>
                <w:rFonts w:cs="Calibri"/>
                <w:color w:val="000000"/>
                <w:sz w:val="20"/>
                <w:szCs w:val="20"/>
              </w:rPr>
            </w:pPr>
            <w:r w:rsidRPr="00163736">
              <w:rPr>
                <w:rFonts w:cs="Calibri"/>
                <w:color w:val="000000"/>
                <w:sz w:val="20"/>
                <w:szCs w:val="20"/>
              </w:rPr>
              <w:t>10</w:t>
            </w:r>
          </w:p>
        </w:tc>
      </w:tr>
      <w:tr w:rsidR="00163736" w:rsidRPr="00CF2138" w14:paraId="0D8BC100" w14:textId="77777777" w:rsidTr="00B64CE0">
        <w:trPr>
          <w:jc w:val="center"/>
        </w:trPr>
        <w:tc>
          <w:tcPr>
            <w:tcW w:w="1134" w:type="dxa"/>
            <w:tcBorders>
              <w:top w:val="single" w:sz="6" w:space="0" w:color="auto"/>
              <w:left w:val="single" w:sz="6" w:space="0" w:color="auto"/>
              <w:bottom w:val="single" w:sz="6" w:space="0" w:color="auto"/>
              <w:right w:val="single" w:sz="6" w:space="0" w:color="auto"/>
            </w:tcBorders>
            <w:shd w:val="clear" w:color="auto" w:fill="auto"/>
            <w:vAlign w:val="center"/>
          </w:tcPr>
          <w:p w14:paraId="000DE27F" w14:textId="77777777" w:rsidR="00163736" w:rsidRPr="00163736" w:rsidRDefault="00163736" w:rsidP="00B64CE0">
            <w:pPr>
              <w:autoSpaceDE w:val="0"/>
              <w:autoSpaceDN w:val="0"/>
              <w:adjustRightInd w:val="0"/>
              <w:spacing w:before="20" w:after="20"/>
              <w:jc w:val="center"/>
              <w:rPr>
                <w:rFonts w:cs="Calibri"/>
                <w:color w:val="000000"/>
                <w:sz w:val="20"/>
                <w:szCs w:val="20"/>
              </w:rPr>
            </w:pPr>
            <w:r w:rsidRPr="00163736">
              <w:rPr>
                <w:rFonts w:cs="Calibri"/>
                <w:color w:val="000000"/>
                <w:sz w:val="20"/>
                <w:szCs w:val="20"/>
              </w:rPr>
              <w:t>8</w:t>
            </w:r>
          </w:p>
        </w:tc>
        <w:tc>
          <w:tcPr>
            <w:tcW w:w="6237" w:type="dxa"/>
            <w:tcBorders>
              <w:top w:val="single" w:sz="6" w:space="0" w:color="auto"/>
              <w:left w:val="single" w:sz="6" w:space="0" w:color="auto"/>
              <w:bottom w:val="single" w:sz="6" w:space="0" w:color="auto"/>
              <w:right w:val="single" w:sz="6" w:space="0" w:color="auto"/>
            </w:tcBorders>
            <w:shd w:val="clear" w:color="auto" w:fill="auto"/>
            <w:vAlign w:val="center"/>
          </w:tcPr>
          <w:p w14:paraId="2FB6C727" w14:textId="77777777" w:rsidR="00163736" w:rsidRPr="00163736" w:rsidRDefault="00163736" w:rsidP="00B64CE0">
            <w:pPr>
              <w:autoSpaceDE w:val="0"/>
              <w:autoSpaceDN w:val="0"/>
              <w:adjustRightInd w:val="0"/>
              <w:spacing w:before="20" w:after="20"/>
              <w:rPr>
                <w:rFonts w:cs="Calibri"/>
                <w:color w:val="000000"/>
                <w:sz w:val="20"/>
                <w:szCs w:val="20"/>
              </w:rPr>
            </w:pPr>
            <w:r w:rsidRPr="00163736">
              <w:rPr>
                <w:rFonts w:cs="Calibri"/>
                <w:color w:val="000000"/>
                <w:sz w:val="20"/>
                <w:szCs w:val="20"/>
              </w:rPr>
              <w:t>Protecciones digitales</w:t>
            </w:r>
          </w:p>
        </w:tc>
        <w:tc>
          <w:tcPr>
            <w:tcW w:w="1134" w:type="dxa"/>
            <w:tcBorders>
              <w:top w:val="single" w:sz="6" w:space="0" w:color="auto"/>
              <w:left w:val="single" w:sz="6" w:space="0" w:color="auto"/>
              <w:bottom w:val="single" w:sz="6" w:space="0" w:color="auto"/>
              <w:right w:val="single" w:sz="6" w:space="0" w:color="auto"/>
            </w:tcBorders>
            <w:shd w:val="clear" w:color="auto" w:fill="auto"/>
            <w:vAlign w:val="center"/>
          </w:tcPr>
          <w:p w14:paraId="1202F2AC" w14:textId="77777777" w:rsidR="00163736" w:rsidRPr="00163736" w:rsidRDefault="00163736" w:rsidP="00B64CE0">
            <w:pPr>
              <w:autoSpaceDE w:val="0"/>
              <w:autoSpaceDN w:val="0"/>
              <w:adjustRightInd w:val="0"/>
              <w:spacing w:before="20" w:after="20"/>
              <w:jc w:val="center"/>
              <w:rPr>
                <w:rFonts w:cs="Calibri"/>
                <w:color w:val="000000"/>
                <w:sz w:val="20"/>
                <w:szCs w:val="20"/>
              </w:rPr>
            </w:pPr>
            <w:r w:rsidRPr="00163736">
              <w:rPr>
                <w:rFonts w:cs="Calibri"/>
                <w:color w:val="000000"/>
                <w:sz w:val="20"/>
                <w:szCs w:val="20"/>
              </w:rPr>
              <w:t>15</w:t>
            </w:r>
          </w:p>
        </w:tc>
        <w:tc>
          <w:tcPr>
            <w:tcW w:w="1134" w:type="dxa"/>
            <w:tcBorders>
              <w:top w:val="single" w:sz="6" w:space="0" w:color="auto"/>
              <w:left w:val="single" w:sz="6" w:space="0" w:color="auto"/>
              <w:bottom w:val="single" w:sz="6" w:space="0" w:color="auto"/>
              <w:right w:val="single" w:sz="6" w:space="0" w:color="auto"/>
            </w:tcBorders>
            <w:shd w:val="clear" w:color="auto" w:fill="auto"/>
            <w:vAlign w:val="center"/>
          </w:tcPr>
          <w:p w14:paraId="162466E3" w14:textId="77777777" w:rsidR="00163736" w:rsidRPr="00163736" w:rsidRDefault="00163736" w:rsidP="00B64CE0">
            <w:pPr>
              <w:autoSpaceDE w:val="0"/>
              <w:autoSpaceDN w:val="0"/>
              <w:adjustRightInd w:val="0"/>
              <w:spacing w:before="20" w:after="20"/>
              <w:jc w:val="center"/>
              <w:rPr>
                <w:rFonts w:cs="Calibri"/>
                <w:color w:val="000000"/>
                <w:sz w:val="20"/>
                <w:szCs w:val="20"/>
              </w:rPr>
            </w:pPr>
            <w:r w:rsidRPr="00163736">
              <w:rPr>
                <w:rFonts w:cs="Calibri"/>
                <w:color w:val="000000"/>
                <w:sz w:val="20"/>
                <w:szCs w:val="20"/>
              </w:rPr>
              <w:t>10</w:t>
            </w:r>
          </w:p>
        </w:tc>
      </w:tr>
      <w:tr w:rsidR="00163736" w:rsidRPr="00CF2138" w14:paraId="1D8FF14C" w14:textId="77777777" w:rsidTr="00B64CE0">
        <w:trPr>
          <w:jc w:val="center"/>
        </w:trPr>
        <w:tc>
          <w:tcPr>
            <w:tcW w:w="1134" w:type="dxa"/>
            <w:tcBorders>
              <w:top w:val="single" w:sz="6" w:space="0" w:color="auto"/>
              <w:left w:val="single" w:sz="6" w:space="0" w:color="auto"/>
              <w:bottom w:val="single" w:sz="6" w:space="0" w:color="auto"/>
              <w:right w:val="single" w:sz="6" w:space="0" w:color="auto"/>
            </w:tcBorders>
            <w:shd w:val="clear" w:color="auto" w:fill="auto"/>
            <w:vAlign w:val="center"/>
          </w:tcPr>
          <w:p w14:paraId="4577C8C2" w14:textId="77777777" w:rsidR="00163736" w:rsidRPr="00163736" w:rsidRDefault="00163736" w:rsidP="00B64CE0">
            <w:pPr>
              <w:autoSpaceDE w:val="0"/>
              <w:autoSpaceDN w:val="0"/>
              <w:adjustRightInd w:val="0"/>
              <w:spacing w:before="20" w:after="20"/>
              <w:jc w:val="center"/>
              <w:rPr>
                <w:rFonts w:cs="Calibri"/>
                <w:color w:val="000000"/>
                <w:sz w:val="20"/>
                <w:szCs w:val="20"/>
              </w:rPr>
            </w:pPr>
            <w:r w:rsidRPr="00163736">
              <w:rPr>
                <w:rFonts w:cs="Calibri"/>
                <w:color w:val="000000"/>
                <w:sz w:val="20"/>
                <w:szCs w:val="20"/>
              </w:rPr>
              <w:t>9</w:t>
            </w:r>
          </w:p>
        </w:tc>
        <w:tc>
          <w:tcPr>
            <w:tcW w:w="6237" w:type="dxa"/>
            <w:tcBorders>
              <w:top w:val="single" w:sz="6" w:space="0" w:color="auto"/>
              <w:left w:val="single" w:sz="6" w:space="0" w:color="auto"/>
              <w:bottom w:val="single" w:sz="6" w:space="0" w:color="auto"/>
              <w:right w:val="single" w:sz="6" w:space="0" w:color="auto"/>
            </w:tcBorders>
            <w:shd w:val="clear" w:color="auto" w:fill="auto"/>
            <w:vAlign w:val="center"/>
          </w:tcPr>
          <w:p w14:paraId="1F5D9751" w14:textId="555A5FDA" w:rsidR="00163736" w:rsidRPr="00163736" w:rsidRDefault="00163736" w:rsidP="00B64CE0">
            <w:pPr>
              <w:autoSpaceDE w:val="0"/>
              <w:autoSpaceDN w:val="0"/>
              <w:adjustRightInd w:val="0"/>
              <w:spacing w:before="20" w:after="20"/>
              <w:rPr>
                <w:rFonts w:cs="Calibri"/>
                <w:color w:val="000000"/>
                <w:sz w:val="20"/>
                <w:szCs w:val="20"/>
              </w:rPr>
            </w:pPr>
            <w:r w:rsidRPr="00163736">
              <w:rPr>
                <w:rFonts w:cs="Calibri"/>
                <w:color w:val="000000"/>
                <w:sz w:val="20"/>
                <w:szCs w:val="20"/>
              </w:rPr>
              <w:t xml:space="preserve">Equipos de control, </w:t>
            </w:r>
            <w:r w:rsidR="00E81133">
              <w:rPr>
                <w:rFonts w:cs="Calibri"/>
                <w:color w:val="000000"/>
                <w:sz w:val="20"/>
                <w:szCs w:val="20"/>
              </w:rPr>
              <w:t>telecomando</w:t>
            </w:r>
            <w:r w:rsidRPr="00163736">
              <w:rPr>
                <w:rFonts w:cs="Calibri"/>
                <w:color w:val="000000"/>
                <w:sz w:val="20"/>
                <w:szCs w:val="20"/>
              </w:rPr>
              <w:t>, medición, comunicaciones y respaldo</w:t>
            </w:r>
          </w:p>
        </w:tc>
        <w:tc>
          <w:tcPr>
            <w:tcW w:w="1134" w:type="dxa"/>
            <w:tcBorders>
              <w:top w:val="single" w:sz="6" w:space="0" w:color="auto"/>
              <w:left w:val="single" w:sz="6" w:space="0" w:color="auto"/>
              <w:bottom w:val="single" w:sz="6" w:space="0" w:color="auto"/>
              <w:right w:val="single" w:sz="6" w:space="0" w:color="auto"/>
            </w:tcBorders>
            <w:shd w:val="clear" w:color="auto" w:fill="auto"/>
            <w:vAlign w:val="center"/>
          </w:tcPr>
          <w:p w14:paraId="6482B3EC" w14:textId="77777777" w:rsidR="00163736" w:rsidRPr="00163736" w:rsidRDefault="00163736" w:rsidP="00B64CE0">
            <w:pPr>
              <w:autoSpaceDE w:val="0"/>
              <w:autoSpaceDN w:val="0"/>
              <w:adjustRightInd w:val="0"/>
              <w:spacing w:before="20" w:after="20"/>
              <w:jc w:val="center"/>
              <w:rPr>
                <w:rFonts w:cs="Calibri"/>
                <w:color w:val="000000"/>
                <w:sz w:val="20"/>
                <w:szCs w:val="20"/>
              </w:rPr>
            </w:pPr>
            <w:r w:rsidRPr="00163736">
              <w:rPr>
                <w:rFonts w:cs="Calibri"/>
                <w:color w:val="000000"/>
                <w:sz w:val="20"/>
                <w:szCs w:val="20"/>
              </w:rPr>
              <w:t>10</w:t>
            </w:r>
          </w:p>
        </w:tc>
        <w:tc>
          <w:tcPr>
            <w:tcW w:w="1134" w:type="dxa"/>
            <w:tcBorders>
              <w:top w:val="single" w:sz="6" w:space="0" w:color="auto"/>
              <w:left w:val="single" w:sz="6" w:space="0" w:color="auto"/>
              <w:bottom w:val="single" w:sz="6" w:space="0" w:color="auto"/>
              <w:right w:val="single" w:sz="6" w:space="0" w:color="auto"/>
            </w:tcBorders>
            <w:shd w:val="clear" w:color="auto" w:fill="auto"/>
            <w:vAlign w:val="center"/>
          </w:tcPr>
          <w:p w14:paraId="053D591A" w14:textId="77777777" w:rsidR="00163736" w:rsidRPr="00163736" w:rsidRDefault="00163736" w:rsidP="00B64CE0">
            <w:pPr>
              <w:autoSpaceDE w:val="0"/>
              <w:autoSpaceDN w:val="0"/>
              <w:adjustRightInd w:val="0"/>
              <w:spacing w:before="20" w:after="20"/>
              <w:jc w:val="center"/>
              <w:rPr>
                <w:rFonts w:cs="Calibri"/>
                <w:color w:val="000000"/>
                <w:sz w:val="20"/>
                <w:szCs w:val="20"/>
              </w:rPr>
            </w:pPr>
            <w:r w:rsidRPr="00163736">
              <w:rPr>
                <w:rFonts w:cs="Calibri"/>
                <w:color w:val="000000"/>
                <w:sz w:val="20"/>
                <w:szCs w:val="20"/>
              </w:rPr>
              <w:t>10</w:t>
            </w:r>
          </w:p>
        </w:tc>
      </w:tr>
      <w:tr w:rsidR="00163736" w:rsidRPr="00CF2138" w14:paraId="4AB64B47" w14:textId="77777777" w:rsidTr="00B64CE0">
        <w:trPr>
          <w:jc w:val="center"/>
        </w:trPr>
        <w:tc>
          <w:tcPr>
            <w:tcW w:w="1134" w:type="dxa"/>
            <w:tcBorders>
              <w:top w:val="single" w:sz="6" w:space="0" w:color="auto"/>
              <w:left w:val="single" w:sz="6" w:space="0" w:color="auto"/>
              <w:bottom w:val="single" w:sz="6" w:space="0" w:color="auto"/>
              <w:right w:val="single" w:sz="6" w:space="0" w:color="auto"/>
            </w:tcBorders>
            <w:shd w:val="clear" w:color="auto" w:fill="auto"/>
            <w:vAlign w:val="center"/>
          </w:tcPr>
          <w:p w14:paraId="3628A296" w14:textId="77777777" w:rsidR="00163736" w:rsidRPr="00163736" w:rsidRDefault="00163736" w:rsidP="00B64CE0">
            <w:pPr>
              <w:autoSpaceDE w:val="0"/>
              <w:autoSpaceDN w:val="0"/>
              <w:adjustRightInd w:val="0"/>
              <w:spacing w:before="20" w:after="20"/>
              <w:jc w:val="center"/>
              <w:rPr>
                <w:rFonts w:cs="Calibri"/>
                <w:color w:val="000000"/>
                <w:sz w:val="20"/>
                <w:szCs w:val="20"/>
              </w:rPr>
            </w:pPr>
            <w:r w:rsidRPr="00163736">
              <w:rPr>
                <w:rFonts w:cs="Calibri"/>
                <w:color w:val="000000"/>
                <w:sz w:val="20"/>
                <w:szCs w:val="20"/>
              </w:rPr>
              <w:t>10</w:t>
            </w:r>
          </w:p>
        </w:tc>
        <w:tc>
          <w:tcPr>
            <w:tcW w:w="6237" w:type="dxa"/>
            <w:tcBorders>
              <w:top w:val="single" w:sz="6" w:space="0" w:color="auto"/>
              <w:left w:val="single" w:sz="6" w:space="0" w:color="auto"/>
              <w:bottom w:val="single" w:sz="6" w:space="0" w:color="auto"/>
              <w:right w:val="single" w:sz="6" w:space="0" w:color="auto"/>
            </w:tcBorders>
            <w:shd w:val="clear" w:color="auto" w:fill="auto"/>
            <w:vAlign w:val="center"/>
          </w:tcPr>
          <w:p w14:paraId="4FF23440" w14:textId="77777777" w:rsidR="00163736" w:rsidRPr="00163736" w:rsidRDefault="00163736" w:rsidP="00B64CE0">
            <w:pPr>
              <w:autoSpaceDE w:val="0"/>
              <w:autoSpaceDN w:val="0"/>
              <w:adjustRightInd w:val="0"/>
              <w:spacing w:before="20" w:after="20"/>
              <w:rPr>
                <w:rFonts w:cs="Calibri"/>
                <w:color w:val="000000"/>
                <w:sz w:val="20"/>
                <w:szCs w:val="20"/>
              </w:rPr>
            </w:pPr>
            <w:r w:rsidRPr="00163736">
              <w:rPr>
                <w:rFonts w:cs="Calibri"/>
                <w:color w:val="000000"/>
                <w:sz w:val="20"/>
                <w:szCs w:val="20"/>
              </w:rPr>
              <w:t>Otros elementos secundarios de subestaciones o radioestaciones</w:t>
            </w:r>
          </w:p>
        </w:tc>
        <w:tc>
          <w:tcPr>
            <w:tcW w:w="1134" w:type="dxa"/>
            <w:tcBorders>
              <w:top w:val="single" w:sz="6" w:space="0" w:color="auto"/>
              <w:left w:val="single" w:sz="6" w:space="0" w:color="auto"/>
              <w:bottom w:val="single" w:sz="6" w:space="0" w:color="auto"/>
              <w:right w:val="single" w:sz="6" w:space="0" w:color="auto"/>
            </w:tcBorders>
            <w:shd w:val="clear" w:color="auto" w:fill="auto"/>
            <w:vAlign w:val="center"/>
          </w:tcPr>
          <w:p w14:paraId="19CB5A56" w14:textId="77777777" w:rsidR="00163736" w:rsidRPr="00163736" w:rsidRDefault="00163736" w:rsidP="00B64CE0">
            <w:pPr>
              <w:autoSpaceDE w:val="0"/>
              <w:autoSpaceDN w:val="0"/>
              <w:adjustRightInd w:val="0"/>
              <w:spacing w:before="20" w:after="20"/>
              <w:jc w:val="center"/>
              <w:rPr>
                <w:rFonts w:cs="Calibri"/>
                <w:color w:val="000000"/>
                <w:sz w:val="20"/>
                <w:szCs w:val="20"/>
              </w:rPr>
            </w:pPr>
            <w:r w:rsidRPr="00163736">
              <w:rPr>
                <w:rFonts w:cs="Calibri"/>
                <w:color w:val="000000"/>
                <w:sz w:val="20"/>
                <w:szCs w:val="20"/>
              </w:rPr>
              <w:t>40</w:t>
            </w:r>
          </w:p>
        </w:tc>
        <w:tc>
          <w:tcPr>
            <w:tcW w:w="1134" w:type="dxa"/>
            <w:tcBorders>
              <w:top w:val="single" w:sz="6" w:space="0" w:color="auto"/>
              <w:left w:val="single" w:sz="6" w:space="0" w:color="auto"/>
              <w:bottom w:val="single" w:sz="6" w:space="0" w:color="auto"/>
              <w:right w:val="single" w:sz="6" w:space="0" w:color="auto"/>
            </w:tcBorders>
            <w:shd w:val="clear" w:color="auto" w:fill="auto"/>
            <w:vAlign w:val="center"/>
          </w:tcPr>
          <w:p w14:paraId="29555BFA" w14:textId="77777777" w:rsidR="00163736" w:rsidRPr="00163736" w:rsidRDefault="00163736" w:rsidP="00B64CE0">
            <w:pPr>
              <w:autoSpaceDE w:val="0"/>
              <w:autoSpaceDN w:val="0"/>
              <w:adjustRightInd w:val="0"/>
              <w:spacing w:before="20" w:after="20"/>
              <w:jc w:val="center"/>
              <w:rPr>
                <w:rFonts w:cs="Calibri"/>
                <w:color w:val="000000"/>
                <w:sz w:val="20"/>
                <w:szCs w:val="20"/>
              </w:rPr>
            </w:pPr>
            <w:r w:rsidRPr="00163736">
              <w:rPr>
                <w:rFonts w:cs="Calibri"/>
                <w:color w:val="000000"/>
                <w:sz w:val="20"/>
                <w:szCs w:val="20"/>
              </w:rPr>
              <w:t>12</w:t>
            </w:r>
          </w:p>
        </w:tc>
      </w:tr>
      <w:tr w:rsidR="00163736" w:rsidRPr="00CF2138" w14:paraId="77A989E8" w14:textId="77777777" w:rsidTr="00B64CE0">
        <w:trPr>
          <w:jc w:val="center"/>
        </w:trPr>
        <w:tc>
          <w:tcPr>
            <w:tcW w:w="1134" w:type="dxa"/>
            <w:tcBorders>
              <w:top w:val="single" w:sz="6" w:space="0" w:color="auto"/>
              <w:left w:val="single" w:sz="6" w:space="0" w:color="auto"/>
              <w:bottom w:val="single" w:sz="6" w:space="0" w:color="auto"/>
              <w:right w:val="single" w:sz="6" w:space="0" w:color="auto"/>
            </w:tcBorders>
            <w:shd w:val="clear" w:color="auto" w:fill="auto"/>
            <w:vAlign w:val="center"/>
          </w:tcPr>
          <w:p w14:paraId="4E72CB3E" w14:textId="77777777" w:rsidR="00163736" w:rsidRPr="00163736" w:rsidRDefault="00163736" w:rsidP="00B64CE0">
            <w:pPr>
              <w:autoSpaceDE w:val="0"/>
              <w:autoSpaceDN w:val="0"/>
              <w:adjustRightInd w:val="0"/>
              <w:spacing w:before="20" w:after="20"/>
              <w:jc w:val="center"/>
              <w:rPr>
                <w:rFonts w:cs="Calibri"/>
                <w:color w:val="000000"/>
                <w:sz w:val="20"/>
                <w:szCs w:val="20"/>
              </w:rPr>
            </w:pPr>
            <w:r w:rsidRPr="00163736">
              <w:rPr>
                <w:rFonts w:cs="Calibri"/>
                <w:color w:val="000000"/>
                <w:sz w:val="20"/>
                <w:szCs w:val="20"/>
              </w:rPr>
              <w:t>11</w:t>
            </w:r>
          </w:p>
        </w:tc>
        <w:tc>
          <w:tcPr>
            <w:tcW w:w="6237" w:type="dxa"/>
            <w:tcBorders>
              <w:top w:val="single" w:sz="6" w:space="0" w:color="auto"/>
              <w:left w:val="single" w:sz="6" w:space="0" w:color="auto"/>
              <w:bottom w:val="single" w:sz="6" w:space="0" w:color="auto"/>
              <w:right w:val="single" w:sz="6" w:space="0" w:color="auto"/>
            </w:tcBorders>
            <w:shd w:val="clear" w:color="auto" w:fill="auto"/>
            <w:vAlign w:val="center"/>
          </w:tcPr>
          <w:p w14:paraId="24EBEB4F" w14:textId="77777777" w:rsidR="00163736" w:rsidRPr="00163736" w:rsidRDefault="00163736" w:rsidP="00B64CE0">
            <w:pPr>
              <w:autoSpaceDE w:val="0"/>
              <w:autoSpaceDN w:val="0"/>
              <w:adjustRightInd w:val="0"/>
              <w:spacing w:before="20" w:after="20"/>
              <w:rPr>
                <w:rFonts w:cs="Calibri"/>
                <w:color w:val="000000"/>
                <w:sz w:val="20"/>
                <w:szCs w:val="20"/>
              </w:rPr>
            </w:pPr>
            <w:r w:rsidRPr="00163736">
              <w:rPr>
                <w:rFonts w:cs="Calibri"/>
                <w:color w:val="000000"/>
                <w:sz w:val="20"/>
                <w:szCs w:val="20"/>
              </w:rPr>
              <w:t>Bienes inmuebles distintos a terrenos</w:t>
            </w:r>
          </w:p>
        </w:tc>
        <w:tc>
          <w:tcPr>
            <w:tcW w:w="1134" w:type="dxa"/>
            <w:tcBorders>
              <w:top w:val="single" w:sz="6" w:space="0" w:color="auto"/>
              <w:left w:val="single" w:sz="6" w:space="0" w:color="auto"/>
              <w:bottom w:val="single" w:sz="6" w:space="0" w:color="auto"/>
              <w:right w:val="single" w:sz="6" w:space="0" w:color="auto"/>
            </w:tcBorders>
            <w:shd w:val="clear" w:color="auto" w:fill="auto"/>
            <w:vAlign w:val="center"/>
          </w:tcPr>
          <w:p w14:paraId="09AEEAC1" w14:textId="77777777" w:rsidR="00163736" w:rsidRPr="00163736" w:rsidRDefault="00163736" w:rsidP="00B64CE0">
            <w:pPr>
              <w:autoSpaceDE w:val="0"/>
              <w:autoSpaceDN w:val="0"/>
              <w:adjustRightInd w:val="0"/>
              <w:spacing w:before="20" w:after="20"/>
              <w:jc w:val="center"/>
              <w:rPr>
                <w:rFonts w:cs="Calibri"/>
                <w:color w:val="000000"/>
                <w:sz w:val="20"/>
                <w:szCs w:val="20"/>
              </w:rPr>
            </w:pPr>
            <w:r w:rsidRPr="00163736">
              <w:rPr>
                <w:rFonts w:cs="Calibri"/>
                <w:color w:val="000000"/>
                <w:sz w:val="20"/>
                <w:szCs w:val="20"/>
              </w:rPr>
              <w:t>50</w:t>
            </w:r>
          </w:p>
        </w:tc>
        <w:tc>
          <w:tcPr>
            <w:tcW w:w="1134" w:type="dxa"/>
            <w:tcBorders>
              <w:top w:val="single" w:sz="6" w:space="0" w:color="auto"/>
              <w:left w:val="single" w:sz="6" w:space="0" w:color="auto"/>
              <w:bottom w:val="single" w:sz="6" w:space="0" w:color="auto"/>
              <w:right w:val="single" w:sz="6" w:space="0" w:color="auto"/>
            </w:tcBorders>
            <w:shd w:val="clear" w:color="auto" w:fill="auto"/>
            <w:vAlign w:val="center"/>
          </w:tcPr>
          <w:p w14:paraId="1670924E" w14:textId="77777777" w:rsidR="00163736" w:rsidRPr="00163736" w:rsidRDefault="00163736" w:rsidP="00B64CE0">
            <w:pPr>
              <w:autoSpaceDE w:val="0"/>
              <w:autoSpaceDN w:val="0"/>
              <w:adjustRightInd w:val="0"/>
              <w:spacing w:before="20" w:after="20"/>
              <w:jc w:val="center"/>
              <w:rPr>
                <w:rFonts w:cs="Calibri"/>
                <w:color w:val="000000"/>
                <w:sz w:val="20"/>
                <w:szCs w:val="20"/>
              </w:rPr>
            </w:pPr>
            <w:r w:rsidRPr="00163736">
              <w:rPr>
                <w:rFonts w:cs="Calibri"/>
                <w:color w:val="000000"/>
                <w:sz w:val="20"/>
                <w:szCs w:val="20"/>
              </w:rPr>
              <w:t>50</w:t>
            </w:r>
          </w:p>
        </w:tc>
      </w:tr>
      <w:tr w:rsidR="00163736" w:rsidRPr="00CF2138" w14:paraId="1653B0B0" w14:textId="77777777" w:rsidTr="00B64CE0">
        <w:trPr>
          <w:jc w:val="center"/>
        </w:trPr>
        <w:tc>
          <w:tcPr>
            <w:tcW w:w="1134" w:type="dxa"/>
            <w:tcBorders>
              <w:top w:val="single" w:sz="6" w:space="0" w:color="auto"/>
              <w:left w:val="single" w:sz="6" w:space="0" w:color="auto"/>
              <w:bottom w:val="single" w:sz="6" w:space="0" w:color="auto"/>
              <w:right w:val="single" w:sz="6" w:space="0" w:color="auto"/>
            </w:tcBorders>
            <w:shd w:val="clear" w:color="auto" w:fill="auto"/>
            <w:vAlign w:val="center"/>
          </w:tcPr>
          <w:p w14:paraId="3E1C85BD" w14:textId="77777777" w:rsidR="00163736" w:rsidRPr="00163736" w:rsidRDefault="00163736" w:rsidP="00B64CE0">
            <w:pPr>
              <w:autoSpaceDE w:val="0"/>
              <w:autoSpaceDN w:val="0"/>
              <w:adjustRightInd w:val="0"/>
              <w:spacing w:before="20" w:after="20"/>
              <w:jc w:val="center"/>
              <w:rPr>
                <w:rFonts w:cs="Calibri"/>
                <w:color w:val="000000"/>
                <w:sz w:val="20"/>
                <w:szCs w:val="20"/>
              </w:rPr>
            </w:pPr>
            <w:r w:rsidRPr="00163736">
              <w:rPr>
                <w:rFonts w:cs="Calibri"/>
                <w:color w:val="000000"/>
                <w:sz w:val="20"/>
                <w:szCs w:val="20"/>
              </w:rPr>
              <w:t>12</w:t>
            </w:r>
          </w:p>
        </w:tc>
        <w:tc>
          <w:tcPr>
            <w:tcW w:w="6237" w:type="dxa"/>
            <w:tcBorders>
              <w:top w:val="single" w:sz="6" w:space="0" w:color="auto"/>
              <w:left w:val="single" w:sz="6" w:space="0" w:color="auto"/>
              <w:bottom w:val="single" w:sz="6" w:space="0" w:color="auto"/>
              <w:right w:val="single" w:sz="6" w:space="0" w:color="auto"/>
            </w:tcBorders>
            <w:shd w:val="clear" w:color="auto" w:fill="auto"/>
            <w:vAlign w:val="center"/>
          </w:tcPr>
          <w:p w14:paraId="67437242" w14:textId="77777777" w:rsidR="00163736" w:rsidRPr="00163736" w:rsidRDefault="00163736" w:rsidP="00B64CE0">
            <w:pPr>
              <w:autoSpaceDE w:val="0"/>
              <w:autoSpaceDN w:val="0"/>
              <w:adjustRightInd w:val="0"/>
              <w:spacing w:before="20" w:after="20"/>
              <w:rPr>
                <w:rFonts w:cs="Calibri"/>
                <w:color w:val="000000"/>
                <w:sz w:val="20"/>
                <w:szCs w:val="20"/>
              </w:rPr>
            </w:pPr>
            <w:r w:rsidRPr="00163736">
              <w:rPr>
                <w:rFonts w:cs="Calibri"/>
                <w:color w:val="000000"/>
                <w:sz w:val="20"/>
                <w:szCs w:val="20"/>
              </w:rPr>
              <w:t>Equipamiento de operación y mantenimiento no fungible</w:t>
            </w:r>
          </w:p>
        </w:tc>
        <w:tc>
          <w:tcPr>
            <w:tcW w:w="1134" w:type="dxa"/>
            <w:tcBorders>
              <w:top w:val="single" w:sz="6" w:space="0" w:color="auto"/>
              <w:left w:val="single" w:sz="6" w:space="0" w:color="auto"/>
              <w:bottom w:val="single" w:sz="6" w:space="0" w:color="auto"/>
              <w:right w:val="single" w:sz="6" w:space="0" w:color="auto"/>
            </w:tcBorders>
            <w:shd w:val="clear" w:color="auto" w:fill="auto"/>
            <w:vAlign w:val="center"/>
          </w:tcPr>
          <w:p w14:paraId="21833C93" w14:textId="77777777" w:rsidR="00163736" w:rsidRPr="00163736" w:rsidRDefault="00163736" w:rsidP="00B64CE0">
            <w:pPr>
              <w:autoSpaceDE w:val="0"/>
              <w:autoSpaceDN w:val="0"/>
              <w:adjustRightInd w:val="0"/>
              <w:spacing w:before="20" w:after="20"/>
              <w:jc w:val="center"/>
              <w:rPr>
                <w:rFonts w:cs="Calibri"/>
                <w:color w:val="000000"/>
                <w:sz w:val="20"/>
                <w:szCs w:val="20"/>
              </w:rPr>
            </w:pPr>
            <w:r w:rsidRPr="00163736">
              <w:rPr>
                <w:rFonts w:cs="Calibri"/>
                <w:color w:val="000000"/>
                <w:sz w:val="20"/>
                <w:szCs w:val="20"/>
              </w:rPr>
              <w:t>15</w:t>
            </w:r>
          </w:p>
        </w:tc>
        <w:tc>
          <w:tcPr>
            <w:tcW w:w="1134" w:type="dxa"/>
            <w:tcBorders>
              <w:top w:val="single" w:sz="6" w:space="0" w:color="auto"/>
              <w:left w:val="single" w:sz="6" w:space="0" w:color="auto"/>
              <w:bottom w:val="single" w:sz="6" w:space="0" w:color="auto"/>
              <w:right w:val="single" w:sz="6" w:space="0" w:color="auto"/>
            </w:tcBorders>
            <w:shd w:val="clear" w:color="auto" w:fill="auto"/>
            <w:vAlign w:val="center"/>
          </w:tcPr>
          <w:p w14:paraId="42B78AC6" w14:textId="77777777" w:rsidR="00163736" w:rsidRPr="00163736" w:rsidRDefault="00163736" w:rsidP="00B64CE0">
            <w:pPr>
              <w:autoSpaceDE w:val="0"/>
              <w:autoSpaceDN w:val="0"/>
              <w:adjustRightInd w:val="0"/>
              <w:spacing w:before="20" w:after="20"/>
              <w:jc w:val="center"/>
              <w:rPr>
                <w:rFonts w:cs="Calibri"/>
                <w:color w:val="000000"/>
                <w:sz w:val="20"/>
                <w:szCs w:val="20"/>
              </w:rPr>
            </w:pPr>
            <w:r w:rsidRPr="00163736">
              <w:rPr>
                <w:rFonts w:cs="Calibri"/>
                <w:color w:val="000000"/>
                <w:sz w:val="20"/>
                <w:szCs w:val="20"/>
              </w:rPr>
              <w:t>8</w:t>
            </w:r>
          </w:p>
        </w:tc>
      </w:tr>
      <w:tr w:rsidR="00163736" w:rsidRPr="00CF2138" w14:paraId="2C720C40" w14:textId="77777777" w:rsidTr="00B64CE0">
        <w:trPr>
          <w:jc w:val="center"/>
        </w:trPr>
        <w:tc>
          <w:tcPr>
            <w:tcW w:w="1134" w:type="dxa"/>
            <w:tcBorders>
              <w:top w:val="single" w:sz="6" w:space="0" w:color="auto"/>
              <w:left w:val="single" w:sz="6" w:space="0" w:color="auto"/>
              <w:bottom w:val="single" w:sz="6" w:space="0" w:color="auto"/>
              <w:right w:val="single" w:sz="6" w:space="0" w:color="auto"/>
            </w:tcBorders>
            <w:shd w:val="clear" w:color="auto" w:fill="auto"/>
            <w:vAlign w:val="center"/>
          </w:tcPr>
          <w:p w14:paraId="23AE12DA" w14:textId="77777777" w:rsidR="00163736" w:rsidRPr="00163736" w:rsidRDefault="00163736" w:rsidP="00B64CE0">
            <w:pPr>
              <w:autoSpaceDE w:val="0"/>
              <w:autoSpaceDN w:val="0"/>
              <w:adjustRightInd w:val="0"/>
              <w:spacing w:before="20" w:after="20"/>
              <w:jc w:val="center"/>
              <w:rPr>
                <w:rFonts w:cs="Calibri"/>
                <w:color w:val="000000"/>
                <w:sz w:val="20"/>
                <w:szCs w:val="20"/>
              </w:rPr>
            </w:pPr>
            <w:r w:rsidRPr="00163736">
              <w:rPr>
                <w:rFonts w:cs="Calibri"/>
                <w:color w:val="000000"/>
                <w:sz w:val="20"/>
                <w:szCs w:val="20"/>
              </w:rPr>
              <w:t>13</w:t>
            </w:r>
          </w:p>
        </w:tc>
        <w:tc>
          <w:tcPr>
            <w:tcW w:w="6237" w:type="dxa"/>
            <w:tcBorders>
              <w:top w:val="single" w:sz="6" w:space="0" w:color="auto"/>
              <w:left w:val="single" w:sz="6" w:space="0" w:color="auto"/>
              <w:bottom w:val="single" w:sz="6" w:space="0" w:color="auto"/>
              <w:right w:val="single" w:sz="6" w:space="0" w:color="auto"/>
            </w:tcBorders>
            <w:shd w:val="clear" w:color="auto" w:fill="auto"/>
            <w:vAlign w:val="center"/>
          </w:tcPr>
          <w:p w14:paraId="6815F089" w14:textId="77777777" w:rsidR="00163736" w:rsidRPr="00163736" w:rsidRDefault="00163736" w:rsidP="00B64CE0">
            <w:pPr>
              <w:autoSpaceDE w:val="0"/>
              <w:autoSpaceDN w:val="0"/>
              <w:adjustRightInd w:val="0"/>
              <w:spacing w:before="20" w:after="20"/>
              <w:rPr>
                <w:rFonts w:cs="Calibri"/>
                <w:color w:val="000000"/>
                <w:sz w:val="20"/>
                <w:szCs w:val="20"/>
              </w:rPr>
            </w:pPr>
            <w:r w:rsidRPr="00163736">
              <w:rPr>
                <w:rFonts w:cs="Calibri"/>
                <w:color w:val="000000"/>
                <w:sz w:val="20"/>
                <w:szCs w:val="20"/>
              </w:rPr>
              <w:t>Equipamiento de oficina no fungible</w:t>
            </w:r>
          </w:p>
        </w:tc>
        <w:tc>
          <w:tcPr>
            <w:tcW w:w="1134" w:type="dxa"/>
            <w:tcBorders>
              <w:top w:val="single" w:sz="6" w:space="0" w:color="auto"/>
              <w:left w:val="single" w:sz="6" w:space="0" w:color="auto"/>
              <w:bottom w:val="single" w:sz="6" w:space="0" w:color="auto"/>
              <w:right w:val="single" w:sz="6" w:space="0" w:color="auto"/>
            </w:tcBorders>
            <w:shd w:val="clear" w:color="auto" w:fill="auto"/>
            <w:vAlign w:val="center"/>
          </w:tcPr>
          <w:p w14:paraId="2CB9B294" w14:textId="77777777" w:rsidR="00163736" w:rsidRPr="00163736" w:rsidRDefault="00163736" w:rsidP="00B64CE0">
            <w:pPr>
              <w:autoSpaceDE w:val="0"/>
              <w:autoSpaceDN w:val="0"/>
              <w:adjustRightInd w:val="0"/>
              <w:spacing w:before="20" w:after="20"/>
              <w:jc w:val="center"/>
              <w:rPr>
                <w:rFonts w:cs="Calibri"/>
                <w:color w:val="000000"/>
                <w:sz w:val="20"/>
                <w:szCs w:val="20"/>
              </w:rPr>
            </w:pPr>
            <w:r w:rsidRPr="00163736">
              <w:rPr>
                <w:rFonts w:cs="Calibri"/>
                <w:color w:val="000000"/>
                <w:sz w:val="20"/>
                <w:szCs w:val="20"/>
              </w:rPr>
              <w:t>15</w:t>
            </w:r>
          </w:p>
        </w:tc>
        <w:tc>
          <w:tcPr>
            <w:tcW w:w="1134" w:type="dxa"/>
            <w:tcBorders>
              <w:top w:val="single" w:sz="6" w:space="0" w:color="auto"/>
              <w:left w:val="single" w:sz="6" w:space="0" w:color="auto"/>
              <w:bottom w:val="single" w:sz="6" w:space="0" w:color="auto"/>
              <w:right w:val="single" w:sz="6" w:space="0" w:color="auto"/>
            </w:tcBorders>
            <w:shd w:val="clear" w:color="auto" w:fill="auto"/>
            <w:vAlign w:val="center"/>
          </w:tcPr>
          <w:p w14:paraId="6B04A670" w14:textId="77777777" w:rsidR="00163736" w:rsidRPr="00163736" w:rsidRDefault="00163736" w:rsidP="00B64CE0">
            <w:pPr>
              <w:autoSpaceDE w:val="0"/>
              <w:autoSpaceDN w:val="0"/>
              <w:adjustRightInd w:val="0"/>
              <w:spacing w:before="20" w:after="20"/>
              <w:jc w:val="center"/>
              <w:rPr>
                <w:rFonts w:cs="Calibri"/>
                <w:color w:val="000000"/>
                <w:sz w:val="20"/>
                <w:szCs w:val="20"/>
              </w:rPr>
            </w:pPr>
            <w:r w:rsidRPr="00163736">
              <w:rPr>
                <w:rFonts w:cs="Calibri"/>
                <w:color w:val="000000"/>
                <w:sz w:val="20"/>
                <w:szCs w:val="20"/>
              </w:rPr>
              <w:t>7</w:t>
            </w:r>
          </w:p>
        </w:tc>
      </w:tr>
      <w:tr w:rsidR="00163736" w:rsidRPr="00CF2138" w14:paraId="1CAA50E4" w14:textId="77777777" w:rsidTr="00B64CE0">
        <w:trPr>
          <w:jc w:val="center"/>
        </w:trPr>
        <w:tc>
          <w:tcPr>
            <w:tcW w:w="1134" w:type="dxa"/>
            <w:tcBorders>
              <w:top w:val="single" w:sz="6" w:space="0" w:color="auto"/>
              <w:left w:val="single" w:sz="6" w:space="0" w:color="auto"/>
              <w:bottom w:val="single" w:sz="6" w:space="0" w:color="auto"/>
              <w:right w:val="single" w:sz="6" w:space="0" w:color="auto"/>
            </w:tcBorders>
            <w:shd w:val="clear" w:color="auto" w:fill="auto"/>
            <w:vAlign w:val="center"/>
          </w:tcPr>
          <w:p w14:paraId="2E4CCCF1" w14:textId="77777777" w:rsidR="00163736" w:rsidRPr="00163736" w:rsidRDefault="00163736" w:rsidP="00B64CE0">
            <w:pPr>
              <w:autoSpaceDE w:val="0"/>
              <w:autoSpaceDN w:val="0"/>
              <w:adjustRightInd w:val="0"/>
              <w:spacing w:before="20" w:after="20"/>
              <w:jc w:val="center"/>
              <w:rPr>
                <w:rFonts w:cs="Calibri"/>
                <w:color w:val="000000"/>
                <w:sz w:val="20"/>
                <w:szCs w:val="20"/>
              </w:rPr>
            </w:pPr>
            <w:r w:rsidRPr="00163736">
              <w:rPr>
                <w:rFonts w:cs="Calibri"/>
                <w:color w:val="000000"/>
                <w:sz w:val="20"/>
                <w:szCs w:val="20"/>
              </w:rPr>
              <w:t>14</w:t>
            </w:r>
          </w:p>
        </w:tc>
        <w:tc>
          <w:tcPr>
            <w:tcW w:w="6237" w:type="dxa"/>
            <w:tcBorders>
              <w:top w:val="single" w:sz="6" w:space="0" w:color="auto"/>
              <w:left w:val="single" w:sz="6" w:space="0" w:color="auto"/>
              <w:bottom w:val="single" w:sz="6" w:space="0" w:color="auto"/>
              <w:right w:val="single" w:sz="6" w:space="0" w:color="auto"/>
            </w:tcBorders>
            <w:shd w:val="clear" w:color="auto" w:fill="auto"/>
            <w:vAlign w:val="center"/>
          </w:tcPr>
          <w:p w14:paraId="535EFD49" w14:textId="77777777" w:rsidR="00163736" w:rsidRPr="00163736" w:rsidRDefault="00163736" w:rsidP="00B64CE0">
            <w:pPr>
              <w:autoSpaceDE w:val="0"/>
              <w:autoSpaceDN w:val="0"/>
              <w:adjustRightInd w:val="0"/>
              <w:spacing w:before="20" w:after="20"/>
              <w:rPr>
                <w:rFonts w:cs="Calibri"/>
                <w:color w:val="000000"/>
                <w:sz w:val="20"/>
                <w:szCs w:val="20"/>
              </w:rPr>
            </w:pPr>
            <w:r w:rsidRPr="00163736">
              <w:rPr>
                <w:rFonts w:cs="Calibri"/>
                <w:color w:val="000000"/>
                <w:sz w:val="20"/>
                <w:szCs w:val="20"/>
              </w:rPr>
              <w:t>Equipamiento computacional y sistemas de vigilancia</w:t>
            </w:r>
          </w:p>
        </w:tc>
        <w:tc>
          <w:tcPr>
            <w:tcW w:w="1134" w:type="dxa"/>
            <w:tcBorders>
              <w:top w:val="single" w:sz="6" w:space="0" w:color="auto"/>
              <w:left w:val="single" w:sz="6" w:space="0" w:color="auto"/>
              <w:bottom w:val="single" w:sz="6" w:space="0" w:color="auto"/>
              <w:right w:val="single" w:sz="6" w:space="0" w:color="auto"/>
            </w:tcBorders>
            <w:shd w:val="clear" w:color="auto" w:fill="auto"/>
            <w:vAlign w:val="center"/>
          </w:tcPr>
          <w:p w14:paraId="7E27BB26" w14:textId="77777777" w:rsidR="00163736" w:rsidRPr="00163736" w:rsidRDefault="00163736" w:rsidP="00B64CE0">
            <w:pPr>
              <w:autoSpaceDE w:val="0"/>
              <w:autoSpaceDN w:val="0"/>
              <w:adjustRightInd w:val="0"/>
              <w:spacing w:before="20" w:after="20"/>
              <w:jc w:val="center"/>
              <w:rPr>
                <w:rFonts w:cs="Calibri"/>
                <w:color w:val="000000"/>
                <w:sz w:val="20"/>
                <w:szCs w:val="20"/>
              </w:rPr>
            </w:pPr>
            <w:r w:rsidRPr="00163736">
              <w:rPr>
                <w:rFonts w:cs="Calibri"/>
                <w:color w:val="000000"/>
                <w:sz w:val="20"/>
                <w:szCs w:val="20"/>
              </w:rPr>
              <w:t>5</w:t>
            </w:r>
          </w:p>
        </w:tc>
        <w:tc>
          <w:tcPr>
            <w:tcW w:w="1134" w:type="dxa"/>
            <w:tcBorders>
              <w:top w:val="single" w:sz="6" w:space="0" w:color="auto"/>
              <w:left w:val="single" w:sz="6" w:space="0" w:color="auto"/>
              <w:bottom w:val="single" w:sz="6" w:space="0" w:color="auto"/>
              <w:right w:val="single" w:sz="6" w:space="0" w:color="auto"/>
            </w:tcBorders>
            <w:shd w:val="clear" w:color="auto" w:fill="auto"/>
            <w:vAlign w:val="center"/>
          </w:tcPr>
          <w:p w14:paraId="554394A5" w14:textId="77777777" w:rsidR="00163736" w:rsidRPr="00163736" w:rsidRDefault="00163736" w:rsidP="00B64CE0">
            <w:pPr>
              <w:autoSpaceDE w:val="0"/>
              <w:autoSpaceDN w:val="0"/>
              <w:adjustRightInd w:val="0"/>
              <w:spacing w:before="20" w:after="20"/>
              <w:jc w:val="center"/>
              <w:rPr>
                <w:rFonts w:cs="Calibri"/>
                <w:color w:val="000000"/>
                <w:sz w:val="20"/>
                <w:szCs w:val="20"/>
              </w:rPr>
            </w:pPr>
            <w:r w:rsidRPr="00163736">
              <w:rPr>
                <w:rFonts w:cs="Calibri"/>
                <w:color w:val="000000"/>
                <w:sz w:val="20"/>
                <w:szCs w:val="20"/>
              </w:rPr>
              <w:t>7</w:t>
            </w:r>
          </w:p>
        </w:tc>
      </w:tr>
      <w:tr w:rsidR="00163736" w:rsidRPr="00CF2138" w14:paraId="6CB60DC4" w14:textId="77777777" w:rsidTr="00B64CE0">
        <w:trPr>
          <w:jc w:val="center"/>
        </w:trPr>
        <w:tc>
          <w:tcPr>
            <w:tcW w:w="1134" w:type="dxa"/>
            <w:tcBorders>
              <w:top w:val="single" w:sz="6" w:space="0" w:color="auto"/>
              <w:left w:val="single" w:sz="6" w:space="0" w:color="auto"/>
              <w:bottom w:val="single" w:sz="6" w:space="0" w:color="auto"/>
              <w:right w:val="single" w:sz="6" w:space="0" w:color="auto"/>
            </w:tcBorders>
            <w:shd w:val="clear" w:color="auto" w:fill="auto"/>
            <w:vAlign w:val="center"/>
          </w:tcPr>
          <w:p w14:paraId="4CEDF13A" w14:textId="77777777" w:rsidR="00163736" w:rsidRPr="00163736" w:rsidRDefault="00163736" w:rsidP="00B64CE0">
            <w:pPr>
              <w:autoSpaceDE w:val="0"/>
              <w:autoSpaceDN w:val="0"/>
              <w:adjustRightInd w:val="0"/>
              <w:spacing w:before="20" w:after="20"/>
              <w:jc w:val="center"/>
              <w:rPr>
                <w:rFonts w:cs="Calibri"/>
                <w:color w:val="000000"/>
                <w:sz w:val="20"/>
                <w:szCs w:val="20"/>
              </w:rPr>
            </w:pPr>
            <w:r w:rsidRPr="00163736">
              <w:rPr>
                <w:rFonts w:cs="Calibri"/>
                <w:color w:val="000000"/>
                <w:sz w:val="20"/>
                <w:szCs w:val="20"/>
              </w:rPr>
              <w:t>15</w:t>
            </w:r>
          </w:p>
        </w:tc>
        <w:tc>
          <w:tcPr>
            <w:tcW w:w="6237" w:type="dxa"/>
            <w:tcBorders>
              <w:top w:val="single" w:sz="6" w:space="0" w:color="auto"/>
              <w:left w:val="single" w:sz="6" w:space="0" w:color="auto"/>
              <w:bottom w:val="single" w:sz="6" w:space="0" w:color="auto"/>
              <w:right w:val="single" w:sz="6" w:space="0" w:color="auto"/>
            </w:tcBorders>
            <w:shd w:val="clear" w:color="auto" w:fill="auto"/>
            <w:vAlign w:val="center"/>
          </w:tcPr>
          <w:p w14:paraId="5F4C12F6" w14:textId="77777777" w:rsidR="00163736" w:rsidRPr="00163736" w:rsidRDefault="00163736" w:rsidP="00B64CE0">
            <w:pPr>
              <w:autoSpaceDE w:val="0"/>
              <w:autoSpaceDN w:val="0"/>
              <w:adjustRightInd w:val="0"/>
              <w:spacing w:before="20" w:after="20"/>
              <w:rPr>
                <w:rFonts w:cs="Calibri"/>
                <w:color w:val="000000"/>
                <w:sz w:val="20"/>
                <w:szCs w:val="20"/>
              </w:rPr>
            </w:pPr>
            <w:r w:rsidRPr="00163736">
              <w:rPr>
                <w:rFonts w:cs="Calibri"/>
                <w:color w:val="000000"/>
                <w:sz w:val="20"/>
                <w:szCs w:val="20"/>
              </w:rPr>
              <w:t>Vehículos</w:t>
            </w:r>
          </w:p>
        </w:tc>
        <w:tc>
          <w:tcPr>
            <w:tcW w:w="1134" w:type="dxa"/>
            <w:tcBorders>
              <w:top w:val="single" w:sz="6" w:space="0" w:color="auto"/>
              <w:left w:val="single" w:sz="6" w:space="0" w:color="auto"/>
              <w:bottom w:val="single" w:sz="6" w:space="0" w:color="auto"/>
              <w:right w:val="single" w:sz="6" w:space="0" w:color="auto"/>
            </w:tcBorders>
            <w:shd w:val="clear" w:color="auto" w:fill="auto"/>
            <w:vAlign w:val="center"/>
          </w:tcPr>
          <w:p w14:paraId="04805FDB" w14:textId="77777777" w:rsidR="00163736" w:rsidRPr="00163736" w:rsidRDefault="00163736" w:rsidP="00B64CE0">
            <w:pPr>
              <w:autoSpaceDE w:val="0"/>
              <w:autoSpaceDN w:val="0"/>
              <w:adjustRightInd w:val="0"/>
              <w:spacing w:before="20" w:after="20"/>
              <w:jc w:val="center"/>
              <w:rPr>
                <w:rFonts w:cs="Calibri"/>
                <w:color w:val="000000"/>
                <w:sz w:val="20"/>
                <w:szCs w:val="20"/>
              </w:rPr>
            </w:pPr>
            <w:r w:rsidRPr="00163736">
              <w:rPr>
                <w:rFonts w:cs="Calibri"/>
                <w:color w:val="000000"/>
                <w:sz w:val="20"/>
                <w:szCs w:val="20"/>
              </w:rPr>
              <w:t>5</w:t>
            </w:r>
          </w:p>
        </w:tc>
        <w:tc>
          <w:tcPr>
            <w:tcW w:w="1134" w:type="dxa"/>
            <w:tcBorders>
              <w:top w:val="single" w:sz="6" w:space="0" w:color="auto"/>
              <w:left w:val="single" w:sz="6" w:space="0" w:color="auto"/>
              <w:bottom w:val="single" w:sz="6" w:space="0" w:color="auto"/>
              <w:right w:val="single" w:sz="6" w:space="0" w:color="auto"/>
            </w:tcBorders>
            <w:shd w:val="clear" w:color="auto" w:fill="auto"/>
            <w:vAlign w:val="center"/>
          </w:tcPr>
          <w:p w14:paraId="4BEA0B08" w14:textId="77777777" w:rsidR="00163736" w:rsidRPr="00163736" w:rsidRDefault="00163736" w:rsidP="00B64CE0">
            <w:pPr>
              <w:autoSpaceDE w:val="0"/>
              <w:autoSpaceDN w:val="0"/>
              <w:adjustRightInd w:val="0"/>
              <w:spacing w:before="20" w:after="20"/>
              <w:jc w:val="center"/>
              <w:rPr>
                <w:rFonts w:cs="Calibri"/>
                <w:color w:val="000000"/>
                <w:sz w:val="20"/>
                <w:szCs w:val="20"/>
              </w:rPr>
            </w:pPr>
            <w:r w:rsidRPr="00163736">
              <w:rPr>
                <w:rFonts w:cs="Calibri"/>
                <w:color w:val="000000"/>
                <w:sz w:val="20"/>
                <w:szCs w:val="20"/>
              </w:rPr>
              <w:t>7</w:t>
            </w:r>
          </w:p>
        </w:tc>
      </w:tr>
    </w:tbl>
    <w:p w14:paraId="1F3B0C92" w14:textId="77777777" w:rsidR="001D23DB" w:rsidRDefault="001D23DB" w:rsidP="00B64CE0">
      <w:pPr>
        <w:spacing w:after="0"/>
        <w:rPr>
          <w:rFonts w:cs="Calibri"/>
        </w:rPr>
      </w:pPr>
    </w:p>
    <w:p w14:paraId="2A6503AD" w14:textId="77777777" w:rsidR="001D23DB" w:rsidRPr="009B2F4E" w:rsidRDefault="009B2F4E" w:rsidP="009B2F4E">
      <w:pPr>
        <w:pStyle w:val="Ttulo2"/>
        <w:rPr>
          <w:sz w:val="24"/>
          <w:szCs w:val="24"/>
        </w:rPr>
      </w:pPr>
      <w:bookmarkStart w:id="544" w:name="_Toc39797894"/>
      <w:r>
        <w:rPr>
          <w:sz w:val="24"/>
          <w:szCs w:val="24"/>
        </w:rPr>
        <w:t>Tasa de Impuesto</w:t>
      </w:r>
      <w:bookmarkEnd w:id="544"/>
    </w:p>
    <w:p w14:paraId="004ADF7D" w14:textId="721CC423" w:rsidR="009B2F4E" w:rsidRDefault="009B2F4E" w:rsidP="009B2F4E">
      <w:r>
        <w:t>El punto 3.7 del Capítulo II de las Bases, en consistencia con lo establecido en el Artículo 9° de la Resolución Exenta N°380 de la CNE, da cuenta de la formulación a utilizar para determinar el ajuste por efectos de impuesto a la renta (A.E.I.R.), señalando que dicho valor depend</w:t>
      </w:r>
      <w:r w:rsidR="000A50F0">
        <w:t xml:space="preserve">e, entre otros, del parámetro </w:t>
      </w:r>
      <m:oMath>
        <m:r>
          <w:rPr>
            <w:rFonts w:ascii="Cambria Math" w:hAnsi="Cambria Math"/>
          </w:rPr>
          <m:t>t</m:t>
        </m:r>
      </m:oMath>
      <w:r>
        <w:t xml:space="preserve"> correspondiente a la tasa de impuesto a la renta aplicable.</w:t>
      </w:r>
    </w:p>
    <w:p w14:paraId="536C7781" w14:textId="4FDE757C" w:rsidR="009B2F4E" w:rsidRDefault="009B2F4E" w:rsidP="009B2F4E">
      <w:r>
        <w:t>La</w:t>
      </w:r>
      <w:r w:rsidR="000A50F0">
        <w:t xml:space="preserve">s Bases definen al parámetro </w:t>
      </w:r>
      <m:oMath>
        <m:r>
          <w:rPr>
            <w:rFonts w:ascii="Cambria Math" w:hAnsi="Cambria Math"/>
          </w:rPr>
          <m:t>t</m:t>
        </m:r>
      </m:oMath>
      <w:r>
        <w:t xml:space="preserve"> en los siguientes términos:</w:t>
      </w:r>
    </w:p>
    <w:tbl>
      <w:tblPr>
        <w:tblW w:w="0" w:type="auto"/>
        <w:jc w:val="center"/>
        <w:tblCellMar>
          <w:left w:w="57" w:type="dxa"/>
          <w:right w:w="57" w:type="dxa"/>
        </w:tblCellMar>
        <w:tblLook w:val="04A0" w:firstRow="1" w:lastRow="0" w:firstColumn="1" w:lastColumn="0" w:noHBand="0" w:noVBand="1"/>
      </w:tblPr>
      <w:tblGrid>
        <w:gridCol w:w="215"/>
        <w:gridCol w:w="179"/>
        <w:gridCol w:w="9410"/>
      </w:tblGrid>
      <w:tr w:rsidR="000A50F0" w:rsidRPr="002C2818" w14:paraId="56B088FB" w14:textId="77777777" w:rsidTr="00653A58">
        <w:trPr>
          <w:jc w:val="center"/>
        </w:trPr>
        <w:tc>
          <w:tcPr>
            <w:tcW w:w="0" w:type="auto"/>
            <w:shd w:val="clear" w:color="auto" w:fill="auto"/>
          </w:tcPr>
          <w:p w14:paraId="7223C2CF" w14:textId="2B8C42F9" w:rsidR="000A50F0" w:rsidRPr="000A50F0" w:rsidRDefault="000A50F0" w:rsidP="00653A58">
            <w:pPr>
              <w:rPr>
                <w:i/>
              </w:rPr>
            </w:pPr>
            <m:oMath>
              <m:r>
                <w:rPr>
                  <w:rFonts w:ascii="Cambria Math" w:hAnsi="Cambria Math"/>
                </w:rPr>
                <m:t>t</m:t>
              </m:r>
            </m:oMath>
            <w:r w:rsidRPr="000A50F0">
              <w:rPr>
                <w:i/>
              </w:rPr>
              <w:t xml:space="preserve">      </w:t>
            </w:r>
          </w:p>
        </w:tc>
        <w:tc>
          <w:tcPr>
            <w:tcW w:w="0" w:type="auto"/>
          </w:tcPr>
          <w:p w14:paraId="60F56E04" w14:textId="77777777" w:rsidR="000A50F0" w:rsidRPr="000A50F0" w:rsidRDefault="000A50F0" w:rsidP="00653A58">
            <w:pPr>
              <w:rPr>
                <w:i/>
              </w:rPr>
            </w:pPr>
            <w:r w:rsidRPr="000A50F0">
              <w:rPr>
                <w:i/>
              </w:rPr>
              <w:t>:</w:t>
            </w:r>
          </w:p>
        </w:tc>
        <w:tc>
          <w:tcPr>
            <w:tcW w:w="0" w:type="auto"/>
            <w:shd w:val="clear" w:color="auto" w:fill="auto"/>
          </w:tcPr>
          <w:p w14:paraId="428A822B" w14:textId="77777777" w:rsidR="000A50F0" w:rsidRPr="000A50F0" w:rsidRDefault="000A50F0" w:rsidP="00653A58">
            <w:pPr>
              <w:rPr>
                <w:i/>
              </w:rPr>
            </w:pPr>
            <w:r w:rsidRPr="000A50F0">
              <w:rPr>
                <w:i/>
              </w:rPr>
              <w:t>Tasa de impuestos a las utilidades de primera categoría aplicables a la empresa eficiente. En caso de existir más de un régimen tributario, se considerará aquel régimen que resulte más conveniente económicamente para la empresa eficiente.</w:t>
            </w:r>
          </w:p>
        </w:tc>
      </w:tr>
    </w:tbl>
    <w:p w14:paraId="797E38B4" w14:textId="0BAAB7B2" w:rsidR="009B2F4E" w:rsidRDefault="009B2F4E" w:rsidP="009B2F4E">
      <w:r>
        <w:t>Conforme a la normativa tributaria, una empresa constituida en la manera en que debería estarlo la empresa eficiente, esto es, como una sociedad anónima</w:t>
      </w:r>
      <w:r>
        <w:rPr>
          <w:rStyle w:val="Refdenotaalpie"/>
        </w:rPr>
        <w:footnoteReference w:id="46"/>
      </w:r>
      <w:r>
        <w:t xml:space="preserve">, no tiene sino la opción de acogerse al sistema de tributación denominado </w:t>
      </w:r>
      <w:r w:rsidRPr="00763DD3">
        <w:rPr>
          <w:i/>
          <w:iCs/>
        </w:rPr>
        <w:t>parcialmente integrado</w:t>
      </w:r>
      <w:r>
        <w:t>.</w:t>
      </w:r>
      <w:bookmarkStart w:id="545" w:name="_Hlk24624198"/>
    </w:p>
    <w:p w14:paraId="7A52515D" w14:textId="77777777" w:rsidR="009B2F4E" w:rsidRDefault="009B2F4E" w:rsidP="009B2F4E">
      <w:r w:rsidRPr="00E30BC0">
        <w:t xml:space="preserve">La posibilidad de optar entre diversos regímenes para tributar los impuestos de primera categoría surge de la Reforma Tributaria de 2014 (Ley N°20.780, que modificó al DL N°824, Ley de Sobre Impuesto a la Renta). Dicha norma estableció distintos regímenes, </w:t>
      </w:r>
      <w:r>
        <w:t>entendiéndose</w:t>
      </w:r>
      <w:r w:rsidRPr="00E30BC0">
        <w:t xml:space="preserve"> que una empresa de las características señaladas podía acogerse al sistema de renta atribuida o al sistema parcialmente integrado. Sin embargo, la Ley N°20.899 de 2016 que simplificó el sistema de tributación, impuso como obligatorio para las sociedades anónimas el sistema parcialmente </w:t>
      </w:r>
      <w:r w:rsidRPr="00E30BC0">
        <w:lastRenderedPageBreak/>
        <w:t>integrado, es decir, dejó sin efecto para ellas la posibilidad de optar entre el sistema parcialmente integrado y el de renta atribuida.</w:t>
      </w:r>
    </w:p>
    <w:p w14:paraId="43086647" w14:textId="77777777" w:rsidR="009B2F4E" w:rsidRDefault="009B2F4E" w:rsidP="009B2F4E">
      <w:r>
        <w:t xml:space="preserve">En efecto, el Artículo 14 del DL N°824, </w:t>
      </w:r>
      <w:r w:rsidRPr="00E30BC0">
        <w:rPr>
          <w:i/>
          <w:iCs/>
        </w:rPr>
        <w:t>Ley Sobre Impuesto a la Renta</w:t>
      </w:r>
      <w:r>
        <w:t>, indica en sus primeros dos incisos que:</w:t>
      </w:r>
    </w:p>
    <w:p w14:paraId="3448979F" w14:textId="77777777" w:rsidR="009B2F4E" w:rsidRPr="000A50F0" w:rsidRDefault="009B2F4E" w:rsidP="000A50F0">
      <w:pPr>
        <w:rPr>
          <w:i/>
        </w:rPr>
      </w:pPr>
      <w:bookmarkStart w:id="546" w:name="_Hlk24624914"/>
      <w:r w:rsidRPr="000A50F0">
        <w:rPr>
          <w:i/>
        </w:rPr>
        <w:t xml:space="preserve">“Las rentas que se determinen a un contribuyente sujeto al impuesto de la primera categoría se gravarán respecto de éste, de acuerdo con las normas del Título II, sin perjuicio de las partidas que deban agregarse a la renta líquida imponible de esa categoría conforme a este artículo. </w:t>
      </w:r>
    </w:p>
    <w:p w14:paraId="5FED82D4" w14:textId="186AD336" w:rsidR="009B2F4E" w:rsidRPr="000A50F0" w:rsidRDefault="009B2F4E" w:rsidP="000A50F0">
      <w:pPr>
        <w:rPr>
          <w:i/>
        </w:rPr>
      </w:pPr>
      <w:r w:rsidRPr="000A50F0">
        <w:rPr>
          <w:i/>
        </w:rPr>
        <w:t xml:space="preserve">Los contribuyentes que sean empresarios individuales, empresas individuales de responsabilidad limitada, comunidades, sociedades por acciones, contribuyentes del artículo 58 número 1 y sociedades de personas, excluidas las sociedades en </w:t>
      </w:r>
      <w:r w:rsidR="00E81133">
        <w:rPr>
          <w:i/>
        </w:rPr>
        <w:t>comandita</w:t>
      </w:r>
      <w:r w:rsidRPr="000A50F0">
        <w:rPr>
          <w:i/>
        </w:rPr>
        <w:t xml:space="preserve"> por acciones, todos ellos obligados a declarar sobre la base de sus rentas efectivas según contabilidad completa, cuyos propietarios, comuneros, socios o accionistas sean exclusivamente personas naturales con domicilio o residencia en el país y/o contribuyentes sin domicilio ni residencia en Chile, podrán optar por aplicar las disposiciones de las letras A) o B) de este artículo. Los demás contribuyentes aplicarán las disposiciones de la letra B).”</w:t>
      </w:r>
    </w:p>
    <w:bookmarkEnd w:id="546"/>
    <w:p w14:paraId="35C0F794" w14:textId="77777777" w:rsidR="009B2F4E" w:rsidRDefault="009B2F4E" w:rsidP="009B2F4E">
      <w:r>
        <w:t>Los contribuyentes indicados en la letra B), y según la misma norma, corresponden a:</w:t>
      </w:r>
    </w:p>
    <w:p w14:paraId="46E6A635" w14:textId="77777777" w:rsidR="009B2F4E" w:rsidRPr="000A50F0" w:rsidRDefault="009B2F4E" w:rsidP="000A50F0">
      <w:pPr>
        <w:rPr>
          <w:i/>
        </w:rPr>
      </w:pPr>
      <w:r w:rsidRPr="000A50F0">
        <w:rPr>
          <w:i/>
        </w:rPr>
        <w:t>“B) Contribuyentes obligados a declarar sus rentas efectivas según contabilidad completa, sujetos al régimen de impuesto de primera categoría con deducción parcial de crédito en los impuestos finales...”</w:t>
      </w:r>
    </w:p>
    <w:p w14:paraId="198316FF" w14:textId="77777777" w:rsidR="009B2F4E" w:rsidRDefault="009B2F4E" w:rsidP="009B2F4E">
      <w:bookmarkStart w:id="547" w:name="_Hlk24625021"/>
      <w:bookmarkEnd w:id="545"/>
      <w:r>
        <w:t>La tasa aplicable a los distintos sistemas está establecida en el Artículo 20, del Título II del DL N°824, que indica:</w:t>
      </w:r>
    </w:p>
    <w:p w14:paraId="55160303" w14:textId="77777777" w:rsidR="009B2F4E" w:rsidRPr="000A50F0" w:rsidRDefault="009B2F4E" w:rsidP="000A50F0">
      <w:pPr>
        <w:rPr>
          <w:i/>
        </w:rPr>
      </w:pPr>
      <w:r w:rsidRPr="000A50F0">
        <w:rPr>
          <w:i/>
        </w:rPr>
        <w:t>“Establécese un impuesto de 25% que podrá ser imputado a los impuestos global complementario y adicional de acuerdo con las normas de los artículos 56, N° 3 y 63. En el caso de los contribuyentes sujetos a las disposiciones de la letra B) del artículo 14, el impuesto será de 27%...”</w:t>
      </w:r>
      <w:r w:rsidRPr="000A50F0">
        <w:rPr>
          <w:rStyle w:val="Refdenotaalpie"/>
        </w:rPr>
        <w:footnoteReference w:id="47"/>
      </w:r>
    </w:p>
    <w:bookmarkEnd w:id="547"/>
    <w:p w14:paraId="487E63C7" w14:textId="37DBD649" w:rsidR="009B2F4E" w:rsidRDefault="000A50F0" w:rsidP="009B2F4E">
      <w:r>
        <w:t xml:space="preserve">De esta forma, el parámetro </w:t>
      </w:r>
      <m:oMath>
        <m:r>
          <w:rPr>
            <w:rFonts w:ascii="Cambria Math" w:hAnsi="Cambria Math"/>
          </w:rPr>
          <m:t>t</m:t>
        </m:r>
      </m:oMath>
      <w:r w:rsidR="009B2F4E">
        <w:t xml:space="preserve">, a los efectos del estudio, debe corresponder a la tasa de impuestos de primera categoría aplicable a contribuyentes adscritos al sistema de tributación denominado </w:t>
      </w:r>
      <w:r w:rsidR="009B2F4E">
        <w:lastRenderedPageBreak/>
        <w:t xml:space="preserve">parcialmente integrado, el cual es obligatorio para sociedades anónimas, y que corresponde a una tasa de </w:t>
      </w:r>
      <w:r w:rsidR="009B2F4E" w:rsidRPr="00531B73">
        <w:rPr>
          <w:b/>
          <w:bCs/>
        </w:rPr>
        <w:t>27%</w:t>
      </w:r>
      <w:r w:rsidR="009B2F4E">
        <w:t>.</w:t>
      </w:r>
    </w:p>
    <w:p w14:paraId="33C6B364" w14:textId="77777777" w:rsidR="001B4185" w:rsidRPr="00E200DF" w:rsidRDefault="00CD36BA" w:rsidP="00E200DF">
      <w:pPr>
        <w:pStyle w:val="Ttulo2"/>
        <w:rPr>
          <w:sz w:val="24"/>
          <w:szCs w:val="24"/>
        </w:rPr>
      </w:pPr>
      <w:bookmarkStart w:id="550" w:name="_Toc39797895"/>
      <w:r w:rsidRPr="00E200DF">
        <w:rPr>
          <w:sz w:val="24"/>
          <w:szCs w:val="24"/>
        </w:rPr>
        <w:t>Cálculo del V.A.T.T.</w:t>
      </w:r>
      <w:bookmarkEnd w:id="550"/>
    </w:p>
    <w:p w14:paraId="59A78F51" w14:textId="6597F14C" w:rsidR="002F6E04" w:rsidRDefault="002F6E04" w:rsidP="002F6E04">
      <w:pPr>
        <w:spacing w:after="0"/>
        <w:rPr>
          <w:rFonts w:cstheme="minorHAnsi"/>
        </w:rPr>
      </w:pPr>
      <w:r w:rsidRPr="00C721EA">
        <w:rPr>
          <w:rFonts w:cstheme="minorHAnsi"/>
        </w:rPr>
        <w:t>Como se ha señalado en los puntos anteriores, el punto 3.3 de las Bases -siguiendo lo establecido en la Resolución N°380- indica que cada tramo estará compuesto por los siguientes elementos –que denomina “instalaciones económicamente identificables”- y a los cuales se les asignó una determinada vida útil mediante la Resolución Exenta N°412:</w:t>
      </w:r>
    </w:p>
    <w:p w14:paraId="1110D2FE" w14:textId="6FB26F8B" w:rsidR="003A0B8A" w:rsidRPr="00C721EA" w:rsidRDefault="003A0B8A" w:rsidP="003A0B8A">
      <w:pPr>
        <w:pStyle w:val="Subttulo"/>
        <w:rPr>
          <w:rFonts w:cstheme="minorHAnsi"/>
        </w:rPr>
      </w:pPr>
      <w:bookmarkStart w:id="551" w:name="_Toc39797972"/>
      <w:r w:rsidRPr="002F3394">
        <w:t xml:space="preserve">Tabla </w:t>
      </w:r>
      <w:fldSimple w:instr=" SEQ Tabla \* ARABIC ">
        <w:r w:rsidR="001F3E2E">
          <w:rPr>
            <w:noProof/>
          </w:rPr>
          <w:t>62</w:t>
        </w:r>
      </w:fldSimple>
      <w:r w:rsidR="00CA697A">
        <w:t>: Vida útiles Resolución Exenta 412 CNE</w:t>
      </w:r>
      <w:bookmarkEnd w:id="551"/>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firstRow="1" w:lastRow="0" w:firstColumn="1" w:lastColumn="0" w:noHBand="0" w:noVBand="1"/>
      </w:tblPr>
      <w:tblGrid>
        <w:gridCol w:w="680"/>
        <w:gridCol w:w="7371"/>
        <w:gridCol w:w="1588"/>
      </w:tblGrid>
      <w:tr w:rsidR="002F6E04" w:rsidRPr="002C2818" w14:paraId="465E3049" w14:textId="77777777" w:rsidTr="00BF5667">
        <w:trPr>
          <w:jc w:val="center"/>
        </w:trPr>
        <w:tc>
          <w:tcPr>
            <w:tcW w:w="680" w:type="dxa"/>
            <w:shd w:val="clear" w:color="auto" w:fill="D0CECE"/>
            <w:vAlign w:val="center"/>
          </w:tcPr>
          <w:p w14:paraId="73A18973" w14:textId="77777777" w:rsidR="002F6E04" w:rsidRPr="002C2818" w:rsidRDefault="002F6E04" w:rsidP="0087158B">
            <w:pPr>
              <w:spacing w:before="20" w:after="20" w:line="240" w:lineRule="auto"/>
              <w:jc w:val="center"/>
              <w:rPr>
                <w:rFonts w:cs="Calibri"/>
                <w:b/>
                <w:bCs/>
                <w:sz w:val="20"/>
                <w:szCs w:val="20"/>
              </w:rPr>
            </w:pPr>
            <w:r w:rsidRPr="002C2818">
              <w:rPr>
                <w:rFonts w:cs="Calibri"/>
                <w:b/>
                <w:bCs/>
                <w:sz w:val="20"/>
                <w:szCs w:val="20"/>
              </w:rPr>
              <w:t>N°</w:t>
            </w:r>
          </w:p>
        </w:tc>
        <w:tc>
          <w:tcPr>
            <w:tcW w:w="7371" w:type="dxa"/>
            <w:shd w:val="clear" w:color="auto" w:fill="D0CECE"/>
            <w:vAlign w:val="center"/>
          </w:tcPr>
          <w:p w14:paraId="1722F0B9" w14:textId="77777777" w:rsidR="002F6E04" w:rsidRPr="002C2818" w:rsidRDefault="002F6E04" w:rsidP="0087158B">
            <w:pPr>
              <w:spacing w:before="20" w:after="20" w:line="240" w:lineRule="auto"/>
              <w:jc w:val="center"/>
              <w:rPr>
                <w:rFonts w:cs="Calibri"/>
                <w:b/>
                <w:bCs/>
                <w:sz w:val="20"/>
                <w:szCs w:val="20"/>
              </w:rPr>
            </w:pPr>
            <w:r>
              <w:rPr>
                <w:rFonts w:cs="Calibri"/>
                <w:b/>
                <w:bCs/>
                <w:sz w:val="20"/>
                <w:szCs w:val="20"/>
              </w:rPr>
              <w:t>Instalaciones económicamente identificables de un tramo cualquiera</w:t>
            </w:r>
          </w:p>
        </w:tc>
        <w:tc>
          <w:tcPr>
            <w:tcW w:w="1588" w:type="dxa"/>
            <w:shd w:val="clear" w:color="auto" w:fill="D0CECE"/>
            <w:vAlign w:val="center"/>
          </w:tcPr>
          <w:p w14:paraId="3279AB12" w14:textId="77777777" w:rsidR="002F6E04" w:rsidRPr="002C2818" w:rsidRDefault="002F6E04" w:rsidP="0087158B">
            <w:pPr>
              <w:spacing w:before="20" w:after="20" w:line="240" w:lineRule="auto"/>
              <w:jc w:val="center"/>
              <w:rPr>
                <w:rFonts w:cs="Calibri"/>
                <w:b/>
                <w:bCs/>
                <w:sz w:val="20"/>
                <w:szCs w:val="20"/>
              </w:rPr>
            </w:pPr>
            <w:r w:rsidRPr="002C2818">
              <w:rPr>
                <w:rFonts w:cs="Calibri"/>
                <w:b/>
                <w:bCs/>
                <w:sz w:val="20"/>
                <w:szCs w:val="20"/>
              </w:rPr>
              <w:t>Vida útil</w:t>
            </w:r>
          </w:p>
          <w:p w14:paraId="00A49E6B" w14:textId="77777777" w:rsidR="002F6E04" w:rsidRPr="002C2818" w:rsidRDefault="002F6E04" w:rsidP="0087158B">
            <w:pPr>
              <w:spacing w:before="20" w:after="20" w:line="240" w:lineRule="auto"/>
              <w:jc w:val="center"/>
              <w:rPr>
                <w:rFonts w:cs="Calibri"/>
                <w:b/>
                <w:bCs/>
                <w:sz w:val="20"/>
                <w:szCs w:val="20"/>
              </w:rPr>
            </w:pPr>
            <w:r w:rsidRPr="002C2818">
              <w:rPr>
                <w:rFonts w:cs="Calibri"/>
                <w:b/>
                <w:bCs/>
                <w:sz w:val="20"/>
                <w:szCs w:val="20"/>
              </w:rPr>
              <w:t>[Años]</w:t>
            </w:r>
          </w:p>
        </w:tc>
      </w:tr>
      <w:tr w:rsidR="002F6E04" w:rsidRPr="002C2818" w14:paraId="7B91EC42" w14:textId="77777777" w:rsidTr="00BF5667">
        <w:trPr>
          <w:jc w:val="center"/>
        </w:trPr>
        <w:tc>
          <w:tcPr>
            <w:tcW w:w="680" w:type="dxa"/>
            <w:shd w:val="clear" w:color="auto" w:fill="auto"/>
            <w:vAlign w:val="center"/>
          </w:tcPr>
          <w:p w14:paraId="266F29F4" w14:textId="77777777" w:rsidR="002F6E04" w:rsidRPr="002C2818" w:rsidRDefault="002F6E04" w:rsidP="0087158B">
            <w:pPr>
              <w:spacing w:before="20" w:after="20" w:line="240" w:lineRule="auto"/>
              <w:jc w:val="center"/>
              <w:rPr>
                <w:rFonts w:cs="Calibri"/>
                <w:sz w:val="20"/>
                <w:szCs w:val="20"/>
              </w:rPr>
            </w:pPr>
            <w:r w:rsidRPr="002C2818">
              <w:rPr>
                <w:rFonts w:cs="Calibri"/>
                <w:sz w:val="20"/>
                <w:szCs w:val="20"/>
              </w:rPr>
              <w:t>1</w:t>
            </w:r>
          </w:p>
        </w:tc>
        <w:tc>
          <w:tcPr>
            <w:tcW w:w="7371" w:type="dxa"/>
            <w:shd w:val="clear" w:color="auto" w:fill="auto"/>
            <w:vAlign w:val="center"/>
          </w:tcPr>
          <w:p w14:paraId="11A934E2" w14:textId="77777777" w:rsidR="002F6E04" w:rsidRPr="002C2818" w:rsidRDefault="002F6E04" w:rsidP="0087158B">
            <w:pPr>
              <w:spacing w:before="20" w:after="20" w:line="240" w:lineRule="auto"/>
              <w:rPr>
                <w:rFonts w:cs="Calibri"/>
                <w:sz w:val="20"/>
                <w:szCs w:val="20"/>
              </w:rPr>
            </w:pPr>
            <w:r w:rsidRPr="002C2818">
              <w:rPr>
                <w:rFonts w:cs="Calibri"/>
                <w:sz w:val="20"/>
                <w:szCs w:val="20"/>
              </w:rPr>
              <w:t>Derechos relacionados con el uso de suelo y medio ambiente</w:t>
            </w:r>
          </w:p>
        </w:tc>
        <w:tc>
          <w:tcPr>
            <w:tcW w:w="1588" w:type="dxa"/>
            <w:shd w:val="clear" w:color="auto" w:fill="auto"/>
            <w:vAlign w:val="center"/>
          </w:tcPr>
          <w:p w14:paraId="235E8145" w14:textId="77777777" w:rsidR="002F6E04" w:rsidRPr="002C2818" w:rsidRDefault="002F6E04" w:rsidP="0087158B">
            <w:pPr>
              <w:spacing w:before="20" w:after="20" w:line="240" w:lineRule="auto"/>
              <w:jc w:val="center"/>
              <w:rPr>
                <w:rFonts w:cs="Calibri"/>
                <w:sz w:val="20"/>
                <w:szCs w:val="20"/>
              </w:rPr>
            </w:pPr>
            <w:r w:rsidRPr="002C2818">
              <w:rPr>
                <w:rFonts w:cs="Calibri"/>
                <w:sz w:val="20"/>
                <w:szCs w:val="20"/>
              </w:rPr>
              <w:t>Perpetuidad</w:t>
            </w:r>
          </w:p>
        </w:tc>
      </w:tr>
      <w:tr w:rsidR="002F6E04" w:rsidRPr="002C2818" w14:paraId="0556AE52" w14:textId="77777777" w:rsidTr="00BF5667">
        <w:trPr>
          <w:jc w:val="center"/>
        </w:trPr>
        <w:tc>
          <w:tcPr>
            <w:tcW w:w="680" w:type="dxa"/>
            <w:shd w:val="clear" w:color="auto" w:fill="auto"/>
            <w:vAlign w:val="center"/>
          </w:tcPr>
          <w:p w14:paraId="2821A906" w14:textId="77777777" w:rsidR="002F6E04" w:rsidRPr="002C2818" w:rsidRDefault="002F6E04" w:rsidP="0087158B">
            <w:pPr>
              <w:spacing w:before="20" w:after="20" w:line="240" w:lineRule="auto"/>
              <w:jc w:val="center"/>
              <w:rPr>
                <w:rFonts w:cs="Calibri"/>
                <w:sz w:val="20"/>
                <w:szCs w:val="20"/>
              </w:rPr>
            </w:pPr>
            <w:r w:rsidRPr="002C2818">
              <w:rPr>
                <w:rFonts w:cs="Calibri"/>
                <w:sz w:val="20"/>
                <w:szCs w:val="20"/>
              </w:rPr>
              <w:t>2</w:t>
            </w:r>
          </w:p>
        </w:tc>
        <w:tc>
          <w:tcPr>
            <w:tcW w:w="7371" w:type="dxa"/>
            <w:shd w:val="clear" w:color="auto" w:fill="auto"/>
            <w:vAlign w:val="center"/>
          </w:tcPr>
          <w:p w14:paraId="2E5E0733" w14:textId="77777777" w:rsidR="002F6E04" w:rsidRPr="002C2818" w:rsidRDefault="002F6E04" w:rsidP="0087158B">
            <w:pPr>
              <w:spacing w:before="20" w:after="20" w:line="240" w:lineRule="auto"/>
              <w:rPr>
                <w:rFonts w:cs="Calibri"/>
                <w:sz w:val="20"/>
                <w:szCs w:val="20"/>
              </w:rPr>
            </w:pPr>
            <w:r w:rsidRPr="002C2818">
              <w:rPr>
                <w:rFonts w:cs="Calibri"/>
                <w:sz w:val="20"/>
                <w:szCs w:val="20"/>
              </w:rPr>
              <w:t>Obras civiles</w:t>
            </w:r>
          </w:p>
        </w:tc>
        <w:tc>
          <w:tcPr>
            <w:tcW w:w="1588" w:type="dxa"/>
            <w:shd w:val="clear" w:color="auto" w:fill="auto"/>
            <w:vAlign w:val="center"/>
          </w:tcPr>
          <w:p w14:paraId="6846F5F5" w14:textId="77777777" w:rsidR="002F6E04" w:rsidRPr="002C2818" w:rsidRDefault="002F6E04" w:rsidP="0087158B">
            <w:pPr>
              <w:spacing w:before="20" w:after="20" w:line="240" w:lineRule="auto"/>
              <w:jc w:val="center"/>
              <w:rPr>
                <w:rFonts w:cs="Calibri"/>
                <w:sz w:val="20"/>
                <w:szCs w:val="20"/>
              </w:rPr>
            </w:pPr>
            <w:r w:rsidRPr="002C2818">
              <w:rPr>
                <w:rFonts w:cs="Calibri"/>
                <w:sz w:val="20"/>
                <w:szCs w:val="20"/>
              </w:rPr>
              <w:t>50</w:t>
            </w:r>
          </w:p>
        </w:tc>
      </w:tr>
      <w:tr w:rsidR="002F6E04" w:rsidRPr="002C2818" w14:paraId="0E6EF843" w14:textId="77777777" w:rsidTr="00BF5667">
        <w:trPr>
          <w:jc w:val="center"/>
        </w:trPr>
        <w:tc>
          <w:tcPr>
            <w:tcW w:w="680" w:type="dxa"/>
            <w:shd w:val="clear" w:color="auto" w:fill="auto"/>
            <w:vAlign w:val="center"/>
          </w:tcPr>
          <w:p w14:paraId="696A2BFF" w14:textId="77777777" w:rsidR="002F6E04" w:rsidRPr="002C2818" w:rsidRDefault="002F6E04" w:rsidP="0087158B">
            <w:pPr>
              <w:spacing w:before="20" w:after="20" w:line="240" w:lineRule="auto"/>
              <w:jc w:val="center"/>
              <w:rPr>
                <w:rFonts w:cs="Calibri"/>
                <w:sz w:val="20"/>
                <w:szCs w:val="20"/>
              </w:rPr>
            </w:pPr>
            <w:r w:rsidRPr="002C2818">
              <w:rPr>
                <w:rFonts w:cs="Calibri"/>
                <w:sz w:val="20"/>
                <w:szCs w:val="20"/>
              </w:rPr>
              <w:t>3</w:t>
            </w:r>
          </w:p>
        </w:tc>
        <w:tc>
          <w:tcPr>
            <w:tcW w:w="7371" w:type="dxa"/>
            <w:shd w:val="clear" w:color="auto" w:fill="auto"/>
            <w:vAlign w:val="center"/>
          </w:tcPr>
          <w:p w14:paraId="2926B5EC" w14:textId="77777777" w:rsidR="002F6E04" w:rsidRPr="002C2818" w:rsidRDefault="002F6E04" w:rsidP="0087158B">
            <w:pPr>
              <w:spacing w:before="20" w:after="20" w:line="240" w:lineRule="auto"/>
              <w:rPr>
                <w:rFonts w:cs="Calibri"/>
                <w:sz w:val="20"/>
                <w:szCs w:val="20"/>
              </w:rPr>
            </w:pPr>
            <w:r w:rsidRPr="002C2818">
              <w:rPr>
                <w:rFonts w:cs="Calibri"/>
                <w:sz w:val="20"/>
                <w:szCs w:val="20"/>
              </w:rPr>
              <w:t>Estructuras de líneas y/o subestaciones</w:t>
            </w:r>
          </w:p>
        </w:tc>
        <w:tc>
          <w:tcPr>
            <w:tcW w:w="1588" w:type="dxa"/>
            <w:shd w:val="clear" w:color="auto" w:fill="auto"/>
            <w:vAlign w:val="center"/>
          </w:tcPr>
          <w:p w14:paraId="4D1DE1DF" w14:textId="77777777" w:rsidR="002F6E04" w:rsidRPr="002C2818" w:rsidRDefault="002F6E04" w:rsidP="0087158B">
            <w:pPr>
              <w:spacing w:before="20" w:after="20" w:line="240" w:lineRule="auto"/>
              <w:jc w:val="center"/>
              <w:rPr>
                <w:rFonts w:cs="Calibri"/>
                <w:sz w:val="20"/>
                <w:szCs w:val="20"/>
              </w:rPr>
            </w:pPr>
            <w:r w:rsidRPr="002C2818">
              <w:rPr>
                <w:rFonts w:cs="Calibri"/>
                <w:sz w:val="20"/>
                <w:szCs w:val="20"/>
              </w:rPr>
              <w:t>50</w:t>
            </w:r>
          </w:p>
        </w:tc>
      </w:tr>
      <w:tr w:rsidR="002F6E04" w:rsidRPr="002C2818" w14:paraId="5A87D871" w14:textId="77777777" w:rsidTr="00BF5667">
        <w:trPr>
          <w:jc w:val="center"/>
        </w:trPr>
        <w:tc>
          <w:tcPr>
            <w:tcW w:w="680" w:type="dxa"/>
            <w:shd w:val="clear" w:color="auto" w:fill="auto"/>
            <w:vAlign w:val="center"/>
          </w:tcPr>
          <w:p w14:paraId="5236EA6C" w14:textId="77777777" w:rsidR="002F6E04" w:rsidRPr="002C2818" w:rsidRDefault="002F6E04" w:rsidP="0087158B">
            <w:pPr>
              <w:spacing w:before="20" w:after="20" w:line="240" w:lineRule="auto"/>
              <w:jc w:val="center"/>
              <w:rPr>
                <w:rFonts w:cs="Calibri"/>
                <w:sz w:val="20"/>
                <w:szCs w:val="20"/>
              </w:rPr>
            </w:pPr>
            <w:r w:rsidRPr="002C2818">
              <w:rPr>
                <w:rFonts w:cs="Calibri"/>
                <w:sz w:val="20"/>
                <w:szCs w:val="20"/>
              </w:rPr>
              <w:t>4</w:t>
            </w:r>
          </w:p>
        </w:tc>
        <w:tc>
          <w:tcPr>
            <w:tcW w:w="7371" w:type="dxa"/>
            <w:shd w:val="clear" w:color="auto" w:fill="auto"/>
            <w:vAlign w:val="center"/>
          </w:tcPr>
          <w:p w14:paraId="1FCC0109" w14:textId="77777777" w:rsidR="002F6E04" w:rsidRPr="002C2818" w:rsidRDefault="002F6E04" w:rsidP="0087158B">
            <w:pPr>
              <w:spacing w:before="20" w:after="20" w:line="240" w:lineRule="auto"/>
              <w:rPr>
                <w:rFonts w:cs="Calibri"/>
                <w:sz w:val="20"/>
                <w:szCs w:val="20"/>
              </w:rPr>
            </w:pPr>
            <w:r w:rsidRPr="002C2818">
              <w:rPr>
                <w:rFonts w:cs="Calibri"/>
                <w:sz w:val="20"/>
                <w:szCs w:val="20"/>
              </w:rPr>
              <w:t>Elementos de sujeción y aislación</w:t>
            </w:r>
          </w:p>
        </w:tc>
        <w:tc>
          <w:tcPr>
            <w:tcW w:w="1588" w:type="dxa"/>
            <w:shd w:val="clear" w:color="auto" w:fill="auto"/>
            <w:vAlign w:val="center"/>
          </w:tcPr>
          <w:p w14:paraId="70507AE7" w14:textId="77777777" w:rsidR="002F6E04" w:rsidRPr="002C2818" w:rsidRDefault="002F6E04" w:rsidP="0087158B">
            <w:pPr>
              <w:spacing w:before="20" w:after="20" w:line="240" w:lineRule="auto"/>
              <w:jc w:val="center"/>
              <w:rPr>
                <w:rFonts w:cs="Calibri"/>
                <w:sz w:val="20"/>
                <w:szCs w:val="20"/>
              </w:rPr>
            </w:pPr>
            <w:r w:rsidRPr="002C2818">
              <w:rPr>
                <w:rFonts w:cs="Calibri"/>
                <w:sz w:val="20"/>
                <w:szCs w:val="20"/>
              </w:rPr>
              <w:t>30</w:t>
            </w:r>
          </w:p>
        </w:tc>
      </w:tr>
      <w:tr w:rsidR="002F6E04" w:rsidRPr="002C2818" w14:paraId="0B0E489C" w14:textId="77777777" w:rsidTr="00BF5667">
        <w:trPr>
          <w:jc w:val="center"/>
        </w:trPr>
        <w:tc>
          <w:tcPr>
            <w:tcW w:w="680" w:type="dxa"/>
            <w:shd w:val="clear" w:color="auto" w:fill="auto"/>
            <w:vAlign w:val="center"/>
          </w:tcPr>
          <w:p w14:paraId="28874FE1" w14:textId="77777777" w:rsidR="002F6E04" w:rsidRPr="002C2818" w:rsidRDefault="002F6E04" w:rsidP="0087158B">
            <w:pPr>
              <w:spacing w:before="20" w:after="20" w:line="240" w:lineRule="auto"/>
              <w:jc w:val="center"/>
              <w:rPr>
                <w:rFonts w:cs="Calibri"/>
                <w:sz w:val="20"/>
                <w:szCs w:val="20"/>
              </w:rPr>
            </w:pPr>
            <w:r w:rsidRPr="002C2818">
              <w:rPr>
                <w:rFonts w:cs="Calibri"/>
                <w:sz w:val="20"/>
                <w:szCs w:val="20"/>
              </w:rPr>
              <w:t>5</w:t>
            </w:r>
          </w:p>
        </w:tc>
        <w:tc>
          <w:tcPr>
            <w:tcW w:w="7371" w:type="dxa"/>
            <w:shd w:val="clear" w:color="auto" w:fill="auto"/>
            <w:vAlign w:val="center"/>
          </w:tcPr>
          <w:p w14:paraId="6A1022A2" w14:textId="77777777" w:rsidR="002F6E04" w:rsidRPr="002C2818" w:rsidRDefault="002F6E04" w:rsidP="0087158B">
            <w:pPr>
              <w:spacing w:before="20" w:after="20" w:line="240" w:lineRule="auto"/>
              <w:rPr>
                <w:rFonts w:cs="Calibri"/>
                <w:sz w:val="20"/>
                <w:szCs w:val="20"/>
              </w:rPr>
            </w:pPr>
            <w:r w:rsidRPr="002C2818">
              <w:rPr>
                <w:rFonts w:cs="Calibri"/>
                <w:sz w:val="20"/>
                <w:szCs w:val="20"/>
              </w:rPr>
              <w:t>Equipamiento electromecánico y electromagnético</w:t>
            </w:r>
          </w:p>
        </w:tc>
        <w:tc>
          <w:tcPr>
            <w:tcW w:w="1588" w:type="dxa"/>
            <w:shd w:val="clear" w:color="auto" w:fill="auto"/>
            <w:vAlign w:val="center"/>
          </w:tcPr>
          <w:p w14:paraId="080D8E07" w14:textId="77777777" w:rsidR="002F6E04" w:rsidRPr="002C2818" w:rsidRDefault="002F6E04" w:rsidP="0087158B">
            <w:pPr>
              <w:spacing w:before="20" w:after="20" w:line="240" w:lineRule="auto"/>
              <w:jc w:val="center"/>
              <w:rPr>
                <w:rFonts w:cs="Calibri"/>
                <w:sz w:val="20"/>
                <w:szCs w:val="20"/>
              </w:rPr>
            </w:pPr>
            <w:r w:rsidRPr="002C2818">
              <w:rPr>
                <w:rFonts w:cs="Calibri"/>
                <w:sz w:val="20"/>
                <w:szCs w:val="20"/>
              </w:rPr>
              <w:t>40</w:t>
            </w:r>
          </w:p>
        </w:tc>
      </w:tr>
      <w:tr w:rsidR="002F6E04" w:rsidRPr="002C2818" w14:paraId="044DF4BC" w14:textId="77777777" w:rsidTr="00BF5667">
        <w:trPr>
          <w:jc w:val="center"/>
        </w:trPr>
        <w:tc>
          <w:tcPr>
            <w:tcW w:w="680" w:type="dxa"/>
            <w:shd w:val="clear" w:color="auto" w:fill="auto"/>
            <w:vAlign w:val="center"/>
          </w:tcPr>
          <w:p w14:paraId="3E0446A3" w14:textId="77777777" w:rsidR="002F6E04" w:rsidRPr="002C2818" w:rsidRDefault="002F6E04" w:rsidP="0087158B">
            <w:pPr>
              <w:spacing w:before="20" w:after="20" w:line="240" w:lineRule="auto"/>
              <w:jc w:val="center"/>
              <w:rPr>
                <w:rFonts w:cs="Calibri"/>
                <w:sz w:val="20"/>
                <w:szCs w:val="20"/>
              </w:rPr>
            </w:pPr>
            <w:r w:rsidRPr="002C2818">
              <w:rPr>
                <w:rFonts w:cs="Calibri"/>
                <w:sz w:val="20"/>
                <w:szCs w:val="20"/>
              </w:rPr>
              <w:t>6</w:t>
            </w:r>
          </w:p>
        </w:tc>
        <w:tc>
          <w:tcPr>
            <w:tcW w:w="7371" w:type="dxa"/>
            <w:shd w:val="clear" w:color="auto" w:fill="auto"/>
            <w:vAlign w:val="center"/>
          </w:tcPr>
          <w:p w14:paraId="4516BD5F" w14:textId="77777777" w:rsidR="002F6E04" w:rsidRPr="002C2818" w:rsidRDefault="002F6E04" w:rsidP="0087158B">
            <w:pPr>
              <w:spacing w:before="20" w:after="20" w:line="240" w:lineRule="auto"/>
              <w:rPr>
                <w:rFonts w:cs="Calibri"/>
                <w:sz w:val="20"/>
                <w:szCs w:val="20"/>
              </w:rPr>
            </w:pPr>
            <w:r w:rsidRPr="002C2818">
              <w:rPr>
                <w:rFonts w:cs="Calibri"/>
                <w:sz w:val="20"/>
                <w:szCs w:val="20"/>
              </w:rPr>
              <w:t>Conductores y cables de guardias</w:t>
            </w:r>
          </w:p>
        </w:tc>
        <w:tc>
          <w:tcPr>
            <w:tcW w:w="1588" w:type="dxa"/>
            <w:shd w:val="clear" w:color="auto" w:fill="auto"/>
            <w:vAlign w:val="center"/>
          </w:tcPr>
          <w:p w14:paraId="146BBD68" w14:textId="77777777" w:rsidR="002F6E04" w:rsidRPr="002C2818" w:rsidRDefault="002F6E04" w:rsidP="0087158B">
            <w:pPr>
              <w:spacing w:before="20" w:after="20" w:line="240" w:lineRule="auto"/>
              <w:jc w:val="center"/>
              <w:rPr>
                <w:rFonts w:cs="Calibri"/>
                <w:sz w:val="20"/>
                <w:szCs w:val="20"/>
              </w:rPr>
            </w:pPr>
            <w:r w:rsidRPr="002C2818">
              <w:rPr>
                <w:rFonts w:cs="Calibri"/>
                <w:sz w:val="20"/>
                <w:szCs w:val="20"/>
              </w:rPr>
              <w:t>50</w:t>
            </w:r>
          </w:p>
        </w:tc>
      </w:tr>
      <w:tr w:rsidR="002F6E04" w:rsidRPr="002C2818" w14:paraId="746B67C2" w14:textId="77777777" w:rsidTr="00BF5667">
        <w:trPr>
          <w:jc w:val="center"/>
        </w:trPr>
        <w:tc>
          <w:tcPr>
            <w:tcW w:w="680" w:type="dxa"/>
            <w:shd w:val="clear" w:color="auto" w:fill="auto"/>
            <w:vAlign w:val="center"/>
          </w:tcPr>
          <w:p w14:paraId="3DB27B62" w14:textId="77777777" w:rsidR="002F6E04" w:rsidRPr="002C2818" w:rsidRDefault="002F6E04" w:rsidP="0087158B">
            <w:pPr>
              <w:spacing w:before="20" w:after="20" w:line="240" w:lineRule="auto"/>
              <w:jc w:val="center"/>
              <w:rPr>
                <w:rFonts w:cs="Calibri"/>
                <w:sz w:val="20"/>
                <w:szCs w:val="20"/>
              </w:rPr>
            </w:pPr>
            <w:r w:rsidRPr="002C2818">
              <w:rPr>
                <w:rFonts w:cs="Calibri"/>
                <w:sz w:val="20"/>
                <w:szCs w:val="20"/>
              </w:rPr>
              <w:t>7</w:t>
            </w:r>
          </w:p>
        </w:tc>
        <w:tc>
          <w:tcPr>
            <w:tcW w:w="7371" w:type="dxa"/>
            <w:shd w:val="clear" w:color="auto" w:fill="auto"/>
            <w:vAlign w:val="center"/>
          </w:tcPr>
          <w:p w14:paraId="03342317" w14:textId="77777777" w:rsidR="002F6E04" w:rsidRPr="002C2818" w:rsidRDefault="002F6E04" w:rsidP="0087158B">
            <w:pPr>
              <w:spacing w:before="20" w:after="20" w:line="240" w:lineRule="auto"/>
              <w:rPr>
                <w:rFonts w:cs="Calibri"/>
                <w:sz w:val="20"/>
                <w:szCs w:val="20"/>
              </w:rPr>
            </w:pPr>
            <w:r w:rsidRPr="002C2818">
              <w:rPr>
                <w:rFonts w:cs="Calibri"/>
                <w:sz w:val="20"/>
                <w:szCs w:val="20"/>
              </w:rPr>
              <w:t>Protecciones electromecánicas y/o electromagnéticas</w:t>
            </w:r>
          </w:p>
        </w:tc>
        <w:tc>
          <w:tcPr>
            <w:tcW w:w="1588" w:type="dxa"/>
            <w:shd w:val="clear" w:color="auto" w:fill="auto"/>
            <w:vAlign w:val="center"/>
          </w:tcPr>
          <w:p w14:paraId="0232DD96" w14:textId="77777777" w:rsidR="002F6E04" w:rsidRPr="002C2818" w:rsidRDefault="002F6E04" w:rsidP="0087158B">
            <w:pPr>
              <w:spacing w:before="20" w:after="20" w:line="240" w:lineRule="auto"/>
              <w:jc w:val="center"/>
              <w:rPr>
                <w:rFonts w:cs="Calibri"/>
                <w:sz w:val="20"/>
                <w:szCs w:val="20"/>
              </w:rPr>
            </w:pPr>
            <w:r w:rsidRPr="002C2818">
              <w:rPr>
                <w:rFonts w:cs="Calibri"/>
                <w:sz w:val="20"/>
                <w:szCs w:val="20"/>
              </w:rPr>
              <w:t>20</w:t>
            </w:r>
          </w:p>
        </w:tc>
      </w:tr>
      <w:tr w:rsidR="002F6E04" w:rsidRPr="002C2818" w14:paraId="1692786D" w14:textId="77777777" w:rsidTr="00BF5667">
        <w:trPr>
          <w:jc w:val="center"/>
        </w:trPr>
        <w:tc>
          <w:tcPr>
            <w:tcW w:w="680" w:type="dxa"/>
            <w:shd w:val="clear" w:color="auto" w:fill="auto"/>
            <w:vAlign w:val="center"/>
          </w:tcPr>
          <w:p w14:paraId="57786B04" w14:textId="77777777" w:rsidR="002F6E04" w:rsidRPr="002C2818" w:rsidRDefault="002F6E04" w:rsidP="0087158B">
            <w:pPr>
              <w:spacing w:before="20" w:after="20" w:line="240" w:lineRule="auto"/>
              <w:jc w:val="center"/>
              <w:rPr>
                <w:rFonts w:cs="Calibri"/>
                <w:sz w:val="20"/>
                <w:szCs w:val="20"/>
              </w:rPr>
            </w:pPr>
            <w:r w:rsidRPr="002C2818">
              <w:rPr>
                <w:rFonts w:cs="Calibri"/>
                <w:sz w:val="20"/>
                <w:szCs w:val="20"/>
              </w:rPr>
              <w:t>8</w:t>
            </w:r>
          </w:p>
        </w:tc>
        <w:tc>
          <w:tcPr>
            <w:tcW w:w="7371" w:type="dxa"/>
            <w:shd w:val="clear" w:color="auto" w:fill="auto"/>
            <w:vAlign w:val="center"/>
          </w:tcPr>
          <w:p w14:paraId="41AE603B" w14:textId="77777777" w:rsidR="002F6E04" w:rsidRPr="002C2818" w:rsidRDefault="002F6E04" w:rsidP="0087158B">
            <w:pPr>
              <w:spacing w:before="20" w:after="20" w:line="240" w:lineRule="auto"/>
              <w:rPr>
                <w:rFonts w:cs="Calibri"/>
                <w:sz w:val="20"/>
                <w:szCs w:val="20"/>
              </w:rPr>
            </w:pPr>
            <w:r w:rsidRPr="002C2818">
              <w:rPr>
                <w:rFonts w:cs="Calibri"/>
                <w:sz w:val="20"/>
                <w:szCs w:val="20"/>
              </w:rPr>
              <w:t>Protecciones digitales</w:t>
            </w:r>
          </w:p>
        </w:tc>
        <w:tc>
          <w:tcPr>
            <w:tcW w:w="1588" w:type="dxa"/>
            <w:shd w:val="clear" w:color="auto" w:fill="auto"/>
            <w:vAlign w:val="center"/>
          </w:tcPr>
          <w:p w14:paraId="59AE80DD" w14:textId="77777777" w:rsidR="002F6E04" w:rsidRPr="002C2818" w:rsidRDefault="002F6E04" w:rsidP="0087158B">
            <w:pPr>
              <w:spacing w:before="20" w:after="20" w:line="240" w:lineRule="auto"/>
              <w:jc w:val="center"/>
              <w:rPr>
                <w:rFonts w:cs="Calibri"/>
                <w:sz w:val="20"/>
                <w:szCs w:val="20"/>
              </w:rPr>
            </w:pPr>
            <w:r w:rsidRPr="002C2818">
              <w:rPr>
                <w:rFonts w:cs="Calibri"/>
                <w:sz w:val="20"/>
                <w:szCs w:val="20"/>
              </w:rPr>
              <w:t>15</w:t>
            </w:r>
          </w:p>
        </w:tc>
      </w:tr>
      <w:tr w:rsidR="002F6E04" w:rsidRPr="002C2818" w14:paraId="2AC09E4D" w14:textId="77777777" w:rsidTr="00BF5667">
        <w:trPr>
          <w:jc w:val="center"/>
        </w:trPr>
        <w:tc>
          <w:tcPr>
            <w:tcW w:w="680" w:type="dxa"/>
            <w:shd w:val="clear" w:color="auto" w:fill="auto"/>
            <w:vAlign w:val="center"/>
          </w:tcPr>
          <w:p w14:paraId="0C22B4C8" w14:textId="77777777" w:rsidR="002F6E04" w:rsidRPr="002C2818" w:rsidRDefault="002F6E04" w:rsidP="0087158B">
            <w:pPr>
              <w:spacing w:before="20" w:after="20" w:line="240" w:lineRule="auto"/>
              <w:jc w:val="center"/>
              <w:rPr>
                <w:rFonts w:cs="Calibri"/>
                <w:sz w:val="20"/>
                <w:szCs w:val="20"/>
              </w:rPr>
            </w:pPr>
            <w:r w:rsidRPr="002C2818">
              <w:rPr>
                <w:rFonts w:cs="Calibri"/>
                <w:sz w:val="20"/>
                <w:szCs w:val="20"/>
              </w:rPr>
              <w:t>9</w:t>
            </w:r>
          </w:p>
        </w:tc>
        <w:tc>
          <w:tcPr>
            <w:tcW w:w="7371" w:type="dxa"/>
            <w:shd w:val="clear" w:color="auto" w:fill="auto"/>
            <w:vAlign w:val="center"/>
          </w:tcPr>
          <w:p w14:paraId="2A7E2590" w14:textId="6B47391A" w:rsidR="002F6E04" w:rsidRPr="002C2818" w:rsidRDefault="002F6E04" w:rsidP="00E81133">
            <w:pPr>
              <w:spacing w:before="20" w:after="20" w:line="240" w:lineRule="auto"/>
              <w:rPr>
                <w:rFonts w:cs="Calibri"/>
                <w:sz w:val="20"/>
                <w:szCs w:val="20"/>
              </w:rPr>
            </w:pPr>
            <w:r w:rsidRPr="002C2818">
              <w:rPr>
                <w:rFonts w:cs="Calibri"/>
                <w:sz w:val="20"/>
                <w:szCs w:val="20"/>
              </w:rPr>
              <w:t xml:space="preserve">Equipos de control, </w:t>
            </w:r>
            <w:r w:rsidR="00E81133">
              <w:rPr>
                <w:rFonts w:cs="Calibri"/>
                <w:sz w:val="20"/>
                <w:szCs w:val="20"/>
              </w:rPr>
              <w:t>telecomando</w:t>
            </w:r>
            <w:r w:rsidRPr="002C2818">
              <w:rPr>
                <w:rFonts w:cs="Calibri"/>
                <w:sz w:val="20"/>
                <w:szCs w:val="20"/>
              </w:rPr>
              <w:t>, medición, comunicaciones y respaldo</w:t>
            </w:r>
          </w:p>
        </w:tc>
        <w:tc>
          <w:tcPr>
            <w:tcW w:w="1588" w:type="dxa"/>
            <w:shd w:val="clear" w:color="auto" w:fill="auto"/>
            <w:vAlign w:val="center"/>
          </w:tcPr>
          <w:p w14:paraId="4473D509" w14:textId="77777777" w:rsidR="002F6E04" w:rsidRPr="002C2818" w:rsidRDefault="002F6E04" w:rsidP="0087158B">
            <w:pPr>
              <w:spacing w:before="20" w:after="20" w:line="240" w:lineRule="auto"/>
              <w:jc w:val="center"/>
              <w:rPr>
                <w:rFonts w:cs="Calibri"/>
                <w:sz w:val="20"/>
                <w:szCs w:val="20"/>
              </w:rPr>
            </w:pPr>
            <w:r w:rsidRPr="002C2818">
              <w:rPr>
                <w:rFonts w:cs="Calibri"/>
                <w:sz w:val="20"/>
                <w:szCs w:val="20"/>
              </w:rPr>
              <w:t>10</w:t>
            </w:r>
          </w:p>
        </w:tc>
      </w:tr>
      <w:tr w:rsidR="002F6E04" w:rsidRPr="002C2818" w14:paraId="3A16E7BE" w14:textId="77777777" w:rsidTr="00BF5667">
        <w:trPr>
          <w:jc w:val="center"/>
        </w:trPr>
        <w:tc>
          <w:tcPr>
            <w:tcW w:w="680" w:type="dxa"/>
            <w:shd w:val="clear" w:color="auto" w:fill="auto"/>
            <w:vAlign w:val="center"/>
          </w:tcPr>
          <w:p w14:paraId="3A85B642" w14:textId="77777777" w:rsidR="002F6E04" w:rsidRPr="002C2818" w:rsidRDefault="002F6E04" w:rsidP="0087158B">
            <w:pPr>
              <w:spacing w:before="20" w:after="20" w:line="240" w:lineRule="auto"/>
              <w:jc w:val="center"/>
              <w:rPr>
                <w:rFonts w:cs="Calibri"/>
                <w:sz w:val="20"/>
                <w:szCs w:val="20"/>
              </w:rPr>
            </w:pPr>
            <w:r w:rsidRPr="002C2818">
              <w:rPr>
                <w:rFonts w:cs="Calibri"/>
                <w:sz w:val="20"/>
                <w:szCs w:val="20"/>
              </w:rPr>
              <w:t>10</w:t>
            </w:r>
          </w:p>
        </w:tc>
        <w:tc>
          <w:tcPr>
            <w:tcW w:w="7371" w:type="dxa"/>
            <w:shd w:val="clear" w:color="auto" w:fill="auto"/>
            <w:vAlign w:val="center"/>
          </w:tcPr>
          <w:p w14:paraId="36ADC3FD" w14:textId="77777777" w:rsidR="002F6E04" w:rsidRPr="002C2818" w:rsidRDefault="002F6E04" w:rsidP="0087158B">
            <w:pPr>
              <w:spacing w:before="20" w:after="20" w:line="240" w:lineRule="auto"/>
              <w:rPr>
                <w:rFonts w:cs="Calibri"/>
                <w:sz w:val="20"/>
                <w:szCs w:val="20"/>
              </w:rPr>
            </w:pPr>
            <w:r w:rsidRPr="002C2818">
              <w:rPr>
                <w:rFonts w:cs="Calibri"/>
                <w:sz w:val="20"/>
                <w:szCs w:val="20"/>
              </w:rPr>
              <w:t>Otros elementos secundarios de subestaciones o radioestaciones</w:t>
            </w:r>
          </w:p>
        </w:tc>
        <w:tc>
          <w:tcPr>
            <w:tcW w:w="1588" w:type="dxa"/>
            <w:shd w:val="clear" w:color="auto" w:fill="auto"/>
            <w:vAlign w:val="center"/>
          </w:tcPr>
          <w:p w14:paraId="43449BB9" w14:textId="77777777" w:rsidR="002F6E04" w:rsidRPr="002C2818" w:rsidRDefault="002F6E04" w:rsidP="0087158B">
            <w:pPr>
              <w:spacing w:before="20" w:after="20" w:line="240" w:lineRule="auto"/>
              <w:jc w:val="center"/>
              <w:rPr>
                <w:rFonts w:cs="Calibri"/>
                <w:sz w:val="20"/>
                <w:szCs w:val="20"/>
              </w:rPr>
            </w:pPr>
            <w:r w:rsidRPr="002C2818">
              <w:rPr>
                <w:rFonts w:cs="Calibri"/>
                <w:sz w:val="20"/>
                <w:szCs w:val="20"/>
              </w:rPr>
              <w:t>40</w:t>
            </w:r>
          </w:p>
        </w:tc>
      </w:tr>
      <w:tr w:rsidR="002F6E04" w:rsidRPr="002C2818" w14:paraId="21359E8A" w14:textId="77777777" w:rsidTr="00BF5667">
        <w:trPr>
          <w:jc w:val="center"/>
        </w:trPr>
        <w:tc>
          <w:tcPr>
            <w:tcW w:w="680" w:type="dxa"/>
            <w:shd w:val="clear" w:color="auto" w:fill="auto"/>
            <w:vAlign w:val="center"/>
          </w:tcPr>
          <w:p w14:paraId="1BC52E34" w14:textId="77777777" w:rsidR="002F6E04" w:rsidRPr="002C2818" w:rsidRDefault="002F6E04" w:rsidP="0087158B">
            <w:pPr>
              <w:spacing w:before="20" w:after="20" w:line="240" w:lineRule="auto"/>
              <w:jc w:val="center"/>
              <w:rPr>
                <w:rFonts w:cs="Calibri"/>
                <w:sz w:val="20"/>
                <w:szCs w:val="20"/>
              </w:rPr>
            </w:pPr>
            <w:r w:rsidRPr="002C2818">
              <w:rPr>
                <w:rFonts w:cs="Calibri"/>
                <w:sz w:val="20"/>
                <w:szCs w:val="20"/>
              </w:rPr>
              <w:t>11</w:t>
            </w:r>
          </w:p>
        </w:tc>
        <w:tc>
          <w:tcPr>
            <w:tcW w:w="7371" w:type="dxa"/>
            <w:shd w:val="clear" w:color="auto" w:fill="auto"/>
            <w:vAlign w:val="center"/>
          </w:tcPr>
          <w:p w14:paraId="768A53FC" w14:textId="77777777" w:rsidR="002F6E04" w:rsidRPr="002C2818" w:rsidRDefault="002F6E04" w:rsidP="0087158B">
            <w:pPr>
              <w:spacing w:before="20" w:after="20" w:line="240" w:lineRule="auto"/>
              <w:rPr>
                <w:rFonts w:cs="Calibri"/>
                <w:sz w:val="20"/>
                <w:szCs w:val="20"/>
              </w:rPr>
            </w:pPr>
            <w:r w:rsidRPr="002C2818">
              <w:rPr>
                <w:rFonts w:cs="Calibri"/>
                <w:sz w:val="20"/>
                <w:szCs w:val="20"/>
              </w:rPr>
              <w:t>Bienes inmuebles distintos a terrenos</w:t>
            </w:r>
          </w:p>
        </w:tc>
        <w:tc>
          <w:tcPr>
            <w:tcW w:w="1588" w:type="dxa"/>
            <w:shd w:val="clear" w:color="auto" w:fill="auto"/>
            <w:vAlign w:val="center"/>
          </w:tcPr>
          <w:p w14:paraId="33C4D53F" w14:textId="77777777" w:rsidR="002F6E04" w:rsidRPr="002C2818" w:rsidRDefault="002F6E04" w:rsidP="0087158B">
            <w:pPr>
              <w:spacing w:before="20" w:after="20" w:line="240" w:lineRule="auto"/>
              <w:jc w:val="center"/>
              <w:rPr>
                <w:rFonts w:cs="Calibri"/>
                <w:sz w:val="20"/>
                <w:szCs w:val="20"/>
              </w:rPr>
            </w:pPr>
            <w:r w:rsidRPr="002C2818">
              <w:rPr>
                <w:rFonts w:cs="Calibri"/>
                <w:sz w:val="20"/>
                <w:szCs w:val="20"/>
              </w:rPr>
              <w:t>50</w:t>
            </w:r>
          </w:p>
        </w:tc>
      </w:tr>
      <w:tr w:rsidR="002F6E04" w:rsidRPr="002C2818" w14:paraId="0AE9469C" w14:textId="77777777" w:rsidTr="00BF5667">
        <w:trPr>
          <w:jc w:val="center"/>
        </w:trPr>
        <w:tc>
          <w:tcPr>
            <w:tcW w:w="680" w:type="dxa"/>
            <w:shd w:val="clear" w:color="auto" w:fill="auto"/>
            <w:vAlign w:val="center"/>
          </w:tcPr>
          <w:p w14:paraId="210FE701" w14:textId="77777777" w:rsidR="002F6E04" w:rsidRPr="002C2818" w:rsidRDefault="002F6E04" w:rsidP="0087158B">
            <w:pPr>
              <w:spacing w:before="20" w:after="20" w:line="240" w:lineRule="auto"/>
              <w:jc w:val="center"/>
              <w:rPr>
                <w:rFonts w:cs="Calibri"/>
                <w:sz w:val="20"/>
                <w:szCs w:val="20"/>
              </w:rPr>
            </w:pPr>
            <w:r w:rsidRPr="002C2818">
              <w:rPr>
                <w:rFonts w:cs="Calibri"/>
                <w:sz w:val="20"/>
                <w:szCs w:val="20"/>
              </w:rPr>
              <w:t>12</w:t>
            </w:r>
          </w:p>
        </w:tc>
        <w:tc>
          <w:tcPr>
            <w:tcW w:w="7371" w:type="dxa"/>
            <w:shd w:val="clear" w:color="auto" w:fill="auto"/>
            <w:vAlign w:val="center"/>
          </w:tcPr>
          <w:p w14:paraId="7A1DE727" w14:textId="77777777" w:rsidR="002F6E04" w:rsidRPr="002C2818" w:rsidRDefault="002F6E04" w:rsidP="0087158B">
            <w:pPr>
              <w:spacing w:before="20" w:after="20" w:line="240" w:lineRule="auto"/>
              <w:rPr>
                <w:rFonts w:cs="Calibri"/>
                <w:sz w:val="20"/>
                <w:szCs w:val="20"/>
              </w:rPr>
            </w:pPr>
            <w:r w:rsidRPr="002C2818">
              <w:rPr>
                <w:rFonts w:cs="Calibri"/>
                <w:sz w:val="20"/>
                <w:szCs w:val="20"/>
              </w:rPr>
              <w:t>Equipamiento de operación y mantenimiento no fungible</w:t>
            </w:r>
          </w:p>
        </w:tc>
        <w:tc>
          <w:tcPr>
            <w:tcW w:w="1588" w:type="dxa"/>
            <w:shd w:val="clear" w:color="auto" w:fill="auto"/>
            <w:vAlign w:val="center"/>
          </w:tcPr>
          <w:p w14:paraId="6839C28B" w14:textId="77777777" w:rsidR="002F6E04" w:rsidRPr="002C2818" w:rsidRDefault="002F6E04" w:rsidP="0087158B">
            <w:pPr>
              <w:spacing w:before="20" w:after="20" w:line="240" w:lineRule="auto"/>
              <w:jc w:val="center"/>
              <w:rPr>
                <w:rFonts w:cs="Calibri"/>
                <w:sz w:val="20"/>
                <w:szCs w:val="20"/>
              </w:rPr>
            </w:pPr>
            <w:r w:rsidRPr="002C2818">
              <w:rPr>
                <w:rFonts w:cs="Calibri"/>
                <w:sz w:val="20"/>
                <w:szCs w:val="20"/>
              </w:rPr>
              <w:t>15</w:t>
            </w:r>
          </w:p>
        </w:tc>
      </w:tr>
      <w:tr w:rsidR="002F6E04" w:rsidRPr="002C2818" w14:paraId="137CB7FC" w14:textId="77777777" w:rsidTr="00BF5667">
        <w:trPr>
          <w:jc w:val="center"/>
        </w:trPr>
        <w:tc>
          <w:tcPr>
            <w:tcW w:w="680" w:type="dxa"/>
            <w:shd w:val="clear" w:color="auto" w:fill="auto"/>
            <w:vAlign w:val="center"/>
          </w:tcPr>
          <w:p w14:paraId="324688AB" w14:textId="77777777" w:rsidR="002F6E04" w:rsidRPr="002C2818" w:rsidRDefault="002F6E04" w:rsidP="0087158B">
            <w:pPr>
              <w:spacing w:before="20" w:after="20" w:line="240" w:lineRule="auto"/>
              <w:jc w:val="center"/>
              <w:rPr>
                <w:rFonts w:cs="Calibri"/>
                <w:sz w:val="20"/>
                <w:szCs w:val="20"/>
              </w:rPr>
            </w:pPr>
            <w:r w:rsidRPr="002C2818">
              <w:rPr>
                <w:rFonts w:cs="Calibri"/>
                <w:sz w:val="20"/>
                <w:szCs w:val="20"/>
              </w:rPr>
              <w:t>13</w:t>
            </w:r>
          </w:p>
        </w:tc>
        <w:tc>
          <w:tcPr>
            <w:tcW w:w="7371" w:type="dxa"/>
            <w:shd w:val="clear" w:color="auto" w:fill="auto"/>
            <w:vAlign w:val="center"/>
          </w:tcPr>
          <w:p w14:paraId="56F5D239" w14:textId="77777777" w:rsidR="002F6E04" w:rsidRPr="002C2818" w:rsidRDefault="002F6E04" w:rsidP="0087158B">
            <w:pPr>
              <w:spacing w:before="20" w:after="20" w:line="240" w:lineRule="auto"/>
              <w:rPr>
                <w:rFonts w:cs="Calibri"/>
                <w:sz w:val="20"/>
                <w:szCs w:val="20"/>
              </w:rPr>
            </w:pPr>
            <w:r w:rsidRPr="002C2818">
              <w:rPr>
                <w:rFonts w:cs="Calibri"/>
                <w:sz w:val="20"/>
                <w:szCs w:val="20"/>
              </w:rPr>
              <w:t>Equipamiento de oficina no fungible</w:t>
            </w:r>
          </w:p>
        </w:tc>
        <w:tc>
          <w:tcPr>
            <w:tcW w:w="1588" w:type="dxa"/>
            <w:shd w:val="clear" w:color="auto" w:fill="auto"/>
            <w:vAlign w:val="center"/>
          </w:tcPr>
          <w:p w14:paraId="2F8EC733" w14:textId="77777777" w:rsidR="002F6E04" w:rsidRPr="002C2818" w:rsidRDefault="002F6E04" w:rsidP="0087158B">
            <w:pPr>
              <w:spacing w:before="20" w:after="20" w:line="240" w:lineRule="auto"/>
              <w:jc w:val="center"/>
              <w:rPr>
                <w:rFonts w:cs="Calibri"/>
                <w:sz w:val="20"/>
                <w:szCs w:val="20"/>
              </w:rPr>
            </w:pPr>
            <w:r w:rsidRPr="002C2818">
              <w:rPr>
                <w:rFonts w:cs="Calibri"/>
                <w:sz w:val="20"/>
                <w:szCs w:val="20"/>
              </w:rPr>
              <w:t>15</w:t>
            </w:r>
          </w:p>
        </w:tc>
      </w:tr>
      <w:tr w:rsidR="002F6E04" w:rsidRPr="002C2818" w14:paraId="673658D5" w14:textId="77777777" w:rsidTr="00BF5667">
        <w:trPr>
          <w:jc w:val="center"/>
        </w:trPr>
        <w:tc>
          <w:tcPr>
            <w:tcW w:w="680" w:type="dxa"/>
            <w:shd w:val="clear" w:color="auto" w:fill="auto"/>
            <w:vAlign w:val="center"/>
          </w:tcPr>
          <w:p w14:paraId="32AB0AD3" w14:textId="77777777" w:rsidR="002F6E04" w:rsidRPr="002C2818" w:rsidRDefault="002F6E04" w:rsidP="0087158B">
            <w:pPr>
              <w:spacing w:before="20" w:after="20" w:line="240" w:lineRule="auto"/>
              <w:jc w:val="center"/>
              <w:rPr>
                <w:rFonts w:cs="Calibri"/>
                <w:sz w:val="20"/>
                <w:szCs w:val="20"/>
              </w:rPr>
            </w:pPr>
            <w:r w:rsidRPr="002C2818">
              <w:rPr>
                <w:rFonts w:cs="Calibri"/>
                <w:sz w:val="20"/>
                <w:szCs w:val="20"/>
              </w:rPr>
              <w:t>14</w:t>
            </w:r>
          </w:p>
        </w:tc>
        <w:tc>
          <w:tcPr>
            <w:tcW w:w="7371" w:type="dxa"/>
            <w:shd w:val="clear" w:color="auto" w:fill="auto"/>
            <w:vAlign w:val="center"/>
          </w:tcPr>
          <w:p w14:paraId="66CB170B" w14:textId="77777777" w:rsidR="002F6E04" w:rsidRPr="002C2818" w:rsidRDefault="002F6E04" w:rsidP="0087158B">
            <w:pPr>
              <w:spacing w:before="20" w:after="20" w:line="240" w:lineRule="auto"/>
              <w:rPr>
                <w:rFonts w:cs="Calibri"/>
                <w:sz w:val="20"/>
                <w:szCs w:val="20"/>
              </w:rPr>
            </w:pPr>
            <w:r w:rsidRPr="002C2818">
              <w:rPr>
                <w:rFonts w:cs="Calibri"/>
                <w:sz w:val="20"/>
                <w:szCs w:val="20"/>
              </w:rPr>
              <w:t>Equipamiento computacional y sistemas de vigilancia</w:t>
            </w:r>
          </w:p>
        </w:tc>
        <w:tc>
          <w:tcPr>
            <w:tcW w:w="1588" w:type="dxa"/>
            <w:shd w:val="clear" w:color="auto" w:fill="auto"/>
            <w:vAlign w:val="center"/>
          </w:tcPr>
          <w:p w14:paraId="183FEB66" w14:textId="77777777" w:rsidR="002F6E04" w:rsidRPr="002C2818" w:rsidRDefault="002F6E04" w:rsidP="0087158B">
            <w:pPr>
              <w:spacing w:before="20" w:after="20" w:line="240" w:lineRule="auto"/>
              <w:jc w:val="center"/>
              <w:rPr>
                <w:rFonts w:cs="Calibri"/>
                <w:sz w:val="20"/>
                <w:szCs w:val="20"/>
              </w:rPr>
            </w:pPr>
            <w:r w:rsidRPr="002C2818">
              <w:rPr>
                <w:rFonts w:cs="Calibri"/>
                <w:sz w:val="20"/>
                <w:szCs w:val="20"/>
              </w:rPr>
              <w:t>5</w:t>
            </w:r>
          </w:p>
        </w:tc>
      </w:tr>
      <w:tr w:rsidR="002F6E04" w:rsidRPr="002C2818" w14:paraId="48EA7772" w14:textId="77777777" w:rsidTr="00BF5667">
        <w:trPr>
          <w:jc w:val="center"/>
        </w:trPr>
        <w:tc>
          <w:tcPr>
            <w:tcW w:w="680" w:type="dxa"/>
            <w:shd w:val="clear" w:color="auto" w:fill="auto"/>
            <w:vAlign w:val="center"/>
          </w:tcPr>
          <w:p w14:paraId="2AFAC6BC" w14:textId="77777777" w:rsidR="002F6E04" w:rsidRPr="002C2818" w:rsidRDefault="002F6E04" w:rsidP="0087158B">
            <w:pPr>
              <w:spacing w:before="20" w:after="20" w:line="240" w:lineRule="auto"/>
              <w:jc w:val="center"/>
              <w:rPr>
                <w:rFonts w:cs="Calibri"/>
                <w:sz w:val="20"/>
                <w:szCs w:val="20"/>
              </w:rPr>
            </w:pPr>
            <w:r w:rsidRPr="002C2818">
              <w:rPr>
                <w:rFonts w:cs="Calibri"/>
                <w:sz w:val="20"/>
                <w:szCs w:val="20"/>
              </w:rPr>
              <w:t>15</w:t>
            </w:r>
          </w:p>
        </w:tc>
        <w:tc>
          <w:tcPr>
            <w:tcW w:w="7371" w:type="dxa"/>
            <w:shd w:val="clear" w:color="auto" w:fill="auto"/>
            <w:vAlign w:val="center"/>
          </w:tcPr>
          <w:p w14:paraId="71A6EE97" w14:textId="77777777" w:rsidR="002F6E04" w:rsidRPr="002C2818" w:rsidRDefault="002F6E04" w:rsidP="0087158B">
            <w:pPr>
              <w:spacing w:before="20" w:after="20" w:line="240" w:lineRule="auto"/>
              <w:rPr>
                <w:rFonts w:cs="Calibri"/>
                <w:sz w:val="20"/>
                <w:szCs w:val="20"/>
              </w:rPr>
            </w:pPr>
            <w:r w:rsidRPr="002C2818">
              <w:rPr>
                <w:rFonts w:cs="Calibri"/>
                <w:sz w:val="20"/>
                <w:szCs w:val="20"/>
              </w:rPr>
              <w:t>Vehículos</w:t>
            </w:r>
          </w:p>
        </w:tc>
        <w:tc>
          <w:tcPr>
            <w:tcW w:w="1588" w:type="dxa"/>
            <w:shd w:val="clear" w:color="auto" w:fill="auto"/>
            <w:vAlign w:val="center"/>
          </w:tcPr>
          <w:p w14:paraId="2C1BFDF5" w14:textId="77777777" w:rsidR="002F6E04" w:rsidRPr="002C2818" w:rsidRDefault="002F6E04" w:rsidP="0087158B">
            <w:pPr>
              <w:spacing w:before="20" w:after="20" w:line="240" w:lineRule="auto"/>
              <w:jc w:val="center"/>
              <w:rPr>
                <w:rFonts w:cs="Calibri"/>
                <w:sz w:val="20"/>
                <w:szCs w:val="20"/>
              </w:rPr>
            </w:pPr>
            <w:r w:rsidRPr="002C2818">
              <w:rPr>
                <w:rFonts w:cs="Calibri"/>
                <w:sz w:val="20"/>
                <w:szCs w:val="20"/>
              </w:rPr>
              <w:t>5</w:t>
            </w:r>
          </w:p>
        </w:tc>
      </w:tr>
    </w:tbl>
    <w:p w14:paraId="65F52947" w14:textId="77777777" w:rsidR="002F6E04" w:rsidRDefault="002F6E04" w:rsidP="002F6E04">
      <w:pPr>
        <w:spacing w:after="0"/>
      </w:pPr>
    </w:p>
    <w:p w14:paraId="15705655" w14:textId="6A1127BC" w:rsidR="002F6E04" w:rsidRPr="00C721EA" w:rsidRDefault="002F6E04" w:rsidP="002F6E04">
      <w:pPr>
        <w:spacing w:after="0"/>
      </w:pPr>
      <w:r w:rsidRPr="00C721EA">
        <w:t xml:space="preserve">Se observa en el itemizado indicado en este cuadro que los activos 11 a 15 corresponden a inversiones que </w:t>
      </w:r>
      <w:r>
        <w:t>en su mayoría sustentan</w:t>
      </w:r>
      <w:r w:rsidRPr="00C721EA">
        <w:t xml:space="preserve"> actividades de operación, mantenimiento y administración, es decir, corresponden a recursos</w:t>
      </w:r>
      <w:r>
        <w:t xml:space="preserve"> derivados de actividades correspondiente a Bienes Muebles e Inmuebles,</w:t>
      </w:r>
      <w:r w:rsidRPr="00C721EA">
        <w:t xml:space="preserve"> </w:t>
      </w:r>
      <w:r w:rsidR="00E81133" w:rsidRPr="00C721EA">
        <w:t>y,</w:t>
      </w:r>
      <w:r w:rsidRPr="00C721EA">
        <w:t xml:space="preserve"> por lo tanto, conforme lo instruido en las Bases, debe establecerse para ellas el correspondiente ajuste por efecto de impuesto a la renta.</w:t>
      </w:r>
      <w:r>
        <w:t xml:space="preserve"> Entre estos mismos ítemes existen recursos vinculados directamente a las instalaciones eléctricas -</w:t>
      </w:r>
      <w:r w:rsidR="00E81133">
        <w:t>como,</w:t>
      </w:r>
      <w:r>
        <w:t xml:space="preserve"> por ejemplo, sistemas de vigilancia- cuyo V</w:t>
      </w:r>
      <w:r w:rsidR="000A50F0">
        <w:t>.</w:t>
      </w:r>
      <w:r>
        <w:t>I</w:t>
      </w:r>
      <w:r w:rsidR="000A50F0">
        <w:t>.</w:t>
      </w:r>
      <w:r>
        <w:t xml:space="preserve"> se ha clasificado en estos rubros, cuando corresponde, en atención a su vida útil.</w:t>
      </w:r>
    </w:p>
    <w:p w14:paraId="11ACC43D" w14:textId="77777777" w:rsidR="002F6E04" w:rsidRPr="00C721EA" w:rsidRDefault="002F6E04" w:rsidP="002F6E04">
      <w:pPr>
        <w:spacing w:after="0"/>
      </w:pPr>
    </w:p>
    <w:p w14:paraId="2BF104F8" w14:textId="277AC316" w:rsidR="002F6E04" w:rsidRDefault="002F6E04" w:rsidP="00BF5667">
      <w:r w:rsidRPr="00C721EA">
        <w:t>De este m</w:t>
      </w:r>
      <w:r w:rsidR="000A50F0">
        <w:t xml:space="preserve">odo, el V.A.T.T de cada tramo </w:t>
      </w:r>
      <m:oMath>
        <m:r>
          <w:rPr>
            <w:rFonts w:ascii="Cambria Math" w:hAnsi="Cambria Math"/>
          </w:rPr>
          <m:t>j</m:t>
        </m:r>
      </m:oMath>
      <w:r w:rsidRPr="00C721EA">
        <w:t xml:space="preserve"> resultará de hacer la siguiente suma</w:t>
      </w:r>
      <w:r>
        <w:rPr>
          <w:rStyle w:val="Refdenotaalpie"/>
        </w:rPr>
        <w:footnoteReference w:id="48"/>
      </w:r>
      <w:r w:rsidRPr="00C721EA">
        <w:t>:</w:t>
      </w:r>
    </w:p>
    <w:p w14:paraId="5951CB0C" w14:textId="1B9D99DB" w:rsidR="000A50F0" w:rsidRPr="000A50F0" w:rsidRDefault="0088072F" w:rsidP="00010A03">
      <w:pPr>
        <w:spacing w:after="240"/>
        <w:rPr>
          <w:sz w:val="20"/>
          <w:szCs w:val="20"/>
        </w:rPr>
      </w:pPr>
      <m:oMathPara>
        <m:oMath>
          <m:sSub>
            <m:sSubPr>
              <m:ctrlPr>
                <w:rPr>
                  <w:rFonts w:ascii="Cambria Math" w:hAnsi="Cambria Math"/>
                  <w:i/>
                  <w:sz w:val="20"/>
                  <w:szCs w:val="20"/>
                </w:rPr>
              </m:ctrlPr>
            </m:sSubPr>
            <m:e>
              <m:r>
                <w:rPr>
                  <w:rFonts w:ascii="Cambria Math" w:hAnsi="Cambria Math"/>
                  <w:sz w:val="20"/>
                  <w:szCs w:val="20"/>
                </w:rPr>
                <m:t>VATT</m:t>
              </m:r>
            </m:e>
            <m:sub>
              <m:r>
                <w:rPr>
                  <w:rFonts w:ascii="Cambria Math" w:hAnsi="Cambria Math"/>
                  <w:sz w:val="20"/>
                  <w:szCs w:val="20"/>
                </w:rPr>
                <m:t>j</m:t>
              </m:r>
            </m:sub>
          </m:sSub>
          <m:r>
            <w:rPr>
              <w:rFonts w:ascii="Cambria Math" w:hAnsi="Cambria Math"/>
              <w:sz w:val="20"/>
              <w:szCs w:val="20"/>
            </w:rPr>
            <m:t>=</m:t>
          </m:r>
          <m:nary>
            <m:naryPr>
              <m:chr m:val="∑"/>
              <m:limLoc m:val="undOvr"/>
              <m:ctrlPr>
                <w:rPr>
                  <w:rFonts w:ascii="Cambria Math" w:hAnsi="Cambria Math"/>
                  <w:i/>
                  <w:sz w:val="20"/>
                  <w:szCs w:val="20"/>
                </w:rPr>
              </m:ctrlPr>
            </m:naryPr>
            <m:sub>
              <m:r>
                <w:rPr>
                  <w:rFonts w:ascii="Cambria Math" w:hAnsi="Cambria Math"/>
                  <w:sz w:val="20"/>
                  <w:szCs w:val="20"/>
                </w:rPr>
                <m:t>i=1</m:t>
              </m:r>
            </m:sub>
            <m:sup>
              <m:r>
                <w:rPr>
                  <w:rFonts w:ascii="Cambria Math" w:hAnsi="Cambria Math"/>
                  <w:sz w:val="20"/>
                  <w:szCs w:val="20"/>
                </w:rPr>
                <m:t>15</m:t>
              </m:r>
            </m:sup>
            <m:e>
              <m:sSub>
                <m:sSubPr>
                  <m:ctrlPr>
                    <w:rPr>
                      <w:rFonts w:ascii="Cambria Math" w:hAnsi="Cambria Math"/>
                      <w:i/>
                      <w:sz w:val="20"/>
                      <w:szCs w:val="20"/>
                    </w:rPr>
                  </m:ctrlPr>
                </m:sSubPr>
                <m:e>
                  <m:r>
                    <w:rPr>
                      <w:rFonts w:ascii="Cambria Math" w:hAnsi="Cambria Math"/>
                      <w:sz w:val="20"/>
                      <w:szCs w:val="20"/>
                    </w:rPr>
                    <m:t>frc</m:t>
                  </m:r>
                </m:e>
                <m:sub>
                  <m:r>
                    <w:rPr>
                      <w:rFonts w:ascii="Cambria Math" w:hAnsi="Cambria Math"/>
                      <w:sz w:val="20"/>
                      <w:szCs w:val="20"/>
                    </w:rPr>
                    <m:t>i</m:t>
                  </m:r>
                </m:sub>
              </m:sSub>
              <m:r>
                <w:rPr>
                  <w:rFonts w:ascii="Cambria Math" w:hAnsi="Cambria Math"/>
                  <w:sz w:val="20"/>
                  <w:szCs w:val="20"/>
                </w:rPr>
                <m:t>∙</m:t>
              </m:r>
              <m:sSubSup>
                <m:sSubSupPr>
                  <m:ctrlPr>
                    <w:rPr>
                      <w:rFonts w:ascii="Cambria Math" w:hAnsi="Cambria Math"/>
                      <w:i/>
                      <w:sz w:val="20"/>
                      <w:szCs w:val="20"/>
                    </w:rPr>
                  </m:ctrlPr>
                </m:sSubSupPr>
                <m:e>
                  <m:r>
                    <w:rPr>
                      <w:rFonts w:ascii="Cambria Math" w:hAnsi="Cambria Math"/>
                      <w:sz w:val="20"/>
                      <w:szCs w:val="20"/>
                    </w:rPr>
                    <m:t>VI</m:t>
                  </m:r>
                </m:e>
                <m:sub>
                  <m:r>
                    <w:rPr>
                      <w:rFonts w:ascii="Cambria Math" w:hAnsi="Cambria Math"/>
                      <w:sz w:val="20"/>
                      <w:szCs w:val="20"/>
                    </w:rPr>
                    <m:t>ij</m:t>
                  </m:r>
                </m:sub>
                <m:sup>
                  <m:r>
                    <w:rPr>
                      <w:rFonts w:ascii="Cambria Math" w:hAnsi="Cambria Math"/>
                      <w:sz w:val="20"/>
                      <w:szCs w:val="20"/>
                    </w:rPr>
                    <m:t>elect</m:t>
                  </m:r>
                </m:sup>
              </m:sSubSup>
              <m:r>
                <w:rPr>
                  <w:rFonts w:ascii="Cambria Math" w:hAnsi="Cambria Math"/>
                  <w:sz w:val="20"/>
                  <w:szCs w:val="20"/>
                </w:rPr>
                <m:t>+</m:t>
              </m:r>
            </m:e>
          </m:nary>
          <m:nary>
            <m:naryPr>
              <m:chr m:val="∑"/>
              <m:limLoc m:val="undOvr"/>
              <m:ctrlPr>
                <w:rPr>
                  <w:rFonts w:ascii="Cambria Math" w:hAnsi="Cambria Math"/>
                  <w:i/>
                  <w:sz w:val="20"/>
                  <w:szCs w:val="20"/>
                </w:rPr>
              </m:ctrlPr>
            </m:naryPr>
            <m:sub>
              <m:r>
                <w:rPr>
                  <w:rFonts w:ascii="Cambria Math" w:hAnsi="Cambria Math"/>
                  <w:sz w:val="20"/>
                  <w:szCs w:val="20"/>
                </w:rPr>
                <m:t>i=11</m:t>
              </m:r>
            </m:sub>
            <m:sup>
              <m:r>
                <w:rPr>
                  <w:rFonts w:ascii="Cambria Math" w:hAnsi="Cambria Math"/>
                  <w:sz w:val="20"/>
                  <w:szCs w:val="20"/>
                </w:rPr>
                <m:t>15</m:t>
              </m:r>
            </m:sup>
            <m:e>
              <m:sSub>
                <m:sSubPr>
                  <m:ctrlPr>
                    <w:rPr>
                      <w:rFonts w:ascii="Cambria Math" w:hAnsi="Cambria Math"/>
                      <w:i/>
                      <w:sz w:val="20"/>
                      <w:szCs w:val="20"/>
                    </w:rPr>
                  </m:ctrlPr>
                </m:sSubPr>
                <m:e>
                  <m:r>
                    <w:rPr>
                      <w:rFonts w:ascii="Cambria Math" w:hAnsi="Cambria Math"/>
                      <w:sz w:val="20"/>
                      <w:szCs w:val="20"/>
                    </w:rPr>
                    <m:t>frc</m:t>
                  </m:r>
                </m:e>
                <m:sub>
                  <m:r>
                    <w:rPr>
                      <w:rFonts w:ascii="Cambria Math" w:hAnsi="Cambria Math"/>
                      <w:sz w:val="20"/>
                      <w:szCs w:val="20"/>
                    </w:rPr>
                    <m:t>i</m:t>
                  </m:r>
                </m:sub>
              </m:sSub>
              <m:r>
                <w:rPr>
                  <w:rFonts w:ascii="Cambria Math" w:hAnsi="Cambria Math"/>
                  <w:sz w:val="20"/>
                  <w:szCs w:val="20"/>
                </w:rPr>
                <m:t>∙</m:t>
              </m:r>
              <m:sSubSup>
                <m:sSubSupPr>
                  <m:ctrlPr>
                    <w:rPr>
                      <w:rFonts w:ascii="Cambria Math" w:hAnsi="Cambria Math"/>
                      <w:i/>
                      <w:sz w:val="20"/>
                      <w:szCs w:val="20"/>
                    </w:rPr>
                  </m:ctrlPr>
                </m:sSubSupPr>
                <m:e>
                  <m:r>
                    <w:rPr>
                      <w:rFonts w:ascii="Cambria Math" w:hAnsi="Cambria Math"/>
                      <w:sz w:val="20"/>
                      <w:szCs w:val="20"/>
                    </w:rPr>
                    <m:t>VIBM&amp;I</m:t>
                  </m:r>
                </m:e>
                <m:sub>
                  <m:r>
                    <w:rPr>
                      <w:rFonts w:ascii="Cambria Math" w:hAnsi="Cambria Math"/>
                      <w:sz w:val="20"/>
                      <w:szCs w:val="20"/>
                    </w:rPr>
                    <m:t>ij</m:t>
                  </m:r>
                </m:sub>
                <m:sup>
                  <m:r>
                    <w:rPr>
                      <w:rFonts w:ascii="Cambria Math" w:hAnsi="Cambria Math"/>
                      <w:sz w:val="20"/>
                      <w:szCs w:val="20"/>
                    </w:rPr>
                    <m:t>coma</m:t>
                  </m:r>
                </m:sup>
              </m:sSubSup>
            </m:e>
          </m:nary>
          <m:r>
            <w:rPr>
              <w:rFonts w:ascii="Cambria Math" w:hAnsi="Cambria Math"/>
              <w:sz w:val="20"/>
              <w:szCs w:val="20"/>
            </w:rPr>
            <m:t>+</m:t>
          </m:r>
          <m:sSubSup>
            <m:sSubSupPr>
              <m:ctrlPr>
                <w:rPr>
                  <w:rFonts w:ascii="Cambria Math" w:hAnsi="Cambria Math"/>
                  <w:i/>
                  <w:sz w:val="20"/>
                  <w:szCs w:val="20"/>
                </w:rPr>
              </m:ctrlPr>
            </m:sSubSupPr>
            <m:e>
              <m:r>
                <w:rPr>
                  <w:rFonts w:ascii="Cambria Math" w:hAnsi="Cambria Math"/>
                  <w:sz w:val="20"/>
                  <w:szCs w:val="20"/>
                </w:rPr>
                <m:t>COMA</m:t>
              </m:r>
            </m:e>
            <m:sub>
              <m:r>
                <w:rPr>
                  <w:rFonts w:ascii="Cambria Math" w:hAnsi="Cambria Math"/>
                  <w:sz w:val="20"/>
                  <w:szCs w:val="20"/>
                </w:rPr>
                <m:t>j</m:t>
              </m:r>
            </m:sub>
            <m:sup>
              <m:r>
                <w:rPr>
                  <w:rFonts w:ascii="Cambria Math" w:hAnsi="Cambria Math"/>
                  <w:sz w:val="20"/>
                  <w:szCs w:val="20"/>
                </w:rPr>
                <m:t>gastos</m:t>
              </m:r>
            </m:sup>
          </m:sSubSup>
          <m:r>
            <w:rPr>
              <w:rFonts w:ascii="Cambria Math" w:hAnsi="Cambria Math"/>
              <w:sz w:val="20"/>
              <w:szCs w:val="20"/>
            </w:rPr>
            <m:t>+</m:t>
          </m:r>
          <m:nary>
            <m:naryPr>
              <m:chr m:val="∑"/>
              <m:limLoc m:val="undOvr"/>
              <m:ctrlPr>
                <w:rPr>
                  <w:rFonts w:ascii="Cambria Math" w:hAnsi="Cambria Math"/>
                  <w:i/>
                  <w:sz w:val="20"/>
                  <w:szCs w:val="20"/>
                </w:rPr>
              </m:ctrlPr>
            </m:naryPr>
            <m:sub>
              <m:r>
                <w:rPr>
                  <w:rFonts w:ascii="Cambria Math" w:hAnsi="Cambria Math"/>
                  <w:sz w:val="20"/>
                  <w:szCs w:val="20"/>
                </w:rPr>
                <m:t>i=1</m:t>
              </m:r>
            </m:sub>
            <m:sup>
              <m:r>
                <w:rPr>
                  <w:rFonts w:ascii="Cambria Math" w:hAnsi="Cambria Math"/>
                  <w:sz w:val="20"/>
                  <w:szCs w:val="20"/>
                </w:rPr>
                <m:t>15</m:t>
              </m:r>
            </m:sup>
            <m:e>
              <m:sSubSup>
                <m:sSubSupPr>
                  <m:ctrlPr>
                    <w:rPr>
                      <w:rFonts w:ascii="Cambria Math" w:hAnsi="Cambria Math"/>
                      <w:i/>
                      <w:sz w:val="20"/>
                      <w:szCs w:val="20"/>
                    </w:rPr>
                  </m:ctrlPr>
                </m:sSubSupPr>
                <m:e>
                  <m:r>
                    <w:rPr>
                      <w:rFonts w:ascii="Cambria Math" w:hAnsi="Cambria Math"/>
                      <w:sz w:val="20"/>
                      <w:szCs w:val="20"/>
                    </w:rPr>
                    <m:t>AEIR_VI</m:t>
                  </m:r>
                </m:e>
                <m:sub>
                  <m:r>
                    <w:rPr>
                      <w:rFonts w:ascii="Cambria Math" w:hAnsi="Cambria Math"/>
                      <w:sz w:val="20"/>
                      <w:szCs w:val="20"/>
                    </w:rPr>
                    <m:t>ij</m:t>
                  </m:r>
                </m:sub>
                <m:sup>
                  <m:r>
                    <w:rPr>
                      <w:rFonts w:ascii="Cambria Math" w:hAnsi="Cambria Math"/>
                      <w:sz w:val="20"/>
                      <w:szCs w:val="20"/>
                    </w:rPr>
                    <m:t>elect</m:t>
                  </m:r>
                </m:sup>
              </m:sSubSup>
              <m:r>
                <w:rPr>
                  <w:rFonts w:ascii="Cambria Math" w:hAnsi="Cambria Math"/>
                  <w:sz w:val="20"/>
                  <w:szCs w:val="20"/>
                </w:rPr>
                <m:t>+</m:t>
              </m:r>
            </m:e>
          </m:nary>
          <m:nary>
            <m:naryPr>
              <m:chr m:val="∑"/>
              <m:limLoc m:val="undOvr"/>
              <m:ctrlPr>
                <w:rPr>
                  <w:rFonts w:ascii="Cambria Math" w:hAnsi="Cambria Math"/>
                  <w:i/>
                  <w:sz w:val="20"/>
                  <w:szCs w:val="20"/>
                </w:rPr>
              </m:ctrlPr>
            </m:naryPr>
            <m:sub>
              <m:r>
                <w:rPr>
                  <w:rFonts w:ascii="Cambria Math" w:hAnsi="Cambria Math"/>
                  <w:sz w:val="20"/>
                  <w:szCs w:val="20"/>
                </w:rPr>
                <m:t>i=11</m:t>
              </m:r>
            </m:sub>
            <m:sup>
              <m:r>
                <w:rPr>
                  <w:rFonts w:ascii="Cambria Math" w:hAnsi="Cambria Math"/>
                  <w:sz w:val="20"/>
                  <w:szCs w:val="20"/>
                </w:rPr>
                <m:t>15</m:t>
              </m:r>
            </m:sup>
            <m:e>
              <m:r>
                <w:rPr>
                  <w:rFonts w:ascii="Cambria Math" w:hAnsi="Cambria Math"/>
                  <w:sz w:val="20"/>
                  <w:szCs w:val="20"/>
                </w:rPr>
                <m:t>AEIR_</m:t>
              </m:r>
              <m:sSubSup>
                <m:sSubSupPr>
                  <m:ctrlPr>
                    <w:rPr>
                      <w:rFonts w:ascii="Cambria Math" w:hAnsi="Cambria Math"/>
                      <w:i/>
                      <w:sz w:val="20"/>
                      <w:szCs w:val="20"/>
                    </w:rPr>
                  </m:ctrlPr>
                </m:sSubSupPr>
                <m:e>
                  <m:r>
                    <w:rPr>
                      <w:rFonts w:ascii="Cambria Math" w:hAnsi="Cambria Math"/>
                      <w:sz w:val="20"/>
                      <w:szCs w:val="20"/>
                    </w:rPr>
                    <m:t>VIBM&amp;I</m:t>
                  </m:r>
                </m:e>
                <m:sub>
                  <m:r>
                    <w:rPr>
                      <w:rFonts w:ascii="Cambria Math" w:hAnsi="Cambria Math"/>
                      <w:sz w:val="20"/>
                      <w:szCs w:val="20"/>
                    </w:rPr>
                    <m:t>ij</m:t>
                  </m:r>
                </m:sub>
                <m:sup>
                  <m:r>
                    <w:rPr>
                      <w:rFonts w:ascii="Cambria Math" w:hAnsi="Cambria Math"/>
                      <w:sz w:val="20"/>
                      <w:szCs w:val="20"/>
                    </w:rPr>
                    <m:t>coma</m:t>
                  </m:r>
                </m:sup>
              </m:sSubSup>
            </m:e>
          </m:nary>
        </m:oMath>
      </m:oMathPara>
    </w:p>
    <w:p w14:paraId="7549CD6A" w14:textId="6F171D16" w:rsidR="002F6E04" w:rsidRPr="00C721EA" w:rsidRDefault="000A50F0" w:rsidP="002F6E04">
      <w:pPr>
        <w:spacing w:after="0"/>
      </w:pPr>
      <w:r>
        <w:t>Entonces</w:t>
      </w:r>
    </w:p>
    <w:p w14:paraId="42D3BA01" w14:textId="77777777" w:rsidR="002F6E04" w:rsidRDefault="0088072F" w:rsidP="00010A03">
      <m:oMathPara>
        <m:oMath>
          <m:sSub>
            <m:sSubPr>
              <m:ctrlPr>
                <w:rPr>
                  <w:rFonts w:ascii="Cambria Math" w:hAnsi="Cambria Math"/>
                  <w:i/>
                </w:rPr>
              </m:ctrlPr>
            </m:sSubPr>
            <m:e>
              <m:r>
                <w:rPr>
                  <w:rFonts w:ascii="Cambria Math" w:hAnsi="Cambria Math"/>
                </w:rPr>
                <m:t>COMA</m:t>
              </m:r>
            </m:e>
            <m:sub>
              <m:r>
                <w:rPr>
                  <w:rFonts w:ascii="Cambria Math" w:hAnsi="Cambria Math"/>
                </w:rPr>
                <m:t>j</m:t>
              </m:r>
            </m:sub>
          </m:sSub>
          <m:r>
            <w:rPr>
              <w:rFonts w:ascii="Cambria Math" w:hAnsi="Cambria Math"/>
            </w:rPr>
            <m:t>=</m:t>
          </m:r>
          <m:sSubSup>
            <m:sSubSupPr>
              <m:ctrlPr>
                <w:rPr>
                  <w:rFonts w:ascii="Cambria Math" w:hAnsi="Cambria Math"/>
                  <w:i/>
                </w:rPr>
              </m:ctrlPr>
            </m:sSubSupPr>
            <m:e>
              <m:r>
                <w:rPr>
                  <w:rFonts w:ascii="Cambria Math" w:hAnsi="Cambria Math"/>
                </w:rPr>
                <m:t>COMA</m:t>
              </m:r>
            </m:e>
            <m:sub>
              <m:r>
                <w:rPr>
                  <w:rFonts w:ascii="Cambria Math" w:hAnsi="Cambria Math"/>
                </w:rPr>
                <m:t>j</m:t>
              </m:r>
            </m:sub>
            <m:sup>
              <m:r>
                <w:rPr>
                  <w:rFonts w:ascii="Cambria Math" w:hAnsi="Cambria Math"/>
                </w:rPr>
                <m:t>gastos</m:t>
              </m:r>
            </m:sup>
          </m:sSubSup>
        </m:oMath>
      </m:oMathPara>
    </w:p>
    <w:p w14:paraId="700F35DF" w14:textId="0E31BF04" w:rsidR="002F6E04" w:rsidRDefault="0088072F" w:rsidP="00010A03">
      <m:oMathPara>
        <m:oMath>
          <m:sSub>
            <m:sSubPr>
              <m:ctrlPr>
                <w:rPr>
                  <w:rFonts w:ascii="Cambria Math" w:hAnsi="Cambria Math"/>
                  <w:i/>
                </w:rPr>
              </m:ctrlPr>
            </m:sSubPr>
            <m:e>
              <m:r>
                <w:rPr>
                  <w:rFonts w:ascii="Cambria Math" w:hAnsi="Cambria Math"/>
                </w:rPr>
                <m:t>AVI</m:t>
              </m:r>
            </m:e>
            <m:sub>
              <m:r>
                <w:rPr>
                  <w:rFonts w:ascii="Cambria Math" w:hAnsi="Cambria Math"/>
                </w:rPr>
                <m:t>j</m:t>
              </m:r>
            </m:sub>
          </m:sSub>
          <m:r>
            <w:rPr>
              <w:rFonts w:ascii="Cambria Math" w:hAnsi="Cambria Math"/>
            </w:rPr>
            <m:t>=</m:t>
          </m:r>
          <m:nary>
            <m:naryPr>
              <m:chr m:val="∑"/>
              <m:limLoc m:val="undOvr"/>
              <m:ctrlPr>
                <w:rPr>
                  <w:rFonts w:ascii="Cambria Math" w:hAnsi="Cambria Math"/>
                  <w:i/>
                </w:rPr>
              </m:ctrlPr>
            </m:naryPr>
            <m:sub>
              <m:r>
                <w:rPr>
                  <w:rFonts w:ascii="Cambria Math" w:hAnsi="Cambria Math"/>
                </w:rPr>
                <m:t>i=1</m:t>
              </m:r>
            </m:sub>
            <m:sup>
              <m:r>
                <w:rPr>
                  <w:rFonts w:ascii="Cambria Math" w:hAnsi="Cambria Math"/>
                </w:rPr>
                <m:t>15</m:t>
              </m:r>
            </m:sup>
            <m:e>
              <m:sSub>
                <m:sSubPr>
                  <m:ctrlPr>
                    <w:rPr>
                      <w:rFonts w:ascii="Cambria Math" w:hAnsi="Cambria Math"/>
                      <w:i/>
                    </w:rPr>
                  </m:ctrlPr>
                </m:sSubPr>
                <m:e>
                  <m:r>
                    <w:rPr>
                      <w:rFonts w:ascii="Cambria Math" w:hAnsi="Cambria Math"/>
                    </w:rPr>
                    <m:t>frc</m:t>
                  </m:r>
                </m:e>
                <m:sub>
                  <m:r>
                    <w:rPr>
                      <w:rFonts w:ascii="Cambria Math" w:hAnsi="Cambria Math"/>
                    </w:rPr>
                    <m:t>i</m:t>
                  </m:r>
                </m:sub>
              </m:sSub>
              <m:r>
                <w:rPr>
                  <w:rFonts w:ascii="Cambria Math" w:hAnsi="Cambria Math"/>
                </w:rPr>
                <m:t>∙</m:t>
              </m:r>
              <m:sSubSup>
                <m:sSubSupPr>
                  <m:ctrlPr>
                    <w:rPr>
                      <w:rFonts w:ascii="Cambria Math" w:hAnsi="Cambria Math"/>
                      <w:i/>
                    </w:rPr>
                  </m:ctrlPr>
                </m:sSubSupPr>
                <m:e>
                  <m:r>
                    <w:rPr>
                      <w:rFonts w:ascii="Cambria Math" w:hAnsi="Cambria Math"/>
                    </w:rPr>
                    <m:t>VI</m:t>
                  </m:r>
                </m:e>
                <m:sub>
                  <m:r>
                    <w:rPr>
                      <w:rFonts w:ascii="Cambria Math" w:hAnsi="Cambria Math"/>
                    </w:rPr>
                    <m:t>ij</m:t>
                  </m:r>
                </m:sub>
                <m:sup>
                  <m:r>
                    <w:rPr>
                      <w:rFonts w:ascii="Cambria Math" w:hAnsi="Cambria Math"/>
                    </w:rPr>
                    <m:t>elect</m:t>
                  </m:r>
                </m:sup>
              </m:sSubSup>
              <m:r>
                <w:rPr>
                  <w:rFonts w:ascii="Cambria Math" w:hAnsi="Cambria Math"/>
                </w:rPr>
                <m:t>+</m:t>
              </m:r>
            </m:e>
          </m:nary>
          <m:nary>
            <m:naryPr>
              <m:chr m:val="∑"/>
              <m:limLoc m:val="undOvr"/>
              <m:ctrlPr>
                <w:rPr>
                  <w:rFonts w:ascii="Cambria Math" w:hAnsi="Cambria Math"/>
                  <w:i/>
                </w:rPr>
              </m:ctrlPr>
            </m:naryPr>
            <m:sub>
              <m:r>
                <w:rPr>
                  <w:rFonts w:ascii="Cambria Math" w:hAnsi="Cambria Math"/>
                </w:rPr>
                <m:t>i=11</m:t>
              </m:r>
            </m:sub>
            <m:sup>
              <m:r>
                <w:rPr>
                  <w:rFonts w:ascii="Cambria Math" w:hAnsi="Cambria Math"/>
                </w:rPr>
                <m:t>15</m:t>
              </m:r>
            </m:sup>
            <m:e>
              <m:sSub>
                <m:sSubPr>
                  <m:ctrlPr>
                    <w:rPr>
                      <w:rFonts w:ascii="Cambria Math" w:hAnsi="Cambria Math"/>
                      <w:i/>
                    </w:rPr>
                  </m:ctrlPr>
                </m:sSubPr>
                <m:e>
                  <m:r>
                    <w:rPr>
                      <w:rFonts w:ascii="Cambria Math" w:hAnsi="Cambria Math"/>
                    </w:rPr>
                    <m:t>frc</m:t>
                  </m:r>
                </m:e>
                <m:sub>
                  <m:r>
                    <w:rPr>
                      <w:rFonts w:ascii="Cambria Math" w:hAnsi="Cambria Math"/>
                    </w:rPr>
                    <m:t>i</m:t>
                  </m:r>
                </m:sub>
              </m:sSub>
              <m:r>
                <w:rPr>
                  <w:rFonts w:ascii="Cambria Math" w:hAnsi="Cambria Math"/>
                </w:rPr>
                <m:t>∙</m:t>
              </m:r>
              <m:sSubSup>
                <m:sSubSupPr>
                  <m:ctrlPr>
                    <w:rPr>
                      <w:rFonts w:ascii="Cambria Math" w:hAnsi="Cambria Math"/>
                      <w:i/>
                    </w:rPr>
                  </m:ctrlPr>
                </m:sSubSupPr>
                <m:e>
                  <m:r>
                    <w:rPr>
                      <w:rFonts w:ascii="Cambria Math" w:hAnsi="Cambria Math"/>
                    </w:rPr>
                    <m:t>VIBM&amp;I</m:t>
                  </m:r>
                </m:e>
                <m:sub>
                  <m:r>
                    <w:rPr>
                      <w:rFonts w:ascii="Cambria Math" w:hAnsi="Cambria Math"/>
                    </w:rPr>
                    <m:t>ij</m:t>
                  </m:r>
                </m:sub>
                <m:sup>
                  <m:r>
                    <w:rPr>
                      <w:rFonts w:ascii="Cambria Math" w:hAnsi="Cambria Math"/>
                    </w:rPr>
                    <m:t>coma</m:t>
                  </m:r>
                </m:sup>
              </m:sSubSup>
            </m:e>
          </m:nary>
        </m:oMath>
      </m:oMathPara>
    </w:p>
    <w:p w14:paraId="61AE84BD" w14:textId="77777777" w:rsidR="002F6E04" w:rsidRDefault="0088072F" w:rsidP="00010A03">
      <m:oMathPara>
        <m:oMath>
          <m:sSub>
            <m:sSubPr>
              <m:ctrlPr>
                <w:rPr>
                  <w:rFonts w:ascii="Cambria Math" w:hAnsi="Cambria Math"/>
                  <w:i/>
                </w:rPr>
              </m:ctrlPr>
            </m:sSubPr>
            <m:e>
              <m:r>
                <w:rPr>
                  <w:rFonts w:ascii="Cambria Math" w:hAnsi="Cambria Math"/>
                </w:rPr>
                <m:t>AEIR</m:t>
              </m:r>
            </m:e>
            <m:sub>
              <m:r>
                <w:rPr>
                  <w:rFonts w:ascii="Cambria Math" w:hAnsi="Cambria Math"/>
                </w:rPr>
                <m:t>j</m:t>
              </m:r>
            </m:sub>
          </m:sSub>
          <m:r>
            <w:rPr>
              <w:rFonts w:ascii="Cambria Math" w:hAnsi="Cambria Math"/>
            </w:rPr>
            <m:t>=</m:t>
          </m:r>
          <m:nary>
            <m:naryPr>
              <m:chr m:val="∑"/>
              <m:limLoc m:val="undOvr"/>
              <m:ctrlPr>
                <w:rPr>
                  <w:rFonts w:ascii="Cambria Math" w:hAnsi="Cambria Math"/>
                  <w:i/>
                </w:rPr>
              </m:ctrlPr>
            </m:naryPr>
            <m:sub>
              <m:r>
                <w:rPr>
                  <w:rFonts w:ascii="Cambria Math" w:hAnsi="Cambria Math"/>
                </w:rPr>
                <m:t>i=1</m:t>
              </m:r>
            </m:sub>
            <m:sup>
              <m:r>
                <w:rPr>
                  <w:rFonts w:ascii="Cambria Math" w:hAnsi="Cambria Math"/>
                </w:rPr>
                <m:t>15</m:t>
              </m:r>
            </m:sup>
            <m:e>
              <m:sSubSup>
                <m:sSubSupPr>
                  <m:ctrlPr>
                    <w:rPr>
                      <w:rFonts w:ascii="Cambria Math" w:hAnsi="Cambria Math"/>
                      <w:i/>
                    </w:rPr>
                  </m:ctrlPr>
                </m:sSubSupPr>
                <m:e>
                  <m:r>
                    <w:rPr>
                      <w:rFonts w:ascii="Cambria Math" w:hAnsi="Cambria Math"/>
                    </w:rPr>
                    <m:t>AEIR_VI</m:t>
                  </m:r>
                </m:e>
                <m:sub>
                  <m:r>
                    <w:rPr>
                      <w:rFonts w:ascii="Cambria Math" w:hAnsi="Cambria Math"/>
                    </w:rPr>
                    <m:t>ij</m:t>
                  </m:r>
                </m:sub>
                <m:sup>
                  <m:r>
                    <w:rPr>
                      <w:rFonts w:ascii="Cambria Math" w:hAnsi="Cambria Math"/>
                    </w:rPr>
                    <m:t>elect</m:t>
                  </m:r>
                </m:sup>
              </m:sSubSup>
              <m:r>
                <w:rPr>
                  <w:rFonts w:ascii="Cambria Math" w:hAnsi="Cambria Math"/>
                </w:rPr>
                <m:t>+</m:t>
              </m:r>
            </m:e>
          </m:nary>
          <m:nary>
            <m:naryPr>
              <m:chr m:val="∑"/>
              <m:limLoc m:val="undOvr"/>
              <m:ctrlPr>
                <w:rPr>
                  <w:rFonts w:ascii="Cambria Math" w:hAnsi="Cambria Math"/>
                  <w:i/>
                </w:rPr>
              </m:ctrlPr>
            </m:naryPr>
            <m:sub>
              <m:r>
                <w:rPr>
                  <w:rFonts w:ascii="Cambria Math" w:hAnsi="Cambria Math"/>
                </w:rPr>
                <m:t>i=11</m:t>
              </m:r>
            </m:sub>
            <m:sup>
              <m:r>
                <w:rPr>
                  <w:rFonts w:ascii="Cambria Math" w:hAnsi="Cambria Math"/>
                </w:rPr>
                <m:t>15</m:t>
              </m:r>
            </m:sup>
            <m:e>
              <m:r>
                <w:rPr>
                  <w:rFonts w:ascii="Cambria Math" w:hAnsi="Cambria Math"/>
                </w:rPr>
                <m:t>AEIR_</m:t>
              </m:r>
              <m:sSubSup>
                <m:sSubSupPr>
                  <m:ctrlPr>
                    <w:rPr>
                      <w:rFonts w:ascii="Cambria Math" w:hAnsi="Cambria Math"/>
                      <w:i/>
                    </w:rPr>
                  </m:ctrlPr>
                </m:sSubSupPr>
                <m:e>
                  <m:r>
                    <w:rPr>
                      <w:rFonts w:ascii="Cambria Math" w:hAnsi="Cambria Math"/>
                    </w:rPr>
                    <m:t>VIBM&amp;I</m:t>
                  </m:r>
                </m:e>
                <m:sub>
                  <m:r>
                    <w:rPr>
                      <w:rFonts w:ascii="Cambria Math" w:hAnsi="Cambria Math"/>
                    </w:rPr>
                    <m:t>ij</m:t>
                  </m:r>
                </m:sub>
                <m:sup>
                  <m:r>
                    <w:rPr>
                      <w:rFonts w:ascii="Cambria Math" w:hAnsi="Cambria Math"/>
                    </w:rPr>
                    <m:t>coma</m:t>
                  </m:r>
                </m:sup>
              </m:sSubSup>
            </m:e>
          </m:nary>
        </m:oMath>
      </m:oMathPara>
    </w:p>
    <w:p w14:paraId="1F9A2C2F" w14:textId="15CDF59F" w:rsidR="002F6E04" w:rsidRDefault="002F6E04" w:rsidP="00010A03">
      <w:r>
        <w:t xml:space="preserve">Donde </w:t>
      </w:r>
    </w:p>
    <w:tbl>
      <w:tblPr>
        <w:tblW w:w="9750" w:type="dxa"/>
        <w:tblCellMar>
          <w:left w:w="57" w:type="dxa"/>
          <w:right w:w="57" w:type="dxa"/>
        </w:tblCellMar>
        <w:tblLook w:val="04A0" w:firstRow="1" w:lastRow="0" w:firstColumn="1" w:lastColumn="0" w:noHBand="0" w:noVBand="1"/>
      </w:tblPr>
      <w:tblGrid>
        <w:gridCol w:w="2088"/>
        <w:gridCol w:w="179"/>
        <w:gridCol w:w="7483"/>
      </w:tblGrid>
      <w:tr w:rsidR="006A5733" w:rsidRPr="002C2818" w14:paraId="15DA1430" w14:textId="77777777" w:rsidTr="006A5733">
        <w:tc>
          <w:tcPr>
            <w:tcW w:w="2088" w:type="dxa"/>
            <w:shd w:val="clear" w:color="auto" w:fill="auto"/>
          </w:tcPr>
          <w:p w14:paraId="0DDAFAB1" w14:textId="4F32DF30" w:rsidR="006A5733" w:rsidRPr="002D4B20" w:rsidRDefault="0088072F" w:rsidP="00010A03">
            <w:pPr>
              <w:spacing w:line="240" w:lineRule="auto"/>
              <w:jc w:val="left"/>
            </w:pPr>
            <m:oMathPara>
              <m:oMathParaPr>
                <m:jc m:val="left"/>
              </m:oMathParaPr>
              <m:oMath>
                <m:sSubSup>
                  <m:sSubSupPr>
                    <m:ctrlPr>
                      <w:rPr>
                        <w:rFonts w:ascii="Cambria Math" w:hAnsi="Cambria Math"/>
                        <w:i/>
                      </w:rPr>
                    </m:ctrlPr>
                  </m:sSubSupPr>
                  <m:e>
                    <m:r>
                      <w:rPr>
                        <w:rFonts w:ascii="Cambria Math" w:hAnsi="Cambria Math"/>
                      </w:rPr>
                      <m:t>VI</m:t>
                    </m:r>
                  </m:e>
                  <m:sub>
                    <m:r>
                      <w:rPr>
                        <w:rFonts w:ascii="Cambria Math" w:hAnsi="Cambria Math"/>
                      </w:rPr>
                      <m:t>ij</m:t>
                    </m:r>
                  </m:sub>
                  <m:sup>
                    <m:r>
                      <w:rPr>
                        <w:rFonts w:ascii="Cambria Math" w:hAnsi="Cambria Math"/>
                      </w:rPr>
                      <m:t>elect</m:t>
                    </m:r>
                  </m:sup>
                </m:sSubSup>
              </m:oMath>
            </m:oMathPara>
          </w:p>
        </w:tc>
        <w:tc>
          <w:tcPr>
            <w:tcW w:w="0" w:type="auto"/>
          </w:tcPr>
          <w:p w14:paraId="24D01345" w14:textId="77777777" w:rsidR="006A5733" w:rsidRPr="002C2818" w:rsidRDefault="006A5733" w:rsidP="00010A03">
            <w:pPr>
              <w:spacing w:line="240" w:lineRule="auto"/>
            </w:pPr>
            <w:r>
              <w:t>:</w:t>
            </w:r>
          </w:p>
        </w:tc>
        <w:tc>
          <w:tcPr>
            <w:tcW w:w="7483" w:type="dxa"/>
          </w:tcPr>
          <w:p w14:paraId="57A6DB84" w14:textId="0C2C7D97" w:rsidR="006A5733" w:rsidRDefault="006A5733" w:rsidP="00010A03">
            <w:pPr>
              <w:spacing w:line="240" w:lineRule="auto"/>
            </w:pPr>
            <w:r w:rsidRPr="00E0206B">
              <w:t>V</w:t>
            </w:r>
            <w:r>
              <w:t>.</w:t>
            </w:r>
            <w:r w:rsidRPr="00E0206B">
              <w:t>I</w:t>
            </w:r>
            <w:r>
              <w:t>.</w:t>
            </w:r>
            <w:r w:rsidRPr="00E0206B">
              <w:t xml:space="preserve"> de instalaciones eléctricas de transmisión del tramo </w:t>
            </w:r>
            <m:oMath>
              <m:r>
                <w:rPr>
                  <w:rFonts w:ascii="Cambria Math" w:hAnsi="Cambria Math"/>
                </w:rPr>
                <m:t>j</m:t>
              </m:r>
            </m:oMath>
            <w:r w:rsidRPr="00E0206B">
              <w:t xml:space="preserve"> (</w:t>
            </w:r>
            <m:oMath>
              <m:r>
                <w:rPr>
                  <w:rFonts w:ascii="Cambria Math" w:hAnsi="Cambria Math"/>
                </w:rPr>
                <m:t>i</m:t>
              </m:r>
            </m:oMath>
            <w:r w:rsidRPr="00E0206B">
              <w:t xml:space="preserve"> : 1</w:t>
            </w:r>
            <w:r>
              <w:t>.</w:t>
            </w:r>
            <w:r w:rsidRPr="00E0206B">
              <w:t>..1</w:t>
            </w:r>
            <w:r>
              <w:t>5</w:t>
            </w:r>
            <w:r w:rsidRPr="00E0206B">
              <w:t>).</w:t>
            </w:r>
          </w:p>
        </w:tc>
      </w:tr>
      <w:tr w:rsidR="006A5733" w:rsidRPr="002C2818" w14:paraId="1433EE47" w14:textId="77777777" w:rsidTr="006A5733">
        <w:tc>
          <w:tcPr>
            <w:tcW w:w="2088" w:type="dxa"/>
            <w:shd w:val="clear" w:color="auto" w:fill="auto"/>
          </w:tcPr>
          <w:p w14:paraId="6A4542C3" w14:textId="747DC9A8" w:rsidR="006A5733" w:rsidRPr="002D4B20" w:rsidRDefault="0088072F" w:rsidP="00010A03">
            <w:pPr>
              <w:spacing w:line="240" w:lineRule="auto"/>
              <w:jc w:val="left"/>
            </w:pPr>
            <m:oMathPara>
              <m:oMathParaPr>
                <m:jc m:val="left"/>
              </m:oMathParaPr>
              <m:oMath>
                <m:sSubSup>
                  <m:sSubSupPr>
                    <m:ctrlPr>
                      <w:rPr>
                        <w:rFonts w:ascii="Cambria Math" w:hAnsi="Cambria Math"/>
                        <w:i/>
                      </w:rPr>
                    </m:ctrlPr>
                  </m:sSubSupPr>
                  <m:e>
                    <m:r>
                      <w:rPr>
                        <w:rFonts w:ascii="Cambria Math" w:hAnsi="Cambria Math"/>
                      </w:rPr>
                      <m:t>VIBM&amp;I</m:t>
                    </m:r>
                  </m:e>
                  <m:sub>
                    <m:r>
                      <w:rPr>
                        <w:rFonts w:ascii="Cambria Math" w:hAnsi="Cambria Math"/>
                      </w:rPr>
                      <m:t>ij</m:t>
                    </m:r>
                  </m:sub>
                  <m:sup>
                    <m:r>
                      <w:rPr>
                        <w:rFonts w:ascii="Cambria Math" w:hAnsi="Cambria Math"/>
                      </w:rPr>
                      <m:t>coma</m:t>
                    </m:r>
                  </m:sup>
                </m:sSubSup>
              </m:oMath>
            </m:oMathPara>
          </w:p>
        </w:tc>
        <w:tc>
          <w:tcPr>
            <w:tcW w:w="0" w:type="auto"/>
          </w:tcPr>
          <w:p w14:paraId="7E1F1E0F" w14:textId="77777777" w:rsidR="006A5733" w:rsidRPr="002C2818" w:rsidRDefault="006A5733" w:rsidP="00010A03">
            <w:pPr>
              <w:spacing w:line="240" w:lineRule="auto"/>
            </w:pPr>
            <w:r>
              <w:t>:</w:t>
            </w:r>
          </w:p>
        </w:tc>
        <w:tc>
          <w:tcPr>
            <w:tcW w:w="7483" w:type="dxa"/>
          </w:tcPr>
          <w:p w14:paraId="3914B9F2" w14:textId="37E59AA7" w:rsidR="006A5733" w:rsidRPr="002C2818" w:rsidRDefault="006A5733" w:rsidP="00010A03">
            <w:pPr>
              <w:spacing w:line="240" w:lineRule="auto"/>
            </w:pPr>
            <w:r w:rsidRPr="00E0206B">
              <w:t>V</w:t>
            </w:r>
            <w:r>
              <w:t>.</w:t>
            </w:r>
            <w:r w:rsidRPr="00E0206B">
              <w:t>I</w:t>
            </w:r>
            <w:r>
              <w:t>.</w:t>
            </w:r>
            <w:r w:rsidRPr="00E0206B">
              <w:t xml:space="preserve"> de bienes que soportan actividades </w:t>
            </w:r>
            <w:r>
              <w:t>C.O.M.A.</w:t>
            </w:r>
            <w:r w:rsidRPr="00E0206B">
              <w:t xml:space="preserve"> </w:t>
            </w:r>
            <w:r>
              <w:t xml:space="preserve">de BM&amp;I </w:t>
            </w:r>
            <w:r w:rsidRPr="00E0206B">
              <w:t xml:space="preserve">asignados al tramo </w:t>
            </w:r>
            <m:oMath>
              <m:r>
                <w:rPr>
                  <w:rFonts w:ascii="Cambria Math" w:hAnsi="Cambria Math"/>
                </w:rPr>
                <m:t>j</m:t>
              </m:r>
            </m:oMath>
            <w:r w:rsidRPr="00E0206B">
              <w:t xml:space="preserve"> (</w:t>
            </w:r>
            <m:oMath>
              <m:r>
                <w:rPr>
                  <w:rFonts w:ascii="Cambria Math" w:hAnsi="Cambria Math"/>
                </w:rPr>
                <m:t>i</m:t>
              </m:r>
            </m:oMath>
            <w:r w:rsidRPr="00E0206B">
              <w:t xml:space="preserve"> : 11.</w:t>
            </w:r>
            <w:r>
              <w:t>.</w:t>
            </w:r>
            <w:r w:rsidRPr="00E0206B">
              <w:t>.15).</w:t>
            </w:r>
          </w:p>
        </w:tc>
      </w:tr>
      <w:tr w:rsidR="006A5733" w:rsidRPr="002C2818" w14:paraId="0D9E77D0" w14:textId="77777777" w:rsidTr="006A5733">
        <w:tc>
          <w:tcPr>
            <w:tcW w:w="2088" w:type="dxa"/>
            <w:shd w:val="clear" w:color="auto" w:fill="auto"/>
          </w:tcPr>
          <w:p w14:paraId="2748D9C9" w14:textId="78F5C712" w:rsidR="006A5733" w:rsidRPr="002D4B20" w:rsidRDefault="0088072F" w:rsidP="00010A03">
            <w:pPr>
              <w:spacing w:line="240" w:lineRule="auto"/>
              <w:jc w:val="left"/>
            </w:pPr>
            <m:oMathPara>
              <m:oMathParaPr>
                <m:jc m:val="left"/>
              </m:oMathParaPr>
              <m:oMath>
                <m:sSub>
                  <m:sSubPr>
                    <m:ctrlPr>
                      <w:rPr>
                        <w:rFonts w:ascii="Cambria Math" w:hAnsi="Cambria Math"/>
                        <w:i/>
                      </w:rPr>
                    </m:ctrlPr>
                  </m:sSubPr>
                  <m:e>
                    <m:r>
                      <w:rPr>
                        <w:rFonts w:ascii="Cambria Math" w:hAnsi="Cambria Math"/>
                      </w:rPr>
                      <m:t>frc</m:t>
                    </m:r>
                  </m:e>
                  <m:sub>
                    <m:r>
                      <w:rPr>
                        <w:rFonts w:ascii="Cambria Math" w:hAnsi="Cambria Math"/>
                      </w:rPr>
                      <m:t>i</m:t>
                    </m:r>
                  </m:sub>
                </m:sSub>
              </m:oMath>
            </m:oMathPara>
          </w:p>
        </w:tc>
        <w:tc>
          <w:tcPr>
            <w:tcW w:w="0" w:type="auto"/>
          </w:tcPr>
          <w:p w14:paraId="30D7AC24" w14:textId="77777777" w:rsidR="006A5733" w:rsidRPr="002C2818" w:rsidRDefault="006A5733" w:rsidP="00010A03">
            <w:pPr>
              <w:spacing w:line="240" w:lineRule="auto"/>
            </w:pPr>
            <w:r>
              <w:t>:</w:t>
            </w:r>
          </w:p>
        </w:tc>
        <w:tc>
          <w:tcPr>
            <w:tcW w:w="7483" w:type="dxa"/>
          </w:tcPr>
          <w:p w14:paraId="6C827843" w14:textId="036B5212" w:rsidR="006A5733" w:rsidRPr="002C2818" w:rsidRDefault="006A5733" w:rsidP="00010A03">
            <w:pPr>
              <w:spacing w:line="240" w:lineRule="auto"/>
            </w:pPr>
            <w:r w:rsidRPr="00E0206B">
              <w:t>Factor de recuperación de capital de las instalacion</w:t>
            </w:r>
            <w:r>
              <w:t xml:space="preserve">es correspondiente a categoría </w:t>
            </w:r>
            <m:oMath>
              <m:r>
                <w:rPr>
                  <w:rFonts w:ascii="Cambria Math" w:hAnsi="Cambria Math"/>
                </w:rPr>
                <m:t>i</m:t>
              </m:r>
            </m:oMath>
            <w:r w:rsidRPr="00E0206B">
              <w:t xml:space="preserve"> del cuadro (dada tasa de descuento del 7% y vida útil señalada en la misma).</w:t>
            </w:r>
          </w:p>
        </w:tc>
      </w:tr>
      <w:tr w:rsidR="006A5733" w:rsidRPr="002C2818" w14:paraId="30FB1D3A" w14:textId="77777777" w:rsidTr="006A5733">
        <w:tc>
          <w:tcPr>
            <w:tcW w:w="2088" w:type="dxa"/>
            <w:shd w:val="clear" w:color="auto" w:fill="auto"/>
          </w:tcPr>
          <w:p w14:paraId="136725A8" w14:textId="153AFA4A" w:rsidR="006A5733" w:rsidRPr="002D4B20" w:rsidRDefault="0088072F" w:rsidP="00010A03">
            <w:pPr>
              <w:spacing w:line="240" w:lineRule="auto"/>
              <w:jc w:val="left"/>
            </w:pPr>
            <m:oMathPara>
              <m:oMathParaPr>
                <m:jc m:val="left"/>
              </m:oMathParaPr>
              <m:oMath>
                <m:sSubSup>
                  <m:sSubSupPr>
                    <m:ctrlPr>
                      <w:rPr>
                        <w:rFonts w:ascii="Cambria Math" w:hAnsi="Cambria Math"/>
                        <w:i/>
                      </w:rPr>
                    </m:ctrlPr>
                  </m:sSubSupPr>
                  <m:e>
                    <m:r>
                      <w:rPr>
                        <w:rFonts w:ascii="Cambria Math" w:hAnsi="Cambria Math"/>
                      </w:rPr>
                      <m:t>COMA</m:t>
                    </m:r>
                  </m:e>
                  <m:sub>
                    <m:r>
                      <w:rPr>
                        <w:rFonts w:ascii="Cambria Math" w:hAnsi="Cambria Math"/>
                      </w:rPr>
                      <m:t>j</m:t>
                    </m:r>
                  </m:sub>
                  <m:sup>
                    <m:r>
                      <w:rPr>
                        <w:rFonts w:ascii="Cambria Math" w:hAnsi="Cambria Math"/>
                      </w:rPr>
                      <m:t>gastos</m:t>
                    </m:r>
                  </m:sup>
                </m:sSubSup>
              </m:oMath>
            </m:oMathPara>
          </w:p>
        </w:tc>
        <w:tc>
          <w:tcPr>
            <w:tcW w:w="0" w:type="auto"/>
          </w:tcPr>
          <w:p w14:paraId="771C4F42" w14:textId="77777777" w:rsidR="006A5733" w:rsidRPr="002C2818" w:rsidRDefault="006A5733" w:rsidP="00010A03">
            <w:pPr>
              <w:spacing w:line="240" w:lineRule="auto"/>
            </w:pPr>
            <w:r>
              <w:t>:</w:t>
            </w:r>
          </w:p>
        </w:tc>
        <w:tc>
          <w:tcPr>
            <w:tcW w:w="7483" w:type="dxa"/>
          </w:tcPr>
          <w:p w14:paraId="6B99F984" w14:textId="2120A718" w:rsidR="006A5733" w:rsidRPr="002C2818" w:rsidRDefault="006A5733" w:rsidP="00010A03">
            <w:pPr>
              <w:spacing w:line="240" w:lineRule="auto"/>
            </w:pPr>
            <w:r>
              <w:t xml:space="preserve">C.O.M.A. asignado al tramo </w:t>
            </w:r>
            <m:oMath>
              <m:r>
                <w:rPr>
                  <w:rFonts w:ascii="Cambria Math" w:hAnsi="Cambria Math"/>
                </w:rPr>
                <m:t>j</m:t>
              </m:r>
            </m:oMath>
            <w:r w:rsidRPr="00E0206B">
              <w:t xml:space="preserve"> correspondiente a gastos anuales de la empresa eficiente.</w:t>
            </w:r>
          </w:p>
        </w:tc>
      </w:tr>
      <w:tr w:rsidR="006A5733" w:rsidRPr="002C2818" w14:paraId="53EC194E" w14:textId="77777777" w:rsidTr="006A5733">
        <w:tc>
          <w:tcPr>
            <w:tcW w:w="2088" w:type="dxa"/>
            <w:shd w:val="clear" w:color="auto" w:fill="auto"/>
          </w:tcPr>
          <w:p w14:paraId="2C9CFD0F" w14:textId="5891EDDA" w:rsidR="006A5733" w:rsidRPr="002D4B20" w:rsidRDefault="0088072F" w:rsidP="00010A03">
            <w:pPr>
              <w:spacing w:line="240" w:lineRule="auto"/>
              <w:jc w:val="left"/>
            </w:pPr>
            <m:oMathPara>
              <m:oMathParaPr>
                <m:jc m:val="left"/>
              </m:oMathParaPr>
              <m:oMath>
                <m:sSubSup>
                  <m:sSubSupPr>
                    <m:ctrlPr>
                      <w:rPr>
                        <w:rFonts w:ascii="Cambria Math" w:hAnsi="Cambria Math"/>
                        <w:i/>
                      </w:rPr>
                    </m:ctrlPr>
                  </m:sSubSupPr>
                  <m:e>
                    <m:r>
                      <w:rPr>
                        <w:rFonts w:ascii="Cambria Math" w:hAnsi="Cambria Math"/>
                      </w:rPr>
                      <m:t>AEIR_VI</m:t>
                    </m:r>
                  </m:e>
                  <m:sub>
                    <m:r>
                      <w:rPr>
                        <w:rFonts w:ascii="Cambria Math" w:hAnsi="Cambria Math"/>
                      </w:rPr>
                      <m:t>ij</m:t>
                    </m:r>
                  </m:sub>
                  <m:sup>
                    <m:r>
                      <w:rPr>
                        <w:rFonts w:ascii="Cambria Math" w:hAnsi="Cambria Math"/>
                      </w:rPr>
                      <m:t>elect</m:t>
                    </m:r>
                  </m:sup>
                </m:sSubSup>
              </m:oMath>
            </m:oMathPara>
          </w:p>
        </w:tc>
        <w:tc>
          <w:tcPr>
            <w:tcW w:w="0" w:type="auto"/>
          </w:tcPr>
          <w:p w14:paraId="1DA4EAC3" w14:textId="77777777" w:rsidR="006A5733" w:rsidRPr="002C2818" w:rsidRDefault="006A5733" w:rsidP="00010A03">
            <w:pPr>
              <w:spacing w:line="240" w:lineRule="auto"/>
            </w:pPr>
            <w:r>
              <w:t>:</w:t>
            </w:r>
          </w:p>
        </w:tc>
        <w:tc>
          <w:tcPr>
            <w:tcW w:w="7483" w:type="dxa"/>
          </w:tcPr>
          <w:p w14:paraId="4100B4E6" w14:textId="3525376E" w:rsidR="006A5733" w:rsidRPr="002C2818" w:rsidRDefault="006A5733" w:rsidP="00010A03">
            <w:pPr>
              <w:spacing w:line="240" w:lineRule="auto"/>
            </w:pPr>
            <w:r>
              <w:t>Ajuste E</w:t>
            </w:r>
            <w:r w:rsidRPr="00E0206B">
              <w:t xml:space="preserve">fecto </w:t>
            </w:r>
            <w:r>
              <w:t>I</w:t>
            </w:r>
            <w:r w:rsidRPr="00E0206B">
              <w:t>mpuesto</w:t>
            </w:r>
            <w:r>
              <w:t xml:space="preserve"> a la Renta a aplicar a cada componente </w:t>
            </w:r>
            <m:oMath>
              <m:r>
                <w:rPr>
                  <w:rFonts w:ascii="Cambria Math" w:hAnsi="Cambria Math"/>
                </w:rPr>
                <m:t>i</m:t>
              </m:r>
            </m:oMath>
            <w:r w:rsidRPr="00E0206B">
              <w:t xml:space="preserve"> de instalaciones eléctri</w:t>
            </w:r>
            <w:r>
              <w:t xml:space="preserve">cas de transmisión del tramo </w:t>
            </w:r>
            <m:oMath>
              <m:r>
                <w:rPr>
                  <w:rFonts w:ascii="Cambria Math" w:hAnsi="Cambria Math"/>
                </w:rPr>
                <m:t>j</m:t>
              </m:r>
            </m:oMath>
            <w:r w:rsidRPr="00E0206B">
              <w:t>. Depende de la vida útil indicada en el cuadro y de la vida útil tributaria para el mismo concepto de activo.</w:t>
            </w:r>
          </w:p>
        </w:tc>
      </w:tr>
      <w:tr w:rsidR="006A5733" w:rsidRPr="002C2818" w14:paraId="53CAB0F9" w14:textId="77777777" w:rsidTr="006A5733">
        <w:tc>
          <w:tcPr>
            <w:tcW w:w="2088" w:type="dxa"/>
            <w:shd w:val="clear" w:color="auto" w:fill="auto"/>
          </w:tcPr>
          <w:p w14:paraId="2393B761" w14:textId="10A38EAF" w:rsidR="006A5733" w:rsidRPr="002D4B20" w:rsidRDefault="006A5733" w:rsidP="00010A03">
            <w:pPr>
              <w:spacing w:line="240" w:lineRule="auto"/>
              <w:jc w:val="left"/>
            </w:pPr>
            <m:oMathPara>
              <m:oMathParaPr>
                <m:jc m:val="left"/>
              </m:oMathParaPr>
              <m:oMath>
                <m:r>
                  <w:rPr>
                    <w:rFonts w:ascii="Cambria Math" w:hAnsi="Cambria Math"/>
                  </w:rPr>
                  <w:lastRenderedPageBreak/>
                  <m:t>AEIR_</m:t>
                </m:r>
                <m:sSubSup>
                  <m:sSubSupPr>
                    <m:ctrlPr>
                      <w:rPr>
                        <w:rFonts w:ascii="Cambria Math" w:hAnsi="Cambria Math"/>
                        <w:i/>
                      </w:rPr>
                    </m:ctrlPr>
                  </m:sSubSupPr>
                  <m:e>
                    <m:r>
                      <w:rPr>
                        <w:rFonts w:ascii="Cambria Math" w:hAnsi="Cambria Math"/>
                      </w:rPr>
                      <m:t>VIBM&amp;I</m:t>
                    </m:r>
                  </m:e>
                  <m:sub>
                    <m:r>
                      <w:rPr>
                        <w:rFonts w:ascii="Cambria Math" w:hAnsi="Cambria Math"/>
                      </w:rPr>
                      <m:t>ij</m:t>
                    </m:r>
                  </m:sub>
                  <m:sup>
                    <m:r>
                      <w:rPr>
                        <w:rFonts w:ascii="Cambria Math" w:hAnsi="Cambria Math"/>
                      </w:rPr>
                      <m:t>coma</m:t>
                    </m:r>
                  </m:sup>
                </m:sSubSup>
              </m:oMath>
            </m:oMathPara>
          </w:p>
        </w:tc>
        <w:tc>
          <w:tcPr>
            <w:tcW w:w="0" w:type="auto"/>
          </w:tcPr>
          <w:p w14:paraId="74EEC93F" w14:textId="77777777" w:rsidR="006A5733" w:rsidRPr="002C2818" w:rsidRDefault="006A5733" w:rsidP="00010A03">
            <w:pPr>
              <w:spacing w:line="240" w:lineRule="auto"/>
            </w:pPr>
            <w:r>
              <w:t>:</w:t>
            </w:r>
          </w:p>
        </w:tc>
        <w:tc>
          <w:tcPr>
            <w:tcW w:w="7483" w:type="dxa"/>
          </w:tcPr>
          <w:p w14:paraId="5D19C5F9" w14:textId="2305D261" w:rsidR="006A5733" w:rsidRPr="002C2818" w:rsidRDefault="006A5733" w:rsidP="00010A03">
            <w:pPr>
              <w:spacing w:line="240" w:lineRule="auto"/>
            </w:pPr>
            <w:r w:rsidRPr="00E0206B">
              <w:t xml:space="preserve">Ajuste efecto impuesto a aplicar a cada componente i de bienes </w:t>
            </w:r>
            <w:r>
              <w:t>C.O.M.A.</w:t>
            </w:r>
            <w:r w:rsidRPr="00E0206B">
              <w:t xml:space="preserve"> </w:t>
            </w:r>
            <w:r>
              <w:t xml:space="preserve">correspondientes a BM&amp;I </w:t>
            </w:r>
            <w:r w:rsidRPr="00E0206B">
              <w:t xml:space="preserve">del tramo </w:t>
            </w:r>
            <m:oMath>
              <m:r>
                <w:rPr>
                  <w:rFonts w:ascii="Cambria Math" w:hAnsi="Cambria Math"/>
                </w:rPr>
                <m:t>j</m:t>
              </m:r>
            </m:oMath>
            <w:r w:rsidRPr="00E0206B">
              <w:t>. Depende de la vida útil indicada en el cuadro y de la vida útil tributaria para el mismo concepto de activo.</w:t>
            </w:r>
          </w:p>
        </w:tc>
      </w:tr>
    </w:tbl>
    <w:p w14:paraId="2865864E" w14:textId="4B1A403C" w:rsidR="008F013C" w:rsidRPr="008F013C" w:rsidRDefault="008F013C" w:rsidP="008F013C">
      <w:pPr>
        <w:pStyle w:val="Ttulo1"/>
      </w:pPr>
      <w:bookmarkStart w:id="552" w:name="_Toc39797896"/>
      <w:r w:rsidRPr="008F013C">
        <w:t>F</w:t>
      </w:r>
      <w:r w:rsidR="00E8341C">
        <w:t xml:space="preserve">órmulas de indexación </w:t>
      </w:r>
      <w:r w:rsidR="001E13FF">
        <w:t>y deflactores</w:t>
      </w:r>
      <w:bookmarkEnd w:id="552"/>
    </w:p>
    <w:p w14:paraId="59DE1C4D" w14:textId="77777777" w:rsidR="001E13FF" w:rsidRPr="00084018" w:rsidRDefault="00084018" w:rsidP="00084018">
      <w:pPr>
        <w:pStyle w:val="Ttulo2"/>
        <w:rPr>
          <w:sz w:val="24"/>
          <w:szCs w:val="24"/>
        </w:rPr>
      </w:pPr>
      <w:bookmarkStart w:id="553" w:name="_Toc39797897"/>
      <w:r>
        <w:rPr>
          <w:sz w:val="24"/>
          <w:szCs w:val="24"/>
        </w:rPr>
        <w:t>Fórmulas de Indexación</w:t>
      </w:r>
      <w:bookmarkEnd w:id="553"/>
    </w:p>
    <w:p w14:paraId="38F09821" w14:textId="77777777" w:rsidR="007A50E9" w:rsidRPr="007A50E9" w:rsidRDefault="007A50E9" w:rsidP="007A50E9">
      <w:pPr>
        <w:pStyle w:val="Ttulo3"/>
      </w:pPr>
      <w:bookmarkStart w:id="554" w:name="_Toc39797898"/>
      <w:r w:rsidRPr="007A50E9">
        <w:t>Estructura General</w:t>
      </w:r>
      <w:bookmarkEnd w:id="554"/>
    </w:p>
    <w:p w14:paraId="010901E2" w14:textId="77777777" w:rsidR="00084018" w:rsidRPr="00EE2F47" w:rsidRDefault="00084018" w:rsidP="00084018">
      <w:r w:rsidRPr="00EE2F47">
        <w:t>En el punto 3.10 de las Bases se presenta la estructura general -y única- de las fórmulas de indexación a aplicar al V.A.T.T. de cada tramo a fin de mantener su valor real durante el período de vigencia tarifario. Esta estructura se presenta como sigue</w:t>
      </w:r>
      <w:r>
        <w:rPr>
          <w:rStyle w:val="Refdenotaalpie"/>
        </w:rPr>
        <w:footnoteReference w:id="49"/>
      </w:r>
      <w:r w:rsidRPr="00EE2F47">
        <w:t>:</w:t>
      </w:r>
    </w:p>
    <w:p w14:paraId="5199F10D" w14:textId="77777777" w:rsidR="00084018" w:rsidRPr="00C636E3" w:rsidRDefault="0088072F" w:rsidP="00084018">
      <w:pPr>
        <w:jc w:val="center"/>
      </w:pPr>
      <m:oMathPara>
        <m:oMath>
          <m:sSub>
            <m:sSubPr>
              <m:ctrlPr>
                <w:rPr>
                  <w:rFonts w:ascii="Cambria Math" w:hAnsi="Cambria Math"/>
                </w:rPr>
              </m:ctrlPr>
            </m:sSubPr>
            <m:e>
              <m:r>
                <w:rPr>
                  <w:rFonts w:ascii="Cambria Math" w:hAnsi="Cambria Math"/>
                </w:rPr>
                <m:t>VATT</m:t>
              </m:r>
            </m:e>
            <m:sub>
              <m:r>
                <w:rPr>
                  <w:rFonts w:ascii="Cambria Math" w:hAnsi="Cambria Math"/>
                </w:rPr>
                <m:t>n,k</m:t>
              </m:r>
            </m:sub>
          </m:sSub>
          <m:r>
            <w:rPr>
              <w:rFonts w:ascii="Cambria Math" w:hAnsi="Cambria Math"/>
            </w:rPr>
            <m:t>=</m:t>
          </m:r>
          <m:sSub>
            <m:sSubPr>
              <m:ctrlPr>
                <w:rPr>
                  <w:rFonts w:ascii="Cambria Math" w:hAnsi="Cambria Math"/>
                </w:rPr>
              </m:ctrlPr>
            </m:sSubPr>
            <m:e>
              <m:r>
                <w:rPr>
                  <w:rFonts w:ascii="Cambria Math" w:hAnsi="Cambria Math"/>
                </w:rPr>
                <m:t>AVI</m:t>
              </m:r>
            </m:e>
            <m:sub>
              <m:r>
                <w:rPr>
                  <w:rFonts w:ascii="Cambria Math" w:hAnsi="Cambria Math"/>
                </w:rPr>
                <m:t>n,0</m:t>
              </m:r>
            </m:sub>
          </m:sSub>
          <m:r>
            <w:rPr>
              <w:rFonts w:ascii="Cambria Math" w:hAnsi="Cambria Math"/>
            </w:rPr>
            <m:t>∙</m:t>
          </m:r>
          <m:d>
            <m:dPr>
              <m:ctrlPr>
                <w:rPr>
                  <w:rFonts w:ascii="Cambria Math" w:hAnsi="Cambria Math"/>
                </w:rPr>
              </m:ctrlPr>
            </m:dPr>
            <m:e>
              <m:sSub>
                <m:sSubPr>
                  <m:ctrlPr>
                    <w:rPr>
                      <w:rFonts w:ascii="Cambria Math" w:hAnsi="Cambria Math"/>
                    </w:rPr>
                  </m:ctrlPr>
                </m:sSubPr>
                <m:e>
                  <m:r>
                    <w:rPr>
                      <w:rFonts w:ascii="Cambria Math" w:hAnsi="Cambria Math"/>
                    </w:rPr>
                    <m:t>α</m:t>
                  </m:r>
                </m:e>
                <m:sub>
                  <m:r>
                    <w:rPr>
                      <w:rFonts w:ascii="Cambria Math" w:hAnsi="Cambria Math"/>
                    </w:rPr>
                    <m:t>j</m:t>
                  </m:r>
                </m:sub>
              </m:sSub>
              <m: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IPC</m:t>
                      </m:r>
                    </m:e>
                    <m:sub>
                      <m:r>
                        <w:rPr>
                          <w:rFonts w:ascii="Cambria Math" w:hAnsi="Cambria Math"/>
                        </w:rPr>
                        <m:t>k</m:t>
                      </m:r>
                    </m:sub>
                  </m:sSub>
                </m:num>
                <m:den>
                  <m:sSub>
                    <m:sSubPr>
                      <m:ctrlPr>
                        <w:rPr>
                          <w:rFonts w:ascii="Cambria Math" w:hAnsi="Cambria Math"/>
                        </w:rPr>
                      </m:ctrlPr>
                    </m:sSubPr>
                    <m:e>
                      <m:r>
                        <w:rPr>
                          <w:rFonts w:ascii="Cambria Math" w:hAnsi="Cambria Math"/>
                        </w:rPr>
                        <m:t>IPC</m:t>
                      </m:r>
                    </m:e>
                    <m:sub>
                      <m:r>
                        <w:rPr>
                          <w:rFonts w:ascii="Cambria Math" w:hAnsi="Cambria Math"/>
                        </w:rPr>
                        <m:t>0</m:t>
                      </m:r>
                    </m:sub>
                  </m:sSub>
                </m:den>
              </m:f>
              <m: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D</m:t>
                      </m:r>
                    </m:e>
                    <m:sub>
                      <m:r>
                        <w:rPr>
                          <w:rFonts w:ascii="Cambria Math" w:hAnsi="Cambria Math"/>
                        </w:rPr>
                        <m:t>0</m:t>
                      </m:r>
                    </m:sub>
                  </m:sSub>
                </m:num>
                <m:den>
                  <m:sSub>
                    <m:sSubPr>
                      <m:ctrlPr>
                        <w:rPr>
                          <w:rFonts w:ascii="Cambria Math" w:hAnsi="Cambria Math"/>
                        </w:rPr>
                      </m:ctrlPr>
                    </m:sSubPr>
                    <m:e>
                      <m:r>
                        <w:rPr>
                          <w:rFonts w:ascii="Cambria Math" w:hAnsi="Cambria Math"/>
                        </w:rPr>
                        <m:t>D</m:t>
                      </m:r>
                    </m:e>
                    <m:sub>
                      <m:r>
                        <w:rPr>
                          <w:rFonts w:ascii="Cambria Math" w:hAnsi="Cambria Math"/>
                        </w:rPr>
                        <m:t>k</m:t>
                      </m:r>
                    </m:sub>
                  </m:sSub>
                </m:den>
              </m:f>
              <m:r>
                <w:rPr>
                  <w:rFonts w:ascii="Cambria Math" w:hAnsi="Cambria Math"/>
                </w:rPr>
                <m:t>+</m:t>
              </m:r>
              <m:sSub>
                <m:sSubPr>
                  <m:ctrlPr>
                    <w:rPr>
                      <w:rFonts w:ascii="Cambria Math" w:hAnsi="Cambria Math"/>
                    </w:rPr>
                  </m:ctrlPr>
                </m:sSubPr>
                <m:e>
                  <m:r>
                    <w:rPr>
                      <w:rFonts w:ascii="Cambria Math" w:hAnsi="Cambria Math"/>
                    </w:rPr>
                    <m:t>β</m:t>
                  </m:r>
                </m:e>
                <m:sub>
                  <m:r>
                    <w:rPr>
                      <w:rFonts w:ascii="Cambria Math" w:hAnsi="Cambria Math"/>
                    </w:rPr>
                    <m:t>j</m:t>
                  </m:r>
                </m:sub>
              </m:sSub>
              <m: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CPI</m:t>
                      </m:r>
                    </m:e>
                    <m:sub>
                      <m:r>
                        <w:rPr>
                          <w:rFonts w:ascii="Cambria Math" w:hAnsi="Cambria Math"/>
                        </w:rPr>
                        <m:t>k</m:t>
                      </m:r>
                    </m:sub>
                  </m:sSub>
                </m:num>
                <m:den>
                  <m:sSub>
                    <m:sSubPr>
                      <m:ctrlPr>
                        <w:rPr>
                          <w:rFonts w:ascii="Cambria Math" w:hAnsi="Cambria Math"/>
                        </w:rPr>
                      </m:ctrlPr>
                    </m:sSubPr>
                    <m:e>
                      <m:r>
                        <w:rPr>
                          <w:rFonts w:ascii="Cambria Math" w:hAnsi="Cambria Math"/>
                        </w:rPr>
                        <m:t>CPI</m:t>
                      </m:r>
                    </m:e>
                    <m:sub>
                      <m:r>
                        <w:rPr>
                          <w:rFonts w:ascii="Cambria Math" w:hAnsi="Cambria Math"/>
                        </w:rPr>
                        <m:t>0</m:t>
                      </m:r>
                    </m:sub>
                  </m:sSub>
                </m:den>
              </m:f>
              <m:r>
                <w:rPr>
                  <w:rFonts w:ascii="Cambria Math" w:hAnsi="Cambria Math"/>
                </w:rPr>
                <m:t>∙</m:t>
              </m:r>
              <m:f>
                <m:fPr>
                  <m:ctrlPr>
                    <w:rPr>
                      <w:rFonts w:ascii="Cambria Math" w:hAnsi="Cambria Math"/>
                    </w:rPr>
                  </m:ctrlPr>
                </m:fPr>
                <m:num>
                  <m:d>
                    <m:dPr>
                      <m:ctrlPr>
                        <w:rPr>
                          <w:rFonts w:ascii="Cambria Math" w:hAnsi="Cambria Math"/>
                        </w:rPr>
                      </m:ctrlPr>
                    </m:dPr>
                    <m:e>
                      <m:r>
                        <w:rPr>
                          <w:rFonts w:ascii="Cambria Math" w:hAnsi="Cambria Math"/>
                        </w:rPr>
                        <m:t>1+</m:t>
                      </m:r>
                      <m:sSub>
                        <m:sSubPr>
                          <m:ctrlPr>
                            <w:rPr>
                              <w:rFonts w:ascii="Cambria Math" w:hAnsi="Cambria Math"/>
                            </w:rPr>
                          </m:ctrlPr>
                        </m:sSubPr>
                        <m:e>
                          <m:r>
                            <w:rPr>
                              <w:rFonts w:ascii="Cambria Math" w:hAnsi="Cambria Math"/>
                            </w:rPr>
                            <m:t>Ta</m:t>
                          </m:r>
                        </m:e>
                        <m:sub>
                          <m:r>
                            <w:rPr>
                              <w:rFonts w:ascii="Cambria Math" w:hAnsi="Cambria Math"/>
                            </w:rPr>
                            <m:t>k</m:t>
                          </m:r>
                        </m:sub>
                      </m:sSub>
                    </m:e>
                  </m:d>
                </m:num>
                <m:den>
                  <m:d>
                    <m:dPr>
                      <m:ctrlPr>
                        <w:rPr>
                          <w:rFonts w:ascii="Cambria Math" w:hAnsi="Cambria Math"/>
                        </w:rPr>
                      </m:ctrlPr>
                    </m:dPr>
                    <m:e>
                      <m:r>
                        <w:rPr>
                          <w:rFonts w:ascii="Cambria Math" w:hAnsi="Cambria Math"/>
                        </w:rPr>
                        <m:t>1+</m:t>
                      </m:r>
                      <m:sSub>
                        <m:sSubPr>
                          <m:ctrlPr>
                            <w:rPr>
                              <w:rFonts w:ascii="Cambria Math" w:hAnsi="Cambria Math"/>
                            </w:rPr>
                          </m:ctrlPr>
                        </m:sSubPr>
                        <m:e>
                          <m:r>
                            <w:rPr>
                              <w:rFonts w:ascii="Cambria Math" w:hAnsi="Cambria Math"/>
                            </w:rPr>
                            <m:t>Ta</m:t>
                          </m:r>
                        </m:e>
                        <m:sub>
                          <m:r>
                            <w:rPr>
                              <w:rFonts w:ascii="Cambria Math" w:hAnsi="Cambria Math"/>
                            </w:rPr>
                            <m:t>0</m:t>
                          </m:r>
                        </m:sub>
                      </m:sSub>
                    </m:e>
                  </m:d>
                </m:den>
              </m:f>
            </m:e>
          </m:d>
          <m:r>
            <w:rPr>
              <w:rFonts w:ascii="Cambria Math" w:hAnsi="Cambria Math"/>
            </w:rPr>
            <m:t>+</m:t>
          </m:r>
          <m:sSub>
            <m:sSubPr>
              <m:ctrlPr>
                <w:rPr>
                  <w:rFonts w:ascii="Cambria Math" w:hAnsi="Cambria Math"/>
                </w:rPr>
              </m:ctrlPr>
            </m:sSubPr>
            <m:e>
              <m:r>
                <w:rPr>
                  <w:rFonts w:ascii="Cambria Math" w:hAnsi="Cambria Math"/>
                </w:rPr>
                <m:t>COMA</m:t>
              </m:r>
            </m:e>
            <m:sub>
              <m:r>
                <w:rPr>
                  <w:rFonts w:ascii="Cambria Math" w:hAnsi="Cambria Math"/>
                </w:rPr>
                <m:t>n,0</m:t>
              </m:r>
            </m:sub>
          </m:sSub>
          <m: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IPC</m:t>
                  </m:r>
                </m:e>
                <m:sub>
                  <m:r>
                    <w:rPr>
                      <w:rFonts w:ascii="Cambria Math" w:hAnsi="Cambria Math"/>
                    </w:rPr>
                    <m:t>k</m:t>
                  </m:r>
                </m:sub>
              </m:sSub>
            </m:num>
            <m:den>
              <m:sSub>
                <m:sSubPr>
                  <m:ctrlPr>
                    <w:rPr>
                      <w:rFonts w:ascii="Cambria Math" w:hAnsi="Cambria Math"/>
                    </w:rPr>
                  </m:ctrlPr>
                </m:sSubPr>
                <m:e>
                  <m:r>
                    <w:rPr>
                      <w:rFonts w:ascii="Cambria Math" w:hAnsi="Cambria Math"/>
                    </w:rPr>
                    <m:t>IPC</m:t>
                  </m:r>
                </m:e>
                <m:sub>
                  <m:r>
                    <w:rPr>
                      <w:rFonts w:ascii="Cambria Math" w:hAnsi="Cambria Math"/>
                    </w:rPr>
                    <m:t>0</m:t>
                  </m:r>
                </m:sub>
              </m:sSub>
            </m:den>
          </m:f>
          <m: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D</m:t>
                  </m:r>
                </m:e>
                <m:sub>
                  <m:r>
                    <w:rPr>
                      <w:rFonts w:ascii="Cambria Math" w:hAnsi="Cambria Math"/>
                    </w:rPr>
                    <m:t>0</m:t>
                  </m:r>
                </m:sub>
              </m:sSub>
            </m:num>
            <m:den>
              <m:sSub>
                <m:sSubPr>
                  <m:ctrlPr>
                    <w:rPr>
                      <w:rFonts w:ascii="Cambria Math" w:hAnsi="Cambria Math"/>
                    </w:rPr>
                  </m:ctrlPr>
                </m:sSubPr>
                <m:e>
                  <m:r>
                    <w:rPr>
                      <w:rFonts w:ascii="Cambria Math" w:hAnsi="Cambria Math"/>
                    </w:rPr>
                    <m:t>D</m:t>
                  </m:r>
                </m:e>
                <m:sub>
                  <m:r>
                    <w:rPr>
                      <w:rFonts w:ascii="Cambria Math" w:hAnsi="Cambria Math"/>
                    </w:rPr>
                    <m:t>k</m:t>
                  </m:r>
                </m:sub>
              </m:sSub>
            </m:den>
          </m:f>
        </m:oMath>
      </m:oMathPara>
    </w:p>
    <w:p w14:paraId="19C1512C" w14:textId="333EF870" w:rsidR="00084018" w:rsidRPr="00C636E3" w:rsidRDefault="00872C78" w:rsidP="00084018">
      <w:pPr>
        <w:jc w:val="center"/>
      </w:pPr>
      <m:oMathPara>
        <m:oMath>
          <m:r>
            <w:rPr>
              <w:rFonts w:ascii="Cambria Math" w:hAnsi="Cambria Math"/>
            </w:rPr>
            <m:t>+AEI</m:t>
          </m:r>
          <m:sSub>
            <m:sSubPr>
              <m:ctrlPr>
                <w:rPr>
                  <w:rFonts w:ascii="Cambria Math" w:hAnsi="Cambria Math"/>
                  <w:i/>
                </w:rPr>
              </m:ctrlPr>
            </m:sSubPr>
            <m:e>
              <m:r>
                <w:rPr>
                  <w:rFonts w:ascii="Cambria Math" w:hAnsi="Cambria Math"/>
                </w:rPr>
                <m:t>R</m:t>
              </m:r>
            </m:e>
            <m:sub>
              <m:r>
                <w:rPr>
                  <w:rFonts w:ascii="Cambria Math" w:hAnsi="Cambria Math"/>
                </w:rPr>
                <m:t>n,0</m:t>
              </m:r>
            </m:sub>
          </m:sSub>
          <m:r>
            <w:rPr>
              <w:rFonts w:ascii="Cambria Math" w:hAnsi="Cambria Math"/>
            </w:rPr>
            <m:t>∙</m:t>
          </m:r>
          <m:d>
            <m:dPr>
              <m:ctrlPr>
                <w:rPr>
                  <w:rFonts w:ascii="Cambria Math" w:hAnsi="Cambria Math"/>
                </w:rPr>
              </m:ctrlPr>
            </m:dPr>
            <m:e>
              <m:sSub>
                <m:sSubPr>
                  <m:ctrlPr>
                    <w:rPr>
                      <w:rFonts w:ascii="Cambria Math" w:hAnsi="Cambria Math"/>
                    </w:rPr>
                  </m:ctrlPr>
                </m:sSubPr>
                <m:e>
                  <m:r>
                    <w:rPr>
                      <w:rFonts w:ascii="Cambria Math" w:hAnsi="Cambria Math"/>
                    </w:rPr>
                    <m:t>γ</m:t>
                  </m:r>
                </m:e>
                <m:sub>
                  <m:r>
                    <w:rPr>
                      <w:rFonts w:ascii="Cambria Math" w:hAnsi="Cambria Math"/>
                    </w:rPr>
                    <m:t>j</m:t>
                  </m:r>
                </m:sub>
              </m:sSub>
              <m: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IPC</m:t>
                      </m:r>
                    </m:e>
                    <m:sub>
                      <m:r>
                        <w:rPr>
                          <w:rFonts w:ascii="Cambria Math" w:hAnsi="Cambria Math"/>
                        </w:rPr>
                        <m:t>k</m:t>
                      </m:r>
                    </m:sub>
                  </m:sSub>
                </m:num>
                <m:den>
                  <m:sSub>
                    <m:sSubPr>
                      <m:ctrlPr>
                        <w:rPr>
                          <w:rFonts w:ascii="Cambria Math" w:hAnsi="Cambria Math"/>
                        </w:rPr>
                      </m:ctrlPr>
                    </m:sSubPr>
                    <m:e>
                      <m:r>
                        <w:rPr>
                          <w:rFonts w:ascii="Cambria Math" w:hAnsi="Cambria Math"/>
                        </w:rPr>
                        <m:t>IPC</m:t>
                      </m:r>
                    </m:e>
                    <m:sub>
                      <m:r>
                        <w:rPr>
                          <w:rFonts w:ascii="Cambria Math" w:hAnsi="Cambria Math"/>
                        </w:rPr>
                        <m:t>0</m:t>
                      </m:r>
                    </m:sub>
                  </m:sSub>
                </m:den>
              </m:f>
              <m: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D</m:t>
                      </m:r>
                    </m:e>
                    <m:sub>
                      <m:r>
                        <w:rPr>
                          <w:rFonts w:ascii="Cambria Math" w:hAnsi="Cambria Math"/>
                        </w:rPr>
                        <m:t>0</m:t>
                      </m:r>
                    </m:sub>
                  </m:sSub>
                </m:num>
                <m:den>
                  <m:sSub>
                    <m:sSubPr>
                      <m:ctrlPr>
                        <w:rPr>
                          <w:rFonts w:ascii="Cambria Math" w:hAnsi="Cambria Math"/>
                        </w:rPr>
                      </m:ctrlPr>
                    </m:sSubPr>
                    <m:e>
                      <m:r>
                        <w:rPr>
                          <w:rFonts w:ascii="Cambria Math" w:hAnsi="Cambria Math"/>
                        </w:rPr>
                        <m:t>D</m:t>
                      </m:r>
                    </m:e>
                    <m:sub>
                      <m:r>
                        <w:rPr>
                          <w:rFonts w:ascii="Cambria Math" w:hAnsi="Cambria Math"/>
                        </w:rPr>
                        <m:t>k</m:t>
                      </m:r>
                    </m:sub>
                  </m:sSub>
                </m:den>
              </m:f>
              <m:r>
                <w:rPr>
                  <w:rFonts w:ascii="Cambria Math" w:hAnsi="Cambria Math"/>
                </w:rPr>
                <m:t>+</m:t>
              </m:r>
              <m:sSub>
                <m:sSubPr>
                  <m:ctrlPr>
                    <w:rPr>
                      <w:rFonts w:ascii="Cambria Math" w:hAnsi="Cambria Math"/>
                    </w:rPr>
                  </m:ctrlPr>
                </m:sSubPr>
                <m:e>
                  <m:r>
                    <w:rPr>
                      <w:rFonts w:ascii="Cambria Math" w:hAnsi="Cambria Math"/>
                    </w:rPr>
                    <m:t>δ</m:t>
                  </m:r>
                </m:e>
                <m:sub>
                  <m:r>
                    <w:rPr>
                      <w:rFonts w:ascii="Cambria Math" w:hAnsi="Cambria Math"/>
                    </w:rPr>
                    <m:t>j</m:t>
                  </m:r>
                </m:sub>
              </m:sSub>
              <m: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CPI</m:t>
                      </m:r>
                    </m:e>
                    <m:sub>
                      <m:r>
                        <w:rPr>
                          <w:rFonts w:ascii="Cambria Math" w:hAnsi="Cambria Math"/>
                        </w:rPr>
                        <m:t>k</m:t>
                      </m:r>
                    </m:sub>
                  </m:sSub>
                </m:num>
                <m:den>
                  <m:sSub>
                    <m:sSubPr>
                      <m:ctrlPr>
                        <w:rPr>
                          <w:rFonts w:ascii="Cambria Math" w:hAnsi="Cambria Math"/>
                        </w:rPr>
                      </m:ctrlPr>
                    </m:sSubPr>
                    <m:e>
                      <m:r>
                        <w:rPr>
                          <w:rFonts w:ascii="Cambria Math" w:hAnsi="Cambria Math"/>
                        </w:rPr>
                        <m:t>CPI</m:t>
                      </m:r>
                    </m:e>
                    <m:sub>
                      <m:r>
                        <w:rPr>
                          <w:rFonts w:ascii="Cambria Math" w:hAnsi="Cambria Math"/>
                        </w:rPr>
                        <m:t>0</m:t>
                      </m:r>
                    </m:sub>
                  </m:sSub>
                </m:den>
              </m:f>
              <m:r>
                <w:rPr>
                  <w:rFonts w:ascii="Cambria Math" w:hAnsi="Cambria Math"/>
                </w:rPr>
                <m:t>∙</m:t>
              </m:r>
              <m:f>
                <m:fPr>
                  <m:ctrlPr>
                    <w:rPr>
                      <w:rFonts w:ascii="Cambria Math" w:hAnsi="Cambria Math"/>
                    </w:rPr>
                  </m:ctrlPr>
                </m:fPr>
                <m:num>
                  <m:d>
                    <m:dPr>
                      <m:ctrlPr>
                        <w:rPr>
                          <w:rFonts w:ascii="Cambria Math" w:hAnsi="Cambria Math"/>
                        </w:rPr>
                      </m:ctrlPr>
                    </m:dPr>
                    <m:e>
                      <m:r>
                        <w:rPr>
                          <w:rFonts w:ascii="Cambria Math" w:hAnsi="Cambria Math"/>
                        </w:rPr>
                        <m:t>1+</m:t>
                      </m:r>
                      <m:sSub>
                        <m:sSubPr>
                          <m:ctrlPr>
                            <w:rPr>
                              <w:rFonts w:ascii="Cambria Math" w:hAnsi="Cambria Math"/>
                            </w:rPr>
                          </m:ctrlPr>
                        </m:sSubPr>
                        <m:e>
                          <m:r>
                            <w:rPr>
                              <w:rFonts w:ascii="Cambria Math" w:hAnsi="Cambria Math"/>
                            </w:rPr>
                            <m:t>Ta</m:t>
                          </m:r>
                        </m:e>
                        <m:sub>
                          <m:r>
                            <w:rPr>
                              <w:rFonts w:ascii="Cambria Math" w:hAnsi="Cambria Math"/>
                            </w:rPr>
                            <m:t>k</m:t>
                          </m:r>
                        </m:sub>
                      </m:sSub>
                    </m:e>
                  </m:d>
                </m:num>
                <m:den>
                  <m:d>
                    <m:dPr>
                      <m:ctrlPr>
                        <w:rPr>
                          <w:rFonts w:ascii="Cambria Math" w:hAnsi="Cambria Math"/>
                        </w:rPr>
                      </m:ctrlPr>
                    </m:dPr>
                    <m:e>
                      <m:r>
                        <w:rPr>
                          <w:rFonts w:ascii="Cambria Math" w:hAnsi="Cambria Math"/>
                        </w:rPr>
                        <m:t>1+</m:t>
                      </m:r>
                      <m:sSub>
                        <m:sSubPr>
                          <m:ctrlPr>
                            <w:rPr>
                              <w:rFonts w:ascii="Cambria Math" w:hAnsi="Cambria Math"/>
                            </w:rPr>
                          </m:ctrlPr>
                        </m:sSubPr>
                        <m:e>
                          <m:r>
                            <w:rPr>
                              <w:rFonts w:ascii="Cambria Math" w:hAnsi="Cambria Math"/>
                            </w:rPr>
                            <m:t>Ta</m:t>
                          </m:r>
                        </m:e>
                        <m:sub>
                          <m:r>
                            <w:rPr>
                              <w:rFonts w:ascii="Cambria Math" w:hAnsi="Cambria Math"/>
                            </w:rPr>
                            <m:t>0</m:t>
                          </m:r>
                        </m:sub>
                      </m:sSub>
                    </m:e>
                  </m:d>
                </m:den>
              </m:f>
            </m:e>
          </m:d>
          <m: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t</m:t>
                  </m:r>
                </m:e>
                <m:sub>
                  <m:r>
                    <w:rPr>
                      <w:rFonts w:ascii="Cambria Math" w:hAnsi="Cambria Math"/>
                    </w:rPr>
                    <m:t>k</m:t>
                  </m:r>
                </m:sub>
              </m:sSub>
            </m:num>
            <m:den>
              <m:sSub>
                <m:sSubPr>
                  <m:ctrlPr>
                    <w:rPr>
                      <w:rFonts w:ascii="Cambria Math" w:hAnsi="Cambria Math"/>
                    </w:rPr>
                  </m:ctrlPr>
                </m:sSubPr>
                <m:e>
                  <m:r>
                    <w:rPr>
                      <w:rFonts w:ascii="Cambria Math" w:hAnsi="Cambria Math"/>
                    </w:rPr>
                    <m:t>t</m:t>
                  </m:r>
                </m:e>
                <m:sub>
                  <m:r>
                    <w:rPr>
                      <w:rFonts w:ascii="Cambria Math" w:hAnsi="Cambria Math"/>
                    </w:rPr>
                    <m:t>0</m:t>
                  </m:r>
                </m:sub>
              </m:sSub>
            </m:den>
          </m:f>
          <m:r>
            <w:rPr>
              <w:rFonts w:ascii="Cambria Math" w:hAnsi="Cambria Math"/>
            </w:rPr>
            <m:t>∙</m:t>
          </m:r>
          <m:f>
            <m:fPr>
              <m:ctrlPr>
                <w:rPr>
                  <w:rFonts w:ascii="Cambria Math" w:hAnsi="Cambria Math"/>
                </w:rPr>
              </m:ctrlPr>
            </m:fPr>
            <m:num>
              <m:r>
                <w:rPr>
                  <w:rFonts w:ascii="Cambria Math" w:hAnsi="Cambria Math"/>
                </w:rPr>
                <m:t>1-</m:t>
              </m:r>
              <m:sSub>
                <m:sSubPr>
                  <m:ctrlPr>
                    <w:rPr>
                      <w:rFonts w:ascii="Cambria Math" w:hAnsi="Cambria Math"/>
                    </w:rPr>
                  </m:ctrlPr>
                </m:sSubPr>
                <m:e>
                  <m:r>
                    <w:rPr>
                      <w:rFonts w:ascii="Cambria Math" w:hAnsi="Cambria Math"/>
                    </w:rPr>
                    <m:t>t</m:t>
                  </m:r>
                </m:e>
                <m:sub>
                  <m:r>
                    <w:rPr>
                      <w:rFonts w:ascii="Cambria Math" w:hAnsi="Cambria Math"/>
                    </w:rPr>
                    <m:t>0</m:t>
                  </m:r>
                </m:sub>
              </m:sSub>
            </m:num>
            <m:den>
              <m:r>
                <w:rPr>
                  <w:rFonts w:ascii="Cambria Math" w:hAnsi="Cambria Math"/>
                </w:rPr>
                <m:t>1-</m:t>
              </m:r>
              <m:sSub>
                <m:sSubPr>
                  <m:ctrlPr>
                    <w:rPr>
                      <w:rFonts w:ascii="Cambria Math" w:hAnsi="Cambria Math"/>
                    </w:rPr>
                  </m:ctrlPr>
                </m:sSubPr>
                <m:e>
                  <m:r>
                    <w:rPr>
                      <w:rFonts w:ascii="Cambria Math" w:hAnsi="Cambria Math"/>
                    </w:rPr>
                    <m:t>t</m:t>
                  </m:r>
                </m:e>
                <m:sub>
                  <m:r>
                    <w:rPr>
                      <w:rFonts w:ascii="Cambria Math" w:hAnsi="Cambria Math"/>
                    </w:rPr>
                    <m:t>k</m:t>
                  </m:r>
                </m:sub>
              </m:sSub>
            </m:den>
          </m:f>
        </m:oMath>
      </m:oMathPara>
    </w:p>
    <w:p w14:paraId="2853D4EF" w14:textId="0AC43A9B" w:rsidR="00084018" w:rsidRDefault="006A5733" w:rsidP="00084018">
      <w:r>
        <w:t>Donde</w:t>
      </w:r>
    </w:p>
    <w:tbl>
      <w:tblPr>
        <w:tblW w:w="9550" w:type="dxa"/>
        <w:tblCellMar>
          <w:left w:w="57" w:type="dxa"/>
          <w:right w:w="57" w:type="dxa"/>
        </w:tblCellMar>
        <w:tblLook w:val="04A0" w:firstRow="1" w:lastRow="0" w:firstColumn="1" w:lastColumn="0" w:noHBand="0" w:noVBand="1"/>
      </w:tblPr>
      <w:tblGrid>
        <w:gridCol w:w="1214"/>
        <w:gridCol w:w="179"/>
        <w:gridCol w:w="8157"/>
      </w:tblGrid>
      <w:tr w:rsidR="00872C78" w:rsidRPr="002C2818" w14:paraId="6F00D244" w14:textId="77777777" w:rsidTr="00872C78">
        <w:tc>
          <w:tcPr>
            <w:tcW w:w="0" w:type="auto"/>
            <w:shd w:val="clear" w:color="auto" w:fill="auto"/>
          </w:tcPr>
          <w:p w14:paraId="763344B9" w14:textId="0816145D" w:rsidR="00872C78" w:rsidRPr="002D4B20" w:rsidRDefault="0088072F" w:rsidP="00010A03">
            <w:pPr>
              <w:spacing w:line="240" w:lineRule="auto"/>
              <w:jc w:val="left"/>
            </w:pPr>
            <m:oMathPara>
              <m:oMathParaPr>
                <m:jc m:val="left"/>
              </m:oMathParaPr>
              <m:oMath>
                <m:sSub>
                  <m:sSubPr>
                    <m:ctrlPr>
                      <w:rPr>
                        <w:rFonts w:ascii="Cambria Math" w:hAnsi="Cambria Math"/>
                      </w:rPr>
                    </m:ctrlPr>
                  </m:sSubPr>
                  <m:e>
                    <m:r>
                      <w:rPr>
                        <w:rFonts w:ascii="Cambria Math" w:hAnsi="Cambria Math"/>
                      </w:rPr>
                      <m:t>VATT</m:t>
                    </m:r>
                  </m:e>
                  <m:sub>
                    <m:r>
                      <w:rPr>
                        <w:rFonts w:ascii="Cambria Math" w:hAnsi="Cambria Math"/>
                      </w:rPr>
                      <m:t>n,k</m:t>
                    </m:r>
                  </m:sub>
                </m:sSub>
              </m:oMath>
            </m:oMathPara>
          </w:p>
        </w:tc>
        <w:tc>
          <w:tcPr>
            <w:tcW w:w="179" w:type="dxa"/>
          </w:tcPr>
          <w:p w14:paraId="27E0597B" w14:textId="77777777" w:rsidR="00872C78" w:rsidRPr="002C2818" w:rsidRDefault="00872C78" w:rsidP="00010A03">
            <w:pPr>
              <w:spacing w:line="240" w:lineRule="auto"/>
            </w:pPr>
            <w:r>
              <w:t>:</w:t>
            </w:r>
          </w:p>
        </w:tc>
        <w:tc>
          <w:tcPr>
            <w:tcW w:w="8617" w:type="dxa"/>
          </w:tcPr>
          <w:p w14:paraId="287749E7" w14:textId="345CCD69" w:rsidR="00872C78" w:rsidRPr="002C2818" w:rsidRDefault="00872C78" w:rsidP="00010A03">
            <w:pPr>
              <w:spacing w:line="240" w:lineRule="auto"/>
            </w:pPr>
            <w:r w:rsidRPr="004E31A7">
              <w:t xml:space="preserve">Valor del A.V.I. + C.O.M.A. + A.E.I.R. del tramo </w:t>
            </w:r>
            <m:oMath>
              <m:r>
                <w:rPr>
                  <w:rFonts w:ascii="Cambria Math" w:hAnsi="Cambria Math"/>
                </w:rPr>
                <m:t>n</m:t>
              </m:r>
            </m:oMath>
            <w:r w:rsidRPr="004E31A7">
              <w:t xml:space="preserve"> en el mes </w:t>
            </w:r>
            <m:oMath>
              <m:r>
                <w:rPr>
                  <w:rFonts w:ascii="Cambria Math" w:hAnsi="Cambria Math"/>
                </w:rPr>
                <m:t>k</m:t>
              </m:r>
            </m:oMath>
            <w:r w:rsidRPr="004E31A7">
              <w:t>, en dólares.</w:t>
            </w:r>
          </w:p>
        </w:tc>
      </w:tr>
      <w:tr w:rsidR="00872C78" w:rsidRPr="002C2818" w14:paraId="404D0B36" w14:textId="77777777" w:rsidTr="00872C78">
        <w:tc>
          <w:tcPr>
            <w:tcW w:w="0" w:type="auto"/>
            <w:shd w:val="clear" w:color="auto" w:fill="auto"/>
          </w:tcPr>
          <w:p w14:paraId="0D8F7A9C" w14:textId="6B535FB7" w:rsidR="00872C78" w:rsidRPr="002D4B20" w:rsidRDefault="0088072F" w:rsidP="00010A03">
            <w:pPr>
              <w:spacing w:line="240" w:lineRule="auto"/>
              <w:jc w:val="left"/>
            </w:pPr>
            <m:oMathPara>
              <m:oMathParaPr>
                <m:jc m:val="left"/>
              </m:oMathParaPr>
              <m:oMath>
                <m:sSub>
                  <m:sSubPr>
                    <m:ctrlPr>
                      <w:rPr>
                        <w:rFonts w:ascii="Cambria Math" w:hAnsi="Cambria Math"/>
                      </w:rPr>
                    </m:ctrlPr>
                  </m:sSubPr>
                  <m:e>
                    <m:r>
                      <w:rPr>
                        <w:rFonts w:ascii="Cambria Math" w:hAnsi="Cambria Math"/>
                      </w:rPr>
                      <m:t>AVI</m:t>
                    </m:r>
                  </m:e>
                  <m:sub>
                    <m:r>
                      <w:rPr>
                        <w:rFonts w:ascii="Cambria Math" w:hAnsi="Cambria Math"/>
                      </w:rPr>
                      <m:t>n,0</m:t>
                    </m:r>
                  </m:sub>
                </m:sSub>
              </m:oMath>
            </m:oMathPara>
          </w:p>
        </w:tc>
        <w:tc>
          <w:tcPr>
            <w:tcW w:w="179" w:type="dxa"/>
          </w:tcPr>
          <w:p w14:paraId="545F688B" w14:textId="77777777" w:rsidR="00872C78" w:rsidRPr="002C2818" w:rsidRDefault="00872C78" w:rsidP="00010A03">
            <w:pPr>
              <w:spacing w:line="240" w:lineRule="auto"/>
            </w:pPr>
            <w:r>
              <w:t>:</w:t>
            </w:r>
          </w:p>
        </w:tc>
        <w:tc>
          <w:tcPr>
            <w:tcW w:w="8617" w:type="dxa"/>
          </w:tcPr>
          <w:p w14:paraId="4F35EE7C" w14:textId="2FF02AF8" w:rsidR="00872C78" w:rsidRPr="002C2818" w:rsidRDefault="00872C78" w:rsidP="00010A03">
            <w:pPr>
              <w:spacing w:line="240" w:lineRule="auto"/>
            </w:pPr>
            <w:r w:rsidRPr="004E31A7">
              <w:t xml:space="preserve">Valor del A.V.I. del tramo </w:t>
            </w:r>
            <m:oMath>
              <m:r>
                <w:rPr>
                  <w:rFonts w:ascii="Cambria Math" w:hAnsi="Cambria Math"/>
                </w:rPr>
                <m:t>n</m:t>
              </m:r>
            </m:oMath>
            <w:r w:rsidRPr="004E31A7">
              <w:t xml:space="preserve"> en la fecha de referencia de los Estudios, en dólares.</w:t>
            </w:r>
          </w:p>
        </w:tc>
      </w:tr>
      <w:tr w:rsidR="00872C78" w:rsidRPr="002C2818" w14:paraId="2BC5371A" w14:textId="77777777" w:rsidTr="00872C78">
        <w:tc>
          <w:tcPr>
            <w:tcW w:w="0" w:type="auto"/>
            <w:shd w:val="clear" w:color="auto" w:fill="auto"/>
          </w:tcPr>
          <w:p w14:paraId="66B3F0E7" w14:textId="52A19468" w:rsidR="00872C78" w:rsidRPr="000E4E9A" w:rsidRDefault="0088072F" w:rsidP="00010A03">
            <w:pPr>
              <w:spacing w:line="240" w:lineRule="auto"/>
              <w:jc w:val="left"/>
            </w:pPr>
            <m:oMathPara>
              <m:oMathParaPr>
                <m:jc m:val="left"/>
              </m:oMathParaPr>
              <m:oMath>
                <m:sSub>
                  <m:sSubPr>
                    <m:ctrlPr>
                      <w:rPr>
                        <w:rFonts w:ascii="Cambria Math" w:hAnsi="Cambria Math"/>
                      </w:rPr>
                    </m:ctrlPr>
                  </m:sSubPr>
                  <m:e>
                    <m:r>
                      <w:rPr>
                        <w:rFonts w:ascii="Cambria Math" w:hAnsi="Cambria Math"/>
                      </w:rPr>
                      <m:t>COMA</m:t>
                    </m:r>
                  </m:e>
                  <m:sub>
                    <m:r>
                      <w:rPr>
                        <w:rFonts w:ascii="Cambria Math" w:hAnsi="Cambria Math"/>
                      </w:rPr>
                      <m:t>n,0</m:t>
                    </m:r>
                  </m:sub>
                </m:sSub>
              </m:oMath>
            </m:oMathPara>
          </w:p>
        </w:tc>
        <w:tc>
          <w:tcPr>
            <w:tcW w:w="179" w:type="dxa"/>
          </w:tcPr>
          <w:p w14:paraId="202DC967" w14:textId="77777777" w:rsidR="00872C78" w:rsidRDefault="00872C78" w:rsidP="00010A03">
            <w:pPr>
              <w:spacing w:line="240" w:lineRule="auto"/>
            </w:pPr>
            <w:r>
              <w:t>:</w:t>
            </w:r>
          </w:p>
        </w:tc>
        <w:tc>
          <w:tcPr>
            <w:tcW w:w="8617" w:type="dxa"/>
          </w:tcPr>
          <w:p w14:paraId="32A2B9A8" w14:textId="22D77059" w:rsidR="00872C78" w:rsidRPr="002C2818" w:rsidRDefault="00872C78" w:rsidP="00010A03">
            <w:pPr>
              <w:spacing w:line="240" w:lineRule="auto"/>
            </w:pPr>
            <w:r w:rsidRPr="004E31A7">
              <w:t xml:space="preserve">Valor del C.O.M.A. del tramo </w:t>
            </w:r>
            <m:oMath>
              <m:r>
                <w:rPr>
                  <w:rFonts w:ascii="Cambria Math" w:hAnsi="Cambria Math"/>
                </w:rPr>
                <m:t>n</m:t>
              </m:r>
            </m:oMath>
            <w:r w:rsidRPr="004E31A7">
              <w:t xml:space="preserve"> en la fecha de referencia de los Estudios, en dólares.</w:t>
            </w:r>
          </w:p>
        </w:tc>
      </w:tr>
      <w:tr w:rsidR="00872C78" w:rsidRPr="002C2818" w14:paraId="42EC7159" w14:textId="77777777" w:rsidTr="00872C78">
        <w:tc>
          <w:tcPr>
            <w:tcW w:w="0" w:type="auto"/>
            <w:shd w:val="clear" w:color="auto" w:fill="auto"/>
          </w:tcPr>
          <w:p w14:paraId="7637CB32" w14:textId="3114F2D4" w:rsidR="00872C78" w:rsidRPr="00872C78" w:rsidRDefault="0088072F" w:rsidP="00010A03">
            <w:pPr>
              <w:spacing w:line="240" w:lineRule="auto"/>
              <w:jc w:val="left"/>
            </w:pPr>
            <m:oMathPara>
              <m:oMathParaPr>
                <m:jc m:val="left"/>
              </m:oMathParaPr>
              <m:oMath>
                <m:sSub>
                  <m:sSubPr>
                    <m:ctrlPr>
                      <w:rPr>
                        <w:rFonts w:ascii="Cambria Math" w:hAnsi="Cambria Math"/>
                      </w:rPr>
                    </m:ctrlPr>
                  </m:sSubPr>
                  <m:e>
                    <m:r>
                      <w:rPr>
                        <w:rFonts w:ascii="Cambria Math" w:hAnsi="Cambria Math"/>
                      </w:rPr>
                      <m:t>AEIR</m:t>
                    </m:r>
                  </m:e>
                  <m:sub>
                    <m:r>
                      <w:rPr>
                        <w:rFonts w:ascii="Cambria Math" w:hAnsi="Cambria Math"/>
                      </w:rPr>
                      <m:t>n,0</m:t>
                    </m:r>
                  </m:sub>
                </m:sSub>
              </m:oMath>
            </m:oMathPara>
          </w:p>
        </w:tc>
        <w:tc>
          <w:tcPr>
            <w:tcW w:w="179" w:type="dxa"/>
          </w:tcPr>
          <w:p w14:paraId="557B2217" w14:textId="64CDBFC8" w:rsidR="00872C78" w:rsidRDefault="00872C78" w:rsidP="00010A03">
            <w:pPr>
              <w:spacing w:line="240" w:lineRule="auto"/>
            </w:pPr>
            <w:r>
              <w:t>:</w:t>
            </w:r>
          </w:p>
        </w:tc>
        <w:tc>
          <w:tcPr>
            <w:tcW w:w="8617" w:type="dxa"/>
          </w:tcPr>
          <w:p w14:paraId="078873B5" w14:textId="07AEB49C" w:rsidR="00872C78" w:rsidRPr="002C2818" w:rsidRDefault="00872C78" w:rsidP="00010A03">
            <w:pPr>
              <w:spacing w:line="240" w:lineRule="auto"/>
            </w:pPr>
            <w:r w:rsidRPr="004E31A7">
              <w:t xml:space="preserve">Valor del A.E.I.R. del tramo </w:t>
            </w:r>
            <m:oMath>
              <m:r>
                <w:rPr>
                  <w:rFonts w:ascii="Cambria Math" w:hAnsi="Cambria Math"/>
                </w:rPr>
                <m:t>n</m:t>
              </m:r>
            </m:oMath>
            <w:r w:rsidRPr="004E31A7">
              <w:t xml:space="preserve"> en la fecha de referencia de </w:t>
            </w:r>
            <w:r w:rsidR="00822FF1">
              <w:t xml:space="preserve">los </w:t>
            </w:r>
            <w:r w:rsidRPr="004E31A7">
              <w:t>Estudios, en dólares.</w:t>
            </w:r>
          </w:p>
        </w:tc>
      </w:tr>
      <w:tr w:rsidR="00872C78" w:rsidRPr="002C2818" w14:paraId="47562038" w14:textId="77777777" w:rsidTr="00872C78">
        <w:tc>
          <w:tcPr>
            <w:tcW w:w="0" w:type="auto"/>
            <w:shd w:val="clear" w:color="auto" w:fill="auto"/>
          </w:tcPr>
          <w:p w14:paraId="01F11702" w14:textId="73DE30CF" w:rsidR="00872C78" w:rsidRPr="00872C78" w:rsidRDefault="0088072F" w:rsidP="00010A03">
            <w:pPr>
              <w:spacing w:line="240" w:lineRule="auto"/>
              <w:jc w:val="left"/>
            </w:pPr>
            <m:oMathPara>
              <m:oMathParaPr>
                <m:jc m:val="left"/>
              </m:oMathParaPr>
              <m:oMath>
                <m:sSub>
                  <m:sSubPr>
                    <m:ctrlPr>
                      <w:rPr>
                        <w:rFonts w:ascii="Cambria Math" w:hAnsi="Cambria Math"/>
                      </w:rPr>
                    </m:ctrlPr>
                  </m:sSubPr>
                  <m:e>
                    <m:r>
                      <w:rPr>
                        <w:rFonts w:ascii="Cambria Math" w:hAnsi="Cambria Math"/>
                      </w:rPr>
                      <m:t>IPC</m:t>
                    </m:r>
                  </m:e>
                  <m:sub>
                    <m:r>
                      <w:rPr>
                        <w:rFonts w:ascii="Cambria Math" w:hAnsi="Cambria Math"/>
                      </w:rPr>
                      <m:t>k</m:t>
                    </m:r>
                  </m:sub>
                </m:sSub>
              </m:oMath>
            </m:oMathPara>
          </w:p>
        </w:tc>
        <w:tc>
          <w:tcPr>
            <w:tcW w:w="179" w:type="dxa"/>
          </w:tcPr>
          <w:p w14:paraId="190C597B" w14:textId="0C08BFAA" w:rsidR="00872C78" w:rsidRDefault="00872C78" w:rsidP="00010A03">
            <w:pPr>
              <w:spacing w:line="240" w:lineRule="auto"/>
            </w:pPr>
            <w:r>
              <w:t>:</w:t>
            </w:r>
          </w:p>
        </w:tc>
        <w:tc>
          <w:tcPr>
            <w:tcW w:w="8617" w:type="dxa"/>
          </w:tcPr>
          <w:p w14:paraId="53E33262" w14:textId="1B297F2D" w:rsidR="00872C78" w:rsidRPr="002C2818" w:rsidRDefault="00872C78" w:rsidP="00010A03">
            <w:pPr>
              <w:spacing w:line="240" w:lineRule="auto"/>
            </w:pPr>
            <w:r w:rsidRPr="004E31A7">
              <w:t xml:space="preserve">Valor del Índice de Precios al Consumidor en el segundo mes anterior al mes </w:t>
            </w:r>
            <m:oMath>
              <m:r>
                <w:rPr>
                  <w:rFonts w:ascii="Cambria Math" w:hAnsi="Cambria Math"/>
                </w:rPr>
                <m:t>k</m:t>
              </m:r>
            </m:oMath>
            <w:r w:rsidRPr="004E31A7">
              <w:t>, publicado por el Instituto Nacional de Estadísticas (INE).</w:t>
            </w:r>
          </w:p>
        </w:tc>
      </w:tr>
      <w:tr w:rsidR="00872C78" w:rsidRPr="002C2818" w14:paraId="68B61B9C" w14:textId="77777777" w:rsidTr="00872C78">
        <w:tc>
          <w:tcPr>
            <w:tcW w:w="0" w:type="auto"/>
            <w:shd w:val="clear" w:color="auto" w:fill="auto"/>
          </w:tcPr>
          <w:p w14:paraId="315F3621" w14:textId="587B200E" w:rsidR="00872C78" w:rsidRPr="00872C78" w:rsidRDefault="0088072F" w:rsidP="00010A03">
            <w:pPr>
              <w:spacing w:line="240" w:lineRule="auto"/>
              <w:jc w:val="left"/>
            </w:pPr>
            <m:oMathPara>
              <m:oMathParaPr>
                <m:jc m:val="left"/>
              </m:oMathParaPr>
              <m:oMath>
                <m:sSub>
                  <m:sSubPr>
                    <m:ctrlPr>
                      <w:rPr>
                        <w:rFonts w:ascii="Cambria Math" w:hAnsi="Cambria Math"/>
                      </w:rPr>
                    </m:ctrlPr>
                  </m:sSubPr>
                  <m:e>
                    <m:r>
                      <w:rPr>
                        <w:rFonts w:ascii="Cambria Math" w:hAnsi="Cambria Math"/>
                      </w:rPr>
                      <m:t>CPI</m:t>
                    </m:r>
                  </m:e>
                  <m:sub>
                    <m:r>
                      <w:rPr>
                        <w:rFonts w:ascii="Cambria Math" w:hAnsi="Cambria Math"/>
                      </w:rPr>
                      <m:t>k</m:t>
                    </m:r>
                  </m:sub>
                </m:sSub>
              </m:oMath>
            </m:oMathPara>
          </w:p>
        </w:tc>
        <w:tc>
          <w:tcPr>
            <w:tcW w:w="179" w:type="dxa"/>
          </w:tcPr>
          <w:p w14:paraId="2CAC5047" w14:textId="7E077D98" w:rsidR="00872C78" w:rsidRDefault="00872C78" w:rsidP="00010A03">
            <w:pPr>
              <w:spacing w:line="240" w:lineRule="auto"/>
            </w:pPr>
            <w:r>
              <w:t>:</w:t>
            </w:r>
          </w:p>
        </w:tc>
        <w:tc>
          <w:tcPr>
            <w:tcW w:w="8617" w:type="dxa"/>
          </w:tcPr>
          <w:p w14:paraId="739DF240" w14:textId="031F626D" w:rsidR="00872C78" w:rsidRPr="002C2818" w:rsidRDefault="00872C78" w:rsidP="00010A03">
            <w:pPr>
              <w:spacing w:line="240" w:lineRule="auto"/>
            </w:pPr>
            <w:r w:rsidRPr="004E31A7">
              <w:t xml:space="preserve">Valor del índice </w:t>
            </w:r>
            <w:r w:rsidRPr="00822FF1">
              <w:rPr>
                <w:i/>
              </w:rPr>
              <w:t>Consumer Price Index</w:t>
            </w:r>
            <w:r w:rsidRPr="004E31A7">
              <w:t xml:space="preserve"> (</w:t>
            </w:r>
            <w:r w:rsidRPr="00822FF1">
              <w:rPr>
                <w:i/>
              </w:rPr>
              <w:t>All Urban Consumers</w:t>
            </w:r>
            <w:r w:rsidRPr="004E31A7">
              <w:t xml:space="preserve">), en el segundo mes anterior al mes </w:t>
            </w:r>
            <m:oMath>
              <m:r>
                <w:rPr>
                  <w:rFonts w:ascii="Cambria Math" w:hAnsi="Cambria Math"/>
                </w:rPr>
                <m:t>k</m:t>
              </m:r>
            </m:oMath>
            <w:r w:rsidRPr="004E31A7">
              <w:t xml:space="preserve">, publicado por el </w:t>
            </w:r>
            <w:r w:rsidRPr="00822FF1">
              <w:rPr>
                <w:i/>
              </w:rPr>
              <w:t>Bureau of Labor Statistics</w:t>
            </w:r>
            <w:r w:rsidRPr="004E31A7">
              <w:t xml:space="preserve"> (</w:t>
            </w:r>
            <w:r w:rsidRPr="00822FF1">
              <w:rPr>
                <w:i/>
              </w:rPr>
              <w:t>BLS</w:t>
            </w:r>
            <w:r w:rsidRPr="004E31A7">
              <w:t xml:space="preserve">) del Gobierno </w:t>
            </w:r>
            <w:r w:rsidRPr="004E31A7">
              <w:lastRenderedPageBreak/>
              <w:t>de los Estados Unidos de América (Código BLS: CUUR0000SA0).</w:t>
            </w:r>
          </w:p>
        </w:tc>
      </w:tr>
      <w:tr w:rsidR="00872C78" w:rsidRPr="002C2818" w14:paraId="0BE1151C" w14:textId="77777777" w:rsidTr="00872C78">
        <w:tc>
          <w:tcPr>
            <w:tcW w:w="0" w:type="auto"/>
            <w:shd w:val="clear" w:color="auto" w:fill="auto"/>
          </w:tcPr>
          <w:p w14:paraId="5FBD7D67" w14:textId="5EF877E0" w:rsidR="00872C78" w:rsidRPr="00872C78" w:rsidRDefault="0088072F" w:rsidP="00010A03">
            <w:pPr>
              <w:spacing w:line="240" w:lineRule="auto"/>
              <w:jc w:val="left"/>
            </w:pPr>
            <m:oMathPara>
              <m:oMathParaPr>
                <m:jc m:val="left"/>
              </m:oMathParaPr>
              <m:oMath>
                <m:sSub>
                  <m:sSubPr>
                    <m:ctrlPr>
                      <w:rPr>
                        <w:rFonts w:ascii="Cambria Math" w:hAnsi="Cambria Math"/>
                      </w:rPr>
                    </m:ctrlPr>
                  </m:sSubPr>
                  <m:e>
                    <m:r>
                      <w:rPr>
                        <w:rFonts w:ascii="Cambria Math" w:hAnsi="Cambria Math"/>
                      </w:rPr>
                      <m:t>D</m:t>
                    </m:r>
                  </m:e>
                  <m:sub>
                    <m:r>
                      <w:rPr>
                        <w:rFonts w:ascii="Cambria Math" w:hAnsi="Cambria Math"/>
                      </w:rPr>
                      <m:t>k</m:t>
                    </m:r>
                  </m:sub>
                </m:sSub>
              </m:oMath>
            </m:oMathPara>
          </w:p>
        </w:tc>
        <w:tc>
          <w:tcPr>
            <w:tcW w:w="179" w:type="dxa"/>
          </w:tcPr>
          <w:p w14:paraId="0380BA34" w14:textId="502B0E6C" w:rsidR="00872C78" w:rsidRDefault="00872C78" w:rsidP="00010A03">
            <w:pPr>
              <w:spacing w:line="240" w:lineRule="auto"/>
            </w:pPr>
            <w:r>
              <w:t>:</w:t>
            </w:r>
          </w:p>
        </w:tc>
        <w:tc>
          <w:tcPr>
            <w:tcW w:w="8617" w:type="dxa"/>
          </w:tcPr>
          <w:p w14:paraId="3E50068B" w14:textId="43E84D81" w:rsidR="00872C78" w:rsidRPr="002C2818" w:rsidRDefault="00872C78" w:rsidP="00010A03">
            <w:pPr>
              <w:spacing w:line="240" w:lineRule="auto"/>
            </w:pPr>
            <w:r w:rsidRPr="004E31A7">
              <w:t>Tipo de cambio observado para el dólar de los Estados Unidos de Norteamérica, publicado por el Banco Central de Chile, “Dólar Observado”. Se utilizará el valor promedio del segundo mes anterior a aqu</w:t>
            </w:r>
            <w:r w:rsidR="00822FF1">
              <w:t>el</w:t>
            </w:r>
            <w:r w:rsidRPr="004E31A7">
              <w:t xml:space="preserve"> en que las tarifas serán aplicadas.</w:t>
            </w:r>
          </w:p>
        </w:tc>
      </w:tr>
      <w:tr w:rsidR="00872C78" w:rsidRPr="002C2818" w14:paraId="476224B3" w14:textId="77777777" w:rsidTr="00872C78">
        <w:tc>
          <w:tcPr>
            <w:tcW w:w="0" w:type="auto"/>
            <w:shd w:val="clear" w:color="auto" w:fill="auto"/>
          </w:tcPr>
          <w:p w14:paraId="3F7FFA5B" w14:textId="57127B6E" w:rsidR="00872C78" w:rsidRPr="00872C78" w:rsidRDefault="0088072F" w:rsidP="00010A03">
            <w:pPr>
              <w:spacing w:line="240" w:lineRule="auto"/>
              <w:jc w:val="left"/>
            </w:pPr>
            <m:oMathPara>
              <m:oMathParaPr>
                <m:jc m:val="left"/>
              </m:oMathParaPr>
              <m:oMath>
                <m:sSub>
                  <m:sSubPr>
                    <m:ctrlPr>
                      <w:rPr>
                        <w:rFonts w:ascii="Cambria Math" w:hAnsi="Cambria Math"/>
                      </w:rPr>
                    </m:ctrlPr>
                  </m:sSubPr>
                  <m:e>
                    <m:r>
                      <w:rPr>
                        <w:rFonts w:ascii="Cambria Math" w:hAnsi="Cambria Math"/>
                      </w:rPr>
                      <m:t>Ta</m:t>
                    </m:r>
                  </m:e>
                  <m:sub>
                    <m:r>
                      <w:rPr>
                        <w:rFonts w:ascii="Cambria Math" w:hAnsi="Cambria Math"/>
                      </w:rPr>
                      <m:t>k</m:t>
                    </m:r>
                  </m:sub>
                </m:sSub>
              </m:oMath>
            </m:oMathPara>
          </w:p>
        </w:tc>
        <w:tc>
          <w:tcPr>
            <w:tcW w:w="179" w:type="dxa"/>
          </w:tcPr>
          <w:p w14:paraId="2BB45904" w14:textId="12C96D68" w:rsidR="00872C78" w:rsidRDefault="00872C78" w:rsidP="00010A03">
            <w:pPr>
              <w:spacing w:line="240" w:lineRule="auto"/>
            </w:pPr>
            <w:r>
              <w:t>:</w:t>
            </w:r>
          </w:p>
        </w:tc>
        <w:tc>
          <w:tcPr>
            <w:tcW w:w="8617" w:type="dxa"/>
          </w:tcPr>
          <w:p w14:paraId="6EFCDCFA" w14:textId="5D493525" w:rsidR="00872C78" w:rsidRPr="002C2818" w:rsidRDefault="00872C78" w:rsidP="00010A03">
            <w:pPr>
              <w:spacing w:line="240" w:lineRule="auto"/>
            </w:pPr>
            <w:r w:rsidRPr="004E31A7">
              <w:t>Tasa arancelaria vigente para la importación de equipo electromecánico. Se utilizará el valor vigente del último día hábil del segundo mes anterior a aquél en que las tarifas serán aplicadas.</w:t>
            </w:r>
          </w:p>
        </w:tc>
      </w:tr>
      <w:tr w:rsidR="00872C78" w:rsidRPr="002C2818" w14:paraId="069D98A6" w14:textId="77777777" w:rsidTr="00872C78">
        <w:tc>
          <w:tcPr>
            <w:tcW w:w="0" w:type="auto"/>
            <w:shd w:val="clear" w:color="auto" w:fill="auto"/>
          </w:tcPr>
          <w:p w14:paraId="6617B16A" w14:textId="3BF55533" w:rsidR="00872C78" w:rsidRPr="00872C78" w:rsidRDefault="0088072F" w:rsidP="00872C78">
            <w:pPr>
              <w:spacing w:before="40" w:after="40" w:line="240" w:lineRule="auto"/>
              <w:jc w:val="left"/>
            </w:pPr>
            <m:oMathPara>
              <m:oMathParaPr>
                <m:jc m:val="left"/>
              </m:oMathParaPr>
              <m:oMath>
                <m:sSub>
                  <m:sSubPr>
                    <m:ctrlPr>
                      <w:rPr>
                        <w:rFonts w:ascii="Cambria Math" w:hAnsi="Cambria Math"/>
                      </w:rPr>
                    </m:ctrlPr>
                  </m:sSubPr>
                  <m:e>
                    <m:r>
                      <w:rPr>
                        <w:rFonts w:ascii="Cambria Math" w:hAnsi="Cambria Math"/>
                      </w:rPr>
                      <m:t>t</m:t>
                    </m:r>
                  </m:e>
                  <m:sub>
                    <m:r>
                      <w:rPr>
                        <w:rFonts w:ascii="Cambria Math" w:hAnsi="Cambria Math"/>
                      </w:rPr>
                      <m:t>k</m:t>
                    </m:r>
                  </m:sub>
                </m:sSub>
              </m:oMath>
            </m:oMathPara>
          </w:p>
        </w:tc>
        <w:tc>
          <w:tcPr>
            <w:tcW w:w="179" w:type="dxa"/>
          </w:tcPr>
          <w:p w14:paraId="35FE2A51" w14:textId="73C2E332" w:rsidR="00872C78" w:rsidRDefault="00872C78" w:rsidP="00872C78">
            <w:pPr>
              <w:spacing w:before="40" w:after="40" w:line="240" w:lineRule="auto"/>
            </w:pPr>
            <w:r>
              <w:t>:</w:t>
            </w:r>
          </w:p>
        </w:tc>
        <w:tc>
          <w:tcPr>
            <w:tcW w:w="8617" w:type="dxa"/>
          </w:tcPr>
          <w:p w14:paraId="6CF9BD47" w14:textId="3B770A8F" w:rsidR="00872C78" w:rsidRPr="002C2818" w:rsidRDefault="00872C78" w:rsidP="00872C78">
            <w:pPr>
              <w:spacing w:after="0" w:line="240" w:lineRule="auto"/>
            </w:pPr>
            <w:r w:rsidRPr="004E31A7">
              <w:t xml:space="preserve">Tasa de impuestos a las utilidades de primera categoría aplicables a la empresa eficiente en el segundo mes anterior al mes </w:t>
            </w:r>
            <m:oMath>
              <m:r>
                <w:rPr>
                  <w:rFonts w:ascii="Cambria Math" w:hAnsi="Cambria Math"/>
                </w:rPr>
                <m:t>k</m:t>
              </m:r>
            </m:oMath>
            <w:r w:rsidRPr="004E31A7">
              <w:t>.</w:t>
            </w:r>
          </w:p>
        </w:tc>
      </w:tr>
      <w:tr w:rsidR="00872C78" w:rsidRPr="002C2818" w14:paraId="4338B86C" w14:textId="77777777" w:rsidTr="00872C78">
        <w:tc>
          <w:tcPr>
            <w:tcW w:w="0" w:type="auto"/>
            <w:shd w:val="clear" w:color="auto" w:fill="auto"/>
          </w:tcPr>
          <w:p w14:paraId="32630502" w14:textId="20887FC6" w:rsidR="00872C78" w:rsidRPr="00872C78" w:rsidRDefault="0088072F" w:rsidP="00010A03">
            <w:pPr>
              <w:spacing w:before="40" w:line="240" w:lineRule="auto"/>
              <w:jc w:val="left"/>
            </w:pPr>
            <m:oMathPara>
              <m:oMathParaPr>
                <m:jc m:val="left"/>
              </m:oMathParaPr>
              <m:oMath>
                <m:sSub>
                  <m:sSubPr>
                    <m:ctrlPr>
                      <w:rPr>
                        <w:rFonts w:ascii="Cambria Math" w:hAnsi="Cambria Math"/>
                      </w:rPr>
                    </m:ctrlPr>
                  </m:sSubPr>
                  <m:e>
                    <m:r>
                      <w:rPr>
                        <w:rFonts w:ascii="Cambria Math" w:hAnsi="Cambria Math"/>
                      </w:rPr>
                      <m:t>α</m:t>
                    </m:r>
                  </m:e>
                  <m:sub>
                    <m:r>
                      <w:rPr>
                        <w:rFonts w:ascii="Cambria Math" w:hAnsi="Cambria Math"/>
                      </w:rPr>
                      <m:t>j</m:t>
                    </m:r>
                  </m:sub>
                </m:sSub>
                <m:r>
                  <w:rPr>
                    <w:rFonts w:ascii="Cambria Math" w:hAnsi="Cambria Math"/>
                  </w:rPr>
                  <m:t xml:space="preserve">, </m:t>
                </m:r>
                <m:sSub>
                  <m:sSubPr>
                    <m:ctrlPr>
                      <w:rPr>
                        <w:rFonts w:ascii="Cambria Math" w:hAnsi="Cambria Math"/>
                        <w:i/>
                      </w:rPr>
                    </m:ctrlPr>
                  </m:sSubPr>
                  <m:e>
                    <m:r>
                      <w:rPr>
                        <w:rFonts w:ascii="Cambria Math" w:hAnsi="Cambria Math"/>
                      </w:rPr>
                      <m:t>β</m:t>
                    </m:r>
                  </m:e>
                  <m:sub>
                    <m:r>
                      <w:rPr>
                        <w:rFonts w:ascii="Cambria Math" w:hAnsi="Cambria Math"/>
                      </w:rPr>
                      <m:t>j</m:t>
                    </m:r>
                  </m:sub>
                </m:sSub>
                <m:r>
                  <w:rPr>
                    <w:rFonts w:ascii="Cambria Math" w:hAnsi="Cambria Math"/>
                  </w:rPr>
                  <m:t xml:space="preserve">, </m:t>
                </m:r>
                <m:sSub>
                  <m:sSubPr>
                    <m:ctrlPr>
                      <w:rPr>
                        <w:rFonts w:ascii="Cambria Math" w:hAnsi="Cambria Math"/>
                        <w:i/>
                      </w:rPr>
                    </m:ctrlPr>
                  </m:sSubPr>
                  <m:e>
                    <m:r>
                      <w:rPr>
                        <w:rFonts w:ascii="Cambria Math" w:hAnsi="Cambria Math"/>
                      </w:rPr>
                      <m:t>γ</m:t>
                    </m:r>
                  </m:e>
                  <m:sub>
                    <m:r>
                      <w:rPr>
                        <w:rFonts w:ascii="Cambria Math" w:hAnsi="Cambria Math"/>
                      </w:rPr>
                      <m:t>j</m:t>
                    </m:r>
                  </m:sub>
                </m:sSub>
                <m:r>
                  <w:rPr>
                    <w:rFonts w:ascii="Cambria Math" w:hAnsi="Cambria Math"/>
                  </w:rPr>
                  <m:t>,</m:t>
                </m:r>
                <m:sSub>
                  <m:sSubPr>
                    <m:ctrlPr>
                      <w:rPr>
                        <w:rFonts w:ascii="Cambria Math" w:hAnsi="Cambria Math"/>
                        <w:i/>
                      </w:rPr>
                    </m:ctrlPr>
                  </m:sSubPr>
                  <m:e>
                    <m:r>
                      <w:rPr>
                        <w:rFonts w:ascii="Cambria Math" w:hAnsi="Cambria Math"/>
                      </w:rPr>
                      <m:t>δ</m:t>
                    </m:r>
                  </m:e>
                  <m:sub>
                    <m:r>
                      <w:rPr>
                        <w:rFonts w:ascii="Cambria Math" w:hAnsi="Cambria Math"/>
                      </w:rPr>
                      <m:t>j</m:t>
                    </m:r>
                  </m:sub>
                </m:sSub>
              </m:oMath>
            </m:oMathPara>
          </w:p>
        </w:tc>
        <w:tc>
          <w:tcPr>
            <w:tcW w:w="179" w:type="dxa"/>
          </w:tcPr>
          <w:p w14:paraId="1BC3EF8D" w14:textId="5D552CF3" w:rsidR="00872C78" w:rsidRDefault="00872C78" w:rsidP="00010A03">
            <w:pPr>
              <w:spacing w:before="40" w:line="240" w:lineRule="auto"/>
            </w:pPr>
            <w:r>
              <w:t>:</w:t>
            </w:r>
          </w:p>
        </w:tc>
        <w:tc>
          <w:tcPr>
            <w:tcW w:w="8617" w:type="dxa"/>
          </w:tcPr>
          <w:p w14:paraId="1D94E22B" w14:textId="7D03F6AE" w:rsidR="00D21C1F" w:rsidRDefault="00872C78" w:rsidP="00010A03">
            <w:pPr>
              <w:spacing w:before="40" w:line="240" w:lineRule="auto"/>
            </w:pPr>
            <w:r w:rsidRPr="004E31A7">
              <w:t xml:space="preserve">Coeficientes de indexación para el tipo de tramo </w:t>
            </w:r>
            <m:oMath>
              <m:r>
                <w:rPr>
                  <w:rFonts w:ascii="Cambria Math" w:hAnsi="Cambria Math"/>
                </w:rPr>
                <m:t>j</m:t>
              </m:r>
            </m:oMath>
            <w:r w:rsidRPr="004E31A7">
              <w:t xml:space="preserve">. Se debe cumplir que </w:t>
            </w:r>
          </w:p>
          <w:p w14:paraId="660A41DE" w14:textId="5B90DB3B" w:rsidR="00872C78" w:rsidRPr="002C2818" w:rsidRDefault="0088072F" w:rsidP="00010A03">
            <w:pPr>
              <w:spacing w:before="40" w:line="240" w:lineRule="auto"/>
            </w:pPr>
            <m:oMath>
              <m:sSub>
                <m:sSubPr>
                  <m:ctrlPr>
                    <w:rPr>
                      <w:rFonts w:ascii="Cambria Math" w:hAnsi="Cambria Math"/>
                    </w:rPr>
                  </m:ctrlPr>
                </m:sSubPr>
                <m:e>
                  <m:r>
                    <w:rPr>
                      <w:rFonts w:ascii="Cambria Math" w:hAnsi="Cambria Math"/>
                    </w:rPr>
                    <m:t>α</m:t>
                  </m:r>
                </m:e>
                <m:sub>
                  <m:r>
                    <w:rPr>
                      <w:rFonts w:ascii="Cambria Math" w:hAnsi="Cambria Math"/>
                    </w:rPr>
                    <m:t>j</m:t>
                  </m:r>
                </m:sub>
              </m:sSub>
              <m:r>
                <w:rPr>
                  <w:rFonts w:ascii="Cambria Math" w:hAnsi="Cambria Math"/>
                </w:rPr>
                <m:t xml:space="preserve">+ </m:t>
              </m:r>
              <m:sSub>
                <m:sSubPr>
                  <m:ctrlPr>
                    <w:rPr>
                      <w:rFonts w:ascii="Cambria Math" w:hAnsi="Cambria Math"/>
                      <w:i/>
                    </w:rPr>
                  </m:ctrlPr>
                </m:sSubPr>
                <m:e>
                  <m:r>
                    <w:rPr>
                      <w:rFonts w:ascii="Cambria Math" w:hAnsi="Cambria Math"/>
                    </w:rPr>
                    <m:t>β</m:t>
                  </m:r>
                </m:e>
                <m:sub>
                  <m:r>
                    <w:rPr>
                      <w:rFonts w:ascii="Cambria Math" w:hAnsi="Cambria Math"/>
                    </w:rPr>
                    <m:t>j</m:t>
                  </m:r>
                </m:sub>
              </m:sSub>
              <m:r>
                <w:rPr>
                  <w:rFonts w:ascii="Cambria Math" w:hAnsi="Cambria Math"/>
                </w:rPr>
                <m:t>=1</m:t>
              </m:r>
            </m:oMath>
            <w:r w:rsidR="00D21C1F">
              <w:t xml:space="preserve"> </w:t>
            </w:r>
            <w:r w:rsidR="00872C78" w:rsidRPr="004E31A7">
              <w:t xml:space="preserve"> y </w:t>
            </w:r>
            <m:oMath>
              <m:r>
                <w:rPr>
                  <w:rFonts w:ascii="Cambria Math" w:hAnsi="Cambria Math"/>
                </w:rPr>
                <m:t xml:space="preserve"> </m:t>
              </m:r>
              <m:sSub>
                <m:sSubPr>
                  <m:ctrlPr>
                    <w:rPr>
                      <w:rFonts w:ascii="Cambria Math" w:hAnsi="Cambria Math"/>
                      <w:i/>
                    </w:rPr>
                  </m:ctrlPr>
                </m:sSubPr>
                <m:e>
                  <m:r>
                    <w:rPr>
                      <w:rFonts w:ascii="Cambria Math" w:hAnsi="Cambria Math"/>
                    </w:rPr>
                    <m:t>γ</m:t>
                  </m:r>
                </m:e>
                <m:sub>
                  <m:r>
                    <w:rPr>
                      <w:rFonts w:ascii="Cambria Math" w:hAnsi="Cambria Math"/>
                    </w:rPr>
                    <m:t>j</m:t>
                  </m:r>
                </m:sub>
              </m:sSub>
              <m:r>
                <w:rPr>
                  <w:rFonts w:ascii="Cambria Math" w:hAnsi="Cambria Math"/>
                </w:rPr>
                <m:t>+</m:t>
              </m:r>
              <m:sSub>
                <m:sSubPr>
                  <m:ctrlPr>
                    <w:rPr>
                      <w:rFonts w:ascii="Cambria Math" w:hAnsi="Cambria Math"/>
                      <w:i/>
                    </w:rPr>
                  </m:ctrlPr>
                </m:sSubPr>
                <m:e>
                  <m:r>
                    <w:rPr>
                      <w:rFonts w:ascii="Cambria Math" w:hAnsi="Cambria Math"/>
                    </w:rPr>
                    <m:t>δ</m:t>
                  </m:r>
                </m:e>
                <m:sub>
                  <m:r>
                    <w:rPr>
                      <w:rFonts w:ascii="Cambria Math" w:hAnsi="Cambria Math"/>
                    </w:rPr>
                    <m:t>j</m:t>
                  </m:r>
                </m:sub>
              </m:sSub>
              <m:r>
                <w:rPr>
                  <w:rFonts w:ascii="Cambria Math" w:hAnsi="Cambria Math"/>
                </w:rPr>
                <m:t>=1</m:t>
              </m:r>
            </m:oMath>
          </w:p>
        </w:tc>
      </w:tr>
    </w:tbl>
    <w:p w14:paraId="0BFD3A50" w14:textId="721E759B" w:rsidR="00084018" w:rsidRPr="00872C78" w:rsidRDefault="00084018" w:rsidP="00872C78">
      <w:pPr>
        <w:pStyle w:val="Ttulo3"/>
      </w:pPr>
      <w:bookmarkStart w:id="555" w:name="_Toc27147814"/>
      <w:bookmarkStart w:id="556" w:name="_Toc39797899"/>
      <w:r w:rsidRPr="00872C78">
        <w:t>Indexadores y Valores Base</w:t>
      </w:r>
      <w:bookmarkEnd w:id="555"/>
      <w:bookmarkEnd w:id="556"/>
    </w:p>
    <w:p w14:paraId="0CB2B475" w14:textId="136266FE" w:rsidR="00084018" w:rsidRDefault="00084018" w:rsidP="00084018">
      <w:r>
        <w:t xml:space="preserve">Se determinan a continuación los valores base de la fórmula de indexación, a saber, los valores de </w:t>
      </w:r>
      <m:oMath>
        <m:r>
          <w:rPr>
            <w:rFonts w:ascii="Cambria Math" w:hAnsi="Cambria Math"/>
          </w:rPr>
          <m:t>T</m:t>
        </m:r>
        <m:sSub>
          <m:sSubPr>
            <m:ctrlPr>
              <w:rPr>
                <w:rFonts w:ascii="Cambria Math" w:hAnsi="Cambria Math"/>
                <w:i/>
              </w:rPr>
            </m:ctrlPr>
          </m:sSubPr>
          <m:e>
            <m:r>
              <w:rPr>
                <w:rFonts w:ascii="Cambria Math" w:hAnsi="Cambria Math"/>
              </w:rPr>
              <m:t>a</m:t>
            </m:r>
          </m:e>
          <m:sub>
            <m:r>
              <w:rPr>
                <w:rFonts w:ascii="Cambria Math" w:hAnsi="Cambria Math"/>
              </w:rPr>
              <m:t>0</m:t>
            </m:r>
          </m:sub>
        </m:sSub>
      </m:oMath>
      <w:proofErr w:type="gramStart"/>
      <w:r>
        <w:t xml:space="preserve">, </w:t>
      </w:r>
      <m:oMath>
        <m:r>
          <w:rPr>
            <w:rFonts w:ascii="Cambria Math" w:hAnsi="Cambria Math"/>
          </w:rPr>
          <m:t>IP</m:t>
        </m:r>
        <m:sSub>
          <m:sSubPr>
            <m:ctrlPr>
              <w:rPr>
                <w:rFonts w:ascii="Cambria Math" w:hAnsi="Cambria Math"/>
                <w:i/>
              </w:rPr>
            </m:ctrlPr>
          </m:sSubPr>
          <m:e>
            <m:r>
              <w:rPr>
                <w:rFonts w:ascii="Cambria Math" w:hAnsi="Cambria Math"/>
              </w:rPr>
              <m:t>C</m:t>
            </m:r>
          </m:e>
          <m:sub>
            <m:r>
              <w:rPr>
                <w:rFonts w:ascii="Cambria Math" w:hAnsi="Cambria Math"/>
              </w:rPr>
              <m:t>0</m:t>
            </m:r>
          </m:sub>
        </m:sSub>
      </m:oMath>
      <w:r w:rsidRPr="00EE2F47">
        <w:t xml:space="preserve">, </w:t>
      </w:r>
      <m:oMath>
        <m:r>
          <w:rPr>
            <w:rFonts w:ascii="Cambria Math" w:hAnsi="Cambria Math"/>
          </w:rPr>
          <m:t>CP</m:t>
        </m:r>
        <m:sSub>
          <m:sSubPr>
            <m:ctrlPr>
              <w:rPr>
                <w:rFonts w:ascii="Cambria Math" w:hAnsi="Cambria Math"/>
                <w:i/>
                <w:vertAlign w:val="subscript"/>
              </w:rPr>
            </m:ctrlPr>
          </m:sSubPr>
          <m:e>
            <m:r>
              <w:rPr>
                <w:rFonts w:ascii="Cambria Math" w:hAnsi="Cambria Math"/>
              </w:rPr>
              <m:t>I</m:t>
            </m:r>
            <m:ctrlPr>
              <w:rPr>
                <w:rFonts w:ascii="Cambria Math" w:hAnsi="Cambria Math"/>
                <w:i/>
              </w:rPr>
            </m:ctrlPr>
          </m:e>
          <m:sub>
            <m:r>
              <w:rPr>
                <w:rFonts w:ascii="Cambria Math" w:hAnsi="Cambria Math"/>
                <w:vertAlign w:val="subscript"/>
              </w:rPr>
              <m:t>0</m:t>
            </m:r>
          </m:sub>
        </m:sSub>
      </m:oMath>
      <w:r w:rsidRPr="00EE2F47">
        <w:t>,</w:t>
      </w:r>
      <w:proofErr w:type="gramEnd"/>
      <w:r w:rsidRPr="00EE2F47">
        <w:t xml:space="preserve"> </w:t>
      </w:r>
      <m:oMath>
        <m:sSub>
          <m:sSubPr>
            <m:ctrlPr>
              <w:rPr>
                <w:rFonts w:ascii="Cambria Math" w:hAnsi="Cambria Math"/>
                <w:i/>
              </w:rPr>
            </m:ctrlPr>
          </m:sSubPr>
          <m:e>
            <m:r>
              <w:rPr>
                <w:rFonts w:ascii="Cambria Math" w:hAnsi="Cambria Math"/>
              </w:rPr>
              <m:t>D</m:t>
            </m:r>
          </m:e>
          <m:sub>
            <m:r>
              <w:rPr>
                <w:rFonts w:ascii="Cambria Math" w:hAnsi="Cambria Math"/>
              </w:rPr>
              <m:t>0</m:t>
            </m:r>
          </m:sub>
        </m:sSub>
      </m:oMath>
      <w:r w:rsidR="00454199">
        <w:t xml:space="preserve"> y </w:t>
      </w:r>
      <m:oMath>
        <m:sSub>
          <m:sSubPr>
            <m:ctrlPr>
              <w:rPr>
                <w:rFonts w:ascii="Cambria Math" w:hAnsi="Cambria Math"/>
                <w:i/>
              </w:rPr>
            </m:ctrlPr>
          </m:sSubPr>
          <m:e>
            <m:r>
              <w:rPr>
                <w:rFonts w:ascii="Cambria Math" w:hAnsi="Cambria Math"/>
              </w:rPr>
              <m:t>t</m:t>
            </m:r>
          </m:e>
          <m:sub>
            <m:r>
              <w:rPr>
                <w:rFonts w:ascii="Cambria Math" w:hAnsi="Cambria Math"/>
              </w:rPr>
              <m:t>0</m:t>
            </m:r>
          </m:sub>
        </m:sSub>
      </m:oMath>
      <w:r>
        <w:t>.</w:t>
      </w:r>
      <w:r w:rsidRPr="00EE2F47">
        <w:t xml:space="preserve"> </w:t>
      </w:r>
    </w:p>
    <w:p w14:paraId="3EC1921E" w14:textId="0C9BFA50" w:rsidR="00084018" w:rsidRPr="00EE2F47" w:rsidRDefault="00084018" w:rsidP="00084018">
      <w:r w:rsidRPr="00EE2F47">
        <w:t xml:space="preserve">Conforme las Bases lo establecen, el valor de los indexadores </w:t>
      </w:r>
      <w:r>
        <w:t>contenidos en la fórmula</w:t>
      </w:r>
      <w:r w:rsidRPr="00EE2F47">
        <w:t xml:space="preserve">, a aplicar en el mes en que las </w:t>
      </w:r>
      <w:r w:rsidR="00822FF1">
        <w:t xml:space="preserve">tarifas serán aplicadas, o mes </w:t>
      </w:r>
      <m:oMath>
        <m:r>
          <w:rPr>
            <w:rFonts w:ascii="Cambria Math" w:hAnsi="Cambria Math"/>
          </w:rPr>
          <m:t>k</m:t>
        </m:r>
      </m:oMath>
      <w:r w:rsidRPr="00EE2F47">
        <w:t>, corresponden al mostrado e</w:t>
      </w:r>
      <w:r w:rsidR="00822FF1">
        <w:t>n el segundo mes anterior a aque</w:t>
      </w:r>
      <w:r w:rsidRPr="00EE2F47">
        <w:t xml:space="preserve">l. Considerando que el valor base del V.A.T.T., esto es su valor para el mes </w:t>
      </w:r>
      <m:oMath>
        <m:r>
          <w:rPr>
            <w:rFonts w:ascii="Cambria Math" w:hAnsi="Cambria Math"/>
          </w:rPr>
          <m:t>k=0</m:t>
        </m:r>
      </m:oMath>
      <w:r w:rsidRPr="00EE2F47">
        <w:t>, se establece a diciembre de 2017, el mes de los valores base de los indexadores se establece</w:t>
      </w:r>
      <w:r w:rsidR="00822FF1">
        <w:t>ría a octubre de 2017 en tanto e</w:t>
      </w:r>
      <w:r w:rsidRPr="00EE2F47">
        <w:t>ste corresponde al segundo mes anterior.</w:t>
      </w:r>
    </w:p>
    <w:p w14:paraId="230F69C8" w14:textId="77777777" w:rsidR="00084018" w:rsidRDefault="00084018" w:rsidP="00084018">
      <w:r>
        <w:t>Así, los valores base se establecen como se señala a continuación.</w:t>
      </w:r>
    </w:p>
    <w:p w14:paraId="2159F22D" w14:textId="23EAAB4A" w:rsidR="00084018" w:rsidRPr="00035E3B" w:rsidRDefault="00084018" w:rsidP="006A5733">
      <w:pPr>
        <w:pStyle w:val="Ttulo4"/>
      </w:pPr>
      <w:bookmarkStart w:id="557" w:name="_Toc39797900"/>
      <w:r w:rsidRPr="00035E3B">
        <w:t>Tasa de Arancel (Ta)</w:t>
      </w:r>
      <w:r w:rsidRPr="00DE7C78">
        <w:rPr>
          <w:vertAlign w:val="superscript"/>
        </w:rPr>
        <w:footnoteReference w:id="50"/>
      </w:r>
      <w:bookmarkEnd w:id="557"/>
    </w:p>
    <w:p w14:paraId="12AC7DFE" w14:textId="17932AD6" w:rsidR="00084018" w:rsidRDefault="00084018" w:rsidP="00822FF1">
      <w:r>
        <w:lastRenderedPageBreak/>
        <w:t>Se c</w:t>
      </w:r>
      <w:r w:rsidRPr="00BC416F">
        <w:t xml:space="preserve">onsiderará el arancel general establecido actualmente por la Ley N°19.589 de 2003 del Ministerio de Hacienda, </w:t>
      </w:r>
      <w:r>
        <w:t xml:space="preserve">que corresponde al 6%, y </w:t>
      </w:r>
      <w:r w:rsidRPr="00BC416F">
        <w:t>que no ha sufrido variaciones desde entonces</w:t>
      </w:r>
      <w:r>
        <w:t xml:space="preserve">. El valor base de la tasa de arancel </w:t>
      </w:r>
      <m:oMath>
        <m:r>
          <w:rPr>
            <w:rFonts w:ascii="Cambria Math" w:hAnsi="Cambria Math"/>
          </w:rPr>
          <m:t>T</m:t>
        </m:r>
        <m:sSub>
          <m:sSubPr>
            <m:ctrlPr>
              <w:rPr>
                <w:rFonts w:ascii="Cambria Math" w:hAnsi="Cambria Math"/>
                <w:i/>
              </w:rPr>
            </m:ctrlPr>
          </m:sSubPr>
          <m:e>
            <m:r>
              <w:rPr>
                <w:rFonts w:ascii="Cambria Math" w:hAnsi="Cambria Math"/>
              </w:rPr>
              <m:t>a</m:t>
            </m:r>
          </m:e>
          <m:sub>
            <m:r>
              <w:rPr>
                <w:rFonts w:ascii="Cambria Math" w:hAnsi="Cambria Math"/>
              </w:rPr>
              <m:t>0</m:t>
            </m:r>
          </m:sub>
        </m:sSub>
      </m:oMath>
      <w:r>
        <w:t xml:space="preserve"> corresponderá, entonces, al 6%, es </w:t>
      </w:r>
      <w:proofErr w:type="gramStart"/>
      <w:r>
        <w:t xml:space="preserve">decir, </w:t>
      </w:r>
      <m:oMath>
        <m:r>
          <w:rPr>
            <w:rFonts w:ascii="Cambria Math" w:hAnsi="Cambria Math"/>
          </w:rPr>
          <m:t>T</m:t>
        </m:r>
        <m:sSub>
          <m:sSubPr>
            <m:ctrlPr>
              <w:rPr>
                <w:rFonts w:ascii="Cambria Math" w:hAnsi="Cambria Math"/>
                <w:bCs/>
                <w:i/>
              </w:rPr>
            </m:ctrlPr>
          </m:sSubPr>
          <m:e>
            <m:r>
              <w:rPr>
                <w:rFonts w:ascii="Cambria Math" w:hAnsi="Cambria Math"/>
              </w:rPr>
              <m:t>a</m:t>
            </m:r>
          </m:e>
          <m:sub>
            <m:r>
              <w:rPr>
                <w:rFonts w:ascii="Cambria Math" w:hAnsi="Cambria Math"/>
              </w:rPr>
              <m:t>0</m:t>
            </m:r>
          </m:sub>
        </m:sSub>
        <m:r>
          <w:rPr>
            <w:rFonts w:ascii="Cambria Math" w:hAnsi="Cambria Math"/>
          </w:rPr>
          <m:t xml:space="preserve"> = 0,06</m:t>
        </m:r>
      </m:oMath>
      <w:r w:rsidR="00822FF1">
        <w:rPr>
          <w:bCs/>
        </w:rPr>
        <w:t>.</w:t>
      </w:r>
      <w:proofErr w:type="gramEnd"/>
    </w:p>
    <w:p w14:paraId="7E6A4459" w14:textId="77777777" w:rsidR="00084018" w:rsidRPr="003C7297" w:rsidRDefault="00084018" w:rsidP="006A5733">
      <w:pPr>
        <w:pStyle w:val="Ttulo4"/>
      </w:pPr>
      <w:bookmarkStart w:id="558" w:name="_Toc39797901"/>
      <w:r w:rsidRPr="003C7297">
        <w:t>Índice de Precios al Consumidor (IPC)</w:t>
      </w:r>
      <w:bookmarkEnd w:id="558"/>
    </w:p>
    <w:p w14:paraId="4DCD0AAF" w14:textId="77777777" w:rsidR="00084018" w:rsidRDefault="00084018" w:rsidP="00BC1A41">
      <w:pPr>
        <w:spacing w:after="120"/>
      </w:pPr>
      <w:r w:rsidRPr="00EE2F47">
        <w:t>Para indexar las componentes de costo nacionales, las bases instruyen considerar la variación del Índice de Precios al Consumidor (IPC) publicado por el Instituto Nacional de Estadísticas (INE). Actualmente el INE emite el indicador de IPC con base en el año 2018. La tabla siguiente muestra la serie empalmada -a base constante- con base en 2018 pa</w:t>
      </w:r>
      <w:r w:rsidR="008A5FF6">
        <w:t>ra el período enero 2017 a diciembre</w:t>
      </w:r>
      <w:r w:rsidRPr="00EE2F47">
        <w:t xml:space="preserve"> 2019</w:t>
      </w:r>
      <w:r w:rsidRPr="006B2448">
        <w:rPr>
          <w:rStyle w:val="Refdenotaalpie"/>
        </w:rPr>
        <w:footnoteReference w:id="51"/>
      </w:r>
      <w:r w:rsidRPr="00EE2F47">
        <w:t>:</w:t>
      </w:r>
    </w:p>
    <w:p w14:paraId="4E1FBB42" w14:textId="3ECD5422" w:rsidR="00084018" w:rsidRDefault="003A0B8A" w:rsidP="003A0B8A">
      <w:pPr>
        <w:pStyle w:val="Subttulo"/>
        <w:rPr>
          <w:bCs/>
        </w:rPr>
      </w:pPr>
      <w:bookmarkStart w:id="559" w:name="_Toc27147884"/>
      <w:bookmarkStart w:id="560" w:name="_Toc39797973"/>
      <w:r w:rsidRPr="002F3394">
        <w:t xml:space="preserve">Tabla </w:t>
      </w:r>
      <w:fldSimple w:instr=" SEQ Tabla \* ARABIC ">
        <w:r w:rsidR="001F3E2E">
          <w:rPr>
            <w:noProof/>
          </w:rPr>
          <w:t>63</w:t>
        </w:r>
      </w:fldSimple>
      <w:r>
        <w:t>:</w:t>
      </w:r>
      <w:r w:rsidR="00084018" w:rsidRPr="00635F7D">
        <w:rPr>
          <w:bCs/>
        </w:rPr>
        <w:t xml:space="preserve"> </w:t>
      </w:r>
      <w:r w:rsidR="00084018" w:rsidRPr="0077496F">
        <w:rPr>
          <w:bCs/>
        </w:rPr>
        <w:t>IPC Base 2018</w:t>
      </w:r>
      <w:bookmarkEnd w:id="559"/>
      <w:bookmarkEnd w:id="560"/>
    </w:p>
    <w:tbl>
      <w:tblPr>
        <w:tblW w:w="0" w:type="auto"/>
        <w:jc w:val="center"/>
        <w:tblLayout w:type="fixed"/>
        <w:tblCellMar>
          <w:left w:w="57" w:type="dxa"/>
          <w:right w:w="57" w:type="dxa"/>
        </w:tblCellMar>
        <w:tblLook w:val="0000" w:firstRow="0" w:lastRow="0" w:firstColumn="0" w:lastColumn="0" w:noHBand="0" w:noVBand="0"/>
      </w:tblPr>
      <w:tblGrid>
        <w:gridCol w:w="851"/>
        <w:gridCol w:w="737"/>
        <w:gridCol w:w="737"/>
        <w:gridCol w:w="737"/>
        <w:gridCol w:w="737"/>
        <w:gridCol w:w="737"/>
        <w:gridCol w:w="737"/>
        <w:gridCol w:w="737"/>
        <w:gridCol w:w="737"/>
        <w:gridCol w:w="737"/>
        <w:gridCol w:w="737"/>
        <w:gridCol w:w="737"/>
        <w:gridCol w:w="738"/>
      </w:tblGrid>
      <w:tr w:rsidR="009072B2" w:rsidRPr="00010A03" w14:paraId="2225067D" w14:textId="77777777" w:rsidTr="00BC1A41">
        <w:trPr>
          <w:jc w:val="center"/>
        </w:trPr>
        <w:tc>
          <w:tcPr>
            <w:tcW w:w="851" w:type="dxa"/>
            <w:vMerge w:val="restart"/>
            <w:tcBorders>
              <w:top w:val="single" w:sz="4" w:space="0" w:color="auto"/>
              <w:left w:val="single" w:sz="4" w:space="0" w:color="auto"/>
              <w:bottom w:val="single" w:sz="4" w:space="0" w:color="auto"/>
              <w:right w:val="single" w:sz="4" w:space="0" w:color="auto"/>
            </w:tcBorders>
            <w:shd w:val="solid" w:color="BFBFBF" w:themeColor="background1" w:themeShade="BF" w:fill="auto"/>
            <w:noWrap/>
            <w:vAlign w:val="center"/>
          </w:tcPr>
          <w:p w14:paraId="325FAB18" w14:textId="77777777" w:rsidR="009072B2" w:rsidRPr="00010A03" w:rsidRDefault="009072B2" w:rsidP="00010A03">
            <w:pPr>
              <w:spacing w:before="40" w:after="40" w:line="240" w:lineRule="auto"/>
              <w:jc w:val="center"/>
              <w:rPr>
                <w:rFonts w:asciiTheme="minorHAnsi" w:hAnsiTheme="minorHAnsi" w:cstheme="minorHAnsi"/>
                <w:b/>
                <w:color w:val="000000"/>
                <w:sz w:val="20"/>
                <w:szCs w:val="20"/>
                <w:lang w:eastAsia="es-CL"/>
              </w:rPr>
            </w:pPr>
            <w:r w:rsidRPr="00010A03">
              <w:rPr>
                <w:rFonts w:asciiTheme="minorHAnsi" w:hAnsiTheme="minorHAnsi" w:cstheme="minorHAnsi"/>
                <w:b/>
                <w:color w:val="000000"/>
                <w:sz w:val="20"/>
                <w:szCs w:val="20"/>
                <w:lang w:eastAsia="es-CL"/>
              </w:rPr>
              <w:t>Año</w:t>
            </w:r>
          </w:p>
        </w:tc>
        <w:tc>
          <w:tcPr>
            <w:tcW w:w="8845" w:type="dxa"/>
            <w:gridSpan w:val="12"/>
            <w:tcBorders>
              <w:top w:val="single" w:sz="4" w:space="0" w:color="auto"/>
              <w:left w:val="nil"/>
              <w:bottom w:val="single" w:sz="4" w:space="0" w:color="auto"/>
              <w:right w:val="single" w:sz="4" w:space="0" w:color="auto"/>
            </w:tcBorders>
            <w:shd w:val="solid" w:color="BFBFBF" w:themeColor="background1" w:themeShade="BF" w:fill="auto"/>
            <w:noWrap/>
            <w:vAlign w:val="center"/>
          </w:tcPr>
          <w:p w14:paraId="1B338293" w14:textId="77777777" w:rsidR="009072B2" w:rsidRPr="00010A03" w:rsidRDefault="009072B2" w:rsidP="00010A03">
            <w:pPr>
              <w:spacing w:before="40" w:after="40" w:line="240" w:lineRule="auto"/>
              <w:jc w:val="center"/>
              <w:rPr>
                <w:rFonts w:asciiTheme="minorHAnsi" w:hAnsiTheme="minorHAnsi" w:cstheme="minorHAnsi"/>
                <w:b/>
                <w:color w:val="000000"/>
                <w:sz w:val="20"/>
                <w:szCs w:val="20"/>
                <w:lang w:eastAsia="es-CL"/>
              </w:rPr>
            </w:pPr>
            <w:r w:rsidRPr="00010A03">
              <w:rPr>
                <w:rFonts w:asciiTheme="minorHAnsi" w:hAnsiTheme="minorHAnsi" w:cstheme="minorHAnsi"/>
                <w:b/>
                <w:color w:val="000000"/>
                <w:sz w:val="20"/>
                <w:szCs w:val="20"/>
                <w:lang w:eastAsia="es-CL"/>
              </w:rPr>
              <w:t>IPC Base 2018, serie empalmada INE</w:t>
            </w:r>
          </w:p>
        </w:tc>
      </w:tr>
      <w:tr w:rsidR="009072B2" w:rsidRPr="00010A03" w14:paraId="199A3026" w14:textId="77777777" w:rsidTr="00010A03">
        <w:trPr>
          <w:jc w:val="center"/>
        </w:trPr>
        <w:tc>
          <w:tcPr>
            <w:tcW w:w="851" w:type="dxa"/>
            <w:vMerge/>
            <w:tcBorders>
              <w:top w:val="single" w:sz="4" w:space="0" w:color="auto"/>
              <w:left w:val="single" w:sz="4" w:space="0" w:color="auto"/>
              <w:bottom w:val="single" w:sz="4" w:space="0" w:color="auto"/>
              <w:right w:val="single" w:sz="4" w:space="0" w:color="auto"/>
            </w:tcBorders>
            <w:shd w:val="solid" w:color="BFBFBF" w:themeColor="background1" w:themeShade="BF" w:fill="auto"/>
            <w:vAlign w:val="center"/>
          </w:tcPr>
          <w:p w14:paraId="0176AF06" w14:textId="77777777" w:rsidR="009072B2" w:rsidRPr="00010A03" w:rsidRDefault="009072B2" w:rsidP="00010A03">
            <w:pPr>
              <w:spacing w:before="40" w:after="40" w:line="240" w:lineRule="auto"/>
              <w:jc w:val="left"/>
              <w:rPr>
                <w:rFonts w:asciiTheme="minorHAnsi" w:hAnsiTheme="minorHAnsi" w:cstheme="minorHAnsi"/>
                <w:color w:val="000000"/>
                <w:sz w:val="20"/>
                <w:szCs w:val="20"/>
                <w:lang w:eastAsia="es-CL"/>
              </w:rPr>
            </w:pPr>
          </w:p>
        </w:tc>
        <w:tc>
          <w:tcPr>
            <w:tcW w:w="737" w:type="dxa"/>
            <w:tcBorders>
              <w:top w:val="nil"/>
              <w:left w:val="nil"/>
              <w:bottom w:val="single" w:sz="4" w:space="0" w:color="auto"/>
              <w:right w:val="single" w:sz="4" w:space="0" w:color="auto"/>
            </w:tcBorders>
            <w:shd w:val="solid" w:color="BFBFBF" w:themeColor="background1" w:themeShade="BF" w:fill="auto"/>
            <w:noWrap/>
            <w:vAlign w:val="center"/>
          </w:tcPr>
          <w:p w14:paraId="412522D7" w14:textId="77777777" w:rsidR="009072B2" w:rsidRPr="00010A03" w:rsidRDefault="009072B2" w:rsidP="00010A03">
            <w:pPr>
              <w:spacing w:before="40" w:after="40" w:line="240" w:lineRule="auto"/>
              <w:jc w:val="center"/>
              <w:rPr>
                <w:rFonts w:asciiTheme="minorHAnsi" w:hAnsiTheme="minorHAnsi" w:cstheme="minorHAnsi"/>
                <w:b/>
                <w:color w:val="000000"/>
                <w:sz w:val="20"/>
                <w:szCs w:val="20"/>
                <w:lang w:eastAsia="es-CL"/>
              </w:rPr>
            </w:pPr>
            <w:r w:rsidRPr="00010A03">
              <w:rPr>
                <w:rFonts w:asciiTheme="minorHAnsi" w:hAnsiTheme="minorHAnsi" w:cstheme="minorHAnsi"/>
                <w:b/>
                <w:color w:val="000000"/>
                <w:sz w:val="20"/>
                <w:szCs w:val="20"/>
                <w:lang w:eastAsia="es-CL"/>
              </w:rPr>
              <w:t>ene</w:t>
            </w:r>
          </w:p>
        </w:tc>
        <w:tc>
          <w:tcPr>
            <w:tcW w:w="737" w:type="dxa"/>
            <w:tcBorders>
              <w:top w:val="nil"/>
              <w:left w:val="nil"/>
              <w:bottom w:val="single" w:sz="4" w:space="0" w:color="auto"/>
              <w:right w:val="single" w:sz="4" w:space="0" w:color="auto"/>
            </w:tcBorders>
            <w:shd w:val="solid" w:color="BFBFBF" w:themeColor="background1" w:themeShade="BF" w:fill="auto"/>
            <w:noWrap/>
            <w:vAlign w:val="center"/>
          </w:tcPr>
          <w:p w14:paraId="48B66BA5" w14:textId="77777777" w:rsidR="009072B2" w:rsidRPr="00010A03" w:rsidRDefault="009072B2" w:rsidP="00010A03">
            <w:pPr>
              <w:spacing w:before="40" w:after="40" w:line="240" w:lineRule="auto"/>
              <w:jc w:val="center"/>
              <w:rPr>
                <w:rFonts w:asciiTheme="minorHAnsi" w:hAnsiTheme="minorHAnsi" w:cstheme="minorHAnsi"/>
                <w:b/>
                <w:color w:val="000000"/>
                <w:sz w:val="20"/>
                <w:szCs w:val="20"/>
                <w:lang w:eastAsia="es-CL"/>
              </w:rPr>
            </w:pPr>
            <w:r w:rsidRPr="00010A03">
              <w:rPr>
                <w:rFonts w:asciiTheme="minorHAnsi" w:hAnsiTheme="minorHAnsi" w:cstheme="minorHAnsi"/>
                <w:b/>
                <w:color w:val="000000"/>
                <w:sz w:val="20"/>
                <w:szCs w:val="20"/>
                <w:lang w:eastAsia="es-CL"/>
              </w:rPr>
              <w:t>feb</w:t>
            </w:r>
          </w:p>
        </w:tc>
        <w:tc>
          <w:tcPr>
            <w:tcW w:w="737" w:type="dxa"/>
            <w:tcBorders>
              <w:top w:val="nil"/>
              <w:left w:val="nil"/>
              <w:bottom w:val="single" w:sz="4" w:space="0" w:color="auto"/>
              <w:right w:val="single" w:sz="4" w:space="0" w:color="auto"/>
            </w:tcBorders>
            <w:shd w:val="solid" w:color="BFBFBF" w:themeColor="background1" w:themeShade="BF" w:fill="auto"/>
            <w:noWrap/>
            <w:vAlign w:val="center"/>
          </w:tcPr>
          <w:p w14:paraId="194C8092" w14:textId="77777777" w:rsidR="009072B2" w:rsidRPr="00010A03" w:rsidRDefault="009072B2" w:rsidP="00010A03">
            <w:pPr>
              <w:spacing w:before="40" w:after="40" w:line="240" w:lineRule="auto"/>
              <w:jc w:val="center"/>
              <w:rPr>
                <w:rFonts w:asciiTheme="minorHAnsi" w:hAnsiTheme="minorHAnsi" w:cstheme="minorHAnsi"/>
                <w:b/>
                <w:color w:val="000000"/>
                <w:sz w:val="20"/>
                <w:szCs w:val="20"/>
                <w:lang w:eastAsia="es-CL"/>
              </w:rPr>
            </w:pPr>
            <w:r w:rsidRPr="00010A03">
              <w:rPr>
                <w:rFonts w:asciiTheme="minorHAnsi" w:hAnsiTheme="minorHAnsi" w:cstheme="minorHAnsi"/>
                <w:b/>
                <w:color w:val="000000"/>
                <w:sz w:val="20"/>
                <w:szCs w:val="20"/>
                <w:lang w:eastAsia="es-CL"/>
              </w:rPr>
              <w:t>mar</w:t>
            </w:r>
          </w:p>
        </w:tc>
        <w:tc>
          <w:tcPr>
            <w:tcW w:w="737" w:type="dxa"/>
            <w:tcBorders>
              <w:top w:val="nil"/>
              <w:left w:val="nil"/>
              <w:bottom w:val="single" w:sz="4" w:space="0" w:color="auto"/>
              <w:right w:val="single" w:sz="4" w:space="0" w:color="auto"/>
            </w:tcBorders>
            <w:shd w:val="solid" w:color="BFBFBF" w:themeColor="background1" w:themeShade="BF" w:fill="auto"/>
            <w:noWrap/>
            <w:vAlign w:val="center"/>
          </w:tcPr>
          <w:p w14:paraId="26ED1C89" w14:textId="77777777" w:rsidR="009072B2" w:rsidRPr="00010A03" w:rsidRDefault="009072B2" w:rsidP="00010A03">
            <w:pPr>
              <w:spacing w:before="40" w:after="40" w:line="240" w:lineRule="auto"/>
              <w:jc w:val="center"/>
              <w:rPr>
                <w:rFonts w:asciiTheme="minorHAnsi" w:hAnsiTheme="minorHAnsi" w:cstheme="minorHAnsi"/>
                <w:b/>
                <w:color w:val="000000"/>
                <w:sz w:val="20"/>
                <w:szCs w:val="20"/>
                <w:lang w:eastAsia="es-CL"/>
              </w:rPr>
            </w:pPr>
            <w:r w:rsidRPr="00010A03">
              <w:rPr>
                <w:rFonts w:asciiTheme="minorHAnsi" w:hAnsiTheme="minorHAnsi" w:cstheme="minorHAnsi"/>
                <w:b/>
                <w:color w:val="000000"/>
                <w:sz w:val="20"/>
                <w:szCs w:val="20"/>
                <w:lang w:eastAsia="es-CL"/>
              </w:rPr>
              <w:t>abr</w:t>
            </w:r>
          </w:p>
        </w:tc>
        <w:tc>
          <w:tcPr>
            <w:tcW w:w="737" w:type="dxa"/>
            <w:tcBorders>
              <w:top w:val="nil"/>
              <w:left w:val="nil"/>
              <w:bottom w:val="single" w:sz="4" w:space="0" w:color="auto"/>
              <w:right w:val="single" w:sz="4" w:space="0" w:color="auto"/>
            </w:tcBorders>
            <w:shd w:val="solid" w:color="BFBFBF" w:themeColor="background1" w:themeShade="BF" w:fill="auto"/>
            <w:noWrap/>
            <w:vAlign w:val="center"/>
          </w:tcPr>
          <w:p w14:paraId="716C6FC9" w14:textId="77777777" w:rsidR="009072B2" w:rsidRPr="00010A03" w:rsidRDefault="009072B2" w:rsidP="00010A03">
            <w:pPr>
              <w:spacing w:before="40" w:after="40" w:line="240" w:lineRule="auto"/>
              <w:jc w:val="center"/>
              <w:rPr>
                <w:rFonts w:asciiTheme="minorHAnsi" w:hAnsiTheme="minorHAnsi" w:cstheme="minorHAnsi"/>
                <w:b/>
                <w:color w:val="000000"/>
                <w:sz w:val="20"/>
                <w:szCs w:val="20"/>
                <w:lang w:eastAsia="es-CL"/>
              </w:rPr>
            </w:pPr>
            <w:r w:rsidRPr="00010A03">
              <w:rPr>
                <w:rFonts w:asciiTheme="minorHAnsi" w:hAnsiTheme="minorHAnsi" w:cstheme="minorHAnsi"/>
                <w:b/>
                <w:color w:val="000000"/>
                <w:sz w:val="20"/>
                <w:szCs w:val="20"/>
                <w:lang w:eastAsia="es-CL"/>
              </w:rPr>
              <w:t>may</w:t>
            </w:r>
          </w:p>
        </w:tc>
        <w:tc>
          <w:tcPr>
            <w:tcW w:w="737" w:type="dxa"/>
            <w:tcBorders>
              <w:top w:val="nil"/>
              <w:left w:val="nil"/>
              <w:bottom w:val="single" w:sz="4" w:space="0" w:color="auto"/>
              <w:right w:val="single" w:sz="4" w:space="0" w:color="auto"/>
            </w:tcBorders>
            <w:shd w:val="solid" w:color="BFBFBF" w:themeColor="background1" w:themeShade="BF" w:fill="auto"/>
            <w:noWrap/>
            <w:vAlign w:val="center"/>
          </w:tcPr>
          <w:p w14:paraId="68095ED0" w14:textId="77777777" w:rsidR="009072B2" w:rsidRPr="00010A03" w:rsidRDefault="009072B2" w:rsidP="00010A03">
            <w:pPr>
              <w:spacing w:before="40" w:after="40" w:line="240" w:lineRule="auto"/>
              <w:jc w:val="center"/>
              <w:rPr>
                <w:rFonts w:asciiTheme="minorHAnsi" w:hAnsiTheme="minorHAnsi" w:cstheme="minorHAnsi"/>
                <w:b/>
                <w:color w:val="000000"/>
                <w:sz w:val="20"/>
                <w:szCs w:val="20"/>
                <w:lang w:eastAsia="es-CL"/>
              </w:rPr>
            </w:pPr>
            <w:r w:rsidRPr="00010A03">
              <w:rPr>
                <w:rFonts w:asciiTheme="minorHAnsi" w:hAnsiTheme="minorHAnsi" w:cstheme="minorHAnsi"/>
                <w:b/>
                <w:color w:val="000000"/>
                <w:sz w:val="20"/>
                <w:szCs w:val="20"/>
                <w:lang w:eastAsia="es-CL"/>
              </w:rPr>
              <w:t>jun</w:t>
            </w:r>
          </w:p>
        </w:tc>
        <w:tc>
          <w:tcPr>
            <w:tcW w:w="737" w:type="dxa"/>
            <w:tcBorders>
              <w:top w:val="nil"/>
              <w:left w:val="nil"/>
              <w:bottom w:val="single" w:sz="4" w:space="0" w:color="auto"/>
              <w:right w:val="single" w:sz="4" w:space="0" w:color="auto"/>
            </w:tcBorders>
            <w:shd w:val="solid" w:color="BFBFBF" w:themeColor="background1" w:themeShade="BF" w:fill="auto"/>
            <w:noWrap/>
            <w:vAlign w:val="center"/>
          </w:tcPr>
          <w:p w14:paraId="4A8747E0" w14:textId="77777777" w:rsidR="009072B2" w:rsidRPr="00010A03" w:rsidRDefault="009072B2" w:rsidP="00010A03">
            <w:pPr>
              <w:spacing w:before="40" w:after="40" w:line="240" w:lineRule="auto"/>
              <w:jc w:val="center"/>
              <w:rPr>
                <w:rFonts w:asciiTheme="minorHAnsi" w:hAnsiTheme="minorHAnsi" w:cstheme="minorHAnsi"/>
                <w:b/>
                <w:color w:val="000000"/>
                <w:sz w:val="20"/>
                <w:szCs w:val="20"/>
                <w:lang w:eastAsia="es-CL"/>
              </w:rPr>
            </w:pPr>
            <w:r w:rsidRPr="00010A03">
              <w:rPr>
                <w:rFonts w:asciiTheme="minorHAnsi" w:hAnsiTheme="minorHAnsi" w:cstheme="minorHAnsi"/>
                <w:b/>
                <w:color w:val="000000"/>
                <w:sz w:val="20"/>
                <w:szCs w:val="20"/>
                <w:lang w:eastAsia="es-CL"/>
              </w:rPr>
              <w:t>jul</w:t>
            </w:r>
          </w:p>
        </w:tc>
        <w:tc>
          <w:tcPr>
            <w:tcW w:w="737" w:type="dxa"/>
            <w:tcBorders>
              <w:top w:val="nil"/>
              <w:left w:val="nil"/>
              <w:bottom w:val="single" w:sz="4" w:space="0" w:color="auto"/>
              <w:right w:val="single" w:sz="4" w:space="0" w:color="auto"/>
            </w:tcBorders>
            <w:shd w:val="solid" w:color="BFBFBF" w:themeColor="background1" w:themeShade="BF" w:fill="auto"/>
            <w:noWrap/>
            <w:vAlign w:val="center"/>
          </w:tcPr>
          <w:p w14:paraId="42DD2EF2" w14:textId="77777777" w:rsidR="009072B2" w:rsidRPr="00010A03" w:rsidRDefault="009072B2" w:rsidP="00010A03">
            <w:pPr>
              <w:spacing w:before="40" w:after="40" w:line="240" w:lineRule="auto"/>
              <w:jc w:val="center"/>
              <w:rPr>
                <w:rFonts w:asciiTheme="minorHAnsi" w:hAnsiTheme="minorHAnsi" w:cstheme="minorHAnsi"/>
                <w:b/>
                <w:color w:val="000000"/>
                <w:sz w:val="20"/>
                <w:szCs w:val="20"/>
                <w:lang w:eastAsia="es-CL"/>
              </w:rPr>
            </w:pPr>
            <w:r w:rsidRPr="00010A03">
              <w:rPr>
                <w:rFonts w:asciiTheme="minorHAnsi" w:hAnsiTheme="minorHAnsi" w:cstheme="minorHAnsi"/>
                <w:b/>
                <w:color w:val="000000"/>
                <w:sz w:val="20"/>
                <w:szCs w:val="20"/>
                <w:lang w:eastAsia="es-CL"/>
              </w:rPr>
              <w:t>ago</w:t>
            </w:r>
          </w:p>
        </w:tc>
        <w:tc>
          <w:tcPr>
            <w:tcW w:w="737" w:type="dxa"/>
            <w:tcBorders>
              <w:top w:val="nil"/>
              <w:left w:val="nil"/>
              <w:bottom w:val="single" w:sz="4" w:space="0" w:color="auto"/>
              <w:right w:val="single" w:sz="4" w:space="0" w:color="auto"/>
            </w:tcBorders>
            <w:shd w:val="solid" w:color="BFBFBF" w:themeColor="background1" w:themeShade="BF" w:fill="auto"/>
            <w:noWrap/>
            <w:vAlign w:val="center"/>
          </w:tcPr>
          <w:p w14:paraId="3A5EDA33" w14:textId="77777777" w:rsidR="009072B2" w:rsidRPr="00010A03" w:rsidRDefault="009072B2" w:rsidP="00010A03">
            <w:pPr>
              <w:spacing w:before="40" w:after="40" w:line="240" w:lineRule="auto"/>
              <w:jc w:val="center"/>
              <w:rPr>
                <w:rFonts w:asciiTheme="minorHAnsi" w:hAnsiTheme="minorHAnsi" w:cstheme="minorHAnsi"/>
                <w:b/>
                <w:color w:val="000000"/>
                <w:sz w:val="20"/>
                <w:szCs w:val="20"/>
                <w:lang w:eastAsia="es-CL"/>
              </w:rPr>
            </w:pPr>
            <w:r w:rsidRPr="00010A03">
              <w:rPr>
                <w:rFonts w:asciiTheme="minorHAnsi" w:hAnsiTheme="minorHAnsi" w:cstheme="minorHAnsi"/>
                <w:b/>
                <w:color w:val="000000"/>
                <w:sz w:val="20"/>
                <w:szCs w:val="20"/>
                <w:lang w:eastAsia="es-CL"/>
              </w:rPr>
              <w:t>sep</w:t>
            </w:r>
          </w:p>
        </w:tc>
        <w:tc>
          <w:tcPr>
            <w:tcW w:w="737" w:type="dxa"/>
            <w:tcBorders>
              <w:top w:val="nil"/>
              <w:left w:val="nil"/>
              <w:bottom w:val="single" w:sz="4" w:space="0" w:color="auto"/>
              <w:right w:val="single" w:sz="4" w:space="0" w:color="auto"/>
            </w:tcBorders>
            <w:shd w:val="solid" w:color="BFBFBF" w:themeColor="background1" w:themeShade="BF" w:fill="auto"/>
            <w:noWrap/>
            <w:vAlign w:val="center"/>
          </w:tcPr>
          <w:p w14:paraId="63E599A9" w14:textId="77777777" w:rsidR="009072B2" w:rsidRPr="00010A03" w:rsidRDefault="009072B2" w:rsidP="00010A03">
            <w:pPr>
              <w:spacing w:before="40" w:after="40" w:line="240" w:lineRule="auto"/>
              <w:jc w:val="center"/>
              <w:rPr>
                <w:rFonts w:asciiTheme="minorHAnsi" w:hAnsiTheme="minorHAnsi" w:cstheme="minorHAnsi"/>
                <w:b/>
                <w:color w:val="000000"/>
                <w:sz w:val="20"/>
                <w:szCs w:val="20"/>
                <w:lang w:eastAsia="es-CL"/>
              </w:rPr>
            </w:pPr>
            <w:r w:rsidRPr="00010A03">
              <w:rPr>
                <w:rFonts w:asciiTheme="minorHAnsi" w:hAnsiTheme="minorHAnsi" w:cstheme="minorHAnsi"/>
                <w:b/>
                <w:color w:val="000000"/>
                <w:sz w:val="20"/>
                <w:szCs w:val="20"/>
                <w:lang w:eastAsia="es-CL"/>
              </w:rPr>
              <w:t>oct</w:t>
            </w:r>
          </w:p>
        </w:tc>
        <w:tc>
          <w:tcPr>
            <w:tcW w:w="737" w:type="dxa"/>
            <w:tcBorders>
              <w:top w:val="nil"/>
              <w:left w:val="nil"/>
              <w:bottom w:val="single" w:sz="4" w:space="0" w:color="auto"/>
              <w:right w:val="single" w:sz="4" w:space="0" w:color="auto"/>
            </w:tcBorders>
            <w:shd w:val="solid" w:color="BFBFBF" w:themeColor="background1" w:themeShade="BF" w:fill="auto"/>
            <w:noWrap/>
            <w:vAlign w:val="center"/>
          </w:tcPr>
          <w:p w14:paraId="7A44DF01" w14:textId="77777777" w:rsidR="009072B2" w:rsidRPr="00010A03" w:rsidRDefault="009072B2" w:rsidP="00010A03">
            <w:pPr>
              <w:spacing w:before="40" w:after="40" w:line="240" w:lineRule="auto"/>
              <w:jc w:val="center"/>
              <w:rPr>
                <w:rFonts w:asciiTheme="minorHAnsi" w:hAnsiTheme="minorHAnsi" w:cstheme="minorHAnsi"/>
                <w:b/>
                <w:color w:val="000000"/>
                <w:sz w:val="20"/>
                <w:szCs w:val="20"/>
                <w:lang w:eastAsia="es-CL"/>
              </w:rPr>
            </w:pPr>
            <w:r w:rsidRPr="00010A03">
              <w:rPr>
                <w:rFonts w:asciiTheme="minorHAnsi" w:hAnsiTheme="minorHAnsi" w:cstheme="minorHAnsi"/>
                <w:b/>
                <w:color w:val="000000"/>
                <w:sz w:val="20"/>
                <w:szCs w:val="20"/>
                <w:lang w:eastAsia="es-CL"/>
              </w:rPr>
              <w:t>nov</w:t>
            </w:r>
          </w:p>
        </w:tc>
        <w:tc>
          <w:tcPr>
            <w:tcW w:w="737" w:type="dxa"/>
            <w:tcBorders>
              <w:top w:val="nil"/>
              <w:left w:val="nil"/>
              <w:bottom w:val="single" w:sz="4" w:space="0" w:color="auto"/>
              <w:right w:val="single" w:sz="4" w:space="0" w:color="auto"/>
            </w:tcBorders>
            <w:shd w:val="solid" w:color="BFBFBF" w:themeColor="background1" w:themeShade="BF" w:fill="auto"/>
            <w:noWrap/>
            <w:vAlign w:val="center"/>
          </w:tcPr>
          <w:p w14:paraId="3F2C17CF" w14:textId="77777777" w:rsidR="009072B2" w:rsidRPr="00010A03" w:rsidRDefault="009072B2" w:rsidP="00010A03">
            <w:pPr>
              <w:spacing w:before="40" w:after="40" w:line="240" w:lineRule="auto"/>
              <w:jc w:val="center"/>
              <w:rPr>
                <w:rFonts w:asciiTheme="minorHAnsi" w:hAnsiTheme="minorHAnsi" w:cstheme="minorHAnsi"/>
                <w:b/>
                <w:color w:val="000000"/>
                <w:sz w:val="20"/>
                <w:szCs w:val="20"/>
                <w:lang w:eastAsia="es-CL"/>
              </w:rPr>
            </w:pPr>
            <w:r w:rsidRPr="00010A03">
              <w:rPr>
                <w:rFonts w:asciiTheme="minorHAnsi" w:hAnsiTheme="minorHAnsi" w:cstheme="minorHAnsi"/>
                <w:b/>
                <w:color w:val="000000"/>
                <w:sz w:val="20"/>
                <w:szCs w:val="20"/>
                <w:lang w:eastAsia="es-CL"/>
              </w:rPr>
              <w:t>dic</w:t>
            </w:r>
          </w:p>
        </w:tc>
      </w:tr>
      <w:tr w:rsidR="009072B2" w:rsidRPr="00010A03" w14:paraId="7F0DADF3" w14:textId="77777777" w:rsidTr="00010A03">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tcPr>
          <w:p w14:paraId="4B35F460" w14:textId="77777777" w:rsidR="009072B2" w:rsidRPr="00010A03" w:rsidRDefault="009072B2" w:rsidP="00010A03">
            <w:pPr>
              <w:spacing w:before="40" w:after="40" w:line="240" w:lineRule="auto"/>
              <w:jc w:val="center"/>
              <w:rPr>
                <w:rFonts w:asciiTheme="minorHAnsi" w:hAnsiTheme="minorHAnsi" w:cstheme="minorHAnsi"/>
                <w:color w:val="000000"/>
                <w:sz w:val="20"/>
                <w:szCs w:val="20"/>
                <w:lang w:eastAsia="es-CL"/>
              </w:rPr>
            </w:pPr>
            <w:r w:rsidRPr="00010A03">
              <w:rPr>
                <w:rFonts w:asciiTheme="minorHAnsi" w:hAnsiTheme="minorHAnsi" w:cstheme="minorHAnsi"/>
                <w:color w:val="000000"/>
                <w:sz w:val="20"/>
                <w:szCs w:val="20"/>
                <w:lang w:eastAsia="es-CL"/>
              </w:rPr>
              <w:t>2017</w:t>
            </w:r>
          </w:p>
        </w:tc>
        <w:tc>
          <w:tcPr>
            <w:tcW w:w="737" w:type="dxa"/>
            <w:tcBorders>
              <w:top w:val="nil"/>
              <w:left w:val="nil"/>
              <w:bottom w:val="single" w:sz="4" w:space="0" w:color="auto"/>
              <w:right w:val="single" w:sz="4" w:space="0" w:color="auto"/>
            </w:tcBorders>
            <w:shd w:val="clear" w:color="auto" w:fill="auto"/>
            <w:noWrap/>
            <w:vAlign w:val="center"/>
          </w:tcPr>
          <w:p w14:paraId="6FECE728" w14:textId="77777777" w:rsidR="009072B2" w:rsidRPr="00010A03" w:rsidRDefault="009072B2" w:rsidP="00010A03">
            <w:pPr>
              <w:spacing w:before="40" w:after="40" w:line="240" w:lineRule="auto"/>
              <w:jc w:val="right"/>
              <w:rPr>
                <w:rFonts w:asciiTheme="minorHAnsi" w:hAnsiTheme="minorHAnsi" w:cstheme="minorHAnsi"/>
                <w:color w:val="000000"/>
                <w:sz w:val="20"/>
                <w:szCs w:val="20"/>
                <w:lang w:eastAsia="es-CL"/>
              </w:rPr>
            </w:pPr>
            <w:r w:rsidRPr="00010A03">
              <w:rPr>
                <w:rFonts w:asciiTheme="minorHAnsi" w:hAnsiTheme="minorHAnsi" w:cstheme="minorHAnsi"/>
                <w:color w:val="000000"/>
                <w:sz w:val="20"/>
                <w:szCs w:val="20"/>
                <w:lang w:eastAsia="es-CL"/>
              </w:rPr>
              <w:t>96,46</w:t>
            </w:r>
          </w:p>
        </w:tc>
        <w:tc>
          <w:tcPr>
            <w:tcW w:w="737" w:type="dxa"/>
            <w:tcBorders>
              <w:top w:val="nil"/>
              <w:left w:val="nil"/>
              <w:bottom w:val="single" w:sz="4" w:space="0" w:color="auto"/>
              <w:right w:val="single" w:sz="4" w:space="0" w:color="auto"/>
            </w:tcBorders>
            <w:shd w:val="clear" w:color="auto" w:fill="auto"/>
            <w:noWrap/>
            <w:vAlign w:val="center"/>
          </w:tcPr>
          <w:p w14:paraId="6E6CD307" w14:textId="77777777" w:rsidR="009072B2" w:rsidRPr="00010A03" w:rsidRDefault="009072B2" w:rsidP="00010A03">
            <w:pPr>
              <w:spacing w:before="40" w:after="40" w:line="240" w:lineRule="auto"/>
              <w:jc w:val="right"/>
              <w:rPr>
                <w:rFonts w:asciiTheme="minorHAnsi" w:hAnsiTheme="minorHAnsi" w:cstheme="minorHAnsi"/>
                <w:color w:val="000000"/>
                <w:sz w:val="20"/>
                <w:szCs w:val="20"/>
                <w:lang w:eastAsia="es-CL"/>
              </w:rPr>
            </w:pPr>
            <w:r w:rsidRPr="00010A03">
              <w:rPr>
                <w:rFonts w:asciiTheme="minorHAnsi" w:hAnsiTheme="minorHAnsi" w:cstheme="minorHAnsi"/>
                <w:color w:val="000000"/>
                <w:sz w:val="20"/>
                <w:szCs w:val="20"/>
                <w:lang w:eastAsia="es-CL"/>
              </w:rPr>
              <w:t>96,69</w:t>
            </w:r>
          </w:p>
        </w:tc>
        <w:tc>
          <w:tcPr>
            <w:tcW w:w="737" w:type="dxa"/>
            <w:tcBorders>
              <w:top w:val="nil"/>
              <w:left w:val="nil"/>
              <w:bottom w:val="single" w:sz="4" w:space="0" w:color="auto"/>
              <w:right w:val="single" w:sz="4" w:space="0" w:color="auto"/>
            </w:tcBorders>
            <w:shd w:val="clear" w:color="auto" w:fill="auto"/>
            <w:noWrap/>
            <w:vAlign w:val="center"/>
          </w:tcPr>
          <w:p w14:paraId="5FE8AA27" w14:textId="77777777" w:rsidR="009072B2" w:rsidRPr="00010A03" w:rsidRDefault="009072B2" w:rsidP="00010A03">
            <w:pPr>
              <w:spacing w:before="40" w:after="40" w:line="240" w:lineRule="auto"/>
              <w:jc w:val="right"/>
              <w:rPr>
                <w:rFonts w:asciiTheme="minorHAnsi" w:hAnsiTheme="minorHAnsi" w:cstheme="minorHAnsi"/>
                <w:color w:val="000000"/>
                <w:sz w:val="20"/>
                <w:szCs w:val="20"/>
                <w:lang w:eastAsia="es-CL"/>
              </w:rPr>
            </w:pPr>
            <w:r w:rsidRPr="00010A03">
              <w:rPr>
                <w:rFonts w:asciiTheme="minorHAnsi" w:hAnsiTheme="minorHAnsi" w:cstheme="minorHAnsi"/>
                <w:color w:val="000000"/>
                <w:sz w:val="20"/>
                <w:szCs w:val="20"/>
                <w:lang w:eastAsia="es-CL"/>
              </w:rPr>
              <w:t>97,06</w:t>
            </w:r>
          </w:p>
        </w:tc>
        <w:tc>
          <w:tcPr>
            <w:tcW w:w="737" w:type="dxa"/>
            <w:tcBorders>
              <w:top w:val="nil"/>
              <w:left w:val="nil"/>
              <w:bottom w:val="single" w:sz="4" w:space="0" w:color="auto"/>
              <w:right w:val="single" w:sz="4" w:space="0" w:color="auto"/>
            </w:tcBorders>
            <w:shd w:val="clear" w:color="auto" w:fill="auto"/>
            <w:noWrap/>
            <w:vAlign w:val="center"/>
          </w:tcPr>
          <w:p w14:paraId="7BD488AF" w14:textId="77777777" w:rsidR="009072B2" w:rsidRPr="00010A03" w:rsidRDefault="009072B2" w:rsidP="00010A03">
            <w:pPr>
              <w:spacing w:before="40" w:after="40" w:line="240" w:lineRule="auto"/>
              <w:jc w:val="right"/>
              <w:rPr>
                <w:rFonts w:asciiTheme="minorHAnsi" w:hAnsiTheme="minorHAnsi" w:cstheme="minorHAnsi"/>
                <w:color w:val="000000"/>
                <w:sz w:val="20"/>
                <w:szCs w:val="20"/>
                <w:lang w:eastAsia="es-CL"/>
              </w:rPr>
            </w:pPr>
            <w:r w:rsidRPr="00010A03">
              <w:rPr>
                <w:rFonts w:asciiTheme="minorHAnsi" w:hAnsiTheme="minorHAnsi" w:cstheme="minorHAnsi"/>
                <w:color w:val="000000"/>
                <w:sz w:val="20"/>
                <w:szCs w:val="20"/>
                <w:lang w:eastAsia="es-CL"/>
              </w:rPr>
              <w:t>97,3</w:t>
            </w:r>
          </w:p>
        </w:tc>
        <w:tc>
          <w:tcPr>
            <w:tcW w:w="737" w:type="dxa"/>
            <w:tcBorders>
              <w:top w:val="nil"/>
              <w:left w:val="nil"/>
              <w:bottom w:val="single" w:sz="4" w:space="0" w:color="auto"/>
              <w:right w:val="single" w:sz="4" w:space="0" w:color="auto"/>
            </w:tcBorders>
            <w:shd w:val="clear" w:color="auto" w:fill="auto"/>
            <w:noWrap/>
            <w:vAlign w:val="center"/>
          </w:tcPr>
          <w:p w14:paraId="238C9EB5" w14:textId="77777777" w:rsidR="009072B2" w:rsidRPr="00010A03" w:rsidRDefault="009072B2" w:rsidP="00010A03">
            <w:pPr>
              <w:spacing w:before="40" w:after="40" w:line="240" w:lineRule="auto"/>
              <w:jc w:val="right"/>
              <w:rPr>
                <w:rFonts w:asciiTheme="minorHAnsi" w:hAnsiTheme="minorHAnsi" w:cstheme="minorHAnsi"/>
                <w:color w:val="000000"/>
                <w:sz w:val="20"/>
                <w:szCs w:val="20"/>
                <w:lang w:eastAsia="es-CL"/>
              </w:rPr>
            </w:pPr>
            <w:r w:rsidRPr="00010A03">
              <w:rPr>
                <w:rFonts w:asciiTheme="minorHAnsi" w:hAnsiTheme="minorHAnsi" w:cstheme="minorHAnsi"/>
                <w:color w:val="000000"/>
                <w:sz w:val="20"/>
                <w:szCs w:val="20"/>
                <w:lang w:eastAsia="es-CL"/>
              </w:rPr>
              <w:t>97,42</w:t>
            </w:r>
          </w:p>
        </w:tc>
        <w:tc>
          <w:tcPr>
            <w:tcW w:w="737" w:type="dxa"/>
            <w:tcBorders>
              <w:top w:val="nil"/>
              <w:left w:val="nil"/>
              <w:bottom w:val="single" w:sz="4" w:space="0" w:color="auto"/>
              <w:right w:val="single" w:sz="4" w:space="0" w:color="auto"/>
            </w:tcBorders>
            <w:shd w:val="clear" w:color="auto" w:fill="auto"/>
            <w:noWrap/>
            <w:vAlign w:val="center"/>
          </w:tcPr>
          <w:p w14:paraId="64B1466A" w14:textId="77777777" w:rsidR="009072B2" w:rsidRPr="00010A03" w:rsidRDefault="009072B2" w:rsidP="00010A03">
            <w:pPr>
              <w:spacing w:before="40" w:after="40" w:line="240" w:lineRule="auto"/>
              <w:jc w:val="right"/>
              <w:rPr>
                <w:rFonts w:asciiTheme="minorHAnsi" w:hAnsiTheme="minorHAnsi" w:cstheme="minorHAnsi"/>
                <w:color w:val="000000"/>
                <w:sz w:val="20"/>
                <w:szCs w:val="20"/>
                <w:lang w:eastAsia="es-CL"/>
              </w:rPr>
            </w:pPr>
            <w:r w:rsidRPr="00010A03">
              <w:rPr>
                <w:rFonts w:asciiTheme="minorHAnsi" w:hAnsiTheme="minorHAnsi" w:cstheme="minorHAnsi"/>
                <w:color w:val="000000"/>
                <w:sz w:val="20"/>
                <w:szCs w:val="20"/>
                <w:lang w:eastAsia="es-CL"/>
              </w:rPr>
              <w:t>97,04</w:t>
            </w:r>
          </w:p>
        </w:tc>
        <w:tc>
          <w:tcPr>
            <w:tcW w:w="737" w:type="dxa"/>
            <w:tcBorders>
              <w:top w:val="nil"/>
              <w:left w:val="nil"/>
              <w:bottom w:val="single" w:sz="4" w:space="0" w:color="auto"/>
              <w:right w:val="single" w:sz="4" w:space="0" w:color="auto"/>
            </w:tcBorders>
            <w:shd w:val="clear" w:color="auto" w:fill="auto"/>
            <w:noWrap/>
            <w:vAlign w:val="center"/>
          </w:tcPr>
          <w:p w14:paraId="7FE74757" w14:textId="77777777" w:rsidR="009072B2" w:rsidRPr="00010A03" w:rsidRDefault="009072B2" w:rsidP="00010A03">
            <w:pPr>
              <w:spacing w:before="40" w:after="40" w:line="240" w:lineRule="auto"/>
              <w:jc w:val="right"/>
              <w:rPr>
                <w:rFonts w:asciiTheme="minorHAnsi" w:hAnsiTheme="minorHAnsi" w:cstheme="minorHAnsi"/>
                <w:color w:val="000000"/>
                <w:sz w:val="20"/>
                <w:szCs w:val="20"/>
                <w:lang w:eastAsia="es-CL"/>
              </w:rPr>
            </w:pPr>
            <w:r w:rsidRPr="00010A03">
              <w:rPr>
                <w:rFonts w:asciiTheme="minorHAnsi" w:hAnsiTheme="minorHAnsi" w:cstheme="minorHAnsi"/>
                <w:color w:val="000000"/>
                <w:sz w:val="20"/>
                <w:szCs w:val="20"/>
                <w:lang w:eastAsia="es-CL"/>
              </w:rPr>
              <w:t>97,27</w:t>
            </w:r>
          </w:p>
        </w:tc>
        <w:tc>
          <w:tcPr>
            <w:tcW w:w="737" w:type="dxa"/>
            <w:tcBorders>
              <w:top w:val="nil"/>
              <w:left w:val="nil"/>
              <w:bottom w:val="single" w:sz="4" w:space="0" w:color="auto"/>
              <w:right w:val="single" w:sz="4" w:space="0" w:color="auto"/>
            </w:tcBorders>
            <w:shd w:val="clear" w:color="auto" w:fill="auto"/>
            <w:noWrap/>
            <w:vAlign w:val="center"/>
          </w:tcPr>
          <w:p w14:paraId="66A8D7F4" w14:textId="77777777" w:rsidR="009072B2" w:rsidRPr="00010A03" w:rsidRDefault="009072B2" w:rsidP="00010A03">
            <w:pPr>
              <w:spacing w:before="40" w:after="40" w:line="240" w:lineRule="auto"/>
              <w:jc w:val="right"/>
              <w:rPr>
                <w:rFonts w:asciiTheme="minorHAnsi" w:hAnsiTheme="minorHAnsi" w:cstheme="minorHAnsi"/>
                <w:color w:val="000000"/>
                <w:sz w:val="20"/>
                <w:szCs w:val="20"/>
                <w:lang w:eastAsia="es-CL"/>
              </w:rPr>
            </w:pPr>
            <w:r w:rsidRPr="00010A03">
              <w:rPr>
                <w:rFonts w:asciiTheme="minorHAnsi" w:hAnsiTheme="minorHAnsi" w:cstheme="minorHAnsi"/>
                <w:color w:val="000000"/>
                <w:sz w:val="20"/>
                <w:szCs w:val="20"/>
                <w:lang w:eastAsia="es-CL"/>
              </w:rPr>
              <w:t>97,47</w:t>
            </w:r>
          </w:p>
        </w:tc>
        <w:tc>
          <w:tcPr>
            <w:tcW w:w="737" w:type="dxa"/>
            <w:tcBorders>
              <w:top w:val="nil"/>
              <w:left w:val="nil"/>
              <w:bottom w:val="single" w:sz="4" w:space="0" w:color="auto"/>
              <w:right w:val="single" w:sz="4" w:space="0" w:color="auto"/>
            </w:tcBorders>
            <w:shd w:val="clear" w:color="auto" w:fill="auto"/>
            <w:noWrap/>
            <w:vAlign w:val="center"/>
          </w:tcPr>
          <w:p w14:paraId="76719583" w14:textId="77777777" w:rsidR="009072B2" w:rsidRPr="00010A03" w:rsidRDefault="009072B2" w:rsidP="00010A03">
            <w:pPr>
              <w:spacing w:before="40" w:after="40" w:line="240" w:lineRule="auto"/>
              <w:jc w:val="right"/>
              <w:rPr>
                <w:rFonts w:asciiTheme="minorHAnsi" w:hAnsiTheme="minorHAnsi" w:cstheme="minorHAnsi"/>
                <w:color w:val="000000"/>
                <w:sz w:val="20"/>
                <w:szCs w:val="20"/>
                <w:lang w:eastAsia="es-CL"/>
              </w:rPr>
            </w:pPr>
            <w:r w:rsidRPr="00010A03">
              <w:rPr>
                <w:rFonts w:asciiTheme="minorHAnsi" w:hAnsiTheme="minorHAnsi" w:cstheme="minorHAnsi"/>
                <w:color w:val="000000"/>
                <w:sz w:val="20"/>
                <w:szCs w:val="20"/>
                <w:lang w:eastAsia="es-CL"/>
              </w:rPr>
              <w:t>97,32</w:t>
            </w:r>
          </w:p>
        </w:tc>
        <w:tc>
          <w:tcPr>
            <w:tcW w:w="737" w:type="dxa"/>
            <w:tcBorders>
              <w:top w:val="nil"/>
              <w:left w:val="nil"/>
              <w:bottom w:val="single" w:sz="4" w:space="0" w:color="auto"/>
              <w:right w:val="single" w:sz="4" w:space="0" w:color="auto"/>
            </w:tcBorders>
            <w:shd w:val="clear" w:color="auto" w:fill="auto"/>
            <w:noWrap/>
            <w:vAlign w:val="center"/>
          </w:tcPr>
          <w:p w14:paraId="7E81B5AD" w14:textId="77777777" w:rsidR="009072B2" w:rsidRPr="00010A03" w:rsidRDefault="009072B2" w:rsidP="00010A03">
            <w:pPr>
              <w:spacing w:before="40" w:after="40" w:line="240" w:lineRule="auto"/>
              <w:jc w:val="right"/>
              <w:rPr>
                <w:rFonts w:asciiTheme="minorHAnsi" w:hAnsiTheme="minorHAnsi" w:cstheme="minorHAnsi"/>
                <w:color w:val="000000"/>
                <w:sz w:val="20"/>
                <w:szCs w:val="20"/>
                <w:lang w:eastAsia="es-CL"/>
              </w:rPr>
            </w:pPr>
            <w:r w:rsidRPr="00010A03">
              <w:rPr>
                <w:rFonts w:asciiTheme="minorHAnsi" w:hAnsiTheme="minorHAnsi" w:cstheme="minorHAnsi"/>
                <w:color w:val="000000"/>
                <w:sz w:val="20"/>
                <w:szCs w:val="20"/>
                <w:lang w:eastAsia="es-CL"/>
              </w:rPr>
              <w:t>97,89</w:t>
            </w:r>
          </w:p>
        </w:tc>
        <w:tc>
          <w:tcPr>
            <w:tcW w:w="737" w:type="dxa"/>
            <w:tcBorders>
              <w:top w:val="nil"/>
              <w:left w:val="nil"/>
              <w:bottom w:val="single" w:sz="4" w:space="0" w:color="auto"/>
              <w:right w:val="single" w:sz="4" w:space="0" w:color="auto"/>
            </w:tcBorders>
            <w:shd w:val="clear" w:color="auto" w:fill="auto"/>
            <w:noWrap/>
            <w:vAlign w:val="center"/>
          </w:tcPr>
          <w:p w14:paraId="5123AE0D" w14:textId="77777777" w:rsidR="009072B2" w:rsidRPr="00010A03" w:rsidRDefault="009072B2" w:rsidP="00010A03">
            <w:pPr>
              <w:spacing w:before="40" w:after="40" w:line="240" w:lineRule="auto"/>
              <w:jc w:val="right"/>
              <w:rPr>
                <w:rFonts w:asciiTheme="minorHAnsi" w:hAnsiTheme="minorHAnsi" w:cstheme="minorHAnsi"/>
                <w:color w:val="000000"/>
                <w:sz w:val="20"/>
                <w:szCs w:val="20"/>
                <w:lang w:eastAsia="es-CL"/>
              </w:rPr>
            </w:pPr>
            <w:r w:rsidRPr="00010A03">
              <w:rPr>
                <w:rFonts w:asciiTheme="minorHAnsi" w:hAnsiTheme="minorHAnsi" w:cstheme="minorHAnsi"/>
                <w:color w:val="000000"/>
                <w:sz w:val="20"/>
                <w:szCs w:val="20"/>
                <w:lang w:eastAsia="es-CL"/>
              </w:rPr>
              <w:t>97,98</w:t>
            </w:r>
          </w:p>
        </w:tc>
        <w:tc>
          <w:tcPr>
            <w:tcW w:w="737" w:type="dxa"/>
            <w:tcBorders>
              <w:top w:val="nil"/>
              <w:left w:val="nil"/>
              <w:bottom w:val="single" w:sz="4" w:space="0" w:color="auto"/>
              <w:right w:val="single" w:sz="4" w:space="0" w:color="auto"/>
            </w:tcBorders>
            <w:shd w:val="clear" w:color="auto" w:fill="auto"/>
            <w:noWrap/>
            <w:vAlign w:val="center"/>
          </w:tcPr>
          <w:p w14:paraId="60D8FA78" w14:textId="77777777" w:rsidR="009072B2" w:rsidRPr="00010A03" w:rsidRDefault="009072B2" w:rsidP="00010A03">
            <w:pPr>
              <w:spacing w:before="40" w:after="40" w:line="240" w:lineRule="auto"/>
              <w:jc w:val="right"/>
              <w:rPr>
                <w:rFonts w:asciiTheme="minorHAnsi" w:hAnsiTheme="minorHAnsi" w:cstheme="minorHAnsi"/>
                <w:color w:val="000000"/>
                <w:sz w:val="20"/>
                <w:szCs w:val="20"/>
                <w:lang w:eastAsia="es-CL"/>
              </w:rPr>
            </w:pPr>
            <w:r w:rsidRPr="00010A03">
              <w:rPr>
                <w:rFonts w:asciiTheme="minorHAnsi" w:hAnsiTheme="minorHAnsi" w:cstheme="minorHAnsi"/>
                <w:color w:val="000000"/>
                <w:sz w:val="20"/>
                <w:szCs w:val="20"/>
                <w:lang w:eastAsia="es-CL"/>
              </w:rPr>
              <w:t>98,12</w:t>
            </w:r>
          </w:p>
        </w:tc>
      </w:tr>
      <w:tr w:rsidR="009072B2" w:rsidRPr="00010A03" w14:paraId="15788FFB" w14:textId="77777777" w:rsidTr="00010A03">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tcPr>
          <w:p w14:paraId="4AD733BF" w14:textId="77777777" w:rsidR="009072B2" w:rsidRPr="00010A03" w:rsidRDefault="009072B2" w:rsidP="00010A03">
            <w:pPr>
              <w:spacing w:before="40" w:after="40" w:line="240" w:lineRule="auto"/>
              <w:jc w:val="center"/>
              <w:rPr>
                <w:rFonts w:asciiTheme="minorHAnsi" w:hAnsiTheme="minorHAnsi" w:cstheme="minorHAnsi"/>
                <w:color w:val="000000"/>
                <w:sz w:val="20"/>
                <w:szCs w:val="20"/>
                <w:lang w:eastAsia="es-CL"/>
              </w:rPr>
            </w:pPr>
            <w:r w:rsidRPr="00010A03">
              <w:rPr>
                <w:rFonts w:asciiTheme="minorHAnsi" w:hAnsiTheme="minorHAnsi" w:cstheme="minorHAnsi"/>
                <w:color w:val="000000"/>
                <w:sz w:val="20"/>
                <w:szCs w:val="20"/>
                <w:lang w:eastAsia="es-CL"/>
              </w:rPr>
              <w:t>2018</w:t>
            </w:r>
          </w:p>
        </w:tc>
        <w:tc>
          <w:tcPr>
            <w:tcW w:w="737" w:type="dxa"/>
            <w:tcBorders>
              <w:top w:val="nil"/>
              <w:left w:val="nil"/>
              <w:bottom w:val="single" w:sz="4" w:space="0" w:color="auto"/>
              <w:right w:val="single" w:sz="4" w:space="0" w:color="auto"/>
            </w:tcBorders>
            <w:shd w:val="clear" w:color="auto" w:fill="auto"/>
            <w:noWrap/>
            <w:vAlign w:val="center"/>
          </w:tcPr>
          <w:p w14:paraId="3CE8F297" w14:textId="77777777" w:rsidR="009072B2" w:rsidRPr="00010A03" w:rsidRDefault="009072B2" w:rsidP="00010A03">
            <w:pPr>
              <w:spacing w:before="40" w:after="40" w:line="240" w:lineRule="auto"/>
              <w:jc w:val="right"/>
              <w:rPr>
                <w:rFonts w:asciiTheme="minorHAnsi" w:hAnsiTheme="minorHAnsi" w:cstheme="minorHAnsi"/>
                <w:color w:val="000000"/>
                <w:sz w:val="20"/>
                <w:szCs w:val="20"/>
                <w:lang w:eastAsia="es-CL"/>
              </w:rPr>
            </w:pPr>
            <w:r w:rsidRPr="00010A03">
              <w:rPr>
                <w:rFonts w:asciiTheme="minorHAnsi" w:hAnsiTheme="minorHAnsi" w:cstheme="minorHAnsi"/>
                <w:color w:val="000000"/>
                <w:sz w:val="20"/>
                <w:szCs w:val="20"/>
                <w:lang w:eastAsia="es-CL"/>
              </w:rPr>
              <w:t>98,57</w:t>
            </w:r>
          </w:p>
        </w:tc>
        <w:tc>
          <w:tcPr>
            <w:tcW w:w="737" w:type="dxa"/>
            <w:tcBorders>
              <w:top w:val="nil"/>
              <w:left w:val="nil"/>
              <w:bottom w:val="single" w:sz="4" w:space="0" w:color="auto"/>
              <w:right w:val="single" w:sz="4" w:space="0" w:color="auto"/>
            </w:tcBorders>
            <w:shd w:val="clear" w:color="auto" w:fill="auto"/>
            <w:noWrap/>
            <w:vAlign w:val="center"/>
          </w:tcPr>
          <w:p w14:paraId="4FAF5A47" w14:textId="77777777" w:rsidR="009072B2" w:rsidRPr="00010A03" w:rsidRDefault="009072B2" w:rsidP="00010A03">
            <w:pPr>
              <w:spacing w:before="40" w:after="40" w:line="240" w:lineRule="auto"/>
              <w:jc w:val="right"/>
              <w:rPr>
                <w:rFonts w:asciiTheme="minorHAnsi" w:hAnsiTheme="minorHAnsi" w:cstheme="minorHAnsi"/>
                <w:color w:val="000000"/>
                <w:sz w:val="20"/>
                <w:szCs w:val="20"/>
                <w:lang w:eastAsia="es-CL"/>
              </w:rPr>
            </w:pPr>
            <w:r w:rsidRPr="00010A03">
              <w:rPr>
                <w:rFonts w:asciiTheme="minorHAnsi" w:hAnsiTheme="minorHAnsi" w:cstheme="minorHAnsi"/>
                <w:color w:val="000000"/>
                <w:sz w:val="20"/>
                <w:szCs w:val="20"/>
                <w:lang w:eastAsia="es-CL"/>
              </w:rPr>
              <w:t>98,62</w:t>
            </w:r>
          </w:p>
        </w:tc>
        <w:tc>
          <w:tcPr>
            <w:tcW w:w="737" w:type="dxa"/>
            <w:tcBorders>
              <w:top w:val="nil"/>
              <w:left w:val="nil"/>
              <w:bottom w:val="single" w:sz="4" w:space="0" w:color="auto"/>
              <w:right w:val="single" w:sz="4" w:space="0" w:color="auto"/>
            </w:tcBorders>
            <w:shd w:val="clear" w:color="auto" w:fill="auto"/>
            <w:noWrap/>
            <w:vAlign w:val="center"/>
          </w:tcPr>
          <w:p w14:paraId="15274451" w14:textId="77777777" w:rsidR="009072B2" w:rsidRPr="00010A03" w:rsidRDefault="009072B2" w:rsidP="00010A03">
            <w:pPr>
              <w:spacing w:before="40" w:after="40" w:line="240" w:lineRule="auto"/>
              <w:jc w:val="right"/>
              <w:rPr>
                <w:rFonts w:asciiTheme="minorHAnsi" w:hAnsiTheme="minorHAnsi" w:cstheme="minorHAnsi"/>
                <w:color w:val="000000"/>
                <w:sz w:val="20"/>
                <w:szCs w:val="20"/>
                <w:lang w:eastAsia="es-CL"/>
              </w:rPr>
            </w:pPr>
            <w:r w:rsidRPr="00010A03">
              <w:rPr>
                <w:rFonts w:asciiTheme="minorHAnsi" w:hAnsiTheme="minorHAnsi" w:cstheme="minorHAnsi"/>
                <w:color w:val="000000"/>
                <w:sz w:val="20"/>
                <w:szCs w:val="20"/>
                <w:lang w:eastAsia="es-CL"/>
              </w:rPr>
              <w:t>98,82</w:t>
            </w:r>
          </w:p>
        </w:tc>
        <w:tc>
          <w:tcPr>
            <w:tcW w:w="737" w:type="dxa"/>
            <w:tcBorders>
              <w:top w:val="nil"/>
              <w:left w:val="nil"/>
              <w:bottom w:val="single" w:sz="4" w:space="0" w:color="auto"/>
              <w:right w:val="single" w:sz="4" w:space="0" w:color="auto"/>
            </w:tcBorders>
            <w:shd w:val="clear" w:color="auto" w:fill="auto"/>
            <w:noWrap/>
            <w:vAlign w:val="center"/>
          </w:tcPr>
          <w:p w14:paraId="1E7487D5" w14:textId="77777777" w:rsidR="009072B2" w:rsidRPr="00010A03" w:rsidRDefault="009072B2" w:rsidP="00010A03">
            <w:pPr>
              <w:spacing w:before="40" w:after="40" w:line="240" w:lineRule="auto"/>
              <w:jc w:val="right"/>
              <w:rPr>
                <w:rFonts w:asciiTheme="minorHAnsi" w:hAnsiTheme="minorHAnsi" w:cstheme="minorHAnsi"/>
                <w:color w:val="000000"/>
                <w:sz w:val="20"/>
                <w:szCs w:val="20"/>
                <w:lang w:eastAsia="es-CL"/>
              </w:rPr>
            </w:pPr>
            <w:r w:rsidRPr="00010A03">
              <w:rPr>
                <w:rFonts w:asciiTheme="minorHAnsi" w:hAnsiTheme="minorHAnsi" w:cstheme="minorHAnsi"/>
                <w:color w:val="000000"/>
                <w:sz w:val="20"/>
                <w:szCs w:val="20"/>
                <w:lang w:eastAsia="es-CL"/>
              </w:rPr>
              <w:t>99,13</w:t>
            </w:r>
          </w:p>
        </w:tc>
        <w:tc>
          <w:tcPr>
            <w:tcW w:w="737" w:type="dxa"/>
            <w:tcBorders>
              <w:top w:val="nil"/>
              <w:left w:val="nil"/>
              <w:bottom w:val="single" w:sz="4" w:space="0" w:color="auto"/>
              <w:right w:val="single" w:sz="4" w:space="0" w:color="auto"/>
            </w:tcBorders>
            <w:shd w:val="clear" w:color="auto" w:fill="auto"/>
            <w:noWrap/>
            <w:vAlign w:val="center"/>
          </w:tcPr>
          <w:p w14:paraId="778BB6E4" w14:textId="77777777" w:rsidR="009072B2" w:rsidRPr="00010A03" w:rsidRDefault="009072B2" w:rsidP="00010A03">
            <w:pPr>
              <w:spacing w:before="40" w:after="40" w:line="240" w:lineRule="auto"/>
              <w:jc w:val="right"/>
              <w:rPr>
                <w:rFonts w:asciiTheme="minorHAnsi" w:hAnsiTheme="minorHAnsi" w:cstheme="minorHAnsi"/>
                <w:color w:val="000000"/>
                <w:sz w:val="20"/>
                <w:szCs w:val="20"/>
                <w:lang w:eastAsia="es-CL"/>
              </w:rPr>
            </w:pPr>
            <w:r w:rsidRPr="00010A03">
              <w:rPr>
                <w:rFonts w:asciiTheme="minorHAnsi" w:hAnsiTheme="minorHAnsi" w:cstheme="minorHAnsi"/>
                <w:color w:val="000000"/>
                <w:sz w:val="20"/>
                <w:szCs w:val="20"/>
                <w:lang w:eastAsia="es-CL"/>
              </w:rPr>
              <w:t>99,41</w:t>
            </w:r>
          </w:p>
        </w:tc>
        <w:tc>
          <w:tcPr>
            <w:tcW w:w="737" w:type="dxa"/>
            <w:tcBorders>
              <w:top w:val="nil"/>
              <w:left w:val="nil"/>
              <w:bottom w:val="single" w:sz="4" w:space="0" w:color="auto"/>
              <w:right w:val="single" w:sz="4" w:space="0" w:color="auto"/>
            </w:tcBorders>
            <w:shd w:val="clear" w:color="auto" w:fill="auto"/>
            <w:noWrap/>
            <w:vAlign w:val="center"/>
          </w:tcPr>
          <w:p w14:paraId="45F431BA" w14:textId="77777777" w:rsidR="009072B2" w:rsidRPr="00010A03" w:rsidRDefault="009072B2" w:rsidP="00010A03">
            <w:pPr>
              <w:spacing w:before="40" w:after="40" w:line="240" w:lineRule="auto"/>
              <w:jc w:val="right"/>
              <w:rPr>
                <w:rFonts w:asciiTheme="minorHAnsi" w:hAnsiTheme="minorHAnsi" w:cstheme="minorHAnsi"/>
                <w:color w:val="000000"/>
                <w:sz w:val="20"/>
                <w:szCs w:val="20"/>
                <w:lang w:eastAsia="es-CL"/>
              </w:rPr>
            </w:pPr>
            <w:r w:rsidRPr="00010A03">
              <w:rPr>
                <w:rFonts w:asciiTheme="minorHAnsi" w:hAnsiTheme="minorHAnsi" w:cstheme="minorHAnsi"/>
                <w:color w:val="000000"/>
                <w:sz w:val="20"/>
                <w:szCs w:val="20"/>
                <w:lang w:eastAsia="es-CL"/>
              </w:rPr>
              <w:t>99,51</w:t>
            </w:r>
          </w:p>
        </w:tc>
        <w:tc>
          <w:tcPr>
            <w:tcW w:w="737" w:type="dxa"/>
            <w:tcBorders>
              <w:top w:val="nil"/>
              <w:left w:val="nil"/>
              <w:bottom w:val="single" w:sz="4" w:space="0" w:color="auto"/>
              <w:right w:val="single" w:sz="4" w:space="0" w:color="auto"/>
            </w:tcBorders>
            <w:shd w:val="clear" w:color="auto" w:fill="auto"/>
            <w:noWrap/>
            <w:vAlign w:val="center"/>
          </w:tcPr>
          <w:p w14:paraId="442491CC" w14:textId="77777777" w:rsidR="009072B2" w:rsidRPr="00010A03" w:rsidRDefault="009072B2" w:rsidP="00010A03">
            <w:pPr>
              <w:spacing w:before="40" w:after="40" w:line="240" w:lineRule="auto"/>
              <w:jc w:val="right"/>
              <w:rPr>
                <w:rFonts w:asciiTheme="minorHAnsi" w:hAnsiTheme="minorHAnsi" w:cstheme="minorHAnsi"/>
                <w:color w:val="000000"/>
                <w:sz w:val="20"/>
                <w:szCs w:val="20"/>
                <w:lang w:eastAsia="es-CL"/>
              </w:rPr>
            </w:pPr>
            <w:r w:rsidRPr="00010A03">
              <w:rPr>
                <w:rFonts w:asciiTheme="minorHAnsi" w:hAnsiTheme="minorHAnsi" w:cstheme="minorHAnsi"/>
                <w:color w:val="000000"/>
                <w:sz w:val="20"/>
                <w:szCs w:val="20"/>
                <w:lang w:eastAsia="es-CL"/>
              </w:rPr>
              <w:t>99,86</w:t>
            </w:r>
          </w:p>
        </w:tc>
        <w:tc>
          <w:tcPr>
            <w:tcW w:w="737" w:type="dxa"/>
            <w:tcBorders>
              <w:top w:val="nil"/>
              <w:left w:val="nil"/>
              <w:bottom w:val="single" w:sz="4" w:space="0" w:color="auto"/>
              <w:right w:val="single" w:sz="4" w:space="0" w:color="auto"/>
            </w:tcBorders>
            <w:shd w:val="clear" w:color="auto" w:fill="auto"/>
            <w:noWrap/>
            <w:vAlign w:val="center"/>
          </w:tcPr>
          <w:p w14:paraId="49FA2829" w14:textId="77777777" w:rsidR="009072B2" w:rsidRPr="00010A03" w:rsidRDefault="009072B2" w:rsidP="00010A03">
            <w:pPr>
              <w:spacing w:before="40" w:after="40" w:line="240" w:lineRule="auto"/>
              <w:jc w:val="right"/>
              <w:rPr>
                <w:rFonts w:asciiTheme="minorHAnsi" w:hAnsiTheme="minorHAnsi" w:cstheme="minorHAnsi"/>
                <w:color w:val="000000"/>
                <w:sz w:val="20"/>
                <w:szCs w:val="20"/>
                <w:lang w:eastAsia="es-CL"/>
              </w:rPr>
            </w:pPr>
            <w:r w:rsidRPr="00010A03">
              <w:rPr>
                <w:rFonts w:asciiTheme="minorHAnsi" w:hAnsiTheme="minorHAnsi" w:cstheme="minorHAnsi"/>
                <w:color w:val="000000"/>
                <w:sz w:val="20"/>
                <w:szCs w:val="20"/>
                <w:lang w:eastAsia="es-CL"/>
              </w:rPr>
              <w:t>100,04</w:t>
            </w:r>
          </w:p>
        </w:tc>
        <w:tc>
          <w:tcPr>
            <w:tcW w:w="737" w:type="dxa"/>
            <w:tcBorders>
              <w:top w:val="nil"/>
              <w:left w:val="nil"/>
              <w:bottom w:val="single" w:sz="4" w:space="0" w:color="auto"/>
              <w:right w:val="single" w:sz="4" w:space="0" w:color="auto"/>
            </w:tcBorders>
            <w:shd w:val="clear" w:color="auto" w:fill="auto"/>
            <w:noWrap/>
            <w:vAlign w:val="center"/>
          </w:tcPr>
          <w:p w14:paraId="1CE379B3" w14:textId="77777777" w:rsidR="009072B2" w:rsidRPr="00010A03" w:rsidRDefault="009072B2" w:rsidP="00010A03">
            <w:pPr>
              <w:spacing w:before="40" w:after="40" w:line="240" w:lineRule="auto"/>
              <w:jc w:val="right"/>
              <w:rPr>
                <w:rFonts w:asciiTheme="minorHAnsi" w:hAnsiTheme="minorHAnsi" w:cstheme="minorHAnsi"/>
                <w:color w:val="000000"/>
                <w:sz w:val="20"/>
                <w:szCs w:val="20"/>
                <w:lang w:eastAsia="es-CL"/>
              </w:rPr>
            </w:pPr>
            <w:r w:rsidRPr="00010A03">
              <w:rPr>
                <w:rFonts w:asciiTheme="minorHAnsi" w:hAnsiTheme="minorHAnsi" w:cstheme="minorHAnsi"/>
                <w:color w:val="000000"/>
                <w:sz w:val="20"/>
                <w:szCs w:val="20"/>
                <w:lang w:eastAsia="es-CL"/>
              </w:rPr>
              <w:t>100,38</w:t>
            </w:r>
          </w:p>
        </w:tc>
        <w:tc>
          <w:tcPr>
            <w:tcW w:w="737" w:type="dxa"/>
            <w:tcBorders>
              <w:top w:val="nil"/>
              <w:left w:val="nil"/>
              <w:bottom w:val="single" w:sz="4" w:space="0" w:color="auto"/>
              <w:right w:val="single" w:sz="4" w:space="0" w:color="auto"/>
            </w:tcBorders>
            <w:shd w:val="clear" w:color="auto" w:fill="auto"/>
            <w:noWrap/>
            <w:vAlign w:val="center"/>
          </w:tcPr>
          <w:p w14:paraId="5DC08278" w14:textId="77777777" w:rsidR="009072B2" w:rsidRPr="00010A03" w:rsidRDefault="009072B2" w:rsidP="00010A03">
            <w:pPr>
              <w:spacing w:before="40" w:after="40" w:line="240" w:lineRule="auto"/>
              <w:jc w:val="right"/>
              <w:rPr>
                <w:rFonts w:asciiTheme="minorHAnsi" w:hAnsiTheme="minorHAnsi" w:cstheme="minorHAnsi"/>
                <w:color w:val="000000"/>
                <w:sz w:val="20"/>
                <w:szCs w:val="20"/>
                <w:lang w:eastAsia="es-CL"/>
              </w:rPr>
            </w:pPr>
            <w:r w:rsidRPr="00010A03">
              <w:rPr>
                <w:rFonts w:asciiTheme="minorHAnsi" w:hAnsiTheme="minorHAnsi" w:cstheme="minorHAnsi"/>
                <w:color w:val="000000"/>
                <w:sz w:val="20"/>
                <w:szCs w:val="20"/>
                <w:lang w:eastAsia="es-CL"/>
              </w:rPr>
              <w:t>100,74</w:t>
            </w:r>
          </w:p>
        </w:tc>
        <w:tc>
          <w:tcPr>
            <w:tcW w:w="737" w:type="dxa"/>
            <w:tcBorders>
              <w:top w:val="nil"/>
              <w:left w:val="nil"/>
              <w:bottom w:val="single" w:sz="4" w:space="0" w:color="auto"/>
              <w:right w:val="single" w:sz="4" w:space="0" w:color="auto"/>
            </w:tcBorders>
            <w:shd w:val="clear" w:color="auto" w:fill="auto"/>
            <w:noWrap/>
            <w:vAlign w:val="center"/>
          </w:tcPr>
          <w:p w14:paraId="3D5A2982" w14:textId="77777777" w:rsidR="009072B2" w:rsidRPr="00010A03" w:rsidRDefault="009072B2" w:rsidP="00010A03">
            <w:pPr>
              <w:spacing w:before="40" w:after="40" w:line="240" w:lineRule="auto"/>
              <w:jc w:val="right"/>
              <w:rPr>
                <w:rFonts w:asciiTheme="minorHAnsi" w:hAnsiTheme="minorHAnsi" w:cstheme="minorHAnsi"/>
                <w:color w:val="000000"/>
                <w:sz w:val="20"/>
                <w:szCs w:val="20"/>
                <w:lang w:eastAsia="es-CL"/>
              </w:rPr>
            </w:pPr>
            <w:r w:rsidRPr="00010A03">
              <w:rPr>
                <w:rFonts w:asciiTheme="minorHAnsi" w:hAnsiTheme="minorHAnsi" w:cstheme="minorHAnsi"/>
                <w:color w:val="000000"/>
                <w:sz w:val="20"/>
                <w:szCs w:val="20"/>
                <w:lang w:eastAsia="es-CL"/>
              </w:rPr>
              <w:t>100,74</w:t>
            </w:r>
          </w:p>
        </w:tc>
        <w:tc>
          <w:tcPr>
            <w:tcW w:w="737" w:type="dxa"/>
            <w:tcBorders>
              <w:top w:val="nil"/>
              <w:left w:val="nil"/>
              <w:bottom w:val="single" w:sz="4" w:space="0" w:color="auto"/>
              <w:right w:val="single" w:sz="4" w:space="0" w:color="auto"/>
            </w:tcBorders>
            <w:shd w:val="clear" w:color="auto" w:fill="auto"/>
            <w:noWrap/>
            <w:vAlign w:val="center"/>
          </w:tcPr>
          <w:p w14:paraId="46F739FE" w14:textId="77777777" w:rsidR="009072B2" w:rsidRPr="00010A03" w:rsidRDefault="009072B2" w:rsidP="00010A03">
            <w:pPr>
              <w:spacing w:before="40" w:after="40" w:line="240" w:lineRule="auto"/>
              <w:jc w:val="right"/>
              <w:rPr>
                <w:rFonts w:asciiTheme="minorHAnsi" w:hAnsiTheme="minorHAnsi" w:cstheme="minorHAnsi"/>
                <w:color w:val="000000"/>
                <w:sz w:val="20"/>
                <w:szCs w:val="20"/>
                <w:lang w:eastAsia="es-CL"/>
              </w:rPr>
            </w:pPr>
            <w:r w:rsidRPr="00010A03">
              <w:rPr>
                <w:rFonts w:asciiTheme="minorHAnsi" w:hAnsiTheme="minorHAnsi" w:cstheme="minorHAnsi"/>
                <w:color w:val="000000"/>
                <w:sz w:val="20"/>
                <w:szCs w:val="20"/>
                <w:lang w:eastAsia="es-CL"/>
              </w:rPr>
              <w:t>100,64</w:t>
            </w:r>
          </w:p>
        </w:tc>
      </w:tr>
      <w:tr w:rsidR="009072B2" w:rsidRPr="00010A03" w14:paraId="5E84EE56" w14:textId="77777777" w:rsidTr="00010A03">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tcPr>
          <w:p w14:paraId="4D384755" w14:textId="77777777" w:rsidR="009072B2" w:rsidRPr="00010A03" w:rsidRDefault="009072B2" w:rsidP="00010A03">
            <w:pPr>
              <w:spacing w:before="40" w:after="40" w:line="240" w:lineRule="auto"/>
              <w:jc w:val="center"/>
              <w:rPr>
                <w:rFonts w:asciiTheme="minorHAnsi" w:hAnsiTheme="minorHAnsi" w:cstheme="minorHAnsi"/>
                <w:color w:val="000000"/>
                <w:sz w:val="20"/>
                <w:szCs w:val="20"/>
                <w:lang w:eastAsia="es-CL"/>
              </w:rPr>
            </w:pPr>
            <w:r w:rsidRPr="00010A03">
              <w:rPr>
                <w:rFonts w:asciiTheme="minorHAnsi" w:hAnsiTheme="minorHAnsi" w:cstheme="minorHAnsi"/>
                <w:color w:val="000000"/>
                <w:sz w:val="20"/>
                <w:szCs w:val="20"/>
                <w:lang w:eastAsia="es-CL"/>
              </w:rPr>
              <w:t>2019</w:t>
            </w:r>
          </w:p>
        </w:tc>
        <w:tc>
          <w:tcPr>
            <w:tcW w:w="737" w:type="dxa"/>
            <w:tcBorders>
              <w:top w:val="nil"/>
              <w:left w:val="nil"/>
              <w:bottom w:val="single" w:sz="4" w:space="0" w:color="auto"/>
              <w:right w:val="single" w:sz="4" w:space="0" w:color="auto"/>
            </w:tcBorders>
            <w:shd w:val="clear" w:color="auto" w:fill="auto"/>
            <w:noWrap/>
            <w:vAlign w:val="center"/>
          </w:tcPr>
          <w:p w14:paraId="031555BC" w14:textId="77777777" w:rsidR="009072B2" w:rsidRPr="00010A03" w:rsidRDefault="009072B2" w:rsidP="00010A03">
            <w:pPr>
              <w:spacing w:before="40" w:after="40" w:line="240" w:lineRule="auto"/>
              <w:jc w:val="right"/>
              <w:rPr>
                <w:rFonts w:asciiTheme="minorHAnsi" w:hAnsiTheme="minorHAnsi" w:cstheme="minorHAnsi"/>
                <w:color w:val="000000"/>
                <w:sz w:val="20"/>
                <w:szCs w:val="20"/>
                <w:lang w:eastAsia="es-CL"/>
              </w:rPr>
            </w:pPr>
            <w:r w:rsidRPr="00010A03">
              <w:rPr>
                <w:rFonts w:asciiTheme="minorHAnsi" w:hAnsiTheme="minorHAnsi" w:cstheme="minorHAnsi"/>
                <w:color w:val="000000"/>
                <w:sz w:val="20"/>
                <w:szCs w:val="20"/>
                <w:lang w:eastAsia="es-CL"/>
              </w:rPr>
              <w:t>100,75</w:t>
            </w:r>
          </w:p>
        </w:tc>
        <w:tc>
          <w:tcPr>
            <w:tcW w:w="737" w:type="dxa"/>
            <w:tcBorders>
              <w:top w:val="nil"/>
              <w:left w:val="nil"/>
              <w:bottom w:val="single" w:sz="4" w:space="0" w:color="auto"/>
              <w:right w:val="single" w:sz="4" w:space="0" w:color="auto"/>
            </w:tcBorders>
            <w:shd w:val="clear" w:color="auto" w:fill="auto"/>
            <w:noWrap/>
            <w:vAlign w:val="center"/>
          </w:tcPr>
          <w:p w14:paraId="6486B635" w14:textId="77777777" w:rsidR="009072B2" w:rsidRPr="00010A03" w:rsidRDefault="009072B2" w:rsidP="00010A03">
            <w:pPr>
              <w:spacing w:before="40" w:after="40" w:line="240" w:lineRule="auto"/>
              <w:jc w:val="right"/>
              <w:rPr>
                <w:rFonts w:asciiTheme="minorHAnsi" w:hAnsiTheme="minorHAnsi" w:cstheme="minorHAnsi"/>
                <w:color w:val="000000"/>
                <w:sz w:val="20"/>
                <w:szCs w:val="20"/>
                <w:lang w:eastAsia="es-CL"/>
              </w:rPr>
            </w:pPr>
            <w:r w:rsidRPr="00010A03">
              <w:rPr>
                <w:rFonts w:asciiTheme="minorHAnsi" w:hAnsiTheme="minorHAnsi" w:cstheme="minorHAnsi"/>
                <w:color w:val="000000"/>
                <w:sz w:val="20"/>
                <w:szCs w:val="20"/>
                <w:lang w:eastAsia="es-CL"/>
              </w:rPr>
              <w:t>100,79</w:t>
            </w:r>
          </w:p>
        </w:tc>
        <w:tc>
          <w:tcPr>
            <w:tcW w:w="737" w:type="dxa"/>
            <w:tcBorders>
              <w:top w:val="nil"/>
              <w:left w:val="nil"/>
              <w:bottom w:val="single" w:sz="4" w:space="0" w:color="auto"/>
              <w:right w:val="single" w:sz="4" w:space="0" w:color="auto"/>
            </w:tcBorders>
            <w:shd w:val="clear" w:color="auto" w:fill="auto"/>
            <w:noWrap/>
            <w:vAlign w:val="center"/>
          </w:tcPr>
          <w:p w14:paraId="1F08EFD7" w14:textId="77777777" w:rsidR="009072B2" w:rsidRPr="00010A03" w:rsidRDefault="009072B2" w:rsidP="00010A03">
            <w:pPr>
              <w:spacing w:before="40" w:after="40" w:line="240" w:lineRule="auto"/>
              <w:jc w:val="right"/>
              <w:rPr>
                <w:rFonts w:asciiTheme="minorHAnsi" w:hAnsiTheme="minorHAnsi" w:cstheme="minorHAnsi"/>
                <w:color w:val="000000"/>
                <w:sz w:val="20"/>
                <w:szCs w:val="20"/>
                <w:lang w:eastAsia="es-CL"/>
              </w:rPr>
            </w:pPr>
            <w:r w:rsidRPr="00010A03">
              <w:rPr>
                <w:rFonts w:asciiTheme="minorHAnsi" w:hAnsiTheme="minorHAnsi" w:cstheme="minorHAnsi"/>
                <w:color w:val="000000"/>
                <w:sz w:val="20"/>
                <w:szCs w:val="20"/>
                <w:lang w:eastAsia="es-CL"/>
              </w:rPr>
              <w:t>101,27</w:t>
            </w:r>
          </w:p>
        </w:tc>
        <w:tc>
          <w:tcPr>
            <w:tcW w:w="737" w:type="dxa"/>
            <w:tcBorders>
              <w:top w:val="nil"/>
              <w:left w:val="nil"/>
              <w:bottom w:val="single" w:sz="4" w:space="0" w:color="auto"/>
              <w:right w:val="single" w:sz="4" w:space="0" w:color="auto"/>
            </w:tcBorders>
            <w:shd w:val="clear" w:color="auto" w:fill="auto"/>
            <w:noWrap/>
            <w:vAlign w:val="center"/>
          </w:tcPr>
          <w:p w14:paraId="34E5DAC1" w14:textId="77777777" w:rsidR="009072B2" w:rsidRPr="00010A03" w:rsidRDefault="009072B2" w:rsidP="00010A03">
            <w:pPr>
              <w:spacing w:before="40" w:after="40" w:line="240" w:lineRule="auto"/>
              <w:jc w:val="right"/>
              <w:rPr>
                <w:rFonts w:asciiTheme="minorHAnsi" w:hAnsiTheme="minorHAnsi" w:cstheme="minorHAnsi"/>
                <w:color w:val="000000"/>
                <w:sz w:val="20"/>
                <w:szCs w:val="20"/>
                <w:lang w:eastAsia="es-CL"/>
              </w:rPr>
            </w:pPr>
            <w:r w:rsidRPr="00010A03">
              <w:rPr>
                <w:rFonts w:asciiTheme="minorHAnsi" w:hAnsiTheme="minorHAnsi" w:cstheme="minorHAnsi"/>
                <w:color w:val="000000"/>
                <w:sz w:val="20"/>
                <w:szCs w:val="20"/>
                <w:lang w:eastAsia="es-CL"/>
              </w:rPr>
              <w:t>101,54</w:t>
            </w:r>
          </w:p>
        </w:tc>
        <w:tc>
          <w:tcPr>
            <w:tcW w:w="737" w:type="dxa"/>
            <w:tcBorders>
              <w:top w:val="nil"/>
              <w:left w:val="nil"/>
              <w:bottom w:val="single" w:sz="4" w:space="0" w:color="auto"/>
              <w:right w:val="single" w:sz="4" w:space="0" w:color="auto"/>
            </w:tcBorders>
            <w:shd w:val="clear" w:color="auto" w:fill="auto"/>
            <w:noWrap/>
            <w:vAlign w:val="center"/>
          </w:tcPr>
          <w:p w14:paraId="7105FB2C" w14:textId="77777777" w:rsidR="009072B2" w:rsidRPr="00010A03" w:rsidRDefault="009072B2" w:rsidP="00010A03">
            <w:pPr>
              <w:spacing w:before="40" w:after="40" w:line="240" w:lineRule="auto"/>
              <w:jc w:val="right"/>
              <w:rPr>
                <w:rFonts w:asciiTheme="minorHAnsi" w:hAnsiTheme="minorHAnsi" w:cstheme="minorHAnsi"/>
                <w:color w:val="000000"/>
                <w:sz w:val="20"/>
                <w:szCs w:val="20"/>
                <w:lang w:eastAsia="es-CL"/>
              </w:rPr>
            </w:pPr>
            <w:r w:rsidRPr="00010A03">
              <w:rPr>
                <w:rFonts w:asciiTheme="minorHAnsi" w:hAnsiTheme="minorHAnsi" w:cstheme="minorHAnsi"/>
                <w:color w:val="000000"/>
                <w:sz w:val="20"/>
                <w:szCs w:val="20"/>
                <w:lang w:eastAsia="es-CL"/>
              </w:rPr>
              <w:t>102,15</w:t>
            </w:r>
          </w:p>
        </w:tc>
        <w:tc>
          <w:tcPr>
            <w:tcW w:w="737" w:type="dxa"/>
            <w:tcBorders>
              <w:top w:val="nil"/>
              <w:left w:val="nil"/>
              <w:bottom w:val="single" w:sz="4" w:space="0" w:color="auto"/>
              <w:right w:val="single" w:sz="4" w:space="0" w:color="auto"/>
            </w:tcBorders>
            <w:shd w:val="clear" w:color="auto" w:fill="auto"/>
            <w:noWrap/>
            <w:vAlign w:val="center"/>
          </w:tcPr>
          <w:p w14:paraId="0D81B7C1" w14:textId="77777777" w:rsidR="009072B2" w:rsidRPr="00010A03" w:rsidRDefault="009072B2" w:rsidP="00010A03">
            <w:pPr>
              <w:spacing w:before="40" w:after="40" w:line="240" w:lineRule="auto"/>
              <w:jc w:val="right"/>
              <w:rPr>
                <w:rFonts w:asciiTheme="minorHAnsi" w:hAnsiTheme="minorHAnsi" w:cstheme="minorHAnsi"/>
                <w:color w:val="000000"/>
                <w:sz w:val="20"/>
                <w:szCs w:val="20"/>
                <w:lang w:eastAsia="es-CL"/>
              </w:rPr>
            </w:pPr>
            <w:r w:rsidRPr="00010A03">
              <w:rPr>
                <w:rFonts w:asciiTheme="minorHAnsi" w:hAnsiTheme="minorHAnsi" w:cstheme="minorHAnsi"/>
                <w:color w:val="000000"/>
                <w:sz w:val="20"/>
                <w:szCs w:val="20"/>
                <w:lang w:eastAsia="es-CL"/>
              </w:rPr>
              <w:t>102,2</w:t>
            </w:r>
          </w:p>
        </w:tc>
        <w:tc>
          <w:tcPr>
            <w:tcW w:w="737" w:type="dxa"/>
            <w:tcBorders>
              <w:top w:val="nil"/>
              <w:left w:val="nil"/>
              <w:bottom w:val="single" w:sz="4" w:space="0" w:color="auto"/>
              <w:right w:val="single" w:sz="4" w:space="0" w:color="auto"/>
            </w:tcBorders>
            <w:shd w:val="clear" w:color="auto" w:fill="auto"/>
            <w:noWrap/>
            <w:vAlign w:val="center"/>
          </w:tcPr>
          <w:p w14:paraId="447328D3" w14:textId="77777777" w:rsidR="009072B2" w:rsidRPr="00010A03" w:rsidRDefault="009072B2" w:rsidP="00010A03">
            <w:pPr>
              <w:spacing w:before="40" w:after="40" w:line="240" w:lineRule="auto"/>
              <w:jc w:val="right"/>
              <w:rPr>
                <w:rFonts w:asciiTheme="minorHAnsi" w:hAnsiTheme="minorHAnsi" w:cstheme="minorHAnsi"/>
                <w:color w:val="000000"/>
                <w:sz w:val="20"/>
                <w:szCs w:val="20"/>
                <w:lang w:eastAsia="es-CL"/>
              </w:rPr>
            </w:pPr>
            <w:r w:rsidRPr="00010A03">
              <w:rPr>
                <w:rFonts w:asciiTheme="minorHAnsi" w:hAnsiTheme="minorHAnsi" w:cstheme="minorHAnsi"/>
                <w:color w:val="000000"/>
                <w:sz w:val="20"/>
                <w:szCs w:val="20"/>
                <w:lang w:eastAsia="es-CL"/>
              </w:rPr>
              <w:t>102,43</w:t>
            </w:r>
          </w:p>
        </w:tc>
        <w:tc>
          <w:tcPr>
            <w:tcW w:w="737" w:type="dxa"/>
            <w:tcBorders>
              <w:top w:val="nil"/>
              <w:left w:val="nil"/>
              <w:bottom w:val="single" w:sz="4" w:space="0" w:color="auto"/>
              <w:right w:val="single" w:sz="4" w:space="0" w:color="auto"/>
            </w:tcBorders>
            <w:shd w:val="clear" w:color="auto" w:fill="auto"/>
            <w:noWrap/>
            <w:vAlign w:val="center"/>
          </w:tcPr>
          <w:p w14:paraId="10F20BF5" w14:textId="77777777" w:rsidR="009072B2" w:rsidRPr="00010A03" w:rsidRDefault="009072B2" w:rsidP="00010A03">
            <w:pPr>
              <w:spacing w:before="40" w:after="40" w:line="240" w:lineRule="auto"/>
              <w:jc w:val="right"/>
              <w:rPr>
                <w:rFonts w:asciiTheme="minorHAnsi" w:hAnsiTheme="minorHAnsi" w:cstheme="minorHAnsi"/>
                <w:color w:val="000000"/>
                <w:sz w:val="20"/>
                <w:szCs w:val="20"/>
                <w:lang w:eastAsia="es-CL"/>
              </w:rPr>
            </w:pPr>
            <w:r w:rsidRPr="00010A03">
              <w:rPr>
                <w:rFonts w:asciiTheme="minorHAnsi" w:hAnsiTheme="minorHAnsi" w:cstheme="minorHAnsi"/>
                <w:color w:val="000000"/>
                <w:sz w:val="20"/>
                <w:szCs w:val="20"/>
                <w:lang w:eastAsia="es-CL"/>
              </w:rPr>
              <w:t>102,62</w:t>
            </w:r>
          </w:p>
        </w:tc>
        <w:tc>
          <w:tcPr>
            <w:tcW w:w="737" w:type="dxa"/>
            <w:tcBorders>
              <w:top w:val="nil"/>
              <w:left w:val="nil"/>
              <w:bottom w:val="single" w:sz="4" w:space="0" w:color="auto"/>
              <w:right w:val="single" w:sz="4" w:space="0" w:color="auto"/>
            </w:tcBorders>
            <w:shd w:val="clear" w:color="auto" w:fill="auto"/>
            <w:noWrap/>
            <w:vAlign w:val="center"/>
          </w:tcPr>
          <w:p w14:paraId="30C17FA9" w14:textId="77777777" w:rsidR="009072B2" w:rsidRPr="00010A03" w:rsidRDefault="009072B2" w:rsidP="00010A03">
            <w:pPr>
              <w:spacing w:before="40" w:after="40" w:line="240" w:lineRule="auto"/>
              <w:jc w:val="right"/>
              <w:rPr>
                <w:rFonts w:asciiTheme="minorHAnsi" w:hAnsiTheme="minorHAnsi" w:cstheme="minorHAnsi"/>
                <w:color w:val="000000"/>
                <w:sz w:val="20"/>
                <w:szCs w:val="20"/>
                <w:lang w:eastAsia="es-CL"/>
              </w:rPr>
            </w:pPr>
            <w:r w:rsidRPr="00010A03">
              <w:rPr>
                <w:rFonts w:asciiTheme="minorHAnsi" w:hAnsiTheme="minorHAnsi" w:cstheme="minorHAnsi"/>
                <w:color w:val="000000"/>
                <w:sz w:val="20"/>
                <w:szCs w:val="20"/>
                <w:lang w:eastAsia="es-CL"/>
              </w:rPr>
              <w:t>102,63</w:t>
            </w:r>
          </w:p>
        </w:tc>
        <w:tc>
          <w:tcPr>
            <w:tcW w:w="737" w:type="dxa"/>
            <w:tcBorders>
              <w:top w:val="nil"/>
              <w:left w:val="nil"/>
              <w:bottom w:val="single" w:sz="4" w:space="0" w:color="auto"/>
              <w:right w:val="single" w:sz="4" w:space="0" w:color="auto"/>
            </w:tcBorders>
            <w:shd w:val="clear" w:color="auto" w:fill="auto"/>
            <w:noWrap/>
            <w:vAlign w:val="center"/>
          </w:tcPr>
          <w:p w14:paraId="0A4B3F14" w14:textId="77777777" w:rsidR="009072B2" w:rsidRPr="00010A03" w:rsidRDefault="009072B2" w:rsidP="00010A03">
            <w:pPr>
              <w:spacing w:before="40" w:after="40" w:line="240" w:lineRule="auto"/>
              <w:jc w:val="right"/>
              <w:rPr>
                <w:rFonts w:asciiTheme="minorHAnsi" w:hAnsiTheme="minorHAnsi" w:cstheme="minorHAnsi"/>
                <w:color w:val="000000"/>
                <w:sz w:val="20"/>
                <w:szCs w:val="20"/>
                <w:lang w:eastAsia="es-CL"/>
              </w:rPr>
            </w:pPr>
            <w:r w:rsidRPr="00010A03">
              <w:rPr>
                <w:rFonts w:asciiTheme="minorHAnsi" w:hAnsiTheme="minorHAnsi" w:cstheme="minorHAnsi"/>
                <w:color w:val="000000"/>
                <w:sz w:val="20"/>
                <w:szCs w:val="20"/>
                <w:lang w:eastAsia="es-CL"/>
              </w:rPr>
              <w:t>103,47</w:t>
            </w:r>
          </w:p>
        </w:tc>
        <w:tc>
          <w:tcPr>
            <w:tcW w:w="737" w:type="dxa"/>
            <w:tcBorders>
              <w:top w:val="nil"/>
              <w:left w:val="nil"/>
              <w:bottom w:val="single" w:sz="4" w:space="0" w:color="auto"/>
              <w:right w:val="single" w:sz="4" w:space="0" w:color="auto"/>
            </w:tcBorders>
            <w:shd w:val="clear" w:color="auto" w:fill="auto"/>
            <w:noWrap/>
            <w:vAlign w:val="center"/>
          </w:tcPr>
          <w:p w14:paraId="03BF9D17" w14:textId="77777777" w:rsidR="009072B2" w:rsidRPr="00010A03" w:rsidRDefault="009072B2" w:rsidP="00010A03">
            <w:pPr>
              <w:spacing w:before="40" w:after="40" w:line="240" w:lineRule="auto"/>
              <w:jc w:val="right"/>
              <w:rPr>
                <w:rFonts w:asciiTheme="minorHAnsi" w:hAnsiTheme="minorHAnsi" w:cstheme="minorHAnsi"/>
                <w:color w:val="000000"/>
                <w:sz w:val="20"/>
                <w:szCs w:val="20"/>
                <w:lang w:eastAsia="es-CL"/>
              </w:rPr>
            </w:pPr>
            <w:r w:rsidRPr="00010A03">
              <w:rPr>
                <w:rFonts w:asciiTheme="minorHAnsi" w:hAnsiTheme="minorHAnsi" w:cstheme="minorHAnsi"/>
                <w:color w:val="000000"/>
                <w:sz w:val="20"/>
                <w:szCs w:val="20"/>
                <w:lang w:eastAsia="es-CL"/>
              </w:rPr>
              <w:t>103,55</w:t>
            </w:r>
          </w:p>
        </w:tc>
        <w:tc>
          <w:tcPr>
            <w:tcW w:w="737" w:type="dxa"/>
            <w:tcBorders>
              <w:top w:val="nil"/>
              <w:left w:val="nil"/>
              <w:bottom w:val="single" w:sz="4" w:space="0" w:color="auto"/>
              <w:right w:val="single" w:sz="4" w:space="0" w:color="auto"/>
            </w:tcBorders>
            <w:shd w:val="clear" w:color="auto" w:fill="auto"/>
            <w:noWrap/>
            <w:vAlign w:val="center"/>
          </w:tcPr>
          <w:p w14:paraId="68FA1F05" w14:textId="77777777" w:rsidR="009072B2" w:rsidRPr="00010A03" w:rsidRDefault="009072B2" w:rsidP="00010A03">
            <w:pPr>
              <w:spacing w:before="40" w:after="40" w:line="240" w:lineRule="auto"/>
              <w:jc w:val="right"/>
              <w:rPr>
                <w:rFonts w:asciiTheme="minorHAnsi" w:hAnsiTheme="minorHAnsi" w:cstheme="minorHAnsi"/>
                <w:color w:val="000000"/>
                <w:sz w:val="20"/>
                <w:szCs w:val="20"/>
                <w:lang w:eastAsia="es-CL"/>
              </w:rPr>
            </w:pPr>
            <w:r w:rsidRPr="00010A03">
              <w:rPr>
                <w:rFonts w:asciiTheme="minorHAnsi" w:hAnsiTheme="minorHAnsi" w:cstheme="minorHAnsi"/>
                <w:color w:val="000000"/>
                <w:sz w:val="20"/>
                <w:szCs w:val="20"/>
                <w:lang w:eastAsia="es-CL"/>
              </w:rPr>
              <w:t>103,66</w:t>
            </w:r>
          </w:p>
        </w:tc>
      </w:tr>
    </w:tbl>
    <w:p w14:paraId="2CB84C2F" w14:textId="77777777" w:rsidR="0058219B" w:rsidRDefault="0058219B" w:rsidP="00010A03">
      <w:pPr>
        <w:spacing w:after="0"/>
      </w:pPr>
    </w:p>
    <w:p w14:paraId="354F72FA" w14:textId="29A83137" w:rsidR="00084018" w:rsidRPr="00EE2F47" w:rsidRDefault="00822FF1" w:rsidP="00084018">
      <w:r>
        <w:t xml:space="preserve">De esta forma, el valor base </w:t>
      </w:r>
      <m:oMath>
        <m:r>
          <w:rPr>
            <w:rFonts w:ascii="Cambria Math" w:hAnsi="Cambria Math"/>
          </w:rPr>
          <m:t>IP</m:t>
        </m:r>
        <m:sSub>
          <m:sSubPr>
            <m:ctrlPr>
              <w:rPr>
                <w:rFonts w:ascii="Cambria Math" w:hAnsi="Cambria Math"/>
                <w:i/>
              </w:rPr>
            </m:ctrlPr>
          </m:sSubPr>
          <m:e>
            <m:r>
              <w:rPr>
                <w:rFonts w:ascii="Cambria Math" w:hAnsi="Cambria Math"/>
              </w:rPr>
              <m:t>C</m:t>
            </m:r>
          </m:e>
          <m:sub>
            <m:r>
              <w:rPr>
                <w:rFonts w:ascii="Cambria Math" w:hAnsi="Cambria Math"/>
              </w:rPr>
              <m:t>0</m:t>
            </m:r>
          </m:sub>
        </m:sSub>
      </m:oMath>
      <w:r w:rsidR="00084018" w:rsidRPr="00EE2F47">
        <w:t xml:space="preserve"> corresponde al valor de octubre de 2017, es decir </w:t>
      </w:r>
      <m:oMath>
        <m:r>
          <w:rPr>
            <w:rFonts w:ascii="Cambria Math" w:hAnsi="Cambria Math"/>
          </w:rPr>
          <m:t>IP</m:t>
        </m:r>
        <m:sSub>
          <m:sSubPr>
            <m:ctrlPr>
              <w:rPr>
                <w:rFonts w:ascii="Cambria Math" w:hAnsi="Cambria Math"/>
                <w:i/>
                <w:vertAlign w:val="subscript"/>
              </w:rPr>
            </m:ctrlPr>
          </m:sSubPr>
          <m:e>
            <m:r>
              <w:rPr>
                <w:rFonts w:ascii="Cambria Math" w:hAnsi="Cambria Math"/>
              </w:rPr>
              <m:t>C</m:t>
            </m:r>
            <m:ctrlPr>
              <w:rPr>
                <w:rFonts w:ascii="Cambria Math" w:hAnsi="Cambria Math"/>
                <w:i/>
              </w:rPr>
            </m:ctrlPr>
          </m:e>
          <m:sub>
            <m:r>
              <w:rPr>
                <w:rFonts w:ascii="Cambria Math" w:hAnsi="Cambria Math"/>
                <w:vertAlign w:val="subscript"/>
              </w:rPr>
              <m:t>0</m:t>
            </m:r>
          </m:sub>
        </m:sSub>
        <m:r>
          <w:rPr>
            <w:rFonts w:ascii="Cambria Math" w:hAnsi="Cambria Math"/>
          </w:rPr>
          <m:t>= 97,89</m:t>
        </m:r>
      </m:oMath>
      <w:r w:rsidR="00084018" w:rsidRPr="00822FF1">
        <w:t xml:space="preserve">, </w:t>
      </w:r>
      <w:r w:rsidR="00084018" w:rsidRPr="00EE2F47">
        <w:t>con IPC base 2018.</w:t>
      </w:r>
    </w:p>
    <w:p w14:paraId="43FABABC" w14:textId="77777777" w:rsidR="00084018" w:rsidRPr="006B2448" w:rsidRDefault="00084018" w:rsidP="006A5733">
      <w:pPr>
        <w:pStyle w:val="Ttulo4"/>
      </w:pPr>
      <w:bookmarkStart w:id="561" w:name="_Toc39797902"/>
      <w:r w:rsidRPr="006B2448">
        <w:t xml:space="preserve">Consumer Price Index </w:t>
      </w:r>
      <w:r>
        <w:t>(CPI)</w:t>
      </w:r>
      <w:bookmarkEnd w:id="561"/>
    </w:p>
    <w:p w14:paraId="04DA96F1" w14:textId="77777777" w:rsidR="00084018" w:rsidRDefault="00084018" w:rsidP="00BC1A41">
      <w:pPr>
        <w:spacing w:after="120"/>
      </w:pPr>
      <w:r w:rsidRPr="00EE2F47">
        <w:t xml:space="preserve">Según las bases lo señalan, las componentes de costo asociadas a recursos importados deben indexarse según la variación del </w:t>
      </w:r>
      <w:bookmarkStart w:id="562" w:name="_Hlk25659844"/>
      <w:r w:rsidRPr="00822FF1">
        <w:rPr>
          <w:i/>
        </w:rPr>
        <w:t>Consumer Price Index</w:t>
      </w:r>
      <w:r w:rsidRPr="00EE2F47">
        <w:t xml:space="preserve"> </w:t>
      </w:r>
      <w:bookmarkEnd w:id="562"/>
      <w:r w:rsidRPr="00EE2F47">
        <w:t>(</w:t>
      </w:r>
      <w:r w:rsidRPr="00822FF1">
        <w:rPr>
          <w:i/>
        </w:rPr>
        <w:t>All Urban Consumers</w:t>
      </w:r>
      <w:r w:rsidRPr="00EE2F47">
        <w:t xml:space="preserve">) publicado por el </w:t>
      </w:r>
      <w:r w:rsidRPr="00822FF1">
        <w:rPr>
          <w:i/>
        </w:rPr>
        <w:t>Bureau of Labor Statistics</w:t>
      </w:r>
      <w:r w:rsidRPr="00EE2F47">
        <w:t xml:space="preserve"> (</w:t>
      </w:r>
      <w:r w:rsidRPr="00822FF1">
        <w:rPr>
          <w:i/>
        </w:rPr>
        <w:t>BLS</w:t>
      </w:r>
      <w:r w:rsidRPr="00EE2F47">
        <w:t>) del Gobierno de los Estados Unidos de América (Código BLS: CUUR0000SA0). La tabla siguiente muestra la serie de CPI pa</w:t>
      </w:r>
      <w:r w:rsidR="008A5FF6">
        <w:t>ra el período enero 2017 a diciembre</w:t>
      </w:r>
      <w:r w:rsidRPr="00EE2F47">
        <w:t xml:space="preserve"> 2019</w:t>
      </w:r>
      <w:r w:rsidRPr="006B2448">
        <w:rPr>
          <w:rStyle w:val="Refdenotaalpie"/>
        </w:rPr>
        <w:footnoteReference w:id="52"/>
      </w:r>
      <w:r w:rsidRPr="00EE2F47">
        <w:t>:</w:t>
      </w:r>
    </w:p>
    <w:p w14:paraId="547E391A" w14:textId="355B0264" w:rsidR="00397C1F" w:rsidRPr="002237F2" w:rsidRDefault="003A0B8A" w:rsidP="003A0B8A">
      <w:pPr>
        <w:pStyle w:val="Subttulo"/>
        <w:rPr>
          <w:lang w:val="en-US"/>
        </w:rPr>
      </w:pPr>
      <w:bookmarkStart w:id="563" w:name="_Toc27147885"/>
      <w:bookmarkStart w:id="564" w:name="_Toc39797974"/>
      <w:r w:rsidRPr="00685E20">
        <w:rPr>
          <w:lang w:val="en-US"/>
        </w:rPr>
        <w:t xml:space="preserve">Tabla </w:t>
      </w:r>
      <w:r w:rsidRPr="002F3394">
        <w:fldChar w:fldCharType="begin"/>
      </w:r>
      <w:r w:rsidRPr="00685E20">
        <w:rPr>
          <w:lang w:val="en-US"/>
        </w:rPr>
        <w:instrText xml:space="preserve"> SEQ Tabla \* ARABIC </w:instrText>
      </w:r>
      <w:r w:rsidRPr="002F3394">
        <w:fldChar w:fldCharType="separate"/>
      </w:r>
      <w:r w:rsidR="001F3E2E">
        <w:rPr>
          <w:noProof/>
          <w:lang w:val="en-US"/>
        </w:rPr>
        <w:t>64</w:t>
      </w:r>
      <w:r w:rsidRPr="002F3394">
        <w:fldChar w:fldCharType="end"/>
      </w:r>
      <w:r w:rsidRPr="00685E20">
        <w:rPr>
          <w:lang w:val="en-US"/>
        </w:rPr>
        <w:t>:</w:t>
      </w:r>
      <w:r w:rsidR="00084018" w:rsidRPr="000F2820">
        <w:rPr>
          <w:lang w:val="en-US"/>
        </w:rPr>
        <w:t xml:space="preserve"> Consumer Price Index All Urban Consumers</w:t>
      </w:r>
      <w:bookmarkEnd w:id="563"/>
      <w:bookmarkEnd w:id="564"/>
    </w:p>
    <w:tbl>
      <w:tblPr>
        <w:tblW w:w="0" w:type="auto"/>
        <w:jc w:val="center"/>
        <w:tblLayout w:type="fixed"/>
        <w:tblCellMar>
          <w:left w:w="57" w:type="dxa"/>
          <w:right w:w="57" w:type="dxa"/>
        </w:tblCellMar>
        <w:tblLook w:val="0000" w:firstRow="0" w:lastRow="0" w:firstColumn="0" w:lastColumn="0" w:noHBand="0" w:noVBand="0"/>
      </w:tblPr>
      <w:tblGrid>
        <w:gridCol w:w="851"/>
        <w:gridCol w:w="737"/>
        <w:gridCol w:w="737"/>
        <w:gridCol w:w="737"/>
        <w:gridCol w:w="737"/>
        <w:gridCol w:w="737"/>
        <w:gridCol w:w="737"/>
        <w:gridCol w:w="737"/>
        <w:gridCol w:w="737"/>
        <w:gridCol w:w="737"/>
        <w:gridCol w:w="737"/>
        <w:gridCol w:w="737"/>
        <w:gridCol w:w="738"/>
      </w:tblGrid>
      <w:tr w:rsidR="00397C1F" w:rsidRPr="00010A03" w14:paraId="27DA52E8" w14:textId="77777777" w:rsidTr="00BC1A41">
        <w:trPr>
          <w:jc w:val="center"/>
        </w:trPr>
        <w:tc>
          <w:tcPr>
            <w:tcW w:w="851" w:type="dxa"/>
            <w:vMerge w:val="restart"/>
            <w:tcBorders>
              <w:top w:val="single" w:sz="4" w:space="0" w:color="auto"/>
              <w:left w:val="single" w:sz="4" w:space="0" w:color="auto"/>
              <w:bottom w:val="single" w:sz="4" w:space="0" w:color="auto"/>
              <w:right w:val="single" w:sz="4" w:space="0" w:color="auto"/>
            </w:tcBorders>
            <w:shd w:val="solid" w:color="BFBFBF" w:themeColor="background1" w:themeShade="BF" w:fill="auto"/>
            <w:noWrap/>
            <w:tcMar>
              <w:left w:w="28" w:type="dxa"/>
              <w:right w:w="28" w:type="dxa"/>
            </w:tcMar>
            <w:vAlign w:val="center"/>
          </w:tcPr>
          <w:p w14:paraId="0961890B" w14:textId="77777777" w:rsidR="00397C1F" w:rsidRPr="00010A03" w:rsidRDefault="00397C1F" w:rsidP="00BC1A41">
            <w:pPr>
              <w:spacing w:before="40" w:after="40" w:line="240" w:lineRule="auto"/>
              <w:jc w:val="center"/>
              <w:rPr>
                <w:rFonts w:asciiTheme="minorHAnsi" w:hAnsiTheme="minorHAnsi" w:cstheme="minorHAnsi"/>
                <w:b/>
                <w:color w:val="000000"/>
                <w:sz w:val="20"/>
                <w:szCs w:val="20"/>
                <w:lang w:eastAsia="es-CL"/>
              </w:rPr>
            </w:pPr>
            <w:r w:rsidRPr="00010A03">
              <w:rPr>
                <w:rFonts w:asciiTheme="minorHAnsi" w:hAnsiTheme="minorHAnsi" w:cstheme="minorHAnsi"/>
                <w:b/>
                <w:color w:val="000000"/>
                <w:sz w:val="20"/>
                <w:szCs w:val="20"/>
                <w:lang w:eastAsia="es-CL"/>
              </w:rPr>
              <w:t>Año</w:t>
            </w:r>
          </w:p>
        </w:tc>
        <w:tc>
          <w:tcPr>
            <w:tcW w:w="8845" w:type="dxa"/>
            <w:gridSpan w:val="12"/>
            <w:tcBorders>
              <w:top w:val="single" w:sz="4" w:space="0" w:color="auto"/>
              <w:left w:val="nil"/>
              <w:bottom w:val="single" w:sz="4" w:space="0" w:color="auto"/>
              <w:right w:val="single" w:sz="4" w:space="0" w:color="auto"/>
            </w:tcBorders>
            <w:shd w:val="solid" w:color="BFBFBF" w:themeColor="background1" w:themeShade="BF" w:fill="auto"/>
            <w:noWrap/>
            <w:tcMar>
              <w:left w:w="28" w:type="dxa"/>
              <w:right w:w="28" w:type="dxa"/>
            </w:tcMar>
            <w:vAlign w:val="center"/>
          </w:tcPr>
          <w:p w14:paraId="7DD3225D" w14:textId="77777777" w:rsidR="00397C1F" w:rsidRPr="00010A03" w:rsidRDefault="00397C1F" w:rsidP="00BC1A41">
            <w:pPr>
              <w:spacing w:before="40" w:after="40" w:line="240" w:lineRule="auto"/>
              <w:jc w:val="center"/>
              <w:rPr>
                <w:rFonts w:asciiTheme="minorHAnsi" w:hAnsiTheme="minorHAnsi" w:cstheme="minorHAnsi"/>
                <w:b/>
                <w:color w:val="000000"/>
                <w:sz w:val="20"/>
                <w:szCs w:val="20"/>
                <w:lang w:eastAsia="es-CL"/>
              </w:rPr>
            </w:pPr>
            <w:r w:rsidRPr="00010A03">
              <w:rPr>
                <w:rFonts w:asciiTheme="minorHAnsi" w:hAnsiTheme="minorHAnsi" w:cstheme="minorHAnsi"/>
                <w:b/>
                <w:color w:val="000000"/>
                <w:sz w:val="20"/>
                <w:szCs w:val="20"/>
                <w:lang w:eastAsia="es-CL"/>
              </w:rPr>
              <w:t>CPI-All Urban Consumers</w:t>
            </w:r>
          </w:p>
        </w:tc>
      </w:tr>
      <w:tr w:rsidR="00397C1F" w:rsidRPr="00010A03" w14:paraId="7F1977D0" w14:textId="77777777" w:rsidTr="00BC1A41">
        <w:trPr>
          <w:jc w:val="center"/>
        </w:trPr>
        <w:tc>
          <w:tcPr>
            <w:tcW w:w="851" w:type="dxa"/>
            <w:vMerge/>
            <w:tcBorders>
              <w:top w:val="single" w:sz="4" w:space="0" w:color="auto"/>
              <w:left w:val="single" w:sz="4" w:space="0" w:color="auto"/>
              <w:bottom w:val="single" w:sz="4" w:space="0" w:color="auto"/>
              <w:right w:val="single" w:sz="4" w:space="0" w:color="auto"/>
            </w:tcBorders>
            <w:shd w:val="solid" w:color="BFBFBF" w:themeColor="background1" w:themeShade="BF" w:fill="auto"/>
            <w:noWrap/>
            <w:tcMar>
              <w:left w:w="28" w:type="dxa"/>
              <w:right w:w="28" w:type="dxa"/>
            </w:tcMar>
            <w:vAlign w:val="center"/>
          </w:tcPr>
          <w:p w14:paraId="7DAB5157" w14:textId="77777777" w:rsidR="00397C1F" w:rsidRPr="00010A03" w:rsidRDefault="00397C1F" w:rsidP="00BC1A41">
            <w:pPr>
              <w:spacing w:before="40" w:after="40" w:line="240" w:lineRule="auto"/>
              <w:jc w:val="center"/>
              <w:rPr>
                <w:rFonts w:asciiTheme="minorHAnsi" w:hAnsiTheme="minorHAnsi" w:cstheme="minorHAnsi"/>
                <w:color w:val="000000"/>
                <w:sz w:val="20"/>
                <w:szCs w:val="20"/>
                <w:lang w:eastAsia="es-CL"/>
              </w:rPr>
            </w:pPr>
          </w:p>
        </w:tc>
        <w:tc>
          <w:tcPr>
            <w:tcW w:w="737" w:type="dxa"/>
            <w:tcBorders>
              <w:top w:val="nil"/>
              <w:left w:val="nil"/>
              <w:bottom w:val="single" w:sz="4" w:space="0" w:color="auto"/>
              <w:right w:val="single" w:sz="4" w:space="0" w:color="auto"/>
            </w:tcBorders>
            <w:shd w:val="solid" w:color="BFBFBF" w:themeColor="background1" w:themeShade="BF" w:fill="auto"/>
            <w:noWrap/>
            <w:tcMar>
              <w:left w:w="28" w:type="dxa"/>
              <w:right w:w="28" w:type="dxa"/>
            </w:tcMar>
            <w:vAlign w:val="center"/>
          </w:tcPr>
          <w:p w14:paraId="305C6640" w14:textId="77777777" w:rsidR="00397C1F" w:rsidRPr="00010A03" w:rsidRDefault="00397C1F" w:rsidP="00BC1A41">
            <w:pPr>
              <w:spacing w:before="40" w:after="40" w:line="240" w:lineRule="auto"/>
              <w:jc w:val="center"/>
              <w:rPr>
                <w:rFonts w:asciiTheme="minorHAnsi" w:hAnsiTheme="minorHAnsi" w:cstheme="minorHAnsi"/>
                <w:b/>
                <w:color w:val="000000"/>
                <w:sz w:val="20"/>
                <w:szCs w:val="20"/>
                <w:lang w:eastAsia="es-CL"/>
              </w:rPr>
            </w:pPr>
            <w:r w:rsidRPr="00010A03">
              <w:rPr>
                <w:rFonts w:asciiTheme="minorHAnsi" w:hAnsiTheme="minorHAnsi" w:cstheme="minorHAnsi"/>
                <w:b/>
                <w:color w:val="000000"/>
                <w:sz w:val="20"/>
                <w:szCs w:val="20"/>
                <w:lang w:eastAsia="es-CL"/>
              </w:rPr>
              <w:t>ene</w:t>
            </w:r>
          </w:p>
        </w:tc>
        <w:tc>
          <w:tcPr>
            <w:tcW w:w="737" w:type="dxa"/>
            <w:tcBorders>
              <w:top w:val="nil"/>
              <w:left w:val="nil"/>
              <w:bottom w:val="single" w:sz="4" w:space="0" w:color="auto"/>
              <w:right w:val="single" w:sz="4" w:space="0" w:color="auto"/>
            </w:tcBorders>
            <w:shd w:val="solid" w:color="BFBFBF" w:themeColor="background1" w:themeShade="BF" w:fill="auto"/>
            <w:noWrap/>
            <w:tcMar>
              <w:left w:w="28" w:type="dxa"/>
              <w:right w:w="28" w:type="dxa"/>
            </w:tcMar>
            <w:vAlign w:val="center"/>
          </w:tcPr>
          <w:p w14:paraId="63CB719A" w14:textId="77777777" w:rsidR="00397C1F" w:rsidRPr="00010A03" w:rsidRDefault="00397C1F" w:rsidP="00BC1A41">
            <w:pPr>
              <w:spacing w:before="40" w:after="40" w:line="240" w:lineRule="auto"/>
              <w:jc w:val="center"/>
              <w:rPr>
                <w:rFonts w:asciiTheme="minorHAnsi" w:hAnsiTheme="minorHAnsi" w:cstheme="minorHAnsi"/>
                <w:b/>
                <w:color w:val="000000"/>
                <w:sz w:val="20"/>
                <w:szCs w:val="20"/>
                <w:lang w:eastAsia="es-CL"/>
              </w:rPr>
            </w:pPr>
            <w:r w:rsidRPr="00010A03">
              <w:rPr>
                <w:rFonts w:asciiTheme="minorHAnsi" w:hAnsiTheme="minorHAnsi" w:cstheme="minorHAnsi"/>
                <w:b/>
                <w:color w:val="000000"/>
                <w:sz w:val="20"/>
                <w:szCs w:val="20"/>
                <w:lang w:eastAsia="es-CL"/>
              </w:rPr>
              <w:t>feb</w:t>
            </w:r>
          </w:p>
        </w:tc>
        <w:tc>
          <w:tcPr>
            <w:tcW w:w="737" w:type="dxa"/>
            <w:tcBorders>
              <w:top w:val="nil"/>
              <w:left w:val="nil"/>
              <w:bottom w:val="single" w:sz="4" w:space="0" w:color="auto"/>
              <w:right w:val="single" w:sz="4" w:space="0" w:color="auto"/>
            </w:tcBorders>
            <w:shd w:val="solid" w:color="BFBFBF" w:themeColor="background1" w:themeShade="BF" w:fill="auto"/>
            <w:noWrap/>
            <w:tcMar>
              <w:left w:w="28" w:type="dxa"/>
              <w:right w:w="28" w:type="dxa"/>
            </w:tcMar>
            <w:vAlign w:val="center"/>
          </w:tcPr>
          <w:p w14:paraId="0ED1FE4F" w14:textId="77777777" w:rsidR="00397C1F" w:rsidRPr="00010A03" w:rsidRDefault="00397C1F" w:rsidP="00BC1A41">
            <w:pPr>
              <w:spacing w:before="40" w:after="40" w:line="240" w:lineRule="auto"/>
              <w:jc w:val="center"/>
              <w:rPr>
                <w:rFonts w:asciiTheme="minorHAnsi" w:hAnsiTheme="minorHAnsi" w:cstheme="minorHAnsi"/>
                <w:b/>
                <w:color w:val="000000"/>
                <w:sz w:val="20"/>
                <w:szCs w:val="20"/>
                <w:lang w:eastAsia="es-CL"/>
              </w:rPr>
            </w:pPr>
            <w:r w:rsidRPr="00010A03">
              <w:rPr>
                <w:rFonts w:asciiTheme="minorHAnsi" w:hAnsiTheme="minorHAnsi" w:cstheme="minorHAnsi"/>
                <w:b/>
                <w:color w:val="000000"/>
                <w:sz w:val="20"/>
                <w:szCs w:val="20"/>
                <w:lang w:eastAsia="es-CL"/>
              </w:rPr>
              <w:t>mar</w:t>
            </w:r>
          </w:p>
        </w:tc>
        <w:tc>
          <w:tcPr>
            <w:tcW w:w="737" w:type="dxa"/>
            <w:tcBorders>
              <w:top w:val="nil"/>
              <w:left w:val="nil"/>
              <w:bottom w:val="single" w:sz="4" w:space="0" w:color="auto"/>
              <w:right w:val="single" w:sz="4" w:space="0" w:color="auto"/>
            </w:tcBorders>
            <w:shd w:val="solid" w:color="BFBFBF" w:themeColor="background1" w:themeShade="BF" w:fill="auto"/>
            <w:noWrap/>
            <w:tcMar>
              <w:left w:w="28" w:type="dxa"/>
              <w:right w:w="28" w:type="dxa"/>
            </w:tcMar>
            <w:vAlign w:val="center"/>
          </w:tcPr>
          <w:p w14:paraId="2915DC9D" w14:textId="77777777" w:rsidR="00397C1F" w:rsidRPr="00010A03" w:rsidRDefault="00397C1F" w:rsidP="00BC1A41">
            <w:pPr>
              <w:spacing w:before="40" w:after="40" w:line="240" w:lineRule="auto"/>
              <w:jc w:val="center"/>
              <w:rPr>
                <w:rFonts w:asciiTheme="minorHAnsi" w:hAnsiTheme="minorHAnsi" w:cstheme="minorHAnsi"/>
                <w:b/>
                <w:color w:val="000000"/>
                <w:sz w:val="20"/>
                <w:szCs w:val="20"/>
                <w:lang w:eastAsia="es-CL"/>
              </w:rPr>
            </w:pPr>
            <w:r w:rsidRPr="00010A03">
              <w:rPr>
                <w:rFonts w:asciiTheme="minorHAnsi" w:hAnsiTheme="minorHAnsi" w:cstheme="minorHAnsi"/>
                <w:b/>
                <w:color w:val="000000"/>
                <w:sz w:val="20"/>
                <w:szCs w:val="20"/>
                <w:lang w:eastAsia="es-CL"/>
              </w:rPr>
              <w:t>abr</w:t>
            </w:r>
          </w:p>
        </w:tc>
        <w:tc>
          <w:tcPr>
            <w:tcW w:w="737" w:type="dxa"/>
            <w:tcBorders>
              <w:top w:val="nil"/>
              <w:left w:val="nil"/>
              <w:bottom w:val="single" w:sz="4" w:space="0" w:color="auto"/>
              <w:right w:val="single" w:sz="4" w:space="0" w:color="auto"/>
            </w:tcBorders>
            <w:shd w:val="solid" w:color="BFBFBF" w:themeColor="background1" w:themeShade="BF" w:fill="auto"/>
            <w:noWrap/>
            <w:tcMar>
              <w:left w:w="28" w:type="dxa"/>
              <w:right w:w="28" w:type="dxa"/>
            </w:tcMar>
            <w:vAlign w:val="center"/>
          </w:tcPr>
          <w:p w14:paraId="46BD4A8D" w14:textId="64D251A4" w:rsidR="00397C1F" w:rsidRPr="00010A03" w:rsidRDefault="00365A19" w:rsidP="00BC1A41">
            <w:pPr>
              <w:spacing w:before="40" w:after="40" w:line="240" w:lineRule="auto"/>
              <w:jc w:val="center"/>
              <w:rPr>
                <w:rFonts w:asciiTheme="minorHAnsi" w:hAnsiTheme="minorHAnsi" w:cstheme="minorHAnsi"/>
                <w:b/>
                <w:color w:val="000000"/>
                <w:sz w:val="20"/>
                <w:szCs w:val="20"/>
                <w:lang w:eastAsia="es-CL"/>
              </w:rPr>
            </w:pPr>
            <w:r w:rsidRPr="00010A03">
              <w:rPr>
                <w:rFonts w:asciiTheme="minorHAnsi" w:hAnsiTheme="minorHAnsi" w:cstheme="minorHAnsi"/>
                <w:b/>
                <w:color w:val="000000"/>
                <w:sz w:val="20"/>
                <w:szCs w:val="20"/>
                <w:lang w:eastAsia="es-CL"/>
              </w:rPr>
              <w:t>M</w:t>
            </w:r>
            <w:r w:rsidR="00397C1F" w:rsidRPr="00010A03">
              <w:rPr>
                <w:rFonts w:asciiTheme="minorHAnsi" w:hAnsiTheme="minorHAnsi" w:cstheme="minorHAnsi"/>
                <w:b/>
                <w:color w:val="000000"/>
                <w:sz w:val="20"/>
                <w:szCs w:val="20"/>
                <w:lang w:eastAsia="es-CL"/>
              </w:rPr>
              <w:t>ay</w:t>
            </w:r>
          </w:p>
        </w:tc>
        <w:tc>
          <w:tcPr>
            <w:tcW w:w="737" w:type="dxa"/>
            <w:tcBorders>
              <w:top w:val="nil"/>
              <w:left w:val="nil"/>
              <w:bottom w:val="single" w:sz="4" w:space="0" w:color="auto"/>
              <w:right w:val="single" w:sz="4" w:space="0" w:color="auto"/>
            </w:tcBorders>
            <w:shd w:val="solid" w:color="BFBFBF" w:themeColor="background1" w:themeShade="BF" w:fill="auto"/>
            <w:noWrap/>
            <w:tcMar>
              <w:left w:w="28" w:type="dxa"/>
              <w:right w:w="28" w:type="dxa"/>
            </w:tcMar>
            <w:vAlign w:val="center"/>
          </w:tcPr>
          <w:p w14:paraId="66E1E30E" w14:textId="77777777" w:rsidR="00397C1F" w:rsidRPr="00010A03" w:rsidRDefault="00397C1F" w:rsidP="00BC1A41">
            <w:pPr>
              <w:spacing w:before="40" w:after="40" w:line="240" w:lineRule="auto"/>
              <w:jc w:val="center"/>
              <w:rPr>
                <w:rFonts w:asciiTheme="minorHAnsi" w:hAnsiTheme="minorHAnsi" w:cstheme="minorHAnsi"/>
                <w:b/>
                <w:color w:val="000000"/>
                <w:sz w:val="20"/>
                <w:szCs w:val="20"/>
                <w:lang w:eastAsia="es-CL"/>
              </w:rPr>
            </w:pPr>
            <w:r w:rsidRPr="00010A03">
              <w:rPr>
                <w:rFonts w:asciiTheme="minorHAnsi" w:hAnsiTheme="minorHAnsi" w:cstheme="minorHAnsi"/>
                <w:b/>
                <w:color w:val="000000"/>
                <w:sz w:val="20"/>
                <w:szCs w:val="20"/>
                <w:lang w:eastAsia="es-CL"/>
              </w:rPr>
              <w:t>jun</w:t>
            </w:r>
          </w:p>
        </w:tc>
        <w:tc>
          <w:tcPr>
            <w:tcW w:w="737" w:type="dxa"/>
            <w:tcBorders>
              <w:top w:val="nil"/>
              <w:left w:val="nil"/>
              <w:bottom w:val="single" w:sz="4" w:space="0" w:color="auto"/>
              <w:right w:val="single" w:sz="4" w:space="0" w:color="auto"/>
            </w:tcBorders>
            <w:shd w:val="solid" w:color="BFBFBF" w:themeColor="background1" w:themeShade="BF" w:fill="auto"/>
            <w:noWrap/>
            <w:tcMar>
              <w:left w:w="28" w:type="dxa"/>
              <w:right w:w="28" w:type="dxa"/>
            </w:tcMar>
            <w:vAlign w:val="center"/>
          </w:tcPr>
          <w:p w14:paraId="02D07624" w14:textId="77777777" w:rsidR="00397C1F" w:rsidRPr="00010A03" w:rsidRDefault="00397C1F" w:rsidP="00BC1A41">
            <w:pPr>
              <w:spacing w:before="40" w:after="40" w:line="240" w:lineRule="auto"/>
              <w:jc w:val="center"/>
              <w:rPr>
                <w:rFonts w:asciiTheme="minorHAnsi" w:hAnsiTheme="minorHAnsi" w:cstheme="minorHAnsi"/>
                <w:b/>
                <w:color w:val="000000"/>
                <w:sz w:val="20"/>
                <w:szCs w:val="20"/>
                <w:lang w:eastAsia="es-CL"/>
              </w:rPr>
            </w:pPr>
            <w:r w:rsidRPr="00010A03">
              <w:rPr>
                <w:rFonts w:asciiTheme="minorHAnsi" w:hAnsiTheme="minorHAnsi" w:cstheme="minorHAnsi"/>
                <w:b/>
                <w:color w:val="000000"/>
                <w:sz w:val="20"/>
                <w:szCs w:val="20"/>
                <w:lang w:eastAsia="es-CL"/>
              </w:rPr>
              <w:t>jul</w:t>
            </w:r>
          </w:p>
        </w:tc>
        <w:tc>
          <w:tcPr>
            <w:tcW w:w="737" w:type="dxa"/>
            <w:tcBorders>
              <w:top w:val="nil"/>
              <w:left w:val="nil"/>
              <w:bottom w:val="single" w:sz="4" w:space="0" w:color="auto"/>
              <w:right w:val="single" w:sz="4" w:space="0" w:color="auto"/>
            </w:tcBorders>
            <w:shd w:val="solid" w:color="BFBFBF" w:themeColor="background1" w:themeShade="BF" w:fill="auto"/>
            <w:noWrap/>
            <w:tcMar>
              <w:left w:w="28" w:type="dxa"/>
              <w:right w:w="28" w:type="dxa"/>
            </w:tcMar>
            <w:vAlign w:val="center"/>
          </w:tcPr>
          <w:p w14:paraId="125105B1" w14:textId="77777777" w:rsidR="00397C1F" w:rsidRPr="00010A03" w:rsidRDefault="00397C1F" w:rsidP="00BC1A41">
            <w:pPr>
              <w:spacing w:before="40" w:after="40" w:line="240" w:lineRule="auto"/>
              <w:jc w:val="center"/>
              <w:rPr>
                <w:rFonts w:asciiTheme="minorHAnsi" w:hAnsiTheme="minorHAnsi" w:cstheme="minorHAnsi"/>
                <w:b/>
                <w:color w:val="000000"/>
                <w:sz w:val="20"/>
                <w:szCs w:val="20"/>
                <w:lang w:eastAsia="es-CL"/>
              </w:rPr>
            </w:pPr>
            <w:r w:rsidRPr="00010A03">
              <w:rPr>
                <w:rFonts w:asciiTheme="minorHAnsi" w:hAnsiTheme="minorHAnsi" w:cstheme="minorHAnsi"/>
                <w:b/>
                <w:color w:val="000000"/>
                <w:sz w:val="20"/>
                <w:szCs w:val="20"/>
                <w:lang w:eastAsia="es-CL"/>
              </w:rPr>
              <w:t>ago</w:t>
            </w:r>
          </w:p>
        </w:tc>
        <w:tc>
          <w:tcPr>
            <w:tcW w:w="737" w:type="dxa"/>
            <w:tcBorders>
              <w:top w:val="nil"/>
              <w:left w:val="nil"/>
              <w:bottom w:val="single" w:sz="4" w:space="0" w:color="auto"/>
              <w:right w:val="single" w:sz="4" w:space="0" w:color="auto"/>
            </w:tcBorders>
            <w:shd w:val="solid" w:color="BFBFBF" w:themeColor="background1" w:themeShade="BF" w:fill="auto"/>
            <w:noWrap/>
            <w:tcMar>
              <w:left w:w="28" w:type="dxa"/>
              <w:right w:w="28" w:type="dxa"/>
            </w:tcMar>
            <w:vAlign w:val="center"/>
          </w:tcPr>
          <w:p w14:paraId="49541D23" w14:textId="77777777" w:rsidR="00397C1F" w:rsidRPr="00010A03" w:rsidRDefault="00397C1F" w:rsidP="00BC1A41">
            <w:pPr>
              <w:spacing w:before="40" w:after="40" w:line="240" w:lineRule="auto"/>
              <w:jc w:val="center"/>
              <w:rPr>
                <w:rFonts w:asciiTheme="minorHAnsi" w:hAnsiTheme="minorHAnsi" w:cstheme="minorHAnsi"/>
                <w:b/>
                <w:color w:val="000000"/>
                <w:sz w:val="20"/>
                <w:szCs w:val="20"/>
                <w:lang w:eastAsia="es-CL"/>
              </w:rPr>
            </w:pPr>
            <w:r w:rsidRPr="00010A03">
              <w:rPr>
                <w:rFonts w:asciiTheme="minorHAnsi" w:hAnsiTheme="minorHAnsi" w:cstheme="minorHAnsi"/>
                <w:b/>
                <w:color w:val="000000"/>
                <w:sz w:val="20"/>
                <w:szCs w:val="20"/>
                <w:lang w:eastAsia="es-CL"/>
              </w:rPr>
              <w:t>sep</w:t>
            </w:r>
          </w:p>
        </w:tc>
        <w:tc>
          <w:tcPr>
            <w:tcW w:w="737" w:type="dxa"/>
            <w:tcBorders>
              <w:top w:val="nil"/>
              <w:left w:val="nil"/>
              <w:bottom w:val="single" w:sz="4" w:space="0" w:color="auto"/>
              <w:right w:val="single" w:sz="4" w:space="0" w:color="auto"/>
            </w:tcBorders>
            <w:shd w:val="solid" w:color="BFBFBF" w:themeColor="background1" w:themeShade="BF" w:fill="auto"/>
            <w:noWrap/>
            <w:tcMar>
              <w:left w:w="28" w:type="dxa"/>
              <w:right w:w="28" w:type="dxa"/>
            </w:tcMar>
            <w:vAlign w:val="center"/>
          </w:tcPr>
          <w:p w14:paraId="3AEE9D49" w14:textId="77777777" w:rsidR="00397C1F" w:rsidRPr="00010A03" w:rsidRDefault="00397C1F" w:rsidP="00BC1A41">
            <w:pPr>
              <w:spacing w:before="40" w:after="40" w:line="240" w:lineRule="auto"/>
              <w:jc w:val="center"/>
              <w:rPr>
                <w:rFonts w:asciiTheme="minorHAnsi" w:hAnsiTheme="minorHAnsi" w:cstheme="minorHAnsi"/>
                <w:b/>
                <w:color w:val="000000"/>
                <w:sz w:val="20"/>
                <w:szCs w:val="20"/>
                <w:lang w:eastAsia="es-CL"/>
              </w:rPr>
            </w:pPr>
            <w:r w:rsidRPr="00010A03">
              <w:rPr>
                <w:rFonts w:asciiTheme="minorHAnsi" w:hAnsiTheme="minorHAnsi" w:cstheme="minorHAnsi"/>
                <w:b/>
                <w:color w:val="000000"/>
                <w:sz w:val="20"/>
                <w:szCs w:val="20"/>
                <w:lang w:eastAsia="es-CL"/>
              </w:rPr>
              <w:t>oct</w:t>
            </w:r>
          </w:p>
        </w:tc>
        <w:tc>
          <w:tcPr>
            <w:tcW w:w="737" w:type="dxa"/>
            <w:tcBorders>
              <w:top w:val="nil"/>
              <w:left w:val="nil"/>
              <w:bottom w:val="single" w:sz="4" w:space="0" w:color="auto"/>
              <w:right w:val="single" w:sz="4" w:space="0" w:color="auto"/>
            </w:tcBorders>
            <w:shd w:val="solid" w:color="BFBFBF" w:themeColor="background1" w:themeShade="BF" w:fill="auto"/>
            <w:noWrap/>
            <w:tcMar>
              <w:left w:w="28" w:type="dxa"/>
              <w:right w:w="28" w:type="dxa"/>
            </w:tcMar>
            <w:vAlign w:val="center"/>
          </w:tcPr>
          <w:p w14:paraId="6F14BDA0" w14:textId="77777777" w:rsidR="00397C1F" w:rsidRPr="00010A03" w:rsidRDefault="00397C1F" w:rsidP="00BC1A41">
            <w:pPr>
              <w:spacing w:before="40" w:after="40" w:line="240" w:lineRule="auto"/>
              <w:jc w:val="center"/>
              <w:rPr>
                <w:rFonts w:asciiTheme="minorHAnsi" w:hAnsiTheme="minorHAnsi" w:cstheme="minorHAnsi"/>
                <w:b/>
                <w:color w:val="000000"/>
                <w:sz w:val="20"/>
                <w:szCs w:val="20"/>
                <w:lang w:eastAsia="es-CL"/>
              </w:rPr>
            </w:pPr>
            <w:r w:rsidRPr="00010A03">
              <w:rPr>
                <w:rFonts w:asciiTheme="minorHAnsi" w:hAnsiTheme="minorHAnsi" w:cstheme="minorHAnsi"/>
                <w:b/>
                <w:color w:val="000000"/>
                <w:sz w:val="20"/>
                <w:szCs w:val="20"/>
                <w:lang w:eastAsia="es-CL"/>
              </w:rPr>
              <w:t>nov</w:t>
            </w:r>
          </w:p>
        </w:tc>
        <w:tc>
          <w:tcPr>
            <w:tcW w:w="737" w:type="dxa"/>
            <w:tcBorders>
              <w:top w:val="nil"/>
              <w:left w:val="nil"/>
              <w:bottom w:val="single" w:sz="4" w:space="0" w:color="auto"/>
              <w:right w:val="single" w:sz="4" w:space="0" w:color="auto"/>
            </w:tcBorders>
            <w:shd w:val="solid" w:color="BFBFBF" w:themeColor="background1" w:themeShade="BF" w:fill="auto"/>
            <w:noWrap/>
            <w:tcMar>
              <w:left w:w="28" w:type="dxa"/>
              <w:right w:w="28" w:type="dxa"/>
            </w:tcMar>
            <w:vAlign w:val="center"/>
          </w:tcPr>
          <w:p w14:paraId="09BBA79A" w14:textId="77777777" w:rsidR="00397C1F" w:rsidRPr="00010A03" w:rsidRDefault="00397C1F" w:rsidP="00BC1A41">
            <w:pPr>
              <w:spacing w:before="40" w:after="40" w:line="240" w:lineRule="auto"/>
              <w:jc w:val="center"/>
              <w:rPr>
                <w:rFonts w:asciiTheme="minorHAnsi" w:hAnsiTheme="minorHAnsi" w:cstheme="minorHAnsi"/>
                <w:b/>
                <w:color w:val="000000"/>
                <w:sz w:val="20"/>
                <w:szCs w:val="20"/>
                <w:lang w:eastAsia="es-CL"/>
              </w:rPr>
            </w:pPr>
            <w:r w:rsidRPr="00010A03">
              <w:rPr>
                <w:rFonts w:asciiTheme="minorHAnsi" w:hAnsiTheme="minorHAnsi" w:cstheme="minorHAnsi"/>
                <w:b/>
                <w:color w:val="000000"/>
                <w:sz w:val="20"/>
                <w:szCs w:val="20"/>
                <w:lang w:eastAsia="es-CL"/>
              </w:rPr>
              <w:t>dic</w:t>
            </w:r>
          </w:p>
        </w:tc>
      </w:tr>
      <w:tr w:rsidR="00397C1F" w:rsidRPr="00010A03" w14:paraId="3EA38E2E" w14:textId="77777777" w:rsidTr="00BC1A41">
        <w:trPr>
          <w:jc w:val="center"/>
        </w:trPr>
        <w:tc>
          <w:tcPr>
            <w:tcW w:w="851"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tcPr>
          <w:p w14:paraId="0F166199" w14:textId="77777777" w:rsidR="00397C1F" w:rsidRPr="00010A03" w:rsidRDefault="00397C1F" w:rsidP="00BC1A41">
            <w:pPr>
              <w:spacing w:before="40" w:after="40" w:line="240" w:lineRule="auto"/>
              <w:jc w:val="center"/>
              <w:rPr>
                <w:rFonts w:asciiTheme="minorHAnsi" w:hAnsiTheme="minorHAnsi" w:cstheme="minorHAnsi"/>
                <w:color w:val="000000"/>
                <w:sz w:val="20"/>
                <w:szCs w:val="20"/>
                <w:lang w:eastAsia="es-CL"/>
              </w:rPr>
            </w:pPr>
            <w:r w:rsidRPr="00010A03">
              <w:rPr>
                <w:rFonts w:asciiTheme="minorHAnsi" w:hAnsiTheme="minorHAnsi" w:cstheme="minorHAnsi"/>
                <w:color w:val="000000"/>
                <w:sz w:val="20"/>
                <w:szCs w:val="20"/>
                <w:lang w:eastAsia="es-CL"/>
              </w:rPr>
              <w:t>2017</w:t>
            </w:r>
          </w:p>
        </w:tc>
        <w:tc>
          <w:tcPr>
            <w:tcW w:w="737"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68AAE7F2" w14:textId="77777777" w:rsidR="00397C1F" w:rsidRPr="00010A03" w:rsidRDefault="00397C1F" w:rsidP="00BC1A41">
            <w:pPr>
              <w:spacing w:before="40" w:after="40" w:line="240" w:lineRule="auto"/>
              <w:jc w:val="right"/>
              <w:rPr>
                <w:rFonts w:asciiTheme="minorHAnsi" w:hAnsiTheme="minorHAnsi" w:cstheme="minorHAnsi"/>
                <w:color w:val="000000"/>
                <w:sz w:val="20"/>
                <w:szCs w:val="20"/>
                <w:lang w:eastAsia="es-CL"/>
              </w:rPr>
            </w:pPr>
            <w:r w:rsidRPr="00010A03">
              <w:rPr>
                <w:rFonts w:asciiTheme="minorHAnsi" w:hAnsiTheme="minorHAnsi" w:cstheme="minorHAnsi"/>
                <w:color w:val="000000"/>
                <w:sz w:val="20"/>
                <w:szCs w:val="20"/>
                <w:lang w:eastAsia="es-CL"/>
              </w:rPr>
              <w:t>242,839</w:t>
            </w:r>
          </w:p>
        </w:tc>
        <w:tc>
          <w:tcPr>
            <w:tcW w:w="737"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7F91260C" w14:textId="77777777" w:rsidR="00397C1F" w:rsidRPr="00010A03" w:rsidRDefault="00397C1F" w:rsidP="00BC1A41">
            <w:pPr>
              <w:spacing w:before="40" w:after="40" w:line="240" w:lineRule="auto"/>
              <w:jc w:val="right"/>
              <w:rPr>
                <w:rFonts w:asciiTheme="minorHAnsi" w:hAnsiTheme="minorHAnsi" w:cstheme="minorHAnsi"/>
                <w:color w:val="000000"/>
                <w:sz w:val="20"/>
                <w:szCs w:val="20"/>
                <w:lang w:eastAsia="es-CL"/>
              </w:rPr>
            </w:pPr>
            <w:r w:rsidRPr="00010A03">
              <w:rPr>
                <w:rFonts w:asciiTheme="minorHAnsi" w:hAnsiTheme="minorHAnsi" w:cstheme="minorHAnsi"/>
                <w:color w:val="000000"/>
                <w:sz w:val="20"/>
                <w:szCs w:val="20"/>
                <w:lang w:eastAsia="es-CL"/>
              </w:rPr>
              <w:t>243,603</w:t>
            </w:r>
          </w:p>
        </w:tc>
        <w:tc>
          <w:tcPr>
            <w:tcW w:w="737"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7E6D9337" w14:textId="77777777" w:rsidR="00397C1F" w:rsidRPr="00010A03" w:rsidRDefault="00397C1F" w:rsidP="00BC1A41">
            <w:pPr>
              <w:spacing w:before="40" w:after="40" w:line="240" w:lineRule="auto"/>
              <w:jc w:val="right"/>
              <w:rPr>
                <w:rFonts w:asciiTheme="minorHAnsi" w:hAnsiTheme="minorHAnsi" w:cstheme="minorHAnsi"/>
                <w:color w:val="000000"/>
                <w:sz w:val="20"/>
                <w:szCs w:val="20"/>
                <w:lang w:eastAsia="es-CL"/>
              </w:rPr>
            </w:pPr>
            <w:r w:rsidRPr="00010A03">
              <w:rPr>
                <w:rFonts w:asciiTheme="minorHAnsi" w:hAnsiTheme="minorHAnsi" w:cstheme="minorHAnsi"/>
                <w:color w:val="000000"/>
                <w:sz w:val="20"/>
                <w:szCs w:val="20"/>
                <w:lang w:eastAsia="es-CL"/>
              </w:rPr>
              <w:t>243,801</w:t>
            </w:r>
          </w:p>
        </w:tc>
        <w:tc>
          <w:tcPr>
            <w:tcW w:w="737"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4CB5A4BC" w14:textId="77777777" w:rsidR="00397C1F" w:rsidRPr="00010A03" w:rsidRDefault="00397C1F" w:rsidP="00BC1A41">
            <w:pPr>
              <w:spacing w:before="40" w:after="40" w:line="240" w:lineRule="auto"/>
              <w:jc w:val="right"/>
              <w:rPr>
                <w:rFonts w:asciiTheme="minorHAnsi" w:hAnsiTheme="minorHAnsi" w:cstheme="minorHAnsi"/>
                <w:color w:val="000000"/>
                <w:sz w:val="20"/>
                <w:szCs w:val="20"/>
                <w:lang w:eastAsia="es-CL"/>
              </w:rPr>
            </w:pPr>
            <w:r w:rsidRPr="00010A03">
              <w:rPr>
                <w:rFonts w:asciiTheme="minorHAnsi" w:hAnsiTheme="minorHAnsi" w:cstheme="minorHAnsi"/>
                <w:color w:val="000000"/>
                <w:sz w:val="20"/>
                <w:szCs w:val="20"/>
                <w:lang w:eastAsia="es-CL"/>
              </w:rPr>
              <w:t>244,524</w:t>
            </w:r>
          </w:p>
        </w:tc>
        <w:tc>
          <w:tcPr>
            <w:tcW w:w="737"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6F7D8E98" w14:textId="77777777" w:rsidR="00397C1F" w:rsidRPr="00010A03" w:rsidRDefault="00397C1F" w:rsidP="00BC1A41">
            <w:pPr>
              <w:spacing w:before="40" w:after="40" w:line="240" w:lineRule="auto"/>
              <w:jc w:val="right"/>
              <w:rPr>
                <w:rFonts w:asciiTheme="minorHAnsi" w:hAnsiTheme="minorHAnsi" w:cstheme="minorHAnsi"/>
                <w:color w:val="000000"/>
                <w:sz w:val="20"/>
                <w:szCs w:val="20"/>
                <w:lang w:eastAsia="es-CL"/>
              </w:rPr>
            </w:pPr>
            <w:r w:rsidRPr="00010A03">
              <w:rPr>
                <w:rFonts w:asciiTheme="minorHAnsi" w:hAnsiTheme="minorHAnsi" w:cstheme="minorHAnsi"/>
                <w:color w:val="000000"/>
                <w:sz w:val="20"/>
                <w:szCs w:val="20"/>
                <w:lang w:eastAsia="es-CL"/>
              </w:rPr>
              <w:t>244,733</w:t>
            </w:r>
          </w:p>
        </w:tc>
        <w:tc>
          <w:tcPr>
            <w:tcW w:w="737"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3ED4564E" w14:textId="77777777" w:rsidR="00397C1F" w:rsidRPr="00010A03" w:rsidRDefault="00397C1F" w:rsidP="00BC1A41">
            <w:pPr>
              <w:spacing w:before="40" w:after="40" w:line="240" w:lineRule="auto"/>
              <w:jc w:val="right"/>
              <w:rPr>
                <w:rFonts w:asciiTheme="minorHAnsi" w:hAnsiTheme="minorHAnsi" w:cstheme="minorHAnsi"/>
                <w:color w:val="000000"/>
                <w:sz w:val="20"/>
                <w:szCs w:val="20"/>
                <w:lang w:eastAsia="es-CL"/>
              </w:rPr>
            </w:pPr>
            <w:r w:rsidRPr="00010A03">
              <w:rPr>
                <w:rFonts w:asciiTheme="minorHAnsi" w:hAnsiTheme="minorHAnsi" w:cstheme="minorHAnsi"/>
                <w:color w:val="000000"/>
                <w:sz w:val="20"/>
                <w:szCs w:val="20"/>
                <w:lang w:eastAsia="es-CL"/>
              </w:rPr>
              <w:t>244,955</w:t>
            </w:r>
          </w:p>
        </w:tc>
        <w:tc>
          <w:tcPr>
            <w:tcW w:w="737"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72FFB630" w14:textId="77777777" w:rsidR="00397C1F" w:rsidRPr="00010A03" w:rsidRDefault="00397C1F" w:rsidP="00BC1A41">
            <w:pPr>
              <w:spacing w:before="40" w:after="40" w:line="240" w:lineRule="auto"/>
              <w:jc w:val="right"/>
              <w:rPr>
                <w:rFonts w:asciiTheme="minorHAnsi" w:hAnsiTheme="minorHAnsi" w:cstheme="minorHAnsi"/>
                <w:color w:val="000000"/>
                <w:sz w:val="20"/>
                <w:szCs w:val="20"/>
                <w:lang w:eastAsia="es-CL"/>
              </w:rPr>
            </w:pPr>
            <w:r w:rsidRPr="00010A03">
              <w:rPr>
                <w:rFonts w:asciiTheme="minorHAnsi" w:hAnsiTheme="minorHAnsi" w:cstheme="minorHAnsi"/>
                <w:color w:val="000000"/>
                <w:sz w:val="20"/>
                <w:szCs w:val="20"/>
                <w:lang w:eastAsia="es-CL"/>
              </w:rPr>
              <w:t>244,786</w:t>
            </w:r>
          </w:p>
        </w:tc>
        <w:tc>
          <w:tcPr>
            <w:tcW w:w="737"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56FD570F" w14:textId="77777777" w:rsidR="00397C1F" w:rsidRPr="00010A03" w:rsidRDefault="00397C1F" w:rsidP="00BC1A41">
            <w:pPr>
              <w:spacing w:before="40" w:after="40" w:line="240" w:lineRule="auto"/>
              <w:jc w:val="right"/>
              <w:rPr>
                <w:rFonts w:asciiTheme="minorHAnsi" w:hAnsiTheme="minorHAnsi" w:cstheme="minorHAnsi"/>
                <w:color w:val="000000"/>
                <w:sz w:val="20"/>
                <w:szCs w:val="20"/>
                <w:lang w:eastAsia="es-CL"/>
              </w:rPr>
            </w:pPr>
            <w:r w:rsidRPr="00010A03">
              <w:rPr>
                <w:rFonts w:asciiTheme="minorHAnsi" w:hAnsiTheme="minorHAnsi" w:cstheme="minorHAnsi"/>
                <w:color w:val="000000"/>
                <w:sz w:val="20"/>
                <w:szCs w:val="20"/>
                <w:lang w:eastAsia="es-CL"/>
              </w:rPr>
              <w:t>245,519</w:t>
            </w:r>
          </w:p>
        </w:tc>
        <w:tc>
          <w:tcPr>
            <w:tcW w:w="737"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5001AB99" w14:textId="77777777" w:rsidR="00397C1F" w:rsidRPr="00010A03" w:rsidRDefault="00397C1F" w:rsidP="00BC1A41">
            <w:pPr>
              <w:spacing w:before="40" w:after="40" w:line="240" w:lineRule="auto"/>
              <w:jc w:val="right"/>
              <w:rPr>
                <w:rFonts w:asciiTheme="minorHAnsi" w:hAnsiTheme="minorHAnsi" w:cstheme="minorHAnsi"/>
                <w:color w:val="000000"/>
                <w:sz w:val="20"/>
                <w:szCs w:val="20"/>
                <w:lang w:eastAsia="es-CL"/>
              </w:rPr>
            </w:pPr>
            <w:r w:rsidRPr="00010A03">
              <w:rPr>
                <w:rFonts w:asciiTheme="minorHAnsi" w:hAnsiTheme="minorHAnsi" w:cstheme="minorHAnsi"/>
                <w:color w:val="000000"/>
                <w:sz w:val="20"/>
                <w:szCs w:val="20"/>
                <w:lang w:eastAsia="es-CL"/>
              </w:rPr>
              <w:t>246,819</w:t>
            </w:r>
          </w:p>
        </w:tc>
        <w:tc>
          <w:tcPr>
            <w:tcW w:w="737"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6B20DB8E" w14:textId="77777777" w:rsidR="00397C1F" w:rsidRPr="00010A03" w:rsidRDefault="00397C1F" w:rsidP="00BC1A41">
            <w:pPr>
              <w:spacing w:before="40" w:after="40" w:line="240" w:lineRule="auto"/>
              <w:jc w:val="right"/>
              <w:rPr>
                <w:rFonts w:asciiTheme="minorHAnsi" w:hAnsiTheme="minorHAnsi" w:cstheme="minorHAnsi"/>
                <w:color w:val="000000"/>
                <w:sz w:val="20"/>
                <w:szCs w:val="20"/>
                <w:lang w:eastAsia="es-CL"/>
              </w:rPr>
            </w:pPr>
            <w:r w:rsidRPr="00010A03">
              <w:rPr>
                <w:rFonts w:asciiTheme="minorHAnsi" w:hAnsiTheme="minorHAnsi" w:cstheme="minorHAnsi"/>
                <w:color w:val="000000"/>
                <w:sz w:val="20"/>
                <w:szCs w:val="20"/>
                <w:lang w:eastAsia="es-CL"/>
              </w:rPr>
              <w:t>246,663</w:t>
            </w:r>
          </w:p>
        </w:tc>
        <w:tc>
          <w:tcPr>
            <w:tcW w:w="737"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6693C1A8" w14:textId="77777777" w:rsidR="00397C1F" w:rsidRPr="00010A03" w:rsidRDefault="00397C1F" w:rsidP="00BC1A41">
            <w:pPr>
              <w:spacing w:before="40" w:after="40" w:line="240" w:lineRule="auto"/>
              <w:jc w:val="right"/>
              <w:rPr>
                <w:rFonts w:asciiTheme="minorHAnsi" w:hAnsiTheme="minorHAnsi" w:cstheme="minorHAnsi"/>
                <w:color w:val="000000"/>
                <w:sz w:val="20"/>
                <w:szCs w:val="20"/>
                <w:lang w:eastAsia="es-CL"/>
              </w:rPr>
            </w:pPr>
            <w:r w:rsidRPr="00010A03">
              <w:rPr>
                <w:rFonts w:asciiTheme="minorHAnsi" w:hAnsiTheme="minorHAnsi" w:cstheme="minorHAnsi"/>
                <w:color w:val="000000"/>
                <w:sz w:val="20"/>
                <w:szCs w:val="20"/>
                <w:lang w:eastAsia="es-CL"/>
              </w:rPr>
              <w:t>246,669</w:t>
            </w:r>
          </w:p>
        </w:tc>
        <w:tc>
          <w:tcPr>
            <w:tcW w:w="737"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4D793999" w14:textId="77777777" w:rsidR="00397C1F" w:rsidRPr="00010A03" w:rsidRDefault="00397C1F" w:rsidP="00BC1A41">
            <w:pPr>
              <w:spacing w:before="40" w:after="40" w:line="240" w:lineRule="auto"/>
              <w:jc w:val="right"/>
              <w:rPr>
                <w:rFonts w:asciiTheme="minorHAnsi" w:hAnsiTheme="minorHAnsi" w:cstheme="minorHAnsi"/>
                <w:color w:val="000000"/>
                <w:sz w:val="20"/>
                <w:szCs w:val="20"/>
                <w:lang w:eastAsia="es-CL"/>
              </w:rPr>
            </w:pPr>
            <w:r w:rsidRPr="00010A03">
              <w:rPr>
                <w:rFonts w:asciiTheme="minorHAnsi" w:hAnsiTheme="minorHAnsi" w:cstheme="minorHAnsi"/>
                <w:color w:val="000000"/>
                <w:sz w:val="20"/>
                <w:szCs w:val="20"/>
                <w:lang w:eastAsia="es-CL"/>
              </w:rPr>
              <w:t>246,524</w:t>
            </w:r>
          </w:p>
        </w:tc>
      </w:tr>
      <w:tr w:rsidR="00397C1F" w:rsidRPr="00010A03" w14:paraId="73A1A6B1" w14:textId="77777777" w:rsidTr="00BC1A41">
        <w:trPr>
          <w:jc w:val="center"/>
        </w:trPr>
        <w:tc>
          <w:tcPr>
            <w:tcW w:w="851"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tcPr>
          <w:p w14:paraId="23924E42" w14:textId="77777777" w:rsidR="00397C1F" w:rsidRPr="00010A03" w:rsidRDefault="00397C1F" w:rsidP="00BC1A41">
            <w:pPr>
              <w:spacing w:before="40" w:after="40" w:line="240" w:lineRule="auto"/>
              <w:jc w:val="center"/>
              <w:rPr>
                <w:rFonts w:asciiTheme="minorHAnsi" w:hAnsiTheme="minorHAnsi" w:cstheme="minorHAnsi"/>
                <w:color w:val="000000"/>
                <w:sz w:val="20"/>
                <w:szCs w:val="20"/>
                <w:lang w:eastAsia="es-CL"/>
              </w:rPr>
            </w:pPr>
            <w:r w:rsidRPr="00010A03">
              <w:rPr>
                <w:rFonts w:asciiTheme="minorHAnsi" w:hAnsiTheme="minorHAnsi" w:cstheme="minorHAnsi"/>
                <w:color w:val="000000"/>
                <w:sz w:val="20"/>
                <w:szCs w:val="20"/>
                <w:lang w:eastAsia="es-CL"/>
              </w:rPr>
              <w:lastRenderedPageBreak/>
              <w:t>2018</w:t>
            </w:r>
          </w:p>
        </w:tc>
        <w:tc>
          <w:tcPr>
            <w:tcW w:w="737"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3ED101C2" w14:textId="77777777" w:rsidR="00397C1F" w:rsidRPr="00010A03" w:rsidRDefault="00397C1F" w:rsidP="00BC1A41">
            <w:pPr>
              <w:spacing w:before="40" w:after="40" w:line="240" w:lineRule="auto"/>
              <w:jc w:val="right"/>
              <w:rPr>
                <w:rFonts w:asciiTheme="minorHAnsi" w:hAnsiTheme="minorHAnsi" w:cstheme="minorHAnsi"/>
                <w:color w:val="000000"/>
                <w:sz w:val="20"/>
                <w:szCs w:val="20"/>
                <w:lang w:eastAsia="es-CL"/>
              </w:rPr>
            </w:pPr>
            <w:r w:rsidRPr="00010A03">
              <w:rPr>
                <w:rFonts w:asciiTheme="minorHAnsi" w:hAnsiTheme="minorHAnsi" w:cstheme="minorHAnsi"/>
                <w:color w:val="000000"/>
                <w:sz w:val="20"/>
                <w:szCs w:val="20"/>
                <w:lang w:eastAsia="es-CL"/>
              </w:rPr>
              <w:t>247,867</w:t>
            </w:r>
          </w:p>
        </w:tc>
        <w:tc>
          <w:tcPr>
            <w:tcW w:w="737"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733D49C3" w14:textId="77777777" w:rsidR="00397C1F" w:rsidRPr="00010A03" w:rsidRDefault="00397C1F" w:rsidP="00BC1A41">
            <w:pPr>
              <w:spacing w:before="40" w:after="40" w:line="240" w:lineRule="auto"/>
              <w:jc w:val="right"/>
              <w:rPr>
                <w:rFonts w:asciiTheme="minorHAnsi" w:hAnsiTheme="minorHAnsi" w:cstheme="minorHAnsi"/>
                <w:color w:val="000000"/>
                <w:sz w:val="20"/>
                <w:szCs w:val="20"/>
                <w:lang w:eastAsia="es-CL"/>
              </w:rPr>
            </w:pPr>
            <w:r w:rsidRPr="00010A03">
              <w:rPr>
                <w:rFonts w:asciiTheme="minorHAnsi" w:hAnsiTheme="minorHAnsi" w:cstheme="minorHAnsi"/>
                <w:color w:val="000000"/>
                <w:sz w:val="20"/>
                <w:szCs w:val="20"/>
                <w:lang w:eastAsia="es-CL"/>
              </w:rPr>
              <w:t>248,991</w:t>
            </w:r>
          </w:p>
        </w:tc>
        <w:tc>
          <w:tcPr>
            <w:tcW w:w="737"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1143B953" w14:textId="77777777" w:rsidR="00397C1F" w:rsidRPr="00010A03" w:rsidRDefault="00397C1F" w:rsidP="00BC1A41">
            <w:pPr>
              <w:spacing w:before="40" w:after="40" w:line="240" w:lineRule="auto"/>
              <w:jc w:val="right"/>
              <w:rPr>
                <w:rFonts w:asciiTheme="minorHAnsi" w:hAnsiTheme="minorHAnsi" w:cstheme="minorHAnsi"/>
                <w:color w:val="000000"/>
                <w:sz w:val="20"/>
                <w:szCs w:val="20"/>
                <w:lang w:eastAsia="es-CL"/>
              </w:rPr>
            </w:pPr>
            <w:r w:rsidRPr="00010A03">
              <w:rPr>
                <w:rFonts w:asciiTheme="minorHAnsi" w:hAnsiTheme="minorHAnsi" w:cstheme="minorHAnsi"/>
                <w:color w:val="000000"/>
                <w:sz w:val="20"/>
                <w:szCs w:val="20"/>
                <w:lang w:eastAsia="es-CL"/>
              </w:rPr>
              <w:t>249,554</w:t>
            </w:r>
          </w:p>
        </w:tc>
        <w:tc>
          <w:tcPr>
            <w:tcW w:w="737"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6E2965D0" w14:textId="77777777" w:rsidR="00397C1F" w:rsidRPr="00010A03" w:rsidRDefault="00397C1F" w:rsidP="00BC1A41">
            <w:pPr>
              <w:spacing w:before="40" w:after="40" w:line="240" w:lineRule="auto"/>
              <w:jc w:val="right"/>
              <w:rPr>
                <w:rFonts w:asciiTheme="minorHAnsi" w:hAnsiTheme="minorHAnsi" w:cstheme="minorHAnsi"/>
                <w:color w:val="000000"/>
                <w:sz w:val="20"/>
                <w:szCs w:val="20"/>
                <w:lang w:eastAsia="es-CL"/>
              </w:rPr>
            </w:pPr>
            <w:r w:rsidRPr="00010A03">
              <w:rPr>
                <w:rFonts w:asciiTheme="minorHAnsi" w:hAnsiTheme="minorHAnsi" w:cstheme="minorHAnsi"/>
                <w:color w:val="000000"/>
                <w:sz w:val="20"/>
                <w:szCs w:val="20"/>
                <w:lang w:eastAsia="es-CL"/>
              </w:rPr>
              <w:t>250,546</w:t>
            </w:r>
          </w:p>
        </w:tc>
        <w:tc>
          <w:tcPr>
            <w:tcW w:w="737"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4533D366" w14:textId="77777777" w:rsidR="00397C1F" w:rsidRPr="00010A03" w:rsidRDefault="00397C1F" w:rsidP="00BC1A41">
            <w:pPr>
              <w:spacing w:before="40" w:after="40" w:line="240" w:lineRule="auto"/>
              <w:jc w:val="right"/>
              <w:rPr>
                <w:rFonts w:asciiTheme="minorHAnsi" w:hAnsiTheme="minorHAnsi" w:cstheme="minorHAnsi"/>
                <w:color w:val="000000"/>
                <w:sz w:val="20"/>
                <w:szCs w:val="20"/>
                <w:lang w:eastAsia="es-CL"/>
              </w:rPr>
            </w:pPr>
            <w:r w:rsidRPr="00010A03">
              <w:rPr>
                <w:rFonts w:asciiTheme="minorHAnsi" w:hAnsiTheme="minorHAnsi" w:cstheme="minorHAnsi"/>
                <w:color w:val="000000"/>
                <w:sz w:val="20"/>
                <w:szCs w:val="20"/>
                <w:lang w:eastAsia="es-CL"/>
              </w:rPr>
              <w:t>251,588</w:t>
            </w:r>
          </w:p>
        </w:tc>
        <w:tc>
          <w:tcPr>
            <w:tcW w:w="737"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7041CD30" w14:textId="77777777" w:rsidR="00397C1F" w:rsidRPr="00010A03" w:rsidRDefault="00397C1F" w:rsidP="00BC1A41">
            <w:pPr>
              <w:spacing w:before="40" w:after="40" w:line="240" w:lineRule="auto"/>
              <w:jc w:val="right"/>
              <w:rPr>
                <w:rFonts w:asciiTheme="minorHAnsi" w:hAnsiTheme="minorHAnsi" w:cstheme="minorHAnsi"/>
                <w:color w:val="000000"/>
                <w:sz w:val="20"/>
                <w:szCs w:val="20"/>
                <w:lang w:eastAsia="es-CL"/>
              </w:rPr>
            </w:pPr>
            <w:r w:rsidRPr="00010A03">
              <w:rPr>
                <w:rFonts w:asciiTheme="minorHAnsi" w:hAnsiTheme="minorHAnsi" w:cstheme="minorHAnsi"/>
                <w:color w:val="000000"/>
                <w:sz w:val="20"/>
                <w:szCs w:val="20"/>
                <w:lang w:eastAsia="es-CL"/>
              </w:rPr>
              <w:t>251,989</w:t>
            </w:r>
          </w:p>
        </w:tc>
        <w:tc>
          <w:tcPr>
            <w:tcW w:w="737"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2769A22D" w14:textId="77777777" w:rsidR="00397C1F" w:rsidRPr="00010A03" w:rsidRDefault="00397C1F" w:rsidP="00BC1A41">
            <w:pPr>
              <w:spacing w:before="40" w:after="40" w:line="240" w:lineRule="auto"/>
              <w:jc w:val="right"/>
              <w:rPr>
                <w:rFonts w:asciiTheme="minorHAnsi" w:hAnsiTheme="minorHAnsi" w:cstheme="minorHAnsi"/>
                <w:color w:val="000000"/>
                <w:sz w:val="20"/>
                <w:szCs w:val="20"/>
                <w:lang w:eastAsia="es-CL"/>
              </w:rPr>
            </w:pPr>
            <w:r w:rsidRPr="00010A03">
              <w:rPr>
                <w:rFonts w:asciiTheme="minorHAnsi" w:hAnsiTheme="minorHAnsi" w:cstheme="minorHAnsi"/>
                <w:color w:val="000000"/>
                <w:sz w:val="20"/>
                <w:szCs w:val="20"/>
                <w:lang w:eastAsia="es-CL"/>
              </w:rPr>
              <w:t>252,006</w:t>
            </w:r>
          </w:p>
        </w:tc>
        <w:tc>
          <w:tcPr>
            <w:tcW w:w="737"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1A7F5604" w14:textId="77777777" w:rsidR="00397C1F" w:rsidRPr="00010A03" w:rsidRDefault="00397C1F" w:rsidP="00BC1A41">
            <w:pPr>
              <w:spacing w:before="40" w:after="40" w:line="240" w:lineRule="auto"/>
              <w:jc w:val="right"/>
              <w:rPr>
                <w:rFonts w:asciiTheme="minorHAnsi" w:hAnsiTheme="minorHAnsi" w:cstheme="minorHAnsi"/>
                <w:color w:val="000000"/>
                <w:sz w:val="20"/>
                <w:szCs w:val="20"/>
                <w:lang w:eastAsia="es-CL"/>
              </w:rPr>
            </w:pPr>
            <w:r w:rsidRPr="00010A03">
              <w:rPr>
                <w:rFonts w:asciiTheme="minorHAnsi" w:hAnsiTheme="minorHAnsi" w:cstheme="minorHAnsi"/>
                <w:color w:val="000000"/>
                <w:sz w:val="20"/>
                <w:szCs w:val="20"/>
                <w:lang w:eastAsia="es-CL"/>
              </w:rPr>
              <w:t>252,146</w:t>
            </w:r>
          </w:p>
        </w:tc>
        <w:tc>
          <w:tcPr>
            <w:tcW w:w="737"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22139DBD" w14:textId="77777777" w:rsidR="00397C1F" w:rsidRPr="00010A03" w:rsidRDefault="00397C1F" w:rsidP="00BC1A41">
            <w:pPr>
              <w:spacing w:before="40" w:after="40" w:line="240" w:lineRule="auto"/>
              <w:jc w:val="right"/>
              <w:rPr>
                <w:rFonts w:asciiTheme="minorHAnsi" w:hAnsiTheme="minorHAnsi" w:cstheme="minorHAnsi"/>
                <w:color w:val="000000"/>
                <w:sz w:val="20"/>
                <w:szCs w:val="20"/>
                <w:lang w:eastAsia="es-CL"/>
              </w:rPr>
            </w:pPr>
            <w:r w:rsidRPr="00010A03">
              <w:rPr>
                <w:rFonts w:asciiTheme="minorHAnsi" w:hAnsiTheme="minorHAnsi" w:cstheme="minorHAnsi"/>
                <w:color w:val="000000"/>
                <w:sz w:val="20"/>
                <w:szCs w:val="20"/>
                <w:lang w:eastAsia="es-CL"/>
              </w:rPr>
              <w:t>252,439</w:t>
            </w:r>
          </w:p>
        </w:tc>
        <w:tc>
          <w:tcPr>
            <w:tcW w:w="737"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65971DAC" w14:textId="77777777" w:rsidR="00397C1F" w:rsidRPr="00010A03" w:rsidRDefault="00397C1F" w:rsidP="00BC1A41">
            <w:pPr>
              <w:spacing w:before="40" w:after="40" w:line="240" w:lineRule="auto"/>
              <w:jc w:val="right"/>
              <w:rPr>
                <w:rFonts w:asciiTheme="minorHAnsi" w:hAnsiTheme="minorHAnsi" w:cstheme="minorHAnsi"/>
                <w:color w:val="000000"/>
                <w:sz w:val="20"/>
                <w:szCs w:val="20"/>
                <w:lang w:eastAsia="es-CL"/>
              </w:rPr>
            </w:pPr>
            <w:r w:rsidRPr="00010A03">
              <w:rPr>
                <w:rFonts w:asciiTheme="minorHAnsi" w:hAnsiTheme="minorHAnsi" w:cstheme="minorHAnsi"/>
                <w:color w:val="000000"/>
                <w:sz w:val="20"/>
                <w:szCs w:val="20"/>
                <w:lang w:eastAsia="es-CL"/>
              </w:rPr>
              <w:t>252,885</w:t>
            </w:r>
          </w:p>
        </w:tc>
        <w:tc>
          <w:tcPr>
            <w:tcW w:w="737"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715A2A4B" w14:textId="77777777" w:rsidR="00397C1F" w:rsidRPr="00010A03" w:rsidRDefault="00397C1F" w:rsidP="00BC1A41">
            <w:pPr>
              <w:spacing w:before="40" w:after="40" w:line="240" w:lineRule="auto"/>
              <w:jc w:val="right"/>
              <w:rPr>
                <w:rFonts w:asciiTheme="minorHAnsi" w:hAnsiTheme="minorHAnsi" w:cstheme="minorHAnsi"/>
                <w:color w:val="000000"/>
                <w:sz w:val="20"/>
                <w:szCs w:val="20"/>
                <w:lang w:eastAsia="es-CL"/>
              </w:rPr>
            </w:pPr>
            <w:r w:rsidRPr="00010A03">
              <w:rPr>
                <w:rFonts w:asciiTheme="minorHAnsi" w:hAnsiTheme="minorHAnsi" w:cstheme="minorHAnsi"/>
                <w:color w:val="000000"/>
                <w:sz w:val="20"/>
                <w:szCs w:val="20"/>
                <w:lang w:eastAsia="es-CL"/>
              </w:rPr>
              <w:t>252,038</w:t>
            </w:r>
          </w:p>
        </w:tc>
        <w:tc>
          <w:tcPr>
            <w:tcW w:w="737"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2B158525" w14:textId="77777777" w:rsidR="00397C1F" w:rsidRPr="00010A03" w:rsidRDefault="00397C1F" w:rsidP="00BC1A41">
            <w:pPr>
              <w:spacing w:before="40" w:after="40" w:line="240" w:lineRule="auto"/>
              <w:jc w:val="right"/>
              <w:rPr>
                <w:rFonts w:asciiTheme="minorHAnsi" w:hAnsiTheme="minorHAnsi" w:cstheme="minorHAnsi"/>
                <w:color w:val="000000"/>
                <w:sz w:val="20"/>
                <w:szCs w:val="20"/>
                <w:lang w:eastAsia="es-CL"/>
              </w:rPr>
            </w:pPr>
            <w:r w:rsidRPr="00010A03">
              <w:rPr>
                <w:rFonts w:asciiTheme="minorHAnsi" w:hAnsiTheme="minorHAnsi" w:cstheme="minorHAnsi"/>
                <w:color w:val="000000"/>
                <w:sz w:val="20"/>
                <w:szCs w:val="20"/>
                <w:lang w:eastAsia="es-CL"/>
              </w:rPr>
              <w:t>251,233</w:t>
            </w:r>
          </w:p>
        </w:tc>
      </w:tr>
      <w:tr w:rsidR="00397C1F" w:rsidRPr="00010A03" w14:paraId="48B37EF2" w14:textId="77777777" w:rsidTr="00BC1A41">
        <w:trPr>
          <w:jc w:val="center"/>
        </w:trPr>
        <w:tc>
          <w:tcPr>
            <w:tcW w:w="851"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tcPr>
          <w:p w14:paraId="1B84D4BB" w14:textId="77777777" w:rsidR="00397C1F" w:rsidRPr="00010A03" w:rsidRDefault="00397C1F" w:rsidP="00BC1A41">
            <w:pPr>
              <w:spacing w:before="40" w:after="40" w:line="240" w:lineRule="auto"/>
              <w:jc w:val="center"/>
              <w:rPr>
                <w:rFonts w:asciiTheme="minorHAnsi" w:hAnsiTheme="minorHAnsi" w:cstheme="minorHAnsi"/>
                <w:color w:val="000000"/>
                <w:sz w:val="20"/>
                <w:szCs w:val="20"/>
                <w:lang w:eastAsia="es-CL"/>
              </w:rPr>
            </w:pPr>
            <w:r w:rsidRPr="00010A03">
              <w:rPr>
                <w:rFonts w:asciiTheme="minorHAnsi" w:hAnsiTheme="minorHAnsi" w:cstheme="minorHAnsi"/>
                <w:color w:val="000000"/>
                <w:sz w:val="20"/>
                <w:szCs w:val="20"/>
                <w:lang w:eastAsia="es-CL"/>
              </w:rPr>
              <w:t>2019</w:t>
            </w:r>
          </w:p>
        </w:tc>
        <w:tc>
          <w:tcPr>
            <w:tcW w:w="737"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51E1CA4C" w14:textId="77777777" w:rsidR="00397C1F" w:rsidRPr="00010A03" w:rsidRDefault="00397C1F" w:rsidP="00BC1A41">
            <w:pPr>
              <w:spacing w:before="40" w:after="40" w:line="240" w:lineRule="auto"/>
              <w:jc w:val="right"/>
              <w:rPr>
                <w:rFonts w:asciiTheme="minorHAnsi" w:hAnsiTheme="minorHAnsi" w:cstheme="minorHAnsi"/>
                <w:color w:val="000000"/>
                <w:sz w:val="20"/>
                <w:szCs w:val="20"/>
                <w:lang w:eastAsia="es-CL"/>
              </w:rPr>
            </w:pPr>
            <w:r w:rsidRPr="00010A03">
              <w:rPr>
                <w:rFonts w:asciiTheme="minorHAnsi" w:hAnsiTheme="minorHAnsi" w:cstheme="minorHAnsi"/>
                <w:color w:val="000000"/>
                <w:sz w:val="20"/>
                <w:szCs w:val="20"/>
                <w:lang w:eastAsia="es-CL"/>
              </w:rPr>
              <w:t>251,712</w:t>
            </w:r>
          </w:p>
        </w:tc>
        <w:tc>
          <w:tcPr>
            <w:tcW w:w="737"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5E1AA092" w14:textId="77777777" w:rsidR="00397C1F" w:rsidRPr="00010A03" w:rsidRDefault="00397C1F" w:rsidP="00BC1A41">
            <w:pPr>
              <w:spacing w:before="40" w:after="40" w:line="240" w:lineRule="auto"/>
              <w:jc w:val="right"/>
              <w:rPr>
                <w:rFonts w:asciiTheme="minorHAnsi" w:hAnsiTheme="minorHAnsi" w:cstheme="minorHAnsi"/>
                <w:color w:val="000000"/>
                <w:sz w:val="20"/>
                <w:szCs w:val="20"/>
                <w:lang w:eastAsia="es-CL"/>
              </w:rPr>
            </w:pPr>
            <w:r w:rsidRPr="00010A03">
              <w:rPr>
                <w:rFonts w:asciiTheme="minorHAnsi" w:hAnsiTheme="minorHAnsi" w:cstheme="minorHAnsi"/>
                <w:color w:val="000000"/>
                <w:sz w:val="20"/>
                <w:szCs w:val="20"/>
                <w:lang w:eastAsia="es-CL"/>
              </w:rPr>
              <w:t>252,776</w:t>
            </w:r>
          </w:p>
        </w:tc>
        <w:tc>
          <w:tcPr>
            <w:tcW w:w="737"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3E8EEE82" w14:textId="77777777" w:rsidR="00397C1F" w:rsidRPr="00010A03" w:rsidRDefault="00397C1F" w:rsidP="00BC1A41">
            <w:pPr>
              <w:spacing w:before="40" w:after="40" w:line="240" w:lineRule="auto"/>
              <w:jc w:val="right"/>
              <w:rPr>
                <w:rFonts w:asciiTheme="minorHAnsi" w:hAnsiTheme="minorHAnsi" w:cstheme="minorHAnsi"/>
                <w:color w:val="000000"/>
                <w:sz w:val="20"/>
                <w:szCs w:val="20"/>
                <w:lang w:eastAsia="es-CL"/>
              </w:rPr>
            </w:pPr>
            <w:r w:rsidRPr="00010A03">
              <w:rPr>
                <w:rFonts w:asciiTheme="minorHAnsi" w:hAnsiTheme="minorHAnsi" w:cstheme="minorHAnsi"/>
                <w:color w:val="000000"/>
                <w:sz w:val="20"/>
                <w:szCs w:val="20"/>
                <w:lang w:eastAsia="es-CL"/>
              </w:rPr>
              <w:t>254,202</w:t>
            </w:r>
          </w:p>
        </w:tc>
        <w:tc>
          <w:tcPr>
            <w:tcW w:w="737"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0C60D988" w14:textId="77777777" w:rsidR="00397C1F" w:rsidRPr="00010A03" w:rsidRDefault="00397C1F" w:rsidP="00BC1A41">
            <w:pPr>
              <w:spacing w:before="40" w:after="40" w:line="240" w:lineRule="auto"/>
              <w:jc w:val="right"/>
              <w:rPr>
                <w:rFonts w:asciiTheme="minorHAnsi" w:hAnsiTheme="minorHAnsi" w:cstheme="minorHAnsi"/>
                <w:color w:val="000000"/>
                <w:sz w:val="20"/>
                <w:szCs w:val="20"/>
                <w:lang w:eastAsia="es-CL"/>
              </w:rPr>
            </w:pPr>
            <w:r w:rsidRPr="00010A03">
              <w:rPr>
                <w:rFonts w:asciiTheme="minorHAnsi" w:hAnsiTheme="minorHAnsi" w:cstheme="minorHAnsi"/>
                <w:color w:val="000000"/>
                <w:sz w:val="20"/>
                <w:szCs w:val="20"/>
                <w:lang w:eastAsia="es-CL"/>
              </w:rPr>
              <w:t>255,548</w:t>
            </w:r>
          </w:p>
        </w:tc>
        <w:tc>
          <w:tcPr>
            <w:tcW w:w="737"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7A85E3E2" w14:textId="77777777" w:rsidR="00397C1F" w:rsidRPr="00010A03" w:rsidRDefault="00397C1F" w:rsidP="00BC1A41">
            <w:pPr>
              <w:spacing w:before="40" w:after="40" w:line="240" w:lineRule="auto"/>
              <w:jc w:val="right"/>
              <w:rPr>
                <w:rFonts w:asciiTheme="minorHAnsi" w:hAnsiTheme="minorHAnsi" w:cstheme="minorHAnsi"/>
                <w:color w:val="000000"/>
                <w:sz w:val="20"/>
                <w:szCs w:val="20"/>
                <w:lang w:eastAsia="es-CL"/>
              </w:rPr>
            </w:pPr>
            <w:r w:rsidRPr="00010A03">
              <w:rPr>
                <w:rFonts w:asciiTheme="minorHAnsi" w:hAnsiTheme="minorHAnsi" w:cstheme="minorHAnsi"/>
                <w:color w:val="000000"/>
                <w:sz w:val="20"/>
                <w:szCs w:val="20"/>
                <w:lang w:eastAsia="es-CL"/>
              </w:rPr>
              <w:t>256,092</w:t>
            </w:r>
          </w:p>
        </w:tc>
        <w:tc>
          <w:tcPr>
            <w:tcW w:w="737"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7D845F1E" w14:textId="77777777" w:rsidR="00397C1F" w:rsidRPr="00010A03" w:rsidRDefault="00397C1F" w:rsidP="00BC1A41">
            <w:pPr>
              <w:spacing w:before="40" w:after="40" w:line="240" w:lineRule="auto"/>
              <w:jc w:val="right"/>
              <w:rPr>
                <w:rFonts w:asciiTheme="minorHAnsi" w:hAnsiTheme="minorHAnsi" w:cstheme="minorHAnsi"/>
                <w:color w:val="000000"/>
                <w:sz w:val="20"/>
                <w:szCs w:val="20"/>
                <w:lang w:eastAsia="es-CL"/>
              </w:rPr>
            </w:pPr>
            <w:r w:rsidRPr="00010A03">
              <w:rPr>
                <w:rFonts w:asciiTheme="minorHAnsi" w:hAnsiTheme="minorHAnsi" w:cstheme="minorHAnsi"/>
                <w:color w:val="000000"/>
                <w:sz w:val="20"/>
                <w:szCs w:val="20"/>
                <w:lang w:eastAsia="es-CL"/>
              </w:rPr>
              <w:t>256,143</w:t>
            </w:r>
          </w:p>
        </w:tc>
        <w:tc>
          <w:tcPr>
            <w:tcW w:w="737"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5A41F237" w14:textId="77777777" w:rsidR="00397C1F" w:rsidRPr="00010A03" w:rsidRDefault="00397C1F" w:rsidP="00BC1A41">
            <w:pPr>
              <w:spacing w:before="40" w:after="40" w:line="240" w:lineRule="auto"/>
              <w:jc w:val="right"/>
              <w:rPr>
                <w:rFonts w:asciiTheme="minorHAnsi" w:hAnsiTheme="minorHAnsi" w:cstheme="minorHAnsi"/>
                <w:color w:val="000000"/>
                <w:sz w:val="20"/>
                <w:szCs w:val="20"/>
                <w:lang w:eastAsia="es-CL"/>
              </w:rPr>
            </w:pPr>
            <w:r w:rsidRPr="00010A03">
              <w:rPr>
                <w:rFonts w:asciiTheme="minorHAnsi" w:hAnsiTheme="minorHAnsi" w:cstheme="minorHAnsi"/>
                <w:color w:val="000000"/>
                <w:sz w:val="20"/>
                <w:szCs w:val="20"/>
                <w:lang w:eastAsia="es-CL"/>
              </w:rPr>
              <w:t>256,571</w:t>
            </w:r>
          </w:p>
        </w:tc>
        <w:tc>
          <w:tcPr>
            <w:tcW w:w="737"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2EF60C9C" w14:textId="77777777" w:rsidR="00397C1F" w:rsidRPr="00010A03" w:rsidRDefault="00397C1F" w:rsidP="00BC1A41">
            <w:pPr>
              <w:spacing w:before="40" w:after="40" w:line="240" w:lineRule="auto"/>
              <w:jc w:val="right"/>
              <w:rPr>
                <w:rFonts w:asciiTheme="minorHAnsi" w:hAnsiTheme="minorHAnsi" w:cstheme="minorHAnsi"/>
                <w:color w:val="000000"/>
                <w:sz w:val="20"/>
                <w:szCs w:val="20"/>
                <w:lang w:eastAsia="es-CL"/>
              </w:rPr>
            </w:pPr>
            <w:r w:rsidRPr="00010A03">
              <w:rPr>
                <w:rFonts w:asciiTheme="minorHAnsi" w:hAnsiTheme="minorHAnsi" w:cstheme="minorHAnsi"/>
                <w:color w:val="000000"/>
                <w:sz w:val="20"/>
                <w:szCs w:val="20"/>
                <w:lang w:eastAsia="es-CL"/>
              </w:rPr>
              <w:t>256,558</w:t>
            </w:r>
          </w:p>
        </w:tc>
        <w:tc>
          <w:tcPr>
            <w:tcW w:w="737"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304E9457" w14:textId="77777777" w:rsidR="00397C1F" w:rsidRPr="00010A03" w:rsidRDefault="00397C1F" w:rsidP="00BC1A41">
            <w:pPr>
              <w:spacing w:before="40" w:after="40" w:line="240" w:lineRule="auto"/>
              <w:jc w:val="right"/>
              <w:rPr>
                <w:rFonts w:asciiTheme="minorHAnsi" w:hAnsiTheme="minorHAnsi" w:cstheme="minorHAnsi"/>
                <w:color w:val="000000"/>
                <w:sz w:val="20"/>
                <w:szCs w:val="20"/>
                <w:lang w:eastAsia="es-CL"/>
              </w:rPr>
            </w:pPr>
            <w:r w:rsidRPr="00010A03">
              <w:rPr>
                <w:rFonts w:asciiTheme="minorHAnsi" w:hAnsiTheme="minorHAnsi" w:cstheme="minorHAnsi"/>
                <w:color w:val="000000"/>
                <w:sz w:val="20"/>
                <w:szCs w:val="20"/>
                <w:lang w:eastAsia="es-CL"/>
              </w:rPr>
              <w:t>256,759</w:t>
            </w:r>
          </w:p>
        </w:tc>
        <w:tc>
          <w:tcPr>
            <w:tcW w:w="737"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519D9503" w14:textId="77777777" w:rsidR="00397C1F" w:rsidRPr="00010A03" w:rsidRDefault="00397C1F" w:rsidP="00BC1A41">
            <w:pPr>
              <w:spacing w:before="40" w:after="40" w:line="240" w:lineRule="auto"/>
              <w:jc w:val="right"/>
              <w:rPr>
                <w:rFonts w:asciiTheme="minorHAnsi" w:hAnsiTheme="minorHAnsi" w:cstheme="minorHAnsi"/>
                <w:color w:val="000000"/>
                <w:sz w:val="20"/>
                <w:szCs w:val="20"/>
                <w:lang w:eastAsia="es-CL"/>
              </w:rPr>
            </w:pPr>
            <w:r w:rsidRPr="00010A03">
              <w:rPr>
                <w:rFonts w:asciiTheme="minorHAnsi" w:hAnsiTheme="minorHAnsi" w:cstheme="minorHAnsi"/>
                <w:color w:val="000000"/>
                <w:sz w:val="20"/>
                <w:szCs w:val="20"/>
                <w:lang w:eastAsia="es-CL"/>
              </w:rPr>
              <w:t>257,346</w:t>
            </w:r>
          </w:p>
        </w:tc>
        <w:tc>
          <w:tcPr>
            <w:tcW w:w="737"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256A71E7" w14:textId="77777777" w:rsidR="00397C1F" w:rsidRPr="00010A03" w:rsidRDefault="00397C1F" w:rsidP="00BC1A41">
            <w:pPr>
              <w:spacing w:before="40" w:after="40" w:line="240" w:lineRule="auto"/>
              <w:jc w:val="right"/>
              <w:rPr>
                <w:rFonts w:asciiTheme="minorHAnsi" w:hAnsiTheme="minorHAnsi" w:cstheme="minorHAnsi"/>
                <w:color w:val="000000"/>
                <w:sz w:val="20"/>
                <w:szCs w:val="20"/>
                <w:lang w:eastAsia="es-CL"/>
              </w:rPr>
            </w:pPr>
            <w:r w:rsidRPr="00010A03">
              <w:rPr>
                <w:rFonts w:asciiTheme="minorHAnsi" w:hAnsiTheme="minorHAnsi" w:cstheme="minorHAnsi"/>
                <w:color w:val="000000"/>
                <w:sz w:val="20"/>
                <w:szCs w:val="20"/>
                <w:lang w:eastAsia="es-CL"/>
              </w:rPr>
              <w:t>257,208</w:t>
            </w:r>
          </w:p>
        </w:tc>
        <w:tc>
          <w:tcPr>
            <w:tcW w:w="737" w:type="dxa"/>
            <w:tcBorders>
              <w:top w:val="nil"/>
              <w:left w:val="nil"/>
              <w:bottom w:val="single" w:sz="4" w:space="0" w:color="auto"/>
              <w:right w:val="single" w:sz="4" w:space="0" w:color="auto"/>
            </w:tcBorders>
            <w:shd w:val="clear" w:color="auto" w:fill="auto"/>
            <w:noWrap/>
            <w:tcMar>
              <w:left w:w="28" w:type="dxa"/>
              <w:right w:w="28" w:type="dxa"/>
            </w:tcMar>
            <w:vAlign w:val="center"/>
          </w:tcPr>
          <w:p w14:paraId="7FA06E46" w14:textId="77777777" w:rsidR="00397C1F" w:rsidRPr="00010A03" w:rsidRDefault="00397C1F" w:rsidP="00BC1A41">
            <w:pPr>
              <w:spacing w:before="40" w:after="40" w:line="240" w:lineRule="auto"/>
              <w:jc w:val="right"/>
              <w:rPr>
                <w:rFonts w:asciiTheme="minorHAnsi" w:hAnsiTheme="minorHAnsi" w:cstheme="minorHAnsi"/>
                <w:color w:val="000000"/>
                <w:sz w:val="20"/>
                <w:szCs w:val="20"/>
                <w:lang w:eastAsia="es-CL"/>
              </w:rPr>
            </w:pPr>
            <w:r w:rsidRPr="00010A03">
              <w:rPr>
                <w:rFonts w:asciiTheme="minorHAnsi" w:hAnsiTheme="minorHAnsi" w:cstheme="minorHAnsi"/>
                <w:color w:val="000000"/>
                <w:sz w:val="20"/>
                <w:szCs w:val="20"/>
                <w:lang w:eastAsia="es-CL"/>
              </w:rPr>
              <w:t>256,974</w:t>
            </w:r>
          </w:p>
        </w:tc>
      </w:tr>
    </w:tbl>
    <w:p w14:paraId="2919EC26" w14:textId="77777777" w:rsidR="009072B2" w:rsidRDefault="009072B2" w:rsidP="00BC1A41">
      <w:pPr>
        <w:spacing w:after="0"/>
      </w:pPr>
    </w:p>
    <w:p w14:paraId="6285264D" w14:textId="5733432A" w:rsidR="00084018" w:rsidRDefault="00084018" w:rsidP="00084018">
      <w:r w:rsidRPr="00EE2F47">
        <w:t xml:space="preserve">Así, el valor base para el CPI corresponde al valor de octubre de 2017, es </w:t>
      </w:r>
      <w:proofErr w:type="gramStart"/>
      <w:r w:rsidRPr="00EE2F47">
        <w:t xml:space="preserve">decir, </w:t>
      </w:r>
      <m:oMath>
        <m:r>
          <w:rPr>
            <w:rFonts w:ascii="Cambria Math" w:hAnsi="Cambria Math"/>
          </w:rPr>
          <m:t>CP</m:t>
        </m:r>
        <m:sSub>
          <m:sSubPr>
            <m:ctrlPr>
              <w:rPr>
                <w:rFonts w:ascii="Cambria Math" w:hAnsi="Cambria Math"/>
                <w:i/>
                <w:vertAlign w:val="subscript"/>
              </w:rPr>
            </m:ctrlPr>
          </m:sSubPr>
          <m:e>
            <m:r>
              <w:rPr>
                <w:rFonts w:ascii="Cambria Math" w:hAnsi="Cambria Math"/>
              </w:rPr>
              <m:t>I</m:t>
            </m:r>
            <m:ctrlPr>
              <w:rPr>
                <w:rFonts w:ascii="Cambria Math" w:hAnsi="Cambria Math"/>
                <w:i/>
              </w:rPr>
            </m:ctrlPr>
          </m:e>
          <m:sub>
            <m:r>
              <w:rPr>
                <w:rFonts w:ascii="Cambria Math" w:hAnsi="Cambria Math"/>
                <w:vertAlign w:val="subscript"/>
              </w:rPr>
              <m:t>0</m:t>
            </m:r>
          </m:sub>
        </m:sSub>
        <m:r>
          <w:rPr>
            <w:rFonts w:ascii="Cambria Math" w:hAnsi="Cambria Math"/>
          </w:rPr>
          <m:t>=246,663</m:t>
        </m:r>
      </m:oMath>
      <w:r w:rsidRPr="00EE2F47">
        <w:t>.</w:t>
      </w:r>
      <w:proofErr w:type="gramEnd"/>
    </w:p>
    <w:p w14:paraId="291B302A" w14:textId="34B1487B" w:rsidR="00084018" w:rsidRPr="006B2448" w:rsidRDefault="00084018" w:rsidP="006A5733">
      <w:pPr>
        <w:pStyle w:val="Ttulo4"/>
      </w:pPr>
      <w:bookmarkStart w:id="565" w:name="_Toc39797903"/>
      <w:r w:rsidRPr="006B2448">
        <w:t>T</w:t>
      </w:r>
      <w:r>
        <w:t>ipo</w:t>
      </w:r>
      <w:r w:rsidRPr="006B2448">
        <w:t xml:space="preserve"> de Cambio</w:t>
      </w:r>
      <w:r>
        <w:t xml:space="preserve"> (D)</w:t>
      </w:r>
      <w:bookmarkEnd w:id="565"/>
    </w:p>
    <w:p w14:paraId="13138D15" w14:textId="77777777" w:rsidR="00084018" w:rsidRDefault="00084018" w:rsidP="00084018">
      <w:r w:rsidRPr="00EE2F47">
        <w:t>Para el indexador Tipo de Cambio (</w:t>
      </w:r>
      <w:r>
        <w:t>D</w:t>
      </w:r>
      <w:r w:rsidRPr="00EE2F47">
        <w:t>), las bases instruyen la utilización del tipo de cambio observado para el dólar de los Estados Unidos de Norteamérica, publicado por el Banco Central de Chile, “Dólar Observado”. La siguiente tabla muestra su valor promedio mensual pa</w:t>
      </w:r>
      <w:r w:rsidR="00F72C28">
        <w:t>ra el período enero 2017 a diciembre</w:t>
      </w:r>
      <w:r w:rsidRPr="00EE2F47">
        <w:t xml:space="preserve"> de 2019</w:t>
      </w:r>
      <w:r w:rsidRPr="006B2448">
        <w:rPr>
          <w:rStyle w:val="Refdenotaalpie"/>
        </w:rPr>
        <w:footnoteReference w:id="53"/>
      </w:r>
      <w:r w:rsidRPr="00EE2F47">
        <w:t>.</w:t>
      </w:r>
    </w:p>
    <w:p w14:paraId="70181F97" w14:textId="0B915B8F" w:rsidR="00084018" w:rsidRDefault="003A0B8A" w:rsidP="003A0B8A">
      <w:pPr>
        <w:pStyle w:val="Subttulo"/>
      </w:pPr>
      <w:bookmarkStart w:id="566" w:name="_Toc27147886"/>
      <w:bookmarkStart w:id="567" w:name="_Toc39797975"/>
      <w:r w:rsidRPr="002F3394">
        <w:t xml:space="preserve">Tabla </w:t>
      </w:r>
      <w:fldSimple w:instr=" SEQ Tabla \* ARABIC ">
        <w:r w:rsidR="001F3E2E">
          <w:rPr>
            <w:noProof/>
          </w:rPr>
          <w:t>65</w:t>
        </w:r>
      </w:fldSimple>
      <w:r>
        <w:t>:</w:t>
      </w:r>
      <w:r w:rsidR="00084018" w:rsidRPr="00635F7D">
        <w:rPr>
          <w:bCs/>
        </w:rPr>
        <w:t xml:space="preserve"> </w:t>
      </w:r>
      <w:r w:rsidR="00084018" w:rsidRPr="0077496F">
        <w:rPr>
          <w:bCs/>
        </w:rPr>
        <w:t>Dólar Observado</w:t>
      </w:r>
      <w:bookmarkEnd w:id="566"/>
      <w:bookmarkEnd w:id="567"/>
    </w:p>
    <w:tbl>
      <w:tblPr>
        <w:tblW w:w="0" w:type="auto"/>
        <w:jc w:val="center"/>
        <w:tblLayout w:type="fixed"/>
        <w:tblCellMar>
          <w:left w:w="57" w:type="dxa"/>
          <w:right w:w="57" w:type="dxa"/>
        </w:tblCellMar>
        <w:tblLook w:val="0000" w:firstRow="0" w:lastRow="0" w:firstColumn="0" w:lastColumn="0" w:noHBand="0" w:noVBand="0"/>
      </w:tblPr>
      <w:tblGrid>
        <w:gridCol w:w="851"/>
        <w:gridCol w:w="737"/>
        <w:gridCol w:w="737"/>
        <w:gridCol w:w="737"/>
        <w:gridCol w:w="737"/>
        <w:gridCol w:w="737"/>
        <w:gridCol w:w="737"/>
        <w:gridCol w:w="737"/>
        <w:gridCol w:w="737"/>
        <w:gridCol w:w="737"/>
        <w:gridCol w:w="737"/>
        <w:gridCol w:w="737"/>
        <w:gridCol w:w="738"/>
      </w:tblGrid>
      <w:tr w:rsidR="008A5FF6" w:rsidRPr="00BC1A41" w14:paraId="56B9D25E" w14:textId="77777777" w:rsidTr="00BC1A41">
        <w:trPr>
          <w:jc w:val="center"/>
        </w:trPr>
        <w:tc>
          <w:tcPr>
            <w:tcW w:w="851" w:type="dxa"/>
            <w:vMerge w:val="restart"/>
            <w:tcBorders>
              <w:top w:val="single" w:sz="4" w:space="0" w:color="auto"/>
              <w:left w:val="single" w:sz="4" w:space="0" w:color="auto"/>
              <w:bottom w:val="single" w:sz="4" w:space="0" w:color="auto"/>
              <w:right w:val="single" w:sz="4" w:space="0" w:color="auto"/>
            </w:tcBorders>
            <w:shd w:val="solid" w:color="BFBFBF" w:themeColor="background1" w:themeShade="BF" w:fill="auto"/>
            <w:noWrap/>
            <w:vAlign w:val="center"/>
          </w:tcPr>
          <w:p w14:paraId="6880D033" w14:textId="77777777" w:rsidR="008A5FF6" w:rsidRPr="00BC1A41" w:rsidRDefault="008A5FF6" w:rsidP="00BC1A41">
            <w:pPr>
              <w:spacing w:before="40" w:after="40" w:line="240" w:lineRule="auto"/>
              <w:jc w:val="center"/>
              <w:rPr>
                <w:rFonts w:cs="Calibri"/>
                <w:b/>
                <w:color w:val="000000"/>
                <w:sz w:val="20"/>
                <w:szCs w:val="20"/>
                <w:lang w:eastAsia="es-CL"/>
              </w:rPr>
            </w:pPr>
            <w:r w:rsidRPr="00BC1A41">
              <w:rPr>
                <w:rFonts w:cs="Calibri"/>
                <w:b/>
                <w:color w:val="000000"/>
                <w:sz w:val="20"/>
                <w:szCs w:val="20"/>
                <w:lang w:eastAsia="es-CL"/>
              </w:rPr>
              <w:t>Año</w:t>
            </w:r>
          </w:p>
        </w:tc>
        <w:tc>
          <w:tcPr>
            <w:tcW w:w="8845" w:type="dxa"/>
            <w:gridSpan w:val="12"/>
            <w:tcBorders>
              <w:top w:val="single" w:sz="4" w:space="0" w:color="auto"/>
              <w:left w:val="nil"/>
              <w:bottom w:val="single" w:sz="4" w:space="0" w:color="auto"/>
              <w:right w:val="single" w:sz="4" w:space="0" w:color="auto"/>
            </w:tcBorders>
            <w:shd w:val="solid" w:color="BFBFBF" w:themeColor="background1" w:themeShade="BF" w:fill="auto"/>
            <w:noWrap/>
            <w:vAlign w:val="center"/>
          </w:tcPr>
          <w:p w14:paraId="30C0278B" w14:textId="4CB69D86" w:rsidR="008A5FF6" w:rsidRPr="00BC1A41" w:rsidRDefault="008A5FF6" w:rsidP="00BC1A41">
            <w:pPr>
              <w:spacing w:before="40" w:after="40" w:line="240" w:lineRule="auto"/>
              <w:jc w:val="center"/>
              <w:rPr>
                <w:rFonts w:cs="Calibri"/>
                <w:b/>
                <w:color w:val="000000"/>
                <w:sz w:val="20"/>
                <w:szCs w:val="20"/>
                <w:lang w:eastAsia="es-CL"/>
              </w:rPr>
            </w:pPr>
            <w:r w:rsidRPr="00BC1A41">
              <w:rPr>
                <w:rFonts w:cs="Calibri"/>
                <w:b/>
                <w:color w:val="000000"/>
                <w:sz w:val="20"/>
                <w:szCs w:val="20"/>
                <w:lang w:eastAsia="es-CL"/>
              </w:rPr>
              <w:t>Dólar Observado, $/</w:t>
            </w:r>
            <w:r w:rsidR="00204436" w:rsidRPr="00BC1A41">
              <w:rPr>
                <w:rFonts w:cs="Calibri"/>
                <w:b/>
                <w:color w:val="000000"/>
                <w:sz w:val="20"/>
                <w:szCs w:val="20"/>
                <w:lang w:eastAsia="es-CL"/>
              </w:rPr>
              <w:t>USD</w:t>
            </w:r>
          </w:p>
        </w:tc>
      </w:tr>
      <w:tr w:rsidR="008A5FF6" w:rsidRPr="00BC1A41" w14:paraId="186354FB" w14:textId="77777777" w:rsidTr="00BC1A41">
        <w:trPr>
          <w:jc w:val="center"/>
        </w:trPr>
        <w:tc>
          <w:tcPr>
            <w:tcW w:w="851" w:type="dxa"/>
            <w:vMerge/>
            <w:tcBorders>
              <w:top w:val="single" w:sz="4" w:space="0" w:color="auto"/>
              <w:left w:val="single" w:sz="4" w:space="0" w:color="auto"/>
              <w:bottom w:val="single" w:sz="4" w:space="0" w:color="auto"/>
              <w:right w:val="single" w:sz="4" w:space="0" w:color="auto"/>
            </w:tcBorders>
            <w:shd w:val="solid" w:color="BFBFBF" w:themeColor="background1" w:themeShade="BF" w:fill="auto"/>
            <w:vAlign w:val="center"/>
          </w:tcPr>
          <w:p w14:paraId="31C835F1" w14:textId="77777777" w:rsidR="008A5FF6" w:rsidRPr="00BC1A41" w:rsidRDefault="008A5FF6" w:rsidP="00BC1A41">
            <w:pPr>
              <w:spacing w:before="40" w:after="40" w:line="240" w:lineRule="auto"/>
              <w:jc w:val="left"/>
              <w:rPr>
                <w:rFonts w:cs="Calibri"/>
                <w:color w:val="000000"/>
                <w:sz w:val="20"/>
                <w:szCs w:val="20"/>
                <w:lang w:eastAsia="es-CL"/>
              </w:rPr>
            </w:pPr>
          </w:p>
        </w:tc>
        <w:tc>
          <w:tcPr>
            <w:tcW w:w="737" w:type="dxa"/>
            <w:tcBorders>
              <w:top w:val="nil"/>
              <w:left w:val="nil"/>
              <w:bottom w:val="single" w:sz="4" w:space="0" w:color="auto"/>
              <w:right w:val="single" w:sz="4" w:space="0" w:color="auto"/>
            </w:tcBorders>
            <w:shd w:val="solid" w:color="BFBFBF" w:themeColor="background1" w:themeShade="BF" w:fill="auto"/>
            <w:noWrap/>
            <w:vAlign w:val="center"/>
          </w:tcPr>
          <w:p w14:paraId="68CA3790" w14:textId="77777777" w:rsidR="008A5FF6" w:rsidRPr="00BC1A41" w:rsidRDefault="008A5FF6" w:rsidP="00BC1A41">
            <w:pPr>
              <w:spacing w:before="40" w:after="40" w:line="240" w:lineRule="auto"/>
              <w:jc w:val="center"/>
              <w:rPr>
                <w:rFonts w:cs="Calibri"/>
                <w:b/>
                <w:color w:val="000000"/>
                <w:sz w:val="20"/>
                <w:szCs w:val="20"/>
                <w:lang w:eastAsia="es-CL"/>
              </w:rPr>
            </w:pPr>
            <w:r w:rsidRPr="00BC1A41">
              <w:rPr>
                <w:rFonts w:cs="Calibri"/>
                <w:b/>
                <w:color w:val="000000"/>
                <w:sz w:val="20"/>
                <w:szCs w:val="20"/>
                <w:lang w:eastAsia="es-CL"/>
              </w:rPr>
              <w:t>ene</w:t>
            </w:r>
          </w:p>
        </w:tc>
        <w:tc>
          <w:tcPr>
            <w:tcW w:w="737" w:type="dxa"/>
            <w:tcBorders>
              <w:top w:val="nil"/>
              <w:left w:val="nil"/>
              <w:bottom w:val="single" w:sz="4" w:space="0" w:color="auto"/>
              <w:right w:val="single" w:sz="4" w:space="0" w:color="auto"/>
            </w:tcBorders>
            <w:shd w:val="solid" w:color="BFBFBF" w:themeColor="background1" w:themeShade="BF" w:fill="auto"/>
            <w:noWrap/>
            <w:vAlign w:val="center"/>
          </w:tcPr>
          <w:p w14:paraId="30C2876C" w14:textId="77777777" w:rsidR="008A5FF6" w:rsidRPr="00BC1A41" w:rsidRDefault="008A5FF6" w:rsidP="00BC1A41">
            <w:pPr>
              <w:spacing w:before="40" w:after="40" w:line="240" w:lineRule="auto"/>
              <w:jc w:val="center"/>
              <w:rPr>
                <w:rFonts w:cs="Calibri"/>
                <w:b/>
                <w:color w:val="000000"/>
                <w:sz w:val="20"/>
                <w:szCs w:val="20"/>
                <w:lang w:eastAsia="es-CL"/>
              </w:rPr>
            </w:pPr>
            <w:r w:rsidRPr="00BC1A41">
              <w:rPr>
                <w:rFonts w:cs="Calibri"/>
                <w:b/>
                <w:color w:val="000000"/>
                <w:sz w:val="20"/>
                <w:szCs w:val="20"/>
                <w:lang w:eastAsia="es-CL"/>
              </w:rPr>
              <w:t>feb</w:t>
            </w:r>
          </w:p>
        </w:tc>
        <w:tc>
          <w:tcPr>
            <w:tcW w:w="737" w:type="dxa"/>
            <w:tcBorders>
              <w:top w:val="nil"/>
              <w:left w:val="nil"/>
              <w:bottom w:val="single" w:sz="4" w:space="0" w:color="auto"/>
              <w:right w:val="single" w:sz="4" w:space="0" w:color="auto"/>
            </w:tcBorders>
            <w:shd w:val="solid" w:color="BFBFBF" w:themeColor="background1" w:themeShade="BF" w:fill="auto"/>
            <w:noWrap/>
            <w:vAlign w:val="center"/>
          </w:tcPr>
          <w:p w14:paraId="31D21A98" w14:textId="77777777" w:rsidR="008A5FF6" w:rsidRPr="00BC1A41" w:rsidRDefault="008A5FF6" w:rsidP="00BC1A41">
            <w:pPr>
              <w:spacing w:before="40" w:after="40" w:line="240" w:lineRule="auto"/>
              <w:jc w:val="center"/>
              <w:rPr>
                <w:rFonts w:cs="Calibri"/>
                <w:b/>
                <w:color w:val="000000"/>
                <w:sz w:val="20"/>
                <w:szCs w:val="20"/>
                <w:lang w:eastAsia="es-CL"/>
              </w:rPr>
            </w:pPr>
            <w:r w:rsidRPr="00BC1A41">
              <w:rPr>
                <w:rFonts w:cs="Calibri"/>
                <w:b/>
                <w:color w:val="000000"/>
                <w:sz w:val="20"/>
                <w:szCs w:val="20"/>
                <w:lang w:eastAsia="es-CL"/>
              </w:rPr>
              <w:t>mar</w:t>
            </w:r>
          </w:p>
        </w:tc>
        <w:tc>
          <w:tcPr>
            <w:tcW w:w="737" w:type="dxa"/>
            <w:tcBorders>
              <w:top w:val="nil"/>
              <w:left w:val="nil"/>
              <w:bottom w:val="single" w:sz="4" w:space="0" w:color="auto"/>
              <w:right w:val="single" w:sz="4" w:space="0" w:color="auto"/>
            </w:tcBorders>
            <w:shd w:val="solid" w:color="BFBFBF" w:themeColor="background1" w:themeShade="BF" w:fill="auto"/>
            <w:noWrap/>
            <w:vAlign w:val="center"/>
          </w:tcPr>
          <w:p w14:paraId="64530352" w14:textId="77777777" w:rsidR="008A5FF6" w:rsidRPr="00BC1A41" w:rsidRDefault="008A5FF6" w:rsidP="00BC1A41">
            <w:pPr>
              <w:spacing w:before="40" w:after="40" w:line="240" w:lineRule="auto"/>
              <w:jc w:val="center"/>
              <w:rPr>
                <w:rFonts w:cs="Calibri"/>
                <w:b/>
                <w:color w:val="000000"/>
                <w:sz w:val="20"/>
                <w:szCs w:val="20"/>
                <w:lang w:eastAsia="es-CL"/>
              </w:rPr>
            </w:pPr>
            <w:r w:rsidRPr="00BC1A41">
              <w:rPr>
                <w:rFonts w:cs="Calibri"/>
                <w:b/>
                <w:color w:val="000000"/>
                <w:sz w:val="20"/>
                <w:szCs w:val="20"/>
                <w:lang w:eastAsia="es-CL"/>
              </w:rPr>
              <w:t>abr</w:t>
            </w:r>
          </w:p>
        </w:tc>
        <w:tc>
          <w:tcPr>
            <w:tcW w:w="737" w:type="dxa"/>
            <w:tcBorders>
              <w:top w:val="nil"/>
              <w:left w:val="nil"/>
              <w:bottom w:val="single" w:sz="4" w:space="0" w:color="auto"/>
              <w:right w:val="single" w:sz="4" w:space="0" w:color="auto"/>
            </w:tcBorders>
            <w:shd w:val="solid" w:color="BFBFBF" w:themeColor="background1" w:themeShade="BF" w:fill="auto"/>
            <w:noWrap/>
            <w:vAlign w:val="center"/>
          </w:tcPr>
          <w:p w14:paraId="5FB35347" w14:textId="77777777" w:rsidR="008A5FF6" w:rsidRPr="00BC1A41" w:rsidRDefault="008A5FF6" w:rsidP="00BC1A41">
            <w:pPr>
              <w:spacing w:before="40" w:after="40" w:line="240" w:lineRule="auto"/>
              <w:jc w:val="center"/>
              <w:rPr>
                <w:rFonts w:cs="Calibri"/>
                <w:b/>
                <w:color w:val="000000"/>
                <w:sz w:val="20"/>
                <w:szCs w:val="20"/>
                <w:lang w:eastAsia="es-CL"/>
              </w:rPr>
            </w:pPr>
            <w:r w:rsidRPr="00BC1A41">
              <w:rPr>
                <w:rFonts w:cs="Calibri"/>
                <w:b/>
                <w:color w:val="000000"/>
                <w:sz w:val="20"/>
                <w:szCs w:val="20"/>
                <w:lang w:eastAsia="es-CL"/>
              </w:rPr>
              <w:t>may</w:t>
            </w:r>
          </w:p>
        </w:tc>
        <w:tc>
          <w:tcPr>
            <w:tcW w:w="737" w:type="dxa"/>
            <w:tcBorders>
              <w:top w:val="nil"/>
              <w:left w:val="nil"/>
              <w:bottom w:val="single" w:sz="4" w:space="0" w:color="auto"/>
              <w:right w:val="single" w:sz="4" w:space="0" w:color="auto"/>
            </w:tcBorders>
            <w:shd w:val="solid" w:color="BFBFBF" w:themeColor="background1" w:themeShade="BF" w:fill="auto"/>
            <w:noWrap/>
            <w:vAlign w:val="center"/>
          </w:tcPr>
          <w:p w14:paraId="7D8EB99C" w14:textId="77777777" w:rsidR="008A5FF6" w:rsidRPr="00BC1A41" w:rsidRDefault="008A5FF6" w:rsidP="00BC1A41">
            <w:pPr>
              <w:spacing w:before="40" w:after="40" w:line="240" w:lineRule="auto"/>
              <w:jc w:val="center"/>
              <w:rPr>
                <w:rFonts w:cs="Calibri"/>
                <w:b/>
                <w:color w:val="000000"/>
                <w:sz w:val="20"/>
                <w:szCs w:val="20"/>
                <w:lang w:eastAsia="es-CL"/>
              </w:rPr>
            </w:pPr>
            <w:r w:rsidRPr="00BC1A41">
              <w:rPr>
                <w:rFonts w:cs="Calibri"/>
                <w:b/>
                <w:color w:val="000000"/>
                <w:sz w:val="20"/>
                <w:szCs w:val="20"/>
                <w:lang w:eastAsia="es-CL"/>
              </w:rPr>
              <w:t>jun</w:t>
            </w:r>
          </w:p>
        </w:tc>
        <w:tc>
          <w:tcPr>
            <w:tcW w:w="737" w:type="dxa"/>
            <w:tcBorders>
              <w:top w:val="nil"/>
              <w:left w:val="nil"/>
              <w:bottom w:val="single" w:sz="4" w:space="0" w:color="auto"/>
              <w:right w:val="single" w:sz="4" w:space="0" w:color="auto"/>
            </w:tcBorders>
            <w:shd w:val="solid" w:color="BFBFBF" w:themeColor="background1" w:themeShade="BF" w:fill="auto"/>
            <w:noWrap/>
            <w:vAlign w:val="center"/>
          </w:tcPr>
          <w:p w14:paraId="6773884F" w14:textId="77777777" w:rsidR="008A5FF6" w:rsidRPr="00BC1A41" w:rsidRDefault="008A5FF6" w:rsidP="00BC1A41">
            <w:pPr>
              <w:spacing w:before="40" w:after="40" w:line="240" w:lineRule="auto"/>
              <w:jc w:val="center"/>
              <w:rPr>
                <w:rFonts w:cs="Calibri"/>
                <w:b/>
                <w:color w:val="000000"/>
                <w:sz w:val="20"/>
                <w:szCs w:val="20"/>
                <w:lang w:eastAsia="es-CL"/>
              </w:rPr>
            </w:pPr>
            <w:r w:rsidRPr="00BC1A41">
              <w:rPr>
                <w:rFonts w:cs="Calibri"/>
                <w:b/>
                <w:color w:val="000000"/>
                <w:sz w:val="20"/>
                <w:szCs w:val="20"/>
                <w:lang w:eastAsia="es-CL"/>
              </w:rPr>
              <w:t>jul</w:t>
            </w:r>
          </w:p>
        </w:tc>
        <w:tc>
          <w:tcPr>
            <w:tcW w:w="737" w:type="dxa"/>
            <w:tcBorders>
              <w:top w:val="nil"/>
              <w:left w:val="nil"/>
              <w:bottom w:val="single" w:sz="4" w:space="0" w:color="auto"/>
              <w:right w:val="single" w:sz="4" w:space="0" w:color="auto"/>
            </w:tcBorders>
            <w:shd w:val="solid" w:color="BFBFBF" w:themeColor="background1" w:themeShade="BF" w:fill="auto"/>
            <w:noWrap/>
            <w:vAlign w:val="center"/>
          </w:tcPr>
          <w:p w14:paraId="56413B9B" w14:textId="77777777" w:rsidR="008A5FF6" w:rsidRPr="00BC1A41" w:rsidRDefault="008A5FF6" w:rsidP="00BC1A41">
            <w:pPr>
              <w:spacing w:before="40" w:after="40" w:line="240" w:lineRule="auto"/>
              <w:jc w:val="center"/>
              <w:rPr>
                <w:rFonts w:cs="Calibri"/>
                <w:b/>
                <w:color w:val="000000"/>
                <w:sz w:val="20"/>
                <w:szCs w:val="20"/>
                <w:lang w:eastAsia="es-CL"/>
              </w:rPr>
            </w:pPr>
            <w:r w:rsidRPr="00BC1A41">
              <w:rPr>
                <w:rFonts w:cs="Calibri"/>
                <w:b/>
                <w:color w:val="000000"/>
                <w:sz w:val="20"/>
                <w:szCs w:val="20"/>
                <w:lang w:eastAsia="es-CL"/>
              </w:rPr>
              <w:t>ago</w:t>
            </w:r>
          </w:p>
        </w:tc>
        <w:tc>
          <w:tcPr>
            <w:tcW w:w="737" w:type="dxa"/>
            <w:tcBorders>
              <w:top w:val="nil"/>
              <w:left w:val="nil"/>
              <w:bottom w:val="single" w:sz="4" w:space="0" w:color="auto"/>
              <w:right w:val="single" w:sz="4" w:space="0" w:color="auto"/>
            </w:tcBorders>
            <w:shd w:val="solid" w:color="BFBFBF" w:themeColor="background1" w:themeShade="BF" w:fill="auto"/>
            <w:noWrap/>
            <w:vAlign w:val="center"/>
          </w:tcPr>
          <w:p w14:paraId="1F987B48" w14:textId="77777777" w:rsidR="008A5FF6" w:rsidRPr="00BC1A41" w:rsidRDefault="008A5FF6" w:rsidP="00BC1A41">
            <w:pPr>
              <w:spacing w:before="40" w:after="40" w:line="240" w:lineRule="auto"/>
              <w:jc w:val="center"/>
              <w:rPr>
                <w:rFonts w:cs="Calibri"/>
                <w:b/>
                <w:color w:val="000000"/>
                <w:sz w:val="20"/>
                <w:szCs w:val="20"/>
                <w:lang w:eastAsia="es-CL"/>
              </w:rPr>
            </w:pPr>
            <w:r w:rsidRPr="00BC1A41">
              <w:rPr>
                <w:rFonts w:cs="Calibri"/>
                <w:b/>
                <w:color w:val="000000"/>
                <w:sz w:val="20"/>
                <w:szCs w:val="20"/>
                <w:lang w:eastAsia="es-CL"/>
              </w:rPr>
              <w:t>sep</w:t>
            </w:r>
          </w:p>
        </w:tc>
        <w:tc>
          <w:tcPr>
            <w:tcW w:w="737" w:type="dxa"/>
            <w:tcBorders>
              <w:top w:val="nil"/>
              <w:left w:val="nil"/>
              <w:bottom w:val="single" w:sz="4" w:space="0" w:color="auto"/>
              <w:right w:val="single" w:sz="4" w:space="0" w:color="auto"/>
            </w:tcBorders>
            <w:shd w:val="solid" w:color="BFBFBF" w:themeColor="background1" w:themeShade="BF" w:fill="auto"/>
            <w:noWrap/>
            <w:vAlign w:val="center"/>
          </w:tcPr>
          <w:p w14:paraId="37BE480E" w14:textId="77777777" w:rsidR="008A5FF6" w:rsidRPr="00BC1A41" w:rsidRDefault="008A5FF6" w:rsidP="00BC1A41">
            <w:pPr>
              <w:spacing w:before="40" w:after="40" w:line="240" w:lineRule="auto"/>
              <w:jc w:val="center"/>
              <w:rPr>
                <w:rFonts w:cs="Calibri"/>
                <w:b/>
                <w:color w:val="000000"/>
                <w:sz w:val="20"/>
                <w:szCs w:val="20"/>
                <w:lang w:eastAsia="es-CL"/>
              </w:rPr>
            </w:pPr>
            <w:r w:rsidRPr="00BC1A41">
              <w:rPr>
                <w:rFonts w:cs="Calibri"/>
                <w:b/>
                <w:color w:val="000000"/>
                <w:sz w:val="20"/>
                <w:szCs w:val="20"/>
                <w:lang w:eastAsia="es-CL"/>
              </w:rPr>
              <w:t>oct</w:t>
            </w:r>
          </w:p>
        </w:tc>
        <w:tc>
          <w:tcPr>
            <w:tcW w:w="737" w:type="dxa"/>
            <w:tcBorders>
              <w:top w:val="nil"/>
              <w:left w:val="nil"/>
              <w:bottom w:val="single" w:sz="4" w:space="0" w:color="auto"/>
              <w:right w:val="single" w:sz="4" w:space="0" w:color="auto"/>
            </w:tcBorders>
            <w:shd w:val="solid" w:color="BFBFBF" w:themeColor="background1" w:themeShade="BF" w:fill="auto"/>
            <w:noWrap/>
            <w:vAlign w:val="center"/>
          </w:tcPr>
          <w:p w14:paraId="19DF2531" w14:textId="77777777" w:rsidR="008A5FF6" w:rsidRPr="00BC1A41" w:rsidRDefault="008A5FF6" w:rsidP="00BC1A41">
            <w:pPr>
              <w:spacing w:before="40" w:after="40" w:line="240" w:lineRule="auto"/>
              <w:jc w:val="center"/>
              <w:rPr>
                <w:rFonts w:cs="Calibri"/>
                <w:b/>
                <w:color w:val="000000"/>
                <w:sz w:val="20"/>
                <w:szCs w:val="20"/>
                <w:lang w:eastAsia="es-CL"/>
              </w:rPr>
            </w:pPr>
            <w:r w:rsidRPr="00BC1A41">
              <w:rPr>
                <w:rFonts w:cs="Calibri"/>
                <w:b/>
                <w:color w:val="000000"/>
                <w:sz w:val="20"/>
                <w:szCs w:val="20"/>
                <w:lang w:eastAsia="es-CL"/>
              </w:rPr>
              <w:t>nov</w:t>
            </w:r>
          </w:p>
        </w:tc>
        <w:tc>
          <w:tcPr>
            <w:tcW w:w="737" w:type="dxa"/>
            <w:tcBorders>
              <w:top w:val="nil"/>
              <w:left w:val="nil"/>
              <w:bottom w:val="single" w:sz="4" w:space="0" w:color="auto"/>
              <w:right w:val="single" w:sz="4" w:space="0" w:color="auto"/>
            </w:tcBorders>
            <w:shd w:val="solid" w:color="BFBFBF" w:themeColor="background1" w:themeShade="BF" w:fill="auto"/>
            <w:noWrap/>
            <w:vAlign w:val="center"/>
          </w:tcPr>
          <w:p w14:paraId="20A2960E" w14:textId="77777777" w:rsidR="008A5FF6" w:rsidRPr="00BC1A41" w:rsidRDefault="008A5FF6" w:rsidP="00BC1A41">
            <w:pPr>
              <w:spacing w:before="40" w:after="40" w:line="240" w:lineRule="auto"/>
              <w:jc w:val="center"/>
              <w:rPr>
                <w:rFonts w:cs="Calibri"/>
                <w:b/>
                <w:color w:val="000000"/>
                <w:sz w:val="20"/>
                <w:szCs w:val="20"/>
                <w:lang w:eastAsia="es-CL"/>
              </w:rPr>
            </w:pPr>
            <w:r w:rsidRPr="00BC1A41">
              <w:rPr>
                <w:rFonts w:cs="Calibri"/>
                <w:b/>
                <w:color w:val="000000"/>
                <w:sz w:val="20"/>
                <w:szCs w:val="20"/>
                <w:lang w:eastAsia="es-CL"/>
              </w:rPr>
              <w:t>dic</w:t>
            </w:r>
          </w:p>
        </w:tc>
      </w:tr>
      <w:tr w:rsidR="008A5FF6" w:rsidRPr="00BC1A41" w14:paraId="65122CBB" w14:textId="77777777" w:rsidTr="00BC1A41">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tcPr>
          <w:p w14:paraId="35BFD602" w14:textId="77777777" w:rsidR="008A5FF6" w:rsidRPr="00BC1A41" w:rsidRDefault="008A5FF6" w:rsidP="00BC1A41">
            <w:pPr>
              <w:spacing w:before="40" w:after="40" w:line="240" w:lineRule="auto"/>
              <w:jc w:val="right"/>
              <w:rPr>
                <w:rFonts w:cs="Calibri"/>
                <w:color w:val="000000"/>
                <w:sz w:val="20"/>
                <w:szCs w:val="20"/>
                <w:lang w:eastAsia="es-CL"/>
              </w:rPr>
            </w:pPr>
            <w:r w:rsidRPr="00BC1A41">
              <w:rPr>
                <w:rFonts w:cs="Calibri"/>
                <w:color w:val="000000"/>
                <w:sz w:val="20"/>
                <w:szCs w:val="20"/>
                <w:lang w:eastAsia="es-CL"/>
              </w:rPr>
              <w:t>2017</w:t>
            </w:r>
          </w:p>
        </w:tc>
        <w:tc>
          <w:tcPr>
            <w:tcW w:w="737" w:type="dxa"/>
            <w:tcBorders>
              <w:top w:val="nil"/>
              <w:left w:val="nil"/>
              <w:bottom w:val="single" w:sz="4" w:space="0" w:color="auto"/>
              <w:right w:val="single" w:sz="4" w:space="0" w:color="auto"/>
            </w:tcBorders>
            <w:shd w:val="clear" w:color="auto" w:fill="auto"/>
            <w:noWrap/>
            <w:vAlign w:val="center"/>
          </w:tcPr>
          <w:p w14:paraId="1B81E6BE" w14:textId="77777777" w:rsidR="008A5FF6" w:rsidRPr="00BC1A41" w:rsidRDefault="008A5FF6" w:rsidP="00BC1A41">
            <w:pPr>
              <w:spacing w:before="40" w:after="40" w:line="240" w:lineRule="auto"/>
              <w:jc w:val="right"/>
              <w:rPr>
                <w:rFonts w:cs="Calibri"/>
                <w:color w:val="000000"/>
                <w:sz w:val="20"/>
                <w:szCs w:val="20"/>
                <w:lang w:eastAsia="es-CL"/>
              </w:rPr>
            </w:pPr>
            <w:r w:rsidRPr="00BC1A41">
              <w:rPr>
                <w:rFonts w:cs="Calibri"/>
                <w:color w:val="000000"/>
                <w:sz w:val="20"/>
                <w:szCs w:val="20"/>
                <w:lang w:eastAsia="es-CL"/>
              </w:rPr>
              <w:t>661,19</w:t>
            </w:r>
          </w:p>
        </w:tc>
        <w:tc>
          <w:tcPr>
            <w:tcW w:w="737" w:type="dxa"/>
            <w:tcBorders>
              <w:top w:val="nil"/>
              <w:left w:val="nil"/>
              <w:bottom w:val="single" w:sz="4" w:space="0" w:color="auto"/>
              <w:right w:val="single" w:sz="4" w:space="0" w:color="auto"/>
            </w:tcBorders>
            <w:shd w:val="clear" w:color="auto" w:fill="auto"/>
            <w:noWrap/>
            <w:vAlign w:val="center"/>
          </w:tcPr>
          <w:p w14:paraId="617DBC98" w14:textId="77777777" w:rsidR="008A5FF6" w:rsidRPr="00BC1A41" w:rsidRDefault="008A5FF6" w:rsidP="00BC1A41">
            <w:pPr>
              <w:spacing w:before="40" w:after="40" w:line="240" w:lineRule="auto"/>
              <w:jc w:val="right"/>
              <w:rPr>
                <w:rFonts w:cs="Calibri"/>
                <w:color w:val="000000"/>
                <w:sz w:val="20"/>
                <w:szCs w:val="20"/>
                <w:lang w:eastAsia="es-CL"/>
              </w:rPr>
            </w:pPr>
            <w:r w:rsidRPr="00BC1A41">
              <w:rPr>
                <w:rFonts w:cs="Calibri"/>
                <w:color w:val="000000"/>
                <w:sz w:val="20"/>
                <w:szCs w:val="20"/>
                <w:lang w:eastAsia="es-CL"/>
              </w:rPr>
              <w:t>643,21</w:t>
            </w:r>
          </w:p>
        </w:tc>
        <w:tc>
          <w:tcPr>
            <w:tcW w:w="737" w:type="dxa"/>
            <w:tcBorders>
              <w:top w:val="nil"/>
              <w:left w:val="nil"/>
              <w:bottom w:val="single" w:sz="4" w:space="0" w:color="auto"/>
              <w:right w:val="single" w:sz="4" w:space="0" w:color="auto"/>
            </w:tcBorders>
            <w:shd w:val="clear" w:color="auto" w:fill="auto"/>
            <w:noWrap/>
            <w:vAlign w:val="center"/>
          </w:tcPr>
          <w:p w14:paraId="2FB90E8D" w14:textId="77777777" w:rsidR="008A5FF6" w:rsidRPr="00BC1A41" w:rsidRDefault="008A5FF6" w:rsidP="00BC1A41">
            <w:pPr>
              <w:spacing w:before="40" w:after="40" w:line="240" w:lineRule="auto"/>
              <w:jc w:val="right"/>
              <w:rPr>
                <w:rFonts w:cs="Calibri"/>
                <w:color w:val="000000"/>
                <w:sz w:val="20"/>
                <w:szCs w:val="20"/>
                <w:lang w:eastAsia="es-CL"/>
              </w:rPr>
            </w:pPr>
            <w:r w:rsidRPr="00BC1A41">
              <w:rPr>
                <w:rFonts w:cs="Calibri"/>
                <w:color w:val="000000"/>
                <w:sz w:val="20"/>
                <w:szCs w:val="20"/>
                <w:lang w:eastAsia="es-CL"/>
              </w:rPr>
              <w:t>661,20</w:t>
            </w:r>
          </w:p>
        </w:tc>
        <w:tc>
          <w:tcPr>
            <w:tcW w:w="737" w:type="dxa"/>
            <w:tcBorders>
              <w:top w:val="nil"/>
              <w:left w:val="nil"/>
              <w:bottom w:val="single" w:sz="4" w:space="0" w:color="auto"/>
              <w:right w:val="single" w:sz="4" w:space="0" w:color="auto"/>
            </w:tcBorders>
            <w:shd w:val="clear" w:color="auto" w:fill="auto"/>
            <w:noWrap/>
            <w:vAlign w:val="center"/>
          </w:tcPr>
          <w:p w14:paraId="6970104F" w14:textId="77777777" w:rsidR="008A5FF6" w:rsidRPr="00BC1A41" w:rsidRDefault="008A5FF6" w:rsidP="00BC1A41">
            <w:pPr>
              <w:spacing w:before="40" w:after="40" w:line="240" w:lineRule="auto"/>
              <w:jc w:val="right"/>
              <w:rPr>
                <w:rFonts w:cs="Calibri"/>
                <w:color w:val="000000"/>
                <w:sz w:val="20"/>
                <w:szCs w:val="20"/>
                <w:lang w:eastAsia="es-CL"/>
              </w:rPr>
            </w:pPr>
            <w:r w:rsidRPr="00BC1A41">
              <w:rPr>
                <w:rFonts w:cs="Calibri"/>
                <w:color w:val="000000"/>
                <w:sz w:val="20"/>
                <w:szCs w:val="20"/>
                <w:lang w:eastAsia="es-CL"/>
              </w:rPr>
              <w:t>655,74</w:t>
            </w:r>
          </w:p>
        </w:tc>
        <w:tc>
          <w:tcPr>
            <w:tcW w:w="737" w:type="dxa"/>
            <w:tcBorders>
              <w:top w:val="nil"/>
              <w:left w:val="nil"/>
              <w:bottom w:val="single" w:sz="4" w:space="0" w:color="auto"/>
              <w:right w:val="single" w:sz="4" w:space="0" w:color="auto"/>
            </w:tcBorders>
            <w:shd w:val="clear" w:color="auto" w:fill="auto"/>
            <w:noWrap/>
            <w:vAlign w:val="center"/>
          </w:tcPr>
          <w:p w14:paraId="0B2EA5C8" w14:textId="77777777" w:rsidR="008A5FF6" w:rsidRPr="00BC1A41" w:rsidRDefault="008A5FF6" w:rsidP="00BC1A41">
            <w:pPr>
              <w:spacing w:before="40" w:after="40" w:line="240" w:lineRule="auto"/>
              <w:jc w:val="right"/>
              <w:rPr>
                <w:rFonts w:cs="Calibri"/>
                <w:color w:val="000000"/>
                <w:sz w:val="20"/>
                <w:szCs w:val="20"/>
                <w:lang w:eastAsia="es-CL"/>
              </w:rPr>
            </w:pPr>
            <w:r w:rsidRPr="00BC1A41">
              <w:rPr>
                <w:rFonts w:cs="Calibri"/>
                <w:color w:val="000000"/>
                <w:sz w:val="20"/>
                <w:szCs w:val="20"/>
                <w:lang w:eastAsia="es-CL"/>
              </w:rPr>
              <w:t>671,54</w:t>
            </w:r>
          </w:p>
        </w:tc>
        <w:tc>
          <w:tcPr>
            <w:tcW w:w="737" w:type="dxa"/>
            <w:tcBorders>
              <w:top w:val="nil"/>
              <w:left w:val="nil"/>
              <w:bottom w:val="single" w:sz="4" w:space="0" w:color="auto"/>
              <w:right w:val="single" w:sz="4" w:space="0" w:color="auto"/>
            </w:tcBorders>
            <w:shd w:val="clear" w:color="auto" w:fill="auto"/>
            <w:noWrap/>
            <w:vAlign w:val="center"/>
          </w:tcPr>
          <w:p w14:paraId="179A9F88" w14:textId="77777777" w:rsidR="008A5FF6" w:rsidRPr="00BC1A41" w:rsidRDefault="008A5FF6" w:rsidP="00BC1A41">
            <w:pPr>
              <w:spacing w:before="40" w:after="40" w:line="240" w:lineRule="auto"/>
              <w:jc w:val="right"/>
              <w:rPr>
                <w:rFonts w:cs="Calibri"/>
                <w:color w:val="000000"/>
                <w:sz w:val="20"/>
                <w:szCs w:val="20"/>
                <w:lang w:eastAsia="es-CL"/>
              </w:rPr>
            </w:pPr>
            <w:r w:rsidRPr="00BC1A41">
              <w:rPr>
                <w:rFonts w:cs="Calibri"/>
                <w:color w:val="000000"/>
                <w:sz w:val="20"/>
                <w:szCs w:val="20"/>
                <w:lang w:eastAsia="es-CL"/>
              </w:rPr>
              <w:t>665,15</w:t>
            </w:r>
          </w:p>
        </w:tc>
        <w:tc>
          <w:tcPr>
            <w:tcW w:w="737" w:type="dxa"/>
            <w:tcBorders>
              <w:top w:val="nil"/>
              <w:left w:val="nil"/>
              <w:bottom w:val="single" w:sz="4" w:space="0" w:color="auto"/>
              <w:right w:val="single" w:sz="4" w:space="0" w:color="auto"/>
            </w:tcBorders>
            <w:shd w:val="clear" w:color="auto" w:fill="auto"/>
            <w:noWrap/>
            <w:vAlign w:val="center"/>
          </w:tcPr>
          <w:p w14:paraId="21E6EEE3" w14:textId="77777777" w:rsidR="008A5FF6" w:rsidRPr="00BC1A41" w:rsidRDefault="008A5FF6" w:rsidP="00BC1A41">
            <w:pPr>
              <w:spacing w:before="40" w:after="40" w:line="240" w:lineRule="auto"/>
              <w:jc w:val="right"/>
              <w:rPr>
                <w:rFonts w:cs="Calibri"/>
                <w:color w:val="000000"/>
                <w:sz w:val="20"/>
                <w:szCs w:val="20"/>
                <w:lang w:eastAsia="es-CL"/>
              </w:rPr>
            </w:pPr>
            <w:r w:rsidRPr="00BC1A41">
              <w:rPr>
                <w:rFonts w:cs="Calibri"/>
                <w:color w:val="000000"/>
                <w:sz w:val="20"/>
                <w:szCs w:val="20"/>
                <w:lang w:eastAsia="es-CL"/>
              </w:rPr>
              <w:t>658,17</w:t>
            </w:r>
          </w:p>
        </w:tc>
        <w:tc>
          <w:tcPr>
            <w:tcW w:w="737" w:type="dxa"/>
            <w:tcBorders>
              <w:top w:val="nil"/>
              <w:left w:val="nil"/>
              <w:bottom w:val="single" w:sz="4" w:space="0" w:color="auto"/>
              <w:right w:val="single" w:sz="4" w:space="0" w:color="auto"/>
            </w:tcBorders>
            <w:shd w:val="clear" w:color="auto" w:fill="auto"/>
            <w:noWrap/>
            <w:vAlign w:val="center"/>
          </w:tcPr>
          <w:p w14:paraId="33674312" w14:textId="77777777" w:rsidR="008A5FF6" w:rsidRPr="00BC1A41" w:rsidRDefault="008A5FF6" w:rsidP="00BC1A41">
            <w:pPr>
              <w:spacing w:before="40" w:after="40" w:line="240" w:lineRule="auto"/>
              <w:jc w:val="right"/>
              <w:rPr>
                <w:rFonts w:cs="Calibri"/>
                <w:color w:val="000000"/>
                <w:sz w:val="20"/>
                <w:szCs w:val="20"/>
                <w:lang w:eastAsia="es-CL"/>
              </w:rPr>
            </w:pPr>
            <w:r w:rsidRPr="00BC1A41">
              <w:rPr>
                <w:rFonts w:cs="Calibri"/>
                <w:color w:val="000000"/>
                <w:sz w:val="20"/>
                <w:szCs w:val="20"/>
                <w:lang w:eastAsia="es-CL"/>
              </w:rPr>
              <w:t>644,24</w:t>
            </w:r>
          </w:p>
        </w:tc>
        <w:tc>
          <w:tcPr>
            <w:tcW w:w="737" w:type="dxa"/>
            <w:tcBorders>
              <w:top w:val="nil"/>
              <w:left w:val="nil"/>
              <w:bottom w:val="single" w:sz="4" w:space="0" w:color="auto"/>
              <w:right w:val="single" w:sz="4" w:space="0" w:color="auto"/>
            </w:tcBorders>
            <w:shd w:val="clear" w:color="auto" w:fill="auto"/>
            <w:noWrap/>
            <w:vAlign w:val="center"/>
          </w:tcPr>
          <w:p w14:paraId="1B84E3C1" w14:textId="77777777" w:rsidR="008A5FF6" w:rsidRPr="00BC1A41" w:rsidRDefault="008A5FF6" w:rsidP="00BC1A41">
            <w:pPr>
              <w:spacing w:before="40" w:after="40" w:line="240" w:lineRule="auto"/>
              <w:jc w:val="right"/>
              <w:rPr>
                <w:rFonts w:cs="Calibri"/>
                <w:color w:val="000000"/>
                <w:sz w:val="20"/>
                <w:szCs w:val="20"/>
                <w:lang w:eastAsia="es-CL"/>
              </w:rPr>
            </w:pPr>
            <w:r w:rsidRPr="00BC1A41">
              <w:rPr>
                <w:rFonts w:cs="Calibri"/>
                <w:color w:val="000000"/>
                <w:sz w:val="20"/>
                <w:szCs w:val="20"/>
                <w:lang w:eastAsia="es-CL"/>
              </w:rPr>
              <w:t>625,54</w:t>
            </w:r>
          </w:p>
        </w:tc>
        <w:tc>
          <w:tcPr>
            <w:tcW w:w="737" w:type="dxa"/>
            <w:tcBorders>
              <w:top w:val="nil"/>
              <w:left w:val="nil"/>
              <w:bottom w:val="single" w:sz="4" w:space="0" w:color="auto"/>
              <w:right w:val="single" w:sz="4" w:space="0" w:color="auto"/>
            </w:tcBorders>
            <w:shd w:val="clear" w:color="auto" w:fill="auto"/>
            <w:noWrap/>
            <w:vAlign w:val="center"/>
          </w:tcPr>
          <w:p w14:paraId="54223143" w14:textId="77777777" w:rsidR="008A5FF6" w:rsidRPr="00BC1A41" w:rsidRDefault="008A5FF6" w:rsidP="00BC1A41">
            <w:pPr>
              <w:spacing w:before="40" w:after="40" w:line="240" w:lineRule="auto"/>
              <w:jc w:val="right"/>
              <w:rPr>
                <w:rFonts w:cs="Calibri"/>
                <w:color w:val="000000"/>
                <w:sz w:val="20"/>
                <w:szCs w:val="20"/>
                <w:lang w:eastAsia="es-CL"/>
              </w:rPr>
            </w:pPr>
            <w:r w:rsidRPr="00BC1A41">
              <w:rPr>
                <w:rFonts w:cs="Calibri"/>
                <w:color w:val="000000"/>
                <w:sz w:val="20"/>
                <w:szCs w:val="20"/>
                <w:lang w:eastAsia="es-CL"/>
              </w:rPr>
              <w:t>629,55</w:t>
            </w:r>
          </w:p>
        </w:tc>
        <w:tc>
          <w:tcPr>
            <w:tcW w:w="737" w:type="dxa"/>
            <w:tcBorders>
              <w:top w:val="nil"/>
              <w:left w:val="nil"/>
              <w:bottom w:val="single" w:sz="4" w:space="0" w:color="auto"/>
              <w:right w:val="single" w:sz="4" w:space="0" w:color="auto"/>
            </w:tcBorders>
            <w:shd w:val="clear" w:color="auto" w:fill="auto"/>
            <w:noWrap/>
            <w:vAlign w:val="center"/>
          </w:tcPr>
          <w:p w14:paraId="3EC8C27D" w14:textId="77777777" w:rsidR="008A5FF6" w:rsidRPr="00BC1A41" w:rsidRDefault="008A5FF6" w:rsidP="00BC1A41">
            <w:pPr>
              <w:spacing w:before="40" w:after="40" w:line="240" w:lineRule="auto"/>
              <w:jc w:val="right"/>
              <w:rPr>
                <w:rFonts w:cs="Calibri"/>
                <w:color w:val="000000"/>
                <w:sz w:val="20"/>
                <w:szCs w:val="20"/>
                <w:lang w:eastAsia="es-CL"/>
              </w:rPr>
            </w:pPr>
            <w:r w:rsidRPr="00BC1A41">
              <w:rPr>
                <w:rFonts w:cs="Calibri"/>
                <w:color w:val="000000"/>
                <w:sz w:val="20"/>
                <w:szCs w:val="20"/>
                <w:lang w:eastAsia="es-CL"/>
              </w:rPr>
              <w:t>633,77</w:t>
            </w:r>
          </w:p>
        </w:tc>
        <w:tc>
          <w:tcPr>
            <w:tcW w:w="737" w:type="dxa"/>
            <w:tcBorders>
              <w:top w:val="nil"/>
              <w:left w:val="nil"/>
              <w:bottom w:val="single" w:sz="4" w:space="0" w:color="auto"/>
              <w:right w:val="single" w:sz="4" w:space="0" w:color="auto"/>
            </w:tcBorders>
            <w:shd w:val="clear" w:color="auto" w:fill="auto"/>
            <w:noWrap/>
            <w:vAlign w:val="center"/>
          </w:tcPr>
          <w:p w14:paraId="36DA0582" w14:textId="77777777" w:rsidR="008A5FF6" w:rsidRPr="00BC1A41" w:rsidRDefault="008A5FF6" w:rsidP="00BC1A41">
            <w:pPr>
              <w:spacing w:before="40" w:after="40" w:line="240" w:lineRule="auto"/>
              <w:jc w:val="right"/>
              <w:rPr>
                <w:rFonts w:cs="Calibri"/>
                <w:color w:val="000000"/>
                <w:sz w:val="20"/>
                <w:szCs w:val="20"/>
                <w:lang w:eastAsia="es-CL"/>
              </w:rPr>
            </w:pPr>
            <w:r w:rsidRPr="00BC1A41">
              <w:rPr>
                <w:rFonts w:cs="Calibri"/>
                <w:color w:val="000000"/>
                <w:sz w:val="20"/>
                <w:szCs w:val="20"/>
                <w:lang w:eastAsia="es-CL"/>
              </w:rPr>
              <w:t>636,92</w:t>
            </w:r>
          </w:p>
        </w:tc>
      </w:tr>
      <w:tr w:rsidR="008A5FF6" w:rsidRPr="00BC1A41" w14:paraId="5D7CAA7F" w14:textId="77777777" w:rsidTr="00BC1A41">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tcPr>
          <w:p w14:paraId="054B0057" w14:textId="77777777" w:rsidR="008A5FF6" w:rsidRPr="00BC1A41" w:rsidRDefault="008A5FF6" w:rsidP="00BC1A41">
            <w:pPr>
              <w:spacing w:before="40" w:after="40" w:line="240" w:lineRule="auto"/>
              <w:jc w:val="right"/>
              <w:rPr>
                <w:rFonts w:cs="Calibri"/>
                <w:color w:val="000000"/>
                <w:sz w:val="20"/>
                <w:szCs w:val="20"/>
                <w:lang w:eastAsia="es-CL"/>
              </w:rPr>
            </w:pPr>
            <w:r w:rsidRPr="00BC1A41">
              <w:rPr>
                <w:rFonts w:cs="Calibri"/>
                <w:color w:val="000000"/>
                <w:sz w:val="20"/>
                <w:szCs w:val="20"/>
                <w:lang w:eastAsia="es-CL"/>
              </w:rPr>
              <w:t>2018</w:t>
            </w:r>
          </w:p>
        </w:tc>
        <w:tc>
          <w:tcPr>
            <w:tcW w:w="737" w:type="dxa"/>
            <w:tcBorders>
              <w:top w:val="nil"/>
              <w:left w:val="nil"/>
              <w:bottom w:val="single" w:sz="4" w:space="0" w:color="auto"/>
              <w:right w:val="single" w:sz="4" w:space="0" w:color="auto"/>
            </w:tcBorders>
            <w:shd w:val="clear" w:color="auto" w:fill="auto"/>
            <w:noWrap/>
            <w:vAlign w:val="center"/>
          </w:tcPr>
          <w:p w14:paraId="2958CD7E" w14:textId="77777777" w:rsidR="008A5FF6" w:rsidRPr="00BC1A41" w:rsidRDefault="008A5FF6" w:rsidP="00BC1A41">
            <w:pPr>
              <w:spacing w:before="40" w:after="40" w:line="240" w:lineRule="auto"/>
              <w:jc w:val="right"/>
              <w:rPr>
                <w:rFonts w:cs="Calibri"/>
                <w:color w:val="000000"/>
                <w:sz w:val="20"/>
                <w:szCs w:val="20"/>
                <w:lang w:eastAsia="es-CL"/>
              </w:rPr>
            </w:pPr>
            <w:r w:rsidRPr="00BC1A41">
              <w:rPr>
                <w:rFonts w:cs="Calibri"/>
                <w:color w:val="000000"/>
                <w:sz w:val="20"/>
                <w:szCs w:val="20"/>
                <w:lang w:eastAsia="es-CL"/>
              </w:rPr>
              <w:t>605,53</w:t>
            </w:r>
          </w:p>
        </w:tc>
        <w:tc>
          <w:tcPr>
            <w:tcW w:w="737" w:type="dxa"/>
            <w:tcBorders>
              <w:top w:val="nil"/>
              <w:left w:val="nil"/>
              <w:bottom w:val="single" w:sz="4" w:space="0" w:color="auto"/>
              <w:right w:val="single" w:sz="4" w:space="0" w:color="auto"/>
            </w:tcBorders>
            <w:shd w:val="clear" w:color="auto" w:fill="auto"/>
            <w:noWrap/>
            <w:vAlign w:val="center"/>
          </w:tcPr>
          <w:p w14:paraId="4ED023FA" w14:textId="77777777" w:rsidR="008A5FF6" w:rsidRPr="00BC1A41" w:rsidRDefault="008A5FF6" w:rsidP="00BC1A41">
            <w:pPr>
              <w:spacing w:before="40" w:after="40" w:line="240" w:lineRule="auto"/>
              <w:jc w:val="right"/>
              <w:rPr>
                <w:rFonts w:cs="Calibri"/>
                <w:color w:val="000000"/>
                <w:sz w:val="20"/>
                <w:szCs w:val="20"/>
                <w:lang w:eastAsia="es-CL"/>
              </w:rPr>
            </w:pPr>
            <w:r w:rsidRPr="00BC1A41">
              <w:rPr>
                <w:rFonts w:cs="Calibri"/>
                <w:color w:val="000000"/>
                <w:sz w:val="20"/>
                <w:szCs w:val="20"/>
                <w:lang w:eastAsia="es-CL"/>
              </w:rPr>
              <w:t>596,84</w:t>
            </w:r>
          </w:p>
        </w:tc>
        <w:tc>
          <w:tcPr>
            <w:tcW w:w="737" w:type="dxa"/>
            <w:tcBorders>
              <w:top w:val="nil"/>
              <w:left w:val="nil"/>
              <w:bottom w:val="single" w:sz="4" w:space="0" w:color="auto"/>
              <w:right w:val="single" w:sz="4" w:space="0" w:color="auto"/>
            </w:tcBorders>
            <w:shd w:val="clear" w:color="auto" w:fill="auto"/>
            <w:noWrap/>
            <w:vAlign w:val="center"/>
          </w:tcPr>
          <w:p w14:paraId="2201196B" w14:textId="77777777" w:rsidR="008A5FF6" w:rsidRPr="00BC1A41" w:rsidRDefault="008A5FF6" w:rsidP="00BC1A41">
            <w:pPr>
              <w:spacing w:before="40" w:after="40" w:line="240" w:lineRule="auto"/>
              <w:jc w:val="right"/>
              <w:rPr>
                <w:rFonts w:cs="Calibri"/>
                <w:color w:val="000000"/>
                <w:sz w:val="20"/>
                <w:szCs w:val="20"/>
                <w:lang w:eastAsia="es-CL"/>
              </w:rPr>
            </w:pPr>
            <w:r w:rsidRPr="00BC1A41">
              <w:rPr>
                <w:rFonts w:cs="Calibri"/>
                <w:color w:val="000000"/>
                <w:sz w:val="20"/>
                <w:szCs w:val="20"/>
                <w:lang w:eastAsia="es-CL"/>
              </w:rPr>
              <w:t>603,45</w:t>
            </w:r>
          </w:p>
        </w:tc>
        <w:tc>
          <w:tcPr>
            <w:tcW w:w="737" w:type="dxa"/>
            <w:tcBorders>
              <w:top w:val="nil"/>
              <w:left w:val="nil"/>
              <w:bottom w:val="single" w:sz="4" w:space="0" w:color="auto"/>
              <w:right w:val="single" w:sz="4" w:space="0" w:color="auto"/>
            </w:tcBorders>
            <w:shd w:val="clear" w:color="auto" w:fill="auto"/>
            <w:noWrap/>
            <w:vAlign w:val="center"/>
          </w:tcPr>
          <w:p w14:paraId="1F38F16B" w14:textId="77777777" w:rsidR="008A5FF6" w:rsidRPr="00BC1A41" w:rsidRDefault="008A5FF6" w:rsidP="00BC1A41">
            <w:pPr>
              <w:spacing w:before="40" w:after="40" w:line="240" w:lineRule="auto"/>
              <w:jc w:val="right"/>
              <w:rPr>
                <w:rFonts w:cs="Calibri"/>
                <w:color w:val="000000"/>
                <w:sz w:val="20"/>
                <w:szCs w:val="20"/>
                <w:lang w:eastAsia="es-CL"/>
              </w:rPr>
            </w:pPr>
            <w:r w:rsidRPr="00BC1A41">
              <w:rPr>
                <w:rFonts w:cs="Calibri"/>
                <w:color w:val="000000"/>
                <w:sz w:val="20"/>
                <w:szCs w:val="20"/>
                <w:lang w:eastAsia="es-CL"/>
              </w:rPr>
              <w:t>600,55</w:t>
            </w:r>
          </w:p>
        </w:tc>
        <w:tc>
          <w:tcPr>
            <w:tcW w:w="737" w:type="dxa"/>
            <w:tcBorders>
              <w:top w:val="nil"/>
              <w:left w:val="nil"/>
              <w:bottom w:val="single" w:sz="4" w:space="0" w:color="auto"/>
              <w:right w:val="single" w:sz="4" w:space="0" w:color="auto"/>
            </w:tcBorders>
            <w:shd w:val="clear" w:color="auto" w:fill="auto"/>
            <w:noWrap/>
            <w:vAlign w:val="center"/>
          </w:tcPr>
          <w:p w14:paraId="66925DA6" w14:textId="77777777" w:rsidR="008A5FF6" w:rsidRPr="00BC1A41" w:rsidRDefault="008A5FF6" w:rsidP="00BC1A41">
            <w:pPr>
              <w:spacing w:before="40" w:after="40" w:line="240" w:lineRule="auto"/>
              <w:jc w:val="right"/>
              <w:rPr>
                <w:rFonts w:cs="Calibri"/>
                <w:color w:val="000000"/>
                <w:sz w:val="20"/>
                <w:szCs w:val="20"/>
                <w:lang w:eastAsia="es-CL"/>
              </w:rPr>
            </w:pPr>
            <w:r w:rsidRPr="00BC1A41">
              <w:rPr>
                <w:rFonts w:cs="Calibri"/>
                <w:color w:val="000000"/>
                <w:sz w:val="20"/>
                <w:szCs w:val="20"/>
                <w:lang w:eastAsia="es-CL"/>
              </w:rPr>
              <w:t>626,12</w:t>
            </w:r>
          </w:p>
        </w:tc>
        <w:tc>
          <w:tcPr>
            <w:tcW w:w="737" w:type="dxa"/>
            <w:tcBorders>
              <w:top w:val="nil"/>
              <w:left w:val="nil"/>
              <w:bottom w:val="single" w:sz="4" w:space="0" w:color="auto"/>
              <w:right w:val="single" w:sz="4" w:space="0" w:color="auto"/>
            </w:tcBorders>
            <w:shd w:val="clear" w:color="auto" w:fill="auto"/>
            <w:noWrap/>
            <w:vAlign w:val="center"/>
          </w:tcPr>
          <w:p w14:paraId="181FA9F6" w14:textId="77777777" w:rsidR="008A5FF6" w:rsidRPr="00BC1A41" w:rsidRDefault="008A5FF6" w:rsidP="00BC1A41">
            <w:pPr>
              <w:spacing w:before="40" w:after="40" w:line="240" w:lineRule="auto"/>
              <w:jc w:val="right"/>
              <w:rPr>
                <w:rFonts w:cs="Calibri"/>
                <w:color w:val="000000"/>
                <w:sz w:val="20"/>
                <w:szCs w:val="20"/>
                <w:lang w:eastAsia="es-CL"/>
              </w:rPr>
            </w:pPr>
            <w:r w:rsidRPr="00BC1A41">
              <w:rPr>
                <w:rFonts w:cs="Calibri"/>
                <w:color w:val="000000"/>
                <w:sz w:val="20"/>
                <w:szCs w:val="20"/>
                <w:lang w:eastAsia="es-CL"/>
              </w:rPr>
              <w:t>636,15</w:t>
            </w:r>
          </w:p>
        </w:tc>
        <w:tc>
          <w:tcPr>
            <w:tcW w:w="737" w:type="dxa"/>
            <w:tcBorders>
              <w:top w:val="nil"/>
              <w:left w:val="nil"/>
              <w:bottom w:val="single" w:sz="4" w:space="0" w:color="auto"/>
              <w:right w:val="single" w:sz="4" w:space="0" w:color="auto"/>
            </w:tcBorders>
            <w:shd w:val="clear" w:color="auto" w:fill="auto"/>
            <w:noWrap/>
            <w:vAlign w:val="center"/>
          </w:tcPr>
          <w:p w14:paraId="11C7F120" w14:textId="77777777" w:rsidR="008A5FF6" w:rsidRPr="00BC1A41" w:rsidRDefault="008A5FF6" w:rsidP="00BC1A41">
            <w:pPr>
              <w:spacing w:before="40" w:after="40" w:line="240" w:lineRule="auto"/>
              <w:jc w:val="right"/>
              <w:rPr>
                <w:rFonts w:cs="Calibri"/>
                <w:color w:val="000000"/>
                <w:sz w:val="20"/>
                <w:szCs w:val="20"/>
                <w:lang w:eastAsia="es-CL"/>
              </w:rPr>
            </w:pPr>
            <w:r w:rsidRPr="00BC1A41">
              <w:rPr>
                <w:rFonts w:cs="Calibri"/>
                <w:color w:val="000000"/>
                <w:sz w:val="20"/>
                <w:szCs w:val="20"/>
                <w:lang w:eastAsia="es-CL"/>
              </w:rPr>
              <w:t>652,41</w:t>
            </w:r>
          </w:p>
        </w:tc>
        <w:tc>
          <w:tcPr>
            <w:tcW w:w="737" w:type="dxa"/>
            <w:tcBorders>
              <w:top w:val="nil"/>
              <w:left w:val="nil"/>
              <w:bottom w:val="single" w:sz="4" w:space="0" w:color="auto"/>
              <w:right w:val="single" w:sz="4" w:space="0" w:color="auto"/>
            </w:tcBorders>
            <w:shd w:val="clear" w:color="auto" w:fill="auto"/>
            <w:noWrap/>
            <w:vAlign w:val="center"/>
          </w:tcPr>
          <w:p w14:paraId="3E7A194A" w14:textId="77777777" w:rsidR="008A5FF6" w:rsidRPr="00BC1A41" w:rsidRDefault="008A5FF6" w:rsidP="00BC1A41">
            <w:pPr>
              <w:spacing w:before="40" w:after="40" w:line="240" w:lineRule="auto"/>
              <w:jc w:val="right"/>
              <w:rPr>
                <w:rFonts w:cs="Calibri"/>
                <w:color w:val="000000"/>
                <w:sz w:val="20"/>
                <w:szCs w:val="20"/>
                <w:lang w:eastAsia="es-CL"/>
              </w:rPr>
            </w:pPr>
            <w:r w:rsidRPr="00BC1A41">
              <w:rPr>
                <w:rFonts w:cs="Calibri"/>
                <w:color w:val="000000"/>
                <w:sz w:val="20"/>
                <w:szCs w:val="20"/>
                <w:lang w:eastAsia="es-CL"/>
              </w:rPr>
              <w:t>656,25</w:t>
            </w:r>
          </w:p>
        </w:tc>
        <w:tc>
          <w:tcPr>
            <w:tcW w:w="737" w:type="dxa"/>
            <w:tcBorders>
              <w:top w:val="nil"/>
              <w:left w:val="nil"/>
              <w:bottom w:val="single" w:sz="4" w:space="0" w:color="auto"/>
              <w:right w:val="single" w:sz="4" w:space="0" w:color="auto"/>
            </w:tcBorders>
            <w:shd w:val="clear" w:color="auto" w:fill="auto"/>
            <w:noWrap/>
            <w:vAlign w:val="center"/>
          </w:tcPr>
          <w:p w14:paraId="6D28FC5A" w14:textId="77777777" w:rsidR="008A5FF6" w:rsidRPr="00BC1A41" w:rsidRDefault="008A5FF6" w:rsidP="00BC1A41">
            <w:pPr>
              <w:spacing w:before="40" w:after="40" w:line="240" w:lineRule="auto"/>
              <w:jc w:val="right"/>
              <w:rPr>
                <w:rFonts w:cs="Calibri"/>
                <w:color w:val="000000"/>
                <w:sz w:val="20"/>
                <w:szCs w:val="20"/>
                <w:lang w:eastAsia="es-CL"/>
              </w:rPr>
            </w:pPr>
            <w:r w:rsidRPr="00BC1A41">
              <w:rPr>
                <w:rFonts w:cs="Calibri"/>
                <w:color w:val="000000"/>
                <w:sz w:val="20"/>
                <w:szCs w:val="20"/>
                <w:lang w:eastAsia="es-CL"/>
              </w:rPr>
              <w:t>680,91</w:t>
            </w:r>
          </w:p>
        </w:tc>
        <w:tc>
          <w:tcPr>
            <w:tcW w:w="737" w:type="dxa"/>
            <w:tcBorders>
              <w:top w:val="nil"/>
              <w:left w:val="nil"/>
              <w:bottom w:val="single" w:sz="4" w:space="0" w:color="auto"/>
              <w:right w:val="single" w:sz="4" w:space="0" w:color="auto"/>
            </w:tcBorders>
            <w:shd w:val="clear" w:color="auto" w:fill="auto"/>
            <w:noWrap/>
            <w:vAlign w:val="center"/>
          </w:tcPr>
          <w:p w14:paraId="58660C0B" w14:textId="77777777" w:rsidR="008A5FF6" w:rsidRPr="00BC1A41" w:rsidRDefault="008A5FF6" w:rsidP="00BC1A41">
            <w:pPr>
              <w:spacing w:before="40" w:after="40" w:line="240" w:lineRule="auto"/>
              <w:jc w:val="right"/>
              <w:rPr>
                <w:rFonts w:cs="Calibri"/>
                <w:color w:val="000000"/>
                <w:sz w:val="20"/>
                <w:szCs w:val="20"/>
                <w:lang w:eastAsia="es-CL"/>
              </w:rPr>
            </w:pPr>
            <w:r w:rsidRPr="00BC1A41">
              <w:rPr>
                <w:rFonts w:cs="Calibri"/>
                <w:color w:val="000000"/>
                <w:sz w:val="20"/>
                <w:szCs w:val="20"/>
                <w:lang w:eastAsia="es-CL"/>
              </w:rPr>
              <w:t>676,84</w:t>
            </w:r>
          </w:p>
        </w:tc>
        <w:tc>
          <w:tcPr>
            <w:tcW w:w="737" w:type="dxa"/>
            <w:tcBorders>
              <w:top w:val="nil"/>
              <w:left w:val="nil"/>
              <w:bottom w:val="single" w:sz="4" w:space="0" w:color="auto"/>
              <w:right w:val="single" w:sz="4" w:space="0" w:color="auto"/>
            </w:tcBorders>
            <w:shd w:val="clear" w:color="auto" w:fill="auto"/>
            <w:noWrap/>
            <w:vAlign w:val="center"/>
          </w:tcPr>
          <w:p w14:paraId="5DE8EBDE" w14:textId="77777777" w:rsidR="008A5FF6" w:rsidRPr="00BC1A41" w:rsidRDefault="008A5FF6" w:rsidP="00BC1A41">
            <w:pPr>
              <w:spacing w:before="40" w:after="40" w:line="240" w:lineRule="auto"/>
              <w:jc w:val="right"/>
              <w:rPr>
                <w:rFonts w:cs="Calibri"/>
                <w:color w:val="000000"/>
                <w:sz w:val="20"/>
                <w:szCs w:val="20"/>
                <w:lang w:eastAsia="es-CL"/>
              </w:rPr>
            </w:pPr>
            <w:r w:rsidRPr="00BC1A41">
              <w:rPr>
                <w:rFonts w:cs="Calibri"/>
                <w:color w:val="000000"/>
                <w:sz w:val="20"/>
                <w:szCs w:val="20"/>
                <w:lang w:eastAsia="es-CL"/>
              </w:rPr>
              <w:t>677,61</w:t>
            </w:r>
          </w:p>
        </w:tc>
        <w:tc>
          <w:tcPr>
            <w:tcW w:w="737" w:type="dxa"/>
            <w:tcBorders>
              <w:top w:val="nil"/>
              <w:left w:val="nil"/>
              <w:bottom w:val="single" w:sz="4" w:space="0" w:color="auto"/>
              <w:right w:val="single" w:sz="4" w:space="0" w:color="auto"/>
            </w:tcBorders>
            <w:shd w:val="clear" w:color="auto" w:fill="auto"/>
            <w:noWrap/>
            <w:vAlign w:val="center"/>
          </w:tcPr>
          <w:p w14:paraId="4BAD96BD" w14:textId="77777777" w:rsidR="008A5FF6" w:rsidRPr="00BC1A41" w:rsidRDefault="008A5FF6" w:rsidP="00BC1A41">
            <w:pPr>
              <w:spacing w:before="40" w:after="40" w:line="240" w:lineRule="auto"/>
              <w:jc w:val="right"/>
              <w:rPr>
                <w:rFonts w:cs="Calibri"/>
                <w:color w:val="000000"/>
                <w:sz w:val="20"/>
                <w:szCs w:val="20"/>
                <w:lang w:eastAsia="es-CL"/>
              </w:rPr>
            </w:pPr>
            <w:r w:rsidRPr="00BC1A41">
              <w:rPr>
                <w:rFonts w:cs="Calibri"/>
                <w:color w:val="000000"/>
                <w:sz w:val="20"/>
                <w:szCs w:val="20"/>
                <w:lang w:eastAsia="es-CL"/>
              </w:rPr>
              <w:t>681,99</w:t>
            </w:r>
          </w:p>
        </w:tc>
      </w:tr>
      <w:tr w:rsidR="008A5FF6" w:rsidRPr="00BC1A41" w14:paraId="200B7DC7" w14:textId="77777777" w:rsidTr="00BC1A41">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tcPr>
          <w:p w14:paraId="12A5C22D" w14:textId="77777777" w:rsidR="008A5FF6" w:rsidRPr="00BC1A41" w:rsidRDefault="008A5FF6" w:rsidP="00BC1A41">
            <w:pPr>
              <w:spacing w:before="40" w:after="40" w:line="240" w:lineRule="auto"/>
              <w:jc w:val="right"/>
              <w:rPr>
                <w:rFonts w:cs="Calibri"/>
                <w:color w:val="000000"/>
                <w:sz w:val="20"/>
                <w:szCs w:val="20"/>
                <w:lang w:eastAsia="es-CL"/>
              </w:rPr>
            </w:pPr>
            <w:r w:rsidRPr="00BC1A41">
              <w:rPr>
                <w:rFonts w:cs="Calibri"/>
                <w:color w:val="000000"/>
                <w:sz w:val="20"/>
                <w:szCs w:val="20"/>
                <w:lang w:eastAsia="es-CL"/>
              </w:rPr>
              <w:t>2019</w:t>
            </w:r>
          </w:p>
        </w:tc>
        <w:tc>
          <w:tcPr>
            <w:tcW w:w="737" w:type="dxa"/>
            <w:tcBorders>
              <w:top w:val="nil"/>
              <w:left w:val="nil"/>
              <w:bottom w:val="single" w:sz="4" w:space="0" w:color="auto"/>
              <w:right w:val="single" w:sz="4" w:space="0" w:color="auto"/>
            </w:tcBorders>
            <w:shd w:val="clear" w:color="auto" w:fill="auto"/>
            <w:noWrap/>
            <w:vAlign w:val="center"/>
          </w:tcPr>
          <w:p w14:paraId="7C16EB5F" w14:textId="77777777" w:rsidR="008A5FF6" w:rsidRPr="00BC1A41" w:rsidRDefault="008A5FF6" w:rsidP="00BC1A41">
            <w:pPr>
              <w:spacing w:before="40" w:after="40" w:line="240" w:lineRule="auto"/>
              <w:jc w:val="right"/>
              <w:rPr>
                <w:rFonts w:cs="Calibri"/>
                <w:color w:val="000000"/>
                <w:sz w:val="20"/>
                <w:szCs w:val="20"/>
                <w:lang w:eastAsia="es-CL"/>
              </w:rPr>
            </w:pPr>
            <w:r w:rsidRPr="00BC1A41">
              <w:rPr>
                <w:rFonts w:cs="Calibri"/>
                <w:color w:val="000000"/>
                <w:sz w:val="20"/>
                <w:szCs w:val="20"/>
                <w:lang w:eastAsia="es-CL"/>
              </w:rPr>
              <w:t>677,06</w:t>
            </w:r>
          </w:p>
        </w:tc>
        <w:tc>
          <w:tcPr>
            <w:tcW w:w="737" w:type="dxa"/>
            <w:tcBorders>
              <w:top w:val="nil"/>
              <w:left w:val="nil"/>
              <w:bottom w:val="single" w:sz="4" w:space="0" w:color="auto"/>
              <w:right w:val="single" w:sz="4" w:space="0" w:color="auto"/>
            </w:tcBorders>
            <w:shd w:val="clear" w:color="auto" w:fill="auto"/>
            <w:noWrap/>
            <w:vAlign w:val="center"/>
          </w:tcPr>
          <w:p w14:paraId="1650901A" w14:textId="77777777" w:rsidR="008A5FF6" w:rsidRPr="00BC1A41" w:rsidRDefault="008A5FF6" w:rsidP="00BC1A41">
            <w:pPr>
              <w:spacing w:before="40" w:after="40" w:line="240" w:lineRule="auto"/>
              <w:jc w:val="right"/>
              <w:rPr>
                <w:rFonts w:cs="Calibri"/>
                <w:color w:val="000000"/>
                <w:sz w:val="20"/>
                <w:szCs w:val="20"/>
                <w:lang w:eastAsia="es-CL"/>
              </w:rPr>
            </w:pPr>
            <w:r w:rsidRPr="00BC1A41">
              <w:rPr>
                <w:rFonts w:cs="Calibri"/>
                <w:color w:val="000000"/>
                <w:sz w:val="20"/>
                <w:szCs w:val="20"/>
                <w:lang w:eastAsia="es-CL"/>
              </w:rPr>
              <w:t>656,30</w:t>
            </w:r>
          </w:p>
        </w:tc>
        <w:tc>
          <w:tcPr>
            <w:tcW w:w="737" w:type="dxa"/>
            <w:tcBorders>
              <w:top w:val="nil"/>
              <w:left w:val="nil"/>
              <w:bottom w:val="single" w:sz="4" w:space="0" w:color="auto"/>
              <w:right w:val="single" w:sz="4" w:space="0" w:color="auto"/>
            </w:tcBorders>
            <w:shd w:val="clear" w:color="auto" w:fill="auto"/>
            <w:noWrap/>
            <w:vAlign w:val="center"/>
          </w:tcPr>
          <w:p w14:paraId="2BB50133" w14:textId="77777777" w:rsidR="008A5FF6" w:rsidRPr="00BC1A41" w:rsidRDefault="008A5FF6" w:rsidP="00BC1A41">
            <w:pPr>
              <w:spacing w:before="40" w:after="40" w:line="240" w:lineRule="auto"/>
              <w:jc w:val="right"/>
              <w:rPr>
                <w:rFonts w:cs="Calibri"/>
                <w:color w:val="000000"/>
                <w:sz w:val="20"/>
                <w:szCs w:val="20"/>
                <w:lang w:eastAsia="es-CL"/>
              </w:rPr>
            </w:pPr>
            <w:r w:rsidRPr="00BC1A41">
              <w:rPr>
                <w:rFonts w:cs="Calibri"/>
                <w:color w:val="000000"/>
                <w:sz w:val="20"/>
                <w:szCs w:val="20"/>
                <w:lang w:eastAsia="es-CL"/>
              </w:rPr>
              <w:t>667,68</w:t>
            </w:r>
          </w:p>
        </w:tc>
        <w:tc>
          <w:tcPr>
            <w:tcW w:w="737" w:type="dxa"/>
            <w:tcBorders>
              <w:top w:val="nil"/>
              <w:left w:val="nil"/>
              <w:bottom w:val="single" w:sz="4" w:space="0" w:color="auto"/>
              <w:right w:val="single" w:sz="4" w:space="0" w:color="auto"/>
            </w:tcBorders>
            <w:shd w:val="clear" w:color="auto" w:fill="auto"/>
            <w:noWrap/>
            <w:vAlign w:val="center"/>
          </w:tcPr>
          <w:p w14:paraId="59FBCD81" w14:textId="77777777" w:rsidR="008A5FF6" w:rsidRPr="00BC1A41" w:rsidRDefault="008A5FF6" w:rsidP="00BC1A41">
            <w:pPr>
              <w:spacing w:before="40" w:after="40" w:line="240" w:lineRule="auto"/>
              <w:jc w:val="right"/>
              <w:rPr>
                <w:rFonts w:cs="Calibri"/>
                <w:color w:val="000000"/>
                <w:sz w:val="20"/>
                <w:szCs w:val="20"/>
                <w:lang w:eastAsia="es-CL"/>
              </w:rPr>
            </w:pPr>
            <w:r w:rsidRPr="00BC1A41">
              <w:rPr>
                <w:rFonts w:cs="Calibri"/>
                <w:color w:val="000000"/>
                <w:sz w:val="20"/>
                <w:szCs w:val="20"/>
                <w:lang w:eastAsia="es-CL"/>
              </w:rPr>
              <w:t>667,40</w:t>
            </w:r>
          </w:p>
        </w:tc>
        <w:tc>
          <w:tcPr>
            <w:tcW w:w="737" w:type="dxa"/>
            <w:tcBorders>
              <w:top w:val="nil"/>
              <w:left w:val="nil"/>
              <w:bottom w:val="single" w:sz="4" w:space="0" w:color="auto"/>
              <w:right w:val="single" w:sz="4" w:space="0" w:color="auto"/>
            </w:tcBorders>
            <w:shd w:val="clear" w:color="auto" w:fill="auto"/>
            <w:noWrap/>
            <w:vAlign w:val="center"/>
          </w:tcPr>
          <w:p w14:paraId="2C07AEBF" w14:textId="77777777" w:rsidR="008A5FF6" w:rsidRPr="00BC1A41" w:rsidRDefault="008A5FF6" w:rsidP="00BC1A41">
            <w:pPr>
              <w:spacing w:before="40" w:after="40" w:line="240" w:lineRule="auto"/>
              <w:jc w:val="right"/>
              <w:rPr>
                <w:rFonts w:cs="Calibri"/>
                <w:color w:val="000000"/>
                <w:sz w:val="20"/>
                <w:szCs w:val="20"/>
                <w:lang w:eastAsia="es-CL"/>
              </w:rPr>
            </w:pPr>
            <w:r w:rsidRPr="00BC1A41">
              <w:rPr>
                <w:rFonts w:cs="Calibri"/>
                <w:color w:val="000000"/>
                <w:sz w:val="20"/>
                <w:szCs w:val="20"/>
                <w:lang w:eastAsia="es-CL"/>
              </w:rPr>
              <w:t>692,00</w:t>
            </w:r>
          </w:p>
        </w:tc>
        <w:tc>
          <w:tcPr>
            <w:tcW w:w="737" w:type="dxa"/>
            <w:tcBorders>
              <w:top w:val="nil"/>
              <w:left w:val="nil"/>
              <w:bottom w:val="single" w:sz="4" w:space="0" w:color="auto"/>
              <w:right w:val="single" w:sz="4" w:space="0" w:color="auto"/>
            </w:tcBorders>
            <w:shd w:val="clear" w:color="auto" w:fill="auto"/>
            <w:noWrap/>
            <w:vAlign w:val="center"/>
          </w:tcPr>
          <w:p w14:paraId="3DC7A9E8" w14:textId="77777777" w:rsidR="008A5FF6" w:rsidRPr="00BC1A41" w:rsidRDefault="008A5FF6" w:rsidP="00BC1A41">
            <w:pPr>
              <w:spacing w:before="40" w:after="40" w:line="240" w:lineRule="auto"/>
              <w:jc w:val="right"/>
              <w:rPr>
                <w:rFonts w:cs="Calibri"/>
                <w:color w:val="000000"/>
                <w:sz w:val="20"/>
                <w:szCs w:val="20"/>
                <w:lang w:eastAsia="es-CL"/>
              </w:rPr>
            </w:pPr>
            <w:r w:rsidRPr="00BC1A41">
              <w:rPr>
                <w:rFonts w:cs="Calibri"/>
                <w:color w:val="000000"/>
                <w:sz w:val="20"/>
                <w:szCs w:val="20"/>
                <w:lang w:eastAsia="es-CL"/>
              </w:rPr>
              <w:t>692,41</w:t>
            </w:r>
          </w:p>
        </w:tc>
        <w:tc>
          <w:tcPr>
            <w:tcW w:w="737" w:type="dxa"/>
            <w:tcBorders>
              <w:top w:val="nil"/>
              <w:left w:val="nil"/>
              <w:bottom w:val="single" w:sz="4" w:space="0" w:color="auto"/>
              <w:right w:val="single" w:sz="4" w:space="0" w:color="auto"/>
            </w:tcBorders>
            <w:shd w:val="clear" w:color="auto" w:fill="auto"/>
            <w:noWrap/>
            <w:vAlign w:val="center"/>
          </w:tcPr>
          <w:p w14:paraId="2FCDFEED" w14:textId="77777777" w:rsidR="008A5FF6" w:rsidRPr="00BC1A41" w:rsidRDefault="008A5FF6" w:rsidP="00BC1A41">
            <w:pPr>
              <w:spacing w:before="40" w:after="40" w:line="240" w:lineRule="auto"/>
              <w:jc w:val="right"/>
              <w:rPr>
                <w:rFonts w:cs="Calibri"/>
                <w:color w:val="000000"/>
                <w:sz w:val="20"/>
                <w:szCs w:val="20"/>
                <w:lang w:eastAsia="es-CL"/>
              </w:rPr>
            </w:pPr>
            <w:r w:rsidRPr="00BC1A41">
              <w:rPr>
                <w:rFonts w:cs="Calibri"/>
                <w:color w:val="000000"/>
                <w:sz w:val="20"/>
                <w:szCs w:val="20"/>
                <w:lang w:eastAsia="es-CL"/>
              </w:rPr>
              <w:t>686,06</w:t>
            </w:r>
          </w:p>
        </w:tc>
        <w:tc>
          <w:tcPr>
            <w:tcW w:w="737" w:type="dxa"/>
            <w:tcBorders>
              <w:top w:val="nil"/>
              <w:left w:val="nil"/>
              <w:bottom w:val="single" w:sz="4" w:space="0" w:color="auto"/>
              <w:right w:val="single" w:sz="4" w:space="0" w:color="auto"/>
            </w:tcBorders>
            <w:shd w:val="clear" w:color="auto" w:fill="auto"/>
            <w:noWrap/>
            <w:vAlign w:val="center"/>
          </w:tcPr>
          <w:p w14:paraId="0CB9952E" w14:textId="77777777" w:rsidR="008A5FF6" w:rsidRPr="00BC1A41" w:rsidRDefault="008A5FF6" w:rsidP="00BC1A41">
            <w:pPr>
              <w:spacing w:before="40" w:after="40" w:line="240" w:lineRule="auto"/>
              <w:jc w:val="right"/>
              <w:rPr>
                <w:rFonts w:cs="Calibri"/>
                <w:color w:val="000000"/>
                <w:sz w:val="20"/>
                <w:szCs w:val="20"/>
                <w:lang w:eastAsia="es-CL"/>
              </w:rPr>
            </w:pPr>
            <w:r w:rsidRPr="00BC1A41">
              <w:rPr>
                <w:rFonts w:cs="Calibri"/>
                <w:color w:val="000000"/>
                <w:sz w:val="20"/>
                <w:szCs w:val="20"/>
                <w:lang w:eastAsia="es-CL"/>
              </w:rPr>
              <w:t>713,70</w:t>
            </w:r>
          </w:p>
        </w:tc>
        <w:tc>
          <w:tcPr>
            <w:tcW w:w="737" w:type="dxa"/>
            <w:tcBorders>
              <w:top w:val="nil"/>
              <w:left w:val="nil"/>
              <w:bottom w:val="single" w:sz="4" w:space="0" w:color="auto"/>
              <w:right w:val="single" w:sz="4" w:space="0" w:color="auto"/>
            </w:tcBorders>
            <w:shd w:val="clear" w:color="auto" w:fill="auto"/>
            <w:noWrap/>
            <w:vAlign w:val="center"/>
          </w:tcPr>
          <w:p w14:paraId="469CB956" w14:textId="77777777" w:rsidR="008A5FF6" w:rsidRPr="00BC1A41" w:rsidRDefault="008A5FF6" w:rsidP="00BC1A41">
            <w:pPr>
              <w:spacing w:before="40" w:after="40" w:line="240" w:lineRule="auto"/>
              <w:jc w:val="right"/>
              <w:rPr>
                <w:rFonts w:cs="Calibri"/>
                <w:color w:val="000000"/>
                <w:sz w:val="20"/>
                <w:szCs w:val="20"/>
                <w:lang w:eastAsia="es-CL"/>
              </w:rPr>
            </w:pPr>
            <w:r w:rsidRPr="00BC1A41">
              <w:rPr>
                <w:rFonts w:cs="Calibri"/>
                <w:color w:val="000000"/>
                <w:sz w:val="20"/>
                <w:szCs w:val="20"/>
                <w:lang w:eastAsia="es-CL"/>
              </w:rPr>
              <w:t>718,44</w:t>
            </w:r>
          </w:p>
        </w:tc>
        <w:tc>
          <w:tcPr>
            <w:tcW w:w="737" w:type="dxa"/>
            <w:tcBorders>
              <w:top w:val="nil"/>
              <w:left w:val="nil"/>
              <w:bottom w:val="single" w:sz="4" w:space="0" w:color="auto"/>
              <w:right w:val="single" w:sz="4" w:space="0" w:color="auto"/>
            </w:tcBorders>
            <w:shd w:val="clear" w:color="auto" w:fill="auto"/>
            <w:noWrap/>
            <w:vAlign w:val="center"/>
          </w:tcPr>
          <w:p w14:paraId="057EF7DB" w14:textId="77777777" w:rsidR="008A5FF6" w:rsidRPr="00BC1A41" w:rsidRDefault="008A5FF6" w:rsidP="00BC1A41">
            <w:pPr>
              <w:spacing w:before="40" w:after="40" w:line="240" w:lineRule="auto"/>
              <w:jc w:val="right"/>
              <w:rPr>
                <w:rFonts w:cs="Calibri"/>
                <w:color w:val="000000"/>
                <w:sz w:val="20"/>
                <w:szCs w:val="20"/>
                <w:lang w:eastAsia="es-CL"/>
              </w:rPr>
            </w:pPr>
            <w:r w:rsidRPr="00BC1A41">
              <w:rPr>
                <w:rFonts w:cs="Calibri"/>
                <w:color w:val="000000"/>
                <w:sz w:val="20"/>
                <w:szCs w:val="20"/>
                <w:lang w:eastAsia="es-CL"/>
              </w:rPr>
              <w:t>721,03</w:t>
            </w:r>
          </w:p>
        </w:tc>
        <w:tc>
          <w:tcPr>
            <w:tcW w:w="737" w:type="dxa"/>
            <w:tcBorders>
              <w:top w:val="nil"/>
              <w:left w:val="nil"/>
              <w:bottom w:val="single" w:sz="4" w:space="0" w:color="auto"/>
              <w:right w:val="single" w:sz="4" w:space="0" w:color="auto"/>
            </w:tcBorders>
            <w:shd w:val="clear" w:color="auto" w:fill="auto"/>
            <w:noWrap/>
            <w:vAlign w:val="center"/>
          </w:tcPr>
          <w:p w14:paraId="72F73757" w14:textId="77777777" w:rsidR="008A5FF6" w:rsidRPr="00BC1A41" w:rsidRDefault="008A5FF6" w:rsidP="00BC1A41">
            <w:pPr>
              <w:spacing w:before="40" w:after="40" w:line="240" w:lineRule="auto"/>
              <w:jc w:val="right"/>
              <w:rPr>
                <w:rFonts w:cs="Calibri"/>
                <w:color w:val="000000"/>
                <w:sz w:val="20"/>
                <w:szCs w:val="20"/>
                <w:lang w:eastAsia="es-CL"/>
              </w:rPr>
            </w:pPr>
            <w:r w:rsidRPr="00BC1A41">
              <w:rPr>
                <w:rFonts w:cs="Calibri"/>
                <w:color w:val="000000"/>
                <w:sz w:val="20"/>
                <w:szCs w:val="20"/>
                <w:lang w:eastAsia="es-CL"/>
              </w:rPr>
              <w:t>776,53</w:t>
            </w:r>
          </w:p>
        </w:tc>
        <w:tc>
          <w:tcPr>
            <w:tcW w:w="737" w:type="dxa"/>
            <w:tcBorders>
              <w:top w:val="nil"/>
              <w:left w:val="nil"/>
              <w:bottom w:val="single" w:sz="4" w:space="0" w:color="auto"/>
              <w:right w:val="single" w:sz="4" w:space="0" w:color="auto"/>
            </w:tcBorders>
            <w:shd w:val="clear" w:color="auto" w:fill="auto"/>
            <w:noWrap/>
            <w:vAlign w:val="center"/>
          </w:tcPr>
          <w:p w14:paraId="1112F9F2" w14:textId="77777777" w:rsidR="008A5FF6" w:rsidRPr="00BC1A41" w:rsidRDefault="008A5FF6" w:rsidP="00BC1A41">
            <w:pPr>
              <w:spacing w:before="40" w:after="40" w:line="240" w:lineRule="auto"/>
              <w:jc w:val="right"/>
              <w:rPr>
                <w:rFonts w:cs="Calibri"/>
                <w:color w:val="000000"/>
                <w:sz w:val="20"/>
                <w:szCs w:val="20"/>
                <w:lang w:eastAsia="es-CL"/>
              </w:rPr>
            </w:pPr>
            <w:r w:rsidRPr="00BC1A41">
              <w:rPr>
                <w:rFonts w:cs="Calibri"/>
                <w:color w:val="000000"/>
                <w:sz w:val="20"/>
                <w:szCs w:val="20"/>
                <w:lang w:eastAsia="es-CL"/>
              </w:rPr>
              <w:t>770,39</w:t>
            </w:r>
          </w:p>
        </w:tc>
      </w:tr>
    </w:tbl>
    <w:p w14:paraId="73E4EBFE" w14:textId="77777777" w:rsidR="008A5FF6" w:rsidRPr="00BC1A41" w:rsidRDefault="008A5FF6" w:rsidP="00084018">
      <w:pPr>
        <w:spacing w:after="120"/>
        <w:rPr>
          <w:rFonts w:cs="Calibri"/>
          <w:sz w:val="20"/>
          <w:szCs w:val="20"/>
        </w:rPr>
      </w:pPr>
    </w:p>
    <w:p w14:paraId="303E7206" w14:textId="32766A49" w:rsidR="00084018" w:rsidRDefault="00084018" w:rsidP="00084018">
      <w:r w:rsidRPr="00EE2F47">
        <w:t xml:space="preserve">De esta forma, el valor base corresponde al valor promedio del mes de octubre de 2017, esto </w:t>
      </w:r>
      <w:proofErr w:type="gramStart"/>
      <w:r w:rsidRPr="00EE2F47">
        <w:t xml:space="preserve">es, </w:t>
      </w:r>
      <m:oMath>
        <m:sSub>
          <m:sSubPr>
            <m:ctrlPr>
              <w:rPr>
                <w:rFonts w:ascii="Cambria Math" w:hAnsi="Cambria Math"/>
                <w:i/>
              </w:rPr>
            </m:ctrlPr>
          </m:sSubPr>
          <m:e>
            <m:r>
              <w:rPr>
                <w:rFonts w:ascii="Cambria Math" w:hAnsi="Cambria Math"/>
              </w:rPr>
              <m:t>D</m:t>
            </m:r>
          </m:e>
          <m:sub>
            <m:r>
              <w:rPr>
                <w:rFonts w:ascii="Cambria Math" w:hAnsi="Cambria Math"/>
              </w:rPr>
              <m:t>0</m:t>
            </m:r>
          </m:sub>
        </m:sSub>
        <m:r>
          <w:rPr>
            <w:rFonts w:ascii="Cambria Math" w:hAnsi="Cambria Math"/>
          </w:rPr>
          <m:t>=629,55</m:t>
        </m:r>
      </m:oMath>
      <w:r w:rsidRPr="00EE2F47">
        <w:t>.</w:t>
      </w:r>
      <w:proofErr w:type="gramEnd"/>
    </w:p>
    <w:p w14:paraId="66A928AB" w14:textId="77777777" w:rsidR="00084018" w:rsidRPr="00046C79" w:rsidRDefault="00084018" w:rsidP="006A5733">
      <w:pPr>
        <w:pStyle w:val="Ttulo4"/>
      </w:pPr>
      <w:bookmarkStart w:id="568" w:name="_Toc39797904"/>
      <w:r w:rsidRPr="00046C79">
        <w:t xml:space="preserve">Tasa de impuestos a las utilidades </w:t>
      </w:r>
      <w:r>
        <w:t>(t)</w:t>
      </w:r>
      <w:bookmarkEnd w:id="568"/>
    </w:p>
    <w:p w14:paraId="028A15D2" w14:textId="070E0379" w:rsidR="00084018" w:rsidRDefault="00084018" w:rsidP="00084018">
      <w:pPr>
        <w:rPr>
          <w:b/>
          <w:bCs/>
        </w:rPr>
      </w:pPr>
      <w:r>
        <w:t xml:space="preserve">La tasa de impuesto a la renta utilizada para determinar el valor base de A.E.I.R. corresponde, según se desarrolla en el punto </w:t>
      </w:r>
      <w:r w:rsidR="00932467">
        <w:t>12.9</w:t>
      </w:r>
      <w:r>
        <w:t xml:space="preserve"> al 27%. Luego el valor base corresponde a dicho valor, es </w:t>
      </w:r>
      <w:proofErr w:type="gramStart"/>
      <w:r>
        <w:t xml:space="preserve">decir, </w:t>
      </w:r>
      <m:oMath>
        <m:sSub>
          <m:sSubPr>
            <m:ctrlPr>
              <w:rPr>
                <w:rFonts w:ascii="Cambria Math" w:hAnsi="Cambria Math"/>
                <w:i/>
              </w:rPr>
            </m:ctrlPr>
          </m:sSubPr>
          <m:e>
            <m:r>
              <w:rPr>
                <w:rFonts w:ascii="Cambria Math" w:hAnsi="Cambria Math"/>
              </w:rPr>
              <m:t>t</m:t>
            </m:r>
          </m:e>
          <m:sub>
            <m:r>
              <w:rPr>
                <w:rFonts w:ascii="Cambria Math" w:hAnsi="Cambria Math"/>
              </w:rPr>
              <m:t>0</m:t>
            </m:r>
          </m:sub>
        </m:sSub>
        <m:r>
          <w:rPr>
            <w:rFonts w:ascii="Cambria Math" w:hAnsi="Cambria Math"/>
          </w:rPr>
          <m:t>=0,27</m:t>
        </m:r>
      </m:oMath>
      <w:r w:rsidR="00454199">
        <w:t>.</w:t>
      </w:r>
      <w:proofErr w:type="gramEnd"/>
    </w:p>
    <w:p w14:paraId="2310520D" w14:textId="77777777" w:rsidR="00D84C43" w:rsidRDefault="00D84C43" w:rsidP="00084018">
      <w:pPr>
        <w:rPr>
          <w:bCs/>
        </w:rPr>
      </w:pPr>
      <w:r w:rsidRPr="00D84C43">
        <w:rPr>
          <w:bCs/>
        </w:rPr>
        <w:t xml:space="preserve">En </w:t>
      </w:r>
      <w:r>
        <w:rPr>
          <w:bCs/>
        </w:rPr>
        <w:t>síntesis, los valores base para los indexadores utilizados en la fórmula de indexación son los siguientes:</w:t>
      </w:r>
    </w:p>
    <w:p w14:paraId="44289222" w14:textId="19B7472B" w:rsidR="008D3DAC" w:rsidRPr="00454199" w:rsidRDefault="00454199" w:rsidP="00454199">
      <w:pPr>
        <w:pStyle w:val="Subttulo"/>
      </w:pPr>
      <w:bookmarkStart w:id="569" w:name="_Toc39797976"/>
      <w:r w:rsidRPr="00454199">
        <w:t xml:space="preserve">Tabla </w:t>
      </w:r>
      <w:fldSimple w:instr=" SEQ Tabla \* ARABIC ">
        <w:r w:rsidR="001F3E2E">
          <w:rPr>
            <w:noProof/>
          </w:rPr>
          <w:t>66</w:t>
        </w:r>
      </w:fldSimple>
      <w:r w:rsidRPr="00454199">
        <w:t xml:space="preserve">: </w:t>
      </w:r>
      <w:r w:rsidR="008D3DAC" w:rsidRPr="00454199">
        <w:t>Valor Base Indexadores</w:t>
      </w:r>
      <w:bookmarkEnd w:id="569"/>
    </w:p>
    <w:tbl>
      <w:tblPr>
        <w:tblStyle w:val="Tablaconcuadrcula"/>
        <w:tblW w:w="0" w:type="auto"/>
        <w:jc w:val="center"/>
        <w:tblLayout w:type="fixed"/>
        <w:tblCellMar>
          <w:left w:w="57" w:type="dxa"/>
          <w:right w:w="57" w:type="dxa"/>
        </w:tblCellMar>
        <w:tblLook w:val="01E0" w:firstRow="1" w:lastRow="1" w:firstColumn="1" w:lastColumn="1" w:noHBand="0" w:noVBand="0"/>
      </w:tblPr>
      <w:tblGrid>
        <w:gridCol w:w="2835"/>
        <w:gridCol w:w="2552"/>
      </w:tblGrid>
      <w:tr w:rsidR="008D3DAC" w:rsidRPr="00566D6A" w14:paraId="341003BA" w14:textId="77777777" w:rsidTr="00BC1A41">
        <w:trPr>
          <w:tblHeader/>
          <w:jc w:val="center"/>
        </w:trPr>
        <w:tc>
          <w:tcPr>
            <w:tcW w:w="2835" w:type="dxa"/>
            <w:shd w:val="solid" w:color="D9D9D9" w:themeColor="background1" w:themeShade="D9" w:fill="auto"/>
            <w:vAlign w:val="center"/>
          </w:tcPr>
          <w:p w14:paraId="637AEFA3" w14:textId="77777777" w:rsidR="008D3DAC" w:rsidRPr="00BC1A41" w:rsidRDefault="008D3DAC" w:rsidP="00BC1A41">
            <w:pPr>
              <w:spacing w:before="40" w:after="40"/>
              <w:jc w:val="center"/>
              <w:rPr>
                <w:rFonts w:asciiTheme="minorHAnsi" w:hAnsiTheme="minorHAnsi" w:cstheme="minorHAnsi"/>
                <w:b/>
                <w:bCs/>
                <w:sz w:val="20"/>
                <w:szCs w:val="20"/>
              </w:rPr>
            </w:pPr>
            <w:r w:rsidRPr="00BC1A41">
              <w:rPr>
                <w:rFonts w:asciiTheme="minorHAnsi" w:hAnsiTheme="minorHAnsi" w:cstheme="minorHAnsi"/>
                <w:b/>
                <w:bCs/>
                <w:sz w:val="20"/>
                <w:szCs w:val="20"/>
              </w:rPr>
              <w:t>Indexador Base</w:t>
            </w:r>
          </w:p>
        </w:tc>
        <w:tc>
          <w:tcPr>
            <w:tcW w:w="2552" w:type="dxa"/>
            <w:shd w:val="solid" w:color="D9D9D9" w:themeColor="background1" w:themeShade="D9" w:fill="auto"/>
            <w:vAlign w:val="center"/>
          </w:tcPr>
          <w:p w14:paraId="7E483B18" w14:textId="77777777" w:rsidR="008D3DAC" w:rsidRPr="00BC1A41" w:rsidRDefault="008D3DAC" w:rsidP="00BC1A41">
            <w:pPr>
              <w:spacing w:before="40" w:after="40"/>
              <w:jc w:val="center"/>
              <w:rPr>
                <w:rFonts w:asciiTheme="minorHAnsi" w:hAnsiTheme="minorHAnsi" w:cstheme="minorHAnsi"/>
                <w:b/>
                <w:bCs/>
                <w:sz w:val="20"/>
                <w:szCs w:val="20"/>
              </w:rPr>
            </w:pPr>
            <w:r w:rsidRPr="00BC1A41">
              <w:rPr>
                <w:rFonts w:asciiTheme="minorHAnsi" w:hAnsiTheme="minorHAnsi" w:cstheme="minorHAnsi"/>
                <w:b/>
                <w:bCs/>
                <w:sz w:val="20"/>
                <w:szCs w:val="20"/>
              </w:rPr>
              <w:t>Valor Base</w:t>
            </w:r>
          </w:p>
        </w:tc>
      </w:tr>
      <w:tr w:rsidR="008D3DAC" w:rsidRPr="00566D6A" w14:paraId="2DC6A1BF" w14:textId="77777777" w:rsidTr="00BC1A41">
        <w:trPr>
          <w:jc w:val="center"/>
        </w:trPr>
        <w:tc>
          <w:tcPr>
            <w:tcW w:w="2835" w:type="dxa"/>
            <w:vAlign w:val="center"/>
          </w:tcPr>
          <w:p w14:paraId="656BC1B9" w14:textId="65AF0BC9" w:rsidR="008D3DAC" w:rsidRPr="00BC1A41" w:rsidRDefault="00454199" w:rsidP="00BC1A41">
            <w:pPr>
              <w:spacing w:before="40" w:after="40"/>
              <w:jc w:val="center"/>
              <w:rPr>
                <w:rFonts w:asciiTheme="minorHAnsi" w:hAnsiTheme="minorHAnsi" w:cstheme="minorHAnsi"/>
                <w:bCs/>
                <w:sz w:val="20"/>
                <w:szCs w:val="20"/>
              </w:rPr>
            </w:pPr>
            <m:oMathPara>
              <m:oMath>
                <m:r>
                  <w:rPr>
                    <w:rFonts w:ascii="Cambria Math" w:hAnsi="Cambria Math" w:cstheme="minorHAnsi"/>
                    <w:sz w:val="20"/>
                    <w:szCs w:val="20"/>
                  </w:rPr>
                  <m:t>IP</m:t>
                </m:r>
                <m:sSub>
                  <m:sSubPr>
                    <m:ctrlPr>
                      <w:rPr>
                        <w:rFonts w:ascii="Cambria Math" w:hAnsi="Cambria Math" w:cstheme="minorHAnsi"/>
                        <w:bCs/>
                        <w:i/>
                        <w:sz w:val="20"/>
                        <w:szCs w:val="20"/>
                      </w:rPr>
                    </m:ctrlPr>
                  </m:sSubPr>
                  <m:e>
                    <m:r>
                      <w:rPr>
                        <w:rFonts w:ascii="Cambria Math" w:hAnsi="Cambria Math" w:cstheme="minorHAnsi"/>
                        <w:sz w:val="20"/>
                        <w:szCs w:val="20"/>
                      </w:rPr>
                      <m:t>C</m:t>
                    </m:r>
                  </m:e>
                  <m:sub>
                    <m:r>
                      <w:rPr>
                        <w:rFonts w:ascii="Cambria Math" w:hAnsi="Cambria Math" w:cstheme="minorHAnsi"/>
                        <w:sz w:val="20"/>
                        <w:szCs w:val="20"/>
                      </w:rPr>
                      <m:t>0</m:t>
                    </m:r>
                  </m:sub>
                </m:sSub>
              </m:oMath>
            </m:oMathPara>
          </w:p>
        </w:tc>
        <w:tc>
          <w:tcPr>
            <w:tcW w:w="2552" w:type="dxa"/>
            <w:vAlign w:val="center"/>
          </w:tcPr>
          <w:p w14:paraId="71F3B729" w14:textId="77777777" w:rsidR="008D3DAC" w:rsidRPr="00BC1A41" w:rsidRDefault="008D3DAC" w:rsidP="00BC1A41">
            <w:pPr>
              <w:spacing w:before="40" w:after="40"/>
              <w:jc w:val="center"/>
              <w:rPr>
                <w:rFonts w:asciiTheme="minorHAnsi" w:hAnsiTheme="minorHAnsi" w:cstheme="minorHAnsi"/>
                <w:bCs/>
                <w:sz w:val="20"/>
                <w:szCs w:val="20"/>
              </w:rPr>
            </w:pPr>
            <w:r w:rsidRPr="00BC1A41">
              <w:rPr>
                <w:rFonts w:asciiTheme="minorHAnsi" w:hAnsiTheme="minorHAnsi" w:cstheme="minorHAnsi"/>
                <w:sz w:val="20"/>
                <w:szCs w:val="20"/>
              </w:rPr>
              <w:t>97,89</w:t>
            </w:r>
            <w:r w:rsidR="00566D6A" w:rsidRPr="00BC1A41">
              <w:rPr>
                <w:rStyle w:val="Refdenotaalpie"/>
                <w:rFonts w:asciiTheme="minorHAnsi" w:hAnsiTheme="minorHAnsi" w:cstheme="minorHAnsi"/>
                <w:bCs/>
                <w:sz w:val="20"/>
                <w:szCs w:val="20"/>
              </w:rPr>
              <w:footnoteReference w:id="54"/>
            </w:r>
          </w:p>
        </w:tc>
      </w:tr>
      <w:tr w:rsidR="008D3DAC" w:rsidRPr="00566D6A" w14:paraId="3F923271" w14:textId="77777777" w:rsidTr="00BC1A41">
        <w:trPr>
          <w:jc w:val="center"/>
        </w:trPr>
        <w:tc>
          <w:tcPr>
            <w:tcW w:w="2835" w:type="dxa"/>
            <w:vAlign w:val="center"/>
          </w:tcPr>
          <w:p w14:paraId="3837EDFC" w14:textId="20513754" w:rsidR="008D3DAC" w:rsidRPr="00BC1A41" w:rsidRDefault="00454199" w:rsidP="00BC1A41">
            <w:pPr>
              <w:spacing w:before="40" w:after="40"/>
              <w:jc w:val="center"/>
              <w:rPr>
                <w:rFonts w:asciiTheme="minorHAnsi" w:hAnsiTheme="minorHAnsi" w:cstheme="minorHAnsi"/>
                <w:bCs/>
                <w:sz w:val="20"/>
                <w:szCs w:val="20"/>
              </w:rPr>
            </w:pPr>
            <m:oMathPara>
              <m:oMath>
                <m:r>
                  <w:rPr>
                    <w:rFonts w:ascii="Cambria Math" w:hAnsi="Cambria Math" w:cstheme="minorHAnsi"/>
                    <w:sz w:val="20"/>
                    <w:szCs w:val="20"/>
                  </w:rPr>
                  <w:lastRenderedPageBreak/>
                  <m:t>CP</m:t>
                </m:r>
                <m:sSub>
                  <m:sSubPr>
                    <m:ctrlPr>
                      <w:rPr>
                        <w:rFonts w:ascii="Cambria Math" w:hAnsi="Cambria Math" w:cstheme="minorHAnsi"/>
                        <w:bCs/>
                        <w:i/>
                        <w:sz w:val="20"/>
                        <w:szCs w:val="20"/>
                      </w:rPr>
                    </m:ctrlPr>
                  </m:sSubPr>
                  <m:e>
                    <m:r>
                      <w:rPr>
                        <w:rFonts w:ascii="Cambria Math" w:hAnsi="Cambria Math" w:cstheme="minorHAnsi"/>
                        <w:sz w:val="20"/>
                        <w:szCs w:val="20"/>
                      </w:rPr>
                      <m:t>I</m:t>
                    </m:r>
                  </m:e>
                  <m:sub>
                    <m:r>
                      <w:rPr>
                        <w:rFonts w:ascii="Cambria Math" w:hAnsi="Cambria Math" w:cstheme="minorHAnsi"/>
                        <w:sz w:val="20"/>
                        <w:szCs w:val="20"/>
                      </w:rPr>
                      <m:t>0</m:t>
                    </m:r>
                  </m:sub>
                </m:sSub>
              </m:oMath>
            </m:oMathPara>
          </w:p>
        </w:tc>
        <w:tc>
          <w:tcPr>
            <w:tcW w:w="2552" w:type="dxa"/>
            <w:vAlign w:val="center"/>
          </w:tcPr>
          <w:p w14:paraId="54B1AEF8" w14:textId="77777777" w:rsidR="008D3DAC" w:rsidRPr="00BC1A41" w:rsidRDefault="008D3DAC" w:rsidP="00BC1A41">
            <w:pPr>
              <w:spacing w:before="40" w:after="40"/>
              <w:jc w:val="center"/>
              <w:rPr>
                <w:rFonts w:asciiTheme="minorHAnsi" w:hAnsiTheme="minorHAnsi" w:cstheme="minorHAnsi"/>
                <w:bCs/>
                <w:sz w:val="20"/>
                <w:szCs w:val="20"/>
              </w:rPr>
            </w:pPr>
            <w:r w:rsidRPr="00BC1A41">
              <w:rPr>
                <w:rFonts w:asciiTheme="minorHAnsi" w:hAnsiTheme="minorHAnsi" w:cstheme="minorHAnsi"/>
                <w:sz w:val="20"/>
                <w:szCs w:val="20"/>
              </w:rPr>
              <w:t>246,663</w:t>
            </w:r>
          </w:p>
        </w:tc>
      </w:tr>
      <w:tr w:rsidR="008D3DAC" w:rsidRPr="00566D6A" w14:paraId="6290A2EB" w14:textId="77777777" w:rsidTr="00BC1A41">
        <w:trPr>
          <w:jc w:val="center"/>
        </w:trPr>
        <w:tc>
          <w:tcPr>
            <w:tcW w:w="2835" w:type="dxa"/>
            <w:vAlign w:val="center"/>
          </w:tcPr>
          <w:p w14:paraId="66A5E46D" w14:textId="7AF0DC1E" w:rsidR="008D3DAC" w:rsidRPr="00BC1A41" w:rsidRDefault="0088072F" w:rsidP="00BC1A41">
            <w:pPr>
              <w:spacing w:before="40" w:after="40"/>
              <w:jc w:val="center"/>
              <w:rPr>
                <w:rFonts w:asciiTheme="minorHAnsi" w:hAnsiTheme="minorHAnsi" w:cstheme="minorHAnsi"/>
                <w:bCs/>
                <w:sz w:val="20"/>
                <w:szCs w:val="20"/>
              </w:rPr>
            </w:pPr>
            <m:oMathPara>
              <m:oMath>
                <m:sSub>
                  <m:sSubPr>
                    <m:ctrlPr>
                      <w:rPr>
                        <w:rFonts w:ascii="Cambria Math" w:hAnsi="Cambria Math" w:cstheme="minorHAnsi"/>
                        <w:bCs/>
                        <w:i/>
                        <w:sz w:val="20"/>
                        <w:szCs w:val="20"/>
                      </w:rPr>
                    </m:ctrlPr>
                  </m:sSubPr>
                  <m:e>
                    <m:r>
                      <w:rPr>
                        <w:rFonts w:ascii="Cambria Math" w:hAnsi="Cambria Math" w:cstheme="minorHAnsi"/>
                        <w:sz w:val="20"/>
                        <w:szCs w:val="20"/>
                      </w:rPr>
                      <m:t>D</m:t>
                    </m:r>
                  </m:e>
                  <m:sub>
                    <m:r>
                      <w:rPr>
                        <w:rFonts w:ascii="Cambria Math" w:hAnsi="Cambria Math" w:cstheme="minorHAnsi"/>
                        <w:sz w:val="20"/>
                        <w:szCs w:val="20"/>
                      </w:rPr>
                      <m:t>0</m:t>
                    </m:r>
                  </m:sub>
                </m:sSub>
              </m:oMath>
            </m:oMathPara>
          </w:p>
        </w:tc>
        <w:tc>
          <w:tcPr>
            <w:tcW w:w="2552" w:type="dxa"/>
            <w:vAlign w:val="center"/>
          </w:tcPr>
          <w:p w14:paraId="7B78C0FD" w14:textId="3A64A079" w:rsidR="008D3DAC" w:rsidRPr="00BC1A41" w:rsidRDefault="008D3DAC" w:rsidP="00BC1A41">
            <w:pPr>
              <w:spacing w:before="40" w:after="40"/>
              <w:jc w:val="center"/>
              <w:rPr>
                <w:rFonts w:asciiTheme="minorHAnsi" w:hAnsiTheme="minorHAnsi" w:cstheme="minorHAnsi"/>
                <w:bCs/>
                <w:sz w:val="20"/>
                <w:szCs w:val="20"/>
              </w:rPr>
            </w:pPr>
            <w:r w:rsidRPr="00BC1A41">
              <w:rPr>
                <w:rFonts w:asciiTheme="minorHAnsi" w:hAnsiTheme="minorHAnsi" w:cstheme="minorHAnsi"/>
                <w:sz w:val="20"/>
                <w:szCs w:val="20"/>
              </w:rPr>
              <w:t>629,55</w:t>
            </w:r>
          </w:p>
        </w:tc>
      </w:tr>
      <w:tr w:rsidR="008D3DAC" w:rsidRPr="00566D6A" w14:paraId="0B768C98" w14:textId="77777777" w:rsidTr="00BC1A41">
        <w:trPr>
          <w:jc w:val="center"/>
        </w:trPr>
        <w:tc>
          <w:tcPr>
            <w:tcW w:w="2835" w:type="dxa"/>
            <w:vAlign w:val="center"/>
          </w:tcPr>
          <w:p w14:paraId="61C6F8B2" w14:textId="10368655" w:rsidR="008D3DAC" w:rsidRPr="00BC1A41" w:rsidRDefault="00454199" w:rsidP="00BC1A41">
            <w:pPr>
              <w:spacing w:before="40" w:after="40"/>
              <w:jc w:val="center"/>
              <w:rPr>
                <w:rFonts w:asciiTheme="minorHAnsi" w:hAnsiTheme="minorHAnsi" w:cstheme="minorHAnsi"/>
                <w:bCs/>
                <w:sz w:val="20"/>
                <w:szCs w:val="20"/>
              </w:rPr>
            </w:pPr>
            <m:oMathPara>
              <m:oMath>
                <m:r>
                  <w:rPr>
                    <w:rFonts w:ascii="Cambria Math" w:hAnsi="Cambria Math" w:cstheme="minorHAnsi"/>
                    <w:sz w:val="20"/>
                    <w:szCs w:val="20"/>
                  </w:rPr>
                  <m:t>T</m:t>
                </m:r>
                <m:sSub>
                  <m:sSubPr>
                    <m:ctrlPr>
                      <w:rPr>
                        <w:rFonts w:ascii="Cambria Math" w:hAnsi="Cambria Math" w:cstheme="minorHAnsi"/>
                        <w:bCs/>
                        <w:i/>
                        <w:sz w:val="20"/>
                        <w:szCs w:val="20"/>
                      </w:rPr>
                    </m:ctrlPr>
                  </m:sSubPr>
                  <m:e>
                    <m:r>
                      <w:rPr>
                        <w:rFonts w:ascii="Cambria Math" w:hAnsi="Cambria Math" w:cstheme="minorHAnsi"/>
                        <w:sz w:val="20"/>
                        <w:szCs w:val="20"/>
                      </w:rPr>
                      <m:t>a</m:t>
                    </m:r>
                  </m:e>
                  <m:sub>
                    <m:r>
                      <w:rPr>
                        <w:rFonts w:ascii="Cambria Math" w:hAnsi="Cambria Math" w:cstheme="minorHAnsi"/>
                        <w:sz w:val="20"/>
                        <w:szCs w:val="20"/>
                      </w:rPr>
                      <m:t>0</m:t>
                    </m:r>
                  </m:sub>
                </m:sSub>
              </m:oMath>
            </m:oMathPara>
          </w:p>
        </w:tc>
        <w:tc>
          <w:tcPr>
            <w:tcW w:w="2552" w:type="dxa"/>
            <w:vAlign w:val="center"/>
          </w:tcPr>
          <w:p w14:paraId="293FB103" w14:textId="77777777" w:rsidR="008D3DAC" w:rsidRPr="00BC1A41" w:rsidRDefault="008D3DAC" w:rsidP="00BC1A41">
            <w:pPr>
              <w:spacing w:before="40" w:after="40"/>
              <w:jc w:val="center"/>
              <w:rPr>
                <w:rFonts w:asciiTheme="minorHAnsi" w:hAnsiTheme="minorHAnsi" w:cstheme="minorHAnsi"/>
                <w:bCs/>
                <w:sz w:val="20"/>
                <w:szCs w:val="20"/>
              </w:rPr>
            </w:pPr>
            <w:r w:rsidRPr="00BC1A41">
              <w:rPr>
                <w:rFonts w:asciiTheme="minorHAnsi" w:hAnsiTheme="minorHAnsi" w:cstheme="minorHAnsi"/>
                <w:bCs/>
                <w:sz w:val="20"/>
                <w:szCs w:val="20"/>
              </w:rPr>
              <w:t>0,06</w:t>
            </w:r>
          </w:p>
        </w:tc>
      </w:tr>
      <w:tr w:rsidR="008D3DAC" w:rsidRPr="00566D6A" w14:paraId="73DA6927" w14:textId="77777777" w:rsidTr="00BC1A41">
        <w:trPr>
          <w:jc w:val="center"/>
        </w:trPr>
        <w:tc>
          <w:tcPr>
            <w:tcW w:w="2835" w:type="dxa"/>
            <w:vAlign w:val="center"/>
          </w:tcPr>
          <w:p w14:paraId="5DFC6827" w14:textId="63A3CFE9" w:rsidR="008D3DAC" w:rsidRPr="00BC1A41" w:rsidRDefault="0088072F" w:rsidP="00BC1A41">
            <w:pPr>
              <w:spacing w:before="40" w:after="40"/>
              <w:jc w:val="center"/>
              <w:rPr>
                <w:rFonts w:asciiTheme="minorHAnsi" w:hAnsiTheme="minorHAnsi" w:cstheme="minorHAnsi"/>
                <w:bCs/>
                <w:sz w:val="20"/>
                <w:szCs w:val="20"/>
              </w:rPr>
            </w:pPr>
            <m:oMathPara>
              <m:oMath>
                <m:sSub>
                  <m:sSubPr>
                    <m:ctrlPr>
                      <w:rPr>
                        <w:rFonts w:ascii="Cambria Math" w:hAnsi="Cambria Math" w:cstheme="minorHAnsi"/>
                        <w:bCs/>
                        <w:i/>
                        <w:sz w:val="20"/>
                        <w:szCs w:val="20"/>
                      </w:rPr>
                    </m:ctrlPr>
                  </m:sSubPr>
                  <m:e>
                    <m:r>
                      <w:rPr>
                        <w:rFonts w:ascii="Cambria Math" w:hAnsi="Cambria Math" w:cstheme="minorHAnsi"/>
                        <w:sz w:val="20"/>
                        <w:szCs w:val="20"/>
                      </w:rPr>
                      <m:t>t</m:t>
                    </m:r>
                  </m:e>
                  <m:sub>
                    <m:r>
                      <w:rPr>
                        <w:rFonts w:ascii="Cambria Math" w:hAnsi="Cambria Math" w:cstheme="minorHAnsi"/>
                        <w:sz w:val="20"/>
                        <w:szCs w:val="20"/>
                      </w:rPr>
                      <m:t>0</m:t>
                    </m:r>
                  </m:sub>
                </m:sSub>
              </m:oMath>
            </m:oMathPara>
          </w:p>
        </w:tc>
        <w:tc>
          <w:tcPr>
            <w:tcW w:w="2552" w:type="dxa"/>
            <w:vAlign w:val="center"/>
          </w:tcPr>
          <w:p w14:paraId="37347E34" w14:textId="77777777" w:rsidR="008D3DAC" w:rsidRPr="00BC1A41" w:rsidRDefault="008D3DAC" w:rsidP="00BC1A41">
            <w:pPr>
              <w:spacing w:before="40" w:after="40"/>
              <w:jc w:val="center"/>
              <w:rPr>
                <w:rFonts w:asciiTheme="minorHAnsi" w:hAnsiTheme="minorHAnsi" w:cstheme="minorHAnsi"/>
                <w:bCs/>
                <w:sz w:val="20"/>
                <w:szCs w:val="20"/>
              </w:rPr>
            </w:pPr>
            <w:r w:rsidRPr="00BC1A41">
              <w:rPr>
                <w:rFonts w:asciiTheme="minorHAnsi" w:hAnsiTheme="minorHAnsi" w:cstheme="minorHAnsi"/>
                <w:bCs/>
                <w:sz w:val="20"/>
                <w:szCs w:val="20"/>
              </w:rPr>
              <w:t>0,27</w:t>
            </w:r>
          </w:p>
        </w:tc>
      </w:tr>
    </w:tbl>
    <w:p w14:paraId="1D00FC53" w14:textId="77777777" w:rsidR="00D84C43" w:rsidRDefault="00D84C43" w:rsidP="00BC1A41">
      <w:pPr>
        <w:spacing w:after="0"/>
        <w:rPr>
          <w:b/>
          <w:bCs/>
        </w:rPr>
      </w:pPr>
    </w:p>
    <w:p w14:paraId="33B4B4DE" w14:textId="77777777" w:rsidR="00084018" w:rsidRPr="007A50E9" w:rsidRDefault="007A50E9" w:rsidP="007A50E9">
      <w:pPr>
        <w:pStyle w:val="Ttulo3"/>
      </w:pPr>
      <w:bookmarkStart w:id="570" w:name="_Toc39797905"/>
      <w:r w:rsidRPr="007A50E9">
        <w:t>Determinación de coeficientes de la fórmula de indexación</w:t>
      </w:r>
      <w:bookmarkEnd w:id="570"/>
    </w:p>
    <w:p w14:paraId="368B6D82" w14:textId="4C7BE211" w:rsidR="00084018" w:rsidRPr="000734F6" w:rsidRDefault="00084018" w:rsidP="00084018">
      <w:pPr>
        <w:rPr>
          <w:highlight w:val="yellow"/>
        </w:rPr>
      </w:pPr>
      <w:r w:rsidRPr="00B919A9">
        <w:t>El punto 3.10 de las Bases se refiere a la estructuración de las fórmulas de indexac</w:t>
      </w:r>
      <w:r w:rsidR="00454199">
        <w:t xml:space="preserve">ión del V.A.T.T. de cada tramo </w:t>
      </w:r>
      <m:oMath>
        <m:r>
          <w:rPr>
            <w:rFonts w:ascii="Cambria Math" w:hAnsi="Cambria Math"/>
          </w:rPr>
          <m:t>n</m:t>
        </m:r>
      </m:oMath>
      <w:r w:rsidRPr="00B919A9">
        <w:t xml:space="preserve"> del sistema a valorizar, estableciendo los indexadores correspondientes, a saber, IPC nacional para indexar componentes de costo de inversión y explotación relacionados con bienes o insumos nacionales, y CPI para bienes o insumos importados. De esta forma, y en lo básico, corresponde al Consultor determinar lo pesos relativos de las respectivas partidas de costo que serán indexadas conforme a la variación de estos índices.</w:t>
      </w:r>
    </w:p>
    <w:p w14:paraId="1DF4EB4C" w14:textId="6D269C7F" w:rsidR="00084018" w:rsidRDefault="00084018" w:rsidP="00084018">
      <w:r w:rsidRPr="00B919A9">
        <w:t>El literal a) del punto 3.10 solicita que, para estructurar fórmulas de indexación de los tramos a valorizar, éstas se analicen -y/o</w:t>
      </w:r>
      <w:r>
        <w:t xml:space="preserve"> diseñen eventualmente- considerando tipos de tramos -tramos de transporte y de subestación- y por nivel de tensión. Respecto a la definición de las fórmulas, el Consultor desarrolló su propuesta considerando la estructuración de una fórmula</w:t>
      </w:r>
      <w:r w:rsidR="00454199">
        <w:t xml:space="preserve"> de indexación para cada tramo </w:t>
      </w:r>
      <m:oMath>
        <m:r>
          <w:rPr>
            <w:rFonts w:ascii="Cambria Math" w:hAnsi="Cambria Math"/>
          </w:rPr>
          <m:t>n</m:t>
        </m:r>
      </m:oMath>
      <w:r>
        <w:t>, con prescindencia de la posibilidad de tipificarlos y/o agruparlos, por considerar esto último una simplificación que resulta en una pérdida de precisión eventualmente innecesaria</w:t>
      </w:r>
      <w:r>
        <w:rPr>
          <w:rStyle w:val="Refdenotaalpie"/>
        </w:rPr>
        <w:footnoteReference w:id="55"/>
      </w:r>
      <w:r>
        <w:t>.</w:t>
      </w:r>
    </w:p>
    <w:p w14:paraId="57F378A2" w14:textId="1416C509" w:rsidR="00084018" w:rsidRDefault="00084018" w:rsidP="00084018">
      <w:r>
        <w:t xml:space="preserve">Conforme a lo anterior, los coeficientes </w:t>
      </w:r>
      <m:oMath>
        <m:sSub>
          <m:sSubPr>
            <m:ctrlPr>
              <w:rPr>
                <w:rFonts w:ascii="Cambria Math" w:hAnsi="Cambria Math"/>
              </w:rPr>
            </m:ctrlPr>
          </m:sSubPr>
          <m:e>
            <m:r>
              <w:rPr>
                <w:rFonts w:ascii="Cambria Math" w:hAnsi="Cambria Math"/>
              </w:rPr>
              <m:t>α</m:t>
            </m:r>
          </m:e>
          <m:sub>
            <m:r>
              <w:rPr>
                <w:rFonts w:ascii="Cambria Math" w:hAnsi="Cambria Math"/>
              </w:rPr>
              <m:t>j</m:t>
            </m:r>
          </m:sub>
        </m:sSub>
        <m:r>
          <w:rPr>
            <w:rFonts w:ascii="Cambria Math" w:hAnsi="Cambria Math"/>
          </w:rPr>
          <m:t xml:space="preserve">, </m:t>
        </m:r>
        <m:sSub>
          <m:sSubPr>
            <m:ctrlPr>
              <w:rPr>
                <w:rFonts w:ascii="Cambria Math" w:hAnsi="Cambria Math"/>
                <w:i/>
              </w:rPr>
            </m:ctrlPr>
          </m:sSubPr>
          <m:e>
            <m:r>
              <w:rPr>
                <w:rFonts w:ascii="Cambria Math" w:hAnsi="Cambria Math"/>
              </w:rPr>
              <m:t>β</m:t>
            </m:r>
          </m:e>
          <m:sub>
            <m:r>
              <w:rPr>
                <w:rFonts w:ascii="Cambria Math" w:hAnsi="Cambria Math"/>
              </w:rPr>
              <m:t>j</m:t>
            </m:r>
          </m:sub>
        </m:sSub>
        <m:r>
          <w:rPr>
            <w:rFonts w:ascii="Cambria Math" w:hAnsi="Cambria Math"/>
          </w:rPr>
          <m:t xml:space="preserve">, </m:t>
        </m:r>
        <m:sSub>
          <m:sSubPr>
            <m:ctrlPr>
              <w:rPr>
                <w:rFonts w:ascii="Cambria Math" w:hAnsi="Cambria Math"/>
                <w:i/>
              </w:rPr>
            </m:ctrlPr>
          </m:sSubPr>
          <m:e>
            <m:r>
              <w:rPr>
                <w:rFonts w:ascii="Cambria Math" w:hAnsi="Cambria Math"/>
              </w:rPr>
              <m:t>γ</m:t>
            </m:r>
          </m:e>
          <m:sub>
            <m:r>
              <w:rPr>
                <w:rFonts w:ascii="Cambria Math" w:hAnsi="Cambria Math"/>
              </w:rPr>
              <m:t>j</m:t>
            </m:r>
          </m:sub>
        </m:sSub>
      </m:oMath>
      <w:r w:rsidR="00454199">
        <w:t xml:space="preserve"> y </w:t>
      </w:r>
      <m:oMath>
        <m:sSub>
          <m:sSubPr>
            <m:ctrlPr>
              <w:rPr>
                <w:rFonts w:ascii="Cambria Math" w:hAnsi="Cambria Math"/>
                <w:i/>
              </w:rPr>
            </m:ctrlPr>
          </m:sSubPr>
          <m:e>
            <m:r>
              <w:rPr>
                <w:rFonts w:ascii="Cambria Math" w:hAnsi="Cambria Math"/>
              </w:rPr>
              <m:t>δ</m:t>
            </m:r>
          </m:e>
          <m:sub>
            <m:r>
              <w:rPr>
                <w:rFonts w:ascii="Cambria Math" w:hAnsi="Cambria Math"/>
              </w:rPr>
              <m:t>j</m:t>
            </m:r>
          </m:sub>
        </m:sSub>
      </m:oMath>
      <w:r w:rsidR="00454199">
        <w:t xml:space="preserve"> </w:t>
      </w:r>
      <w:r>
        <w:t>de la fórmula de indexación resultan directamente de establecer para cada tramo las componentes de costo nacional e importado tanto en el A.V.I. como en el A.E.I.R</w:t>
      </w:r>
      <w:r w:rsidR="00454199">
        <w:t>.</w:t>
      </w:r>
      <w:r>
        <w:t xml:space="preserve">, y consecuentemente su proporción o peso </w:t>
      </w:r>
      <w:r w:rsidR="00FB56A2">
        <w:t xml:space="preserve">relativo </w:t>
      </w:r>
      <w:r>
        <w:t>en el V.A.T.T.</w:t>
      </w:r>
    </w:p>
    <w:p w14:paraId="3267B745" w14:textId="5928E8AF" w:rsidR="00216EF8" w:rsidRDefault="00216EF8" w:rsidP="00084018">
      <w:r>
        <w:t>El resultado de este tratamiento se presenta</w:t>
      </w:r>
      <w:r w:rsidR="0059056D">
        <w:t xml:space="preserve"> y detalla</w:t>
      </w:r>
      <w:r>
        <w:t xml:space="preserve"> en el </w:t>
      </w:r>
      <w:r w:rsidR="00454199">
        <w:t>“</w:t>
      </w:r>
      <w:r w:rsidR="00B503EE" w:rsidRPr="00B503EE">
        <w:t>Anexo VATT_2_Resultados VATT</w:t>
      </w:r>
      <w:r w:rsidR="00454199">
        <w:t>”</w:t>
      </w:r>
      <w:r w:rsidR="00B503EE">
        <w:t>.</w:t>
      </w:r>
    </w:p>
    <w:p w14:paraId="0E7460ED" w14:textId="01B9CB20" w:rsidR="00724344" w:rsidRPr="00E81133" w:rsidRDefault="00FB56A2" w:rsidP="00E81133">
      <w:pPr>
        <w:pStyle w:val="Ttulo2"/>
      </w:pPr>
      <w:bookmarkStart w:id="571" w:name="_Toc39797906"/>
      <w:r w:rsidRPr="00E81133">
        <w:t xml:space="preserve">Referenciación de Precios a </w:t>
      </w:r>
      <w:r w:rsidR="00E81133">
        <w:t>d</w:t>
      </w:r>
      <w:r w:rsidRPr="00E81133">
        <w:t>iciembre de 2017. Deflactores</w:t>
      </w:r>
      <w:bookmarkEnd w:id="571"/>
    </w:p>
    <w:p w14:paraId="21B72B35" w14:textId="77777777" w:rsidR="007E5B28" w:rsidRPr="007E5B28" w:rsidRDefault="007E5B28" w:rsidP="007E5B28">
      <w:pPr>
        <w:pStyle w:val="Ttulo3"/>
      </w:pPr>
      <w:bookmarkStart w:id="572" w:name="_Toc39797907"/>
      <w:r w:rsidRPr="007E5B28">
        <w:t>Consideraciones Previas</w:t>
      </w:r>
      <w:bookmarkEnd w:id="572"/>
    </w:p>
    <w:p w14:paraId="0B015232" w14:textId="0A05F75F" w:rsidR="007E5B28" w:rsidRDefault="007E5B28" w:rsidP="007E5B28">
      <w:r>
        <w:t xml:space="preserve">Las Bases instruyen que el V.A.T.T. sea expresado en </w:t>
      </w:r>
      <w:r w:rsidR="00204436">
        <w:t>USD</w:t>
      </w:r>
      <w:r>
        <w:t xml:space="preserve"> de diciembre de 2017. Como los valores de mercado obtenidos por el Consultor corresponden a valores cotizados durante el segundo </w:t>
      </w:r>
      <w:r>
        <w:lastRenderedPageBreak/>
        <w:t>semestre de 2019, se propuso en el Informe de Avance N°1 que los mismos sean expresados en dólares según la variación del CPI para las componentes de costo importadas, y según la de IPC para las componentes de costo nacionales, que estos indicadores presentan entre diciembre de 2017 y el mes correspondiente al valor cotizado.</w:t>
      </w:r>
    </w:p>
    <w:p w14:paraId="4CBAF5A5" w14:textId="68783761" w:rsidR="007E5B28" w:rsidRDefault="007E5B28" w:rsidP="007E5B28">
      <w:r>
        <w:t>Lo anterior, además, resulta plenamente consistente con la fórmula de indexación establecida en las Bases para el V.A.T.T., la que establece al CPI y al IPC como los indicadores de reajuste de precios y/o costos importados y nacionales respectivamente</w:t>
      </w:r>
      <w:r>
        <w:rPr>
          <w:rStyle w:val="Refdenotaalpie"/>
        </w:rPr>
        <w:footnoteReference w:id="56"/>
      </w:r>
      <w:r>
        <w:t xml:space="preserve">. Como la fórmula de indexación incluye otros dos parámetros de variación de costo, a saber, la tasa de arancel aduanero, y la tasa de impuestos, y los mismos no experimentan variación entre diciembre de 2017 y el año 2019 -pues en la fórmula se establecen como valores base los que éstos han presentado durante 2019- basta en principio con utilizar consistentemente como </w:t>
      </w:r>
      <w:r w:rsidRPr="007829DB">
        <w:rPr>
          <w:i/>
          <w:iCs/>
        </w:rPr>
        <w:t>deflactor</w:t>
      </w:r>
      <w:r>
        <w:t xml:space="preserve"> en dólares -variación “hacia atrás”- las estructuras de variación hacia el futuro establecidas en la fórmula de indexación, y que son:</w:t>
      </w:r>
    </w:p>
    <w:tbl>
      <w:tblPr>
        <w:tblStyle w:val="Tablaconcuadrcula"/>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98"/>
        <w:gridCol w:w="4411"/>
      </w:tblGrid>
      <w:tr w:rsidR="00454199" w14:paraId="302C2694" w14:textId="77777777" w:rsidTr="00EB630F">
        <w:trPr>
          <w:jc w:val="center"/>
        </w:trPr>
        <w:tc>
          <w:tcPr>
            <w:tcW w:w="0" w:type="auto"/>
          </w:tcPr>
          <w:p w14:paraId="6D8C961B" w14:textId="4DAF6114" w:rsidR="00454199" w:rsidRDefault="0088072F" w:rsidP="00454199">
            <m:oMathPara>
              <m:oMath>
                <m:sSub>
                  <m:sSubPr>
                    <m:ctrlPr>
                      <w:rPr>
                        <w:rFonts w:ascii="Cambria Math" w:hAnsi="Cambria Math"/>
                        <w:i/>
                      </w:rPr>
                    </m:ctrlPr>
                  </m:sSubPr>
                  <m:e>
                    <m:r>
                      <w:rPr>
                        <w:rFonts w:ascii="Cambria Math" w:hAnsi="Cambria Math"/>
                      </w:rPr>
                      <m:t>Valor</m:t>
                    </m:r>
                  </m:e>
                  <m:sub>
                    <m:r>
                      <w:rPr>
                        <w:rFonts w:ascii="Cambria Math" w:hAnsi="Cambria Math"/>
                      </w:rPr>
                      <m:t>k</m:t>
                    </m:r>
                  </m:sub>
                </m:sSub>
                <m:r>
                  <w:rPr>
                    <w:rFonts w:ascii="Cambria Math" w:hAnsi="Cambria Math"/>
                  </w:rPr>
                  <m:t>=</m:t>
                </m:r>
                <m:sSub>
                  <m:sSubPr>
                    <m:ctrlPr>
                      <w:rPr>
                        <w:rFonts w:ascii="Cambria Math" w:hAnsi="Cambria Math"/>
                        <w:i/>
                      </w:rPr>
                    </m:ctrlPr>
                  </m:sSubPr>
                  <m:e>
                    <m:r>
                      <w:rPr>
                        <w:rFonts w:ascii="Cambria Math" w:hAnsi="Cambria Math"/>
                      </w:rPr>
                      <m:t>Valor</m:t>
                    </m:r>
                  </m:e>
                  <m:sub>
                    <m:r>
                      <w:rPr>
                        <w:rFonts w:ascii="Cambria Math" w:hAnsi="Cambria Math"/>
                      </w:rPr>
                      <m:t>0</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IPC</m:t>
                        </m:r>
                      </m:e>
                      <m:sub>
                        <m:r>
                          <w:rPr>
                            <w:rFonts w:ascii="Cambria Math" w:hAnsi="Cambria Math"/>
                          </w:rPr>
                          <m:t>k</m:t>
                        </m:r>
                      </m:sub>
                    </m:sSub>
                  </m:num>
                  <m:den>
                    <m:sSub>
                      <m:sSubPr>
                        <m:ctrlPr>
                          <w:rPr>
                            <w:rFonts w:ascii="Cambria Math" w:hAnsi="Cambria Math"/>
                            <w:i/>
                          </w:rPr>
                        </m:ctrlPr>
                      </m:sSubPr>
                      <m:e>
                        <m:r>
                          <w:rPr>
                            <w:rFonts w:ascii="Cambria Math" w:hAnsi="Cambria Math"/>
                          </w:rPr>
                          <m:t>IPC</m:t>
                        </m:r>
                      </m:e>
                      <m:sub>
                        <m:r>
                          <w:rPr>
                            <w:rFonts w:ascii="Cambria Math" w:hAnsi="Cambria Math"/>
                          </w:rPr>
                          <m:t>0</m:t>
                        </m:r>
                      </m:sub>
                    </m:sSub>
                  </m:den>
                </m:f>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DOL</m:t>
                        </m:r>
                      </m:e>
                      <m:sub>
                        <m:r>
                          <w:rPr>
                            <w:rFonts w:ascii="Cambria Math" w:hAnsi="Cambria Math"/>
                          </w:rPr>
                          <m:t>0</m:t>
                        </m:r>
                      </m:sub>
                    </m:sSub>
                  </m:num>
                  <m:den>
                    <m:sSub>
                      <m:sSubPr>
                        <m:ctrlPr>
                          <w:rPr>
                            <w:rFonts w:ascii="Cambria Math" w:hAnsi="Cambria Math"/>
                            <w:i/>
                          </w:rPr>
                        </m:ctrlPr>
                      </m:sSubPr>
                      <m:e>
                        <m:r>
                          <w:rPr>
                            <w:rFonts w:ascii="Cambria Math" w:hAnsi="Cambria Math"/>
                          </w:rPr>
                          <m:t>DO</m:t>
                        </m:r>
                        <m:r>
                          <w:rPr>
                            <w:rFonts w:ascii="Cambria Math" w:hAnsi="Cambria Math"/>
                          </w:rPr>
                          <m:t>L</m:t>
                        </m:r>
                      </m:e>
                      <m:sub>
                        <m:r>
                          <w:rPr>
                            <w:rFonts w:ascii="Cambria Math" w:hAnsi="Cambria Math"/>
                          </w:rPr>
                          <m:t>k</m:t>
                        </m:r>
                      </m:sub>
                    </m:sSub>
                  </m:den>
                </m:f>
              </m:oMath>
            </m:oMathPara>
          </w:p>
        </w:tc>
        <w:tc>
          <w:tcPr>
            <w:tcW w:w="0" w:type="auto"/>
          </w:tcPr>
          <w:p w14:paraId="45678A29" w14:textId="48B45256" w:rsidR="00454199" w:rsidRDefault="00454199" w:rsidP="007E5B28">
            <w:r w:rsidRPr="00FC367A">
              <w:t xml:space="preserve">para </w:t>
            </w:r>
            <w:r>
              <w:t>los costos de recursos nacionales; (1)</w:t>
            </w:r>
          </w:p>
        </w:tc>
      </w:tr>
      <w:tr w:rsidR="00454199" w14:paraId="0CD12F17" w14:textId="77777777" w:rsidTr="00EB630F">
        <w:trPr>
          <w:jc w:val="center"/>
        </w:trPr>
        <w:tc>
          <w:tcPr>
            <w:tcW w:w="0" w:type="auto"/>
          </w:tcPr>
          <w:p w14:paraId="28D0D3E2" w14:textId="6E450677" w:rsidR="00454199" w:rsidRDefault="0088072F" w:rsidP="007E5B28">
            <m:oMathPara>
              <m:oMath>
                <m:sSub>
                  <m:sSubPr>
                    <m:ctrlPr>
                      <w:rPr>
                        <w:rFonts w:ascii="Cambria Math" w:hAnsi="Cambria Math"/>
                        <w:i/>
                      </w:rPr>
                    </m:ctrlPr>
                  </m:sSubPr>
                  <m:e>
                    <m:r>
                      <w:rPr>
                        <w:rFonts w:ascii="Cambria Math" w:hAnsi="Cambria Math"/>
                      </w:rPr>
                      <m:t>Valor</m:t>
                    </m:r>
                  </m:e>
                  <m:sub>
                    <m:r>
                      <w:rPr>
                        <w:rFonts w:ascii="Cambria Math" w:hAnsi="Cambria Math"/>
                      </w:rPr>
                      <m:t>k</m:t>
                    </m:r>
                  </m:sub>
                </m:sSub>
                <m:r>
                  <w:rPr>
                    <w:rFonts w:ascii="Cambria Math" w:hAnsi="Cambria Math"/>
                  </w:rPr>
                  <m:t>=</m:t>
                </m:r>
                <m:sSub>
                  <m:sSubPr>
                    <m:ctrlPr>
                      <w:rPr>
                        <w:rFonts w:ascii="Cambria Math" w:hAnsi="Cambria Math"/>
                        <w:i/>
                      </w:rPr>
                    </m:ctrlPr>
                  </m:sSubPr>
                  <m:e>
                    <m:r>
                      <w:rPr>
                        <w:rFonts w:ascii="Cambria Math" w:hAnsi="Cambria Math"/>
                      </w:rPr>
                      <m:t>Valor</m:t>
                    </m:r>
                  </m:e>
                  <m:sub>
                    <m:r>
                      <w:rPr>
                        <w:rFonts w:ascii="Cambria Math" w:hAnsi="Cambria Math"/>
                      </w:rPr>
                      <m:t>0</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CPI</m:t>
                        </m:r>
                      </m:e>
                      <m:sub>
                        <m:r>
                          <w:rPr>
                            <w:rFonts w:ascii="Cambria Math" w:hAnsi="Cambria Math"/>
                          </w:rPr>
                          <m:t>k</m:t>
                        </m:r>
                      </m:sub>
                    </m:sSub>
                  </m:num>
                  <m:den>
                    <m:sSub>
                      <m:sSubPr>
                        <m:ctrlPr>
                          <w:rPr>
                            <w:rFonts w:ascii="Cambria Math" w:hAnsi="Cambria Math"/>
                            <w:i/>
                          </w:rPr>
                        </m:ctrlPr>
                      </m:sSubPr>
                      <m:e>
                        <m:r>
                          <w:rPr>
                            <w:rFonts w:ascii="Cambria Math" w:hAnsi="Cambria Math"/>
                          </w:rPr>
                          <m:t>CPI</m:t>
                        </m:r>
                      </m:e>
                      <m:sub>
                        <m:r>
                          <w:rPr>
                            <w:rFonts w:ascii="Cambria Math" w:hAnsi="Cambria Math"/>
                          </w:rPr>
                          <m:t>0</m:t>
                        </m:r>
                      </m:sub>
                    </m:sSub>
                  </m:den>
                </m:f>
              </m:oMath>
            </m:oMathPara>
          </w:p>
        </w:tc>
        <w:tc>
          <w:tcPr>
            <w:tcW w:w="0" w:type="auto"/>
          </w:tcPr>
          <w:p w14:paraId="6E5D4FF4" w14:textId="2219BF85" w:rsidR="00454199" w:rsidRDefault="00454199" w:rsidP="007E5B28">
            <w:r w:rsidRPr="00FC367A">
              <w:t>para los costos de recursos importados</w:t>
            </w:r>
            <w:r>
              <w:t>; (2)</w:t>
            </w:r>
          </w:p>
        </w:tc>
      </w:tr>
    </w:tbl>
    <w:p w14:paraId="7ABF3594" w14:textId="56D42C3A" w:rsidR="007E5B28" w:rsidRDefault="007E5B28" w:rsidP="00454199">
      <w:r>
        <w:t xml:space="preserve">La definición consistente de un deflactor que utilice las señaladas estructuras de variación debe permitir que el valor determinado con él a diciembre de 2017, otorgue el valor de cotización a 2019 cuando sobre dicho valor se aplica -o se aplique- la fórmula de indexación indicada en las Bases. Para lograr plena consistencia, los valores base de los deflactores deben considerar los mismos valores base de la fórmula de indexación, valores que, como se vio en el punto </w:t>
      </w:r>
      <w:r w:rsidR="00B51BAA">
        <w:t>anterior</w:t>
      </w:r>
      <w:r>
        <w:t>, corresponden a valores a octubre de 2017.</w:t>
      </w:r>
    </w:p>
    <w:p w14:paraId="14776E12" w14:textId="77777777" w:rsidR="007E5B28" w:rsidRPr="001C1142" w:rsidRDefault="007E5B28" w:rsidP="007E5B28">
      <w:r>
        <w:t xml:space="preserve">Sin embargo, debe acogerse la instrucción contenida en </w:t>
      </w:r>
      <w:r w:rsidRPr="001C1142">
        <w:t xml:space="preserve">punto I del Capítulo II de las Bases, </w:t>
      </w:r>
      <w:r>
        <w:t xml:space="preserve">la </w:t>
      </w:r>
      <w:r w:rsidRPr="001C1142">
        <w:t>que señala:</w:t>
      </w:r>
    </w:p>
    <w:p w14:paraId="44C67364" w14:textId="77777777" w:rsidR="007E5B28" w:rsidRPr="00975191" w:rsidRDefault="00891F98" w:rsidP="00975191">
      <w:pPr>
        <w:rPr>
          <w:i/>
        </w:rPr>
      </w:pPr>
      <w:r w:rsidRPr="00975191">
        <w:rPr>
          <w:i/>
        </w:rPr>
        <w:t>“</w:t>
      </w:r>
      <w:r w:rsidR="007E5B28" w:rsidRPr="00975191">
        <w:rPr>
          <w:i/>
        </w:rPr>
        <w:t>Todos los costos y precios relacionados con los Estudios, utilizados tanto en los resultados finales como en las etapas intermedias, deberán expresarse en dólares de Estados Unidos de América. Particularmente para referir los valores de componentes nacionales, originalmente expresados en pesos, se deberá considerar su valor al 31 de diciembre de 2017 y posteriormente su equivalencia en dólares, utilizando para ello el valor promedio mensual del dólar observado publicado por el Banco Central para el mes de diciembre de 2017</w:t>
      </w:r>
      <w:r w:rsidRPr="00975191">
        <w:rPr>
          <w:i/>
        </w:rPr>
        <w:t>”</w:t>
      </w:r>
      <w:r w:rsidR="007E5B28" w:rsidRPr="00975191">
        <w:rPr>
          <w:i/>
        </w:rPr>
        <w:t>.</w:t>
      </w:r>
    </w:p>
    <w:p w14:paraId="0C45AEC7" w14:textId="77777777" w:rsidR="007E5B28" w:rsidRDefault="007E5B28" w:rsidP="007E5B28">
      <w:r>
        <w:lastRenderedPageBreak/>
        <w:t>Vista esta disposición de las Bases, el Consultor ha optado por la utilización de deflactores con base en diciembre de 2017, esto es, considerando el valor del IPC y tasa de cambio a diciembre de 2017 para componentes de costo nacional, conforme lo ordena la señalada disposición de las Bases, y el valor del CPI también a diciembre de 2017 en consistencia con ella</w:t>
      </w:r>
      <w:r>
        <w:rPr>
          <w:rStyle w:val="Refdenotaalpie"/>
        </w:rPr>
        <w:footnoteReference w:id="57"/>
      </w:r>
      <w:r>
        <w:t xml:space="preserve">.  </w:t>
      </w:r>
    </w:p>
    <w:p w14:paraId="684ECDE6" w14:textId="77777777" w:rsidR="007E5B28" w:rsidRDefault="007E5B28" w:rsidP="007E5B28">
      <w:r w:rsidRPr="00BF3988">
        <w:t>De esta</w:t>
      </w:r>
      <w:r>
        <w:t xml:space="preserve"> forma, se determinan los deflactores para componentes de costo nacional y para componentes de costo importados como:</w:t>
      </w:r>
      <w:r w:rsidRPr="00BF3988">
        <w:t xml:space="preserve"> </w:t>
      </w:r>
    </w:p>
    <w:p w14:paraId="323DE6F1" w14:textId="77777777" w:rsidR="007E5B28" w:rsidRDefault="007E5B28" w:rsidP="00273FE4">
      <w:pPr>
        <w:numPr>
          <w:ilvl w:val="0"/>
          <w:numId w:val="77"/>
        </w:numPr>
        <w:spacing w:line="240" w:lineRule="auto"/>
        <w:ind w:left="567" w:hanging="567"/>
      </w:pPr>
      <w:r w:rsidRPr="00540E3A">
        <w:rPr>
          <w:b/>
        </w:rPr>
        <w:t>Deflactor de Costo Nacional</w:t>
      </w:r>
      <w:r>
        <w:t>: A aplicar en forma multiplicativa sobre componentes de costo nacional cotizado pesos en el mes k del año 2019.</w:t>
      </w:r>
    </w:p>
    <w:p w14:paraId="7FEB9F84" w14:textId="77777777" w:rsidR="007E5B28" w:rsidRPr="00BF3988" w:rsidRDefault="00537CA4" w:rsidP="00537CA4">
      <w:pPr>
        <w:jc w:val="center"/>
      </w:pPr>
      <m:oMathPara>
        <m:oMath>
          <m:r>
            <w:rPr>
              <w:rFonts w:ascii="Cambria Math"/>
            </w:rPr>
            <m:t>DeflactNa</m:t>
          </m:r>
          <m:sSub>
            <m:sSubPr>
              <m:ctrlPr>
                <w:rPr>
                  <w:rFonts w:ascii="Cambria Math" w:hAnsi="Cambria Math"/>
                  <w:i/>
                </w:rPr>
              </m:ctrlPr>
            </m:sSubPr>
            <m:e>
              <m:r>
                <w:rPr>
                  <w:rFonts w:ascii="Cambria Math"/>
                </w:rPr>
                <m:t>c</m:t>
              </m:r>
            </m:e>
            <m:sub>
              <m:r>
                <w:rPr>
                  <w:rFonts w:ascii="Cambria Math"/>
                </w:rPr>
                <m:t>k</m:t>
              </m:r>
            </m:sub>
          </m:sSub>
          <m:r>
            <w:rPr>
              <w:rFonts w:ascii="Cambria Math"/>
            </w:rPr>
            <m:t>=</m:t>
          </m:r>
          <m:f>
            <m:fPr>
              <m:ctrlPr>
                <w:rPr>
                  <w:rFonts w:ascii="Cambria Math" w:hAnsi="Cambria Math"/>
                  <w:i/>
                </w:rPr>
              </m:ctrlPr>
            </m:fPr>
            <m:num>
              <m:r>
                <w:rPr>
                  <w:rFonts w:ascii="Cambria Math"/>
                </w:rPr>
                <m:t>IP</m:t>
              </m:r>
              <m:sSub>
                <m:sSubPr>
                  <m:ctrlPr>
                    <w:rPr>
                      <w:rFonts w:ascii="Cambria Math" w:hAnsi="Cambria Math"/>
                      <w:i/>
                    </w:rPr>
                  </m:ctrlPr>
                </m:sSubPr>
                <m:e>
                  <m:r>
                    <w:rPr>
                      <w:rFonts w:ascii="Cambria Math"/>
                    </w:rPr>
                    <m:t>C</m:t>
                  </m:r>
                </m:e>
                <m:sub>
                  <m:r>
                    <w:rPr>
                      <w:rFonts w:ascii="Cambria Math"/>
                    </w:rPr>
                    <m:t>dic2017</m:t>
                  </m:r>
                </m:sub>
              </m:sSub>
            </m:num>
            <m:den>
              <m:r>
                <w:rPr>
                  <w:rFonts w:ascii="Cambria Math"/>
                </w:rPr>
                <m:t>IP</m:t>
              </m:r>
              <m:sSub>
                <m:sSubPr>
                  <m:ctrlPr>
                    <w:rPr>
                      <w:rFonts w:ascii="Cambria Math" w:hAnsi="Cambria Math"/>
                      <w:i/>
                    </w:rPr>
                  </m:ctrlPr>
                </m:sSubPr>
                <m:e>
                  <m:r>
                    <w:rPr>
                      <w:rFonts w:ascii="Cambria Math"/>
                    </w:rPr>
                    <m:t>C</m:t>
                  </m:r>
                </m:e>
                <m:sub>
                  <m:r>
                    <w:rPr>
                      <w:rFonts w:ascii="Cambria Math"/>
                    </w:rPr>
                    <m:t>k</m:t>
                  </m:r>
                </m:sub>
              </m:sSub>
            </m:den>
          </m:f>
          <m:r>
            <w:rPr>
              <w:rFonts w:ascii="Cambria Math"/>
            </w:rPr>
            <m:t>×</m:t>
          </m:r>
          <m:f>
            <m:fPr>
              <m:ctrlPr>
                <w:rPr>
                  <w:rFonts w:ascii="Cambria Math" w:hAnsi="Cambria Math"/>
                  <w:i/>
                </w:rPr>
              </m:ctrlPr>
            </m:fPr>
            <m:num>
              <m:r>
                <w:rPr>
                  <w:rFonts w:ascii="Cambria Math"/>
                </w:rPr>
                <m:t>1</m:t>
              </m:r>
            </m:num>
            <m:den>
              <m:r>
                <w:rPr>
                  <w:rFonts w:ascii="Cambria Math"/>
                </w:rPr>
                <m:t>DO</m:t>
              </m:r>
              <m:sSub>
                <m:sSubPr>
                  <m:ctrlPr>
                    <w:rPr>
                      <w:rFonts w:ascii="Cambria Math" w:hAnsi="Cambria Math"/>
                      <w:i/>
                    </w:rPr>
                  </m:ctrlPr>
                </m:sSubPr>
                <m:e>
                  <m:r>
                    <w:rPr>
                      <w:rFonts w:ascii="Cambria Math"/>
                    </w:rPr>
                    <m:t>L</m:t>
                  </m:r>
                </m:e>
                <m:sub>
                  <m:r>
                    <w:rPr>
                      <w:rFonts w:ascii="Cambria Math"/>
                    </w:rPr>
                    <m:t>dic2017</m:t>
                  </m:r>
                </m:sub>
              </m:sSub>
            </m:den>
          </m:f>
        </m:oMath>
      </m:oMathPara>
    </w:p>
    <w:p w14:paraId="0D5374D5" w14:textId="77777777" w:rsidR="007E5B28" w:rsidRPr="00BC1A41" w:rsidRDefault="007E5B28" w:rsidP="00273FE4">
      <w:pPr>
        <w:numPr>
          <w:ilvl w:val="0"/>
          <w:numId w:val="77"/>
        </w:numPr>
        <w:spacing w:line="240" w:lineRule="auto"/>
        <w:ind w:left="567" w:hanging="567"/>
        <w:rPr>
          <w:bCs/>
        </w:rPr>
      </w:pPr>
      <w:r>
        <w:rPr>
          <w:b/>
        </w:rPr>
        <w:t xml:space="preserve">Deflactor de Costo Importado: </w:t>
      </w:r>
      <w:r w:rsidRPr="00BC1A41">
        <w:rPr>
          <w:bCs/>
        </w:rPr>
        <w:t>A aplicar en forma multiplicativa sobre componentes de costo importado cotizado en dólares en el mes k del año 2019.</w:t>
      </w:r>
    </w:p>
    <w:p w14:paraId="370CF3BC" w14:textId="77777777" w:rsidR="007E5B28" w:rsidRDefault="0088072F" w:rsidP="00A1588E">
      <w:pPr>
        <w:spacing w:after="120"/>
        <w:jc w:val="center"/>
      </w:pPr>
      <m:oMathPara>
        <m:oMath>
          <m:sSub>
            <m:sSubPr>
              <m:ctrlPr>
                <w:rPr>
                  <w:rFonts w:ascii="Cambria Math" w:hAnsi="Cambria Math"/>
                  <w:i/>
                </w:rPr>
              </m:ctrlPr>
            </m:sSubPr>
            <m:e>
              <m:r>
                <w:rPr>
                  <w:rFonts w:ascii="Cambria Math"/>
                </w:rPr>
                <m:t>DeflactImp</m:t>
              </m:r>
            </m:e>
            <m:sub>
              <m:r>
                <w:rPr>
                  <w:rFonts w:ascii="Cambria Math"/>
                </w:rPr>
                <m:t>k</m:t>
              </m:r>
            </m:sub>
          </m:sSub>
          <m:r>
            <w:rPr>
              <w:rFonts w:ascii="Cambria Math"/>
            </w:rPr>
            <m:t>=</m:t>
          </m:r>
          <m:f>
            <m:fPr>
              <m:ctrlPr>
                <w:rPr>
                  <w:rFonts w:ascii="Cambria Math" w:hAnsi="Cambria Math"/>
                  <w:i/>
                </w:rPr>
              </m:ctrlPr>
            </m:fPr>
            <m:num>
              <m:r>
                <w:rPr>
                  <w:rFonts w:ascii="Cambria Math"/>
                </w:rPr>
                <m:t>CP</m:t>
              </m:r>
              <m:sSub>
                <m:sSubPr>
                  <m:ctrlPr>
                    <w:rPr>
                      <w:rFonts w:ascii="Cambria Math" w:hAnsi="Cambria Math"/>
                      <w:i/>
                    </w:rPr>
                  </m:ctrlPr>
                </m:sSubPr>
                <m:e>
                  <m:r>
                    <w:rPr>
                      <w:rFonts w:ascii="Cambria Math"/>
                    </w:rPr>
                    <m:t>I</m:t>
                  </m:r>
                </m:e>
                <m:sub>
                  <m:r>
                    <w:rPr>
                      <w:rFonts w:ascii="Cambria Math"/>
                    </w:rPr>
                    <m:t>dic2017</m:t>
                  </m:r>
                </m:sub>
              </m:sSub>
            </m:num>
            <m:den>
              <m:r>
                <w:rPr>
                  <w:rFonts w:ascii="Cambria Math"/>
                </w:rPr>
                <m:t>CP</m:t>
              </m:r>
              <m:sSub>
                <m:sSubPr>
                  <m:ctrlPr>
                    <w:rPr>
                      <w:rFonts w:ascii="Cambria Math" w:hAnsi="Cambria Math"/>
                      <w:i/>
                    </w:rPr>
                  </m:ctrlPr>
                </m:sSubPr>
                <m:e>
                  <m:r>
                    <w:rPr>
                      <w:rFonts w:ascii="Cambria Math"/>
                    </w:rPr>
                    <m:t>I</m:t>
                  </m:r>
                </m:e>
                <m:sub>
                  <m:r>
                    <w:rPr>
                      <w:rFonts w:ascii="Cambria Math"/>
                    </w:rPr>
                    <m:t>k</m:t>
                  </m:r>
                </m:sub>
              </m:sSub>
            </m:den>
          </m:f>
        </m:oMath>
      </m:oMathPara>
    </w:p>
    <w:p w14:paraId="06EF40DA" w14:textId="77777777" w:rsidR="007E5B28" w:rsidRDefault="007E5B28" w:rsidP="007E5B28">
      <w:r>
        <w:t>La aplicación de estos deflactores sobre los respectivos componentes cotizados en pesos o dólares, entrega directamente el valor correspondiente en dólares a diciembre de 2017.</w:t>
      </w:r>
    </w:p>
    <w:p w14:paraId="0AAC1E4A" w14:textId="77777777" w:rsidR="007E5B28" w:rsidRPr="00464A14" w:rsidRDefault="007E5B28" w:rsidP="00464A14">
      <w:pPr>
        <w:pStyle w:val="Ttulo3"/>
      </w:pPr>
      <w:bookmarkStart w:id="573" w:name="_Ref38020607"/>
      <w:bookmarkStart w:id="574" w:name="_Toc39797908"/>
      <w:r w:rsidRPr="00464A14">
        <w:t>Deflactores</w:t>
      </w:r>
      <w:bookmarkEnd w:id="573"/>
      <w:bookmarkEnd w:id="574"/>
    </w:p>
    <w:p w14:paraId="0812B409" w14:textId="77777777" w:rsidR="007E5B28" w:rsidRDefault="00766532" w:rsidP="00A1588E">
      <w:pPr>
        <w:spacing w:after="120"/>
      </w:pPr>
      <w:r>
        <w:t>Conforme a lo señalado en el punto precedente</w:t>
      </w:r>
      <w:r w:rsidR="007E5B28">
        <w:t>, los deflactores a utilizar para referir o establecer en dólares de 20</w:t>
      </w:r>
      <w:r>
        <w:t>17 los valores cotizados en el e</w:t>
      </w:r>
      <w:r w:rsidR="007E5B28">
        <w:t>studio en el mes k, son los siguientes:</w:t>
      </w:r>
    </w:p>
    <w:p w14:paraId="509164C2" w14:textId="0D03E0BD" w:rsidR="005947B6" w:rsidRPr="00766532" w:rsidRDefault="003A0B8A" w:rsidP="003A0B8A">
      <w:pPr>
        <w:pStyle w:val="Subttulo"/>
        <w:rPr>
          <w:szCs w:val="22"/>
        </w:rPr>
      </w:pPr>
      <w:bookmarkStart w:id="575" w:name="_Toc39797977"/>
      <w:r w:rsidRPr="002F3394">
        <w:t xml:space="preserve">Tabla </w:t>
      </w:r>
      <w:fldSimple w:instr=" SEQ Tabla \* ARABIC ">
        <w:r w:rsidR="001F3E2E">
          <w:rPr>
            <w:noProof/>
          </w:rPr>
          <w:t>67</w:t>
        </w:r>
      </w:fldSimple>
      <w:r>
        <w:t>: Deflactores</w:t>
      </w:r>
      <w:bookmarkEnd w:id="575"/>
    </w:p>
    <w:tbl>
      <w:tblPr>
        <w:tblW w:w="0" w:type="auto"/>
        <w:jc w:val="center"/>
        <w:tblLayout w:type="fixed"/>
        <w:tblCellMar>
          <w:left w:w="57" w:type="dxa"/>
          <w:right w:w="57" w:type="dxa"/>
        </w:tblCellMar>
        <w:tblLook w:val="0000" w:firstRow="0" w:lastRow="0" w:firstColumn="0" w:lastColumn="0" w:noHBand="0" w:noVBand="0"/>
      </w:tblPr>
      <w:tblGrid>
        <w:gridCol w:w="1418"/>
        <w:gridCol w:w="2552"/>
        <w:gridCol w:w="2552"/>
      </w:tblGrid>
      <w:tr w:rsidR="003A0B8A" w:rsidRPr="00766532" w14:paraId="264A7877" w14:textId="77777777" w:rsidTr="00A1588E">
        <w:trPr>
          <w:tblHeader/>
          <w:jc w:val="center"/>
        </w:trPr>
        <w:tc>
          <w:tcPr>
            <w:tcW w:w="1418" w:type="dxa"/>
            <w:tcBorders>
              <w:top w:val="single" w:sz="4" w:space="0" w:color="auto"/>
              <w:left w:val="single" w:sz="4" w:space="0" w:color="auto"/>
              <w:bottom w:val="single" w:sz="4" w:space="0" w:color="auto"/>
              <w:right w:val="nil"/>
            </w:tcBorders>
            <w:shd w:val="clear" w:color="auto" w:fill="D9D9D9" w:themeFill="background1" w:themeFillShade="D9"/>
            <w:noWrap/>
            <w:vAlign w:val="center"/>
          </w:tcPr>
          <w:p w14:paraId="74D335BF" w14:textId="48834C6F" w:rsidR="003A0B8A" w:rsidRPr="00A1588E" w:rsidRDefault="003A0B8A" w:rsidP="00A1588E">
            <w:pPr>
              <w:spacing w:before="40" w:after="40" w:line="240" w:lineRule="auto"/>
              <w:jc w:val="center"/>
              <w:rPr>
                <w:rFonts w:cs="Calibri"/>
                <w:color w:val="000000"/>
                <w:sz w:val="20"/>
                <w:szCs w:val="20"/>
              </w:rPr>
            </w:pPr>
            <w:r w:rsidRPr="00A1588E">
              <w:rPr>
                <w:rFonts w:cs="Calibri"/>
                <w:b/>
                <w:color w:val="000000"/>
                <w:sz w:val="20"/>
                <w:szCs w:val="20"/>
              </w:rPr>
              <w:t>mes k</w:t>
            </w:r>
          </w:p>
        </w:tc>
        <w:tc>
          <w:tcPr>
            <w:tcW w:w="2552"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tcPr>
          <w:p w14:paraId="11DB893D" w14:textId="77777777" w:rsidR="003A0B8A" w:rsidRPr="00A1588E" w:rsidRDefault="003A0B8A" w:rsidP="00A1588E">
            <w:pPr>
              <w:spacing w:before="40" w:after="40" w:line="240" w:lineRule="auto"/>
              <w:jc w:val="center"/>
              <w:rPr>
                <w:rFonts w:cs="Calibri"/>
                <w:b/>
                <w:bCs/>
                <w:color w:val="000000"/>
                <w:sz w:val="20"/>
                <w:szCs w:val="20"/>
              </w:rPr>
            </w:pPr>
            <w:r w:rsidRPr="00A1588E">
              <w:rPr>
                <w:rFonts w:cs="Calibri"/>
                <w:b/>
                <w:bCs/>
                <w:color w:val="000000"/>
                <w:sz w:val="20"/>
                <w:szCs w:val="20"/>
              </w:rPr>
              <w:t>Deflactor Nacional</w:t>
            </w:r>
          </w:p>
          <w:p w14:paraId="65C1E755" w14:textId="52F2797A" w:rsidR="003A0B8A" w:rsidRPr="00A1588E" w:rsidRDefault="003A0B8A" w:rsidP="00A1588E">
            <w:pPr>
              <w:spacing w:before="40" w:after="40" w:line="240" w:lineRule="auto"/>
              <w:jc w:val="center"/>
              <w:rPr>
                <w:rFonts w:cs="Calibri"/>
                <w:b/>
                <w:bCs/>
                <w:color w:val="000000"/>
                <w:sz w:val="20"/>
                <w:szCs w:val="20"/>
              </w:rPr>
            </w:pPr>
            <w:r w:rsidRPr="00685E20">
              <w:rPr>
                <w:rFonts w:cs="Calibri"/>
                <w:color w:val="000000"/>
                <w:sz w:val="20"/>
                <w:szCs w:val="20"/>
                <w:lang w:val="es-AR"/>
              </w:rPr>
              <w:t xml:space="preserve">($ mes </w:t>
            </w:r>
            <m:oMath>
              <m:r>
                <w:rPr>
                  <w:rFonts w:ascii="Cambria Math" w:hAnsi="Cambria Math" w:cs="Calibri"/>
                  <w:color w:val="000000"/>
                  <w:sz w:val="20"/>
                  <w:szCs w:val="20"/>
                  <w:lang w:val="en-US"/>
                </w:rPr>
                <m:t>k</m:t>
              </m:r>
            </m:oMath>
            <w:r w:rsidRPr="00685E20">
              <w:rPr>
                <w:rFonts w:cs="Calibri"/>
                <w:color w:val="000000"/>
                <w:sz w:val="20"/>
                <w:szCs w:val="20"/>
                <w:lang w:val="es-AR"/>
              </w:rPr>
              <w:t xml:space="preserve"> a USD Dic. 2017)</w:t>
            </w:r>
          </w:p>
        </w:tc>
        <w:tc>
          <w:tcPr>
            <w:tcW w:w="2552" w:type="dxa"/>
            <w:tcBorders>
              <w:top w:val="single" w:sz="4" w:space="0" w:color="auto"/>
              <w:left w:val="nil"/>
              <w:bottom w:val="single" w:sz="4" w:space="0" w:color="auto"/>
              <w:right w:val="single" w:sz="4" w:space="0" w:color="auto"/>
            </w:tcBorders>
            <w:shd w:val="clear" w:color="auto" w:fill="D9D9D9" w:themeFill="background1" w:themeFillShade="D9"/>
            <w:noWrap/>
            <w:vAlign w:val="center"/>
          </w:tcPr>
          <w:p w14:paraId="2179AB52" w14:textId="77777777" w:rsidR="003A0B8A" w:rsidRPr="00A1588E" w:rsidRDefault="003A0B8A" w:rsidP="00A1588E">
            <w:pPr>
              <w:spacing w:before="40" w:after="40" w:line="240" w:lineRule="auto"/>
              <w:jc w:val="center"/>
              <w:rPr>
                <w:rFonts w:cs="Calibri"/>
                <w:b/>
                <w:bCs/>
                <w:color w:val="000000"/>
                <w:sz w:val="20"/>
                <w:szCs w:val="20"/>
              </w:rPr>
            </w:pPr>
            <w:r w:rsidRPr="00A1588E">
              <w:rPr>
                <w:rFonts w:cs="Calibri"/>
                <w:b/>
                <w:bCs/>
                <w:color w:val="000000"/>
                <w:sz w:val="20"/>
                <w:szCs w:val="20"/>
              </w:rPr>
              <w:t>Deflactor Importado</w:t>
            </w:r>
          </w:p>
          <w:p w14:paraId="5AD486F6" w14:textId="6137214C" w:rsidR="003A0B8A" w:rsidRPr="00A1588E" w:rsidRDefault="003A0B8A" w:rsidP="00A1588E">
            <w:pPr>
              <w:spacing w:before="40" w:after="40" w:line="240" w:lineRule="auto"/>
              <w:jc w:val="center"/>
              <w:rPr>
                <w:rFonts w:cs="Calibri"/>
                <w:b/>
                <w:bCs/>
                <w:color w:val="000000"/>
                <w:sz w:val="20"/>
                <w:szCs w:val="20"/>
              </w:rPr>
            </w:pPr>
            <w:r w:rsidRPr="00685E20">
              <w:rPr>
                <w:rFonts w:cs="Calibri"/>
                <w:color w:val="000000"/>
                <w:sz w:val="20"/>
                <w:szCs w:val="20"/>
                <w:lang w:val="es-AR"/>
              </w:rPr>
              <w:t xml:space="preserve">(USD mes </w:t>
            </w:r>
            <m:oMath>
              <m:r>
                <w:rPr>
                  <w:rFonts w:ascii="Cambria Math" w:hAnsi="Cambria Math" w:cs="Calibri"/>
                  <w:color w:val="000000"/>
                  <w:sz w:val="20"/>
                  <w:szCs w:val="20"/>
                  <w:lang w:val="en-US"/>
                </w:rPr>
                <m:t>k</m:t>
              </m:r>
            </m:oMath>
            <w:r w:rsidRPr="00685E20">
              <w:rPr>
                <w:rFonts w:cs="Calibri"/>
                <w:color w:val="000000"/>
                <w:sz w:val="20"/>
                <w:szCs w:val="20"/>
                <w:lang w:val="es-AR"/>
              </w:rPr>
              <w:t xml:space="preserve"> a USD Dic. 2017)</w:t>
            </w:r>
          </w:p>
        </w:tc>
      </w:tr>
      <w:tr w:rsidR="007E5B28" w:rsidRPr="00766532" w14:paraId="57E8D4CC" w14:textId="77777777" w:rsidTr="00A1588E">
        <w:trPr>
          <w:jc w:val="center"/>
        </w:trPr>
        <w:tc>
          <w:tcPr>
            <w:tcW w:w="141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3DBE06" w14:textId="77777777" w:rsidR="007E5B28" w:rsidRPr="00A1588E" w:rsidRDefault="007E5B28" w:rsidP="00A1588E">
            <w:pPr>
              <w:spacing w:before="40" w:after="40" w:line="240" w:lineRule="auto"/>
              <w:jc w:val="center"/>
              <w:rPr>
                <w:rFonts w:cs="Calibri"/>
                <w:color w:val="000000"/>
                <w:sz w:val="20"/>
                <w:szCs w:val="20"/>
              </w:rPr>
            </w:pPr>
            <w:r w:rsidRPr="00A1588E">
              <w:rPr>
                <w:rFonts w:cs="Calibri"/>
                <w:color w:val="000000"/>
                <w:sz w:val="20"/>
                <w:szCs w:val="20"/>
              </w:rPr>
              <w:t>dic-17</w:t>
            </w:r>
          </w:p>
        </w:tc>
        <w:tc>
          <w:tcPr>
            <w:tcW w:w="2552" w:type="dxa"/>
            <w:tcBorders>
              <w:top w:val="single" w:sz="4" w:space="0" w:color="auto"/>
              <w:left w:val="nil"/>
              <w:bottom w:val="single" w:sz="4" w:space="0" w:color="auto"/>
              <w:right w:val="single" w:sz="4" w:space="0" w:color="auto"/>
            </w:tcBorders>
            <w:shd w:val="clear" w:color="auto" w:fill="auto"/>
            <w:noWrap/>
            <w:vAlign w:val="center"/>
          </w:tcPr>
          <w:p w14:paraId="3BAFE21E" w14:textId="77777777" w:rsidR="007E5B28" w:rsidRPr="00A1588E" w:rsidRDefault="007E5B28" w:rsidP="00A1588E">
            <w:pPr>
              <w:spacing w:before="40" w:after="40" w:line="240" w:lineRule="auto"/>
              <w:jc w:val="center"/>
              <w:rPr>
                <w:rFonts w:cs="Calibri"/>
                <w:color w:val="000000"/>
                <w:sz w:val="20"/>
                <w:szCs w:val="20"/>
              </w:rPr>
            </w:pPr>
            <w:r w:rsidRPr="00A1588E">
              <w:rPr>
                <w:rFonts w:cs="Calibri"/>
                <w:color w:val="000000"/>
                <w:sz w:val="20"/>
                <w:szCs w:val="20"/>
              </w:rPr>
              <w:t>0,001570</w:t>
            </w:r>
          </w:p>
        </w:tc>
        <w:tc>
          <w:tcPr>
            <w:tcW w:w="2552" w:type="dxa"/>
            <w:tcBorders>
              <w:top w:val="single" w:sz="4" w:space="0" w:color="auto"/>
              <w:left w:val="nil"/>
              <w:bottom w:val="single" w:sz="4" w:space="0" w:color="auto"/>
              <w:right w:val="single" w:sz="4" w:space="0" w:color="auto"/>
            </w:tcBorders>
            <w:shd w:val="clear" w:color="auto" w:fill="auto"/>
            <w:noWrap/>
            <w:vAlign w:val="center"/>
          </w:tcPr>
          <w:p w14:paraId="65826EFD" w14:textId="77777777" w:rsidR="007E5B28" w:rsidRPr="00A1588E" w:rsidRDefault="007E5B28" w:rsidP="00A1588E">
            <w:pPr>
              <w:spacing w:before="40" w:after="40" w:line="240" w:lineRule="auto"/>
              <w:jc w:val="center"/>
              <w:rPr>
                <w:rFonts w:cs="Calibri"/>
                <w:color w:val="000000"/>
                <w:sz w:val="20"/>
                <w:szCs w:val="20"/>
              </w:rPr>
            </w:pPr>
            <w:r w:rsidRPr="00A1588E">
              <w:rPr>
                <w:rFonts w:cs="Calibri"/>
                <w:color w:val="000000"/>
                <w:sz w:val="20"/>
                <w:szCs w:val="20"/>
              </w:rPr>
              <w:t>1,000000</w:t>
            </w:r>
          </w:p>
        </w:tc>
      </w:tr>
      <w:tr w:rsidR="007E5B28" w:rsidRPr="00766532" w14:paraId="78DFE8A7" w14:textId="77777777" w:rsidTr="00A1588E">
        <w:trPr>
          <w:jc w:val="center"/>
        </w:trPr>
        <w:tc>
          <w:tcPr>
            <w:tcW w:w="1418" w:type="dxa"/>
            <w:tcBorders>
              <w:top w:val="nil"/>
              <w:left w:val="single" w:sz="4" w:space="0" w:color="auto"/>
              <w:bottom w:val="single" w:sz="4" w:space="0" w:color="auto"/>
              <w:right w:val="single" w:sz="4" w:space="0" w:color="auto"/>
            </w:tcBorders>
            <w:shd w:val="clear" w:color="auto" w:fill="auto"/>
            <w:noWrap/>
            <w:vAlign w:val="center"/>
          </w:tcPr>
          <w:p w14:paraId="1A387DBD" w14:textId="77777777" w:rsidR="007E5B28" w:rsidRPr="00A1588E" w:rsidRDefault="007E5B28" w:rsidP="00A1588E">
            <w:pPr>
              <w:spacing w:before="40" w:after="40" w:line="240" w:lineRule="auto"/>
              <w:jc w:val="center"/>
              <w:rPr>
                <w:rFonts w:cs="Calibri"/>
                <w:color w:val="000000"/>
                <w:sz w:val="20"/>
                <w:szCs w:val="20"/>
              </w:rPr>
            </w:pPr>
            <w:r w:rsidRPr="00A1588E">
              <w:rPr>
                <w:rFonts w:cs="Calibri"/>
                <w:color w:val="000000"/>
                <w:sz w:val="20"/>
                <w:szCs w:val="20"/>
              </w:rPr>
              <w:t>ene-18</w:t>
            </w:r>
          </w:p>
        </w:tc>
        <w:tc>
          <w:tcPr>
            <w:tcW w:w="2552" w:type="dxa"/>
            <w:tcBorders>
              <w:top w:val="nil"/>
              <w:left w:val="nil"/>
              <w:bottom w:val="single" w:sz="4" w:space="0" w:color="auto"/>
              <w:right w:val="single" w:sz="4" w:space="0" w:color="auto"/>
            </w:tcBorders>
            <w:shd w:val="clear" w:color="auto" w:fill="auto"/>
            <w:noWrap/>
            <w:vAlign w:val="center"/>
          </w:tcPr>
          <w:p w14:paraId="043C7728" w14:textId="77777777" w:rsidR="007E5B28" w:rsidRPr="00A1588E" w:rsidRDefault="007E5B28" w:rsidP="00A1588E">
            <w:pPr>
              <w:spacing w:before="40" w:after="40" w:line="240" w:lineRule="auto"/>
              <w:jc w:val="center"/>
              <w:rPr>
                <w:rFonts w:cs="Calibri"/>
                <w:color w:val="000000"/>
                <w:sz w:val="20"/>
                <w:szCs w:val="20"/>
              </w:rPr>
            </w:pPr>
            <w:r w:rsidRPr="00A1588E">
              <w:rPr>
                <w:rFonts w:cs="Calibri"/>
                <w:color w:val="000000"/>
                <w:sz w:val="20"/>
                <w:szCs w:val="20"/>
              </w:rPr>
              <w:t>0,001563</w:t>
            </w:r>
          </w:p>
        </w:tc>
        <w:tc>
          <w:tcPr>
            <w:tcW w:w="2552" w:type="dxa"/>
            <w:tcBorders>
              <w:top w:val="nil"/>
              <w:left w:val="nil"/>
              <w:bottom w:val="single" w:sz="4" w:space="0" w:color="auto"/>
              <w:right w:val="single" w:sz="4" w:space="0" w:color="auto"/>
            </w:tcBorders>
            <w:shd w:val="clear" w:color="auto" w:fill="auto"/>
            <w:noWrap/>
            <w:vAlign w:val="center"/>
          </w:tcPr>
          <w:p w14:paraId="1EB3F58D" w14:textId="77777777" w:rsidR="007E5B28" w:rsidRPr="00A1588E" w:rsidRDefault="007E5B28" w:rsidP="00A1588E">
            <w:pPr>
              <w:spacing w:before="40" w:after="40" w:line="240" w:lineRule="auto"/>
              <w:jc w:val="center"/>
              <w:rPr>
                <w:rFonts w:cs="Calibri"/>
                <w:color w:val="000000"/>
                <w:sz w:val="20"/>
                <w:szCs w:val="20"/>
              </w:rPr>
            </w:pPr>
            <w:r w:rsidRPr="00A1588E">
              <w:rPr>
                <w:rFonts w:cs="Calibri"/>
                <w:color w:val="000000"/>
                <w:sz w:val="20"/>
                <w:szCs w:val="20"/>
              </w:rPr>
              <w:t>0,994582</w:t>
            </w:r>
          </w:p>
        </w:tc>
      </w:tr>
      <w:tr w:rsidR="007E5B28" w:rsidRPr="00766532" w14:paraId="31280D15" w14:textId="77777777" w:rsidTr="00A1588E">
        <w:trPr>
          <w:jc w:val="center"/>
        </w:trPr>
        <w:tc>
          <w:tcPr>
            <w:tcW w:w="1418" w:type="dxa"/>
            <w:tcBorders>
              <w:top w:val="nil"/>
              <w:left w:val="single" w:sz="4" w:space="0" w:color="auto"/>
              <w:bottom w:val="single" w:sz="4" w:space="0" w:color="auto"/>
              <w:right w:val="single" w:sz="4" w:space="0" w:color="auto"/>
            </w:tcBorders>
            <w:shd w:val="clear" w:color="auto" w:fill="auto"/>
            <w:noWrap/>
            <w:vAlign w:val="center"/>
          </w:tcPr>
          <w:p w14:paraId="40ED44FB" w14:textId="77777777" w:rsidR="007E5B28" w:rsidRPr="00A1588E" w:rsidRDefault="007E5B28" w:rsidP="00A1588E">
            <w:pPr>
              <w:spacing w:before="40" w:after="40" w:line="240" w:lineRule="auto"/>
              <w:jc w:val="center"/>
              <w:rPr>
                <w:rFonts w:cs="Calibri"/>
                <w:color w:val="000000"/>
                <w:sz w:val="20"/>
                <w:szCs w:val="20"/>
              </w:rPr>
            </w:pPr>
            <w:r w:rsidRPr="00A1588E">
              <w:rPr>
                <w:rFonts w:cs="Calibri"/>
                <w:color w:val="000000"/>
                <w:sz w:val="20"/>
                <w:szCs w:val="20"/>
              </w:rPr>
              <w:t>feb-18</w:t>
            </w:r>
          </w:p>
        </w:tc>
        <w:tc>
          <w:tcPr>
            <w:tcW w:w="2552" w:type="dxa"/>
            <w:tcBorders>
              <w:top w:val="nil"/>
              <w:left w:val="nil"/>
              <w:bottom w:val="single" w:sz="4" w:space="0" w:color="auto"/>
              <w:right w:val="single" w:sz="4" w:space="0" w:color="auto"/>
            </w:tcBorders>
            <w:shd w:val="clear" w:color="auto" w:fill="auto"/>
            <w:noWrap/>
            <w:vAlign w:val="center"/>
          </w:tcPr>
          <w:p w14:paraId="697C23D4" w14:textId="77777777" w:rsidR="007E5B28" w:rsidRPr="00A1588E" w:rsidRDefault="007E5B28" w:rsidP="00A1588E">
            <w:pPr>
              <w:spacing w:before="40" w:after="40" w:line="240" w:lineRule="auto"/>
              <w:jc w:val="center"/>
              <w:rPr>
                <w:rFonts w:cs="Calibri"/>
                <w:color w:val="000000"/>
                <w:sz w:val="20"/>
                <w:szCs w:val="20"/>
              </w:rPr>
            </w:pPr>
            <w:r w:rsidRPr="00A1588E">
              <w:rPr>
                <w:rFonts w:cs="Calibri"/>
                <w:color w:val="000000"/>
                <w:sz w:val="20"/>
                <w:szCs w:val="20"/>
              </w:rPr>
              <w:t>0,001562</w:t>
            </w:r>
          </w:p>
        </w:tc>
        <w:tc>
          <w:tcPr>
            <w:tcW w:w="2552" w:type="dxa"/>
            <w:tcBorders>
              <w:top w:val="nil"/>
              <w:left w:val="nil"/>
              <w:bottom w:val="single" w:sz="4" w:space="0" w:color="auto"/>
              <w:right w:val="single" w:sz="4" w:space="0" w:color="auto"/>
            </w:tcBorders>
            <w:shd w:val="clear" w:color="auto" w:fill="auto"/>
            <w:noWrap/>
            <w:vAlign w:val="center"/>
          </w:tcPr>
          <w:p w14:paraId="5A776344" w14:textId="77777777" w:rsidR="007E5B28" w:rsidRPr="00A1588E" w:rsidRDefault="007E5B28" w:rsidP="00A1588E">
            <w:pPr>
              <w:spacing w:before="40" w:after="40" w:line="240" w:lineRule="auto"/>
              <w:jc w:val="center"/>
              <w:rPr>
                <w:rFonts w:cs="Calibri"/>
                <w:color w:val="000000"/>
                <w:sz w:val="20"/>
                <w:szCs w:val="20"/>
              </w:rPr>
            </w:pPr>
            <w:r w:rsidRPr="00A1588E">
              <w:rPr>
                <w:rFonts w:cs="Calibri"/>
                <w:color w:val="000000"/>
                <w:sz w:val="20"/>
                <w:szCs w:val="20"/>
              </w:rPr>
              <w:t>0,990092</w:t>
            </w:r>
          </w:p>
        </w:tc>
      </w:tr>
      <w:tr w:rsidR="007E5B28" w:rsidRPr="00766532" w14:paraId="563E0D01" w14:textId="77777777" w:rsidTr="00A1588E">
        <w:trPr>
          <w:jc w:val="center"/>
        </w:trPr>
        <w:tc>
          <w:tcPr>
            <w:tcW w:w="1418" w:type="dxa"/>
            <w:tcBorders>
              <w:top w:val="nil"/>
              <w:left w:val="single" w:sz="4" w:space="0" w:color="auto"/>
              <w:bottom w:val="single" w:sz="4" w:space="0" w:color="auto"/>
              <w:right w:val="single" w:sz="4" w:space="0" w:color="auto"/>
            </w:tcBorders>
            <w:shd w:val="clear" w:color="auto" w:fill="auto"/>
            <w:noWrap/>
            <w:vAlign w:val="center"/>
          </w:tcPr>
          <w:p w14:paraId="688AAF40" w14:textId="77777777" w:rsidR="007E5B28" w:rsidRPr="00A1588E" w:rsidRDefault="007E5B28" w:rsidP="00A1588E">
            <w:pPr>
              <w:spacing w:before="40" w:after="40" w:line="240" w:lineRule="auto"/>
              <w:jc w:val="center"/>
              <w:rPr>
                <w:rFonts w:cs="Calibri"/>
                <w:color w:val="000000"/>
                <w:sz w:val="20"/>
                <w:szCs w:val="20"/>
              </w:rPr>
            </w:pPr>
            <w:r w:rsidRPr="00A1588E">
              <w:rPr>
                <w:rFonts w:cs="Calibri"/>
                <w:color w:val="000000"/>
                <w:sz w:val="20"/>
                <w:szCs w:val="20"/>
              </w:rPr>
              <w:t>mar-18</w:t>
            </w:r>
          </w:p>
        </w:tc>
        <w:tc>
          <w:tcPr>
            <w:tcW w:w="2552" w:type="dxa"/>
            <w:tcBorders>
              <w:top w:val="nil"/>
              <w:left w:val="nil"/>
              <w:bottom w:val="single" w:sz="4" w:space="0" w:color="auto"/>
              <w:right w:val="single" w:sz="4" w:space="0" w:color="auto"/>
            </w:tcBorders>
            <w:shd w:val="clear" w:color="auto" w:fill="auto"/>
            <w:noWrap/>
            <w:vAlign w:val="center"/>
          </w:tcPr>
          <w:p w14:paraId="2B72152D" w14:textId="77777777" w:rsidR="007E5B28" w:rsidRPr="00A1588E" w:rsidRDefault="007E5B28" w:rsidP="00A1588E">
            <w:pPr>
              <w:spacing w:before="40" w:after="40" w:line="240" w:lineRule="auto"/>
              <w:jc w:val="center"/>
              <w:rPr>
                <w:rFonts w:cs="Calibri"/>
                <w:color w:val="000000"/>
                <w:sz w:val="20"/>
                <w:szCs w:val="20"/>
              </w:rPr>
            </w:pPr>
            <w:r w:rsidRPr="00A1588E">
              <w:rPr>
                <w:rFonts w:cs="Calibri"/>
                <w:color w:val="000000"/>
                <w:sz w:val="20"/>
                <w:szCs w:val="20"/>
              </w:rPr>
              <w:t>0,001559</w:t>
            </w:r>
          </w:p>
        </w:tc>
        <w:tc>
          <w:tcPr>
            <w:tcW w:w="2552" w:type="dxa"/>
            <w:tcBorders>
              <w:top w:val="nil"/>
              <w:left w:val="nil"/>
              <w:bottom w:val="single" w:sz="4" w:space="0" w:color="auto"/>
              <w:right w:val="single" w:sz="4" w:space="0" w:color="auto"/>
            </w:tcBorders>
            <w:shd w:val="clear" w:color="auto" w:fill="auto"/>
            <w:noWrap/>
            <w:vAlign w:val="center"/>
          </w:tcPr>
          <w:p w14:paraId="52A31A8A" w14:textId="77777777" w:rsidR="007E5B28" w:rsidRPr="00A1588E" w:rsidRDefault="007E5B28" w:rsidP="00A1588E">
            <w:pPr>
              <w:spacing w:before="40" w:after="40" w:line="240" w:lineRule="auto"/>
              <w:jc w:val="center"/>
              <w:rPr>
                <w:rFonts w:cs="Calibri"/>
                <w:color w:val="000000"/>
                <w:sz w:val="20"/>
                <w:szCs w:val="20"/>
              </w:rPr>
            </w:pPr>
            <w:r w:rsidRPr="00A1588E">
              <w:rPr>
                <w:rFonts w:cs="Calibri"/>
                <w:color w:val="000000"/>
                <w:sz w:val="20"/>
                <w:szCs w:val="20"/>
              </w:rPr>
              <w:t>0,987858</w:t>
            </w:r>
          </w:p>
        </w:tc>
      </w:tr>
      <w:tr w:rsidR="007E5B28" w:rsidRPr="00766532" w14:paraId="1FB641B6" w14:textId="77777777" w:rsidTr="00A1588E">
        <w:trPr>
          <w:jc w:val="center"/>
        </w:trPr>
        <w:tc>
          <w:tcPr>
            <w:tcW w:w="1418" w:type="dxa"/>
            <w:tcBorders>
              <w:top w:val="nil"/>
              <w:left w:val="single" w:sz="4" w:space="0" w:color="auto"/>
              <w:bottom w:val="single" w:sz="4" w:space="0" w:color="auto"/>
              <w:right w:val="single" w:sz="4" w:space="0" w:color="auto"/>
            </w:tcBorders>
            <w:shd w:val="clear" w:color="auto" w:fill="auto"/>
            <w:noWrap/>
            <w:vAlign w:val="center"/>
          </w:tcPr>
          <w:p w14:paraId="2585B648" w14:textId="77777777" w:rsidR="007E5B28" w:rsidRPr="00A1588E" w:rsidRDefault="007E5B28" w:rsidP="00A1588E">
            <w:pPr>
              <w:spacing w:before="40" w:after="40" w:line="240" w:lineRule="auto"/>
              <w:jc w:val="center"/>
              <w:rPr>
                <w:rFonts w:cs="Calibri"/>
                <w:color w:val="000000"/>
                <w:sz w:val="20"/>
                <w:szCs w:val="20"/>
              </w:rPr>
            </w:pPr>
            <w:r w:rsidRPr="00A1588E">
              <w:rPr>
                <w:rFonts w:cs="Calibri"/>
                <w:color w:val="000000"/>
                <w:sz w:val="20"/>
                <w:szCs w:val="20"/>
              </w:rPr>
              <w:t>abr-18</w:t>
            </w:r>
          </w:p>
        </w:tc>
        <w:tc>
          <w:tcPr>
            <w:tcW w:w="2552" w:type="dxa"/>
            <w:tcBorders>
              <w:top w:val="nil"/>
              <w:left w:val="nil"/>
              <w:bottom w:val="single" w:sz="4" w:space="0" w:color="auto"/>
              <w:right w:val="single" w:sz="4" w:space="0" w:color="auto"/>
            </w:tcBorders>
            <w:shd w:val="clear" w:color="auto" w:fill="auto"/>
            <w:noWrap/>
            <w:vAlign w:val="center"/>
          </w:tcPr>
          <w:p w14:paraId="15AEB69C" w14:textId="77777777" w:rsidR="007E5B28" w:rsidRPr="00A1588E" w:rsidRDefault="007E5B28" w:rsidP="00A1588E">
            <w:pPr>
              <w:spacing w:before="40" w:after="40" w:line="240" w:lineRule="auto"/>
              <w:jc w:val="center"/>
              <w:rPr>
                <w:rFonts w:cs="Calibri"/>
                <w:color w:val="000000"/>
                <w:sz w:val="20"/>
                <w:szCs w:val="20"/>
              </w:rPr>
            </w:pPr>
            <w:r w:rsidRPr="00A1588E">
              <w:rPr>
                <w:rFonts w:cs="Calibri"/>
                <w:color w:val="000000"/>
                <w:sz w:val="20"/>
                <w:szCs w:val="20"/>
              </w:rPr>
              <w:t>0,001554</w:t>
            </w:r>
          </w:p>
        </w:tc>
        <w:tc>
          <w:tcPr>
            <w:tcW w:w="2552" w:type="dxa"/>
            <w:tcBorders>
              <w:top w:val="nil"/>
              <w:left w:val="nil"/>
              <w:bottom w:val="single" w:sz="4" w:space="0" w:color="auto"/>
              <w:right w:val="single" w:sz="4" w:space="0" w:color="auto"/>
            </w:tcBorders>
            <w:shd w:val="clear" w:color="auto" w:fill="auto"/>
            <w:noWrap/>
            <w:vAlign w:val="center"/>
          </w:tcPr>
          <w:p w14:paraId="6AA038F7" w14:textId="77777777" w:rsidR="007E5B28" w:rsidRPr="00A1588E" w:rsidRDefault="007E5B28" w:rsidP="00A1588E">
            <w:pPr>
              <w:spacing w:before="40" w:after="40" w:line="240" w:lineRule="auto"/>
              <w:jc w:val="center"/>
              <w:rPr>
                <w:rFonts w:cs="Calibri"/>
                <w:color w:val="000000"/>
                <w:sz w:val="20"/>
                <w:szCs w:val="20"/>
              </w:rPr>
            </w:pPr>
            <w:r w:rsidRPr="00A1588E">
              <w:rPr>
                <w:rFonts w:cs="Calibri"/>
                <w:color w:val="000000"/>
                <w:sz w:val="20"/>
                <w:szCs w:val="20"/>
              </w:rPr>
              <w:t>0,983947</w:t>
            </w:r>
          </w:p>
        </w:tc>
      </w:tr>
      <w:tr w:rsidR="007E5B28" w:rsidRPr="00766532" w14:paraId="30AC12AC" w14:textId="77777777" w:rsidTr="00A1588E">
        <w:trPr>
          <w:jc w:val="center"/>
        </w:trPr>
        <w:tc>
          <w:tcPr>
            <w:tcW w:w="1418" w:type="dxa"/>
            <w:tcBorders>
              <w:top w:val="nil"/>
              <w:left w:val="single" w:sz="4" w:space="0" w:color="auto"/>
              <w:bottom w:val="single" w:sz="4" w:space="0" w:color="auto"/>
              <w:right w:val="single" w:sz="4" w:space="0" w:color="auto"/>
            </w:tcBorders>
            <w:shd w:val="clear" w:color="auto" w:fill="auto"/>
            <w:noWrap/>
            <w:vAlign w:val="center"/>
          </w:tcPr>
          <w:p w14:paraId="2E039EC3" w14:textId="77777777" w:rsidR="007E5B28" w:rsidRPr="00A1588E" w:rsidRDefault="007E5B28" w:rsidP="00A1588E">
            <w:pPr>
              <w:spacing w:before="40" w:after="40" w:line="240" w:lineRule="auto"/>
              <w:jc w:val="center"/>
              <w:rPr>
                <w:rFonts w:cs="Calibri"/>
                <w:color w:val="000000"/>
                <w:sz w:val="20"/>
                <w:szCs w:val="20"/>
              </w:rPr>
            </w:pPr>
            <w:r w:rsidRPr="00A1588E">
              <w:rPr>
                <w:rFonts w:cs="Calibri"/>
                <w:color w:val="000000"/>
                <w:sz w:val="20"/>
                <w:szCs w:val="20"/>
              </w:rPr>
              <w:lastRenderedPageBreak/>
              <w:t>may-18</w:t>
            </w:r>
          </w:p>
        </w:tc>
        <w:tc>
          <w:tcPr>
            <w:tcW w:w="2552" w:type="dxa"/>
            <w:tcBorders>
              <w:top w:val="nil"/>
              <w:left w:val="nil"/>
              <w:bottom w:val="single" w:sz="4" w:space="0" w:color="auto"/>
              <w:right w:val="single" w:sz="4" w:space="0" w:color="auto"/>
            </w:tcBorders>
            <w:shd w:val="clear" w:color="auto" w:fill="auto"/>
            <w:noWrap/>
            <w:vAlign w:val="center"/>
          </w:tcPr>
          <w:p w14:paraId="5BEE68CB" w14:textId="77777777" w:rsidR="007E5B28" w:rsidRPr="00A1588E" w:rsidRDefault="007E5B28" w:rsidP="00A1588E">
            <w:pPr>
              <w:spacing w:before="40" w:after="40" w:line="240" w:lineRule="auto"/>
              <w:jc w:val="center"/>
              <w:rPr>
                <w:rFonts w:cs="Calibri"/>
                <w:color w:val="000000"/>
                <w:sz w:val="20"/>
                <w:szCs w:val="20"/>
              </w:rPr>
            </w:pPr>
            <w:r w:rsidRPr="00A1588E">
              <w:rPr>
                <w:rFonts w:cs="Calibri"/>
                <w:color w:val="000000"/>
                <w:sz w:val="20"/>
                <w:szCs w:val="20"/>
              </w:rPr>
              <w:t>0,001550</w:t>
            </w:r>
          </w:p>
        </w:tc>
        <w:tc>
          <w:tcPr>
            <w:tcW w:w="2552" w:type="dxa"/>
            <w:tcBorders>
              <w:top w:val="nil"/>
              <w:left w:val="nil"/>
              <w:bottom w:val="single" w:sz="4" w:space="0" w:color="auto"/>
              <w:right w:val="single" w:sz="4" w:space="0" w:color="auto"/>
            </w:tcBorders>
            <w:shd w:val="clear" w:color="auto" w:fill="auto"/>
            <w:noWrap/>
            <w:vAlign w:val="center"/>
          </w:tcPr>
          <w:p w14:paraId="6437184C" w14:textId="77777777" w:rsidR="007E5B28" w:rsidRPr="00A1588E" w:rsidRDefault="007E5B28" w:rsidP="00A1588E">
            <w:pPr>
              <w:spacing w:before="40" w:after="40" w:line="240" w:lineRule="auto"/>
              <w:jc w:val="center"/>
              <w:rPr>
                <w:rFonts w:cs="Calibri"/>
                <w:color w:val="000000"/>
                <w:sz w:val="20"/>
                <w:szCs w:val="20"/>
              </w:rPr>
            </w:pPr>
            <w:r w:rsidRPr="00A1588E">
              <w:rPr>
                <w:rFonts w:cs="Calibri"/>
                <w:color w:val="000000"/>
                <w:sz w:val="20"/>
                <w:szCs w:val="20"/>
              </w:rPr>
              <w:t>0,979872</w:t>
            </w:r>
          </w:p>
        </w:tc>
      </w:tr>
      <w:tr w:rsidR="007E5B28" w:rsidRPr="00766532" w14:paraId="5561107E" w14:textId="77777777" w:rsidTr="00A1588E">
        <w:trPr>
          <w:jc w:val="center"/>
        </w:trPr>
        <w:tc>
          <w:tcPr>
            <w:tcW w:w="1418" w:type="dxa"/>
            <w:tcBorders>
              <w:top w:val="nil"/>
              <w:left w:val="single" w:sz="4" w:space="0" w:color="auto"/>
              <w:bottom w:val="single" w:sz="4" w:space="0" w:color="auto"/>
              <w:right w:val="single" w:sz="4" w:space="0" w:color="auto"/>
            </w:tcBorders>
            <w:shd w:val="clear" w:color="auto" w:fill="auto"/>
            <w:noWrap/>
            <w:vAlign w:val="center"/>
          </w:tcPr>
          <w:p w14:paraId="54551C03" w14:textId="77777777" w:rsidR="007E5B28" w:rsidRPr="00A1588E" w:rsidRDefault="007E5B28" w:rsidP="00A1588E">
            <w:pPr>
              <w:spacing w:before="40" w:after="40" w:line="240" w:lineRule="auto"/>
              <w:jc w:val="center"/>
              <w:rPr>
                <w:rFonts w:cs="Calibri"/>
                <w:color w:val="000000"/>
                <w:sz w:val="20"/>
                <w:szCs w:val="20"/>
              </w:rPr>
            </w:pPr>
            <w:r w:rsidRPr="00A1588E">
              <w:rPr>
                <w:rFonts w:cs="Calibri"/>
                <w:color w:val="000000"/>
                <w:sz w:val="20"/>
                <w:szCs w:val="20"/>
              </w:rPr>
              <w:t>jun-18</w:t>
            </w:r>
          </w:p>
        </w:tc>
        <w:tc>
          <w:tcPr>
            <w:tcW w:w="2552" w:type="dxa"/>
            <w:tcBorders>
              <w:top w:val="nil"/>
              <w:left w:val="nil"/>
              <w:bottom w:val="single" w:sz="4" w:space="0" w:color="auto"/>
              <w:right w:val="single" w:sz="4" w:space="0" w:color="auto"/>
            </w:tcBorders>
            <w:shd w:val="clear" w:color="auto" w:fill="auto"/>
            <w:noWrap/>
            <w:vAlign w:val="center"/>
          </w:tcPr>
          <w:p w14:paraId="60207C86" w14:textId="77777777" w:rsidR="007E5B28" w:rsidRPr="00A1588E" w:rsidRDefault="007E5B28" w:rsidP="00A1588E">
            <w:pPr>
              <w:spacing w:before="40" w:after="40" w:line="240" w:lineRule="auto"/>
              <w:jc w:val="center"/>
              <w:rPr>
                <w:rFonts w:cs="Calibri"/>
                <w:color w:val="000000"/>
                <w:sz w:val="20"/>
                <w:szCs w:val="20"/>
              </w:rPr>
            </w:pPr>
            <w:r w:rsidRPr="00A1588E">
              <w:rPr>
                <w:rFonts w:cs="Calibri"/>
                <w:color w:val="000000"/>
                <w:sz w:val="20"/>
                <w:szCs w:val="20"/>
              </w:rPr>
              <w:t>0,001548</w:t>
            </w:r>
          </w:p>
        </w:tc>
        <w:tc>
          <w:tcPr>
            <w:tcW w:w="2552" w:type="dxa"/>
            <w:tcBorders>
              <w:top w:val="nil"/>
              <w:left w:val="nil"/>
              <w:bottom w:val="single" w:sz="4" w:space="0" w:color="auto"/>
              <w:right w:val="single" w:sz="4" w:space="0" w:color="auto"/>
            </w:tcBorders>
            <w:shd w:val="clear" w:color="auto" w:fill="auto"/>
            <w:noWrap/>
            <w:vAlign w:val="center"/>
          </w:tcPr>
          <w:p w14:paraId="59560DED" w14:textId="77777777" w:rsidR="007E5B28" w:rsidRPr="00A1588E" w:rsidRDefault="007E5B28" w:rsidP="00A1588E">
            <w:pPr>
              <w:spacing w:before="40" w:after="40" w:line="240" w:lineRule="auto"/>
              <w:jc w:val="center"/>
              <w:rPr>
                <w:rFonts w:cs="Calibri"/>
                <w:color w:val="000000"/>
                <w:sz w:val="20"/>
                <w:szCs w:val="20"/>
              </w:rPr>
            </w:pPr>
            <w:r w:rsidRPr="00A1588E">
              <w:rPr>
                <w:rFonts w:cs="Calibri"/>
                <w:color w:val="000000"/>
                <w:sz w:val="20"/>
                <w:szCs w:val="20"/>
              </w:rPr>
              <w:t>0,978313</w:t>
            </w:r>
          </w:p>
        </w:tc>
      </w:tr>
      <w:tr w:rsidR="007E5B28" w:rsidRPr="00766532" w14:paraId="00CA3EE8" w14:textId="77777777" w:rsidTr="00A1588E">
        <w:trPr>
          <w:jc w:val="center"/>
        </w:trPr>
        <w:tc>
          <w:tcPr>
            <w:tcW w:w="1418" w:type="dxa"/>
            <w:tcBorders>
              <w:top w:val="nil"/>
              <w:left w:val="single" w:sz="4" w:space="0" w:color="auto"/>
              <w:bottom w:val="single" w:sz="4" w:space="0" w:color="auto"/>
              <w:right w:val="single" w:sz="4" w:space="0" w:color="auto"/>
            </w:tcBorders>
            <w:shd w:val="clear" w:color="auto" w:fill="auto"/>
            <w:noWrap/>
            <w:vAlign w:val="center"/>
          </w:tcPr>
          <w:p w14:paraId="07C291FC" w14:textId="77777777" w:rsidR="007E5B28" w:rsidRPr="00A1588E" w:rsidRDefault="007E5B28" w:rsidP="00A1588E">
            <w:pPr>
              <w:spacing w:before="40" w:after="40" w:line="240" w:lineRule="auto"/>
              <w:jc w:val="center"/>
              <w:rPr>
                <w:rFonts w:cs="Calibri"/>
                <w:color w:val="000000"/>
                <w:sz w:val="20"/>
                <w:szCs w:val="20"/>
              </w:rPr>
            </w:pPr>
            <w:r w:rsidRPr="00A1588E">
              <w:rPr>
                <w:rFonts w:cs="Calibri"/>
                <w:color w:val="000000"/>
                <w:sz w:val="20"/>
                <w:szCs w:val="20"/>
              </w:rPr>
              <w:t>jul-18</w:t>
            </w:r>
          </w:p>
        </w:tc>
        <w:tc>
          <w:tcPr>
            <w:tcW w:w="2552" w:type="dxa"/>
            <w:tcBorders>
              <w:top w:val="nil"/>
              <w:left w:val="nil"/>
              <w:bottom w:val="single" w:sz="4" w:space="0" w:color="auto"/>
              <w:right w:val="single" w:sz="4" w:space="0" w:color="auto"/>
            </w:tcBorders>
            <w:shd w:val="clear" w:color="auto" w:fill="auto"/>
            <w:noWrap/>
            <w:vAlign w:val="center"/>
          </w:tcPr>
          <w:p w14:paraId="4E672CB7" w14:textId="77777777" w:rsidR="007E5B28" w:rsidRPr="00A1588E" w:rsidRDefault="007E5B28" w:rsidP="00A1588E">
            <w:pPr>
              <w:spacing w:before="40" w:after="40" w:line="240" w:lineRule="auto"/>
              <w:jc w:val="center"/>
              <w:rPr>
                <w:rFonts w:cs="Calibri"/>
                <w:color w:val="000000"/>
                <w:sz w:val="20"/>
                <w:szCs w:val="20"/>
              </w:rPr>
            </w:pPr>
            <w:r w:rsidRPr="00A1588E">
              <w:rPr>
                <w:rFonts w:cs="Calibri"/>
                <w:color w:val="000000"/>
                <w:sz w:val="20"/>
                <w:szCs w:val="20"/>
              </w:rPr>
              <w:t>0,001543</w:t>
            </w:r>
          </w:p>
        </w:tc>
        <w:tc>
          <w:tcPr>
            <w:tcW w:w="2552" w:type="dxa"/>
            <w:tcBorders>
              <w:top w:val="nil"/>
              <w:left w:val="nil"/>
              <w:bottom w:val="single" w:sz="4" w:space="0" w:color="auto"/>
              <w:right w:val="single" w:sz="4" w:space="0" w:color="auto"/>
            </w:tcBorders>
            <w:shd w:val="clear" w:color="auto" w:fill="auto"/>
            <w:noWrap/>
            <w:vAlign w:val="center"/>
          </w:tcPr>
          <w:p w14:paraId="672B3CD9" w14:textId="77777777" w:rsidR="007E5B28" w:rsidRPr="00A1588E" w:rsidRDefault="007E5B28" w:rsidP="00A1588E">
            <w:pPr>
              <w:spacing w:before="40" w:after="40" w:line="240" w:lineRule="auto"/>
              <w:jc w:val="center"/>
              <w:rPr>
                <w:rFonts w:cs="Calibri"/>
                <w:color w:val="000000"/>
                <w:sz w:val="20"/>
                <w:szCs w:val="20"/>
              </w:rPr>
            </w:pPr>
            <w:r w:rsidRPr="00A1588E">
              <w:rPr>
                <w:rFonts w:cs="Calibri"/>
                <w:color w:val="000000"/>
                <w:sz w:val="20"/>
                <w:szCs w:val="20"/>
              </w:rPr>
              <w:t>0,978247</w:t>
            </w:r>
          </w:p>
        </w:tc>
      </w:tr>
      <w:tr w:rsidR="007E5B28" w:rsidRPr="00766532" w14:paraId="67674AF6" w14:textId="77777777" w:rsidTr="00A1588E">
        <w:trPr>
          <w:jc w:val="center"/>
        </w:trPr>
        <w:tc>
          <w:tcPr>
            <w:tcW w:w="1418" w:type="dxa"/>
            <w:tcBorders>
              <w:top w:val="nil"/>
              <w:left w:val="single" w:sz="4" w:space="0" w:color="auto"/>
              <w:bottom w:val="single" w:sz="4" w:space="0" w:color="auto"/>
              <w:right w:val="single" w:sz="4" w:space="0" w:color="auto"/>
            </w:tcBorders>
            <w:shd w:val="clear" w:color="auto" w:fill="auto"/>
            <w:noWrap/>
            <w:vAlign w:val="center"/>
          </w:tcPr>
          <w:p w14:paraId="69DBF73C" w14:textId="77777777" w:rsidR="007E5B28" w:rsidRPr="00A1588E" w:rsidRDefault="007E5B28" w:rsidP="00A1588E">
            <w:pPr>
              <w:spacing w:before="40" w:after="40" w:line="240" w:lineRule="auto"/>
              <w:jc w:val="center"/>
              <w:rPr>
                <w:rFonts w:cs="Calibri"/>
                <w:color w:val="000000"/>
                <w:sz w:val="20"/>
                <w:szCs w:val="20"/>
              </w:rPr>
            </w:pPr>
            <w:r w:rsidRPr="00A1588E">
              <w:rPr>
                <w:rFonts w:cs="Calibri"/>
                <w:color w:val="000000"/>
                <w:sz w:val="20"/>
                <w:szCs w:val="20"/>
              </w:rPr>
              <w:t>ago-18</w:t>
            </w:r>
          </w:p>
        </w:tc>
        <w:tc>
          <w:tcPr>
            <w:tcW w:w="2552" w:type="dxa"/>
            <w:tcBorders>
              <w:top w:val="nil"/>
              <w:left w:val="nil"/>
              <w:bottom w:val="single" w:sz="4" w:space="0" w:color="auto"/>
              <w:right w:val="single" w:sz="4" w:space="0" w:color="auto"/>
            </w:tcBorders>
            <w:shd w:val="clear" w:color="auto" w:fill="auto"/>
            <w:noWrap/>
            <w:vAlign w:val="center"/>
          </w:tcPr>
          <w:p w14:paraId="36A8B867" w14:textId="77777777" w:rsidR="007E5B28" w:rsidRPr="00A1588E" w:rsidRDefault="007E5B28" w:rsidP="00A1588E">
            <w:pPr>
              <w:spacing w:before="40" w:after="40" w:line="240" w:lineRule="auto"/>
              <w:jc w:val="center"/>
              <w:rPr>
                <w:rFonts w:cs="Calibri"/>
                <w:color w:val="000000"/>
                <w:sz w:val="20"/>
                <w:szCs w:val="20"/>
              </w:rPr>
            </w:pPr>
            <w:r w:rsidRPr="00A1588E">
              <w:rPr>
                <w:rFonts w:cs="Calibri"/>
                <w:color w:val="000000"/>
                <w:sz w:val="20"/>
                <w:szCs w:val="20"/>
              </w:rPr>
              <w:t>0,001540</w:t>
            </w:r>
          </w:p>
        </w:tc>
        <w:tc>
          <w:tcPr>
            <w:tcW w:w="2552" w:type="dxa"/>
            <w:tcBorders>
              <w:top w:val="nil"/>
              <w:left w:val="nil"/>
              <w:bottom w:val="single" w:sz="4" w:space="0" w:color="auto"/>
              <w:right w:val="single" w:sz="4" w:space="0" w:color="auto"/>
            </w:tcBorders>
            <w:shd w:val="clear" w:color="auto" w:fill="auto"/>
            <w:noWrap/>
            <w:vAlign w:val="center"/>
          </w:tcPr>
          <w:p w14:paraId="01B7132D" w14:textId="77777777" w:rsidR="007E5B28" w:rsidRPr="00A1588E" w:rsidRDefault="007E5B28" w:rsidP="00A1588E">
            <w:pPr>
              <w:spacing w:before="40" w:after="40" w:line="240" w:lineRule="auto"/>
              <w:jc w:val="center"/>
              <w:rPr>
                <w:rFonts w:cs="Calibri"/>
                <w:color w:val="000000"/>
                <w:sz w:val="20"/>
                <w:szCs w:val="20"/>
              </w:rPr>
            </w:pPr>
            <w:r w:rsidRPr="00A1588E">
              <w:rPr>
                <w:rFonts w:cs="Calibri"/>
                <w:color w:val="000000"/>
                <w:sz w:val="20"/>
                <w:szCs w:val="20"/>
              </w:rPr>
              <w:t>0,977703</w:t>
            </w:r>
          </w:p>
        </w:tc>
      </w:tr>
      <w:tr w:rsidR="007E5B28" w:rsidRPr="00766532" w14:paraId="60861CA0" w14:textId="77777777" w:rsidTr="00A1588E">
        <w:trPr>
          <w:jc w:val="center"/>
        </w:trPr>
        <w:tc>
          <w:tcPr>
            <w:tcW w:w="1418" w:type="dxa"/>
            <w:tcBorders>
              <w:top w:val="nil"/>
              <w:left w:val="single" w:sz="4" w:space="0" w:color="auto"/>
              <w:bottom w:val="single" w:sz="4" w:space="0" w:color="auto"/>
              <w:right w:val="single" w:sz="4" w:space="0" w:color="auto"/>
            </w:tcBorders>
            <w:shd w:val="clear" w:color="auto" w:fill="auto"/>
            <w:noWrap/>
            <w:vAlign w:val="center"/>
          </w:tcPr>
          <w:p w14:paraId="00B3A042" w14:textId="77777777" w:rsidR="007E5B28" w:rsidRPr="00A1588E" w:rsidRDefault="007E5B28" w:rsidP="00A1588E">
            <w:pPr>
              <w:spacing w:before="40" w:after="40" w:line="240" w:lineRule="auto"/>
              <w:jc w:val="center"/>
              <w:rPr>
                <w:rFonts w:cs="Calibri"/>
                <w:color w:val="000000"/>
                <w:sz w:val="20"/>
                <w:szCs w:val="20"/>
              </w:rPr>
            </w:pPr>
            <w:r w:rsidRPr="00A1588E">
              <w:rPr>
                <w:rFonts w:cs="Calibri"/>
                <w:color w:val="000000"/>
                <w:sz w:val="20"/>
                <w:szCs w:val="20"/>
              </w:rPr>
              <w:t>sep-18</w:t>
            </w:r>
          </w:p>
        </w:tc>
        <w:tc>
          <w:tcPr>
            <w:tcW w:w="2552" w:type="dxa"/>
            <w:tcBorders>
              <w:top w:val="nil"/>
              <w:left w:val="nil"/>
              <w:bottom w:val="single" w:sz="4" w:space="0" w:color="auto"/>
              <w:right w:val="single" w:sz="4" w:space="0" w:color="auto"/>
            </w:tcBorders>
            <w:shd w:val="clear" w:color="auto" w:fill="auto"/>
            <w:noWrap/>
            <w:vAlign w:val="center"/>
          </w:tcPr>
          <w:p w14:paraId="0617A2C7" w14:textId="77777777" w:rsidR="007E5B28" w:rsidRPr="00A1588E" w:rsidRDefault="007E5B28" w:rsidP="00A1588E">
            <w:pPr>
              <w:spacing w:before="40" w:after="40" w:line="240" w:lineRule="auto"/>
              <w:jc w:val="center"/>
              <w:rPr>
                <w:rFonts w:cs="Calibri"/>
                <w:color w:val="000000"/>
                <w:sz w:val="20"/>
                <w:szCs w:val="20"/>
              </w:rPr>
            </w:pPr>
            <w:r w:rsidRPr="00A1588E">
              <w:rPr>
                <w:rFonts w:cs="Calibri"/>
                <w:color w:val="000000"/>
                <w:sz w:val="20"/>
                <w:szCs w:val="20"/>
              </w:rPr>
              <w:t>0,001535</w:t>
            </w:r>
          </w:p>
        </w:tc>
        <w:tc>
          <w:tcPr>
            <w:tcW w:w="2552" w:type="dxa"/>
            <w:tcBorders>
              <w:top w:val="nil"/>
              <w:left w:val="nil"/>
              <w:bottom w:val="single" w:sz="4" w:space="0" w:color="auto"/>
              <w:right w:val="single" w:sz="4" w:space="0" w:color="auto"/>
            </w:tcBorders>
            <w:shd w:val="clear" w:color="auto" w:fill="auto"/>
            <w:noWrap/>
            <w:vAlign w:val="center"/>
          </w:tcPr>
          <w:p w14:paraId="53CC5282" w14:textId="77777777" w:rsidR="007E5B28" w:rsidRPr="00A1588E" w:rsidRDefault="007E5B28" w:rsidP="00A1588E">
            <w:pPr>
              <w:spacing w:before="40" w:after="40" w:line="240" w:lineRule="auto"/>
              <w:jc w:val="center"/>
              <w:rPr>
                <w:rFonts w:cs="Calibri"/>
                <w:color w:val="000000"/>
                <w:sz w:val="20"/>
                <w:szCs w:val="20"/>
              </w:rPr>
            </w:pPr>
            <w:r w:rsidRPr="00A1588E">
              <w:rPr>
                <w:rFonts w:cs="Calibri"/>
                <w:color w:val="000000"/>
                <w:sz w:val="20"/>
                <w:szCs w:val="20"/>
              </w:rPr>
              <w:t>0,976569</w:t>
            </w:r>
          </w:p>
        </w:tc>
      </w:tr>
      <w:tr w:rsidR="007E5B28" w:rsidRPr="00766532" w14:paraId="6825F6AF" w14:textId="77777777" w:rsidTr="00A1588E">
        <w:trPr>
          <w:jc w:val="center"/>
        </w:trPr>
        <w:tc>
          <w:tcPr>
            <w:tcW w:w="1418" w:type="dxa"/>
            <w:tcBorders>
              <w:top w:val="nil"/>
              <w:left w:val="single" w:sz="4" w:space="0" w:color="auto"/>
              <w:bottom w:val="single" w:sz="4" w:space="0" w:color="auto"/>
              <w:right w:val="single" w:sz="4" w:space="0" w:color="auto"/>
            </w:tcBorders>
            <w:shd w:val="clear" w:color="auto" w:fill="auto"/>
            <w:noWrap/>
            <w:vAlign w:val="center"/>
          </w:tcPr>
          <w:p w14:paraId="14050716" w14:textId="77777777" w:rsidR="007E5B28" w:rsidRPr="00A1588E" w:rsidRDefault="007E5B28" w:rsidP="00A1588E">
            <w:pPr>
              <w:spacing w:before="40" w:after="40" w:line="240" w:lineRule="auto"/>
              <w:jc w:val="center"/>
              <w:rPr>
                <w:rFonts w:cs="Calibri"/>
                <w:color w:val="000000"/>
                <w:sz w:val="20"/>
                <w:szCs w:val="20"/>
              </w:rPr>
            </w:pPr>
            <w:r w:rsidRPr="00A1588E">
              <w:rPr>
                <w:rFonts w:cs="Calibri"/>
                <w:color w:val="000000"/>
                <w:sz w:val="20"/>
                <w:szCs w:val="20"/>
              </w:rPr>
              <w:t>oct-18</w:t>
            </w:r>
          </w:p>
        </w:tc>
        <w:tc>
          <w:tcPr>
            <w:tcW w:w="2552" w:type="dxa"/>
            <w:tcBorders>
              <w:top w:val="nil"/>
              <w:left w:val="nil"/>
              <w:bottom w:val="single" w:sz="4" w:space="0" w:color="auto"/>
              <w:right w:val="single" w:sz="4" w:space="0" w:color="auto"/>
            </w:tcBorders>
            <w:shd w:val="clear" w:color="auto" w:fill="auto"/>
            <w:noWrap/>
            <w:vAlign w:val="center"/>
          </w:tcPr>
          <w:p w14:paraId="1FED8C1E" w14:textId="77777777" w:rsidR="007E5B28" w:rsidRPr="00A1588E" w:rsidRDefault="007E5B28" w:rsidP="00A1588E">
            <w:pPr>
              <w:spacing w:before="40" w:after="40" w:line="240" w:lineRule="auto"/>
              <w:jc w:val="center"/>
              <w:rPr>
                <w:rFonts w:cs="Calibri"/>
                <w:color w:val="000000"/>
                <w:sz w:val="20"/>
                <w:szCs w:val="20"/>
              </w:rPr>
            </w:pPr>
            <w:r w:rsidRPr="00A1588E">
              <w:rPr>
                <w:rFonts w:cs="Calibri"/>
                <w:color w:val="000000"/>
                <w:sz w:val="20"/>
                <w:szCs w:val="20"/>
              </w:rPr>
              <w:t>0,001529</w:t>
            </w:r>
          </w:p>
        </w:tc>
        <w:tc>
          <w:tcPr>
            <w:tcW w:w="2552" w:type="dxa"/>
            <w:tcBorders>
              <w:top w:val="nil"/>
              <w:left w:val="nil"/>
              <w:bottom w:val="single" w:sz="4" w:space="0" w:color="auto"/>
              <w:right w:val="single" w:sz="4" w:space="0" w:color="auto"/>
            </w:tcBorders>
            <w:shd w:val="clear" w:color="auto" w:fill="auto"/>
            <w:noWrap/>
            <w:vAlign w:val="center"/>
          </w:tcPr>
          <w:p w14:paraId="77252C6B" w14:textId="77777777" w:rsidR="007E5B28" w:rsidRPr="00A1588E" w:rsidRDefault="007E5B28" w:rsidP="00A1588E">
            <w:pPr>
              <w:spacing w:before="40" w:after="40" w:line="240" w:lineRule="auto"/>
              <w:jc w:val="center"/>
              <w:rPr>
                <w:rFonts w:cs="Calibri"/>
                <w:color w:val="000000"/>
                <w:sz w:val="20"/>
                <w:szCs w:val="20"/>
              </w:rPr>
            </w:pPr>
            <w:r w:rsidRPr="00A1588E">
              <w:rPr>
                <w:rFonts w:cs="Calibri"/>
                <w:color w:val="000000"/>
                <w:sz w:val="20"/>
                <w:szCs w:val="20"/>
              </w:rPr>
              <w:t>0,974846</w:t>
            </w:r>
          </w:p>
        </w:tc>
      </w:tr>
      <w:tr w:rsidR="007E5B28" w:rsidRPr="00766532" w14:paraId="71F3E190" w14:textId="77777777" w:rsidTr="00A1588E">
        <w:trPr>
          <w:jc w:val="center"/>
        </w:trPr>
        <w:tc>
          <w:tcPr>
            <w:tcW w:w="1418" w:type="dxa"/>
            <w:tcBorders>
              <w:top w:val="nil"/>
              <w:left w:val="single" w:sz="4" w:space="0" w:color="auto"/>
              <w:bottom w:val="single" w:sz="4" w:space="0" w:color="auto"/>
              <w:right w:val="single" w:sz="4" w:space="0" w:color="auto"/>
            </w:tcBorders>
            <w:shd w:val="clear" w:color="auto" w:fill="auto"/>
            <w:noWrap/>
            <w:vAlign w:val="center"/>
          </w:tcPr>
          <w:p w14:paraId="1375947C" w14:textId="77777777" w:rsidR="007E5B28" w:rsidRPr="00A1588E" w:rsidRDefault="007E5B28" w:rsidP="00A1588E">
            <w:pPr>
              <w:spacing w:before="40" w:after="40" w:line="240" w:lineRule="auto"/>
              <w:jc w:val="center"/>
              <w:rPr>
                <w:rFonts w:cs="Calibri"/>
                <w:color w:val="000000"/>
                <w:sz w:val="20"/>
                <w:szCs w:val="20"/>
              </w:rPr>
            </w:pPr>
            <w:r w:rsidRPr="00A1588E">
              <w:rPr>
                <w:rFonts w:cs="Calibri"/>
                <w:color w:val="000000"/>
                <w:sz w:val="20"/>
                <w:szCs w:val="20"/>
              </w:rPr>
              <w:t>nov-18</w:t>
            </w:r>
          </w:p>
        </w:tc>
        <w:tc>
          <w:tcPr>
            <w:tcW w:w="2552" w:type="dxa"/>
            <w:tcBorders>
              <w:top w:val="nil"/>
              <w:left w:val="nil"/>
              <w:bottom w:val="single" w:sz="4" w:space="0" w:color="auto"/>
              <w:right w:val="single" w:sz="4" w:space="0" w:color="auto"/>
            </w:tcBorders>
            <w:shd w:val="clear" w:color="auto" w:fill="auto"/>
            <w:noWrap/>
            <w:vAlign w:val="center"/>
          </w:tcPr>
          <w:p w14:paraId="20CE04A8" w14:textId="77777777" w:rsidR="007E5B28" w:rsidRPr="00A1588E" w:rsidRDefault="007E5B28" w:rsidP="00A1588E">
            <w:pPr>
              <w:spacing w:before="40" w:after="40" w:line="240" w:lineRule="auto"/>
              <w:jc w:val="center"/>
              <w:rPr>
                <w:rFonts w:cs="Calibri"/>
                <w:color w:val="000000"/>
                <w:sz w:val="20"/>
                <w:szCs w:val="20"/>
              </w:rPr>
            </w:pPr>
            <w:r w:rsidRPr="00A1588E">
              <w:rPr>
                <w:rFonts w:cs="Calibri"/>
                <w:color w:val="000000"/>
                <w:sz w:val="20"/>
                <w:szCs w:val="20"/>
              </w:rPr>
              <w:t>0,001529</w:t>
            </w:r>
          </w:p>
        </w:tc>
        <w:tc>
          <w:tcPr>
            <w:tcW w:w="2552" w:type="dxa"/>
            <w:tcBorders>
              <w:top w:val="nil"/>
              <w:left w:val="nil"/>
              <w:bottom w:val="single" w:sz="4" w:space="0" w:color="auto"/>
              <w:right w:val="single" w:sz="4" w:space="0" w:color="auto"/>
            </w:tcBorders>
            <w:shd w:val="clear" w:color="auto" w:fill="auto"/>
            <w:noWrap/>
            <w:vAlign w:val="center"/>
          </w:tcPr>
          <w:p w14:paraId="1A956FEF" w14:textId="77777777" w:rsidR="007E5B28" w:rsidRPr="00A1588E" w:rsidRDefault="007E5B28" w:rsidP="00A1588E">
            <w:pPr>
              <w:spacing w:before="40" w:after="40" w:line="240" w:lineRule="auto"/>
              <w:jc w:val="center"/>
              <w:rPr>
                <w:rFonts w:cs="Calibri"/>
                <w:color w:val="000000"/>
                <w:sz w:val="20"/>
                <w:szCs w:val="20"/>
              </w:rPr>
            </w:pPr>
            <w:r w:rsidRPr="00A1588E">
              <w:rPr>
                <w:rFonts w:cs="Calibri"/>
                <w:color w:val="000000"/>
                <w:sz w:val="20"/>
                <w:szCs w:val="20"/>
              </w:rPr>
              <w:t>0,978122</w:t>
            </w:r>
          </w:p>
        </w:tc>
      </w:tr>
      <w:tr w:rsidR="007E5B28" w:rsidRPr="00766532" w14:paraId="0680BB28" w14:textId="77777777" w:rsidTr="00A1588E">
        <w:trPr>
          <w:jc w:val="center"/>
        </w:trPr>
        <w:tc>
          <w:tcPr>
            <w:tcW w:w="1418" w:type="dxa"/>
            <w:tcBorders>
              <w:top w:val="nil"/>
              <w:left w:val="single" w:sz="4" w:space="0" w:color="auto"/>
              <w:bottom w:val="single" w:sz="4" w:space="0" w:color="auto"/>
              <w:right w:val="single" w:sz="4" w:space="0" w:color="auto"/>
            </w:tcBorders>
            <w:shd w:val="clear" w:color="auto" w:fill="auto"/>
            <w:noWrap/>
            <w:vAlign w:val="center"/>
          </w:tcPr>
          <w:p w14:paraId="342144EE" w14:textId="77777777" w:rsidR="007E5B28" w:rsidRPr="00A1588E" w:rsidRDefault="007E5B28" w:rsidP="00A1588E">
            <w:pPr>
              <w:spacing w:before="40" w:after="40" w:line="240" w:lineRule="auto"/>
              <w:jc w:val="center"/>
              <w:rPr>
                <w:rFonts w:cs="Calibri"/>
                <w:color w:val="000000"/>
                <w:sz w:val="20"/>
                <w:szCs w:val="20"/>
              </w:rPr>
            </w:pPr>
            <w:r w:rsidRPr="00A1588E">
              <w:rPr>
                <w:rFonts w:cs="Calibri"/>
                <w:color w:val="000000"/>
                <w:sz w:val="20"/>
                <w:szCs w:val="20"/>
              </w:rPr>
              <w:t>dic-18</w:t>
            </w:r>
          </w:p>
        </w:tc>
        <w:tc>
          <w:tcPr>
            <w:tcW w:w="2552" w:type="dxa"/>
            <w:tcBorders>
              <w:top w:val="nil"/>
              <w:left w:val="nil"/>
              <w:bottom w:val="single" w:sz="4" w:space="0" w:color="auto"/>
              <w:right w:val="single" w:sz="4" w:space="0" w:color="auto"/>
            </w:tcBorders>
            <w:shd w:val="clear" w:color="auto" w:fill="auto"/>
            <w:noWrap/>
            <w:vAlign w:val="center"/>
          </w:tcPr>
          <w:p w14:paraId="7B5E1C6C" w14:textId="77777777" w:rsidR="007E5B28" w:rsidRPr="00A1588E" w:rsidRDefault="007E5B28" w:rsidP="00A1588E">
            <w:pPr>
              <w:spacing w:before="40" w:after="40" w:line="240" w:lineRule="auto"/>
              <w:jc w:val="center"/>
              <w:rPr>
                <w:rFonts w:cs="Calibri"/>
                <w:color w:val="000000"/>
                <w:sz w:val="20"/>
                <w:szCs w:val="20"/>
              </w:rPr>
            </w:pPr>
            <w:r w:rsidRPr="00A1588E">
              <w:rPr>
                <w:rFonts w:cs="Calibri"/>
                <w:color w:val="000000"/>
                <w:sz w:val="20"/>
                <w:szCs w:val="20"/>
              </w:rPr>
              <w:t>0,001531</w:t>
            </w:r>
          </w:p>
        </w:tc>
        <w:tc>
          <w:tcPr>
            <w:tcW w:w="2552" w:type="dxa"/>
            <w:tcBorders>
              <w:top w:val="nil"/>
              <w:left w:val="nil"/>
              <w:bottom w:val="single" w:sz="4" w:space="0" w:color="auto"/>
              <w:right w:val="single" w:sz="4" w:space="0" w:color="auto"/>
            </w:tcBorders>
            <w:shd w:val="clear" w:color="auto" w:fill="auto"/>
            <w:noWrap/>
            <w:vAlign w:val="center"/>
          </w:tcPr>
          <w:p w14:paraId="647563C0" w14:textId="77777777" w:rsidR="007E5B28" w:rsidRPr="00A1588E" w:rsidRDefault="007E5B28" w:rsidP="00A1588E">
            <w:pPr>
              <w:spacing w:before="40" w:after="40" w:line="240" w:lineRule="auto"/>
              <w:jc w:val="center"/>
              <w:rPr>
                <w:rFonts w:cs="Calibri"/>
                <w:color w:val="000000"/>
                <w:sz w:val="20"/>
                <w:szCs w:val="20"/>
              </w:rPr>
            </w:pPr>
            <w:r w:rsidRPr="00A1588E">
              <w:rPr>
                <w:rFonts w:cs="Calibri"/>
                <w:color w:val="000000"/>
                <w:sz w:val="20"/>
                <w:szCs w:val="20"/>
              </w:rPr>
              <w:t>0,981256</w:t>
            </w:r>
          </w:p>
        </w:tc>
      </w:tr>
      <w:tr w:rsidR="007E5B28" w:rsidRPr="00766532" w14:paraId="14E08D0C" w14:textId="77777777" w:rsidTr="00A1588E">
        <w:trPr>
          <w:jc w:val="center"/>
        </w:trPr>
        <w:tc>
          <w:tcPr>
            <w:tcW w:w="1418" w:type="dxa"/>
            <w:tcBorders>
              <w:top w:val="nil"/>
              <w:left w:val="single" w:sz="4" w:space="0" w:color="auto"/>
              <w:bottom w:val="single" w:sz="4" w:space="0" w:color="auto"/>
              <w:right w:val="single" w:sz="4" w:space="0" w:color="auto"/>
            </w:tcBorders>
            <w:shd w:val="clear" w:color="auto" w:fill="auto"/>
            <w:noWrap/>
            <w:vAlign w:val="center"/>
          </w:tcPr>
          <w:p w14:paraId="1398B16B" w14:textId="77777777" w:rsidR="007E5B28" w:rsidRPr="00A1588E" w:rsidRDefault="007E5B28" w:rsidP="00A1588E">
            <w:pPr>
              <w:spacing w:before="40" w:after="40" w:line="240" w:lineRule="auto"/>
              <w:jc w:val="center"/>
              <w:rPr>
                <w:rFonts w:cs="Calibri"/>
                <w:color w:val="000000"/>
                <w:sz w:val="20"/>
                <w:szCs w:val="20"/>
              </w:rPr>
            </w:pPr>
            <w:r w:rsidRPr="00A1588E">
              <w:rPr>
                <w:rFonts w:cs="Calibri"/>
                <w:color w:val="000000"/>
                <w:sz w:val="20"/>
                <w:szCs w:val="20"/>
              </w:rPr>
              <w:t>ene-19</w:t>
            </w:r>
          </w:p>
        </w:tc>
        <w:tc>
          <w:tcPr>
            <w:tcW w:w="2552" w:type="dxa"/>
            <w:tcBorders>
              <w:top w:val="nil"/>
              <w:left w:val="nil"/>
              <w:bottom w:val="single" w:sz="4" w:space="0" w:color="auto"/>
              <w:right w:val="single" w:sz="4" w:space="0" w:color="auto"/>
            </w:tcBorders>
            <w:shd w:val="clear" w:color="auto" w:fill="auto"/>
            <w:noWrap/>
            <w:vAlign w:val="center"/>
          </w:tcPr>
          <w:p w14:paraId="63DB1F13" w14:textId="77777777" w:rsidR="007E5B28" w:rsidRPr="00A1588E" w:rsidRDefault="007E5B28" w:rsidP="00A1588E">
            <w:pPr>
              <w:spacing w:before="40" w:after="40" w:line="240" w:lineRule="auto"/>
              <w:jc w:val="center"/>
              <w:rPr>
                <w:rFonts w:cs="Calibri"/>
                <w:color w:val="000000"/>
                <w:sz w:val="20"/>
                <w:szCs w:val="20"/>
              </w:rPr>
            </w:pPr>
            <w:r w:rsidRPr="00A1588E">
              <w:rPr>
                <w:rFonts w:cs="Calibri"/>
                <w:color w:val="000000"/>
                <w:sz w:val="20"/>
                <w:szCs w:val="20"/>
              </w:rPr>
              <w:t>0,001529</w:t>
            </w:r>
          </w:p>
        </w:tc>
        <w:tc>
          <w:tcPr>
            <w:tcW w:w="2552" w:type="dxa"/>
            <w:tcBorders>
              <w:top w:val="nil"/>
              <w:left w:val="nil"/>
              <w:bottom w:val="single" w:sz="4" w:space="0" w:color="auto"/>
              <w:right w:val="single" w:sz="4" w:space="0" w:color="auto"/>
            </w:tcBorders>
            <w:shd w:val="clear" w:color="auto" w:fill="auto"/>
            <w:noWrap/>
            <w:vAlign w:val="center"/>
          </w:tcPr>
          <w:p w14:paraId="6844077F" w14:textId="77777777" w:rsidR="007E5B28" w:rsidRPr="00A1588E" w:rsidRDefault="007E5B28" w:rsidP="00A1588E">
            <w:pPr>
              <w:spacing w:before="40" w:after="40" w:line="240" w:lineRule="auto"/>
              <w:jc w:val="center"/>
              <w:rPr>
                <w:rFonts w:cs="Calibri"/>
                <w:color w:val="000000"/>
                <w:sz w:val="20"/>
                <w:szCs w:val="20"/>
              </w:rPr>
            </w:pPr>
            <w:r w:rsidRPr="00A1588E">
              <w:rPr>
                <w:rFonts w:cs="Calibri"/>
                <w:color w:val="000000"/>
                <w:sz w:val="20"/>
                <w:szCs w:val="20"/>
              </w:rPr>
              <w:t>0,979389</w:t>
            </w:r>
          </w:p>
        </w:tc>
      </w:tr>
      <w:tr w:rsidR="007E5B28" w:rsidRPr="00766532" w14:paraId="188DEEBB" w14:textId="77777777" w:rsidTr="00A1588E">
        <w:trPr>
          <w:jc w:val="center"/>
        </w:trPr>
        <w:tc>
          <w:tcPr>
            <w:tcW w:w="1418" w:type="dxa"/>
            <w:tcBorders>
              <w:top w:val="nil"/>
              <w:left w:val="single" w:sz="4" w:space="0" w:color="auto"/>
              <w:bottom w:val="single" w:sz="4" w:space="0" w:color="auto"/>
              <w:right w:val="single" w:sz="4" w:space="0" w:color="auto"/>
            </w:tcBorders>
            <w:shd w:val="clear" w:color="auto" w:fill="auto"/>
            <w:noWrap/>
            <w:vAlign w:val="center"/>
          </w:tcPr>
          <w:p w14:paraId="058FCD25" w14:textId="77777777" w:rsidR="007E5B28" w:rsidRPr="00A1588E" w:rsidRDefault="007E5B28" w:rsidP="00A1588E">
            <w:pPr>
              <w:spacing w:before="40" w:after="40" w:line="240" w:lineRule="auto"/>
              <w:jc w:val="center"/>
              <w:rPr>
                <w:rFonts w:cs="Calibri"/>
                <w:color w:val="000000"/>
                <w:sz w:val="20"/>
                <w:szCs w:val="20"/>
              </w:rPr>
            </w:pPr>
            <w:r w:rsidRPr="00A1588E">
              <w:rPr>
                <w:rFonts w:cs="Calibri"/>
                <w:color w:val="000000"/>
                <w:sz w:val="20"/>
                <w:szCs w:val="20"/>
              </w:rPr>
              <w:t>feb-19</w:t>
            </w:r>
          </w:p>
        </w:tc>
        <w:tc>
          <w:tcPr>
            <w:tcW w:w="2552" w:type="dxa"/>
            <w:tcBorders>
              <w:top w:val="nil"/>
              <w:left w:val="nil"/>
              <w:bottom w:val="single" w:sz="4" w:space="0" w:color="auto"/>
              <w:right w:val="single" w:sz="4" w:space="0" w:color="auto"/>
            </w:tcBorders>
            <w:shd w:val="clear" w:color="auto" w:fill="auto"/>
            <w:noWrap/>
            <w:vAlign w:val="center"/>
          </w:tcPr>
          <w:p w14:paraId="78BDB85D" w14:textId="77777777" w:rsidR="007E5B28" w:rsidRPr="00A1588E" w:rsidRDefault="007E5B28" w:rsidP="00A1588E">
            <w:pPr>
              <w:spacing w:before="40" w:after="40" w:line="240" w:lineRule="auto"/>
              <w:jc w:val="center"/>
              <w:rPr>
                <w:rFonts w:cs="Calibri"/>
                <w:color w:val="000000"/>
                <w:sz w:val="20"/>
                <w:szCs w:val="20"/>
              </w:rPr>
            </w:pPr>
            <w:r w:rsidRPr="00A1588E">
              <w:rPr>
                <w:rFonts w:cs="Calibri"/>
                <w:color w:val="000000"/>
                <w:sz w:val="20"/>
                <w:szCs w:val="20"/>
              </w:rPr>
              <w:t>0,001528</w:t>
            </w:r>
          </w:p>
        </w:tc>
        <w:tc>
          <w:tcPr>
            <w:tcW w:w="2552" w:type="dxa"/>
            <w:tcBorders>
              <w:top w:val="nil"/>
              <w:left w:val="nil"/>
              <w:bottom w:val="single" w:sz="4" w:space="0" w:color="auto"/>
              <w:right w:val="single" w:sz="4" w:space="0" w:color="auto"/>
            </w:tcBorders>
            <w:shd w:val="clear" w:color="auto" w:fill="auto"/>
            <w:noWrap/>
            <w:vAlign w:val="center"/>
          </w:tcPr>
          <w:p w14:paraId="2156C345" w14:textId="77777777" w:rsidR="007E5B28" w:rsidRPr="00A1588E" w:rsidRDefault="007E5B28" w:rsidP="00A1588E">
            <w:pPr>
              <w:spacing w:before="40" w:after="40" w:line="240" w:lineRule="auto"/>
              <w:jc w:val="center"/>
              <w:rPr>
                <w:rFonts w:cs="Calibri"/>
                <w:color w:val="000000"/>
                <w:sz w:val="20"/>
                <w:szCs w:val="20"/>
              </w:rPr>
            </w:pPr>
            <w:r w:rsidRPr="00A1588E">
              <w:rPr>
                <w:rFonts w:cs="Calibri"/>
                <w:color w:val="000000"/>
                <w:sz w:val="20"/>
                <w:szCs w:val="20"/>
              </w:rPr>
              <w:t>0,975267</w:t>
            </w:r>
          </w:p>
        </w:tc>
      </w:tr>
      <w:tr w:rsidR="007E5B28" w:rsidRPr="00766532" w14:paraId="4F5C6F1F" w14:textId="77777777" w:rsidTr="00A1588E">
        <w:trPr>
          <w:jc w:val="center"/>
        </w:trPr>
        <w:tc>
          <w:tcPr>
            <w:tcW w:w="1418" w:type="dxa"/>
            <w:tcBorders>
              <w:top w:val="nil"/>
              <w:left w:val="single" w:sz="4" w:space="0" w:color="auto"/>
              <w:bottom w:val="single" w:sz="4" w:space="0" w:color="auto"/>
              <w:right w:val="single" w:sz="4" w:space="0" w:color="auto"/>
            </w:tcBorders>
            <w:shd w:val="clear" w:color="auto" w:fill="auto"/>
            <w:noWrap/>
            <w:vAlign w:val="center"/>
          </w:tcPr>
          <w:p w14:paraId="180C4C69" w14:textId="77777777" w:rsidR="007E5B28" w:rsidRPr="00A1588E" w:rsidRDefault="007E5B28" w:rsidP="00A1588E">
            <w:pPr>
              <w:spacing w:before="40" w:after="40" w:line="240" w:lineRule="auto"/>
              <w:jc w:val="center"/>
              <w:rPr>
                <w:rFonts w:cs="Calibri"/>
                <w:color w:val="000000"/>
                <w:sz w:val="20"/>
                <w:szCs w:val="20"/>
              </w:rPr>
            </w:pPr>
            <w:r w:rsidRPr="00A1588E">
              <w:rPr>
                <w:rFonts w:cs="Calibri"/>
                <w:color w:val="000000"/>
                <w:sz w:val="20"/>
                <w:szCs w:val="20"/>
              </w:rPr>
              <w:t>mar-19</w:t>
            </w:r>
          </w:p>
        </w:tc>
        <w:tc>
          <w:tcPr>
            <w:tcW w:w="2552" w:type="dxa"/>
            <w:tcBorders>
              <w:top w:val="nil"/>
              <w:left w:val="nil"/>
              <w:bottom w:val="single" w:sz="4" w:space="0" w:color="auto"/>
              <w:right w:val="single" w:sz="4" w:space="0" w:color="auto"/>
            </w:tcBorders>
            <w:shd w:val="clear" w:color="auto" w:fill="auto"/>
            <w:noWrap/>
            <w:vAlign w:val="center"/>
          </w:tcPr>
          <w:p w14:paraId="2ADC0EC5" w14:textId="77777777" w:rsidR="007E5B28" w:rsidRPr="00A1588E" w:rsidRDefault="007E5B28" w:rsidP="00A1588E">
            <w:pPr>
              <w:spacing w:before="40" w:after="40" w:line="240" w:lineRule="auto"/>
              <w:jc w:val="center"/>
              <w:rPr>
                <w:rFonts w:cs="Calibri"/>
                <w:color w:val="000000"/>
                <w:sz w:val="20"/>
                <w:szCs w:val="20"/>
              </w:rPr>
            </w:pPr>
            <w:r w:rsidRPr="00A1588E">
              <w:rPr>
                <w:rFonts w:cs="Calibri"/>
                <w:color w:val="000000"/>
                <w:sz w:val="20"/>
                <w:szCs w:val="20"/>
              </w:rPr>
              <w:t>0,001521</w:t>
            </w:r>
          </w:p>
        </w:tc>
        <w:tc>
          <w:tcPr>
            <w:tcW w:w="2552" w:type="dxa"/>
            <w:tcBorders>
              <w:top w:val="nil"/>
              <w:left w:val="nil"/>
              <w:bottom w:val="single" w:sz="4" w:space="0" w:color="auto"/>
              <w:right w:val="single" w:sz="4" w:space="0" w:color="auto"/>
            </w:tcBorders>
            <w:shd w:val="clear" w:color="auto" w:fill="auto"/>
            <w:noWrap/>
            <w:vAlign w:val="center"/>
          </w:tcPr>
          <w:p w14:paraId="572F5F00" w14:textId="77777777" w:rsidR="007E5B28" w:rsidRPr="00A1588E" w:rsidRDefault="007E5B28" w:rsidP="00A1588E">
            <w:pPr>
              <w:spacing w:before="40" w:after="40" w:line="240" w:lineRule="auto"/>
              <w:jc w:val="center"/>
              <w:rPr>
                <w:rFonts w:cs="Calibri"/>
                <w:color w:val="000000"/>
                <w:sz w:val="20"/>
                <w:szCs w:val="20"/>
              </w:rPr>
            </w:pPr>
            <w:r w:rsidRPr="00A1588E">
              <w:rPr>
                <w:rFonts w:cs="Calibri"/>
                <w:color w:val="000000"/>
                <w:sz w:val="20"/>
                <w:szCs w:val="20"/>
              </w:rPr>
              <w:t>0,969796</w:t>
            </w:r>
          </w:p>
        </w:tc>
      </w:tr>
      <w:tr w:rsidR="007E5B28" w:rsidRPr="00766532" w14:paraId="13C3E143" w14:textId="77777777" w:rsidTr="00A1588E">
        <w:trPr>
          <w:jc w:val="center"/>
        </w:trPr>
        <w:tc>
          <w:tcPr>
            <w:tcW w:w="1418" w:type="dxa"/>
            <w:tcBorders>
              <w:top w:val="nil"/>
              <w:left w:val="single" w:sz="4" w:space="0" w:color="auto"/>
              <w:bottom w:val="single" w:sz="4" w:space="0" w:color="auto"/>
              <w:right w:val="single" w:sz="4" w:space="0" w:color="auto"/>
            </w:tcBorders>
            <w:shd w:val="clear" w:color="auto" w:fill="auto"/>
            <w:noWrap/>
            <w:vAlign w:val="center"/>
          </w:tcPr>
          <w:p w14:paraId="281FD639" w14:textId="77777777" w:rsidR="007E5B28" w:rsidRPr="00A1588E" w:rsidRDefault="007E5B28" w:rsidP="00A1588E">
            <w:pPr>
              <w:spacing w:before="40" w:after="40" w:line="240" w:lineRule="auto"/>
              <w:jc w:val="center"/>
              <w:rPr>
                <w:rFonts w:cs="Calibri"/>
                <w:color w:val="000000"/>
                <w:sz w:val="20"/>
                <w:szCs w:val="20"/>
              </w:rPr>
            </w:pPr>
            <w:r w:rsidRPr="00A1588E">
              <w:rPr>
                <w:rFonts w:cs="Calibri"/>
                <w:color w:val="000000"/>
                <w:sz w:val="20"/>
                <w:szCs w:val="20"/>
              </w:rPr>
              <w:t>abr-19</w:t>
            </w:r>
          </w:p>
        </w:tc>
        <w:tc>
          <w:tcPr>
            <w:tcW w:w="2552" w:type="dxa"/>
            <w:tcBorders>
              <w:top w:val="nil"/>
              <w:left w:val="nil"/>
              <w:bottom w:val="single" w:sz="4" w:space="0" w:color="auto"/>
              <w:right w:val="single" w:sz="4" w:space="0" w:color="auto"/>
            </w:tcBorders>
            <w:shd w:val="clear" w:color="auto" w:fill="auto"/>
            <w:noWrap/>
            <w:vAlign w:val="center"/>
          </w:tcPr>
          <w:p w14:paraId="686A1A01" w14:textId="77777777" w:rsidR="007E5B28" w:rsidRPr="00A1588E" w:rsidRDefault="007E5B28" w:rsidP="00A1588E">
            <w:pPr>
              <w:spacing w:before="40" w:after="40" w:line="240" w:lineRule="auto"/>
              <w:jc w:val="center"/>
              <w:rPr>
                <w:rFonts w:cs="Calibri"/>
                <w:color w:val="000000"/>
                <w:sz w:val="20"/>
                <w:szCs w:val="20"/>
              </w:rPr>
            </w:pPr>
            <w:r w:rsidRPr="00A1588E">
              <w:rPr>
                <w:rFonts w:cs="Calibri"/>
                <w:color w:val="000000"/>
                <w:sz w:val="20"/>
                <w:szCs w:val="20"/>
              </w:rPr>
              <w:t>0,001517</w:t>
            </w:r>
          </w:p>
        </w:tc>
        <w:tc>
          <w:tcPr>
            <w:tcW w:w="2552" w:type="dxa"/>
            <w:tcBorders>
              <w:top w:val="nil"/>
              <w:left w:val="nil"/>
              <w:bottom w:val="single" w:sz="4" w:space="0" w:color="auto"/>
              <w:right w:val="single" w:sz="4" w:space="0" w:color="auto"/>
            </w:tcBorders>
            <w:shd w:val="clear" w:color="auto" w:fill="auto"/>
            <w:noWrap/>
            <w:vAlign w:val="center"/>
          </w:tcPr>
          <w:p w14:paraId="49747546" w14:textId="77777777" w:rsidR="007E5B28" w:rsidRPr="00A1588E" w:rsidRDefault="007E5B28" w:rsidP="00A1588E">
            <w:pPr>
              <w:spacing w:before="40" w:after="40" w:line="240" w:lineRule="auto"/>
              <w:jc w:val="center"/>
              <w:rPr>
                <w:rFonts w:cs="Calibri"/>
                <w:color w:val="000000"/>
                <w:sz w:val="20"/>
                <w:szCs w:val="20"/>
              </w:rPr>
            </w:pPr>
            <w:r w:rsidRPr="00A1588E">
              <w:rPr>
                <w:rFonts w:cs="Calibri"/>
                <w:color w:val="000000"/>
                <w:sz w:val="20"/>
                <w:szCs w:val="20"/>
              </w:rPr>
              <w:t>0,964688</w:t>
            </w:r>
          </w:p>
        </w:tc>
      </w:tr>
      <w:tr w:rsidR="007E5B28" w:rsidRPr="00766532" w14:paraId="4DC0964F" w14:textId="77777777" w:rsidTr="00A1588E">
        <w:trPr>
          <w:jc w:val="center"/>
        </w:trPr>
        <w:tc>
          <w:tcPr>
            <w:tcW w:w="1418" w:type="dxa"/>
            <w:tcBorders>
              <w:top w:val="nil"/>
              <w:left w:val="single" w:sz="4" w:space="0" w:color="auto"/>
              <w:bottom w:val="single" w:sz="4" w:space="0" w:color="auto"/>
              <w:right w:val="single" w:sz="4" w:space="0" w:color="auto"/>
            </w:tcBorders>
            <w:shd w:val="clear" w:color="auto" w:fill="auto"/>
            <w:noWrap/>
            <w:vAlign w:val="center"/>
          </w:tcPr>
          <w:p w14:paraId="5CA59138" w14:textId="77777777" w:rsidR="007E5B28" w:rsidRPr="00A1588E" w:rsidRDefault="007E5B28" w:rsidP="00A1588E">
            <w:pPr>
              <w:spacing w:before="40" w:after="40" w:line="240" w:lineRule="auto"/>
              <w:jc w:val="center"/>
              <w:rPr>
                <w:rFonts w:cs="Calibri"/>
                <w:color w:val="000000"/>
                <w:sz w:val="20"/>
                <w:szCs w:val="20"/>
              </w:rPr>
            </w:pPr>
            <w:r w:rsidRPr="00A1588E">
              <w:rPr>
                <w:rFonts w:cs="Calibri"/>
                <w:color w:val="000000"/>
                <w:sz w:val="20"/>
                <w:szCs w:val="20"/>
              </w:rPr>
              <w:t>may-19</w:t>
            </w:r>
          </w:p>
        </w:tc>
        <w:tc>
          <w:tcPr>
            <w:tcW w:w="2552" w:type="dxa"/>
            <w:tcBorders>
              <w:top w:val="nil"/>
              <w:left w:val="nil"/>
              <w:bottom w:val="single" w:sz="4" w:space="0" w:color="auto"/>
              <w:right w:val="single" w:sz="4" w:space="0" w:color="auto"/>
            </w:tcBorders>
            <w:shd w:val="clear" w:color="auto" w:fill="auto"/>
            <w:noWrap/>
            <w:vAlign w:val="center"/>
          </w:tcPr>
          <w:p w14:paraId="56C0EEEE" w14:textId="77777777" w:rsidR="007E5B28" w:rsidRPr="00A1588E" w:rsidRDefault="007E5B28" w:rsidP="00A1588E">
            <w:pPr>
              <w:spacing w:before="40" w:after="40" w:line="240" w:lineRule="auto"/>
              <w:jc w:val="center"/>
              <w:rPr>
                <w:rFonts w:cs="Calibri"/>
                <w:color w:val="000000"/>
                <w:sz w:val="20"/>
                <w:szCs w:val="20"/>
              </w:rPr>
            </w:pPr>
            <w:r w:rsidRPr="00A1588E">
              <w:rPr>
                <w:rFonts w:cs="Calibri"/>
                <w:color w:val="000000"/>
                <w:sz w:val="20"/>
                <w:szCs w:val="20"/>
              </w:rPr>
              <w:t>0,001508</w:t>
            </w:r>
          </w:p>
        </w:tc>
        <w:tc>
          <w:tcPr>
            <w:tcW w:w="2552" w:type="dxa"/>
            <w:tcBorders>
              <w:top w:val="nil"/>
              <w:left w:val="nil"/>
              <w:bottom w:val="single" w:sz="4" w:space="0" w:color="auto"/>
              <w:right w:val="single" w:sz="4" w:space="0" w:color="auto"/>
            </w:tcBorders>
            <w:shd w:val="clear" w:color="auto" w:fill="auto"/>
            <w:noWrap/>
            <w:vAlign w:val="center"/>
          </w:tcPr>
          <w:p w14:paraId="429AF548" w14:textId="77777777" w:rsidR="007E5B28" w:rsidRPr="00A1588E" w:rsidRDefault="007E5B28" w:rsidP="00A1588E">
            <w:pPr>
              <w:spacing w:before="40" w:after="40" w:line="240" w:lineRule="auto"/>
              <w:jc w:val="center"/>
              <w:rPr>
                <w:rFonts w:cs="Calibri"/>
                <w:color w:val="000000"/>
                <w:sz w:val="20"/>
                <w:szCs w:val="20"/>
              </w:rPr>
            </w:pPr>
            <w:r w:rsidRPr="00A1588E">
              <w:rPr>
                <w:rFonts w:cs="Calibri"/>
                <w:color w:val="000000"/>
                <w:sz w:val="20"/>
                <w:szCs w:val="20"/>
              </w:rPr>
              <w:t>0,962638</w:t>
            </w:r>
          </w:p>
        </w:tc>
      </w:tr>
      <w:tr w:rsidR="007E5B28" w:rsidRPr="00766532" w14:paraId="113B976F" w14:textId="77777777" w:rsidTr="00A1588E">
        <w:trPr>
          <w:jc w:val="center"/>
        </w:trPr>
        <w:tc>
          <w:tcPr>
            <w:tcW w:w="1418" w:type="dxa"/>
            <w:tcBorders>
              <w:top w:val="nil"/>
              <w:left w:val="single" w:sz="4" w:space="0" w:color="auto"/>
              <w:bottom w:val="single" w:sz="4" w:space="0" w:color="auto"/>
              <w:right w:val="single" w:sz="4" w:space="0" w:color="auto"/>
            </w:tcBorders>
            <w:shd w:val="clear" w:color="auto" w:fill="auto"/>
            <w:noWrap/>
            <w:vAlign w:val="center"/>
          </w:tcPr>
          <w:p w14:paraId="705335A7" w14:textId="77777777" w:rsidR="007E5B28" w:rsidRPr="00A1588E" w:rsidRDefault="007E5B28" w:rsidP="00A1588E">
            <w:pPr>
              <w:spacing w:before="40" w:after="40" w:line="240" w:lineRule="auto"/>
              <w:jc w:val="center"/>
              <w:rPr>
                <w:rFonts w:cs="Calibri"/>
                <w:color w:val="000000"/>
                <w:sz w:val="20"/>
                <w:szCs w:val="20"/>
              </w:rPr>
            </w:pPr>
            <w:r w:rsidRPr="00A1588E">
              <w:rPr>
                <w:rFonts w:cs="Calibri"/>
                <w:color w:val="000000"/>
                <w:sz w:val="20"/>
                <w:szCs w:val="20"/>
              </w:rPr>
              <w:t>jun-19</w:t>
            </w:r>
          </w:p>
        </w:tc>
        <w:tc>
          <w:tcPr>
            <w:tcW w:w="2552" w:type="dxa"/>
            <w:tcBorders>
              <w:top w:val="nil"/>
              <w:left w:val="nil"/>
              <w:bottom w:val="single" w:sz="4" w:space="0" w:color="auto"/>
              <w:right w:val="single" w:sz="4" w:space="0" w:color="auto"/>
            </w:tcBorders>
            <w:shd w:val="clear" w:color="auto" w:fill="auto"/>
            <w:noWrap/>
            <w:vAlign w:val="center"/>
          </w:tcPr>
          <w:p w14:paraId="433E4985" w14:textId="77777777" w:rsidR="007E5B28" w:rsidRPr="00A1588E" w:rsidRDefault="007E5B28" w:rsidP="00A1588E">
            <w:pPr>
              <w:spacing w:before="40" w:after="40" w:line="240" w:lineRule="auto"/>
              <w:jc w:val="center"/>
              <w:rPr>
                <w:rFonts w:cs="Calibri"/>
                <w:color w:val="000000"/>
                <w:sz w:val="20"/>
                <w:szCs w:val="20"/>
              </w:rPr>
            </w:pPr>
            <w:r w:rsidRPr="00A1588E">
              <w:rPr>
                <w:rFonts w:cs="Calibri"/>
                <w:color w:val="000000"/>
                <w:sz w:val="20"/>
                <w:szCs w:val="20"/>
              </w:rPr>
              <w:t>0,001507</w:t>
            </w:r>
          </w:p>
        </w:tc>
        <w:tc>
          <w:tcPr>
            <w:tcW w:w="2552" w:type="dxa"/>
            <w:tcBorders>
              <w:top w:val="nil"/>
              <w:left w:val="nil"/>
              <w:bottom w:val="single" w:sz="4" w:space="0" w:color="auto"/>
              <w:right w:val="single" w:sz="4" w:space="0" w:color="auto"/>
            </w:tcBorders>
            <w:shd w:val="clear" w:color="auto" w:fill="auto"/>
            <w:noWrap/>
            <w:vAlign w:val="center"/>
          </w:tcPr>
          <w:p w14:paraId="479744EA" w14:textId="77777777" w:rsidR="007E5B28" w:rsidRPr="00A1588E" w:rsidRDefault="007E5B28" w:rsidP="00A1588E">
            <w:pPr>
              <w:spacing w:before="40" w:after="40" w:line="240" w:lineRule="auto"/>
              <w:jc w:val="center"/>
              <w:rPr>
                <w:rFonts w:cs="Calibri"/>
                <w:color w:val="000000"/>
                <w:sz w:val="20"/>
                <w:szCs w:val="20"/>
              </w:rPr>
            </w:pPr>
            <w:r w:rsidRPr="00A1588E">
              <w:rPr>
                <w:rFonts w:cs="Calibri"/>
                <w:color w:val="000000"/>
                <w:sz w:val="20"/>
                <w:szCs w:val="20"/>
              </w:rPr>
              <w:t>0,962447</w:t>
            </w:r>
          </w:p>
        </w:tc>
      </w:tr>
      <w:tr w:rsidR="007E5B28" w:rsidRPr="00766532" w14:paraId="3E570367" w14:textId="77777777" w:rsidTr="00A1588E">
        <w:trPr>
          <w:jc w:val="center"/>
        </w:trPr>
        <w:tc>
          <w:tcPr>
            <w:tcW w:w="1418" w:type="dxa"/>
            <w:tcBorders>
              <w:top w:val="nil"/>
              <w:left w:val="single" w:sz="4" w:space="0" w:color="auto"/>
              <w:bottom w:val="single" w:sz="4" w:space="0" w:color="auto"/>
              <w:right w:val="single" w:sz="4" w:space="0" w:color="auto"/>
            </w:tcBorders>
            <w:shd w:val="clear" w:color="auto" w:fill="auto"/>
            <w:noWrap/>
            <w:vAlign w:val="center"/>
          </w:tcPr>
          <w:p w14:paraId="362D294F" w14:textId="77777777" w:rsidR="007E5B28" w:rsidRPr="00A1588E" w:rsidRDefault="007E5B28" w:rsidP="00A1588E">
            <w:pPr>
              <w:spacing w:before="40" w:after="40" w:line="240" w:lineRule="auto"/>
              <w:jc w:val="center"/>
              <w:rPr>
                <w:rFonts w:cs="Calibri"/>
                <w:color w:val="000000"/>
                <w:sz w:val="20"/>
                <w:szCs w:val="20"/>
              </w:rPr>
            </w:pPr>
            <w:r w:rsidRPr="00A1588E">
              <w:rPr>
                <w:rFonts w:cs="Calibri"/>
                <w:color w:val="000000"/>
                <w:sz w:val="20"/>
                <w:szCs w:val="20"/>
              </w:rPr>
              <w:t>jul-19</w:t>
            </w:r>
          </w:p>
        </w:tc>
        <w:tc>
          <w:tcPr>
            <w:tcW w:w="2552" w:type="dxa"/>
            <w:tcBorders>
              <w:top w:val="nil"/>
              <w:left w:val="nil"/>
              <w:bottom w:val="single" w:sz="4" w:space="0" w:color="auto"/>
              <w:right w:val="single" w:sz="4" w:space="0" w:color="auto"/>
            </w:tcBorders>
            <w:shd w:val="clear" w:color="auto" w:fill="auto"/>
            <w:noWrap/>
            <w:vAlign w:val="center"/>
          </w:tcPr>
          <w:p w14:paraId="7D968713" w14:textId="77777777" w:rsidR="007E5B28" w:rsidRPr="00A1588E" w:rsidRDefault="007E5B28" w:rsidP="00A1588E">
            <w:pPr>
              <w:spacing w:before="40" w:after="40" w:line="240" w:lineRule="auto"/>
              <w:jc w:val="center"/>
              <w:rPr>
                <w:rFonts w:cs="Calibri"/>
                <w:color w:val="000000"/>
                <w:sz w:val="20"/>
                <w:szCs w:val="20"/>
              </w:rPr>
            </w:pPr>
            <w:r w:rsidRPr="00A1588E">
              <w:rPr>
                <w:rFonts w:cs="Calibri"/>
                <w:color w:val="000000"/>
                <w:sz w:val="20"/>
                <w:szCs w:val="20"/>
              </w:rPr>
              <w:t>0,001504</w:t>
            </w:r>
          </w:p>
        </w:tc>
        <w:tc>
          <w:tcPr>
            <w:tcW w:w="2552" w:type="dxa"/>
            <w:tcBorders>
              <w:top w:val="nil"/>
              <w:left w:val="nil"/>
              <w:bottom w:val="single" w:sz="4" w:space="0" w:color="auto"/>
              <w:right w:val="single" w:sz="4" w:space="0" w:color="auto"/>
            </w:tcBorders>
            <w:shd w:val="clear" w:color="auto" w:fill="auto"/>
            <w:noWrap/>
            <w:vAlign w:val="center"/>
          </w:tcPr>
          <w:p w14:paraId="12C8D9C5" w14:textId="77777777" w:rsidR="007E5B28" w:rsidRPr="00A1588E" w:rsidRDefault="007E5B28" w:rsidP="00A1588E">
            <w:pPr>
              <w:spacing w:before="40" w:after="40" w:line="240" w:lineRule="auto"/>
              <w:jc w:val="center"/>
              <w:rPr>
                <w:rFonts w:cs="Calibri"/>
                <w:color w:val="000000"/>
                <w:sz w:val="20"/>
                <w:szCs w:val="20"/>
              </w:rPr>
            </w:pPr>
            <w:r w:rsidRPr="00A1588E">
              <w:rPr>
                <w:rFonts w:cs="Calibri"/>
                <w:color w:val="000000"/>
                <w:sz w:val="20"/>
                <w:szCs w:val="20"/>
              </w:rPr>
              <w:t>0,960841</w:t>
            </w:r>
          </w:p>
        </w:tc>
      </w:tr>
      <w:tr w:rsidR="007E5B28" w:rsidRPr="00766532" w14:paraId="2DB5BC48" w14:textId="77777777" w:rsidTr="00A1588E">
        <w:trPr>
          <w:jc w:val="center"/>
        </w:trPr>
        <w:tc>
          <w:tcPr>
            <w:tcW w:w="1418" w:type="dxa"/>
            <w:tcBorders>
              <w:top w:val="nil"/>
              <w:left w:val="single" w:sz="4" w:space="0" w:color="auto"/>
              <w:bottom w:val="single" w:sz="4" w:space="0" w:color="auto"/>
              <w:right w:val="single" w:sz="4" w:space="0" w:color="auto"/>
            </w:tcBorders>
            <w:shd w:val="clear" w:color="auto" w:fill="auto"/>
            <w:noWrap/>
            <w:vAlign w:val="center"/>
          </w:tcPr>
          <w:p w14:paraId="2B2A6009" w14:textId="77777777" w:rsidR="007E5B28" w:rsidRPr="00A1588E" w:rsidRDefault="007E5B28" w:rsidP="00A1588E">
            <w:pPr>
              <w:spacing w:before="40" w:after="40" w:line="240" w:lineRule="auto"/>
              <w:jc w:val="center"/>
              <w:rPr>
                <w:rFonts w:cs="Calibri"/>
                <w:color w:val="000000"/>
                <w:sz w:val="20"/>
                <w:szCs w:val="20"/>
              </w:rPr>
            </w:pPr>
            <w:r w:rsidRPr="00A1588E">
              <w:rPr>
                <w:rFonts w:cs="Calibri"/>
                <w:color w:val="000000"/>
                <w:sz w:val="20"/>
                <w:szCs w:val="20"/>
              </w:rPr>
              <w:t>ago-19</w:t>
            </w:r>
          </w:p>
        </w:tc>
        <w:tc>
          <w:tcPr>
            <w:tcW w:w="2552" w:type="dxa"/>
            <w:tcBorders>
              <w:top w:val="nil"/>
              <w:left w:val="nil"/>
              <w:bottom w:val="single" w:sz="4" w:space="0" w:color="auto"/>
              <w:right w:val="single" w:sz="4" w:space="0" w:color="auto"/>
            </w:tcBorders>
            <w:shd w:val="clear" w:color="auto" w:fill="auto"/>
            <w:noWrap/>
            <w:vAlign w:val="center"/>
          </w:tcPr>
          <w:p w14:paraId="13B2F60A" w14:textId="77777777" w:rsidR="007E5B28" w:rsidRPr="00A1588E" w:rsidRDefault="007E5B28" w:rsidP="00A1588E">
            <w:pPr>
              <w:spacing w:before="40" w:after="40" w:line="240" w:lineRule="auto"/>
              <w:jc w:val="center"/>
              <w:rPr>
                <w:rFonts w:cs="Calibri"/>
                <w:color w:val="000000"/>
                <w:sz w:val="20"/>
                <w:szCs w:val="20"/>
              </w:rPr>
            </w:pPr>
            <w:r w:rsidRPr="00A1588E">
              <w:rPr>
                <w:rFonts w:cs="Calibri"/>
                <w:color w:val="000000"/>
                <w:sz w:val="20"/>
                <w:szCs w:val="20"/>
              </w:rPr>
              <w:t>0,001501</w:t>
            </w:r>
          </w:p>
        </w:tc>
        <w:tc>
          <w:tcPr>
            <w:tcW w:w="2552" w:type="dxa"/>
            <w:tcBorders>
              <w:top w:val="nil"/>
              <w:left w:val="nil"/>
              <w:bottom w:val="single" w:sz="4" w:space="0" w:color="auto"/>
              <w:right w:val="single" w:sz="4" w:space="0" w:color="auto"/>
            </w:tcBorders>
            <w:shd w:val="clear" w:color="auto" w:fill="auto"/>
            <w:noWrap/>
            <w:vAlign w:val="center"/>
          </w:tcPr>
          <w:p w14:paraId="53959D05" w14:textId="77777777" w:rsidR="007E5B28" w:rsidRPr="00A1588E" w:rsidRDefault="007E5B28" w:rsidP="00A1588E">
            <w:pPr>
              <w:spacing w:before="40" w:after="40" w:line="240" w:lineRule="auto"/>
              <w:jc w:val="center"/>
              <w:rPr>
                <w:rFonts w:cs="Calibri"/>
                <w:color w:val="000000"/>
                <w:sz w:val="20"/>
                <w:szCs w:val="20"/>
              </w:rPr>
            </w:pPr>
            <w:r w:rsidRPr="00A1588E">
              <w:rPr>
                <w:rFonts w:cs="Calibri"/>
                <w:color w:val="000000"/>
                <w:sz w:val="20"/>
                <w:szCs w:val="20"/>
              </w:rPr>
              <w:t>0,960890</w:t>
            </w:r>
          </w:p>
        </w:tc>
      </w:tr>
      <w:tr w:rsidR="007E5B28" w:rsidRPr="00766532" w14:paraId="49EF6A0D" w14:textId="77777777" w:rsidTr="00A1588E">
        <w:trPr>
          <w:jc w:val="center"/>
        </w:trPr>
        <w:tc>
          <w:tcPr>
            <w:tcW w:w="1418" w:type="dxa"/>
            <w:tcBorders>
              <w:top w:val="nil"/>
              <w:left w:val="single" w:sz="4" w:space="0" w:color="auto"/>
              <w:bottom w:val="single" w:sz="4" w:space="0" w:color="auto"/>
              <w:right w:val="single" w:sz="4" w:space="0" w:color="auto"/>
            </w:tcBorders>
            <w:shd w:val="clear" w:color="auto" w:fill="auto"/>
            <w:noWrap/>
            <w:vAlign w:val="center"/>
          </w:tcPr>
          <w:p w14:paraId="3004EC7A" w14:textId="77777777" w:rsidR="007E5B28" w:rsidRPr="00A1588E" w:rsidRDefault="007E5B28" w:rsidP="00A1588E">
            <w:pPr>
              <w:spacing w:before="40" w:after="40" w:line="240" w:lineRule="auto"/>
              <w:jc w:val="center"/>
              <w:rPr>
                <w:rFonts w:cs="Calibri"/>
                <w:color w:val="000000"/>
                <w:sz w:val="20"/>
                <w:szCs w:val="20"/>
              </w:rPr>
            </w:pPr>
            <w:r w:rsidRPr="00A1588E">
              <w:rPr>
                <w:rFonts w:cs="Calibri"/>
                <w:color w:val="000000"/>
                <w:sz w:val="20"/>
                <w:szCs w:val="20"/>
              </w:rPr>
              <w:t>sep-19</w:t>
            </w:r>
          </w:p>
        </w:tc>
        <w:tc>
          <w:tcPr>
            <w:tcW w:w="2552" w:type="dxa"/>
            <w:tcBorders>
              <w:top w:val="nil"/>
              <w:left w:val="nil"/>
              <w:bottom w:val="single" w:sz="4" w:space="0" w:color="auto"/>
              <w:right w:val="single" w:sz="4" w:space="0" w:color="auto"/>
            </w:tcBorders>
            <w:shd w:val="clear" w:color="auto" w:fill="auto"/>
            <w:noWrap/>
            <w:vAlign w:val="center"/>
          </w:tcPr>
          <w:p w14:paraId="47F0C163" w14:textId="77777777" w:rsidR="007E5B28" w:rsidRPr="00A1588E" w:rsidRDefault="007E5B28" w:rsidP="00A1588E">
            <w:pPr>
              <w:spacing w:before="40" w:after="40" w:line="240" w:lineRule="auto"/>
              <w:jc w:val="center"/>
              <w:rPr>
                <w:rFonts w:cs="Calibri"/>
                <w:color w:val="000000"/>
                <w:sz w:val="20"/>
                <w:szCs w:val="20"/>
              </w:rPr>
            </w:pPr>
            <w:r w:rsidRPr="00A1588E">
              <w:rPr>
                <w:rFonts w:cs="Calibri"/>
                <w:color w:val="000000"/>
                <w:sz w:val="20"/>
                <w:szCs w:val="20"/>
              </w:rPr>
              <w:t>0,001501</w:t>
            </w:r>
          </w:p>
        </w:tc>
        <w:tc>
          <w:tcPr>
            <w:tcW w:w="2552" w:type="dxa"/>
            <w:tcBorders>
              <w:top w:val="nil"/>
              <w:left w:val="nil"/>
              <w:bottom w:val="single" w:sz="4" w:space="0" w:color="auto"/>
              <w:right w:val="single" w:sz="4" w:space="0" w:color="auto"/>
            </w:tcBorders>
            <w:shd w:val="clear" w:color="auto" w:fill="auto"/>
            <w:noWrap/>
            <w:vAlign w:val="center"/>
          </w:tcPr>
          <w:p w14:paraId="7A37CE39" w14:textId="77777777" w:rsidR="007E5B28" w:rsidRPr="00A1588E" w:rsidRDefault="007E5B28" w:rsidP="00A1588E">
            <w:pPr>
              <w:spacing w:before="40" w:after="40" w:line="240" w:lineRule="auto"/>
              <w:jc w:val="center"/>
              <w:rPr>
                <w:rFonts w:cs="Calibri"/>
                <w:color w:val="000000"/>
                <w:sz w:val="20"/>
                <w:szCs w:val="20"/>
              </w:rPr>
            </w:pPr>
            <w:r w:rsidRPr="00A1588E">
              <w:rPr>
                <w:rFonts w:cs="Calibri"/>
                <w:color w:val="000000"/>
                <w:sz w:val="20"/>
                <w:szCs w:val="20"/>
              </w:rPr>
              <w:t>0,960138</w:t>
            </w:r>
          </w:p>
        </w:tc>
      </w:tr>
      <w:tr w:rsidR="007E5B28" w:rsidRPr="00766532" w14:paraId="62532AA3" w14:textId="77777777" w:rsidTr="00A1588E">
        <w:trPr>
          <w:jc w:val="center"/>
        </w:trPr>
        <w:tc>
          <w:tcPr>
            <w:tcW w:w="1418" w:type="dxa"/>
            <w:tcBorders>
              <w:top w:val="nil"/>
              <w:left w:val="single" w:sz="4" w:space="0" w:color="auto"/>
              <w:bottom w:val="single" w:sz="4" w:space="0" w:color="auto"/>
              <w:right w:val="single" w:sz="4" w:space="0" w:color="auto"/>
            </w:tcBorders>
            <w:shd w:val="clear" w:color="auto" w:fill="auto"/>
            <w:noWrap/>
            <w:vAlign w:val="center"/>
          </w:tcPr>
          <w:p w14:paraId="00C44C9E" w14:textId="77777777" w:rsidR="007E5B28" w:rsidRPr="00A1588E" w:rsidRDefault="007E5B28" w:rsidP="00A1588E">
            <w:pPr>
              <w:spacing w:before="40" w:after="40" w:line="240" w:lineRule="auto"/>
              <w:jc w:val="center"/>
              <w:rPr>
                <w:rFonts w:cs="Calibri"/>
                <w:color w:val="000000"/>
                <w:sz w:val="20"/>
                <w:szCs w:val="20"/>
              </w:rPr>
            </w:pPr>
            <w:r w:rsidRPr="00A1588E">
              <w:rPr>
                <w:rFonts w:cs="Calibri"/>
                <w:color w:val="000000"/>
                <w:sz w:val="20"/>
                <w:szCs w:val="20"/>
              </w:rPr>
              <w:t>oct-19</w:t>
            </w:r>
          </w:p>
        </w:tc>
        <w:tc>
          <w:tcPr>
            <w:tcW w:w="2552" w:type="dxa"/>
            <w:tcBorders>
              <w:top w:val="nil"/>
              <w:left w:val="nil"/>
              <w:bottom w:val="single" w:sz="4" w:space="0" w:color="auto"/>
              <w:right w:val="single" w:sz="4" w:space="0" w:color="auto"/>
            </w:tcBorders>
            <w:shd w:val="clear" w:color="auto" w:fill="auto"/>
            <w:noWrap/>
            <w:vAlign w:val="center"/>
          </w:tcPr>
          <w:p w14:paraId="05BBFF5A" w14:textId="77777777" w:rsidR="007E5B28" w:rsidRPr="00A1588E" w:rsidRDefault="007E5B28" w:rsidP="00A1588E">
            <w:pPr>
              <w:spacing w:before="40" w:after="40" w:line="240" w:lineRule="auto"/>
              <w:jc w:val="center"/>
              <w:rPr>
                <w:rFonts w:cs="Calibri"/>
                <w:color w:val="000000"/>
                <w:sz w:val="20"/>
                <w:szCs w:val="20"/>
              </w:rPr>
            </w:pPr>
            <w:r w:rsidRPr="00A1588E">
              <w:rPr>
                <w:rFonts w:cs="Calibri"/>
                <w:color w:val="000000"/>
                <w:sz w:val="20"/>
                <w:szCs w:val="20"/>
              </w:rPr>
              <w:t>0,001489</w:t>
            </w:r>
          </w:p>
        </w:tc>
        <w:tc>
          <w:tcPr>
            <w:tcW w:w="2552" w:type="dxa"/>
            <w:tcBorders>
              <w:top w:val="nil"/>
              <w:left w:val="nil"/>
              <w:bottom w:val="single" w:sz="4" w:space="0" w:color="auto"/>
              <w:right w:val="single" w:sz="4" w:space="0" w:color="auto"/>
            </w:tcBorders>
            <w:shd w:val="clear" w:color="auto" w:fill="auto"/>
            <w:noWrap/>
            <w:vAlign w:val="center"/>
          </w:tcPr>
          <w:p w14:paraId="183FCAC8" w14:textId="77777777" w:rsidR="007E5B28" w:rsidRPr="00A1588E" w:rsidRDefault="007E5B28" w:rsidP="00A1588E">
            <w:pPr>
              <w:spacing w:before="40" w:after="40" w:line="240" w:lineRule="auto"/>
              <w:jc w:val="center"/>
              <w:rPr>
                <w:rFonts w:cs="Calibri"/>
                <w:color w:val="000000"/>
                <w:sz w:val="20"/>
                <w:szCs w:val="20"/>
              </w:rPr>
            </w:pPr>
            <w:r w:rsidRPr="00A1588E">
              <w:rPr>
                <w:rFonts w:cs="Calibri"/>
                <w:color w:val="000000"/>
                <w:sz w:val="20"/>
                <w:szCs w:val="20"/>
              </w:rPr>
              <w:t>0,957948</w:t>
            </w:r>
          </w:p>
        </w:tc>
      </w:tr>
      <w:tr w:rsidR="007E5B28" w:rsidRPr="00766532" w14:paraId="037EF48A" w14:textId="77777777" w:rsidTr="00A1588E">
        <w:trPr>
          <w:jc w:val="center"/>
        </w:trPr>
        <w:tc>
          <w:tcPr>
            <w:tcW w:w="1418" w:type="dxa"/>
            <w:tcBorders>
              <w:top w:val="nil"/>
              <w:left w:val="single" w:sz="4" w:space="0" w:color="auto"/>
              <w:bottom w:val="single" w:sz="4" w:space="0" w:color="auto"/>
              <w:right w:val="single" w:sz="4" w:space="0" w:color="auto"/>
            </w:tcBorders>
            <w:shd w:val="clear" w:color="auto" w:fill="auto"/>
            <w:noWrap/>
            <w:vAlign w:val="center"/>
          </w:tcPr>
          <w:p w14:paraId="2B9790D4" w14:textId="77777777" w:rsidR="007E5B28" w:rsidRPr="00A1588E" w:rsidRDefault="007E5B28" w:rsidP="00A1588E">
            <w:pPr>
              <w:spacing w:before="40" w:after="40" w:line="240" w:lineRule="auto"/>
              <w:jc w:val="center"/>
              <w:rPr>
                <w:rFonts w:cs="Calibri"/>
                <w:color w:val="000000"/>
                <w:sz w:val="20"/>
                <w:szCs w:val="20"/>
              </w:rPr>
            </w:pPr>
            <w:r w:rsidRPr="00A1588E">
              <w:rPr>
                <w:rFonts w:cs="Calibri"/>
                <w:color w:val="000000"/>
                <w:sz w:val="20"/>
                <w:szCs w:val="20"/>
              </w:rPr>
              <w:t>nov-19</w:t>
            </w:r>
          </w:p>
        </w:tc>
        <w:tc>
          <w:tcPr>
            <w:tcW w:w="2552" w:type="dxa"/>
            <w:tcBorders>
              <w:top w:val="nil"/>
              <w:left w:val="nil"/>
              <w:bottom w:val="single" w:sz="4" w:space="0" w:color="auto"/>
              <w:right w:val="single" w:sz="4" w:space="0" w:color="auto"/>
            </w:tcBorders>
            <w:shd w:val="clear" w:color="auto" w:fill="auto"/>
            <w:noWrap/>
            <w:vAlign w:val="center"/>
          </w:tcPr>
          <w:p w14:paraId="709BEA5B" w14:textId="77777777" w:rsidR="007E5B28" w:rsidRPr="00A1588E" w:rsidRDefault="007E5B28" w:rsidP="00A1588E">
            <w:pPr>
              <w:spacing w:before="40" w:after="40" w:line="240" w:lineRule="auto"/>
              <w:jc w:val="center"/>
              <w:rPr>
                <w:rFonts w:cs="Calibri"/>
                <w:color w:val="000000"/>
                <w:sz w:val="20"/>
                <w:szCs w:val="20"/>
              </w:rPr>
            </w:pPr>
            <w:r w:rsidRPr="00A1588E">
              <w:rPr>
                <w:rFonts w:cs="Calibri"/>
                <w:color w:val="000000"/>
                <w:sz w:val="20"/>
                <w:szCs w:val="20"/>
              </w:rPr>
              <w:t>0,001488</w:t>
            </w:r>
          </w:p>
        </w:tc>
        <w:tc>
          <w:tcPr>
            <w:tcW w:w="2552" w:type="dxa"/>
            <w:tcBorders>
              <w:top w:val="nil"/>
              <w:left w:val="nil"/>
              <w:bottom w:val="single" w:sz="4" w:space="0" w:color="auto"/>
              <w:right w:val="single" w:sz="4" w:space="0" w:color="auto"/>
            </w:tcBorders>
            <w:shd w:val="clear" w:color="auto" w:fill="auto"/>
            <w:noWrap/>
            <w:vAlign w:val="center"/>
          </w:tcPr>
          <w:p w14:paraId="287AA0FE" w14:textId="77777777" w:rsidR="007E5B28" w:rsidRPr="00A1588E" w:rsidRDefault="007E5B28" w:rsidP="00A1588E">
            <w:pPr>
              <w:spacing w:before="40" w:after="40" w:line="240" w:lineRule="auto"/>
              <w:jc w:val="center"/>
              <w:rPr>
                <w:rFonts w:cs="Calibri"/>
                <w:color w:val="000000"/>
                <w:sz w:val="20"/>
                <w:szCs w:val="20"/>
              </w:rPr>
            </w:pPr>
            <w:r w:rsidRPr="00A1588E">
              <w:rPr>
                <w:rFonts w:cs="Calibri"/>
                <w:color w:val="000000"/>
                <w:sz w:val="20"/>
                <w:szCs w:val="20"/>
              </w:rPr>
              <w:t>0,958462</w:t>
            </w:r>
          </w:p>
        </w:tc>
      </w:tr>
      <w:tr w:rsidR="007E5B28" w:rsidRPr="00766532" w14:paraId="2D4AF11B" w14:textId="77777777" w:rsidTr="00A1588E">
        <w:trPr>
          <w:jc w:val="center"/>
        </w:trPr>
        <w:tc>
          <w:tcPr>
            <w:tcW w:w="1418" w:type="dxa"/>
            <w:tcBorders>
              <w:top w:val="nil"/>
              <w:left w:val="single" w:sz="4" w:space="0" w:color="auto"/>
              <w:bottom w:val="single" w:sz="4" w:space="0" w:color="auto"/>
              <w:right w:val="single" w:sz="4" w:space="0" w:color="auto"/>
            </w:tcBorders>
            <w:shd w:val="clear" w:color="auto" w:fill="auto"/>
            <w:noWrap/>
            <w:vAlign w:val="center"/>
          </w:tcPr>
          <w:p w14:paraId="3877F174" w14:textId="77777777" w:rsidR="007E5B28" w:rsidRPr="00A1588E" w:rsidRDefault="007E5B28" w:rsidP="00A1588E">
            <w:pPr>
              <w:spacing w:before="40" w:after="40" w:line="240" w:lineRule="auto"/>
              <w:jc w:val="center"/>
              <w:rPr>
                <w:rFonts w:cs="Calibri"/>
                <w:color w:val="000000"/>
                <w:sz w:val="20"/>
                <w:szCs w:val="20"/>
              </w:rPr>
            </w:pPr>
            <w:r w:rsidRPr="00A1588E">
              <w:rPr>
                <w:rFonts w:cs="Calibri"/>
                <w:color w:val="000000"/>
                <w:sz w:val="20"/>
                <w:szCs w:val="20"/>
              </w:rPr>
              <w:t>dic-19</w:t>
            </w:r>
          </w:p>
        </w:tc>
        <w:tc>
          <w:tcPr>
            <w:tcW w:w="2552" w:type="dxa"/>
            <w:tcBorders>
              <w:top w:val="nil"/>
              <w:left w:val="nil"/>
              <w:bottom w:val="single" w:sz="4" w:space="0" w:color="auto"/>
              <w:right w:val="single" w:sz="4" w:space="0" w:color="auto"/>
            </w:tcBorders>
            <w:shd w:val="clear" w:color="auto" w:fill="auto"/>
            <w:noWrap/>
            <w:vAlign w:val="center"/>
          </w:tcPr>
          <w:p w14:paraId="6C76C621" w14:textId="77777777" w:rsidR="007E5B28" w:rsidRPr="00A1588E" w:rsidRDefault="007E5B28" w:rsidP="00A1588E">
            <w:pPr>
              <w:spacing w:before="40" w:after="40" w:line="240" w:lineRule="auto"/>
              <w:jc w:val="center"/>
              <w:rPr>
                <w:rFonts w:cs="Calibri"/>
                <w:color w:val="000000"/>
                <w:sz w:val="20"/>
                <w:szCs w:val="20"/>
              </w:rPr>
            </w:pPr>
            <w:r w:rsidRPr="00A1588E">
              <w:rPr>
                <w:rFonts w:cs="Calibri"/>
                <w:color w:val="000000"/>
                <w:sz w:val="20"/>
                <w:szCs w:val="20"/>
              </w:rPr>
              <w:t>0,001486</w:t>
            </w:r>
          </w:p>
        </w:tc>
        <w:tc>
          <w:tcPr>
            <w:tcW w:w="2552" w:type="dxa"/>
            <w:tcBorders>
              <w:top w:val="nil"/>
              <w:left w:val="nil"/>
              <w:bottom w:val="single" w:sz="4" w:space="0" w:color="auto"/>
              <w:right w:val="single" w:sz="4" w:space="0" w:color="auto"/>
            </w:tcBorders>
            <w:shd w:val="clear" w:color="auto" w:fill="auto"/>
            <w:noWrap/>
            <w:vAlign w:val="center"/>
          </w:tcPr>
          <w:p w14:paraId="239BDBC6" w14:textId="77777777" w:rsidR="007E5B28" w:rsidRPr="00A1588E" w:rsidRDefault="007E5B28" w:rsidP="00A1588E">
            <w:pPr>
              <w:spacing w:before="40" w:after="40" w:line="240" w:lineRule="auto"/>
              <w:jc w:val="center"/>
              <w:rPr>
                <w:rFonts w:cs="Calibri"/>
                <w:color w:val="000000"/>
                <w:sz w:val="20"/>
                <w:szCs w:val="20"/>
              </w:rPr>
            </w:pPr>
            <w:r w:rsidRPr="00A1588E">
              <w:rPr>
                <w:rFonts w:cs="Calibri"/>
                <w:color w:val="000000"/>
                <w:sz w:val="20"/>
                <w:szCs w:val="20"/>
              </w:rPr>
              <w:t>0,959334</w:t>
            </w:r>
          </w:p>
        </w:tc>
      </w:tr>
    </w:tbl>
    <w:p w14:paraId="212B6899" w14:textId="72101EBF" w:rsidR="001E13FF" w:rsidRPr="00FB56A2" w:rsidRDefault="00766532" w:rsidP="00A1588E">
      <w:pPr>
        <w:spacing w:before="120"/>
      </w:pPr>
      <w:r>
        <w:t xml:space="preserve">El cálculo detallado de los deflactores se muestra en el </w:t>
      </w:r>
      <w:r w:rsidR="00975191">
        <w:t>“</w:t>
      </w:r>
      <w:r w:rsidR="00B66B7D">
        <w:t>Anexo GE_1_De</w:t>
      </w:r>
      <w:r w:rsidR="00975191">
        <w:t>flactores”.</w:t>
      </w:r>
    </w:p>
    <w:p w14:paraId="700B12E3" w14:textId="16ADE01F" w:rsidR="008F013C" w:rsidRPr="008F013C" w:rsidRDefault="008F013C" w:rsidP="008F013C">
      <w:pPr>
        <w:pStyle w:val="Ttulo1"/>
      </w:pPr>
      <w:bookmarkStart w:id="576" w:name="_Toc39797909"/>
      <w:r w:rsidRPr="008F013C">
        <w:t>R</w:t>
      </w:r>
      <w:r w:rsidR="00E8341C">
        <w:t>esultados del</w:t>
      </w:r>
      <w:r w:rsidR="00B567D0">
        <w:t xml:space="preserve"> estudio</w:t>
      </w:r>
      <w:bookmarkEnd w:id="576"/>
    </w:p>
    <w:p w14:paraId="73E073EA" w14:textId="03B6A36E" w:rsidR="009E32FD" w:rsidRDefault="00B567D0" w:rsidP="00680717">
      <w:r>
        <w:t>Sin perjuicio de la estructuración y presentación de resultados solicitadas en las Bases para los diferentes conceptos de costo</w:t>
      </w:r>
      <w:r w:rsidR="00E82044">
        <w:t xml:space="preserve"> involucrados en el estudio, y que se acompañan en tales términos en los </w:t>
      </w:r>
      <w:r w:rsidR="00653A58">
        <w:t>diferentes</w:t>
      </w:r>
      <w:r w:rsidR="00E82044">
        <w:t xml:space="preserve"> anexos del presente informe, se presentan a continuación los resultados preliminares del estudio de modo resumido.</w:t>
      </w:r>
    </w:p>
    <w:p w14:paraId="0543AB56" w14:textId="77777777" w:rsidR="005C2D74" w:rsidRDefault="005C2D74">
      <w:pPr>
        <w:spacing w:after="0" w:line="240" w:lineRule="auto"/>
        <w:jc w:val="left"/>
        <w:rPr>
          <w:b/>
          <w:iCs/>
          <w:sz w:val="22"/>
          <w:szCs w:val="20"/>
        </w:rPr>
      </w:pPr>
      <w:r>
        <w:br w:type="page"/>
      </w:r>
    </w:p>
    <w:p w14:paraId="0DB23AA5" w14:textId="4E89530B" w:rsidR="003A0B8A" w:rsidRDefault="003A0B8A" w:rsidP="003A0B8A">
      <w:pPr>
        <w:pStyle w:val="Subttulo"/>
      </w:pPr>
      <w:bookmarkStart w:id="577" w:name="_Toc39797978"/>
      <w:r w:rsidRPr="002F3394">
        <w:lastRenderedPageBreak/>
        <w:t xml:space="preserve">Tabla </w:t>
      </w:r>
      <w:fldSimple w:instr=" SEQ Tabla \* ARABIC ">
        <w:r w:rsidR="001F3E2E">
          <w:rPr>
            <w:noProof/>
          </w:rPr>
          <w:t>68</w:t>
        </w:r>
      </w:fldSimple>
      <w:r>
        <w:t>: Resultados A.V.I</w:t>
      </w:r>
      <w:proofErr w:type="gramStart"/>
      <w:r>
        <w:t>. ,</w:t>
      </w:r>
      <w:proofErr w:type="gramEnd"/>
      <w:r>
        <w:t xml:space="preserve"> C.O.M.A., A.E.I.R y V.A.T.T. tramos de transporte</w:t>
      </w:r>
      <w:bookmarkEnd w:id="577"/>
      <w:r>
        <w:t xml:space="preserve"> </w:t>
      </w:r>
    </w:p>
    <w:tbl>
      <w:tblPr>
        <w:tblW w:w="0" w:type="auto"/>
        <w:jc w:val="center"/>
        <w:tblLayout w:type="fixed"/>
        <w:tblCellMar>
          <w:left w:w="57" w:type="dxa"/>
          <w:right w:w="57" w:type="dxa"/>
        </w:tblCellMar>
        <w:tblLook w:val="04A0" w:firstRow="1" w:lastRow="0" w:firstColumn="1" w:lastColumn="0" w:noHBand="0" w:noVBand="1"/>
      </w:tblPr>
      <w:tblGrid>
        <w:gridCol w:w="851"/>
        <w:gridCol w:w="4253"/>
        <w:gridCol w:w="1134"/>
        <w:gridCol w:w="1134"/>
        <w:gridCol w:w="1134"/>
        <w:gridCol w:w="1134"/>
      </w:tblGrid>
      <w:tr w:rsidR="00C746F4" w:rsidRPr="00A1588E" w14:paraId="6094878F" w14:textId="77777777" w:rsidTr="006B5A62">
        <w:trPr>
          <w:tblHeader/>
          <w:jc w:val="center"/>
        </w:trPr>
        <w:tc>
          <w:tcPr>
            <w:tcW w:w="851" w:type="dxa"/>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0145786E" w14:textId="77777777" w:rsidR="00C746F4" w:rsidRPr="00A1588E" w:rsidRDefault="00C746F4" w:rsidP="006B5A62">
            <w:pPr>
              <w:spacing w:before="20" w:after="20" w:line="240" w:lineRule="auto"/>
              <w:jc w:val="center"/>
              <w:rPr>
                <w:rFonts w:asciiTheme="minorHAnsi" w:eastAsia="Times New Roman" w:hAnsiTheme="minorHAnsi" w:cstheme="minorHAnsi"/>
                <w:b/>
                <w:bCs/>
                <w:color w:val="000000"/>
                <w:sz w:val="20"/>
                <w:szCs w:val="20"/>
                <w:lang w:eastAsia="es-CL"/>
              </w:rPr>
            </w:pPr>
            <w:r w:rsidRPr="00A1588E">
              <w:rPr>
                <w:rFonts w:asciiTheme="minorHAnsi" w:eastAsia="Times New Roman" w:hAnsiTheme="minorHAnsi" w:cstheme="minorHAnsi"/>
                <w:b/>
                <w:bCs/>
                <w:color w:val="000000"/>
                <w:sz w:val="20"/>
                <w:szCs w:val="20"/>
                <w:lang w:eastAsia="es-CL"/>
              </w:rPr>
              <w:t>Código</w:t>
            </w:r>
          </w:p>
        </w:tc>
        <w:tc>
          <w:tcPr>
            <w:tcW w:w="4253" w:type="dxa"/>
            <w:tcBorders>
              <w:top w:val="single" w:sz="4" w:space="0" w:color="auto"/>
              <w:left w:val="nil"/>
              <w:bottom w:val="single" w:sz="4" w:space="0" w:color="auto"/>
              <w:right w:val="single" w:sz="4" w:space="0" w:color="auto"/>
            </w:tcBorders>
            <w:shd w:val="clear" w:color="000000" w:fill="D9D9D9"/>
            <w:noWrap/>
            <w:vAlign w:val="center"/>
            <w:hideMark/>
          </w:tcPr>
          <w:p w14:paraId="6129C94F" w14:textId="77777777" w:rsidR="00C746F4" w:rsidRPr="00A1588E" w:rsidRDefault="00C746F4" w:rsidP="006B5A62">
            <w:pPr>
              <w:spacing w:before="20" w:after="20" w:line="240" w:lineRule="auto"/>
              <w:jc w:val="center"/>
              <w:rPr>
                <w:rFonts w:asciiTheme="minorHAnsi" w:eastAsia="Times New Roman" w:hAnsiTheme="minorHAnsi" w:cstheme="minorHAnsi"/>
                <w:b/>
                <w:bCs/>
                <w:color w:val="000000"/>
                <w:sz w:val="20"/>
                <w:szCs w:val="20"/>
                <w:lang w:eastAsia="es-CL"/>
              </w:rPr>
            </w:pPr>
            <w:r w:rsidRPr="00A1588E">
              <w:rPr>
                <w:rFonts w:asciiTheme="minorHAnsi" w:eastAsia="Times New Roman" w:hAnsiTheme="minorHAnsi" w:cstheme="minorHAnsi"/>
                <w:b/>
                <w:bCs/>
                <w:color w:val="000000"/>
                <w:sz w:val="20"/>
                <w:szCs w:val="20"/>
                <w:lang w:eastAsia="es-CL"/>
              </w:rPr>
              <w:t>Tramo de transporte</w:t>
            </w:r>
          </w:p>
        </w:tc>
        <w:tc>
          <w:tcPr>
            <w:tcW w:w="1134" w:type="dxa"/>
            <w:tcBorders>
              <w:top w:val="single" w:sz="4" w:space="0" w:color="auto"/>
              <w:left w:val="nil"/>
              <w:bottom w:val="single" w:sz="4" w:space="0" w:color="auto"/>
              <w:right w:val="single" w:sz="4" w:space="0" w:color="auto"/>
            </w:tcBorders>
            <w:shd w:val="clear" w:color="000000" w:fill="D9D9D9"/>
            <w:noWrap/>
            <w:vAlign w:val="center"/>
            <w:hideMark/>
          </w:tcPr>
          <w:p w14:paraId="1B1CC221" w14:textId="77777777" w:rsidR="00C746F4" w:rsidRPr="00A1588E" w:rsidRDefault="00C746F4" w:rsidP="006B5A62">
            <w:pPr>
              <w:spacing w:before="20" w:after="20" w:line="240" w:lineRule="auto"/>
              <w:jc w:val="center"/>
              <w:rPr>
                <w:rFonts w:asciiTheme="minorHAnsi" w:eastAsia="Times New Roman" w:hAnsiTheme="minorHAnsi" w:cstheme="minorHAnsi"/>
                <w:b/>
                <w:bCs/>
                <w:color w:val="000000"/>
                <w:sz w:val="20"/>
                <w:szCs w:val="20"/>
                <w:lang w:eastAsia="es-CL"/>
              </w:rPr>
            </w:pPr>
            <w:r w:rsidRPr="00A1588E">
              <w:rPr>
                <w:rFonts w:asciiTheme="minorHAnsi" w:eastAsia="Times New Roman" w:hAnsiTheme="minorHAnsi" w:cstheme="minorHAnsi"/>
                <w:b/>
                <w:bCs/>
                <w:color w:val="000000"/>
                <w:sz w:val="20"/>
                <w:szCs w:val="20"/>
                <w:lang w:eastAsia="es-CL"/>
              </w:rPr>
              <w:t>A.V.I.</w:t>
            </w:r>
          </w:p>
          <w:p w14:paraId="3950368B" w14:textId="77777777" w:rsidR="00C746F4" w:rsidRPr="00A1588E" w:rsidRDefault="00C746F4" w:rsidP="006B5A62">
            <w:pPr>
              <w:spacing w:before="20" w:after="20" w:line="240" w:lineRule="auto"/>
              <w:jc w:val="center"/>
              <w:rPr>
                <w:rFonts w:asciiTheme="minorHAnsi" w:eastAsia="Times New Roman" w:hAnsiTheme="minorHAnsi" w:cstheme="minorHAnsi"/>
                <w:b/>
                <w:bCs/>
                <w:color w:val="000000"/>
                <w:sz w:val="20"/>
                <w:szCs w:val="20"/>
                <w:lang w:eastAsia="es-CL"/>
              </w:rPr>
            </w:pPr>
            <w:r w:rsidRPr="00A1588E">
              <w:rPr>
                <w:rFonts w:asciiTheme="minorHAnsi" w:eastAsia="Times New Roman" w:hAnsiTheme="minorHAnsi" w:cstheme="minorHAnsi"/>
                <w:b/>
                <w:bCs/>
                <w:color w:val="000000"/>
                <w:sz w:val="20"/>
                <w:szCs w:val="20"/>
                <w:lang w:eastAsia="es-CL"/>
              </w:rPr>
              <w:t>(USD 2017)</w:t>
            </w:r>
          </w:p>
        </w:tc>
        <w:tc>
          <w:tcPr>
            <w:tcW w:w="1134" w:type="dxa"/>
            <w:tcBorders>
              <w:top w:val="single" w:sz="4" w:space="0" w:color="auto"/>
              <w:left w:val="nil"/>
              <w:bottom w:val="single" w:sz="4" w:space="0" w:color="auto"/>
              <w:right w:val="single" w:sz="4" w:space="0" w:color="auto"/>
            </w:tcBorders>
            <w:shd w:val="clear" w:color="000000" w:fill="D9D9D9"/>
            <w:noWrap/>
            <w:vAlign w:val="center"/>
            <w:hideMark/>
          </w:tcPr>
          <w:p w14:paraId="55494212" w14:textId="77777777" w:rsidR="00C746F4" w:rsidRPr="00A1588E" w:rsidRDefault="00C746F4" w:rsidP="006B5A62">
            <w:pPr>
              <w:spacing w:before="20" w:after="20" w:line="240" w:lineRule="auto"/>
              <w:jc w:val="center"/>
              <w:rPr>
                <w:rFonts w:asciiTheme="minorHAnsi" w:eastAsia="Times New Roman" w:hAnsiTheme="minorHAnsi" w:cstheme="minorHAnsi"/>
                <w:b/>
                <w:bCs/>
                <w:color w:val="000000"/>
                <w:sz w:val="20"/>
                <w:szCs w:val="20"/>
                <w:lang w:eastAsia="es-CL"/>
              </w:rPr>
            </w:pPr>
            <w:r w:rsidRPr="00A1588E">
              <w:rPr>
                <w:rFonts w:asciiTheme="minorHAnsi" w:eastAsia="Times New Roman" w:hAnsiTheme="minorHAnsi" w:cstheme="minorHAnsi"/>
                <w:b/>
                <w:bCs/>
                <w:color w:val="000000"/>
                <w:sz w:val="20"/>
                <w:szCs w:val="20"/>
                <w:lang w:eastAsia="es-CL"/>
              </w:rPr>
              <w:t>C.O.M.A.</w:t>
            </w:r>
          </w:p>
          <w:p w14:paraId="767882A1" w14:textId="77777777" w:rsidR="00C746F4" w:rsidRPr="00A1588E" w:rsidRDefault="00C746F4" w:rsidP="006B5A62">
            <w:pPr>
              <w:spacing w:before="20" w:after="20" w:line="240" w:lineRule="auto"/>
              <w:jc w:val="center"/>
              <w:rPr>
                <w:rFonts w:asciiTheme="minorHAnsi" w:eastAsia="Times New Roman" w:hAnsiTheme="minorHAnsi" w:cstheme="minorHAnsi"/>
                <w:b/>
                <w:bCs/>
                <w:color w:val="000000"/>
                <w:sz w:val="20"/>
                <w:szCs w:val="20"/>
                <w:lang w:eastAsia="es-CL"/>
              </w:rPr>
            </w:pPr>
            <w:r w:rsidRPr="00A1588E">
              <w:rPr>
                <w:rFonts w:asciiTheme="minorHAnsi" w:eastAsia="Times New Roman" w:hAnsiTheme="minorHAnsi" w:cstheme="minorHAnsi"/>
                <w:b/>
                <w:bCs/>
                <w:color w:val="000000"/>
                <w:sz w:val="20"/>
                <w:szCs w:val="20"/>
                <w:lang w:eastAsia="es-CL"/>
              </w:rPr>
              <w:t>(USD 2017)</w:t>
            </w:r>
          </w:p>
        </w:tc>
        <w:tc>
          <w:tcPr>
            <w:tcW w:w="1134" w:type="dxa"/>
            <w:tcBorders>
              <w:top w:val="single" w:sz="4" w:space="0" w:color="auto"/>
              <w:left w:val="nil"/>
              <w:bottom w:val="single" w:sz="4" w:space="0" w:color="auto"/>
              <w:right w:val="single" w:sz="4" w:space="0" w:color="auto"/>
            </w:tcBorders>
            <w:shd w:val="clear" w:color="000000" w:fill="D9D9D9"/>
            <w:noWrap/>
            <w:vAlign w:val="center"/>
            <w:hideMark/>
          </w:tcPr>
          <w:p w14:paraId="08384F61" w14:textId="77777777" w:rsidR="00C746F4" w:rsidRPr="00A1588E" w:rsidRDefault="00C746F4" w:rsidP="006B5A62">
            <w:pPr>
              <w:spacing w:before="20" w:after="20" w:line="240" w:lineRule="auto"/>
              <w:jc w:val="center"/>
              <w:rPr>
                <w:rFonts w:asciiTheme="minorHAnsi" w:eastAsia="Times New Roman" w:hAnsiTheme="minorHAnsi" w:cstheme="minorHAnsi"/>
                <w:b/>
                <w:bCs/>
                <w:color w:val="000000"/>
                <w:sz w:val="20"/>
                <w:szCs w:val="20"/>
                <w:lang w:eastAsia="es-CL"/>
              </w:rPr>
            </w:pPr>
            <w:r w:rsidRPr="00A1588E">
              <w:rPr>
                <w:rFonts w:asciiTheme="minorHAnsi" w:eastAsia="Times New Roman" w:hAnsiTheme="minorHAnsi" w:cstheme="minorHAnsi"/>
                <w:b/>
                <w:bCs/>
                <w:color w:val="000000"/>
                <w:sz w:val="20"/>
                <w:szCs w:val="20"/>
                <w:lang w:eastAsia="es-CL"/>
              </w:rPr>
              <w:t>A.E.I.R.</w:t>
            </w:r>
          </w:p>
          <w:p w14:paraId="7349FD7F" w14:textId="77777777" w:rsidR="00C746F4" w:rsidRPr="00A1588E" w:rsidRDefault="00C746F4" w:rsidP="006B5A62">
            <w:pPr>
              <w:spacing w:before="20" w:after="20" w:line="240" w:lineRule="auto"/>
              <w:jc w:val="center"/>
              <w:rPr>
                <w:rFonts w:asciiTheme="minorHAnsi" w:eastAsia="Times New Roman" w:hAnsiTheme="minorHAnsi" w:cstheme="minorHAnsi"/>
                <w:b/>
                <w:bCs/>
                <w:color w:val="000000"/>
                <w:sz w:val="20"/>
                <w:szCs w:val="20"/>
                <w:lang w:eastAsia="es-CL"/>
              </w:rPr>
            </w:pPr>
            <w:r w:rsidRPr="00A1588E">
              <w:rPr>
                <w:rFonts w:asciiTheme="minorHAnsi" w:eastAsia="Times New Roman" w:hAnsiTheme="minorHAnsi" w:cstheme="minorHAnsi"/>
                <w:b/>
                <w:bCs/>
                <w:color w:val="000000"/>
                <w:sz w:val="20"/>
                <w:szCs w:val="20"/>
                <w:lang w:eastAsia="es-CL"/>
              </w:rPr>
              <w:t>(USD 2017)</w:t>
            </w:r>
          </w:p>
        </w:tc>
        <w:tc>
          <w:tcPr>
            <w:tcW w:w="1134" w:type="dxa"/>
            <w:tcBorders>
              <w:top w:val="single" w:sz="4" w:space="0" w:color="auto"/>
              <w:left w:val="nil"/>
              <w:bottom w:val="single" w:sz="4" w:space="0" w:color="auto"/>
              <w:right w:val="single" w:sz="4" w:space="0" w:color="auto"/>
            </w:tcBorders>
            <w:shd w:val="clear" w:color="000000" w:fill="D9D9D9"/>
            <w:noWrap/>
            <w:vAlign w:val="center"/>
            <w:hideMark/>
          </w:tcPr>
          <w:p w14:paraId="788EF95A" w14:textId="77777777" w:rsidR="00C746F4" w:rsidRPr="00A1588E" w:rsidRDefault="00C746F4" w:rsidP="006B5A62">
            <w:pPr>
              <w:spacing w:before="20" w:after="20" w:line="240" w:lineRule="auto"/>
              <w:jc w:val="center"/>
              <w:rPr>
                <w:rFonts w:asciiTheme="minorHAnsi" w:eastAsia="Times New Roman" w:hAnsiTheme="minorHAnsi" w:cstheme="minorHAnsi"/>
                <w:b/>
                <w:bCs/>
                <w:color w:val="000000"/>
                <w:sz w:val="20"/>
                <w:szCs w:val="20"/>
                <w:lang w:eastAsia="es-CL"/>
              </w:rPr>
            </w:pPr>
            <w:r w:rsidRPr="00A1588E">
              <w:rPr>
                <w:rFonts w:asciiTheme="minorHAnsi" w:eastAsia="Times New Roman" w:hAnsiTheme="minorHAnsi" w:cstheme="minorHAnsi"/>
                <w:b/>
                <w:bCs/>
                <w:color w:val="000000"/>
                <w:sz w:val="20"/>
                <w:szCs w:val="20"/>
                <w:lang w:eastAsia="es-CL"/>
              </w:rPr>
              <w:t>V.A.T.T.</w:t>
            </w:r>
          </w:p>
          <w:p w14:paraId="2000FA71" w14:textId="77777777" w:rsidR="00C746F4" w:rsidRPr="00A1588E" w:rsidRDefault="00C746F4" w:rsidP="006B5A62">
            <w:pPr>
              <w:spacing w:before="20" w:after="20" w:line="240" w:lineRule="auto"/>
              <w:jc w:val="center"/>
              <w:rPr>
                <w:rFonts w:asciiTheme="minorHAnsi" w:eastAsia="Times New Roman" w:hAnsiTheme="minorHAnsi" w:cstheme="minorHAnsi"/>
                <w:b/>
                <w:bCs/>
                <w:color w:val="000000"/>
                <w:sz w:val="20"/>
                <w:szCs w:val="20"/>
                <w:lang w:eastAsia="es-CL"/>
              </w:rPr>
            </w:pPr>
            <w:r w:rsidRPr="00A1588E">
              <w:rPr>
                <w:rFonts w:asciiTheme="minorHAnsi" w:eastAsia="Times New Roman" w:hAnsiTheme="minorHAnsi" w:cstheme="minorHAnsi"/>
                <w:b/>
                <w:bCs/>
                <w:color w:val="000000"/>
                <w:sz w:val="20"/>
                <w:szCs w:val="20"/>
                <w:lang w:eastAsia="es-CL"/>
              </w:rPr>
              <w:t>(USD 2017)</w:t>
            </w:r>
          </w:p>
        </w:tc>
      </w:tr>
      <w:tr w:rsidR="00C746F4" w:rsidRPr="00A1588E" w14:paraId="7220F7F2"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3D214FDE"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N_1</w:t>
            </w:r>
          </w:p>
        </w:tc>
        <w:tc>
          <w:tcPr>
            <w:tcW w:w="4253" w:type="dxa"/>
            <w:tcBorders>
              <w:top w:val="nil"/>
              <w:left w:val="nil"/>
              <w:bottom w:val="single" w:sz="4" w:space="0" w:color="auto"/>
              <w:right w:val="single" w:sz="4" w:space="0" w:color="auto"/>
            </w:tcBorders>
            <w:shd w:val="clear" w:color="auto" w:fill="auto"/>
            <w:noWrap/>
            <w:vAlign w:val="center"/>
            <w:hideMark/>
          </w:tcPr>
          <w:p w14:paraId="4201C619"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Alto Jahuel 220-&gt;Alto Jahuel 500</w:t>
            </w:r>
          </w:p>
        </w:tc>
        <w:tc>
          <w:tcPr>
            <w:tcW w:w="1134" w:type="dxa"/>
            <w:tcBorders>
              <w:top w:val="nil"/>
              <w:left w:val="nil"/>
              <w:bottom w:val="single" w:sz="4" w:space="0" w:color="auto"/>
              <w:right w:val="single" w:sz="4" w:space="0" w:color="auto"/>
            </w:tcBorders>
            <w:shd w:val="clear" w:color="auto" w:fill="auto"/>
            <w:noWrap/>
            <w:vAlign w:val="center"/>
          </w:tcPr>
          <w:p w14:paraId="59198DBD"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1.153.656</w:t>
            </w:r>
          </w:p>
        </w:tc>
        <w:tc>
          <w:tcPr>
            <w:tcW w:w="1134" w:type="dxa"/>
            <w:tcBorders>
              <w:top w:val="nil"/>
              <w:left w:val="nil"/>
              <w:bottom w:val="single" w:sz="4" w:space="0" w:color="auto"/>
              <w:right w:val="single" w:sz="4" w:space="0" w:color="auto"/>
            </w:tcBorders>
            <w:shd w:val="clear" w:color="auto" w:fill="auto"/>
            <w:noWrap/>
            <w:vAlign w:val="center"/>
          </w:tcPr>
          <w:p w14:paraId="445F71A3"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232.326</w:t>
            </w:r>
          </w:p>
        </w:tc>
        <w:tc>
          <w:tcPr>
            <w:tcW w:w="1134" w:type="dxa"/>
            <w:tcBorders>
              <w:top w:val="nil"/>
              <w:left w:val="nil"/>
              <w:bottom w:val="single" w:sz="4" w:space="0" w:color="auto"/>
              <w:right w:val="single" w:sz="4" w:space="0" w:color="auto"/>
            </w:tcBorders>
            <w:shd w:val="clear" w:color="auto" w:fill="auto"/>
            <w:noWrap/>
            <w:vAlign w:val="center"/>
          </w:tcPr>
          <w:p w14:paraId="1C975C39"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127.890</w:t>
            </w:r>
          </w:p>
        </w:tc>
        <w:tc>
          <w:tcPr>
            <w:tcW w:w="1134" w:type="dxa"/>
            <w:tcBorders>
              <w:top w:val="nil"/>
              <w:left w:val="nil"/>
              <w:bottom w:val="single" w:sz="4" w:space="0" w:color="auto"/>
              <w:right w:val="single" w:sz="4" w:space="0" w:color="auto"/>
            </w:tcBorders>
            <w:shd w:val="clear" w:color="auto" w:fill="auto"/>
            <w:noWrap/>
            <w:vAlign w:val="center"/>
          </w:tcPr>
          <w:p w14:paraId="75B9C0A9"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1.513.872</w:t>
            </w:r>
          </w:p>
        </w:tc>
      </w:tr>
      <w:tr w:rsidR="00C746F4" w:rsidRPr="00A1588E" w14:paraId="56A1D99B"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75D4F5F9"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N_2</w:t>
            </w:r>
          </w:p>
        </w:tc>
        <w:tc>
          <w:tcPr>
            <w:tcW w:w="4253" w:type="dxa"/>
            <w:tcBorders>
              <w:top w:val="nil"/>
              <w:left w:val="nil"/>
              <w:bottom w:val="single" w:sz="4" w:space="0" w:color="auto"/>
              <w:right w:val="single" w:sz="4" w:space="0" w:color="auto"/>
            </w:tcBorders>
            <w:shd w:val="clear" w:color="auto" w:fill="auto"/>
            <w:noWrap/>
            <w:vAlign w:val="center"/>
            <w:hideMark/>
          </w:tcPr>
          <w:p w14:paraId="05ED436D"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Alto Jahuel 220-&gt;Buin 220</w:t>
            </w:r>
          </w:p>
        </w:tc>
        <w:tc>
          <w:tcPr>
            <w:tcW w:w="1134" w:type="dxa"/>
            <w:tcBorders>
              <w:top w:val="nil"/>
              <w:left w:val="nil"/>
              <w:bottom w:val="single" w:sz="4" w:space="0" w:color="auto"/>
              <w:right w:val="single" w:sz="4" w:space="0" w:color="auto"/>
            </w:tcBorders>
            <w:shd w:val="clear" w:color="auto" w:fill="auto"/>
            <w:noWrap/>
            <w:vAlign w:val="center"/>
          </w:tcPr>
          <w:p w14:paraId="7A406AB6"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32.163</w:t>
            </w:r>
          </w:p>
        </w:tc>
        <w:tc>
          <w:tcPr>
            <w:tcW w:w="1134" w:type="dxa"/>
            <w:tcBorders>
              <w:top w:val="nil"/>
              <w:left w:val="nil"/>
              <w:bottom w:val="single" w:sz="4" w:space="0" w:color="auto"/>
              <w:right w:val="single" w:sz="4" w:space="0" w:color="auto"/>
            </w:tcBorders>
            <w:shd w:val="clear" w:color="auto" w:fill="auto"/>
            <w:noWrap/>
            <w:vAlign w:val="center"/>
          </w:tcPr>
          <w:p w14:paraId="144AB837"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6.474</w:t>
            </w:r>
          </w:p>
        </w:tc>
        <w:tc>
          <w:tcPr>
            <w:tcW w:w="1134" w:type="dxa"/>
            <w:tcBorders>
              <w:top w:val="nil"/>
              <w:left w:val="nil"/>
              <w:bottom w:val="single" w:sz="4" w:space="0" w:color="auto"/>
              <w:right w:val="single" w:sz="4" w:space="0" w:color="auto"/>
            </w:tcBorders>
            <w:shd w:val="clear" w:color="auto" w:fill="auto"/>
            <w:noWrap/>
            <w:vAlign w:val="center"/>
          </w:tcPr>
          <w:p w14:paraId="1189BF45"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3.863</w:t>
            </w:r>
          </w:p>
        </w:tc>
        <w:tc>
          <w:tcPr>
            <w:tcW w:w="1134" w:type="dxa"/>
            <w:tcBorders>
              <w:top w:val="nil"/>
              <w:left w:val="nil"/>
              <w:bottom w:val="single" w:sz="4" w:space="0" w:color="auto"/>
              <w:right w:val="single" w:sz="4" w:space="0" w:color="auto"/>
            </w:tcBorders>
            <w:shd w:val="clear" w:color="auto" w:fill="auto"/>
            <w:noWrap/>
            <w:vAlign w:val="center"/>
          </w:tcPr>
          <w:p w14:paraId="6C7B70C3"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42.500</w:t>
            </w:r>
          </w:p>
        </w:tc>
      </w:tr>
      <w:tr w:rsidR="00C746F4" w:rsidRPr="00A1588E" w14:paraId="491A4A4E"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1A25F763"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N_3</w:t>
            </w:r>
          </w:p>
        </w:tc>
        <w:tc>
          <w:tcPr>
            <w:tcW w:w="4253" w:type="dxa"/>
            <w:tcBorders>
              <w:top w:val="nil"/>
              <w:left w:val="nil"/>
              <w:bottom w:val="single" w:sz="4" w:space="0" w:color="auto"/>
              <w:right w:val="single" w:sz="4" w:space="0" w:color="auto"/>
            </w:tcBorders>
            <w:shd w:val="clear" w:color="auto" w:fill="auto"/>
            <w:noWrap/>
            <w:vAlign w:val="center"/>
            <w:hideMark/>
          </w:tcPr>
          <w:p w14:paraId="3D904FE8"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Alto Jahuel 220-&gt;Chena 220</w:t>
            </w:r>
          </w:p>
        </w:tc>
        <w:tc>
          <w:tcPr>
            <w:tcW w:w="1134" w:type="dxa"/>
            <w:tcBorders>
              <w:top w:val="nil"/>
              <w:left w:val="nil"/>
              <w:bottom w:val="single" w:sz="4" w:space="0" w:color="auto"/>
              <w:right w:val="single" w:sz="4" w:space="0" w:color="auto"/>
            </w:tcBorders>
            <w:shd w:val="clear" w:color="auto" w:fill="auto"/>
            <w:noWrap/>
            <w:vAlign w:val="center"/>
          </w:tcPr>
          <w:p w14:paraId="645640EF"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1.080.616</w:t>
            </w:r>
          </w:p>
        </w:tc>
        <w:tc>
          <w:tcPr>
            <w:tcW w:w="1134" w:type="dxa"/>
            <w:tcBorders>
              <w:top w:val="nil"/>
              <w:left w:val="nil"/>
              <w:bottom w:val="single" w:sz="4" w:space="0" w:color="auto"/>
              <w:right w:val="single" w:sz="4" w:space="0" w:color="auto"/>
            </w:tcBorders>
            <w:shd w:val="clear" w:color="auto" w:fill="auto"/>
            <w:noWrap/>
            <w:vAlign w:val="center"/>
          </w:tcPr>
          <w:p w14:paraId="5C05FFDE"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217.806</w:t>
            </w:r>
          </w:p>
        </w:tc>
        <w:tc>
          <w:tcPr>
            <w:tcW w:w="1134" w:type="dxa"/>
            <w:tcBorders>
              <w:top w:val="nil"/>
              <w:left w:val="nil"/>
              <w:bottom w:val="single" w:sz="4" w:space="0" w:color="auto"/>
              <w:right w:val="single" w:sz="4" w:space="0" w:color="auto"/>
            </w:tcBorders>
            <w:shd w:val="clear" w:color="auto" w:fill="auto"/>
            <w:noWrap/>
            <w:vAlign w:val="center"/>
          </w:tcPr>
          <w:p w14:paraId="6D35C8D4"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228.235</w:t>
            </w:r>
          </w:p>
        </w:tc>
        <w:tc>
          <w:tcPr>
            <w:tcW w:w="1134" w:type="dxa"/>
            <w:tcBorders>
              <w:top w:val="nil"/>
              <w:left w:val="nil"/>
              <w:bottom w:val="single" w:sz="4" w:space="0" w:color="auto"/>
              <w:right w:val="single" w:sz="4" w:space="0" w:color="auto"/>
            </w:tcBorders>
            <w:shd w:val="clear" w:color="auto" w:fill="auto"/>
            <w:noWrap/>
            <w:vAlign w:val="center"/>
          </w:tcPr>
          <w:p w14:paraId="43665D68"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1.526.658</w:t>
            </w:r>
          </w:p>
        </w:tc>
      </w:tr>
      <w:tr w:rsidR="00C746F4" w:rsidRPr="00A1588E" w14:paraId="69834D4D"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10A15EEA"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N_4</w:t>
            </w:r>
          </w:p>
        </w:tc>
        <w:tc>
          <w:tcPr>
            <w:tcW w:w="4253" w:type="dxa"/>
            <w:tcBorders>
              <w:top w:val="nil"/>
              <w:left w:val="nil"/>
              <w:bottom w:val="single" w:sz="4" w:space="0" w:color="auto"/>
              <w:right w:val="single" w:sz="4" w:space="0" w:color="auto"/>
            </w:tcBorders>
            <w:shd w:val="clear" w:color="auto" w:fill="auto"/>
            <w:noWrap/>
            <w:vAlign w:val="center"/>
            <w:hideMark/>
          </w:tcPr>
          <w:p w14:paraId="19C302EA"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Alto Jahuel 220-&gt;Los Almendros 220</w:t>
            </w:r>
          </w:p>
        </w:tc>
        <w:tc>
          <w:tcPr>
            <w:tcW w:w="1134" w:type="dxa"/>
            <w:tcBorders>
              <w:top w:val="nil"/>
              <w:left w:val="nil"/>
              <w:bottom w:val="single" w:sz="4" w:space="0" w:color="auto"/>
              <w:right w:val="single" w:sz="4" w:space="0" w:color="auto"/>
            </w:tcBorders>
            <w:shd w:val="clear" w:color="auto" w:fill="auto"/>
            <w:noWrap/>
            <w:vAlign w:val="center"/>
          </w:tcPr>
          <w:p w14:paraId="69537E8E"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2.067.706</w:t>
            </w:r>
          </w:p>
        </w:tc>
        <w:tc>
          <w:tcPr>
            <w:tcW w:w="1134" w:type="dxa"/>
            <w:tcBorders>
              <w:top w:val="nil"/>
              <w:left w:val="nil"/>
              <w:bottom w:val="single" w:sz="4" w:space="0" w:color="auto"/>
              <w:right w:val="single" w:sz="4" w:space="0" w:color="auto"/>
            </w:tcBorders>
            <w:shd w:val="clear" w:color="auto" w:fill="auto"/>
            <w:noWrap/>
            <w:vAlign w:val="center"/>
          </w:tcPr>
          <w:p w14:paraId="432B0C97"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414.724</w:t>
            </w:r>
          </w:p>
        </w:tc>
        <w:tc>
          <w:tcPr>
            <w:tcW w:w="1134" w:type="dxa"/>
            <w:tcBorders>
              <w:top w:val="nil"/>
              <w:left w:val="nil"/>
              <w:bottom w:val="single" w:sz="4" w:space="0" w:color="auto"/>
              <w:right w:val="single" w:sz="4" w:space="0" w:color="auto"/>
            </w:tcBorders>
            <w:shd w:val="clear" w:color="auto" w:fill="auto"/>
            <w:noWrap/>
            <w:vAlign w:val="center"/>
          </w:tcPr>
          <w:p w14:paraId="658ED21F"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524.202</w:t>
            </w:r>
          </w:p>
        </w:tc>
        <w:tc>
          <w:tcPr>
            <w:tcW w:w="1134" w:type="dxa"/>
            <w:tcBorders>
              <w:top w:val="nil"/>
              <w:left w:val="nil"/>
              <w:bottom w:val="single" w:sz="4" w:space="0" w:color="auto"/>
              <w:right w:val="single" w:sz="4" w:space="0" w:color="auto"/>
            </w:tcBorders>
            <w:shd w:val="clear" w:color="auto" w:fill="auto"/>
            <w:noWrap/>
            <w:vAlign w:val="center"/>
          </w:tcPr>
          <w:p w14:paraId="331FE43A"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3.006.631</w:t>
            </w:r>
          </w:p>
        </w:tc>
      </w:tr>
      <w:tr w:rsidR="00C746F4" w:rsidRPr="00A1588E" w14:paraId="6A1D2096"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6D3960B5"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N_5</w:t>
            </w:r>
          </w:p>
        </w:tc>
        <w:tc>
          <w:tcPr>
            <w:tcW w:w="4253" w:type="dxa"/>
            <w:tcBorders>
              <w:top w:val="nil"/>
              <w:left w:val="nil"/>
              <w:bottom w:val="single" w:sz="4" w:space="0" w:color="auto"/>
              <w:right w:val="single" w:sz="4" w:space="0" w:color="auto"/>
            </w:tcBorders>
            <w:shd w:val="clear" w:color="auto" w:fill="auto"/>
            <w:noWrap/>
            <w:vAlign w:val="center"/>
            <w:hideMark/>
          </w:tcPr>
          <w:p w14:paraId="4D3FE282"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Alto Jahuel 220-&gt;Maipo 220</w:t>
            </w:r>
          </w:p>
        </w:tc>
        <w:tc>
          <w:tcPr>
            <w:tcW w:w="1134" w:type="dxa"/>
            <w:tcBorders>
              <w:top w:val="nil"/>
              <w:left w:val="nil"/>
              <w:bottom w:val="single" w:sz="4" w:space="0" w:color="auto"/>
              <w:right w:val="single" w:sz="4" w:space="0" w:color="auto"/>
            </w:tcBorders>
            <w:shd w:val="clear" w:color="auto" w:fill="auto"/>
            <w:noWrap/>
            <w:vAlign w:val="center"/>
          </w:tcPr>
          <w:p w14:paraId="26E17E81"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99.899</w:t>
            </w:r>
          </w:p>
        </w:tc>
        <w:tc>
          <w:tcPr>
            <w:tcW w:w="1134" w:type="dxa"/>
            <w:tcBorders>
              <w:top w:val="nil"/>
              <w:left w:val="nil"/>
              <w:bottom w:val="single" w:sz="4" w:space="0" w:color="auto"/>
              <w:right w:val="single" w:sz="4" w:space="0" w:color="auto"/>
            </w:tcBorders>
            <w:shd w:val="clear" w:color="auto" w:fill="auto"/>
            <w:noWrap/>
            <w:vAlign w:val="center"/>
          </w:tcPr>
          <w:p w14:paraId="33BED635"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20.116</w:t>
            </w:r>
          </w:p>
        </w:tc>
        <w:tc>
          <w:tcPr>
            <w:tcW w:w="1134" w:type="dxa"/>
            <w:tcBorders>
              <w:top w:val="nil"/>
              <w:left w:val="nil"/>
              <w:bottom w:val="single" w:sz="4" w:space="0" w:color="auto"/>
              <w:right w:val="single" w:sz="4" w:space="0" w:color="auto"/>
            </w:tcBorders>
            <w:shd w:val="clear" w:color="auto" w:fill="auto"/>
            <w:noWrap/>
            <w:vAlign w:val="center"/>
          </w:tcPr>
          <w:p w14:paraId="3B2C83B3"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13.228</w:t>
            </w:r>
          </w:p>
        </w:tc>
        <w:tc>
          <w:tcPr>
            <w:tcW w:w="1134" w:type="dxa"/>
            <w:tcBorders>
              <w:top w:val="nil"/>
              <w:left w:val="nil"/>
              <w:bottom w:val="single" w:sz="4" w:space="0" w:color="auto"/>
              <w:right w:val="single" w:sz="4" w:space="0" w:color="auto"/>
            </w:tcBorders>
            <w:shd w:val="clear" w:color="auto" w:fill="auto"/>
            <w:noWrap/>
            <w:vAlign w:val="center"/>
          </w:tcPr>
          <w:p w14:paraId="35C538B4"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133.243</w:t>
            </w:r>
          </w:p>
        </w:tc>
      </w:tr>
      <w:tr w:rsidR="00C746F4" w:rsidRPr="00A1588E" w14:paraId="06672ABE"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7A781A77"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N_6</w:t>
            </w:r>
          </w:p>
        </w:tc>
        <w:tc>
          <w:tcPr>
            <w:tcW w:w="4253" w:type="dxa"/>
            <w:tcBorders>
              <w:top w:val="nil"/>
              <w:left w:val="nil"/>
              <w:bottom w:val="single" w:sz="4" w:space="0" w:color="auto"/>
              <w:right w:val="single" w:sz="4" w:space="0" w:color="auto"/>
            </w:tcBorders>
            <w:shd w:val="clear" w:color="auto" w:fill="auto"/>
            <w:noWrap/>
            <w:vAlign w:val="center"/>
            <w:hideMark/>
          </w:tcPr>
          <w:p w14:paraId="6C9C50B9"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Alto Jahuel 220-&gt;Tap Central Santa Marta 220</w:t>
            </w:r>
          </w:p>
        </w:tc>
        <w:tc>
          <w:tcPr>
            <w:tcW w:w="1134" w:type="dxa"/>
            <w:tcBorders>
              <w:top w:val="nil"/>
              <w:left w:val="nil"/>
              <w:bottom w:val="single" w:sz="4" w:space="0" w:color="auto"/>
              <w:right w:val="single" w:sz="4" w:space="0" w:color="auto"/>
            </w:tcBorders>
            <w:shd w:val="clear" w:color="auto" w:fill="auto"/>
            <w:noWrap/>
            <w:vAlign w:val="center"/>
          </w:tcPr>
          <w:p w14:paraId="43D1AF09"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278.927</w:t>
            </w:r>
          </w:p>
        </w:tc>
        <w:tc>
          <w:tcPr>
            <w:tcW w:w="1134" w:type="dxa"/>
            <w:tcBorders>
              <w:top w:val="nil"/>
              <w:left w:val="nil"/>
              <w:bottom w:val="single" w:sz="4" w:space="0" w:color="auto"/>
              <w:right w:val="single" w:sz="4" w:space="0" w:color="auto"/>
            </w:tcBorders>
            <w:shd w:val="clear" w:color="auto" w:fill="auto"/>
            <w:noWrap/>
            <w:vAlign w:val="center"/>
          </w:tcPr>
          <w:p w14:paraId="5E34C06A"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56.193</w:t>
            </w:r>
          </w:p>
        </w:tc>
        <w:tc>
          <w:tcPr>
            <w:tcW w:w="1134" w:type="dxa"/>
            <w:tcBorders>
              <w:top w:val="nil"/>
              <w:left w:val="nil"/>
              <w:bottom w:val="single" w:sz="4" w:space="0" w:color="auto"/>
              <w:right w:val="single" w:sz="4" w:space="0" w:color="auto"/>
            </w:tcBorders>
            <w:shd w:val="clear" w:color="auto" w:fill="auto"/>
            <w:noWrap/>
            <w:vAlign w:val="center"/>
          </w:tcPr>
          <w:p w14:paraId="28C67BAD"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66.364</w:t>
            </w:r>
          </w:p>
        </w:tc>
        <w:tc>
          <w:tcPr>
            <w:tcW w:w="1134" w:type="dxa"/>
            <w:tcBorders>
              <w:top w:val="nil"/>
              <w:left w:val="nil"/>
              <w:bottom w:val="single" w:sz="4" w:space="0" w:color="auto"/>
              <w:right w:val="single" w:sz="4" w:space="0" w:color="auto"/>
            </w:tcBorders>
            <w:shd w:val="clear" w:color="auto" w:fill="auto"/>
            <w:noWrap/>
            <w:vAlign w:val="center"/>
          </w:tcPr>
          <w:p w14:paraId="6183552B"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401.484</w:t>
            </w:r>
          </w:p>
        </w:tc>
      </w:tr>
      <w:tr w:rsidR="00C746F4" w:rsidRPr="00A1588E" w14:paraId="19B6B3DB"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3EDF5F84"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N_7</w:t>
            </w:r>
          </w:p>
        </w:tc>
        <w:tc>
          <w:tcPr>
            <w:tcW w:w="4253" w:type="dxa"/>
            <w:tcBorders>
              <w:top w:val="nil"/>
              <w:left w:val="nil"/>
              <w:bottom w:val="single" w:sz="4" w:space="0" w:color="auto"/>
              <w:right w:val="single" w:sz="4" w:space="0" w:color="auto"/>
            </w:tcBorders>
            <w:shd w:val="clear" w:color="auto" w:fill="auto"/>
            <w:noWrap/>
            <w:vAlign w:val="center"/>
            <w:hideMark/>
          </w:tcPr>
          <w:p w14:paraId="1A60100A"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Alto Jahuel 500-&gt;Ancoa 500</w:t>
            </w:r>
          </w:p>
        </w:tc>
        <w:tc>
          <w:tcPr>
            <w:tcW w:w="1134" w:type="dxa"/>
            <w:tcBorders>
              <w:top w:val="nil"/>
              <w:left w:val="nil"/>
              <w:bottom w:val="single" w:sz="4" w:space="0" w:color="auto"/>
              <w:right w:val="single" w:sz="4" w:space="0" w:color="auto"/>
            </w:tcBorders>
            <w:shd w:val="clear" w:color="auto" w:fill="auto"/>
            <w:noWrap/>
            <w:vAlign w:val="center"/>
          </w:tcPr>
          <w:p w14:paraId="7254153D"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22.198.021</w:t>
            </w:r>
          </w:p>
        </w:tc>
        <w:tc>
          <w:tcPr>
            <w:tcW w:w="1134" w:type="dxa"/>
            <w:tcBorders>
              <w:top w:val="nil"/>
              <w:left w:val="nil"/>
              <w:bottom w:val="single" w:sz="4" w:space="0" w:color="auto"/>
              <w:right w:val="single" w:sz="4" w:space="0" w:color="auto"/>
            </w:tcBorders>
            <w:shd w:val="clear" w:color="auto" w:fill="auto"/>
            <w:noWrap/>
            <w:vAlign w:val="center"/>
          </w:tcPr>
          <w:p w14:paraId="1EBFBB8D"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4.480.954</w:t>
            </w:r>
          </w:p>
        </w:tc>
        <w:tc>
          <w:tcPr>
            <w:tcW w:w="1134" w:type="dxa"/>
            <w:tcBorders>
              <w:top w:val="nil"/>
              <w:left w:val="nil"/>
              <w:bottom w:val="single" w:sz="4" w:space="0" w:color="auto"/>
              <w:right w:val="single" w:sz="4" w:space="0" w:color="auto"/>
            </w:tcBorders>
            <w:shd w:val="clear" w:color="auto" w:fill="auto"/>
            <w:noWrap/>
            <w:vAlign w:val="center"/>
          </w:tcPr>
          <w:p w14:paraId="3C8AC366"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4.110.208</w:t>
            </w:r>
          </w:p>
        </w:tc>
        <w:tc>
          <w:tcPr>
            <w:tcW w:w="1134" w:type="dxa"/>
            <w:tcBorders>
              <w:top w:val="nil"/>
              <w:left w:val="nil"/>
              <w:bottom w:val="single" w:sz="4" w:space="0" w:color="auto"/>
              <w:right w:val="single" w:sz="4" w:space="0" w:color="auto"/>
            </w:tcBorders>
            <w:shd w:val="clear" w:color="auto" w:fill="auto"/>
            <w:noWrap/>
            <w:vAlign w:val="center"/>
          </w:tcPr>
          <w:p w14:paraId="3276FC38"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30.789.183</w:t>
            </w:r>
          </w:p>
        </w:tc>
      </w:tr>
      <w:tr w:rsidR="00C746F4" w:rsidRPr="00A1588E" w14:paraId="1C93F941"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111EA54A"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N_8</w:t>
            </w:r>
          </w:p>
        </w:tc>
        <w:tc>
          <w:tcPr>
            <w:tcW w:w="4253" w:type="dxa"/>
            <w:tcBorders>
              <w:top w:val="nil"/>
              <w:left w:val="nil"/>
              <w:bottom w:val="single" w:sz="4" w:space="0" w:color="auto"/>
              <w:right w:val="single" w:sz="4" w:space="0" w:color="auto"/>
            </w:tcBorders>
            <w:shd w:val="clear" w:color="auto" w:fill="auto"/>
            <w:noWrap/>
            <w:vAlign w:val="center"/>
            <w:hideMark/>
          </w:tcPr>
          <w:p w14:paraId="5FB7BB5B"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Ancoa 220-&gt;Ancoa 500</w:t>
            </w:r>
          </w:p>
        </w:tc>
        <w:tc>
          <w:tcPr>
            <w:tcW w:w="1134" w:type="dxa"/>
            <w:tcBorders>
              <w:top w:val="nil"/>
              <w:left w:val="nil"/>
              <w:bottom w:val="single" w:sz="4" w:space="0" w:color="auto"/>
              <w:right w:val="single" w:sz="4" w:space="0" w:color="auto"/>
            </w:tcBorders>
            <w:shd w:val="clear" w:color="auto" w:fill="auto"/>
            <w:noWrap/>
            <w:vAlign w:val="center"/>
          </w:tcPr>
          <w:p w14:paraId="269B8A18"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583.931</w:t>
            </w:r>
          </w:p>
        </w:tc>
        <w:tc>
          <w:tcPr>
            <w:tcW w:w="1134" w:type="dxa"/>
            <w:tcBorders>
              <w:top w:val="nil"/>
              <w:left w:val="nil"/>
              <w:bottom w:val="single" w:sz="4" w:space="0" w:color="auto"/>
              <w:right w:val="single" w:sz="4" w:space="0" w:color="auto"/>
            </w:tcBorders>
            <w:shd w:val="clear" w:color="auto" w:fill="auto"/>
            <w:noWrap/>
            <w:vAlign w:val="center"/>
          </w:tcPr>
          <w:p w14:paraId="380D941C"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117.597</w:t>
            </w:r>
          </w:p>
        </w:tc>
        <w:tc>
          <w:tcPr>
            <w:tcW w:w="1134" w:type="dxa"/>
            <w:tcBorders>
              <w:top w:val="nil"/>
              <w:left w:val="nil"/>
              <w:bottom w:val="single" w:sz="4" w:space="0" w:color="auto"/>
              <w:right w:val="single" w:sz="4" w:space="0" w:color="auto"/>
            </w:tcBorders>
            <w:shd w:val="clear" w:color="auto" w:fill="auto"/>
            <w:noWrap/>
            <w:vAlign w:val="center"/>
          </w:tcPr>
          <w:p w14:paraId="7BF7C465"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65.087</w:t>
            </w:r>
          </w:p>
        </w:tc>
        <w:tc>
          <w:tcPr>
            <w:tcW w:w="1134" w:type="dxa"/>
            <w:tcBorders>
              <w:top w:val="nil"/>
              <w:left w:val="nil"/>
              <w:bottom w:val="single" w:sz="4" w:space="0" w:color="auto"/>
              <w:right w:val="single" w:sz="4" w:space="0" w:color="auto"/>
            </w:tcBorders>
            <w:shd w:val="clear" w:color="auto" w:fill="auto"/>
            <w:noWrap/>
            <w:vAlign w:val="center"/>
          </w:tcPr>
          <w:p w14:paraId="6B3648CE"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766.614</w:t>
            </w:r>
          </w:p>
        </w:tc>
      </w:tr>
      <w:tr w:rsidR="00C746F4" w:rsidRPr="00A1588E" w14:paraId="07114D89"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73CDF42C"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N_9</w:t>
            </w:r>
          </w:p>
        </w:tc>
        <w:tc>
          <w:tcPr>
            <w:tcW w:w="4253" w:type="dxa"/>
            <w:tcBorders>
              <w:top w:val="nil"/>
              <w:left w:val="nil"/>
              <w:bottom w:val="single" w:sz="4" w:space="0" w:color="auto"/>
              <w:right w:val="single" w:sz="4" w:space="0" w:color="auto"/>
            </w:tcBorders>
            <w:shd w:val="clear" w:color="auto" w:fill="auto"/>
            <w:noWrap/>
            <w:vAlign w:val="center"/>
            <w:hideMark/>
          </w:tcPr>
          <w:p w14:paraId="3F1D39B7"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Ancoa 220-&gt;Colbún 220</w:t>
            </w:r>
          </w:p>
        </w:tc>
        <w:tc>
          <w:tcPr>
            <w:tcW w:w="1134" w:type="dxa"/>
            <w:tcBorders>
              <w:top w:val="nil"/>
              <w:left w:val="nil"/>
              <w:bottom w:val="single" w:sz="4" w:space="0" w:color="auto"/>
              <w:right w:val="single" w:sz="4" w:space="0" w:color="auto"/>
            </w:tcBorders>
            <w:shd w:val="clear" w:color="auto" w:fill="auto"/>
            <w:noWrap/>
            <w:vAlign w:val="center"/>
          </w:tcPr>
          <w:p w14:paraId="5F3BF360"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20.557</w:t>
            </w:r>
          </w:p>
        </w:tc>
        <w:tc>
          <w:tcPr>
            <w:tcW w:w="1134" w:type="dxa"/>
            <w:tcBorders>
              <w:top w:val="nil"/>
              <w:left w:val="nil"/>
              <w:bottom w:val="single" w:sz="4" w:space="0" w:color="auto"/>
              <w:right w:val="single" w:sz="4" w:space="0" w:color="auto"/>
            </w:tcBorders>
            <w:shd w:val="clear" w:color="auto" w:fill="auto"/>
            <w:noWrap/>
            <w:vAlign w:val="center"/>
          </w:tcPr>
          <w:p w14:paraId="19F4982C"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4.140</w:t>
            </w:r>
          </w:p>
        </w:tc>
        <w:tc>
          <w:tcPr>
            <w:tcW w:w="1134" w:type="dxa"/>
            <w:tcBorders>
              <w:top w:val="nil"/>
              <w:left w:val="nil"/>
              <w:bottom w:val="single" w:sz="4" w:space="0" w:color="auto"/>
              <w:right w:val="single" w:sz="4" w:space="0" w:color="auto"/>
            </w:tcBorders>
            <w:shd w:val="clear" w:color="auto" w:fill="auto"/>
            <w:noWrap/>
            <w:vAlign w:val="center"/>
          </w:tcPr>
          <w:p w14:paraId="577E91D8"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2.499</w:t>
            </w:r>
          </w:p>
        </w:tc>
        <w:tc>
          <w:tcPr>
            <w:tcW w:w="1134" w:type="dxa"/>
            <w:tcBorders>
              <w:top w:val="nil"/>
              <w:left w:val="nil"/>
              <w:bottom w:val="single" w:sz="4" w:space="0" w:color="auto"/>
              <w:right w:val="single" w:sz="4" w:space="0" w:color="auto"/>
            </w:tcBorders>
            <w:shd w:val="clear" w:color="auto" w:fill="auto"/>
            <w:noWrap/>
            <w:vAlign w:val="center"/>
          </w:tcPr>
          <w:p w14:paraId="2DADFEB6"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27.196</w:t>
            </w:r>
          </w:p>
        </w:tc>
      </w:tr>
      <w:tr w:rsidR="00C746F4" w:rsidRPr="00A1588E" w14:paraId="6E5DF0A5"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3DD823D6"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N_10</w:t>
            </w:r>
          </w:p>
        </w:tc>
        <w:tc>
          <w:tcPr>
            <w:tcW w:w="4253" w:type="dxa"/>
            <w:tcBorders>
              <w:top w:val="nil"/>
              <w:left w:val="nil"/>
              <w:bottom w:val="single" w:sz="4" w:space="0" w:color="auto"/>
              <w:right w:val="single" w:sz="4" w:space="0" w:color="auto"/>
            </w:tcBorders>
            <w:shd w:val="clear" w:color="auto" w:fill="auto"/>
            <w:noWrap/>
            <w:vAlign w:val="center"/>
            <w:hideMark/>
          </w:tcPr>
          <w:p w14:paraId="27E3A2E2"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Ancoa 220-&gt;Itahue 220</w:t>
            </w:r>
          </w:p>
        </w:tc>
        <w:tc>
          <w:tcPr>
            <w:tcW w:w="1134" w:type="dxa"/>
            <w:tcBorders>
              <w:top w:val="nil"/>
              <w:left w:val="nil"/>
              <w:bottom w:val="single" w:sz="4" w:space="0" w:color="auto"/>
              <w:right w:val="single" w:sz="4" w:space="0" w:color="auto"/>
            </w:tcBorders>
            <w:shd w:val="clear" w:color="auto" w:fill="auto"/>
            <w:noWrap/>
            <w:vAlign w:val="center"/>
          </w:tcPr>
          <w:p w14:paraId="62EC7F48"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908.965</w:t>
            </w:r>
          </w:p>
        </w:tc>
        <w:tc>
          <w:tcPr>
            <w:tcW w:w="1134" w:type="dxa"/>
            <w:tcBorders>
              <w:top w:val="nil"/>
              <w:left w:val="nil"/>
              <w:bottom w:val="single" w:sz="4" w:space="0" w:color="auto"/>
              <w:right w:val="single" w:sz="4" w:space="0" w:color="auto"/>
            </w:tcBorders>
            <w:shd w:val="clear" w:color="auto" w:fill="auto"/>
            <w:noWrap/>
            <w:vAlign w:val="center"/>
          </w:tcPr>
          <w:p w14:paraId="25DBDC6D"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183.172</w:t>
            </w:r>
          </w:p>
        </w:tc>
        <w:tc>
          <w:tcPr>
            <w:tcW w:w="1134" w:type="dxa"/>
            <w:tcBorders>
              <w:top w:val="nil"/>
              <w:left w:val="nil"/>
              <w:bottom w:val="single" w:sz="4" w:space="0" w:color="auto"/>
              <w:right w:val="single" w:sz="4" w:space="0" w:color="auto"/>
            </w:tcBorders>
            <w:shd w:val="clear" w:color="auto" w:fill="auto"/>
            <w:noWrap/>
            <w:vAlign w:val="center"/>
          </w:tcPr>
          <w:p w14:paraId="7EA41151"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174.183</w:t>
            </w:r>
          </w:p>
        </w:tc>
        <w:tc>
          <w:tcPr>
            <w:tcW w:w="1134" w:type="dxa"/>
            <w:tcBorders>
              <w:top w:val="nil"/>
              <w:left w:val="nil"/>
              <w:bottom w:val="single" w:sz="4" w:space="0" w:color="auto"/>
              <w:right w:val="single" w:sz="4" w:space="0" w:color="auto"/>
            </w:tcBorders>
            <w:shd w:val="clear" w:color="auto" w:fill="auto"/>
            <w:noWrap/>
            <w:vAlign w:val="center"/>
          </w:tcPr>
          <w:p w14:paraId="77395AD1"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1.266.321</w:t>
            </w:r>
          </w:p>
        </w:tc>
      </w:tr>
      <w:tr w:rsidR="00C746F4" w:rsidRPr="00A1588E" w14:paraId="3A455FEE"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24E5D95D"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N_11</w:t>
            </w:r>
          </w:p>
        </w:tc>
        <w:tc>
          <w:tcPr>
            <w:tcW w:w="4253" w:type="dxa"/>
            <w:tcBorders>
              <w:top w:val="nil"/>
              <w:left w:val="nil"/>
              <w:bottom w:val="single" w:sz="4" w:space="0" w:color="auto"/>
              <w:right w:val="single" w:sz="4" w:space="0" w:color="auto"/>
            </w:tcBorders>
            <w:shd w:val="clear" w:color="auto" w:fill="auto"/>
            <w:noWrap/>
            <w:vAlign w:val="center"/>
            <w:hideMark/>
          </w:tcPr>
          <w:p w14:paraId="20D07C29"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val="en-US" w:eastAsia="es-CL"/>
              </w:rPr>
            </w:pPr>
            <w:r w:rsidRPr="00A1588E">
              <w:rPr>
                <w:rFonts w:asciiTheme="minorHAnsi" w:eastAsia="Times New Roman" w:hAnsiTheme="minorHAnsi" w:cstheme="minorHAnsi"/>
                <w:color w:val="000000"/>
                <w:sz w:val="20"/>
                <w:szCs w:val="20"/>
                <w:lang w:val="en-US" w:eastAsia="es-CL"/>
              </w:rPr>
              <w:t>Ancoa 220-&gt;Tap Off Santa Isabel 220</w:t>
            </w:r>
          </w:p>
        </w:tc>
        <w:tc>
          <w:tcPr>
            <w:tcW w:w="1134" w:type="dxa"/>
            <w:tcBorders>
              <w:top w:val="nil"/>
              <w:left w:val="nil"/>
              <w:bottom w:val="single" w:sz="4" w:space="0" w:color="auto"/>
              <w:right w:val="single" w:sz="4" w:space="0" w:color="auto"/>
            </w:tcBorders>
            <w:shd w:val="clear" w:color="auto" w:fill="auto"/>
            <w:noWrap/>
            <w:vAlign w:val="center"/>
          </w:tcPr>
          <w:p w14:paraId="7937ED49"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lang w:val="en-US"/>
              </w:rPr>
              <w:t>383.569</w:t>
            </w:r>
          </w:p>
        </w:tc>
        <w:tc>
          <w:tcPr>
            <w:tcW w:w="1134" w:type="dxa"/>
            <w:tcBorders>
              <w:top w:val="nil"/>
              <w:left w:val="nil"/>
              <w:bottom w:val="single" w:sz="4" w:space="0" w:color="auto"/>
              <w:right w:val="single" w:sz="4" w:space="0" w:color="auto"/>
            </w:tcBorders>
            <w:shd w:val="clear" w:color="auto" w:fill="auto"/>
            <w:noWrap/>
            <w:vAlign w:val="center"/>
          </w:tcPr>
          <w:p w14:paraId="7196F2CB"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77.305</w:t>
            </w:r>
          </w:p>
        </w:tc>
        <w:tc>
          <w:tcPr>
            <w:tcW w:w="1134" w:type="dxa"/>
            <w:tcBorders>
              <w:top w:val="nil"/>
              <w:left w:val="nil"/>
              <w:bottom w:val="single" w:sz="4" w:space="0" w:color="auto"/>
              <w:right w:val="single" w:sz="4" w:space="0" w:color="auto"/>
            </w:tcBorders>
            <w:shd w:val="clear" w:color="auto" w:fill="auto"/>
            <w:noWrap/>
            <w:vAlign w:val="center"/>
          </w:tcPr>
          <w:p w14:paraId="46ED3787"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76.100</w:t>
            </w:r>
          </w:p>
        </w:tc>
        <w:tc>
          <w:tcPr>
            <w:tcW w:w="1134" w:type="dxa"/>
            <w:tcBorders>
              <w:top w:val="nil"/>
              <w:left w:val="nil"/>
              <w:bottom w:val="single" w:sz="4" w:space="0" w:color="auto"/>
              <w:right w:val="single" w:sz="4" w:space="0" w:color="auto"/>
            </w:tcBorders>
            <w:shd w:val="clear" w:color="auto" w:fill="auto"/>
            <w:noWrap/>
            <w:vAlign w:val="center"/>
          </w:tcPr>
          <w:p w14:paraId="15781189"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536.974</w:t>
            </w:r>
          </w:p>
        </w:tc>
      </w:tr>
      <w:tr w:rsidR="00C746F4" w:rsidRPr="00A1588E" w14:paraId="3781311C"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127DF8EB"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N_12</w:t>
            </w:r>
          </w:p>
        </w:tc>
        <w:tc>
          <w:tcPr>
            <w:tcW w:w="4253" w:type="dxa"/>
            <w:tcBorders>
              <w:top w:val="nil"/>
              <w:left w:val="nil"/>
              <w:bottom w:val="single" w:sz="4" w:space="0" w:color="auto"/>
              <w:right w:val="single" w:sz="4" w:space="0" w:color="auto"/>
            </w:tcBorders>
            <w:shd w:val="clear" w:color="auto" w:fill="auto"/>
            <w:noWrap/>
            <w:vAlign w:val="center"/>
            <w:hideMark/>
          </w:tcPr>
          <w:p w14:paraId="05C2FF7B"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Ancoa 500-&gt;Charrúa 500</w:t>
            </w:r>
          </w:p>
        </w:tc>
        <w:tc>
          <w:tcPr>
            <w:tcW w:w="1134" w:type="dxa"/>
            <w:tcBorders>
              <w:top w:val="nil"/>
              <w:left w:val="nil"/>
              <w:bottom w:val="single" w:sz="4" w:space="0" w:color="auto"/>
              <w:right w:val="single" w:sz="4" w:space="0" w:color="auto"/>
            </w:tcBorders>
            <w:shd w:val="clear" w:color="auto" w:fill="auto"/>
            <w:noWrap/>
            <w:vAlign w:val="center"/>
          </w:tcPr>
          <w:p w14:paraId="24CFB653"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asciiTheme="minorHAnsi" w:hAnsiTheme="minorHAnsi" w:cstheme="minorHAnsi"/>
                <w:sz w:val="20"/>
                <w:szCs w:val="20"/>
              </w:rPr>
              <w:t>-</w:t>
            </w:r>
          </w:p>
        </w:tc>
        <w:tc>
          <w:tcPr>
            <w:tcW w:w="1134" w:type="dxa"/>
            <w:tcBorders>
              <w:top w:val="nil"/>
              <w:left w:val="nil"/>
              <w:bottom w:val="single" w:sz="4" w:space="0" w:color="auto"/>
              <w:right w:val="single" w:sz="4" w:space="0" w:color="auto"/>
            </w:tcBorders>
            <w:shd w:val="clear" w:color="auto" w:fill="auto"/>
            <w:noWrap/>
            <w:vAlign w:val="center"/>
          </w:tcPr>
          <w:p w14:paraId="4F92612C"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w:t>
            </w:r>
          </w:p>
        </w:tc>
        <w:tc>
          <w:tcPr>
            <w:tcW w:w="1134" w:type="dxa"/>
            <w:tcBorders>
              <w:top w:val="nil"/>
              <w:left w:val="nil"/>
              <w:bottom w:val="single" w:sz="4" w:space="0" w:color="auto"/>
              <w:right w:val="single" w:sz="4" w:space="0" w:color="auto"/>
            </w:tcBorders>
            <w:shd w:val="clear" w:color="auto" w:fill="auto"/>
            <w:noWrap/>
            <w:vAlign w:val="center"/>
          </w:tcPr>
          <w:p w14:paraId="3DA6B8B7"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w:t>
            </w:r>
          </w:p>
        </w:tc>
        <w:tc>
          <w:tcPr>
            <w:tcW w:w="1134" w:type="dxa"/>
            <w:tcBorders>
              <w:top w:val="nil"/>
              <w:left w:val="nil"/>
              <w:bottom w:val="single" w:sz="4" w:space="0" w:color="auto"/>
              <w:right w:val="single" w:sz="4" w:space="0" w:color="auto"/>
            </w:tcBorders>
            <w:shd w:val="clear" w:color="auto" w:fill="auto"/>
            <w:noWrap/>
            <w:vAlign w:val="center"/>
          </w:tcPr>
          <w:p w14:paraId="40091541"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w:t>
            </w:r>
          </w:p>
        </w:tc>
      </w:tr>
      <w:tr w:rsidR="00C746F4" w:rsidRPr="00A1588E" w14:paraId="63E29007"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7245D87C"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N_13</w:t>
            </w:r>
          </w:p>
        </w:tc>
        <w:tc>
          <w:tcPr>
            <w:tcW w:w="4253" w:type="dxa"/>
            <w:tcBorders>
              <w:top w:val="nil"/>
              <w:left w:val="nil"/>
              <w:bottom w:val="single" w:sz="4" w:space="0" w:color="auto"/>
              <w:right w:val="single" w:sz="4" w:space="0" w:color="auto"/>
            </w:tcBorders>
            <w:shd w:val="clear" w:color="auto" w:fill="auto"/>
            <w:noWrap/>
            <w:vAlign w:val="center"/>
            <w:hideMark/>
          </w:tcPr>
          <w:p w14:paraId="7C8EFAAA"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Ancoa 500-&gt;Nueva Charrúa 500</w:t>
            </w:r>
          </w:p>
        </w:tc>
        <w:tc>
          <w:tcPr>
            <w:tcW w:w="1134" w:type="dxa"/>
            <w:tcBorders>
              <w:top w:val="nil"/>
              <w:left w:val="nil"/>
              <w:bottom w:val="single" w:sz="4" w:space="0" w:color="auto"/>
              <w:right w:val="single" w:sz="4" w:space="0" w:color="auto"/>
            </w:tcBorders>
            <w:shd w:val="clear" w:color="auto" w:fill="auto"/>
            <w:noWrap/>
            <w:vAlign w:val="center"/>
          </w:tcPr>
          <w:p w14:paraId="14334213"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10.026.553</w:t>
            </w:r>
          </w:p>
        </w:tc>
        <w:tc>
          <w:tcPr>
            <w:tcW w:w="1134" w:type="dxa"/>
            <w:tcBorders>
              <w:top w:val="nil"/>
              <w:left w:val="nil"/>
              <w:bottom w:val="single" w:sz="4" w:space="0" w:color="auto"/>
              <w:right w:val="single" w:sz="4" w:space="0" w:color="auto"/>
            </w:tcBorders>
            <w:shd w:val="clear" w:color="auto" w:fill="auto"/>
            <w:noWrap/>
            <w:vAlign w:val="center"/>
          </w:tcPr>
          <w:p w14:paraId="0D7A7F30"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2.020.287</w:t>
            </w:r>
          </w:p>
        </w:tc>
        <w:tc>
          <w:tcPr>
            <w:tcW w:w="1134" w:type="dxa"/>
            <w:tcBorders>
              <w:top w:val="nil"/>
              <w:left w:val="nil"/>
              <w:bottom w:val="single" w:sz="4" w:space="0" w:color="auto"/>
              <w:right w:val="single" w:sz="4" w:space="0" w:color="auto"/>
            </w:tcBorders>
            <w:shd w:val="clear" w:color="auto" w:fill="auto"/>
            <w:noWrap/>
            <w:vAlign w:val="center"/>
          </w:tcPr>
          <w:p w14:paraId="2F6E1554"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1.735.561</w:t>
            </w:r>
          </w:p>
        </w:tc>
        <w:tc>
          <w:tcPr>
            <w:tcW w:w="1134" w:type="dxa"/>
            <w:tcBorders>
              <w:top w:val="nil"/>
              <w:left w:val="nil"/>
              <w:bottom w:val="single" w:sz="4" w:space="0" w:color="auto"/>
              <w:right w:val="single" w:sz="4" w:space="0" w:color="auto"/>
            </w:tcBorders>
            <w:shd w:val="clear" w:color="auto" w:fill="auto"/>
            <w:noWrap/>
            <w:vAlign w:val="center"/>
          </w:tcPr>
          <w:p w14:paraId="2D34F688"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13.782.400</w:t>
            </w:r>
          </w:p>
        </w:tc>
      </w:tr>
      <w:tr w:rsidR="00C746F4" w:rsidRPr="00A1588E" w14:paraId="1EC91B09"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05BC4778"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N_14</w:t>
            </w:r>
          </w:p>
        </w:tc>
        <w:tc>
          <w:tcPr>
            <w:tcW w:w="4253" w:type="dxa"/>
            <w:tcBorders>
              <w:top w:val="nil"/>
              <w:left w:val="nil"/>
              <w:bottom w:val="single" w:sz="4" w:space="0" w:color="auto"/>
              <w:right w:val="single" w:sz="4" w:space="0" w:color="auto"/>
            </w:tcBorders>
            <w:shd w:val="clear" w:color="auto" w:fill="auto"/>
            <w:noWrap/>
            <w:vAlign w:val="center"/>
            <w:hideMark/>
          </w:tcPr>
          <w:p w14:paraId="230E81CA"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Atacama 220-&gt;Tap Enlace 220</w:t>
            </w:r>
          </w:p>
        </w:tc>
        <w:tc>
          <w:tcPr>
            <w:tcW w:w="1134" w:type="dxa"/>
            <w:tcBorders>
              <w:top w:val="nil"/>
              <w:left w:val="nil"/>
              <w:bottom w:val="single" w:sz="4" w:space="0" w:color="auto"/>
              <w:right w:val="single" w:sz="4" w:space="0" w:color="auto"/>
            </w:tcBorders>
            <w:shd w:val="clear" w:color="auto" w:fill="auto"/>
            <w:noWrap/>
            <w:vAlign w:val="center"/>
          </w:tcPr>
          <w:p w14:paraId="7E95E8E3"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1.656.975</w:t>
            </w:r>
          </w:p>
        </w:tc>
        <w:tc>
          <w:tcPr>
            <w:tcW w:w="1134" w:type="dxa"/>
            <w:tcBorders>
              <w:top w:val="nil"/>
              <w:left w:val="nil"/>
              <w:bottom w:val="single" w:sz="4" w:space="0" w:color="auto"/>
              <w:right w:val="single" w:sz="4" w:space="0" w:color="auto"/>
            </w:tcBorders>
            <w:shd w:val="clear" w:color="auto" w:fill="auto"/>
            <w:noWrap/>
            <w:vAlign w:val="center"/>
          </w:tcPr>
          <w:p w14:paraId="581449BE"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333.894</w:t>
            </w:r>
          </w:p>
        </w:tc>
        <w:tc>
          <w:tcPr>
            <w:tcW w:w="1134" w:type="dxa"/>
            <w:tcBorders>
              <w:top w:val="nil"/>
              <w:left w:val="nil"/>
              <w:bottom w:val="single" w:sz="4" w:space="0" w:color="auto"/>
              <w:right w:val="single" w:sz="4" w:space="0" w:color="auto"/>
            </w:tcBorders>
            <w:shd w:val="clear" w:color="auto" w:fill="auto"/>
            <w:noWrap/>
            <w:vAlign w:val="center"/>
          </w:tcPr>
          <w:p w14:paraId="1D5DF2D7"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266.505</w:t>
            </w:r>
          </w:p>
        </w:tc>
        <w:tc>
          <w:tcPr>
            <w:tcW w:w="1134" w:type="dxa"/>
            <w:tcBorders>
              <w:top w:val="nil"/>
              <w:left w:val="nil"/>
              <w:bottom w:val="single" w:sz="4" w:space="0" w:color="auto"/>
              <w:right w:val="single" w:sz="4" w:space="0" w:color="auto"/>
            </w:tcBorders>
            <w:shd w:val="clear" w:color="auto" w:fill="auto"/>
            <w:noWrap/>
            <w:vAlign w:val="center"/>
          </w:tcPr>
          <w:p w14:paraId="3839DC67"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2.257.374</w:t>
            </w:r>
          </w:p>
        </w:tc>
      </w:tr>
      <w:tr w:rsidR="00C746F4" w:rsidRPr="00A1588E" w14:paraId="0B727EBD"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241EE3EA"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N_15</w:t>
            </w:r>
          </w:p>
        </w:tc>
        <w:tc>
          <w:tcPr>
            <w:tcW w:w="4253" w:type="dxa"/>
            <w:tcBorders>
              <w:top w:val="nil"/>
              <w:left w:val="nil"/>
              <w:bottom w:val="single" w:sz="4" w:space="0" w:color="auto"/>
              <w:right w:val="single" w:sz="4" w:space="0" w:color="auto"/>
            </w:tcBorders>
            <w:shd w:val="clear" w:color="auto" w:fill="auto"/>
            <w:noWrap/>
            <w:vAlign w:val="center"/>
            <w:hideMark/>
          </w:tcPr>
          <w:p w14:paraId="501A51F6"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Bureo 220-&gt;Los Peumos 220</w:t>
            </w:r>
          </w:p>
        </w:tc>
        <w:tc>
          <w:tcPr>
            <w:tcW w:w="1134" w:type="dxa"/>
            <w:tcBorders>
              <w:top w:val="nil"/>
              <w:left w:val="nil"/>
              <w:bottom w:val="single" w:sz="4" w:space="0" w:color="auto"/>
              <w:right w:val="single" w:sz="4" w:space="0" w:color="auto"/>
            </w:tcBorders>
            <w:shd w:val="clear" w:color="auto" w:fill="auto"/>
            <w:noWrap/>
            <w:vAlign w:val="center"/>
          </w:tcPr>
          <w:p w14:paraId="1CC72EEC"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922.663</w:t>
            </w:r>
          </w:p>
        </w:tc>
        <w:tc>
          <w:tcPr>
            <w:tcW w:w="1134" w:type="dxa"/>
            <w:tcBorders>
              <w:top w:val="nil"/>
              <w:left w:val="nil"/>
              <w:bottom w:val="single" w:sz="4" w:space="0" w:color="auto"/>
              <w:right w:val="single" w:sz="4" w:space="0" w:color="auto"/>
            </w:tcBorders>
            <w:shd w:val="clear" w:color="auto" w:fill="auto"/>
            <w:noWrap/>
            <w:vAlign w:val="center"/>
          </w:tcPr>
          <w:p w14:paraId="205FE46F"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186.060</w:t>
            </w:r>
          </w:p>
        </w:tc>
        <w:tc>
          <w:tcPr>
            <w:tcW w:w="1134" w:type="dxa"/>
            <w:tcBorders>
              <w:top w:val="nil"/>
              <w:left w:val="nil"/>
              <w:bottom w:val="single" w:sz="4" w:space="0" w:color="auto"/>
              <w:right w:val="single" w:sz="4" w:space="0" w:color="auto"/>
            </w:tcBorders>
            <w:shd w:val="clear" w:color="auto" w:fill="auto"/>
            <w:noWrap/>
            <w:vAlign w:val="center"/>
          </w:tcPr>
          <w:p w14:paraId="19CB41DB"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192.206</w:t>
            </w:r>
          </w:p>
        </w:tc>
        <w:tc>
          <w:tcPr>
            <w:tcW w:w="1134" w:type="dxa"/>
            <w:tcBorders>
              <w:top w:val="nil"/>
              <w:left w:val="nil"/>
              <w:bottom w:val="single" w:sz="4" w:space="0" w:color="auto"/>
              <w:right w:val="single" w:sz="4" w:space="0" w:color="auto"/>
            </w:tcBorders>
            <w:shd w:val="clear" w:color="auto" w:fill="auto"/>
            <w:noWrap/>
            <w:vAlign w:val="center"/>
          </w:tcPr>
          <w:p w14:paraId="25AA25A2"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1.300.929</w:t>
            </w:r>
          </w:p>
        </w:tc>
      </w:tr>
      <w:tr w:rsidR="00C746F4" w:rsidRPr="00A1588E" w14:paraId="284DDA62"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4274C5B1"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N_16</w:t>
            </w:r>
          </w:p>
        </w:tc>
        <w:tc>
          <w:tcPr>
            <w:tcW w:w="4253" w:type="dxa"/>
            <w:tcBorders>
              <w:top w:val="nil"/>
              <w:left w:val="nil"/>
              <w:bottom w:val="single" w:sz="4" w:space="0" w:color="auto"/>
              <w:right w:val="single" w:sz="4" w:space="0" w:color="auto"/>
            </w:tcBorders>
            <w:shd w:val="clear" w:color="auto" w:fill="auto"/>
            <w:noWrap/>
            <w:vAlign w:val="center"/>
            <w:hideMark/>
          </w:tcPr>
          <w:p w14:paraId="14D0F783"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Candelaria 220-&gt;Maipo 220</w:t>
            </w:r>
          </w:p>
        </w:tc>
        <w:tc>
          <w:tcPr>
            <w:tcW w:w="1134" w:type="dxa"/>
            <w:tcBorders>
              <w:top w:val="nil"/>
              <w:left w:val="nil"/>
              <w:bottom w:val="single" w:sz="4" w:space="0" w:color="auto"/>
              <w:right w:val="single" w:sz="4" w:space="0" w:color="auto"/>
            </w:tcBorders>
            <w:shd w:val="clear" w:color="auto" w:fill="auto"/>
            <w:noWrap/>
            <w:vAlign w:val="center"/>
          </w:tcPr>
          <w:p w14:paraId="2FB418C2"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1.517.440</w:t>
            </w:r>
          </w:p>
        </w:tc>
        <w:tc>
          <w:tcPr>
            <w:tcW w:w="1134" w:type="dxa"/>
            <w:tcBorders>
              <w:top w:val="nil"/>
              <w:left w:val="nil"/>
              <w:bottom w:val="single" w:sz="4" w:space="0" w:color="auto"/>
              <w:right w:val="single" w:sz="4" w:space="0" w:color="auto"/>
            </w:tcBorders>
            <w:shd w:val="clear" w:color="auto" w:fill="auto"/>
            <w:noWrap/>
            <w:vAlign w:val="center"/>
          </w:tcPr>
          <w:p w14:paraId="2B269ED9"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305.579</w:t>
            </w:r>
          </w:p>
        </w:tc>
        <w:tc>
          <w:tcPr>
            <w:tcW w:w="1134" w:type="dxa"/>
            <w:tcBorders>
              <w:top w:val="nil"/>
              <w:left w:val="nil"/>
              <w:bottom w:val="single" w:sz="4" w:space="0" w:color="auto"/>
              <w:right w:val="single" w:sz="4" w:space="0" w:color="auto"/>
            </w:tcBorders>
            <w:shd w:val="clear" w:color="auto" w:fill="auto"/>
            <w:noWrap/>
            <w:vAlign w:val="center"/>
          </w:tcPr>
          <w:p w14:paraId="03A8B28B"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228.268</w:t>
            </w:r>
          </w:p>
        </w:tc>
        <w:tc>
          <w:tcPr>
            <w:tcW w:w="1134" w:type="dxa"/>
            <w:tcBorders>
              <w:top w:val="nil"/>
              <w:left w:val="nil"/>
              <w:bottom w:val="single" w:sz="4" w:space="0" w:color="auto"/>
              <w:right w:val="single" w:sz="4" w:space="0" w:color="auto"/>
            </w:tcBorders>
            <w:shd w:val="clear" w:color="auto" w:fill="auto"/>
            <w:noWrap/>
            <w:vAlign w:val="center"/>
          </w:tcPr>
          <w:p w14:paraId="79D62B73"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2.051.288</w:t>
            </w:r>
          </w:p>
        </w:tc>
      </w:tr>
      <w:tr w:rsidR="00C746F4" w:rsidRPr="00A1588E" w14:paraId="01FDF1C5"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4DBFA1F7"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N_17</w:t>
            </w:r>
          </w:p>
        </w:tc>
        <w:tc>
          <w:tcPr>
            <w:tcW w:w="4253" w:type="dxa"/>
            <w:tcBorders>
              <w:top w:val="nil"/>
              <w:left w:val="nil"/>
              <w:bottom w:val="single" w:sz="4" w:space="0" w:color="auto"/>
              <w:right w:val="single" w:sz="4" w:space="0" w:color="auto"/>
            </w:tcBorders>
            <w:shd w:val="clear" w:color="auto" w:fill="auto"/>
            <w:noWrap/>
            <w:vAlign w:val="center"/>
            <w:hideMark/>
          </w:tcPr>
          <w:p w14:paraId="4BB55BB1"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Candelaria 220-&gt;Puente Negro 220</w:t>
            </w:r>
          </w:p>
        </w:tc>
        <w:tc>
          <w:tcPr>
            <w:tcW w:w="1134" w:type="dxa"/>
            <w:tcBorders>
              <w:top w:val="nil"/>
              <w:left w:val="nil"/>
              <w:bottom w:val="single" w:sz="4" w:space="0" w:color="auto"/>
              <w:right w:val="single" w:sz="4" w:space="0" w:color="auto"/>
            </w:tcBorders>
            <w:shd w:val="clear" w:color="auto" w:fill="auto"/>
            <w:noWrap/>
            <w:vAlign w:val="center"/>
          </w:tcPr>
          <w:p w14:paraId="078B82C6"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3.011.584</w:t>
            </w:r>
          </w:p>
        </w:tc>
        <w:tc>
          <w:tcPr>
            <w:tcW w:w="1134" w:type="dxa"/>
            <w:tcBorders>
              <w:top w:val="nil"/>
              <w:left w:val="nil"/>
              <w:bottom w:val="single" w:sz="4" w:space="0" w:color="auto"/>
              <w:right w:val="single" w:sz="4" w:space="0" w:color="auto"/>
            </w:tcBorders>
            <w:shd w:val="clear" w:color="auto" w:fill="auto"/>
            <w:noWrap/>
            <w:vAlign w:val="center"/>
          </w:tcPr>
          <w:p w14:paraId="0E24A7DF"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606.473</w:t>
            </w:r>
          </w:p>
        </w:tc>
        <w:tc>
          <w:tcPr>
            <w:tcW w:w="1134" w:type="dxa"/>
            <w:tcBorders>
              <w:top w:val="nil"/>
              <w:left w:val="nil"/>
              <w:bottom w:val="single" w:sz="4" w:space="0" w:color="auto"/>
              <w:right w:val="single" w:sz="4" w:space="0" w:color="auto"/>
            </w:tcBorders>
            <w:shd w:val="clear" w:color="auto" w:fill="auto"/>
            <w:noWrap/>
            <w:vAlign w:val="center"/>
          </w:tcPr>
          <w:p w14:paraId="2F48C37F"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439.286</w:t>
            </w:r>
          </w:p>
        </w:tc>
        <w:tc>
          <w:tcPr>
            <w:tcW w:w="1134" w:type="dxa"/>
            <w:tcBorders>
              <w:top w:val="nil"/>
              <w:left w:val="nil"/>
              <w:bottom w:val="single" w:sz="4" w:space="0" w:color="auto"/>
              <w:right w:val="single" w:sz="4" w:space="0" w:color="auto"/>
            </w:tcBorders>
            <w:shd w:val="clear" w:color="auto" w:fill="auto"/>
            <w:noWrap/>
            <w:vAlign w:val="center"/>
          </w:tcPr>
          <w:p w14:paraId="15809C6E"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4.057.343</w:t>
            </w:r>
          </w:p>
        </w:tc>
      </w:tr>
      <w:tr w:rsidR="00C746F4" w:rsidRPr="00A1588E" w14:paraId="28FA10EC"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0630C2D3"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N_18</w:t>
            </w:r>
          </w:p>
        </w:tc>
        <w:tc>
          <w:tcPr>
            <w:tcW w:w="4253" w:type="dxa"/>
            <w:tcBorders>
              <w:top w:val="nil"/>
              <w:left w:val="nil"/>
              <w:bottom w:val="single" w:sz="4" w:space="0" w:color="auto"/>
              <w:right w:val="single" w:sz="4" w:space="0" w:color="auto"/>
            </w:tcBorders>
            <w:shd w:val="clear" w:color="auto" w:fill="auto"/>
            <w:noWrap/>
            <w:vAlign w:val="center"/>
            <w:hideMark/>
          </w:tcPr>
          <w:p w14:paraId="17AECB3C"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Cardones 220-&gt;Algarrobal 220</w:t>
            </w:r>
          </w:p>
        </w:tc>
        <w:tc>
          <w:tcPr>
            <w:tcW w:w="1134" w:type="dxa"/>
            <w:tcBorders>
              <w:top w:val="nil"/>
              <w:left w:val="nil"/>
              <w:bottom w:val="single" w:sz="4" w:space="0" w:color="auto"/>
              <w:right w:val="single" w:sz="4" w:space="0" w:color="auto"/>
            </w:tcBorders>
            <w:shd w:val="clear" w:color="auto" w:fill="auto"/>
            <w:noWrap/>
            <w:vAlign w:val="center"/>
          </w:tcPr>
          <w:p w14:paraId="27B77836"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2.290.777</w:t>
            </w:r>
          </w:p>
        </w:tc>
        <w:tc>
          <w:tcPr>
            <w:tcW w:w="1134" w:type="dxa"/>
            <w:tcBorders>
              <w:top w:val="nil"/>
              <w:left w:val="nil"/>
              <w:bottom w:val="single" w:sz="4" w:space="0" w:color="auto"/>
              <w:right w:val="single" w:sz="4" w:space="0" w:color="auto"/>
            </w:tcBorders>
            <w:shd w:val="clear" w:color="auto" w:fill="auto"/>
            <w:noWrap/>
            <w:vAlign w:val="center"/>
          </w:tcPr>
          <w:p w14:paraId="448B8368"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461.921</w:t>
            </w:r>
          </w:p>
        </w:tc>
        <w:tc>
          <w:tcPr>
            <w:tcW w:w="1134" w:type="dxa"/>
            <w:tcBorders>
              <w:top w:val="nil"/>
              <w:left w:val="nil"/>
              <w:bottom w:val="single" w:sz="4" w:space="0" w:color="auto"/>
              <w:right w:val="single" w:sz="4" w:space="0" w:color="auto"/>
            </w:tcBorders>
            <w:shd w:val="clear" w:color="auto" w:fill="auto"/>
            <w:noWrap/>
            <w:vAlign w:val="center"/>
          </w:tcPr>
          <w:p w14:paraId="373D01A3"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470.505</w:t>
            </w:r>
          </w:p>
        </w:tc>
        <w:tc>
          <w:tcPr>
            <w:tcW w:w="1134" w:type="dxa"/>
            <w:tcBorders>
              <w:top w:val="nil"/>
              <w:left w:val="nil"/>
              <w:bottom w:val="single" w:sz="4" w:space="0" w:color="auto"/>
              <w:right w:val="single" w:sz="4" w:space="0" w:color="auto"/>
            </w:tcBorders>
            <w:shd w:val="clear" w:color="auto" w:fill="auto"/>
            <w:noWrap/>
            <w:vAlign w:val="center"/>
          </w:tcPr>
          <w:p w14:paraId="3A74AC12"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3.223.203</w:t>
            </w:r>
          </w:p>
        </w:tc>
      </w:tr>
      <w:tr w:rsidR="00C746F4" w:rsidRPr="00A1588E" w14:paraId="0583CDAD"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1C67F42B"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N_19</w:t>
            </w:r>
          </w:p>
        </w:tc>
        <w:tc>
          <w:tcPr>
            <w:tcW w:w="4253" w:type="dxa"/>
            <w:tcBorders>
              <w:top w:val="nil"/>
              <w:left w:val="nil"/>
              <w:bottom w:val="single" w:sz="4" w:space="0" w:color="auto"/>
              <w:right w:val="single" w:sz="4" w:space="0" w:color="auto"/>
            </w:tcBorders>
            <w:shd w:val="clear" w:color="auto" w:fill="auto"/>
            <w:noWrap/>
            <w:vAlign w:val="center"/>
            <w:hideMark/>
          </w:tcPr>
          <w:p w14:paraId="5B0EE591"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Cardones 220-&gt;Nueva Cardones 220</w:t>
            </w:r>
          </w:p>
        </w:tc>
        <w:tc>
          <w:tcPr>
            <w:tcW w:w="1134" w:type="dxa"/>
            <w:tcBorders>
              <w:top w:val="nil"/>
              <w:left w:val="nil"/>
              <w:bottom w:val="single" w:sz="4" w:space="0" w:color="auto"/>
              <w:right w:val="single" w:sz="4" w:space="0" w:color="auto"/>
            </w:tcBorders>
            <w:shd w:val="clear" w:color="auto" w:fill="auto"/>
            <w:noWrap/>
            <w:vAlign w:val="center"/>
          </w:tcPr>
          <w:p w14:paraId="6589E49C"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asciiTheme="minorHAnsi" w:hAnsiTheme="minorHAnsi" w:cstheme="minorHAnsi"/>
                <w:sz w:val="20"/>
                <w:szCs w:val="20"/>
              </w:rPr>
              <w:t>-</w:t>
            </w:r>
          </w:p>
        </w:tc>
        <w:tc>
          <w:tcPr>
            <w:tcW w:w="1134" w:type="dxa"/>
            <w:tcBorders>
              <w:top w:val="nil"/>
              <w:left w:val="nil"/>
              <w:bottom w:val="single" w:sz="4" w:space="0" w:color="auto"/>
              <w:right w:val="single" w:sz="4" w:space="0" w:color="auto"/>
            </w:tcBorders>
            <w:shd w:val="clear" w:color="auto" w:fill="auto"/>
            <w:noWrap/>
            <w:vAlign w:val="center"/>
          </w:tcPr>
          <w:p w14:paraId="761414F4"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w:t>
            </w:r>
          </w:p>
        </w:tc>
        <w:tc>
          <w:tcPr>
            <w:tcW w:w="1134" w:type="dxa"/>
            <w:tcBorders>
              <w:top w:val="nil"/>
              <w:left w:val="nil"/>
              <w:bottom w:val="single" w:sz="4" w:space="0" w:color="auto"/>
              <w:right w:val="single" w:sz="4" w:space="0" w:color="auto"/>
            </w:tcBorders>
            <w:shd w:val="clear" w:color="auto" w:fill="auto"/>
            <w:noWrap/>
            <w:vAlign w:val="center"/>
          </w:tcPr>
          <w:p w14:paraId="7B74BE23"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w:t>
            </w:r>
          </w:p>
        </w:tc>
        <w:tc>
          <w:tcPr>
            <w:tcW w:w="1134" w:type="dxa"/>
            <w:tcBorders>
              <w:top w:val="nil"/>
              <w:left w:val="nil"/>
              <w:bottom w:val="single" w:sz="4" w:space="0" w:color="auto"/>
              <w:right w:val="single" w:sz="4" w:space="0" w:color="auto"/>
            </w:tcBorders>
            <w:shd w:val="clear" w:color="auto" w:fill="auto"/>
            <w:noWrap/>
            <w:vAlign w:val="center"/>
          </w:tcPr>
          <w:p w14:paraId="48AF3B53"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w:t>
            </w:r>
          </w:p>
        </w:tc>
      </w:tr>
      <w:tr w:rsidR="00C746F4" w:rsidRPr="00A1588E" w14:paraId="0DBB2B19"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2C761641"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N_20</w:t>
            </w:r>
          </w:p>
        </w:tc>
        <w:tc>
          <w:tcPr>
            <w:tcW w:w="4253" w:type="dxa"/>
            <w:tcBorders>
              <w:top w:val="nil"/>
              <w:left w:val="nil"/>
              <w:bottom w:val="single" w:sz="4" w:space="0" w:color="auto"/>
              <w:right w:val="single" w:sz="4" w:space="0" w:color="auto"/>
            </w:tcBorders>
            <w:shd w:val="clear" w:color="auto" w:fill="auto"/>
            <w:noWrap/>
            <w:vAlign w:val="center"/>
            <w:hideMark/>
          </w:tcPr>
          <w:p w14:paraId="49407C20"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Carrera Pinto 220-&gt;Nueva Diego de Almagro 220</w:t>
            </w:r>
          </w:p>
        </w:tc>
        <w:tc>
          <w:tcPr>
            <w:tcW w:w="1134" w:type="dxa"/>
            <w:tcBorders>
              <w:top w:val="nil"/>
              <w:left w:val="nil"/>
              <w:bottom w:val="single" w:sz="4" w:space="0" w:color="auto"/>
              <w:right w:val="single" w:sz="4" w:space="0" w:color="auto"/>
            </w:tcBorders>
            <w:shd w:val="clear" w:color="auto" w:fill="auto"/>
            <w:noWrap/>
            <w:vAlign w:val="center"/>
          </w:tcPr>
          <w:p w14:paraId="49E6C086"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674.825</w:t>
            </w:r>
          </w:p>
        </w:tc>
        <w:tc>
          <w:tcPr>
            <w:tcW w:w="1134" w:type="dxa"/>
            <w:tcBorders>
              <w:top w:val="nil"/>
              <w:left w:val="nil"/>
              <w:bottom w:val="single" w:sz="4" w:space="0" w:color="auto"/>
              <w:right w:val="single" w:sz="4" w:space="0" w:color="auto"/>
            </w:tcBorders>
            <w:shd w:val="clear" w:color="auto" w:fill="auto"/>
            <w:noWrap/>
            <w:vAlign w:val="center"/>
          </w:tcPr>
          <w:p w14:paraId="3474B9E9"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136.322</w:t>
            </w:r>
          </w:p>
        </w:tc>
        <w:tc>
          <w:tcPr>
            <w:tcW w:w="1134" w:type="dxa"/>
            <w:tcBorders>
              <w:top w:val="nil"/>
              <w:left w:val="nil"/>
              <w:bottom w:val="single" w:sz="4" w:space="0" w:color="auto"/>
              <w:right w:val="single" w:sz="4" w:space="0" w:color="auto"/>
            </w:tcBorders>
            <w:shd w:val="clear" w:color="auto" w:fill="auto"/>
            <w:noWrap/>
            <w:vAlign w:val="center"/>
          </w:tcPr>
          <w:p w14:paraId="7D0CE254"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115.583</w:t>
            </w:r>
          </w:p>
        </w:tc>
        <w:tc>
          <w:tcPr>
            <w:tcW w:w="1134" w:type="dxa"/>
            <w:tcBorders>
              <w:top w:val="nil"/>
              <w:left w:val="nil"/>
              <w:bottom w:val="single" w:sz="4" w:space="0" w:color="auto"/>
              <w:right w:val="single" w:sz="4" w:space="0" w:color="auto"/>
            </w:tcBorders>
            <w:shd w:val="clear" w:color="auto" w:fill="auto"/>
            <w:noWrap/>
            <w:vAlign w:val="center"/>
          </w:tcPr>
          <w:p w14:paraId="7253A3AD"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926.730</w:t>
            </w:r>
          </w:p>
        </w:tc>
      </w:tr>
      <w:tr w:rsidR="00C746F4" w:rsidRPr="00A1588E" w14:paraId="640CB4AD"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60710C50"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N_21</w:t>
            </w:r>
          </w:p>
        </w:tc>
        <w:tc>
          <w:tcPr>
            <w:tcW w:w="4253" w:type="dxa"/>
            <w:tcBorders>
              <w:top w:val="nil"/>
              <w:left w:val="nil"/>
              <w:bottom w:val="single" w:sz="4" w:space="0" w:color="auto"/>
              <w:right w:val="single" w:sz="4" w:space="0" w:color="auto"/>
            </w:tcBorders>
            <w:shd w:val="clear" w:color="auto" w:fill="auto"/>
            <w:noWrap/>
            <w:vAlign w:val="center"/>
            <w:hideMark/>
          </w:tcPr>
          <w:p w14:paraId="6BF235AC"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Carrera Pinto 220-&gt;S. San Andrés 220</w:t>
            </w:r>
          </w:p>
        </w:tc>
        <w:tc>
          <w:tcPr>
            <w:tcW w:w="1134" w:type="dxa"/>
            <w:tcBorders>
              <w:top w:val="nil"/>
              <w:left w:val="nil"/>
              <w:bottom w:val="single" w:sz="4" w:space="0" w:color="auto"/>
              <w:right w:val="single" w:sz="4" w:space="0" w:color="auto"/>
            </w:tcBorders>
            <w:shd w:val="clear" w:color="auto" w:fill="auto"/>
            <w:noWrap/>
            <w:vAlign w:val="center"/>
          </w:tcPr>
          <w:p w14:paraId="4601F4CE"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633.978</w:t>
            </w:r>
          </w:p>
        </w:tc>
        <w:tc>
          <w:tcPr>
            <w:tcW w:w="1134" w:type="dxa"/>
            <w:tcBorders>
              <w:top w:val="nil"/>
              <w:left w:val="nil"/>
              <w:bottom w:val="single" w:sz="4" w:space="0" w:color="auto"/>
              <w:right w:val="single" w:sz="4" w:space="0" w:color="auto"/>
            </w:tcBorders>
            <w:shd w:val="clear" w:color="auto" w:fill="auto"/>
            <w:noWrap/>
            <w:vAlign w:val="center"/>
          </w:tcPr>
          <w:p w14:paraId="54195D46"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128.013</w:t>
            </w:r>
          </w:p>
        </w:tc>
        <w:tc>
          <w:tcPr>
            <w:tcW w:w="1134" w:type="dxa"/>
            <w:tcBorders>
              <w:top w:val="nil"/>
              <w:left w:val="nil"/>
              <w:bottom w:val="single" w:sz="4" w:space="0" w:color="auto"/>
              <w:right w:val="single" w:sz="4" w:space="0" w:color="auto"/>
            </w:tcBorders>
            <w:shd w:val="clear" w:color="auto" w:fill="auto"/>
            <w:noWrap/>
            <w:vAlign w:val="center"/>
          </w:tcPr>
          <w:p w14:paraId="6C1C297C"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108.260</w:t>
            </w:r>
          </w:p>
        </w:tc>
        <w:tc>
          <w:tcPr>
            <w:tcW w:w="1134" w:type="dxa"/>
            <w:tcBorders>
              <w:top w:val="nil"/>
              <w:left w:val="nil"/>
              <w:bottom w:val="single" w:sz="4" w:space="0" w:color="auto"/>
              <w:right w:val="single" w:sz="4" w:space="0" w:color="auto"/>
            </w:tcBorders>
            <w:shd w:val="clear" w:color="auto" w:fill="auto"/>
            <w:noWrap/>
            <w:vAlign w:val="center"/>
          </w:tcPr>
          <w:p w14:paraId="0F7058D6"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870.252</w:t>
            </w:r>
          </w:p>
        </w:tc>
      </w:tr>
      <w:tr w:rsidR="00C746F4" w:rsidRPr="00A1588E" w14:paraId="2464F9D8"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567C2DC2"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N_22</w:t>
            </w:r>
          </w:p>
        </w:tc>
        <w:tc>
          <w:tcPr>
            <w:tcW w:w="4253" w:type="dxa"/>
            <w:tcBorders>
              <w:top w:val="nil"/>
              <w:left w:val="nil"/>
              <w:bottom w:val="single" w:sz="4" w:space="0" w:color="auto"/>
              <w:right w:val="single" w:sz="4" w:space="0" w:color="auto"/>
            </w:tcBorders>
            <w:shd w:val="clear" w:color="auto" w:fill="auto"/>
            <w:noWrap/>
            <w:vAlign w:val="center"/>
            <w:hideMark/>
          </w:tcPr>
          <w:p w14:paraId="74F44E4E"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Cautín 220-&gt;Metrenco 220</w:t>
            </w:r>
          </w:p>
        </w:tc>
        <w:tc>
          <w:tcPr>
            <w:tcW w:w="1134" w:type="dxa"/>
            <w:tcBorders>
              <w:top w:val="nil"/>
              <w:left w:val="nil"/>
              <w:bottom w:val="single" w:sz="4" w:space="0" w:color="auto"/>
              <w:right w:val="single" w:sz="4" w:space="0" w:color="auto"/>
            </w:tcBorders>
            <w:shd w:val="clear" w:color="auto" w:fill="auto"/>
            <w:noWrap/>
            <w:vAlign w:val="center"/>
          </w:tcPr>
          <w:p w14:paraId="5B6CF694"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436.539</w:t>
            </w:r>
          </w:p>
        </w:tc>
        <w:tc>
          <w:tcPr>
            <w:tcW w:w="1134" w:type="dxa"/>
            <w:tcBorders>
              <w:top w:val="nil"/>
              <w:left w:val="nil"/>
              <w:bottom w:val="single" w:sz="4" w:space="0" w:color="auto"/>
              <w:right w:val="single" w:sz="4" w:space="0" w:color="auto"/>
            </w:tcBorders>
            <w:shd w:val="clear" w:color="auto" w:fill="auto"/>
            <w:noWrap/>
            <w:vAlign w:val="center"/>
          </w:tcPr>
          <w:p w14:paraId="7E3C6959"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87.970</w:t>
            </w:r>
          </w:p>
        </w:tc>
        <w:tc>
          <w:tcPr>
            <w:tcW w:w="1134" w:type="dxa"/>
            <w:tcBorders>
              <w:top w:val="nil"/>
              <w:left w:val="nil"/>
              <w:bottom w:val="single" w:sz="4" w:space="0" w:color="auto"/>
              <w:right w:val="single" w:sz="4" w:space="0" w:color="auto"/>
            </w:tcBorders>
            <w:shd w:val="clear" w:color="auto" w:fill="auto"/>
            <w:noWrap/>
            <w:vAlign w:val="center"/>
          </w:tcPr>
          <w:p w14:paraId="6EA27683"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88.537</w:t>
            </w:r>
          </w:p>
        </w:tc>
        <w:tc>
          <w:tcPr>
            <w:tcW w:w="1134" w:type="dxa"/>
            <w:tcBorders>
              <w:top w:val="nil"/>
              <w:left w:val="nil"/>
              <w:bottom w:val="single" w:sz="4" w:space="0" w:color="auto"/>
              <w:right w:val="single" w:sz="4" w:space="0" w:color="auto"/>
            </w:tcBorders>
            <w:shd w:val="clear" w:color="auto" w:fill="auto"/>
            <w:noWrap/>
            <w:vAlign w:val="center"/>
          </w:tcPr>
          <w:p w14:paraId="69A9711B"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613.046</w:t>
            </w:r>
          </w:p>
        </w:tc>
      </w:tr>
      <w:tr w:rsidR="00C746F4" w:rsidRPr="00A1588E" w14:paraId="7A409187"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50D18F8F"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N_23</w:t>
            </w:r>
          </w:p>
        </w:tc>
        <w:tc>
          <w:tcPr>
            <w:tcW w:w="4253" w:type="dxa"/>
            <w:tcBorders>
              <w:top w:val="nil"/>
              <w:left w:val="nil"/>
              <w:bottom w:val="single" w:sz="4" w:space="0" w:color="auto"/>
              <w:right w:val="single" w:sz="4" w:space="0" w:color="auto"/>
            </w:tcBorders>
            <w:shd w:val="clear" w:color="auto" w:fill="auto"/>
            <w:noWrap/>
            <w:vAlign w:val="center"/>
            <w:hideMark/>
          </w:tcPr>
          <w:p w14:paraId="127D54B7"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Cerro Navia 220-&gt;Cerro Navia Desf 220</w:t>
            </w:r>
          </w:p>
        </w:tc>
        <w:tc>
          <w:tcPr>
            <w:tcW w:w="1134" w:type="dxa"/>
            <w:tcBorders>
              <w:top w:val="nil"/>
              <w:left w:val="nil"/>
              <w:bottom w:val="single" w:sz="4" w:space="0" w:color="auto"/>
              <w:right w:val="single" w:sz="4" w:space="0" w:color="auto"/>
            </w:tcBorders>
            <w:shd w:val="clear" w:color="auto" w:fill="auto"/>
            <w:noWrap/>
            <w:vAlign w:val="center"/>
          </w:tcPr>
          <w:p w14:paraId="6D27BC4E"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642.657</w:t>
            </w:r>
          </w:p>
        </w:tc>
        <w:tc>
          <w:tcPr>
            <w:tcW w:w="1134" w:type="dxa"/>
            <w:tcBorders>
              <w:top w:val="nil"/>
              <w:left w:val="nil"/>
              <w:bottom w:val="single" w:sz="4" w:space="0" w:color="auto"/>
              <w:right w:val="single" w:sz="4" w:space="0" w:color="auto"/>
            </w:tcBorders>
            <w:shd w:val="clear" w:color="auto" w:fill="auto"/>
            <w:noWrap/>
            <w:vAlign w:val="center"/>
          </w:tcPr>
          <w:p w14:paraId="286FF5A6"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129.422</w:t>
            </w:r>
          </w:p>
        </w:tc>
        <w:tc>
          <w:tcPr>
            <w:tcW w:w="1134" w:type="dxa"/>
            <w:tcBorders>
              <w:top w:val="nil"/>
              <w:left w:val="nil"/>
              <w:bottom w:val="single" w:sz="4" w:space="0" w:color="auto"/>
              <w:right w:val="single" w:sz="4" w:space="0" w:color="auto"/>
            </w:tcBorders>
            <w:shd w:val="clear" w:color="auto" w:fill="auto"/>
            <w:noWrap/>
            <w:vAlign w:val="center"/>
          </w:tcPr>
          <w:p w14:paraId="6A2F97C6"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72.135</w:t>
            </w:r>
          </w:p>
        </w:tc>
        <w:tc>
          <w:tcPr>
            <w:tcW w:w="1134" w:type="dxa"/>
            <w:tcBorders>
              <w:top w:val="nil"/>
              <w:left w:val="nil"/>
              <w:bottom w:val="single" w:sz="4" w:space="0" w:color="auto"/>
              <w:right w:val="single" w:sz="4" w:space="0" w:color="auto"/>
            </w:tcBorders>
            <w:shd w:val="clear" w:color="auto" w:fill="auto"/>
            <w:noWrap/>
            <w:vAlign w:val="center"/>
          </w:tcPr>
          <w:p w14:paraId="3EDE8928"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844.214</w:t>
            </w:r>
          </w:p>
        </w:tc>
      </w:tr>
      <w:tr w:rsidR="00C746F4" w:rsidRPr="00A1588E" w14:paraId="64A0AD59"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1A1BEB9F"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N_24</w:t>
            </w:r>
          </w:p>
        </w:tc>
        <w:tc>
          <w:tcPr>
            <w:tcW w:w="4253" w:type="dxa"/>
            <w:tcBorders>
              <w:top w:val="nil"/>
              <w:left w:val="nil"/>
              <w:bottom w:val="single" w:sz="4" w:space="0" w:color="auto"/>
              <w:right w:val="single" w:sz="4" w:space="0" w:color="auto"/>
            </w:tcBorders>
            <w:shd w:val="clear" w:color="auto" w:fill="auto"/>
            <w:noWrap/>
            <w:vAlign w:val="center"/>
            <w:hideMark/>
          </w:tcPr>
          <w:p w14:paraId="3C2AE4BD"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Cerro Navia 220-&gt;Chena 220</w:t>
            </w:r>
          </w:p>
        </w:tc>
        <w:tc>
          <w:tcPr>
            <w:tcW w:w="1134" w:type="dxa"/>
            <w:tcBorders>
              <w:top w:val="nil"/>
              <w:left w:val="nil"/>
              <w:bottom w:val="single" w:sz="4" w:space="0" w:color="auto"/>
              <w:right w:val="single" w:sz="4" w:space="0" w:color="auto"/>
            </w:tcBorders>
            <w:shd w:val="clear" w:color="auto" w:fill="auto"/>
            <w:noWrap/>
            <w:vAlign w:val="center"/>
          </w:tcPr>
          <w:p w14:paraId="5496066B"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232.825</w:t>
            </w:r>
          </w:p>
        </w:tc>
        <w:tc>
          <w:tcPr>
            <w:tcW w:w="1134" w:type="dxa"/>
            <w:tcBorders>
              <w:top w:val="nil"/>
              <w:left w:val="nil"/>
              <w:bottom w:val="single" w:sz="4" w:space="0" w:color="auto"/>
              <w:right w:val="single" w:sz="4" w:space="0" w:color="auto"/>
            </w:tcBorders>
            <w:shd w:val="clear" w:color="auto" w:fill="auto"/>
            <w:noWrap/>
            <w:vAlign w:val="center"/>
          </w:tcPr>
          <w:p w14:paraId="1A8115F5"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47.055</w:t>
            </w:r>
          </w:p>
        </w:tc>
        <w:tc>
          <w:tcPr>
            <w:tcW w:w="1134" w:type="dxa"/>
            <w:tcBorders>
              <w:top w:val="nil"/>
              <w:left w:val="nil"/>
              <w:bottom w:val="single" w:sz="4" w:space="0" w:color="auto"/>
              <w:right w:val="single" w:sz="4" w:space="0" w:color="auto"/>
            </w:tcBorders>
            <w:shd w:val="clear" w:color="auto" w:fill="auto"/>
            <w:noWrap/>
            <w:vAlign w:val="center"/>
          </w:tcPr>
          <w:p w14:paraId="65341EBC"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46.684</w:t>
            </w:r>
          </w:p>
        </w:tc>
        <w:tc>
          <w:tcPr>
            <w:tcW w:w="1134" w:type="dxa"/>
            <w:tcBorders>
              <w:top w:val="nil"/>
              <w:left w:val="nil"/>
              <w:bottom w:val="single" w:sz="4" w:space="0" w:color="auto"/>
              <w:right w:val="single" w:sz="4" w:space="0" w:color="auto"/>
            </w:tcBorders>
            <w:shd w:val="clear" w:color="auto" w:fill="auto"/>
            <w:noWrap/>
            <w:vAlign w:val="center"/>
          </w:tcPr>
          <w:p w14:paraId="1B8BFE1F"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326.563</w:t>
            </w:r>
          </w:p>
        </w:tc>
      </w:tr>
      <w:tr w:rsidR="00C746F4" w:rsidRPr="00A1588E" w14:paraId="6590E452"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0327111E"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N_25</w:t>
            </w:r>
          </w:p>
        </w:tc>
        <w:tc>
          <w:tcPr>
            <w:tcW w:w="4253" w:type="dxa"/>
            <w:tcBorders>
              <w:top w:val="nil"/>
              <w:left w:val="nil"/>
              <w:bottom w:val="single" w:sz="4" w:space="0" w:color="auto"/>
              <w:right w:val="single" w:sz="4" w:space="0" w:color="auto"/>
            </w:tcBorders>
            <w:shd w:val="clear" w:color="auto" w:fill="auto"/>
            <w:noWrap/>
            <w:vAlign w:val="center"/>
            <w:hideMark/>
          </w:tcPr>
          <w:p w14:paraId="0CC860F3"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Cerro Navia 220-&gt;Neptuno 220</w:t>
            </w:r>
          </w:p>
        </w:tc>
        <w:tc>
          <w:tcPr>
            <w:tcW w:w="1134" w:type="dxa"/>
            <w:tcBorders>
              <w:top w:val="nil"/>
              <w:left w:val="nil"/>
              <w:bottom w:val="single" w:sz="4" w:space="0" w:color="auto"/>
              <w:right w:val="single" w:sz="4" w:space="0" w:color="auto"/>
            </w:tcBorders>
            <w:shd w:val="clear" w:color="auto" w:fill="auto"/>
            <w:noWrap/>
            <w:vAlign w:val="center"/>
          </w:tcPr>
          <w:p w14:paraId="7E3C14D4"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150.750</w:t>
            </w:r>
          </w:p>
        </w:tc>
        <w:tc>
          <w:tcPr>
            <w:tcW w:w="1134" w:type="dxa"/>
            <w:tcBorders>
              <w:top w:val="nil"/>
              <w:left w:val="nil"/>
              <w:bottom w:val="single" w:sz="4" w:space="0" w:color="auto"/>
              <w:right w:val="single" w:sz="4" w:space="0" w:color="auto"/>
            </w:tcBorders>
            <w:shd w:val="clear" w:color="auto" w:fill="auto"/>
            <w:noWrap/>
            <w:vAlign w:val="center"/>
          </w:tcPr>
          <w:p w14:paraId="61F815F2"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30.369</w:t>
            </w:r>
          </w:p>
        </w:tc>
        <w:tc>
          <w:tcPr>
            <w:tcW w:w="1134" w:type="dxa"/>
            <w:tcBorders>
              <w:top w:val="nil"/>
              <w:left w:val="nil"/>
              <w:bottom w:val="single" w:sz="4" w:space="0" w:color="auto"/>
              <w:right w:val="single" w:sz="4" w:space="0" w:color="auto"/>
            </w:tcBorders>
            <w:shd w:val="clear" w:color="auto" w:fill="auto"/>
            <w:noWrap/>
            <w:vAlign w:val="center"/>
          </w:tcPr>
          <w:p w14:paraId="056EC919"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24.579</w:t>
            </w:r>
          </w:p>
        </w:tc>
        <w:tc>
          <w:tcPr>
            <w:tcW w:w="1134" w:type="dxa"/>
            <w:tcBorders>
              <w:top w:val="nil"/>
              <w:left w:val="nil"/>
              <w:bottom w:val="single" w:sz="4" w:space="0" w:color="auto"/>
              <w:right w:val="single" w:sz="4" w:space="0" w:color="auto"/>
            </w:tcBorders>
            <w:shd w:val="clear" w:color="auto" w:fill="auto"/>
            <w:noWrap/>
            <w:vAlign w:val="center"/>
          </w:tcPr>
          <w:p w14:paraId="062571F1"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205.698</w:t>
            </w:r>
          </w:p>
        </w:tc>
      </w:tr>
      <w:tr w:rsidR="00C746F4" w:rsidRPr="00A1588E" w14:paraId="1EA05FC7"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0293F95B"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N_26</w:t>
            </w:r>
          </w:p>
        </w:tc>
        <w:tc>
          <w:tcPr>
            <w:tcW w:w="4253" w:type="dxa"/>
            <w:tcBorders>
              <w:top w:val="nil"/>
              <w:left w:val="nil"/>
              <w:bottom w:val="single" w:sz="4" w:space="0" w:color="auto"/>
              <w:right w:val="single" w:sz="4" w:space="0" w:color="auto"/>
            </w:tcBorders>
            <w:shd w:val="clear" w:color="auto" w:fill="auto"/>
            <w:noWrap/>
            <w:vAlign w:val="center"/>
            <w:hideMark/>
          </w:tcPr>
          <w:p w14:paraId="01D1CA31"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Cerros de Huichahue 220-&gt;Nueva Pichirropulli 220</w:t>
            </w:r>
          </w:p>
        </w:tc>
        <w:tc>
          <w:tcPr>
            <w:tcW w:w="1134" w:type="dxa"/>
            <w:tcBorders>
              <w:top w:val="nil"/>
              <w:left w:val="nil"/>
              <w:bottom w:val="single" w:sz="4" w:space="0" w:color="auto"/>
              <w:right w:val="single" w:sz="4" w:space="0" w:color="auto"/>
            </w:tcBorders>
            <w:shd w:val="clear" w:color="auto" w:fill="auto"/>
            <w:noWrap/>
            <w:vAlign w:val="center"/>
          </w:tcPr>
          <w:p w14:paraId="68465AC5"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157.172</w:t>
            </w:r>
          </w:p>
        </w:tc>
        <w:tc>
          <w:tcPr>
            <w:tcW w:w="1134" w:type="dxa"/>
            <w:tcBorders>
              <w:top w:val="nil"/>
              <w:left w:val="nil"/>
              <w:bottom w:val="single" w:sz="4" w:space="0" w:color="auto"/>
              <w:right w:val="single" w:sz="4" w:space="0" w:color="auto"/>
            </w:tcBorders>
            <w:shd w:val="clear" w:color="auto" w:fill="auto"/>
            <w:noWrap/>
            <w:vAlign w:val="center"/>
          </w:tcPr>
          <w:p w14:paraId="6E152567"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31.825</w:t>
            </w:r>
          </w:p>
        </w:tc>
        <w:tc>
          <w:tcPr>
            <w:tcW w:w="1134" w:type="dxa"/>
            <w:tcBorders>
              <w:top w:val="nil"/>
              <w:left w:val="nil"/>
              <w:bottom w:val="single" w:sz="4" w:space="0" w:color="auto"/>
              <w:right w:val="single" w:sz="4" w:space="0" w:color="auto"/>
            </w:tcBorders>
            <w:shd w:val="clear" w:color="auto" w:fill="auto"/>
            <w:noWrap/>
            <w:vAlign w:val="center"/>
          </w:tcPr>
          <w:p w14:paraId="3C48E3EB"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22.648</w:t>
            </w:r>
          </w:p>
        </w:tc>
        <w:tc>
          <w:tcPr>
            <w:tcW w:w="1134" w:type="dxa"/>
            <w:tcBorders>
              <w:top w:val="nil"/>
              <w:left w:val="nil"/>
              <w:bottom w:val="single" w:sz="4" w:space="0" w:color="auto"/>
              <w:right w:val="single" w:sz="4" w:space="0" w:color="auto"/>
            </w:tcBorders>
            <w:shd w:val="clear" w:color="auto" w:fill="auto"/>
            <w:noWrap/>
            <w:vAlign w:val="center"/>
          </w:tcPr>
          <w:p w14:paraId="535C7FD1"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211.645</w:t>
            </w:r>
          </w:p>
        </w:tc>
      </w:tr>
      <w:tr w:rsidR="00C746F4" w:rsidRPr="00A1588E" w14:paraId="2A4B7508"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09870986"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N_27</w:t>
            </w:r>
          </w:p>
        </w:tc>
        <w:tc>
          <w:tcPr>
            <w:tcW w:w="4253" w:type="dxa"/>
            <w:tcBorders>
              <w:top w:val="nil"/>
              <w:left w:val="nil"/>
              <w:bottom w:val="single" w:sz="4" w:space="0" w:color="auto"/>
              <w:right w:val="single" w:sz="4" w:space="0" w:color="auto"/>
            </w:tcBorders>
            <w:shd w:val="clear" w:color="auto" w:fill="auto"/>
            <w:noWrap/>
            <w:vAlign w:val="center"/>
            <w:hideMark/>
          </w:tcPr>
          <w:p w14:paraId="1C84FDF3"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Charrúa 220-&gt;Charrúa 500</w:t>
            </w:r>
          </w:p>
        </w:tc>
        <w:tc>
          <w:tcPr>
            <w:tcW w:w="1134" w:type="dxa"/>
            <w:tcBorders>
              <w:top w:val="nil"/>
              <w:left w:val="nil"/>
              <w:bottom w:val="single" w:sz="4" w:space="0" w:color="auto"/>
              <w:right w:val="single" w:sz="4" w:space="0" w:color="auto"/>
            </w:tcBorders>
            <w:shd w:val="clear" w:color="auto" w:fill="auto"/>
            <w:noWrap/>
            <w:vAlign w:val="center"/>
          </w:tcPr>
          <w:p w14:paraId="350F0375"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1.834.189</w:t>
            </w:r>
          </w:p>
        </w:tc>
        <w:tc>
          <w:tcPr>
            <w:tcW w:w="1134" w:type="dxa"/>
            <w:tcBorders>
              <w:top w:val="nil"/>
              <w:left w:val="nil"/>
              <w:bottom w:val="single" w:sz="4" w:space="0" w:color="auto"/>
              <w:right w:val="single" w:sz="4" w:space="0" w:color="auto"/>
            </w:tcBorders>
            <w:shd w:val="clear" w:color="auto" w:fill="auto"/>
            <w:noWrap/>
            <w:vAlign w:val="center"/>
          </w:tcPr>
          <w:p w14:paraId="1C04717A"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369.376</w:t>
            </w:r>
          </w:p>
        </w:tc>
        <w:tc>
          <w:tcPr>
            <w:tcW w:w="1134" w:type="dxa"/>
            <w:tcBorders>
              <w:top w:val="nil"/>
              <w:left w:val="nil"/>
              <w:bottom w:val="single" w:sz="4" w:space="0" w:color="auto"/>
              <w:right w:val="single" w:sz="4" w:space="0" w:color="auto"/>
            </w:tcBorders>
            <w:shd w:val="clear" w:color="auto" w:fill="auto"/>
            <w:noWrap/>
            <w:vAlign w:val="center"/>
          </w:tcPr>
          <w:p w14:paraId="71822438"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210.843</w:t>
            </w:r>
          </w:p>
        </w:tc>
        <w:tc>
          <w:tcPr>
            <w:tcW w:w="1134" w:type="dxa"/>
            <w:tcBorders>
              <w:top w:val="nil"/>
              <w:left w:val="nil"/>
              <w:bottom w:val="single" w:sz="4" w:space="0" w:color="auto"/>
              <w:right w:val="single" w:sz="4" w:space="0" w:color="auto"/>
            </w:tcBorders>
            <w:shd w:val="clear" w:color="auto" w:fill="auto"/>
            <w:noWrap/>
            <w:vAlign w:val="center"/>
          </w:tcPr>
          <w:p w14:paraId="28B45C73"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2.414.408</w:t>
            </w:r>
          </w:p>
        </w:tc>
      </w:tr>
      <w:tr w:rsidR="00C746F4" w:rsidRPr="00A1588E" w14:paraId="79D82D49"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2BD571CC"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N_28</w:t>
            </w:r>
          </w:p>
        </w:tc>
        <w:tc>
          <w:tcPr>
            <w:tcW w:w="4253" w:type="dxa"/>
            <w:tcBorders>
              <w:top w:val="nil"/>
              <w:left w:val="nil"/>
              <w:bottom w:val="single" w:sz="4" w:space="0" w:color="auto"/>
              <w:right w:val="single" w:sz="4" w:space="0" w:color="auto"/>
            </w:tcBorders>
            <w:shd w:val="clear" w:color="auto" w:fill="auto"/>
            <w:noWrap/>
            <w:vAlign w:val="center"/>
            <w:hideMark/>
          </w:tcPr>
          <w:p w14:paraId="367B7A4C"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Charrúa 220-&gt;Concepción 220</w:t>
            </w:r>
          </w:p>
        </w:tc>
        <w:tc>
          <w:tcPr>
            <w:tcW w:w="1134" w:type="dxa"/>
            <w:tcBorders>
              <w:top w:val="nil"/>
              <w:left w:val="nil"/>
              <w:bottom w:val="single" w:sz="4" w:space="0" w:color="auto"/>
              <w:right w:val="single" w:sz="4" w:space="0" w:color="auto"/>
            </w:tcBorders>
            <w:shd w:val="clear" w:color="auto" w:fill="auto"/>
            <w:noWrap/>
            <w:vAlign w:val="center"/>
          </w:tcPr>
          <w:p w14:paraId="3A0F919F"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1.103.790</w:t>
            </w:r>
          </w:p>
        </w:tc>
        <w:tc>
          <w:tcPr>
            <w:tcW w:w="1134" w:type="dxa"/>
            <w:tcBorders>
              <w:top w:val="nil"/>
              <w:left w:val="nil"/>
              <w:bottom w:val="single" w:sz="4" w:space="0" w:color="auto"/>
              <w:right w:val="single" w:sz="4" w:space="0" w:color="auto"/>
            </w:tcBorders>
            <w:shd w:val="clear" w:color="auto" w:fill="auto"/>
            <w:noWrap/>
            <w:vAlign w:val="center"/>
          </w:tcPr>
          <w:p w14:paraId="02525CB4"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222.593</w:t>
            </w:r>
          </w:p>
        </w:tc>
        <w:tc>
          <w:tcPr>
            <w:tcW w:w="1134" w:type="dxa"/>
            <w:tcBorders>
              <w:top w:val="nil"/>
              <w:left w:val="nil"/>
              <w:bottom w:val="single" w:sz="4" w:space="0" w:color="auto"/>
              <w:right w:val="single" w:sz="4" w:space="0" w:color="auto"/>
            </w:tcBorders>
            <w:shd w:val="clear" w:color="auto" w:fill="auto"/>
            <w:noWrap/>
            <w:vAlign w:val="center"/>
          </w:tcPr>
          <w:p w14:paraId="2CBB13FF"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246.220</w:t>
            </w:r>
          </w:p>
        </w:tc>
        <w:tc>
          <w:tcPr>
            <w:tcW w:w="1134" w:type="dxa"/>
            <w:tcBorders>
              <w:top w:val="nil"/>
              <w:left w:val="nil"/>
              <w:bottom w:val="single" w:sz="4" w:space="0" w:color="auto"/>
              <w:right w:val="single" w:sz="4" w:space="0" w:color="auto"/>
            </w:tcBorders>
            <w:shd w:val="clear" w:color="auto" w:fill="auto"/>
            <w:noWrap/>
            <w:vAlign w:val="center"/>
          </w:tcPr>
          <w:p w14:paraId="1FFAF6BB"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1.572.603</w:t>
            </w:r>
          </w:p>
        </w:tc>
      </w:tr>
      <w:tr w:rsidR="00C746F4" w:rsidRPr="00A1588E" w14:paraId="31E594EF"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754E430D"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N_29</w:t>
            </w:r>
          </w:p>
        </w:tc>
        <w:tc>
          <w:tcPr>
            <w:tcW w:w="4253" w:type="dxa"/>
            <w:tcBorders>
              <w:top w:val="nil"/>
              <w:left w:val="nil"/>
              <w:bottom w:val="single" w:sz="4" w:space="0" w:color="auto"/>
              <w:right w:val="single" w:sz="4" w:space="0" w:color="auto"/>
            </w:tcBorders>
            <w:shd w:val="clear" w:color="auto" w:fill="auto"/>
            <w:noWrap/>
            <w:vAlign w:val="center"/>
            <w:hideMark/>
          </w:tcPr>
          <w:p w14:paraId="566F3B63"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Charrúa 220-&gt;El Rosal 220</w:t>
            </w:r>
          </w:p>
        </w:tc>
        <w:tc>
          <w:tcPr>
            <w:tcW w:w="1134" w:type="dxa"/>
            <w:tcBorders>
              <w:top w:val="nil"/>
              <w:left w:val="nil"/>
              <w:bottom w:val="single" w:sz="4" w:space="0" w:color="auto"/>
              <w:right w:val="single" w:sz="4" w:space="0" w:color="auto"/>
            </w:tcBorders>
            <w:shd w:val="clear" w:color="auto" w:fill="auto"/>
            <w:noWrap/>
            <w:vAlign w:val="center"/>
          </w:tcPr>
          <w:p w14:paraId="044633F0"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313.223</w:t>
            </w:r>
          </w:p>
        </w:tc>
        <w:tc>
          <w:tcPr>
            <w:tcW w:w="1134" w:type="dxa"/>
            <w:tcBorders>
              <w:top w:val="nil"/>
              <w:left w:val="nil"/>
              <w:bottom w:val="single" w:sz="4" w:space="0" w:color="auto"/>
              <w:right w:val="single" w:sz="4" w:space="0" w:color="auto"/>
            </w:tcBorders>
            <w:shd w:val="clear" w:color="auto" w:fill="auto"/>
            <w:noWrap/>
            <w:vAlign w:val="center"/>
          </w:tcPr>
          <w:p w14:paraId="1443320A"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63.158</w:t>
            </w:r>
          </w:p>
        </w:tc>
        <w:tc>
          <w:tcPr>
            <w:tcW w:w="1134" w:type="dxa"/>
            <w:tcBorders>
              <w:top w:val="nil"/>
              <w:left w:val="nil"/>
              <w:bottom w:val="single" w:sz="4" w:space="0" w:color="auto"/>
              <w:right w:val="single" w:sz="4" w:space="0" w:color="auto"/>
            </w:tcBorders>
            <w:shd w:val="clear" w:color="auto" w:fill="auto"/>
            <w:noWrap/>
            <w:vAlign w:val="center"/>
          </w:tcPr>
          <w:p w14:paraId="70E377C8"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64.732</w:t>
            </w:r>
          </w:p>
        </w:tc>
        <w:tc>
          <w:tcPr>
            <w:tcW w:w="1134" w:type="dxa"/>
            <w:tcBorders>
              <w:top w:val="nil"/>
              <w:left w:val="nil"/>
              <w:bottom w:val="single" w:sz="4" w:space="0" w:color="auto"/>
              <w:right w:val="single" w:sz="4" w:space="0" w:color="auto"/>
            </w:tcBorders>
            <w:shd w:val="clear" w:color="auto" w:fill="auto"/>
            <w:noWrap/>
            <w:vAlign w:val="center"/>
          </w:tcPr>
          <w:p w14:paraId="61771ECD"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441.113</w:t>
            </w:r>
          </w:p>
        </w:tc>
      </w:tr>
      <w:tr w:rsidR="00C746F4" w:rsidRPr="00A1588E" w14:paraId="298E2E7C"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4F8F7555"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N_30</w:t>
            </w:r>
          </w:p>
        </w:tc>
        <w:tc>
          <w:tcPr>
            <w:tcW w:w="4253" w:type="dxa"/>
            <w:tcBorders>
              <w:top w:val="nil"/>
              <w:left w:val="nil"/>
              <w:bottom w:val="single" w:sz="4" w:space="0" w:color="auto"/>
              <w:right w:val="single" w:sz="4" w:space="0" w:color="auto"/>
            </w:tcBorders>
            <w:shd w:val="clear" w:color="auto" w:fill="auto"/>
            <w:noWrap/>
            <w:vAlign w:val="center"/>
            <w:hideMark/>
          </w:tcPr>
          <w:p w14:paraId="4D9515EB"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Charrúa 220-&gt;Lagunillas 220</w:t>
            </w:r>
          </w:p>
        </w:tc>
        <w:tc>
          <w:tcPr>
            <w:tcW w:w="1134" w:type="dxa"/>
            <w:tcBorders>
              <w:top w:val="nil"/>
              <w:left w:val="nil"/>
              <w:bottom w:val="single" w:sz="4" w:space="0" w:color="auto"/>
              <w:right w:val="single" w:sz="4" w:space="0" w:color="auto"/>
            </w:tcBorders>
            <w:shd w:val="clear" w:color="auto" w:fill="auto"/>
            <w:noWrap/>
            <w:vAlign w:val="center"/>
          </w:tcPr>
          <w:p w14:paraId="6B76C29E"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1.661.646</w:t>
            </w:r>
          </w:p>
        </w:tc>
        <w:tc>
          <w:tcPr>
            <w:tcW w:w="1134" w:type="dxa"/>
            <w:tcBorders>
              <w:top w:val="nil"/>
              <w:left w:val="nil"/>
              <w:bottom w:val="single" w:sz="4" w:space="0" w:color="auto"/>
              <w:right w:val="single" w:sz="4" w:space="0" w:color="auto"/>
            </w:tcBorders>
            <w:shd w:val="clear" w:color="auto" w:fill="auto"/>
            <w:noWrap/>
            <w:vAlign w:val="center"/>
          </w:tcPr>
          <w:p w14:paraId="461516F7"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334.912</w:t>
            </w:r>
          </w:p>
        </w:tc>
        <w:tc>
          <w:tcPr>
            <w:tcW w:w="1134" w:type="dxa"/>
            <w:tcBorders>
              <w:top w:val="nil"/>
              <w:left w:val="nil"/>
              <w:bottom w:val="single" w:sz="4" w:space="0" w:color="auto"/>
              <w:right w:val="single" w:sz="4" w:space="0" w:color="auto"/>
            </w:tcBorders>
            <w:shd w:val="clear" w:color="auto" w:fill="auto"/>
            <w:noWrap/>
            <w:vAlign w:val="center"/>
          </w:tcPr>
          <w:p w14:paraId="321EED67"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356.246</w:t>
            </w:r>
          </w:p>
        </w:tc>
        <w:tc>
          <w:tcPr>
            <w:tcW w:w="1134" w:type="dxa"/>
            <w:tcBorders>
              <w:top w:val="nil"/>
              <w:left w:val="nil"/>
              <w:bottom w:val="single" w:sz="4" w:space="0" w:color="auto"/>
              <w:right w:val="single" w:sz="4" w:space="0" w:color="auto"/>
            </w:tcBorders>
            <w:shd w:val="clear" w:color="auto" w:fill="auto"/>
            <w:noWrap/>
            <w:vAlign w:val="center"/>
          </w:tcPr>
          <w:p w14:paraId="678662EE"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2.352.805</w:t>
            </w:r>
          </w:p>
        </w:tc>
      </w:tr>
      <w:tr w:rsidR="00C746F4" w:rsidRPr="00A1588E" w14:paraId="6EAC542F"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4E9A25B6"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N_31</w:t>
            </w:r>
          </w:p>
        </w:tc>
        <w:tc>
          <w:tcPr>
            <w:tcW w:w="4253" w:type="dxa"/>
            <w:tcBorders>
              <w:top w:val="nil"/>
              <w:left w:val="nil"/>
              <w:bottom w:val="single" w:sz="4" w:space="0" w:color="auto"/>
              <w:right w:val="single" w:sz="4" w:space="0" w:color="auto"/>
            </w:tcBorders>
            <w:shd w:val="clear" w:color="auto" w:fill="auto"/>
            <w:noWrap/>
            <w:vAlign w:val="center"/>
            <w:hideMark/>
          </w:tcPr>
          <w:p w14:paraId="0AA588B8"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Charrúa 220-&gt;Mulchen 220</w:t>
            </w:r>
          </w:p>
        </w:tc>
        <w:tc>
          <w:tcPr>
            <w:tcW w:w="1134" w:type="dxa"/>
            <w:tcBorders>
              <w:top w:val="nil"/>
              <w:left w:val="nil"/>
              <w:bottom w:val="single" w:sz="4" w:space="0" w:color="auto"/>
              <w:right w:val="single" w:sz="4" w:space="0" w:color="auto"/>
            </w:tcBorders>
            <w:shd w:val="clear" w:color="auto" w:fill="auto"/>
            <w:noWrap/>
            <w:vAlign w:val="center"/>
          </w:tcPr>
          <w:p w14:paraId="0B7AA6E8"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59.671</w:t>
            </w:r>
          </w:p>
        </w:tc>
        <w:tc>
          <w:tcPr>
            <w:tcW w:w="1134" w:type="dxa"/>
            <w:tcBorders>
              <w:top w:val="nil"/>
              <w:left w:val="nil"/>
              <w:bottom w:val="single" w:sz="4" w:space="0" w:color="auto"/>
              <w:right w:val="single" w:sz="4" w:space="0" w:color="auto"/>
            </w:tcBorders>
            <w:shd w:val="clear" w:color="auto" w:fill="auto"/>
            <w:noWrap/>
            <w:vAlign w:val="center"/>
          </w:tcPr>
          <w:p w14:paraId="7B61BE43"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12.014</w:t>
            </w:r>
          </w:p>
        </w:tc>
        <w:tc>
          <w:tcPr>
            <w:tcW w:w="1134" w:type="dxa"/>
            <w:tcBorders>
              <w:top w:val="nil"/>
              <w:left w:val="nil"/>
              <w:bottom w:val="single" w:sz="4" w:space="0" w:color="auto"/>
              <w:right w:val="single" w:sz="4" w:space="0" w:color="auto"/>
            </w:tcBorders>
            <w:shd w:val="clear" w:color="auto" w:fill="auto"/>
            <w:noWrap/>
            <w:vAlign w:val="center"/>
          </w:tcPr>
          <w:p w14:paraId="6FCD0214"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7.103</w:t>
            </w:r>
          </w:p>
        </w:tc>
        <w:tc>
          <w:tcPr>
            <w:tcW w:w="1134" w:type="dxa"/>
            <w:tcBorders>
              <w:top w:val="nil"/>
              <w:left w:val="nil"/>
              <w:bottom w:val="single" w:sz="4" w:space="0" w:color="auto"/>
              <w:right w:val="single" w:sz="4" w:space="0" w:color="auto"/>
            </w:tcBorders>
            <w:shd w:val="clear" w:color="auto" w:fill="auto"/>
            <w:noWrap/>
            <w:vAlign w:val="center"/>
          </w:tcPr>
          <w:p w14:paraId="26D5AF21"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78.788</w:t>
            </w:r>
          </w:p>
        </w:tc>
      </w:tr>
      <w:tr w:rsidR="00C746F4" w:rsidRPr="00A1588E" w14:paraId="48EBDF9B"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64268F0D"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N_32</w:t>
            </w:r>
          </w:p>
        </w:tc>
        <w:tc>
          <w:tcPr>
            <w:tcW w:w="4253" w:type="dxa"/>
            <w:tcBorders>
              <w:top w:val="nil"/>
              <w:left w:val="nil"/>
              <w:bottom w:val="single" w:sz="4" w:space="0" w:color="auto"/>
              <w:right w:val="single" w:sz="4" w:space="0" w:color="auto"/>
            </w:tcBorders>
            <w:shd w:val="clear" w:color="auto" w:fill="auto"/>
            <w:noWrap/>
            <w:vAlign w:val="center"/>
            <w:hideMark/>
          </w:tcPr>
          <w:p w14:paraId="364AC8DB"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Charrúa 220-&gt;Trébol 220</w:t>
            </w:r>
          </w:p>
        </w:tc>
        <w:tc>
          <w:tcPr>
            <w:tcW w:w="1134" w:type="dxa"/>
            <w:tcBorders>
              <w:top w:val="nil"/>
              <w:left w:val="nil"/>
              <w:bottom w:val="single" w:sz="4" w:space="0" w:color="auto"/>
              <w:right w:val="single" w:sz="4" w:space="0" w:color="auto"/>
            </w:tcBorders>
            <w:shd w:val="clear" w:color="auto" w:fill="auto"/>
            <w:noWrap/>
            <w:vAlign w:val="center"/>
          </w:tcPr>
          <w:p w14:paraId="6E0838F2"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1.304.181</w:t>
            </w:r>
          </w:p>
        </w:tc>
        <w:tc>
          <w:tcPr>
            <w:tcW w:w="1134" w:type="dxa"/>
            <w:tcBorders>
              <w:top w:val="nil"/>
              <w:left w:val="nil"/>
              <w:bottom w:val="single" w:sz="4" w:space="0" w:color="auto"/>
              <w:right w:val="single" w:sz="4" w:space="0" w:color="auto"/>
            </w:tcBorders>
            <w:shd w:val="clear" w:color="auto" w:fill="auto"/>
            <w:noWrap/>
            <w:vAlign w:val="center"/>
          </w:tcPr>
          <w:p w14:paraId="4C7D8F61"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262.979</w:t>
            </w:r>
          </w:p>
        </w:tc>
        <w:tc>
          <w:tcPr>
            <w:tcW w:w="1134" w:type="dxa"/>
            <w:tcBorders>
              <w:top w:val="nil"/>
              <w:left w:val="nil"/>
              <w:bottom w:val="single" w:sz="4" w:space="0" w:color="auto"/>
              <w:right w:val="single" w:sz="4" w:space="0" w:color="auto"/>
            </w:tcBorders>
            <w:shd w:val="clear" w:color="auto" w:fill="auto"/>
            <w:noWrap/>
            <w:vAlign w:val="center"/>
          </w:tcPr>
          <w:p w14:paraId="07F252A2"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222.605</w:t>
            </w:r>
          </w:p>
        </w:tc>
        <w:tc>
          <w:tcPr>
            <w:tcW w:w="1134" w:type="dxa"/>
            <w:tcBorders>
              <w:top w:val="nil"/>
              <w:left w:val="nil"/>
              <w:bottom w:val="single" w:sz="4" w:space="0" w:color="auto"/>
              <w:right w:val="single" w:sz="4" w:space="0" w:color="auto"/>
            </w:tcBorders>
            <w:shd w:val="clear" w:color="auto" w:fill="auto"/>
            <w:noWrap/>
            <w:vAlign w:val="center"/>
          </w:tcPr>
          <w:p w14:paraId="7658D4E2"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1.789.765</w:t>
            </w:r>
          </w:p>
        </w:tc>
      </w:tr>
      <w:tr w:rsidR="00C746F4" w:rsidRPr="00A1588E" w14:paraId="32003EBA"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1BEE20BE"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N_33</w:t>
            </w:r>
          </w:p>
        </w:tc>
        <w:tc>
          <w:tcPr>
            <w:tcW w:w="4253" w:type="dxa"/>
            <w:tcBorders>
              <w:top w:val="nil"/>
              <w:left w:val="nil"/>
              <w:bottom w:val="single" w:sz="4" w:space="0" w:color="auto"/>
              <w:right w:val="single" w:sz="4" w:space="0" w:color="auto"/>
            </w:tcBorders>
            <w:shd w:val="clear" w:color="auto" w:fill="auto"/>
            <w:noWrap/>
            <w:vAlign w:val="center"/>
            <w:hideMark/>
          </w:tcPr>
          <w:p w14:paraId="196ACDED"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Charrúa 500-&gt;Nueva Charrúa 500</w:t>
            </w:r>
          </w:p>
        </w:tc>
        <w:tc>
          <w:tcPr>
            <w:tcW w:w="1134" w:type="dxa"/>
            <w:tcBorders>
              <w:top w:val="nil"/>
              <w:left w:val="nil"/>
              <w:bottom w:val="single" w:sz="4" w:space="0" w:color="auto"/>
              <w:right w:val="single" w:sz="4" w:space="0" w:color="auto"/>
            </w:tcBorders>
            <w:shd w:val="clear" w:color="auto" w:fill="auto"/>
            <w:noWrap/>
            <w:vAlign w:val="center"/>
          </w:tcPr>
          <w:p w14:paraId="316AB9B7"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2.253.453</w:t>
            </w:r>
          </w:p>
        </w:tc>
        <w:tc>
          <w:tcPr>
            <w:tcW w:w="1134" w:type="dxa"/>
            <w:tcBorders>
              <w:top w:val="nil"/>
              <w:left w:val="nil"/>
              <w:bottom w:val="single" w:sz="4" w:space="0" w:color="auto"/>
              <w:right w:val="single" w:sz="4" w:space="0" w:color="auto"/>
            </w:tcBorders>
            <w:shd w:val="clear" w:color="auto" w:fill="auto"/>
            <w:noWrap/>
            <w:vAlign w:val="center"/>
          </w:tcPr>
          <w:p w14:paraId="6663794B"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453.911</w:t>
            </w:r>
          </w:p>
        </w:tc>
        <w:tc>
          <w:tcPr>
            <w:tcW w:w="1134" w:type="dxa"/>
            <w:tcBorders>
              <w:top w:val="nil"/>
              <w:left w:val="nil"/>
              <w:bottom w:val="single" w:sz="4" w:space="0" w:color="auto"/>
              <w:right w:val="single" w:sz="4" w:space="0" w:color="auto"/>
            </w:tcBorders>
            <w:shd w:val="clear" w:color="auto" w:fill="auto"/>
            <w:noWrap/>
            <w:vAlign w:val="center"/>
          </w:tcPr>
          <w:p w14:paraId="11312DF5"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545.377</w:t>
            </w:r>
          </w:p>
        </w:tc>
        <w:tc>
          <w:tcPr>
            <w:tcW w:w="1134" w:type="dxa"/>
            <w:tcBorders>
              <w:top w:val="nil"/>
              <w:left w:val="nil"/>
              <w:bottom w:val="single" w:sz="4" w:space="0" w:color="auto"/>
              <w:right w:val="single" w:sz="4" w:space="0" w:color="auto"/>
            </w:tcBorders>
            <w:shd w:val="clear" w:color="auto" w:fill="auto"/>
            <w:noWrap/>
            <w:vAlign w:val="center"/>
          </w:tcPr>
          <w:p w14:paraId="26BCBF36"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3.252.741</w:t>
            </w:r>
          </w:p>
        </w:tc>
      </w:tr>
      <w:tr w:rsidR="00C746F4" w:rsidRPr="00A1588E" w14:paraId="6C0BBC31"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4E7343AE"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N_34</w:t>
            </w:r>
          </w:p>
        </w:tc>
        <w:tc>
          <w:tcPr>
            <w:tcW w:w="4253" w:type="dxa"/>
            <w:tcBorders>
              <w:top w:val="nil"/>
              <w:left w:val="nil"/>
              <w:bottom w:val="single" w:sz="4" w:space="0" w:color="auto"/>
              <w:right w:val="single" w:sz="4" w:space="0" w:color="auto"/>
            </w:tcBorders>
            <w:shd w:val="clear" w:color="auto" w:fill="auto"/>
            <w:noWrap/>
            <w:vAlign w:val="center"/>
            <w:hideMark/>
          </w:tcPr>
          <w:p w14:paraId="36F84972"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Chena 220-&gt;Neptuno 220</w:t>
            </w:r>
          </w:p>
        </w:tc>
        <w:tc>
          <w:tcPr>
            <w:tcW w:w="1134" w:type="dxa"/>
            <w:tcBorders>
              <w:top w:val="nil"/>
              <w:left w:val="nil"/>
              <w:bottom w:val="single" w:sz="4" w:space="0" w:color="auto"/>
              <w:right w:val="single" w:sz="4" w:space="0" w:color="auto"/>
            </w:tcBorders>
            <w:shd w:val="clear" w:color="auto" w:fill="auto"/>
            <w:noWrap/>
            <w:vAlign w:val="center"/>
          </w:tcPr>
          <w:p w14:paraId="6E266F15"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194.929</w:t>
            </w:r>
          </w:p>
        </w:tc>
        <w:tc>
          <w:tcPr>
            <w:tcW w:w="1134" w:type="dxa"/>
            <w:tcBorders>
              <w:top w:val="nil"/>
              <w:left w:val="nil"/>
              <w:bottom w:val="single" w:sz="4" w:space="0" w:color="auto"/>
              <w:right w:val="single" w:sz="4" w:space="0" w:color="auto"/>
            </w:tcBorders>
            <w:shd w:val="clear" w:color="auto" w:fill="auto"/>
            <w:noWrap/>
            <w:vAlign w:val="center"/>
          </w:tcPr>
          <w:p w14:paraId="53805C35"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39.328</w:t>
            </w:r>
          </w:p>
        </w:tc>
        <w:tc>
          <w:tcPr>
            <w:tcW w:w="1134" w:type="dxa"/>
            <w:tcBorders>
              <w:top w:val="nil"/>
              <w:left w:val="nil"/>
              <w:bottom w:val="single" w:sz="4" w:space="0" w:color="auto"/>
              <w:right w:val="single" w:sz="4" w:space="0" w:color="auto"/>
            </w:tcBorders>
            <w:shd w:val="clear" w:color="auto" w:fill="auto"/>
            <w:noWrap/>
            <w:vAlign w:val="center"/>
          </w:tcPr>
          <w:p w14:paraId="7E5E4686"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35.867</w:t>
            </w:r>
          </w:p>
        </w:tc>
        <w:tc>
          <w:tcPr>
            <w:tcW w:w="1134" w:type="dxa"/>
            <w:tcBorders>
              <w:top w:val="nil"/>
              <w:left w:val="nil"/>
              <w:bottom w:val="single" w:sz="4" w:space="0" w:color="auto"/>
              <w:right w:val="single" w:sz="4" w:space="0" w:color="auto"/>
            </w:tcBorders>
            <w:shd w:val="clear" w:color="auto" w:fill="auto"/>
            <w:noWrap/>
            <w:vAlign w:val="center"/>
          </w:tcPr>
          <w:p w14:paraId="01C48AC1"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270.124</w:t>
            </w:r>
          </w:p>
        </w:tc>
      </w:tr>
      <w:tr w:rsidR="00C746F4" w:rsidRPr="00A1588E" w14:paraId="3FF7FEB3"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193F98D8"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N_35</w:t>
            </w:r>
          </w:p>
        </w:tc>
        <w:tc>
          <w:tcPr>
            <w:tcW w:w="4253" w:type="dxa"/>
            <w:tcBorders>
              <w:top w:val="nil"/>
              <w:left w:val="nil"/>
              <w:bottom w:val="single" w:sz="4" w:space="0" w:color="auto"/>
              <w:right w:val="single" w:sz="4" w:space="0" w:color="auto"/>
            </w:tcBorders>
            <w:shd w:val="clear" w:color="auto" w:fill="auto"/>
            <w:noWrap/>
            <w:vAlign w:val="center"/>
            <w:hideMark/>
          </w:tcPr>
          <w:p w14:paraId="37D7563C"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Chena 220-&gt;Tap Central Santa Marta 220</w:t>
            </w:r>
          </w:p>
        </w:tc>
        <w:tc>
          <w:tcPr>
            <w:tcW w:w="1134" w:type="dxa"/>
            <w:tcBorders>
              <w:top w:val="nil"/>
              <w:left w:val="nil"/>
              <w:bottom w:val="single" w:sz="4" w:space="0" w:color="auto"/>
              <w:right w:val="single" w:sz="4" w:space="0" w:color="auto"/>
            </w:tcBorders>
            <w:shd w:val="clear" w:color="auto" w:fill="auto"/>
            <w:noWrap/>
            <w:vAlign w:val="center"/>
          </w:tcPr>
          <w:p w14:paraId="5B140560"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611.911</w:t>
            </w:r>
          </w:p>
        </w:tc>
        <w:tc>
          <w:tcPr>
            <w:tcW w:w="1134" w:type="dxa"/>
            <w:tcBorders>
              <w:top w:val="nil"/>
              <w:left w:val="nil"/>
              <w:bottom w:val="single" w:sz="4" w:space="0" w:color="auto"/>
              <w:right w:val="single" w:sz="4" w:space="0" w:color="auto"/>
            </w:tcBorders>
            <w:shd w:val="clear" w:color="auto" w:fill="auto"/>
            <w:noWrap/>
            <w:vAlign w:val="center"/>
          </w:tcPr>
          <w:p w14:paraId="2A1F1BF4"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123.230</w:t>
            </w:r>
          </w:p>
        </w:tc>
        <w:tc>
          <w:tcPr>
            <w:tcW w:w="1134" w:type="dxa"/>
            <w:tcBorders>
              <w:top w:val="nil"/>
              <w:left w:val="nil"/>
              <w:bottom w:val="single" w:sz="4" w:space="0" w:color="auto"/>
              <w:right w:val="single" w:sz="4" w:space="0" w:color="auto"/>
            </w:tcBorders>
            <w:shd w:val="clear" w:color="auto" w:fill="auto"/>
            <w:noWrap/>
            <w:vAlign w:val="center"/>
          </w:tcPr>
          <w:p w14:paraId="06801E96"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151.772</w:t>
            </w:r>
          </w:p>
        </w:tc>
        <w:tc>
          <w:tcPr>
            <w:tcW w:w="1134" w:type="dxa"/>
            <w:tcBorders>
              <w:top w:val="nil"/>
              <w:left w:val="nil"/>
              <w:bottom w:val="single" w:sz="4" w:space="0" w:color="auto"/>
              <w:right w:val="single" w:sz="4" w:space="0" w:color="auto"/>
            </w:tcBorders>
            <w:shd w:val="clear" w:color="auto" w:fill="auto"/>
            <w:noWrap/>
            <w:vAlign w:val="center"/>
          </w:tcPr>
          <w:p w14:paraId="7C2203C8"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886.913</w:t>
            </w:r>
          </w:p>
        </w:tc>
      </w:tr>
      <w:tr w:rsidR="00C746F4" w:rsidRPr="00A1588E" w14:paraId="2B28AF10"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27F2FA36"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N_36</w:t>
            </w:r>
          </w:p>
        </w:tc>
        <w:tc>
          <w:tcPr>
            <w:tcW w:w="4253" w:type="dxa"/>
            <w:tcBorders>
              <w:top w:val="nil"/>
              <w:left w:val="nil"/>
              <w:bottom w:val="single" w:sz="4" w:space="0" w:color="auto"/>
              <w:right w:val="single" w:sz="4" w:space="0" w:color="auto"/>
            </w:tcBorders>
            <w:shd w:val="clear" w:color="auto" w:fill="auto"/>
            <w:noWrap/>
            <w:vAlign w:val="center"/>
            <w:hideMark/>
          </w:tcPr>
          <w:p w14:paraId="2F75B3A6"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Chiloé 220-&gt;Nueva Ancud 220</w:t>
            </w:r>
          </w:p>
        </w:tc>
        <w:tc>
          <w:tcPr>
            <w:tcW w:w="1134" w:type="dxa"/>
            <w:tcBorders>
              <w:top w:val="nil"/>
              <w:left w:val="nil"/>
              <w:bottom w:val="single" w:sz="4" w:space="0" w:color="auto"/>
              <w:right w:val="single" w:sz="4" w:space="0" w:color="auto"/>
            </w:tcBorders>
            <w:shd w:val="clear" w:color="auto" w:fill="auto"/>
            <w:noWrap/>
            <w:vAlign w:val="center"/>
          </w:tcPr>
          <w:p w14:paraId="5179AC76"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225.077</w:t>
            </w:r>
          </w:p>
        </w:tc>
        <w:tc>
          <w:tcPr>
            <w:tcW w:w="1134" w:type="dxa"/>
            <w:tcBorders>
              <w:top w:val="nil"/>
              <w:left w:val="nil"/>
              <w:bottom w:val="single" w:sz="4" w:space="0" w:color="auto"/>
              <w:right w:val="single" w:sz="4" w:space="0" w:color="auto"/>
            </w:tcBorders>
            <w:shd w:val="clear" w:color="auto" w:fill="auto"/>
            <w:noWrap/>
            <w:vAlign w:val="center"/>
          </w:tcPr>
          <w:p w14:paraId="43DA1DCF"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45.309</w:t>
            </w:r>
          </w:p>
        </w:tc>
        <w:tc>
          <w:tcPr>
            <w:tcW w:w="1134" w:type="dxa"/>
            <w:tcBorders>
              <w:top w:val="nil"/>
              <w:left w:val="nil"/>
              <w:bottom w:val="single" w:sz="4" w:space="0" w:color="auto"/>
              <w:right w:val="single" w:sz="4" w:space="0" w:color="auto"/>
            </w:tcBorders>
            <w:shd w:val="clear" w:color="auto" w:fill="auto"/>
            <w:noWrap/>
            <w:vAlign w:val="center"/>
          </w:tcPr>
          <w:p w14:paraId="21B65A1B"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37.398</w:t>
            </w:r>
          </w:p>
        </w:tc>
        <w:tc>
          <w:tcPr>
            <w:tcW w:w="1134" w:type="dxa"/>
            <w:tcBorders>
              <w:top w:val="nil"/>
              <w:left w:val="nil"/>
              <w:bottom w:val="single" w:sz="4" w:space="0" w:color="auto"/>
              <w:right w:val="single" w:sz="4" w:space="0" w:color="auto"/>
            </w:tcBorders>
            <w:shd w:val="clear" w:color="auto" w:fill="auto"/>
            <w:noWrap/>
            <w:vAlign w:val="center"/>
          </w:tcPr>
          <w:p w14:paraId="6BAB715B"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307.784</w:t>
            </w:r>
          </w:p>
        </w:tc>
      </w:tr>
      <w:tr w:rsidR="00C746F4" w:rsidRPr="00A1588E" w14:paraId="1945414A"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52D0CE28"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N_37</w:t>
            </w:r>
          </w:p>
        </w:tc>
        <w:tc>
          <w:tcPr>
            <w:tcW w:w="4253" w:type="dxa"/>
            <w:tcBorders>
              <w:top w:val="nil"/>
              <w:left w:val="nil"/>
              <w:bottom w:val="single" w:sz="4" w:space="0" w:color="auto"/>
              <w:right w:val="single" w:sz="4" w:space="0" w:color="auto"/>
            </w:tcBorders>
            <w:shd w:val="clear" w:color="auto" w:fill="auto"/>
            <w:noWrap/>
            <w:vAlign w:val="center"/>
            <w:hideMark/>
          </w:tcPr>
          <w:p w14:paraId="2F81AA1A"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Chuquicamata 220-&gt;Nueva Chuquicamata 220</w:t>
            </w:r>
          </w:p>
        </w:tc>
        <w:tc>
          <w:tcPr>
            <w:tcW w:w="1134" w:type="dxa"/>
            <w:tcBorders>
              <w:top w:val="nil"/>
              <w:left w:val="nil"/>
              <w:bottom w:val="single" w:sz="4" w:space="0" w:color="auto"/>
              <w:right w:val="single" w:sz="4" w:space="0" w:color="auto"/>
            </w:tcBorders>
            <w:shd w:val="clear" w:color="auto" w:fill="auto"/>
            <w:noWrap/>
            <w:vAlign w:val="center"/>
          </w:tcPr>
          <w:p w14:paraId="1C676B8F"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706.754</w:t>
            </w:r>
          </w:p>
        </w:tc>
        <w:tc>
          <w:tcPr>
            <w:tcW w:w="1134" w:type="dxa"/>
            <w:tcBorders>
              <w:top w:val="nil"/>
              <w:left w:val="nil"/>
              <w:bottom w:val="single" w:sz="4" w:space="0" w:color="auto"/>
              <w:right w:val="single" w:sz="4" w:space="0" w:color="auto"/>
            </w:tcBorders>
            <w:shd w:val="clear" w:color="auto" w:fill="auto"/>
            <w:noWrap/>
            <w:vAlign w:val="center"/>
          </w:tcPr>
          <w:p w14:paraId="469604B2"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142.123</w:t>
            </w:r>
          </w:p>
        </w:tc>
        <w:tc>
          <w:tcPr>
            <w:tcW w:w="1134" w:type="dxa"/>
            <w:tcBorders>
              <w:top w:val="nil"/>
              <w:left w:val="nil"/>
              <w:bottom w:val="single" w:sz="4" w:space="0" w:color="auto"/>
              <w:right w:val="single" w:sz="4" w:space="0" w:color="auto"/>
            </w:tcBorders>
            <w:shd w:val="clear" w:color="auto" w:fill="auto"/>
            <w:noWrap/>
            <w:vAlign w:val="center"/>
          </w:tcPr>
          <w:p w14:paraId="043EFFE7"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234.071</w:t>
            </w:r>
          </w:p>
        </w:tc>
        <w:tc>
          <w:tcPr>
            <w:tcW w:w="1134" w:type="dxa"/>
            <w:tcBorders>
              <w:top w:val="nil"/>
              <w:left w:val="nil"/>
              <w:bottom w:val="single" w:sz="4" w:space="0" w:color="auto"/>
              <w:right w:val="single" w:sz="4" w:space="0" w:color="auto"/>
            </w:tcBorders>
            <w:shd w:val="clear" w:color="auto" w:fill="auto"/>
            <w:noWrap/>
            <w:vAlign w:val="center"/>
          </w:tcPr>
          <w:p w14:paraId="7FEBEF38"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1.082.948</w:t>
            </w:r>
          </w:p>
        </w:tc>
      </w:tr>
      <w:tr w:rsidR="00C746F4" w:rsidRPr="00A1588E" w14:paraId="1718D041"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10E676CC"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N_38</w:t>
            </w:r>
          </w:p>
        </w:tc>
        <w:tc>
          <w:tcPr>
            <w:tcW w:w="4253" w:type="dxa"/>
            <w:tcBorders>
              <w:top w:val="nil"/>
              <w:left w:val="nil"/>
              <w:bottom w:val="single" w:sz="4" w:space="0" w:color="auto"/>
              <w:right w:val="single" w:sz="4" w:space="0" w:color="auto"/>
            </w:tcBorders>
            <w:shd w:val="clear" w:color="auto" w:fill="auto"/>
            <w:noWrap/>
            <w:vAlign w:val="center"/>
            <w:hideMark/>
          </w:tcPr>
          <w:p w14:paraId="74682B73"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Ciruelos 220-&gt;Cerros de Huichahue 220</w:t>
            </w:r>
          </w:p>
        </w:tc>
        <w:tc>
          <w:tcPr>
            <w:tcW w:w="1134" w:type="dxa"/>
            <w:tcBorders>
              <w:top w:val="nil"/>
              <w:left w:val="nil"/>
              <w:bottom w:val="single" w:sz="4" w:space="0" w:color="auto"/>
              <w:right w:val="single" w:sz="4" w:space="0" w:color="auto"/>
            </w:tcBorders>
            <w:shd w:val="clear" w:color="auto" w:fill="auto"/>
            <w:noWrap/>
            <w:vAlign w:val="center"/>
          </w:tcPr>
          <w:p w14:paraId="5B57D595"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249.941</w:t>
            </w:r>
          </w:p>
        </w:tc>
        <w:tc>
          <w:tcPr>
            <w:tcW w:w="1134" w:type="dxa"/>
            <w:tcBorders>
              <w:top w:val="nil"/>
              <w:left w:val="nil"/>
              <w:bottom w:val="single" w:sz="4" w:space="0" w:color="auto"/>
              <w:right w:val="single" w:sz="4" w:space="0" w:color="auto"/>
            </w:tcBorders>
            <w:shd w:val="clear" w:color="auto" w:fill="auto"/>
            <w:noWrap/>
            <w:vAlign w:val="center"/>
          </w:tcPr>
          <w:p w14:paraId="53A9AA3E"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50.612</w:t>
            </w:r>
          </w:p>
        </w:tc>
        <w:tc>
          <w:tcPr>
            <w:tcW w:w="1134" w:type="dxa"/>
            <w:tcBorders>
              <w:top w:val="nil"/>
              <w:left w:val="nil"/>
              <w:bottom w:val="single" w:sz="4" w:space="0" w:color="auto"/>
              <w:right w:val="single" w:sz="4" w:space="0" w:color="auto"/>
            </w:tcBorders>
            <w:shd w:val="clear" w:color="auto" w:fill="auto"/>
            <w:noWrap/>
            <w:vAlign w:val="center"/>
          </w:tcPr>
          <w:p w14:paraId="2EF4E2B1"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38.605</w:t>
            </w:r>
          </w:p>
        </w:tc>
        <w:tc>
          <w:tcPr>
            <w:tcW w:w="1134" w:type="dxa"/>
            <w:tcBorders>
              <w:top w:val="nil"/>
              <w:left w:val="nil"/>
              <w:bottom w:val="single" w:sz="4" w:space="0" w:color="auto"/>
              <w:right w:val="single" w:sz="4" w:space="0" w:color="auto"/>
            </w:tcBorders>
            <w:shd w:val="clear" w:color="auto" w:fill="auto"/>
            <w:noWrap/>
            <w:vAlign w:val="center"/>
          </w:tcPr>
          <w:p w14:paraId="03A975CC"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339.158</w:t>
            </w:r>
          </w:p>
        </w:tc>
      </w:tr>
      <w:tr w:rsidR="00C746F4" w:rsidRPr="00A1588E" w14:paraId="0B733512"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2DFA097B"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lastRenderedPageBreak/>
              <w:t>N_39</w:t>
            </w:r>
          </w:p>
        </w:tc>
        <w:tc>
          <w:tcPr>
            <w:tcW w:w="4253" w:type="dxa"/>
            <w:tcBorders>
              <w:top w:val="nil"/>
              <w:left w:val="nil"/>
              <w:bottom w:val="single" w:sz="4" w:space="0" w:color="auto"/>
              <w:right w:val="single" w:sz="4" w:space="0" w:color="auto"/>
            </w:tcBorders>
            <w:shd w:val="clear" w:color="auto" w:fill="auto"/>
            <w:noWrap/>
            <w:vAlign w:val="center"/>
            <w:hideMark/>
          </w:tcPr>
          <w:p w14:paraId="6C4A928A"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Ciruelos 220-&gt;Lastarria 220</w:t>
            </w:r>
          </w:p>
        </w:tc>
        <w:tc>
          <w:tcPr>
            <w:tcW w:w="1134" w:type="dxa"/>
            <w:tcBorders>
              <w:top w:val="nil"/>
              <w:left w:val="nil"/>
              <w:bottom w:val="single" w:sz="4" w:space="0" w:color="auto"/>
              <w:right w:val="single" w:sz="4" w:space="0" w:color="auto"/>
            </w:tcBorders>
            <w:shd w:val="clear" w:color="auto" w:fill="auto"/>
            <w:noWrap/>
            <w:vAlign w:val="center"/>
          </w:tcPr>
          <w:p w14:paraId="03E4B6B1"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670.793</w:t>
            </w:r>
          </w:p>
        </w:tc>
        <w:tc>
          <w:tcPr>
            <w:tcW w:w="1134" w:type="dxa"/>
            <w:tcBorders>
              <w:top w:val="nil"/>
              <w:left w:val="nil"/>
              <w:bottom w:val="single" w:sz="4" w:space="0" w:color="auto"/>
              <w:right w:val="single" w:sz="4" w:space="0" w:color="auto"/>
            </w:tcBorders>
            <w:shd w:val="clear" w:color="auto" w:fill="auto"/>
            <w:noWrap/>
            <w:vAlign w:val="center"/>
          </w:tcPr>
          <w:p w14:paraId="78414FD5"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135.218</w:t>
            </w:r>
          </w:p>
        </w:tc>
        <w:tc>
          <w:tcPr>
            <w:tcW w:w="1134" w:type="dxa"/>
            <w:tcBorders>
              <w:top w:val="nil"/>
              <w:left w:val="nil"/>
              <w:bottom w:val="single" w:sz="4" w:space="0" w:color="auto"/>
              <w:right w:val="single" w:sz="4" w:space="0" w:color="auto"/>
            </w:tcBorders>
            <w:shd w:val="clear" w:color="auto" w:fill="auto"/>
            <w:noWrap/>
            <w:vAlign w:val="center"/>
          </w:tcPr>
          <w:p w14:paraId="7CA08CAC"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129.754</w:t>
            </w:r>
          </w:p>
        </w:tc>
        <w:tc>
          <w:tcPr>
            <w:tcW w:w="1134" w:type="dxa"/>
            <w:tcBorders>
              <w:top w:val="nil"/>
              <w:left w:val="nil"/>
              <w:bottom w:val="single" w:sz="4" w:space="0" w:color="auto"/>
              <w:right w:val="single" w:sz="4" w:space="0" w:color="auto"/>
            </w:tcBorders>
            <w:shd w:val="clear" w:color="auto" w:fill="auto"/>
            <w:noWrap/>
            <w:vAlign w:val="center"/>
          </w:tcPr>
          <w:p w14:paraId="36418AB6"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935.765</w:t>
            </w:r>
          </w:p>
        </w:tc>
      </w:tr>
      <w:tr w:rsidR="00C746F4" w:rsidRPr="00A1588E" w14:paraId="24B702BC"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5DC7BBEB"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N_40</w:t>
            </w:r>
          </w:p>
        </w:tc>
        <w:tc>
          <w:tcPr>
            <w:tcW w:w="4253" w:type="dxa"/>
            <w:tcBorders>
              <w:top w:val="nil"/>
              <w:left w:val="nil"/>
              <w:bottom w:val="single" w:sz="4" w:space="0" w:color="auto"/>
              <w:right w:val="single" w:sz="4" w:space="0" w:color="auto"/>
            </w:tcBorders>
            <w:shd w:val="clear" w:color="auto" w:fill="auto"/>
            <w:noWrap/>
            <w:vAlign w:val="center"/>
            <w:hideMark/>
          </w:tcPr>
          <w:p w14:paraId="5281120B"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Ciruelos 220-&gt;Valdivia 220</w:t>
            </w:r>
          </w:p>
        </w:tc>
        <w:tc>
          <w:tcPr>
            <w:tcW w:w="1134" w:type="dxa"/>
            <w:tcBorders>
              <w:top w:val="nil"/>
              <w:left w:val="nil"/>
              <w:bottom w:val="single" w:sz="4" w:space="0" w:color="auto"/>
              <w:right w:val="single" w:sz="4" w:space="0" w:color="auto"/>
            </w:tcBorders>
            <w:shd w:val="clear" w:color="auto" w:fill="auto"/>
            <w:noWrap/>
            <w:vAlign w:val="center"/>
          </w:tcPr>
          <w:p w14:paraId="3C9E0A83"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841.031</w:t>
            </w:r>
          </w:p>
        </w:tc>
        <w:tc>
          <w:tcPr>
            <w:tcW w:w="1134" w:type="dxa"/>
            <w:tcBorders>
              <w:top w:val="nil"/>
              <w:left w:val="nil"/>
              <w:bottom w:val="single" w:sz="4" w:space="0" w:color="auto"/>
              <w:right w:val="single" w:sz="4" w:space="0" w:color="auto"/>
            </w:tcBorders>
            <w:shd w:val="clear" w:color="auto" w:fill="auto"/>
            <w:noWrap/>
            <w:vAlign w:val="center"/>
          </w:tcPr>
          <w:p w14:paraId="16060741"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169.510</w:t>
            </w:r>
          </w:p>
        </w:tc>
        <w:tc>
          <w:tcPr>
            <w:tcW w:w="1134" w:type="dxa"/>
            <w:tcBorders>
              <w:top w:val="nil"/>
              <w:left w:val="nil"/>
              <w:bottom w:val="single" w:sz="4" w:space="0" w:color="auto"/>
              <w:right w:val="single" w:sz="4" w:space="0" w:color="auto"/>
            </w:tcBorders>
            <w:shd w:val="clear" w:color="auto" w:fill="auto"/>
            <w:noWrap/>
            <w:vAlign w:val="center"/>
          </w:tcPr>
          <w:p w14:paraId="0050FCEB"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162.426</w:t>
            </w:r>
          </w:p>
        </w:tc>
        <w:tc>
          <w:tcPr>
            <w:tcW w:w="1134" w:type="dxa"/>
            <w:tcBorders>
              <w:top w:val="nil"/>
              <w:left w:val="nil"/>
              <w:bottom w:val="single" w:sz="4" w:space="0" w:color="auto"/>
              <w:right w:val="single" w:sz="4" w:space="0" w:color="auto"/>
            </w:tcBorders>
            <w:shd w:val="clear" w:color="auto" w:fill="auto"/>
            <w:noWrap/>
            <w:vAlign w:val="center"/>
          </w:tcPr>
          <w:p w14:paraId="3E036E9B"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1.172.966</w:t>
            </w:r>
          </w:p>
        </w:tc>
      </w:tr>
      <w:tr w:rsidR="00C746F4" w:rsidRPr="00A1588E" w14:paraId="4DE24AFE"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1BF0A0AB"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N_41</w:t>
            </w:r>
          </w:p>
        </w:tc>
        <w:tc>
          <w:tcPr>
            <w:tcW w:w="4253" w:type="dxa"/>
            <w:tcBorders>
              <w:top w:val="nil"/>
              <w:left w:val="nil"/>
              <w:bottom w:val="single" w:sz="4" w:space="0" w:color="auto"/>
              <w:right w:val="single" w:sz="4" w:space="0" w:color="auto"/>
            </w:tcBorders>
            <w:shd w:val="clear" w:color="auto" w:fill="auto"/>
            <w:noWrap/>
            <w:vAlign w:val="center"/>
            <w:hideMark/>
          </w:tcPr>
          <w:p w14:paraId="795086B3"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Cóndores 220-&gt;Parinacota 220</w:t>
            </w:r>
          </w:p>
        </w:tc>
        <w:tc>
          <w:tcPr>
            <w:tcW w:w="1134" w:type="dxa"/>
            <w:tcBorders>
              <w:top w:val="nil"/>
              <w:left w:val="nil"/>
              <w:bottom w:val="single" w:sz="4" w:space="0" w:color="auto"/>
              <w:right w:val="single" w:sz="4" w:space="0" w:color="auto"/>
            </w:tcBorders>
            <w:shd w:val="clear" w:color="auto" w:fill="auto"/>
            <w:noWrap/>
            <w:vAlign w:val="center"/>
          </w:tcPr>
          <w:p w14:paraId="214C8547"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2.175.407</w:t>
            </w:r>
          </w:p>
        </w:tc>
        <w:tc>
          <w:tcPr>
            <w:tcW w:w="1134" w:type="dxa"/>
            <w:tcBorders>
              <w:top w:val="nil"/>
              <w:left w:val="nil"/>
              <w:bottom w:val="single" w:sz="4" w:space="0" w:color="auto"/>
              <w:right w:val="single" w:sz="4" w:space="0" w:color="auto"/>
            </w:tcBorders>
            <w:shd w:val="clear" w:color="auto" w:fill="auto"/>
            <w:noWrap/>
            <w:vAlign w:val="center"/>
          </w:tcPr>
          <w:p w14:paraId="0FA1BF33"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438.803</w:t>
            </w:r>
          </w:p>
        </w:tc>
        <w:tc>
          <w:tcPr>
            <w:tcW w:w="1134" w:type="dxa"/>
            <w:tcBorders>
              <w:top w:val="nil"/>
              <w:left w:val="nil"/>
              <w:bottom w:val="single" w:sz="4" w:space="0" w:color="auto"/>
              <w:right w:val="single" w:sz="4" w:space="0" w:color="auto"/>
            </w:tcBorders>
            <w:shd w:val="clear" w:color="auto" w:fill="auto"/>
            <w:noWrap/>
            <w:vAlign w:val="center"/>
          </w:tcPr>
          <w:p w14:paraId="4B30C92A"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408.392</w:t>
            </w:r>
          </w:p>
        </w:tc>
        <w:tc>
          <w:tcPr>
            <w:tcW w:w="1134" w:type="dxa"/>
            <w:tcBorders>
              <w:top w:val="nil"/>
              <w:left w:val="nil"/>
              <w:bottom w:val="single" w:sz="4" w:space="0" w:color="auto"/>
              <w:right w:val="single" w:sz="4" w:space="0" w:color="auto"/>
            </w:tcBorders>
            <w:shd w:val="clear" w:color="auto" w:fill="auto"/>
            <w:noWrap/>
            <w:vAlign w:val="center"/>
          </w:tcPr>
          <w:p w14:paraId="29A22E98"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3.022.602</w:t>
            </w:r>
          </w:p>
        </w:tc>
      </w:tr>
      <w:tr w:rsidR="00C746F4" w:rsidRPr="00A1588E" w14:paraId="534F8238"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7D63E0F0"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N_42</w:t>
            </w:r>
          </w:p>
        </w:tc>
        <w:tc>
          <w:tcPr>
            <w:tcW w:w="4253" w:type="dxa"/>
            <w:tcBorders>
              <w:top w:val="nil"/>
              <w:left w:val="nil"/>
              <w:bottom w:val="single" w:sz="4" w:space="0" w:color="auto"/>
              <w:right w:val="single" w:sz="4" w:space="0" w:color="auto"/>
            </w:tcBorders>
            <w:shd w:val="clear" w:color="auto" w:fill="auto"/>
            <w:noWrap/>
            <w:vAlign w:val="center"/>
            <w:hideMark/>
          </w:tcPr>
          <w:p w14:paraId="7BB96240"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Crucero 220-&gt;Kimal 220</w:t>
            </w:r>
          </w:p>
        </w:tc>
        <w:tc>
          <w:tcPr>
            <w:tcW w:w="1134" w:type="dxa"/>
            <w:tcBorders>
              <w:top w:val="nil"/>
              <w:left w:val="nil"/>
              <w:bottom w:val="single" w:sz="4" w:space="0" w:color="auto"/>
              <w:right w:val="single" w:sz="4" w:space="0" w:color="auto"/>
            </w:tcBorders>
            <w:shd w:val="clear" w:color="auto" w:fill="auto"/>
            <w:noWrap/>
            <w:vAlign w:val="center"/>
          </w:tcPr>
          <w:p w14:paraId="11FB3640"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99.897</w:t>
            </w:r>
          </w:p>
        </w:tc>
        <w:tc>
          <w:tcPr>
            <w:tcW w:w="1134" w:type="dxa"/>
            <w:tcBorders>
              <w:top w:val="nil"/>
              <w:left w:val="nil"/>
              <w:bottom w:val="single" w:sz="4" w:space="0" w:color="auto"/>
              <w:right w:val="single" w:sz="4" w:space="0" w:color="auto"/>
            </w:tcBorders>
            <w:shd w:val="clear" w:color="auto" w:fill="auto"/>
            <w:noWrap/>
            <w:vAlign w:val="center"/>
          </w:tcPr>
          <w:p w14:paraId="6D5CF89C"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20.128</w:t>
            </w:r>
          </w:p>
        </w:tc>
        <w:tc>
          <w:tcPr>
            <w:tcW w:w="1134" w:type="dxa"/>
            <w:tcBorders>
              <w:top w:val="nil"/>
              <w:left w:val="nil"/>
              <w:bottom w:val="single" w:sz="4" w:space="0" w:color="auto"/>
              <w:right w:val="single" w:sz="4" w:space="0" w:color="auto"/>
            </w:tcBorders>
            <w:shd w:val="clear" w:color="auto" w:fill="auto"/>
            <w:noWrap/>
            <w:vAlign w:val="center"/>
          </w:tcPr>
          <w:p w14:paraId="22BA5DD4"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13.676</w:t>
            </w:r>
          </w:p>
        </w:tc>
        <w:tc>
          <w:tcPr>
            <w:tcW w:w="1134" w:type="dxa"/>
            <w:tcBorders>
              <w:top w:val="nil"/>
              <w:left w:val="nil"/>
              <w:bottom w:val="single" w:sz="4" w:space="0" w:color="auto"/>
              <w:right w:val="single" w:sz="4" w:space="0" w:color="auto"/>
            </w:tcBorders>
            <w:shd w:val="clear" w:color="auto" w:fill="auto"/>
            <w:noWrap/>
            <w:vAlign w:val="center"/>
          </w:tcPr>
          <w:p w14:paraId="62AE49BB"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133.702</w:t>
            </w:r>
          </w:p>
        </w:tc>
      </w:tr>
      <w:tr w:rsidR="00C746F4" w:rsidRPr="00A1588E" w14:paraId="039D026F"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2C437EC7"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N_43</w:t>
            </w:r>
          </w:p>
        </w:tc>
        <w:tc>
          <w:tcPr>
            <w:tcW w:w="4253" w:type="dxa"/>
            <w:tcBorders>
              <w:top w:val="nil"/>
              <w:left w:val="nil"/>
              <w:bottom w:val="single" w:sz="4" w:space="0" w:color="auto"/>
              <w:right w:val="single" w:sz="4" w:space="0" w:color="auto"/>
            </w:tcBorders>
            <w:shd w:val="clear" w:color="auto" w:fill="auto"/>
            <w:noWrap/>
            <w:vAlign w:val="center"/>
            <w:hideMark/>
          </w:tcPr>
          <w:p w14:paraId="3463695E"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Cumbre 500-&gt;Nueva Cardones 500</w:t>
            </w:r>
          </w:p>
        </w:tc>
        <w:tc>
          <w:tcPr>
            <w:tcW w:w="1134" w:type="dxa"/>
            <w:tcBorders>
              <w:top w:val="nil"/>
              <w:left w:val="nil"/>
              <w:bottom w:val="single" w:sz="4" w:space="0" w:color="auto"/>
              <w:right w:val="single" w:sz="4" w:space="0" w:color="auto"/>
            </w:tcBorders>
            <w:shd w:val="clear" w:color="auto" w:fill="auto"/>
            <w:noWrap/>
            <w:vAlign w:val="center"/>
          </w:tcPr>
          <w:p w14:paraId="64CE0327"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12.737.176</w:t>
            </w:r>
          </w:p>
        </w:tc>
        <w:tc>
          <w:tcPr>
            <w:tcW w:w="1134" w:type="dxa"/>
            <w:tcBorders>
              <w:top w:val="nil"/>
              <w:left w:val="nil"/>
              <w:bottom w:val="single" w:sz="4" w:space="0" w:color="auto"/>
              <w:right w:val="single" w:sz="4" w:space="0" w:color="auto"/>
            </w:tcBorders>
            <w:shd w:val="clear" w:color="auto" w:fill="auto"/>
            <w:noWrap/>
            <w:vAlign w:val="center"/>
          </w:tcPr>
          <w:p w14:paraId="4E5BDE5C"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2.554.721</w:t>
            </w:r>
          </w:p>
        </w:tc>
        <w:tc>
          <w:tcPr>
            <w:tcW w:w="1134" w:type="dxa"/>
            <w:tcBorders>
              <w:top w:val="nil"/>
              <w:left w:val="nil"/>
              <w:bottom w:val="single" w:sz="4" w:space="0" w:color="auto"/>
              <w:right w:val="single" w:sz="4" w:space="0" w:color="auto"/>
            </w:tcBorders>
            <w:shd w:val="clear" w:color="auto" w:fill="auto"/>
            <w:noWrap/>
            <w:vAlign w:val="center"/>
          </w:tcPr>
          <w:p w14:paraId="356E5E8B"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2.196.615</w:t>
            </w:r>
          </w:p>
        </w:tc>
        <w:tc>
          <w:tcPr>
            <w:tcW w:w="1134" w:type="dxa"/>
            <w:tcBorders>
              <w:top w:val="nil"/>
              <w:left w:val="nil"/>
              <w:bottom w:val="single" w:sz="4" w:space="0" w:color="auto"/>
              <w:right w:val="single" w:sz="4" w:space="0" w:color="auto"/>
            </w:tcBorders>
            <w:shd w:val="clear" w:color="auto" w:fill="auto"/>
            <w:noWrap/>
            <w:vAlign w:val="center"/>
          </w:tcPr>
          <w:p w14:paraId="662DBC48"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17.488.513</w:t>
            </w:r>
          </w:p>
        </w:tc>
      </w:tr>
      <w:tr w:rsidR="00C746F4" w:rsidRPr="00A1588E" w14:paraId="79B9032A"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3972FB7F"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N_44</w:t>
            </w:r>
          </w:p>
        </w:tc>
        <w:tc>
          <w:tcPr>
            <w:tcW w:w="4253" w:type="dxa"/>
            <w:tcBorders>
              <w:top w:val="nil"/>
              <w:left w:val="nil"/>
              <w:bottom w:val="single" w:sz="4" w:space="0" w:color="auto"/>
              <w:right w:val="single" w:sz="4" w:space="0" w:color="auto"/>
            </w:tcBorders>
            <w:shd w:val="clear" w:color="auto" w:fill="auto"/>
            <w:noWrap/>
            <w:vAlign w:val="center"/>
            <w:hideMark/>
          </w:tcPr>
          <w:p w14:paraId="0B270032"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Don Goyo 220-&gt;La Cebada 220</w:t>
            </w:r>
          </w:p>
        </w:tc>
        <w:tc>
          <w:tcPr>
            <w:tcW w:w="1134" w:type="dxa"/>
            <w:tcBorders>
              <w:top w:val="nil"/>
              <w:left w:val="nil"/>
              <w:bottom w:val="single" w:sz="4" w:space="0" w:color="auto"/>
              <w:right w:val="single" w:sz="4" w:space="0" w:color="auto"/>
            </w:tcBorders>
            <w:shd w:val="clear" w:color="auto" w:fill="auto"/>
            <w:noWrap/>
            <w:vAlign w:val="center"/>
          </w:tcPr>
          <w:p w14:paraId="723F3575"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900.691</w:t>
            </w:r>
          </w:p>
        </w:tc>
        <w:tc>
          <w:tcPr>
            <w:tcW w:w="1134" w:type="dxa"/>
            <w:tcBorders>
              <w:top w:val="nil"/>
              <w:left w:val="nil"/>
              <w:bottom w:val="single" w:sz="4" w:space="0" w:color="auto"/>
              <w:right w:val="single" w:sz="4" w:space="0" w:color="auto"/>
            </w:tcBorders>
            <w:shd w:val="clear" w:color="auto" w:fill="auto"/>
            <w:noWrap/>
            <w:vAlign w:val="center"/>
          </w:tcPr>
          <w:p w14:paraId="7DF2CBA7"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181.552</w:t>
            </w:r>
          </w:p>
        </w:tc>
        <w:tc>
          <w:tcPr>
            <w:tcW w:w="1134" w:type="dxa"/>
            <w:tcBorders>
              <w:top w:val="nil"/>
              <w:left w:val="nil"/>
              <w:bottom w:val="single" w:sz="4" w:space="0" w:color="auto"/>
              <w:right w:val="single" w:sz="4" w:space="0" w:color="auto"/>
            </w:tcBorders>
            <w:shd w:val="clear" w:color="auto" w:fill="auto"/>
            <w:noWrap/>
            <w:vAlign w:val="center"/>
          </w:tcPr>
          <w:p w14:paraId="667BB323"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164.171</w:t>
            </w:r>
          </w:p>
        </w:tc>
        <w:tc>
          <w:tcPr>
            <w:tcW w:w="1134" w:type="dxa"/>
            <w:tcBorders>
              <w:top w:val="nil"/>
              <w:left w:val="nil"/>
              <w:bottom w:val="single" w:sz="4" w:space="0" w:color="auto"/>
              <w:right w:val="single" w:sz="4" w:space="0" w:color="auto"/>
            </w:tcBorders>
            <w:shd w:val="clear" w:color="auto" w:fill="auto"/>
            <w:noWrap/>
            <w:vAlign w:val="center"/>
          </w:tcPr>
          <w:p w14:paraId="32942E17"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1.246.414</w:t>
            </w:r>
          </w:p>
        </w:tc>
      </w:tr>
      <w:tr w:rsidR="00C746F4" w:rsidRPr="00A1588E" w14:paraId="20FCD46B"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49BB6828"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N_45</w:t>
            </w:r>
          </w:p>
        </w:tc>
        <w:tc>
          <w:tcPr>
            <w:tcW w:w="4253" w:type="dxa"/>
            <w:tcBorders>
              <w:top w:val="nil"/>
              <w:left w:val="nil"/>
              <w:bottom w:val="single" w:sz="4" w:space="0" w:color="auto"/>
              <w:right w:val="single" w:sz="4" w:space="0" w:color="auto"/>
            </w:tcBorders>
            <w:shd w:val="clear" w:color="auto" w:fill="auto"/>
            <w:noWrap/>
            <w:vAlign w:val="center"/>
            <w:hideMark/>
          </w:tcPr>
          <w:p w14:paraId="359790C9"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Don Héctor 220-&gt;Punta Colorada 220</w:t>
            </w:r>
          </w:p>
        </w:tc>
        <w:tc>
          <w:tcPr>
            <w:tcW w:w="1134" w:type="dxa"/>
            <w:tcBorders>
              <w:top w:val="nil"/>
              <w:left w:val="nil"/>
              <w:bottom w:val="single" w:sz="4" w:space="0" w:color="auto"/>
              <w:right w:val="single" w:sz="4" w:space="0" w:color="auto"/>
            </w:tcBorders>
            <w:shd w:val="clear" w:color="auto" w:fill="auto"/>
            <w:noWrap/>
            <w:vAlign w:val="center"/>
          </w:tcPr>
          <w:p w14:paraId="129A4916"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1.212.339</w:t>
            </w:r>
          </w:p>
        </w:tc>
        <w:tc>
          <w:tcPr>
            <w:tcW w:w="1134" w:type="dxa"/>
            <w:tcBorders>
              <w:top w:val="nil"/>
              <w:left w:val="nil"/>
              <w:bottom w:val="single" w:sz="4" w:space="0" w:color="auto"/>
              <w:right w:val="single" w:sz="4" w:space="0" w:color="auto"/>
            </w:tcBorders>
            <w:shd w:val="clear" w:color="auto" w:fill="auto"/>
            <w:noWrap/>
            <w:vAlign w:val="center"/>
          </w:tcPr>
          <w:p w14:paraId="43F29135"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244.261</w:t>
            </w:r>
          </w:p>
        </w:tc>
        <w:tc>
          <w:tcPr>
            <w:tcW w:w="1134" w:type="dxa"/>
            <w:tcBorders>
              <w:top w:val="nil"/>
              <w:left w:val="nil"/>
              <w:bottom w:val="single" w:sz="4" w:space="0" w:color="auto"/>
              <w:right w:val="single" w:sz="4" w:space="0" w:color="auto"/>
            </w:tcBorders>
            <w:shd w:val="clear" w:color="auto" w:fill="auto"/>
            <w:noWrap/>
            <w:vAlign w:val="center"/>
          </w:tcPr>
          <w:p w14:paraId="4BB96B48"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309.517</w:t>
            </w:r>
          </w:p>
        </w:tc>
        <w:tc>
          <w:tcPr>
            <w:tcW w:w="1134" w:type="dxa"/>
            <w:tcBorders>
              <w:top w:val="nil"/>
              <w:left w:val="nil"/>
              <w:bottom w:val="single" w:sz="4" w:space="0" w:color="auto"/>
              <w:right w:val="single" w:sz="4" w:space="0" w:color="auto"/>
            </w:tcBorders>
            <w:shd w:val="clear" w:color="auto" w:fill="auto"/>
            <w:noWrap/>
            <w:vAlign w:val="center"/>
          </w:tcPr>
          <w:p w14:paraId="23557882"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1.766.118</w:t>
            </w:r>
          </w:p>
        </w:tc>
      </w:tr>
      <w:tr w:rsidR="00C746F4" w:rsidRPr="00A1588E" w14:paraId="697EF34D"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1E6DC166"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N_46</w:t>
            </w:r>
          </w:p>
        </w:tc>
        <w:tc>
          <w:tcPr>
            <w:tcW w:w="4253" w:type="dxa"/>
            <w:tcBorders>
              <w:top w:val="nil"/>
              <w:left w:val="nil"/>
              <w:bottom w:val="single" w:sz="4" w:space="0" w:color="auto"/>
              <w:right w:val="single" w:sz="4" w:space="0" w:color="auto"/>
            </w:tcBorders>
            <w:shd w:val="clear" w:color="auto" w:fill="auto"/>
            <w:noWrap/>
            <w:vAlign w:val="center"/>
            <w:hideMark/>
          </w:tcPr>
          <w:p w14:paraId="73A12631"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Duqueco 220-&gt;Bureo 220</w:t>
            </w:r>
          </w:p>
        </w:tc>
        <w:tc>
          <w:tcPr>
            <w:tcW w:w="1134" w:type="dxa"/>
            <w:tcBorders>
              <w:top w:val="nil"/>
              <w:left w:val="nil"/>
              <w:bottom w:val="single" w:sz="4" w:space="0" w:color="auto"/>
              <w:right w:val="single" w:sz="4" w:space="0" w:color="auto"/>
            </w:tcBorders>
            <w:shd w:val="clear" w:color="auto" w:fill="auto"/>
            <w:noWrap/>
            <w:vAlign w:val="center"/>
          </w:tcPr>
          <w:p w14:paraId="0843123A"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496.223</w:t>
            </w:r>
          </w:p>
        </w:tc>
        <w:tc>
          <w:tcPr>
            <w:tcW w:w="1134" w:type="dxa"/>
            <w:tcBorders>
              <w:top w:val="nil"/>
              <w:left w:val="nil"/>
              <w:bottom w:val="single" w:sz="4" w:space="0" w:color="auto"/>
              <w:right w:val="single" w:sz="4" w:space="0" w:color="auto"/>
            </w:tcBorders>
            <w:shd w:val="clear" w:color="auto" w:fill="auto"/>
            <w:noWrap/>
            <w:vAlign w:val="center"/>
          </w:tcPr>
          <w:p w14:paraId="101EE841"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100.038</w:t>
            </w:r>
          </w:p>
        </w:tc>
        <w:tc>
          <w:tcPr>
            <w:tcW w:w="1134" w:type="dxa"/>
            <w:tcBorders>
              <w:top w:val="nil"/>
              <w:left w:val="nil"/>
              <w:bottom w:val="single" w:sz="4" w:space="0" w:color="auto"/>
              <w:right w:val="single" w:sz="4" w:space="0" w:color="auto"/>
            </w:tcBorders>
            <w:shd w:val="clear" w:color="auto" w:fill="auto"/>
            <w:noWrap/>
            <w:vAlign w:val="center"/>
          </w:tcPr>
          <w:p w14:paraId="0CC0CD66"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120.679</w:t>
            </w:r>
          </w:p>
        </w:tc>
        <w:tc>
          <w:tcPr>
            <w:tcW w:w="1134" w:type="dxa"/>
            <w:tcBorders>
              <w:top w:val="nil"/>
              <w:left w:val="nil"/>
              <w:bottom w:val="single" w:sz="4" w:space="0" w:color="auto"/>
              <w:right w:val="single" w:sz="4" w:space="0" w:color="auto"/>
            </w:tcBorders>
            <w:shd w:val="clear" w:color="auto" w:fill="auto"/>
            <w:noWrap/>
            <w:vAlign w:val="center"/>
          </w:tcPr>
          <w:p w14:paraId="5B9475FB"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716.940</w:t>
            </w:r>
          </w:p>
        </w:tc>
      </w:tr>
      <w:tr w:rsidR="00C746F4" w:rsidRPr="00A1588E" w14:paraId="219B8BD7"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4648B800"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N_47</w:t>
            </w:r>
          </w:p>
        </w:tc>
        <w:tc>
          <w:tcPr>
            <w:tcW w:w="4253" w:type="dxa"/>
            <w:tcBorders>
              <w:top w:val="nil"/>
              <w:left w:val="nil"/>
              <w:bottom w:val="single" w:sz="4" w:space="0" w:color="auto"/>
              <w:right w:val="single" w:sz="4" w:space="0" w:color="auto"/>
            </w:tcBorders>
            <w:shd w:val="clear" w:color="auto" w:fill="auto"/>
            <w:noWrap/>
            <w:vAlign w:val="center"/>
            <w:hideMark/>
          </w:tcPr>
          <w:p w14:paraId="6EC7A878"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Duqueco 220-&gt;Los Varones 220</w:t>
            </w:r>
          </w:p>
        </w:tc>
        <w:tc>
          <w:tcPr>
            <w:tcW w:w="1134" w:type="dxa"/>
            <w:tcBorders>
              <w:top w:val="nil"/>
              <w:left w:val="nil"/>
              <w:bottom w:val="single" w:sz="4" w:space="0" w:color="auto"/>
              <w:right w:val="single" w:sz="4" w:space="0" w:color="auto"/>
            </w:tcBorders>
            <w:shd w:val="clear" w:color="auto" w:fill="auto"/>
            <w:noWrap/>
            <w:vAlign w:val="center"/>
          </w:tcPr>
          <w:p w14:paraId="7C9706F1"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191.533</w:t>
            </w:r>
          </w:p>
        </w:tc>
        <w:tc>
          <w:tcPr>
            <w:tcW w:w="1134" w:type="dxa"/>
            <w:tcBorders>
              <w:top w:val="nil"/>
              <w:left w:val="nil"/>
              <w:bottom w:val="single" w:sz="4" w:space="0" w:color="auto"/>
              <w:right w:val="single" w:sz="4" w:space="0" w:color="auto"/>
            </w:tcBorders>
            <w:shd w:val="clear" w:color="auto" w:fill="auto"/>
            <w:noWrap/>
            <w:vAlign w:val="center"/>
          </w:tcPr>
          <w:p w14:paraId="48F2356D"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38.615</w:t>
            </w:r>
          </w:p>
        </w:tc>
        <w:tc>
          <w:tcPr>
            <w:tcW w:w="1134" w:type="dxa"/>
            <w:tcBorders>
              <w:top w:val="nil"/>
              <w:left w:val="nil"/>
              <w:bottom w:val="single" w:sz="4" w:space="0" w:color="auto"/>
              <w:right w:val="single" w:sz="4" w:space="0" w:color="auto"/>
            </w:tcBorders>
            <w:shd w:val="clear" w:color="auto" w:fill="auto"/>
            <w:noWrap/>
            <w:vAlign w:val="center"/>
          </w:tcPr>
          <w:p w14:paraId="0EF86367"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45.222</w:t>
            </w:r>
          </w:p>
        </w:tc>
        <w:tc>
          <w:tcPr>
            <w:tcW w:w="1134" w:type="dxa"/>
            <w:tcBorders>
              <w:top w:val="nil"/>
              <w:left w:val="nil"/>
              <w:bottom w:val="single" w:sz="4" w:space="0" w:color="auto"/>
              <w:right w:val="single" w:sz="4" w:space="0" w:color="auto"/>
            </w:tcBorders>
            <w:shd w:val="clear" w:color="auto" w:fill="auto"/>
            <w:noWrap/>
            <w:vAlign w:val="center"/>
          </w:tcPr>
          <w:p w14:paraId="6A0A20DC"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275.370</w:t>
            </w:r>
          </w:p>
        </w:tc>
      </w:tr>
      <w:tr w:rsidR="00C746F4" w:rsidRPr="00A1588E" w14:paraId="399AC0A5"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67506A81"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N_48</w:t>
            </w:r>
          </w:p>
        </w:tc>
        <w:tc>
          <w:tcPr>
            <w:tcW w:w="4253" w:type="dxa"/>
            <w:tcBorders>
              <w:top w:val="nil"/>
              <w:left w:val="nil"/>
              <w:bottom w:val="single" w:sz="4" w:space="0" w:color="auto"/>
              <w:right w:val="single" w:sz="4" w:space="0" w:color="auto"/>
            </w:tcBorders>
            <w:shd w:val="clear" w:color="auto" w:fill="auto"/>
            <w:noWrap/>
            <w:vAlign w:val="center"/>
            <w:hideMark/>
          </w:tcPr>
          <w:p w14:paraId="1312C7EF"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El Cobre 220-&gt;Esperanza SING 220</w:t>
            </w:r>
          </w:p>
        </w:tc>
        <w:tc>
          <w:tcPr>
            <w:tcW w:w="1134" w:type="dxa"/>
            <w:tcBorders>
              <w:top w:val="nil"/>
              <w:left w:val="nil"/>
              <w:bottom w:val="single" w:sz="4" w:space="0" w:color="auto"/>
              <w:right w:val="single" w:sz="4" w:space="0" w:color="auto"/>
            </w:tcBorders>
            <w:shd w:val="clear" w:color="auto" w:fill="auto"/>
            <w:noWrap/>
            <w:vAlign w:val="center"/>
          </w:tcPr>
          <w:p w14:paraId="528CD2F8"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1.237.497</w:t>
            </w:r>
          </w:p>
        </w:tc>
        <w:tc>
          <w:tcPr>
            <w:tcW w:w="1134" w:type="dxa"/>
            <w:tcBorders>
              <w:top w:val="nil"/>
              <w:left w:val="nil"/>
              <w:bottom w:val="single" w:sz="4" w:space="0" w:color="auto"/>
              <w:right w:val="single" w:sz="4" w:space="0" w:color="auto"/>
            </w:tcBorders>
            <w:shd w:val="clear" w:color="auto" w:fill="auto"/>
            <w:noWrap/>
            <w:vAlign w:val="center"/>
          </w:tcPr>
          <w:p w14:paraId="7F86684E"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248.212</w:t>
            </w:r>
          </w:p>
        </w:tc>
        <w:tc>
          <w:tcPr>
            <w:tcW w:w="1134" w:type="dxa"/>
            <w:tcBorders>
              <w:top w:val="nil"/>
              <w:left w:val="nil"/>
              <w:bottom w:val="single" w:sz="4" w:space="0" w:color="auto"/>
              <w:right w:val="single" w:sz="4" w:space="0" w:color="auto"/>
            </w:tcBorders>
            <w:shd w:val="clear" w:color="auto" w:fill="auto"/>
            <w:noWrap/>
            <w:vAlign w:val="center"/>
          </w:tcPr>
          <w:p w14:paraId="625C6DF9"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196.145</w:t>
            </w:r>
          </w:p>
        </w:tc>
        <w:tc>
          <w:tcPr>
            <w:tcW w:w="1134" w:type="dxa"/>
            <w:tcBorders>
              <w:top w:val="nil"/>
              <w:left w:val="nil"/>
              <w:bottom w:val="single" w:sz="4" w:space="0" w:color="auto"/>
              <w:right w:val="single" w:sz="4" w:space="0" w:color="auto"/>
            </w:tcBorders>
            <w:shd w:val="clear" w:color="auto" w:fill="auto"/>
            <w:noWrap/>
            <w:vAlign w:val="center"/>
          </w:tcPr>
          <w:p w14:paraId="0EF3CA0B"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1.681.854</w:t>
            </w:r>
          </w:p>
        </w:tc>
      </w:tr>
      <w:tr w:rsidR="00C746F4" w:rsidRPr="00A1588E" w14:paraId="1317D9F1"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00DD39B6"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N_49</w:t>
            </w:r>
          </w:p>
        </w:tc>
        <w:tc>
          <w:tcPr>
            <w:tcW w:w="4253" w:type="dxa"/>
            <w:tcBorders>
              <w:top w:val="nil"/>
              <w:left w:val="nil"/>
              <w:bottom w:val="single" w:sz="4" w:space="0" w:color="auto"/>
              <w:right w:val="single" w:sz="4" w:space="0" w:color="auto"/>
            </w:tcBorders>
            <w:shd w:val="clear" w:color="auto" w:fill="auto"/>
            <w:noWrap/>
            <w:vAlign w:val="center"/>
            <w:hideMark/>
          </w:tcPr>
          <w:p w14:paraId="41FB9E55"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El Rosal 220-&gt;Los Varones 220</w:t>
            </w:r>
          </w:p>
        </w:tc>
        <w:tc>
          <w:tcPr>
            <w:tcW w:w="1134" w:type="dxa"/>
            <w:tcBorders>
              <w:top w:val="nil"/>
              <w:left w:val="nil"/>
              <w:bottom w:val="single" w:sz="4" w:space="0" w:color="auto"/>
              <w:right w:val="single" w:sz="4" w:space="0" w:color="auto"/>
            </w:tcBorders>
            <w:shd w:val="clear" w:color="auto" w:fill="auto"/>
            <w:noWrap/>
            <w:vAlign w:val="center"/>
          </w:tcPr>
          <w:p w14:paraId="6CF60AF4"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323.241</w:t>
            </w:r>
          </w:p>
        </w:tc>
        <w:tc>
          <w:tcPr>
            <w:tcW w:w="1134" w:type="dxa"/>
            <w:tcBorders>
              <w:top w:val="nil"/>
              <w:left w:val="nil"/>
              <w:bottom w:val="single" w:sz="4" w:space="0" w:color="auto"/>
              <w:right w:val="single" w:sz="4" w:space="0" w:color="auto"/>
            </w:tcBorders>
            <w:shd w:val="clear" w:color="auto" w:fill="auto"/>
            <w:noWrap/>
            <w:vAlign w:val="center"/>
          </w:tcPr>
          <w:p w14:paraId="360F2369"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65.196</w:t>
            </w:r>
          </w:p>
        </w:tc>
        <w:tc>
          <w:tcPr>
            <w:tcW w:w="1134" w:type="dxa"/>
            <w:tcBorders>
              <w:top w:val="nil"/>
              <w:left w:val="nil"/>
              <w:bottom w:val="single" w:sz="4" w:space="0" w:color="auto"/>
              <w:right w:val="single" w:sz="4" w:space="0" w:color="auto"/>
            </w:tcBorders>
            <w:shd w:val="clear" w:color="auto" w:fill="auto"/>
            <w:noWrap/>
            <w:vAlign w:val="center"/>
          </w:tcPr>
          <w:p w14:paraId="7DCE34DA"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67.990</w:t>
            </w:r>
          </w:p>
        </w:tc>
        <w:tc>
          <w:tcPr>
            <w:tcW w:w="1134" w:type="dxa"/>
            <w:tcBorders>
              <w:top w:val="nil"/>
              <w:left w:val="nil"/>
              <w:bottom w:val="single" w:sz="4" w:space="0" w:color="auto"/>
              <w:right w:val="single" w:sz="4" w:space="0" w:color="auto"/>
            </w:tcBorders>
            <w:shd w:val="clear" w:color="auto" w:fill="auto"/>
            <w:noWrap/>
            <w:vAlign w:val="center"/>
          </w:tcPr>
          <w:p w14:paraId="6ACE9ADC"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456.427</w:t>
            </w:r>
          </w:p>
        </w:tc>
      </w:tr>
      <w:tr w:rsidR="00C746F4" w:rsidRPr="00A1588E" w14:paraId="25739318"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1510BB4F"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N_50</w:t>
            </w:r>
          </w:p>
        </w:tc>
        <w:tc>
          <w:tcPr>
            <w:tcW w:w="4253" w:type="dxa"/>
            <w:tcBorders>
              <w:top w:val="nil"/>
              <w:left w:val="nil"/>
              <w:bottom w:val="single" w:sz="4" w:space="0" w:color="auto"/>
              <w:right w:val="single" w:sz="4" w:space="0" w:color="auto"/>
            </w:tcBorders>
            <w:shd w:val="clear" w:color="auto" w:fill="auto"/>
            <w:noWrap/>
            <w:vAlign w:val="center"/>
            <w:hideMark/>
          </w:tcPr>
          <w:p w14:paraId="3DEE877D"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El Salto 220-&gt;Tap Chicureo 220</w:t>
            </w:r>
          </w:p>
        </w:tc>
        <w:tc>
          <w:tcPr>
            <w:tcW w:w="1134" w:type="dxa"/>
            <w:tcBorders>
              <w:top w:val="nil"/>
              <w:left w:val="nil"/>
              <w:bottom w:val="single" w:sz="4" w:space="0" w:color="auto"/>
              <w:right w:val="single" w:sz="4" w:space="0" w:color="auto"/>
            </w:tcBorders>
            <w:shd w:val="clear" w:color="auto" w:fill="auto"/>
            <w:noWrap/>
            <w:vAlign w:val="center"/>
          </w:tcPr>
          <w:p w14:paraId="02D08C53"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395.962</w:t>
            </w:r>
          </w:p>
        </w:tc>
        <w:tc>
          <w:tcPr>
            <w:tcW w:w="1134" w:type="dxa"/>
            <w:tcBorders>
              <w:top w:val="nil"/>
              <w:left w:val="nil"/>
              <w:bottom w:val="single" w:sz="4" w:space="0" w:color="auto"/>
              <w:right w:val="single" w:sz="4" w:space="0" w:color="auto"/>
            </w:tcBorders>
            <w:shd w:val="clear" w:color="auto" w:fill="auto"/>
            <w:noWrap/>
            <w:vAlign w:val="center"/>
          </w:tcPr>
          <w:p w14:paraId="15A3EB53"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79.419</w:t>
            </w:r>
          </w:p>
        </w:tc>
        <w:tc>
          <w:tcPr>
            <w:tcW w:w="1134" w:type="dxa"/>
            <w:tcBorders>
              <w:top w:val="nil"/>
              <w:left w:val="nil"/>
              <w:bottom w:val="single" w:sz="4" w:space="0" w:color="auto"/>
              <w:right w:val="single" w:sz="4" w:space="0" w:color="auto"/>
            </w:tcBorders>
            <w:shd w:val="clear" w:color="auto" w:fill="auto"/>
            <w:noWrap/>
            <w:vAlign w:val="center"/>
          </w:tcPr>
          <w:p w14:paraId="4C879836"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64.832</w:t>
            </w:r>
          </w:p>
        </w:tc>
        <w:tc>
          <w:tcPr>
            <w:tcW w:w="1134" w:type="dxa"/>
            <w:tcBorders>
              <w:top w:val="nil"/>
              <w:left w:val="nil"/>
              <w:bottom w:val="single" w:sz="4" w:space="0" w:color="auto"/>
              <w:right w:val="single" w:sz="4" w:space="0" w:color="auto"/>
            </w:tcBorders>
            <w:shd w:val="clear" w:color="auto" w:fill="auto"/>
            <w:noWrap/>
            <w:vAlign w:val="center"/>
          </w:tcPr>
          <w:p w14:paraId="08E71DEC"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540.213</w:t>
            </w:r>
          </w:p>
        </w:tc>
      </w:tr>
      <w:tr w:rsidR="00C746F4" w:rsidRPr="00A1588E" w14:paraId="7F315223"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5DDEC793"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N_51</w:t>
            </w:r>
          </w:p>
        </w:tc>
        <w:tc>
          <w:tcPr>
            <w:tcW w:w="4253" w:type="dxa"/>
            <w:tcBorders>
              <w:top w:val="nil"/>
              <w:left w:val="nil"/>
              <w:bottom w:val="single" w:sz="4" w:space="0" w:color="auto"/>
              <w:right w:val="single" w:sz="4" w:space="0" w:color="auto"/>
            </w:tcBorders>
            <w:shd w:val="clear" w:color="auto" w:fill="auto"/>
            <w:noWrap/>
            <w:vAlign w:val="center"/>
            <w:hideMark/>
          </w:tcPr>
          <w:p w14:paraId="469B33A9"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Encuentro 220-&gt;Kimal 220</w:t>
            </w:r>
          </w:p>
        </w:tc>
        <w:tc>
          <w:tcPr>
            <w:tcW w:w="1134" w:type="dxa"/>
            <w:tcBorders>
              <w:top w:val="nil"/>
              <w:left w:val="nil"/>
              <w:bottom w:val="single" w:sz="4" w:space="0" w:color="auto"/>
              <w:right w:val="single" w:sz="4" w:space="0" w:color="auto"/>
            </w:tcBorders>
            <w:shd w:val="clear" w:color="auto" w:fill="auto"/>
            <w:noWrap/>
            <w:vAlign w:val="center"/>
          </w:tcPr>
          <w:p w14:paraId="4B19AB64"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77.566</w:t>
            </w:r>
          </w:p>
        </w:tc>
        <w:tc>
          <w:tcPr>
            <w:tcW w:w="1134" w:type="dxa"/>
            <w:tcBorders>
              <w:top w:val="nil"/>
              <w:left w:val="nil"/>
              <w:bottom w:val="single" w:sz="4" w:space="0" w:color="auto"/>
              <w:right w:val="single" w:sz="4" w:space="0" w:color="auto"/>
            </w:tcBorders>
            <w:shd w:val="clear" w:color="auto" w:fill="auto"/>
            <w:noWrap/>
            <w:vAlign w:val="center"/>
          </w:tcPr>
          <w:p w14:paraId="32D102BB"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15.622</w:t>
            </w:r>
          </w:p>
        </w:tc>
        <w:tc>
          <w:tcPr>
            <w:tcW w:w="1134" w:type="dxa"/>
            <w:tcBorders>
              <w:top w:val="nil"/>
              <w:left w:val="nil"/>
              <w:bottom w:val="single" w:sz="4" w:space="0" w:color="auto"/>
              <w:right w:val="single" w:sz="4" w:space="0" w:color="auto"/>
            </w:tcBorders>
            <w:shd w:val="clear" w:color="auto" w:fill="auto"/>
            <w:noWrap/>
            <w:vAlign w:val="center"/>
          </w:tcPr>
          <w:p w14:paraId="17628CE3"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10.192</w:t>
            </w:r>
          </w:p>
        </w:tc>
        <w:tc>
          <w:tcPr>
            <w:tcW w:w="1134" w:type="dxa"/>
            <w:tcBorders>
              <w:top w:val="nil"/>
              <w:left w:val="nil"/>
              <w:bottom w:val="single" w:sz="4" w:space="0" w:color="auto"/>
              <w:right w:val="single" w:sz="4" w:space="0" w:color="auto"/>
            </w:tcBorders>
            <w:shd w:val="clear" w:color="auto" w:fill="auto"/>
            <w:noWrap/>
            <w:vAlign w:val="center"/>
          </w:tcPr>
          <w:p w14:paraId="3AC3A8D9"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103.380</w:t>
            </w:r>
          </w:p>
        </w:tc>
      </w:tr>
      <w:tr w:rsidR="00C746F4" w:rsidRPr="00A1588E" w14:paraId="12E59897"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22290998"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N_52</w:t>
            </w:r>
          </w:p>
        </w:tc>
        <w:tc>
          <w:tcPr>
            <w:tcW w:w="4253" w:type="dxa"/>
            <w:tcBorders>
              <w:top w:val="nil"/>
              <w:left w:val="nil"/>
              <w:bottom w:val="single" w:sz="4" w:space="0" w:color="auto"/>
              <w:right w:val="single" w:sz="4" w:space="0" w:color="auto"/>
            </w:tcBorders>
            <w:shd w:val="clear" w:color="auto" w:fill="auto"/>
            <w:noWrap/>
            <w:vAlign w:val="center"/>
            <w:hideMark/>
          </w:tcPr>
          <w:p w14:paraId="1B61CFE2"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Encuentro 220-&gt;Miraje 220</w:t>
            </w:r>
          </w:p>
        </w:tc>
        <w:tc>
          <w:tcPr>
            <w:tcW w:w="1134" w:type="dxa"/>
            <w:tcBorders>
              <w:top w:val="nil"/>
              <w:left w:val="nil"/>
              <w:bottom w:val="single" w:sz="4" w:space="0" w:color="auto"/>
              <w:right w:val="single" w:sz="4" w:space="0" w:color="auto"/>
            </w:tcBorders>
            <w:shd w:val="clear" w:color="auto" w:fill="auto"/>
            <w:noWrap/>
            <w:vAlign w:val="center"/>
          </w:tcPr>
          <w:p w14:paraId="1270C568"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610.774</w:t>
            </w:r>
          </w:p>
        </w:tc>
        <w:tc>
          <w:tcPr>
            <w:tcW w:w="1134" w:type="dxa"/>
            <w:tcBorders>
              <w:top w:val="nil"/>
              <w:left w:val="nil"/>
              <w:bottom w:val="single" w:sz="4" w:space="0" w:color="auto"/>
              <w:right w:val="single" w:sz="4" w:space="0" w:color="auto"/>
            </w:tcBorders>
            <w:shd w:val="clear" w:color="auto" w:fill="auto"/>
            <w:noWrap/>
            <w:vAlign w:val="center"/>
          </w:tcPr>
          <w:p w14:paraId="0B51D205"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123.060</w:t>
            </w:r>
          </w:p>
        </w:tc>
        <w:tc>
          <w:tcPr>
            <w:tcW w:w="1134" w:type="dxa"/>
            <w:tcBorders>
              <w:top w:val="nil"/>
              <w:left w:val="nil"/>
              <w:bottom w:val="single" w:sz="4" w:space="0" w:color="auto"/>
              <w:right w:val="single" w:sz="4" w:space="0" w:color="auto"/>
            </w:tcBorders>
            <w:shd w:val="clear" w:color="auto" w:fill="auto"/>
            <w:noWrap/>
            <w:vAlign w:val="center"/>
          </w:tcPr>
          <w:p w14:paraId="5CF2B5DF"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93.360</w:t>
            </w:r>
          </w:p>
        </w:tc>
        <w:tc>
          <w:tcPr>
            <w:tcW w:w="1134" w:type="dxa"/>
            <w:tcBorders>
              <w:top w:val="nil"/>
              <w:left w:val="nil"/>
              <w:bottom w:val="single" w:sz="4" w:space="0" w:color="auto"/>
              <w:right w:val="single" w:sz="4" w:space="0" w:color="auto"/>
            </w:tcBorders>
            <w:shd w:val="clear" w:color="auto" w:fill="auto"/>
            <w:noWrap/>
            <w:vAlign w:val="center"/>
          </w:tcPr>
          <w:p w14:paraId="663824B8"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827.194</w:t>
            </w:r>
          </w:p>
        </w:tc>
      </w:tr>
      <w:tr w:rsidR="00C746F4" w:rsidRPr="00A1588E" w14:paraId="23CE8770"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0D1B81FF"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N_53</w:t>
            </w:r>
          </w:p>
        </w:tc>
        <w:tc>
          <w:tcPr>
            <w:tcW w:w="4253" w:type="dxa"/>
            <w:tcBorders>
              <w:top w:val="nil"/>
              <w:left w:val="nil"/>
              <w:bottom w:val="single" w:sz="4" w:space="0" w:color="auto"/>
              <w:right w:val="single" w:sz="4" w:space="0" w:color="auto"/>
            </w:tcBorders>
            <w:shd w:val="clear" w:color="auto" w:fill="auto"/>
            <w:noWrap/>
            <w:vAlign w:val="center"/>
            <w:hideMark/>
          </w:tcPr>
          <w:p w14:paraId="7356BC65"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Encuentro 220-&gt;Tap off Sierra Gorda Eólico 220</w:t>
            </w:r>
          </w:p>
        </w:tc>
        <w:tc>
          <w:tcPr>
            <w:tcW w:w="1134" w:type="dxa"/>
            <w:tcBorders>
              <w:top w:val="nil"/>
              <w:left w:val="nil"/>
              <w:bottom w:val="single" w:sz="4" w:space="0" w:color="auto"/>
              <w:right w:val="single" w:sz="4" w:space="0" w:color="auto"/>
            </w:tcBorders>
            <w:shd w:val="clear" w:color="auto" w:fill="auto"/>
            <w:noWrap/>
            <w:vAlign w:val="center"/>
          </w:tcPr>
          <w:p w14:paraId="618667B3"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784.000</w:t>
            </w:r>
          </w:p>
        </w:tc>
        <w:tc>
          <w:tcPr>
            <w:tcW w:w="1134" w:type="dxa"/>
            <w:tcBorders>
              <w:top w:val="nil"/>
              <w:left w:val="nil"/>
              <w:bottom w:val="single" w:sz="4" w:space="0" w:color="auto"/>
              <w:right w:val="single" w:sz="4" w:space="0" w:color="auto"/>
            </w:tcBorders>
            <w:shd w:val="clear" w:color="auto" w:fill="auto"/>
            <w:noWrap/>
            <w:vAlign w:val="center"/>
          </w:tcPr>
          <w:p w14:paraId="7C45255A"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157.248</w:t>
            </w:r>
          </w:p>
        </w:tc>
        <w:tc>
          <w:tcPr>
            <w:tcW w:w="1134" w:type="dxa"/>
            <w:tcBorders>
              <w:top w:val="nil"/>
              <w:left w:val="nil"/>
              <w:bottom w:val="single" w:sz="4" w:space="0" w:color="auto"/>
              <w:right w:val="single" w:sz="4" w:space="0" w:color="auto"/>
            </w:tcBorders>
            <w:shd w:val="clear" w:color="auto" w:fill="auto"/>
            <w:noWrap/>
            <w:vAlign w:val="center"/>
          </w:tcPr>
          <w:p w14:paraId="03B6DA0C"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123.205</w:t>
            </w:r>
          </w:p>
        </w:tc>
        <w:tc>
          <w:tcPr>
            <w:tcW w:w="1134" w:type="dxa"/>
            <w:tcBorders>
              <w:top w:val="nil"/>
              <w:left w:val="nil"/>
              <w:bottom w:val="single" w:sz="4" w:space="0" w:color="auto"/>
              <w:right w:val="single" w:sz="4" w:space="0" w:color="auto"/>
            </w:tcBorders>
            <w:shd w:val="clear" w:color="auto" w:fill="auto"/>
            <w:noWrap/>
            <w:vAlign w:val="center"/>
          </w:tcPr>
          <w:p w14:paraId="18D7A480"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1.064.453</w:t>
            </w:r>
          </w:p>
        </w:tc>
      </w:tr>
      <w:tr w:rsidR="00C746F4" w:rsidRPr="00A1588E" w14:paraId="588C63FF"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452E8B5C"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N_54</w:t>
            </w:r>
          </w:p>
        </w:tc>
        <w:tc>
          <w:tcPr>
            <w:tcW w:w="4253" w:type="dxa"/>
            <w:tcBorders>
              <w:top w:val="nil"/>
              <w:left w:val="nil"/>
              <w:bottom w:val="single" w:sz="4" w:space="0" w:color="auto"/>
              <w:right w:val="single" w:sz="4" w:space="0" w:color="auto"/>
            </w:tcBorders>
            <w:shd w:val="clear" w:color="auto" w:fill="auto"/>
            <w:noWrap/>
            <w:vAlign w:val="center"/>
            <w:hideMark/>
          </w:tcPr>
          <w:p w14:paraId="25A520B0"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Esperanza SING 220-&gt;Centinela 220</w:t>
            </w:r>
          </w:p>
        </w:tc>
        <w:tc>
          <w:tcPr>
            <w:tcW w:w="1134" w:type="dxa"/>
            <w:tcBorders>
              <w:top w:val="nil"/>
              <w:left w:val="nil"/>
              <w:bottom w:val="single" w:sz="4" w:space="0" w:color="auto"/>
              <w:right w:val="single" w:sz="4" w:space="0" w:color="auto"/>
            </w:tcBorders>
            <w:shd w:val="clear" w:color="auto" w:fill="auto"/>
            <w:noWrap/>
            <w:vAlign w:val="center"/>
          </w:tcPr>
          <w:p w14:paraId="4AE3D8BA"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132.621</w:t>
            </w:r>
          </w:p>
        </w:tc>
        <w:tc>
          <w:tcPr>
            <w:tcW w:w="1134" w:type="dxa"/>
            <w:tcBorders>
              <w:top w:val="nil"/>
              <w:left w:val="nil"/>
              <w:bottom w:val="single" w:sz="4" w:space="0" w:color="auto"/>
              <w:right w:val="single" w:sz="4" w:space="0" w:color="auto"/>
            </w:tcBorders>
            <w:shd w:val="clear" w:color="auto" w:fill="auto"/>
            <w:noWrap/>
            <w:vAlign w:val="center"/>
          </w:tcPr>
          <w:p w14:paraId="21FE3AC7"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26.600</w:t>
            </w:r>
          </w:p>
        </w:tc>
        <w:tc>
          <w:tcPr>
            <w:tcW w:w="1134" w:type="dxa"/>
            <w:tcBorders>
              <w:top w:val="nil"/>
              <w:left w:val="nil"/>
              <w:bottom w:val="single" w:sz="4" w:space="0" w:color="auto"/>
              <w:right w:val="single" w:sz="4" w:space="0" w:color="auto"/>
            </w:tcBorders>
            <w:shd w:val="clear" w:color="auto" w:fill="auto"/>
            <w:noWrap/>
            <w:vAlign w:val="center"/>
          </w:tcPr>
          <w:p w14:paraId="3121AAA7"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20.473</w:t>
            </w:r>
          </w:p>
        </w:tc>
        <w:tc>
          <w:tcPr>
            <w:tcW w:w="1134" w:type="dxa"/>
            <w:tcBorders>
              <w:top w:val="nil"/>
              <w:left w:val="nil"/>
              <w:bottom w:val="single" w:sz="4" w:space="0" w:color="auto"/>
              <w:right w:val="single" w:sz="4" w:space="0" w:color="auto"/>
            </w:tcBorders>
            <w:shd w:val="clear" w:color="auto" w:fill="auto"/>
            <w:noWrap/>
            <w:vAlign w:val="center"/>
          </w:tcPr>
          <w:p w14:paraId="739C91A5"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179.694</w:t>
            </w:r>
          </w:p>
        </w:tc>
      </w:tr>
      <w:tr w:rsidR="00C746F4" w:rsidRPr="00A1588E" w14:paraId="1B4B6FD4"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1CE50D9F"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N_55</w:t>
            </w:r>
          </w:p>
        </w:tc>
        <w:tc>
          <w:tcPr>
            <w:tcW w:w="4253" w:type="dxa"/>
            <w:tcBorders>
              <w:top w:val="nil"/>
              <w:left w:val="nil"/>
              <w:bottom w:val="single" w:sz="4" w:space="0" w:color="auto"/>
              <w:right w:val="single" w:sz="4" w:space="0" w:color="auto"/>
            </w:tcBorders>
            <w:shd w:val="clear" w:color="auto" w:fill="auto"/>
            <w:noWrap/>
            <w:vAlign w:val="center"/>
            <w:hideMark/>
          </w:tcPr>
          <w:p w14:paraId="1A485A64"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Hualpén 220-&gt;Guindo 220</w:t>
            </w:r>
          </w:p>
        </w:tc>
        <w:tc>
          <w:tcPr>
            <w:tcW w:w="1134" w:type="dxa"/>
            <w:tcBorders>
              <w:top w:val="nil"/>
              <w:left w:val="nil"/>
              <w:bottom w:val="single" w:sz="4" w:space="0" w:color="auto"/>
              <w:right w:val="single" w:sz="4" w:space="0" w:color="auto"/>
            </w:tcBorders>
            <w:shd w:val="clear" w:color="auto" w:fill="auto"/>
            <w:noWrap/>
            <w:vAlign w:val="center"/>
          </w:tcPr>
          <w:p w14:paraId="64C068B2"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219.920</w:t>
            </w:r>
          </w:p>
        </w:tc>
        <w:tc>
          <w:tcPr>
            <w:tcW w:w="1134" w:type="dxa"/>
            <w:tcBorders>
              <w:top w:val="nil"/>
              <w:left w:val="nil"/>
              <w:bottom w:val="single" w:sz="4" w:space="0" w:color="auto"/>
              <w:right w:val="single" w:sz="4" w:space="0" w:color="auto"/>
            </w:tcBorders>
            <w:shd w:val="clear" w:color="auto" w:fill="auto"/>
            <w:noWrap/>
            <w:vAlign w:val="center"/>
          </w:tcPr>
          <w:p w14:paraId="447D619C"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44.310</w:t>
            </w:r>
          </w:p>
        </w:tc>
        <w:tc>
          <w:tcPr>
            <w:tcW w:w="1134" w:type="dxa"/>
            <w:tcBorders>
              <w:top w:val="nil"/>
              <w:left w:val="nil"/>
              <w:bottom w:val="single" w:sz="4" w:space="0" w:color="auto"/>
              <w:right w:val="single" w:sz="4" w:space="0" w:color="auto"/>
            </w:tcBorders>
            <w:shd w:val="clear" w:color="auto" w:fill="auto"/>
            <w:noWrap/>
            <w:vAlign w:val="center"/>
          </w:tcPr>
          <w:p w14:paraId="19167B8F"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49.865</w:t>
            </w:r>
          </w:p>
        </w:tc>
        <w:tc>
          <w:tcPr>
            <w:tcW w:w="1134" w:type="dxa"/>
            <w:tcBorders>
              <w:top w:val="nil"/>
              <w:left w:val="nil"/>
              <w:bottom w:val="single" w:sz="4" w:space="0" w:color="auto"/>
              <w:right w:val="single" w:sz="4" w:space="0" w:color="auto"/>
            </w:tcBorders>
            <w:shd w:val="clear" w:color="auto" w:fill="auto"/>
            <w:noWrap/>
            <w:vAlign w:val="center"/>
          </w:tcPr>
          <w:p w14:paraId="0E8EE748"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314.094</w:t>
            </w:r>
          </w:p>
        </w:tc>
      </w:tr>
      <w:tr w:rsidR="00C746F4" w:rsidRPr="00A1588E" w14:paraId="454A9950"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380DD41C"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N_56</w:t>
            </w:r>
          </w:p>
        </w:tc>
        <w:tc>
          <w:tcPr>
            <w:tcW w:w="4253" w:type="dxa"/>
            <w:tcBorders>
              <w:top w:val="nil"/>
              <w:left w:val="nil"/>
              <w:bottom w:val="single" w:sz="4" w:space="0" w:color="auto"/>
              <w:right w:val="single" w:sz="4" w:space="0" w:color="auto"/>
            </w:tcBorders>
            <w:shd w:val="clear" w:color="auto" w:fill="auto"/>
            <w:noWrap/>
            <w:vAlign w:val="center"/>
            <w:hideMark/>
          </w:tcPr>
          <w:p w14:paraId="058F0394"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Hualpen 220-&gt;Trébol 220</w:t>
            </w:r>
          </w:p>
        </w:tc>
        <w:tc>
          <w:tcPr>
            <w:tcW w:w="1134" w:type="dxa"/>
            <w:tcBorders>
              <w:top w:val="nil"/>
              <w:left w:val="nil"/>
              <w:bottom w:val="single" w:sz="4" w:space="0" w:color="auto"/>
              <w:right w:val="single" w:sz="4" w:space="0" w:color="auto"/>
            </w:tcBorders>
            <w:shd w:val="clear" w:color="auto" w:fill="auto"/>
            <w:noWrap/>
            <w:vAlign w:val="center"/>
          </w:tcPr>
          <w:p w14:paraId="5A88EA3A"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250.680</w:t>
            </w:r>
          </w:p>
        </w:tc>
        <w:tc>
          <w:tcPr>
            <w:tcW w:w="1134" w:type="dxa"/>
            <w:tcBorders>
              <w:top w:val="nil"/>
              <w:left w:val="nil"/>
              <w:bottom w:val="single" w:sz="4" w:space="0" w:color="auto"/>
              <w:right w:val="single" w:sz="4" w:space="0" w:color="auto"/>
            </w:tcBorders>
            <w:shd w:val="clear" w:color="auto" w:fill="auto"/>
            <w:noWrap/>
            <w:vAlign w:val="center"/>
          </w:tcPr>
          <w:p w14:paraId="518EAC61"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50.541</w:t>
            </w:r>
          </w:p>
        </w:tc>
        <w:tc>
          <w:tcPr>
            <w:tcW w:w="1134" w:type="dxa"/>
            <w:tcBorders>
              <w:top w:val="nil"/>
              <w:left w:val="nil"/>
              <w:bottom w:val="single" w:sz="4" w:space="0" w:color="auto"/>
              <w:right w:val="single" w:sz="4" w:space="0" w:color="auto"/>
            </w:tcBorders>
            <w:shd w:val="clear" w:color="auto" w:fill="auto"/>
            <w:noWrap/>
            <w:vAlign w:val="center"/>
          </w:tcPr>
          <w:p w14:paraId="6977E1FF"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53.850</w:t>
            </w:r>
          </w:p>
        </w:tc>
        <w:tc>
          <w:tcPr>
            <w:tcW w:w="1134" w:type="dxa"/>
            <w:tcBorders>
              <w:top w:val="nil"/>
              <w:left w:val="nil"/>
              <w:bottom w:val="single" w:sz="4" w:space="0" w:color="auto"/>
              <w:right w:val="single" w:sz="4" w:space="0" w:color="auto"/>
            </w:tcBorders>
            <w:shd w:val="clear" w:color="auto" w:fill="auto"/>
            <w:noWrap/>
            <w:vAlign w:val="center"/>
          </w:tcPr>
          <w:p w14:paraId="3725EEE5"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355.071</w:t>
            </w:r>
          </w:p>
        </w:tc>
      </w:tr>
      <w:tr w:rsidR="00C746F4" w:rsidRPr="00A1588E" w14:paraId="297527DB"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59E86EE6"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N_57</w:t>
            </w:r>
          </w:p>
        </w:tc>
        <w:tc>
          <w:tcPr>
            <w:tcW w:w="4253" w:type="dxa"/>
            <w:tcBorders>
              <w:top w:val="nil"/>
              <w:left w:val="nil"/>
              <w:bottom w:val="single" w:sz="4" w:space="0" w:color="auto"/>
              <w:right w:val="single" w:sz="4" w:space="0" w:color="auto"/>
            </w:tcBorders>
            <w:shd w:val="clear" w:color="auto" w:fill="auto"/>
            <w:noWrap/>
            <w:vAlign w:val="center"/>
            <w:hideMark/>
          </w:tcPr>
          <w:p w14:paraId="44F3496B"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Kapatur 220-&gt;Los Changos 220</w:t>
            </w:r>
          </w:p>
        </w:tc>
        <w:tc>
          <w:tcPr>
            <w:tcW w:w="1134" w:type="dxa"/>
            <w:tcBorders>
              <w:top w:val="nil"/>
              <w:left w:val="nil"/>
              <w:bottom w:val="single" w:sz="4" w:space="0" w:color="auto"/>
              <w:right w:val="single" w:sz="4" w:space="0" w:color="auto"/>
            </w:tcBorders>
            <w:shd w:val="clear" w:color="auto" w:fill="auto"/>
            <w:noWrap/>
            <w:vAlign w:val="center"/>
          </w:tcPr>
          <w:p w14:paraId="44545BDF"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asciiTheme="minorHAnsi" w:hAnsiTheme="minorHAnsi" w:cstheme="minorHAnsi"/>
                <w:sz w:val="20"/>
                <w:szCs w:val="20"/>
              </w:rPr>
              <w:t>-</w:t>
            </w:r>
          </w:p>
        </w:tc>
        <w:tc>
          <w:tcPr>
            <w:tcW w:w="1134" w:type="dxa"/>
            <w:tcBorders>
              <w:top w:val="nil"/>
              <w:left w:val="nil"/>
              <w:bottom w:val="single" w:sz="4" w:space="0" w:color="auto"/>
              <w:right w:val="single" w:sz="4" w:space="0" w:color="auto"/>
            </w:tcBorders>
            <w:shd w:val="clear" w:color="auto" w:fill="auto"/>
            <w:noWrap/>
            <w:vAlign w:val="center"/>
          </w:tcPr>
          <w:p w14:paraId="73555738"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w:t>
            </w:r>
          </w:p>
        </w:tc>
        <w:tc>
          <w:tcPr>
            <w:tcW w:w="1134" w:type="dxa"/>
            <w:tcBorders>
              <w:top w:val="nil"/>
              <w:left w:val="nil"/>
              <w:bottom w:val="single" w:sz="4" w:space="0" w:color="auto"/>
              <w:right w:val="single" w:sz="4" w:space="0" w:color="auto"/>
            </w:tcBorders>
            <w:shd w:val="clear" w:color="auto" w:fill="auto"/>
            <w:noWrap/>
            <w:vAlign w:val="center"/>
          </w:tcPr>
          <w:p w14:paraId="2BFFFE0D"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w:t>
            </w:r>
          </w:p>
        </w:tc>
        <w:tc>
          <w:tcPr>
            <w:tcW w:w="1134" w:type="dxa"/>
            <w:tcBorders>
              <w:top w:val="nil"/>
              <w:left w:val="nil"/>
              <w:bottom w:val="single" w:sz="4" w:space="0" w:color="auto"/>
              <w:right w:val="single" w:sz="4" w:space="0" w:color="auto"/>
            </w:tcBorders>
            <w:shd w:val="clear" w:color="auto" w:fill="auto"/>
            <w:noWrap/>
            <w:vAlign w:val="center"/>
          </w:tcPr>
          <w:p w14:paraId="16C1F232"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w:t>
            </w:r>
          </w:p>
        </w:tc>
      </w:tr>
      <w:tr w:rsidR="00C746F4" w:rsidRPr="00A1588E" w14:paraId="45110832"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0E86BF2C"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N_58</w:t>
            </w:r>
          </w:p>
        </w:tc>
        <w:tc>
          <w:tcPr>
            <w:tcW w:w="4253" w:type="dxa"/>
            <w:tcBorders>
              <w:top w:val="nil"/>
              <w:left w:val="nil"/>
              <w:bottom w:val="single" w:sz="4" w:space="0" w:color="auto"/>
              <w:right w:val="single" w:sz="4" w:space="0" w:color="auto"/>
            </w:tcBorders>
            <w:shd w:val="clear" w:color="auto" w:fill="auto"/>
            <w:noWrap/>
            <w:vAlign w:val="center"/>
            <w:hideMark/>
          </w:tcPr>
          <w:p w14:paraId="6260C0D1"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Kimal 220-&gt;Nueva Chuquicamata 220</w:t>
            </w:r>
          </w:p>
        </w:tc>
        <w:tc>
          <w:tcPr>
            <w:tcW w:w="1134" w:type="dxa"/>
            <w:tcBorders>
              <w:top w:val="nil"/>
              <w:left w:val="nil"/>
              <w:bottom w:val="single" w:sz="4" w:space="0" w:color="auto"/>
              <w:right w:val="single" w:sz="4" w:space="0" w:color="auto"/>
            </w:tcBorders>
            <w:shd w:val="clear" w:color="auto" w:fill="auto"/>
            <w:noWrap/>
            <w:vAlign w:val="center"/>
          </w:tcPr>
          <w:p w14:paraId="34D1F6DB"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1.717.682</w:t>
            </w:r>
          </w:p>
        </w:tc>
        <w:tc>
          <w:tcPr>
            <w:tcW w:w="1134" w:type="dxa"/>
            <w:tcBorders>
              <w:top w:val="nil"/>
              <w:left w:val="nil"/>
              <w:bottom w:val="single" w:sz="4" w:space="0" w:color="auto"/>
              <w:right w:val="single" w:sz="4" w:space="0" w:color="auto"/>
            </w:tcBorders>
            <w:shd w:val="clear" w:color="auto" w:fill="auto"/>
            <w:noWrap/>
            <w:vAlign w:val="center"/>
          </w:tcPr>
          <w:p w14:paraId="75F7FCBB"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345.361</w:t>
            </w:r>
          </w:p>
        </w:tc>
        <w:tc>
          <w:tcPr>
            <w:tcW w:w="1134" w:type="dxa"/>
            <w:tcBorders>
              <w:top w:val="nil"/>
              <w:left w:val="nil"/>
              <w:bottom w:val="single" w:sz="4" w:space="0" w:color="auto"/>
              <w:right w:val="single" w:sz="4" w:space="0" w:color="auto"/>
            </w:tcBorders>
            <w:shd w:val="clear" w:color="auto" w:fill="auto"/>
            <w:noWrap/>
            <w:vAlign w:val="center"/>
          </w:tcPr>
          <w:p w14:paraId="45A79595"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403.088</w:t>
            </w:r>
          </w:p>
        </w:tc>
        <w:tc>
          <w:tcPr>
            <w:tcW w:w="1134" w:type="dxa"/>
            <w:tcBorders>
              <w:top w:val="nil"/>
              <w:left w:val="nil"/>
              <w:bottom w:val="single" w:sz="4" w:space="0" w:color="auto"/>
              <w:right w:val="single" w:sz="4" w:space="0" w:color="auto"/>
            </w:tcBorders>
            <w:shd w:val="clear" w:color="auto" w:fill="auto"/>
            <w:noWrap/>
            <w:vAlign w:val="center"/>
          </w:tcPr>
          <w:p w14:paraId="49225483"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2.466.131</w:t>
            </w:r>
          </w:p>
        </w:tc>
      </w:tr>
      <w:tr w:rsidR="00C746F4" w:rsidRPr="00A1588E" w14:paraId="66521B6E"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39744181"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N_59</w:t>
            </w:r>
          </w:p>
        </w:tc>
        <w:tc>
          <w:tcPr>
            <w:tcW w:w="4253" w:type="dxa"/>
            <w:tcBorders>
              <w:top w:val="nil"/>
              <w:left w:val="nil"/>
              <w:bottom w:val="single" w:sz="4" w:space="0" w:color="auto"/>
              <w:right w:val="single" w:sz="4" w:space="0" w:color="auto"/>
            </w:tcBorders>
            <w:shd w:val="clear" w:color="auto" w:fill="auto"/>
            <w:noWrap/>
            <w:vAlign w:val="center"/>
            <w:hideMark/>
          </w:tcPr>
          <w:p w14:paraId="3C01B573"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Laberinto 220-&gt;El Cobre 220</w:t>
            </w:r>
          </w:p>
        </w:tc>
        <w:tc>
          <w:tcPr>
            <w:tcW w:w="1134" w:type="dxa"/>
            <w:tcBorders>
              <w:top w:val="nil"/>
              <w:left w:val="nil"/>
              <w:bottom w:val="single" w:sz="4" w:space="0" w:color="auto"/>
              <w:right w:val="single" w:sz="4" w:space="0" w:color="auto"/>
            </w:tcBorders>
            <w:shd w:val="clear" w:color="auto" w:fill="auto"/>
            <w:noWrap/>
            <w:vAlign w:val="center"/>
          </w:tcPr>
          <w:p w14:paraId="289AD079"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89.001</w:t>
            </w:r>
          </w:p>
        </w:tc>
        <w:tc>
          <w:tcPr>
            <w:tcW w:w="1134" w:type="dxa"/>
            <w:tcBorders>
              <w:top w:val="nil"/>
              <w:left w:val="nil"/>
              <w:bottom w:val="single" w:sz="4" w:space="0" w:color="auto"/>
              <w:right w:val="single" w:sz="4" w:space="0" w:color="auto"/>
            </w:tcBorders>
            <w:shd w:val="clear" w:color="auto" w:fill="auto"/>
            <w:noWrap/>
            <w:vAlign w:val="center"/>
          </w:tcPr>
          <w:p w14:paraId="563C87AD"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17.952</w:t>
            </w:r>
          </w:p>
        </w:tc>
        <w:tc>
          <w:tcPr>
            <w:tcW w:w="1134" w:type="dxa"/>
            <w:tcBorders>
              <w:top w:val="nil"/>
              <w:left w:val="nil"/>
              <w:bottom w:val="single" w:sz="4" w:space="0" w:color="auto"/>
              <w:right w:val="single" w:sz="4" w:space="0" w:color="auto"/>
            </w:tcBorders>
            <w:shd w:val="clear" w:color="auto" w:fill="auto"/>
            <w:noWrap/>
            <w:vAlign w:val="center"/>
          </w:tcPr>
          <w:p w14:paraId="6B2DC9E4"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12.166</w:t>
            </w:r>
          </w:p>
        </w:tc>
        <w:tc>
          <w:tcPr>
            <w:tcW w:w="1134" w:type="dxa"/>
            <w:tcBorders>
              <w:top w:val="nil"/>
              <w:left w:val="nil"/>
              <w:bottom w:val="single" w:sz="4" w:space="0" w:color="auto"/>
              <w:right w:val="single" w:sz="4" w:space="0" w:color="auto"/>
            </w:tcBorders>
            <w:shd w:val="clear" w:color="auto" w:fill="auto"/>
            <w:noWrap/>
            <w:vAlign w:val="center"/>
          </w:tcPr>
          <w:p w14:paraId="56A72C0F"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119.119</w:t>
            </w:r>
          </w:p>
        </w:tc>
      </w:tr>
      <w:tr w:rsidR="00C746F4" w:rsidRPr="00A1588E" w14:paraId="27304DBF"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76F33EF2"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N_60</w:t>
            </w:r>
          </w:p>
        </w:tc>
        <w:tc>
          <w:tcPr>
            <w:tcW w:w="4253" w:type="dxa"/>
            <w:tcBorders>
              <w:top w:val="nil"/>
              <w:left w:val="nil"/>
              <w:bottom w:val="single" w:sz="4" w:space="0" w:color="auto"/>
              <w:right w:val="single" w:sz="4" w:space="0" w:color="auto"/>
            </w:tcBorders>
            <w:shd w:val="clear" w:color="auto" w:fill="auto"/>
            <w:noWrap/>
            <w:vAlign w:val="center"/>
            <w:hideMark/>
          </w:tcPr>
          <w:p w14:paraId="6CC2D102"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Laberinto 220-&gt;Kapatur 220</w:t>
            </w:r>
          </w:p>
        </w:tc>
        <w:tc>
          <w:tcPr>
            <w:tcW w:w="1134" w:type="dxa"/>
            <w:tcBorders>
              <w:top w:val="nil"/>
              <w:left w:val="nil"/>
              <w:bottom w:val="single" w:sz="4" w:space="0" w:color="auto"/>
              <w:right w:val="single" w:sz="4" w:space="0" w:color="auto"/>
            </w:tcBorders>
            <w:shd w:val="clear" w:color="auto" w:fill="auto"/>
            <w:noWrap/>
            <w:vAlign w:val="center"/>
          </w:tcPr>
          <w:p w14:paraId="08D926C0"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3.329.160</w:t>
            </w:r>
          </w:p>
        </w:tc>
        <w:tc>
          <w:tcPr>
            <w:tcW w:w="1134" w:type="dxa"/>
            <w:tcBorders>
              <w:top w:val="nil"/>
              <w:left w:val="nil"/>
              <w:bottom w:val="single" w:sz="4" w:space="0" w:color="auto"/>
              <w:right w:val="single" w:sz="4" w:space="0" w:color="auto"/>
            </w:tcBorders>
            <w:shd w:val="clear" w:color="auto" w:fill="auto"/>
            <w:noWrap/>
            <w:vAlign w:val="center"/>
          </w:tcPr>
          <w:p w14:paraId="0DB05252"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667.736</w:t>
            </w:r>
          </w:p>
        </w:tc>
        <w:tc>
          <w:tcPr>
            <w:tcW w:w="1134" w:type="dxa"/>
            <w:tcBorders>
              <w:top w:val="nil"/>
              <w:left w:val="nil"/>
              <w:bottom w:val="single" w:sz="4" w:space="0" w:color="auto"/>
              <w:right w:val="single" w:sz="4" w:space="0" w:color="auto"/>
            </w:tcBorders>
            <w:shd w:val="clear" w:color="auto" w:fill="auto"/>
            <w:noWrap/>
            <w:vAlign w:val="center"/>
          </w:tcPr>
          <w:p w14:paraId="4052BA9A"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527.033</w:t>
            </w:r>
          </w:p>
        </w:tc>
        <w:tc>
          <w:tcPr>
            <w:tcW w:w="1134" w:type="dxa"/>
            <w:tcBorders>
              <w:top w:val="nil"/>
              <w:left w:val="nil"/>
              <w:bottom w:val="single" w:sz="4" w:space="0" w:color="auto"/>
              <w:right w:val="single" w:sz="4" w:space="0" w:color="auto"/>
            </w:tcBorders>
            <w:shd w:val="clear" w:color="auto" w:fill="auto"/>
            <w:noWrap/>
            <w:vAlign w:val="center"/>
          </w:tcPr>
          <w:p w14:paraId="40CD833B"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4.523.929</w:t>
            </w:r>
          </w:p>
        </w:tc>
      </w:tr>
      <w:tr w:rsidR="00C746F4" w:rsidRPr="00A1588E" w14:paraId="2C3032C9"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03234DAA"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N_61</w:t>
            </w:r>
          </w:p>
        </w:tc>
        <w:tc>
          <w:tcPr>
            <w:tcW w:w="4253" w:type="dxa"/>
            <w:tcBorders>
              <w:top w:val="nil"/>
              <w:left w:val="nil"/>
              <w:bottom w:val="single" w:sz="4" w:space="0" w:color="auto"/>
              <w:right w:val="single" w:sz="4" w:space="0" w:color="auto"/>
            </w:tcBorders>
            <w:shd w:val="clear" w:color="auto" w:fill="auto"/>
            <w:noWrap/>
            <w:vAlign w:val="center"/>
            <w:hideMark/>
          </w:tcPr>
          <w:p w14:paraId="7C672BDA"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Laberinto 220-&gt;Kimal 220</w:t>
            </w:r>
          </w:p>
        </w:tc>
        <w:tc>
          <w:tcPr>
            <w:tcW w:w="1134" w:type="dxa"/>
            <w:tcBorders>
              <w:top w:val="nil"/>
              <w:left w:val="nil"/>
              <w:bottom w:val="single" w:sz="4" w:space="0" w:color="auto"/>
              <w:right w:val="single" w:sz="4" w:space="0" w:color="auto"/>
            </w:tcBorders>
            <w:shd w:val="clear" w:color="auto" w:fill="auto"/>
            <w:noWrap/>
            <w:vAlign w:val="center"/>
          </w:tcPr>
          <w:p w14:paraId="1D0A33C6"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57.900</w:t>
            </w:r>
          </w:p>
        </w:tc>
        <w:tc>
          <w:tcPr>
            <w:tcW w:w="1134" w:type="dxa"/>
            <w:tcBorders>
              <w:top w:val="nil"/>
              <w:left w:val="nil"/>
              <w:bottom w:val="single" w:sz="4" w:space="0" w:color="auto"/>
              <w:right w:val="single" w:sz="4" w:space="0" w:color="auto"/>
            </w:tcBorders>
            <w:shd w:val="clear" w:color="auto" w:fill="auto"/>
            <w:noWrap/>
            <w:vAlign w:val="center"/>
          </w:tcPr>
          <w:p w14:paraId="2B70FACA"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11.613</w:t>
            </w:r>
          </w:p>
        </w:tc>
        <w:tc>
          <w:tcPr>
            <w:tcW w:w="1134" w:type="dxa"/>
            <w:tcBorders>
              <w:top w:val="nil"/>
              <w:left w:val="nil"/>
              <w:bottom w:val="single" w:sz="4" w:space="0" w:color="auto"/>
              <w:right w:val="single" w:sz="4" w:space="0" w:color="auto"/>
            </w:tcBorders>
            <w:shd w:val="clear" w:color="auto" w:fill="auto"/>
            <w:noWrap/>
            <w:vAlign w:val="center"/>
          </w:tcPr>
          <w:p w14:paraId="2851D247"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6.984</w:t>
            </w:r>
          </w:p>
        </w:tc>
        <w:tc>
          <w:tcPr>
            <w:tcW w:w="1134" w:type="dxa"/>
            <w:tcBorders>
              <w:top w:val="nil"/>
              <w:left w:val="nil"/>
              <w:bottom w:val="single" w:sz="4" w:space="0" w:color="auto"/>
              <w:right w:val="single" w:sz="4" w:space="0" w:color="auto"/>
            </w:tcBorders>
            <w:shd w:val="clear" w:color="auto" w:fill="auto"/>
            <w:noWrap/>
            <w:vAlign w:val="center"/>
          </w:tcPr>
          <w:p w14:paraId="65FCBECA"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76.497</w:t>
            </w:r>
          </w:p>
        </w:tc>
      </w:tr>
      <w:tr w:rsidR="00C746F4" w:rsidRPr="00A1588E" w14:paraId="1687CF42"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501915F8"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N_62</w:t>
            </w:r>
          </w:p>
        </w:tc>
        <w:tc>
          <w:tcPr>
            <w:tcW w:w="4253" w:type="dxa"/>
            <w:tcBorders>
              <w:top w:val="nil"/>
              <w:left w:val="nil"/>
              <w:bottom w:val="single" w:sz="4" w:space="0" w:color="auto"/>
              <w:right w:val="single" w:sz="4" w:space="0" w:color="auto"/>
            </w:tcBorders>
            <w:shd w:val="clear" w:color="auto" w:fill="auto"/>
            <w:noWrap/>
            <w:vAlign w:val="center"/>
            <w:hideMark/>
          </w:tcPr>
          <w:p w14:paraId="6D6CB9D6"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Laberinto 220-&gt;Nueva Zaldívar 220</w:t>
            </w:r>
          </w:p>
        </w:tc>
        <w:tc>
          <w:tcPr>
            <w:tcW w:w="1134" w:type="dxa"/>
            <w:tcBorders>
              <w:top w:val="nil"/>
              <w:left w:val="nil"/>
              <w:bottom w:val="single" w:sz="4" w:space="0" w:color="auto"/>
              <w:right w:val="single" w:sz="4" w:space="0" w:color="auto"/>
            </w:tcBorders>
            <w:shd w:val="clear" w:color="auto" w:fill="auto"/>
            <w:noWrap/>
            <w:vAlign w:val="center"/>
          </w:tcPr>
          <w:p w14:paraId="7F223269"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102.160</w:t>
            </w:r>
          </w:p>
        </w:tc>
        <w:tc>
          <w:tcPr>
            <w:tcW w:w="1134" w:type="dxa"/>
            <w:tcBorders>
              <w:top w:val="nil"/>
              <w:left w:val="nil"/>
              <w:bottom w:val="single" w:sz="4" w:space="0" w:color="auto"/>
              <w:right w:val="single" w:sz="4" w:space="0" w:color="auto"/>
            </w:tcBorders>
            <w:shd w:val="clear" w:color="auto" w:fill="auto"/>
            <w:noWrap/>
            <w:vAlign w:val="center"/>
          </w:tcPr>
          <w:p w14:paraId="5DF4E718"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20.490</w:t>
            </w:r>
          </w:p>
        </w:tc>
        <w:tc>
          <w:tcPr>
            <w:tcW w:w="1134" w:type="dxa"/>
            <w:tcBorders>
              <w:top w:val="nil"/>
              <w:left w:val="nil"/>
              <w:bottom w:val="single" w:sz="4" w:space="0" w:color="auto"/>
              <w:right w:val="single" w:sz="4" w:space="0" w:color="auto"/>
            </w:tcBorders>
            <w:shd w:val="clear" w:color="auto" w:fill="auto"/>
            <w:noWrap/>
            <w:vAlign w:val="center"/>
          </w:tcPr>
          <w:p w14:paraId="175274CA"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12.205</w:t>
            </w:r>
          </w:p>
        </w:tc>
        <w:tc>
          <w:tcPr>
            <w:tcW w:w="1134" w:type="dxa"/>
            <w:tcBorders>
              <w:top w:val="nil"/>
              <w:left w:val="nil"/>
              <w:bottom w:val="single" w:sz="4" w:space="0" w:color="auto"/>
              <w:right w:val="single" w:sz="4" w:space="0" w:color="auto"/>
            </w:tcBorders>
            <w:shd w:val="clear" w:color="auto" w:fill="auto"/>
            <w:noWrap/>
            <w:vAlign w:val="center"/>
          </w:tcPr>
          <w:p w14:paraId="51572088"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134.856</w:t>
            </w:r>
          </w:p>
        </w:tc>
      </w:tr>
      <w:tr w:rsidR="00C746F4" w:rsidRPr="00A1588E" w14:paraId="73153E1D"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7326E63F"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N_63</w:t>
            </w:r>
          </w:p>
        </w:tc>
        <w:tc>
          <w:tcPr>
            <w:tcW w:w="4253" w:type="dxa"/>
            <w:tcBorders>
              <w:top w:val="nil"/>
              <w:left w:val="nil"/>
              <w:bottom w:val="single" w:sz="4" w:space="0" w:color="auto"/>
              <w:right w:val="single" w:sz="4" w:space="0" w:color="auto"/>
            </w:tcBorders>
            <w:shd w:val="clear" w:color="auto" w:fill="auto"/>
            <w:noWrap/>
            <w:vAlign w:val="center"/>
            <w:hideMark/>
          </w:tcPr>
          <w:p w14:paraId="365C05D5"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Lagunas 220-&gt;Encuentro 220</w:t>
            </w:r>
          </w:p>
        </w:tc>
        <w:tc>
          <w:tcPr>
            <w:tcW w:w="1134" w:type="dxa"/>
            <w:tcBorders>
              <w:top w:val="nil"/>
              <w:left w:val="nil"/>
              <w:bottom w:val="single" w:sz="4" w:space="0" w:color="auto"/>
              <w:right w:val="single" w:sz="4" w:space="0" w:color="auto"/>
            </w:tcBorders>
            <w:shd w:val="clear" w:color="auto" w:fill="auto"/>
            <w:noWrap/>
            <w:vAlign w:val="center"/>
          </w:tcPr>
          <w:p w14:paraId="03589B78"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999.451</w:t>
            </w:r>
          </w:p>
        </w:tc>
        <w:tc>
          <w:tcPr>
            <w:tcW w:w="1134" w:type="dxa"/>
            <w:tcBorders>
              <w:top w:val="nil"/>
              <w:left w:val="nil"/>
              <w:bottom w:val="single" w:sz="4" w:space="0" w:color="auto"/>
              <w:right w:val="single" w:sz="4" w:space="0" w:color="auto"/>
            </w:tcBorders>
            <w:shd w:val="clear" w:color="auto" w:fill="auto"/>
            <w:noWrap/>
            <w:vAlign w:val="center"/>
          </w:tcPr>
          <w:p w14:paraId="7950EAF6"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203.109</w:t>
            </w:r>
          </w:p>
        </w:tc>
        <w:tc>
          <w:tcPr>
            <w:tcW w:w="1134" w:type="dxa"/>
            <w:tcBorders>
              <w:top w:val="nil"/>
              <w:left w:val="nil"/>
              <w:bottom w:val="single" w:sz="4" w:space="0" w:color="auto"/>
              <w:right w:val="single" w:sz="4" w:space="0" w:color="auto"/>
            </w:tcBorders>
            <w:shd w:val="clear" w:color="auto" w:fill="auto"/>
            <w:noWrap/>
            <w:vAlign w:val="center"/>
          </w:tcPr>
          <w:p w14:paraId="3052CB31"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165.652</w:t>
            </w:r>
          </w:p>
        </w:tc>
        <w:tc>
          <w:tcPr>
            <w:tcW w:w="1134" w:type="dxa"/>
            <w:tcBorders>
              <w:top w:val="nil"/>
              <w:left w:val="nil"/>
              <w:bottom w:val="single" w:sz="4" w:space="0" w:color="auto"/>
              <w:right w:val="single" w:sz="4" w:space="0" w:color="auto"/>
            </w:tcBorders>
            <w:shd w:val="clear" w:color="auto" w:fill="auto"/>
            <w:noWrap/>
            <w:vAlign w:val="center"/>
          </w:tcPr>
          <w:p w14:paraId="7349D8F6"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1.368.212</w:t>
            </w:r>
          </w:p>
        </w:tc>
      </w:tr>
      <w:tr w:rsidR="00C746F4" w:rsidRPr="00A1588E" w14:paraId="0D54165C"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10FCDC31"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N_64</w:t>
            </w:r>
          </w:p>
        </w:tc>
        <w:tc>
          <w:tcPr>
            <w:tcW w:w="4253" w:type="dxa"/>
            <w:tcBorders>
              <w:top w:val="nil"/>
              <w:left w:val="nil"/>
              <w:bottom w:val="single" w:sz="4" w:space="0" w:color="auto"/>
              <w:right w:val="single" w:sz="4" w:space="0" w:color="auto"/>
            </w:tcBorders>
            <w:shd w:val="clear" w:color="auto" w:fill="auto"/>
            <w:noWrap/>
            <w:vAlign w:val="center"/>
            <w:hideMark/>
          </w:tcPr>
          <w:p w14:paraId="4F980ECE"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Lagunas 220-&gt;Nueva Pozo Almonte 220</w:t>
            </w:r>
          </w:p>
        </w:tc>
        <w:tc>
          <w:tcPr>
            <w:tcW w:w="1134" w:type="dxa"/>
            <w:tcBorders>
              <w:top w:val="nil"/>
              <w:left w:val="nil"/>
              <w:bottom w:val="single" w:sz="4" w:space="0" w:color="auto"/>
              <w:right w:val="single" w:sz="4" w:space="0" w:color="auto"/>
            </w:tcBorders>
            <w:shd w:val="clear" w:color="auto" w:fill="auto"/>
            <w:noWrap/>
            <w:vAlign w:val="center"/>
          </w:tcPr>
          <w:p w14:paraId="177CC7DC"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851.959</w:t>
            </w:r>
          </w:p>
        </w:tc>
        <w:tc>
          <w:tcPr>
            <w:tcW w:w="1134" w:type="dxa"/>
            <w:tcBorders>
              <w:top w:val="nil"/>
              <w:left w:val="nil"/>
              <w:bottom w:val="single" w:sz="4" w:space="0" w:color="auto"/>
              <w:right w:val="single" w:sz="4" w:space="0" w:color="auto"/>
            </w:tcBorders>
            <w:shd w:val="clear" w:color="auto" w:fill="auto"/>
            <w:noWrap/>
            <w:vAlign w:val="center"/>
          </w:tcPr>
          <w:p w14:paraId="290C004A"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171.308</w:t>
            </w:r>
          </w:p>
        </w:tc>
        <w:tc>
          <w:tcPr>
            <w:tcW w:w="1134" w:type="dxa"/>
            <w:tcBorders>
              <w:top w:val="nil"/>
              <w:left w:val="nil"/>
              <w:bottom w:val="single" w:sz="4" w:space="0" w:color="auto"/>
              <w:right w:val="single" w:sz="4" w:space="0" w:color="auto"/>
            </w:tcBorders>
            <w:shd w:val="clear" w:color="auto" w:fill="auto"/>
            <w:noWrap/>
            <w:vAlign w:val="center"/>
          </w:tcPr>
          <w:p w14:paraId="4C73E7A8"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196.124</w:t>
            </w:r>
          </w:p>
        </w:tc>
        <w:tc>
          <w:tcPr>
            <w:tcW w:w="1134" w:type="dxa"/>
            <w:tcBorders>
              <w:top w:val="nil"/>
              <w:left w:val="nil"/>
              <w:bottom w:val="single" w:sz="4" w:space="0" w:color="auto"/>
              <w:right w:val="single" w:sz="4" w:space="0" w:color="auto"/>
            </w:tcBorders>
            <w:shd w:val="clear" w:color="auto" w:fill="auto"/>
            <w:noWrap/>
            <w:vAlign w:val="center"/>
          </w:tcPr>
          <w:p w14:paraId="158AEA88"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1.219.390</w:t>
            </w:r>
          </w:p>
        </w:tc>
      </w:tr>
      <w:tr w:rsidR="00C746F4" w:rsidRPr="00A1588E" w14:paraId="7A78117B"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6DEA8EAD"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N_65</w:t>
            </w:r>
          </w:p>
        </w:tc>
        <w:tc>
          <w:tcPr>
            <w:tcW w:w="4253" w:type="dxa"/>
            <w:tcBorders>
              <w:top w:val="nil"/>
              <w:left w:val="nil"/>
              <w:bottom w:val="single" w:sz="4" w:space="0" w:color="auto"/>
              <w:right w:val="single" w:sz="4" w:space="0" w:color="auto"/>
            </w:tcBorders>
            <w:shd w:val="clear" w:color="auto" w:fill="auto"/>
            <w:noWrap/>
            <w:vAlign w:val="center"/>
            <w:hideMark/>
          </w:tcPr>
          <w:p w14:paraId="5A707915"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Lagunas 220-&gt;Nueva Victoria 220</w:t>
            </w:r>
          </w:p>
        </w:tc>
        <w:tc>
          <w:tcPr>
            <w:tcW w:w="1134" w:type="dxa"/>
            <w:tcBorders>
              <w:top w:val="nil"/>
              <w:left w:val="nil"/>
              <w:bottom w:val="single" w:sz="4" w:space="0" w:color="auto"/>
              <w:right w:val="single" w:sz="4" w:space="0" w:color="auto"/>
            </w:tcBorders>
            <w:shd w:val="clear" w:color="auto" w:fill="auto"/>
            <w:noWrap/>
            <w:vAlign w:val="center"/>
          </w:tcPr>
          <w:p w14:paraId="27E20C99"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215.309</w:t>
            </w:r>
          </w:p>
        </w:tc>
        <w:tc>
          <w:tcPr>
            <w:tcW w:w="1134" w:type="dxa"/>
            <w:tcBorders>
              <w:top w:val="nil"/>
              <w:left w:val="nil"/>
              <w:bottom w:val="single" w:sz="4" w:space="0" w:color="auto"/>
              <w:right w:val="single" w:sz="4" w:space="0" w:color="auto"/>
            </w:tcBorders>
            <w:shd w:val="clear" w:color="auto" w:fill="auto"/>
            <w:noWrap/>
            <w:vAlign w:val="center"/>
          </w:tcPr>
          <w:p w14:paraId="260A07A0"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43.427</w:t>
            </w:r>
          </w:p>
        </w:tc>
        <w:tc>
          <w:tcPr>
            <w:tcW w:w="1134" w:type="dxa"/>
            <w:tcBorders>
              <w:top w:val="nil"/>
              <w:left w:val="nil"/>
              <w:bottom w:val="single" w:sz="4" w:space="0" w:color="auto"/>
              <w:right w:val="single" w:sz="4" w:space="0" w:color="auto"/>
            </w:tcBorders>
            <w:shd w:val="clear" w:color="auto" w:fill="auto"/>
            <w:noWrap/>
            <w:vAlign w:val="center"/>
          </w:tcPr>
          <w:p w14:paraId="69D347E2"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36.472</w:t>
            </w:r>
          </w:p>
        </w:tc>
        <w:tc>
          <w:tcPr>
            <w:tcW w:w="1134" w:type="dxa"/>
            <w:tcBorders>
              <w:top w:val="nil"/>
              <w:left w:val="nil"/>
              <w:bottom w:val="single" w:sz="4" w:space="0" w:color="auto"/>
              <w:right w:val="single" w:sz="4" w:space="0" w:color="auto"/>
            </w:tcBorders>
            <w:shd w:val="clear" w:color="auto" w:fill="auto"/>
            <w:noWrap/>
            <w:vAlign w:val="center"/>
          </w:tcPr>
          <w:p w14:paraId="6979A33C"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295.208</w:t>
            </w:r>
          </w:p>
        </w:tc>
      </w:tr>
      <w:tr w:rsidR="00C746F4" w:rsidRPr="00A1588E" w14:paraId="09C2303A"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6B438FF8"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N_66</w:t>
            </w:r>
          </w:p>
        </w:tc>
        <w:tc>
          <w:tcPr>
            <w:tcW w:w="4253" w:type="dxa"/>
            <w:tcBorders>
              <w:top w:val="nil"/>
              <w:left w:val="nil"/>
              <w:bottom w:val="single" w:sz="4" w:space="0" w:color="auto"/>
              <w:right w:val="single" w:sz="4" w:space="0" w:color="auto"/>
            </w:tcBorders>
            <w:shd w:val="clear" w:color="auto" w:fill="auto"/>
            <w:noWrap/>
            <w:vAlign w:val="center"/>
            <w:hideMark/>
          </w:tcPr>
          <w:p w14:paraId="19F719B4"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Lagunas 220-&gt;San Simón 220</w:t>
            </w:r>
          </w:p>
        </w:tc>
        <w:tc>
          <w:tcPr>
            <w:tcW w:w="1134" w:type="dxa"/>
            <w:tcBorders>
              <w:top w:val="nil"/>
              <w:left w:val="nil"/>
              <w:bottom w:val="single" w:sz="4" w:space="0" w:color="auto"/>
              <w:right w:val="single" w:sz="4" w:space="0" w:color="auto"/>
            </w:tcBorders>
            <w:shd w:val="clear" w:color="auto" w:fill="auto"/>
            <w:noWrap/>
            <w:vAlign w:val="center"/>
          </w:tcPr>
          <w:p w14:paraId="37A1C491"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471.160</w:t>
            </w:r>
          </w:p>
        </w:tc>
        <w:tc>
          <w:tcPr>
            <w:tcW w:w="1134" w:type="dxa"/>
            <w:tcBorders>
              <w:top w:val="nil"/>
              <w:left w:val="nil"/>
              <w:bottom w:val="single" w:sz="4" w:space="0" w:color="auto"/>
              <w:right w:val="single" w:sz="4" w:space="0" w:color="auto"/>
            </w:tcBorders>
            <w:shd w:val="clear" w:color="auto" w:fill="auto"/>
            <w:noWrap/>
            <w:vAlign w:val="center"/>
          </w:tcPr>
          <w:p w14:paraId="53FEAEAA"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95.037</w:t>
            </w:r>
          </w:p>
        </w:tc>
        <w:tc>
          <w:tcPr>
            <w:tcW w:w="1134" w:type="dxa"/>
            <w:tcBorders>
              <w:top w:val="nil"/>
              <w:left w:val="nil"/>
              <w:bottom w:val="single" w:sz="4" w:space="0" w:color="auto"/>
              <w:right w:val="single" w:sz="4" w:space="0" w:color="auto"/>
            </w:tcBorders>
            <w:shd w:val="clear" w:color="auto" w:fill="auto"/>
            <w:noWrap/>
            <w:vAlign w:val="center"/>
          </w:tcPr>
          <w:p w14:paraId="6C7F8E3D"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80.731</w:t>
            </w:r>
          </w:p>
        </w:tc>
        <w:tc>
          <w:tcPr>
            <w:tcW w:w="1134" w:type="dxa"/>
            <w:tcBorders>
              <w:top w:val="nil"/>
              <w:left w:val="nil"/>
              <w:bottom w:val="single" w:sz="4" w:space="0" w:color="auto"/>
              <w:right w:val="single" w:sz="4" w:space="0" w:color="auto"/>
            </w:tcBorders>
            <w:shd w:val="clear" w:color="auto" w:fill="auto"/>
            <w:noWrap/>
            <w:vAlign w:val="center"/>
          </w:tcPr>
          <w:p w14:paraId="7480BC3C"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646.928</w:t>
            </w:r>
          </w:p>
        </w:tc>
      </w:tr>
      <w:tr w:rsidR="00C746F4" w:rsidRPr="00A1588E" w14:paraId="3D06F237"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79C0E03B"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N_67</w:t>
            </w:r>
          </w:p>
        </w:tc>
        <w:tc>
          <w:tcPr>
            <w:tcW w:w="4253" w:type="dxa"/>
            <w:tcBorders>
              <w:top w:val="nil"/>
              <w:left w:val="nil"/>
              <w:bottom w:val="single" w:sz="4" w:space="0" w:color="auto"/>
              <w:right w:val="single" w:sz="4" w:space="0" w:color="auto"/>
            </w:tcBorders>
            <w:shd w:val="clear" w:color="auto" w:fill="auto"/>
            <w:noWrap/>
            <w:vAlign w:val="center"/>
            <w:hideMark/>
          </w:tcPr>
          <w:p w14:paraId="77673C5A"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Lagunillas 220-&gt;Guindo 220</w:t>
            </w:r>
          </w:p>
        </w:tc>
        <w:tc>
          <w:tcPr>
            <w:tcW w:w="1134" w:type="dxa"/>
            <w:tcBorders>
              <w:top w:val="nil"/>
              <w:left w:val="nil"/>
              <w:bottom w:val="single" w:sz="4" w:space="0" w:color="auto"/>
              <w:right w:val="single" w:sz="4" w:space="0" w:color="auto"/>
            </w:tcBorders>
            <w:shd w:val="clear" w:color="auto" w:fill="auto"/>
            <w:noWrap/>
            <w:vAlign w:val="center"/>
          </w:tcPr>
          <w:p w14:paraId="4E8351BD"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278.303</w:t>
            </w:r>
          </w:p>
        </w:tc>
        <w:tc>
          <w:tcPr>
            <w:tcW w:w="1134" w:type="dxa"/>
            <w:tcBorders>
              <w:top w:val="nil"/>
              <w:left w:val="nil"/>
              <w:bottom w:val="single" w:sz="4" w:space="0" w:color="auto"/>
              <w:right w:val="single" w:sz="4" w:space="0" w:color="auto"/>
            </w:tcBorders>
            <w:shd w:val="clear" w:color="auto" w:fill="auto"/>
            <w:noWrap/>
            <w:vAlign w:val="center"/>
          </w:tcPr>
          <w:p w14:paraId="1EE3A20B"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56.073</w:t>
            </w:r>
          </w:p>
        </w:tc>
        <w:tc>
          <w:tcPr>
            <w:tcW w:w="1134" w:type="dxa"/>
            <w:tcBorders>
              <w:top w:val="nil"/>
              <w:left w:val="nil"/>
              <w:bottom w:val="single" w:sz="4" w:space="0" w:color="auto"/>
              <w:right w:val="single" w:sz="4" w:space="0" w:color="auto"/>
            </w:tcBorders>
            <w:shd w:val="clear" w:color="auto" w:fill="auto"/>
            <w:noWrap/>
            <w:vAlign w:val="center"/>
          </w:tcPr>
          <w:p w14:paraId="1DCC466E"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59.685</w:t>
            </w:r>
          </w:p>
        </w:tc>
        <w:tc>
          <w:tcPr>
            <w:tcW w:w="1134" w:type="dxa"/>
            <w:tcBorders>
              <w:top w:val="nil"/>
              <w:left w:val="nil"/>
              <w:bottom w:val="single" w:sz="4" w:space="0" w:color="auto"/>
              <w:right w:val="single" w:sz="4" w:space="0" w:color="auto"/>
            </w:tcBorders>
            <w:shd w:val="clear" w:color="auto" w:fill="auto"/>
            <w:noWrap/>
            <w:vAlign w:val="center"/>
          </w:tcPr>
          <w:p w14:paraId="40B6B9E9"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394.061</w:t>
            </w:r>
          </w:p>
        </w:tc>
      </w:tr>
      <w:tr w:rsidR="00C746F4" w:rsidRPr="00A1588E" w14:paraId="2B8F630A"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4E870843"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N_68</w:t>
            </w:r>
          </w:p>
        </w:tc>
        <w:tc>
          <w:tcPr>
            <w:tcW w:w="4253" w:type="dxa"/>
            <w:tcBorders>
              <w:top w:val="nil"/>
              <w:left w:val="nil"/>
              <w:bottom w:val="single" w:sz="4" w:space="0" w:color="auto"/>
              <w:right w:val="single" w:sz="4" w:space="0" w:color="auto"/>
            </w:tcBorders>
            <w:shd w:val="clear" w:color="auto" w:fill="auto"/>
            <w:noWrap/>
            <w:vAlign w:val="center"/>
            <w:hideMark/>
          </w:tcPr>
          <w:p w14:paraId="2D54DBD7"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Lo Aguirre 220-&gt;Cerro Navia 220</w:t>
            </w:r>
          </w:p>
        </w:tc>
        <w:tc>
          <w:tcPr>
            <w:tcW w:w="1134" w:type="dxa"/>
            <w:tcBorders>
              <w:top w:val="nil"/>
              <w:left w:val="nil"/>
              <w:bottom w:val="single" w:sz="4" w:space="0" w:color="auto"/>
              <w:right w:val="single" w:sz="4" w:space="0" w:color="auto"/>
            </w:tcBorders>
            <w:shd w:val="clear" w:color="auto" w:fill="auto"/>
            <w:noWrap/>
            <w:vAlign w:val="center"/>
          </w:tcPr>
          <w:p w14:paraId="2B82975B"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asciiTheme="minorHAnsi" w:hAnsiTheme="minorHAnsi" w:cstheme="minorHAnsi"/>
                <w:sz w:val="20"/>
                <w:szCs w:val="20"/>
              </w:rPr>
              <w:t>-</w:t>
            </w:r>
          </w:p>
        </w:tc>
        <w:tc>
          <w:tcPr>
            <w:tcW w:w="1134" w:type="dxa"/>
            <w:tcBorders>
              <w:top w:val="nil"/>
              <w:left w:val="nil"/>
              <w:bottom w:val="single" w:sz="4" w:space="0" w:color="auto"/>
              <w:right w:val="single" w:sz="4" w:space="0" w:color="auto"/>
            </w:tcBorders>
            <w:shd w:val="clear" w:color="auto" w:fill="auto"/>
            <w:noWrap/>
            <w:vAlign w:val="center"/>
          </w:tcPr>
          <w:p w14:paraId="4BF54624"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w:t>
            </w:r>
          </w:p>
        </w:tc>
        <w:tc>
          <w:tcPr>
            <w:tcW w:w="1134" w:type="dxa"/>
            <w:tcBorders>
              <w:top w:val="nil"/>
              <w:left w:val="nil"/>
              <w:bottom w:val="single" w:sz="4" w:space="0" w:color="auto"/>
              <w:right w:val="single" w:sz="4" w:space="0" w:color="auto"/>
            </w:tcBorders>
            <w:shd w:val="clear" w:color="auto" w:fill="auto"/>
            <w:noWrap/>
            <w:vAlign w:val="center"/>
          </w:tcPr>
          <w:p w14:paraId="1B90A2E1"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w:t>
            </w:r>
          </w:p>
        </w:tc>
        <w:tc>
          <w:tcPr>
            <w:tcW w:w="1134" w:type="dxa"/>
            <w:tcBorders>
              <w:top w:val="nil"/>
              <w:left w:val="nil"/>
              <w:bottom w:val="single" w:sz="4" w:space="0" w:color="auto"/>
              <w:right w:val="single" w:sz="4" w:space="0" w:color="auto"/>
            </w:tcBorders>
            <w:shd w:val="clear" w:color="auto" w:fill="auto"/>
            <w:noWrap/>
            <w:vAlign w:val="center"/>
          </w:tcPr>
          <w:p w14:paraId="16C55660"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w:t>
            </w:r>
          </w:p>
        </w:tc>
      </w:tr>
      <w:tr w:rsidR="00C746F4" w:rsidRPr="00A1588E" w14:paraId="2500AD9C"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36D73905"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N_69</w:t>
            </w:r>
          </w:p>
        </w:tc>
        <w:tc>
          <w:tcPr>
            <w:tcW w:w="4253" w:type="dxa"/>
            <w:tcBorders>
              <w:top w:val="nil"/>
              <w:left w:val="nil"/>
              <w:bottom w:val="single" w:sz="4" w:space="0" w:color="auto"/>
              <w:right w:val="single" w:sz="4" w:space="0" w:color="auto"/>
            </w:tcBorders>
            <w:shd w:val="clear" w:color="auto" w:fill="auto"/>
            <w:noWrap/>
            <w:vAlign w:val="center"/>
            <w:hideMark/>
          </w:tcPr>
          <w:p w14:paraId="79B34C1B"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Lo Aguirre 220-&gt;Nueva Alto Melipilla 220</w:t>
            </w:r>
          </w:p>
        </w:tc>
        <w:tc>
          <w:tcPr>
            <w:tcW w:w="1134" w:type="dxa"/>
            <w:tcBorders>
              <w:top w:val="nil"/>
              <w:left w:val="nil"/>
              <w:bottom w:val="single" w:sz="4" w:space="0" w:color="auto"/>
              <w:right w:val="single" w:sz="4" w:space="0" w:color="auto"/>
            </w:tcBorders>
            <w:shd w:val="clear" w:color="auto" w:fill="auto"/>
            <w:noWrap/>
            <w:vAlign w:val="center"/>
          </w:tcPr>
          <w:p w14:paraId="6E7B9919"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875.831</w:t>
            </w:r>
          </w:p>
        </w:tc>
        <w:tc>
          <w:tcPr>
            <w:tcW w:w="1134" w:type="dxa"/>
            <w:tcBorders>
              <w:top w:val="nil"/>
              <w:left w:val="nil"/>
              <w:bottom w:val="single" w:sz="4" w:space="0" w:color="auto"/>
              <w:right w:val="single" w:sz="4" w:space="0" w:color="auto"/>
            </w:tcBorders>
            <w:shd w:val="clear" w:color="auto" w:fill="auto"/>
            <w:noWrap/>
            <w:vAlign w:val="center"/>
          </w:tcPr>
          <w:p w14:paraId="16AD4680"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176.488</w:t>
            </w:r>
          </w:p>
        </w:tc>
        <w:tc>
          <w:tcPr>
            <w:tcW w:w="1134" w:type="dxa"/>
            <w:tcBorders>
              <w:top w:val="nil"/>
              <w:left w:val="nil"/>
              <w:bottom w:val="single" w:sz="4" w:space="0" w:color="auto"/>
              <w:right w:val="single" w:sz="4" w:space="0" w:color="auto"/>
            </w:tcBorders>
            <w:shd w:val="clear" w:color="auto" w:fill="auto"/>
            <w:noWrap/>
            <w:vAlign w:val="center"/>
          </w:tcPr>
          <w:p w14:paraId="10765E11"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212.118</w:t>
            </w:r>
          </w:p>
        </w:tc>
        <w:tc>
          <w:tcPr>
            <w:tcW w:w="1134" w:type="dxa"/>
            <w:tcBorders>
              <w:top w:val="nil"/>
              <w:left w:val="nil"/>
              <w:bottom w:val="single" w:sz="4" w:space="0" w:color="auto"/>
              <w:right w:val="single" w:sz="4" w:space="0" w:color="auto"/>
            </w:tcBorders>
            <w:shd w:val="clear" w:color="auto" w:fill="auto"/>
            <w:noWrap/>
            <w:vAlign w:val="center"/>
          </w:tcPr>
          <w:p w14:paraId="2803632E"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1.264.436</w:t>
            </w:r>
          </w:p>
        </w:tc>
      </w:tr>
      <w:tr w:rsidR="00C746F4" w:rsidRPr="00A1588E" w14:paraId="504E6503"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2611019B"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N_70</w:t>
            </w:r>
          </w:p>
        </w:tc>
        <w:tc>
          <w:tcPr>
            <w:tcW w:w="4253" w:type="dxa"/>
            <w:tcBorders>
              <w:top w:val="nil"/>
              <w:left w:val="nil"/>
              <w:bottom w:val="single" w:sz="4" w:space="0" w:color="auto"/>
              <w:right w:val="single" w:sz="4" w:space="0" w:color="auto"/>
            </w:tcBorders>
            <w:shd w:val="clear" w:color="auto" w:fill="auto"/>
            <w:noWrap/>
            <w:vAlign w:val="center"/>
            <w:hideMark/>
          </w:tcPr>
          <w:p w14:paraId="7577592B"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Lo Aguirre 500-&gt;Alto Jahuel 500</w:t>
            </w:r>
          </w:p>
        </w:tc>
        <w:tc>
          <w:tcPr>
            <w:tcW w:w="1134" w:type="dxa"/>
            <w:tcBorders>
              <w:top w:val="nil"/>
              <w:left w:val="nil"/>
              <w:bottom w:val="single" w:sz="4" w:space="0" w:color="auto"/>
              <w:right w:val="single" w:sz="4" w:space="0" w:color="auto"/>
            </w:tcBorders>
            <w:shd w:val="clear" w:color="auto" w:fill="auto"/>
            <w:noWrap/>
            <w:vAlign w:val="center"/>
          </w:tcPr>
          <w:p w14:paraId="7EA4B9DB"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2.726.701</w:t>
            </w:r>
          </w:p>
        </w:tc>
        <w:tc>
          <w:tcPr>
            <w:tcW w:w="1134" w:type="dxa"/>
            <w:tcBorders>
              <w:top w:val="nil"/>
              <w:left w:val="nil"/>
              <w:bottom w:val="single" w:sz="4" w:space="0" w:color="auto"/>
              <w:right w:val="single" w:sz="4" w:space="0" w:color="auto"/>
            </w:tcBorders>
            <w:shd w:val="clear" w:color="auto" w:fill="auto"/>
            <w:noWrap/>
            <w:vAlign w:val="center"/>
          </w:tcPr>
          <w:p w14:paraId="107B14B3"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549.258</w:t>
            </w:r>
          </w:p>
        </w:tc>
        <w:tc>
          <w:tcPr>
            <w:tcW w:w="1134" w:type="dxa"/>
            <w:tcBorders>
              <w:top w:val="nil"/>
              <w:left w:val="nil"/>
              <w:bottom w:val="single" w:sz="4" w:space="0" w:color="auto"/>
              <w:right w:val="single" w:sz="4" w:space="0" w:color="auto"/>
            </w:tcBorders>
            <w:shd w:val="clear" w:color="auto" w:fill="auto"/>
            <w:noWrap/>
            <w:vAlign w:val="center"/>
          </w:tcPr>
          <w:p w14:paraId="5CD5E088"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532.107</w:t>
            </w:r>
          </w:p>
        </w:tc>
        <w:tc>
          <w:tcPr>
            <w:tcW w:w="1134" w:type="dxa"/>
            <w:tcBorders>
              <w:top w:val="nil"/>
              <w:left w:val="nil"/>
              <w:bottom w:val="single" w:sz="4" w:space="0" w:color="auto"/>
              <w:right w:val="single" w:sz="4" w:space="0" w:color="auto"/>
            </w:tcBorders>
            <w:shd w:val="clear" w:color="auto" w:fill="auto"/>
            <w:noWrap/>
            <w:vAlign w:val="center"/>
          </w:tcPr>
          <w:p w14:paraId="1413A284"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3.808.066</w:t>
            </w:r>
          </w:p>
        </w:tc>
      </w:tr>
      <w:tr w:rsidR="00C746F4" w:rsidRPr="00A1588E" w14:paraId="6E76A16F"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6A8613BB"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N_71</w:t>
            </w:r>
          </w:p>
        </w:tc>
        <w:tc>
          <w:tcPr>
            <w:tcW w:w="4253" w:type="dxa"/>
            <w:tcBorders>
              <w:top w:val="nil"/>
              <w:left w:val="nil"/>
              <w:bottom w:val="single" w:sz="4" w:space="0" w:color="auto"/>
              <w:right w:val="single" w:sz="4" w:space="0" w:color="auto"/>
            </w:tcBorders>
            <w:shd w:val="clear" w:color="auto" w:fill="auto"/>
            <w:noWrap/>
            <w:vAlign w:val="center"/>
            <w:hideMark/>
          </w:tcPr>
          <w:p w14:paraId="34AFDF80"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Lo Aguirre 500-&gt;Lo Aguirre 220</w:t>
            </w:r>
          </w:p>
        </w:tc>
        <w:tc>
          <w:tcPr>
            <w:tcW w:w="1134" w:type="dxa"/>
            <w:tcBorders>
              <w:top w:val="nil"/>
              <w:left w:val="nil"/>
              <w:bottom w:val="single" w:sz="4" w:space="0" w:color="auto"/>
              <w:right w:val="single" w:sz="4" w:space="0" w:color="auto"/>
            </w:tcBorders>
            <w:shd w:val="clear" w:color="auto" w:fill="auto"/>
            <w:noWrap/>
            <w:vAlign w:val="center"/>
          </w:tcPr>
          <w:p w14:paraId="5A1E00EC"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asciiTheme="minorHAnsi" w:hAnsiTheme="minorHAnsi" w:cstheme="minorHAnsi"/>
                <w:sz w:val="20"/>
                <w:szCs w:val="20"/>
              </w:rPr>
              <w:t>-</w:t>
            </w:r>
          </w:p>
        </w:tc>
        <w:tc>
          <w:tcPr>
            <w:tcW w:w="1134" w:type="dxa"/>
            <w:tcBorders>
              <w:top w:val="nil"/>
              <w:left w:val="nil"/>
              <w:bottom w:val="single" w:sz="4" w:space="0" w:color="auto"/>
              <w:right w:val="single" w:sz="4" w:space="0" w:color="auto"/>
            </w:tcBorders>
            <w:shd w:val="clear" w:color="auto" w:fill="auto"/>
            <w:noWrap/>
            <w:vAlign w:val="center"/>
          </w:tcPr>
          <w:p w14:paraId="4C164C41"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w:t>
            </w:r>
          </w:p>
        </w:tc>
        <w:tc>
          <w:tcPr>
            <w:tcW w:w="1134" w:type="dxa"/>
            <w:tcBorders>
              <w:top w:val="nil"/>
              <w:left w:val="nil"/>
              <w:bottom w:val="single" w:sz="4" w:space="0" w:color="auto"/>
              <w:right w:val="single" w:sz="4" w:space="0" w:color="auto"/>
            </w:tcBorders>
            <w:shd w:val="clear" w:color="auto" w:fill="auto"/>
            <w:noWrap/>
            <w:vAlign w:val="center"/>
          </w:tcPr>
          <w:p w14:paraId="0E783062"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w:t>
            </w:r>
          </w:p>
        </w:tc>
        <w:tc>
          <w:tcPr>
            <w:tcW w:w="1134" w:type="dxa"/>
            <w:tcBorders>
              <w:top w:val="nil"/>
              <w:left w:val="nil"/>
              <w:bottom w:val="single" w:sz="4" w:space="0" w:color="auto"/>
              <w:right w:val="single" w:sz="4" w:space="0" w:color="auto"/>
            </w:tcBorders>
            <w:shd w:val="clear" w:color="auto" w:fill="auto"/>
            <w:noWrap/>
            <w:vAlign w:val="center"/>
          </w:tcPr>
          <w:p w14:paraId="33E4E01E"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w:t>
            </w:r>
          </w:p>
        </w:tc>
      </w:tr>
      <w:tr w:rsidR="00C746F4" w:rsidRPr="00A1588E" w14:paraId="488AD7CE"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581C048D"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N_72</w:t>
            </w:r>
          </w:p>
        </w:tc>
        <w:tc>
          <w:tcPr>
            <w:tcW w:w="4253" w:type="dxa"/>
            <w:tcBorders>
              <w:top w:val="nil"/>
              <w:left w:val="nil"/>
              <w:bottom w:val="single" w:sz="4" w:space="0" w:color="auto"/>
              <w:right w:val="single" w:sz="4" w:space="0" w:color="auto"/>
            </w:tcBorders>
            <w:shd w:val="clear" w:color="auto" w:fill="auto"/>
            <w:noWrap/>
            <w:vAlign w:val="center"/>
            <w:hideMark/>
          </w:tcPr>
          <w:p w14:paraId="45E77E59"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Los Changos 500-&gt;Cumbre 500</w:t>
            </w:r>
          </w:p>
        </w:tc>
        <w:tc>
          <w:tcPr>
            <w:tcW w:w="1134" w:type="dxa"/>
            <w:tcBorders>
              <w:top w:val="nil"/>
              <w:left w:val="nil"/>
              <w:bottom w:val="single" w:sz="4" w:space="0" w:color="auto"/>
              <w:right w:val="single" w:sz="4" w:space="0" w:color="auto"/>
            </w:tcBorders>
            <w:shd w:val="clear" w:color="auto" w:fill="auto"/>
            <w:noWrap/>
            <w:vAlign w:val="center"/>
          </w:tcPr>
          <w:p w14:paraId="5CE6F01A"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22.562.574</w:t>
            </w:r>
          </w:p>
        </w:tc>
        <w:tc>
          <w:tcPr>
            <w:tcW w:w="1134" w:type="dxa"/>
            <w:tcBorders>
              <w:top w:val="nil"/>
              <w:left w:val="nil"/>
              <w:bottom w:val="single" w:sz="4" w:space="0" w:color="auto"/>
              <w:right w:val="single" w:sz="4" w:space="0" w:color="auto"/>
            </w:tcBorders>
            <w:shd w:val="clear" w:color="auto" w:fill="auto"/>
            <w:noWrap/>
            <w:vAlign w:val="center"/>
          </w:tcPr>
          <w:p w14:paraId="2295F222"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4.525.421</w:t>
            </w:r>
          </w:p>
        </w:tc>
        <w:tc>
          <w:tcPr>
            <w:tcW w:w="1134" w:type="dxa"/>
            <w:tcBorders>
              <w:top w:val="nil"/>
              <w:left w:val="nil"/>
              <w:bottom w:val="single" w:sz="4" w:space="0" w:color="auto"/>
              <w:right w:val="single" w:sz="4" w:space="0" w:color="auto"/>
            </w:tcBorders>
            <w:shd w:val="clear" w:color="auto" w:fill="auto"/>
            <w:noWrap/>
            <w:vAlign w:val="center"/>
          </w:tcPr>
          <w:p w14:paraId="6D76D046"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3.706.845</w:t>
            </w:r>
          </w:p>
        </w:tc>
        <w:tc>
          <w:tcPr>
            <w:tcW w:w="1134" w:type="dxa"/>
            <w:tcBorders>
              <w:top w:val="nil"/>
              <w:left w:val="nil"/>
              <w:bottom w:val="single" w:sz="4" w:space="0" w:color="auto"/>
              <w:right w:val="single" w:sz="4" w:space="0" w:color="auto"/>
            </w:tcBorders>
            <w:shd w:val="clear" w:color="auto" w:fill="auto"/>
            <w:noWrap/>
            <w:vAlign w:val="center"/>
          </w:tcPr>
          <w:p w14:paraId="02210A0A"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30.794.840</w:t>
            </w:r>
          </w:p>
        </w:tc>
      </w:tr>
      <w:tr w:rsidR="00C746F4" w:rsidRPr="00A1588E" w14:paraId="0FEDDA37"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1185E032"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N_73</w:t>
            </w:r>
          </w:p>
        </w:tc>
        <w:tc>
          <w:tcPr>
            <w:tcW w:w="4253" w:type="dxa"/>
            <w:tcBorders>
              <w:top w:val="nil"/>
              <w:left w:val="nil"/>
              <w:bottom w:val="single" w:sz="4" w:space="0" w:color="auto"/>
              <w:right w:val="single" w:sz="4" w:space="0" w:color="auto"/>
            </w:tcBorders>
            <w:shd w:val="clear" w:color="auto" w:fill="auto"/>
            <w:noWrap/>
            <w:vAlign w:val="center"/>
            <w:hideMark/>
          </w:tcPr>
          <w:p w14:paraId="57F686ED"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Los Changos 500-&gt;Los Changos 220</w:t>
            </w:r>
          </w:p>
        </w:tc>
        <w:tc>
          <w:tcPr>
            <w:tcW w:w="1134" w:type="dxa"/>
            <w:tcBorders>
              <w:top w:val="nil"/>
              <w:left w:val="nil"/>
              <w:bottom w:val="single" w:sz="4" w:space="0" w:color="auto"/>
              <w:right w:val="single" w:sz="4" w:space="0" w:color="auto"/>
            </w:tcBorders>
            <w:shd w:val="clear" w:color="auto" w:fill="auto"/>
            <w:noWrap/>
            <w:vAlign w:val="center"/>
          </w:tcPr>
          <w:p w14:paraId="27A304BF"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1.248.627</w:t>
            </w:r>
          </w:p>
        </w:tc>
        <w:tc>
          <w:tcPr>
            <w:tcW w:w="1134" w:type="dxa"/>
            <w:tcBorders>
              <w:top w:val="nil"/>
              <w:left w:val="nil"/>
              <w:bottom w:val="single" w:sz="4" w:space="0" w:color="auto"/>
              <w:right w:val="single" w:sz="4" w:space="0" w:color="auto"/>
            </w:tcBorders>
            <w:shd w:val="clear" w:color="auto" w:fill="auto"/>
            <w:noWrap/>
            <w:vAlign w:val="center"/>
          </w:tcPr>
          <w:p w14:paraId="33F9D447"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250.440</w:t>
            </w:r>
          </w:p>
        </w:tc>
        <w:tc>
          <w:tcPr>
            <w:tcW w:w="1134" w:type="dxa"/>
            <w:tcBorders>
              <w:top w:val="nil"/>
              <w:left w:val="nil"/>
              <w:bottom w:val="single" w:sz="4" w:space="0" w:color="auto"/>
              <w:right w:val="single" w:sz="4" w:space="0" w:color="auto"/>
            </w:tcBorders>
            <w:shd w:val="clear" w:color="auto" w:fill="auto"/>
            <w:noWrap/>
            <w:vAlign w:val="center"/>
          </w:tcPr>
          <w:p w14:paraId="125166D0"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141.928</w:t>
            </w:r>
          </w:p>
        </w:tc>
        <w:tc>
          <w:tcPr>
            <w:tcW w:w="1134" w:type="dxa"/>
            <w:tcBorders>
              <w:top w:val="nil"/>
              <w:left w:val="nil"/>
              <w:bottom w:val="single" w:sz="4" w:space="0" w:color="auto"/>
              <w:right w:val="single" w:sz="4" w:space="0" w:color="auto"/>
            </w:tcBorders>
            <w:shd w:val="clear" w:color="auto" w:fill="auto"/>
            <w:noWrap/>
            <w:vAlign w:val="center"/>
          </w:tcPr>
          <w:p w14:paraId="57E1E3D2"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1.640.996</w:t>
            </w:r>
          </w:p>
        </w:tc>
      </w:tr>
      <w:tr w:rsidR="00C746F4" w:rsidRPr="00A1588E" w14:paraId="3CF8EA0C"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32D92B2D"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N_74</w:t>
            </w:r>
          </w:p>
        </w:tc>
        <w:tc>
          <w:tcPr>
            <w:tcW w:w="4253" w:type="dxa"/>
            <w:tcBorders>
              <w:top w:val="nil"/>
              <w:left w:val="nil"/>
              <w:bottom w:val="single" w:sz="4" w:space="0" w:color="auto"/>
              <w:right w:val="single" w:sz="4" w:space="0" w:color="auto"/>
            </w:tcBorders>
            <w:shd w:val="clear" w:color="auto" w:fill="auto"/>
            <w:noWrap/>
            <w:vAlign w:val="center"/>
            <w:hideMark/>
          </w:tcPr>
          <w:p w14:paraId="505A23DB"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Los Maquis 220-&gt;Quilapilun 220</w:t>
            </w:r>
          </w:p>
        </w:tc>
        <w:tc>
          <w:tcPr>
            <w:tcW w:w="1134" w:type="dxa"/>
            <w:tcBorders>
              <w:top w:val="nil"/>
              <w:left w:val="nil"/>
              <w:bottom w:val="single" w:sz="4" w:space="0" w:color="auto"/>
              <w:right w:val="single" w:sz="4" w:space="0" w:color="auto"/>
            </w:tcBorders>
            <w:shd w:val="clear" w:color="auto" w:fill="auto"/>
            <w:noWrap/>
            <w:vAlign w:val="center"/>
          </w:tcPr>
          <w:p w14:paraId="2D1E5F7A"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1.208.069</w:t>
            </w:r>
          </w:p>
        </w:tc>
        <w:tc>
          <w:tcPr>
            <w:tcW w:w="1134" w:type="dxa"/>
            <w:tcBorders>
              <w:top w:val="nil"/>
              <w:left w:val="nil"/>
              <w:bottom w:val="single" w:sz="4" w:space="0" w:color="auto"/>
              <w:right w:val="single" w:sz="4" w:space="0" w:color="auto"/>
            </w:tcBorders>
            <w:shd w:val="clear" w:color="auto" w:fill="auto"/>
            <w:noWrap/>
            <w:vAlign w:val="center"/>
          </w:tcPr>
          <w:p w14:paraId="014199C6"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243.276</w:t>
            </w:r>
          </w:p>
        </w:tc>
        <w:tc>
          <w:tcPr>
            <w:tcW w:w="1134" w:type="dxa"/>
            <w:tcBorders>
              <w:top w:val="nil"/>
              <w:left w:val="nil"/>
              <w:bottom w:val="single" w:sz="4" w:space="0" w:color="auto"/>
              <w:right w:val="single" w:sz="4" w:space="0" w:color="auto"/>
            </w:tcBorders>
            <w:shd w:val="clear" w:color="auto" w:fill="auto"/>
            <w:noWrap/>
            <w:vAlign w:val="center"/>
          </w:tcPr>
          <w:p w14:paraId="4CB4FB39"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164.975</w:t>
            </w:r>
          </w:p>
        </w:tc>
        <w:tc>
          <w:tcPr>
            <w:tcW w:w="1134" w:type="dxa"/>
            <w:tcBorders>
              <w:top w:val="nil"/>
              <w:left w:val="nil"/>
              <w:bottom w:val="single" w:sz="4" w:space="0" w:color="auto"/>
              <w:right w:val="single" w:sz="4" w:space="0" w:color="auto"/>
            </w:tcBorders>
            <w:shd w:val="clear" w:color="auto" w:fill="auto"/>
            <w:noWrap/>
            <w:vAlign w:val="center"/>
          </w:tcPr>
          <w:p w14:paraId="56169FAF"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1.616.320</w:t>
            </w:r>
          </w:p>
        </w:tc>
      </w:tr>
      <w:tr w:rsidR="00C746F4" w:rsidRPr="00A1588E" w14:paraId="27A33C08"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3437904C"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N_75</w:t>
            </w:r>
          </w:p>
        </w:tc>
        <w:tc>
          <w:tcPr>
            <w:tcW w:w="4253" w:type="dxa"/>
            <w:tcBorders>
              <w:top w:val="nil"/>
              <w:left w:val="nil"/>
              <w:bottom w:val="single" w:sz="4" w:space="0" w:color="auto"/>
              <w:right w:val="single" w:sz="4" w:space="0" w:color="auto"/>
            </w:tcBorders>
            <w:shd w:val="clear" w:color="auto" w:fill="auto"/>
            <w:noWrap/>
            <w:vAlign w:val="center"/>
            <w:hideMark/>
          </w:tcPr>
          <w:p w14:paraId="52A78774"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Los Vilos 220-&gt;Las Palmas 220</w:t>
            </w:r>
          </w:p>
        </w:tc>
        <w:tc>
          <w:tcPr>
            <w:tcW w:w="1134" w:type="dxa"/>
            <w:tcBorders>
              <w:top w:val="nil"/>
              <w:left w:val="nil"/>
              <w:bottom w:val="single" w:sz="4" w:space="0" w:color="auto"/>
              <w:right w:val="single" w:sz="4" w:space="0" w:color="auto"/>
            </w:tcBorders>
            <w:shd w:val="clear" w:color="auto" w:fill="auto"/>
            <w:noWrap/>
            <w:vAlign w:val="center"/>
          </w:tcPr>
          <w:p w14:paraId="000450CD"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1.330.812</w:t>
            </w:r>
          </w:p>
        </w:tc>
        <w:tc>
          <w:tcPr>
            <w:tcW w:w="1134" w:type="dxa"/>
            <w:tcBorders>
              <w:top w:val="nil"/>
              <w:left w:val="nil"/>
              <w:bottom w:val="single" w:sz="4" w:space="0" w:color="auto"/>
              <w:right w:val="single" w:sz="4" w:space="0" w:color="auto"/>
            </w:tcBorders>
            <w:shd w:val="clear" w:color="auto" w:fill="auto"/>
            <w:noWrap/>
            <w:vAlign w:val="center"/>
          </w:tcPr>
          <w:p w14:paraId="409C6BEA"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268.227</w:t>
            </w:r>
          </w:p>
        </w:tc>
        <w:tc>
          <w:tcPr>
            <w:tcW w:w="1134" w:type="dxa"/>
            <w:tcBorders>
              <w:top w:val="nil"/>
              <w:left w:val="nil"/>
              <w:bottom w:val="single" w:sz="4" w:space="0" w:color="auto"/>
              <w:right w:val="single" w:sz="4" w:space="0" w:color="auto"/>
            </w:tcBorders>
            <w:shd w:val="clear" w:color="auto" w:fill="auto"/>
            <w:noWrap/>
            <w:vAlign w:val="center"/>
          </w:tcPr>
          <w:p w14:paraId="4BE4C6A0"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261.091</w:t>
            </w:r>
          </w:p>
        </w:tc>
        <w:tc>
          <w:tcPr>
            <w:tcW w:w="1134" w:type="dxa"/>
            <w:tcBorders>
              <w:top w:val="nil"/>
              <w:left w:val="nil"/>
              <w:bottom w:val="single" w:sz="4" w:space="0" w:color="auto"/>
              <w:right w:val="single" w:sz="4" w:space="0" w:color="auto"/>
            </w:tcBorders>
            <w:shd w:val="clear" w:color="auto" w:fill="auto"/>
            <w:noWrap/>
            <w:vAlign w:val="center"/>
          </w:tcPr>
          <w:p w14:paraId="22A4CEEE"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1.860.130</w:t>
            </w:r>
          </w:p>
        </w:tc>
      </w:tr>
      <w:tr w:rsidR="00C746F4" w:rsidRPr="00A1588E" w14:paraId="09F773CB"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3C42C1E5"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N_76</w:t>
            </w:r>
          </w:p>
        </w:tc>
        <w:tc>
          <w:tcPr>
            <w:tcW w:w="4253" w:type="dxa"/>
            <w:tcBorders>
              <w:top w:val="nil"/>
              <w:left w:val="nil"/>
              <w:bottom w:val="single" w:sz="4" w:space="0" w:color="auto"/>
              <w:right w:val="single" w:sz="4" w:space="0" w:color="auto"/>
            </w:tcBorders>
            <w:shd w:val="clear" w:color="auto" w:fill="auto"/>
            <w:noWrap/>
            <w:vAlign w:val="center"/>
            <w:hideMark/>
          </w:tcPr>
          <w:p w14:paraId="68153080"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Los Vilos 220-&gt;Nogales 220</w:t>
            </w:r>
          </w:p>
        </w:tc>
        <w:tc>
          <w:tcPr>
            <w:tcW w:w="1134" w:type="dxa"/>
            <w:tcBorders>
              <w:top w:val="nil"/>
              <w:left w:val="nil"/>
              <w:bottom w:val="single" w:sz="4" w:space="0" w:color="auto"/>
              <w:right w:val="single" w:sz="4" w:space="0" w:color="auto"/>
            </w:tcBorders>
            <w:shd w:val="clear" w:color="auto" w:fill="auto"/>
            <w:noWrap/>
            <w:vAlign w:val="center"/>
          </w:tcPr>
          <w:p w14:paraId="0FF29531"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929.852</w:t>
            </w:r>
          </w:p>
        </w:tc>
        <w:tc>
          <w:tcPr>
            <w:tcW w:w="1134" w:type="dxa"/>
            <w:tcBorders>
              <w:top w:val="nil"/>
              <w:left w:val="nil"/>
              <w:bottom w:val="single" w:sz="4" w:space="0" w:color="auto"/>
              <w:right w:val="single" w:sz="4" w:space="0" w:color="auto"/>
            </w:tcBorders>
            <w:shd w:val="clear" w:color="auto" w:fill="auto"/>
            <w:noWrap/>
            <w:vAlign w:val="center"/>
          </w:tcPr>
          <w:p w14:paraId="6852217C"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187.392</w:t>
            </w:r>
          </w:p>
        </w:tc>
        <w:tc>
          <w:tcPr>
            <w:tcW w:w="1134" w:type="dxa"/>
            <w:tcBorders>
              <w:top w:val="nil"/>
              <w:left w:val="nil"/>
              <w:bottom w:val="single" w:sz="4" w:space="0" w:color="auto"/>
              <w:right w:val="single" w:sz="4" w:space="0" w:color="auto"/>
            </w:tcBorders>
            <w:shd w:val="clear" w:color="auto" w:fill="auto"/>
            <w:noWrap/>
            <w:vAlign w:val="center"/>
          </w:tcPr>
          <w:p w14:paraId="31DB8417"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183.461</w:t>
            </w:r>
          </w:p>
        </w:tc>
        <w:tc>
          <w:tcPr>
            <w:tcW w:w="1134" w:type="dxa"/>
            <w:tcBorders>
              <w:top w:val="nil"/>
              <w:left w:val="nil"/>
              <w:bottom w:val="single" w:sz="4" w:space="0" w:color="auto"/>
              <w:right w:val="single" w:sz="4" w:space="0" w:color="auto"/>
            </w:tcBorders>
            <w:shd w:val="clear" w:color="auto" w:fill="auto"/>
            <w:noWrap/>
            <w:vAlign w:val="center"/>
          </w:tcPr>
          <w:p w14:paraId="4D672B5D"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1.300.706</w:t>
            </w:r>
          </w:p>
        </w:tc>
      </w:tr>
      <w:tr w:rsidR="00C746F4" w:rsidRPr="00A1588E" w14:paraId="24A4C813"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7521E086"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N_77</w:t>
            </w:r>
          </w:p>
        </w:tc>
        <w:tc>
          <w:tcPr>
            <w:tcW w:w="4253" w:type="dxa"/>
            <w:tcBorders>
              <w:top w:val="nil"/>
              <w:left w:val="nil"/>
              <w:bottom w:val="single" w:sz="4" w:space="0" w:color="auto"/>
              <w:right w:val="single" w:sz="4" w:space="0" w:color="auto"/>
            </w:tcBorders>
            <w:shd w:val="clear" w:color="auto" w:fill="auto"/>
            <w:noWrap/>
            <w:vAlign w:val="center"/>
            <w:hideMark/>
          </w:tcPr>
          <w:p w14:paraId="2FAF7435"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Los Vilos 220-&gt;Tap Doña Carmen 220</w:t>
            </w:r>
          </w:p>
        </w:tc>
        <w:tc>
          <w:tcPr>
            <w:tcW w:w="1134" w:type="dxa"/>
            <w:tcBorders>
              <w:top w:val="nil"/>
              <w:left w:val="nil"/>
              <w:bottom w:val="single" w:sz="4" w:space="0" w:color="auto"/>
              <w:right w:val="single" w:sz="4" w:space="0" w:color="auto"/>
            </w:tcBorders>
            <w:shd w:val="clear" w:color="auto" w:fill="auto"/>
            <w:noWrap/>
            <w:vAlign w:val="center"/>
          </w:tcPr>
          <w:p w14:paraId="7909F4EF"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614.995</w:t>
            </w:r>
          </w:p>
        </w:tc>
        <w:tc>
          <w:tcPr>
            <w:tcW w:w="1134" w:type="dxa"/>
            <w:tcBorders>
              <w:top w:val="nil"/>
              <w:left w:val="nil"/>
              <w:bottom w:val="single" w:sz="4" w:space="0" w:color="auto"/>
              <w:right w:val="single" w:sz="4" w:space="0" w:color="auto"/>
            </w:tcBorders>
            <w:shd w:val="clear" w:color="auto" w:fill="auto"/>
            <w:noWrap/>
            <w:vAlign w:val="center"/>
          </w:tcPr>
          <w:p w14:paraId="0E06734E"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123.966</w:t>
            </w:r>
          </w:p>
        </w:tc>
        <w:tc>
          <w:tcPr>
            <w:tcW w:w="1134" w:type="dxa"/>
            <w:tcBorders>
              <w:top w:val="nil"/>
              <w:left w:val="nil"/>
              <w:bottom w:val="single" w:sz="4" w:space="0" w:color="auto"/>
              <w:right w:val="single" w:sz="4" w:space="0" w:color="auto"/>
            </w:tcBorders>
            <w:shd w:val="clear" w:color="auto" w:fill="auto"/>
            <w:noWrap/>
            <w:vAlign w:val="center"/>
          </w:tcPr>
          <w:p w14:paraId="28824231"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116.951</w:t>
            </w:r>
          </w:p>
        </w:tc>
        <w:tc>
          <w:tcPr>
            <w:tcW w:w="1134" w:type="dxa"/>
            <w:tcBorders>
              <w:top w:val="nil"/>
              <w:left w:val="nil"/>
              <w:bottom w:val="single" w:sz="4" w:space="0" w:color="auto"/>
              <w:right w:val="single" w:sz="4" w:space="0" w:color="auto"/>
            </w:tcBorders>
            <w:shd w:val="clear" w:color="auto" w:fill="auto"/>
            <w:noWrap/>
            <w:vAlign w:val="center"/>
          </w:tcPr>
          <w:p w14:paraId="283216E3"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855.912</w:t>
            </w:r>
          </w:p>
        </w:tc>
      </w:tr>
      <w:tr w:rsidR="00C746F4" w:rsidRPr="00A1588E" w14:paraId="35E9F091"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609C50ED"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N_78</w:t>
            </w:r>
          </w:p>
        </w:tc>
        <w:tc>
          <w:tcPr>
            <w:tcW w:w="4253" w:type="dxa"/>
            <w:tcBorders>
              <w:top w:val="nil"/>
              <w:left w:val="nil"/>
              <w:bottom w:val="single" w:sz="4" w:space="0" w:color="auto"/>
              <w:right w:val="single" w:sz="4" w:space="0" w:color="auto"/>
            </w:tcBorders>
            <w:shd w:val="clear" w:color="auto" w:fill="auto"/>
            <w:noWrap/>
            <w:vAlign w:val="center"/>
            <w:hideMark/>
          </w:tcPr>
          <w:p w14:paraId="67D96DA3"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Maitencillo 220-&gt;Algarrobal 220</w:t>
            </w:r>
          </w:p>
        </w:tc>
        <w:tc>
          <w:tcPr>
            <w:tcW w:w="1134" w:type="dxa"/>
            <w:tcBorders>
              <w:top w:val="nil"/>
              <w:left w:val="nil"/>
              <w:bottom w:val="single" w:sz="4" w:space="0" w:color="auto"/>
              <w:right w:val="single" w:sz="4" w:space="0" w:color="auto"/>
            </w:tcBorders>
            <w:shd w:val="clear" w:color="auto" w:fill="auto"/>
            <w:noWrap/>
            <w:vAlign w:val="center"/>
          </w:tcPr>
          <w:p w14:paraId="1B4FE261"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1.742.734</w:t>
            </w:r>
          </w:p>
        </w:tc>
        <w:tc>
          <w:tcPr>
            <w:tcW w:w="1134" w:type="dxa"/>
            <w:tcBorders>
              <w:top w:val="nil"/>
              <w:left w:val="nil"/>
              <w:bottom w:val="single" w:sz="4" w:space="0" w:color="auto"/>
              <w:right w:val="single" w:sz="4" w:space="0" w:color="auto"/>
            </w:tcBorders>
            <w:shd w:val="clear" w:color="auto" w:fill="auto"/>
            <w:noWrap/>
            <w:vAlign w:val="center"/>
          </w:tcPr>
          <w:p w14:paraId="62AC66BF"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351.344</w:t>
            </w:r>
          </w:p>
        </w:tc>
        <w:tc>
          <w:tcPr>
            <w:tcW w:w="1134" w:type="dxa"/>
            <w:tcBorders>
              <w:top w:val="nil"/>
              <w:left w:val="nil"/>
              <w:bottom w:val="single" w:sz="4" w:space="0" w:color="auto"/>
              <w:right w:val="single" w:sz="4" w:space="0" w:color="auto"/>
            </w:tcBorders>
            <w:shd w:val="clear" w:color="auto" w:fill="auto"/>
            <w:noWrap/>
            <w:vAlign w:val="center"/>
          </w:tcPr>
          <w:p w14:paraId="0AEEA07B"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379.329</w:t>
            </w:r>
          </w:p>
        </w:tc>
        <w:tc>
          <w:tcPr>
            <w:tcW w:w="1134" w:type="dxa"/>
            <w:tcBorders>
              <w:top w:val="nil"/>
              <w:left w:val="nil"/>
              <w:bottom w:val="single" w:sz="4" w:space="0" w:color="auto"/>
              <w:right w:val="single" w:sz="4" w:space="0" w:color="auto"/>
            </w:tcBorders>
            <w:shd w:val="clear" w:color="auto" w:fill="auto"/>
            <w:noWrap/>
            <w:vAlign w:val="center"/>
          </w:tcPr>
          <w:p w14:paraId="7F8F4228"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2.473.407</w:t>
            </w:r>
          </w:p>
        </w:tc>
      </w:tr>
      <w:tr w:rsidR="00C746F4" w:rsidRPr="00A1588E" w14:paraId="7E36F835"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6ABEC410"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lastRenderedPageBreak/>
              <w:t>N_79</w:t>
            </w:r>
          </w:p>
        </w:tc>
        <w:tc>
          <w:tcPr>
            <w:tcW w:w="4253" w:type="dxa"/>
            <w:tcBorders>
              <w:top w:val="nil"/>
              <w:left w:val="nil"/>
              <w:bottom w:val="single" w:sz="4" w:space="0" w:color="auto"/>
              <w:right w:val="single" w:sz="4" w:space="0" w:color="auto"/>
            </w:tcBorders>
            <w:shd w:val="clear" w:color="auto" w:fill="auto"/>
            <w:noWrap/>
            <w:vAlign w:val="center"/>
            <w:hideMark/>
          </w:tcPr>
          <w:p w14:paraId="33748E67"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Maitencillo 220-&gt;Don Héctor 220</w:t>
            </w:r>
          </w:p>
        </w:tc>
        <w:tc>
          <w:tcPr>
            <w:tcW w:w="1134" w:type="dxa"/>
            <w:tcBorders>
              <w:top w:val="nil"/>
              <w:left w:val="nil"/>
              <w:bottom w:val="single" w:sz="4" w:space="0" w:color="auto"/>
              <w:right w:val="single" w:sz="4" w:space="0" w:color="auto"/>
            </w:tcBorders>
            <w:shd w:val="clear" w:color="auto" w:fill="auto"/>
            <w:noWrap/>
            <w:vAlign w:val="center"/>
          </w:tcPr>
          <w:p w14:paraId="1987D12C"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605.084</w:t>
            </w:r>
          </w:p>
        </w:tc>
        <w:tc>
          <w:tcPr>
            <w:tcW w:w="1134" w:type="dxa"/>
            <w:tcBorders>
              <w:top w:val="nil"/>
              <w:left w:val="nil"/>
              <w:bottom w:val="single" w:sz="4" w:space="0" w:color="auto"/>
              <w:right w:val="single" w:sz="4" w:space="0" w:color="auto"/>
            </w:tcBorders>
            <w:shd w:val="clear" w:color="auto" w:fill="auto"/>
            <w:noWrap/>
            <w:vAlign w:val="center"/>
          </w:tcPr>
          <w:p w14:paraId="0A7050F7"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121.999</w:t>
            </w:r>
          </w:p>
        </w:tc>
        <w:tc>
          <w:tcPr>
            <w:tcW w:w="1134" w:type="dxa"/>
            <w:tcBorders>
              <w:top w:val="nil"/>
              <w:left w:val="nil"/>
              <w:bottom w:val="single" w:sz="4" w:space="0" w:color="auto"/>
              <w:right w:val="single" w:sz="4" w:space="0" w:color="auto"/>
            </w:tcBorders>
            <w:shd w:val="clear" w:color="auto" w:fill="auto"/>
            <w:noWrap/>
            <w:vAlign w:val="center"/>
          </w:tcPr>
          <w:p w14:paraId="11DECE41"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94.728</w:t>
            </w:r>
          </w:p>
        </w:tc>
        <w:tc>
          <w:tcPr>
            <w:tcW w:w="1134" w:type="dxa"/>
            <w:tcBorders>
              <w:top w:val="nil"/>
              <w:left w:val="nil"/>
              <w:bottom w:val="single" w:sz="4" w:space="0" w:color="auto"/>
              <w:right w:val="single" w:sz="4" w:space="0" w:color="auto"/>
            </w:tcBorders>
            <w:shd w:val="clear" w:color="auto" w:fill="auto"/>
            <w:noWrap/>
            <w:vAlign w:val="center"/>
          </w:tcPr>
          <w:p w14:paraId="2B9B41C5"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821.811</w:t>
            </w:r>
          </w:p>
        </w:tc>
      </w:tr>
      <w:tr w:rsidR="00C746F4" w:rsidRPr="00A1588E" w14:paraId="0B2F9023"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1DDCFAB3"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N_80</w:t>
            </w:r>
          </w:p>
        </w:tc>
        <w:tc>
          <w:tcPr>
            <w:tcW w:w="4253" w:type="dxa"/>
            <w:tcBorders>
              <w:top w:val="nil"/>
              <w:left w:val="nil"/>
              <w:bottom w:val="single" w:sz="4" w:space="0" w:color="auto"/>
              <w:right w:val="single" w:sz="4" w:space="0" w:color="auto"/>
            </w:tcBorders>
            <w:shd w:val="clear" w:color="auto" w:fill="auto"/>
            <w:noWrap/>
            <w:vAlign w:val="center"/>
            <w:hideMark/>
          </w:tcPr>
          <w:p w14:paraId="418A58A7"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Maitencillo 220-&gt;Tap El Romero 220</w:t>
            </w:r>
          </w:p>
        </w:tc>
        <w:tc>
          <w:tcPr>
            <w:tcW w:w="1134" w:type="dxa"/>
            <w:tcBorders>
              <w:top w:val="nil"/>
              <w:left w:val="nil"/>
              <w:bottom w:val="single" w:sz="4" w:space="0" w:color="auto"/>
              <w:right w:val="single" w:sz="4" w:space="0" w:color="auto"/>
            </w:tcBorders>
            <w:shd w:val="clear" w:color="auto" w:fill="auto"/>
            <w:noWrap/>
            <w:vAlign w:val="center"/>
          </w:tcPr>
          <w:p w14:paraId="7377DE46"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534.727</w:t>
            </w:r>
          </w:p>
        </w:tc>
        <w:tc>
          <w:tcPr>
            <w:tcW w:w="1134" w:type="dxa"/>
            <w:tcBorders>
              <w:top w:val="nil"/>
              <w:left w:val="nil"/>
              <w:bottom w:val="single" w:sz="4" w:space="0" w:color="auto"/>
              <w:right w:val="single" w:sz="4" w:space="0" w:color="auto"/>
            </w:tcBorders>
            <w:shd w:val="clear" w:color="auto" w:fill="auto"/>
            <w:noWrap/>
            <w:vAlign w:val="center"/>
          </w:tcPr>
          <w:p w14:paraId="58971AF0"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107.830</w:t>
            </w:r>
          </w:p>
        </w:tc>
        <w:tc>
          <w:tcPr>
            <w:tcW w:w="1134" w:type="dxa"/>
            <w:tcBorders>
              <w:top w:val="nil"/>
              <w:left w:val="nil"/>
              <w:bottom w:val="single" w:sz="4" w:space="0" w:color="auto"/>
              <w:right w:val="single" w:sz="4" w:space="0" w:color="auto"/>
            </w:tcBorders>
            <w:shd w:val="clear" w:color="auto" w:fill="auto"/>
            <w:noWrap/>
            <w:vAlign w:val="center"/>
          </w:tcPr>
          <w:p w14:paraId="37F15E9A"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86.400</w:t>
            </w:r>
          </w:p>
        </w:tc>
        <w:tc>
          <w:tcPr>
            <w:tcW w:w="1134" w:type="dxa"/>
            <w:tcBorders>
              <w:top w:val="nil"/>
              <w:left w:val="nil"/>
              <w:bottom w:val="single" w:sz="4" w:space="0" w:color="auto"/>
              <w:right w:val="single" w:sz="4" w:space="0" w:color="auto"/>
            </w:tcBorders>
            <w:shd w:val="clear" w:color="auto" w:fill="auto"/>
            <w:noWrap/>
            <w:vAlign w:val="center"/>
          </w:tcPr>
          <w:p w14:paraId="41C705A0"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728.957</w:t>
            </w:r>
          </w:p>
        </w:tc>
      </w:tr>
      <w:tr w:rsidR="00C746F4" w:rsidRPr="00A1588E" w14:paraId="003B2620"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3AB94D5B"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N_81</w:t>
            </w:r>
          </w:p>
        </w:tc>
        <w:tc>
          <w:tcPr>
            <w:tcW w:w="4253" w:type="dxa"/>
            <w:tcBorders>
              <w:top w:val="nil"/>
              <w:left w:val="nil"/>
              <w:bottom w:val="single" w:sz="4" w:space="0" w:color="auto"/>
              <w:right w:val="single" w:sz="4" w:space="0" w:color="auto"/>
            </w:tcBorders>
            <w:shd w:val="clear" w:color="auto" w:fill="auto"/>
            <w:noWrap/>
            <w:vAlign w:val="center"/>
            <w:hideMark/>
          </w:tcPr>
          <w:p w14:paraId="71D97033"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María Elena 220-&gt;Kimal 220</w:t>
            </w:r>
          </w:p>
        </w:tc>
        <w:tc>
          <w:tcPr>
            <w:tcW w:w="1134" w:type="dxa"/>
            <w:tcBorders>
              <w:top w:val="nil"/>
              <w:left w:val="nil"/>
              <w:bottom w:val="single" w:sz="4" w:space="0" w:color="auto"/>
              <w:right w:val="single" w:sz="4" w:space="0" w:color="auto"/>
            </w:tcBorders>
            <w:shd w:val="clear" w:color="auto" w:fill="auto"/>
            <w:noWrap/>
            <w:vAlign w:val="center"/>
          </w:tcPr>
          <w:p w14:paraId="3DB2540E"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228.123</w:t>
            </w:r>
          </w:p>
        </w:tc>
        <w:tc>
          <w:tcPr>
            <w:tcW w:w="1134" w:type="dxa"/>
            <w:tcBorders>
              <w:top w:val="nil"/>
              <w:left w:val="nil"/>
              <w:bottom w:val="single" w:sz="4" w:space="0" w:color="auto"/>
              <w:right w:val="single" w:sz="4" w:space="0" w:color="auto"/>
            </w:tcBorders>
            <w:shd w:val="clear" w:color="auto" w:fill="auto"/>
            <w:noWrap/>
            <w:vAlign w:val="center"/>
          </w:tcPr>
          <w:p w14:paraId="7D4F7CC4"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45.962</w:t>
            </w:r>
          </w:p>
        </w:tc>
        <w:tc>
          <w:tcPr>
            <w:tcW w:w="1134" w:type="dxa"/>
            <w:tcBorders>
              <w:top w:val="nil"/>
              <w:left w:val="nil"/>
              <w:bottom w:val="single" w:sz="4" w:space="0" w:color="auto"/>
              <w:right w:val="single" w:sz="4" w:space="0" w:color="auto"/>
            </w:tcBorders>
            <w:shd w:val="clear" w:color="auto" w:fill="auto"/>
            <w:noWrap/>
            <w:vAlign w:val="center"/>
          </w:tcPr>
          <w:p w14:paraId="6D7269AE"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37.738</w:t>
            </w:r>
          </w:p>
        </w:tc>
        <w:tc>
          <w:tcPr>
            <w:tcW w:w="1134" w:type="dxa"/>
            <w:tcBorders>
              <w:top w:val="nil"/>
              <w:left w:val="nil"/>
              <w:bottom w:val="single" w:sz="4" w:space="0" w:color="auto"/>
              <w:right w:val="single" w:sz="4" w:space="0" w:color="auto"/>
            </w:tcBorders>
            <w:shd w:val="clear" w:color="auto" w:fill="auto"/>
            <w:noWrap/>
            <w:vAlign w:val="center"/>
          </w:tcPr>
          <w:p w14:paraId="594D296D"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311.823</w:t>
            </w:r>
          </w:p>
        </w:tc>
      </w:tr>
      <w:tr w:rsidR="00C746F4" w:rsidRPr="00A1588E" w14:paraId="668E63CB"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78323FD6"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N_82</w:t>
            </w:r>
          </w:p>
        </w:tc>
        <w:tc>
          <w:tcPr>
            <w:tcW w:w="4253" w:type="dxa"/>
            <w:tcBorders>
              <w:top w:val="nil"/>
              <w:left w:val="nil"/>
              <w:bottom w:val="single" w:sz="4" w:space="0" w:color="auto"/>
              <w:right w:val="single" w:sz="4" w:space="0" w:color="auto"/>
            </w:tcBorders>
            <w:shd w:val="clear" w:color="auto" w:fill="auto"/>
            <w:noWrap/>
            <w:vAlign w:val="center"/>
            <w:hideMark/>
          </w:tcPr>
          <w:p w14:paraId="3AC7E703"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María Elena 220-&gt;Quillagua 220</w:t>
            </w:r>
          </w:p>
        </w:tc>
        <w:tc>
          <w:tcPr>
            <w:tcW w:w="1134" w:type="dxa"/>
            <w:tcBorders>
              <w:top w:val="nil"/>
              <w:left w:val="nil"/>
              <w:bottom w:val="single" w:sz="4" w:space="0" w:color="auto"/>
              <w:right w:val="single" w:sz="4" w:space="0" w:color="auto"/>
            </w:tcBorders>
            <w:shd w:val="clear" w:color="auto" w:fill="auto"/>
            <w:noWrap/>
            <w:vAlign w:val="center"/>
          </w:tcPr>
          <w:p w14:paraId="21F61FF4"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1.121.085</w:t>
            </w:r>
          </w:p>
        </w:tc>
        <w:tc>
          <w:tcPr>
            <w:tcW w:w="1134" w:type="dxa"/>
            <w:tcBorders>
              <w:top w:val="nil"/>
              <w:left w:val="nil"/>
              <w:bottom w:val="single" w:sz="4" w:space="0" w:color="auto"/>
              <w:right w:val="single" w:sz="4" w:space="0" w:color="auto"/>
            </w:tcBorders>
            <w:shd w:val="clear" w:color="auto" w:fill="auto"/>
            <w:noWrap/>
            <w:vAlign w:val="center"/>
          </w:tcPr>
          <w:p w14:paraId="7A34A084"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226.192</w:t>
            </w:r>
          </w:p>
        </w:tc>
        <w:tc>
          <w:tcPr>
            <w:tcW w:w="1134" w:type="dxa"/>
            <w:tcBorders>
              <w:top w:val="nil"/>
              <w:left w:val="nil"/>
              <w:bottom w:val="single" w:sz="4" w:space="0" w:color="auto"/>
              <w:right w:val="single" w:sz="4" w:space="0" w:color="auto"/>
            </w:tcBorders>
            <w:shd w:val="clear" w:color="auto" w:fill="auto"/>
            <w:noWrap/>
            <w:vAlign w:val="center"/>
          </w:tcPr>
          <w:p w14:paraId="4FFECFBA"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187.749</w:t>
            </w:r>
          </w:p>
        </w:tc>
        <w:tc>
          <w:tcPr>
            <w:tcW w:w="1134" w:type="dxa"/>
            <w:tcBorders>
              <w:top w:val="nil"/>
              <w:left w:val="nil"/>
              <w:bottom w:val="single" w:sz="4" w:space="0" w:color="auto"/>
              <w:right w:val="single" w:sz="4" w:space="0" w:color="auto"/>
            </w:tcBorders>
            <w:shd w:val="clear" w:color="auto" w:fill="auto"/>
            <w:noWrap/>
            <w:vAlign w:val="center"/>
          </w:tcPr>
          <w:p w14:paraId="7D74026F"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1.535.026</w:t>
            </w:r>
          </w:p>
        </w:tc>
      </w:tr>
      <w:tr w:rsidR="00C746F4" w:rsidRPr="00A1588E" w14:paraId="059BF306"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7F974C2B"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N_83</w:t>
            </w:r>
          </w:p>
        </w:tc>
        <w:tc>
          <w:tcPr>
            <w:tcW w:w="4253" w:type="dxa"/>
            <w:tcBorders>
              <w:top w:val="nil"/>
              <w:left w:val="nil"/>
              <w:bottom w:val="single" w:sz="4" w:space="0" w:color="auto"/>
              <w:right w:val="single" w:sz="4" w:space="0" w:color="auto"/>
            </w:tcBorders>
            <w:shd w:val="clear" w:color="auto" w:fill="auto"/>
            <w:noWrap/>
            <w:vAlign w:val="center"/>
            <w:hideMark/>
          </w:tcPr>
          <w:p w14:paraId="6A51FD43"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Melipulli 220-&gt;Pargua 220</w:t>
            </w:r>
          </w:p>
        </w:tc>
        <w:tc>
          <w:tcPr>
            <w:tcW w:w="1134" w:type="dxa"/>
            <w:tcBorders>
              <w:top w:val="nil"/>
              <w:left w:val="nil"/>
              <w:bottom w:val="single" w:sz="4" w:space="0" w:color="auto"/>
              <w:right w:val="single" w:sz="4" w:space="0" w:color="auto"/>
            </w:tcBorders>
            <w:shd w:val="clear" w:color="auto" w:fill="auto"/>
            <w:noWrap/>
            <w:vAlign w:val="center"/>
          </w:tcPr>
          <w:p w14:paraId="666DE5E7"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1.170.032</w:t>
            </w:r>
          </w:p>
        </w:tc>
        <w:tc>
          <w:tcPr>
            <w:tcW w:w="1134" w:type="dxa"/>
            <w:tcBorders>
              <w:top w:val="nil"/>
              <w:left w:val="nil"/>
              <w:bottom w:val="single" w:sz="4" w:space="0" w:color="auto"/>
              <w:right w:val="single" w:sz="4" w:space="0" w:color="auto"/>
            </w:tcBorders>
            <w:shd w:val="clear" w:color="auto" w:fill="auto"/>
            <w:noWrap/>
            <w:vAlign w:val="center"/>
          </w:tcPr>
          <w:p w14:paraId="2119C4B5"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235.393</w:t>
            </w:r>
          </w:p>
        </w:tc>
        <w:tc>
          <w:tcPr>
            <w:tcW w:w="1134" w:type="dxa"/>
            <w:tcBorders>
              <w:top w:val="nil"/>
              <w:left w:val="nil"/>
              <w:bottom w:val="single" w:sz="4" w:space="0" w:color="auto"/>
              <w:right w:val="single" w:sz="4" w:space="0" w:color="auto"/>
            </w:tcBorders>
            <w:shd w:val="clear" w:color="auto" w:fill="auto"/>
            <w:noWrap/>
            <w:vAlign w:val="center"/>
          </w:tcPr>
          <w:p w14:paraId="749C1BE8"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313.518</w:t>
            </w:r>
          </w:p>
        </w:tc>
        <w:tc>
          <w:tcPr>
            <w:tcW w:w="1134" w:type="dxa"/>
            <w:tcBorders>
              <w:top w:val="nil"/>
              <w:left w:val="nil"/>
              <w:bottom w:val="single" w:sz="4" w:space="0" w:color="auto"/>
              <w:right w:val="single" w:sz="4" w:space="0" w:color="auto"/>
            </w:tcBorders>
            <w:shd w:val="clear" w:color="auto" w:fill="auto"/>
            <w:noWrap/>
            <w:vAlign w:val="center"/>
          </w:tcPr>
          <w:p w14:paraId="23E7906A"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1.718.943</w:t>
            </w:r>
          </w:p>
        </w:tc>
      </w:tr>
      <w:tr w:rsidR="00C746F4" w:rsidRPr="00A1588E" w14:paraId="4A5A57B3"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4AC6EFB7"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N_84</w:t>
            </w:r>
          </w:p>
        </w:tc>
        <w:tc>
          <w:tcPr>
            <w:tcW w:w="4253" w:type="dxa"/>
            <w:tcBorders>
              <w:top w:val="nil"/>
              <w:left w:val="nil"/>
              <w:bottom w:val="single" w:sz="4" w:space="0" w:color="auto"/>
              <w:right w:val="single" w:sz="4" w:space="0" w:color="auto"/>
            </w:tcBorders>
            <w:shd w:val="clear" w:color="auto" w:fill="auto"/>
            <w:noWrap/>
            <w:vAlign w:val="center"/>
            <w:hideMark/>
          </w:tcPr>
          <w:p w14:paraId="4CE724B5"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Melipulli 220-&gt;Puerto Montt 220</w:t>
            </w:r>
          </w:p>
        </w:tc>
        <w:tc>
          <w:tcPr>
            <w:tcW w:w="1134" w:type="dxa"/>
            <w:tcBorders>
              <w:top w:val="nil"/>
              <w:left w:val="nil"/>
              <w:bottom w:val="single" w:sz="4" w:space="0" w:color="auto"/>
              <w:right w:val="single" w:sz="4" w:space="0" w:color="auto"/>
            </w:tcBorders>
            <w:shd w:val="clear" w:color="auto" w:fill="auto"/>
            <w:noWrap/>
            <w:vAlign w:val="center"/>
          </w:tcPr>
          <w:p w14:paraId="5A781CCD"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4.325</w:t>
            </w:r>
          </w:p>
        </w:tc>
        <w:tc>
          <w:tcPr>
            <w:tcW w:w="1134" w:type="dxa"/>
            <w:tcBorders>
              <w:top w:val="nil"/>
              <w:left w:val="nil"/>
              <w:bottom w:val="single" w:sz="4" w:space="0" w:color="auto"/>
              <w:right w:val="single" w:sz="4" w:space="0" w:color="auto"/>
            </w:tcBorders>
            <w:shd w:val="clear" w:color="auto" w:fill="auto"/>
            <w:noWrap/>
            <w:vAlign w:val="center"/>
          </w:tcPr>
          <w:p w14:paraId="4CF5D7A3"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871</w:t>
            </w:r>
          </w:p>
        </w:tc>
        <w:tc>
          <w:tcPr>
            <w:tcW w:w="1134" w:type="dxa"/>
            <w:tcBorders>
              <w:top w:val="nil"/>
              <w:left w:val="nil"/>
              <w:bottom w:val="single" w:sz="4" w:space="0" w:color="auto"/>
              <w:right w:val="single" w:sz="4" w:space="0" w:color="auto"/>
            </w:tcBorders>
            <w:shd w:val="clear" w:color="auto" w:fill="auto"/>
            <w:noWrap/>
            <w:vAlign w:val="center"/>
          </w:tcPr>
          <w:p w14:paraId="0E5E6907"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663</w:t>
            </w:r>
          </w:p>
        </w:tc>
        <w:tc>
          <w:tcPr>
            <w:tcW w:w="1134" w:type="dxa"/>
            <w:tcBorders>
              <w:top w:val="nil"/>
              <w:left w:val="nil"/>
              <w:bottom w:val="single" w:sz="4" w:space="0" w:color="auto"/>
              <w:right w:val="single" w:sz="4" w:space="0" w:color="auto"/>
            </w:tcBorders>
            <w:shd w:val="clear" w:color="auto" w:fill="auto"/>
            <w:noWrap/>
            <w:vAlign w:val="center"/>
          </w:tcPr>
          <w:p w14:paraId="56EFD8BB"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5.859</w:t>
            </w:r>
          </w:p>
        </w:tc>
      </w:tr>
      <w:tr w:rsidR="00C746F4" w:rsidRPr="00A1588E" w14:paraId="225FCDBA"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06E338BC"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N_85</w:t>
            </w:r>
          </w:p>
        </w:tc>
        <w:tc>
          <w:tcPr>
            <w:tcW w:w="4253" w:type="dxa"/>
            <w:tcBorders>
              <w:top w:val="nil"/>
              <w:left w:val="nil"/>
              <w:bottom w:val="single" w:sz="4" w:space="0" w:color="auto"/>
              <w:right w:val="single" w:sz="4" w:space="0" w:color="auto"/>
            </w:tcBorders>
            <w:shd w:val="clear" w:color="auto" w:fill="auto"/>
            <w:noWrap/>
            <w:vAlign w:val="center"/>
            <w:hideMark/>
          </w:tcPr>
          <w:p w14:paraId="56043B71"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Miraje 220-&gt;Atacama 220</w:t>
            </w:r>
          </w:p>
        </w:tc>
        <w:tc>
          <w:tcPr>
            <w:tcW w:w="1134" w:type="dxa"/>
            <w:tcBorders>
              <w:top w:val="nil"/>
              <w:left w:val="nil"/>
              <w:bottom w:val="single" w:sz="4" w:space="0" w:color="auto"/>
              <w:right w:val="single" w:sz="4" w:space="0" w:color="auto"/>
            </w:tcBorders>
            <w:shd w:val="clear" w:color="auto" w:fill="auto"/>
            <w:noWrap/>
            <w:vAlign w:val="center"/>
          </w:tcPr>
          <w:p w14:paraId="7B695243"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1.981.323</w:t>
            </w:r>
          </w:p>
        </w:tc>
        <w:tc>
          <w:tcPr>
            <w:tcW w:w="1134" w:type="dxa"/>
            <w:tcBorders>
              <w:top w:val="nil"/>
              <w:left w:val="nil"/>
              <w:bottom w:val="single" w:sz="4" w:space="0" w:color="auto"/>
              <w:right w:val="single" w:sz="4" w:space="0" w:color="auto"/>
            </w:tcBorders>
            <w:shd w:val="clear" w:color="auto" w:fill="auto"/>
            <w:noWrap/>
            <w:vAlign w:val="center"/>
          </w:tcPr>
          <w:p w14:paraId="1285C9FB"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399.283</w:t>
            </w:r>
          </w:p>
        </w:tc>
        <w:tc>
          <w:tcPr>
            <w:tcW w:w="1134" w:type="dxa"/>
            <w:tcBorders>
              <w:top w:val="nil"/>
              <w:left w:val="nil"/>
              <w:bottom w:val="single" w:sz="4" w:space="0" w:color="auto"/>
              <w:right w:val="single" w:sz="4" w:space="0" w:color="auto"/>
            </w:tcBorders>
            <w:shd w:val="clear" w:color="auto" w:fill="auto"/>
            <w:noWrap/>
            <w:vAlign w:val="center"/>
          </w:tcPr>
          <w:p w14:paraId="31A25C67"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332.057</w:t>
            </w:r>
          </w:p>
        </w:tc>
        <w:tc>
          <w:tcPr>
            <w:tcW w:w="1134" w:type="dxa"/>
            <w:tcBorders>
              <w:top w:val="nil"/>
              <w:left w:val="nil"/>
              <w:bottom w:val="single" w:sz="4" w:space="0" w:color="auto"/>
              <w:right w:val="single" w:sz="4" w:space="0" w:color="auto"/>
            </w:tcBorders>
            <w:shd w:val="clear" w:color="auto" w:fill="auto"/>
            <w:noWrap/>
            <w:vAlign w:val="center"/>
          </w:tcPr>
          <w:p w14:paraId="3CBFBA6D"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2.712.662</w:t>
            </w:r>
          </w:p>
        </w:tc>
      </w:tr>
      <w:tr w:rsidR="00C746F4" w:rsidRPr="00A1588E" w14:paraId="768762FB"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50642226"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N_86</w:t>
            </w:r>
          </w:p>
        </w:tc>
        <w:tc>
          <w:tcPr>
            <w:tcW w:w="4253" w:type="dxa"/>
            <w:tcBorders>
              <w:top w:val="nil"/>
              <w:left w:val="nil"/>
              <w:bottom w:val="single" w:sz="4" w:space="0" w:color="auto"/>
              <w:right w:val="single" w:sz="4" w:space="0" w:color="auto"/>
            </w:tcBorders>
            <w:shd w:val="clear" w:color="auto" w:fill="auto"/>
            <w:noWrap/>
            <w:vAlign w:val="center"/>
            <w:hideMark/>
          </w:tcPr>
          <w:p w14:paraId="2C7EF3E2"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Miraje 220-&gt;Tap Enlace 220</w:t>
            </w:r>
          </w:p>
        </w:tc>
        <w:tc>
          <w:tcPr>
            <w:tcW w:w="1134" w:type="dxa"/>
            <w:tcBorders>
              <w:top w:val="nil"/>
              <w:left w:val="nil"/>
              <w:bottom w:val="single" w:sz="4" w:space="0" w:color="auto"/>
              <w:right w:val="single" w:sz="4" w:space="0" w:color="auto"/>
            </w:tcBorders>
            <w:shd w:val="clear" w:color="auto" w:fill="auto"/>
            <w:noWrap/>
            <w:vAlign w:val="center"/>
          </w:tcPr>
          <w:p w14:paraId="1D5EE40B"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614.368</w:t>
            </w:r>
          </w:p>
        </w:tc>
        <w:tc>
          <w:tcPr>
            <w:tcW w:w="1134" w:type="dxa"/>
            <w:tcBorders>
              <w:top w:val="nil"/>
              <w:left w:val="nil"/>
              <w:bottom w:val="single" w:sz="4" w:space="0" w:color="auto"/>
              <w:right w:val="single" w:sz="4" w:space="0" w:color="auto"/>
            </w:tcBorders>
            <w:shd w:val="clear" w:color="auto" w:fill="auto"/>
            <w:noWrap/>
            <w:vAlign w:val="center"/>
          </w:tcPr>
          <w:p w14:paraId="5C5F43A6"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123.786</w:t>
            </w:r>
          </w:p>
        </w:tc>
        <w:tc>
          <w:tcPr>
            <w:tcW w:w="1134" w:type="dxa"/>
            <w:tcBorders>
              <w:top w:val="nil"/>
              <w:left w:val="nil"/>
              <w:bottom w:val="single" w:sz="4" w:space="0" w:color="auto"/>
              <w:right w:val="single" w:sz="4" w:space="0" w:color="auto"/>
            </w:tcBorders>
            <w:shd w:val="clear" w:color="auto" w:fill="auto"/>
            <w:noWrap/>
            <w:vAlign w:val="center"/>
          </w:tcPr>
          <w:p w14:paraId="4DB32659"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104.184</w:t>
            </w:r>
          </w:p>
        </w:tc>
        <w:tc>
          <w:tcPr>
            <w:tcW w:w="1134" w:type="dxa"/>
            <w:tcBorders>
              <w:top w:val="nil"/>
              <w:left w:val="nil"/>
              <w:bottom w:val="single" w:sz="4" w:space="0" w:color="auto"/>
              <w:right w:val="single" w:sz="4" w:space="0" w:color="auto"/>
            </w:tcBorders>
            <w:shd w:val="clear" w:color="auto" w:fill="auto"/>
            <w:noWrap/>
            <w:vAlign w:val="center"/>
          </w:tcPr>
          <w:p w14:paraId="6CD30583"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842.338</w:t>
            </w:r>
          </w:p>
        </w:tc>
      </w:tr>
      <w:tr w:rsidR="00C746F4" w:rsidRPr="00A1588E" w14:paraId="3273F944"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42ED22B5"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N_87</w:t>
            </w:r>
          </w:p>
        </w:tc>
        <w:tc>
          <w:tcPr>
            <w:tcW w:w="4253" w:type="dxa"/>
            <w:tcBorders>
              <w:top w:val="nil"/>
              <w:left w:val="nil"/>
              <w:bottom w:val="single" w:sz="4" w:space="0" w:color="auto"/>
              <w:right w:val="single" w:sz="4" w:space="0" w:color="auto"/>
            </w:tcBorders>
            <w:shd w:val="clear" w:color="auto" w:fill="auto"/>
            <w:noWrap/>
            <w:vAlign w:val="center"/>
            <w:hideMark/>
          </w:tcPr>
          <w:p w14:paraId="1E594668"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Mulchen 220-&gt;Rio Malleco 220</w:t>
            </w:r>
          </w:p>
        </w:tc>
        <w:tc>
          <w:tcPr>
            <w:tcW w:w="1134" w:type="dxa"/>
            <w:tcBorders>
              <w:top w:val="nil"/>
              <w:left w:val="nil"/>
              <w:bottom w:val="single" w:sz="4" w:space="0" w:color="auto"/>
              <w:right w:val="single" w:sz="4" w:space="0" w:color="auto"/>
            </w:tcBorders>
            <w:shd w:val="clear" w:color="auto" w:fill="auto"/>
            <w:noWrap/>
            <w:vAlign w:val="center"/>
          </w:tcPr>
          <w:p w14:paraId="61EED6A6"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57.856</w:t>
            </w:r>
          </w:p>
        </w:tc>
        <w:tc>
          <w:tcPr>
            <w:tcW w:w="1134" w:type="dxa"/>
            <w:tcBorders>
              <w:top w:val="nil"/>
              <w:left w:val="nil"/>
              <w:bottom w:val="single" w:sz="4" w:space="0" w:color="auto"/>
              <w:right w:val="single" w:sz="4" w:space="0" w:color="auto"/>
            </w:tcBorders>
            <w:shd w:val="clear" w:color="auto" w:fill="auto"/>
            <w:noWrap/>
            <w:vAlign w:val="center"/>
          </w:tcPr>
          <w:p w14:paraId="22AD9A77"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11.649</w:t>
            </w:r>
          </w:p>
        </w:tc>
        <w:tc>
          <w:tcPr>
            <w:tcW w:w="1134" w:type="dxa"/>
            <w:tcBorders>
              <w:top w:val="nil"/>
              <w:left w:val="nil"/>
              <w:bottom w:val="single" w:sz="4" w:space="0" w:color="auto"/>
              <w:right w:val="single" w:sz="4" w:space="0" w:color="auto"/>
            </w:tcBorders>
            <w:shd w:val="clear" w:color="auto" w:fill="auto"/>
            <w:noWrap/>
            <w:vAlign w:val="center"/>
          </w:tcPr>
          <w:p w14:paraId="790B79E1"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6.906</w:t>
            </w:r>
          </w:p>
        </w:tc>
        <w:tc>
          <w:tcPr>
            <w:tcW w:w="1134" w:type="dxa"/>
            <w:tcBorders>
              <w:top w:val="nil"/>
              <w:left w:val="nil"/>
              <w:bottom w:val="single" w:sz="4" w:space="0" w:color="auto"/>
              <w:right w:val="single" w:sz="4" w:space="0" w:color="auto"/>
            </w:tcBorders>
            <w:shd w:val="clear" w:color="auto" w:fill="auto"/>
            <w:noWrap/>
            <w:vAlign w:val="center"/>
          </w:tcPr>
          <w:p w14:paraId="484FA4D9"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76.412</w:t>
            </w:r>
          </w:p>
        </w:tc>
      </w:tr>
      <w:tr w:rsidR="00C746F4" w:rsidRPr="00A1588E" w14:paraId="74B99ABF"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262E76C7"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N_88</w:t>
            </w:r>
          </w:p>
        </w:tc>
        <w:tc>
          <w:tcPr>
            <w:tcW w:w="4253" w:type="dxa"/>
            <w:tcBorders>
              <w:top w:val="nil"/>
              <w:left w:val="nil"/>
              <w:bottom w:val="single" w:sz="4" w:space="0" w:color="auto"/>
              <w:right w:val="single" w:sz="4" w:space="0" w:color="auto"/>
            </w:tcBorders>
            <w:shd w:val="clear" w:color="auto" w:fill="auto"/>
            <w:noWrap/>
            <w:vAlign w:val="center"/>
            <w:hideMark/>
          </w:tcPr>
          <w:p w14:paraId="5F8F784C"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Nogales 220-&gt;Quillota 220</w:t>
            </w:r>
          </w:p>
        </w:tc>
        <w:tc>
          <w:tcPr>
            <w:tcW w:w="1134" w:type="dxa"/>
            <w:tcBorders>
              <w:top w:val="nil"/>
              <w:left w:val="nil"/>
              <w:bottom w:val="single" w:sz="4" w:space="0" w:color="auto"/>
              <w:right w:val="single" w:sz="4" w:space="0" w:color="auto"/>
            </w:tcBorders>
            <w:shd w:val="clear" w:color="auto" w:fill="auto"/>
            <w:noWrap/>
            <w:vAlign w:val="center"/>
          </w:tcPr>
          <w:p w14:paraId="1E06EACE"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670.395</w:t>
            </w:r>
          </w:p>
        </w:tc>
        <w:tc>
          <w:tcPr>
            <w:tcW w:w="1134" w:type="dxa"/>
            <w:tcBorders>
              <w:top w:val="nil"/>
              <w:left w:val="nil"/>
              <w:bottom w:val="single" w:sz="4" w:space="0" w:color="auto"/>
              <w:right w:val="single" w:sz="4" w:space="0" w:color="auto"/>
            </w:tcBorders>
            <w:shd w:val="clear" w:color="auto" w:fill="auto"/>
            <w:noWrap/>
            <w:vAlign w:val="center"/>
          </w:tcPr>
          <w:p w14:paraId="0A6AA998"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135.073</w:t>
            </w:r>
          </w:p>
        </w:tc>
        <w:tc>
          <w:tcPr>
            <w:tcW w:w="1134" w:type="dxa"/>
            <w:tcBorders>
              <w:top w:val="nil"/>
              <w:left w:val="nil"/>
              <w:bottom w:val="single" w:sz="4" w:space="0" w:color="auto"/>
              <w:right w:val="single" w:sz="4" w:space="0" w:color="auto"/>
            </w:tcBorders>
            <w:shd w:val="clear" w:color="auto" w:fill="auto"/>
            <w:noWrap/>
            <w:vAlign w:val="center"/>
          </w:tcPr>
          <w:p w14:paraId="38F8EE02"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124.438</w:t>
            </w:r>
          </w:p>
        </w:tc>
        <w:tc>
          <w:tcPr>
            <w:tcW w:w="1134" w:type="dxa"/>
            <w:tcBorders>
              <w:top w:val="nil"/>
              <w:left w:val="nil"/>
              <w:bottom w:val="single" w:sz="4" w:space="0" w:color="auto"/>
              <w:right w:val="single" w:sz="4" w:space="0" w:color="auto"/>
            </w:tcBorders>
            <w:shd w:val="clear" w:color="auto" w:fill="auto"/>
            <w:noWrap/>
            <w:vAlign w:val="center"/>
          </w:tcPr>
          <w:p w14:paraId="40CF88A3"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929.906</w:t>
            </w:r>
          </w:p>
        </w:tc>
      </w:tr>
      <w:tr w:rsidR="00C746F4" w:rsidRPr="00A1588E" w14:paraId="51FF104D"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0F7280CF"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N_89</w:t>
            </w:r>
          </w:p>
        </w:tc>
        <w:tc>
          <w:tcPr>
            <w:tcW w:w="4253" w:type="dxa"/>
            <w:tcBorders>
              <w:top w:val="nil"/>
              <w:left w:val="nil"/>
              <w:bottom w:val="single" w:sz="4" w:space="0" w:color="auto"/>
              <w:right w:val="single" w:sz="4" w:space="0" w:color="auto"/>
            </w:tcBorders>
            <w:shd w:val="clear" w:color="auto" w:fill="auto"/>
            <w:noWrap/>
            <w:vAlign w:val="center"/>
            <w:hideMark/>
          </w:tcPr>
          <w:p w14:paraId="36C43C92"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Nogales 220-&gt;Rio Aconcagua 220</w:t>
            </w:r>
          </w:p>
        </w:tc>
        <w:tc>
          <w:tcPr>
            <w:tcW w:w="1134" w:type="dxa"/>
            <w:tcBorders>
              <w:top w:val="nil"/>
              <w:left w:val="nil"/>
              <w:bottom w:val="single" w:sz="4" w:space="0" w:color="auto"/>
              <w:right w:val="single" w:sz="4" w:space="0" w:color="auto"/>
            </w:tcBorders>
            <w:shd w:val="clear" w:color="auto" w:fill="auto"/>
            <w:noWrap/>
            <w:vAlign w:val="center"/>
          </w:tcPr>
          <w:p w14:paraId="21548FCC"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asciiTheme="minorHAnsi" w:hAnsiTheme="minorHAnsi" w:cstheme="minorHAnsi"/>
                <w:sz w:val="20"/>
                <w:szCs w:val="20"/>
              </w:rPr>
              <w:t>-</w:t>
            </w:r>
          </w:p>
        </w:tc>
        <w:tc>
          <w:tcPr>
            <w:tcW w:w="1134" w:type="dxa"/>
            <w:tcBorders>
              <w:top w:val="nil"/>
              <w:left w:val="nil"/>
              <w:bottom w:val="single" w:sz="4" w:space="0" w:color="auto"/>
              <w:right w:val="single" w:sz="4" w:space="0" w:color="auto"/>
            </w:tcBorders>
            <w:shd w:val="clear" w:color="auto" w:fill="auto"/>
            <w:noWrap/>
            <w:vAlign w:val="center"/>
          </w:tcPr>
          <w:p w14:paraId="441D4805"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w:t>
            </w:r>
          </w:p>
        </w:tc>
        <w:tc>
          <w:tcPr>
            <w:tcW w:w="1134" w:type="dxa"/>
            <w:tcBorders>
              <w:top w:val="nil"/>
              <w:left w:val="nil"/>
              <w:bottom w:val="single" w:sz="4" w:space="0" w:color="auto"/>
              <w:right w:val="single" w:sz="4" w:space="0" w:color="auto"/>
            </w:tcBorders>
            <w:shd w:val="clear" w:color="auto" w:fill="auto"/>
            <w:noWrap/>
            <w:vAlign w:val="center"/>
          </w:tcPr>
          <w:p w14:paraId="3260C986"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w:t>
            </w:r>
          </w:p>
        </w:tc>
        <w:tc>
          <w:tcPr>
            <w:tcW w:w="1134" w:type="dxa"/>
            <w:tcBorders>
              <w:top w:val="nil"/>
              <w:left w:val="nil"/>
              <w:bottom w:val="single" w:sz="4" w:space="0" w:color="auto"/>
              <w:right w:val="single" w:sz="4" w:space="0" w:color="auto"/>
            </w:tcBorders>
            <w:shd w:val="clear" w:color="auto" w:fill="auto"/>
            <w:noWrap/>
            <w:vAlign w:val="center"/>
          </w:tcPr>
          <w:p w14:paraId="461FEE20"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w:t>
            </w:r>
          </w:p>
        </w:tc>
      </w:tr>
      <w:tr w:rsidR="00C746F4" w:rsidRPr="00A1588E" w14:paraId="67B781A0"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4121292C"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N_90</w:t>
            </w:r>
          </w:p>
        </w:tc>
        <w:tc>
          <w:tcPr>
            <w:tcW w:w="4253" w:type="dxa"/>
            <w:tcBorders>
              <w:top w:val="nil"/>
              <w:left w:val="nil"/>
              <w:bottom w:val="single" w:sz="4" w:space="0" w:color="auto"/>
              <w:right w:val="single" w:sz="4" w:space="0" w:color="auto"/>
            </w:tcBorders>
            <w:shd w:val="clear" w:color="auto" w:fill="auto"/>
            <w:noWrap/>
            <w:vAlign w:val="center"/>
            <w:hideMark/>
          </w:tcPr>
          <w:p w14:paraId="3035569A"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Nogales 220-&gt;Tap Doña Carmen 220</w:t>
            </w:r>
          </w:p>
        </w:tc>
        <w:tc>
          <w:tcPr>
            <w:tcW w:w="1134" w:type="dxa"/>
            <w:tcBorders>
              <w:top w:val="nil"/>
              <w:left w:val="nil"/>
              <w:bottom w:val="single" w:sz="4" w:space="0" w:color="auto"/>
              <w:right w:val="single" w:sz="4" w:space="0" w:color="auto"/>
            </w:tcBorders>
            <w:shd w:val="clear" w:color="auto" w:fill="auto"/>
            <w:noWrap/>
            <w:vAlign w:val="center"/>
          </w:tcPr>
          <w:p w14:paraId="09480EB7"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323.865</w:t>
            </w:r>
          </w:p>
        </w:tc>
        <w:tc>
          <w:tcPr>
            <w:tcW w:w="1134" w:type="dxa"/>
            <w:tcBorders>
              <w:top w:val="nil"/>
              <w:left w:val="nil"/>
              <w:bottom w:val="single" w:sz="4" w:space="0" w:color="auto"/>
              <w:right w:val="single" w:sz="4" w:space="0" w:color="auto"/>
            </w:tcBorders>
            <w:shd w:val="clear" w:color="auto" w:fill="auto"/>
            <w:noWrap/>
            <w:vAlign w:val="center"/>
          </w:tcPr>
          <w:p w14:paraId="2C6941DF"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65.268</w:t>
            </w:r>
          </w:p>
        </w:tc>
        <w:tc>
          <w:tcPr>
            <w:tcW w:w="1134" w:type="dxa"/>
            <w:tcBorders>
              <w:top w:val="nil"/>
              <w:left w:val="nil"/>
              <w:bottom w:val="single" w:sz="4" w:space="0" w:color="auto"/>
              <w:right w:val="single" w:sz="4" w:space="0" w:color="auto"/>
            </w:tcBorders>
            <w:shd w:val="clear" w:color="auto" w:fill="auto"/>
            <w:noWrap/>
            <w:vAlign w:val="center"/>
          </w:tcPr>
          <w:p w14:paraId="5D10D51D"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67.773</w:t>
            </w:r>
          </w:p>
        </w:tc>
        <w:tc>
          <w:tcPr>
            <w:tcW w:w="1134" w:type="dxa"/>
            <w:tcBorders>
              <w:top w:val="nil"/>
              <w:left w:val="nil"/>
              <w:bottom w:val="single" w:sz="4" w:space="0" w:color="auto"/>
              <w:right w:val="single" w:sz="4" w:space="0" w:color="auto"/>
            </w:tcBorders>
            <w:shd w:val="clear" w:color="auto" w:fill="auto"/>
            <w:noWrap/>
            <w:vAlign w:val="center"/>
          </w:tcPr>
          <w:p w14:paraId="69CC8FDA"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456.905</w:t>
            </w:r>
          </w:p>
        </w:tc>
      </w:tr>
      <w:tr w:rsidR="00C746F4" w:rsidRPr="00A1588E" w14:paraId="775E434C"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05F4B264"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N_91</w:t>
            </w:r>
          </w:p>
        </w:tc>
        <w:tc>
          <w:tcPr>
            <w:tcW w:w="4253" w:type="dxa"/>
            <w:tcBorders>
              <w:top w:val="nil"/>
              <w:left w:val="nil"/>
              <w:bottom w:val="single" w:sz="4" w:space="0" w:color="auto"/>
              <w:right w:val="single" w:sz="4" w:space="0" w:color="auto"/>
            </w:tcBorders>
            <w:shd w:val="clear" w:color="auto" w:fill="auto"/>
            <w:noWrap/>
            <w:vAlign w:val="center"/>
            <w:hideMark/>
          </w:tcPr>
          <w:p w14:paraId="176C62F3"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Nueva Alto Melipilla 220-&gt;Alto Melipilla 220</w:t>
            </w:r>
          </w:p>
        </w:tc>
        <w:tc>
          <w:tcPr>
            <w:tcW w:w="1134" w:type="dxa"/>
            <w:tcBorders>
              <w:top w:val="nil"/>
              <w:left w:val="nil"/>
              <w:bottom w:val="single" w:sz="4" w:space="0" w:color="auto"/>
              <w:right w:val="single" w:sz="4" w:space="0" w:color="auto"/>
            </w:tcBorders>
            <w:shd w:val="clear" w:color="auto" w:fill="auto"/>
            <w:noWrap/>
            <w:vAlign w:val="center"/>
          </w:tcPr>
          <w:p w14:paraId="341CB5BB"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69.042</w:t>
            </w:r>
          </w:p>
        </w:tc>
        <w:tc>
          <w:tcPr>
            <w:tcW w:w="1134" w:type="dxa"/>
            <w:tcBorders>
              <w:top w:val="nil"/>
              <w:left w:val="nil"/>
              <w:bottom w:val="single" w:sz="4" w:space="0" w:color="auto"/>
              <w:right w:val="single" w:sz="4" w:space="0" w:color="auto"/>
            </w:tcBorders>
            <w:shd w:val="clear" w:color="auto" w:fill="auto"/>
            <w:noWrap/>
            <w:vAlign w:val="center"/>
          </w:tcPr>
          <w:p w14:paraId="4C749C47"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13.859</w:t>
            </w:r>
          </w:p>
        </w:tc>
        <w:tc>
          <w:tcPr>
            <w:tcW w:w="1134" w:type="dxa"/>
            <w:tcBorders>
              <w:top w:val="nil"/>
              <w:left w:val="nil"/>
              <w:bottom w:val="single" w:sz="4" w:space="0" w:color="auto"/>
              <w:right w:val="single" w:sz="4" w:space="0" w:color="auto"/>
            </w:tcBorders>
            <w:shd w:val="clear" w:color="auto" w:fill="auto"/>
            <w:noWrap/>
            <w:vAlign w:val="center"/>
          </w:tcPr>
          <w:p w14:paraId="309C255D"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11.014</w:t>
            </w:r>
          </w:p>
        </w:tc>
        <w:tc>
          <w:tcPr>
            <w:tcW w:w="1134" w:type="dxa"/>
            <w:tcBorders>
              <w:top w:val="nil"/>
              <w:left w:val="nil"/>
              <w:bottom w:val="single" w:sz="4" w:space="0" w:color="auto"/>
              <w:right w:val="single" w:sz="4" w:space="0" w:color="auto"/>
            </w:tcBorders>
            <w:shd w:val="clear" w:color="auto" w:fill="auto"/>
            <w:noWrap/>
            <w:vAlign w:val="center"/>
          </w:tcPr>
          <w:p w14:paraId="715224E4"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93.915</w:t>
            </w:r>
          </w:p>
        </w:tc>
      </w:tr>
      <w:tr w:rsidR="00C746F4" w:rsidRPr="00A1588E" w14:paraId="0BA36BF5"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7648C034"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N_92</w:t>
            </w:r>
          </w:p>
        </w:tc>
        <w:tc>
          <w:tcPr>
            <w:tcW w:w="4253" w:type="dxa"/>
            <w:tcBorders>
              <w:top w:val="nil"/>
              <w:left w:val="nil"/>
              <w:bottom w:val="single" w:sz="4" w:space="0" w:color="auto"/>
              <w:right w:val="single" w:sz="4" w:space="0" w:color="auto"/>
            </w:tcBorders>
            <w:shd w:val="clear" w:color="auto" w:fill="auto"/>
            <w:noWrap/>
            <w:vAlign w:val="center"/>
            <w:hideMark/>
          </w:tcPr>
          <w:p w14:paraId="600285FF"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Nueva Alto Melipilla 220-&gt;Rapel 220</w:t>
            </w:r>
          </w:p>
        </w:tc>
        <w:tc>
          <w:tcPr>
            <w:tcW w:w="1134" w:type="dxa"/>
            <w:tcBorders>
              <w:top w:val="nil"/>
              <w:left w:val="nil"/>
              <w:bottom w:val="single" w:sz="4" w:space="0" w:color="auto"/>
              <w:right w:val="single" w:sz="4" w:space="0" w:color="auto"/>
            </w:tcBorders>
            <w:shd w:val="clear" w:color="auto" w:fill="auto"/>
            <w:noWrap/>
            <w:vAlign w:val="center"/>
          </w:tcPr>
          <w:p w14:paraId="5BDB7242"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1.080.293</w:t>
            </w:r>
          </w:p>
        </w:tc>
        <w:tc>
          <w:tcPr>
            <w:tcW w:w="1134" w:type="dxa"/>
            <w:tcBorders>
              <w:top w:val="nil"/>
              <w:left w:val="nil"/>
              <w:bottom w:val="single" w:sz="4" w:space="0" w:color="auto"/>
              <w:right w:val="single" w:sz="4" w:space="0" w:color="auto"/>
            </w:tcBorders>
            <w:shd w:val="clear" w:color="auto" w:fill="auto"/>
            <w:noWrap/>
            <w:vAlign w:val="center"/>
          </w:tcPr>
          <w:p w14:paraId="0CBB3A07"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217.708</w:t>
            </w:r>
          </w:p>
        </w:tc>
        <w:tc>
          <w:tcPr>
            <w:tcW w:w="1134" w:type="dxa"/>
            <w:tcBorders>
              <w:top w:val="nil"/>
              <w:left w:val="nil"/>
              <w:bottom w:val="single" w:sz="4" w:space="0" w:color="auto"/>
              <w:right w:val="single" w:sz="4" w:space="0" w:color="auto"/>
            </w:tcBorders>
            <w:shd w:val="clear" w:color="auto" w:fill="auto"/>
            <w:noWrap/>
            <w:vAlign w:val="center"/>
          </w:tcPr>
          <w:p w14:paraId="05ADCF2D"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243.713</w:t>
            </w:r>
          </w:p>
        </w:tc>
        <w:tc>
          <w:tcPr>
            <w:tcW w:w="1134" w:type="dxa"/>
            <w:tcBorders>
              <w:top w:val="nil"/>
              <w:left w:val="nil"/>
              <w:bottom w:val="single" w:sz="4" w:space="0" w:color="auto"/>
              <w:right w:val="single" w:sz="4" w:space="0" w:color="auto"/>
            </w:tcBorders>
            <w:shd w:val="clear" w:color="auto" w:fill="auto"/>
            <w:noWrap/>
            <w:vAlign w:val="center"/>
          </w:tcPr>
          <w:p w14:paraId="77F1A066"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1.541.714</w:t>
            </w:r>
          </w:p>
        </w:tc>
      </w:tr>
      <w:tr w:rsidR="00C746F4" w:rsidRPr="00A1588E" w14:paraId="69AEF94C"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17715612"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N_93</w:t>
            </w:r>
          </w:p>
        </w:tc>
        <w:tc>
          <w:tcPr>
            <w:tcW w:w="4253" w:type="dxa"/>
            <w:tcBorders>
              <w:top w:val="nil"/>
              <w:left w:val="nil"/>
              <w:bottom w:val="single" w:sz="4" w:space="0" w:color="auto"/>
              <w:right w:val="single" w:sz="4" w:space="0" w:color="auto"/>
            </w:tcBorders>
            <w:shd w:val="clear" w:color="auto" w:fill="auto"/>
            <w:noWrap/>
            <w:vAlign w:val="center"/>
            <w:hideMark/>
          </w:tcPr>
          <w:p w14:paraId="71FFAFA0"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Nueva Cardones 220-&gt;Nueva Cardones 500</w:t>
            </w:r>
          </w:p>
        </w:tc>
        <w:tc>
          <w:tcPr>
            <w:tcW w:w="1134" w:type="dxa"/>
            <w:tcBorders>
              <w:top w:val="nil"/>
              <w:left w:val="nil"/>
              <w:bottom w:val="single" w:sz="4" w:space="0" w:color="auto"/>
              <w:right w:val="single" w:sz="4" w:space="0" w:color="auto"/>
            </w:tcBorders>
            <w:shd w:val="clear" w:color="auto" w:fill="auto"/>
            <w:noWrap/>
            <w:vAlign w:val="center"/>
          </w:tcPr>
          <w:p w14:paraId="79018B14"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asciiTheme="minorHAnsi" w:hAnsiTheme="minorHAnsi" w:cstheme="minorHAnsi"/>
                <w:sz w:val="20"/>
                <w:szCs w:val="20"/>
              </w:rPr>
              <w:t>-</w:t>
            </w:r>
          </w:p>
        </w:tc>
        <w:tc>
          <w:tcPr>
            <w:tcW w:w="1134" w:type="dxa"/>
            <w:tcBorders>
              <w:top w:val="nil"/>
              <w:left w:val="nil"/>
              <w:bottom w:val="single" w:sz="4" w:space="0" w:color="auto"/>
              <w:right w:val="single" w:sz="4" w:space="0" w:color="auto"/>
            </w:tcBorders>
            <w:shd w:val="clear" w:color="auto" w:fill="auto"/>
            <w:noWrap/>
            <w:vAlign w:val="center"/>
          </w:tcPr>
          <w:p w14:paraId="4B416524"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w:t>
            </w:r>
          </w:p>
        </w:tc>
        <w:tc>
          <w:tcPr>
            <w:tcW w:w="1134" w:type="dxa"/>
            <w:tcBorders>
              <w:top w:val="nil"/>
              <w:left w:val="nil"/>
              <w:bottom w:val="single" w:sz="4" w:space="0" w:color="auto"/>
              <w:right w:val="single" w:sz="4" w:space="0" w:color="auto"/>
            </w:tcBorders>
            <w:shd w:val="clear" w:color="auto" w:fill="auto"/>
            <w:noWrap/>
            <w:vAlign w:val="center"/>
          </w:tcPr>
          <w:p w14:paraId="26D1FF0E"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w:t>
            </w:r>
          </w:p>
        </w:tc>
        <w:tc>
          <w:tcPr>
            <w:tcW w:w="1134" w:type="dxa"/>
            <w:tcBorders>
              <w:top w:val="nil"/>
              <w:left w:val="nil"/>
              <w:bottom w:val="single" w:sz="4" w:space="0" w:color="auto"/>
              <w:right w:val="single" w:sz="4" w:space="0" w:color="auto"/>
            </w:tcBorders>
            <w:shd w:val="clear" w:color="auto" w:fill="auto"/>
            <w:noWrap/>
            <w:vAlign w:val="center"/>
          </w:tcPr>
          <w:p w14:paraId="613281EB"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w:t>
            </w:r>
          </w:p>
        </w:tc>
      </w:tr>
      <w:tr w:rsidR="00C746F4" w:rsidRPr="00A1588E" w14:paraId="30C98207"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789ECC25"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N_94</w:t>
            </w:r>
          </w:p>
        </w:tc>
        <w:tc>
          <w:tcPr>
            <w:tcW w:w="4253" w:type="dxa"/>
            <w:tcBorders>
              <w:top w:val="nil"/>
              <w:left w:val="nil"/>
              <w:bottom w:val="single" w:sz="4" w:space="0" w:color="auto"/>
              <w:right w:val="single" w:sz="4" w:space="0" w:color="auto"/>
            </w:tcBorders>
            <w:shd w:val="clear" w:color="auto" w:fill="auto"/>
            <w:noWrap/>
            <w:vAlign w:val="center"/>
            <w:hideMark/>
          </w:tcPr>
          <w:p w14:paraId="7F0AAB16"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Nueva Diego de Almagro 220-&gt;Diego de Almagro 220</w:t>
            </w:r>
          </w:p>
        </w:tc>
        <w:tc>
          <w:tcPr>
            <w:tcW w:w="1134" w:type="dxa"/>
            <w:tcBorders>
              <w:top w:val="nil"/>
              <w:left w:val="nil"/>
              <w:bottom w:val="single" w:sz="4" w:space="0" w:color="auto"/>
              <w:right w:val="single" w:sz="4" w:space="0" w:color="auto"/>
            </w:tcBorders>
            <w:shd w:val="clear" w:color="auto" w:fill="auto"/>
            <w:noWrap/>
            <w:vAlign w:val="center"/>
          </w:tcPr>
          <w:p w14:paraId="575270BD"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489.166</w:t>
            </w:r>
          </w:p>
        </w:tc>
        <w:tc>
          <w:tcPr>
            <w:tcW w:w="1134" w:type="dxa"/>
            <w:tcBorders>
              <w:top w:val="nil"/>
              <w:left w:val="nil"/>
              <w:bottom w:val="single" w:sz="4" w:space="0" w:color="auto"/>
              <w:right w:val="single" w:sz="4" w:space="0" w:color="auto"/>
            </w:tcBorders>
            <w:shd w:val="clear" w:color="auto" w:fill="auto"/>
            <w:noWrap/>
            <w:vAlign w:val="center"/>
          </w:tcPr>
          <w:p w14:paraId="10BBE558"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98.819</w:t>
            </w:r>
          </w:p>
        </w:tc>
        <w:tc>
          <w:tcPr>
            <w:tcW w:w="1134" w:type="dxa"/>
            <w:tcBorders>
              <w:top w:val="nil"/>
              <w:left w:val="nil"/>
              <w:bottom w:val="single" w:sz="4" w:space="0" w:color="auto"/>
              <w:right w:val="single" w:sz="4" w:space="0" w:color="auto"/>
            </w:tcBorders>
            <w:shd w:val="clear" w:color="auto" w:fill="auto"/>
            <w:noWrap/>
            <w:vAlign w:val="center"/>
          </w:tcPr>
          <w:p w14:paraId="135A1CEA"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84.740</w:t>
            </w:r>
          </w:p>
        </w:tc>
        <w:tc>
          <w:tcPr>
            <w:tcW w:w="1134" w:type="dxa"/>
            <w:tcBorders>
              <w:top w:val="nil"/>
              <w:left w:val="nil"/>
              <w:bottom w:val="single" w:sz="4" w:space="0" w:color="auto"/>
              <w:right w:val="single" w:sz="4" w:space="0" w:color="auto"/>
            </w:tcBorders>
            <w:shd w:val="clear" w:color="auto" w:fill="auto"/>
            <w:noWrap/>
            <w:vAlign w:val="center"/>
          </w:tcPr>
          <w:p w14:paraId="0313FC7A"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672.725</w:t>
            </w:r>
          </w:p>
        </w:tc>
      </w:tr>
      <w:tr w:rsidR="00C746F4" w:rsidRPr="00A1588E" w14:paraId="5C4B7E56"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3D8E18BE"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N_95</w:t>
            </w:r>
          </w:p>
        </w:tc>
        <w:tc>
          <w:tcPr>
            <w:tcW w:w="4253" w:type="dxa"/>
            <w:tcBorders>
              <w:top w:val="nil"/>
              <w:left w:val="nil"/>
              <w:bottom w:val="single" w:sz="4" w:space="0" w:color="auto"/>
              <w:right w:val="single" w:sz="4" w:space="0" w:color="auto"/>
            </w:tcBorders>
            <w:shd w:val="clear" w:color="auto" w:fill="auto"/>
            <w:noWrap/>
            <w:vAlign w:val="center"/>
            <w:hideMark/>
          </w:tcPr>
          <w:p w14:paraId="0F580579"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Nueva Lampa 220-&gt;Cerro Navia Desf 220</w:t>
            </w:r>
          </w:p>
        </w:tc>
        <w:tc>
          <w:tcPr>
            <w:tcW w:w="1134" w:type="dxa"/>
            <w:tcBorders>
              <w:top w:val="nil"/>
              <w:left w:val="nil"/>
              <w:bottom w:val="single" w:sz="4" w:space="0" w:color="auto"/>
              <w:right w:val="single" w:sz="4" w:space="0" w:color="auto"/>
            </w:tcBorders>
            <w:shd w:val="clear" w:color="auto" w:fill="auto"/>
            <w:noWrap/>
            <w:vAlign w:val="center"/>
          </w:tcPr>
          <w:p w14:paraId="3ED69B45"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318.346</w:t>
            </w:r>
          </w:p>
        </w:tc>
        <w:tc>
          <w:tcPr>
            <w:tcW w:w="1134" w:type="dxa"/>
            <w:tcBorders>
              <w:top w:val="nil"/>
              <w:left w:val="nil"/>
              <w:bottom w:val="single" w:sz="4" w:space="0" w:color="auto"/>
              <w:right w:val="single" w:sz="4" w:space="0" w:color="auto"/>
            </w:tcBorders>
            <w:shd w:val="clear" w:color="auto" w:fill="auto"/>
            <w:noWrap/>
            <w:vAlign w:val="center"/>
          </w:tcPr>
          <w:p w14:paraId="4A0F7544"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64.155</w:t>
            </w:r>
          </w:p>
        </w:tc>
        <w:tc>
          <w:tcPr>
            <w:tcW w:w="1134" w:type="dxa"/>
            <w:tcBorders>
              <w:top w:val="nil"/>
              <w:left w:val="nil"/>
              <w:bottom w:val="single" w:sz="4" w:space="0" w:color="auto"/>
              <w:right w:val="single" w:sz="4" w:space="0" w:color="auto"/>
            </w:tcBorders>
            <w:shd w:val="clear" w:color="auto" w:fill="auto"/>
            <w:noWrap/>
            <w:vAlign w:val="center"/>
          </w:tcPr>
          <w:p w14:paraId="4E128B51"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65.625</w:t>
            </w:r>
          </w:p>
        </w:tc>
        <w:tc>
          <w:tcPr>
            <w:tcW w:w="1134" w:type="dxa"/>
            <w:tcBorders>
              <w:top w:val="nil"/>
              <w:left w:val="nil"/>
              <w:bottom w:val="single" w:sz="4" w:space="0" w:color="auto"/>
              <w:right w:val="single" w:sz="4" w:space="0" w:color="auto"/>
            </w:tcBorders>
            <w:shd w:val="clear" w:color="auto" w:fill="auto"/>
            <w:noWrap/>
            <w:vAlign w:val="center"/>
          </w:tcPr>
          <w:p w14:paraId="3877858F"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448.126</w:t>
            </w:r>
          </w:p>
        </w:tc>
      </w:tr>
      <w:tr w:rsidR="00C746F4" w:rsidRPr="00A1588E" w14:paraId="01F8EA54"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573A9CB5"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N_96</w:t>
            </w:r>
          </w:p>
        </w:tc>
        <w:tc>
          <w:tcPr>
            <w:tcW w:w="4253" w:type="dxa"/>
            <w:tcBorders>
              <w:top w:val="nil"/>
              <w:left w:val="nil"/>
              <w:bottom w:val="single" w:sz="4" w:space="0" w:color="auto"/>
              <w:right w:val="single" w:sz="4" w:space="0" w:color="auto"/>
            </w:tcBorders>
            <w:shd w:val="clear" w:color="auto" w:fill="auto"/>
            <w:noWrap/>
            <w:vAlign w:val="center"/>
            <w:hideMark/>
          </w:tcPr>
          <w:p w14:paraId="7E9AA211"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Nueva Lampa 220-&gt;Polpaico 220</w:t>
            </w:r>
          </w:p>
        </w:tc>
        <w:tc>
          <w:tcPr>
            <w:tcW w:w="1134" w:type="dxa"/>
            <w:tcBorders>
              <w:top w:val="nil"/>
              <w:left w:val="nil"/>
              <w:bottom w:val="single" w:sz="4" w:space="0" w:color="auto"/>
              <w:right w:val="single" w:sz="4" w:space="0" w:color="auto"/>
            </w:tcBorders>
            <w:shd w:val="clear" w:color="auto" w:fill="auto"/>
            <w:noWrap/>
            <w:vAlign w:val="center"/>
          </w:tcPr>
          <w:p w14:paraId="0D486FF9"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393.154</w:t>
            </w:r>
          </w:p>
        </w:tc>
        <w:tc>
          <w:tcPr>
            <w:tcW w:w="1134" w:type="dxa"/>
            <w:tcBorders>
              <w:top w:val="nil"/>
              <w:left w:val="nil"/>
              <w:bottom w:val="single" w:sz="4" w:space="0" w:color="auto"/>
              <w:right w:val="single" w:sz="4" w:space="0" w:color="auto"/>
            </w:tcBorders>
            <w:shd w:val="clear" w:color="auto" w:fill="auto"/>
            <w:noWrap/>
            <w:vAlign w:val="center"/>
          </w:tcPr>
          <w:p w14:paraId="2EFC586F"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79.227</w:t>
            </w:r>
          </w:p>
        </w:tc>
        <w:tc>
          <w:tcPr>
            <w:tcW w:w="1134" w:type="dxa"/>
            <w:tcBorders>
              <w:top w:val="nil"/>
              <w:left w:val="nil"/>
              <w:bottom w:val="single" w:sz="4" w:space="0" w:color="auto"/>
              <w:right w:val="single" w:sz="4" w:space="0" w:color="auto"/>
            </w:tcBorders>
            <w:shd w:val="clear" w:color="auto" w:fill="auto"/>
            <w:noWrap/>
            <w:vAlign w:val="center"/>
          </w:tcPr>
          <w:p w14:paraId="21D95DE9"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76.654</w:t>
            </w:r>
          </w:p>
        </w:tc>
        <w:tc>
          <w:tcPr>
            <w:tcW w:w="1134" w:type="dxa"/>
            <w:tcBorders>
              <w:top w:val="nil"/>
              <w:left w:val="nil"/>
              <w:bottom w:val="single" w:sz="4" w:space="0" w:color="auto"/>
              <w:right w:val="single" w:sz="4" w:space="0" w:color="auto"/>
            </w:tcBorders>
            <w:shd w:val="clear" w:color="auto" w:fill="auto"/>
            <w:noWrap/>
            <w:vAlign w:val="center"/>
          </w:tcPr>
          <w:p w14:paraId="2AF48757"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549.035</w:t>
            </w:r>
          </w:p>
        </w:tc>
      </w:tr>
      <w:tr w:rsidR="00C746F4" w:rsidRPr="00A1588E" w14:paraId="22750A45"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45424433"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N_97</w:t>
            </w:r>
          </w:p>
        </w:tc>
        <w:tc>
          <w:tcPr>
            <w:tcW w:w="4253" w:type="dxa"/>
            <w:tcBorders>
              <w:top w:val="nil"/>
              <w:left w:val="nil"/>
              <w:bottom w:val="single" w:sz="4" w:space="0" w:color="auto"/>
              <w:right w:val="single" w:sz="4" w:space="0" w:color="auto"/>
            </w:tcBorders>
            <w:shd w:val="clear" w:color="auto" w:fill="auto"/>
            <w:noWrap/>
            <w:vAlign w:val="center"/>
            <w:hideMark/>
          </w:tcPr>
          <w:p w14:paraId="1A3F2E66"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Nueva Pan de Azúcar 500-&gt;Polpaico 500</w:t>
            </w:r>
          </w:p>
        </w:tc>
        <w:tc>
          <w:tcPr>
            <w:tcW w:w="1134" w:type="dxa"/>
            <w:tcBorders>
              <w:top w:val="nil"/>
              <w:left w:val="nil"/>
              <w:bottom w:val="single" w:sz="4" w:space="0" w:color="auto"/>
              <w:right w:val="single" w:sz="4" w:space="0" w:color="auto"/>
            </w:tcBorders>
            <w:shd w:val="clear" w:color="auto" w:fill="auto"/>
            <w:noWrap/>
            <w:vAlign w:val="center"/>
          </w:tcPr>
          <w:p w14:paraId="04E3CFAE"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asciiTheme="minorHAnsi" w:hAnsiTheme="minorHAnsi" w:cstheme="minorHAnsi"/>
                <w:sz w:val="20"/>
                <w:szCs w:val="20"/>
              </w:rPr>
              <w:t>-</w:t>
            </w:r>
          </w:p>
        </w:tc>
        <w:tc>
          <w:tcPr>
            <w:tcW w:w="1134" w:type="dxa"/>
            <w:tcBorders>
              <w:top w:val="nil"/>
              <w:left w:val="nil"/>
              <w:bottom w:val="single" w:sz="4" w:space="0" w:color="auto"/>
              <w:right w:val="single" w:sz="4" w:space="0" w:color="auto"/>
            </w:tcBorders>
            <w:shd w:val="clear" w:color="auto" w:fill="auto"/>
            <w:noWrap/>
            <w:vAlign w:val="center"/>
          </w:tcPr>
          <w:p w14:paraId="32A30AC5"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w:t>
            </w:r>
          </w:p>
        </w:tc>
        <w:tc>
          <w:tcPr>
            <w:tcW w:w="1134" w:type="dxa"/>
            <w:tcBorders>
              <w:top w:val="nil"/>
              <w:left w:val="nil"/>
              <w:bottom w:val="single" w:sz="4" w:space="0" w:color="auto"/>
              <w:right w:val="single" w:sz="4" w:space="0" w:color="auto"/>
            </w:tcBorders>
            <w:shd w:val="clear" w:color="auto" w:fill="auto"/>
            <w:noWrap/>
            <w:vAlign w:val="center"/>
          </w:tcPr>
          <w:p w14:paraId="33E10920"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w:t>
            </w:r>
          </w:p>
        </w:tc>
        <w:tc>
          <w:tcPr>
            <w:tcW w:w="1134" w:type="dxa"/>
            <w:tcBorders>
              <w:top w:val="nil"/>
              <w:left w:val="nil"/>
              <w:bottom w:val="single" w:sz="4" w:space="0" w:color="auto"/>
              <w:right w:val="single" w:sz="4" w:space="0" w:color="auto"/>
            </w:tcBorders>
            <w:shd w:val="clear" w:color="auto" w:fill="auto"/>
            <w:noWrap/>
            <w:vAlign w:val="center"/>
          </w:tcPr>
          <w:p w14:paraId="5B27D722"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w:t>
            </w:r>
          </w:p>
        </w:tc>
      </w:tr>
      <w:tr w:rsidR="00C746F4" w:rsidRPr="00A1588E" w14:paraId="4EB9096C"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7F17C783"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N_98</w:t>
            </w:r>
          </w:p>
        </w:tc>
        <w:tc>
          <w:tcPr>
            <w:tcW w:w="4253" w:type="dxa"/>
            <w:tcBorders>
              <w:top w:val="nil"/>
              <w:left w:val="nil"/>
              <w:bottom w:val="single" w:sz="4" w:space="0" w:color="auto"/>
              <w:right w:val="single" w:sz="4" w:space="0" w:color="auto"/>
            </w:tcBorders>
            <w:shd w:val="clear" w:color="auto" w:fill="auto"/>
            <w:noWrap/>
            <w:vAlign w:val="center"/>
            <w:hideMark/>
          </w:tcPr>
          <w:p w14:paraId="4E4DF39C"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Nueva Pichirropulli 220-&gt;Nueva Valdivia 220</w:t>
            </w:r>
          </w:p>
        </w:tc>
        <w:tc>
          <w:tcPr>
            <w:tcW w:w="1134" w:type="dxa"/>
            <w:tcBorders>
              <w:top w:val="nil"/>
              <w:left w:val="nil"/>
              <w:bottom w:val="single" w:sz="4" w:space="0" w:color="auto"/>
              <w:right w:val="single" w:sz="4" w:space="0" w:color="auto"/>
            </w:tcBorders>
            <w:shd w:val="clear" w:color="auto" w:fill="auto"/>
            <w:noWrap/>
            <w:vAlign w:val="center"/>
          </w:tcPr>
          <w:p w14:paraId="1F878DA7"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899.645</w:t>
            </w:r>
          </w:p>
        </w:tc>
        <w:tc>
          <w:tcPr>
            <w:tcW w:w="1134" w:type="dxa"/>
            <w:tcBorders>
              <w:top w:val="nil"/>
              <w:left w:val="nil"/>
              <w:bottom w:val="single" w:sz="4" w:space="0" w:color="auto"/>
              <w:right w:val="single" w:sz="4" w:space="0" w:color="auto"/>
            </w:tcBorders>
            <w:shd w:val="clear" w:color="auto" w:fill="auto"/>
            <w:noWrap/>
            <w:vAlign w:val="center"/>
          </w:tcPr>
          <w:p w14:paraId="2E51FB50"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181.349</w:t>
            </w:r>
          </w:p>
        </w:tc>
        <w:tc>
          <w:tcPr>
            <w:tcW w:w="1134" w:type="dxa"/>
            <w:tcBorders>
              <w:top w:val="nil"/>
              <w:left w:val="nil"/>
              <w:bottom w:val="single" w:sz="4" w:space="0" w:color="auto"/>
              <w:right w:val="single" w:sz="4" w:space="0" w:color="auto"/>
            </w:tcBorders>
            <w:shd w:val="clear" w:color="auto" w:fill="auto"/>
            <w:noWrap/>
            <w:vAlign w:val="center"/>
          </w:tcPr>
          <w:p w14:paraId="1A22F605"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163.890</w:t>
            </w:r>
          </w:p>
        </w:tc>
        <w:tc>
          <w:tcPr>
            <w:tcW w:w="1134" w:type="dxa"/>
            <w:tcBorders>
              <w:top w:val="nil"/>
              <w:left w:val="nil"/>
              <w:bottom w:val="single" w:sz="4" w:space="0" w:color="auto"/>
              <w:right w:val="single" w:sz="4" w:space="0" w:color="auto"/>
            </w:tcBorders>
            <w:shd w:val="clear" w:color="auto" w:fill="auto"/>
            <w:noWrap/>
            <w:vAlign w:val="center"/>
          </w:tcPr>
          <w:p w14:paraId="4A44DC02"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1.244.884</w:t>
            </w:r>
          </w:p>
        </w:tc>
      </w:tr>
      <w:tr w:rsidR="00C746F4" w:rsidRPr="00A1588E" w14:paraId="16277393"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2BAB6620"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N_99</w:t>
            </w:r>
          </w:p>
        </w:tc>
        <w:tc>
          <w:tcPr>
            <w:tcW w:w="4253" w:type="dxa"/>
            <w:tcBorders>
              <w:top w:val="nil"/>
              <w:left w:val="nil"/>
              <w:bottom w:val="single" w:sz="4" w:space="0" w:color="auto"/>
              <w:right w:val="single" w:sz="4" w:space="0" w:color="auto"/>
            </w:tcBorders>
            <w:shd w:val="clear" w:color="auto" w:fill="auto"/>
            <w:noWrap/>
            <w:vAlign w:val="center"/>
            <w:hideMark/>
          </w:tcPr>
          <w:p w14:paraId="6979B70F"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Nueva Puerto Montt 220-&gt;Frutillar Norte 220</w:t>
            </w:r>
          </w:p>
        </w:tc>
        <w:tc>
          <w:tcPr>
            <w:tcW w:w="1134" w:type="dxa"/>
            <w:tcBorders>
              <w:top w:val="nil"/>
              <w:left w:val="nil"/>
              <w:bottom w:val="single" w:sz="4" w:space="0" w:color="auto"/>
              <w:right w:val="single" w:sz="4" w:space="0" w:color="auto"/>
            </w:tcBorders>
            <w:shd w:val="clear" w:color="auto" w:fill="auto"/>
            <w:noWrap/>
            <w:vAlign w:val="center"/>
          </w:tcPr>
          <w:p w14:paraId="7D70A7B1"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365.455</w:t>
            </w:r>
          </w:p>
        </w:tc>
        <w:tc>
          <w:tcPr>
            <w:tcW w:w="1134" w:type="dxa"/>
            <w:tcBorders>
              <w:top w:val="nil"/>
              <w:left w:val="nil"/>
              <w:bottom w:val="single" w:sz="4" w:space="0" w:color="auto"/>
              <w:right w:val="single" w:sz="4" w:space="0" w:color="auto"/>
            </w:tcBorders>
            <w:shd w:val="clear" w:color="auto" w:fill="auto"/>
            <w:noWrap/>
            <w:vAlign w:val="center"/>
          </w:tcPr>
          <w:p w14:paraId="65DE2B0F"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73.596</w:t>
            </w:r>
          </w:p>
        </w:tc>
        <w:tc>
          <w:tcPr>
            <w:tcW w:w="1134" w:type="dxa"/>
            <w:tcBorders>
              <w:top w:val="nil"/>
              <w:left w:val="nil"/>
              <w:bottom w:val="single" w:sz="4" w:space="0" w:color="auto"/>
              <w:right w:val="single" w:sz="4" w:space="0" w:color="auto"/>
            </w:tcBorders>
            <w:shd w:val="clear" w:color="auto" w:fill="auto"/>
            <w:noWrap/>
            <w:vAlign w:val="center"/>
          </w:tcPr>
          <w:p w14:paraId="1726BEBC"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59.887</w:t>
            </w:r>
          </w:p>
        </w:tc>
        <w:tc>
          <w:tcPr>
            <w:tcW w:w="1134" w:type="dxa"/>
            <w:tcBorders>
              <w:top w:val="nil"/>
              <w:left w:val="nil"/>
              <w:bottom w:val="single" w:sz="4" w:space="0" w:color="auto"/>
              <w:right w:val="single" w:sz="4" w:space="0" w:color="auto"/>
            </w:tcBorders>
            <w:shd w:val="clear" w:color="auto" w:fill="auto"/>
            <w:noWrap/>
            <w:vAlign w:val="center"/>
          </w:tcPr>
          <w:p w14:paraId="446FF56F"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498.938</w:t>
            </w:r>
          </w:p>
        </w:tc>
      </w:tr>
      <w:tr w:rsidR="00C746F4" w:rsidRPr="00A1588E" w14:paraId="132ECFD2"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0289967D"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N_100</w:t>
            </w:r>
          </w:p>
        </w:tc>
        <w:tc>
          <w:tcPr>
            <w:tcW w:w="4253" w:type="dxa"/>
            <w:tcBorders>
              <w:top w:val="nil"/>
              <w:left w:val="nil"/>
              <w:bottom w:val="single" w:sz="4" w:space="0" w:color="auto"/>
              <w:right w:val="single" w:sz="4" w:space="0" w:color="auto"/>
            </w:tcBorders>
            <w:shd w:val="clear" w:color="auto" w:fill="auto"/>
            <w:noWrap/>
            <w:vAlign w:val="center"/>
            <w:hideMark/>
          </w:tcPr>
          <w:p w14:paraId="735EE2D8"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Nueva Puerto Montt 220-&gt;Llanquihue 220</w:t>
            </w:r>
          </w:p>
        </w:tc>
        <w:tc>
          <w:tcPr>
            <w:tcW w:w="1134" w:type="dxa"/>
            <w:tcBorders>
              <w:top w:val="nil"/>
              <w:left w:val="nil"/>
              <w:bottom w:val="single" w:sz="4" w:space="0" w:color="auto"/>
              <w:right w:val="single" w:sz="4" w:space="0" w:color="auto"/>
            </w:tcBorders>
            <w:shd w:val="clear" w:color="auto" w:fill="auto"/>
            <w:noWrap/>
            <w:vAlign w:val="center"/>
          </w:tcPr>
          <w:p w14:paraId="1A316379"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2.017</w:t>
            </w:r>
          </w:p>
        </w:tc>
        <w:tc>
          <w:tcPr>
            <w:tcW w:w="1134" w:type="dxa"/>
            <w:tcBorders>
              <w:top w:val="nil"/>
              <w:left w:val="nil"/>
              <w:bottom w:val="single" w:sz="4" w:space="0" w:color="auto"/>
              <w:right w:val="single" w:sz="4" w:space="0" w:color="auto"/>
            </w:tcBorders>
            <w:shd w:val="clear" w:color="auto" w:fill="auto"/>
            <w:noWrap/>
            <w:vAlign w:val="center"/>
          </w:tcPr>
          <w:p w14:paraId="73C1CBAE"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406</w:t>
            </w:r>
          </w:p>
        </w:tc>
        <w:tc>
          <w:tcPr>
            <w:tcW w:w="1134" w:type="dxa"/>
            <w:tcBorders>
              <w:top w:val="nil"/>
              <w:left w:val="nil"/>
              <w:bottom w:val="single" w:sz="4" w:space="0" w:color="auto"/>
              <w:right w:val="single" w:sz="4" w:space="0" w:color="auto"/>
            </w:tcBorders>
            <w:shd w:val="clear" w:color="auto" w:fill="auto"/>
            <w:noWrap/>
            <w:vAlign w:val="center"/>
          </w:tcPr>
          <w:p w14:paraId="6CAFD149"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329</w:t>
            </w:r>
          </w:p>
        </w:tc>
        <w:tc>
          <w:tcPr>
            <w:tcW w:w="1134" w:type="dxa"/>
            <w:tcBorders>
              <w:top w:val="nil"/>
              <w:left w:val="nil"/>
              <w:bottom w:val="single" w:sz="4" w:space="0" w:color="auto"/>
              <w:right w:val="single" w:sz="4" w:space="0" w:color="auto"/>
            </w:tcBorders>
            <w:shd w:val="clear" w:color="auto" w:fill="auto"/>
            <w:noWrap/>
            <w:vAlign w:val="center"/>
          </w:tcPr>
          <w:p w14:paraId="2FFCE01F"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2.752</w:t>
            </w:r>
          </w:p>
        </w:tc>
      </w:tr>
      <w:tr w:rsidR="00C746F4" w:rsidRPr="00A1588E" w14:paraId="4A23B43A"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05E75481"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N_101</w:t>
            </w:r>
          </w:p>
        </w:tc>
        <w:tc>
          <w:tcPr>
            <w:tcW w:w="4253" w:type="dxa"/>
            <w:tcBorders>
              <w:top w:val="nil"/>
              <w:left w:val="nil"/>
              <w:bottom w:val="single" w:sz="4" w:space="0" w:color="auto"/>
              <w:right w:val="single" w:sz="4" w:space="0" w:color="auto"/>
            </w:tcBorders>
            <w:shd w:val="clear" w:color="auto" w:fill="auto"/>
            <w:noWrap/>
            <w:vAlign w:val="center"/>
            <w:hideMark/>
          </w:tcPr>
          <w:p w14:paraId="16A18898"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Nueva Puerto Montt 220-&gt;Puerto Montt 220</w:t>
            </w:r>
          </w:p>
        </w:tc>
        <w:tc>
          <w:tcPr>
            <w:tcW w:w="1134" w:type="dxa"/>
            <w:tcBorders>
              <w:top w:val="nil"/>
              <w:left w:val="nil"/>
              <w:bottom w:val="single" w:sz="4" w:space="0" w:color="auto"/>
              <w:right w:val="single" w:sz="4" w:space="0" w:color="auto"/>
            </w:tcBorders>
            <w:shd w:val="clear" w:color="auto" w:fill="auto"/>
            <w:noWrap/>
            <w:vAlign w:val="center"/>
          </w:tcPr>
          <w:p w14:paraId="4E01FDBE"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350.828</w:t>
            </w:r>
          </w:p>
        </w:tc>
        <w:tc>
          <w:tcPr>
            <w:tcW w:w="1134" w:type="dxa"/>
            <w:tcBorders>
              <w:top w:val="nil"/>
              <w:left w:val="nil"/>
              <w:bottom w:val="single" w:sz="4" w:space="0" w:color="auto"/>
              <w:right w:val="single" w:sz="4" w:space="0" w:color="auto"/>
            </w:tcBorders>
            <w:shd w:val="clear" w:color="auto" w:fill="auto"/>
            <w:noWrap/>
            <w:vAlign w:val="center"/>
          </w:tcPr>
          <w:p w14:paraId="3D7049A6"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70.646</w:t>
            </w:r>
          </w:p>
        </w:tc>
        <w:tc>
          <w:tcPr>
            <w:tcW w:w="1134" w:type="dxa"/>
            <w:tcBorders>
              <w:top w:val="nil"/>
              <w:left w:val="nil"/>
              <w:bottom w:val="single" w:sz="4" w:space="0" w:color="auto"/>
              <w:right w:val="single" w:sz="4" w:space="0" w:color="auto"/>
            </w:tcBorders>
            <w:shd w:val="clear" w:color="auto" w:fill="auto"/>
            <w:noWrap/>
            <w:vAlign w:val="center"/>
          </w:tcPr>
          <w:p w14:paraId="17C6472A"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50.760</w:t>
            </w:r>
          </w:p>
        </w:tc>
        <w:tc>
          <w:tcPr>
            <w:tcW w:w="1134" w:type="dxa"/>
            <w:tcBorders>
              <w:top w:val="nil"/>
              <w:left w:val="nil"/>
              <w:bottom w:val="single" w:sz="4" w:space="0" w:color="auto"/>
              <w:right w:val="single" w:sz="4" w:space="0" w:color="auto"/>
            </w:tcBorders>
            <w:shd w:val="clear" w:color="auto" w:fill="auto"/>
            <w:noWrap/>
            <w:vAlign w:val="center"/>
          </w:tcPr>
          <w:p w14:paraId="2CA4D247"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472.234</w:t>
            </w:r>
          </w:p>
        </w:tc>
      </w:tr>
      <w:tr w:rsidR="00C746F4" w:rsidRPr="00A1588E" w14:paraId="6AD886C3"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56C5E505"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N_102</w:t>
            </w:r>
          </w:p>
        </w:tc>
        <w:tc>
          <w:tcPr>
            <w:tcW w:w="4253" w:type="dxa"/>
            <w:tcBorders>
              <w:top w:val="nil"/>
              <w:left w:val="nil"/>
              <w:bottom w:val="single" w:sz="4" w:space="0" w:color="auto"/>
              <w:right w:val="single" w:sz="4" w:space="0" w:color="auto"/>
            </w:tcBorders>
            <w:shd w:val="clear" w:color="auto" w:fill="auto"/>
            <w:noWrap/>
            <w:vAlign w:val="center"/>
            <w:hideMark/>
          </w:tcPr>
          <w:p w14:paraId="00EFC364"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O Higgins 220-&gt;Atacama 220</w:t>
            </w:r>
          </w:p>
        </w:tc>
        <w:tc>
          <w:tcPr>
            <w:tcW w:w="1134" w:type="dxa"/>
            <w:tcBorders>
              <w:top w:val="nil"/>
              <w:left w:val="nil"/>
              <w:bottom w:val="single" w:sz="4" w:space="0" w:color="auto"/>
              <w:right w:val="single" w:sz="4" w:space="0" w:color="auto"/>
            </w:tcBorders>
            <w:shd w:val="clear" w:color="auto" w:fill="auto"/>
            <w:noWrap/>
            <w:vAlign w:val="center"/>
          </w:tcPr>
          <w:p w14:paraId="09278D40"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53.000</w:t>
            </w:r>
          </w:p>
        </w:tc>
        <w:tc>
          <w:tcPr>
            <w:tcW w:w="1134" w:type="dxa"/>
            <w:tcBorders>
              <w:top w:val="nil"/>
              <w:left w:val="nil"/>
              <w:bottom w:val="single" w:sz="4" w:space="0" w:color="auto"/>
              <w:right w:val="single" w:sz="4" w:space="0" w:color="auto"/>
            </w:tcBorders>
            <w:shd w:val="clear" w:color="auto" w:fill="auto"/>
            <w:noWrap/>
            <w:vAlign w:val="center"/>
          </w:tcPr>
          <w:p w14:paraId="4D629363"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11.831</w:t>
            </w:r>
          </w:p>
        </w:tc>
        <w:tc>
          <w:tcPr>
            <w:tcW w:w="1134" w:type="dxa"/>
            <w:tcBorders>
              <w:top w:val="nil"/>
              <w:left w:val="nil"/>
              <w:bottom w:val="single" w:sz="4" w:space="0" w:color="auto"/>
              <w:right w:val="single" w:sz="4" w:space="0" w:color="auto"/>
            </w:tcBorders>
            <w:shd w:val="clear" w:color="auto" w:fill="auto"/>
            <w:noWrap/>
            <w:vAlign w:val="center"/>
          </w:tcPr>
          <w:p w14:paraId="59BD18B7"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5.739</w:t>
            </w:r>
          </w:p>
        </w:tc>
        <w:tc>
          <w:tcPr>
            <w:tcW w:w="1134" w:type="dxa"/>
            <w:tcBorders>
              <w:top w:val="nil"/>
              <w:left w:val="nil"/>
              <w:bottom w:val="single" w:sz="4" w:space="0" w:color="auto"/>
              <w:right w:val="single" w:sz="4" w:space="0" w:color="auto"/>
            </w:tcBorders>
            <w:shd w:val="clear" w:color="auto" w:fill="auto"/>
            <w:noWrap/>
            <w:vAlign w:val="center"/>
          </w:tcPr>
          <w:p w14:paraId="4669FB3F"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70.571</w:t>
            </w:r>
          </w:p>
        </w:tc>
      </w:tr>
      <w:tr w:rsidR="00C746F4" w:rsidRPr="00A1588E" w14:paraId="16EA185D"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0FB6CFBE"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N_103</w:t>
            </w:r>
          </w:p>
        </w:tc>
        <w:tc>
          <w:tcPr>
            <w:tcW w:w="4253" w:type="dxa"/>
            <w:tcBorders>
              <w:top w:val="nil"/>
              <w:left w:val="nil"/>
              <w:bottom w:val="single" w:sz="4" w:space="0" w:color="auto"/>
              <w:right w:val="single" w:sz="4" w:space="0" w:color="auto"/>
            </w:tcBorders>
            <w:shd w:val="clear" w:color="auto" w:fill="auto"/>
            <w:noWrap/>
            <w:vAlign w:val="center"/>
            <w:hideMark/>
          </w:tcPr>
          <w:p w14:paraId="734C6AE3"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O Higgins 220-&gt;Kapatur 220</w:t>
            </w:r>
          </w:p>
        </w:tc>
        <w:tc>
          <w:tcPr>
            <w:tcW w:w="1134" w:type="dxa"/>
            <w:tcBorders>
              <w:top w:val="nil"/>
              <w:left w:val="nil"/>
              <w:bottom w:val="single" w:sz="4" w:space="0" w:color="auto"/>
              <w:right w:val="single" w:sz="4" w:space="0" w:color="auto"/>
            </w:tcBorders>
            <w:shd w:val="clear" w:color="auto" w:fill="auto"/>
            <w:noWrap/>
            <w:vAlign w:val="center"/>
          </w:tcPr>
          <w:p w14:paraId="55AD6F83"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2.011.573</w:t>
            </w:r>
          </w:p>
        </w:tc>
        <w:tc>
          <w:tcPr>
            <w:tcW w:w="1134" w:type="dxa"/>
            <w:tcBorders>
              <w:top w:val="nil"/>
              <w:left w:val="nil"/>
              <w:bottom w:val="single" w:sz="4" w:space="0" w:color="auto"/>
              <w:right w:val="single" w:sz="4" w:space="0" w:color="auto"/>
            </w:tcBorders>
            <w:shd w:val="clear" w:color="auto" w:fill="auto"/>
            <w:noWrap/>
            <w:vAlign w:val="center"/>
          </w:tcPr>
          <w:p w14:paraId="799BE7C0"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404.194</w:t>
            </w:r>
          </w:p>
        </w:tc>
        <w:tc>
          <w:tcPr>
            <w:tcW w:w="1134" w:type="dxa"/>
            <w:tcBorders>
              <w:top w:val="nil"/>
              <w:left w:val="nil"/>
              <w:bottom w:val="single" w:sz="4" w:space="0" w:color="auto"/>
              <w:right w:val="single" w:sz="4" w:space="0" w:color="auto"/>
            </w:tcBorders>
            <w:shd w:val="clear" w:color="auto" w:fill="auto"/>
            <w:noWrap/>
            <w:vAlign w:val="center"/>
          </w:tcPr>
          <w:p w14:paraId="6D16B7EB"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329.160</w:t>
            </w:r>
          </w:p>
        </w:tc>
        <w:tc>
          <w:tcPr>
            <w:tcW w:w="1134" w:type="dxa"/>
            <w:tcBorders>
              <w:top w:val="nil"/>
              <w:left w:val="nil"/>
              <w:bottom w:val="single" w:sz="4" w:space="0" w:color="auto"/>
              <w:right w:val="single" w:sz="4" w:space="0" w:color="auto"/>
            </w:tcBorders>
            <w:shd w:val="clear" w:color="auto" w:fill="auto"/>
            <w:noWrap/>
            <w:vAlign w:val="center"/>
          </w:tcPr>
          <w:p w14:paraId="1B9AA64A"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2.744.927</w:t>
            </w:r>
          </w:p>
        </w:tc>
      </w:tr>
      <w:tr w:rsidR="00C746F4" w:rsidRPr="00A1588E" w14:paraId="62A890F3"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2DB55318"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N_104</w:t>
            </w:r>
          </w:p>
        </w:tc>
        <w:tc>
          <w:tcPr>
            <w:tcW w:w="4253" w:type="dxa"/>
            <w:tcBorders>
              <w:top w:val="nil"/>
              <w:left w:val="nil"/>
              <w:bottom w:val="single" w:sz="4" w:space="0" w:color="auto"/>
              <w:right w:val="single" w:sz="4" w:space="0" w:color="auto"/>
            </w:tcBorders>
            <w:shd w:val="clear" w:color="auto" w:fill="auto"/>
            <w:noWrap/>
            <w:vAlign w:val="center"/>
            <w:hideMark/>
          </w:tcPr>
          <w:p w14:paraId="2041991C"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Pan de Azúcar 220-&gt;Don Goyo 220</w:t>
            </w:r>
          </w:p>
        </w:tc>
        <w:tc>
          <w:tcPr>
            <w:tcW w:w="1134" w:type="dxa"/>
            <w:tcBorders>
              <w:top w:val="nil"/>
              <w:left w:val="nil"/>
              <w:bottom w:val="single" w:sz="4" w:space="0" w:color="auto"/>
              <w:right w:val="single" w:sz="4" w:space="0" w:color="auto"/>
            </w:tcBorders>
            <w:shd w:val="clear" w:color="auto" w:fill="auto"/>
            <w:noWrap/>
            <w:vAlign w:val="center"/>
          </w:tcPr>
          <w:p w14:paraId="0F9B9566"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1.236.071</w:t>
            </w:r>
          </w:p>
        </w:tc>
        <w:tc>
          <w:tcPr>
            <w:tcW w:w="1134" w:type="dxa"/>
            <w:tcBorders>
              <w:top w:val="nil"/>
              <w:left w:val="nil"/>
              <w:bottom w:val="single" w:sz="4" w:space="0" w:color="auto"/>
              <w:right w:val="single" w:sz="4" w:space="0" w:color="auto"/>
            </w:tcBorders>
            <w:shd w:val="clear" w:color="auto" w:fill="auto"/>
            <w:noWrap/>
            <w:vAlign w:val="center"/>
          </w:tcPr>
          <w:p w14:paraId="5EBF35CE"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249.130</w:t>
            </w:r>
          </w:p>
        </w:tc>
        <w:tc>
          <w:tcPr>
            <w:tcW w:w="1134" w:type="dxa"/>
            <w:tcBorders>
              <w:top w:val="nil"/>
              <w:left w:val="nil"/>
              <w:bottom w:val="single" w:sz="4" w:space="0" w:color="auto"/>
              <w:right w:val="single" w:sz="4" w:space="0" w:color="auto"/>
            </w:tcBorders>
            <w:shd w:val="clear" w:color="auto" w:fill="auto"/>
            <w:noWrap/>
            <w:vAlign w:val="center"/>
          </w:tcPr>
          <w:p w14:paraId="6880122D"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240.720</w:t>
            </w:r>
          </w:p>
        </w:tc>
        <w:tc>
          <w:tcPr>
            <w:tcW w:w="1134" w:type="dxa"/>
            <w:tcBorders>
              <w:top w:val="nil"/>
              <w:left w:val="nil"/>
              <w:bottom w:val="single" w:sz="4" w:space="0" w:color="auto"/>
              <w:right w:val="single" w:sz="4" w:space="0" w:color="auto"/>
            </w:tcBorders>
            <w:shd w:val="clear" w:color="auto" w:fill="auto"/>
            <w:noWrap/>
            <w:vAlign w:val="center"/>
          </w:tcPr>
          <w:p w14:paraId="1446293C"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1.725.921</w:t>
            </w:r>
          </w:p>
        </w:tc>
      </w:tr>
      <w:tr w:rsidR="00C746F4" w:rsidRPr="00A1588E" w14:paraId="7FCB259B"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77CDB648"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N_105</w:t>
            </w:r>
          </w:p>
        </w:tc>
        <w:tc>
          <w:tcPr>
            <w:tcW w:w="4253" w:type="dxa"/>
            <w:tcBorders>
              <w:top w:val="nil"/>
              <w:left w:val="nil"/>
              <w:bottom w:val="single" w:sz="4" w:space="0" w:color="auto"/>
              <w:right w:val="single" w:sz="4" w:space="0" w:color="auto"/>
            </w:tcBorders>
            <w:shd w:val="clear" w:color="auto" w:fill="auto"/>
            <w:noWrap/>
            <w:vAlign w:val="center"/>
            <w:hideMark/>
          </w:tcPr>
          <w:p w14:paraId="29D6D999"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Pan de Azúcar 220-&gt;Punta Colorada 220</w:t>
            </w:r>
          </w:p>
        </w:tc>
        <w:tc>
          <w:tcPr>
            <w:tcW w:w="1134" w:type="dxa"/>
            <w:tcBorders>
              <w:top w:val="nil"/>
              <w:left w:val="nil"/>
              <w:bottom w:val="single" w:sz="4" w:space="0" w:color="auto"/>
              <w:right w:val="single" w:sz="4" w:space="0" w:color="auto"/>
            </w:tcBorders>
            <w:shd w:val="clear" w:color="auto" w:fill="auto"/>
            <w:noWrap/>
            <w:vAlign w:val="center"/>
          </w:tcPr>
          <w:p w14:paraId="32669C92"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1.600.134</w:t>
            </w:r>
          </w:p>
        </w:tc>
        <w:tc>
          <w:tcPr>
            <w:tcW w:w="1134" w:type="dxa"/>
            <w:tcBorders>
              <w:top w:val="nil"/>
              <w:left w:val="nil"/>
              <w:bottom w:val="single" w:sz="4" w:space="0" w:color="auto"/>
              <w:right w:val="single" w:sz="4" w:space="0" w:color="auto"/>
            </w:tcBorders>
            <w:shd w:val="clear" w:color="auto" w:fill="auto"/>
            <w:noWrap/>
            <w:vAlign w:val="center"/>
          </w:tcPr>
          <w:p w14:paraId="25916CA6"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322.520</w:t>
            </w:r>
          </w:p>
        </w:tc>
        <w:tc>
          <w:tcPr>
            <w:tcW w:w="1134" w:type="dxa"/>
            <w:tcBorders>
              <w:top w:val="nil"/>
              <w:left w:val="nil"/>
              <w:bottom w:val="single" w:sz="4" w:space="0" w:color="auto"/>
              <w:right w:val="single" w:sz="4" w:space="0" w:color="auto"/>
            </w:tcBorders>
            <w:shd w:val="clear" w:color="auto" w:fill="auto"/>
            <w:noWrap/>
            <w:vAlign w:val="center"/>
          </w:tcPr>
          <w:p w14:paraId="5701ED73"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307.859</w:t>
            </w:r>
          </w:p>
        </w:tc>
        <w:tc>
          <w:tcPr>
            <w:tcW w:w="1134" w:type="dxa"/>
            <w:tcBorders>
              <w:top w:val="nil"/>
              <w:left w:val="nil"/>
              <w:bottom w:val="single" w:sz="4" w:space="0" w:color="auto"/>
              <w:right w:val="single" w:sz="4" w:space="0" w:color="auto"/>
            </w:tcBorders>
            <w:shd w:val="clear" w:color="auto" w:fill="auto"/>
            <w:noWrap/>
            <w:vAlign w:val="center"/>
          </w:tcPr>
          <w:p w14:paraId="7FFF4A1D"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2.230.513</w:t>
            </w:r>
          </w:p>
        </w:tc>
      </w:tr>
      <w:tr w:rsidR="00C746F4" w:rsidRPr="00A1588E" w14:paraId="4472D8A8"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2F6E9AE1"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N_106</w:t>
            </w:r>
          </w:p>
        </w:tc>
        <w:tc>
          <w:tcPr>
            <w:tcW w:w="4253" w:type="dxa"/>
            <w:tcBorders>
              <w:top w:val="nil"/>
              <w:left w:val="nil"/>
              <w:bottom w:val="single" w:sz="4" w:space="0" w:color="auto"/>
              <w:right w:val="single" w:sz="4" w:space="0" w:color="auto"/>
            </w:tcBorders>
            <w:shd w:val="clear" w:color="auto" w:fill="auto"/>
            <w:noWrap/>
            <w:vAlign w:val="center"/>
            <w:hideMark/>
          </w:tcPr>
          <w:p w14:paraId="41386F0C"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Pargua 220-&gt;Nueva Ancud 220</w:t>
            </w:r>
          </w:p>
        </w:tc>
        <w:tc>
          <w:tcPr>
            <w:tcW w:w="1134" w:type="dxa"/>
            <w:tcBorders>
              <w:top w:val="nil"/>
              <w:left w:val="nil"/>
              <w:bottom w:val="single" w:sz="4" w:space="0" w:color="auto"/>
              <w:right w:val="single" w:sz="4" w:space="0" w:color="auto"/>
            </w:tcBorders>
            <w:shd w:val="clear" w:color="auto" w:fill="auto"/>
            <w:noWrap/>
            <w:vAlign w:val="center"/>
          </w:tcPr>
          <w:p w14:paraId="2D08F9E0"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630.470</w:t>
            </w:r>
          </w:p>
        </w:tc>
        <w:tc>
          <w:tcPr>
            <w:tcW w:w="1134" w:type="dxa"/>
            <w:tcBorders>
              <w:top w:val="nil"/>
              <w:left w:val="nil"/>
              <w:bottom w:val="single" w:sz="4" w:space="0" w:color="auto"/>
              <w:right w:val="single" w:sz="4" w:space="0" w:color="auto"/>
            </w:tcBorders>
            <w:shd w:val="clear" w:color="auto" w:fill="auto"/>
            <w:noWrap/>
            <w:vAlign w:val="center"/>
          </w:tcPr>
          <w:p w14:paraId="4C66CA09"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126.951</w:t>
            </w:r>
          </w:p>
        </w:tc>
        <w:tc>
          <w:tcPr>
            <w:tcW w:w="1134" w:type="dxa"/>
            <w:tcBorders>
              <w:top w:val="nil"/>
              <w:left w:val="nil"/>
              <w:bottom w:val="single" w:sz="4" w:space="0" w:color="auto"/>
              <w:right w:val="single" w:sz="4" w:space="0" w:color="auto"/>
            </w:tcBorders>
            <w:shd w:val="clear" w:color="auto" w:fill="auto"/>
            <w:noWrap/>
            <w:vAlign w:val="center"/>
          </w:tcPr>
          <w:p w14:paraId="1E6195EF"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108.804</w:t>
            </w:r>
          </w:p>
        </w:tc>
        <w:tc>
          <w:tcPr>
            <w:tcW w:w="1134" w:type="dxa"/>
            <w:tcBorders>
              <w:top w:val="nil"/>
              <w:left w:val="nil"/>
              <w:bottom w:val="single" w:sz="4" w:space="0" w:color="auto"/>
              <w:right w:val="single" w:sz="4" w:space="0" w:color="auto"/>
            </w:tcBorders>
            <w:shd w:val="clear" w:color="auto" w:fill="auto"/>
            <w:noWrap/>
            <w:vAlign w:val="center"/>
          </w:tcPr>
          <w:p w14:paraId="20C1C36C"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866.225</w:t>
            </w:r>
          </w:p>
        </w:tc>
      </w:tr>
      <w:tr w:rsidR="00C746F4" w:rsidRPr="00A1588E" w14:paraId="77F56C72"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04EE7762"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N_107</w:t>
            </w:r>
          </w:p>
        </w:tc>
        <w:tc>
          <w:tcPr>
            <w:tcW w:w="4253" w:type="dxa"/>
            <w:tcBorders>
              <w:top w:val="nil"/>
              <w:left w:val="nil"/>
              <w:bottom w:val="single" w:sz="4" w:space="0" w:color="auto"/>
              <w:right w:val="single" w:sz="4" w:space="0" w:color="auto"/>
            </w:tcBorders>
            <w:shd w:val="clear" w:color="auto" w:fill="auto"/>
            <w:noWrap/>
            <w:vAlign w:val="center"/>
            <w:hideMark/>
          </w:tcPr>
          <w:p w14:paraId="4B668F9E"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Polpaico 220-&gt;Quilapilun 220</w:t>
            </w:r>
          </w:p>
        </w:tc>
        <w:tc>
          <w:tcPr>
            <w:tcW w:w="1134" w:type="dxa"/>
            <w:tcBorders>
              <w:top w:val="nil"/>
              <w:left w:val="nil"/>
              <w:bottom w:val="single" w:sz="4" w:space="0" w:color="auto"/>
              <w:right w:val="single" w:sz="4" w:space="0" w:color="auto"/>
            </w:tcBorders>
            <w:shd w:val="clear" w:color="auto" w:fill="auto"/>
            <w:noWrap/>
            <w:vAlign w:val="center"/>
          </w:tcPr>
          <w:p w14:paraId="38A06FE6"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603.182</w:t>
            </w:r>
          </w:p>
        </w:tc>
        <w:tc>
          <w:tcPr>
            <w:tcW w:w="1134" w:type="dxa"/>
            <w:tcBorders>
              <w:top w:val="nil"/>
              <w:left w:val="nil"/>
              <w:bottom w:val="single" w:sz="4" w:space="0" w:color="auto"/>
              <w:right w:val="single" w:sz="4" w:space="0" w:color="auto"/>
            </w:tcBorders>
            <w:shd w:val="clear" w:color="auto" w:fill="auto"/>
            <w:noWrap/>
            <w:vAlign w:val="center"/>
          </w:tcPr>
          <w:p w14:paraId="7DF199AD"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121.430</w:t>
            </w:r>
          </w:p>
        </w:tc>
        <w:tc>
          <w:tcPr>
            <w:tcW w:w="1134" w:type="dxa"/>
            <w:tcBorders>
              <w:top w:val="nil"/>
              <w:left w:val="nil"/>
              <w:bottom w:val="single" w:sz="4" w:space="0" w:color="auto"/>
              <w:right w:val="single" w:sz="4" w:space="0" w:color="auto"/>
            </w:tcBorders>
            <w:shd w:val="clear" w:color="auto" w:fill="auto"/>
            <w:noWrap/>
            <w:vAlign w:val="center"/>
          </w:tcPr>
          <w:p w14:paraId="38A17ADC"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77.640</w:t>
            </w:r>
          </w:p>
        </w:tc>
        <w:tc>
          <w:tcPr>
            <w:tcW w:w="1134" w:type="dxa"/>
            <w:tcBorders>
              <w:top w:val="nil"/>
              <w:left w:val="nil"/>
              <w:bottom w:val="single" w:sz="4" w:space="0" w:color="auto"/>
              <w:right w:val="single" w:sz="4" w:space="0" w:color="auto"/>
            </w:tcBorders>
            <w:shd w:val="clear" w:color="auto" w:fill="auto"/>
            <w:noWrap/>
            <w:vAlign w:val="center"/>
          </w:tcPr>
          <w:p w14:paraId="25F30AE3"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802.253</w:t>
            </w:r>
          </w:p>
        </w:tc>
      </w:tr>
      <w:tr w:rsidR="00C746F4" w:rsidRPr="00A1588E" w14:paraId="1C1E71FB"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1D4E4448"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N_108</w:t>
            </w:r>
          </w:p>
        </w:tc>
        <w:tc>
          <w:tcPr>
            <w:tcW w:w="4253" w:type="dxa"/>
            <w:tcBorders>
              <w:top w:val="nil"/>
              <w:left w:val="nil"/>
              <w:bottom w:val="single" w:sz="4" w:space="0" w:color="auto"/>
              <w:right w:val="single" w:sz="4" w:space="0" w:color="auto"/>
            </w:tcBorders>
            <w:shd w:val="clear" w:color="auto" w:fill="auto"/>
            <w:noWrap/>
            <w:vAlign w:val="center"/>
            <w:hideMark/>
          </w:tcPr>
          <w:p w14:paraId="5E9E432A"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Polpaico 220-&gt;Rio Aconcagua 220</w:t>
            </w:r>
          </w:p>
        </w:tc>
        <w:tc>
          <w:tcPr>
            <w:tcW w:w="1134" w:type="dxa"/>
            <w:tcBorders>
              <w:top w:val="nil"/>
              <w:left w:val="nil"/>
              <w:bottom w:val="single" w:sz="4" w:space="0" w:color="auto"/>
              <w:right w:val="single" w:sz="4" w:space="0" w:color="auto"/>
            </w:tcBorders>
            <w:shd w:val="clear" w:color="auto" w:fill="auto"/>
            <w:noWrap/>
            <w:vAlign w:val="center"/>
          </w:tcPr>
          <w:p w14:paraId="78838742"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asciiTheme="minorHAnsi" w:hAnsiTheme="minorHAnsi" w:cstheme="minorHAnsi"/>
                <w:sz w:val="20"/>
                <w:szCs w:val="20"/>
              </w:rPr>
              <w:t>-</w:t>
            </w:r>
          </w:p>
        </w:tc>
        <w:tc>
          <w:tcPr>
            <w:tcW w:w="1134" w:type="dxa"/>
            <w:tcBorders>
              <w:top w:val="nil"/>
              <w:left w:val="nil"/>
              <w:bottom w:val="single" w:sz="4" w:space="0" w:color="auto"/>
              <w:right w:val="single" w:sz="4" w:space="0" w:color="auto"/>
            </w:tcBorders>
            <w:shd w:val="clear" w:color="auto" w:fill="auto"/>
            <w:noWrap/>
            <w:vAlign w:val="center"/>
          </w:tcPr>
          <w:p w14:paraId="68E8E97B"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w:t>
            </w:r>
          </w:p>
        </w:tc>
        <w:tc>
          <w:tcPr>
            <w:tcW w:w="1134" w:type="dxa"/>
            <w:tcBorders>
              <w:top w:val="nil"/>
              <w:left w:val="nil"/>
              <w:bottom w:val="single" w:sz="4" w:space="0" w:color="auto"/>
              <w:right w:val="single" w:sz="4" w:space="0" w:color="auto"/>
            </w:tcBorders>
            <w:shd w:val="clear" w:color="auto" w:fill="auto"/>
            <w:noWrap/>
            <w:vAlign w:val="center"/>
          </w:tcPr>
          <w:p w14:paraId="4A521349"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w:t>
            </w:r>
          </w:p>
        </w:tc>
        <w:tc>
          <w:tcPr>
            <w:tcW w:w="1134" w:type="dxa"/>
            <w:tcBorders>
              <w:top w:val="nil"/>
              <w:left w:val="nil"/>
              <w:bottom w:val="single" w:sz="4" w:space="0" w:color="auto"/>
              <w:right w:val="single" w:sz="4" w:space="0" w:color="auto"/>
            </w:tcBorders>
            <w:shd w:val="clear" w:color="auto" w:fill="auto"/>
            <w:noWrap/>
            <w:vAlign w:val="center"/>
          </w:tcPr>
          <w:p w14:paraId="49BABE2C"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w:t>
            </w:r>
          </w:p>
        </w:tc>
      </w:tr>
      <w:tr w:rsidR="00C746F4" w:rsidRPr="00A1588E" w14:paraId="65236EB6"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57077569"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N_109</w:t>
            </w:r>
          </w:p>
        </w:tc>
        <w:tc>
          <w:tcPr>
            <w:tcW w:w="4253" w:type="dxa"/>
            <w:tcBorders>
              <w:top w:val="nil"/>
              <w:left w:val="nil"/>
              <w:bottom w:val="single" w:sz="4" w:space="0" w:color="auto"/>
              <w:right w:val="single" w:sz="4" w:space="0" w:color="auto"/>
            </w:tcBorders>
            <w:shd w:val="clear" w:color="auto" w:fill="auto"/>
            <w:noWrap/>
            <w:vAlign w:val="center"/>
            <w:hideMark/>
          </w:tcPr>
          <w:p w14:paraId="54302512"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Polpaico 220-&gt;Tap El Manzano 220</w:t>
            </w:r>
          </w:p>
        </w:tc>
        <w:tc>
          <w:tcPr>
            <w:tcW w:w="1134" w:type="dxa"/>
            <w:tcBorders>
              <w:top w:val="nil"/>
              <w:left w:val="nil"/>
              <w:bottom w:val="single" w:sz="4" w:space="0" w:color="auto"/>
              <w:right w:val="single" w:sz="4" w:space="0" w:color="auto"/>
            </w:tcBorders>
            <w:shd w:val="clear" w:color="auto" w:fill="auto"/>
            <w:noWrap/>
            <w:vAlign w:val="center"/>
          </w:tcPr>
          <w:p w14:paraId="560AFAE8"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532.235</w:t>
            </w:r>
          </w:p>
        </w:tc>
        <w:tc>
          <w:tcPr>
            <w:tcW w:w="1134" w:type="dxa"/>
            <w:tcBorders>
              <w:top w:val="nil"/>
              <w:left w:val="nil"/>
              <w:bottom w:val="single" w:sz="4" w:space="0" w:color="auto"/>
              <w:right w:val="single" w:sz="4" w:space="0" w:color="auto"/>
            </w:tcBorders>
            <w:shd w:val="clear" w:color="auto" w:fill="auto"/>
            <w:noWrap/>
            <w:vAlign w:val="center"/>
          </w:tcPr>
          <w:p w14:paraId="7E48682D"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106.751</w:t>
            </w:r>
          </w:p>
        </w:tc>
        <w:tc>
          <w:tcPr>
            <w:tcW w:w="1134" w:type="dxa"/>
            <w:tcBorders>
              <w:top w:val="nil"/>
              <w:left w:val="nil"/>
              <w:bottom w:val="single" w:sz="4" w:space="0" w:color="auto"/>
              <w:right w:val="single" w:sz="4" w:space="0" w:color="auto"/>
            </w:tcBorders>
            <w:shd w:val="clear" w:color="auto" w:fill="auto"/>
            <w:noWrap/>
            <w:vAlign w:val="center"/>
          </w:tcPr>
          <w:p w14:paraId="3AD174A5"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96.588</w:t>
            </w:r>
          </w:p>
        </w:tc>
        <w:tc>
          <w:tcPr>
            <w:tcW w:w="1134" w:type="dxa"/>
            <w:tcBorders>
              <w:top w:val="nil"/>
              <w:left w:val="nil"/>
              <w:bottom w:val="single" w:sz="4" w:space="0" w:color="auto"/>
              <w:right w:val="single" w:sz="4" w:space="0" w:color="auto"/>
            </w:tcBorders>
            <w:shd w:val="clear" w:color="auto" w:fill="auto"/>
            <w:noWrap/>
            <w:vAlign w:val="center"/>
          </w:tcPr>
          <w:p w14:paraId="10749FCE"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735.574</w:t>
            </w:r>
          </w:p>
        </w:tc>
      </w:tr>
      <w:tr w:rsidR="00C746F4" w:rsidRPr="00A1588E" w14:paraId="6AEBF0E7"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1B5B23E5"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N_110</w:t>
            </w:r>
          </w:p>
        </w:tc>
        <w:tc>
          <w:tcPr>
            <w:tcW w:w="4253" w:type="dxa"/>
            <w:tcBorders>
              <w:top w:val="nil"/>
              <w:left w:val="nil"/>
              <w:bottom w:val="single" w:sz="4" w:space="0" w:color="auto"/>
              <w:right w:val="single" w:sz="4" w:space="0" w:color="auto"/>
            </w:tcBorders>
            <w:shd w:val="clear" w:color="auto" w:fill="auto"/>
            <w:noWrap/>
            <w:vAlign w:val="center"/>
            <w:hideMark/>
          </w:tcPr>
          <w:p w14:paraId="127CD1A0"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Polpaico 500-&gt;Lo Aguirre 500</w:t>
            </w:r>
          </w:p>
        </w:tc>
        <w:tc>
          <w:tcPr>
            <w:tcW w:w="1134" w:type="dxa"/>
            <w:tcBorders>
              <w:top w:val="nil"/>
              <w:left w:val="nil"/>
              <w:bottom w:val="single" w:sz="4" w:space="0" w:color="auto"/>
              <w:right w:val="single" w:sz="4" w:space="0" w:color="auto"/>
            </w:tcBorders>
            <w:shd w:val="clear" w:color="auto" w:fill="auto"/>
            <w:noWrap/>
            <w:vAlign w:val="center"/>
          </w:tcPr>
          <w:p w14:paraId="59829AE6"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2.038.583</w:t>
            </w:r>
          </w:p>
        </w:tc>
        <w:tc>
          <w:tcPr>
            <w:tcW w:w="1134" w:type="dxa"/>
            <w:tcBorders>
              <w:top w:val="nil"/>
              <w:left w:val="nil"/>
              <w:bottom w:val="single" w:sz="4" w:space="0" w:color="auto"/>
              <w:right w:val="single" w:sz="4" w:space="0" w:color="auto"/>
            </w:tcBorders>
            <w:shd w:val="clear" w:color="auto" w:fill="auto"/>
            <w:noWrap/>
            <w:vAlign w:val="center"/>
          </w:tcPr>
          <w:p w14:paraId="027D571B"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410.634</w:t>
            </w:r>
          </w:p>
        </w:tc>
        <w:tc>
          <w:tcPr>
            <w:tcW w:w="1134" w:type="dxa"/>
            <w:tcBorders>
              <w:top w:val="nil"/>
              <w:left w:val="nil"/>
              <w:bottom w:val="single" w:sz="4" w:space="0" w:color="auto"/>
              <w:right w:val="single" w:sz="4" w:space="0" w:color="auto"/>
            </w:tcBorders>
            <w:shd w:val="clear" w:color="auto" w:fill="auto"/>
            <w:noWrap/>
            <w:vAlign w:val="center"/>
          </w:tcPr>
          <w:p w14:paraId="1D83495A"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389.326</w:t>
            </w:r>
          </w:p>
        </w:tc>
        <w:tc>
          <w:tcPr>
            <w:tcW w:w="1134" w:type="dxa"/>
            <w:tcBorders>
              <w:top w:val="nil"/>
              <w:left w:val="nil"/>
              <w:bottom w:val="single" w:sz="4" w:space="0" w:color="auto"/>
              <w:right w:val="single" w:sz="4" w:space="0" w:color="auto"/>
            </w:tcBorders>
            <w:shd w:val="clear" w:color="auto" w:fill="auto"/>
            <w:noWrap/>
            <w:vAlign w:val="center"/>
          </w:tcPr>
          <w:p w14:paraId="50A1D16C"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2.838.544</w:t>
            </w:r>
          </w:p>
        </w:tc>
      </w:tr>
      <w:tr w:rsidR="00C746F4" w:rsidRPr="00A1588E" w14:paraId="1888B88C"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7885B17F"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N_111</w:t>
            </w:r>
          </w:p>
        </w:tc>
        <w:tc>
          <w:tcPr>
            <w:tcW w:w="4253" w:type="dxa"/>
            <w:tcBorders>
              <w:top w:val="nil"/>
              <w:left w:val="nil"/>
              <w:bottom w:val="single" w:sz="4" w:space="0" w:color="auto"/>
              <w:right w:val="single" w:sz="4" w:space="0" w:color="auto"/>
            </w:tcBorders>
            <w:shd w:val="clear" w:color="auto" w:fill="auto"/>
            <w:noWrap/>
            <w:vAlign w:val="center"/>
            <w:hideMark/>
          </w:tcPr>
          <w:p w14:paraId="3BF73E69"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Polpaico 500-&gt;Polpaico 220</w:t>
            </w:r>
          </w:p>
        </w:tc>
        <w:tc>
          <w:tcPr>
            <w:tcW w:w="1134" w:type="dxa"/>
            <w:tcBorders>
              <w:top w:val="nil"/>
              <w:left w:val="nil"/>
              <w:bottom w:val="single" w:sz="4" w:space="0" w:color="auto"/>
              <w:right w:val="single" w:sz="4" w:space="0" w:color="auto"/>
            </w:tcBorders>
            <w:shd w:val="clear" w:color="auto" w:fill="auto"/>
            <w:noWrap/>
            <w:vAlign w:val="center"/>
          </w:tcPr>
          <w:p w14:paraId="172223EE"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1.178.325</w:t>
            </w:r>
          </w:p>
        </w:tc>
        <w:tc>
          <w:tcPr>
            <w:tcW w:w="1134" w:type="dxa"/>
            <w:tcBorders>
              <w:top w:val="nil"/>
              <w:left w:val="nil"/>
              <w:bottom w:val="single" w:sz="4" w:space="0" w:color="auto"/>
              <w:right w:val="single" w:sz="4" w:space="0" w:color="auto"/>
            </w:tcBorders>
            <w:shd w:val="clear" w:color="auto" w:fill="auto"/>
            <w:noWrap/>
            <w:vAlign w:val="center"/>
          </w:tcPr>
          <w:p w14:paraId="13C91683"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237.298</w:t>
            </w:r>
          </w:p>
        </w:tc>
        <w:tc>
          <w:tcPr>
            <w:tcW w:w="1134" w:type="dxa"/>
            <w:tcBorders>
              <w:top w:val="nil"/>
              <w:left w:val="nil"/>
              <w:bottom w:val="single" w:sz="4" w:space="0" w:color="auto"/>
              <w:right w:val="single" w:sz="4" w:space="0" w:color="auto"/>
            </w:tcBorders>
            <w:shd w:val="clear" w:color="auto" w:fill="auto"/>
            <w:noWrap/>
            <w:vAlign w:val="center"/>
          </w:tcPr>
          <w:p w14:paraId="24716A25"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133.445</w:t>
            </w:r>
          </w:p>
        </w:tc>
        <w:tc>
          <w:tcPr>
            <w:tcW w:w="1134" w:type="dxa"/>
            <w:tcBorders>
              <w:top w:val="nil"/>
              <w:left w:val="nil"/>
              <w:bottom w:val="single" w:sz="4" w:space="0" w:color="auto"/>
              <w:right w:val="single" w:sz="4" w:space="0" w:color="auto"/>
            </w:tcBorders>
            <w:shd w:val="clear" w:color="auto" w:fill="auto"/>
            <w:noWrap/>
            <w:vAlign w:val="center"/>
          </w:tcPr>
          <w:p w14:paraId="2E01DD04"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1.549.068</w:t>
            </w:r>
          </w:p>
        </w:tc>
      </w:tr>
      <w:tr w:rsidR="00C746F4" w:rsidRPr="00A1588E" w14:paraId="0EB2FE68"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501CA162"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N_112</w:t>
            </w:r>
          </w:p>
        </w:tc>
        <w:tc>
          <w:tcPr>
            <w:tcW w:w="4253" w:type="dxa"/>
            <w:tcBorders>
              <w:top w:val="nil"/>
              <w:left w:val="nil"/>
              <w:bottom w:val="single" w:sz="4" w:space="0" w:color="auto"/>
              <w:right w:val="single" w:sz="4" w:space="0" w:color="auto"/>
            </w:tcBorders>
            <w:shd w:val="clear" w:color="auto" w:fill="auto"/>
            <w:noWrap/>
            <w:vAlign w:val="center"/>
            <w:hideMark/>
          </w:tcPr>
          <w:p w14:paraId="75681439"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Pozo Almonte 220-&gt;Nueva Pozo Almonte 220</w:t>
            </w:r>
          </w:p>
        </w:tc>
        <w:tc>
          <w:tcPr>
            <w:tcW w:w="1134" w:type="dxa"/>
            <w:tcBorders>
              <w:top w:val="nil"/>
              <w:left w:val="nil"/>
              <w:bottom w:val="single" w:sz="4" w:space="0" w:color="auto"/>
              <w:right w:val="single" w:sz="4" w:space="0" w:color="auto"/>
            </w:tcBorders>
            <w:shd w:val="clear" w:color="auto" w:fill="auto"/>
            <w:noWrap/>
            <w:vAlign w:val="center"/>
          </w:tcPr>
          <w:p w14:paraId="34DCD6ED"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409.503</w:t>
            </w:r>
          </w:p>
        </w:tc>
        <w:tc>
          <w:tcPr>
            <w:tcW w:w="1134" w:type="dxa"/>
            <w:tcBorders>
              <w:top w:val="nil"/>
              <w:left w:val="nil"/>
              <w:bottom w:val="single" w:sz="4" w:space="0" w:color="auto"/>
              <w:right w:val="single" w:sz="4" w:space="0" w:color="auto"/>
            </w:tcBorders>
            <w:shd w:val="clear" w:color="auto" w:fill="auto"/>
            <w:noWrap/>
            <w:vAlign w:val="center"/>
          </w:tcPr>
          <w:p w14:paraId="172E247B"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82.336</w:t>
            </w:r>
          </w:p>
        </w:tc>
        <w:tc>
          <w:tcPr>
            <w:tcW w:w="1134" w:type="dxa"/>
            <w:tcBorders>
              <w:top w:val="nil"/>
              <w:left w:val="nil"/>
              <w:bottom w:val="single" w:sz="4" w:space="0" w:color="auto"/>
              <w:right w:val="single" w:sz="4" w:space="0" w:color="auto"/>
            </w:tcBorders>
            <w:shd w:val="clear" w:color="auto" w:fill="auto"/>
            <w:noWrap/>
            <w:vAlign w:val="center"/>
          </w:tcPr>
          <w:p w14:paraId="603A491D"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123.746</w:t>
            </w:r>
          </w:p>
        </w:tc>
        <w:tc>
          <w:tcPr>
            <w:tcW w:w="1134" w:type="dxa"/>
            <w:tcBorders>
              <w:top w:val="nil"/>
              <w:left w:val="nil"/>
              <w:bottom w:val="single" w:sz="4" w:space="0" w:color="auto"/>
              <w:right w:val="single" w:sz="4" w:space="0" w:color="auto"/>
            </w:tcBorders>
            <w:shd w:val="clear" w:color="auto" w:fill="auto"/>
            <w:noWrap/>
            <w:vAlign w:val="center"/>
          </w:tcPr>
          <w:p w14:paraId="3713D3D9"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615.584</w:t>
            </w:r>
          </w:p>
        </w:tc>
      </w:tr>
      <w:tr w:rsidR="00C746F4" w:rsidRPr="00A1588E" w14:paraId="3E6F32FA"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03D695B4"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N_113</w:t>
            </w:r>
          </w:p>
        </w:tc>
        <w:tc>
          <w:tcPr>
            <w:tcW w:w="4253" w:type="dxa"/>
            <w:tcBorders>
              <w:top w:val="nil"/>
              <w:left w:val="nil"/>
              <w:bottom w:val="single" w:sz="4" w:space="0" w:color="auto"/>
              <w:right w:val="single" w:sz="4" w:space="0" w:color="auto"/>
            </w:tcBorders>
            <w:shd w:val="clear" w:color="auto" w:fill="auto"/>
            <w:noWrap/>
            <w:vAlign w:val="center"/>
            <w:hideMark/>
          </w:tcPr>
          <w:p w14:paraId="5A39DD86"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Puente Negro 220-&gt;Colbún 220</w:t>
            </w:r>
          </w:p>
        </w:tc>
        <w:tc>
          <w:tcPr>
            <w:tcW w:w="1134" w:type="dxa"/>
            <w:tcBorders>
              <w:top w:val="nil"/>
              <w:left w:val="nil"/>
              <w:bottom w:val="single" w:sz="4" w:space="0" w:color="auto"/>
              <w:right w:val="single" w:sz="4" w:space="0" w:color="auto"/>
            </w:tcBorders>
            <w:shd w:val="clear" w:color="auto" w:fill="auto"/>
            <w:noWrap/>
            <w:vAlign w:val="center"/>
          </w:tcPr>
          <w:p w14:paraId="78F4544A"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4.211.566</w:t>
            </w:r>
          </w:p>
        </w:tc>
        <w:tc>
          <w:tcPr>
            <w:tcW w:w="1134" w:type="dxa"/>
            <w:tcBorders>
              <w:top w:val="nil"/>
              <w:left w:val="nil"/>
              <w:bottom w:val="single" w:sz="4" w:space="0" w:color="auto"/>
              <w:right w:val="single" w:sz="4" w:space="0" w:color="auto"/>
            </w:tcBorders>
            <w:shd w:val="clear" w:color="auto" w:fill="auto"/>
            <w:noWrap/>
            <w:vAlign w:val="center"/>
          </w:tcPr>
          <w:p w14:paraId="50528954"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848.124</w:t>
            </w:r>
          </w:p>
        </w:tc>
        <w:tc>
          <w:tcPr>
            <w:tcW w:w="1134" w:type="dxa"/>
            <w:tcBorders>
              <w:top w:val="nil"/>
              <w:left w:val="nil"/>
              <w:bottom w:val="single" w:sz="4" w:space="0" w:color="auto"/>
              <w:right w:val="single" w:sz="4" w:space="0" w:color="auto"/>
            </w:tcBorders>
            <w:shd w:val="clear" w:color="auto" w:fill="auto"/>
            <w:noWrap/>
            <w:vAlign w:val="center"/>
          </w:tcPr>
          <w:p w14:paraId="096B2B51"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611.720</w:t>
            </w:r>
          </w:p>
        </w:tc>
        <w:tc>
          <w:tcPr>
            <w:tcW w:w="1134" w:type="dxa"/>
            <w:tcBorders>
              <w:top w:val="nil"/>
              <w:left w:val="nil"/>
              <w:bottom w:val="single" w:sz="4" w:space="0" w:color="auto"/>
              <w:right w:val="single" w:sz="4" w:space="0" w:color="auto"/>
            </w:tcBorders>
            <w:shd w:val="clear" w:color="auto" w:fill="auto"/>
            <w:noWrap/>
            <w:vAlign w:val="center"/>
          </w:tcPr>
          <w:p w14:paraId="6F69870F"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5.671.410</w:t>
            </w:r>
          </w:p>
        </w:tc>
      </w:tr>
      <w:tr w:rsidR="00C746F4" w:rsidRPr="00A1588E" w14:paraId="3756228F"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4B036348"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N_114</w:t>
            </w:r>
          </w:p>
        </w:tc>
        <w:tc>
          <w:tcPr>
            <w:tcW w:w="4253" w:type="dxa"/>
            <w:tcBorders>
              <w:top w:val="nil"/>
              <w:left w:val="nil"/>
              <w:bottom w:val="single" w:sz="4" w:space="0" w:color="auto"/>
              <w:right w:val="single" w:sz="4" w:space="0" w:color="auto"/>
            </w:tcBorders>
            <w:shd w:val="clear" w:color="auto" w:fill="auto"/>
            <w:noWrap/>
            <w:vAlign w:val="center"/>
            <w:hideMark/>
          </w:tcPr>
          <w:p w14:paraId="5C049F6A"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Puente Negro 220-&gt;Tinguiririca 220</w:t>
            </w:r>
          </w:p>
        </w:tc>
        <w:tc>
          <w:tcPr>
            <w:tcW w:w="1134" w:type="dxa"/>
            <w:tcBorders>
              <w:top w:val="nil"/>
              <w:left w:val="nil"/>
              <w:bottom w:val="single" w:sz="4" w:space="0" w:color="auto"/>
              <w:right w:val="single" w:sz="4" w:space="0" w:color="auto"/>
            </w:tcBorders>
            <w:shd w:val="clear" w:color="auto" w:fill="auto"/>
            <w:noWrap/>
            <w:vAlign w:val="center"/>
          </w:tcPr>
          <w:p w14:paraId="386492AE"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asciiTheme="minorHAnsi" w:hAnsiTheme="minorHAnsi" w:cstheme="minorHAnsi"/>
                <w:sz w:val="20"/>
                <w:szCs w:val="20"/>
              </w:rPr>
              <w:t>-</w:t>
            </w:r>
          </w:p>
        </w:tc>
        <w:tc>
          <w:tcPr>
            <w:tcW w:w="1134" w:type="dxa"/>
            <w:tcBorders>
              <w:top w:val="nil"/>
              <w:left w:val="nil"/>
              <w:bottom w:val="single" w:sz="4" w:space="0" w:color="auto"/>
              <w:right w:val="single" w:sz="4" w:space="0" w:color="auto"/>
            </w:tcBorders>
            <w:shd w:val="clear" w:color="auto" w:fill="auto"/>
            <w:noWrap/>
            <w:vAlign w:val="center"/>
          </w:tcPr>
          <w:p w14:paraId="055BE9A4"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w:t>
            </w:r>
          </w:p>
        </w:tc>
        <w:tc>
          <w:tcPr>
            <w:tcW w:w="1134" w:type="dxa"/>
            <w:tcBorders>
              <w:top w:val="nil"/>
              <w:left w:val="nil"/>
              <w:bottom w:val="single" w:sz="4" w:space="0" w:color="auto"/>
              <w:right w:val="single" w:sz="4" w:space="0" w:color="auto"/>
            </w:tcBorders>
            <w:shd w:val="clear" w:color="auto" w:fill="auto"/>
            <w:noWrap/>
            <w:vAlign w:val="center"/>
          </w:tcPr>
          <w:p w14:paraId="321EF68C"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w:t>
            </w:r>
          </w:p>
        </w:tc>
        <w:tc>
          <w:tcPr>
            <w:tcW w:w="1134" w:type="dxa"/>
            <w:tcBorders>
              <w:top w:val="nil"/>
              <w:left w:val="nil"/>
              <w:bottom w:val="single" w:sz="4" w:space="0" w:color="auto"/>
              <w:right w:val="single" w:sz="4" w:space="0" w:color="auto"/>
            </w:tcBorders>
            <w:shd w:val="clear" w:color="auto" w:fill="auto"/>
            <w:noWrap/>
            <w:vAlign w:val="center"/>
          </w:tcPr>
          <w:p w14:paraId="68E514A6"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w:t>
            </w:r>
          </w:p>
        </w:tc>
      </w:tr>
      <w:tr w:rsidR="00C746F4" w:rsidRPr="00A1588E" w14:paraId="769AE1A3"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7E78A442"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N_115</w:t>
            </w:r>
          </w:p>
        </w:tc>
        <w:tc>
          <w:tcPr>
            <w:tcW w:w="4253" w:type="dxa"/>
            <w:tcBorders>
              <w:top w:val="nil"/>
              <w:left w:val="nil"/>
              <w:bottom w:val="single" w:sz="4" w:space="0" w:color="auto"/>
              <w:right w:val="single" w:sz="4" w:space="0" w:color="auto"/>
            </w:tcBorders>
            <w:shd w:val="clear" w:color="auto" w:fill="auto"/>
            <w:noWrap/>
            <w:vAlign w:val="center"/>
            <w:hideMark/>
          </w:tcPr>
          <w:p w14:paraId="75426FC9"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Puerto Montt 220-&gt;Llanquihue 220</w:t>
            </w:r>
          </w:p>
        </w:tc>
        <w:tc>
          <w:tcPr>
            <w:tcW w:w="1134" w:type="dxa"/>
            <w:tcBorders>
              <w:top w:val="nil"/>
              <w:left w:val="nil"/>
              <w:bottom w:val="single" w:sz="4" w:space="0" w:color="auto"/>
              <w:right w:val="single" w:sz="4" w:space="0" w:color="auto"/>
            </w:tcBorders>
            <w:shd w:val="clear" w:color="auto" w:fill="auto"/>
            <w:noWrap/>
            <w:vAlign w:val="center"/>
          </w:tcPr>
          <w:p w14:paraId="10C75CF2"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287.505</w:t>
            </w:r>
          </w:p>
        </w:tc>
        <w:tc>
          <w:tcPr>
            <w:tcW w:w="1134" w:type="dxa"/>
            <w:tcBorders>
              <w:top w:val="nil"/>
              <w:left w:val="nil"/>
              <w:bottom w:val="single" w:sz="4" w:space="0" w:color="auto"/>
              <w:right w:val="single" w:sz="4" w:space="0" w:color="auto"/>
            </w:tcBorders>
            <w:shd w:val="clear" w:color="auto" w:fill="auto"/>
            <w:noWrap/>
            <w:vAlign w:val="center"/>
          </w:tcPr>
          <w:p w14:paraId="4B456B2F"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57.896</w:t>
            </w:r>
          </w:p>
        </w:tc>
        <w:tc>
          <w:tcPr>
            <w:tcW w:w="1134" w:type="dxa"/>
            <w:tcBorders>
              <w:top w:val="nil"/>
              <w:left w:val="nil"/>
              <w:bottom w:val="single" w:sz="4" w:space="0" w:color="auto"/>
              <w:right w:val="single" w:sz="4" w:space="0" w:color="auto"/>
            </w:tcBorders>
            <w:shd w:val="clear" w:color="auto" w:fill="auto"/>
            <w:noWrap/>
            <w:vAlign w:val="center"/>
          </w:tcPr>
          <w:p w14:paraId="412DB78D"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39.991</w:t>
            </w:r>
          </w:p>
        </w:tc>
        <w:tc>
          <w:tcPr>
            <w:tcW w:w="1134" w:type="dxa"/>
            <w:tcBorders>
              <w:top w:val="nil"/>
              <w:left w:val="nil"/>
              <w:bottom w:val="single" w:sz="4" w:space="0" w:color="auto"/>
              <w:right w:val="single" w:sz="4" w:space="0" w:color="auto"/>
            </w:tcBorders>
            <w:shd w:val="clear" w:color="auto" w:fill="auto"/>
            <w:noWrap/>
            <w:vAlign w:val="center"/>
          </w:tcPr>
          <w:p w14:paraId="11E76F06"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385.392</w:t>
            </w:r>
          </w:p>
        </w:tc>
      </w:tr>
      <w:tr w:rsidR="00C746F4" w:rsidRPr="00A1588E" w14:paraId="4E136666"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2ECF2DB7"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N_116</w:t>
            </w:r>
          </w:p>
        </w:tc>
        <w:tc>
          <w:tcPr>
            <w:tcW w:w="4253" w:type="dxa"/>
            <w:tcBorders>
              <w:top w:val="nil"/>
              <w:left w:val="nil"/>
              <w:bottom w:val="single" w:sz="4" w:space="0" w:color="auto"/>
              <w:right w:val="single" w:sz="4" w:space="0" w:color="auto"/>
            </w:tcBorders>
            <w:shd w:val="clear" w:color="auto" w:fill="auto"/>
            <w:noWrap/>
            <w:vAlign w:val="center"/>
            <w:hideMark/>
          </w:tcPr>
          <w:p w14:paraId="5D1996ED"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Punta Sierra 220-&gt;La Cebada 220</w:t>
            </w:r>
          </w:p>
        </w:tc>
        <w:tc>
          <w:tcPr>
            <w:tcW w:w="1134" w:type="dxa"/>
            <w:tcBorders>
              <w:top w:val="nil"/>
              <w:left w:val="nil"/>
              <w:bottom w:val="single" w:sz="4" w:space="0" w:color="auto"/>
              <w:right w:val="single" w:sz="4" w:space="0" w:color="auto"/>
            </w:tcBorders>
            <w:shd w:val="clear" w:color="auto" w:fill="auto"/>
            <w:noWrap/>
            <w:vAlign w:val="center"/>
          </w:tcPr>
          <w:p w14:paraId="39BFECF2"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249.435</w:t>
            </w:r>
          </w:p>
        </w:tc>
        <w:tc>
          <w:tcPr>
            <w:tcW w:w="1134" w:type="dxa"/>
            <w:tcBorders>
              <w:top w:val="nil"/>
              <w:left w:val="nil"/>
              <w:bottom w:val="single" w:sz="4" w:space="0" w:color="auto"/>
              <w:right w:val="single" w:sz="4" w:space="0" w:color="auto"/>
            </w:tcBorders>
            <w:shd w:val="clear" w:color="auto" w:fill="auto"/>
            <w:noWrap/>
            <w:vAlign w:val="center"/>
          </w:tcPr>
          <w:p w14:paraId="12F1DA81"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50.269</w:t>
            </w:r>
          </w:p>
        </w:tc>
        <w:tc>
          <w:tcPr>
            <w:tcW w:w="1134" w:type="dxa"/>
            <w:tcBorders>
              <w:top w:val="nil"/>
              <w:left w:val="nil"/>
              <w:bottom w:val="single" w:sz="4" w:space="0" w:color="auto"/>
              <w:right w:val="single" w:sz="4" w:space="0" w:color="auto"/>
            </w:tcBorders>
            <w:shd w:val="clear" w:color="auto" w:fill="auto"/>
            <w:noWrap/>
            <w:vAlign w:val="center"/>
          </w:tcPr>
          <w:p w14:paraId="6358517D"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57.630</w:t>
            </w:r>
          </w:p>
        </w:tc>
        <w:tc>
          <w:tcPr>
            <w:tcW w:w="1134" w:type="dxa"/>
            <w:tcBorders>
              <w:top w:val="nil"/>
              <w:left w:val="nil"/>
              <w:bottom w:val="single" w:sz="4" w:space="0" w:color="auto"/>
              <w:right w:val="single" w:sz="4" w:space="0" w:color="auto"/>
            </w:tcBorders>
            <w:shd w:val="clear" w:color="auto" w:fill="auto"/>
            <w:noWrap/>
            <w:vAlign w:val="center"/>
          </w:tcPr>
          <w:p w14:paraId="4E3B2551"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357.334</w:t>
            </w:r>
          </w:p>
        </w:tc>
      </w:tr>
      <w:tr w:rsidR="00C746F4" w:rsidRPr="00A1588E" w14:paraId="7D21480E"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594C25F4"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N_117</w:t>
            </w:r>
          </w:p>
        </w:tc>
        <w:tc>
          <w:tcPr>
            <w:tcW w:w="4253" w:type="dxa"/>
            <w:tcBorders>
              <w:top w:val="nil"/>
              <w:left w:val="nil"/>
              <w:bottom w:val="single" w:sz="4" w:space="0" w:color="auto"/>
              <w:right w:val="single" w:sz="4" w:space="0" w:color="auto"/>
            </w:tcBorders>
            <w:shd w:val="clear" w:color="auto" w:fill="auto"/>
            <w:noWrap/>
            <w:vAlign w:val="center"/>
            <w:hideMark/>
          </w:tcPr>
          <w:p w14:paraId="5958E5BE"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Punta Sierra 220-&gt;Las Palmas 220</w:t>
            </w:r>
          </w:p>
        </w:tc>
        <w:tc>
          <w:tcPr>
            <w:tcW w:w="1134" w:type="dxa"/>
            <w:tcBorders>
              <w:top w:val="nil"/>
              <w:left w:val="nil"/>
              <w:bottom w:val="single" w:sz="4" w:space="0" w:color="auto"/>
              <w:right w:val="single" w:sz="4" w:space="0" w:color="auto"/>
            </w:tcBorders>
            <w:shd w:val="clear" w:color="auto" w:fill="auto"/>
            <w:noWrap/>
            <w:vAlign w:val="center"/>
          </w:tcPr>
          <w:p w14:paraId="42729DA3"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415.008</w:t>
            </w:r>
          </w:p>
        </w:tc>
        <w:tc>
          <w:tcPr>
            <w:tcW w:w="1134" w:type="dxa"/>
            <w:tcBorders>
              <w:top w:val="nil"/>
              <w:left w:val="nil"/>
              <w:bottom w:val="single" w:sz="4" w:space="0" w:color="auto"/>
              <w:right w:val="single" w:sz="4" w:space="0" w:color="auto"/>
            </w:tcBorders>
            <w:shd w:val="clear" w:color="auto" w:fill="auto"/>
            <w:noWrap/>
            <w:vAlign w:val="center"/>
          </w:tcPr>
          <w:p w14:paraId="42165A78"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83.627</w:t>
            </w:r>
          </w:p>
        </w:tc>
        <w:tc>
          <w:tcPr>
            <w:tcW w:w="1134" w:type="dxa"/>
            <w:tcBorders>
              <w:top w:val="nil"/>
              <w:left w:val="nil"/>
              <w:bottom w:val="single" w:sz="4" w:space="0" w:color="auto"/>
              <w:right w:val="single" w:sz="4" w:space="0" w:color="auto"/>
            </w:tcBorders>
            <w:shd w:val="clear" w:color="auto" w:fill="auto"/>
            <w:noWrap/>
            <w:vAlign w:val="center"/>
          </w:tcPr>
          <w:p w14:paraId="6E9988C7"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81.650</w:t>
            </w:r>
          </w:p>
        </w:tc>
        <w:tc>
          <w:tcPr>
            <w:tcW w:w="1134" w:type="dxa"/>
            <w:tcBorders>
              <w:top w:val="nil"/>
              <w:left w:val="nil"/>
              <w:bottom w:val="single" w:sz="4" w:space="0" w:color="auto"/>
              <w:right w:val="single" w:sz="4" w:space="0" w:color="auto"/>
            </w:tcBorders>
            <w:shd w:val="clear" w:color="auto" w:fill="auto"/>
            <w:noWrap/>
            <w:vAlign w:val="center"/>
          </w:tcPr>
          <w:p w14:paraId="13213CAC"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580.286</w:t>
            </w:r>
          </w:p>
        </w:tc>
      </w:tr>
      <w:tr w:rsidR="00C746F4" w:rsidRPr="00A1588E" w14:paraId="7194AD74"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00D63C6C"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lastRenderedPageBreak/>
              <w:t>N_118</w:t>
            </w:r>
          </w:p>
        </w:tc>
        <w:tc>
          <w:tcPr>
            <w:tcW w:w="4253" w:type="dxa"/>
            <w:tcBorders>
              <w:top w:val="nil"/>
              <w:left w:val="nil"/>
              <w:bottom w:val="single" w:sz="4" w:space="0" w:color="auto"/>
              <w:right w:val="single" w:sz="4" w:space="0" w:color="auto"/>
            </w:tcBorders>
            <w:shd w:val="clear" w:color="auto" w:fill="auto"/>
            <w:noWrap/>
            <w:vAlign w:val="center"/>
            <w:hideMark/>
          </w:tcPr>
          <w:p w14:paraId="35D8ADF6"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Quillota 220-&gt;Polpaico 220</w:t>
            </w:r>
          </w:p>
        </w:tc>
        <w:tc>
          <w:tcPr>
            <w:tcW w:w="1134" w:type="dxa"/>
            <w:tcBorders>
              <w:top w:val="nil"/>
              <w:left w:val="nil"/>
              <w:bottom w:val="single" w:sz="4" w:space="0" w:color="auto"/>
              <w:right w:val="single" w:sz="4" w:space="0" w:color="auto"/>
            </w:tcBorders>
            <w:shd w:val="clear" w:color="auto" w:fill="auto"/>
            <w:noWrap/>
            <w:vAlign w:val="center"/>
          </w:tcPr>
          <w:p w14:paraId="54968F15"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2.521.740</w:t>
            </w:r>
          </w:p>
        </w:tc>
        <w:tc>
          <w:tcPr>
            <w:tcW w:w="1134" w:type="dxa"/>
            <w:tcBorders>
              <w:top w:val="nil"/>
              <w:left w:val="nil"/>
              <w:bottom w:val="single" w:sz="4" w:space="0" w:color="auto"/>
              <w:right w:val="single" w:sz="4" w:space="0" w:color="auto"/>
            </w:tcBorders>
            <w:shd w:val="clear" w:color="auto" w:fill="auto"/>
            <w:noWrap/>
            <w:vAlign w:val="center"/>
          </w:tcPr>
          <w:p w14:paraId="2EFC0055"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508.008</w:t>
            </w:r>
          </w:p>
        </w:tc>
        <w:tc>
          <w:tcPr>
            <w:tcW w:w="1134" w:type="dxa"/>
            <w:tcBorders>
              <w:top w:val="nil"/>
              <w:left w:val="nil"/>
              <w:bottom w:val="single" w:sz="4" w:space="0" w:color="auto"/>
              <w:right w:val="single" w:sz="4" w:space="0" w:color="auto"/>
            </w:tcBorders>
            <w:shd w:val="clear" w:color="auto" w:fill="auto"/>
            <w:noWrap/>
            <w:vAlign w:val="center"/>
          </w:tcPr>
          <w:p w14:paraId="14A57F58"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494.219</w:t>
            </w:r>
          </w:p>
        </w:tc>
        <w:tc>
          <w:tcPr>
            <w:tcW w:w="1134" w:type="dxa"/>
            <w:tcBorders>
              <w:top w:val="nil"/>
              <w:left w:val="nil"/>
              <w:bottom w:val="single" w:sz="4" w:space="0" w:color="auto"/>
              <w:right w:val="single" w:sz="4" w:space="0" w:color="auto"/>
            </w:tcBorders>
            <w:shd w:val="clear" w:color="auto" w:fill="auto"/>
            <w:noWrap/>
            <w:vAlign w:val="center"/>
          </w:tcPr>
          <w:p w14:paraId="2C130ADE"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3.523.966</w:t>
            </w:r>
          </w:p>
        </w:tc>
      </w:tr>
      <w:tr w:rsidR="00C746F4" w:rsidRPr="00A1588E" w14:paraId="69DC980F"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6FCF2DEE"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N_119</w:t>
            </w:r>
          </w:p>
        </w:tc>
        <w:tc>
          <w:tcPr>
            <w:tcW w:w="4253" w:type="dxa"/>
            <w:tcBorders>
              <w:top w:val="nil"/>
              <w:left w:val="nil"/>
              <w:bottom w:val="single" w:sz="4" w:space="0" w:color="auto"/>
              <w:right w:val="single" w:sz="4" w:space="0" w:color="auto"/>
            </w:tcBorders>
            <w:shd w:val="clear" w:color="auto" w:fill="auto"/>
            <w:noWrap/>
            <w:vAlign w:val="center"/>
            <w:hideMark/>
          </w:tcPr>
          <w:p w14:paraId="7A21E7C9"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Quillota 220-&gt;San Luis 220</w:t>
            </w:r>
          </w:p>
        </w:tc>
        <w:tc>
          <w:tcPr>
            <w:tcW w:w="1134" w:type="dxa"/>
            <w:tcBorders>
              <w:top w:val="nil"/>
              <w:left w:val="nil"/>
              <w:bottom w:val="single" w:sz="4" w:space="0" w:color="auto"/>
              <w:right w:val="single" w:sz="4" w:space="0" w:color="auto"/>
            </w:tcBorders>
            <w:shd w:val="clear" w:color="auto" w:fill="auto"/>
            <w:noWrap/>
            <w:vAlign w:val="center"/>
          </w:tcPr>
          <w:p w14:paraId="01C6129E"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444.600</w:t>
            </w:r>
          </w:p>
        </w:tc>
        <w:tc>
          <w:tcPr>
            <w:tcW w:w="1134" w:type="dxa"/>
            <w:tcBorders>
              <w:top w:val="nil"/>
              <w:left w:val="nil"/>
              <w:bottom w:val="single" w:sz="4" w:space="0" w:color="auto"/>
              <w:right w:val="single" w:sz="4" w:space="0" w:color="auto"/>
            </w:tcBorders>
            <w:shd w:val="clear" w:color="auto" w:fill="auto"/>
            <w:noWrap/>
            <w:vAlign w:val="center"/>
          </w:tcPr>
          <w:p w14:paraId="26C4EFF9"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89.462</w:t>
            </w:r>
          </w:p>
        </w:tc>
        <w:tc>
          <w:tcPr>
            <w:tcW w:w="1134" w:type="dxa"/>
            <w:tcBorders>
              <w:top w:val="nil"/>
              <w:left w:val="nil"/>
              <w:bottom w:val="single" w:sz="4" w:space="0" w:color="auto"/>
              <w:right w:val="single" w:sz="4" w:space="0" w:color="auto"/>
            </w:tcBorders>
            <w:shd w:val="clear" w:color="auto" w:fill="auto"/>
            <w:noWrap/>
            <w:vAlign w:val="center"/>
          </w:tcPr>
          <w:p w14:paraId="6C36DC41"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70.498</w:t>
            </w:r>
          </w:p>
        </w:tc>
        <w:tc>
          <w:tcPr>
            <w:tcW w:w="1134" w:type="dxa"/>
            <w:tcBorders>
              <w:top w:val="nil"/>
              <w:left w:val="nil"/>
              <w:bottom w:val="single" w:sz="4" w:space="0" w:color="auto"/>
              <w:right w:val="single" w:sz="4" w:space="0" w:color="auto"/>
            </w:tcBorders>
            <w:shd w:val="clear" w:color="auto" w:fill="auto"/>
            <w:noWrap/>
            <w:vAlign w:val="center"/>
          </w:tcPr>
          <w:p w14:paraId="0FAC8E52"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604.559</w:t>
            </w:r>
          </w:p>
        </w:tc>
      </w:tr>
      <w:tr w:rsidR="00C746F4" w:rsidRPr="00A1588E" w14:paraId="64657910"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4EC26119"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N_120</w:t>
            </w:r>
          </w:p>
        </w:tc>
        <w:tc>
          <w:tcPr>
            <w:tcW w:w="4253" w:type="dxa"/>
            <w:tcBorders>
              <w:top w:val="nil"/>
              <w:left w:val="nil"/>
              <w:bottom w:val="single" w:sz="4" w:space="0" w:color="auto"/>
              <w:right w:val="single" w:sz="4" w:space="0" w:color="auto"/>
            </w:tcBorders>
            <w:shd w:val="clear" w:color="auto" w:fill="auto"/>
            <w:noWrap/>
            <w:vAlign w:val="center"/>
            <w:hideMark/>
          </w:tcPr>
          <w:p w14:paraId="1213DA45"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Rahue 220-&gt;Frutillar Norte 220</w:t>
            </w:r>
          </w:p>
        </w:tc>
        <w:tc>
          <w:tcPr>
            <w:tcW w:w="1134" w:type="dxa"/>
            <w:tcBorders>
              <w:top w:val="nil"/>
              <w:left w:val="nil"/>
              <w:bottom w:val="single" w:sz="4" w:space="0" w:color="auto"/>
              <w:right w:val="single" w:sz="4" w:space="0" w:color="auto"/>
            </w:tcBorders>
            <w:shd w:val="clear" w:color="auto" w:fill="auto"/>
            <w:noWrap/>
            <w:vAlign w:val="center"/>
          </w:tcPr>
          <w:p w14:paraId="1EA948E8"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899.452</w:t>
            </w:r>
          </w:p>
        </w:tc>
        <w:tc>
          <w:tcPr>
            <w:tcW w:w="1134" w:type="dxa"/>
            <w:tcBorders>
              <w:top w:val="nil"/>
              <w:left w:val="nil"/>
              <w:bottom w:val="single" w:sz="4" w:space="0" w:color="auto"/>
              <w:right w:val="single" w:sz="4" w:space="0" w:color="auto"/>
            </w:tcBorders>
            <w:shd w:val="clear" w:color="auto" w:fill="auto"/>
            <w:noWrap/>
            <w:vAlign w:val="center"/>
          </w:tcPr>
          <w:p w14:paraId="5F5EBCD4"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181.130</w:t>
            </w:r>
          </w:p>
        </w:tc>
        <w:tc>
          <w:tcPr>
            <w:tcW w:w="1134" w:type="dxa"/>
            <w:tcBorders>
              <w:top w:val="nil"/>
              <w:left w:val="nil"/>
              <w:bottom w:val="single" w:sz="4" w:space="0" w:color="auto"/>
              <w:right w:val="single" w:sz="4" w:space="0" w:color="auto"/>
            </w:tcBorders>
            <w:shd w:val="clear" w:color="auto" w:fill="auto"/>
            <w:noWrap/>
            <w:vAlign w:val="center"/>
          </w:tcPr>
          <w:p w14:paraId="507EF4F8"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144.278</w:t>
            </w:r>
          </w:p>
        </w:tc>
        <w:tc>
          <w:tcPr>
            <w:tcW w:w="1134" w:type="dxa"/>
            <w:tcBorders>
              <w:top w:val="nil"/>
              <w:left w:val="nil"/>
              <w:bottom w:val="single" w:sz="4" w:space="0" w:color="auto"/>
              <w:right w:val="single" w:sz="4" w:space="0" w:color="auto"/>
            </w:tcBorders>
            <w:shd w:val="clear" w:color="auto" w:fill="auto"/>
            <w:noWrap/>
            <w:vAlign w:val="center"/>
          </w:tcPr>
          <w:p w14:paraId="3188B3C6"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1.224.860</w:t>
            </w:r>
          </w:p>
        </w:tc>
      </w:tr>
      <w:tr w:rsidR="00C746F4" w:rsidRPr="00A1588E" w14:paraId="40D419F0"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23E23541"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N_121</w:t>
            </w:r>
          </w:p>
        </w:tc>
        <w:tc>
          <w:tcPr>
            <w:tcW w:w="4253" w:type="dxa"/>
            <w:tcBorders>
              <w:top w:val="nil"/>
              <w:left w:val="nil"/>
              <w:bottom w:val="single" w:sz="4" w:space="0" w:color="auto"/>
              <w:right w:val="single" w:sz="4" w:space="0" w:color="auto"/>
            </w:tcBorders>
            <w:shd w:val="clear" w:color="auto" w:fill="auto"/>
            <w:noWrap/>
            <w:vAlign w:val="center"/>
            <w:hideMark/>
          </w:tcPr>
          <w:p w14:paraId="3821BB4E"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Rahue 220-&gt;Nueva Pichirropulli 220</w:t>
            </w:r>
          </w:p>
        </w:tc>
        <w:tc>
          <w:tcPr>
            <w:tcW w:w="1134" w:type="dxa"/>
            <w:tcBorders>
              <w:top w:val="nil"/>
              <w:left w:val="nil"/>
              <w:bottom w:val="single" w:sz="4" w:space="0" w:color="auto"/>
              <w:right w:val="single" w:sz="4" w:space="0" w:color="auto"/>
            </w:tcBorders>
            <w:shd w:val="clear" w:color="auto" w:fill="auto"/>
            <w:noWrap/>
            <w:vAlign w:val="center"/>
          </w:tcPr>
          <w:p w14:paraId="011B7E20"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874.441</w:t>
            </w:r>
          </w:p>
        </w:tc>
        <w:tc>
          <w:tcPr>
            <w:tcW w:w="1134" w:type="dxa"/>
            <w:tcBorders>
              <w:top w:val="nil"/>
              <w:left w:val="nil"/>
              <w:bottom w:val="single" w:sz="4" w:space="0" w:color="auto"/>
              <w:right w:val="single" w:sz="4" w:space="0" w:color="auto"/>
            </w:tcBorders>
            <w:shd w:val="clear" w:color="auto" w:fill="auto"/>
            <w:noWrap/>
            <w:vAlign w:val="center"/>
          </w:tcPr>
          <w:p w14:paraId="16C23C7D"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176.277</w:t>
            </w:r>
          </w:p>
        </w:tc>
        <w:tc>
          <w:tcPr>
            <w:tcW w:w="1134" w:type="dxa"/>
            <w:tcBorders>
              <w:top w:val="nil"/>
              <w:left w:val="nil"/>
              <w:bottom w:val="single" w:sz="4" w:space="0" w:color="auto"/>
              <w:right w:val="single" w:sz="4" w:space="0" w:color="auto"/>
            </w:tcBorders>
            <w:shd w:val="clear" w:color="auto" w:fill="auto"/>
            <w:noWrap/>
            <w:vAlign w:val="center"/>
          </w:tcPr>
          <w:p w14:paraId="349736FE"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155.650</w:t>
            </w:r>
          </w:p>
        </w:tc>
        <w:tc>
          <w:tcPr>
            <w:tcW w:w="1134" w:type="dxa"/>
            <w:tcBorders>
              <w:top w:val="nil"/>
              <w:left w:val="nil"/>
              <w:bottom w:val="single" w:sz="4" w:space="0" w:color="auto"/>
              <w:right w:val="single" w:sz="4" w:space="0" w:color="auto"/>
            </w:tcBorders>
            <w:shd w:val="clear" w:color="auto" w:fill="auto"/>
            <w:noWrap/>
            <w:vAlign w:val="center"/>
          </w:tcPr>
          <w:p w14:paraId="28257A5D"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1.206.368</w:t>
            </w:r>
          </w:p>
        </w:tc>
      </w:tr>
      <w:tr w:rsidR="00C746F4" w:rsidRPr="00A1588E" w14:paraId="5B2F404A"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23F3EDB5"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N_122</w:t>
            </w:r>
          </w:p>
        </w:tc>
        <w:tc>
          <w:tcPr>
            <w:tcW w:w="4253" w:type="dxa"/>
            <w:tcBorders>
              <w:top w:val="nil"/>
              <w:left w:val="nil"/>
              <w:bottom w:val="single" w:sz="4" w:space="0" w:color="auto"/>
              <w:right w:val="single" w:sz="4" w:space="0" w:color="auto"/>
            </w:tcBorders>
            <w:shd w:val="clear" w:color="auto" w:fill="auto"/>
            <w:noWrap/>
            <w:vAlign w:val="center"/>
            <w:hideMark/>
          </w:tcPr>
          <w:p w14:paraId="5FF30EFF"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Rio Malleco 220-&gt;Cautín 220</w:t>
            </w:r>
          </w:p>
        </w:tc>
        <w:tc>
          <w:tcPr>
            <w:tcW w:w="1134" w:type="dxa"/>
            <w:tcBorders>
              <w:top w:val="nil"/>
              <w:left w:val="nil"/>
              <w:bottom w:val="single" w:sz="4" w:space="0" w:color="auto"/>
              <w:right w:val="single" w:sz="4" w:space="0" w:color="auto"/>
            </w:tcBorders>
            <w:shd w:val="clear" w:color="auto" w:fill="auto"/>
            <w:noWrap/>
            <w:vAlign w:val="center"/>
          </w:tcPr>
          <w:p w14:paraId="0A93291A"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asciiTheme="minorHAnsi" w:hAnsiTheme="minorHAnsi" w:cstheme="minorHAnsi"/>
                <w:sz w:val="20"/>
                <w:szCs w:val="20"/>
              </w:rPr>
              <w:t>-</w:t>
            </w:r>
          </w:p>
        </w:tc>
        <w:tc>
          <w:tcPr>
            <w:tcW w:w="1134" w:type="dxa"/>
            <w:tcBorders>
              <w:top w:val="nil"/>
              <w:left w:val="nil"/>
              <w:bottom w:val="single" w:sz="4" w:space="0" w:color="auto"/>
              <w:right w:val="single" w:sz="4" w:space="0" w:color="auto"/>
            </w:tcBorders>
            <w:shd w:val="clear" w:color="auto" w:fill="auto"/>
            <w:noWrap/>
            <w:vAlign w:val="center"/>
          </w:tcPr>
          <w:p w14:paraId="4A9C8377"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w:t>
            </w:r>
          </w:p>
        </w:tc>
        <w:tc>
          <w:tcPr>
            <w:tcW w:w="1134" w:type="dxa"/>
            <w:tcBorders>
              <w:top w:val="nil"/>
              <w:left w:val="nil"/>
              <w:bottom w:val="single" w:sz="4" w:space="0" w:color="auto"/>
              <w:right w:val="single" w:sz="4" w:space="0" w:color="auto"/>
            </w:tcBorders>
            <w:shd w:val="clear" w:color="auto" w:fill="auto"/>
            <w:noWrap/>
            <w:vAlign w:val="center"/>
          </w:tcPr>
          <w:p w14:paraId="716C4ED5"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w:t>
            </w:r>
          </w:p>
        </w:tc>
        <w:tc>
          <w:tcPr>
            <w:tcW w:w="1134" w:type="dxa"/>
            <w:tcBorders>
              <w:top w:val="nil"/>
              <w:left w:val="nil"/>
              <w:bottom w:val="single" w:sz="4" w:space="0" w:color="auto"/>
              <w:right w:val="single" w:sz="4" w:space="0" w:color="auto"/>
            </w:tcBorders>
            <w:shd w:val="clear" w:color="auto" w:fill="auto"/>
            <w:noWrap/>
            <w:vAlign w:val="center"/>
          </w:tcPr>
          <w:p w14:paraId="63194314"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w:t>
            </w:r>
          </w:p>
        </w:tc>
      </w:tr>
      <w:tr w:rsidR="00C746F4" w:rsidRPr="00A1588E" w14:paraId="1A615C03"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3EC2318C"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N_123</w:t>
            </w:r>
          </w:p>
        </w:tc>
        <w:tc>
          <w:tcPr>
            <w:tcW w:w="4253" w:type="dxa"/>
            <w:tcBorders>
              <w:top w:val="nil"/>
              <w:left w:val="nil"/>
              <w:bottom w:val="single" w:sz="4" w:space="0" w:color="auto"/>
              <w:right w:val="single" w:sz="4" w:space="0" w:color="auto"/>
            </w:tcBorders>
            <w:shd w:val="clear" w:color="auto" w:fill="auto"/>
            <w:noWrap/>
            <w:vAlign w:val="center"/>
            <w:hideMark/>
          </w:tcPr>
          <w:p w14:paraId="3AF39975"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Rio Tolten 220-&gt;Lastarria 220</w:t>
            </w:r>
          </w:p>
        </w:tc>
        <w:tc>
          <w:tcPr>
            <w:tcW w:w="1134" w:type="dxa"/>
            <w:tcBorders>
              <w:top w:val="nil"/>
              <w:left w:val="nil"/>
              <w:bottom w:val="single" w:sz="4" w:space="0" w:color="auto"/>
              <w:right w:val="single" w:sz="4" w:space="0" w:color="auto"/>
            </w:tcBorders>
            <w:shd w:val="clear" w:color="auto" w:fill="auto"/>
            <w:noWrap/>
            <w:vAlign w:val="center"/>
          </w:tcPr>
          <w:p w14:paraId="2E52EFED"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712.312</w:t>
            </w:r>
          </w:p>
        </w:tc>
        <w:tc>
          <w:tcPr>
            <w:tcW w:w="1134" w:type="dxa"/>
            <w:tcBorders>
              <w:top w:val="nil"/>
              <w:left w:val="nil"/>
              <w:bottom w:val="single" w:sz="4" w:space="0" w:color="auto"/>
              <w:right w:val="single" w:sz="4" w:space="0" w:color="auto"/>
            </w:tcBorders>
            <w:shd w:val="clear" w:color="auto" w:fill="auto"/>
            <w:noWrap/>
            <w:vAlign w:val="center"/>
          </w:tcPr>
          <w:p w14:paraId="3ECB2972"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143.629</w:t>
            </w:r>
          </w:p>
        </w:tc>
        <w:tc>
          <w:tcPr>
            <w:tcW w:w="1134" w:type="dxa"/>
            <w:tcBorders>
              <w:top w:val="nil"/>
              <w:left w:val="nil"/>
              <w:bottom w:val="single" w:sz="4" w:space="0" w:color="auto"/>
              <w:right w:val="single" w:sz="4" w:space="0" w:color="auto"/>
            </w:tcBorders>
            <w:shd w:val="clear" w:color="auto" w:fill="auto"/>
            <w:noWrap/>
            <w:vAlign w:val="center"/>
          </w:tcPr>
          <w:p w14:paraId="1301C5CC"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140.659</w:t>
            </w:r>
          </w:p>
        </w:tc>
        <w:tc>
          <w:tcPr>
            <w:tcW w:w="1134" w:type="dxa"/>
            <w:tcBorders>
              <w:top w:val="nil"/>
              <w:left w:val="nil"/>
              <w:bottom w:val="single" w:sz="4" w:space="0" w:color="auto"/>
              <w:right w:val="single" w:sz="4" w:space="0" w:color="auto"/>
            </w:tcBorders>
            <w:shd w:val="clear" w:color="auto" w:fill="auto"/>
            <w:noWrap/>
            <w:vAlign w:val="center"/>
          </w:tcPr>
          <w:p w14:paraId="460DCC3F"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996.600</w:t>
            </w:r>
          </w:p>
        </w:tc>
      </w:tr>
      <w:tr w:rsidR="00C746F4" w:rsidRPr="00A1588E" w14:paraId="4BDF68A9"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2413B1BD"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N_124</w:t>
            </w:r>
          </w:p>
        </w:tc>
        <w:tc>
          <w:tcPr>
            <w:tcW w:w="4253" w:type="dxa"/>
            <w:tcBorders>
              <w:top w:val="nil"/>
              <w:left w:val="nil"/>
              <w:bottom w:val="single" w:sz="4" w:space="0" w:color="auto"/>
              <w:right w:val="single" w:sz="4" w:space="0" w:color="auto"/>
            </w:tcBorders>
            <w:shd w:val="clear" w:color="auto" w:fill="auto"/>
            <w:noWrap/>
            <w:vAlign w:val="center"/>
            <w:hideMark/>
          </w:tcPr>
          <w:p w14:paraId="2296608D"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Rio Tolten 220-&gt;Metrenco 220</w:t>
            </w:r>
          </w:p>
        </w:tc>
        <w:tc>
          <w:tcPr>
            <w:tcW w:w="1134" w:type="dxa"/>
            <w:tcBorders>
              <w:top w:val="nil"/>
              <w:left w:val="nil"/>
              <w:bottom w:val="single" w:sz="4" w:space="0" w:color="auto"/>
              <w:right w:val="single" w:sz="4" w:space="0" w:color="auto"/>
            </w:tcBorders>
            <w:shd w:val="clear" w:color="auto" w:fill="auto"/>
            <w:noWrap/>
            <w:vAlign w:val="center"/>
          </w:tcPr>
          <w:p w14:paraId="7E02C03C"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339.746</w:t>
            </w:r>
          </w:p>
        </w:tc>
        <w:tc>
          <w:tcPr>
            <w:tcW w:w="1134" w:type="dxa"/>
            <w:tcBorders>
              <w:top w:val="nil"/>
              <w:left w:val="nil"/>
              <w:bottom w:val="single" w:sz="4" w:space="0" w:color="auto"/>
              <w:right w:val="single" w:sz="4" w:space="0" w:color="auto"/>
            </w:tcBorders>
            <w:shd w:val="clear" w:color="auto" w:fill="auto"/>
            <w:noWrap/>
            <w:vAlign w:val="center"/>
          </w:tcPr>
          <w:p w14:paraId="4A95B4C8"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68.489</w:t>
            </w:r>
          </w:p>
        </w:tc>
        <w:tc>
          <w:tcPr>
            <w:tcW w:w="1134" w:type="dxa"/>
            <w:tcBorders>
              <w:top w:val="nil"/>
              <w:left w:val="nil"/>
              <w:bottom w:val="single" w:sz="4" w:space="0" w:color="auto"/>
              <w:right w:val="single" w:sz="4" w:space="0" w:color="auto"/>
            </w:tcBorders>
            <w:shd w:val="clear" w:color="auto" w:fill="auto"/>
            <w:noWrap/>
            <w:vAlign w:val="center"/>
          </w:tcPr>
          <w:p w14:paraId="6C454794"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77.933</w:t>
            </w:r>
          </w:p>
        </w:tc>
        <w:tc>
          <w:tcPr>
            <w:tcW w:w="1134" w:type="dxa"/>
            <w:tcBorders>
              <w:top w:val="nil"/>
              <w:left w:val="nil"/>
              <w:bottom w:val="single" w:sz="4" w:space="0" w:color="auto"/>
              <w:right w:val="single" w:sz="4" w:space="0" w:color="auto"/>
            </w:tcBorders>
            <w:shd w:val="clear" w:color="auto" w:fill="auto"/>
            <w:noWrap/>
            <w:vAlign w:val="center"/>
          </w:tcPr>
          <w:p w14:paraId="38D7DA53"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486.169</w:t>
            </w:r>
          </w:p>
        </w:tc>
      </w:tr>
      <w:tr w:rsidR="00C746F4" w:rsidRPr="00A1588E" w14:paraId="11BC7516"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54BEF24F"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N_125</w:t>
            </w:r>
          </w:p>
        </w:tc>
        <w:tc>
          <w:tcPr>
            <w:tcW w:w="4253" w:type="dxa"/>
            <w:tcBorders>
              <w:top w:val="nil"/>
              <w:left w:val="nil"/>
              <w:bottom w:val="single" w:sz="4" w:space="0" w:color="auto"/>
              <w:right w:val="single" w:sz="4" w:space="0" w:color="auto"/>
            </w:tcBorders>
            <w:shd w:val="clear" w:color="auto" w:fill="auto"/>
            <w:noWrap/>
            <w:vAlign w:val="center"/>
            <w:hideMark/>
          </w:tcPr>
          <w:p w14:paraId="3C62B583"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S. San Andrés 220-&gt;Cardones 220</w:t>
            </w:r>
          </w:p>
        </w:tc>
        <w:tc>
          <w:tcPr>
            <w:tcW w:w="1134" w:type="dxa"/>
            <w:tcBorders>
              <w:top w:val="nil"/>
              <w:left w:val="nil"/>
              <w:bottom w:val="single" w:sz="4" w:space="0" w:color="auto"/>
              <w:right w:val="single" w:sz="4" w:space="0" w:color="auto"/>
            </w:tcBorders>
            <w:shd w:val="clear" w:color="auto" w:fill="auto"/>
            <w:noWrap/>
            <w:vAlign w:val="center"/>
          </w:tcPr>
          <w:p w14:paraId="31DA4340"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711.860</w:t>
            </w:r>
          </w:p>
        </w:tc>
        <w:tc>
          <w:tcPr>
            <w:tcW w:w="1134" w:type="dxa"/>
            <w:tcBorders>
              <w:top w:val="nil"/>
              <w:left w:val="nil"/>
              <w:bottom w:val="single" w:sz="4" w:space="0" w:color="auto"/>
              <w:right w:val="single" w:sz="4" w:space="0" w:color="auto"/>
            </w:tcBorders>
            <w:shd w:val="clear" w:color="auto" w:fill="auto"/>
            <w:noWrap/>
            <w:vAlign w:val="center"/>
          </w:tcPr>
          <w:p w14:paraId="1D52ADDE"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143.746</w:t>
            </w:r>
          </w:p>
        </w:tc>
        <w:tc>
          <w:tcPr>
            <w:tcW w:w="1134" w:type="dxa"/>
            <w:tcBorders>
              <w:top w:val="nil"/>
              <w:left w:val="nil"/>
              <w:bottom w:val="single" w:sz="4" w:space="0" w:color="auto"/>
              <w:right w:val="single" w:sz="4" w:space="0" w:color="auto"/>
            </w:tcBorders>
            <w:shd w:val="clear" w:color="auto" w:fill="auto"/>
            <w:noWrap/>
            <w:vAlign w:val="center"/>
          </w:tcPr>
          <w:p w14:paraId="07E4D94C"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120.564</w:t>
            </w:r>
          </w:p>
        </w:tc>
        <w:tc>
          <w:tcPr>
            <w:tcW w:w="1134" w:type="dxa"/>
            <w:tcBorders>
              <w:top w:val="nil"/>
              <w:left w:val="nil"/>
              <w:bottom w:val="single" w:sz="4" w:space="0" w:color="auto"/>
              <w:right w:val="single" w:sz="4" w:space="0" w:color="auto"/>
            </w:tcBorders>
            <w:shd w:val="clear" w:color="auto" w:fill="auto"/>
            <w:noWrap/>
            <w:vAlign w:val="center"/>
          </w:tcPr>
          <w:p w14:paraId="7170DC33"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976.170</w:t>
            </w:r>
          </w:p>
        </w:tc>
      </w:tr>
      <w:tr w:rsidR="00C746F4" w:rsidRPr="00A1588E" w14:paraId="1DF9811F"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05E47755"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N_126</w:t>
            </w:r>
          </w:p>
        </w:tc>
        <w:tc>
          <w:tcPr>
            <w:tcW w:w="4253" w:type="dxa"/>
            <w:tcBorders>
              <w:top w:val="nil"/>
              <w:left w:val="nil"/>
              <w:bottom w:val="single" w:sz="4" w:space="0" w:color="auto"/>
              <w:right w:val="single" w:sz="4" w:space="0" w:color="auto"/>
            </w:tcBorders>
            <w:shd w:val="clear" w:color="auto" w:fill="auto"/>
            <w:noWrap/>
            <w:vAlign w:val="center"/>
            <w:hideMark/>
          </w:tcPr>
          <w:p w14:paraId="28C29D0C"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Salar 220-&gt;Calama Nueva 220</w:t>
            </w:r>
          </w:p>
        </w:tc>
        <w:tc>
          <w:tcPr>
            <w:tcW w:w="1134" w:type="dxa"/>
            <w:tcBorders>
              <w:top w:val="nil"/>
              <w:left w:val="nil"/>
              <w:bottom w:val="single" w:sz="4" w:space="0" w:color="auto"/>
              <w:right w:val="single" w:sz="4" w:space="0" w:color="auto"/>
            </w:tcBorders>
            <w:shd w:val="clear" w:color="auto" w:fill="auto"/>
            <w:noWrap/>
            <w:vAlign w:val="center"/>
          </w:tcPr>
          <w:p w14:paraId="4D0F8C6E"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428.656</w:t>
            </w:r>
          </w:p>
        </w:tc>
        <w:tc>
          <w:tcPr>
            <w:tcW w:w="1134" w:type="dxa"/>
            <w:tcBorders>
              <w:top w:val="nil"/>
              <w:left w:val="nil"/>
              <w:bottom w:val="single" w:sz="4" w:space="0" w:color="auto"/>
              <w:right w:val="single" w:sz="4" w:space="0" w:color="auto"/>
            </w:tcBorders>
            <w:shd w:val="clear" w:color="auto" w:fill="auto"/>
            <w:noWrap/>
            <w:vAlign w:val="center"/>
          </w:tcPr>
          <w:p w14:paraId="688B4534"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86.279</w:t>
            </w:r>
          </w:p>
        </w:tc>
        <w:tc>
          <w:tcPr>
            <w:tcW w:w="1134" w:type="dxa"/>
            <w:tcBorders>
              <w:top w:val="nil"/>
              <w:left w:val="nil"/>
              <w:bottom w:val="single" w:sz="4" w:space="0" w:color="auto"/>
              <w:right w:val="single" w:sz="4" w:space="0" w:color="auto"/>
            </w:tcBorders>
            <w:shd w:val="clear" w:color="auto" w:fill="auto"/>
            <w:noWrap/>
            <w:vAlign w:val="center"/>
          </w:tcPr>
          <w:p w14:paraId="41EAD5A6"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77.761</w:t>
            </w:r>
          </w:p>
        </w:tc>
        <w:tc>
          <w:tcPr>
            <w:tcW w:w="1134" w:type="dxa"/>
            <w:tcBorders>
              <w:top w:val="nil"/>
              <w:left w:val="nil"/>
              <w:bottom w:val="single" w:sz="4" w:space="0" w:color="auto"/>
              <w:right w:val="single" w:sz="4" w:space="0" w:color="auto"/>
            </w:tcBorders>
            <w:shd w:val="clear" w:color="auto" w:fill="auto"/>
            <w:noWrap/>
            <w:vAlign w:val="center"/>
          </w:tcPr>
          <w:p w14:paraId="69132183"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592.696</w:t>
            </w:r>
          </w:p>
        </w:tc>
      </w:tr>
      <w:tr w:rsidR="00C746F4" w:rsidRPr="00A1588E" w14:paraId="23AB5B83"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07DB56A2"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N_127</w:t>
            </w:r>
          </w:p>
        </w:tc>
        <w:tc>
          <w:tcPr>
            <w:tcW w:w="4253" w:type="dxa"/>
            <w:tcBorders>
              <w:top w:val="nil"/>
              <w:left w:val="nil"/>
              <w:bottom w:val="single" w:sz="4" w:space="0" w:color="auto"/>
              <w:right w:val="single" w:sz="4" w:space="0" w:color="auto"/>
            </w:tcBorders>
            <w:shd w:val="clear" w:color="auto" w:fill="auto"/>
            <w:noWrap/>
            <w:vAlign w:val="center"/>
            <w:hideMark/>
          </w:tcPr>
          <w:p w14:paraId="04974C90"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Salar 220-&gt;Chuquicamata 220</w:t>
            </w:r>
          </w:p>
        </w:tc>
        <w:tc>
          <w:tcPr>
            <w:tcW w:w="1134" w:type="dxa"/>
            <w:tcBorders>
              <w:top w:val="nil"/>
              <w:left w:val="nil"/>
              <w:bottom w:val="single" w:sz="4" w:space="0" w:color="auto"/>
              <w:right w:val="single" w:sz="4" w:space="0" w:color="auto"/>
            </w:tcBorders>
            <w:shd w:val="clear" w:color="auto" w:fill="auto"/>
            <w:noWrap/>
            <w:vAlign w:val="center"/>
          </w:tcPr>
          <w:p w14:paraId="3B60DD45"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596.250</w:t>
            </w:r>
          </w:p>
        </w:tc>
        <w:tc>
          <w:tcPr>
            <w:tcW w:w="1134" w:type="dxa"/>
            <w:tcBorders>
              <w:top w:val="nil"/>
              <w:left w:val="nil"/>
              <w:bottom w:val="single" w:sz="4" w:space="0" w:color="auto"/>
              <w:right w:val="single" w:sz="4" w:space="0" w:color="auto"/>
            </w:tcBorders>
            <w:shd w:val="clear" w:color="auto" w:fill="auto"/>
            <w:noWrap/>
            <w:vAlign w:val="center"/>
          </w:tcPr>
          <w:p w14:paraId="0E15794F"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120.105</w:t>
            </w:r>
          </w:p>
        </w:tc>
        <w:tc>
          <w:tcPr>
            <w:tcW w:w="1134" w:type="dxa"/>
            <w:tcBorders>
              <w:top w:val="nil"/>
              <w:left w:val="nil"/>
              <w:bottom w:val="single" w:sz="4" w:space="0" w:color="auto"/>
              <w:right w:val="single" w:sz="4" w:space="0" w:color="auto"/>
            </w:tcBorders>
            <w:shd w:val="clear" w:color="auto" w:fill="auto"/>
            <w:noWrap/>
            <w:vAlign w:val="center"/>
          </w:tcPr>
          <w:p w14:paraId="68DB8BFC"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155.152</w:t>
            </w:r>
          </w:p>
        </w:tc>
        <w:tc>
          <w:tcPr>
            <w:tcW w:w="1134" w:type="dxa"/>
            <w:tcBorders>
              <w:top w:val="nil"/>
              <w:left w:val="nil"/>
              <w:bottom w:val="single" w:sz="4" w:space="0" w:color="auto"/>
              <w:right w:val="single" w:sz="4" w:space="0" w:color="auto"/>
            </w:tcBorders>
            <w:shd w:val="clear" w:color="auto" w:fill="auto"/>
            <w:noWrap/>
            <w:vAlign w:val="center"/>
          </w:tcPr>
          <w:p w14:paraId="49963CE8"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871.507</w:t>
            </w:r>
          </w:p>
        </w:tc>
      </w:tr>
      <w:tr w:rsidR="00C746F4" w:rsidRPr="00A1588E" w14:paraId="064EBAF3"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7FE27226"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N_128</w:t>
            </w:r>
          </w:p>
        </w:tc>
        <w:tc>
          <w:tcPr>
            <w:tcW w:w="4253" w:type="dxa"/>
            <w:tcBorders>
              <w:top w:val="nil"/>
              <w:left w:val="nil"/>
              <w:bottom w:val="single" w:sz="4" w:space="0" w:color="auto"/>
              <w:right w:val="single" w:sz="4" w:space="0" w:color="auto"/>
            </w:tcBorders>
            <w:shd w:val="clear" w:color="auto" w:fill="auto"/>
            <w:noWrap/>
            <w:vAlign w:val="center"/>
            <w:hideMark/>
          </w:tcPr>
          <w:p w14:paraId="2D421989"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Salar 220-&gt;Nueva Chuquicamata 220</w:t>
            </w:r>
          </w:p>
        </w:tc>
        <w:tc>
          <w:tcPr>
            <w:tcW w:w="1134" w:type="dxa"/>
            <w:tcBorders>
              <w:top w:val="nil"/>
              <w:left w:val="nil"/>
              <w:bottom w:val="single" w:sz="4" w:space="0" w:color="auto"/>
              <w:right w:val="single" w:sz="4" w:space="0" w:color="auto"/>
            </w:tcBorders>
            <w:shd w:val="clear" w:color="auto" w:fill="auto"/>
            <w:noWrap/>
            <w:vAlign w:val="center"/>
          </w:tcPr>
          <w:p w14:paraId="5BDA6EAA"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523.573</w:t>
            </w:r>
          </w:p>
        </w:tc>
        <w:tc>
          <w:tcPr>
            <w:tcW w:w="1134" w:type="dxa"/>
            <w:tcBorders>
              <w:top w:val="nil"/>
              <w:left w:val="nil"/>
              <w:bottom w:val="single" w:sz="4" w:space="0" w:color="auto"/>
              <w:right w:val="single" w:sz="4" w:space="0" w:color="auto"/>
            </w:tcBorders>
            <w:shd w:val="clear" w:color="auto" w:fill="auto"/>
            <w:noWrap/>
            <w:vAlign w:val="center"/>
          </w:tcPr>
          <w:p w14:paraId="65D45E0D"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105.469</w:t>
            </w:r>
          </w:p>
        </w:tc>
        <w:tc>
          <w:tcPr>
            <w:tcW w:w="1134" w:type="dxa"/>
            <w:tcBorders>
              <w:top w:val="nil"/>
              <w:left w:val="nil"/>
              <w:bottom w:val="single" w:sz="4" w:space="0" w:color="auto"/>
              <w:right w:val="single" w:sz="4" w:space="0" w:color="auto"/>
            </w:tcBorders>
            <w:shd w:val="clear" w:color="auto" w:fill="auto"/>
            <w:noWrap/>
            <w:vAlign w:val="center"/>
          </w:tcPr>
          <w:p w14:paraId="1F2900F3"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144.551</w:t>
            </w:r>
          </w:p>
        </w:tc>
        <w:tc>
          <w:tcPr>
            <w:tcW w:w="1134" w:type="dxa"/>
            <w:tcBorders>
              <w:top w:val="nil"/>
              <w:left w:val="nil"/>
              <w:bottom w:val="single" w:sz="4" w:space="0" w:color="auto"/>
              <w:right w:val="single" w:sz="4" w:space="0" w:color="auto"/>
            </w:tcBorders>
            <w:shd w:val="clear" w:color="auto" w:fill="auto"/>
            <w:noWrap/>
            <w:vAlign w:val="center"/>
          </w:tcPr>
          <w:p w14:paraId="03163728"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773.594</w:t>
            </w:r>
          </w:p>
        </w:tc>
      </w:tr>
      <w:tr w:rsidR="00C746F4" w:rsidRPr="00A1588E" w14:paraId="518609CF"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15669F59"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N_129</w:t>
            </w:r>
          </w:p>
        </w:tc>
        <w:tc>
          <w:tcPr>
            <w:tcW w:w="4253" w:type="dxa"/>
            <w:tcBorders>
              <w:top w:val="nil"/>
              <w:left w:val="nil"/>
              <w:bottom w:val="single" w:sz="4" w:space="0" w:color="auto"/>
              <w:right w:val="single" w:sz="4" w:space="0" w:color="auto"/>
            </w:tcBorders>
            <w:shd w:val="clear" w:color="auto" w:fill="auto"/>
            <w:noWrap/>
            <w:vAlign w:val="center"/>
            <w:hideMark/>
          </w:tcPr>
          <w:p w14:paraId="1CFBE41C"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San Luis 220-&gt;Agua Santa 220</w:t>
            </w:r>
          </w:p>
        </w:tc>
        <w:tc>
          <w:tcPr>
            <w:tcW w:w="1134" w:type="dxa"/>
            <w:tcBorders>
              <w:top w:val="nil"/>
              <w:left w:val="nil"/>
              <w:bottom w:val="single" w:sz="4" w:space="0" w:color="auto"/>
              <w:right w:val="single" w:sz="4" w:space="0" w:color="auto"/>
            </w:tcBorders>
            <w:shd w:val="clear" w:color="auto" w:fill="auto"/>
            <w:noWrap/>
            <w:vAlign w:val="center"/>
          </w:tcPr>
          <w:p w14:paraId="066ABCAB"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1.698.565</w:t>
            </w:r>
          </w:p>
        </w:tc>
        <w:tc>
          <w:tcPr>
            <w:tcW w:w="1134" w:type="dxa"/>
            <w:tcBorders>
              <w:top w:val="nil"/>
              <w:left w:val="nil"/>
              <w:bottom w:val="single" w:sz="4" w:space="0" w:color="auto"/>
              <w:right w:val="single" w:sz="4" w:space="0" w:color="auto"/>
            </w:tcBorders>
            <w:shd w:val="clear" w:color="auto" w:fill="auto"/>
            <w:noWrap/>
            <w:vAlign w:val="center"/>
          </w:tcPr>
          <w:p w14:paraId="47D499CA"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340.957</w:t>
            </w:r>
          </w:p>
        </w:tc>
        <w:tc>
          <w:tcPr>
            <w:tcW w:w="1134" w:type="dxa"/>
            <w:tcBorders>
              <w:top w:val="nil"/>
              <w:left w:val="nil"/>
              <w:bottom w:val="single" w:sz="4" w:space="0" w:color="auto"/>
              <w:right w:val="single" w:sz="4" w:space="0" w:color="auto"/>
            </w:tcBorders>
            <w:shd w:val="clear" w:color="auto" w:fill="auto"/>
            <w:noWrap/>
            <w:vAlign w:val="center"/>
          </w:tcPr>
          <w:p w14:paraId="421CBC47"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441.420</w:t>
            </w:r>
          </w:p>
        </w:tc>
        <w:tc>
          <w:tcPr>
            <w:tcW w:w="1134" w:type="dxa"/>
            <w:tcBorders>
              <w:top w:val="nil"/>
              <w:left w:val="nil"/>
              <w:bottom w:val="single" w:sz="4" w:space="0" w:color="auto"/>
              <w:right w:val="single" w:sz="4" w:space="0" w:color="auto"/>
            </w:tcBorders>
            <w:shd w:val="clear" w:color="auto" w:fill="auto"/>
            <w:noWrap/>
            <w:vAlign w:val="center"/>
          </w:tcPr>
          <w:p w14:paraId="636FC283"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2.480.941</w:t>
            </w:r>
          </w:p>
        </w:tc>
      </w:tr>
      <w:tr w:rsidR="00C746F4" w:rsidRPr="00A1588E" w14:paraId="7651FC83"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1E332B75"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N_130</w:t>
            </w:r>
          </w:p>
        </w:tc>
        <w:tc>
          <w:tcPr>
            <w:tcW w:w="4253" w:type="dxa"/>
            <w:tcBorders>
              <w:top w:val="nil"/>
              <w:left w:val="nil"/>
              <w:bottom w:val="single" w:sz="4" w:space="0" w:color="auto"/>
              <w:right w:val="single" w:sz="4" w:space="0" w:color="auto"/>
            </w:tcBorders>
            <w:shd w:val="clear" w:color="auto" w:fill="auto"/>
            <w:noWrap/>
            <w:vAlign w:val="center"/>
            <w:hideMark/>
          </w:tcPr>
          <w:p w14:paraId="2C16F881"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San Simón 220-&gt;Nueva Victoria 220</w:t>
            </w:r>
          </w:p>
        </w:tc>
        <w:tc>
          <w:tcPr>
            <w:tcW w:w="1134" w:type="dxa"/>
            <w:tcBorders>
              <w:top w:val="nil"/>
              <w:left w:val="nil"/>
              <w:bottom w:val="single" w:sz="4" w:space="0" w:color="auto"/>
              <w:right w:val="single" w:sz="4" w:space="0" w:color="auto"/>
            </w:tcBorders>
            <w:shd w:val="clear" w:color="auto" w:fill="auto"/>
            <w:noWrap/>
            <w:vAlign w:val="center"/>
          </w:tcPr>
          <w:p w14:paraId="08482DE8"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261.137</w:t>
            </w:r>
          </w:p>
        </w:tc>
        <w:tc>
          <w:tcPr>
            <w:tcW w:w="1134" w:type="dxa"/>
            <w:tcBorders>
              <w:top w:val="nil"/>
              <w:left w:val="nil"/>
              <w:bottom w:val="single" w:sz="4" w:space="0" w:color="auto"/>
              <w:right w:val="single" w:sz="4" w:space="0" w:color="auto"/>
            </w:tcBorders>
            <w:shd w:val="clear" w:color="auto" w:fill="auto"/>
            <w:noWrap/>
            <w:vAlign w:val="center"/>
          </w:tcPr>
          <w:p w14:paraId="5415C3DE"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52.708</w:t>
            </w:r>
          </w:p>
        </w:tc>
        <w:tc>
          <w:tcPr>
            <w:tcW w:w="1134" w:type="dxa"/>
            <w:tcBorders>
              <w:top w:val="nil"/>
              <w:left w:val="nil"/>
              <w:bottom w:val="single" w:sz="4" w:space="0" w:color="auto"/>
              <w:right w:val="single" w:sz="4" w:space="0" w:color="auto"/>
            </w:tcBorders>
            <w:shd w:val="clear" w:color="auto" w:fill="auto"/>
            <w:noWrap/>
            <w:vAlign w:val="center"/>
          </w:tcPr>
          <w:p w14:paraId="62080A64"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45.691</w:t>
            </w:r>
          </w:p>
        </w:tc>
        <w:tc>
          <w:tcPr>
            <w:tcW w:w="1134" w:type="dxa"/>
            <w:tcBorders>
              <w:top w:val="nil"/>
              <w:left w:val="nil"/>
              <w:bottom w:val="single" w:sz="4" w:space="0" w:color="auto"/>
              <w:right w:val="single" w:sz="4" w:space="0" w:color="auto"/>
            </w:tcBorders>
            <w:shd w:val="clear" w:color="auto" w:fill="auto"/>
            <w:noWrap/>
            <w:vAlign w:val="center"/>
          </w:tcPr>
          <w:p w14:paraId="698389FF"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359.536</w:t>
            </w:r>
          </w:p>
        </w:tc>
      </w:tr>
      <w:tr w:rsidR="00C746F4" w:rsidRPr="00A1588E" w14:paraId="101DD019"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4251179D"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N_131</w:t>
            </w:r>
          </w:p>
        </w:tc>
        <w:tc>
          <w:tcPr>
            <w:tcW w:w="4253" w:type="dxa"/>
            <w:tcBorders>
              <w:top w:val="nil"/>
              <w:left w:val="nil"/>
              <w:bottom w:val="single" w:sz="4" w:space="0" w:color="auto"/>
              <w:right w:val="single" w:sz="4" w:space="0" w:color="auto"/>
            </w:tcBorders>
            <w:shd w:val="clear" w:color="auto" w:fill="auto"/>
            <w:noWrap/>
            <w:vAlign w:val="center"/>
            <w:hideMark/>
          </w:tcPr>
          <w:p w14:paraId="3C03BCC6"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San Simón 220-&gt;Quillagua 220</w:t>
            </w:r>
          </w:p>
        </w:tc>
        <w:tc>
          <w:tcPr>
            <w:tcW w:w="1134" w:type="dxa"/>
            <w:tcBorders>
              <w:top w:val="nil"/>
              <w:left w:val="nil"/>
              <w:bottom w:val="single" w:sz="4" w:space="0" w:color="auto"/>
              <w:right w:val="single" w:sz="4" w:space="0" w:color="auto"/>
            </w:tcBorders>
            <w:shd w:val="clear" w:color="auto" w:fill="auto"/>
            <w:noWrap/>
            <w:vAlign w:val="center"/>
          </w:tcPr>
          <w:p w14:paraId="766DD07E"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867.790</w:t>
            </w:r>
          </w:p>
        </w:tc>
        <w:tc>
          <w:tcPr>
            <w:tcW w:w="1134" w:type="dxa"/>
            <w:tcBorders>
              <w:top w:val="nil"/>
              <w:left w:val="nil"/>
              <w:bottom w:val="single" w:sz="4" w:space="0" w:color="auto"/>
              <w:right w:val="single" w:sz="4" w:space="0" w:color="auto"/>
            </w:tcBorders>
            <w:shd w:val="clear" w:color="auto" w:fill="auto"/>
            <w:noWrap/>
            <w:vAlign w:val="center"/>
          </w:tcPr>
          <w:p w14:paraId="6DE4666F"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175.148</w:t>
            </w:r>
          </w:p>
        </w:tc>
        <w:tc>
          <w:tcPr>
            <w:tcW w:w="1134" w:type="dxa"/>
            <w:tcBorders>
              <w:top w:val="nil"/>
              <w:left w:val="nil"/>
              <w:bottom w:val="single" w:sz="4" w:space="0" w:color="auto"/>
              <w:right w:val="single" w:sz="4" w:space="0" w:color="auto"/>
            </w:tcBorders>
            <w:shd w:val="clear" w:color="auto" w:fill="auto"/>
            <w:noWrap/>
            <w:vAlign w:val="center"/>
          </w:tcPr>
          <w:p w14:paraId="6E3AA97B"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151.250</w:t>
            </w:r>
          </w:p>
        </w:tc>
        <w:tc>
          <w:tcPr>
            <w:tcW w:w="1134" w:type="dxa"/>
            <w:tcBorders>
              <w:top w:val="nil"/>
              <w:left w:val="nil"/>
              <w:bottom w:val="single" w:sz="4" w:space="0" w:color="auto"/>
              <w:right w:val="single" w:sz="4" w:space="0" w:color="auto"/>
            </w:tcBorders>
            <w:shd w:val="clear" w:color="auto" w:fill="auto"/>
            <w:noWrap/>
            <w:vAlign w:val="center"/>
          </w:tcPr>
          <w:p w14:paraId="5B84C8F2"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1.194.188</w:t>
            </w:r>
          </w:p>
        </w:tc>
      </w:tr>
      <w:tr w:rsidR="00C746F4" w:rsidRPr="00A1588E" w14:paraId="1C5B2CA1"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62C4FCF0"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N_132</w:t>
            </w:r>
          </w:p>
        </w:tc>
        <w:tc>
          <w:tcPr>
            <w:tcW w:w="4253" w:type="dxa"/>
            <w:tcBorders>
              <w:top w:val="nil"/>
              <w:left w:val="nil"/>
              <w:bottom w:val="single" w:sz="4" w:space="0" w:color="auto"/>
              <w:right w:val="single" w:sz="4" w:space="0" w:color="auto"/>
            </w:tcBorders>
            <w:shd w:val="clear" w:color="auto" w:fill="auto"/>
            <w:noWrap/>
            <w:vAlign w:val="center"/>
            <w:hideMark/>
          </w:tcPr>
          <w:p w14:paraId="3A286352"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Tap El Manzano 220-&gt;Tap Chicureo 220</w:t>
            </w:r>
          </w:p>
        </w:tc>
        <w:tc>
          <w:tcPr>
            <w:tcW w:w="1134" w:type="dxa"/>
            <w:tcBorders>
              <w:top w:val="nil"/>
              <w:left w:val="nil"/>
              <w:bottom w:val="single" w:sz="4" w:space="0" w:color="auto"/>
              <w:right w:val="single" w:sz="4" w:space="0" w:color="auto"/>
            </w:tcBorders>
            <w:shd w:val="clear" w:color="auto" w:fill="auto"/>
            <w:noWrap/>
            <w:vAlign w:val="center"/>
          </w:tcPr>
          <w:p w14:paraId="3A771C5A"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1.520.948</w:t>
            </w:r>
          </w:p>
        </w:tc>
        <w:tc>
          <w:tcPr>
            <w:tcW w:w="1134" w:type="dxa"/>
            <w:tcBorders>
              <w:top w:val="nil"/>
              <w:left w:val="nil"/>
              <w:bottom w:val="single" w:sz="4" w:space="0" w:color="auto"/>
              <w:right w:val="single" w:sz="4" w:space="0" w:color="auto"/>
            </w:tcBorders>
            <w:shd w:val="clear" w:color="auto" w:fill="auto"/>
            <w:noWrap/>
            <w:vAlign w:val="center"/>
          </w:tcPr>
          <w:p w14:paraId="06878131"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305.060</w:t>
            </w:r>
          </w:p>
        </w:tc>
        <w:tc>
          <w:tcPr>
            <w:tcW w:w="1134" w:type="dxa"/>
            <w:tcBorders>
              <w:top w:val="nil"/>
              <w:left w:val="nil"/>
              <w:bottom w:val="single" w:sz="4" w:space="0" w:color="auto"/>
              <w:right w:val="single" w:sz="4" w:space="0" w:color="auto"/>
            </w:tcBorders>
            <w:shd w:val="clear" w:color="auto" w:fill="auto"/>
            <w:noWrap/>
            <w:vAlign w:val="center"/>
          </w:tcPr>
          <w:p w14:paraId="1773D5C6"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311.272</w:t>
            </w:r>
          </w:p>
        </w:tc>
        <w:tc>
          <w:tcPr>
            <w:tcW w:w="1134" w:type="dxa"/>
            <w:tcBorders>
              <w:top w:val="nil"/>
              <w:left w:val="nil"/>
              <w:bottom w:val="single" w:sz="4" w:space="0" w:color="auto"/>
              <w:right w:val="single" w:sz="4" w:space="0" w:color="auto"/>
            </w:tcBorders>
            <w:shd w:val="clear" w:color="auto" w:fill="auto"/>
            <w:noWrap/>
            <w:vAlign w:val="center"/>
          </w:tcPr>
          <w:p w14:paraId="51DCBD68"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2.137.280</w:t>
            </w:r>
          </w:p>
        </w:tc>
      </w:tr>
      <w:tr w:rsidR="00C746F4" w:rsidRPr="00A1588E" w14:paraId="59DB9DEB"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70CBDAE7"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N_133</w:t>
            </w:r>
          </w:p>
        </w:tc>
        <w:tc>
          <w:tcPr>
            <w:tcW w:w="4253" w:type="dxa"/>
            <w:tcBorders>
              <w:top w:val="nil"/>
              <w:left w:val="nil"/>
              <w:bottom w:val="single" w:sz="4" w:space="0" w:color="auto"/>
              <w:right w:val="single" w:sz="4" w:space="0" w:color="auto"/>
            </w:tcBorders>
            <w:shd w:val="clear" w:color="auto" w:fill="auto"/>
            <w:noWrap/>
            <w:vAlign w:val="center"/>
            <w:hideMark/>
          </w:tcPr>
          <w:p w14:paraId="5799B585"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Tap El Romero 220-&gt;Don Héctor 220</w:t>
            </w:r>
          </w:p>
        </w:tc>
        <w:tc>
          <w:tcPr>
            <w:tcW w:w="1134" w:type="dxa"/>
            <w:tcBorders>
              <w:top w:val="nil"/>
              <w:left w:val="nil"/>
              <w:bottom w:val="single" w:sz="4" w:space="0" w:color="auto"/>
              <w:right w:val="single" w:sz="4" w:space="0" w:color="auto"/>
            </w:tcBorders>
            <w:shd w:val="clear" w:color="auto" w:fill="auto"/>
            <w:noWrap/>
            <w:vAlign w:val="center"/>
          </w:tcPr>
          <w:p w14:paraId="3ED594D8"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85.089</w:t>
            </w:r>
          </w:p>
        </w:tc>
        <w:tc>
          <w:tcPr>
            <w:tcW w:w="1134" w:type="dxa"/>
            <w:tcBorders>
              <w:top w:val="nil"/>
              <w:left w:val="nil"/>
              <w:bottom w:val="single" w:sz="4" w:space="0" w:color="auto"/>
              <w:right w:val="single" w:sz="4" w:space="0" w:color="auto"/>
            </w:tcBorders>
            <w:shd w:val="clear" w:color="auto" w:fill="auto"/>
            <w:noWrap/>
            <w:vAlign w:val="center"/>
          </w:tcPr>
          <w:p w14:paraId="22BC0108"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17.139</w:t>
            </w:r>
          </w:p>
        </w:tc>
        <w:tc>
          <w:tcPr>
            <w:tcW w:w="1134" w:type="dxa"/>
            <w:tcBorders>
              <w:top w:val="nil"/>
              <w:left w:val="nil"/>
              <w:bottom w:val="single" w:sz="4" w:space="0" w:color="auto"/>
              <w:right w:val="single" w:sz="4" w:space="0" w:color="auto"/>
            </w:tcBorders>
            <w:shd w:val="clear" w:color="auto" w:fill="auto"/>
            <w:noWrap/>
            <w:vAlign w:val="center"/>
          </w:tcPr>
          <w:p w14:paraId="21804C3A"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10.279</w:t>
            </w:r>
          </w:p>
        </w:tc>
        <w:tc>
          <w:tcPr>
            <w:tcW w:w="1134" w:type="dxa"/>
            <w:tcBorders>
              <w:top w:val="nil"/>
              <w:left w:val="nil"/>
              <w:bottom w:val="single" w:sz="4" w:space="0" w:color="auto"/>
              <w:right w:val="single" w:sz="4" w:space="0" w:color="auto"/>
            </w:tcBorders>
            <w:shd w:val="clear" w:color="auto" w:fill="auto"/>
            <w:noWrap/>
            <w:vAlign w:val="center"/>
          </w:tcPr>
          <w:p w14:paraId="51F90903"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112.507</w:t>
            </w:r>
          </w:p>
        </w:tc>
      </w:tr>
      <w:tr w:rsidR="00C746F4" w:rsidRPr="00A1588E" w14:paraId="79C7AB9F"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59461470"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N_134</w:t>
            </w:r>
          </w:p>
        </w:tc>
        <w:tc>
          <w:tcPr>
            <w:tcW w:w="4253" w:type="dxa"/>
            <w:tcBorders>
              <w:top w:val="nil"/>
              <w:left w:val="nil"/>
              <w:bottom w:val="single" w:sz="4" w:space="0" w:color="auto"/>
              <w:right w:val="single" w:sz="4" w:space="0" w:color="auto"/>
            </w:tcBorders>
            <w:shd w:val="clear" w:color="auto" w:fill="auto"/>
            <w:noWrap/>
            <w:vAlign w:val="center"/>
            <w:hideMark/>
          </w:tcPr>
          <w:p w14:paraId="708B053F"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val="en-US" w:eastAsia="es-CL"/>
              </w:rPr>
            </w:pPr>
            <w:r w:rsidRPr="00A1588E">
              <w:rPr>
                <w:rFonts w:asciiTheme="minorHAnsi" w:eastAsia="Times New Roman" w:hAnsiTheme="minorHAnsi" w:cstheme="minorHAnsi"/>
                <w:color w:val="000000"/>
                <w:sz w:val="20"/>
                <w:szCs w:val="20"/>
                <w:lang w:val="en-US" w:eastAsia="es-CL"/>
              </w:rPr>
              <w:t>Tap Off Santa Isabel 220-&gt;Itahue 220</w:t>
            </w:r>
          </w:p>
        </w:tc>
        <w:tc>
          <w:tcPr>
            <w:tcW w:w="1134" w:type="dxa"/>
            <w:tcBorders>
              <w:top w:val="nil"/>
              <w:left w:val="nil"/>
              <w:bottom w:val="single" w:sz="4" w:space="0" w:color="auto"/>
              <w:right w:val="single" w:sz="4" w:space="0" w:color="auto"/>
            </w:tcBorders>
            <w:shd w:val="clear" w:color="auto" w:fill="auto"/>
            <w:noWrap/>
            <w:vAlign w:val="center"/>
          </w:tcPr>
          <w:p w14:paraId="205525B2"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lang w:val="en-US"/>
              </w:rPr>
              <w:t>538.747</w:t>
            </w:r>
          </w:p>
        </w:tc>
        <w:tc>
          <w:tcPr>
            <w:tcW w:w="1134" w:type="dxa"/>
            <w:tcBorders>
              <w:top w:val="nil"/>
              <w:left w:val="nil"/>
              <w:bottom w:val="single" w:sz="4" w:space="0" w:color="auto"/>
              <w:right w:val="single" w:sz="4" w:space="0" w:color="auto"/>
            </w:tcBorders>
            <w:shd w:val="clear" w:color="auto" w:fill="auto"/>
            <w:noWrap/>
            <w:vAlign w:val="center"/>
          </w:tcPr>
          <w:p w14:paraId="7D93CF0A"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108.567</w:t>
            </w:r>
          </w:p>
        </w:tc>
        <w:tc>
          <w:tcPr>
            <w:tcW w:w="1134" w:type="dxa"/>
            <w:tcBorders>
              <w:top w:val="nil"/>
              <w:left w:val="nil"/>
              <w:bottom w:val="single" w:sz="4" w:space="0" w:color="auto"/>
              <w:right w:val="single" w:sz="4" w:space="0" w:color="auto"/>
            </w:tcBorders>
            <w:shd w:val="clear" w:color="auto" w:fill="auto"/>
            <w:noWrap/>
            <w:vAlign w:val="center"/>
          </w:tcPr>
          <w:p w14:paraId="2A7AA75F"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101.111</w:t>
            </w:r>
          </w:p>
        </w:tc>
        <w:tc>
          <w:tcPr>
            <w:tcW w:w="1134" w:type="dxa"/>
            <w:tcBorders>
              <w:top w:val="nil"/>
              <w:left w:val="nil"/>
              <w:bottom w:val="single" w:sz="4" w:space="0" w:color="auto"/>
              <w:right w:val="single" w:sz="4" w:space="0" w:color="auto"/>
            </w:tcBorders>
            <w:shd w:val="clear" w:color="auto" w:fill="auto"/>
            <w:noWrap/>
            <w:vAlign w:val="center"/>
          </w:tcPr>
          <w:p w14:paraId="3E73C134"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748.426</w:t>
            </w:r>
          </w:p>
        </w:tc>
      </w:tr>
      <w:tr w:rsidR="00C746F4" w:rsidRPr="00A1588E" w14:paraId="1C929CB5"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7C0FFAC1"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N_135</w:t>
            </w:r>
          </w:p>
        </w:tc>
        <w:tc>
          <w:tcPr>
            <w:tcW w:w="4253" w:type="dxa"/>
            <w:tcBorders>
              <w:top w:val="nil"/>
              <w:left w:val="nil"/>
              <w:bottom w:val="single" w:sz="4" w:space="0" w:color="auto"/>
              <w:right w:val="single" w:sz="4" w:space="0" w:color="auto"/>
            </w:tcBorders>
            <w:shd w:val="clear" w:color="auto" w:fill="auto"/>
            <w:noWrap/>
            <w:vAlign w:val="center"/>
            <w:hideMark/>
          </w:tcPr>
          <w:p w14:paraId="0C13B208"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Tap off Sierra Gorda Eólico 220-&gt;Centinela 220</w:t>
            </w:r>
          </w:p>
        </w:tc>
        <w:tc>
          <w:tcPr>
            <w:tcW w:w="1134" w:type="dxa"/>
            <w:tcBorders>
              <w:top w:val="nil"/>
              <w:left w:val="nil"/>
              <w:bottom w:val="single" w:sz="4" w:space="0" w:color="auto"/>
              <w:right w:val="single" w:sz="4" w:space="0" w:color="auto"/>
            </w:tcBorders>
            <w:shd w:val="clear" w:color="auto" w:fill="auto"/>
            <w:noWrap/>
            <w:vAlign w:val="center"/>
          </w:tcPr>
          <w:p w14:paraId="6AA19061"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asciiTheme="minorHAnsi" w:hAnsiTheme="minorHAnsi" w:cstheme="minorHAnsi"/>
                <w:sz w:val="20"/>
                <w:szCs w:val="20"/>
              </w:rPr>
              <w:t>-</w:t>
            </w:r>
          </w:p>
        </w:tc>
        <w:tc>
          <w:tcPr>
            <w:tcW w:w="1134" w:type="dxa"/>
            <w:tcBorders>
              <w:top w:val="nil"/>
              <w:left w:val="nil"/>
              <w:bottom w:val="single" w:sz="4" w:space="0" w:color="auto"/>
              <w:right w:val="single" w:sz="4" w:space="0" w:color="auto"/>
            </w:tcBorders>
            <w:shd w:val="clear" w:color="auto" w:fill="auto"/>
            <w:noWrap/>
            <w:vAlign w:val="center"/>
          </w:tcPr>
          <w:p w14:paraId="532CD146"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w:t>
            </w:r>
          </w:p>
        </w:tc>
        <w:tc>
          <w:tcPr>
            <w:tcW w:w="1134" w:type="dxa"/>
            <w:tcBorders>
              <w:top w:val="nil"/>
              <w:left w:val="nil"/>
              <w:bottom w:val="single" w:sz="4" w:space="0" w:color="auto"/>
              <w:right w:val="single" w:sz="4" w:space="0" w:color="auto"/>
            </w:tcBorders>
            <w:shd w:val="clear" w:color="auto" w:fill="auto"/>
            <w:noWrap/>
            <w:vAlign w:val="center"/>
          </w:tcPr>
          <w:p w14:paraId="796543D1"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w:t>
            </w:r>
          </w:p>
        </w:tc>
        <w:tc>
          <w:tcPr>
            <w:tcW w:w="1134" w:type="dxa"/>
            <w:tcBorders>
              <w:top w:val="nil"/>
              <w:left w:val="nil"/>
              <w:bottom w:val="single" w:sz="4" w:space="0" w:color="auto"/>
              <w:right w:val="single" w:sz="4" w:space="0" w:color="auto"/>
            </w:tcBorders>
            <w:shd w:val="clear" w:color="auto" w:fill="auto"/>
            <w:noWrap/>
            <w:vAlign w:val="center"/>
          </w:tcPr>
          <w:p w14:paraId="3CE79D84"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w:t>
            </w:r>
          </w:p>
        </w:tc>
      </w:tr>
      <w:tr w:rsidR="00C746F4" w:rsidRPr="00A1588E" w14:paraId="3DA9D797"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3F9297BB"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N_136</w:t>
            </w:r>
          </w:p>
        </w:tc>
        <w:tc>
          <w:tcPr>
            <w:tcW w:w="4253" w:type="dxa"/>
            <w:tcBorders>
              <w:top w:val="nil"/>
              <w:left w:val="nil"/>
              <w:bottom w:val="single" w:sz="4" w:space="0" w:color="auto"/>
              <w:right w:val="single" w:sz="4" w:space="0" w:color="auto"/>
            </w:tcBorders>
            <w:shd w:val="clear" w:color="auto" w:fill="auto"/>
            <w:noWrap/>
            <w:vAlign w:val="center"/>
            <w:hideMark/>
          </w:tcPr>
          <w:p w14:paraId="75D3C1D0"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Tarapacá 220-&gt;Cóndores 220</w:t>
            </w:r>
          </w:p>
        </w:tc>
        <w:tc>
          <w:tcPr>
            <w:tcW w:w="1134" w:type="dxa"/>
            <w:tcBorders>
              <w:top w:val="nil"/>
              <w:left w:val="nil"/>
              <w:bottom w:val="single" w:sz="4" w:space="0" w:color="auto"/>
              <w:right w:val="single" w:sz="4" w:space="0" w:color="auto"/>
            </w:tcBorders>
            <w:shd w:val="clear" w:color="auto" w:fill="auto"/>
            <w:noWrap/>
            <w:vAlign w:val="center"/>
          </w:tcPr>
          <w:p w14:paraId="57BF4372"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970.017</w:t>
            </w:r>
          </w:p>
        </w:tc>
        <w:tc>
          <w:tcPr>
            <w:tcW w:w="1134" w:type="dxa"/>
            <w:tcBorders>
              <w:top w:val="nil"/>
              <w:left w:val="nil"/>
              <w:bottom w:val="single" w:sz="4" w:space="0" w:color="auto"/>
              <w:right w:val="single" w:sz="4" w:space="0" w:color="auto"/>
            </w:tcBorders>
            <w:shd w:val="clear" w:color="auto" w:fill="auto"/>
            <w:noWrap/>
            <w:vAlign w:val="center"/>
          </w:tcPr>
          <w:p w14:paraId="5F8B420E"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195.597</w:t>
            </w:r>
          </w:p>
        </w:tc>
        <w:tc>
          <w:tcPr>
            <w:tcW w:w="1134" w:type="dxa"/>
            <w:tcBorders>
              <w:top w:val="nil"/>
              <w:left w:val="nil"/>
              <w:bottom w:val="single" w:sz="4" w:space="0" w:color="auto"/>
              <w:right w:val="single" w:sz="4" w:space="0" w:color="auto"/>
            </w:tcBorders>
            <w:shd w:val="clear" w:color="auto" w:fill="auto"/>
            <w:noWrap/>
            <w:vAlign w:val="center"/>
          </w:tcPr>
          <w:p w14:paraId="7C720486"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176.541</w:t>
            </w:r>
          </w:p>
        </w:tc>
        <w:tc>
          <w:tcPr>
            <w:tcW w:w="1134" w:type="dxa"/>
            <w:tcBorders>
              <w:top w:val="nil"/>
              <w:left w:val="nil"/>
              <w:bottom w:val="single" w:sz="4" w:space="0" w:color="auto"/>
              <w:right w:val="single" w:sz="4" w:space="0" w:color="auto"/>
            </w:tcBorders>
            <w:shd w:val="clear" w:color="auto" w:fill="auto"/>
            <w:noWrap/>
            <w:vAlign w:val="center"/>
          </w:tcPr>
          <w:p w14:paraId="3D248908"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1.342.155</w:t>
            </w:r>
          </w:p>
        </w:tc>
      </w:tr>
      <w:tr w:rsidR="00C746F4" w:rsidRPr="00A1588E" w14:paraId="25DF0314"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37C093F9"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N_137</w:t>
            </w:r>
          </w:p>
        </w:tc>
        <w:tc>
          <w:tcPr>
            <w:tcW w:w="4253" w:type="dxa"/>
            <w:tcBorders>
              <w:top w:val="nil"/>
              <w:left w:val="nil"/>
              <w:bottom w:val="single" w:sz="4" w:space="0" w:color="auto"/>
              <w:right w:val="single" w:sz="4" w:space="0" w:color="auto"/>
            </w:tcBorders>
            <w:shd w:val="clear" w:color="auto" w:fill="auto"/>
            <w:noWrap/>
            <w:vAlign w:val="center"/>
            <w:hideMark/>
          </w:tcPr>
          <w:p w14:paraId="71F9824F"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Tarapacá 220-&gt;Lagunas 220</w:t>
            </w:r>
          </w:p>
        </w:tc>
        <w:tc>
          <w:tcPr>
            <w:tcW w:w="1134" w:type="dxa"/>
            <w:tcBorders>
              <w:top w:val="nil"/>
              <w:left w:val="nil"/>
              <w:bottom w:val="single" w:sz="4" w:space="0" w:color="auto"/>
              <w:right w:val="single" w:sz="4" w:space="0" w:color="auto"/>
            </w:tcBorders>
            <w:shd w:val="clear" w:color="auto" w:fill="auto"/>
            <w:noWrap/>
            <w:vAlign w:val="center"/>
          </w:tcPr>
          <w:p w14:paraId="0C08FC26"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1.170.932</w:t>
            </w:r>
          </w:p>
        </w:tc>
        <w:tc>
          <w:tcPr>
            <w:tcW w:w="1134" w:type="dxa"/>
            <w:tcBorders>
              <w:top w:val="nil"/>
              <w:left w:val="nil"/>
              <w:bottom w:val="single" w:sz="4" w:space="0" w:color="auto"/>
              <w:right w:val="single" w:sz="4" w:space="0" w:color="auto"/>
            </w:tcBorders>
            <w:shd w:val="clear" w:color="auto" w:fill="auto"/>
            <w:noWrap/>
            <w:vAlign w:val="center"/>
          </w:tcPr>
          <w:p w14:paraId="4FBE036A"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236.030</w:t>
            </w:r>
          </w:p>
        </w:tc>
        <w:tc>
          <w:tcPr>
            <w:tcW w:w="1134" w:type="dxa"/>
            <w:tcBorders>
              <w:top w:val="nil"/>
              <w:left w:val="nil"/>
              <w:bottom w:val="single" w:sz="4" w:space="0" w:color="auto"/>
              <w:right w:val="single" w:sz="4" w:space="0" w:color="auto"/>
            </w:tcBorders>
            <w:shd w:val="clear" w:color="auto" w:fill="auto"/>
            <w:noWrap/>
            <w:vAlign w:val="center"/>
          </w:tcPr>
          <w:p w14:paraId="4795C988"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197.010</w:t>
            </w:r>
          </w:p>
        </w:tc>
        <w:tc>
          <w:tcPr>
            <w:tcW w:w="1134" w:type="dxa"/>
            <w:tcBorders>
              <w:top w:val="nil"/>
              <w:left w:val="nil"/>
              <w:bottom w:val="single" w:sz="4" w:space="0" w:color="auto"/>
              <w:right w:val="single" w:sz="4" w:space="0" w:color="auto"/>
            </w:tcBorders>
            <w:shd w:val="clear" w:color="auto" w:fill="auto"/>
            <w:noWrap/>
            <w:vAlign w:val="center"/>
          </w:tcPr>
          <w:p w14:paraId="58613FF2"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1.603.972</w:t>
            </w:r>
          </w:p>
        </w:tc>
      </w:tr>
      <w:tr w:rsidR="00C746F4" w:rsidRPr="00A1588E" w14:paraId="26DCBCDB"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7785D9C6"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N_138</w:t>
            </w:r>
          </w:p>
        </w:tc>
        <w:tc>
          <w:tcPr>
            <w:tcW w:w="4253" w:type="dxa"/>
            <w:tcBorders>
              <w:top w:val="nil"/>
              <w:left w:val="nil"/>
              <w:bottom w:val="single" w:sz="4" w:space="0" w:color="auto"/>
              <w:right w:val="single" w:sz="4" w:space="0" w:color="auto"/>
            </w:tcBorders>
            <w:shd w:val="clear" w:color="auto" w:fill="auto"/>
            <w:noWrap/>
            <w:vAlign w:val="center"/>
            <w:hideMark/>
          </w:tcPr>
          <w:p w14:paraId="65007405"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Temuco 220-&gt;Cautín 220</w:t>
            </w:r>
          </w:p>
        </w:tc>
        <w:tc>
          <w:tcPr>
            <w:tcW w:w="1134" w:type="dxa"/>
            <w:tcBorders>
              <w:top w:val="nil"/>
              <w:left w:val="nil"/>
              <w:bottom w:val="single" w:sz="4" w:space="0" w:color="auto"/>
              <w:right w:val="single" w:sz="4" w:space="0" w:color="auto"/>
            </w:tcBorders>
            <w:shd w:val="clear" w:color="auto" w:fill="auto"/>
            <w:noWrap/>
            <w:vAlign w:val="center"/>
          </w:tcPr>
          <w:p w14:paraId="5D6FBDA7"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244.620</w:t>
            </w:r>
          </w:p>
        </w:tc>
        <w:tc>
          <w:tcPr>
            <w:tcW w:w="1134" w:type="dxa"/>
            <w:tcBorders>
              <w:top w:val="nil"/>
              <w:left w:val="nil"/>
              <w:bottom w:val="single" w:sz="4" w:space="0" w:color="auto"/>
              <w:right w:val="single" w:sz="4" w:space="0" w:color="auto"/>
            </w:tcBorders>
            <w:shd w:val="clear" w:color="auto" w:fill="auto"/>
            <w:noWrap/>
            <w:vAlign w:val="center"/>
          </w:tcPr>
          <w:p w14:paraId="22CBA7B5"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49.273</w:t>
            </w:r>
          </w:p>
        </w:tc>
        <w:tc>
          <w:tcPr>
            <w:tcW w:w="1134" w:type="dxa"/>
            <w:tcBorders>
              <w:top w:val="nil"/>
              <w:left w:val="nil"/>
              <w:bottom w:val="single" w:sz="4" w:space="0" w:color="auto"/>
              <w:right w:val="single" w:sz="4" w:space="0" w:color="auto"/>
            </w:tcBorders>
            <w:shd w:val="clear" w:color="auto" w:fill="auto"/>
            <w:noWrap/>
            <w:vAlign w:val="center"/>
          </w:tcPr>
          <w:p w14:paraId="79ED7DC7"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41.453</w:t>
            </w:r>
          </w:p>
        </w:tc>
        <w:tc>
          <w:tcPr>
            <w:tcW w:w="1134" w:type="dxa"/>
            <w:tcBorders>
              <w:top w:val="nil"/>
              <w:left w:val="nil"/>
              <w:bottom w:val="single" w:sz="4" w:space="0" w:color="auto"/>
              <w:right w:val="single" w:sz="4" w:space="0" w:color="auto"/>
            </w:tcBorders>
            <w:shd w:val="clear" w:color="auto" w:fill="auto"/>
            <w:noWrap/>
            <w:vAlign w:val="center"/>
          </w:tcPr>
          <w:p w14:paraId="26FF2FE2"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335.345</w:t>
            </w:r>
          </w:p>
        </w:tc>
      </w:tr>
      <w:tr w:rsidR="00C746F4" w:rsidRPr="00A1588E" w14:paraId="28975C35"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7D45E988"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N_139</w:t>
            </w:r>
          </w:p>
        </w:tc>
        <w:tc>
          <w:tcPr>
            <w:tcW w:w="4253" w:type="dxa"/>
            <w:tcBorders>
              <w:top w:val="nil"/>
              <w:left w:val="nil"/>
              <w:bottom w:val="single" w:sz="4" w:space="0" w:color="auto"/>
              <w:right w:val="single" w:sz="4" w:space="0" w:color="auto"/>
            </w:tcBorders>
            <w:shd w:val="clear" w:color="auto" w:fill="auto"/>
            <w:noWrap/>
            <w:vAlign w:val="center"/>
            <w:hideMark/>
          </w:tcPr>
          <w:p w14:paraId="7E1D0DA6"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Temuco 220-&gt;Los Peumos 220</w:t>
            </w:r>
          </w:p>
        </w:tc>
        <w:tc>
          <w:tcPr>
            <w:tcW w:w="1134" w:type="dxa"/>
            <w:tcBorders>
              <w:top w:val="nil"/>
              <w:left w:val="nil"/>
              <w:bottom w:val="single" w:sz="4" w:space="0" w:color="auto"/>
              <w:right w:val="single" w:sz="4" w:space="0" w:color="auto"/>
            </w:tcBorders>
            <w:shd w:val="clear" w:color="auto" w:fill="auto"/>
            <w:noWrap/>
            <w:vAlign w:val="center"/>
          </w:tcPr>
          <w:p w14:paraId="3BA19443"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960.157</w:t>
            </w:r>
          </w:p>
        </w:tc>
        <w:tc>
          <w:tcPr>
            <w:tcW w:w="1134" w:type="dxa"/>
            <w:tcBorders>
              <w:top w:val="nil"/>
              <w:left w:val="nil"/>
              <w:bottom w:val="single" w:sz="4" w:space="0" w:color="auto"/>
              <w:right w:val="single" w:sz="4" w:space="0" w:color="auto"/>
            </w:tcBorders>
            <w:shd w:val="clear" w:color="auto" w:fill="auto"/>
            <w:noWrap/>
            <w:vAlign w:val="center"/>
          </w:tcPr>
          <w:p w14:paraId="40C1AB07"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193.588</w:t>
            </w:r>
          </w:p>
        </w:tc>
        <w:tc>
          <w:tcPr>
            <w:tcW w:w="1134" w:type="dxa"/>
            <w:tcBorders>
              <w:top w:val="nil"/>
              <w:left w:val="nil"/>
              <w:bottom w:val="single" w:sz="4" w:space="0" w:color="auto"/>
              <w:right w:val="single" w:sz="4" w:space="0" w:color="auto"/>
            </w:tcBorders>
            <w:shd w:val="clear" w:color="auto" w:fill="auto"/>
            <w:noWrap/>
            <w:vAlign w:val="center"/>
          </w:tcPr>
          <w:p w14:paraId="60CAF977"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208.474</w:t>
            </w:r>
          </w:p>
        </w:tc>
        <w:tc>
          <w:tcPr>
            <w:tcW w:w="1134" w:type="dxa"/>
            <w:tcBorders>
              <w:top w:val="nil"/>
              <w:left w:val="nil"/>
              <w:bottom w:val="single" w:sz="4" w:space="0" w:color="auto"/>
              <w:right w:val="single" w:sz="4" w:space="0" w:color="auto"/>
            </w:tcBorders>
            <w:shd w:val="clear" w:color="auto" w:fill="auto"/>
            <w:noWrap/>
            <w:vAlign w:val="center"/>
          </w:tcPr>
          <w:p w14:paraId="65D146D6"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1.362.219</w:t>
            </w:r>
          </w:p>
        </w:tc>
      </w:tr>
      <w:tr w:rsidR="00C746F4" w:rsidRPr="00A1588E" w14:paraId="4DA425F0" w14:textId="77777777" w:rsidTr="006B5A62">
        <w:trPr>
          <w:jc w:val="center"/>
        </w:trPr>
        <w:tc>
          <w:tcPr>
            <w:tcW w:w="851" w:type="dxa"/>
            <w:tcBorders>
              <w:top w:val="nil"/>
              <w:left w:val="single" w:sz="4" w:space="0" w:color="auto"/>
              <w:bottom w:val="single" w:sz="4" w:space="0" w:color="auto"/>
              <w:right w:val="single" w:sz="4" w:space="0" w:color="auto"/>
            </w:tcBorders>
            <w:shd w:val="clear" w:color="auto" w:fill="auto"/>
            <w:noWrap/>
            <w:vAlign w:val="center"/>
            <w:hideMark/>
          </w:tcPr>
          <w:p w14:paraId="51B91646" w14:textId="77777777" w:rsidR="00C746F4" w:rsidRPr="00A1588E"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N_140</w:t>
            </w:r>
          </w:p>
        </w:tc>
        <w:tc>
          <w:tcPr>
            <w:tcW w:w="4253" w:type="dxa"/>
            <w:tcBorders>
              <w:top w:val="nil"/>
              <w:left w:val="nil"/>
              <w:bottom w:val="single" w:sz="4" w:space="0" w:color="auto"/>
              <w:right w:val="single" w:sz="4" w:space="0" w:color="auto"/>
            </w:tcBorders>
            <w:shd w:val="clear" w:color="auto" w:fill="auto"/>
            <w:noWrap/>
            <w:vAlign w:val="center"/>
            <w:hideMark/>
          </w:tcPr>
          <w:p w14:paraId="44985E09" w14:textId="77777777" w:rsidR="00C746F4" w:rsidRPr="00A1588E"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A1588E">
              <w:rPr>
                <w:rFonts w:asciiTheme="minorHAnsi" w:eastAsia="Times New Roman" w:hAnsiTheme="minorHAnsi" w:cstheme="minorHAnsi"/>
                <w:color w:val="000000"/>
                <w:sz w:val="20"/>
                <w:szCs w:val="20"/>
                <w:lang w:eastAsia="es-CL"/>
              </w:rPr>
              <w:t>Valdivia 220-&gt;Nueva Valdivia 220</w:t>
            </w:r>
          </w:p>
        </w:tc>
        <w:tc>
          <w:tcPr>
            <w:tcW w:w="1134" w:type="dxa"/>
            <w:tcBorders>
              <w:top w:val="nil"/>
              <w:left w:val="nil"/>
              <w:bottom w:val="single" w:sz="4" w:space="0" w:color="auto"/>
              <w:right w:val="single" w:sz="4" w:space="0" w:color="auto"/>
            </w:tcBorders>
            <w:shd w:val="clear" w:color="auto" w:fill="auto"/>
            <w:noWrap/>
            <w:vAlign w:val="center"/>
          </w:tcPr>
          <w:p w14:paraId="245C5A9C"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229.829</w:t>
            </w:r>
          </w:p>
        </w:tc>
        <w:tc>
          <w:tcPr>
            <w:tcW w:w="1134" w:type="dxa"/>
            <w:tcBorders>
              <w:top w:val="nil"/>
              <w:left w:val="nil"/>
              <w:bottom w:val="single" w:sz="4" w:space="0" w:color="auto"/>
              <w:right w:val="single" w:sz="4" w:space="0" w:color="auto"/>
            </w:tcBorders>
            <w:shd w:val="clear" w:color="auto" w:fill="auto"/>
            <w:noWrap/>
            <w:vAlign w:val="center"/>
          </w:tcPr>
          <w:p w14:paraId="060CD643"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46.291</w:t>
            </w:r>
          </w:p>
        </w:tc>
        <w:tc>
          <w:tcPr>
            <w:tcW w:w="1134" w:type="dxa"/>
            <w:tcBorders>
              <w:top w:val="nil"/>
              <w:left w:val="nil"/>
              <w:bottom w:val="single" w:sz="4" w:space="0" w:color="auto"/>
              <w:right w:val="single" w:sz="4" w:space="0" w:color="auto"/>
            </w:tcBorders>
            <w:shd w:val="clear" w:color="auto" w:fill="auto"/>
            <w:noWrap/>
            <w:vAlign w:val="center"/>
          </w:tcPr>
          <w:p w14:paraId="358475AC"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50.771</w:t>
            </w:r>
          </w:p>
        </w:tc>
        <w:tc>
          <w:tcPr>
            <w:tcW w:w="1134" w:type="dxa"/>
            <w:tcBorders>
              <w:top w:val="nil"/>
              <w:left w:val="nil"/>
              <w:bottom w:val="single" w:sz="4" w:space="0" w:color="auto"/>
              <w:right w:val="single" w:sz="4" w:space="0" w:color="auto"/>
            </w:tcBorders>
            <w:shd w:val="clear" w:color="auto" w:fill="auto"/>
            <w:noWrap/>
            <w:vAlign w:val="center"/>
          </w:tcPr>
          <w:p w14:paraId="35A31D34" w14:textId="77777777" w:rsidR="00C746F4" w:rsidRPr="00A1588E" w:rsidRDefault="00C746F4" w:rsidP="006B5A62">
            <w:pPr>
              <w:spacing w:before="20" w:after="20" w:line="240" w:lineRule="auto"/>
              <w:jc w:val="right"/>
              <w:rPr>
                <w:rFonts w:asciiTheme="minorHAnsi" w:hAnsiTheme="minorHAnsi" w:cstheme="minorHAnsi"/>
                <w:sz w:val="20"/>
                <w:szCs w:val="20"/>
              </w:rPr>
            </w:pPr>
            <w:r>
              <w:rPr>
                <w:rFonts w:cs="Calibri"/>
                <w:color w:val="000000"/>
                <w:sz w:val="20"/>
                <w:szCs w:val="20"/>
              </w:rPr>
              <w:t>326.891</w:t>
            </w:r>
          </w:p>
        </w:tc>
      </w:tr>
    </w:tbl>
    <w:p w14:paraId="2D503E0F" w14:textId="77777777" w:rsidR="00C746F4" w:rsidRDefault="00C746F4" w:rsidP="00C746F4"/>
    <w:p w14:paraId="7A697F11" w14:textId="77777777" w:rsidR="00C746F4" w:rsidRPr="00766532" w:rsidRDefault="00C746F4" w:rsidP="00C746F4">
      <w:pPr>
        <w:pStyle w:val="Subttulo"/>
        <w:rPr>
          <w:szCs w:val="22"/>
        </w:rPr>
      </w:pPr>
      <w:bookmarkStart w:id="578" w:name="_Toc39795299"/>
      <w:bookmarkStart w:id="579" w:name="_Toc39797979"/>
      <w:r w:rsidRPr="002F3394">
        <w:t xml:space="preserve">Tabla </w:t>
      </w:r>
      <w:fldSimple w:instr=" SEQ Tabla \* ARABIC ">
        <w:r w:rsidR="001F3E2E">
          <w:rPr>
            <w:noProof/>
          </w:rPr>
          <w:t>69</w:t>
        </w:r>
      </w:fldSimple>
      <w:r>
        <w:t>: Resultados A.V.I</w:t>
      </w:r>
      <w:proofErr w:type="gramStart"/>
      <w:r>
        <w:t>. ,</w:t>
      </w:r>
      <w:proofErr w:type="gramEnd"/>
      <w:r>
        <w:t xml:space="preserve"> C.O.M.A., A.E.I.R y V.A.T.T. tramos de </w:t>
      </w:r>
      <w:bookmarkEnd w:id="578"/>
      <w:r>
        <w:t>transformación</w:t>
      </w:r>
      <w:bookmarkEnd w:id="579"/>
      <w: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firstRow="1" w:lastRow="0" w:firstColumn="1" w:lastColumn="0" w:noHBand="0" w:noVBand="1"/>
      </w:tblPr>
      <w:tblGrid>
        <w:gridCol w:w="850"/>
        <w:gridCol w:w="4253"/>
        <w:gridCol w:w="1134"/>
        <w:gridCol w:w="1134"/>
        <w:gridCol w:w="1134"/>
        <w:gridCol w:w="1134"/>
      </w:tblGrid>
      <w:tr w:rsidR="00C746F4" w:rsidRPr="005E36B7" w14:paraId="7261A3AE" w14:textId="77777777" w:rsidTr="006B5A62">
        <w:trPr>
          <w:tblHeader/>
          <w:jc w:val="center"/>
        </w:trPr>
        <w:tc>
          <w:tcPr>
            <w:tcW w:w="850" w:type="dxa"/>
            <w:shd w:val="clear" w:color="000000" w:fill="D9D9D9"/>
            <w:noWrap/>
            <w:vAlign w:val="center"/>
            <w:hideMark/>
          </w:tcPr>
          <w:p w14:paraId="3C3CA32A" w14:textId="77777777" w:rsidR="00C746F4" w:rsidRPr="005E36B7" w:rsidRDefault="00C746F4" w:rsidP="006B5A62">
            <w:pPr>
              <w:spacing w:before="20" w:after="20" w:line="240" w:lineRule="auto"/>
              <w:jc w:val="center"/>
              <w:rPr>
                <w:rFonts w:asciiTheme="minorHAnsi" w:eastAsia="Times New Roman" w:hAnsiTheme="minorHAnsi" w:cstheme="minorHAnsi"/>
                <w:b/>
                <w:bCs/>
                <w:color w:val="000000"/>
                <w:sz w:val="20"/>
                <w:szCs w:val="20"/>
                <w:lang w:eastAsia="es-CL"/>
              </w:rPr>
            </w:pPr>
            <w:r w:rsidRPr="002E0EDF">
              <w:rPr>
                <w:rFonts w:asciiTheme="minorHAnsi" w:eastAsia="Times New Roman" w:hAnsiTheme="minorHAnsi" w:cstheme="minorHAnsi"/>
                <w:b/>
                <w:bCs/>
                <w:color w:val="000000"/>
                <w:sz w:val="20"/>
                <w:szCs w:val="20"/>
                <w:lang w:eastAsia="es-CL"/>
              </w:rPr>
              <w:t>Código</w:t>
            </w:r>
          </w:p>
        </w:tc>
        <w:tc>
          <w:tcPr>
            <w:tcW w:w="4253" w:type="dxa"/>
            <w:shd w:val="clear" w:color="000000" w:fill="D9D9D9"/>
            <w:noWrap/>
            <w:vAlign w:val="center"/>
            <w:hideMark/>
          </w:tcPr>
          <w:p w14:paraId="7D4C62FD" w14:textId="77777777" w:rsidR="00C746F4" w:rsidRPr="005E36B7" w:rsidRDefault="00C746F4" w:rsidP="006B5A62">
            <w:pPr>
              <w:spacing w:before="20" w:after="20" w:line="240" w:lineRule="auto"/>
              <w:jc w:val="center"/>
              <w:rPr>
                <w:rFonts w:asciiTheme="minorHAnsi" w:eastAsia="Times New Roman" w:hAnsiTheme="minorHAnsi" w:cstheme="minorHAnsi"/>
                <w:b/>
                <w:bCs/>
                <w:color w:val="000000"/>
                <w:sz w:val="20"/>
                <w:szCs w:val="20"/>
                <w:lang w:eastAsia="es-CL"/>
              </w:rPr>
            </w:pPr>
            <w:r w:rsidRPr="002E0EDF">
              <w:rPr>
                <w:rFonts w:asciiTheme="minorHAnsi" w:eastAsia="Times New Roman" w:hAnsiTheme="minorHAnsi" w:cstheme="minorHAnsi"/>
                <w:b/>
                <w:bCs/>
                <w:color w:val="000000"/>
                <w:sz w:val="20"/>
                <w:szCs w:val="20"/>
                <w:lang w:eastAsia="es-CL"/>
              </w:rPr>
              <w:t>Tramo</w:t>
            </w:r>
            <w:r>
              <w:rPr>
                <w:rFonts w:asciiTheme="minorHAnsi" w:eastAsia="Times New Roman" w:hAnsiTheme="minorHAnsi" w:cstheme="minorHAnsi"/>
                <w:b/>
                <w:bCs/>
                <w:color w:val="000000"/>
                <w:sz w:val="20"/>
                <w:szCs w:val="20"/>
                <w:lang w:eastAsia="es-CL"/>
              </w:rPr>
              <w:t xml:space="preserve"> de subestación</w:t>
            </w:r>
          </w:p>
        </w:tc>
        <w:tc>
          <w:tcPr>
            <w:tcW w:w="1134" w:type="dxa"/>
            <w:shd w:val="clear" w:color="000000" w:fill="D9D9D9"/>
            <w:noWrap/>
            <w:vAlign w:val="center"/>
            <w:hideMark/>
          </w:tcPr>
          <w:p w14:paraId="767E70DA" w14:textId="77777777" w:rsidR="00C746F4" w:rsidRPr="002E0EDF" w:rsidRDefault="00C746F4" w:rsidP="006B5A62">
            <w:pPr>
              <w:spacing w:before="20" w:after="20" w:line="240" w:lineRule="auto"/>
              <w:jc w:val="center"/>
              <w:rPr>
                <w:rFonts w:asciiTheme="minorHAnsi" w:eastAsia="Times New Roman" w:hAnsiTheme="minorHAnsi" w:cstheme="minorHAnsi"/>
                <w:b/>
                <w:bCs/>
                <w:color w:val="000000"/>
                <w:sz w:val="20"/>
                <w:szCs w:val="20"/>
                <w:lang w:eastAsia="es-CL"/>
              </w:rPr>
            </w:pPr>
            <w:r w:rsidRPr="002E0EDF">
              <w:rPr>
                <w:rFonts w:asciiTheme="minorHAnsi" w:eastAsia="Times New Roman" w:hAnsiTheme="minorHAnsi" w:cstheme="minorHAnsi"/>
                <w:b/>
                <w:bCs/>
                <w:color w:val="000000"/>
                <w:sz w:val="20"/>
                <w:szCs w:val="20"/>
                <w:lang w:eastAsia="es-CL"/>
              </w:rPr>
              <w:t>A.V.I.</w:t>
            </w:r>
          </w:p>
          <w:p w14:paraId="6BBC5F71" w14:textId="77777777" w:rsidR="00C746F4" w:rsidRPr="005E36B7" w:rsidRDefault="00C746F4" w:rsidP="006B5A62">
            <w:pPr>
              <w:spacing w:before="20" w:after="20" w:line="240" w:lineRule="auto"/>
              <w:jc w:val="center"/>
              <w:rPr>
                <w:rFonts w:asciiTheme="minorHAnsi" w:eastAsia="Times New Roman" w:hAnsiTheme="minorHAnsi" w:cstheme="minorHAnsi"/>
                <w:b/>
                <w:bCs/>
                <w:color w:val="000000"/>
                <w:sz w:val="20"/>
                <w:szCs w:val="20"/>
                <w:lang w:eastAsia="es-CL"/>
              </w:rPr>
            </w:pPr>
            <w:r w:rsidRPr="002E0EDF">
              <w:rPr>
                <w:rFonts w:asciiTheme="minorHAnsi" w:eastAsia="Times New Roman" w:hAnsiTheme="minorHAnsi" w:cstheme="minorHAnsi"/>
                <w:b/>
                <w:bCs/>
                <w:color w:val="000000"/>
                <w:sz w:val="20"/>
                <w:szCs w:val="20"/>
                <w:lang w:eastAsia="es-CL"/>
              </w:rPr>
              <w:t>(USD 2017)</w:t>
            </w:r>
          </w:p>
        </w:tc>
        <w:tc>
          <w:tcPr>
            <w:tcW w:w="1134" w:type="dxa"/>
            <w:shd w:val="clear" w:color="000000" w:fill="D9D9D9"/>
            <w:noWrap/>
            <w:vAlign w:val="center"/>
            <w:hideMark/>
          </w:tcPr>
          <w:p w14:paraId="34A662D2" w14:textId="77777777" w:rsidR="00C746F4" w:rsidRPr="002E0EDF" w:rsidRDefault="00C746F4" w:rsidP="006B5A62">
            <w:pPr>
              <w:spacing w:before="20" w:after="20" w:line="240" w:lineRule="auto"/>
              <w:jc w:val="center"/>
              <w:rPr>
                <w:rFonts w:asciiTheme="minorHAnsi" w:eastAsia="Times New Roman" w:hAnsiTheme="minorHAnsi" w:cstheme="minorHAnsi"/>
                <w:b/>
                <w:bCs/>
                <w:color w:val="000000"/>
                <w:sz w:val="20"/>
                <w:szCs w:val="20"/>
                <w:lang w:eastAsia="es-CL"/>
              </w:rPr>
            </w:pPr>
            <w:r w:rsidRPr="002E0EDF">
              <w:rPr>
                <w:rFonts w:asciiTheme="minorHAnsi" w:eastAsia="Times New Roman" w:hAnsiTheme="minorHAnsi" w:cstheme="minorHAnsi"/>
                <w:b/>
                <w:bCs/>
                <w:color w:val="000000"/>
                <w:sz w:val="20"/>
                <w:szCs w:val="20"/>
                <w:lang w:eastAsia="es-CL"/>
              </w:rPr>
              <w:t>C.O.M.A.</w:t>
            </w:r>
          </w:p>
          <w:p w14:paraId="6E29D400" w14:textId="77777777" w:rsidR="00C746F4" w:rsidRPr="005E36B7" w:rsidRDefault="00C746F4" w:rsidP="006B5A62">
            <w:pPr>
              <w:spacing w:before="20" w:after="20" w:line="240" w:lineRule="auto"/>
              <w:jc w:val="center"/>
              <w:rPr>
                <w:rFonts w:asciiTheme="minorHAnsi" w:eastAsia="Times New Roman" w:hAnsiTheme="minorHAnsi" w:cstheme="minorHAnsi"/>
                <w:b/>
                <w:bCs/>
                <w:color w:val="000000"/>
                <w:sz w:val="20"/>
                <w:szCs w:val="20"/>
                <w:lang w:eastAsia="es-CL"/>
              </w:rPr>
            </w:pPr>
            <w:r w:rsidRPr="002E0EDF">
              <w:rPr>
                <w:rFonts w:asciiTheme="minorHAnsi" w:eastAsia="Times New Roman" w:hAnsiTheme="minorHAnsi" w:cstheme="minorHAnsi"/>
                <w:b/>
                <w:bCs/>
                <w:color w:val="000000"/>
                <w:sz w:val="20"/>
                <w:szCs w:val="20"/>
                <w:lang w:eastAsia="es-CL"/>
              </w:rPr>
              <w:t>(USD 2017)</w:t>
            </w:r>
          </w:p>
        </w:tc>
        <w:tc>
          <w:tcPr>
            <w:tcW w:w="1134" w:type="dxa"/>
            <w:shd w:val="clear" w:color="000000" w:fill="D9D9D9"/>
            <w:noWrap/>
            <w:vAlign w:val="center"/>
            <w:hideMark/>
          </w:tcPr>
          <w:p w14:paraId="55B6E94D" w14:textId="77777777" w:rsidR="00C746F4" w:rsidRPr="002E0EDF" w:rsidRDefault="00C746F4" w:rsidP="006B5A62">
            <w:pPr>
              <w:spacing w:before="20" w:after="20" w:line="240" w:lineRule="auto"/>
              <w:jc w:val="center"/>
              <w:rPr>
                <w:rFonts w:asciiTheme="minorHAnsi" w:eastAsia="Times New Roman" w:hAnsiTheme="minorHAnsi" w:cstheme="minorHAnsi"/>
                <w:b/>
                <w:bCs/>
                <w:color w:val="000000"/>
                <w:sz w:val="20"/>
                <w:szCs w:val="20"/>
                <w:lang w:eastAsia="es-CL"/>
              </w:rPr>
            </w:pPr>
            <w:r w:rsidRPr="002E0EDF">
              <w:rPr>
                <w:rFonts w:asciiTheme="minorHAnsi" w:eastAsia="Times New Roman" w:hAnsiTheme="minorHAnsi" w:cstheme="minorHAnsi"/>
                <w:b/>
                <w:bCs/>
                <w:color w:val="000000"/>
                <w:sz w:val="20"/>
                <w:szCs w:val="20"/>
                <w:lang w:eastAsia="es-CL"/>
              </w:rPr>
              <w:t>A.E.I.R.</w:t>
            </w:r>
          </w:p>
          <w:p w14:paraId="65211EFD" w14:textId="77777777" w:rsidR="00C746F4" w:rsidRPr="005E36B7" w:rsidRDefault="00C746F4" w:rsidP="006B5A62">
            <w:pPr>
              <w:spacing w:before="20" w:after="20" w:line="240" w:lineRule="auto"/>
              <w:jc w:val="center"/>
              <w:rPr>
                <w:rFonts w:asciiTheme="minorHAnsi" w:eastAsia="Times New Roman" w:hAnsiTheme="minorHAnsi" w:cstheme="minorHAnsi"/>
                <w:b/>
                <w:bCs/>
                <w:color w:val="000000"/>
                <w:sz w:val="20"/>
                <w:szCs w:val="20"/>
                <w:lang w:eastAsia="es-CL"/>
              </w:rPr>
            </w:pPr>
            <w:r w:rsidRPr="002E0EDF">
              <w:rPr>
                <w:rFonts w:asciiTheme="minorHAnsi" w:eastAsia="Times New Roman" w:hAnsiTheme="minorHAnsi" w:cstheme="minorHAnsi"/>
                <w:b/>
                <w:bCs/>
                <w:color w:val="000000"/>
                <w:sz w:val="20"/>
                <w:szCs w:val="20"/>
                <w:lang w:eastAsia="es-CL"/>
              </w:rPr>
              <w:t>(USD 2017)</w:t>
            </w:r>
          </w:p>
        </w:tc>
        <w:tc>
          <w:tcPr>
            <w:tcW w:w="1134" w:type="dxa"/>
            <w:shd w:val="clear" w:color="000000" w:fill="D9D9D9"/>
            <w:noWrap/>
            <w:vAlign w:val="center"/>
            <w:hideMark/>
          </w:tcPr>
          <w:p w14:paraId="42AEBEF4" w14:textId="77777777" w:rsidR="00C746F4" w:rsidRPr="002E0EDF" w:rsidRDefault="00C746F4" w:rsidP="006B5A62">
            <w:pPr>
              <w:spacing w:before="20" w:after="20" w:line="240" w:lineRule="auto"/>
              <w:jc w:val="center"/>
              <w:rPr>
                <w:rFonts w:asciiTheme="minorHAnsi" w:eastAsia="Times New Roman" w:hAnsiTheme="minorHAnsi" w:cstheme="minorHAnsi"/>
                <w:b/>
                <w:bCs/>
                <w:color w:val="000000"/>
                <w:sz w:val="20"/>
                <w:szCs w:val="20"/>
                <w:lang w:eastAsia="es-CL"/>
              </w:rPr>
            </w:pPr>
            <w:r w:rsidRPr="002E0EDF">
              <w:rPr>
                <w:rFonts w:asciiTheme="minorHAnsi" w:eastAsia="Times New Roman" w:hAnsiTheme="minorHAnsi" w:cstheme="minorHAnsi"/>
                <w:b/>
                <w:bCs/>
                <w:color w:val="000000"/>
                <w:sz w:val="20"/>
                <w:szCs w:val="20"/>
                <w:lang w:eastAsia="es-CL"/>
              </w:rPr>
              <w:t>V.A.T.T.</w:t>
            </w:r>
          </w:p>
          <w:p w14:paraId="44E077D3" w14:textId="77777777" w:rsidR="00C746F4" w:rsidRPr="005E36B7" w:rsidRDefault="00C746F4" w:rsidP="006B5A62">
            <w:pPr>
              <w:spacing w:before="20" w:after="20" w:line="240" w:lineRule="auto"/>
              <w:jc w:val="center"/>
              <w:rPr>
                <w:rFonts w:asciiTheme="minorHAnsi" w:eastAsia="Times New Roman" w:hAnsiTheme="minorHAnsi" w:cstheme="minorHAnsi"/>
                <w:b/>
                <w:bCs/>
                <w:color w:val="000000"/>
                <w:sz w:val="20"/>
                <w:szCs w:val="20"/>
                <w:lang w:eastAsia="es-CL"/>
              </w:rPr>
            </w:pPr>
            <w:r w:rsidRPr="002E0EDF">
              <w:rPr>
                <w:rFonts w:asciiTheme="minorHAnsi" w:eastAsia="Times New Roman" w:hAnsiTheme="minorHAnsi" w:cstheme="minorHAnsi"/>
                <w:b/>
                <w:bCs/>
                <w:color w:val="000000"/>
                <w:sz w:val="20"/>
                <w:szCs w:val="20"/>
                <w:lang w:eastAsia="es-CL"/>
              </w:rPr>
              <w:t>(USD 2017)</w:t>
            </w:r>
          </w:p>
        </w:tc>
      </w:tr>
      <w:tr w:rsidR="00C746F4" w:rsidRPr="005E36B7" w14:paraId="39D284E0" w14:textId="77777777" w:rsidTr="006B5A62">
        <w:trPr>
          <w:jc w:val="center"/>
        </w:trPr>
        <w:tc>
          <w:tcPr>
            <w:tcW w:w="850" w:type="dxa"/>
            <w:shd w:val="clear" w:color="auto" w:fill="auto"/>
            <w:noWrap/>
            <w:vAlign w:val="center"/>
            <w:hideMark/>
          </w:tcPr>
          <w:p w14:paraId="26D135BC" w14:textId="77777777" w:rsidR="00C746F4" w:rsidRPr="005E36B7"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SE-N_1</w:t>
            </w:r>
          </w:p>
        </w:tc>
        <w:tc>
          <w:tcPr>
            <w:tcW w:w="4253" w:type="dxa"/>
            <w:shd w:val="clear" w:color="auto" w:fill="auto"/>
            <w:noWrap/>
            <w:vAlign w:val="center"/>
            <w:hideMark/>
          </w:tcPr>
          <w:p w14:paraId="430739F3" w14:textId="77777777" w:rsidR="00C746F4" w:rsidRPr="005E36B7"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Alto Jahuel</w:t>
            </w:r>
          </w:p>
        </w:tc>
        <w:tc>
          <w:tcPr>
            <w:tcW w:w="1134" w:type="dxa"/>
            <w:shd w:val="clear" w:color="auto" w:fill="auto"/>
            <w:noWrap/>
          </w:tcPr>
          <w:p w14:paraId="0746F227"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2.732.602 </w:t>
            </w:r>
          </w:p>
        </w:tc>
        <w:tc>
          <w:tcPr>
            <w:tcW w:w="1134" w:type="dxa"/>
            <w:shd w:val="clear" w:color="auto" w:fill="auto"/>
            <w:noWrap/>
          </w:tcPr>
          <w:p w14:paraId="47C47199"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550.240 </w:t>
            </w:r>
          </w:p>
        </w:tc>
        <w:tc>
          <w:tcPr>
            <w:tcW w:w="1134" w:type="dxa"/>
            <w:shd w:val="clear" w:color="auto" w:fill="auto"/>
            <w:noWrap/>
          </w:tcPr>
          <w:p w14:paraId="5646D399"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385.778 </w:t>
            </w:r>
          </w:p>
        </w:tc>
        <w:tc>
          <w:tcPr>
            <w:tcW w:w="1134" w:type="dxa"/>
            <w:shd w:val="clear" w:color="auto" w:fill="auto"/>
            <w:noWrap/>
          </w:tcPr>
          <w:p w14:paraId="76306653"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3.668.619 </w:t>
            </w:r>
          </w:p>
        </w:tc>
      </w:tr>
      <w:tr w:rsidR="00C746F4" w:rsidRPr="005E36B7" w14:paraId="5006642E" w14:textId="77777777" w:rsidTr="006B5A62">
        <w:trPr>
          <w:jc w:val="center"/>
        </w:trPr>
        <w:tc>
          <w:tcPr>
            <w:tcW w:w="850" w:type="dxa"/>
            <w:shd w:val="clear" w:color="auto" w:fill="auto"/>
            <w:noWrap/>
            <w:vAlign w:val="center"/>
            <w:hideMark/>
          </w:tcPr>
          <w:p w14:paraId="5C404F7A" w14:textId="77777777" w:rsidR="00C746F4" w:rsidRPr="005E36B7"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SE-N_2</w:t>
            </w:r>
          </w:p>
        </w:tc>
        <w:tc>
          <w:tcPr>
            <w:tcW w:w="4253" w:type="dxa"/>
            <w:shd w:val="clear" w:color="auto" w:fill="auto"/>
            <w:noWrap/>
            <w:vAlign w:val="center"/>
            <w:hideMark/>
          </w:tcPr>
          <w:p w14:paraId="2A35EDD0" w14:textId="77777777" w:rsidR="00C746F4" w:rsidRPr="005E36B7"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Ancoa</w:t>
            </w:r>
          </w:p>
        </w:tc>
        <w:tc>
          <w:tcPr>
            <w:tcW w:w="1134" w:type="dxa"/>
            <w:shd w:val="clear" w:color="auto" w:fill="auto"/>
            <w:noWrap/>
          </w:tcPr>
          <w:p w14:paraId="71F10D04"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5.252.518 </w:t>
            </w:r>
          </w:p>
        </w:tc>
        <w:tc>
          <w:tcPr>
            <w:tcW w:w="1134" w:type="dxa"/>
            <w:shd w:val="clear" w:color="auto" w:fill="auto"/>
            <w:noWrap/>
          </w:tcPr>
          <w:p w14:paraId="478D4518"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1.057.794 </w:t>
            </w:r>
          </w:p>
        </w:tc>
        <w:tc>
          <w:tcPr>
            <w:tcW w:w="1134" w:type="dxa"/>
            <w:shd w:val="clear" w:color="auto" w:fill="auto"/>
            <w:noWrap/>
          </w:tcPr>
          <w:p w14:paraId="11A0801D"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614.210 </w:t>
            </w:r>
          </w:p>
        </w:tc>
        <w:tc>
          <w:tcPr>
            <w:tcW w:w="1134" w:type="dxa"/>
            <w:shd w:val="clear" w:color="auto" w:fill="auto"/>
            <w:noWrap/>
          </w:tcPr>
          <w:p w14:paraId="555F9C92"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6.924.522 </w:t>
            </w:r>
          </w:p>
        </w:tc>
      </w:tr>
      <w:tr w:rsidR="00C746F4" w:rsidRPr="005E36B7" w14:paraId="4F81BBA1" w14:textId="77777777" w:rsidTr="006B5A62">
        <w:trPr>
          <w:jc w:val="center"/>
        </w:trPr>
        <w:tc>
          <w:tcPr>
            <w:tcW w:w="850" w:type="dxa"/>
            <w:shd w:val="clear" w:color="auto" w:fill="auto"/>
            <w:noWrap/>
            <w:vAlign w:val="center"/>
            <w:hideMark/>
          </w:tcPr>
          <w:p w14:paraId="203E1C11" w14:textId="77777777" w:rsidR="00C746F4" w:rsidRPr="005E36B7"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SE-N_3</w:t>
            </w:r>
          </w:p>
        </w:tc>
        <w:tc>
          <w:tcPr>
            <w:tcW w:w="4253" w:type="dxa"/>
            <w:shd w:val="clear" w:color="auto" w:fill="auto"/>
            <w:noWrap/>
            <w:vAlign w:val="center"/>
            <w:hideMark/>
          </w:tcPr>
          <w:p w14:paraId="09C78C79" w14:textId="77777777" w:rsidR="00C746F4" w:rsidRPr="005E36B7"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Atacama</w:t>
            </w:r>
          </w:p>
        </w:tc>
        <w:tc>
          <w:tcPr>
            <w:tcW w:w="1134" w:type="dxa"/>
            <w:shd w:val="clear" w:color="auto" w:fill="auto"/>
            <w:noWrap/>
          </w:tcPr>
          <w:p w14:paraId="4764BEB2"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298.260 </w:t>
            </w:r>
          </w:p>
        </w:tc>
        <w:tc>
          <w:tcPr>
            <w:tcW w:w="1134" w:type="dxa"/>
            <w:shd w:val="clear" w:color="auto" w:fill="auto"/>
            <w:noWrap/>
          </w:tcPr>
          <w:p w14:paraId="7EF48A1A"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60.061 </w:t>
            </w:r>
          </w:p>
        </w:tc>
        <w:tc>
          <w:tcPr>
            <w:tcW w:w="1134" w:type="dxa"/>
            <w:shd w:val="clear" w:color="auto" w:fill="auto"/>
            <w:noWrap/>
          </w:tcPr>
          <w:p w14:paraId="066306AD"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64.859 </w:t>
            </w:r>
          </w:p>
        </w:tc>
        <w:tc>
          <w:tcPr>
            <w:tcW w:w="1134" w:type="dxa"/>
            <w:shd w:val="clear" w:color="auto" w:fill="auto"/>
            <w:noWrap/>
          </w:tcPr>
          <w:p w14:paraId="2003DEA9"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423.179 </w:t>
            </w:r>
          </w:p>
        </w:tc>
      </w:tr>
      <w:tr w:rsidR="00C746F4" w:rsidRPr="005E36B7" w14:paraId="4D7C3E8D" w14:textId="77777777" w:rsidTr="006B5A62">
        <w:trPr>
          <w:jc w:val="center"/>
        </w:trPr>
        <w:tc>
          <w:tcPr>
            <w:tcW w:w="850" w:type="dxa"/>
            <w:shd w:val="clear" w:color="auto" w:fill="auto"/>
            <w:noWrap/>
            <w:vAlign w:val="center"/>
            <w:hideMark/>
          </w:tcPr>
          <w:p w14:paraId="3F07FF35" w14:textId="77777777" w:rsidR="00C746F4" w:rsidRPr="005E36B7"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SE-N_4</w:t>
            </w:r>
          </w:p>
        </w:tc>
        <w:tc>
          <w:tcPr>
            <w:tcW w:w="4253" w:type="dxa"/>
            <w:shd w:val="clear" w:color="auto" w:fill="auto"/>
            <w:noWrap/>
            <w:vAlign w:val="center"/>
            <w:hideMark/>
          </w:tcPr>
          <w:p w14:paraId="30D6676D" w14:textId="77777777" w:rsidR="00C746F4" w:rsidRPr="005E36B7"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Bureo</w:t>
            </w:r>
          </w:p>
        </w:tc>
        <w:tc>
          <w:tcPr>
            <w:tcW w:w="1134" w:type="dxa"/>
            <w:shd w:val="clear" w:color="auto" w:fill="auto"/>
            <w:noWrap/>
          </w:tcPr>
          <w:p w14:paraId="2C4A8BE7"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 </w:t>
            </w:r>
          </w:p>
        </w:tc>
        <w:tc>
          <w:tcPr>
            <w:tcW w:w="1134" w:type="dxa"/>
            <w:shd w:val="clear" w:color="auto" w:fill="auto"/>
            <w:noWrap/>
          </w:tcPr>
          <w:p w14:paraId="42E5E573"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 </w:t>
            </w:r>
          </w:p>
        </w:tc>
        <w:tc>
          <w:tcPr>
            <w:tcW w:w="1134" w:type="dxa"/>
            <w:shd w:val="clear" w:color="auto" w:fill="auto"/>
            <w:noWrap/>
          </w:tcPr>
          <w:p w14:paraId="08A04007"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 </w:t>
            </w:r>
          </w:p>
        </w:tc>
        <w:tc>
          <w:tcPr>
            <w:tcW w:w="1134" w:type="dxa"/>
            <w:shd w:val="clear" w:color="auto" w:fill="auto"/>
            <w:noWrap/>
          </w:tcPr>
          <w:p w14:paraId="06C4F874"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 </w:t>
            </w:r>
          </w:p>
        </w:tc>
      </w:tr>
      <w:tr w:rsidR="00C746F4" w:rsidRPr="005E36B7" w14:paraId="680A55FC" w14:textId="77777777" w:rsidTr="006B5A62">
        <w:trPr>
          <w:jc w:val="center"/>
        </w:trPr>
        <w:tc>
          <w:tcPr>
            <w:tcW w:w="850" w:type="dxa"/>
            <w:shd w:val="clear" w:color="auto" w:fill="auto"/>
            <w:noWrap/>
            <w:vAlign w:val="center"/>
            <w:hideMark/>
          </w:tcPr>
          <w:p w14:paraId="32787AD8" w14:textId="77777777" w:rsidR="00C746F4" w:rsidRPr="005E36B7"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SE-N_5</w:t>
            </w:r>
          </w:p>
        </w:tc>
        <w:tc>
          <w:tcPr>
            <w:tcW w:w="4253" w:type="dxa"/>
            <w:shd w:val="clear" w:color="auto" w:fill="auto"/>
            <w:noWrap/>
            <w:vAlign w:val="center"/>
            <w:hideMark/>
          </w:tcPr>
          <w:p w14:paraId="530D7F38" w14:textId="77777777" w:rsidR="00C746F4" w:rsidRPr="005E36B7"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Calama Nueva</w:t>
            </w:r>
          </w:p>
        </w:tc>
        <w:tc>
          <w:tcPr>
            <w:tcW w:w="1134" w:type="dxa"/>
            <w:shd w:val="clear" w:color="auto" w:fill="auto"/>
            <w:noWrap/>
          </w:tcPr>
          <w:p w14:paraId="47D65D83"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30.335 </w:t>
            </w:r>
          </w:p>
        </w:tc>
        <w:tc>
          <w:tcPr>
            <w:tcW w:w="1134" w:type="dxa"/>
            <w:shd w:val="clear" w:color="auto" w:fill="auto"/>
            <w:noWrap/>
          </w:tcPr>
          <w:p w14:paraId="05CE4016"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6.105 </w:t>
            </w:r>
          </w:p>
        </w:tc>
        <w:tc>
          <w:tcPr>
            <w:tcW w:w="1134" w:type="dxa"/>
            <w:shd w:val="clear" w:color="auto" w:fill="auto"/>
            <w:noWrap/>
          </w:tcPr>
          <w:p w14:paraId="547D4922"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4.670 </w:t>
            </w:r>
          </w:p>
        </w:tc>
        <w:tc>
          <w:tcPr>
            <w:tcW w:w="1134" w:type="dxa"/>
            <w:shd w:val="clear" w:color="auto" w:fill="auto"/>
            <w:noWrap/>
          </w:tcPr>
          <w:p w14:paraId="656B7F95"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41.109 </w:t>
            </w:r>
          </w:p>
        </w:tc>
      </w:tr>
      <w:tr w:rsidR="00C746F4" w:rsidRPr="005E36B7" w14:paraId="6ADF9B98" w14:textId="77777777" w:rsidTr="006B5A62">
        <w:trPr>
          <w:jc w:val="center"/>
        </w:trPr>
        <w:tc>
          <w:tcPr>
            <w:tcW w:w="850" w:type="dxa"/>
            <w:shd w:val="clear" w:color="auto" w:fill="auto"/>
            <w:noWrap/>
            <w:vAlign w:val="center"/>
            <w:hideMark/>
          </w:tcPr>
          <w:p w14:paraId="6F91A319" w14:textId="77777777" w:rsidR="00C746F4" w:rsidRPr="005E36B7"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SE-N_6</w:t>
            </w:r>
          </w:p>
        </w:tc>
        <w:tc>
          <w:tcPr>
            <w:tcW w:w="4253" w:type="dxa"/>
            <w:shd w:val="clear" w:color="auto" w:fill="auto"/>
            <w:noWrap/>
            <w:vAlign w:val="center"/>
            <w:hideMark/>
          </w:tcPr>
          <w:p w14:paraId="412AEE44" w14:textId="77777777" w:rsidR="00C746F4" w:rsidRPr="005E36B7"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Candelaria</w:t>
            </w:r>
          </w:p>
        </w:tc>
        <w:tc>
          <w:tcPr>
            <w:tcW w:w="1134" w:type="dxa"/>
            <w:shd w:val="clear" w:color="auto" w:fill="auto"/>
            <w:noWrap/>
          </w:tcPr>
          <w:p w14:paraId="27038E08"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99.771 </w:t>
            </w:r>
          </w:p>
        </w:tc>
        <w:tc>
          <w:tcPr>
            <w:tcW w:w="1134" w:type="dxa"/>
            <w:shd w:val="clear" w:color="auto" w:fill="auto"/>
            <w:noWrap/>
          </w:tcPr>
          <w:p w14:paraId="4E6C8EE4"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20.090 </w:t>
            </w:r>
          </w:p>
        </w:tc>
        <w:tc>
          <w:tcPr>
            <w:tcW w:w="1134" w:type="dxa"/>
            <w:shd w:val="clear" w:color="auto" w:fill="auto"/>
            <w:noWrap/>
          </w:tcPr>
          <w:p w14:paraId="35B28D55"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13.646 </w:t>
            </w:r>
          </w:p>
        </w:tc>
        <w:tc>
          <w:tcPr>
            <w:tcW w:w="1134" w:type="dxa"/>
            <w:shd w:val="clear" w:color="auto" w:fill="auto"/>
            <w:noWrap/>
          </w:tcPr>
          <w:p w14:paraId="1DE4BAD1"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133.506 </w:t>
            </w:r>
          </w:p>
        </w:tc>
      </w:tr>
      <w:tr w:rsidR="00C746F4" w:rsidRPr="005E36B7" w14:paraId="2A349F71" w14:textId="77777777" w:rsidTr="006B5A62">
        <w:trPr>
          <w:jc w:val="center"/>
        </w:trPr>
        <w:tc>
          <w:tcPr>
            <w:tcW w:w="850" w:type="dxa"/>
            <w:shd w:val="clear" w:color="auto" w:fill="auto"/>
            <w:noWrap/>
            <w:vAlign w:val="center"/>
            <w:hideMark/>
          </w:tcPr>
          <w:p w14:paraId="1F6114DA" w14:textId="77777777" w:rsidR="00C746F4" w:rsidRPr="005E36B7"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SE-N_7</w:t>
            </w:r>
          </w:p>
        </w:tc>
        <w:tc>
          <w:tcPr>
            <w:tcW w:w="4253" w:type="dxa"/>
            <w:shd w:val="clear" w:color="auto" w:fill="auto"/>
            <w:noWrap/>
            <w:vAlign w:val="center"/>
            <w:hideMark/>
          </w:tcPr>
          <w:p w14:paraId="6A69A19F" w14:textId="77777777" w:rsidR="00C746F4" w:rsidRPr="005E36B7"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Cardones</w:t>
            </w:r>
          </w:p>
        </w:tc>
        <w:tc>
          <w:tcPr>
            <w:tcW w:w="1134" w:type="dxa"/>
            <w:shd w:val="clear" w:color="auto" w:fill="auto"/>
            <w:noWrap/>
          </w:tcPr>
          <w:p w14:paraId="716A33F7"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640.175 </w:t>
            </w:r>
          </w:p>
        </w:tc>
        <w:tc>
          <w:tcPr>
            <w:tcW w:w="1134" w:type="dxa"/>
            <w:shd w:val="clear" w:color="auto" w:fill="auto"/>
            <w:noWrap/>
          </w:tcPr>
          <w:p w14:paraId="12587774"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128.944 </w:t>
            </w:r>
          </w:p>
        </w:tc>
        <w:tc>
          <w:tcPr>
            <w:tcW w:w="1134" w:type="dxa"/>
            <w:shd w:val="clear" w:color="auto" w:fill="auto"/>
            <w:noWrap/>
          </w:tcPr>
          <w:p w14:paraId="66EB6632"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89.649 </w:t>
            </w:r>
          </w:p>
        </w:tc>
        <w:tc>
          <w:tcPr>
            <w:tcW w:w="1134" w:type="dxa"/>
            <w:shd w:val="clear" w:color="auto" w:fill="auto"/>
            <w:noWrap/>
          </w:tcPr>
          <w:p w14:paraId="6FBC69D2"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858.767 </w:t>
            </w:r>
          </w:p>
        </w:tc>
      </w:tr>
      <w:tr w:rsidR="00C746F4" w:rsidRPr="005E36B7" w14:paraId="17D39B2D" w14:textId="77777777" w:rsidTr="006B5A62">
        <w:trPr>
          <w:jc w:val="center"/>
        </w:trPr>
        <w:tc>
          <w:tcPr>
            <w:tcW w:w="850" w:type="dxa"/>
            <w:shd w:val="clear" w:color="auto" w:fill="auto"/>
            <w:noWrap/>
            <w:vAlign w:val="center"/>
            <w:hideMark/>
          </w:tcPr>
          <w:p w14:paraId="3FD57928" w14:textId="77777777" w:rsidR="00C746F4" w:rsidRPr="005E36B7"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SE-N_8</w:t>
            </w:r>
          </w:p>
        </w:tc>
        <w:tc>
          <w:tcPr>
            <w:tcW w:w="4253" w:type="dxa"/>
            <w:shd w:val="clear" w:color="auto" w:fill="auto"/>
            <w:noWrap/>
            <w:vAlign w:val="center"/>
            <w:hideMark/>
          </w:tcPr>
          <w:p w14:paraId="7B95DBD4" w14:textId="77777777" w:rsidR="00C746F4" w:rsidRPr="005E36B7"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Carrera Pinto</w:t>
            </w:r>
          </w:p>
        </w:tc>
        <w:tc>
          <w:tcPr>
            <w:tcW w:w="1134" w:type="dxa"/>
            <w:shd w:val="clear" w:color="auto" w:fill="auto"/>
            <w:noWrap/>
          </w:tcPr>
          <w:p w14:paraId="3F1F4E39"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277.207 </w:t>
            </w:r>
          </w:p>
        </w:tc>
        <w:tc>
          <w:tcPr>
            <w:tcW w:w="1134" w:type="dxa"/>
            <w:shd w:val="clear" w:color="auto" w:fill="auto"/>
            <w:noWrap/>
          </w:tcPr>
          <w:p w14:paraId="2F08C470"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55.912 </w:t>
            </w:r>
          </w:p>
        </w:tc>
        <w:tc>
          <w:tcPr>
            <w:tcW w:w="1134" w:type="dxa"/>
            <w:shd w:val="clear" w:color="auto" w:fill="auto"/>
            <w:noWrap/>
          </w:tcPr>
          <w:p w14:paraId="7E64CD75"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36.607 </w:t>
            </w:r>
          </w:p>
        </w:tc>
        <w:tc>
          <w:tcPr>
            <w:tcW w:w="1134" w:type="dxa"/>
            <w:shd w:val="clear" w:color="auto" w:fill="auto"/>
            <w:noWrap/>
          </w:tcPr>
          <w:p w14:paraId="7C2AFA5C"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369.726 </w:t>
            </w:r>
          </w:p>
        </w:tc>
      </w:tr>
      <w:tr w:rsidR="00C746F4" w:rsidRPr="005E36B7" w14:paraId="47555459" w14:textId="77777777" w:rsidTr="006B5A62">
        <w:trPr>
          <w:jc w:val="center"/>
        </w:trPr>
        <w:tc>
          <w:tcPr>
            <w:tcW w:w="850" w:type="dxa"/>
            <w:shd w:val="clear" w:color="auto" w:fill="auto"/>
            <w:noWrap/>
            <w:vAlign w:val="center"/>
            <w:hideMark/>
          </w:tcPr>
          <w:p w14:paraId="2BF4DBA6" w14:textId="77777777" w:rsidR="00C746F4" w:rsidRPr="005E36B7"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SE-N_9</w:t>
            </w:r>
          </w:p>
        </w:tc>
        <w:tc>
          <w:tcPr>
            <w:tcW w:w="4253" w:type="dxa"/>
            <w:shd w:val="clear" w:color="auto" w:fill="auto"/>
            <w:noWrap/>
            <w:vAlign w:val="center"/>
            <w:hideMark/>
          </w:tcPr>
          <w:p w14:paraId="6B9B4206" w14:textId="77777777" w:rsidR="00C746F4" w:rsidRPr="005E36B7"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Cautín</w:t>
            </w:r>
          </w:p>
        </w:tc>
        <w:tc>
          <w:tcPr>
            <w:tcW w:w="1134" w:type="dxa"/>
            <w:shd w:val="clear" w:color="auto" w:fill="auto"/>
            <w:noWrap/>
          </w:tcPr>
          <w:p w14:paraId="3E40CE66"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453.883 </w:t>
            </w:r>
          </w:p>
        </w:tc>
        <w:tc>
          <w:tcPr>
            <w:tcW w:w="1134" w:type="dxa"/>
            <w:shd w:val="clear" w:color="auto" w:fill="auto"/>
            <w:noWrap/>
          </w:tcPr>
          <w:p w14:paraId="573B0063"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91.400 </w:t>
            </w:r>
          </w:p>
        </w:tc>
        <w:tc>
          <w:tcPr>
            <w:tcW w:w="1134" w:type="dxa"/>
            <w:shd w:val="clear" w:color="auto" w:fill="auto"/>
            <w:noWrap/>
          </w:tcPr>
          <w:p w14:paraId="0D8AADEF"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79.726 </w:t>
            </w:r>
          </w:p>
        </w:tc>
        <w:tc>
          <w:tcPr>
            <w:tcW w:w="1134" w:type="dxa"/>
            <w:shd w:val="clear" w:color="auto" w:fill="auto"/>
            <w:noWrap/>
          </w:tcPr>
          <w:p w14:paraId="1C3F66BE"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625.009 </w:t>
            </w:r>
          </w:p>
        </w:tc>
      </w:tr>
      <w:tr w:rsidR="00C746F4" w:rsidRPr="005E36B7" w14:paraId="691B8460" w14:textId="77777777" w:rsidTr="006B5A62">
        <w:trPr>
          <w:jc w:val="center"/>
        </w:trPr>
        <w:tc>
          <w:tcPr>
            <w:tcW w:w="850" w:type="dxa"/>
            <w:shd w:val="clear" w:color="auto" w:fill="auto"/>
            <w:noWrap/>
            <w:vAlign w:val="center"/>
            <w:hideMark/>
          </w:tcPr>
          <w:p w14:paraId="2F91C58E" w14:textId="77777777" w:rsidR="00C746F4" w:rsidRPr="005E36B7"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SE-N_10</w:t>
            </w:r>
          </w:p>
        </w:tc>
        <w:tc>
          <w:tcPr>
            <w:tcW w:w="4253" w:type="dxa"/>
            <w:shd w:val="clear" w:color="auto" w:fill="auto"/>
            <w:noWrap/>
            <w:vAlign w:val="center"/>
            <w:hideMark/>
          </w:tcPr>
          <w:p w14:paraId="0654AFA8" w14:textId="77777777" w:rsidR="00C746F4" w:rsidRPr="005E36B7"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Cerro Navia</w:t>
            </w:r>
          </w:p>
        </w:tc>
        <w:tc>
          <w:tcPr>
            <w:tcW w:w="1134" w:type="dxa"/>
            <w:shd w:val="clear" w:color="auto" w:fill="auto"/>
            <w:noWrap/>
          </w:tcPr>
          <w:p w14:paraId="79E3760D"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3.394.370 </w:t>
            </w:r>
          </w:p>
        </w:tc>
        <w:tc>
          <w:tcPr>
            <w:tcW w:w="1134" w:type="dxa"/>
            <w:shd w:val="clear" w:color="auto" w:fill="auto"/>
            <w:noWrap/>
          </w:tcPr>
          <w:p w14:paraId="2634CF81"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683.441 </w:t>
            </w:r>
          </w:p>
        </w:tc>
        <w:tc>
          <w:tcPr>
            <w:tcW w:w="1134" w:type="dxa"/>
            <w:shd w:val="clear" w:color="auto" w:fill="auto"/>
            <w:noWrap/>
          </w:tcPr>
          <w:p w14:paraId="5309483A"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522.523 </w:t>
            </w:r>
          </w:p>
        </w:tc>
        <w:tc>
          <w:tcPr>
            <w:tcW w:w="1134" w:type="dxa"/>
            <w:shd w:val="clear" w:color="auto" w:fill="auto"/>
            <w:noWrap/>
          </w:tcPr>
          <w:p w14:paraId="2624B409"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4.600.334 </w:t>
            </w:r>
          </w:p>
        </w:tc>
      </w:tr>
      <w:tr w:rsidR="00C746F4" w:rsidRPr="005E36B7" w14:paraId="398657ED" w14:textId="77777777" w:rsidTr="006B5A62">
        <w:trPr>
          <w:jc w:val="center"/>
        </w:trPr>
        <w:tc>
          <w:tcPr>
            <w:tcW w:w="850" w:type="dxa"/>
            <w:shd w:val="clear" w:color="auto" w:fill="auto"/>
            <w:noWrap/>
            <w:vAlign w:val="center"/>
            <w:hideMark/>
          </w:tcPr>
          <w:p w14:paraId="5FB23F2C" w14:textId="77777777" w:rsidR="00C746F4" w:rsidRPr="005E36B7"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SE-N_11</w:t>
            </w:r>
          </w:p>
        </w:tc>
        <w:tc>
          <w:tcPr>
            <w:tcW w:w="4253" w:type="dxa"/>
            <w:shd w:val="clear" w:color="auto" w:fill="auto"/>
            <w:noWrap/>
            <w:vAlign w:val="center"/>
            <w:hideMark/>
          </w:tcPr>
          <w:p w14:paraId="542E7531" w14:textId="77777777" w:rsidR="00C746F4" w:rsidRPr="005E36B7"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Charrúa</w:t>
            </w:r>
          </w:p>
        </w:tc>
        <w:tc>
          <w:tcPr>
            <w:tcW w:w="1134" w:type="dxa"/>
            <w:shd w:val="clear" w:color="auto" w:fill="auto"/>
            <w:noWrap/>
          </w:tcPr>
          <w:p w14:paraId="1552BC75"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2.060.176 </w:t>
            </w:r>
          </w:p>
        </w:tc>
        <w:tc>
          <w:tcPr>
            <w:tcW w:w="1134" w:type="dxa"/>
            <w:shd w:val="clear" w:color="auto" w:fill="auto"/>
            <w:noWrap/>
          </w:tcPr>
          <w:p w14:paraId="22149E4F"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414.878 </w:t>
            </w:r>
          </w:p>
        </w:tc>
        <w:tc>
          <w:tcPr>
            <w:tcW w:w="1134" w:type="dxa"/>
            <w:shd w:val="clear" w:color="auto" w:fill="auto"/>
            <w:noWrap/>
          </w:tcPr>
          <w:p w14:paraId="0C0A1352"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265.325 </w:t>
            </w:r>
          </w:p>
        </w:tc>
        <w:tc>
          <w:tcPr>
            <w:tcW w:w="1134" w:type="dxa"/>
            <w:shd w:val="clear" w:color="auto" w:fill="auto"/>
            <w:noWrap/>
          </w:tcPr>
          <w:p w14:paraId="7993E35D"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2.740.378 </w:t>
            </w:r>
          </w:p>
        </w:tc>
      </w:tr>
      <w:tr w:rsidR="00C746F4" w:rsidRPr="005E36B7" w14:paraId="233C3DD2" w14:textId="77777777" w:rsidTr="006B5A62">
        <w:trPr>
          <w:jc w:val="center"/>
        </w:trPr>
        <w:tc>
          <w:tcPr>
            <w:tcW w:w="850" w:type="dxa"/>
            <w:shd w:val="clear" w:color="auto" w:fill="auto"/>
            <w:noWrap/>
            <w:vAlign w:val="center"/>
            <w:hideMark/>
          </w:tcPr>
          <w:p w14:paraId="71E80393" w14:textId="77777777" w:rsidR="00C746F4" w:rsidRPr="005E36B7"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lastRenderedPageBreak/>
              <w:t>SE-N_12</w:t>
            </w:r>
          </w:p>
        </w:tc>
        <w:tc>
          <w:tcPr>
            <w:tcW w:w="4253" w:type="dxa"/>
            <w:shd w:val="clear" w:color="auto" w:fill="auto"/>
            <w:noWrap/>
            <w:vAlign w:val="center"/>
            <w:hideMark/>
          </w:tcPr>
          <w:p w14:paraId="6CDE0E7E" w14:textId="77777777" w:rsidR="00C746F4" w:rsidRPr="005E36B7"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Chena</w:t>
            </w:r>
          </w:p>
        </w:tc>
        <w:tc>
          <w:tcPr>
            <w:tcW w:w="1134" w:type="dxa"/>
            <w:shd w:val="clear" w:color="auto" w:fill="auto"/>
            <w:noWrap/>
          </w:tcPr>
          <w:p w14:paraId="1DDEEDCA"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1.731.557 </w:t>
            </w:r>
          </w:p>
        </w:tc>
        <w:tc>
          <w:tcPr>
            <w:tcW w:w="1134" w:type="dxa"/>
            <w:shd w:val="clear" w:color="auto" w:fill="auto"/>
            <w:noWrap/>
          </w:tcPr>
          <w:p w14:paraId="0C551529"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347.412 </w:t>
            </w:r>
          </w:p>
        </w:tc>
        <w:tc>
          <w:tcPr>
            <w:tcW w:w="1134" w:type="dxa"/>
            <w:shd w:val="clear" w:color="auto" w:fill="auto"/>
            <w:noWrap/>
          </w:tcPr>
          <w:p w14:paraId="371970E7"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285.416 </w:t>
            </w:r>
          </w:p>
        </w:tc>
        <w:tc>
          <w:tcPr>
            <w:tcW w:w="1134" w:type="dxa"/>
            <w:shd w:val="clear" w:color="auto" w:fill="auto"/>
            <w:noWrap/>
          </w:tcPr>
          <w:p w14:paraId="660D31CC"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2.364.384 </w:t>
            </w:r>
          </w:p>
        </w:tc>
      </w:tr>
      <w:tr w:rsidR="00C746F4" w:rsidRPr="005E36B7" w14:paraId="46EEBE58" w14:textId="77777777" w:rsidTr="006B5A62">
        <w:trPr>
          <w:jc w:val="center"/>
        </w:trPr>
        <w:tc>
          <w:tcPr>
            <w:tcW w:w="850" w:type="dxa"/>
            <w:shd w:val="clear" w:color="auto" w:fill="auto"/>
            <w:noWrap/>
            <w:vAlign w:val="center"/>
            <w:hideMark/>
          </w:tcPr>
          <w:p w14:paraId="591C6B8B" w14:textId="77777777" w:rsidR="00C746F4" w:rsidRPr="005E36B7"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SE-N_13</w:t>
            </w:r>
          </w:p>
        </w:tc>
        <w:tc>
          <w:tcPr>
            <w:tcW w:w="4253" w:type="dxa"/>
            <w:shd w:val="clear" w:color="auto" w:fill="auto"/>
            <w:noWrap/>
            <w:vAlign w:val="center"/>
            <w:hideMark/>
          </w:tcPr>
          <w:p w14:paraId="32568D90" w14:textId="77777777" w:rsidR="00C746F4" w:rsidRPr="005E36B7"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Chiloé</w:t>
            </w:r>
          </w:p>
        </w:tc>
        <w:tc>
          <w:tcPr>
            <w:tcW w:w="1134" w:type="dxa"/>
            <w:shd w:val="clear" w:color="auto" w:fill="auto"/>
            <w:noWrap/>
          </w:tcPr>
          <w:p w14:paraId="3D818D87"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207.434 </w:t>
            </w:r>
          </w:p>
        </w:tc>
        <w:tc>
          <w:tcPr>
            <w:tcW w:w="1134" w:type="dxa"/>
            <w:shd w:val="clear" w:color="auto" w:fill="auto"/>
            <w:noWrap/>
          </w:tcPr>
          <w:p w14:paraId="2E1F4112"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41.758 </w:t>
            </w:r>
          </w:p>
        </w:tc>
        <w:tc>
          <w:tcPr>
            <w:tcW w:w="1134" w:type="dxa"/>
            <w:shd w:val="clear" w:color="auto" w:fill="auto"/>
            <w:noWrap/>
          </w:tcPr>
          <w:p w14:paraId="00101EE4"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30.029 </w:t>
            </w:r>
          </w:p>
        </w:tc>
        <w:tc>
          <w:tcPr>
            <w:tcW w:w="1134" w:type="dxa"/>
            <w:shd w:val="clear" w:color="auto" w:fill="auto"/>
            <w:noWrap/>
          </w:tcPr>
          <w:p w14:paraId="057DD205"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279.222 </w:t>
            </w:r>
          </w:p>
        </w:tc>
      </w:tr>
      <w:tr w:rsidR="00C746F4" w:rsidRPr="005E36B7" w14:paraId="68B789E7" w14:textId="77777777" w:rsidTr="006B5A62">
        <w:trPr>
          <w:jc w:val="center"/>
        </w:trPr>
        <w:tc>
          <w:tcPr>
            <w:tcW w:w="850" w:type="dxa"/>
            <w:shd w:val="clear" w:color="auto" w:fill="auto"/>
            <w:noWrap/>
            <w:vAlign w:val="center"/>
            <w:hideMark/>
          </w:tcPr>
          <w:p w14:paraId="500903C3" w14:textId="77777777" w:rsidR="00C746F4" w:rsidRPr="005E36B7"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SE-N_14</w:t>
            </w:r>
          </w:p>
        </w:tc>
        <w:tc>
          <w:tcPr>
            <w:tcW w:w="4253" w:type="dxa"/>
            <w:shd w:val="clear" w:color="auto" w:fill="auto"/>
            <w:noWrap/>
            <w:vAlign w:val="center"/>
            <w:hideMark/>
          </w:tcPr>
          <w:p w14:paraId="04E236A5" w14:textId="77777777" w:rsidR="00C746F4" w:rsidRPr="005E36B7"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Chuquicamata</w:t>
            </w:r>
          </w:p>
        </w:tc>
        <w:tc>
          <w:tcPr>
            <w:tcW w:w="1134" w:type="dxa"/>
            <w:shd w:val="clear" w:color="auto" w:fill="auto"/>
            <w:noWrap/>
          </w:tcPr>
          <w:p w14:paraId="75571382"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270.145 </w:t>
            </w:r>
          </w:p>
        </w:tc>
        <w:tc>
          <w:tcPr>
            <w:tcW w:w="1134" w:type="dxa"/>
            <w:shd w:val="clear" w:color="auto" w:fill="auto"/>
            <w:noWrap/>
          </w:tcPr>
          <w:p w14:paraId="28944B94"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54.572 </w:t>
            </w:r>
          </w:p>
        </w:tc>
        <w:tc>
          <w:tcPr>
            <w:tcW w:w="1134" w:type="dxa"/>
            <w:shd w:val="clear" w:color="auto" w:fill="auto"/>
            <w:noWrap/>
          </w:tcPr>
          <w:p w14:paraId="5C242F13"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31.486 </w:t>
            </w:r>
          </w:p>
        </w:tc>
        <w:tc>
          <w:tcPr>
            <w:tcW w:w="1134" w:type="dxa"/>
            <w:shd w:val="clear" w:color="auto" w:fill="auto"/>
            <w:noWrap/>
          </w:tcPr>
          <w:p w14:paraId="732EE296"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356.203 </w:t>
            </w:r>
          </w:p>
        </w:tc>
      </w:tr>
      <w:tr w:rsidR="00C746F4" w:rsidRPr="005E36B7" w14:paraId="38721970" w14:textId="77777777" w:rsidTr="006B5A62">
        <w:trPr>
          <w:jc w:val="center"/>
        </w:trPr>
        <w:tc>
          <w:tcPr>
            <w:tcW w:w="850" w:type="dxa"/>
            <w:shd w:val="clear" w:color="auto" w:fill="auto"/>
            <w:noWrap/>
            <w:vAlign w:val="center"/>
            <w:hideMark/>
          </w:tcPr>
          <w:p w14:paraId="64325508" w14:textId="77777777" w:rsidR="00C746F4" w:rsidRPr="005E36B7"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SE-N_15</w:t>
            </w:r>
          </w:p>
        </w:tc>
        <w:tc>
          <w:tcPr>
            <w:tcW w:w="4253" w:type="dxa"/>
            <w:shd w:val="clear" w:color="auto" w:fill="auto"/>
            <w:noWrap/>
            <w:vAlign w:val="center"/>
            <w:hideMark/>
          </w:tcPr>
          <w:p w14:paraId="79F5063E" w14:textId="77777777" w:rsidR="00C746F4" w:rsidRPr="005E36B7"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Ciruelos</w:t>
            </w:r>
          </w:p>
        </w:tc>
        <w:tc>
          <w:tcPr>
            <w:tcW w:w="1134" w:type="dxa"/>
            <w:shd w:val="clear" w:color="auto" w:fill="auto"/>
            <w:noWrap/>
          </w:tcPr>
          <w:p w14:paraId="47FD7FC5"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419.124 </w:t>
            </w:r>
          </w:p>
        </w:tc>
        <w:tc>
          <w:tcPr>
            <w:tcW w:w="1134" w:type="dxa"/>
            <w:shd w:val="clear" w:color="auto" w:fill="auto"/>
            <w:noWrap/>
          </w:tcPr>
          <w:p w14:paraId="631B7D29"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84.651 </w:t>
            </w:r>
          </w:p>
        </w:tc>
        <w:tc>
          <w:tcPr>
            <w:tcW w:w="1134" w:type="dxa"/>
            <w:shd w:val="clear" w:color="auto" w:fill="auto"/>
            <w:noWrap/>
          </w:tcPr>
          <w:p w14:paraId="309D6A82"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60.536 </w:t>
            </w:r>
          </w:p>
        </w:tc>
        <w:tc>
          <w:tcPr>
            <w:tcW w:w="1134" w:type="dxa"/>
            <w:shd w:val="clear" w:color="auto" w:fill="auto"/>
            <w:noWrap/>
          </w:tcPr>
          <w:p w14:paraId="220BC430"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564.311 </w:t>
            </w:r>
          </w:p>
        </w:tc>
      </w:tr>
      <w:tr w:rsidR="00C746F4" w:rsidRPr="005E36B7" w14:paraId="2D6A2910" w14:textId="77777777" w:rsidTr="006B5A62">
        <w:trPr>
          <w:jc w:val="center"/>
        </w:trPr>
        <w:tc>
          <w:tcPr>
            <w:tcW w:w="850" w:type="dxa"/>
            <w:shd w:val="clear" w:color="auto" w:fill="auto"/>
            <w:noWrap/>
            <w:vAlign w:val="center"/>
            <w:hideMark/>
          </w:tcPr>
          <w:p w14:paraId="0C46B9C7" w14:textId="77777777" w:rsidR="00C746F4" w:rsidRPr="005E36B7"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SE-N_16</w:t>
            </w:r>
          </w:p>
        </w:tc>
        <w:tc>
          <w:tcPr>
            <w:tcW w:w="4253" w:type="dxa"/>
            <w:shd w:val="clear" w:color="auto" w:fill="auto"/>
            <w:noWrap/>
            <w:vAlign w:val="center"/>
            <w:hideMark/>
          </w:tcPr>
          <w:p w14:paraId="1051C3D7" w14:textId="77777777" w:rsidR="00C746F4" w:rsidRPr="005E36B7"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Colbún</w:t>
            </w:r>
          </w:p>
        </w:tc>
        <w:tc>
          <w:tcPr>
            <w:tcW w:w="1134" w:type="dxa"/>
            <w:shd w:val="clear" w:color="auto" w:fill="auto"/>
            <w:noWrap/>
          </w:tcPr>
          <w:p w14:paraId="2BD2B997"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254.574 </w:t>
            </w:r>
          </w:p>
        </w:tc>
        <w:tc>
          <w:tcPr>
            <w:tcW w:w="1134" w:type="dxa"/>
            <w:shd w:val="clear" w:color="auto" w:fill="auto"/>
            <w:noWrap/>
          </w:tcPr>
          <w:p w14:paraId="4E26AF52"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51.258 </w:t>
            </w:r>
          </w:p>
        </w:tc>
        <w:tc>
          <w:tcPr>
            <w:tcW w:w="1134" w:type="dxa"/>
            <w:shd w:val="clear" w:color="auto" w:fill="auto"/>
            <w:noWrap/>
          </w:tcPr>
          <w:p w14:paraId="3D20B1FC"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34.107 </w:t>
            </w:r>
          </w:p>
        </w:tc>
        <w:tc>
          <w:tcPr>
            <w:tcW w:w="1134" w:type="dxa"/>
            <w:shd w:val="clear" w:color="auto" w:fill="auto"/>
            <w:noWrap/>
          </w:tcPr>
          <w:p w14:paraId="2A58D82E"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339.939 </w:t>
            </w:r>
          </w:p>
        </w:tc>
      </w:tr>
      <w:tr w:rsidR="00C746F4" w:rsidRPr="005E36B7" w14:paraId="5D3CFDB4" w14:textId="77777777" w:rsidTr="006B5A62">
        <w:trPr>
          <w:jc w:val="center"/>
        </w:trPr>
        <w:tc>
          <w:tcPr>
            <w:tcW w:w="850" w:type="dxa"/>
            <w:shd w:val="clear" w:color="auto" w:fill="auto"/>
            <w:noWrap/>
            <w:vAlign w:val="center"/>
            <w:hideMark/>
          </w:tcPr>
          <w:p w14:paraId="5CB6282C" w14:textId="77777777" w:rsidR="00C746F4" w:rsidRPr="005E36B7"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SE-N_17</w:t>
            </w:r>
          </w:p>
        </w:tc>
        <w:tc>
          <w:tcPr>
            <w:tcW w:w="4253" w:type="dxa"/>
            <w:shd w:val="clear" w:color="auto" w:fill="auto"/>
            <w:noWrap/>
            <w:vAlign w:val="center"/>
            <w:hideMark/>
          </w:tcPr>
          <w:p w14:paraId="53300643" w14:textId="77777777" w:rsidR="00C746F4" w:rsidRPr="005E36B7"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Concepción</w:t>
            </w:r>
          </w:p>
        </w:tc>
        <w:tc>
          <w:tcPr>
            <w:tcW w:w="1134" w:type="dxa"/>
            <w:shd w:val="clear" w:color="auto" w:fill="auto"/>
            <w:noWrap/>
          </w:tcPr>
          <w:p w14:paraId="746D0FDA"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573.484 </w:t>
            </w:r>
          </w:p>
        </w:tc>
        <w:tc>
          <w:tcPr>
            <w:tcW w:w="1134" w:type="dxa"/>
            <w:shd w:val="clear" w:color="auto" w:fill="auto"/>
            <w:noWrap/>
          </w:tcPr>
          <w:p w14:paraId="17062465"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115.334 </w:t>
            </w:r>
          </w:p>
        </w:tc>
        <w:tc>
          <w:tcPr>
            <w:tcW w:w="1134" w:type="dxa"/>
            <w:shd w:val="clear" w:color="auto" w:fill="auto"/>
            <w:noWrap/>
          </w:tcPr>
          <w:p w14:paraId="61AEF674"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106.580 </w:t>
            </w:r>
          </w:p>
        </w:tc>
        <w:tc>
          <w:tcPr>
            <w:tcW w:w="1134" w:type="dxa"/>
            <w:shd w:val="clear" w:color="auto" w:fill="auto"/>
            <w:noWrap/>
          </w:tcPr>
          <w:p w14:paraId="1031B016"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795.397 </w:t>
            </w:r>
          </w:p>
        </w:tc>
      </w:tr>
      <w:tr w:rsidR="00C746F4" w:rsidRPr="005E36B7" w14:paraId="777831A3" w14:textId="77777777" w:rsidTr="006B5A62">
        <w:trPr>
          <w:jc w:val="center"/>
        </w:trPr>
        <w:tc>
          <w:tcPr>
            <w:tcW w:w="850" w:type="dxa"/>
            <w:shd w:val="clear" w:color="auto" w:fill="auto"/>
            <w:noWrap/>
            <w:vAlign w:val="center"/>
            <w:hideMark/>
          </w:tcPr>
          <w:p w14:paraId="07DDC7B3" w14:textId="77777777" w:rsidR="00C746F4" w:rsidRPr="005E36B7"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SE-N_18</w:t>
            </w:r>
          </w:p>
        </w:tc>
        <w:tc>
          <w:tcPr>
            <w:tcW w:w="4253" w:type="dxa"/>
            <w:shd w:val="clear" w:color="auto" w:fill="auto"/>
            <w:noWrap/>
            <w:vAlign w:val="center"/>
            <w:hideMark/>
          </w:tcPr>
          <w:p w14:paraId="6242C151" w14:textId="77777777" w:rsidR="00C746F4" w:rsidRPr="005E36B7"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Cóndores</w:t>
            </w:r>
          </w:p>
        </w:tc>
        <w:tc>
          <w:tcPr>
            <w:tcW w:w="1134" w:type="dxa"/>
            <w:shd w:val="clear" w:color="auto" w:fill="auto"/>
            <w:noWrap/>
          </w:tcPr>
          <w:p w14:paraId="35FF2F78"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405.338 </w:t>
            </w:r>
          </w:p>
        </w:tc>
        <w:tc>
          <w:tcPr>
            <w:tcW w:w="1134" w:type="dxa"/>
            <w:shd w:val="clear" w:color="auto" w:fill="auto"/>
            <w:noWrap/>
          </w:tcPr>
          <w:p w14:paraId="19CCEFC7"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81.568 </w:t>
            </w:r>
          </w:p>
        </w:tc>
        <w:tc>
          <w:tcPr>
            <w:tcW w:w="1134" w:type="dxa"/>
            <w:shd w:val="clear" w:color="auto" w:fill="auto"/>
            <w:noWrap/>
          </w:tcPr>
          <w:p w14:paraId="66176F52"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74.916 </w:t>
            </w:r>
          </w:p>
        </w:tc>
        <w:tc>
          <w:tcPr>
            <w:tcW w:w="1134" w:type="dxa"/>
            <w:shd w:val="clear" w:color="auto" w:fill="auto"/>
            <w:noWrap/>
          </w:tcPr>
          <w:p w14:paraId="2C168850"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561.821 </w:t>
            </w:r>
          </w:p>
        </w:tc>
      </w:tr>
      <w:tr w:rsidR="00C746F4" w:rsidRPr="005E36B7" w14:paraId="18FE1F17" w14:textId="77777777" w:rsidTr="006B5A62">
        <w:trPr>
          <w:jc w:val="center"/>
        </w:trPr>
        <w:tc>
          <w:tcPr>
            <w:tcW w:w="850" w:type="dxa"/>
            <w:shd w:val="clear" w:color="auto" w:fill="auto"/>
            <w:noWrap/>
            <w:vAlign w:val="center"/>
            <w:hideMark/>
          </w:tcPr>
          <w:p w14:paraId="59152C7B" w14:textId="77777777" w:rsidR="00C746F4" w:rsidRPr="005E36B7"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SE-N_19</w:t>
            </w:r>
          </w:p>
        </w:tc>
        <w:tc>
          <w:tcPr>
            <w:tcW w:w="4253" w:type="dxa"/>
            <w:shd w:val="clear" w:color="auto" w:fill="auto"/>
            <w:noWrap/>
            <w:vAlign w:val="center"/>
            <w:hideMark/>
          </w:tcPr>
          <w:p w14:paraId="1C5844AD" w14:textId="77777777" w:rsidR="00C746F4" w:rsidRPr="005E36B7"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Crucero</w:t>
            </w:r>
          </w:p>
        </w:tc>
        <w:tc>
          <w:tcPr>
            <w:tcW w:w="1134" w:type="dxa"/>
            <w:shd w:val="clear" w:color="auto" w:fill="auto"/>
            <w:noWrap/>
          </w:tcPr>
          <w:p w14:paraId="014F5A19"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597.104 </w:t>
            </w:r>
          </w:p>
        </w:tc>
        <w:tc>
          <w:tcPr>
            <w:tcW w:w="1134" w:type="dxa"/>
            <w:shd w:val="clear" w:color="auto" w:fill="auto"/>
            <w:noWrap/>
          </w:tcPr>
          <w:p w14:paraId="5C401BDD"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120.074 </w:t>
            </w:r>
          </w:p>
        </w:tc>
        <w:tc>
          <w:tcPr>
            <w:tcW w:w="1134" w:type="dxa"/>
            <w:shd w:val="clear" w:color="auto" w:fill="auto"/>
            <w:noWrap/>
          </w:tcPr>
          <w:p w14:paraId="2279E2A0"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82.965 </w:t>
            </w:r>
          </w:p>
        </w:tc>
        <w:tc>
          <w:tcPr>
            <w:tcW w:w="1134" w:type="dxa"/>
            <w:shd w:val="clear" w:color="auto" w:fill="auto"/>
            <w:noWrap/>
          </w:tcPr>
          <w:p w14:paraId="38F7E44D"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800.143 </w:t>
            </w:r>
          </w:p>
        </w:tc>
      </w:tr>
      <w:tr w:rsidR="00C746F4" w:rsidRPr="005E36B7" w14:paraId="3E1572BC" w14:textId="77777777" w:rsidTr="006B5A62">
        <w:trPr>
          <w:jc w:val="center"/>
        </w:trPr>
        <w:tc>
          <w:tcPr>
            <w:tcW w:w="850" w:type="dxa"/>
            <w:shd w:val="clear" w:color="auto" w:fill="auto"/>
            <w:noWrap/>
            <w:vAlign w:val="center"/>
            <w:hideMark/>
          </w:tcPr>
          <w:p w14:paraId="67FB62E9" w14:textId="77777777" w:rsidR="00C746F4" w:rsidRPr="005E36B7"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SE-N_20</w:t>
            </w:r>
          </w:p>
        </w:tc>
        <w:tc>
          <w:tcPr>
            <w:tcW w:w="4253" w:type="dxa"/>
            <w:shd w:val="clear" w:color="auto" w:fill="auto"/>
            <w:noWrap/>
            <w:vAlign w:val="center"/>
            <w:hideMark/>
          </w:tcPr>
          <w:p w14:paraId="320E6F45" w14:textId="77777777" w:rsidR="00C746F4" w:rsidRPr="005E36B7"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Cumbre</w:t>
            </w:r>
          </w:p>
        </w:tc>
        <w:tc>
          <w:tcPr>
            <w:tcW w:w="1134" w:type="dxa"/>
            <w:shd w:val="clear" w:color="auto" w:fill="auto"/>
            <w:noWrap/>
          </w:tcPr>
          <w:p w14:paraId="6ECF6FBF"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491.120 </w:t>
            </w:r>
          </w:p>
        </w:tc>
        <w:tc>
          <w:tcPr>
            <w:tcW w:w="1134" w:type="dxa"/>
            <w:shd w:val="clear" w:color="auto" w:fill="auto"/>
            <w:noWrap/>
          </w:tcPr>
          <w:p w14:paraId="26FEEFBE"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98.505 </w:t>
            </w:r>
          </w:p>
        </w:tc>
        <w:tc>
          <w:tcPr>
            <w:tcW w:w="1134" w:type="dxa"/>
            <w:shd w:val="clear" w:color="auto" w:fill="auto"/>
            <w:noWrap/>
          </w:tcPr>
          <w:p w14:paraId="1D402185"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73.103 </w:t>
            </w:r>
          </w:p>
        </w:tc>
        <w:tc>
          <w:tcPr>
            <w:tcW w:w="1134" w:type="dxa"/>
            <w:shd w:val="clear" w:color="auto" w:fill="auto"/>
            <w:noWrap/>
          </w:tcPr>
          <w:p w14:paraId="4052A875"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662.728 </w:t>
            </w:r>
          </w:p>
        </w:tc>
      </w:tr>
      <w:tr w:rsidR="00C746F4" w:rsidRPr="005E36B7" w14:paraId="16A51FE8" w14:textId="77777777" w:rsidTr="006B5A62">
        <w:trPr>
          <w:jc w:val="center"/>
        </w:trPr>
        <w:tc>
          <w:tcPr>
            <w:tcW w:w="850" w:type="dxa"/>
            <w:shd w:val="clear" w:color="auto" w:fill="auto"/>
            <w:noWrap/>
            <w:vAlign w:val="center"/>
            <w:hideMark/>
          </w:tcPr>
          <w:p w14:paraId="57DF7528" w14:textId="77777777" w:rsidR="00C746F4" w:rsidRPr="005E36B7"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SE-N_21</w:t>
            </w:r>
          </w:p>
        </w:tc>
        <w:tc>
          <w:tcPr>
            <w:tcW w:w="4253" w:type="dxa"/>
            <w:shd w:val="clear" w:color="auto" w:fill="auto"/>
            <w:noWrap/>
            <w:vAlign w:val="center"/>
            <w:hideMark/>
          </w:tcPr>
          <w:p w14:paraId="329E57B9" w14:textId="77777777" w:rsidR="00C746F4" w:rsidRPr="005E36B7"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Diego de Almagro</w:t>
            </w:r>
          </w:p>
        </w:tc>
        <w:tc>
          <w:tcPr>
            <w:tcW w:w="1134" w:type="dxa"/>
            <w:shd w:val="clear" w:color="auto" w:fill="auto"/>
            <w:noWrap/>
          </w:tcPr>
          <w:p w14:paraId="7F982606"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1.886.949 </w:t>
            </w:r>
          </w:p>
        </w:tc>
        <w:tc>
          <w:tcPr>
            <w:tcW w:w="1134" w:type="dxa"/>
            <w:shd w:val="clear" w:color="auto" w:fill="auto"/>
            <w:noWrap/>
          </w:tcPr>
          <w:p w14:paraId="0AF7C1DF"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380.053 </w:t>
            </w:r>
          </w:p>
        </w:tc>
        <w:tc>
          <w:tcPr>
            <w:tcW w:w="1134" w:type="dxa"/>
            <w:shd w:val="clear" w:color="auto" w:fill="auto"/>
            <w:noWrap/>
          </w:tcPr>
          <w:p w14:paraId="5DD54E11"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226.965 </w:t>
            </w:r>
          </w:p>
        </w:tc>
        <w:tc>
          <w:tcPr>
            <w:tcW w:w="1134" w:type="dxa"/>
            <w:shd w:val="clear" w:color="auto" w:fill="auto"/>
            <w:noWrap/>
          </w:tcPr>
          <w:p w14:paraId="5B20DC02"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2.493.967 </w:t>
            </w:r>
          </w:p>
        </w:tc>
      </w:tr>
      <w:tr w:rsidR="00C746F4" w:rsidRPr="005E36B7" w14:paraId="589BAE9D" w14:textId="77777777" w:rsidTr="006B5A62">
        <w:trPr>
          <w:jc w:val="center"/>
        </w:trPr>
        <w:tc>
          <w:tcPr>
            <w:tcW w:w="850" w:type="dxa"/>
            <w:shd w:val="clear" w:color="auto" w:fill="auto"/>
            <w:noWrap/>
            <w:vAlign w:val="center"/>
            <w:hideMark/>
          </w:tcPr>
          <w:p w14:paraId="57C5BF54" w14:textId="77777777" w:rsidR="00C746F4" w:rsidRPr="005E36B7"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SE-N_22</w:t>
            </w:r>
          </w:p>
        </w:tc>
        <w:tc>
          <w:tcPr>
            <w:tcW w:w="4253" w:type="dxa"/>
            <w:shd w:val="clear" w:color="auto" w:fill="auto"/>
            <w:noWrap/>
            <w:vAlign w:val="center"/>
            <w:hideMark/>
          </w:tcPr>
          <w:p w14:paraId="5849CE42" w14:textId="77777777" w:rsidR="00C746F4" w:rsidRPr="005E36B7"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Don Goyo</w:t>
            </w:r>
          </w:p>
        </w:tc>
        <w:tc>
          <w:tcPr>
            <w:tcW w:w="1134" w:type="dxa"/>
            <w:shd w:val="clear" w:color="auto" w:fill="auto"/>
            <w:noWrap/>
          </w:tcPr>
          <w:p w14:paraId="227AA487"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23.290 </w:t>
            </w:r>
          </w:p>
        </w:tc>
        <w:tc>
          <w:tcPr>
            <w:tcW w:w="1134" w:type="dxa"/>
            <w:shd w:val="clear" w:color="auto" w:fill="auto"/>
            <w:noWrap/>
          </w:tcPr>
          <w:p w14:paraId="56068DC2"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4.925 </w:t>
            </w:r>
          </w:p>
        </w:tc>
        <w:tc>
          <w:tcPr>
            <w:tcW w:w="1134" w:type="dxa"/>
            <w:shd w:val="clear" w:color="auto" w:fill="auto"/>
            <w:noWrap/>
          </w:tcPr>
          <w:p w14:paraId="54792697"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3.287 </w:t>
            </w:r>
          </w:p>
        </w:tc>
        <w:tc>
          <w:tcPr>
            <w:tcW w:w="1134" w:type="dxa"/>
            <w:shd w:val="clear" w:color="auto" w:fill="auto"/>
            <w:noWrap/>
          </w:tcPr>
          <w:p w14:paraId="46CA43E6"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31.502 </w:t>
            </w:r>
          </w:p>
        </w:tc>
      </w:tr>
      <w:tr w:rsidR="00C746F4" w:rsidRPr="005E36B7" w14:paraId="5D44192E" w14:textId="77777777" w:rsidTr="006B5A62">
        <w:trPr>
          <w:jc w:val="center"/>
        </w:trPr>
        <w:tc>
          <w:tcPr>
            <w:tcW w:w="850" w:type="dxa"/>
            <w:shd w:val="clear" w:color="auto" w:fill="auto"/>
            <w:noWrap/>
            <w:vAlign w:val="center"/>
            <w:hideMark/>
          </w:tcPr>
          <w:p w14:paraId="678691A1" w14:textId="77777777" w:rsidR="00C746F4" w:rsidRPr="005E36B7"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SE-N_23</w:t>
            </w:r>
          </w:p>
        </w:tc>
        <w:tc>
          <w:tcPr>
            <w:tcW w:w="4253" w:type="dxa"/>
            <w:shd w:val="clear" w:color="auto" w:fill="auto"/>
            <w:noWrap/>
            <w:vAlign w:val="center"/>
            <w:hideMark/>
          </w:tcPr>
          <w:p w14:paraId="308DAA1A" w14:textId="77777777" w:rsidR="00C746F4" w:rsidRPr="005E36B7"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Don Héctor</w:t>
            </w:r>
          </w:p>
        </w:tc>
        <w:tc>
          <w:tcPr>
            <w:tcW w:w="1134" w:type="dxa"/>
            <w:shd w:val="clear" w:color="auto" w:fill="auto"/>
            <w:noWrap/>
          </w:tcPr>
          <w:p w14:paraId="45C36E67"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168.626 </w:t>
            </w:r>
          </w:p>
        </w:tc>
        <w:tc>
          <w:tcPr>
            <w:tcW w:w="1134" w:type="dxa"/>
            <w:shd w:val="clear" w:color="auto" w:fill="auto"/>
            <w:noWrap/>
          </w:tcPr>
          <w:p w14:paraId="756F3FC7"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33.956 </w:t>
            </w:r>
          </w:p>
        </w:tc>
        <w:tc>
          <w:tcPr>
            <w:tcW w:w="1134" w:type="dxa"/>
            <w:shd w:val="clear" w:color="auto" w:fill="auto"/>
            <w:noWrap/>
          </w:tcPr>
          <w:p w14:paraId="47EEB7BE"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22.595 </w:t>
            </w:r>
          </w:p>
        </w:tc>
        <w:tc>
          <w:tcPr>
            <w:tcW w:w="1134" w:type="dxa"/>
            <w:shd w:val="clear" w:color="auto" w:fill="auto"/>
            <w:noWrap/>
          </w:tcPr>
          <w:p w14:paraId="2C0BD701"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225.177 </w:t>
            </w:r>
          </w:p>
        </w:tc>
      </w:tr>
      <w:tr w:rsidR="00C746F4" w:rsidRPr="005E36B7" w14:paraId="084437C0" w14:textId="77777777" w:rsidTr="006B5A62">
        <w:trPr>
          <w:jc w:val="center"/>
        </w:trPr>
        <w:tc>
          <w:tcPr>
            <w:tcW w:w="850" w:type="dxa"/>
            <w:shd w:val="clear" w:color="auto" w:fill="auto"/>
            <w:noWrap/>
            <w:vAlign w:val="center"/>
            <w:hideMark/>
          </w:tcPr>
          <w:p w14:paraId="1886CF0F" w14:textId="77777777" w:rsidR="00C746F4" w:rsidRPr="005E36B7"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SE-N_24</w:t>
            </w:r>
          </w:p>
        </w:tc>
        <w:tc>
          <w:tcPr>
            <w:tcW w:w="4253" w:type="dxa"/>
            <w:shd w:val="clear" w:color="auto" w:fill="auto"/>
            <w:noWrap/>
            <w:vAlign w:val="center"/>
            <w:hideMark/>
          </w:tcPr>
          <w:p w14:paraId="06C221A8" w14:textId="77777777" w:rsidR="00C746F4" w:rsidRPr="005E36B7"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Duqueco</w:t>
            </w:r>
          </w:p>
        </w:tc>
        <w:tc>
          <w:tcPr>
            <w:tcW w:w="1134" w:type="dxa"/>
            <w:shd w:val="clear" w:color="auto" w:fill="auto"/>
            <w:noWrap/>
          </w:tcPr>
          <w:p w14:paraId="6091EE24"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378.184 </w:t>
            </w:r>
          </w:p>
        </w:tc>
        <w:tc>
          <w:tcPr>
            <w:tcW w:w="1134" w:type="dxa"/>
            <w:shd w:val="clear" w:color="auto" w:fill="auto"/>
            <w:noWrap/>
          </w:tcPr>
          <w:p w14:paraId="5969B930"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76.102 </w:t>
            </w:r>
          </w:p>
        </w:tc>
        <w:tc>
          <w:tcPr>
            <w:tcW w:w="1134" w:type="dxa"/>
            <w:shd w:val="clear" w:color="auto" w:fill="auto"/>
            <w:noWrap/>
          </w:tcPr>
          <w:p w14:paraId="47F245AC"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52.508 </w:t>
            </w:r>
          </w:p>
        </w:tc>
        <w:tc>
          <w:tcPr>
            <w:tcW w:w="1134" w:type="dxa"/>
            <w:shd w:val="clear" w:color="auto" w:fill="auto"/>
            <w:noWrap/>
          </w:tcPr>
          <w:p w14:paraId="3467AC28"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506.793 </w:t>
            </w:r>
          </w:p>
        </w:tc>
      </w:tr>
      <w:tr w:rsidR="00C746F4" w:rsidRPr="005E36B7" w14:paraId="70F6CB76" w14:textId="77777777" w:rsidTr="006B5A62">
        <w:trPr>
          <w:jc w:val="center"/>
        </w:trPr>
        <w:tc>
          <w:tcPr>
            <w:tcW w:w="850" w:type="dxa"/>
            <w:shd w:val="clear" w:color="auto" w:fill="auto"/>
            <w:noWrap/>
            <w:vAlign w:val="center"/>
            <w:hideMark/>
          </w:tcPr>
          <w:p w14:paraId="3C1B8396" w14:textId="77777777" w:rsidR="00C746F4" w:rsidRPr="005E36B7"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SE-N_25</w:t>
            </w:r>
          </w:p>
        </w:tc>
        <w:tc>
          <w:tcPr>
            <w:tcW w:w="4253" w:type="dxa"/>
            <w:shd w:val="clear" w:color="auto" w:fill="auto"/>
            <w:noWrap/>
            <w:vAlign w:val="center"/>
            <w:hideMark/>
          </w:tcPr>
          <w:p w14:paraId="0693EC3C" w14:textId="77777777" w:rsidR="00C746F4" w:rsidRPr="005E36B7"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El Cobre</w:t>
            </w:r>
          </w:p>
        </w:tc>
        <w:tc>
          <w:tcPr>
            <w:tcW w:w="1134" w:type="dxa"/>
            <w:shd w:val="clear" w:color="auto" w:fill="auto"/>
            <w:noWrap/>
          </w:tcPr>
          <w:p w14:paraId="73DA6BFF"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200.180 </w:t>
            </w:r>
          </w:p>
        </w:tc>
        <w:tc>
          <w:tcPr>
            <w:tcW w:w="1134" w:type="dxa"/>
            <w:shd w:val="clear" w:color="auto" w:fill="auto"/>
            <w:noWrap/>
          </w:tcPr>
          <w:p w14:paraId="1D6E0A4D"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40.240 </w:t>
            </w:r>
          </w:p>
        </w:tc>
        <w:tc>
          <w:tcPr>
            <w:tcW w:w="1134" w:type="dxa"/>
            <w:shd w:val="clear" w:color="auto" w:fill="auto"/>
            <w:noWrap/>
          </w:tcPr>
          <w:p w14:paraId="218DFEC5"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29.647 </w:t>
            </w:r>
          </w:p>
        </w:tc>
        <w:tc>
          <w:tcPr>
            <w:tcW w:w="1134" w:type="dxa"/>
            <w:shd w:val="clear" w:color="auto" w:fill="auto"/>
            <w:noWrap/>
          </w:tcPr>
          <w:p w14:paraId="5F739A64"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270.066 </w:t>
            </w:r>
          </w:p>
        </w:tc>
      </w:tr>
      <w:tr w:rsidR="00C746F4" w:rsidRPr="005E36B7" w14:paraId="2525968D" w14:textId="77777777" w:rsidTr="006B5A62">
        <w:trPr>
          <w:jc w:val="center"/>
        </w:trPr>
        <w:tc>
          <w:tcPr>
            <w:tcW w:w="850" w:type="dxa"/>
            <w:shd w:val="clear" w:color="auto" w:fill="auto"/>
            <w:noWrap/>
            <w:vAlign w:val="center"/>
            <w:hideMark/>
          </w:tcPr>
          <w:p w14:paraId="46E8659A" w14:textId="77777777" w:rsidR="00C746F4" w:rsidRPr="005E36B7"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SE-N_26</w:t>
            </w:r>
          </w:p>
        </w:tc>
        <w:tc>
          <w:tcPr>
            <w:tcW w:w="4253" w:type="dxa"/>
            <w:shd w:val="clear" w:color="auto" w:fill="auto"/>
            <w:noWrap/>
            <w:vAlign w:val="center"/>
            <w:hideMark/>
          </w:tcPr>
          <w:p w14:paraId="5C8EA8D3" w14:textId="77777777" w:rsidR="00C746F4" w:rsidRPr="005E36B7"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Encuentro</w:t>
            </w:r>
          </w:p>
        </w:tc>
        <w:tc>
          <w:tcPr>
            <w:tcW w:w="1134" w:type="dxa"/>
            <w:shd w:val="clear" w:color="auto" w:fill="auto"/>
            <w:noWrap/>
          </w:tcPr>
          <w:p w14:paraId="67EF855C"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589.244 </w:t>
            </w:r>
          </w:p>
        </w:tc>
        <w:tc>
          <w:tcPr>
            <w:tcW w:w="1134" w:type="dxa"/>
            <w:shd w:val="clear" w:color="auto" w:fill="auto"/>
            <w:noWrap/>
          </w:tcPr>
          <w:p w14:paraId="6ADC0B09"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118.642 </w:t>
            </w:r>
          </w:p>
        </w:tc>
        <w:tc>
          <w:tcPr>
            <w:tcW w:w="1134" w:type="dxa"/>
            <w:shd w:val="clear" w:color="auto" w:fill="auto"/>
            <w:noWrap/>
          </w:tcPr>
          <w:p w14:paraId="16A058B3"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129.008 </w:t>
            </w:r>
          </w:p>
        </w:tc>
        <w:tc>
          <w:tcPr>
            <w:tcW w:w="1134" w:type="dxa"/>
            <w:shd w:val="clear" w:color="auto" w:fill="auto"/>
            <w:noWrap/>
          </w:tcPr>
          <w:p w14:paraId="20778B3E"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836.894 </w:t>
            </w:r>
          </w:p>
        </w:tc>
      </w:tr>
      <w:tr w:rsidR="00C746F4" w:rsidRPr="005E36B7" w14:paraId="737AA50D" w14:textId="77777777" w:rsidTr="006B5A62">
        <w:trPr>
          <w:jc w:val="center"/>
        </w:trPr>
        <w:tc>
          <w:tcPr>
            <w:tcW w:w="850" w:type="dxa"/>
            <w:shd w:val="clear" w:color="auto" w:fill="auto"/>
            <w:noWrap/>
            <w:vAlign w:val="center"/>
            <w:hideMark/>
          </w:tcPr>
          <w:p w14:paraId="2E0D6E93" w14:textId="77777777" w:rsidR="00C746F4" w:rsidRPr="005E36B7"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SE-N_27</w:t>
            </w:r>
          </w:p>
        </w:tc>
        <w:tc>
          <w:tcPr>
            <w:tcW w:w="4253" w:type="dxa"/>
            <w:shd w:val="clear" w:color="auto" w:fill="auto"/>
            <w:noWrap/>
            <w:vAlign w:val="center"/>
            <w:hideMark/>
          </w:tcPr>
          <w:p w14:paraId="5457BE97" w14:textId="77777777" w:rsidR="00C746F4" w:rsidRPr="005E36B7"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Esperanza SING</w:t>
            </w:r>
          </w:p>
        </w:tc>
        <w:tc>
          <w:tcPr>
            <w:tcW w:w="1134" w:type="dxa"/>
            <w:shd w:val="clear" w:color="auto" w:fill="auto"/>
            <w:noWrap/>
          </w:tcPr>
          <w:p w14:paraId="453781BE"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1.447 </w:t>
            </w:r>
          </w:p>
        </w:tc>
        <w:tc>
          <w:tcPr>
            <w:tcW w:w="1134" w:type="dxa"/>
            <w:shd w:val="clear" w:color="auto" w:fill="auto"/>
            <w:noWrap/>
          </w:tcPr>
          <w:p w14:paraId="7D793C86"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290 </w:t>
            </w:r>
          </w:p>
        </w:tc>
        <w:tc>
          <w:tcPr>
            <w:tcW w:w="1134" w:type="dxa"/>
            <w:shd w:val="clear" w:color="auto" w:fill="auto"/>
            <w:noWrap/>
          </w:tcPr>
          <w:p w14:paraId="2F13CD1A"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248 </w:t>
            </w:r>
          </w:p>
        </w:tc>
        <w:tc>
          <w:tcPr>
            <w:tcW w:w="1134" w:type="dxa"/>
            <w:shd w:val="clear" w:color="auto" w:fill="auto"/>
            <w:noWrap/>
          </w:tcPr>
          <w:p w14:paraId="25B031FE"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1.985 </w:t>
            </w:r>
          </w:p>
        </w:tc>
      </w:tr>
      <w:tr w:rsidR="00C746F4" w:rsidRPr="005E36B7" w14:paraId="03A79E3A" w14:textId="77777777" w:rsidTr="006B5A62">
        <w:trPr>
          <w:jc w:val="center"/>
        </w:trPr>
        <w:tc>
          <w:tcPr>
            <w:tcW w:w="850" w:type="dxa"/>
            <w:shd w:val="clear" w:color="auto" w:fill="auto"/>
            <w:noWrap/>
            <w:vAlign w:val="center"/>
            <w:hideMark/>
          </w:tcPr>
          <w:p w14:paraId="431AE460" w14:textId="77777777" w:rsidR="00C746F4" w:rsidRPr="005E36B7"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SE-N_28</w:t>
            </w:r>
          </w:p>
        </w:tc>
        <w:tc>
          <w:tcPr>
            <w:tcW w:w="4253" w:type="dxa"/>
            <w:shd w:val="clear" w:color="auto" w:fill="auto"/>
            <w:noWrap/>
            <w:vAlign w:val="center"/>
            <w:hideMark/>
          </w:tcPr>
          <w:p w14:paraId="79B80C11" w14:textId="77777777" w:rsidR="00C746F4" w:rsidRPr="005E36B7"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Hualpen</w:t>
            </w:r>
          </w:p>
        </w:tc>
        <w:tc>
          <w:tcPr>
            <w:tcW w:w="1134" w:type="dxa"/>
            <w:shd w:val="clear" w:color="auto" w:fill="auto"/>
            <w:noWrap/>
          </w:tcPr>
          <w:p w14:paraId="24B3D62C"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321.534 </w:t>
            </w:r>
          </w:p>
        </w:tc>
        <w:tc>
          <w:tcPr>
            <w:tcW w:w="1134" w:type="dxa"/>
            <w:shd w:val="clear" w:color="auto" w:fill="auto"/>
            <w:noWrap/>
          </w:tcPr>
          <w:p w14:paraId="222C2257"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64.751 </w:t>
            </w:r>
          </w:p>
        </w:tc>
        <w:tc>
          <w:tcPr>
            <w:tcW w:w="1134" w:type="dxa"/>
            <w:shd w:val="clear" w:color="auto" w:fill="auto"/>
            <w:noWrap/>
          </w:tcPr>
          <w:p w14:paraId="122E1A9B"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77.479 </w:t>
            </w:r>
          </w:p>
        </w:tc>
        <w:tc>
          <w:tcPr>
            <w:tcW w:w="1134" w:type="dxa"/>
            <w:shd w:val="clear" w:color="auto" w:fill="auto"/>
            <w:noWrap/>
          </w:tcPr>
          <w:p w14:paraId="0DBF6C3A"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463.764 </w:t>
            </w:r>
          </w:p>
        </w:tc>
      </w:tr>
      <w:tr w:rsidR="00C746F4" w:rsidRPr="005E36B7" w14:paraId="7C559C45" w14:textId="77777777" w:rsidTr="006B5A62">
        <w:trPr>
          <w:jc w:val="center"/>
        </w:trPr>
        <w:tc>
          <w:tcPr>
            <w:tcW w:w="850" w:type="dxa"/>
            <w:shd w:val="clear" w:color="auto" w:fill="auto"/>
            <w:noWrap/>
            <w:vAlign w:val="center"/>
            <w:hideMark/>
          </w:tcPr>
          <w:p w14:paraId="506DD08A" w14:textId="77777777" w:rsidR="00C746F4" w:rsidRPr="005E36B7"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SE-N_29</w:t>
            </w:r>
          </w:p>
        </w:tc>
        <w:tc>
          <w:tcPr>
            <w:tcW w:w="4253" w:type="dxa"/>
            <w:shd w:val="clear" w:color="auto" w:fill="auto"/>
            <w:noWrap/>
            <w:vAlign w:val="center"/>
            <w:hideMark/>
          </w:tcPr>
          <w:p w14:paraId="1FE62430" w14:textId="77777777" w:rsidR="00C746F4" w:rsidRPr="005E36B7"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Itahue</w:t>
            </w:r>
          </w:p>
        </w:tc>
        <w:tc>
          <w:tcPr>
            <w:tcW w:w="1134" w:type="dxa"/>
            <w:shd w:val="clear" w:color="auto" w:fill="auto"/>
            <w:noWrap/>
          </w:tcPr>
          <w:p w14:paraId="5B07080C"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655.143 </w:t>
            </w:r>
          </w:p>
        </w:tc>
        <w:tc>
          <w:tcPr>
            <w:tcW w:w="1134" w:type="dxa"/>
            <w:shd w:val="clear" w:color="auto" w:fill="auto"/>
            <w:noWrap/>
          </w:tcPr>
          <w:p w14:paraId="37CCA08F"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131.852 </w:t>
            </w:r>
          </w:p>
        </w:tc>
        <w:tc>
          <w:tcPr>
            <w:tcW w:w="1134" w:type="dxa"/>
            <w:shd w:val="clear" w:color="auto" w:fill="auto"/>
            <w:noWrap/>
          </w:tcPr>
          <w:p w14:paraId="40384C84"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104.198 </w:t>
            </w:r>
          </w:p>
        </w:tc>
        <w:tc>
          <w:tcPr>
            <w:tcW w:w="1134" w:type="dxa"/>
            <w:shd w:val="clear" w:color="auto" w:fill="auto"/>
            <w:noWrap/>
          </w:tcPr>
          <w:p w14:paraId="4ADC3121"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891.193 </w:t>
            </w:r>
          </w:p>
        </w:tc>
      </w:tr>
      <w:tr w:rsidR="00C746F4" w:rsidRPr="005E36B7" w14:paraId="58910CA1" w14:textId="77777777" w:rsidTr="006B5A62">
        <w:trPr>
          <w:jc w:val="center"/>
        </w:trPr>
        <w:tc>
          <w:tcPr>
            <w:tcW w:w="850" w:type="dxa"/>
            <w:shd w:val="clear" w:color="auto" w:fill="auto"/>
            <w:noWrap/>
            <w:vAlign w:val="center"/>
            <w:hideMark/>
          </w:tcPr>
          <w:p w14:paraId="7B5908BC" w14:textId="77777777" w:rsidR="00C746F4" w:rsidRPr="005E36B7"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SE-N_30</w:t>
            </w:r>
          </w:p>
        </w:tc>
        <w:tc>
          <w:tcPr>
            <w:tcW w:w="4253" w:type="dxa"/>
            <w:shd w:val="clear" w:color="auto" w:fill="auto"/>
            <w:noWrap/>
            <w:vAlign w:val="center"/>
            <w:hideMark/>
          </w:tcPr>
          <w:p w14:paraId="21B1164D" w14:textId="77777777" w:rsidR="00C746F4" w:rsidRPr="005E36B7"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Kapatur</w:t>
            </w:r>
          </w:p>
        </w:tc>
        <w:tc>
          <w:tcPr>
            <w:tcW w:w="1134" w:type="dxa"/>
            <w:shd w:val="clear" w:color="auto" w:fill="auto"/>
            <w:noWrap/>
          </w:tcPr>
          <w:p w14:paraId="21B14125"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342.098 </w:t>
            </w:r>
          </w:p>
        </w:tc>
        <w:tc>
          <w:tcPr>
            <w:tcW w:w="1134" w:type="dxa"/>
            <w:shd w:val="clear" w:color="auto" w:fill="auto"/>
            <w:noWrap/>
          </w:tcPr>
          <w:p w14:paraId="281CF29F"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68.626 </w:t>
            </w:r>
          </w:p>
        </w:tc>
        <w:tc>
          <w:tcPr>
            <w:tcW w:w="1134" w:type="dxa"/>
            <w:shd w:val="clear" w:color="auto" w:fill="auto"/>
            <w:noWrap/>
          </w:tcPr>
          <w:p w14:paraId="799490DB"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40.907 </w:t>
            </w:r>
          </w:p>
        </w:tc>
        <w:tc>
          <w:tcPr>
            <w:tcW w:w="1134" w:type="dxa"/>
            <w:shd w:val="clear" w:color="auto" w:fill="auto"/>
            <w:noWrap/>
          </w:tcPr>
          <w:p w14:paraId="53860C41"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451.631 </w:t>
            </w:r>
          </w:p>
        </w:tc>
      </w:tr>
      <w:tr w:rsidR="00C746F4" w:rsidRPr="005E36B7" w14:paraId="2B87E816" w14:textId="77777777" w:rsidTr="006B5A62">
        <w:trPr>
          <w:jc w:val="center"/>
        </w:trPr>
        <w:tc>
          <w:tcPr>
            <w:tcW w:w="850" w:type="dxa"/>
            <w:shd w:val="clear" w:color="auto" w:fill="auto"/>
            <w:noWrap/>
            <w:vAlign w:val="center"/>
            <w:hideMark/>
          </w:tcPr>
          <w:p w14:paraId="4F9E4F5C" w14:textId="77777777" w:rsidR="00C746F4" w:rsidRPr="005E36B7"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SE-N_31</w:t>
            </w:r>
          </w:p>
        </w:tc>
        <w:tc>
          <w:tcPr>
            <w:tcW w:w="4253" w:type="dxa"/>
            <w:shd w:val="clear" w:color="auto" w:fill="auto"/>
            <w:noWrap/>
            <w:vAlign w:val="center"/>
            <w:hideMark/>
          </w:tcPr>
          <w:p w14:paraId="07575238" w14:textId="77777777" w:rsidR="00C746F4" w:rsidRPr="005E36B7"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La Cebada</w:t>
            </w:r>
          </w:p>
        </w:tc>
        <w:tc>
          <w:tcPr>
            <w:tcW w:w="1134" w:type="dxa"/>
            <w:shd w:val="clear" w:color="auto" w:fill="auto"/>
            <w:noWrap/>
          </w:tcPr>
          <w:p w14:paraId="3BF9E0FF"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15.831 </w:t>
            </w:r>
          </w:p>
        </w:tc>
        <w:tc>
          <w:tcPr>
            <w:tcW w:w="1134" w:type="dxa"/>
            <w:shd w:val="clear" w:color="auto" w:fill="auto"/>
            <w:noWrap/>
          </w:tcPr>
          <w:p w14:paraId="7C396861"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3.188 </w:t>
            </w:r>
          </w:p>
        </w:tc>
        <w:tc>
          <w:tcPr>
            <w:tcW w:w="1134" w:type="dxa"/>
            <w:shd w:val="clear" w:color="auto" w:fill="auto"/>
            <w:noWrap/>
          </w:tcPr>
          <w:p w14:paraId="416657F6"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2.202 </w:t>
            </w:r>
          </w:p>
        </w:tc>
        <w:tc>
          <w:tcPr>
            <w:tcW w:w="1134" w:type="dxa"/>
            <w:shd w:val="clear" w:color="auto" w:fill="auto"/>
            <w:noWrap/>
          </w:tcPr>
          <w:p w14:paraId="0E49427A"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21.221 </w:t>
            </w:r>
          </w:p>
        </w:tc>
      </w:tr>
      <w:tr w:rsidR="00C746F4" w:rsidRPr="005E36B7" w14:paraId="4E08FE6A" w14:textId="77777777" w:rsidTr="006B5A62">
        <w:trPr>
          <w:jc w:val="center"/>
        </w:trPr>
        <w:tc>
          <w:tcPr>
            <w:tcW w:w="850" w:type="dxa"/>
            <w:shd w:val="clear" w:color="auto" w:fill="auto"/>
            <w:noWrap/>
            <w:vAlign w:val="center"/>
            <w:hideMark/>
          </w:tcPr>
          <w:p w14:paraId="17DF5C73" w14:textId="77777777" w:rsidR="00C746F4" w:rsidRPr="005E36B7"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SE-N_32</w:t>
            </w:r>
          </w:p>
        </w:tc>
        <w:tc>
          <w:tcPr>
            <w:tcW w:w="4253" w:type="dxa"/>
            <w:shd w:val="clear" w:color="auto" w:fill="auto"/>
            <w:noWrap/>
            <w:vAlign w:val="center"/>
            <w:hideMark/>
          </w:tcPr>
          <w:p w14:paraId="6EEA740D" w14:textId="77777777" w:rsidR="00C746F4" w:rsidRPr="005E36B7"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Laberinto</w:t>
            </w:r>
          </w:p>
        </w:tc>
        <w:tc>
          <w:tcPr>
            <w:tcW w:w="1134" w:type="dxa"/>
            <w:shd w:val="clear" w:color="auto" w:fill="auto"/>
            <w:noWrap/>
          </w:tcPr>
          <w:p w14:paraId="3373137B"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42.574 </w:t>
            </w:r>
          </w:p>
        </w:tc>
        <w:tc>
          <w:tcPr>
            <w:tcW w:w="1134" w:type="dxa"/>
            <w:shd w:val="clear" w:color="auto" w:fill="auto"/>
            <w:noWrap/>
          </w:tcPr>
          <w:p w14:paraId="60BF19CB"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8.558 </w:t>
            </w:r>
          </w:p>
        </w:tc>
        <w:tc>
          <w:tcPr>
            <w:tcW w:w="1134" w:type="dxa"/>
            <w:shd w:val="clear" w:color="auto" w:fill="auto"/>
            <w:noWrap/>
          </w:tcPr>
          <w:p w14:paraId="1E4D5EDC"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5.821 </w:t>
            </w:r>
          </w:p>
        </w:tc>
        <w:tc>
          <w:tcPr>
            <w:tcW w:w="1134" w:type="dxa"/>
            <w:shd w:val="clear" w:color="auto" w:fill="auto"/>
            <w:noWrap/>
          </w:tcPr>
          <w:p w14:paraId="193CD6CC"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56.954 </w:t>
            </w:r>
          </w:p>
        </w:tc>
      </w:tr>
      <w:tr w:rsidR="00C746F4" w:rsidRPr="005E36B7" w14:paraId="20B42E51" w14:textId="77777777" w:rsidTr="006B5A62">
        <w:trPr>
          <w:jc w:val="center"/>
        </w:trPr>
        <w:tc>
          <w:tcPr>
            <w:tcW w:w="850" w:type="dxa"/>
            <w:shd w:val="clear" w:color="auto" w:fill="auto"/>
            <w:noWrap/>
            <w:vAlign w:val="center"/>
            <w:hideMark/>
          </w:tcPr>
          <w:p w14:paraId="4A150C16" w14:textId="77777777" w:rsidR="00C746F4" w:rsidRPr="005E36B7"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SE-N_33</w:t>
            </w:r>
          </w:p>
        </w:tc>
        <w:tc>
          <w:tcPr>
            <w:tcW w:w="4253" w:type="dxa"/>
            <w:shd w:val="clear" w:color="auto" w:fill="auto"/>
            <w:noWrap/>
            <w:vAlign w:val="center"/>
            <w:hideMark/>
          </w:tcPr>
          <w:p w14:paraId="247D9132" w14:textId="77777777" w:rsidR="00C746F4" w:rsidRPr="005E36B7"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Lagunas</w:t>
            </w:r>
          </w:p>
        </w:tc>
        <w:tc>
          <w:tcPr>
            <w:tcW w:w="1134" w:type="dxa"/>
            <w:shd w:val="clear" w:color="auto" w:fill="auto"/>
            <w:noWrap/>
          </w:tcPr>
          <w:p w14:paraId="0037DF8B"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535.895 </w:t>
            </w:r>
          </w:p>
        </w:tc>
        <w:tc>
          <w:tcPr>
            <w:tcW w:w="1134" w:type="dxa"/>
            <w:shd w:val="clear" w:color="auto" w:fill="auto"/>
            <w:noWrap/>
          </w:tcPr>
          <w:p w14:paraId="7A8789B2"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108.027 </w:t>
            </w:r>
          </w:p>
        </w:tc>
        <w:tc>
          <w:tcPr>
            <w:tcW w:w="1134" w:type="dxa"/>
            <w:shd w:val="clear" w:color="auto" w:fill="auto"/>
            <w:noWrap/>
          </w:tcPr>
          <w:p w14:paraId="3CBA6654"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76.323 </w:t>
            </w:r>
          </w:p>
        </w:tc>
        <w:tc>
          <w:tcPr>
            <w:tcW w:w="1134" w:type="dxa"/>
            <w:shd w:val="clear" w:color="auto" w:fill="auto"/>
            <w:noWrap/>
          </w:tcPr>
          <w:p w14:paraId="55F4858C"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720.246 </w:t>
            </w:r>
          </w:p>
        </w:tc>
      </w:tr>
      <w:tr w:rsidR="00C746F4" w:rsidRPr="005E36B7" w14:paraId="5CE4303F" w14:textId="77777777" w:rsidTr="006B5A62">
        <w:trPr>
          <w:jc w:val="center"/>
        </w:trPr>
        <w:tc>
          <w:tcPr>
            <w:tcW w:w="850" w:type="dxa"/>
            <w:shd w:val="clear" w:color="auto" w:fill="auto"/>
            <w:noWrap/>
            <w:vAlign w:val="center"/>
            <w:hideMark/>
          </w:tcPr>
          <w:p w14:paraId="3B61A6D4" w14:textId="77777777" w:rsidR="00C746F4" w:rsidRPr="005E36B7"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SE-N_34</w:t>
            </w:r>
          </w:p>
        </w:tc>
        <w:tc>
          <w:tcPr>
            <w:tcW w:w="4253" w:type="dxa"/>
            <w:shd w:val="clear" w:color="auto" w:fill="auto"/>
            <w:noWrap/>
            <w:vAlign w:val="center"/>
            <w:hideMark/>
          </w:tcPr>
          <w:p w14:paraId="2C49DED8" w14:textId="77777777" w:rsidR="00C746F4" w:rsidRPr="005E36B7"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Lagunillas</w:t>
            </w:r>
          </w:p>
        </w:tc>
        <w:tc>
          <w:tcPr>
            <w:tcW w:w="1134" w:type="dxa"/>
            <w:shd w:val="clear" w:color="auto" w:fill="auto"/>
            <w:noWrap/>
          </w:tcPr>
          <w:p w14:paraId="28F6D76B"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425.858 </w:t>
            </w:r>
          </w:p>
        </w:tc>
        <w:tc>
          <w:tcPr>
            <w:tcW w:w="1134" w:type="dxa"/>
            <w:shd w:val="clear" w:color="auto" w:fill="auto"/>
            <w:noWrap/>
          </w:tcPr>
          <w:p w14:paraId="20B2DA45"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85.753 </w:t>
            </w:r>
          </w:p>
        </w:tc>
        <w:tc>
          <w:tcPr>
            <w:tcW w:w="1134" w:type="dxa"/>
            <w:shd w:val="clear" w:color="auto" w:fill="auto"/>
            <w:noWrap/>
          </w:tcPr>
          <w:p w14:paraId="086C5DF7"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85.834 </w:t>
            </w:r>
          </w:p>
        </w:tc>
        <w:tc>
          <w:tcPr>
            <w:tcW w:w="1134" w:type="dxa"/>
            <w:shd w:val="clear" w:color="auto" w:fill="auto"/>
            <w:noWrap/>
          </w:tcPr>
          <w:p w14:paraId="405D787D"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597.445 </w:t>
            </w:r>
          </w:p>
        </w:tc>
      </w:tr>
      <w:tr w:rsidR="00C746F4" w:rsidRPr="005E36B7" w14:paraId="7D11A894" w14:textId="77777777" w:rsidTr="006B5A62">
        <w:trPr>
          <w:jc w:val="center"/>
        </w:trPr>
        <w:tc>
          <w:tcPr>
            <w:tcW w:w="850" w:type="dxa"/>
            <w:shd w:val="clear" w:color="auto" w:fill="auto"/>
            <w:noWrap/>
            <w:vAlign w:val="center"/>
            <w:hideMark/>
          </w:tcPr>
          <w:p w14:paraId="391BBCC0" w14:textId="77777777" w:rsidR="00C746F4" w:rsidRPr="005E36B7"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SE-N_35</w:t>
            </w:r>
          </w:p>
        </w:tc>
        <w:tc>
          <w:tcPr>
            <w:tcW w:w="4253" w:type="dxa"/>
            <w:shd w:val="clear" w:color="auto" w:fill="auto"/>
            <w:noWrap/>
            <w:vAlign w:val="center"/>
            <w:hideMark/>
          </w:tcPr>
          <w:p w14:paraId="7824DFBF" w14:textId="77777777" w:rsidR="00C746F4" w:rsidRPr="005E36B7"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Las Palmas</w:t>
            </w:r>
          </w:p>
        </w:tc>
        <w:tc>
          <w:tcPr>
            <w:tcW w:w="1134" w:type="dxa"/>
            <w:shd w:val="clear" w:color="auto" w:fill="auto"/>
            <w:noWrap/>
          </w:tcPr>
          <w:p w14:paraId="39A8A5F6"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211.438 </w:t>
            </w:r>
          </w:p>
        </w:tc>
        <w:tc>
          <w:tcPr>
            <w:tcW w:w="1134" w:type="dxa"/>
            <w:shd w:val="clear" w:color="auto" w:fill="auto"/>
            <w:noWrap/>
          </w:tcPr>
          <w:p w14:paraId="15F3A6B6"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42.576 </w:t>
            </w:r>
          </w:p>
        </w:tc>
        <w:tc>
          <w:tcPr>
            <w:tcW w:w="1134" w:type="dxa"/>
            <w:shd w:val="clear" w:color="auto" w:fill="auto"/>
            <w:noWrap/>
          </w:tcPr>
          <w:p w14:paraId="3F4F4D83"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29.424 </w:t>
            </w:r>
          </w:p>
        </w:tc>
        <w:tc>
          <w:tcPr>
            <w:tcW w:w="1134" w:type="dxa"/>
            <w:shd w:val="clear" w:color="auto" w:fill="auto"/>
            <w:noWrap/>
          </w:tcPr>
          <w:p w14:paraId="605D79AC"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283.438 </w:t>
            </w:r>
          </w:p>
        </w:tc>
      </w:tr>
      <w:tr w:rsidR="00C746F4" w:rsidRPr="005E36B7" w14:paraId="2118F4BF" w14:textId="77777777" w:rsidTr="006B5A62">
        <w:trPr>
          <w:jc w:val="center"/>
        </w:trPr>
        <w:tc>
          <w:tcPr>
            <w:tcW w:w="850" w:type="dxa"/>
            <w:shd w:val="clear" w:color="auto" w:fill="auto"/>
            <w:noWrap/>
            <w:vAlign w:val="center"/>
            <w:hideMark/>
          </w:tcPr>
          <w:p w14:paraId="297D2197" w14:textId="77777777" w:rsidR="00C746F4" w:rsidRPr="005E36B7"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SE-N_36</w:t>
            </w:r>
          </w:p>
        </w:tc>
        <w:tc>
          <w:tcPr>
            <w:tcW w:w="4253" w:type="dxa"/>
            <w:shd w:val="clear" w:color="auto" w:fill="auto"/>
            <w:noWrap/>
            <w:vAlign w:val="center"/>
            <w:hideMark/>
          </w:tcPr>
          <w:p w14:paraId="407E6004" w14:textId="77777777" w:rsidR="00C746F4" w:rsidRPr="005E36B7"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Lo Aguirre</w:t>
            </w:r>
          </w:p>
        </w:tc>
        <w:tc>
          <w:tcPr>
            <w:tcW w:w="1134" w:type="dxa"/>
            <w:shd w:val="clear" w:color="auto" w:fill="auto"/>
            <w:noWrap/>
          </w:tcPr>
          <w:p w14:paraId="4B366234"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 </w:t>
            </w:r>
          </w:p>
        </w:tc>
        <w:tc>
          <w:tcPr>
            <w:tcW w:w="1134" w:type="dxa"/>
            <w:shd w:val="clear" w:color="auto" w:fill="auto"/>
            <w:noWrap/>
          </w:tcPr>
          <w:p w14:paraId="00623C30"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 </w:t>
            </w:r>
          </w:p>
        </w:tc>
        <w:tc>
          <w:tcPr>
            <w:tcW w:w="1134" w:type="dxa"/>
            <w:shd w:val="clear" w:color="auto" w:fill="auto"/>
            <w:noWrap/>
          </w:tcPr>
          <w:p w14:paraId="53ABA200"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 </w:t>
            </w:r>
          </w:p>
        </w:tc>
        <w:tc>
          <w:tcPr>
            <w:tcW w:w="1134" w:type="dxa"/>
            <w:shd w:val="clear" w:color="auto" w:fill="auto"/>
            <w:noWrap/>
          </w:tcPr>
          <w:p w14:paraId="7A72CC6A"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 </w:t>
            </w:r>
          </w:p>
        </w:tc>
      </w:tr>
      <w:tr w:rsidR="00C746F4" w:rsidRPr="005E36B7" w14:paraId="49726590" w14:textId="77777777" w:rsidTr="006B5A62">
        <w:trPr>
          <w:jc w:val="center"/>
        </w:trPr>
        <w:tc>
          <w:tcPr>
            <w:tcW w:w="850" w:type="dxa"/>
            <w:shd w:val="clear" w:color="auto" w:fill="auto"/>
            <w:noWrap/>
            <w:vAlign w:val="center"/>
            <w:hideMark/>
          </w:tcPr>
          <w:p w14:paraId="55720EFD" w14:textId="77777777" w:rsidR="00C746F4" w:rsidRPr="005E36B7"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SE-N_37</w:t>
            </w:r>
          </w:p>
        </w:tc>
        <w:tc>
          <w:tcPr>
            <w:tcW w:w="4253" w:type="dxa"/>
            <w:shd w:val="clear" w:color="auto" w:fill="auto"/>
            <w:noWrap/>
            <w:vAlign w:val="center"/>
            <w:hideMark/>
          </w:tcPr>
          <w:p w14:paraId="13B5E451" w14:textId="77777777" w:rsidR="00C746F4" w:rsidRPr="005E36B7"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Los Changos</w:t>
            </w:r>
          </w:p>
        </w:tc>
        <w:tc>
          <w:tcPr>
            <w:tcW w:w="1134" w:type="dxa"/>
            <w:shd w:val="clear" w:color="auto" w:fill="auto"/>
            <w:noWrap/>
          </w:tcPr>
          <w:p w14:paraId="4404BA30"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1.249.917 </w:t>
            </w:r>
          </w:p>
        </w:tc>
        <w:tc>
          <w:tcPr>
            <w:tcW w:w="1134" w:type="dxa"/>
            <w:shd w:val="clear" w:color="auto" w:fill="auto"/>
            <w:noWrap/>
          </w:tcPr>
          <w:p w14:paraId="04679736"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250.721 </w:t>
            </w:r>
          </w:p>
        </w:tc>
        <w:tc>
          <w:tcPr>
            <w:tcW w:w="1134" w:type="dxa"/>
            <w:shd w:val="clear" w:color="auto" w:fill="auto"/>
            <w:noWrap/>
          </w:tcPr>
          <w:p w14:paraId="1520A8F1"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184.098 </w:t>
            </w:r>
          </w:p>
        </w:tc>
        <w:tc>
          <w:tcPr>
            <w:tcW w:w="1134" w:type="dxa"/>
            <w:shd w:val="clear" w:color="auto" w:fill="auto"/>
            <w:noWrap/>
          </w:tcPr>
          <w:p w14:paraId="20FDF37A"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1.684.736 </w:t>
            </w:r>
          </w:p>
        </w:tc>
      </w:tr>
      <w:tr w:rsidR="00C746F4" w:rsidRPr="005E36B7" w14:paraId="41560876" w14:textId="77777777" w:rsidTr="006B5A62">
        <w:trPr>
          <w:jc w:val="center"/>
        </w:trPr>
        <w:tc>
          <w:tcPr>
            <w:tcW w:w="850" w:type="dxa"/>
            <w:shd w:val="clear" w:color="auto" w:fill="auto"/>
            <w:noWrap/>
            <w:vAlign w:val="center"/>
            <w:hideMark/>
          </w:tcPr>
          <w:p w14:paraId="44AF21C6" w14:textId="77777777" w:rsidR="00C746F4" w:rsidRPr="005E36B7"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SE-N_38</w:t>
            </w:r>
          </w:p>
        </w:tc>
        <w:tc>
          <w:tcPr>
            <w:tcW w:w="4253" w:type="dxa"/>
            <w:shd w:val="clear" w:color="auto" w:fill="auto"/>
            <w:noWrap/>
            <w:vAlign w:val="center"/>
            <w:hideMark/>
          </w:tcPr>
          <w:p w14:paraId="0DAF8851" w14:textId="77777777" w:rsidR="00C746F4" w:rsidRPr="005E36B7"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Los Maquis</w:t>
            </w:r>
          </w:p>
        </w:tc>
        <w:tc>
          <w:tcPr>
            <w:tcW w:w="1134" w:type="dxa"/>
            <w:shd w:val="clear" w:color="auto" w:fill="auto"/>
            <w:noWrap/>
          </w:tcPr>
          <w:p w14:paraId="220D47AC"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124.698 </w:t>
            </w:r>
          </w:p>
        </w:tc>
        <w:tc>
          <w:tcPr>
            <w:tcW w:w="1134" w:type="dxa"/>
            <w:shd w:val="clear" w:color="auto" w:fill="auto"/>
            <w:noWrap/>
          </w:tcPr>
          <w:p w14:paraId="72834675"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25.110 </w:t>
            </w:r>
          </w:p>
        </w:tc>
        <w:tc>
          <w:tcPr>
            <w:tcW w:w="1134" w:type="dxa"/>
            <w:shd w:val="clear" w:color="auto" w:fill="auto"/>
            <w:noWrap/>
          </w:tcPr>
          <w:p w14:paraId="3132E074"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18.113 </w:t>
            </w:r>
          </w:p>
        </w:tc>
        <w:tc>
          <w:tcPr>
            <w:tcW w:w="1134" w:type="dxa"/>
            <w:shd w:val="clear" w:color="auto" w:fill="auto"/>
            <w:noWrap/>
          </w:tcPr>
          <w:p w14:paraId="07D995D7"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167.921 </w:t>
            </w:r>
          </w:p>
        </w:tc>
      </w:tr>
      <w:tr w:rsidR="00C746F4" w:rsidRPr="005E36B7" w14:paraId="4B05E9BA" w14:textId="77777777" w:rsidTr="006B5A62">
        <w:trPr>
          <w:jc w:val="center"/>
        </w:trPr>
        <w:tc>
          <w:tcPr>
            <w:tcW w:w="850" w:type="dxa"/>
            <w:shd w:val="clear" w:color="auto" w:fill="auto"/>
            <w:noWrap/>
            <w:vAlign w:val="center"/>
            <w:hideMark/>
          </w:tcPr>
          <w:p w14:paraId="1C8F68EB" w14:textId="77777777" w:rsidR="00C746F4" w:rsidRPr="005E36B7"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SE-N_39</w:t>
            </w:r>
          </w:p>
        </w:tc>
        <w:tc>
          <w:tcPr>
            <w:tcW w:w="4253" w:type="dxa"/>
            <w:shd w:val="clear" w:color="auto" w:fill="auto"/>
            <w:noWrap/>
            <w:vAlign w:val="center"/>
            <w:hideMark/>
          </w:tcPr>
          <w:p w14:paraId="44B8AEE0" w14:textId="77777777" w:rsidR="00C746F4" w:rsidRPr="005E36B7"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Los Peumos</w:t>
            </w:r>
          </w:p>
        </w:tc>
        <w:tc>
          <w:tcPr>
            <w:tcW w:w="1134" w:type="dxa"/>
            <w:shd w:val="clear" w:color="auto" w:fill="auto"/>
            <w:noWrap/>
          </w:tcPr>
          <w:p w14:paraId="7C19A75B"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274.703 </w:t>
            </w:r>
          </w:p>
        </w:tc>
        <w:tc>
          <w:tcPr>
            <w:tcW w:w="1134" w:type="dxa"/>
            <w:shd w:val="clear" w:color="auto" w:fill="auto"/>
            <w:noWrap/>
          </w:tcPr>
          <w:p w14:paraId="7F36420B"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55.098 </w:t>
            </w:r>
          </w:p>
        </w:tc>
        <w:tc>
          <w:tcPr>
            <w:tcW w:w="1134" w:type="dxa"/>
            <w:shd w:val="clear" w:color="auto" w:fill="auto"/>
            <w:noWrap/>
          </w:tcPr>
          <w:p w14:paraId="5F90A717"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39.008 </w:t>
            </w:r>
          </w:p>
        </w:tc>
        <w:tc>
          <w:tcPr>
            <w:tcW w:w="1134" w:type="dxa"/>
            <w:shd w:val="clear" w:color="auto" w:fill="auto"/>
            <w:noWrap/>
          </w:tcPr>
          <w:p w14:paraId="4B670A60"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368.809 </w:t>
            </w:r>
          </w:p>
        </w:tc>
      </w:tr>
      <w:tr w:rsidR="00C746F4" w:rsidRPr="005E36B7" w14:paraId="15A6371E" w14:textId="77777777" w:rsidTr="006B5A62">
        <w:trPr>
          <w:jc w:val="center"/>
        </w:trPr>
        <w:tc>
          <w:tcPr>
            <w:tcW w:w="850" w:type="dxa"/>
            <w:shd w:val="clear" w:color="auto" w:fill="auto"/>
            <w:noWrap/>
            <w:vAlign w:val="center"/>
            <w:hideMark/>
          </w:tcPr>
          <w:p w14:paraId="3CE47124" w14:textId="77777777" w:rsidR="00C746F4" w:rsidRPr="005E36B7"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SE-N_40</w:t>
            </w:r>
          </w:p>
        </w:tc>
        <w:tc>
          <w:tcPr>
            <w:tcW w:w="4253" w:type="dxa"/>
            <w:shd w:val="clear" w:color="auto" w:fill="auto"/>
            <w:noWrap/>
            <w:vAlign w:val="center"/>
            <w:hideMark/>
          </w:tcPr>
          <w:p w14:paraId="22D5537D" w14:textId="77777777" w:rsidR="00C746F4" w:rsidRPr="005E36B7"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Los Vilos</w:t>
            </w:r>
          </w:p>
        </w:tc>
        <w:tc>
          <w:tcPr>
            <w:tcW w:w="1134" w:type="dxa"/>
            <w:shd w:val="clear" w:color="auto" w:fill="auto"/>
            <w:noWrap/>
          </w:tcPr>
          <w:p w14:paraId="6CF09AFB"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191.007 </w:t>
            </w:r>
          </w:p>
        </w:tc>
        <w:tc>
          <w:tcPr>
            <w:tcW w:w="1134" w:type="dxa"/>
            <w:shd w:val="clear" w:color="auto" w:fill="auto"/>
            <w:noWrap/>
          </w:tcPr>
          <w:p w14:paraId="65766E57"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38.461 </w:t>
            </w:r>
          </w:p>
        </w:tc>
        <w:tc>
          <w:tcPr>
            <w:tcW w:w="1134" w:type="dxa"/>
            <w:shd w:val="clear" w:color="auto" w:fill="auto"/>
            <w:noWrap/>
          </w:tcPr>
          <w:p w14:paraId="0B73F3AC"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29.170 </w:t>
            </w:r>
          </w:p>
        </w:tc>
        <w:tc>
          <w:tcPr>
            <w:tcW w:w="1134" w:type="dxa"/>
            <w:shd w:val="clear" w:color="auto" w:fill="auto"/>
            <w:noWrap/>
          </w:tcPr>
          <w:p w14:paraId="7A57CED2"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258.638 </w:t>
            </w:r>
          </w:p>
        </w:tc>
      </w:tr>
      <w:tr w:rsidR="00C746F4" w:rsidRPr="005E36B7" w14:paraId="5FC77FE3" w14:textId="77777777" w:rsidTr="006B5A62">
        <w:trPr>
          <w:jc w:val="center"/>
        </w:trPr>
        <w:tc>
          <w:tcPr>
            <w:tcW w:w="850" w:type="dxa"/>
            <w:shd w:val="clear" w:color="auto" w:fill="auto"/>
            <w:noWrap/>
            <w:vAlign w:val="center"/>
            <w:hideMark/>
          </w:tcPr>
          <w:p w14:paraId="249D31DF" w14:textId="77777777" w:rsidR="00C746F4" w:rsidRPr="005E36B7"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SE-N_41</w:t>
            </w:r>
          </w:p>
        </w:tc>
        <w:tc>
          <w:tcPr>
            <w:tcW w:w="4253" w:type="dxa"/>
            <w:shd w:val="clear" w:color="auto" w:fill="auto"/>
            <w:noWrap/>
            <w:vAlign w:val="center"/>
            <w:hideMark/>
          </w:tcPr>
          <w:p w14:paraId="3D8F05CA" w14:textId="77777777" w:rsidR="00C746F4" w:rsidRPr="005E36B7"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Maipo</w:t>
            </w:r>
          </w:p>
        </w:tc>
        <w:tc>
          <w:tcPr>
            <w:tcW w:w="1134" w:type="dxa"/>
            <w:shd w:val="clear" w:color="auto" w:fill="auto"/>
            <w:noWrap/>
          </w:tcPr>
          <w:p w14:paraId="32DDDEB1"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763.896 </w:t>
            </w:r>
          </w:p>
        </w:tc>
        <w:tc>
          <w:tcPr>
            <w:tcW w:w="1134" w:type="dxa"/>
            <w:shd w:val="clear" w:color="auto" w:fill="auto"/>
            <w:noWrap/>
          </w:tcPr>
          <w:p w14:paraId="04B4EAA5"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153.822 </w:t>
            </w:r>
          </w:p>
        </w:tc>
        <w:tc>
          <w:tcPr>
            <w:tcW w:w="1134" w:type="dxa"/>
            <w:shd w:val="clear" w:color="auto" w:fill="auto"/>
            <w:noWrap/>
          </w:tcPr>
          <w:p w14:paraId="2B9A7437"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111.373 </w:t>
            </w:r>
          </w:p>
        </w:tc>
        <w:tc>
          <w:tcPr>
            <w:tcW w:w="1134" w:type="dxa"/>
            <w:shd w:val="clear" w:color="auto" w:fill="auto"/>
            <w:noWrap/>
          </w:tcPr>
          <w:p w14:paraId="5F692544"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1.029.091 </w:t>
            </w:r>
          </w:p>
        </w:tc>
      </w:tr>
      <w:tr w:rsidR="00C746F4" w:rsidRPr="005E36B7" w14:paraId="4E7A6259" w14:textId="77777777" w:rsidTr="006B5A62">
        <w:trPr>
          <w:jc w:val="center"/>
        </w:trPr>
        <w:tc>
          <w:tcPr>
            <w:tcW w:w="850" w:type="dxa"/>
            <w:shd w:val="clear" w:color="auto" w:fill="auto"/>
            <w:noWrap/>
            <w:vAlign w:val="center"/>
            <w:hideMark/>
          </w:tcPr>
          <w:p w14:paraId="03820DAC" w14:textId="77777777" w:rsidR="00C746F4" w:rsidRPr="005E36B7"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SE-N_42</w:t>
            </w:r>
          </w:p>
        </w:tc>
        <w:tc>
          <w:tcPr>
            <w:tcW w:w="4253" w:type="dxa"/>
            <w:shd w:val="clear" w:color="auto" w:fill="auto"/>
            <w:noWrap/>
            <w:vAlign w:val="center"/>
            <w:hideMark/>
          </w:tcPr>
          <w:p w14:paraId="2F5329AC" w14:textId="77777777" w:rsidR="00C746F4" w:rsidRPr="005E36B7"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Maitencillo</w:t>
            </w:r>
          </w:p>
        </w:tc>
        <w:tc>
          <w:tcPr>
            <w:tcW w:w="1134" w:type="dxa"/>
            <w:shd w:val="clear" w:color="auto" w:fill="auto"/>
            <w:noWrap/>
          </w:tcPr>
          <w:p w14:paraId="24726914"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1.204.593 </w:t>
            </w:r>
          </w:p>
        </w:tc>
        <w:tc>
          <w:tcPr>
            <w:tcW w:w="1134" w:type="dxa"/>
            <w:shd w:val="clear" w:color="auto" w:fill="auto"/>
            <w:noWrap/>
          </w:tcPr>
          <w:p w14:paraId="5435E394"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242.537 </w:t>
            </w:r>
          </w:p>
        </w:tc>
        <w:tc>
          <w:tcPr>
            <w:tcW w:w="1134" w:type="dxa"/>
            <w:shd w:val="clear" w:color="auto" w:fill="auto"/>
            <w:noWrap/>
          </w:tcPr>
          <w:p w14:paraId="32689143"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149.915 </w:t>
            </w:r>
          </w:p>
        </w:tc>
        <w:tc>
          <w:tcPr>
            <w:tcW w:w="1134" w:type="dxa"/>
            <w:shd w:val="clear" w:color="auto" w:fill="auto"/>
            <w:noWrap/>
          </w:tcPr>
          <w:p w14:paraId="709991C7"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1.597.044 </w:t>
            </w:r>
          </w:p>
        </w:tc>
      </w:tr>
      <w:tr w:rsidR="00C746F4" w:rsidRPr="005E36B7" w14:paraId="224F6C68" w14:textId="77777777" w:rsidTr="006B5A62">
        <w:trPr>
          <w:jc w:val="center"/>
        </w:trPr>
        <w:tc>
          <w:tcPr>
            <w:tcW w:w="850" w:type="dxa"/>
            <w:shd w:val="clear" w:color="auto" w:fill="auto"/>
            <w:noWrap/>
            <w:vAlign w:val="center"/>
            <w:hideMark/>
          </w:tcPr>
          <w:p w14:paraId="481BCF1E" w14:textId="77777777" w:rsidR="00C746F4" w:rsidRPr="005E36B7"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SE-N_43</w:t>
            </w:r>
          </w:p>
        </w:tc>
        <w:tc>
          <w:tcPr>
            <w:tcW w:w="4253" w:type="dxa"/>
            <w:shd w:val="clear" w:color="auto" w:fill="auto"/>
            <w:noWrap/>
            <w:vAlign w:val="center"/>
            <w:hideMark/>
          </w:tcPr>
          <w:p w14:paraId="6DE5831E" w14:textId="77777777" w:rsidR="00C746F4" w:rsidRPr="005E36B7"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María Elena</w:t>
            </w:r>
          </w:p>
        </w:tc>
        <w:tc>
          <w:tcPr>
            <w:tcW w:w="1134" w:type="dxa"/>
            <w:shd w:val="clear" w:color="auto" w:fill="auto"/>
            <w:noWrap/>
          </w:tcPr>
          <w:p w14:paraId="18E41235"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349.921 </w:t>
            </w:r>
          </w:p>
        </w:tc>
        <w:tc>
          <w:tcPr>
            <w:tcW w:w="1134" w:type="dxa"/>
            <w:shd w:val="clear" w:color="auto" w:fill="auto"/>
            <w:noWrap/>
          </w:tcPr>
          <w:p w14:paraId="009B3BEC"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70.296 </w:t>
            </w:r>
          </w:p>
        </w:tc>
        <w:tc>
          <w:tcPr>
            <w:tcW w:w="1134" w:type="dxa"/>
            <w:shd w:val="clear" w:color="auto" w:fill="auto"/>
            <w:noWrap/>
          </w:tcPr>
          <w:p w14:paraId="5E5676D8"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39.971 </w:t>
            </w:r>
          </w:p>
        </w:tc>
        <w:tc>
          <w:tcPr>
            <w:tcW w:w="1134" w:type="dxa"/>
            <w:shd w:val="clear" w:color="auto" w:fill="auto"/>
            <w:noWrap/>
          </w:tcPr>
          <w:p w14:paraId="361A1975"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460.188 </w:t>
            </w:r>
          </w:p>
        </w:tc>
      </w:tr>
      <w:tr w:rsidR="00C746F4" w:rsidRPr="005E36B7" w14:paraId="255880DA" w14:textId="77777777" w:rsidTr="006B5A62">
        <w:trPr>
          <w:jc w:val="center"/>
        </w:trPr>
        <w:tc>
          <w:tcPr>
            <w:tcW w:w="850" w:type="dxa"/>
            <w:shd w:val="clear" w:color="auto" w:fill="auto"/>
            <w:noWrap/>
            <w:vAlign w:val="center"/>
            <w:hideMark/>
          </w:tcPr>
          <w:p w14:paraId="5BFE8F85" w14:textId="77777777" w:rsidR="00C746F4" w:rsidRPr="005E36B7"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SE-N_44</w:t>
            </w:r>
          </w:p>
        </w:tc>
        <w:tc>
          <w:tcPr>
            <w:tcW w:w="4253" w:type="dxa"/>
            <w:shd w:val="clear" w:color="auto" w:fill="auto"/>
            <w:noWrap/>
            <w:vAlign w:val="center"/>
            <w:hideMark/>
          </w:tcPr>
          <w:p w14:paraId="4FD4D4EE" w14:textId="77777777" w:rsidR="00C746F4" w:rsidRPr="005E36B7"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Melipulli</w:t>
            </w:r>
          </w:p>
        </w:tc>
        <w:tc>
          <w:tcPr>
            <w:tcW w:w="1134" w:type="dxa"/>
            <w:shd w:val="clear" w:color="auto" w:fill="auto"/>
            <w:noWrap/>
          </w:tcPr>
          <w:p w14:paraId="32F992B7"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534.599 </w:t>
            </w:r>
          </w:p>
        </w:tc>
        <w:tc>
          <w:tcPr>
            <w:tcW w:w="1134" w:type="dxa"/>
            <w:shd w:val="clear" w:color="auto" w:fill="auto"/>
            <w:noWrap/>
          </w:tcPr>
          <w:p w14:paraId="2B7E51AB"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107.616 </w:t>
            </w:r>
          </w:p>
        </w:tc>
        <w:tc>
          <w:tcPr>
            <w:tcW w:w="1134" w:type="dxa"/>
            <w:shd w:val="clear" w:color="auto" w:fill="auto"/>
            <w:noWrap/>
          </w:tcPr>
          <w:p w14:paraId="280FE923"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74.764 </w:t>
            </w:r>
          </w:p>
        </w:tc>
        <w:tc>
          <w:tcPr>
            <w:tcW w:w="1134" w:type="dxa"/>
            <w:shd w:val="clear" w:color="auto" w:fill="auto"/>
            <w:noWrap/>
          </w:tcPr>
          <w:p w14:paraId="056F994B"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716.979 </w:t>
            </w:r>
          </w:p>
        </w:tc>
      </w:tr>
      <w:tr w:rsidR="00C746F4" w:rsidRPr="005E36B7" w14:paraId="29FF3487" w14:textId="77777777" w:rsidTr="006B5A62">
        <w:trPr>
          <w:jc w:val="center"/>
        </w:trPr>
        <w:tc>
          <w:tcPr>
            <w:tcW w:w="850" w:type="dxa"/>
            <w:shd w:val="clear" w:color="auto" w:fill="auto"/>
            <w:noWrap/>
            <w:vAlign w:val="center"/>
            <w:hideMark/>
          </w:tcPr>
          <w:p w14:paraId="4F540449" w14:textId="77777777" w:rsidR="00C746F4" w:rsidRPr="005E36B7"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SE-N_45</w:t>
            </w:r>
          </w:p>
        </w:tc>
        <w:tc>
          <w:tcPr>
            <w:tcW w:w="4253" w:type="dxa"/>
            <w:shd w:val="clear" w:color="auto" w:fill="auto"/>
            <w:noWrap/>
            <w:vAlign w:val="center"/>
            <w:hideMark/>
          </w:tcPr>
          <w:p w14:paraId="65353D3C" w14:textId="77777777" w:rsidR="00C746F4" w:rsidRPr="005E36B7"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Miraje</w:t>
            </w:r>
          </w:p>
        </w:tc>
        <w:tc>
          <w:tcPr>
            <w:tcW w:w="1134" w:type="dxa"/>
            <w:shd w:val="clear" w:color="auto" w:fill="auto"/>
            <w:noWrap/>
          </w:tcPr>
          <w:p w14:paraId="467B0309"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152.577 </w:t>
            </w:r>
          </w:p>
        </w:tc>
        <w:tc>
          <w:tcPr>
            <w:tcW w:w="1134" w:type="dxa"/>
            <w:shd w:val="clear" w:color="auto" w:fill="auto"/>
            <w:noWrap/>
          </w:tcPr>
          <w:p w14:paraId="78303ABF"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30.723 </w:t>
            </w:r>
          </w:p>
        </w:tc>
        <w:tc>
          <w:tcPr>
            <w:tcW w:w="1134" w:type="dxa"/>
            <w:shd w:val="clear" w:color="auto" w:fill="auto"/>
            <w:noWrap/>
          </w:tcPr>
          <w:p w14:paraId="6D4AA05A"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19.900 </w:t>
            </w:r>
          </w:p>
        </w:tc>
        <w:tc>
          <w:tcPr>
            <w:tcW w:w="1134" w:type="dxa"/>
            <w:shd w:val="clear" w:color="auto" w:fill="auto"/>
            <w:noWrap/>
          </w:tcPr>
          <w:p w14:paraId="62F69D58"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203.200 </w:t>
            </w:r>
          </w:p>
        </w:tc>
      </w:tr>
      <w:tr w:rsidR="00C746F4" w:rsidRPr="005E36B7" w14:paraId="70FEFAAC" w14:textId="77777777" w:rsidTr="006B5A62">
        <w:trPr>
          <w:jc w:val="center"/>
        </w:trPr>
        <w:tc>
          <w:tcPr>
            <w:tcW w:w="850" w:type="dxa"/>
            <w:shd w:val="clear" w:color="auto" w:fill="auto"/>
            <w:noWrap/>
            <w:vAlign w:val="center"/>
            <w:hideMark/>
          </w:tcPr>
          <w:p w14:paraId="3E8EE6AD" w14:textId="77777777" w:rsidR="00C746F4" w:rsidRPr="005E36B7"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SE-N_46</w:t>
            </w:r>
          </w:p>
        </w:tc>
        <w:tc>
          <w:tcPr>
            <w:tcW w:w="4253" w:type="dxa"/>
            <w:shd w:val="clear" w:color="auto" w:fill="auto"/>
            <w:noWrap/>
            <w:vAlign w:val="center"/>
            <w:hideMark/>
          </w:tcPr>
          <w:p w14:paraId="0B344734" w14:textId="77777777" w:rsidR="00C746F4" w:rsidRPr="005E36B7"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Mulchen</w:t>
            </w:r>
          </w:p>
        </w:tc>
        <w:tc>
          <w:tcPr>
            <w:tcW w:w="1134" w:type="dxa"/>
            <w:shd w:val="clear" w:color="auto" w:fill="auto"/>
            <w:noWrap/>
          </w:tcPr>
          <w:p w14:paraId="6F9C4CE3"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151.177 </w:t>
            </w:r>
          </w:p>
        </w:tc>
        <w:tc>
          <w:tcPr>
            <w:tcW w:w="1134" w:type="dxa"/>
            <w:shd w:val="clear" w:color="auto" w:fill="auto"/>
            <w:noWrap/>
          </w:tcPr>
          <w:p w14:paraId="5A3E86BE"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30.436 </w:t>
            </w:r>
          </w:p>
        </w:tc>
        <w:tc>
          <w:tcPr>
            <w:tcW w:w="1134" w:type="dxa"/>
            <w:shd w:val="clear" w:color="auto" w:fill="auto"/>
            <w:noWrap/>
          </w:tcPr>
          <w:p w14:paraId="2BC3FE9E"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20.556 </w:t>
            </w:r>
          </w:p>
        </w:tc>
        <w:tc>
          <w:tcPr>
            <w:tcW w:w="1134" w:type="dxa"/>
            <w:shd w:val="clear" w:color="auto" w:fill="auto"/>
            <w:noWrap/>
          </w:tcPr>
          <w:p w14:paraId="190BB3D7"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202.169 </w:t>
            </w:r>
          </w:p>
        </w:tc>
      </w:tr>
      <w:tr w:rsidR="00C746F4" w:rsidRPr="005E36B7" w14:paraId="58168975" w14:textId="77777777" w:rsidTr="006B5A62">
        <w:trPr>
          <w:jc w:val="center"/>
        </w:trPr>
        <w:tc>
          <w:tcPr>
            <w:tcW w:w="850" w:type="dxa"/>
            <w:shd w:val="clear" w:color="auto" w:fill="auto"/>
            <w:noWrap/>
            <w:vAlign w:val="center"/>
            <w:hideMark/>
          </w:tcPr>
          <w:p w14:paraId="00E381D6" w14:textId="77777777" w:rsidR="00C746F4" w:rsidRPr="005E36B7"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SE-N_47</w:t>
            </w:r>
          </w:p>
        </w:tc>
        <w:tc>
          <w:tcPr>
            <w:tcW w:w="4253" w:type="dxa"/>
            <w:shd w:val="clear" w:color="auto" w:fill="auto"/>
            <w:noWrap/>
            <w:vAlign w:val="center"/>
            <w:hideMark/>
          </w:tcPr>
          <w:p w14:paraId="32F8B10E" w14:textId="77777777" w:rsidR="00C746F4" w:rsidRPr="005E36B7"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Neptuno</w:t>
            </w:r>
          </w:p>
        </w:tc>
        <w:tc>
          <w:tcPr>
            <w:tcW w:w="1134" w:type="dxa"/>
            <w:shd w:val="clear" w:color="auto" w:fill="auto"/>
            <w:noWrap/>
          </w:tcPr>
          <w:p w14:paraId="09AD366A"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107.705 </w:t>
            </w:r>
          </w:p>
        </w:tc>
        <w:tc>
          <w:tcPr>
            <w:tcW w:w="1134" w:type="dxa"/>
            <w:shd w:val="clear" w:color="auto" w:fill="auto"/>
            <w:noWrap/>
          </w:tcPr>
          <w:p w14:paraId="550D34B2"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21.688 </w:t>
            </w:r>
          </w:p>
        </w:tc>
        <w:tc>
          <w:tcPr>
            <w:tcW w:w="1134" w:type="dxa"/>
            <w:shd w:val="clear" w:color="auto" w:fill="auto"/>
            <w:noWrap/>
          </w:tcPr>
          <w:p w14:paraId="76AB6AFD"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15.623 </w:t>
            </w:r>
          </w:p>
        </w:tc>
        <w:tc>
          <w:tcPr>
            <w:tcW w:w="1134" w:type="dxa"/>
            <w:shd w:val="clear" w:color="auto" w:fill="auto"/>
            <w:noWrap/>
          </w:tcPr>
          <w:p w14:paraId="293457BC"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145.017 </w:t>
            </w:r>
          </w:p>
        </w:tc>
      </w:tr>
      <w:tr w:rsidR="00C746F4" w:rsidRPr="005E36B7" w14:paraId="1E98E627" w14:textId="77777777" w:rsidTr="006B5A62">
        <w:trPr>
          <w:jc w:val="center"/>
        </w:trPr>
        <w:tc>
          <w:tcPr>
            <w:tcW w:w="850" w:type="dxa"/>
            <w:shd w:val="clear" w:color="auto" w:fill="auto"/>
            <w:noWrap/>
            <w:vAlign w:val="center"/>
            <w:hideMark/>
          </w:tcPr>
          <w:p w14:paraId="73A43640" w14:textId="77777777" w:rsidR="00C746F4" w:rsidRPr="005E36B7"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SE-N_48</w:t>
            </w:r>
          </w:p>
        </w:tc>
        <w:tc>
          <w:tcPr>
            <w:tcW w:w="4253" w:type="dxa"/>
            <w:shd w:val="clear" w:color="auto" w:fill="auto"/>
            <w:noWrap/>
            <w:vAlign w:val="center"/>
            <w:hideMark/>
          </w:tcPr>
          <w:p w14:paraId="7DC232E7" w14:textId="77777777" w:rsidR="00C746F4" w:rsidRPr="005E36B7"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Nogales</w:t>
            </w:r>
          </w:p>
        </w:tc>
        <w:tc>
          <w:tcPr>
            <w:tcW w:w="1134" w:type="dxa"/>
            <w:shd w:val="clear" w:color="auto" w:fill="auto"/>
            <w:noWrap/>
          </w:tcPr>
          <w:p w14:paraId="1E27B949"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112.120 </w:t>
            </w:r>
          </w:p>
        </w:tc>
        <w:tc>
          <w:tcPr>
            <w:tcW w:w="1134" w:type="dxa"/>
            <w:shd w:val="clear" w:color="auto" w:fill="auto"/>
            <w:noWrap/>
          </w:tcPr>
          <w:p w14:paraId="74FBF89D"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22.576 </w:t>
            </w:r>
          </w:p>
        </w:tc>
        <w:tc>
          <w:tcPr>
            <w:tcW w:w="1134" w:type="dxa"/>
            <w:shd w:val="clear" w:color="auto" w:fill="auto"/>
            <w:noWrap/>
          </w:tcPr>
          <w:p w14:paraId="017D89BD"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18.465 </w:t>
            </w:r>
          </w:p>
        </w:tc>
        <w:tc>
          <w:tcPr>
            <w:tcW w:w="1134" w:type="dxa"/>
            <w:shd w:val="clear" w:color="auto" w:fill="auto"/>
            <w:noWrap/>
          </w:tcPr>
          <w:p w14:paraId="4819BDF3"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153.162 </w:t>
            </w:r>
          </w:p>
        </w:tc>
      </w:tr>
      <w:tr w:rsidR="00C746F4" w:rsidRPr="005E36B7" w14:paraId="23A3528B" w14:textId="77777777" w:rsidTr="006B5A62">
        <w:trPr>
          <w:jc w:val="center"/>
        </w:trPr>
        <w:tc>
          <w:tcPr>
            <w:tcW w:w="850" w:type="dxa"/>
            <w:shd w:val="clear" w:color="auto" w:fill="auto"/>
            <w:noWrap/>
            <w:vAlign w:val="center"/>
            <w:hideMark/>
          </w:tcPr>
          <w:p w14:paraId="6AC2210F" w14:textId="77777777" w:rsidR="00C746F4" w:rsidRPr="005E36B7"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SE-N_49</w:t>
            </w:r>
          </w:p>
        </w:tc>
        <w:tc>
          <w:tcPr>
            <w:tcW w:w="4253" w:type="dxa"/>
            <w:shd w:val="clear" w:color="auto" w:fill="auto"/>
            <w:noWrap/>
            <w:vAlign w:val="center"/>
            <w:hideMark/>
          </w:tcPr>
          <w:p w14:paraId="347B33D0" w14:textId="77777777" w:rsidR="00C746F4" w:rsidRPr="005E36B7"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Nueva Alto Melipilla</w:t>
            </w:r>
          </w:p>
        </w:tc>
        <w:tc>
          <w:tcPr>
            <w:tcW w:w="1134" w:type="dxa"/>
            <w:shd w:val="clear" w:color="auto" w:fill="auto"/>
            <w:noWrap/>
          </w:tcPr>
          <w:p w14:paraId="757F7399"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 </w:t>
            </w:r>
          </w:p>
        </w:tc>
        <w:tc>
          <w:tcPr>
            <w:tcW w:w="1134" w:type="dxa"/>
            <w:shd w:val="clear" w:color="auto" w:fill="auto"/>
            <w:noWrap/>
          </w:tcPr>
          <w:p w14:paraId="3582A7E6"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 </w:t>
            </w:r>
          </w:p>
        </w:tc>
        <w:tc>
          <w:tcPr>
            <w:tcW w:w="1134" w:type="dxa"/>
            <w:shd w:val="clear" w:color="auto" w:fill="auto"/>
            <w:noWrap/>
          </w:tcPr>
          <w:p w14:paraId="706FEB02"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 </w:t>
            </w:r>
          </w:p>
        </w:tc>
        <w:tc>
          <w:tcPr>
            <w:tcW w:w="1134" w:type="dxa"/>
            <w:shd w:val="clear" w:color="auto" w:fill="auto"/>
            <w:noWrap/>
          </w:tcPr>
          <w:p w14:paraId="10979E5F"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 </w:t>
            </w:r>
          </w:p>
        </w:tc>
      </w:tr>
      <w:tr w:rsidR="00C746F4" w:rsidRPr="005E36B7" w14:paraId="348E3BC6" w14:textId="77777777" w:rsidTr="006B5A62">
        <w:trPr>
          <w:jc w:val="center"/>
        </w:trPr>
        <w:tc>
          <w:tcPr>
            <w:tcW w:w="850" w:type="dxa"/>
            <w:shd w:val="clear" w:color="auto" w:fill="auto"/>
            <w:noWrap/>
            <w:vAlign w:val="center"/>
            <w:hideMark/>
          </w:tcPr>
          <w:p w14:paraId="4BA26288" w14:textId="77777777" w:rsidR="00C746F4" w:rsidRPr="005E36B7"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SE-N_50</w:t>
            </w:r>
          </w:p>
        </w:tc>
        <w:tc>
          <w:tcPr>
            <w:tcW w:w="4253" w:type="dxa"/>
            <w:shd w:val="clear" w:color="auto" w:fill="auto"/>
            <w:noWrap/>
            <w:vAlign w:val="center"/>
            <w:hideMark/>
          </w:tcPr>
          <w:p w14:paraId="2FAAD28D" w14:textId="77777777" w:rsidR="00C746F4" w:rsidRPr="005E36B7"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Nueva Cardones</w:t>
            </w:r>
          </w:p>
        </w:tc>
        <w:tc>
          <w:tcPr>
            <w:tcW w:w="1134" w:type="dxa"/>
            <w:shd w:val="clear" w:color="auto" w:fill="auto"/>
            <w:noWrap/>
          </w:tcPr>
          <w:p w14:paraId="475C2837"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863.778 </w:t>
            </w:r>
          </w:p>
        </w:tc>
        <w:tc>
          <w:tcPr>
            <w:tcW w:w="1134" w:type="dxa"/>
            <w:shd w:val="clear" w:color="auto" w:fill="auto"/>
            <w:noWrap/>
          </w:tcPr>
          <w:p w14:paraId="357F9A47"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173.506 </w:t>
            </w:r>
          </w:p>
        </w:tc>
        <w:tc>
          <w:tcPr>
            <w:tcW w:w="1134" w:type="dxa"/>
            <w:shd w:val="clear" w:color="auto" w:fill="auto"/>
            <w:noWrap/>
          </w:tcPr>
          <w:p w14:paraId="7B4E5687"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116.636 </w:t>
            </w:r>
          </w:p>
        </w:tc>
        <w:tc>
          <w:tcPr>
            <w:tcW w:w="1134" w:type="dxa"/>
            <w:shd w:val="clear" w:color="auto" w:fill="auto"/>
            <w:noWrap/>
          </w:tcPr>
          <w:p w14:paraId="075A76DA"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1.153.920 </w:t>
            </w:r>
          </w:p>
        </w:tc>
      </w:tr>
      <w:tr w:rsidR="00C746F4" w:rsidRPr="005E36B7" w14:paraId="6B982083" w14:textId="77777777" w:rsidTr="006B5A62">
        <w:trPr>
          <w:jc w:val="center"/>
        </w:trPr>
        <w:tc>
          <w:tcPr>
            <w:tcW w:w="850" w:type="dxa"/>
            <w:shd w:val="clear" w:color="auto" w:fill="auto"/>
            <w:noWrap/>
            <w:vAlign w:val="center"/>
            <w:hideMark/>
          </w:tcPr>
          <w:p w14:paraId="4F97E5B5" w14:textId="77777777" w:rsidR="00C746F4" w:rsidRPr="005E36B7"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SE-N_51</w:t>
            </w:r>
          </w:p>
        </w:tc>
        <w:tc>
          <w:tcPr>
            <w:tcW w:w="4253" w:type="dxa"/>
            <w:shd w:val="clear" w:color="auto" w:fill="auto"/>
            <w:noWrap/>
            <w:vAlign w:val="center"/>
            <w:hideMark/>
          </w:tcPr>
          <w:p w14:paraId="1154353C" w14:textId="77777777" w:rsidR="00C746F4" w:rsidRPr="005E36B7"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Nueva Pichirropulli</w:t>
            </w:r>
          </w:p>
        </w:tc>
        <w:tc>
          <w:tcPr>
            <w:tcW w:w="1134" w:type="dxa"/>
            <w:shd w:val="clear" w:color="auto" w:fill="auto"/>
            <w:noWrap/>
          </w:tcPr>
          <w:p w14:paraId="668B0886"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476.224 </w:t>
            </w:r>
          </w:p>
        </w:tc>
        <w:tc>
          <w:tcPr>
            <w:tcW w:w="1134" w:type="dxa"/>
            <w:shd w:val="clear" w:color="auto" w:fill="auto"/>
            <w:noWrap/>
          </w:tcPr>
          <w:p w14:paraId="7ED2F2B0"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96.428 </w:t>
            </w:r>
          </w:p>
        </w:tc>
        <w:tc>
          <w:tcPr>
            <w:tcW w:w="1134" w:type="dxa"/>
            <w:shd w:val="clear" w:color="auto" w:fill="auto"/>
            <w:noWrap/>
          </w:tcPr>
          <w:p w14:paraId="7DB54D5C"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53.323 </w:t>
            </w:r>
          </w:p>
        </w:tc>
        <w:tc>
          <w:tcPr>
            <w:tcW w:w="1134" w:type="dxa"/>
            <w:shd w:val="clear" w:color="auto" w:fill="auto"/>
            <w:noWrap/>
          </w:tcPr>
          <w:p w14:paraId="2F65B331"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625.975 </w:t>
            </w:r>
          </w:p>
        </w:tc>
      </w:tr>
      <w:tr w:rsidR="00C746F4" w:rsidRPr="005E36B7" w14:paraId="532FED9E" w14:textId="77777777" w:rsidTr="006B5A62">
        <w:trPr>
          <w:jc w:val="center"/>
        </w:trPr>
        <w:tc>
          <w:tcPr>
            <w:tcW w:w="850" w:type="dxa"/>
            <w:shd w:val="clear" w:color="auto" w:fill="auto"/>
            <w:noWrap/>
            <w:vAlign w:val="center"/>
            <w:hideMark/>
          </w:tcPr>
          <w:p w14:paraId="462426E5" w14:textId="77777777" w:rsidR="00C746F4" w:rsidRPr="005E36B7"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lastRenderedPageBreak/>
              <w:t>SE-N_52</w:t>
            </w:r>
          </w:p>
        </w:tc>
        <w:tc>
          <w:tcPr>
            <w:tcW w:w="4253" w:type="dxa"/>
            <w:shd w:val="clear" w:color="auto" w:fill="auto"/>
            <w:noWrap/>
            <w:vAlign w:val="center"/>
            <w:hideMark/>
          </w:tcPr>
          <w:p w14:paraId="73F4E8D8" w14:textId="77777777" w:rsidR="00C746F4" w:rsidRPr="005E36B7"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Nueva Victoria</w:t>
            </w:r>
          </w:p>
        </w:tc>
        <w:tc>
          <w:tcPr>
            <w:tcW w:w="1134" w:type="dxa"/>
            <w:shd w:val="clear" w:color="auto" w:fill="auto"/>
            <w:noWrap/>
          </w:tcPr>
          <w:p w14:paraId="15959584"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 </w:t>
            </w:r>
          </w:p>
        </w:tc>
        <w:tc>
          <w:tcPr>
            <w:tcW w:w="1134" w:type="dxa"/>
            <w:shd w:val="clear" w:color="auto" w:fill="auto"/>
            <w:noWrap/>
          </w:tcPr>
          <w:p w14:paraId="2695A3C6"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 </w:t>
            </w:r>
          </w:p>
        </w:tc>
        <w:tc>
          <w:tcPr>
            <w:tcW w:w="1134" w:type="dxa"/>
            <w:shd w:val="clear" w:color="auto" w:fill="auto"/>
            <w:noWrap/>
          </w:tcPr>
          <w:p w14:paraId="55B8ACF5"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 </w:t>
            </w:r>
          </w:p>
        </w:tc>
        <w:tc>
          <w:tcPr>
            <w:tcW w:w="1134" w:type="dxa"/>
            <w:shd w:val="clear" w:color="auto" w:fill="auto"/>
            <w:noWrap/>
          </w:tcPr>
          <w:p w14:paraId="28D01E87"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 </w:t>
            </w:r>
          </w:p>
        </w:tc>
      </w:tr>
      <w:tr w:rsidR="00C746F4" w:rsidRPr="005E36B7" w14:paraId="3BC140D5" w14:textId="77777777" w:rsidTr="006B5A62">
        <w:trPr>
          <w:jc w:val="center"/>
        </w:trPr>
        <w:tc>
          <w:tcPr>
            <w:tcW w:w="850" w:type="dxa"/>
            <w:shd w:val="clear" w:color="auto" w:fill="auto"/>
            <w:noWrap/>
            <w:vAlign w:val="center"/>
            <w:hideMark/>
          </w:tcPr>
          <w:p w14:paraId="70BBB8A9" w14:textId="77777777" w:rsidR="00C746F4" w:rsidRPr="005E36B7"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SE-N_53</w:t>
            </w:r>
          </w:p>
        </w:tc>
        <w:tc>
          <w:tcPr>
            <w:tcW w:w="4253" w:type="dxa"/>
            <w:shd w:val="clear" w:color="auto" w:fill="auto"/>
            <w:noWrap/>
            <w:vAlign w:val="center"/>
            <w:hideMark/>
          </w:tcPr>
          <w:p w14:paraId="6CA82BAB" w14:textId="77777777" w:rsidR="00C746F4" w:rsidRPr="005E36B7"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O Higgins</w:t>
            </w:r>
          </w:p>
        </w:tc>
        <w:tc>
          <w:tcPr>
            <w:tcW w:w="1134" w:type="dxa"/>
            <w:shd w:val="clear" w:color="auto" w:fill="auto"/>
            <w:noWrap/>
          </w:tcPr>
          <w:p w14:paraId="0AA03E21"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45.451 </w:t>
            </w:r>
          </w:p>
        </w:tc>
        <w:tc>
          <w:tcPr>
            <w:tcW w:w="1134" w:type="dxa"/>
            <w:shd w:val="clear" w:color="auto" w:fill="auto"/>
            <w:noWrap/>
          </w:tcPr>
          <w:p w14:paraId="407C26F8"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10.162 </w:t>
            </w:r>
          </w:p>
        </w:tc>
        <w:tc>
          <w:tcPr>
            <w:tcW w:w="1134" w:type="dxa"/>
            <w:shd w:val="clear" w:color="auto" w:fill="auto"/>
            <w:noWrap/>
          </w:tcPr>
          <w:p w14:paraId="75EFCDA9"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5.822 </w:t>
            </w:r>
          </w:p>
        </w:tc>
        <w:tc>
          <w:tcPr>
            <w:tcW w:w="1134" w:type="dxa"/>
            <w:shd w:val="clear" w:color="auto" w:fill="auto"/>
            <w:noWrap/>
          </w:tcPr>
          <w:p w14:paraId="0BB1B6DF"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61.435 </w:t>
            </w:r>
          </w:p>
        </w:tc>
      </w:tr>
      <w:tr w:rsidR="00C746F4" w:rsidRPr="005E36B7" w14:paraId="1FB575AA" w14:textId="77777777" w:rsidTr="006B5A62">
        <w:trPr>
          <w:jc w:val="center"/>
        </w:trPr>
        <w:tc>
          <w:tcPr>
            <w:tcW w:w="850" w:type="dxa"/>
            <w:shd w:val="clear" w:color="auto" w:fill="auto"/>
            <w:noWrap/>
            <w:vAlign w:val="center"/>
            <w:hideMark/>
          </w:tcPr>
          <w:p w14:paraId="7FE11194" w14:textId="77777777" w:rsidR="00C746F4" w:rsidRPr="005E36B7"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SE-N_54</w:t>
            </w:r>
          </w:p>
        </w:tc>
        <w:tc>
          <w:tcPr>
            <w:tcW w:w="4253" w:type="dxa"/>
            <w:shd w:val="clear" w:color="auto" w:fill="auto"/>
            <w:noWrap/>
            <w:vAlign w:val="center"/>
            <w:hideMark/>
          </w:tcPr>
          <w:p w14:paraId="786C51AC" w14:textId="77777777" w:rsidR="00C746F4" w:rsidRPr="005E36B7"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Pan de Azúcar</w:t>
            </w:r>
          </w:p>
        </w:tc>
        <w:tc>
          <w:tcPr>
            <w:tcW w:w="1134" w:type="dxa"/>
            <w:shd w:val="clear" w:color="auto" w:fill="auto"/>
            <w:noWrap/>
          </w:tcPr>
          <w:p w14:paraId="6E863DE0"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2.158.666 </w:t>
            </w:r>
          </w:p>
        </w:tc>
        <w:tc>
          <w:tcPr>
            <w:tcW w:w="1134" w:type="dxa"/>
            <w:shd w:val="clear" w:color="auto" w:fill="auto"/>
            <w:noWrap/>
          </w:tcPr>
          <w:p w14:paraId="2F00A719"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434.596 </w:t>
            </w:r>
          </w:p>
        </w:tc>
        <w:tc>
          <w:tcPr>
            <w:tcW w:w="1134" w:type="dxa"/>
            <w:shd w:val="clear" w:color="auto" w:fill="auto"/>
            <w:noWrap/>
          </w:tcPr>
          <w:p w14:paraId="47173323"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279.396 </w:t>
            </w:r>
          </w:p>
        </w:tc>
        <w:tc>
          <w:tcPr>
            <w:tcW w:w="1134" w:type="dxa"/>
            <w:shd w:val="clear" w:color="auto" w:fill="auto"/>
            <w:noWrap/>
          </w:tcPr>
          <w:p w14:paraId="6011A360"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2.872.657 </w:t>
            </w:r>
          </w:p>
        </w:tc>
      </w:tr>
      <w:tr w:rsidR="00C746F4" w:rsidRPr="005E36B7" w14:paraId="3E58F088" w14:textId="77777777" w:rsidTr="006B5A62">
        <w:trPr>
          <w:jc w:val="center"/>
        </w:trPr>
        <w:tc>
          <w:tcPr>
            <w:tcW w:w="850" w:type="dxa"/>
            <w:shd w:val="clear" w:color="auto" w:fill="auto"/>
            <w:noWrap/>
            <w:vAlign w:val="center"/>
            <w:hideMark/>
          </w:tcPr>
          <w:p w14:paraId="0F6FC1CB" w14:textId="77777777" w:rsidR="00C746F4" w:rsidRPr="005E36B7"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SE-N_55</w:t>
            </w:r>
          </w:p>
        </w:tc>
        <w:tc>
          <w:tcPr>
            <w:tcW w:w="4253" w:type="dxa"/>
            <w:shd w:val="clear" w:color="auto" w:fill="auto"/>
            <w:noWrap/>
            <w:vAlign w:val="center"/>
            <w:hideMark/>
          </w:tcPr>
          <w:p w14:paraId="4D6A43B7" w14:textId="77777777" w:rsidR="00C746F4" w:rsidRPr="005E36B7"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Parinacota</w:t>
            </w:r>
          </w:p>
        </w:tc>
        <w:tc>
          <w:tcPr>
            <w:tcW w:w="1134" w:type="dxa"/>
            <w:shd w:val="clear" w:color="auto" w:fill="auto"/>
            <w:noWrap/>
          </w:tcPr>
          <w:p w14:paraId="00B49B73"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349.376 </w:t>
            </w:r>
          </w:p>
        </w:tc>
        <w:tc>
          <w:tcPr>
            <w:tcW w:w="1134" w:type="dxa"/>
            <w:shd w:val="clear" w:color="auto" w:fill="auto"/>
            <w:noWrap/>
          </w:tcPr>
          <w:p w14:paraId="2BBC47B2"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70.304 </w:t>
            </w:r>
          </w:p>
        </w:tc>
        <w:tc>
          <w:tcPr>
            <w:tcW w:w="1134" w:type="dxa"/>
            <w:shd w:val="clear" w:color="auto" w:fill="auto"/>
            <w:noWrap/>
          </w:tcPr>
          <w:p w14:paraId="711744FD"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67.892 </w:t>
            </w:r>
          </w:p>
        </w:tc>
        <w:tc>
          <w:tcPr>
            <w:tcW w:w="1134" w:type="dxa"/>
            <w:shd w:val="clear" w:color="auto" w:fill="auto"/>
            <w:noWrap/>
          </w:tcPr>
          <w:p w14:paraId="24BE94A3"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487.572 </w:t>
            </w:r>
          </w:p>
        </w:tc>
      </w:tr>
      <w:tr w:rsidR="00C746F4" w:rsidRPr="005E36B7" w14:paraId="719B2024" w14:textId="77777777" w:rsidTr="006B5A62">
        <w:trPr>
          <w:jc w:val="center"/>
        </w:trPr>
        <w:tc>
          <w:tcPr>
            <w:tcW w:w="850" w:type="dxa"/>
            <w:shd w:val="clear" w:color="auto" w:fill="auto"/>
            <w:noWrap/>
            <w:vAlign w:val="center"/>
            <w:hideMark/>
          </w:tcPr>
          <w:p w14:paraId="75105789" w14:textId="77777777" w:rsidR="00C746F4" w:rsidRPr="005E36B7"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SE-N_56</w:t>
            </w:r>
          </w:p>
        </w:tc>
        <w:tc>
          <w:tcPr>
            <w:tcW w:w="4253" w:type="dxa"/>
            <w:shd w:val="clear" w:color="auto" w:fill="auto"/>
            <w:noWrap/>
            <w:vAlign w:val="center"/>
            <w:hideMark/>
          </w:tcPr>
          <w:p w14:paraId="0EFB2393" w14:textId="77777777" w:rsidR="00C746F4" w:rsidRPr="005E36B7"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Polpaico</w:t>
            </w:r>
          </w:p>
        </w:tc>
        <w:tc>
          <w:tcPr>
            <w:tcW w:w="1134" w:type="dxa"/>
            <w:shd w:val="clear" w:color="auto" w:fill="auto"/>
            <w:noWrap/>
          </w:tcPr>
          <w:p w14:paraId="53907B2B"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2.585.256 </w:t>
            </w:r>
          </w:p>
        </w:tc>
        <w:tc>
          <w:tcPr>
            <w:tcW w:w="1134" w:type="dxa"/>
            <w:shd w:val="clear" w:color="auto" w:fill="auto"/>
            <w:noWrap/>
          </w:tcPr>
          <w:p w14:paraId="68D2065F"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520.565 </w:t>
            </w:r>
          </w:p>
        </w:tc>
        <w:tc>
          <w:tcPr>
            <w:tcW w:w="1134" w:type="dxa"/>
            <w:shd w:val="clear" w:color="auto" w:fill="auto"/>
            <w:noWrap/>
          </w:tcPr>
          <w:p w14:paraId="5C4B5DFA"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336.596 </w:t>
            </w:r>
          </w:p>
        </w:tc>
        <w:tc>
          <w:tcPr>
            <w:tcW w:w="1134" w:type="dxa"/>
            <w:shd w:val="clear" w:color="auto" w:fill="auto"/>
            <w:noWrap/>
          </w:tcPr>
          <w:p w14:paraId="52611623"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3.442.417 </w:t>
            </w:r>
          </w:p>
        </w:tc>
      </w:tr>
      <w:tr w:rsidR="00C746F4" w:rsidRPr="005E36B7" w14:paraId="14754F37" w14:textId="77777777" w:rsidTr="006B5A62">
        <w:trPr>
          <w:jc w:val="center"/>
        </w:trPr>
        <w:tc>
          <w:tcPr>
            <w:tcW w:w="850" w:type="dxa"/>
            <w:shd w:val="clear" w:color="auto" w:fill="auto"/>
            <w:noWrap/>
            <w:vAlign w:val="center"/>
            <w:hideMark/>
          </w:tcPr>
          <w:p w14:paraId="672D06B4" w14:textId="77777777" w:rsidR="00C746F4" w:rsidRPr="005E36B7"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SE-N_57</w:t>
            </w:r>
          </w:p>
        </w:tc>
        <w:tc>
          <w:tcPr>
            <w:tcW w:w="4253" w:type="dxa"/>
            <w:shd w:val="clear" w:color="auto" w:fill="auto"/>
            <w:noWrap/>
            <w:vAlign w:val="center"/>
            <w:hideMark/>
          </w:tcPr>
          <w:p w14:paraId="45670A5F" w14:textId="77777777" w:rsidR="00C746F4" w:rsidRPr="005E36B7"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Pozo Almonte</w:t>
            </w:r>
          </w:p>
        </w:tc>
        <w:tc>
          <w:tcPr>
            <w:tcW w:w="1134" w:type="dxa"/>
            <w:shd w:val="clear" w:color="auto" w:fill="auto"/>
            <w:noWrap/>
          </w:tcPr>
          <w:p w14:paraId="1D05B655"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132.580 </w:t>
            </w:r>
          </w:p>
        </w:tc>
        <w:tc>
          <w:tcPr>
            <w:tcW w:w="1134" w:type="dxa"/>
            <w:shd w:val="clear" w:color="auto" w:fill="auto"/>
            <w:noWrap/>
          </w:tcPr>
          <w:p w14:paraId="7F3089DB"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26.656 </w:t>
            </w:r>
          </w:p>
        </w:tc>
        <w:tc>
          <w:tcPr>
            <w:tcW w:w="1134" w:type="dxa"/>
            <w:shd w:val="clear" w:color="auto" w:fill="auto"/>
            <w:noWrap/>
          </w:tcPr>
          <w:p w14:paraId="0425927E"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21.151 </w:t>
            </w:r>
          </w:p>
        </w:tc>
        <w:tc>
          <w:tcPr>
            <w:tcW w:w="1134" w:type="dxa"/>
            <w:shd w:val="clear" w:color="auto" w:fill="auto"/>
            <w:noWrap/>
          </w:tcPr>
          <w:p w14:paraId="3071AFE2"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180.387 </w:t>
            </w:r>
          </w:p>
        </w:tc>
      </w:tr>
      <w:tr w:rsidR="00C746F4" w:rsidRPr="005E36B7" w14:paraId="01B012AB" w14:textId="77777777" w:rsidTr="006B5A62">
        <w:trPr>
          <w:jc w:val="center"/>
        </w:trPr>
        <w:tc>
          <w:tcPr>
            <w:tcW w:w="850" w:type="dxa"/>
            <w:shd w:val="clear" w:color="auto" w:fill="auto"/>
            <w:noWrap/>
            <w:vAlign w:val="center"/>
            <w:hideMark/>
          </w:tcPr>
          <w:p w14:paraId="736CA9D9" w14:textId="77777777" w:rsidR="00C746F4" w:rsidRPr="005E36B7"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SE-N_58</w:t>
            </w:r>
          </w:p>
        </w:tc>
        <w:tc>
          <w:tcPr>
            <w:tcW w:w="4253" w:type="dxa"/>
            <w:shd w:val="clear" w:color="auto" w:fill="auto"/>
            <w:noWrap/>
            <w:vAlign w:val="center"/>
            <w:hideMark/>
          </w:tcPr>
          <w:p w14:paraId="2ABCE4DE" w14:textId="77777777" w:rsidR="00C746F4" w:rsidRPr="005E36B7"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Puente Negro</w:t>
            </w:r>
          </w:p>
        </w:tc>
        <w:tc>
          <w:tcPr>
            <w:tcW w:w="1134" w:type="dxa"/>
            <w:shd w:val="clear" w:color="auto" w:fill="auto"/>
            <w:noWrap/>
          </w:tcPr>
          <w:p w14:paraId="2BA4D5DE"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 </w:t>
            </w:r>
          </w:p>
        </w:tc>
        <w:tc>
          <w:tcPr>
            <w:tcW w:w="1134" w:type="dxa"/>
            <w:shd w:val="clear" w:color="auto" w:fill="auto"/>
            <w:noWrap/>
          </w:tcPr>
          <w:p w14:paraId="6DAD687B"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 </w:t>
            </w:r>
          </w:p>
        </w:tc>
        <w:tc>
          <w:tcPr>
            <w:tcW w:w="1134" w:type="dxa"/>
            <w:shd w:val="clear" w:color="auto" w:fill="auto"/>
            <w:noWrap/>
          </w:tcPr>
          <w:p w14:paraId="308E37C9"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 </w:t>
            </w:r>
          </w:p>
        </w:tc>
        <w:tc>
          <w:tcPr>
            <w:tcW w:w="1134" w:type="dxa"/>
            <w:shd w:val="clear" w:color="auto" w:fill="auto"/>
            <w:noWrap/>
          </w:tcPr>
          <w:p w14:paraId="5AFEF2A9"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 </w:t>
            </w:r>
          </w:p>
        </w:tc>
      </w:tr>
      <w:tr w:rsidR="00C746F4" w:rsidRPr="005E36B7" w14:paraId="1EB3AB4D" w14:textId="77777777" w:rsidTr="006B5A62">
        <w:trPr>
          <w:jc w:val="center"/>
        </w:trPr>
        <w:tc>
          <w:tcPr>
            <w:tcW w:w="850" w:type="dxa"/>
            <w:shd w:val="clear" w:color="auto" w:fill="auto"/>
            <w:noWrap/>
            <w:vAlign w:val="center"/>
            <w:hideMark/>
          </w:tcPr>
          <w:p w14:paraId="5AC8D25B" w14:textId="77777777" w:rsidR="00C746F4" w:rsidRPr="005E36B7"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SE-N_59</w:t>
            </w:r>
          </w:p>
        </w:tc>
        <w:tc>
          <w:tcPr>
            <w:tcW w:w="4253" w:type="dxa"/>
            <w:shd w:val="clear" w:color="auto" w:fill="auto"/>
            <w:noWrap/>
            <w:vAlign w:val="center"/>
            <w:hideMark/>
          </w:tcPr>
          <w:p w14:paraId="653ADBA7" w14:textId="77777777" w:rsidR="00C746F4" w:rsidRPr="005E36B7"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Puerto Montt</w:t>
            </w:r>
          </w:p>
        </w:tc>
        <w:tc>
          <w:tcPr>
            <w:tcW w:w="1134" w:type="dxa"/>
            <w:shd w:val="clear" w:color="auto" w:fill="auto"/>
            <w:noWrap/>
          </w:tcPr>
          <w:p w14:paraId="1E098A69"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679.831 </w:t>
            </w:r>
          </w:p>
        </w:tc>
        <w:tc>
          <w:tcPr>
            <w:tcW w:w="1134" w:type="dxa"/>
            <w:shd w:val="clear" w:color="auto" w:fill="auto"/>
            <w:noWrap/>
          </w:tcPr>
          <w:p w14:paraId="6F0F9178"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136.901 </w:t>
            </w:r>
          </w:p>
        </w:tc>
        <w:tc>
          <w:tcPr>
            <w:tcW w:w="1134" w:type="dxa"/>
            <w:shd w:val="clear" w:color="auto" w:fill="auto"/>
            <w:noWrap/>
          </w:tcPr>
          <w:p w14:paraId="434C92B1"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129.564 </w:t>
            </w:r>
          </w:p>
        </w:tc>
        <w:tc>
          <w:tcPr>
            <w:tcW w:w="1134" w:type="dxa"/>
            <w:shd w:val="clear" w:color="auto" w:fill="auto"/>
            <w:noWrap/>
          </w:tcPr>
          <w:p w14:paraId="6BA471EE"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946.295 </w:t>
            </w:r>
          </w:p>
        </w:tc>
      </w:tr>
      <w:tr w:rsidR="00C746F4" w:rsidRPr="005E36B7" w14:paraId="02441FEA" w14:textId="77777777" w:rsidTr="006B5A62">
        <w:trPr>
          <w:jc w:val="center"/>
        </w:trPr>
        <w:tc>
          <w:tcPr>
            <w:tcW w:w="850" w:type="dxa"/>
            <w:shd w:val="clear" w:color="auto" w:fill="auto"/>
            <w:noWrap/>
            <w:vAlign w:val="center"/>
            <w:hideMark/>
          </w:tcPr>
          <w:p w14:paraId="6DBF7BC4" w14:textId="77777777" w:rsidR="00C746F4" w:rsidRPr="005E36B7"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SE-N_60</w:t>
            </w:r>
          </w:p>
        </w:tc>
        <w:tc>
          <w:tcPr>
            <w:tcW w:w="4253" w:type="dxa"/>
            <w:shd w:val="clear" w:color="auto" w:fill="auto"/>
            <w:noWrap/>
            <w:vAlign w:val="center"/>
            <w:hideMark/>
          </w:tcPr>
          <w:p w14:paraId="65FC0364" w14:textId="77777777" w:rsidR="00C746F4" w:rsidRPr="005E36B7"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Punta Colorada</w:t>
            </w:r>
          </w:p>
        </w:tc>
        <w:tc>
          <w:tcPr>
            <w:tcW w:w="1134" w:type="dxa"/>
            <w:shd w:val="clear" w:color="auto" w:fill="auto"/>
            <w:noWrap/>
          </w:tcPr>
          <w:p w14:paraId="101AF078"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149.342 </w:t>
            </w:r>
          </w:p>
        </w:tc>
        <w:tc>
          <w:tcPr>
            <w:tcW w:w="1134" w:type="dxa"/>
            <w:shd w:val="clear" w:color="auto" w:fill="auto"/>
            <w:noWrap/>
          </w:tcPr>
          <w:p w14:paraId="7487D69A"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30.071 </w:t>
            </w:r>
          </w:p>
        </w:tc>
        <w:tc>
          <w:tcPr>
            <w:tcW w:w="1134" w:type="dxa"/>
            <w:shd w:val="clear" w:color="auto" w:fill="auto"/>
            <w:noWrap/>
          </w:tcPr>
          <w:p w14:paraId="1A40B5D4"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19.319 </w:t>
            </w:r>
          </w:p>
        </w:tc>
        <w:tc>
          <w:tcPr>
            <w:tcW w:w="1134" w:type="dxa"/>
            <w:shd w:val="clear" w:color="auto" w:fill="auto"/>
            <w:noWrap/>
          </w:tcPr>
          <w:p w14:paraId="3F8C3E70"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198.733 </w:t>
            </w:r>
          </w:p>
        </w:tc>
      </w:tr>
      <w:tr w:rsidR="00C746F4" w:rsidRPr="005E36B7" w14:paraId="5D50089C" w14:textId="77777777" w:rsidTr="006B5A62">
        <w:trPr>
          <w:jc w:val="center"/>
        </w:trPr>
        <w:tc>
          <w:tcPr>
            <w:tcW w:w="850" w:type="dxa"/>
            <w:shd w:val="clear" w:color="auto" w:fill="auto"/>
            <w:noWrap/>
            <w:vAlign w:val="center"/>
            <w:hideMark/>
          </w:tcPr>
          <w:p w14:paraId="0A890397" w14:textId="77777777" w:rsidR="00C746F4" w:rsidRPr="005E36B7"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SE-N_61</w:t>
            </w:r>
          </w:p>
        </w:tc>
        <w:tc>
          <w:tcPr>
            <w:tcW w:w="4253" w:type="dxa"/>
            <w:shd w:val="clear" w:color="auto" w:fill="auto"/>
            <w:noWrap/>
            <w:vAlign w:val="center"/>
            <w:hideMark/>
          </w:tcPr>
          <w:p w14:paraId="455B7872" w14:textId="77777777" w:rsidR="00C746F4" w:rsidRPr="005E36B7"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Punta Sierra</w:t>
            </w:r>
          </w:p>
        </w:tc>
        <w:tc>
          <w:tcPr>
            <w:tcW w:w="1134" w:type="dxa"/>
            <w:shd w:val="clear" w:color="auto" w:fill="auto"/>
            <w:noWrap/>
          </w:tcPr>
          <w:p w14:paraId="61288DE9"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 </w:t>
            </w:r>
          </w:p>
        </w:tc>
        <w:tc>
          <w:tcPr>
            <w:tcW w:w="1134" w:type="dxa"/>
            <w:shd w:val="clear" w:color="auto" w:fill="auto"/>
            <w:noWrap/>
          </w:tcPr>
          <w:p w14:paraId="6BD912C3"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 </w:t>
            </w:r>
          </w:p>
        </w:tc>
        <w:tc>
          <w:tcPr>
            <w:tcW w:w="1134" w:type="dxa"/>
            <w:shd w:val="clear" w:color="auto" w:fill="auto"/>
            <w:noWrap/>
          </w:tcPr>
          <w:p w14:paraId="01B1AAFF"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 </w:t>
            </w:r>
          </w:p>
        </w:tc>
        <w:tc>
          <w:tcPr>
            <w:tcW w:w="1134" w:type="dxa"/>
            <w:shd w:val="clear" w:color="auto" w:fill="auto"/>
            <w:noWrap/>
          </w:tcPr>
          <w:p w14:paraId="17F9982F"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 </w:t>
            </w:r>
          </w:p>
        </w:tc>
      </w:tr>
      <w:tr w:rsidR="00C746F4" w:rsidRPr="005E36B7" w14:paraId="4DB923EF" w14:textId="77777777" w:rsidTr="006B5A62">
        <w:trPr>
          <w:jc w:val="center"/>
        </w:trPr>
        <w:tc>
          <w:tcPr>
            <w:tcW w:w="850" w:type="dxa"/>
            <w:shd w:val="clear" w:color="auto" w:fill="auto"/>
            <w:noWrap/>
            <w:vAlign w:val="center"/>
            <w:hideMark/>
          </w:tcPr>
          <w:p w14:paraId="626728BA" w14:textId="77777777" w:rsidR="00C746F4" w:rsidRPr="005E36B7"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SE-N_62</w:t>
            </w:r>
          </w:p>
        </w:tc>
        <w:tc>
          <w:tcPr>
            <w:tcW w:w="4253" w:type="dxa"/>
            <w:shd w:val="clear" w:color="auto" w:fill="auto"/>
            <w:noWrap/>
            <w:vAlign w:val="center"/>
            <w:hideMark/>
          </w:tcPr>
          <w:p w14:paraId="2A926287" w14:textId="77777777" w:rsidR="00C746F4" w:rsidRPr="005E36B7"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Quilapilun</w:t>
            </w:r>
          </w:p>
        </w:tc>
        <w:tc>
          <w:tcPr>
            <w:tcW w:w="1134" w:type="dxa"/>
            <w:shd w:val="clear" w:color="auto" w:fill="auto"/>
            <w:noWrap/>
          </w:tcPr>
          <w:p w14:paraId="4CDAB1A7"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1.320 </w:t>
            </w:r>
          </w:p>
        </w:tc>
        <w:tc>
          <w:tcPr>
            <w:tcW w:w="1134" w:type="dxa"/>
            <w:shd w:val="clear" w:color="auto" w:fill="auto"/>
            <w:noWrap/>
          </w:tcPr>
          <w:p w14:paraId="7CDE40FC"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265 </w:t>
            </w:r>
          </w:p>
        </w:tc>
        <w:tc>
          <w:tcPr>
            <w:tcW w:w="1134" w:type="dxa"/>
            <w:shd w:val="clear" w:color="auto" w:fill="auto"/>
            <w:noWrap/>
          </w:tcPr>
          <w:p w14:paraId="75700445"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226 </w:t>
            </w:r>
          </w:p>
        </w:tc>
        <w:tc>
          <w:tcPr>
            <w:tcW w:w="1134" w:type="dxa"/>
            <w:shd w:val="clear" w:color="auto" w:fill="auto"/>
            <w:noWrap/>
          </w:tcPr>
          <w:p w14:paraId="6560CD84"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1.811 </w:t>
            </w:r>
          </w:p>
        </w:tc>
      </w:tr>
      <w:tr w:rsidR="00C746F4" w:rsidRPr="005E36B7" w14:paraId="075C6DAF" w14:textId="77777777" w:rsidTr="006B5A62">
        <w:trPr>
          <w:jc w:val="center"/>
        </w:trPr>
        <w:tc>
          <w:tcPr>
            <w:tcW w:w="850" w:type="dxa"/>
            <w:shd w:val="clear" w:color="auto" w:fill="auto"/>
            <w:noWrap/>
            <w:vAlign w:val="center"/>
            <w:hideMark/>
          </w:tcPr>
          <w:p w14:paraId="52A45FA4" w14:textId="77777777" w:rsidR="00C746F4" w:rsidRPr="005E36B7"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SE-N_63</w:t>
            </w:r>
          </w:p>
        </w:tc>
        <w:tc>
          <w:tcPr>
            <w:tcW w:w="4253" w:type="dxa"/>
            <w:shd w:val="clear" w:color="auto" w:fill="auto"/>
            <w:noWrap/>
            <w:vAlign w:val="center"/>
            <w:hideMark/>
          </w:tcPr>
          <w:p w14:paraId="06F5EBED" w14:textId="77777777" w:rsidR="00C746F4" w:rsidRPr="005E36B7"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Quillagua</w:t>
            </w:r>
          </w:p>
        </w:tc>
        <w:tc>
          <w:tcPr>
            <w:tcW w:w="1134" w:type="dxa"/>
            <w:shd w:val="clear" w:color="auto" w:fill="auto"/>
            <w:noWrap/>
          </w:tcPr>
          <w:p w14:paraId="2368924E"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353 </w:t>
            </w:r>
          </w:p>
        </w:tc>
        <w:tc>
          <w:tcPr>
            <w:tcW w:w="1134" w:type="dxa"/>
            <w:shd w:val="clear" w:color="auto" w:fill="auto"/>
            <w:noWrap/>
          </w:tcPr>
          <w:p w14:paraId="7DC17E71"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71 </w:t>
            </w:r>
          </w:p>
        </w:tc>
        <w:tc>
          <w:tcPr>
            <w:tcW w:w="1134" w:type="dxa"/>
            <w:shd w:val="clear" w:color="auto" w:fill="auto"/>
            <w:noWrap/>
          </w:tcPr>
          <w:p w14:paraId="031CB987"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60 </w:t>
            </w:r>
          </w:p>
        </w:tc>
        <w:tc>
          <w:tcPr>
            <w:tcW w:w="1134" w:type="dxa"/>
            <w:shd w:val="clear" w:color="auto" w:fill="auto"/>
            <w:noWrap/>
          </w:tcPr>
          <w:p w14:paraId="000628EB"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484 </w:t>
            </w:r>
          </w:p>
        </w:tc>
      </w:tr>
      <w:tr w:rsidR="00C746F4" w:rsidRPr="005E36B7" w14:paraId="29CF0CD8" w14:textId="77777777" w:rsidTr="006B5A62">
        <w:trPr>
          <w:jc w:val="center"/>
        </w:trPr>
        <w:tc>
          <w:tcPr>
            <w:tcW w:w="850" w:type="dxa"/>
            <w:shd w:val="clear" w:color="auto" w:fill="auto"/>
            <w:noWrap/>
            <w:vAlign w:val="center"/>
            <w:hideMark/>
          </w:tcPr>
          <w:p w14:paraId="7FE8806C" w14:textId="77777777" w:rsidR="00C746F4" w:rsidRPr="005E36B7"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SE-N_64</w:t>
            </w:r>
          </w:p>
        </w:tc>
        <w:tc>
          <w:tcPr>
            <w:tcW w:w="4253" w:type="dxa"/>
            <w:shd w:val="clear" w:color="auto" w:fill="auto"/>
            <w:noWrap/>
            <w:vAlign w:val="center"/>
            <w:hideMark/>
          </w:tcPr>
          <w:p w14:paraId="1593A4C3" w14:textId="77777777" w:rsidR="00C746F4" w:rsidRPr="005E36B7"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Quillota</w:t>
            </w:r>
          </w:p>
        </w:tc>
        <w:tc>
          <w:tcPr>
            <w:tcW w:w="1134" w:type="dxa"/>
            <w:shd w:val="clear" w:color="auto" w:fill="auto"/>
            <w:noWrap/>
          </w:tcPr>
          <w:p w14:paraId="5C248FC0"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267.831 </w:t>
            </w:r>
          </w:p>
        </w:tc>
        <w:tc>
          <w:tcPr>
            <w:tcW w:w="1134" w:type="dxa"/>
            <w:shd w:val="clear" w:color="auto" w:fill="auto"/>
            <w:noWrap/>
          </w:tcPr>
          <w:p w14:paraId="01AB9A76"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53.917 </w:t>
            </w:r>
          </w:p>
        </w:tc>
        <w:tc>
          <w:tcPr>
            <w:tcW w:w="1134" w:type="dxa"/>
            <w:shd w:val="clear" w:color="auto" w:fill="auto"/>
            <w:noWrap/>
          </w:tcPr>
          <w:p w14:paraId="2F514EF3"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42.057 </w:t>
            </w:r>
          </w:p>
        </w:tc>
        <w:tc>
          <w:tcPr>
            <w:tcW w:w="1134" w:type="dxa"/>
            <w:shd w:val="clear" w:color="auto" w:fill="auto"/>
            <w:noWrap/>
          </w:tcPr>
          <w:p w14:paraId="5D4E8EF4"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363.805 </w:t>
            </w:r>
          </w:p>
        </w:tc>
      </w:tr>
      <w:tr w:rsidR="00C746F4" w:rsidRPr="005E36B7" w14:paraId="7AABA0CE" w14:textId="77777777" w:rsidTr="006B5A62">
        <w:trPr>
          <w:jc w:val="center"/>
        </w:trPr>
        <w:tc>
          <w:tcPr>
            <w:tcW w:w="850" w:type="dxa"/>
            <w:shd w:val="clear" w:color="auto" w:fill="auto"/>
            <w:noWrap/>
            <w:vAlign w:val="center"/>
            <w:hideMark/>
          </w:tcPr>
          <w:p w14:paraId="072C8B05" w14:textId="77777777" w:rsidR="00C746F4" w:rsidRPr="005E36B7"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SE-N_65</w:t>
            </w:r>
          </w:p>
        </w:tc>
        <w:tc>
          <w:tcPr>
            <w:tcW w:w="4253" w:type="dxa"/>
            <w:shd w:val="clear" w:color="auto" w:fill="auto"/>
            <w:noWrap/>
            <w:vAlign w:val="center"/>
            <w:hideMark/>
          </w:tcPr>
          <w:p w14:paraId="52DDFC68" w14:textId="77777777" w:rsidR="00C746F4" w:rsidRPr="005E36B7"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Rahue</w:t>
            </w:r>
          </w:p>
        </w:tc>
        <w:tc>
          <w:tcPr>
            <w:tcW w:w="1134" w:type="dxa"/>
            <w:shd w:val="clear" w:color="auto" w:fill="auto"/>
            <w:noWrap/>
          </w:tcPr>
          <w:p w14:paraId="29290776"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176.317 </w:t>
            </w:r>
          </w:p>
        </w:tc>
        <w:tc>
          <w:tcPr>
            <w:tcW w:w="1134" w:type="dxa"/>
            <w:shd w:val="clear" w:color="auto" w:fill="auto"/>
            <w:noWrap/>
          </w:tcPr>
          <w:p w14:paraId="26100001"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35.504 </w:t>
            </w:r>
          </w:p>
        </w:tc>
        <w:tc>
          <w:tcPr>
            <w:tcW w:w="1134" w:type="dxa"/>
            <w:shd w:val="clear" w:color="auto" w:fill="auto"/>
            <w:noWrap/>
          </w:tcPr>
          <w:p w14:paraId="4EDCDA70"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35.750 </w:t>
            </w:r>
          </w:p>
        </w:tc>
        <w:tc>
          <w:tcPr>
            <w:tcW w:w="1134" w:type="dxa"/>
            <w:shd w:val="clear" w:color="auto" w:fill="auto"/>
            <w:noWrap/>
          </w:tcPr>
          <w:p w14:paraId="09B4DDBF"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247.570 </w:t>
            </w:r>
          </w:p>
        </w:tc>
      </w:tr>
      <w:tr w:rsidR="00C746F4" w:rsidRPr="005E36B7" w14:paraId="7AEE2859" w14:textId="77777777" w:rsidTr="006B5A62">
        <w:trPr>
          <w:jc w:val="center"/>
        </w:trPr>
        <w:tc>
          <w:tcPr>
            <w:tcW w:w="850" w:type="dxa"/>
            <w:shd w:val="clear" w:color="auto" w:fill="auto"/>
            <w:noWrap/>
            <w:vAlign w:val="center"/>
            <w:hideMark/>
          </w:tcPr>
          <w:p w14:paraId="2544F66C" w14:textId="77777777" w:rsidR="00C746F4" w:rsidRPr="005E36B7"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SE-N_66</w:t>
            </w:r>
          </w:p>
        </w:tc>
        <w:tc>
          <w:tcPr>
            <w:tcW w:w="4253" w:type="dxa"/>
            <w:shd w:val="clear" w:color="auto" w:fill="auto"/>
            <w:noWrap/>
            <w:vAlign w:val="center"/>
            <w:hideMark/>
          </w:tcPr>
          <w:p w14:paraId="61AE632D" w14:textId="77777777" w:rsidR="00C746F4" w:rsidRPr="005E36B7"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Rapel</w:t>
            </w:r>
          </w:p>
        </w:tc>
        <w:tc>
          <w:tcPr>
            <w:tcW w:w="1134" w:type="dxa"/>
            <w:shd w:val="clear" w:color="auto" w:fill="auto"/>
            <w:noWrap/>
          </w:tcPr>
          <w:p w14:paraId="7A1F9C4C"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205.773 </w:t>
            </w:r>
          </w:p>
        </w:tc>
        <w:tc>
          <w:tcPr>
            <w:tcW w:w="1134" w:type="dxa"/>
            <w:shd w:val="clear" w:color="auto" w:fill="auto"/>
            <w:noWrap/>
          </w:tcPr>
          <w:p w14:paraId="29BBFF7B"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41.399 </w:t>
            </w:r>
          </w:p>
        </w:tc>
        <w:tc>
          <w:tcPr>
            <w:tcW w:w="1134" w:type="dxa"/>
            <w:shd w:val="clear" w:color="auto" w:fill="auto"/>
            <w:noWrap/>
          </w:tcPr>
          <w:p w14:paraId="2C44CC81"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29.627 </w:t>
            </w:r>
          </w:p>
        </w:tc>
        <w:tc>
          <w:tcPr>
            <w:tcW w:w="1134" w:type="dxa"/>
            <w:shd w:val="clear" w:color="auto" w:fill="auto"/>
            <w:noWrap/>
          </w:tcPr>
          <w:p w14:paraId="66663AE4"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276.800 </w:t>
            </w:r>
          </w:p>
        </w:tc>
      </w:tr>
      <w:tr w:rsidR="00C746F4" w:rsidRPr="005E36B7" w14:paraId="41B0A22D" w14:textId="77777777" w:rsidTr="006B5A62">
        <w:trPr>
          <w:jc w:val="center"/>
        </w:trPr>
        <w:tc>
          <w:tcPr>
            <w:tcW w:w="850" w:type="dxa"/>
            <w:shd w:val="clear" w:color="auto" w:fill="auto"/>
            <w:noWrap/>
            <w:vAlign w:val="center"/>
            <w:hideMark/>
          </w:tcPr>
          <w:p w14:paraId="1D8ED146" w14:textId="77777777" w:rsidR="00C746F4" w:rsidRPr="005E36B7"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SE-N_67</w:t>
            </w:r>
          </w:p>
        </w:tc>
        <w:tc>
          <w:tcPr>
            <w:tcW w:w="4253" w:type="dxa"/>
            <w:shd w:val="clear" w:color="auto" w:fill="auto"/>
            <w:noWrap/>
            <w:vAlign w:val="center"/>
            <w:hideMark/>
          </w:tcPr>
          <w:p w14:paraId="0AFF3656" w14:textId="77777777" w:rsidR="00C746F4" w:rsidRPr="005E36B7"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 San Andrés</w:t>
            </w:r>
          </w:p>
        </w:tc>
        <w:tc>
          <w:tcPr>
            <w:tcW w:w="1134" w:type="dxa"/>
            <w:shd w:val="clear" w:color="auto" w:fill="auto"/>
            <w:noWrap/>
          </w:tcPr>
          <w:p w14:paraId="7BD434CA"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977.672 </w:t>
            </w:r>
          </w:p>
        </w:tc>
        <w:tc>
          <w:tcPr>
            <w:tcW w:w="1134" w:type="dxa"/>
            <w:shd w:val="clear" w:color="auto" w:fill="auto"/>
            <w:noWrap/>
          </w:tcPr>
          <w:p w14:paraId="16FA2864"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196.389 </w:t>
            </w:r>
          </w:p>
        </w:tc>
        <w:tc>
          <w:tcPr>
            <w:tcW w:w="1134" w:type="dxa"/>
            <w:shd w:val="clear" w:color="auto" w:fill="auto"/>
            <w:noWrap/>
          </w:tcPr>
          <w:p w14:paraId="15EC3350"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278.721 </w:t>
            </w:r>
          </w:p>
        </w:tc>
        <w:tc>
          <w:tcPr>
            <w:tcW w:w="1134" w:type="dxa"/>
            <w:shd w:val="clear" w:color="auto" w:fill="auto"/>
            <w:noWrap/>
          </w:tcPr>
          <w:p w14:paraId="21793345"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1.452.782 </w:t>
            </w:r>
          </w:p>
        </w:tc>
      </w:tr>
      <w:tr w:rsidR="00C746F4" w:rsidRPr="005E36B7" w14:paraId="5A6DF7BC" w14:textId="77777777" w:rsidTr="006B5A62">
        <w:trPr>
          <w:jc w:val="center"/>
        </w:trPr>
        <w:tc>
          <w:tcPr>
            <w:tcW w:w="850" w:type="dxa"/>
            <w:shd w:val="clear" w:color="auto" w:fill="auto"/>
            <w:noWrap/>
            <w:vAlign w:val="center"/>
            <w:hideMark/>
          </w:tcPr>
          <w:p w14:paraId="304A7675" w14:textId="77777777" w:rsidR="00C746F4" w:rsidRPr="005E36B7"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SE-N_68</w:t>
            </w:r>
          </w:p>
        </w:tc>
        <w:tc>
          <w:tcPr>
            <w:tcW w:w="4253" w:type="dxa"/>
            <w:shd w:val="clear" w:color="auto" w:fill="auto"/>
            <w:noWrap/>
            <w:vAlign w:val="center"/>
            <w:hideMark/>
          </w:tcPr>
          <w:p w14:paraId="33AF45BD" w14:textId="77777777" w:rsidR="00C746F4" w:rsidRPr="005E36B7"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Salar</w:t>
            </w:r>
          </w:p>
        </w:tc>
        <w:tc>
          <w:tcPr>
            <w:tcW w:w="1134" w:type="dxa"/>
            <w:shd w:val="clear" w:color="auto" w:fill="auto"/>
            <w:noWrap/>
          </w:tcPr>
          <w:p w14:paraId="66133854"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260.855 </w:t>
            </w:r>
          </w:p>
        </w:tc>
        <w:tc>
          <w:tcPr>
            <w:tcW w:w="1134" w:type="dxa"/>
            <w:shd w:val="clear" w:color="auto" w:fill="auto"/>
            <w:noWrap/>
          </w:tcPr>
          <w:p w14:paraId="0A64D219"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52.683 </w:t>
            </w:r>
          </w:p>
        </w:tc>
        <w:tc>
          <w:tcPr>
            <w:tcW w:w="1134" w:type="dxa"/>
            <w:shd w:val="clear" w:color="auto" w:fill="auto"/>
            <w:noWrap/>
          </w:tcPr>
          <w:p w14:paraId="58DCCBEB"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30.711 </w:t>
            </w:r>
          </w:p>
        </w:tc>
        <w:tc>
          <w:tcPr>
            <w:tcW w:w="1134" w:type="dxa"/>
            <w:shd w:val="clear" w:color="auto" w:fill="auto"/>
            <w:noWrap/>
          </w:tcPr>
          <w:p w14:paraId="2987D11C"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344.248 </w:t>
            </w:r>
          </w:p>
        </w:tc>
      </w:tr>
      <w:tr w:rsidR="00C746F4" w:rsidRPr="005E36B7" w14:paraId="35430BF6" w14:textId="77777777" w:rsidTr="006B5A62">
        <w:trPr>
          <w:jc w:val="center"/>
        </w:trPr>
        <w:tc>
          <w:tcPr>
            <w:tcW w:w="850" w:type="dxa"/>
            <w:shd w:val="clear" w:color="auto" w:fill="auto"/>
            <w:noWrap/>
            <w:vAlign w:val="center"/>
            <w:hideMark/>
          </w:tcPr>
          <w:p w14:paraId="47C5DBF6" w14:textId="77777777" w:rsidR="00C746F4" w:rsidRPr="005E36B7"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SE-N_69</w:t>
            </w:r>
          </w:p>
        </w:tc>
        <w:tc>
          <w:tcPr>
            <w:tcW w:w="4253" w:type="dxa"/>
            <w:shd w:val="clear" w:color="auto" w:fill="auto"/>
            <w:noWrap/>
            <w:vAlign w:val="center"/>
            <w:hideMark/>
          </w:tcPr>
          <w:p w14:paraId="0C943F17" w14:textId="77777777" w:rsidR="00C746F4" w:rsidRPr="005E36B7"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San Luis</w:t>
            </w:r>
          </w:p>
        </w:tc>
        <w:tc>
          <w:tcPr>
            <w:tcW w:w="1134" w:type="dxa"/>
            <w:shd w:val="clear" w:color="auto" w:fill="auto"/>
            <w:noWrap/>
          </w:tcPr>
          <w:p w14:paraId="2E451D37"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105.977 </w:t>
            </w:r>
          </w:p>
        </w:tc>
        <w:tc>
          <w:tcPr>
            <w:tcW w:w="1134" w:type="dxa"/>
            <w:shd w:val="clear" w:color="auto" w:fill="auto"/>
            <w:noWrap/>
          </w:tcPr>
          <w:p w14:paraId="2C7E81E0"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21.310 </w:t>
            </w:r>
          </w:p>
        </w:tc>
        <w:tc>
          <w:tcPr>
            <w:tcW w:w="1134" w:type="dxa"/>
            <w:shd w:val="clear" w:color="auto" w:fill="auto"/>
            <w:noWrap/>
          </w:tcPr>
          <w:p w14:paraId="0C493F60"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14.093 </w:t>
            </w:r>
          </w:p>
        </w:tc>
        <w:tc>
          <w:tcPr>
            <w:tcW w:w="1134" w:type="dxa"/>
            <w:shd w:val="clear" w:color="auto" w:fill="auto"/>
            <w:noWrap/>
          </w:tcPr>
          <w:p w14:paraId="711106E9"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141.379 </w:t>
            </w:r>
          </w:p>
        </w:tc>
      </w:tr>
      <w:tr w:rsidR="00C746F4" w:rsidRPr="005E36B7" w14:paraId="2728BF97" w14:textId="77777777" w:rsidTr="006B5A62">
        <w:trPr>
          <w:jc w:val="center"/>
        </w:trPr>
        <w:tc>
          <w:tcPr>
            <w:tcW w:w="850" w:type="dxa"/>
            <w:shd w:val="clear" w:color="auto" w:fill="auto"/>
            <w:noWrap/>
            <w:vAlign w:val="center"/>
            <w:hideMark/>
          </w:tcPr>
          <w:p w14:paraId="682EA4D2" w14:textId="77777777" w:rsidR="00C746F4" w:rsidRPr="005E36B7"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SE-N_70</w:t>
            </w:r>
          </w:p>
        </w:tc>
        <w:tc>
          <w:tcPr>
            <w:tcW w:w="4253" w:type="dxa"/>
            <w:shd w:val="clear" w:color="auto" w:fill="auto"/>
            <w:noWrap/>
            <w:vAlign w:val="center"/>
            <w:hideMark/>
          </w:tcPr>
          <w:p w14:paraId="6075FEED" w14:textId="77777777" w:rsidR="00C746F4" w:rsidRPr="005E36B7"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San Simón</w:t>
            </w:r>
          </w:p>
        </w:tc>
        <w:tc>
          <w:tcPr>
            <w:tcW w:w="1134" w:type="dxa"/>
            <w:shd w:val="clear" w:color="auto" w:fill="auto"/>
            <w:noWrap/>
          </w:tcPr>
          <w:p w14:paraId="29C1C6DB"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 </w:t>
            </w:r>
          </w:p>
        </w:tc>
        <w:tc>
          <w:tcPr>
            <w:tcW w:w="1134" w:type="dxa"/>
            <w:shd w:val="clear" w:color="auto" w:fill="auto"/>
            <w:noWrap/>
          </w:tcPr>
          <w:p w14:paraId="09F68399"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 </w:t>
            </w:r>
          </w:p>
        </w:tc>
        <w:tc>
          <w:tcPr>
            <w:tcW w:w="1134" w:type="dxa"/>
            <w:shd w:val="clear" w:color="auto" w:fill="auto"/>
            <w:noWrap/>
          </w:tcPr>
          <w:p w14:paraId="5123355C"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 </w:t>
            </w:r>
          </w:p>
        </w:tc>
        <w:tc>
          <w:tcPr>
            <w:tcW w:w="1134" w:type="dxa"/>
            <w:shd w:val="clear" w:color="auto" w:fill="auto"/>
            <w:noWrap/>
          </w:tcPr>
          <w:p w14:paraId="4EC2EDC7"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 </w:t>
            </w:r>
          </w:p>
        </w:tc>
      </w:tr>
      <w:tr w:rsidR="00C746F4" w:rsidRPr="005E36B7" w14:paraId="7595DAE2" w14:textId="77777777" w:rsidTr="006B5A62">
        <w:trPr>
          <w:jc w:val="center"/>
        </w:trPr>
        <w:tc>
          <w:tcPr>
            <w:tcW w:w="850" w:type="dxa"/>
            <w:shd w:val="clear" w:color="auto" w:fill="auto"/>
            <w:noWrap/>
            <w:vAlign w:val="center"/>
            <w:hideMark/>
          </w:tcPr>
          <w:p w14:paraId="614AC498" w14:textId="77777777" w:rsidR="00C746F4" w:rsidRPr="005E36B7"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SE-N_71</w:t>
            </w:r>
          </w:p>
        </w:tc>
        <w:tc>
          <w:tcPr>
            <w:tcW w:w="4253" w:type="dxa"/>
            <w:shd w:val="clear" w:color="auto" w:fill="auto"/>
            <w:noWrap/>
            <w:vAlign w:val="center"/>
            <w:hideMark/>
          </w:tcPr>
          <w:p w14:paraId="0C64D2AA" w14:textId="77777777" w:rsidR="00C746F4" w:rsidRPr="005E36B7"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Tap Central Santa Marta</w:t>
            </w:r>
          </w:p>
        </w:tc>
        <w:tc>
          <w:tcPr>
            <w:tcW w:w="1134" w:type="dxa"/>
            <w:shd w:val="clear" w:color="auto" w:fill="auto"/>
            <w:noWrap/>
          </w:tcPr>
          <w:p w14:paraId="12F27643"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 </w:t>
            </w:r>
          </w:p>
        </w:tc>
        <w:tc>
          <w:tcPr>
            <w:tcW w:w="1134" w:type="dxa"/>
            <w:shd w:val="clear" w:color="auto" w:fill="auto"/>
            <w:noWrap/>
          </w:tcPr>
          <w:p w14:paraId="7AAFAC26"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 </w:t>
            </w:r>
          </w:p>
        </w:tc>
        <w:tc>
          <w:tcPr>
            <w:tcW w:w="1134" w:type="dxa"/>
            <w:shd w:val="clear" w:color="auto" w:fill="auto"/>
            <w:noWrap/>
          </w:tcPr>
          <w:p w14:paraId="406C1668"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 </w:t>
            </w:r>
          </w:p>
        </w:tc>
        <w:tc>
          <w:tcPr>
            <w:tcW w:w="1134" w:type="dxa"/>
            <w:shd w:val="clear" w:color="auto" w:fill="auto"/>
            <w:noWrap/>
          </w:tcPr>
          <w:p w14:paraId="0DA45D24"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 </w:t>
            </w:r>
          </w:p>
        </w:tc>
      </w:tr>
      <w:tr w:rsidR="00C746F4" w:rsidRPr="005E36B7" w14:paraId="74C9A4E0" w14:textId="77777777" w:rsidTr="006B5A62">
        <w:trPr>
          <w:jc w:val="center"/>
        </w:trPr>
        <w:tc>
          <w:tcPr>
            <w:tcW w:w="850" w:type="dxa"/>
            <w:shd w:val="clear" w:color="auto" w:fill="auto"/>
            <w:noWrap/>
            <w:vAlign w:val="center"/>
            <w:hideMark/>
          </w:tcPr>
          <w:p w14:paraId="10FB01C5" w14:textId="77777777" w:rsidR="00C746F4" w:rsidRPr="005E36B7"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SE-N_72</w:t>
            </w:r>
          </w:p>
        </w:tc>
        <w:tc>
          <w:tcPr>
            <w:tcW w:w="4253" w:type="dxa"/>
            <w:shd w:val="clear" w:color="auto" w:fill="auto"/>
            <w:noWrap/>
            <w:vAlign w:val="center"/>
            <w:hideMark/>
          </w:tcPr>
          <w:p w14:paraId="087FAB2D" w14:textId="77777777" w:rsidR="00C746F4" w:rsidRPr="005E36B7"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Tap Chicureo</w:t>
            </w:r>
          </w:p>
        </w:tc>
        <w:tc>
          <w:tcPr>
            <w:tcW w:w="1134" w:type="dxa"/>
            <w:shd w:val="clear" w:color="auto" w:fill="auto"/>
            <w:noWrap/>
          </w:tcPr>
          <w:p w14:paraId="24D69133"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 </w:t>
            </w:r>
          </w:p>
        </w:tc>
        <w:tc>
          <w:tcPr>
            <w:tcW w:w="1134" w:type="dxa"/>
            <w:shd w:val="clear" w:color="auto" w:fill="auto"/>
            <w:noWrap/>
          </w:tcPr>
          <w:p w14:paraId="568D1FAD"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 </w:t>
            </w:r>
          </w:p>
        </w:tc>
        <w:tc>
          <w:tcPr>
            <w:tcW w:w="1134" w:type="dxa"/>
            <w:shd w:val="clear" w:color="auto" w:fill="auto"/>
            <w:noWrap/>
          </w:tcPr>
          <w:p w14:paraId="7F051AFE"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 </w:t>
            </w:r>
          </w:p>
        </w:tc>
        <w:tc>
          <w:tcPr>
            <w:tcW w:w="1134" w:type="dxa"/>
            <w:shd w:val="clear" w:color="auto" w:fill="auto"/>
            <w:noWrap/>
          </w:tcPr>
          <w:p w14:paraId="01E978BD"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 </w:t>
            </w:r>
          </w:p>
        </w:tc>
      </w:tr>
      <w:tr w:rsidR="00C746F4" w:rsidRPr="005E36B7" w14:paraId="47268F19" w14:textId="77777777" w:rsidTr="006B5A62">
        <w:trPr>
          <w:jc w:val="center"/>
        </w:trPr>
        <w:tc>
          <w:tcPr>
            <w:tcW w:w="850" w:type="dxa"/>
            <w:shd w:val="clear" w:color="auto" w:fill="auto"/>
            <w:noWrap/>
            <w:vAlign w:val="center"/>
            <w:hideMark/>
          </w:tcPr>
          <w:p w14:paraId="76C72ABF" w14:textId="77777777" w:rsidR="00C746F4" w:rsidRPr="005E36B7"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SE-N_73</w:t>
            </w:r>
          </w:p>
        </w:tc>
        <w:tc>
          <w:tcPr>
            <w:tcW w:w="4253" w:type="dxa"/>
            <w:shd w:val="clear" w:color="auto" w:fill="auto"/>
            <w:noWrap/>
            <w:vAlign w:val="center"/>
            <w:hideMark/>
          </w:tcPr>
          <w:p w14:paraId="51BFDE71" w14:textId="77777777" w:rsidR="00C746F4" w:rsidRPr="005E36B7"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Tap Doña Carmen</w:t>
            </w:r>
          </w:p>
        </w:tc>
        <w:tc>
          <w:tcPr>
            <w:tcW w:w="1134" w:type="dxa"/>
            <w:shd w:val="clear" w:color="auto" w:fill="auto"/>
            <w:noWrap/>
          </w:tcPr>
          <w:p w14:paraId="48C57509"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 </w:t>
            </w:r>
          </w:p>
        </w:tc>
        <w:tc>
          <w:tcPr>
            <w:tcW w:w="1134" w:type="dxa"/>
            <w:shd w:val="clear" w:color="auto" w:fill="auto"/>
            <w:noWrap/>
          </w:tcPr>
          <w:p w14:paraId="5A27A7E5"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 </w:t>
            </w:r>
          </w:p>
        </w:tc>
        <w:tc>
          <w:tcPr>
            <w:tcW w:w="1134" w:type="dxa"/>
            <w:shd w:val="clear" w:color="auto" w:fill="auto"/>
            <w:noWrap/>
          </w:tcPr>
          <w:p w14:paraId="3E60DCED"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 </w:t>
            </w:r>
          </w:p>
        </w:tc>
        <w:tc>
          <w:tcPr>
            <w:tcW w:w="1134" w:type="dxa"/>
            <w:shd w:val="clear" w:color="auto" w:fill="auto"/>
            <w:noWrap/>
          </w:tcPr>
          <w:p w14:paraId="250836AF"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 </w:t>
            </w:r>
          </w:p>
        </w:tc>
      </w:tr>
      <w:tr w:rsidR="00C746F4" w:rsidRPr="005E36B7" w14:paraId="05D11253" w14:textId="77777777" w:rsidTr="006B5A62">
        <w:trPr>
          <w:jc w:val="center"/>
        </w:trPr>
        <w:tc>
          <w:tcPr>
            <w:tcW w:w="850" w:type="dxa"/>
            <w:shd w:val="clear" w:color="auto" w:fill="auto"/>
            <w:noWrap/>
            <w:vAlign w:val="center"/>
            <w:hideMark/>
          </w:tcPr>
          <w:p w14:paraId="2D4C7C6A" w14:textId="77777777" w:rsidR="00C746F4" w:rsidRPr="005E36B7"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SE-N_74</w:t>
            </w:r>
          </w:p>
        </w:tc>
        <w:tc>
          <w:tcPr>
            <w:tcW w:w="4253" w:type="dxa"/>
            <w:shd w:val="clear" w:color="auto" w:fill="auto"/>
            <w:noWrap/>
            <w:vAlign w:val="center"/>
            <w:hideMark/>
          </w:tcPr>
          <w:p w14:paraId="6A4DA92D" w14:textId="77777777" w:rsidR="00C746F4" w:rsidRPr="005E36B7"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Tap El Manzano</w:t>
            </w:r>
          </w:p>
        </w:tc>
        <w:tc>
          <w:tcPr>
            <w:tcW w:w="1134" w:type="dxa"/>
            <w:shd w:val="clear" w:color="auto" w:fill="auto"/>
            <w:noWrap/>
          </w:tcPr>
          <w:p w14:paraId="406005CE"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 </w:t>
            </w:r>
          </w:p>
        </w:tc>
        <w:tc>
          <w:tcPr>
            <w:tcW w:w="1134" w:type="dxa"/>
            <w:shd w:val="clear" w:color="auto" w:fill="auto"/>
            <w:noWrap/>
          </w:tcPr>
          <w:p w14:paraId="3ECB7D3D"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 </w:t>
            </w:r>
          </w:p>
        </w:tc>
        <w:tc>
          <w:tcPr>
            <w:tcW w:w="1134" w:type="dxa"/>
            <w:shd w:val="clear" w:color="auto" w:fill="auto"/>
            <w:noWrap/>
          </w:tcPr>
          <w:p w14:paraId="1F9058FD"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 </w:t>
            </w:r>
          </w:p>
        </w:tc>
        <w:tc>
          <w:tcPr>
            <w:tcW w:w="1134" w:type="dxa"/>
            <w:shd w:val="clear" w:color="auto" w:fill="auto"/>
            <w:noWrap/>
          </w:tcPr>
          <w:p w14:paraId="7FB2B4DA"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 </w:t>
            </w:r>
          </w:p>
        </w:tc>
      </w:tr>
      <w:tr w:rsidR="00C746F4" w:rsidRPr="005E36B7" w14:paraId="503A42C6" w14:textId="77777777" w:rsidTr="006B5A62">
        <w:trPr>
          <w:jc w:val="center"/>
        </w:trPr>
        <w:tc>
          <w:tcPr>
            <w:tcW w:w="850" w:type="dxa"/>
            <w:shd w:val="clear" w:color="auto" w:fill="auto"/>
            <w:noWrap/>
            <w:vAlign w:val="center"/>
            <w:hideMark/>
          </w:tcPr>
          <w:p w14:paraId="40B8A8AF" w14:textId="77777777" w:rsidR="00C746F4" w:rsidRPr="005E36B7"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SE-N_75</w:t>
            </w:r>
          </w:p>
        </w:tc>
        <w:tc>
          <w:tcPr>
            <w:tcW w:w="4253" w:type="dxa"/>
            <w:shd w:val="clear" w:color="auto" w:fill="auto"/>
            <w:noWrap/>
            <w:vAlign w:val="center"/>
            <w:hideMark/>
          </w:tcPr>
          <w:p w14:paraId="072C13B3" w14:textId="77777777" w:rsidR="00C746F4" w:rsidRPr="005E36B7"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Tap El Romero</w:t>
            </w:r>
          </w:p>
        </w:tc>
        <w:tc>
          <w:tcPr>
            <w:tcW w:w="1134" w:type="dxa"/>
            <w:shd w:val="clear" w:color="auto" w:fill="auto"/>
            <w:noWrap/>
          </w:tcPr>
          <w:p w14:paraId="40FC7080"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 </w:t>
            </w:r>
          </w:p>
        </w:tc>
        <w:tc>
          <w:tcPr>
            <w:tcW w:w="1134" w:type="dxa"/>
            <w:shd w:val="clear" w:color="auto" w:fill="auto"/>
            <w:noWrap/>
          </w:tcPr>
          <w:p w14:paraId="2F74BA5D"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 </w:t>
            </w:r>
          </w:p>
        </w:tc>
        <w:tc>
          <w:tcPr>
            <w:tcW w:w="1134" w:type="dxa"/>
            <w:shd w:val="clear" w:color="auto" w:fill="auto"/>
            <w:noWrap/>
          </w:tcPr>
          <w:p w14:paraId="2C1E4FC9"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 </w:t>
            </w:r>
          </w:p>
        </w:tc>
        <w:tc>
          <w:tcPr>
            <w:tcW w:w="1134" w:type="dxa"/>
            <w:shd w:val="clear" w:color="auto" w:fill="auto"/>
            <w:noWrap/>
          </w:tcPr>
          <w:p w14:paraId="21E7AF3C"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 </w:t>
            </w:r>
          </w:p>
        </w:tc>
      </w:tr>
      <w:tr w:rsidR="00C746F4" w:rsidRPr="005E36B7" w14:paraId="658FDEC2" w14:textId="77777777" w:rsidTr="006B5A62">
        <w:trPr>
          <w:jc w:val="center"/>
        </w:trPr>
        <w:tc>
          <w:tcPr>
            <w:tcW w:w="850" w:type="dxa"/>
            <w:shd w:val="clear" w:color="auto" w:fill="auto"/>
            <w:noWrap/>
            <w:vAlign w:val="center"/>
            <w:hideMark/>
          </w:tcPr>
          <w:p w14:paraId="662085B0" w14:textId="77777777" w:rsidR="00C746F4" w:rsidRPr="005E36B7"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SE-N_76</w:t>
            </w:r>
          </w:p>
        </w:tc>
        <w:tc>
          <w:tcPr>
            <w:tcW w:w="4253" w:type="dxa"/>
            <w:shd w:val="clear" w:color="auto" w:fill="auto"/>
            <w:noWrap/>
            <w:vAlign w:val="center"/>
            <w:hideMark/>
          </w:tcPr>
          <w:p w14:paraId="08B59006" w14:textId="77777777" w:rsidR="00C746F4" w:rsidRPr="005E36B7"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Tap Enlace</w:t>
            </w:r>
          </w:p>
        </w:tc>
        <w:tc>
          <w:tcPr>
            <w:tcW w:w="1134" w:type="dxa"/>
            <w:shd w:val="clear" w:color="auto" w:fill="auto"/>
            <w:noWrap/>
          </w:tcPr>
          <w:p w14:paraId="3862FCEA"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 </w:t>
            </w:r>
          </w:p>
        </w:tc>
        <w:tc>
          <w:tcPr>
            <w:tcW w:w="1134" w:type="dxa"/>
            <w:shd w:val="clear" w:color="auto" w:fill="auto"/>
            <w:noWrap/>
          </w:tcPr>
          <w:p w14:paraId="488D6277"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 </w:t>
            </w:r>
          </w:p>
        </w:tc>
        <w:tc>
          <w:tcPr>
            <w:tcW w:w="1134" w:type="dxa"/>
            <w:shd w:val="clear" w:color="auto" w:fill="auto"/>
            <w:noWrap/>
          </w:tcPr>
          <w:p w14:paraId="730757AD"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 </w:t>
            </w:r>
          </w:p>
        </w:tc>
        <w:tc>
          <w:tcPr>
            <w:tcW w:w="1134" w:type="dxa"/>
            <w:shd w:val="clear" w:color="auto" w:fill="auto"/>
            <w:noWrap/>
          </w:tcPr>
          <w:p w14:paraId="7BBB8FFD"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 </w:t>
            </w:r>
          </w:p>
        </w:tc>
      </w:tr>
      <w:tr w:rsidR="00C746F4" w:rsidRPr="005E36B7" w14:paraId="35E9C032" w14:textId="77777777" w:rsidTr="006B5A62">
        <w:trPr>
          <w:jc w:val="center"/>
        </w:trPr>
        <w:tc>
          <w:tcPr>
            <w:tcW w:w="850" w:type="dxa"/>
            <w:shd w:val="clear" w:color="auto" w:fill="auto"/>
            <w:noWrap/>
            <w:vAlign w:val="center"/>
            <w:hideMark/>
          </w:tcPr>
          <w:p w14:paraId="5B61B06F" w14:textId="77777777" w:rsidR="00C746F4" w:rsidRPr="005E36B7"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SE-N_77</w:t>
            </w:r>
          </w:p>
        </w:tc>
        <w:tc>
          <w:tcPr>
            <w:tcW w:w="4253" w:type="dxa"/>
            <w:shd w:val="clear" w:color="auto" w:fill="auto"/>
            <w:noWrap/>
            <w:vAlign w:val="center"/>
            <w:hideMark/>
          </w:tcPr>
          <w:p w14:paraId="4DBA8B1C" w14:textId="77777777" w:rsidR="00C746F4" w:rsidRPr="005E36B7"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Tap off Sierra Gorda Eólico</w:t>
            </w:r>
          </w:p>
        </w:tc>
        <w:tc>
          <w:tcPr>
            <w:tcW w:w="1134" w:type="dxa"/>
            <w:shd w:val="clear" w:color="auto" w:fill="auto"/>
            <w:noWrap/>
          </w:tcPr>
          <w:p w14:paraId="08778386"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 </w:t>
            </w:r>
          </w:p>
        </w:tc>
        <w:tc>
          <w:tcPr>
            <w:tcW w:w="1134" w:type="dxa"/>
            <w:shd w:val="clear" w:color="auto" w:fill="auto"/>
            <w:noWrap/>
          </w:tcPr>
          <w:p w14:paraId="6BFD50B1"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 </w:t>
            </w:r>
          </w:p>
        </w:tc>
        <w:tc>
          <w:tcPr>
            <w:tcW w:w="1134" w:type="dxa"/>
            <w:shd w:val="clear" w:color="auto" w:fill="auto"/>
            <w:noWrap/>
          </w:tcPr>
          <w:p w14:paraId="700D8C29"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 </w:t>
            </w:r>
          </w:p>
        </w:tc>
        <w:tc>
          <w:tcPr>
            <w:tcW w:w="1134" w:type="dxa"/>
            <w:shd w:val="clear" w:color="auto" w:fill="auto"/>
            <w:noWrap/>
          </w:tcPr>
          <w:p w14:paraId="52C6F675"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 </w:t>
            </w:r>
          </w:p>
        </w:tc>
      </w:tr>
      <w:tr w:rsidR="00C746F4" w:rsidRPr="005E36B7" w14:paraId="1658C2DB" w14:textId="77777777" w:rsidTr="006B5A62">
        <w:trPr>
          <w:jc w:val="center"/>
        </w:trPr>
        <w:tc>
          <w:tcPr>
            <w:tcW w:w="850" w:type="dxa"/>
            <w:shd w:val="clear" w:color="auto" w:fill="auto"/>
            <w:noWrap/>
            <w:vAlign w:val="center"/>
            <w:hideMark/>
          </w:tcPr>
          <w:p w14:paraId="637F01E6" w14:textId="77777777" w:rsidR="00C746F4" w:rsidRPr="005E36B7"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SE-N_78</w:t>
            </w:r>
          </w:p>
        </w:tc>
        <w:tc>
          <w:tcPr>
            <w:tcW w:w="4253" w:type="dxa"/>
            <w:shd w:val="clear" w:color="auto" w:fill="auto"/>
            <w:noWrap/>
            <w:vAlign w:val="center"/>
            <w:hideMark/>
          </w:tcPr>
          <w:p w14:paraId="1A78B630" w14:textId="77777777" w:rsidR="00C746F4" w:rsidRPr="005E36B7"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Tarapacá</w:t>
            </w:r>
          </w:p>
        </w:tc>
        <w:tc>
          <w:tcPr>
            <w:tcW w:w="1134" w:type="dxa"/>
            <w:shd w:val="clear" w:color="auto" w:fill="auto"/>
            <w:noWrap/>
          </w:tcPr>
          <w:p w14:paraId="23F21CEA"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159.023 </w:t>
            </w:r>
          </w:p>
        </w:tc>
        <w:tc>
          <w:tcPr>
            <w:tcW w:w="1134" w:type="dxa"/>
            <w:shd w:val="clear" w:color="auto" w:fill="auto"/>
            <w:noWrap/>
          </w:tcPr>
          <w:p w14:paraId="1A4C0FCE"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32.020 </w:t>
            </w:r>
          </w:p>
        </w:tc>
        <w:tc>
          <w:tcPr>
            <w:tcW w:w="1134" w:type="dxa"/>
            <w:shd w:val="clear" w:color="auto" w:fill="auto"/>
            <w:noWrap/>
          </w:tcPr>
          <w:p w14:paraId="730720A8"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21.821 </w:t>
            </w:r>
          </w:p>
        </w:tc>
        <w:tc>
          <w:tcPr>
            <w:tcW w:w="1134" w:type="dxa"/>
            <w:shd w:val="clear" w:color="auto" w:fill="auto"/>
            <w:noWrap/>
          </w:tcPr>
          <w:p w14:paraId="737CD087"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212.865 </w:t>
            </w:r>
          </w:p>
        </w:tc>
      </w:tr>
      <w:tr w:rsidR="00C746F4" w:rsidRPr="005E36B7" w14:paraId="70AA6357" w14:textId="77777777" w:rsidTr="006B5A62">
        <w:trPr>
          <w:jc w:val="center"/>
        </w:trPr>
        <w:tc>
          <w:tcPr>
            <w:tcW w:w="850" w:type="dxa"/>
            <w:shd w:val="clear" w:color="auto" w:fill="auto"/>
            <w:noWrap/>
            <w:vAlign w:val="center"/>
            <w:hideMark/>
          </w:tcPr>
          <w:p w14:paraId="6638101E" w14:textId="77777777" w:rsidR="00C746F4" w:rsidRPr="005E36B7"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SE-N_79</w:t>
            </w:r>
          </w:p>
        </w:tc>
        <w:tc>
          <w:tcPr>
            <w:tcW w:w="4253" w:type="dxa"/>
            <w:shd w:val="clear" w:color="auto" w:fill="auto"/>
            <w:noWrap/>
            <w:vAlign w:val="center"/>
            <w:hideMark/>
          </w:tcPr>
          <w:p w14:paraId="0FCF3075" w14:textId="77777777" w:rsidR="00C746F4" w:rsidRPr="005E36B7"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Temuco</w:t>
            </w:r>
          </w:p>
        </w:tc>
        <w:tc>
          <w:tcPr>
            <w:tcW w:w="1134" w:type="dxa"/>
            <w:shd w:val="clear" w:color="auto" w:fill="auto"/>
            <w:noWrap/>
          </w:tcPr>
          <w:p w14:paraId="1A82BF04"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741.730 </w:t>
            </w:r>
          </w:p>
        </w:tc>
        <w:tc>
          <w:tcPr>
            <w:tcW w:w="1134" w:type="dxa"/>
            <w:shd w:val="clear" w:color="auto" w:fill="auto"/>
            <w:noWrap/>
          </w:tcPr>
          <w:p w14:paraId="24E6AD02"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149.349 </w:t>
            </w:r>
          </w:p>
        </w:tc>
        <w:tc>
          <w:tcPr>
            <w:tcW w:w="1134" w:type="dxa"/>
            <w:shd w:val="clear" w:color="auto" w:fill="auto"/>
            <w:noWrap/>
          </w:tcPr>
          <w:p w14:paraId="4087F42D"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188.876 </w:t>
            </w:r>
          </w:p>
        </w:tc>
        <w:tc>
          <w:tcPr>
            <w:tcW w:w="1134" w:type="dxa"/>
            <w:shd w:val="clear" w:color="auto" w:fill="auto"/>
            <w:noWrap/>
          </w:tcPr>
          <w:p w14:paraId="3AAF4301"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1.079.955 </w:t>
            </w:r>
          </w:p>
        </w:tc>
      </w:tr>
      <w:tr w:rsidR="00C746F4" w:rsidRPr="005E36B7" w14:paraId="16BDCE38" w14:textId="77777777" w:rsidTr="006B5A62">
        <w:trPr>
          <w:jc w:val="center"/>
        </w:trPr>
        <w:tc>
          <w:tcPr>
            <w:tcW w:w="850" w:type="dxa"/>
            <w:shd w:val="clear" w:color="auto" w:fill="auto"/>
            <w:noWrap/>
            <w:vAlign w:val="center"/>
            <w:hideMark/>
          </w:tcPr>
          <w:p w14:paraId="53B1E29C" w14:textId="77777777" w:rsidR="00C746F4" w:rsidRPr="005E36B7"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SE-N_80</w:t>
            </w:r>
          </w:p>
        </w:tc>
        <w:tc>
          <w:tcPr>
            <w:tcW w:w="4253" w:type="dxa"/>
            <w:shd w:val="clear" w:color="auto" w:fill="auto"/>
            <w:noWrap/>
            <w:vAlign w:val="center"/>
            <w:hideMark/>
          </w:tcPr>
          <w:p w14:paraId="6A4F6AFD" w14:textId="77777777" w:rsidR="00C746F4" w:rsidRPr="005E36B7"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Tinguiririca</w:t>
            </w:r>
          </w:p>
        </w:tc>
        <w:tc>
          <w:tcPr>
            <w:tcW w:w="1134" w:type="dxa"/>
            <w:shd w:val="clear" w:color="auto" w:fill="auto"/>
            <w:noWrap/>
          </w:tcPr>
          <w:p w14:paraId="03C85078"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223.034 </w:t>
            </w:r>
          </w:p>
        </w:tc>
        <w:tc>
          <w:tcPr>
            <w:tcW w:w="1134" w:type="dxa"/>
            <w:shd w:val="clear" w:color="auto" w:fill="auto"/>
            <w:noWrap/>
          </w:tcPr>
          <w:p w14:paraId="36C3B5EE"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44.913 </w:t>
            </w:r>
          </w:p>
        </w:tc>
        <w:tc>
          <w:tcPr>
            <w:tcW w:w="1134" w:type="dxa"/>
            <w:shd w:val="clear" w:color="auto" w:fill="auto"/>
            <w:noWrap/>
          </w:tcPr>
          <w:p w14:paraId="0D2736FE"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32.054 </w:t>
            </w:r>
          </w:p>
        </w:tc>
        <w:tc>
          <w:tcPr>
            <w:tcW w:w="1134" w:type="dxa"/>
            <w:shd w:val="clear" w:color="auto" w:fill="auto"/>
            <w:noWrap/>
          </w:tcPr>
          <w:p w14:paraId="34756559"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300.001 </w:t>
            </w:r>
          </w:p>
        </w:tc>
      </w:tr>
      <w:tr w:rsidR="00C746F4" w:rsidRPr="005E36B7" w14:paraId="43825478" w14:textId="77777777" w:rsidTr="006B5A62">
        <w:trPr>
          <w:jc w:val="center"/>
        </w:trPr>
        <w:tc>
          <w:tcPr>
            <w:tcW w:w="850" w:type="dxa"/>
            <w:shd w:val="clear" w:color="auto" w:fill="auto"/>
            <w:noWrap/>
            <w:vAlign w:val="center"/>
            <w:hideMark/>
          </w:tcPr>
          <w:p w14:paraId="0A9CE761" w14:textId="77777777" w:rsidR="00C746F4" w:rsidRPr="005E36B7" w:rsidRDefault="00C746F4" w:rsidP="006B5A62">
            <w:pPr>
              <w:spacing w:before="20" w:after="20" w:line="240" w:lineRule="auto"/>
              <w:jc w:val="center"/>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SE-N_81</w:t>
            </w:r>
          </w:p>
        </w:tc>
        <w:tc>
          <w:tcPr>
            <w:tcW w:w="4253" w:type="dxa"/>
            <w:shd w:val="clear" w:color="auto" w:fill="auto"/>
            <w:noWrap/>
            <w:vAlign w:val="center"/>
            <w:hideMark/>
          </w:tcPr>
          <w:p w14:paraId="40652E15" w14:textId="77777777" w:rsidR="00C746F4" w:rsidRPr="005E36B7" w:rsidRDefault="00C746F4" w:rsidP="006B5A62">
            <w:pPr>
              <w:spacing w:before="20" w:after="20" w:line="240" w:lineRule="auto"/>
              <w:jc w:val="left"/>
              <w:rPr>
                <w:rFonts w:asciiTheme="minorHAnsi" w:eastAsia="Times New Roman" w:hAnsiTheme="minorHAnsi" w:cstheme="minorHAnsi"/>
                <w:color w:val="000000"/>
                <w:sz w:val="20"/>
                <w:szCs w:val="20"/>
                <w:lang w:eastAsia="es-CL"/>
              </w:rPr>
            </w:pPr>
            <w:r w:rsidRPr="005E36B7">
              <w:rPr>
                <w:rFonts w:asciiTheme="minorHAnsi" w:eastAsia="Times New Roman" w:hAnsiTheme="minorHAnsi" w:cstheme="minorHAnsi"/>
                <w:color w:val="000000"/>
                <w:sz w:val="20"/>
                <w:szCs w:val="20"/>
                <w:lang w:eastAsia="es-CL"/>
              </w:rPr>
              <w:t>Valdivia</w:t>
            </w:r>
          </w:p>
        </w:tc>
        <w:tc>
          <w:tcPr>
            <w:tcW w:w="1134" w:type="dxa"/>
            <w:shd w:val="clear" w:color="auto" w:fill="auto"/>
            <w:noWrap/>
          </w:tcPr>
          <w:p w14:paraId="04A5BE2A"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342.293 </w:t>
            </w:r>
          </w:p>
        </w:tc>
        <w:tc>
          <w:tcPr>
            <w:tcW w:w="1134" w:type="dxa"/>
            <w:shd w:val="clear" w:color="auto" w:fill="auto"/>
            <w:noWrap/>
          </w:tcPr>
          <w:p w14:paraId="657CFF43"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68.920 </w:t>
            </w:r>
          </w:p>
        </w:tc>
        <w:tc>
          <w:tcPr>
            <w:tcW w:w="1134" w:type="dxa"/>
            <w:shd w:val="clear" w:color="auto" w:fill="auto"/>
            <w:noWrap/>
          </w:tcPr>
          <w:p w14:paraId="07599B6A"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65.395 </w:t>
            </w:r>
          </w:p>
        </w:tc>
        <w:tc>
          <w:tcPr>
            <w:tcW w:w="1134" w:type="dxa"/>
            <w:shd w:val="clear" w:color="auto" w:fill="auto"/>
            <w:noWrap/>
          </w:tcPr>
          <w:p w14:paraId="13ABDE78" w14:textId="77777777" w:rsidR="00C746F4" w:rsidRPr="00295809" w:rsidRDefault="00C746F4" w:rsidP="006B5A62">
            <w:pPr>
              <w:spacing w:before="20" w:after="20" w:line="240" w:lineRule="auto"/>
              <w:jc w:val="right"/>
              <w:rPr>
                <w:rFonts w:asciiTheme="minorHAnsi" w:hAnsiTheme="minorHAnsi" w:cstheme="minorHAnsi"/>
                <w:sz w:val="20"/>
                <w:szCs w:val="20"/>
              </w:rPr>
            </w:pPr>
            <w:r w:rsidRPr="00295809">
              <w:rPr>
                <w:sz w:val="20"/>
                <w:szCs w:val="20"/>
              </w:rPr>
              <w:t xml:space="preserve"> 476.608 </w:t>
            </w:r>
          </w:p>
        </w:tc>
      </w:tr>
    </w:tbl>
    <w:p w14:paraId="1E992AD6" w14:textId="77777777" w:rsidR="00A34D3B" w:rsidRDefault="00A34D3B" w:rsidP="00A1588E">
      <w:pPr>
        <w:spacing w:after="0"/>
      </w:pPr>
    </w:p>
    <w:p w14:paraId="2703B0D6" w14:textId="7B35ACC6" w:rsidR="005E36B7" w:rsidRDefault="002E0EDF" w:rsidP="002E0EDF">
      <w:pPr>
        <w:pStyle w:val="Subttulo"/>
        <w:rPr>
          <w:bCs/>
          <w:szCs w:val="22"/>
        </w:rPr>
      </w:pPr>
      <w:bookmarkStart w:id="580" w:name="_Toc39797980"/>
      <w:r w:rsidRPr="002F3394">
        <w:t xml:space="preserve">Tabla </w:t>
      </w:r>
      <w:fldSimple w:instr=" SEQ Tabla \* ARABIC ">
        <w:r w:rsidR="001F3E2E">
          <w:rPr>
            <w:noProof/>
          </w:rPr>
          <w:t>70</w:t>
        </w:r>
      </w:fldSimple>
      <w:r>
        <w:t>: Coeficientes fórmulas de indexación tramos de transporte</w:t>
      </w:r>
      <w:bookmarkEnd w:id="580"/>
    </w:p>
    <w:tbl>
      <w:tblPr>
        <w:tblW w:w="9860" w:type="dxa"/>
        <w:tblInd w:w="55" w:type="dxa"/>
        <w:tblCellMar>
          <w:left w:w="70" w:type="dxa"/>
          <w:right w:w="70" w:type="dxa"/>
        </w:tblCellMar>
        <w:tblLook w:val="04A0" w:firstRow="1" w:lastRow="0" w:firstColumn="1" w:lastColumn="0" w:noHBand="0" w:noVBand="1"/>
      </w:tblPr>
      <w:tblGrid>
        <w:gridCol w:w="960"/>
        <w:gridCol w:w="5060"/>
        <w:gridCol w:w="960"/>
        <w:gridCol w:w="960"/>
        <w:gridCol w:w="960"/>
        <w:gridCol w:w="960"/>
      </w:tblGrid>
      <w:tr w:rsidR="004730B7" w:rsidRPr="004730B7" w14:paraId="29AD2C2D" w14:textId="77777777" w:rsidTr="004730B7">
        <w:trPr>
          <w:trHeight w:val="300"/>
          <w:tblHeader/>
        </w:trPr>
        <w:tc>
          <w:tcPr>
            <w:tcW w:w="960" w:type="dxa"/>
            <w:tcBorders>
              <w:top w:val="single" w:sz="4" w:space="0" w:color="auto"/>
              <w:left w:val="single" w:sz="4" w:space="0" w:color="auto"/>
              <w:bottom w:val="single" w:sz="4" w:space="0" w:color="auto"/>
              <w:right w:val="single" w:sz="4" w:space="0" w:color="auto"/>
            </w:tcBorders>
            <w:shd w:val="clear" w:color="000000" w:fill="D9D9D9"/>
            <w:noWrap/>
            <w:vAlign w:val="bottom"/>
            <w:hideMark/>
          </w:tcPr>
          <w:p w14:paraId="77245873" w14:textId="77777777" w:rsidR="004730B7" w:rsidRPr="004730B7" w:rsidRDefault="004730B7" w:rsidP="004730B7">
            <w:pPr>
              <w:spacing w:after="0" w:line="240" w:lineRule="auto"/>
              <w:jc w:val="center"/>
              <w:rPr>
                <w:rFonts w:eastAsia="Times New Roman"/>
                <w:b/>
                <w:bCs/>
                <w:color w:val="000000"/>
                <w:sz w:val="20"/>
                <w:szCs w:val="22"/>
                <w:lang w:eastAsia="es-CL"/>
              </w:rPr>
            </w:pPr>
            <w:r w:rsidRPr="004730B7">
              <w:rPr>
                <w:rFonts w:eastAsia="Times New Roman"/>
                <w:b/>
                <w:bCs/>
                <w:color w:val="000000"/>
                <w:sz w:val="20"/>
                <w:szCs w:val="22"/>
                <w:lang w:eastAsia="es-CL"/>
              </w:rPr>
              <w:t>Código</w:t>
            </w:r>
          </w:p>
        </w:tc>
        <w:tc>
          <w:tcPr>
            <w:tcW w:w="5060" w:type="dxa"/>
            <w:tcBorders>
              <w:top w:val="single" w:sz="4" w:space="0" w:color="auto"/>
              <w:left w:val="nil"/>
              <w:bottom w:val="single" w:sz="4" w:space="0" w:color="auto"/>
              <w:right w:val="single" w:sz="4" w:space="0" w:color="auto"/>
            </w:tcBorders>
            <w:shd w:val="clear" w:color="000000" w:fill="D9D9D9"/>
            <w:noWrap/>
            <w:vAlign w:val="bottom"/>
            <w:hideMark/>
          </w:tcPr>
          <w:p w14:paraId="486219E8" w14:textId="77777777" w:rsidR="004730B7" w:rsidRPr="004730B7" w:rsidRDefault="004730B7" w:rsidP="004730B7">
            <w:pPr>
              <w:spacing w:after="0" w:line="240" w:lineRule="auto"/>
              <w:jc w:val="center"/>
              <w:rPr>
                <w:rFonts w:eastAsia="Times New Roman"/>
                <w:b/>
                <w:bCs/>
                <w:color w:val="000000"/>
                <w:sz w:val="20"/>
                <w:szCs w:val="22"/>
                <w:lang w:eastAsia="es-CL"/>
              </w:rPr>
            </w:pPr>
            <w:r w:rsidRPr="004730B7">
              <w:rPr>
                <w:rFonts w:eastAsia="Times New Roman"/>
                <w:b/>
                <w:bCs/>
                <w:color w:val="000000"/>
                <w:sz w:val="20"/>
                <w:szCs w:val="22"/>
                <w:lang w:eastAsia="es-CL"/>
              </w:rPr>
              <w:t>Tramo</w:t>
            </w:r>
          </w:p>
        </w:tc>
        <w:tc>
          <w:tcPr>
            <w:tcW w:w="960" w:type="dxa"/>
            <w:tcBorders>
              <w:top w:val="single" w:sz="4" w:space="0" w:color="auto"/>
              <w:left w:val="nil"/>
              <w:bottom w:val="single" w:sz="4" w:space="0" w:color="auto"/>
              <w:right w:val="single" w:sz="4" w:space="0" w:color="auto"/>
            </w:tcBorders>
            <w:shd w:val="clear" w:color="000000" w:fill="D9D9D9"/>
            <w:noWrap/>
            <w:vAlign w:val="bottom"/>
            <w:hideMark/>
          </w:tcPr>
          <w:p w14:paraId="7688A2EF" w14:textId="77777777" w:rsidR="004730B7" w:rsidRPr="004730B7" w:rsidRDefault="004730B7" w:rsidP="004730B7">
            <w:pPr>
              <w:spacing w:after="0" w:line="240" w:lineRule="auto"/>
              <w:jc w:val="center"/>
              <w:rPr>
                <w:rFonts w:eastAsia="Times New Roman"/>
                <w:b/>
                <w:bCs/>
                <w:color w:val="000000"/>
                <w:sz w:val="20"/>
                <w:szCs w:val="22"/>
                <w:lang w:eastAsia="es-CL"/>
              </w:rPr>
            </w:pPr>
            <w:r w:rsidRPr="004730B7">
              <w:rPr>
                <w:rFonts w:eastAsia="Times New Roman"/>
                <w:b/>
                <w:bCs/>
                <w:color w:val="000000"/>
                <w:sz w:val="20"/>
                <w:szCs w:val="22"/>
                <w:lang w:eastAsia="es-CL"/>
              </w:rPr>
              <w:t>alfa</w:t>
            </w:r>
          </w:p>
        </w:tc>
        <w:tc>
          <w:tcPr>
            <w:tcW w:w="960" w:type="dxa"/>
            <w:tcBorders>
              <w:top w:val="single" w:sz="4" w:space="0" w:color="auto"/>
              <w:left w:val="nil"/>
              <w:bottom w:val="single" w:sz="4" w:space="0" w:color="auto"/>
              <w:right w:val="single" w:sz="4" w:space="0" w:color="auto"/>
            </w:tcBorders>
            <w:shd w:val="clear" w:color="000000" w:fill="D9D9D9"/>
            <w:noWrap/>
            <w:vAlign w:val="bottom"/>
            <w:hideMark/>
          </w:tcPr>
          <w:p w14:paraId="72DF99DD" w14:textId="77777777" w:rsidR="004730B7" w:rsidRPr="004730B7" w:rsidRDefault="004730B7" w:rsidP="004730B7">
            <w:pPr>
              <w:spacing w:after="0" w:line="240" w:lineRule="auto"/>
              <w:jc w:val="center"/>
              <w:rPr>
                <w:rFonts w:eastAsia="Times New Roman"/>
                <w:b/>
                <w:bCs/>
                <w:color w:val="000000"/>
                <w:sz w:val="20"/>
                <w:szCs w:val="22"/>
                <w:lang w:eastAsia="es-CL"/>
              </w:rPr>
            </w:pPr>
            <w:r w:rsidRPr="004730B7">
              <w:rPr>
                <w:rFonts w:eastAsia="Times New Roman"/>
                <w:b/>
                <w:bCs/>
                <w:color w:val="000000"/>
                <w:sz w:val="20"/>
                <w:szCs w:val="22"/>
                <w:lang w:eastAsia="es-CL"/>
              </w:rPr>
              <w:t>beta</w:t>
            </w:r>
          </w:p>
        </w:tc>
        <w:tc>
          <w:tcPr>
            <w:tcW w:w="960" w:type="dxa"/>
            <w:tcBorders>
              <w:top w:val="single" w:sz="4" w:space="0" w:color="auto"/>
              <w:left w:val="nil"/>
              <w:bottom w:val="single" w:sz="4" w:space="0" w:color="auto"/>
              <w:right w:val="single" w:sz="4" w:space="0" w:color="auto"/>
            </w:tcBorders>
            <w:shd w:val="clear" w:color="000000" w:fill="D9D9D9"/>
            <w:noWrap/>
            <w:vAlign w:val="bottom"/>
            <w:hideMark/>
          </w:tcPr>
          <w:p w14:paraId="071EBAD6" w14:textId="77777777" w:rsidR="004730B7" w:rsidRPr="004730B7" w:rsidRDefault="004730B7" w:rsidP="004730B7">
            <w:pPr>
              <w:spacing w:after="0" w:line="240" w:lineRule="auto"/>
              <w:jc w:val="center"/>
              <w:rPr>
                <w:rFonts w:eastAsia="Times New Roman"/>
                <w:b/>
                <w:bCs/>
                <w:color w:val="000000"/>
                <w:sz w:val="20"/>
                <w:szCs w:val="22"/>
                <w:lang w:eastAsia="es-CL"/>
              </w:rPr>
            </w:pPr>
            <w:r w:rsidRPr="004730B7">
              <w:rPr>
                <w:rFonts w:eastAsia="Times New Roman"/>
                <w:b/>
                <w:bCs/>
                <w:color w:val="000000"/>
                <w:sz w:val="20"/>
                <w:szCs w:val="22"/>
                <w:lang w:eastAsia="es-CL"/>
              </w:rPr>
              <w:t>gama</w:t>
            </w:r>
          </w:p>
        </w:tc>
        <w:tc>
          <w:tcPr>
            <w:tcW w:w="960" w:type="dxa"/>
            <w:tcBorders>
              <w:top w:val="single" w:sz="4" w:space="0" w:color="auto"/>
              <w:left w:val="nil"/>
              <w:bottom w:val="single" w:sz="4" w:space="0" w:color="auto"/>
              <w:right w:val="single" w:sz="4" w:space="0" w:color="auto"/>
            </w:tcBorders>
            <w:shd w:val="clear" w:color="000000" w:fill="D9D9D9"/>
            <w:noWrap/>
            <w:vAlign w:val="bottom"/>
            <w:hideMark/>
          </w:tcPr>
          <w:p w14:paraId="40F2477C" w14:textId="77777777" w:rsidR="004730B7" w:rsidRPr="004730B7" w:rsidRDefault="004730B7" w:rsidP="004730B7">
            <w:pPr>
              <w:spacing w:after="0" w:line="240" w:lineRule="auto"/>
              <w:jc w:val="center"/>
              <w:rPr>
                <w:rFonts w:eastAsia="Times New Roman"/>
                <w:b/>
                <w:bCs/>
                <w:color w:val="000000"/>
                <w:sz w:val="20"/>
                <w:szCs w:val="22"/>
                <w:lang w:eastAsia="es-CL"/>
              </w:rPr>
            </w:pPr>
            <w:r w:rsidRPr="004730B7">
              <w:rPr>
                <w:rFonts w:eastAsia="Times New Roman"/>
                <w:b/>
                <w:bCs/>
                <w:color w:val="000000"/>
                <w:sz w:val="20"/>
                <w:szCs w:val="22"/>
                <w:lang w:eastAsia="es-CL"/>
              </w:rPr>
              <w:t>delta</w:t>
            </w:r>
          </w:p>
        </w:tc>
      </w:tr>
      <w:tr w:rsidR="004730B7" w:rsidRPr="004730B7" w14:paraId="5E4E5D19"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738482CD"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N_1</w:t>
            </w:r>
          </w:p>
        </w:tc>
        <w:tc>
          <w:tcPr>
            <w:tcW w:w="5060" w:type="dxa"/>
            <w:tcBorders>
              <w:top w:val="nil"/>
              <w:left w:val="nil"/>
              <w:bottom w:val="single" w:sz="4" w:space="0" w:color="auto"/>
              <w:right w:val="single" w:sz="4" w:space="0" w:color="auto"/>
            </w:tcBorders>
            <w:shd w:val="clear" w:color="auto" w:fill="auto"/>
            <w:noWrap/>
            <w:vAlign w:val="bottom"/>
            <w:hideMark/>
          </w:tcPr>
          <w:p w14:paraId="3D9AE51D"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Alto Jahuel 220-&gt;Alto Jahuel 500</w:t>
            </w:r>
          </w:p>
        </w:tc>
        <w:tc>
          <w:tcPr>
            <w:tcW w:w="960" w:type="dxa"/>
            <w:tcBorders>
              <w:top w:val="nil"/>
              <w:left w:val="nil"/>
              <w:bottom w:val="single" w:sz="4" w:space="0" w:color="auto"/>
              <w:right w:val="single" w:sz="4" w:space="0" w:color="auto"/>
            </w:tcBorders>
            <w:shd w:val="clear" w:color="auto" w:fill="auto"/>
            <w:noWrap/>
            <w:vAlign w:val="bottom"/>
            <w:hideMark/>
          </w:tcPr>
          <w:p w14:paraId="7A545FED"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0.041</w:t>
            </w:r>
          </w:p>
        </w:tc>
        <w:tc>
          <w:tcPr>
            <w:tcW w:w="960" w:type="dxa"/>
            <w:tcBorders>
              <w:top w:val="nil"/>
              <w:left w:val="nil"/>
              <w:bottom w:val="single" w:sz="4" w:space="0" w:color="auto"/>
              <w:right w:val="single" w:sz="4" w:space="0" w:color="auto"/>
            </w:tcBorders>
            <w:shd w:val="clear" w:color="auto" w:fill="auto"/>
            <w:noWrap/>
            <w:vAlign w:val="bottom"/>
            <w:hideMark/>
          </w:tcPr>
          <w:p w14:paraId="11F0F180"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0.959</w:t>
            </w:r>
          </w:p>
        </w:tc>
        <w:tc>
          <w:tcPr>
            <w:tcW w:w="960" w:type="dxa"/>
            <w:tcBorders>
              <w:top w:val="nil"/>
              <w:left w:val="nil"/>
              <w:bottom w:val="single" w:sz="4" w:space="0" w:color="auto"/>
              <w:right w:val="single" w:sz="4" w:space="0" w:color="auto"/>
            </w:tcBorders>
            <w:shd w:val="clear" w:color="auto" w:fill="auto"/>
            <w:noWrap/>
            <w:vAlign w:val="bottom"/>
            <w:hideMark/>
          </w:tcPr>
          <w:p w14:paraId="636D6C47"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0.063</w:t>
            </w:r>
          </w:p>
        </w:tc>
        <w:tc>
          <w:tcPr>
            <w:tcW w:w="960" w:type="dxa"/>
            <w:tcBorders>
              <w:top w:val="nil"/>
              <w:left w:val="nil"/>
              <w:bottom w:val="single" w:sz="4" w:space="0" w:color="auto"/>
              <w:right w:val="single" w:sz="4" w:space="0" w:color="auto"/>
            </w:tcBorders>
            <w:shd w:val="clear" w:color="auto" w:fill="auto"/>
            <w:noWrap/>
            <w:vAlign w:val="bottom"/>
            <w:hideMark/>
          </w:tcPr>
          <w:p w14:paraId="77DFC325"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0.937</w:t>
            </w:r>
          </w:p>
        </w:tc>
      </w:tr>
      <w:tr w:rsidR="004730B7" w:rsidRPr="004730B7" w14:paraId="4EDBF3C9"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7F566F41"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N_2</w:t>
            </w:r>
          </w:p>
        </w:tc>
        <w:tc>
          <w:tcPr>
            <w:tcW w:w="5060" w:type="dxa"/>
            <w:tcBorders>
              <w:top w:val="nil"/>
              <w:left w:val="nil"/>
              <w:bottom w:val="single" w:sz="4" w:space="0" w:color="auto"/>
              <w:right w:val="single" w:sz="4" w:space="0" w:color="auto"/>
            </w:tcBorders>
            <w:shd w:val="clear" w:color="auto" w:fill="auto"/>
            <w:noWrap/>
            <w:vAlign w:val="bottom"/>
            <w:hideMark/>
          </w:tcPr>
          <w:p w14:paraId="31F71563"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Alto Jahuel 220-&gt;Buin 220</w:t>
            </w:r>
          </w:p>
        </w:tc>
        <w:tc>
          <w:tcPr>
            <w:tcW w:w="960" w:type="dxa"/>
            <w:tcBorders>
              <w:top w:val="nil"/>
              <w:left w:val="nil"/>
              <w:bottom w:val="single" w:sz="4" w:space="0" w:color="auto"/>
              <w:right w:val="single" w:sz="4" w:space="0" w:color="auto"/>
            </w:tcBorders>
            <w:shd w:val="clear" w:color="auto" w:fill="auto"/>
            <w:noWrap/>
            <w:vAlign w:val="bottom"/>
            <w:hideMark/>
          </w:tcPr>
          <w:p w14:paraId="6EFC4BB5"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0.069</w:t>
            </w:r>
          </w:p>
        </w:tc>
        <w:tc>
          <w:tcPr>
            <w:tcW w:w="960" w:type="dxa"/>
            <w:tcBorders>
              <w:top w:val="nil"/>
              <w:left w:val="nil"/>
              <w:bottom w:val="single" w:sz="4" w:space="0" w:color="auto"/>
              <w:right w:val="single" w:sz="4" w:space="0" w:color="auto"/>
            </w:tcBorders>
            <w:shd w:val="clear" w:color="auto" w:fill="auto"/>
            <w:noWrap/>
            <w:vAlign w:val="bottom"/>
            <w:hideMark/>
          </w:tcPr>
          <w:p w14:paraId="5FF1494D"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0.931</w:t>
            </w:r>
          </w:p>
        </w:tc>
        <w:tc>
          <w:tcPr>
            <w:tcW w:w="960" w:type="dxa"/>
            <w:tcBorders>
              <w:top w:val="nil"/>
              <w:left w:val="nil"/>
              <w:bottom w:val="single" w:sz="4" w:space="0" w:color="auto"/>
              <w:right w:val="single" w:sz="4" w:space="0" w:color="auto"/>
            </w:tcBorders>
            <w:shd w:val="clear" w:color="auto" w:fill="auto"/>
            <w:noWrap/>
            <w:vAlign w:val="bottom"/>
            <w:hideMark/>
          </w:tcPr>
          <w:p w14:paraId="4695F40D"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0.098</w:t>
            </w:r>
          </w:p>
        </w:tc>
        <w:tc>
          <w:tcPr>
            <w:tcW w:w="960" w:type="dxa"/>
            <w:tcBorders>
              <w:top w:val="nil"/>
              <w:left w:val="nil"/>
              <w:bottom w:val="single" w:sz="4" w:space="0" w:color="auto"/>
              <w:right w:val="single" w:sz="4" w:space="0" w:color="auto"/>
            </w:tcBorders>
            <w:shd w:val="clear" w:color="auto" w:fill="auto"/>
            <w:noWrap/>
            <w:vAlign w:val="bottom"/>
            <w:hideMark/>
          </w:tcPr>
          <w:p w14:paraId="01C071D7"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0.902</w:t>
            </w:r>
          </w:p>
        </w:tc>
      </w:tr>
      <w:tr w:rsidR="004730B7" w:rsidRPr="004730B7" w14:paraId="6D34DE07"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67244614"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N_3</w:t>
            </w:r>
          </w:p>
        </w:tc>
        <w:tc>
          <w:tcPr>
            <w:tcW w:w="5060" w:type="dxa"/>
            <w:tcBorders>
              <w:top w:val="nil"/>
              <w:left w:val="nil"/>
              <w:bottom w:val="single" w:sz="4" w:space="0" w:color="auto"/>
              <w:right w:val="single" w:sz="4" w:space="0" w:color="auto"/>
            </w:tcBorders>
            <w:shd w:val="clear" w:color="auto" w:fill="auto"/>
            <w:noWrap/>
            <w:vAlign w:val="bottom"/>
            <w:hideMark/>
          </w:tcPr>
          <w:p w14:paraId="75A158DC"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Alto Jahuel 220-&gt;Chena 220</w:t>
            </w:r>
          </w:p>
        </w:tc>
        <w:tc>
          <w:tcPr>
            <w:tcW w:w="960" w:type="dxa"/>
            <w:tcBorders>
              <w:top w:val="nil"/>
              <w:left w:val="nil"/>
              <w:bottom w:val="single" w:sz="4" w:space="0" w:color="auto"/>
              <w:right w:val="single" w:sz="4" w:space="0" w:color="auto"/>
            </w:tcBorders>
            <w:shd w:val="clear" w:color="auto" w:fill="auto"/>
            <w:noWrap/>
            <w:vAlign w:val="bottom"/>
            <w:hideMark/>
          </w:tcPr>
          <w:p w14:paraId="49DAE9D4"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0.367</w:t>
            </w:r>
          </w:p>
        </w:tc>
        <w:tc>
          <w:tcPr>
            <w:tcW w:w="960" w:type="dxa"/>
            <w:tcBorders>
              <w:top w:val="nil"/>
              <w:left w:val="nil"/>
              <w:bottom w:val="single" w:sz="4" w:space="0" w:color="auto"/>
              <w:right w:val="single" w:sz="4" w:space="0" w:color="auto"/>
            </w:tcBorders>
            <w:shd w:val="clear" w:color="auto" w:fill="auto"/>
            <w:noWrap/>
            <w:vAlign w:val="bottom"/>
            <w:hideMark/>
          </w:tcPr>
          <w:p w14:paraId="6E49583C"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0.633</w:t>
            </w:r>
          </w:p>
        </w:tc>
        <w:tc>
          <w:tcPr>
            <w:tcW w:w="960" w:type="dxa"/>
            <w:tcBorders>
              <w:top w:val="nil"/>
              <w:left w:val="nil"/>
              <w:bottom w:val="single" w:sz="4" w:space="0" w:color="auto"/>
              <w:right w:val="single" w:sz="4" w:space="0" w:color="auto"/>
            </w:tcBorders>
            <w:shd w:val="clear" w:color="auto" w:fill="auto"/>
            <w:noWrap/>
            <w:vAlign w:val="bottom"/>
            <w:hideMark/>
          </w:tcPr>
          <w:p w14:paraId="0ECAD70F"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0.545</w:t>
            </w:r>
          </w:p>
        </w:tc>
        <w:tc>
          <w:tcPr>
            <w:tcW w:w="960" w:type="dxa"/>
            <w:tcBorders>
              <w:top w:val="nil"/>
              <w:left w:val="nil"/>
              <w:bottom w:val="single" w:sz="4" w:space="0" w:color="auto"/>
              <w:right w:val="single" w:sz="4" w:space="0" w:color="auto"/>
            </w:tcBorders>
            <w:shd w:val="clear" w:color="auto" w:fill="auto"/>
            <w:noWrap/>
            <w:vAlign w:val="bottom"/>
            <w:hideMark/>
          </w:tcPr>
          <w:p w14:paraId="16A90516"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0.455</w:t>
            </w:r>
          </w:p>
        </w:tc>
      </w:tr>
      <w:tr w:rsidR="004730B7" w:rsidRPr="004730B7" w14:paraId="6D884D88"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2036A5DC"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N_4</w:t>
            </w:r>
          </w:p>
        </w:tc>
        <w:tc>
          <w:tcPr>
            <w:tcW w:w="5060" w:type="dxa"/>
            <w:tcBorders>
              <w:top w:val="nil"/>
              <w:left w:val="nil"/>
              <w:bottom w:val="single" w:sz="4" w:space="0" w:color="auto"/>
              <w:right w:val="single" w:sz="4" w:space="0" w:color="auto"/>
            </w:tcBorders>
            <w:shd w:val="clear" w:color="auto" w:fill="auto"/>
            <w:noWrap/>
            <w:vAlign w:val="bottom"/>
            <w:hideMark/>
          </w:tcPr>
          <w:p w14:paraId="6B85B160"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Alto Jahuel 220-&gt;Los Almendros 220</w:t>
            </w:r>
          </w:p>
        </w:tc>
        <w:tc>
          <w:tcPr>
            <w:tcW w:w="960" w:type="dxa"/>
            <w:tcBorders>
              <w:top w:val="nil"/>
              <w:left w:val="nil"/>
              <w:bottom w:val="single" w:sz="4" w:space="0" w:color="auto"/>
              <w:right w:val="single" w:sz="4" w:space="0" w:color="auto"/>
            </w:tcBorders>
            <w:shd w:val="clear" w:color="auto" w:fill="auto"/>
            <w:noWrap/>
            <w:vAlign w:val="bottom"/>
            <w:hideMark/>
          </w:tcPr>
          <w:p w14:paraId="02F2A285"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0.557</w:t>
            </w:r>
          </w:p>
        </w:tc>
        <w:tc>
          <w:tcPr>
            <w:tcW w:w="960" w:type="dxa"/>
            <w:tcBorders>
              <w:top w:val="nil"/>
              <w:left w:val="nil"/>
              <w:bottom w:val="single" w:sz="4" w:space="0" w:color="auto"/>
              <w:right w:val="single" w:sz="4" w:space="0" w:color="auto"/>
            </w:tcBorders>
            <w:shd w:val="clear" w:color="auto" w:fill="auto"/>
            <w:noWrap/>
            <w:vAlign w:val="bottom"/>
            <w:hideMark/>
          </w:tcPr>
          <w:p w14:paraId="31517859"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0.443</w:t>
            </w:r>
          </w:p>
        </w:tc>
        <w:tc>
          <w:tcPr>
            <w:tcW w:w="960" w:type="dxa"/>
            <w:tcBorders>
              <w:top w:val="nil"/>
              <w:left w:val="nil"/>
              <w:bottom w:val="single" w:sz="4" w:space="0" w:color="auto"/>
              <w:right w:val="single" w:sz="4" w:space="0" w:color="auto"/>
            </w:tcBorders>
            <w:shd w:val="clear" w:color="auto" w:fill="auto"/>
            <w:noWrap/>
            <w:vAlign w:val="bottom"/>
            <w:hideMark/>
          </w:tcPr>
          <w:p w14:paraId="1D82B25F"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0.721</w:t>
            </w:r>
          </w:p>
        </w:tc>
        <w:tc>
          <w:tcPr>
            <w:tcW w:w="960" w:type="dxa"/>
            <w:tcBorders>
              <w:top w:val="nil"/>
              <w:left w:val="nil"/>
              <w:bottom w:val="single" w:sz="4" w:space="0" w:color="auto"/>
              <w:right w:val="single" w:sz="4" w:space="0" w:color="auto"/>
            </w:tcBorders>
            <w:shd w:val="clear" w:color="auto" w:fill="auto"/>
            <w:noWrap/>
            <w:vAlign w:val="bottom"/>
            <w:hideMark/>
          </w:tcPr>
          <w:p w14:paraId="3A01AE4B"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0.279</w:t>
            </w:r>
          </w:p>
        </w:tc>
      </w:tr>
      <w:tr w:rsidR="004730B7" w:rsidRPr="004730B7" w14:paraId="394657C0"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211355E4"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N_5</w:t>
            </w:r>
          </w:p>
        </w:tc>
        <w:tc>
          <w:tcPr>
            <w:tcW w:w="5060" w:type="dxa"/>
            <w:tcBorders>
              <w:top w:val="nil"/>
              <w:left w:val="nil"/>
              <w:bottom w:val="single" w:sz="4" w:space="0" w:color="auto"/>
              <w:right w:val="single" w:sz="4" w:space="0" w:color="auto"/>
            </w:tcBorders>
            <w:shd w:val="clear" w:color="auto" w:fill="auto"/>
            <w:noWrap/>
            <w:vAlign w:val="bottom"/>
            <w:hideMark/>
          </w:tcPr>
          <w:p w14:paraId="7DD2CC7D"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Alto Jahuel 220-&gt;Maipo 220</w:t>
            </w:r>
          </w:p>
        </w:tc>
        <w:tc>
          <w:tcPr>
            <w:tcW w:w="960" w:type="dxa"/>
            <w:tcBorders>
              <w:top w:val="nil"/>
              <w:left w:val="nil"/>
              <w:bottom w:val="single" w:sz="4" w:space="0" w:color="auto"/>
              <w:right w:val="single" w:sz="4" w:space="0" w:color="auto"/>
            </w:tcBorders>
            <w:shd w:val="clear" w:color="auto" w:fill="auto"/>
            <w:noWrap/>
            <w:vAlign w:val="bottom"/>
            <w:hideMark/>
          </w:tcPr>
          <w:p w14:paraId="1AFBCE40"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0.159</w:t>
            </w:r>
          </w:p>
        </w:tc>
        <w:tc>
          <w:tcPr>
            <w:tcW w:w="960" w:type="dxa"/>
            <w:tcBorders>
              <w:top w:val="nil"/>
              <w:left w:val="nil"/>
              <w:bottom w:val="single" w:sz="4" w:space="0" w:color="auto"/>
              <w:right w:val="single" w:sz="4" w:space="0" w:color="auto"/>
            </w:tcBorders>
            <w:shd w:val="clear" w:color="auto" w:fill="auto"/>
            <w:noWrap/>
            <w:vAlign w:val="bottom"/>
            <w:hideMark/>
          </w:tcPr>
          <w:p w14:paraId="492423DF"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0.841</w:t>
            </w:r>
          </w:p>
        </w:tc>
        <w:tc>
          <w:tcPr>
            <w:tcW w:w="960" w:type="dxa"/>
            <w:tcBorders>
              <w:top w:val="nil"/>
              <w:left w:val="nil"/>
              <w:bottom w:val="single" w:sz="4" w:space="0" w:color="auto"/>
              <w:right w:val="single" w:sz="4" w:space="0" w:color="auto"/>
            </w:tcBorders>
            <w:shd w:val="clear" w:color="auto" w:fill="auto"/>
            <w:noWrap/>
            <w:vAlign w:val="bottom"/>
            <w:hideMark/>
          </w:tcPr>
          <w:p w14:paraId="0A810BD0"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0.226</w:t>
            </w:r>
          </w:p>
        </w:tc>
        <w:tc>
          <w:tcPr>
            <w:tcW w:w="960" w:type="dxa"/>
            <w:tcBorders>
              <w:top w:val="nil"/>
              <w:left w:val="nil"/>
              <w:bottom w:val="single" w:sz="4" w:space="0" w:color="auto"/>
              <w:right w:val="single" w:sz="4" w:space="0" w:color="auto"/>
            </w:tcBorders>
            <w:shd w:val="clear" w:color="auto" w:fill="auto"/>
            <w:noWrap/>
            <w:vAlign w:val="bottom"/>
            <w:hideMark/>
          </w:tcPr>
          <w:p w14:paraId="13AEF053"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0.774</w:t>
            </w:r>
          </w:p>
        </w:tc>
      </w:tr>
      <w:tr w:rsidR="004730B7" w:rsidRPr="004730B7" w14:paraId="7DAE2F95"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5AA1320C"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lastRenderedPageBreak/>
              <w:t>N_6</w:t>
            </w:r>
          </w:p>
        </w:tc>
        <w:tc>
          <w:tcPr>
            <w:tcW w:w="5060" w:type="dxa"/>
            <w:tcBorders>
              <w:top w:val="nil"/>
              <w:left w:val="nil"/>
              <w:bottom w:val="single" w:sz="4" w:space="0" w:color="auto"/>
              <w:right w:val="single" w:sz="4" w:space="0" w:color="auto"/>
            </w:tcBorders>
            <w:shd w:val="clear" w:color="auto" w:fill="auto"/>
            <w:noWrap/>
            <w:vAlign w:val="bottom"/>
            <w:hideMark/>
          </w:tcPr>
          <w:p w14:paraId="7509D344"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Alto Jahuel 220-&gt;Tap Central Santa Marta 220</w:t>
            </w:r>
          </w:p>
        </w:tc>
        <w:tc>
          <w:tcPr>
            <w:tcW w:w="960" w:type="dxa"/>
            <w:tcBorders>
              <w:top w:val="nil"/>
              <w:left w:val="nil"/>
              <w:bottom w:val="single" w:sz="4" w:space="0" w:color="auto"/>
              <w:right w:val="single" w:sz="4" w:space="0" w:color="auto"/>
            </w:tcBorders>
            <w:shd w:val="clear" w:color="auto" w:fill="auto"/>
            <w:noWrap/>
            <w:vAlign w:val="bottom"/>
            <w:hideMark/>
          </w:tcPr>
          <w:p w14:paraId="14FAE0E6"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0.490</w:t>
            </w:r>
          </w:p>
        </w:tc>
        <w:tc>
          <w:tcPr>
            <w:tcW w:w="960" w:type="dxa"/>
            <w:tcBorders>
              <w:top w:val="nil"/>
              <w:left w:val="nil"/>
              <w:bottom w:val="single" w:sz="4" w:space="0" w:color="auto"/>
              <w:right w:val="single" w:sz="4" w:space="0" w:color="auto"/>
            </w:tcBorders>
            <w:shd w:val="clear" w:color="auto" w:fill="auto"/>
            <w:noWrap/>
            <w:vAlign w:val="bottom"/>
            <w:hideMark/>
          </w:tcPr>
          <w:p w14:paraId="7792A181"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0.510</w:t>
            </w:r>
          </w:p>
        </w:tc>
        <w:tc>
          <w:tcPr>
            <w:tcW w:w="960" w:type="dxa"/>
            <w:tcBorders>
              <w:top w:val="nil"/>
              <w:left w:val="nil"/>
              <w:bottom w:val="single" w:sz="4" w:space="0" w:color="auto"/>
              <w:right w:val="single" w:sz="4" w:space="0" w:color="auto"/>
            </w:tcBorders>
            <w:shd w:val="clear" w:color="auto" w:fill="auto"/>
            <w:noWrap/>
            <w:vAlign w:val="bottom"/>
            <w:hideMark/>
          </w:tcPr>
          <w:p w14:paraId="4F4ADCC8"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0.668</w:t>
            </w:r>
          </w:p>
        </w:tc>
        <w:tc>
          <w:tcPr>
            <w:tcW w:w="960" w:type="dxa"/>
            <w:tcBorders>
              <w:top w:val="nil"/>
              <w:left w:val="nil"/>
              <w:bottom w:val="single" w:sz="4" w:space="0" w:color="auto"/>
              <w:right w:val="single" w:sz="4" w:space="0" w:color="auto"/>
            </w:tcBorders>
            <w:shd w:val="clear" w:color="auto" w:fill="auto"/>
            <w:noWrap/>
            <w:vAlign w:val="bottom"/>
            <w:hideMark/>
          </w:tcPr>
          <w:p w14:paraId="0604B55C"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0.332</w:t>
            </w:r>
          </w:p>
        </w:tc>
      </w:tr>
      <w:tr w:rsidR="004730B7" w:rsidRPr="004730B7" w14:paraId="7F0979DD"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1E646AEE"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N_7</w:t>
            </w:r>
          </w:p>
        </w:tc>
        <w:tc>
          <w:tcPr>
            <w:tcW w:w="5060" w:type="dxa"/>
            <w:tcBorders>
              <w:top w:val="nil"/>
              <w:left w:val="nil"/>
              <w:bottom w:val="single" w:sz="4" w:space="0" w:color="auto"/>
              <w:right w:val="single" w:sz="4" w:space="0" w:color="auto"/>
            </w:tcBorders>
            <w:shd w:val="clear" w:color="auto" w:fill="auto"/>
            <w:noWrap/>
            <w:vAlign w:val="bottom"/>
            <w:hideMark/>
          </w:tcPr>
          <w:p w14:paraId="0D66F36C"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Alto Jahuel 500-&gt;Ancoa 500</w:t>
            </w:r>
          </w:p>
        </w:tc>
        <w:tc>
          <w:tcPr>
            <w:tcW w:w="960" w:type="dxa"/>
            <w:tcBorders>
              <w:top w:val="nil"/>
              <w:left w:val="nil"/>
              <w:bottom w:val="single" w:sz="4" w:space="0" w:color="auto"/>
              <w:right w:val="single" w:sz="4" w:space="0" w:color="auto"/>
            </w:tcBorders>
            <w:shd w:val="clear" w:color="auto" w:fill="auto"/>
            <w:noWrap/>
            <w:vAlign w:val="bottom"/>
            <w:hideMark/>
          </w:tcPr>
          <w:p w14:paraId="41952A3C"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0.305</w:t>
            </w:r>
          </w:p>
        </w:tc>
        <w:tc>
          <w:tcPr>
            <w:tcW w:w="960" w:type="dxa"/>
            <w:tcBorders>
              <w:top w:val="nil"/>
              <w:left w:val="nil"/>
              <w:bottom w:val="single" w:sz="4" w:space="0" w:color="auto"/>
              <w:right w:val="single" w:sz="4" w:space="0" w:color="auto"/>
            </w:tcBorders>
            <w:shd w:val="clear" w:color="auto" w:fill="auto"/>
            <w:noWrap/>
            <w:vAlign w:val="bottom"/>
            <w:hideMark/>
          </w:tcPr>
          <w:p w14:paraId="12821BE3"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0.695</w:t>
            </w:r>
          </w:p>
        </w:tc>
        <w:tc>
          <w:tcPr>
            <w:tcW w:w="960" w:type="dxa"/>
            <w:tcBorders>
              <w:top w:val="nil"/>
              <w:left w:val="nil"/>
              <w:bottom w:val="single" w:sz="4" w:space="0" w:color="auto"/>
              <w:right w:val="single" w:sz="4" w:space="0" w:color="auto"/>
            </w:tcBorders>
            <w:shd w:val="clear" w:color="auto" w:fill="auto"/>
            <w:noWrap/>
            <w:vAlign w:val="bottom"/>
            <w:hideMark/>
          </w:tcPr>
          <w:p w14:paraId="24749002"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0.452</w:t>
            </w:r>
          </w:p>
        </w:tc>
        <w:tc>
          <w:tcPr>
            <w:tcW w:w="960" w:type="dxa"/>
            <w:tcBorders>
              <w:top w:val="nil"/>
              <w:left w:val="nil"/>
              <w:bottom w:val="single" w:sz="4" w:space="0" w:color="auto"/>
              <w:right w:val="single" w:sz="4" w:space="0" w:color="auto"/>
            </w:tcBorders>
            <w:shd w:val="clear" w:color="auto" w:fill="auto"/>
            <w:noWrap/>
            <w:vAlign w:val="bottom"/>
            <w:hideMark/>
          </w:tcPr>
          <w:p w14:paraId="26C56D93"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0.548</w:t>
            </w:r>
          </w:p>
        </w:tc>
      </w:tr>
      <w:tr w:rsidR="004730B7" w:rsidRPr="004730B7" w14:paraId="108838C9"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29950ED8"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N_8</w:t>
            </w:r>
          </w:p>
        </w:tc>
        <w:tc>
          <w:tcPr>
            <w:tcW w:w="5060" w:type="dxa"/>
            <w:tcBorders>
              <w:top w:val="nil"/>
              <w:left w:val="nil"/>
              <w:bottom w:val="single" w:sz="4" w:space="0" w:color="auto"/>
              <w:right w:val="single" w:sz="4" w:space="0" w:color="auto"/>
            </w:tcBorders>
            <w:shd w:val="clear" w:color="auto" w:fill="auto"/>
            <w:noWrap/>
            <w:vAlign w:val="bottom"/>
            <w:hideMark/>
          </w:tcPr>
          <w:p w14:paraId="56673C2D"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Ancoa 220-&gt;Ancoa 500</w:t>
            </w:r>
          </w:p>
        </w:tc>
        <w:tc>
          <w:tcPr>
            <w:tcW w:w="960" w:type="dxa"/>
            <w:tcBorders>
              <w:top w:val="nil"/>
              <w:left w:val="nil"/>
              <w:bottom w:val="single" w:sz="4" w:space="0" w:color="auto"/>
              <w:right w:val="single" w:sz="4" w:space="0" w:color="auto"/>
            </w:tcBorders>
            <w:shd w:val="clear" w:color="auto" w:fill="auto"/>
            <w:noWrap/>
            <w:vAlign w:val="bottom"/>
            <w:hideMark/>
          </w:tcPr>
          <w:p w14:paraId="517C5DAB"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0.050</w:t>
            </w:r>
          </w:p>
        </w:tc>
        <w:tc>
          <w:tcPr>
            <w:tcW w:w="960" w:type="dxa"/>
            <w:tcBorders>
              <w:top w:val="nil"/>
              <w:left w:val="nil"/>
              <w:bottom w:val="single" w:sz="4" w:space="0" w:color="auto"/>
              <w:right w:val="single" w:sz="4" w:space="0" w:color="auto"/>
            </w:tcBorders>
            <w:shd w:val="clear" w:color="auto" w:fill="auto"/>
            <w:noWrap/>
            <w:vAlign w:val="bottom"/>
            <w:hideMark/>
          </w:tcPr>
          <w:p w14:paraId="2B22425D"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0.950</w:t>
            </w:r>
          </w:p>
        </w:tc>
        <w:tc>
          <w:tcPr>
            <w:tcW w:w="960" w:type="dxa"/>
            <w:tcBorders>
              <w:top w:val="nil"/>
              <w:left w:val="nil"/>
              <w:bottom w:val="single" w:sz="4" w:space="0" w:color="auto"/>
              <w:right w:val="single" w:sz="4" w:space="0" w:color="auto"/>
            </w:tcBorders>
            <w:shd w:val="clear" w:color="auto" w:fill="auto"/>
            <w:noWrap/>
            <w:vAlign w:val="bottom"/>
            <w:hideMark/>
          </w:tcPr>
          <w:p w14:paraId="5C58AA12"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0.077</w:t>
            </w:r>
          </w:p>
        </w:tc>
        <w:tc>
          <w:tcPr>
            <w:tcW w:w="960" w:type="dxa"/>
            <w:tcBorders>
              <w:top w:val="nil"/>
              <w:left w:val="nil"/>
              <w:bottom w:val="single" w:sz="4" w:space="0" w:color="auto"/>
              <w:right w:val="single" w:sz="4" w:space="0" w:color="auto"/>
            </w:tcBorders>
            <w:shd w:val="clear" w:color="auto" w:fill="auto"/>
            <w:noWrap/>
            <w:vAlign w:val="bottom"/>
            <w:hideMark/>
          </w:tcPr>
          <w:p w14:paraId="50816EE5"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0.923</w:t>
            </w:r>
          </w:p>
        </w:tc>
      </w:tr>
      <w:tr w:rsidR="004730B7" w:rsidRPr="004730B7" w14:paraId="75B85B8E"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54F73895"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N_9</w:t>
            </w:r>
          </w:p>
        </w:tc>
        <w:tc>
          <w:tcPr>
            <w:tcW w:w="5060" w:type="dxa"/>
            <w:tcBorders>
              <w:top w:val="nil"/>
              <w:left w:val="nil"/>
              <w:bottom w:val="single" w:sz="4" w:space="0" w:color="auto"/>
              <w:right w:val="single" w:sz="4" w:space="0" w:color="auto"/>
            </w:tcBorders>
            <w:shd w:val="clear" w:color="auto" w:fill="auto"/>
            <w:noWrap/>
            <w:vAlign w:val="bottom"/>
            <w:hideMark/>
          </w:tcPr>
          <w:p w14:paraId="2B42837F"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Ancoa 220-&gt;Colbun 220</w:t>
            </w:r>
          </w:p>
        </w:tc>
        <w:tc>
          <w:tcPr>
            <w:tcW w:w="960" w:type="dxa"/>
            <w:tcBorders>
              <w:top w:val="nil"/>
              <w:left w:val="nil"/>
              <w:bottom w:val="single" w:sz="4" w:space="0" w:color="auto"/>
              <w:right w:val="single" w:sz="4" w:space="0" w:color="auto"/>
            </w:tcBorders>
            <w:shd w:val="clear" w:color="auto" w:fill="auto"/>
            <w:noWrap/>
            <w:vAlign w:val="bottom"/>
            <w:hideMark/>
          </w:tcPr>
          <w:p w14:paraId="31BB7109"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0.172</w:t>
            </w:r>
          </w:p>
        </w:tc>
        <w:tc>
          <w:tcPr>
            <w:tcW w:w="960" w:type="dxa"/>
            <w:tcBorders>
              <w:top w:val="nil"/>
              <w:left w:val="nil"/>
              <w:bottom w:val="single" w:sz="4" w:space="0" w:color="auto"/>
              <w:right w:val="single" w:sz="4" w:space="0" w:color="auto"/>
            </w:tcBorders>
            <w:shd w:val="clear" w:color="auto" w:fill="auto"/>
            <w:noWrap/>
            <w:vAlign w:val="bottom"/>
            <w:hideMark/>
          </w:tcPr>
          <w:p w14:paraId="7EEC2E32"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0.828</w:t>
            </w:r>
          </w:p>
        </w:tc>
        <w:tc>
          <w:tcPr>
            <w:tcW w:w="960" w:type="dxa"/>
            <w:tcBorders>
              <w:top w:val="nil"/>
              <w:left w:val="nil"/>
              <w:bottom w:val="single" w:sz="4" w:space="0" w:color="auto"/>
              <w:right w:val="single" w:sz="4" w:space="0" w:color="auto"/>
            </w:tcBorders>
            <w:shd w:val="clear" w:color="auto" w:fill="auto"/>
            <w:noWrap/>
            <w:vAlign w:val="bottom"/>
            <w:hideMark/>
          </w:tcPr>
          <w:p w14:paraId="45B542C1"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0.242</w:t>
            </w:r>
          </w:p>
        </w:tc>
        <w:tc>
          <w:tcPr>
            <w:tcW w:w="960" w:type="dxa"/>
            <w:tcBorders>
              <w:top w:val="nil"/>
              <w:left w:val="nil"/>
              <w:bottom w:val="single" w:sz="4" w:space="0" w:color="auto"/>
              <w:right w:val="single" w:sz="4" w:space="0" w:color="auto"/>
            </w:tcBorders>
            <w:shd w:val="clear" w:color="auto" w:fill="auto"/>
            <w:noWrap/>
            <w:vAlign w:val="bottom"/>
            <w:hideMark/>
          </w:tcPr>
          <w:p w14:paraId="55CEB310"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0.758</w:t>
            </w:r>
          </w:p>
        </w:tc>
      </w:tr>
      <w:tr w:rsidR="004730B7" w:rsidRPr="004730B7" w14:paraId="08D73A90"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3C9D4242"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N_10</w:t>
            </w:r>
          </w:p>
        </w:tc>
        <w:tc>
          <w:tcPr>
            <w:tcW w:w="5060" w:type="dxa"/>
            <w:tcBorders>
              <w:top w:val="nil"/>
              <w:left w:val="nil"/>
              <w:bottom w:val="single" w:sz="4" w:space="0" w:color="auto"/>
              <w:right w:val="single" w:sz="4" w:space="0" w:color="auto"/>
            </w:tcBorders>
            <w:shd w:val="clear" w:color="auto" w:fill="auto"/>
            <w:noWrap/>
            <w:vAlign w:val="bottom"/>
            <w:hideMark/>
          </w:tcPr>
          <w:p w14:paraId="7803B890"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Ancoa 220-&gt;Itahue 220</w:t>
            </w:r>
          </w:p>
        </w:tc>
        <w:tc>
          <w:tcPr>
            <w:tcW w:w="960" w:type="dxa"/>
            <w:tcBorders>
              <w:top w:val="nil"/>
              <w:left w:val="nil"/>
              <w:bottom w:val="single" w:sz="4" w:space="0" w:color="auto"/>
              <w:right w:val="single" w:sz="4" w:space="0" w:color="auto"/>
            </w:tcBorders>
            <w:shd w:val="clear" w:color="auto" w:fill="auto"/>
            <w:noWrap/>
            <w:vAlign w:val="bottom"/>
            <w:hideMark/>
          </w:tcPr>
          <w:p w14:paraId="41CC5D4E"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0.244</w:t>
            </w:r>
          </w:p>
        </w:tc>
        <w:tc>
          <w:tcPr>
            <w:tcW w:w="960" w:type="dxa"/>
            <w:tcBorders>
              <w:top w:val="nil"/>
              <w:left w:val="nil"/>
              <w:bottom w:val="single" w:sz="4" w:space="0" w:color="auto"/>
              <w:right w:val="single" w:sz="4" w:space="0" w:color="auto"/>
            </w:tcBorders>
            <w:shd w:val="clear" w:color="auto" w:fill="auto"/>
            <w:noWrap/>
            <w:vAlign w:val="bottom"/>
            <w:hideMark/>
          </w:tcPr>
          <w:p w14:paraId="58244FE1"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0.756</w:t>
            </w:r>
          </w:p>
        </w:tc>
        <w:tc>
          <w:tcPr>
            <w:tcW w:w="960" w:type="dxa"/>
            <w:tcBorders>
              <w:top w:val="nil"/>
              <w:left w:val="nil"/>
              <w:bottom w:val="single" w:sz="4" w:space="0" w:color="auto"/>
              <w:right w:val="single" w:sz="4" w:space="0" w:color="auto"/>
            </w:tcBorders>
            <w:shd w:val="clear" w:color="auto" w:fill="auto"/>
            <w:noWrap/>
            <w:vAlign w:val="bottom"/>
            <w:hideMark/>
          </w:tcPr>
          <w:p w14:paraId="04193CB7"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0.374</w:t>
            </w:r>
          </w:p>
        </w:tc>
        <w:tc>
          <w:tcPr>
            <w:tcW w:w="960" w:type="dxa"/>
            <w:tcBorders>
              <w:top w:val="nil"/>
              <w:left w:val="nil"/>
              <w:bottom w:val="single" w:sz="4" w:space="0" w:color="auto"/>
              <w:right w:val="single" w:sz="4" w:space="0" w:color="auto"/>
            </w:tcBorders>
            <w:shd w:val="clear" w:color="auto" w:fill="auto"/>
            <w:noWrap/>
            <w:vAlign w:val="bottom"/>
            <w:hideMark/>
          </w:tcPr>
          <w:p w14:paraId="573AE104"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0.626</w:t>
            </w:r>
          </w:p>
        </w:tc>
      </w:tr>
      <w:tr w:rsidR="004730B7" w:rsidRPr="004730B7" w14:paraId="4F61D306"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43EE4D33"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N_11</w:t>
            </w:r>
          </w:p>
        </w:tc>
        <w:tc>
          <w:tcPr>
            <w:tcW w:w="5060" w:type="dxa"/>
            <w:tcBorders>
              <w:top w:val="nil"/>
              <w:left w:val="nil"/>
              <w:bottom w:val="single" w:sz="4" w:space="0" w:color="auto"/>
              <w:right w:val="single" w:sz="4" w:space="0" w:color="auto"/>
            </w:tcBorders>
            <w:shd w:val="clear" w:color="auto" w:fill="auto"/>
            <w:noWrap/>
            <w:vAlign w:val="bottom"/>
            <w:hideMark/>
          </w:tcPr>
          <w:p w14:paraId="281481C8" w14:textId="77777777" w:rsidR="004730B7" w:rsidRPr="004730B7" w:rsidRDefault="004730B7" w:rsidP="004730B7">
            <w:pPr>
              <w:spacing w:after="0" w:line="240" w:lineRule="auto"/>
              <w:jc w:val="left"/>
              <w:rPr>
                <w:rFonts w:eastAsia="Times New Roman"/>
                <w:color w:val="000000"/>
                <w:sz w:val="20"/>
                <w:szCs w:val="22"/>
                <w:lang w:val="en-US" w:eastAsia="es-CL"/>
              </w:rPr>
            </w:pPr>
            <w:r w:rsidRPr="004730B7">
              <w:rPr>
                <w:rFonts w:eastAsia="Times New Roman"/>
                <w:color w:val="000000"/>
                <w:sz w:val="20"/>
                <w:szCs w:val="22"/>
                <w:lang w:val="en-US" w:eastAsia="es-CL"/>
              </w:rPr>
              <w:t>Ancoa 220-&gt;Tap Off Santa Isabel 220</w:t>
            </w:r>
          </w:p>
        </w:tc>
        <w:tc>
          <w:tcPr>
            <w:tcW w:w="960" w:type="dxa"/>
            <w:tcBorders>
              <w:top w:val="nil"/>
              <w:left w:val="nil"/>
              <w:bottom w:val="single" w:sz="4" w:space="0" w:color="auto"/>
              <w:right w:val="single" w:sz="4" w:space="0" w:color="auto"/>
            </w:tcBorders>
            <w:shd w:val="clear" w:color="auto" w:fill="auto"/>
            <w:noWrap/>
            <w:vAlign w:val="bottom"/>
            <w:hideMark/>
          </w:tcPr>
          <w:p w14:paraId="35C3B0D8"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0.276</w:t>
            </w:r>
          </w:p>
        </w:tc>
        <w:tc>
          <w:tcPr>
            <w:tcW w:w="960" w:type="dxa"/>
            <w:tcBorders>
              <w:top w:val="nil"/>
              <w:left w:val="nil"/>
              <w:bottom w:val="single" w:sz="4" w:space="0" w:color="auto"/>
              <w:right w:val="single" w:sz="4" w:space="0" w:color="auto"/>
            </w:tcBorders>
            <w:shd w:val="clear" w:color="auto" w:fill="auto"/>
            <w:noWrap/>
            <w:vAlign w:val="bottom"/>
            <w:hideMark/>
          </w:tcPr>
          <w:p w14:paraId="2F642A7B"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0.724</w:t>
            </w:r>
          </w:p>
        </w:tc>
        <w:tc>
          <w:tcPr>
            <w:tcW w:w="960" w:type="dxa"/>
            <w:tcBorders>
              <w:top w:val="nil"/>
              <w:left w:val="nil"/>
              <w:bottom w:val="single" w:sz="4" w:space="0" w:color="auto"/>
              <w:right w:val="single" w:sz="4" w:space="0" w:color="auto"/>
            </w:tcBorders>
            <w:shd w:val="clear" w:color="auto" w:fill="auto"/>
            <w:noWrap/>
            <w:vAlign w:val="bottom"/>
            <w:hideMark/>
          </w:tcPr>
          <w:p w14:paraId="30BE8C9F"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0.422</w:t>
            </w:r>
          </w:p>
        </w:tc>
        <w:tc>
          <w:tcPr>
            <w:tcW w:w="960" w:type="dxa"/>
            <w:tcBorders>
              <w:top w:val="nil"/>
              <w:left w:val="nil"/>
              <w:bottom w:val="single" w:sz="4" w:space="0" w:color="auto"/>
              <w:right w:val="single" w:sz="4" w:space="0" w:color="auto"/>
            </w:tcBorders>
            <w:shd w:val="clear" w:color="auto" w:fill="auto"/>
            <w:noWrap/>
            <w:vAlign w:val="bottom"/>
            <w:hideMark/>
          </w:tcPr>
          <w:p w14:paraId="192584BC"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0.578</w:t>
            </w:r>
          </w:p>
        </w:tc>
      </w:tr>
      <w:tr w:rsidR="004730B7" w:rsidRPr="004730B7" w14:paraId="41A10CFE"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76E965E4"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N_12</w:t>
            </w:r>
          </w:p>
        </w:tc>
        <w:tc>
          <w:tcPr>
            <w:tcW w:w="5060" w:type="dxa"/>
            <w:tcBorders>
              <w:top w:val="nil"/>
              <w:left w:val="nil"/>
              <w:bottom w:val="single" w:sz="4" w:space="0" w:color="auto"/>
              <w:right w:val="single" w:sz="4" w:space="0" w:color="auto"/>
            </w:tcBorders>
            <w:shd w:val="clear" w:color="auto" w:fill="auto"/>
            <w:noWrap/>
            <w:vAlign w:val="bottom"/>
            <w:hideMark/>
          </w:tcPr>
          <w:p w14:paraId="72F6DE6D"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Ancoa 500-&gt;Charrua 500</w:t>
            </w:r>
          </w:p>
        </w:tc>
        <w:tc>
          <w:tcPr>
            <w:tcW w:w="960" w:type="dxa"/>
            <w:tcBorders>
              <w:top w:val="nil"/>
              <w:left w:val="nil"/>
              <w:bottom w:val="single" w:sz="4" w:space="0" w:color="auto"/>
              <w:right w:val="single" w:sz="4" w:space="0" w:color="auto"/>
            </w:tcBorders>
            <w:shd w:val="clear" w:color="auto" w:fill="auto"/>
            <w:noWrap/>
            <w:vAlign w:val="bottom"/>
            <w:hideMark/>
          </w:tcPr>
          <w:p w14:paraId="03BFEC85"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74E15399"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03511803"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5912CF21"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0.000</w:t>
            </w:r>
          </w:p>
        </w:tc>
      </w:tr>
      <w:tr w:rsidR="004730B7" w:rsidRPr="004730B7" w14:paraId="4D3D9AAE"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5A7C3B3F"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N_13</w:t>
            </w:r>
          </w:p>
        </w:tc>
        <w:tc>
          <w:tcPr>
            <w:tcW w:w="5060" w:type="dxa"/>
            <w:tcBorders>
              <w:top w:val="nil"/>
              <w:left w:val="nil"/>
              <w:bottom w:val="single" w:sz="4" w:space="0" w:color="auto"/>
              <w:right w:val="single" w:sz="4" w:space="0" w:color="auto"/>
            </w:tcBorders>
            <w:shd w:val="clear" w:color="auto" w:fill="auto"/>
            <w:noWrap/>
            <w:vAlign w:val="bottom"/>
            <w:hideMark/>
          </w:tcPr>
          <w:p w14:paraId="6AF9CAF5"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Ancoa 500-&gt;Nueva Charrua 500</w:t>
            </w:r>
          </w:p>
        </w:tc>
        <w:tc>
          <w:tcPr>
            <w:tcW w:w="960" w:type="dxa"/>
            <w:tcBorders>
              <w:top w:val="nil"/>
              <w:left w:val="nil"/>
              <w:bottom w:val="single" w:sz="4" w:space="0" w:color="auto"/>
              <w:right w:val="single" w:sz="4" w:space="0" w:color="auto"/>
            </w:tcBorders>
            <w:shd w:val="clear" w:color="auto" w:fill="auto"/>
            <w:noWrap/>
            <w:vAlign w:val="bottom"/>
            <w:hideMark/>
          </w:tcPr>
          <w:p w14:paraId="0BEC0880"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0.296</w:t>
            </w:r>
          </w:p>
        </w:tc>
        <w:tc>
          <w:tcPr>
            <w:tcW w:w="960" w:type="dxa"/>
            <w:tcBorders>
              <w:top w:val="nil"/>
              <w:left w:val="nil"/>
              <w:bottom w:val="single" w:sz="4" w:space="0" w:color="auto"/>
              <w:right w:val="single" w:sz="4" w:space="0" w:color="auto"/>
            </w:tcBorders>
            <w:shd w:val="clear" w:color="auto" w:fill="auto"/>
            <w:noWrap/>
            <w:vAlign w:val="bottom"/>
            <w:hideMark/>
          </w:tcPr>
          <w:p w14:paraId="790ED4C3"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0.704</w:t>
            </w:r>
          </w:p>
        </w:tc>
        <w:tc>
          <w:tcPr>
            <w:tcW w:w="960" w:type="dxa"/>
            <w:tcBorders>
              <w:top w:val="nil"/>
              <w:left w:val="nil"/>
              <w:bottom w:val="single" w:sz="4" w:space="0" w:color="auto"/>
              <w:right w:val="single" w:sz="4" w:space="0" w:color="auto"/>
            </w:tcBorders>
            <w:shd w:val="clear" w:color="auto" w:fill="auto"/>
            <w:noWrap/>
            <w:vAlign w:val="bottom"/>
            <w:hideMark/>
          </w:tcPr>
          <w:p w14:paraId="49053ADE"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0.411</w:t>
            </w:r>
          </w:p>
        </w:tc>
        <w:tc>
          <w:tcPr>
            <w:tcW w:w="960" w:type="dxa"/>
            <w:tcBorders>
              <w:top w:val="nil"/>
              <w:left w:val="nil"/>
              <w:bottom w:val="single" w:sz="4" w:space="0" w:color="auto"/>
              <w:right w:val="single" w:sz="4" w:space="0" w:color="auto"/>
            </w:tcBorders>
            <w:shd w:val="clear" w:color="auto" w:fill="auto"/>
            <w:noWrap/>
            <w:vAlign w:val="bottom"/>
            <w:hideMark/>
          </w:tcPr>
          <w:p w14:paraId="68B0446B"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0.589</w:t>
            </w:r>
          </w:p>
        </w:tc>
      </w:tr>
      <w:tr w:rsidR="004730B7" w:rsidRPr="004730B7" w14:paraId="3CBE8143"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4F63EEEF"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N_14</w:t>
            </w:r>
          </w:p>
        </w:tc>
        <w:tc>
          <w:tcPr>
            <w:tcW w:w="5060" w:type="dxa"/>
            <w:tcBorders>
              <w:top w:val="nil"/>
              <w:left w:val="nil"/>
              <w:bottom w:val="single" w:sz="4" w:space="0" w:color="auto"/>
              <w:right w:val="single" w:sz="4" w:space="0" w:color="auto"/>
            </w:tcBorders>
            <w:shd w:val="clear" w:color="auto" w:fill="auto"/>
            <w:noWrap/>
            <w:vAlign w:val="bottom"/>
            <w:hideMark/>
          </w:tcPr>
          <w:p w14:paraId="47D22BFA"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Atacama 220-&gt;Tap Enlace 220</w:t>
            </w:r>
          </w:p>
        </w:tc>
        <w:tc>
          <w:tcPr>
            <w:tcW w:w="960" w:type="dxa"/>
            <w:tcBorders>
              <w:top w:val="nil"/>
              <w:left w:val="nil"/>
              <w:bottom w:val="single" w:sz="4" w:space="0" w:color="auto"/>
              <w:right w:val="single" w:sz="4" w:space="0" w:color="auto"/>
            </w:tcBorders>
            <w:shd w:val="clear" w:color="auto" w:fill="auto"/>
            <w:noWrap/>
            <w:vAlign w:val="bottom"/>
            <w:hideMark/>
          </w:tcPr>
          <w:p w14:paraId="64EDF7E6"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0.108</w:t>
            </w:r>
          </w:p>
        </w:tc>
        <w:tc>
          <w:tcPr>
            <w:tcW w:w="960" w:type="dxa"/>
            <w:tcBorders>
              <w:top w:val="nil"/>
              <w:left w:val="nil"/>
              <w:bottom w:val="single" w:sz="4" w:space="0" w:color="auto"/>
              <w:right w:val="single" w:sz="4" w:space="0" w:color="auto"/>
            </w:tcBorders>
            <w:shd w:val="clear" w:color="auto" w:fill="auto"/>
            <w:noWrap/>
            <w:vAlign w:val="bottom"/>
            <w:hideMark/>
          </w:tcPr>
          <w:p w14:paraId="184C29D8"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0.892</w:t>
            </w:r>
          </w:p>
        </w:tc>
        <w:tc>
          <w:tcPr>
            <w:tcW w:w="960" w:type="dxa"/>
            <w:tcBorders>
              <w:top w:val="nil"/>
              <w:left w:val="nil"/>
              <w:bottom w:val="single" w:sz="4" w:space="0" w:color="auto"/>
              <w:right w:val="single" w:sz="4" w:space="0" w:color="auto"/>
            </w:tcBorders>
            <w:shd w:val="clear" w:color="auto" w:fill="auto"/>
            <w:noWrap/>
            <w:vAlign w:val="bottom"/>
            <w:hideMark/>
          </w:tcPr>
          <w:p w14:paraId="3CEDFD8A"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0.155</w:t>
            </w:r>
          </w:p>
        </w:tc>
        <w:tc>
          <w:tcPr>
            <w:tcW w:w="960" w:type="dxa"/>
            <w:tcBorders>
              <w:top w:val="nil"/>
              <w:left w:val="nil"/>
              <w:bottom w:val="single" w:sz="4" w:space="0" w:color="auto"/>
              <w:right w:val="single" w:sz="4" w:space="0" w:color="auto"/>
            </w:tcBorders>
            <w:shd w:val="clear" w:color="auto" w:fill="auto"/>
            <w:noWrap/>
            <w:vAlign w:val="bottom"/>
            <w:hideMark/>
          </w:tcPr>
          <w:p w14:paraId="11246835"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0.845</w:t>
            </w:r>
          </w:p>
        </w:tc>
      </w:tr>
      <w:tr w:rsidR="004730B7" w:rsidRPr="004730B7" w14:paraId="4A510A3F"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7371B02B"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N_15</w:t>
            </w:r>
          </w:p>
        </w:tc>
        <w:tc>
          <w:tcPr>
            <w:tcW w:w="5060" w:type="dxa"/>
            <w:tcBorders>
              <w:top w:val="nil"/>
              <w:left w:val="nil"/>
              <w:bottom w:val="single" w:sz="4" w:space="0" w:color="auto"/>
              <w:right w:val="single" w:sz="4" w:space="0" w:color="auto"/>
            </w:tcBorders>
            <w:shd w:val="clear" w:color="auto" w:fill="auto"/>
            <w:noWrap/>
            <w:vAlign w:val="bottom"/>
            <w:hideMark/>
          </w:tcPr>
          <w:p w14:paraId="6B8050BD"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Bureo 220-&gt;Los Peumos 220</w:t>
            </w:r>
          </w:p>
        </w:tc>
        <w:tc>
          <w:tcPr>
            <w:tcW w:w="960" w:type="dxa"/>
            <w:tcBorders>
              <w:top w:val="nil"/>
              <w:left w:val="nil"/>
              <w:bottom w:val="single" w:sz="4" w:space="0" w:color="auto"/>
              <w:right w:val="single" w:sz="4" w:space="0" w:color="auto"/>
            </w:tcBorders>
            <w:shd w:val="clear" w:color="auto" w:fill="auto"/>
            <w:noWrap/>
            <w:vAlign w:val="bottom"/>
            <w:hideMark/>
          </w:tcPr>
          <w:p w14:paraId="34A64AE3"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0.314</w:t>
            </w:r>
          </w:p>
        </w:tc>
        <w:tc>
          <w:tcPr>
            <w:tcW w:w="960" w:type="dxa"/>
            <w:tcBorders>
              <w:top w:val="nil"/>
              <w:left w:val="nil"/>
              <w:bottom w:val="single" w:sz="4" w:space="0" w:color="auto"/>
              <w:right w:val="single" w:sz="4" w:space="0" w:color="auto"/>
            </w:tcBorders>
            <w:shd w:val="clear" w:color="auto" w:fill="auto"/>
            <w:noWrap/>
            <w:vAlign w:val="bottom"/>
            <w:hideMark/>
          </w:tcPr>
          <w:p w14:paraId="6A93B36A"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0.686</w:t>
            </w:r>
          </w:p>
        </w:tc>
        <w:tc>
          <w:tcPr>
            <w:tcW w:w="960" w:type="dxa"/>
            <w:tcBorders>
              <w:top w:val="nil"/>
              <w:left w:val="nil"/>
              <w:bottom w:val="single" w:sz="4" w:space="0" w:color="auto"/>
              <w:right w:val="single" w:sz="4" w:space="0" w:color="auto"/>
            </w:tcBorders>
            <w:shd w:val="clear" w:color="auto" w:fill="auto"/>
            <w:noWrap/>
            <w:vAlign w:val="bottom"/>
            <w:hideMark/>
          </w:tcPr>
          <w:p w14:paraId="3F56D841"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0.467</w:t>
            </w:r>
          </w:p>
        </w:tc>
        <w:tc>
          <w:tcPr>
            <w:tcW w:w="960" w:type="dxa"/>
            <w:tcBorders>
              <w:top w:val="nil"/>
              <w:left w:val="nil"/>
              <w:bottom w:val="single" w:sz="4" w:space="0" w:color="auto"/>
              <w:right w:val="single" w:sz="4" w:space="0" w:color="auto"/>
            </w:tcBorders>
            <w:shd w:val="clear" w:color="auto" w:fill="auto"/>
            <w:noWrap/>
            <w:vAlign w:val="bottom"/>
            <w:hideMark/>
          </w:tcPr>
          <w:p w14:paraId="01B2FAED"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0.533</w:t>
            </w:r>
          </w:p>
        </w:tc>
      </w:tr>
      <w:tr w:rsidR="004730B7" w:rsidRPr="004730B7" w14:paraId="42AC1C59"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2202FCEA"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N_16</w:t>
            </w:r>
          </w:p>
        </w:tc>
        <w:tc>
          <w:tcPr>
            <w:tcW w:w="5060" w:type="dxa"/>
            <w:tcBorders>
              <w:top w:val="nil"/>
              <w:left w:val="nil"/>
              <w:bottom w:val="single" w:sz="4" w:space="0" w:color="auto"/>
              <w:right w:val="single" w:sz="4" w:space="0" w:color="auto"/>
            </w:tcBorders>
            <w:shd w:val="clear" w:color="auto" w:fill="auto"/>
            <w:noWrap/>
            <w:vAlign w:val="bottom"/>
            <w:hideMark/>
          </w:tcPr>
          <w:p w14:paraId="67AD684F"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Candelaria 220-&gt;Maipo 220</w:t>
            </w:r>
          </w:p>
        </w:tc>
        <w:tc>
          <w:tcPr>
            <w:tcW w:w="960" w:type="dxa"/>
            <w:tcBorders>
              <w:top w:val="nil"/>
              <w:left w:val="nil"/>
              <w:bottom w:val="single" w:sz="4" w:space="0" w:color="auto"/>
              <w:right w:val="single" w:sz="4" w:space="0" w:color="auto"/>
            </w:tcBorders>
            <w:shd w:val="clear" w:color="auto" w:fill="auto"/>
            <w:noWrap/>
            <w:vAlign w:val="bottom"/>
            <w:hideMark/>
          </w:tcPr>
          <w:p w14:paraId="02878D99"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0.070</w:t>
            </w:r>
          </w:p>
        </w:tc>
        <w:tc>
          <w:tcPr>
            <w:tcW w:w="960" w:type="dxa"/>
            <w:tcBorders>
              <w:top w:val="nil"/>
              <w:left w:val="nil"/>
              <w:bottom w:val="single" w:sz="4" w:space="0" w:color="auto"/>
              <w:right w:val="single" w:sz="4" w:space="0" w:color="auto"/>
            </w:tcBorders>
            <w:shd w:val="clear" w:color="auto" w:fill="auto"/>
            <w:noWrap/>
            <w:vAlign w:val="bottom"/>
            <w:hideMark/>
          </w:tcPr>
          <w:p w14:paraId="254FD377"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0.930</w:t>
            </w:r>
          </w:p>
        </w:tc>
        <w:tc>
          <w:tcPr>
            <w:tcW w:w="960" w:type="dxa"/>
            <w:tcBorders>
              <w:top w:val="nil"/>
              <w:left w:val="nil"/>
              <w:bottom w:val="single" w:sz="4" w:space="0" w:color="auto"/>
              <w:right w:val="single" w:sz="4" w:space="0" w:color="auto"/>
            </w:tcBorders>
            <w:shd w:val="clear" w:color="auto" w:fill="auto"/>
            <w:noWrap/>
            <w:vAlign w:val="bottom"/>
            <w:hideMark/>
          </w:tcPr>
          <w:p w14:paraId="02704E82"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0.080</w:t>
            </w:r>
          </w:p>
        </w:tc>
        <w:tc>
          <w:tcPr>
            <w:tcW w:w="960" w:type="dxa"/>
            <w:tcBorders>
              <w:top w:val="nil"/>
              <w:left w:val="nil"/>
              <w:bottom w:val="single" w:sz="4" w:space="0" w:color="auto"/>
              <w:right w:val="single" w:sz="4" w:space="0" w:color="auto"/>
            </w:tcBorders>
            <w:shd w:val="clear" w:color="auto" w:fill="auto"/>
            <w:noWrap/>
            <w:vAlign w:val="bottom"/>
            <w:hideMark/>
          </w:tcPr>
          <w:p w14:paraId="29808647"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0.920</w:t>
            </w:r>
          </w:p>
        </w:tc>
      </w:tr>
      <w:tr w:rsidR="004730B7" w:rsidRPr="004730B7" w14:paraId="7FEE42AB"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5FC868E8"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N_17</w:t>
            </w:r>
          </w:p>
        </w:tc>
        <w:tc>
          <w:tcPr>
            <w:tcW w:w="5060" w:type="dxa"/>
            <w:tcBorders>
              <w:top w:val="nil"/>
              <w:left w:val="nil"/>
              <w:bottom w:val="single" w:sz="4" w:space="0" w:color="auto"/>
              <w:right w:val="single" w:sz="4" w:space="0" w:color="auto"/>
            </w:tcBorders>
            <w:shd w:val="clear" w:color="auto" w:fill="auto"/>
            <w:noWrap/>
            <w:vAlign w:val="bottom"/>
            <w:hideMark/>
          </w:tcPr>
          <w:p w14:paraId="266D7FAC"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Candelaria 220-&gt;Puente Negro 220</w:t>
            </w:r>
          </w:p>
        </w:tc>
        <w:tc>
          <w:tcPr>
            <w:tcW w:w="960" w:type="dxa"/>
            <w:tcBorders>
              <w:top w:val="nil"/>
              <w:left w:val="nil"/>
              <w:bottom w:val="single" w:sz="4" w:space="0" w:color="auto"/>
              <w:right w:val="single" w:sz="4" w:space="0" w:color="auto"/>
            </w:tcBorders>
            <w:shd w:val="clear" w:color="auto" w:fill="auto"/>
            <w:noWrap/>
            <w:vAlign w:val="bottom"/>
            <w:hideMark/>
          </w:tcPr>
          <w:p w14:paraId="51C7B8D5"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0.045</w:t>
            </w:r>
          </w:p>
        </w:tc>
        <w:tc>
          <w:tcPr>
            <w:tcW w:w="960" w:type="dxa"/>
            <w:tcBorders>
              <w:top w:val="nil"/>
              <w:left w:val="nil"/>
              <w:bottom w:val="single" w:sz="4" w:space="0" w:color="auto"/>
              <w:right w:val="single" w:sz="4" w:space="0" w:color="auto"/>
            </w:tcBorders>
            <w:shd w:val="clear" w:color="auto" w:fill="auto"/>
            <w:noWrap/>
            <w:vAlign w:val="bottom"/>
            <w:hideMark/>
          </w:tcPr>
          <w:p w14:paraId="760AAAED"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0.955</w:t>
            </w:r>
          </w:p>
        </w:tc>
        <w:tc>
          <w:tcPr>
            <w:tcW w:w="960" w:type="dxa"/>
            <w:tcBorders>
              <w:top w:val="nil"/>
              <w:left w:val="nil"/>
              <w:bottom w:val="single" w:sz="4" w:space="0" w:color="auto"/>
              <w:right w:val="single" w:sz="4" w:space="0" w:color="auto"/>
            </w:tcBorders>
            <w:shd w:val="clear" w:color="auto" w:fill="auto"/>
            <w:noWrap/>
            <w:vAlign w:val="bottom"/>
            <w:hideMark/>
          </w:tcPr>
          <w:p w14:paraId="124C475A"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0.052</w:t>
            </w:r>
          </w:p>
        </w:tc>
        <w:tc>
          <w:tcPr>
            <w:tcW w:w="960" w:type="dxa"/>
            <w:tcBorders>
              <w:top w:val="nil"/>
              <w:left w:val="nil"/>
              <w:bottom w:val="single" w:sz="4" w:space="0" w:color="auto"/>
              <w:right w:val="single" w:sz="4" w:space="0" w:color="auto"/>
            </w:tcBorders>
            <w:shd w:val="clear" w:color="auto" w:fill="auto"/>
            <w:noWrap/>
            <w:vAlign w:val="bottom"/>
            <w:hideMark/>
          </w:tcPr>
          <w:p w14:paraId="135A07E9"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0.948</w:t>
            </w:r>
          </w:p>
        </w:tc>
      </w:tr>
      <w:tr w:rsidR="004730B7" w:rsidRPr="004730B7" w14:paraId="28928F01"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72808FD5"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N_18</w:t>
            </w:r>
          </w:p>
        </w:tc>
        <w:tc>
          <w:tcPr>
            <w:tcW w:w="5060" w:type="dxa"/>
            <w:tcBorders>
              <w:top w:val="nil"/>
              <w:left w:val="nil"/>
              <w:bottom w:val="single" w:sz="4" w:space="0" w:color="auto"/>
              <w:right w:val="single" w:sz="4" w:space="0" w:color="auto"/>
            </w:tcBorders>
            <w:shd w:val="clear" w:color="auto" w:fill="auto"/>
            <w:noWrap/>
            <w:vAlign w:val="bottom"/>
            <w:hideMark/>
          </w:tcPr>
          <w:p w14:paraId="491AC601"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Cardones 220-&gt;Algarrobal 220</w:t>
            </w:r>
          </w:p>
        </w:tc>
        <w:tc>
          <w:tcPr>
            <w:tcW w:w="960" w:type="dxa"/>
            <w:tcBorders>
              <w:top w:val="nil"/>
              <w:left w:val="nil"/>
              <w:bottom w:val="single" w:sz="4" w:space="0" w:color="auto"/>
              <w:right w:val="single" w:sz="4" w:space="0" w:color="auto"/>
            </w:tcBorders>
            <w:shd w:val="clear" w:color="auto" w:fill="auto"/>
            <w:noWrap/>
            <w:vAlign w:val="bottom"/>
            <w:hideMark/>
          </w:tcPr>
          <w:p w14:paraId="232AF64C"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0.311</w:t>
            </w:r>
          </w:p>
        </w:tc>
        <w:tc>
          <w:tcPr>
            <w:tcW w:w="960" w:type="dxa"/>
            <w:tcBorders>
              <w:top w:val="nil"/>
              <w:left w:val="nil"/>
              <w:bottom w:val="single" w:sz="4" w:space="0" w:color="auto"/>
              <w:right w:val="single" w:sz="4" w:space="0" w:color="auto"/>
            </w:tcBorders>
            <w:shd w:val="clear" w:color="auto" w:fill="auto"/>
            <w:noWrap/>
            <w:vAlign w:val="bottom"/>
            <w:hideMark/>
          </w:tcPr>
          <w:p w14:paraId="42378498"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0.689</w:t>
            </w:r>
          </w:p>
        </w:tc>
        <w:tc>
          <w:tcPr>
            <w:tcW w:w="960" w:type="dxa"/>
            <w:tcBorders>
              <w:top w:val="nil"/>
              <w:left w:val="nil"/>
              <w:bottom w:val="single" w:sz="4" w:space="0" w:color="auto"/>
              <w:right w:val="single" w:sz="4" w:space="0" w:color="auto"/>
            </w:tcBorders>
            <w:shd w:val="clear" w:color="auto" w:fill="auto"/>
            <w:noWrap/>
            <w:vAlign w:val="bottom"/>
            <w:hideMark/>
          </w:tcPr>
          <w:p w14:paraId="66E6A3E4"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0.457</w:t>
            </w:r>
          </w:p>
        </w:tc>
        <w:tc>
          <w:tcPr>
            <w:tcW w:w="960" w:type="dxa"/>
            <w:tcBorders>
              <w:top w:val="nil"/>
              <w:left w:val="nil"/>
              <w:bottom w:val="single" w:sz="4" w:space="0" w:color="auto"/>
              <w:right w:val="single" w:sz="4" w:space="0" w:color="auto"/>
            </w:tcBorders>
            <w:shd w:val="clear" w:color="auto" w:fill="auto"/>
            <w:noWrap/>
            <w:vAlign w:val="bottom"/>
            <w:hideMark/>
          </w:tcPr>
          <w:p w14:paraId="392A5884"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0.543</w:t>
            </w:r>
          </w:p>
        </w:tc>
      </w:tr>
      <w:tr w:rsidR="004730B7" w:rsidRPr="004730B7" w14:paraId="1B1B2B35"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1984E50B"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N_19</w:t>
            </w:r>
          </w:p>
        </w:tc>
        <w:tc>
          <w:tcPr>
            <w:tcW w:w="5060" w:type="dxa"/>
            <w:tcBorders>
              <w:top w:val="nil"/>
              <w:left w:val="nil"/>
              <w:bottom w:val="single" w:sz="4" w:space="0" w:color="auto"/>
              <w:right w:val="single" w:sz="4" w:space="0" w:color="auto"/>
            </w:tcBorders>
            <w:shd w:val="clear" w:color="auto" w:fill="auto"/>
            <w:noWrap/>
            <w:vAlign w:val="bottom"/>
            <w:hideMark/>
          </w:tcPr>
          <w:p w14:paraId="1A539C02"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Cardones 220-&gt;Nueva Cardones 220</w:t>
            </w:r>
          </w:p>
        </w:tc>
        <w:tc>
          <w:tcPr>
            <w:tcW w:w="960" w:type="dxa"/>
            <w:tcBorders>
              <w:top w:val="nil"/>
              <w:left w:val="nil"/>
              <w:bottom w:val="single" w:sz="4" w:space="0" w:color="auto"/>
              <w:right w:val="single" w:sz="4" w:space="0" w:color="auto"/>
            </w:tcBorders>
            <w:shd w:val="clear" w:color="auto" w:fill="auto"/>
            <w:noWrap/>
            <w:vAlign w:val="bottom"/>
            <w:hideMark/>
          </w:tcPr>
          <w:p w14:paraId="1494B75F"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284B654B"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6F79C768"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2DE3E6D4"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0.000</w:t>
            </w:r>
          </w:p>
        </w:tc>
      </w:tr>
      <w:tr w:rsidR="004730B7" w:rsidRPr="004730B7" w14:paraId="0D16BBA3"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7C556212"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N_20</w:t>
            </w:r>
          </w:p>
        </w:tc>
        <w:tc>
          <w:tcPr>
            <w:tcW w:w="5060" w:type="dxa"/>
            <w:tcBorders>
              <w:top w:val="nil"/>
              <w:left w:val="nil"/>
              <w:bottom w:val="single" w:sz="4" w:space="0" w:color="auto"/>
              <w:right w:val="single" w:sz="4" w:space="0" w:color="auto"/>
            </w:tcBorders>
            <w:shd w:val="clear" w:color="auto" w:fill="auto"/>
            <w:noWrap/>
            <w:vAlign w:val="bottom"/>
            <w:hideMark/>
          </w:tcPr>
          <w:p w14:paraId="72A05A3A"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Carrera Pinto 220-&gt;Nueva Diego de Almagro 220</w:t>
            </w:r>
          </w:p>
        </w:tc>
        <w:tc>
          <w:tcPr>
            <w:tcW w:w="960" w:type="dxa"/>
            <w:tcBorders>
              <w:top w:val="nil"/>
              <w:left w:val="nil"/>
              <w:bottom w:val="single" w:sz="4" w:space="0" w:color="auto"/>
              <w:right w:val="single" w:sz="4" w:space="0" w:color="auto"/>
            </w:tcBorders>
            <w:shd w:val="clear" w:color="auto" w:fill="auto"/>
            <w:noWrap/>
            <w:vAlign w:val="bottom"/>
            <w:hideMark/>
          </w:tcPr>
          <w:p w14:paraId="0CB24F7F"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0.179</w:t>
            </w:r>
          </w:p>
        </w:tc>
        <w:tc>
          <w:tcPr>
            <w:tcW w:w="960" w:type="dxa"/>
            <w:tcBorders>
              <w:top w:val="nil"/>
              <w:left w:val="nil"/>
              <w:bottom w:val="single" w:sz="4" w:space="0" w:color="auto"/>
              <w:right w:val="single" w:sz="4" w:space="0" w:color="auto"/>
            </w:tcBorders>
            <w:shd w:val="clear" w:color="auto" w:fill="auto"/>
            <w:noWrap/>
            <w:vAlign w:val="bottom"/>
            <w:hideMark/>
          </w:tcPr>
          <w:p w14:paraId="2FA06852"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0.821</w:t>
            </w:r>
          </w:p>
        </w:tc>
        <w:tc>
          <w:tcPr>
            <w:tcW w:w="960" w:type="dxa"/>
            <w:tcBorders>
              <w:top w:val="nil"/>
              <w:left w:val="nil"/>
              <w:bottom w:val="single" w:sz="4" w:space="0" w:color="auto"/>
              <w:right w:val="single" w:sz="4" w:space="0" w:color="auto"/>
            </w:tcBorders>
            <w:shd w:val="clear" w:color="auto" w:fill="auto"/>
            <w:noWrap/>
            <w:vAlign w:val="bottom"/>
            <w:hideMark/>
          </w:tcPr>
          <w:p w14:paraId="37CED992"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0.264</w:t>
            </w:r>
          </w:p>
        </w:tc>
        <w:tc>
          <w:tcPr>
            <w:tcW w:w="960" w:type="dxa"/>
            <w:tcBorders>
              <w:top w:val="nil"/>
              <w:left w:val="nil"/>
              <w:bottom w:val="single" w:sz="4" w:space="0" w:color="auto"/>
              <w:right w:val="single" w:sz="4" w:space="0" w:color="auto"/>
            </w:tcBorders>
            <w:shd w:val="clear" w:color="auto" w:fill="auto"/>
            <w:noWrap/>
            <w:vAlign w:val="bottom"/>
            <w:hideMark/>
          </w:tcPr>
          <w:p w14:paraId="157D9055"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0.736</w:t>
            </w:r>
          </w:p>
        </w:tc>
      </w:tr>
      <w:tr w:rsidR="004730B7" w:rsidRPr="004730B7" w14:paraId="39CE7BB7"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3C291CE1"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N_21</w:t>
            </w:r>
          </w:p>
        </w:tc>
        <w:tc>
          <w:tcPr>
            <w:tcW w:w="5060" w:type="dxa"/>
            <w:tcBorders>
              <w:top w:val="nil"/>
              <w:left w:val="nil"/>
              <w:bottom w:val="single" w:sz="4" w:space="0" w:color="auto"/>
              <w:right w:val="single" w:sz="4" w:space="0" w:color="auto"/>
            </w:tcBorders>
            <w:shd w:val="clear" w:color="auto" w:fill="auto"/>
            <w:noWrap/>
            <w:vAlign w:val="bottom"/>
            <w:hideMark/>
          </w:tcPr>
          <w:p w14:paraId="1045B437"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Carrera Pinto 220-&gt;S. San Andres 220</w:t>
            </w:r>
          </w:p>
        </w:tc>
        <w:tc>
          <w:tcPr>
            <w:tcW w:w="960" w:type="dxa"/>
            <w:tcBorders>
              <w:top w:val="nil"/>
              <w:left w:val="nil"/>
              <w:bottom w:val="single" w:sz="4" w:space="0" w:color="auto"/>
              <w:right w:val="single" w:sz="4" w:space="0" w:color="auto"/>
            </w:tcBorders>
            <w:shd w:val="clear" w:color="auto" w:fill="auto"/>
            <w:noWrap/>
            <w:vAlign w:val="bottom"/>
            <w:hideMark/>
          </w:tcPr>
          <w:p w14:paraId="5D1F589A"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0.198</w:t>
            </w:r>
          </w:p>
        </w:tc>
        <w:tc>
          <w:tcPr>
            <w:tcW w:w="960" w:type="dxa"/>
            <w:tcBorders>
              <w:top w:val="nil"/>
              <w:left w:val="nil"/>
              <w:bottom w:val="single" w:sz="4" w:space="0" w:color="auto"/>
              <w:right w:val="single" w:sz="4" w:space="0" w:color="auto"/>
            </w:tcBorders>
            <w:shd w:val="clear" w:color="auto" w:fill="auto"/>
            <w:noWrap/>
            <w:vAlign w:val="bottom"/>
            <w:hideMark/>
          </w:tcPr>
          <w:p w14:paraId="1696F5BF"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0.802</w:t>
            </w:r>
          </w:p>
        </w:tc>
        <w:tc>
          <w:tcPr>
            <w:tcW w:w="960" w:type="dxa"/>
            <w:tcBorders>
              <w:top w:val="nil"/>
              <w:left w:val="nil"/>
              <w:bottom w:val="single" w:sz="4" w:space="0" w:color="auto"/>
              <w:right w:val="single" w:sz="4" w:space="0" w:color="auto"/>
            </w:tcBorders>
            <w:shd w:val="clear" w:color="auto" w:fill="auto"/>
            <w:noWrap/>
            <w:vAlign w:val="bottom"/>
            <w:hideMark/>
          </w:tcPr>
          <w:p w14:paraId="385E6625"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0.289</w:t>
            </w:r>
          </w:p>
        </w:tc>
        <w:tc>
          <w:tcPr>
            <w:tcW w:w="960" w:type="dxa"/>
            <w:tcBorders>
              <w:top w:val="nil"/>
              <w:left w:val="nil"/>
              <w:bottom w:val="single" w:sz="4" w:space="0" w:color="auto"/>
              <w:right w:val="single" w:sz="4" w:space="0" w:color="auto"/>
            </w:tcBorders>
            <w:shd w:val="clear" w:color="auto" w:fill="auto"/>
            <w:noWrap/>
            <w:vAlign w:val="bottom"/>
            <w:hideMark/>
          </w:tcPr>
          <w:p w14:paraId="18817767"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0.711</w:t>
            </w:r>
          </w:p>
        </w:tc>
      </w:tr>
      <w:tr w:rsidR="004730B7" w:rsidRPr="004730B7" w14:paraId="06FCCD7B"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416CF864"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N_22</w:t>
            </w:r>
          </w:p>
        </w:tc>
        <w:tc>
          <w:tcPr>
            <w:tcW w:w="5060" w:type="dxa"/>
            <w:tcBorders>
              <w:top w:val="nil"/>
              <w:left w:val="nil"/>
              <w:bottom w:val="single" w:sz="4" w:space="0" w:color="auto"/>
              <w:right w:val="single" w:sz="4" w:space="0" w:color="auto"/>
            </w:tcBorders>
            <w:shd w:val="clear" w:color="auto" w:fill="auto"/>
            <w:noWrap/>
            <w:vAlign w:val="bottom"/>
            <w:hideMark/>
          </w:tcPr>
          <w:p w14:paraId="0C81F729"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Cautin 220-&gt;Metrenco 220</w:t>
            </w:r>
          </w:p>
        </w:tc>
        <w:tc>
          <w:tcPr>
            <w:tcW w:w="960" w:type="dxa"/>
            <w:tcBorders>
              <w:top w:val="nil"/>
              <w:left w:val="nil"/>
              <w:bottom w:val="single" w:sz="4" w:space="0" w:color="auto"/>
              <w:right w:val="single" w:sz="4" w:space="0" w:color="auto"/>
            </w:tcBorders>
            <w:shd w:val="clear" w:color="auto" w:fill="auto"/>
            <w:noWrap/>
            <w:vAlign w:val="bottom"/>
            <w:hideMark/>
          </w:tcPr>
          <w:p w14:paraId="70F3A9C5"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0.361</w:t>
            </w:r>
          </w:p>
        </w:tc>
        <w:tc>
          <w:tcPr>
            <w:tcW w:w="960" w:type="dxa"/>
            <w:tcBorders>
              <w:top w:val="nil"/>
              <w:left w:val="nil"/>
              <w:bottom w:val="single" w:sz="4" w:space="0" w:color="auto"/>
              <w:right w:val="single" w:sz="4" w:space="0" w:color="auto"/>
            </w:tcBorders>
            <w:shd w:val="clear" w:color="auto" w:fill="auto"/>
            <w:noWrap/>
            <w:vAlign w:val="bottom"/>
            <w:hideMark/>
          </w:tcPr>
          <w:p w14:paraId="4EC4EE84"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0.639</w:t>
            </w:r>
          </w:p>
        </w:tc>
        <w:tc>
          <w:tcPr>
            <w:tcW w:w="960" w:type="dxa"/>
            <w:tcBorders>
              <w:top w:val="nil"/>
              <w:left w:val="nil"/>
              <w:bottom w:val="single" w:sz="4" w:space="0" w:color="auto"/>
              <w:right w:val="single" w:sz="4" w:space="0" w:color="auto"/>
            </w:tcBorders>
            <w:shd w:val="clear" w:color="auto" w:fill="auto"/>
            <w:noWrap/>
            <w:vAlign w:val="bottom"/>
            <w:hideMark/>
          </w:tcPr>
          <w:p w14:paraId="73FF12D8"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0.541</w:t>
            </w:r>
          </w:p>
        </w:tc>
        <w:tc>
          <w:tcPr>
            <w:tcW w:w="960" w:type="dxa"/>
            <w:tcBorders>
              <w:top w:val="nil"/>
              <w:left w:val="nil"/>
              <w:bottom w:val="single" w:sz="4" w:space="0" w:color="auto"/>
              <w:right w:val="single" w:sz="4" w:space="0" w:color="auto"/>
            </w:tcBorders>
            <w:shd w:val="clear" w:color="auto" w:fill="auto"/>
            <w:noWrap/>
            <w:vAlign w:val="bottom"/>
            <w:hideMark/>
          </w:tcPr>
          <w:p w14:paraId="1B82E0F5"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0.459</w:t>
            </w:r>
          </w:p>
        </w:tc>
      </w:tr>
      <w:tr w:rsidR="004730B7" w:rsidRPr="004730B7" w14:paraId="1A1BC36C"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2B639D2F"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N_23</w:t>
            </w:r>
          </w:p>
        </w:tc>
        <w:tc>
          <w:tcPr>
            <w:tcW w:w="5060" w:type="dxa"/>
            <w:tcBorders>
              <w:top w:val="nil"/>
              <w:left w:val="nil"/>
              <w:bottom w:val="single" w:sz="4" w:space="0" w:color="auto"/>
              <w:right w:val="single" w:sz="4" w:space="0" w:color="auto"/>
            </w:tcBorders>
            <w:shd w:val="clear" w:color="auto" w:fill="auto"/>
            <w:noWrap/>
            <w:vAlign w:val="bottom"/>
            <w:hideMark/>
          </w:tcPr>
          <w:p w14:paraId="2791E214"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Cerro Navia 220-&gt;Cerro Navia Desf 220</w:t>
            </w:r>
          </w:p>
        </w:tc>
        <w:tc>
          <w:tcPr>
            <w:tcW w:w="960" w:type="dxa"/>
            <w:tcBorders>
              <w:top w:val="nil"/>
              <w:left w:val="nil"/>
              <w:bottom w:val="single" w:sz="4" w:space="0" w:color="auto"/>
              <w:right w:val="single" w:sz="4" w:space="0" w:color="auto"/>
            </w:tcBorders>
            <w:shd w:val="clear" w:color="auto" w:fill="auto"/>
            <w:noWrap/>
            <w:vAlign w:val="bottom"/>
            <w:hideMark/>
          </w:tcPr>
          <w:p w14:paraId="229AD01E"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0.063</w:t>
            </w:r>
          </w:p>
        </w:tc>
        <w:tc>
          <w:tcPr>
            <w:tcW w:w="960" w:type="dxa"/>
            <w:tcBorders>
              <w:top w:val="nil"/>
              <w:left w:val="nil"/>
              <w:bottom w:val="single" w:sz="4" w:space="0" w:color="auto"/>
              <w:right w:val="single" w:sz="4" w:space="0" w:color="auto"/>
            </w:tcBorders>
            <w:shd w:val="clear" w:color="auto" w:fill="auto"/>
            <w:noWrap/>
            <w:vAlign w:val="bottom"/>
            <w:hideMark/>
          </w:tcPr>
          <w:p w14:paraId="282EC0E1"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0.937</w:t>
            </w:r>
          </w:p>
        </w:tc>
        <w:tc>
          <w:tcPr>
            <w:tcW w:w="960" w:type="dxa"/>
            <w:tcBorders>
              <w:top w:val="nil"/>
              <w:left w:val="nil"/>
              <w:bottom w:val="single" w:sz="4" w:space="0" w:color="auto"/>
              <w:right w:val="single" w:sz="4" w:space="0" w:color="auto"/>
            </w:tcBorders>
            <w:shd w:val="clear" w:color="auto" w:fill="auto"/>
            <w:noWrap/>
            <w:vAlign w:val="bottom"/>
            <w:hideMark/>
          </w:tcPr>
          <w:p w14:paraId="24AA3123"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0.096</w:t>
            </w:r>
          </w:p>
        </w:tc>
        <w:tc>
          <w:tcPr>
            <w:tcW w:w="960" w:type="dxa"/>
            <w:tcBorders>
              <w:top w:val="nil"/>
              <w:left w:val="nil"/>
              <w:bottom w:val="single" w:sz="4" w:space="0" w:color="auto"/>
              <w:right w:val="single" w:sz="4" w:space="0" w:color="auto"/>
            </w:tcBorders>
            <w:shd w:val="clear" w:color="auto" w:fill="auto"/>
            <w:noWrap/>
            <w:vAlign w:val="bottom"/>
            <w:hideMark/>
          </w:tcPr>
          <w:p w14:paraId="302BC470"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0.904</w:t>
            </w:r>
          </w:p>
        </w:tc>
      </w:tr>
      <w:tr w:rsidR="004730B7" w:rsidRPr="004730B7" w14:paraId="334F3017"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3624CBB2"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N_24</w:t>
            </w:r>
          </w:p>
        </w:tc>
        <w:tc>
          <w:tcPr>
            <w:tcW w:w="5060" w:type="dxa"/>
            <w:tcBorders>
              <w:top w:val="nil"/>
              <w:left w:val="nil"/>
              <w:bottom w:val="single" w:sz="4" w:space="0" w:color="auto"/>
              <w:right w:val="single" w:sz="4" w:space="0" w:color="auto"/>
            </w:tcBorders>
            <w:shd w:val="clear" w:color="auto" w:fill="auto"/>
            <w:noWrap/>
            <w:vAlign w:val="bottom"/>
            <w:hideMark/>
          </w:tcPr>
          <w:p w14:paraId="3CA72DC0"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Cerro Navia 220-&gt;Chena 220</w:t>
            </w:r>
          </w:p>
        </w:tc>
        <w:tc>
          <w:tcPr>
            <w:tcW w:w="960" w:type="dxa"/>
            <w:tcBorders>
              <w:top w:val="nil"/>
              <w:left w:val="nil"/>
              <w:bottom w:val="single" w:sz="4" w:space="0" w:color="auto"/>
              <w:right w:val="single" w:sz="4" w:space="0" w:color="auto"/>
            </w:tcBorders>
            <w:shd w:val="clear" w:color="auto" w:fill="auto"/>
            <w:noWrap/>
            <w:vAlign w:val="bottom"/>
            <w:hideMark/>
          </w:tcPr>
          <w:p w14:paraId="74930087"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0.347</w:t>
            </w:r>
          </w:p>
        </w:tc>
        <w:tc>
          <w:tcPr>
            <w:tcW w:w="960" w:type="dxa"/>
            <w:tcBorders>
              <w:top w:val="nil"/>
              <w:left w:val="nil"/>
              <w:bottom w:val="single" w:sz="4" w:space="0" w:color="auto"/>
              <w:right w:val="single" w:sz="4" w:space="0" w:color="auto"/>
            </w:tcBorders>
            <w:shd w:val="clear" w:color="auto" w:fill="auto"/>
            <w:noWrap/>
            <w:vAlign w:val="bottom"/>
            <w:hideMark/>
          </w:tcPr>
          <w:p w14:paraId="46883CD2"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0.653</w:t>
            </w:r>
          </w:p>
        </w:tc>
        <w:tc>
          <w:tcPr>
            <w:tcW w:w="960" w:type="dxa"/>
            <w:tcBorders>
              <w:top w:val="nil"/>
              <w:left w:val="nil"/>
              <w:bottom w:val="single" w:sz="4" w:space="0" w:color="auto"/>
              <w:right w:val="single" w:sz="4" w:space="0" w:color="auto"/>
            </w:tcBorders>
            <w:shd w:val="clear" w:color="auto" w:fill="auto"/>
            <w:noWrap/>
            <w:vAlign w:val="bottom"/>
            <w:hideMark/>
          </w:tcPr>
          <w:p w14:paraId="73920ED7"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0.507</w:t>
            </w:r>
          </w:p>
        </w:tc>
        <w:tc>
          <w:tcPr>
            <w:tcW w:w="960" w:type="dxa"/>
            <w:tcBorders>
              <w:top w:val="nil"/>
              <w:left w:val="nil"/>
              <w:bottom w:val="single" w:sz="4" w:space="0" w:color="auto"/>
              <w:right w:val="single" w:sz="4" w:space="0" w:color="auto"/>
            </w:tcBorders>
            <w:shd w:val="clear" w:color="auto" w:fill="auto"/>
            <w:noWrap/>
            <w:vAlign w:val="bottom"/>
            <w:hideMark/>
          </w:tcPr>
          <w:p w14:paraId="4550440B"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0.493</w:t>
            </w:r>
          </w:p>
        </w:tc>
      </w:tr>
      <w:tr w:rsidR="004730B7" w:rsidRPr="004730B7" w14:paraId="0EFF892D"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7FF4B0E0"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N_25</w:t>
            </w:r>
          </w:p>
        </w:tc>
        <w:tc>
          <w:tcPr>
            <w:tcW w:w="5060" w:type="dxa"/>
            <w:tcBorders>
              <w:top w:val="nil"/>
              <w:left w:val="nil"/>
              <w:bottom w:val="single" w:sz="4" w:space="0" w:color="auto"/>
              <w:right w:val="single" w:sz="4" w:space="0" w:color="auto"/>
            </w:tcBorders>
            <w:shd w:val="clear" w:color="auto" w:fill="auto"/>
            <w:noWrap/>
            <w:vAlign w:val="bottom"/>
            <w:hideMark/>
          </w:tcPr>
          <w:p w14:paraId="69328F5D"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Cerro Navia 220-&gt;Neptuno 220</w:t>
            </w:r>
          </w:p>
        </w:tc>
        <w:tc>
          <w:tcPr>
            <w:tcW w:w="960" w:type="dxa"/>
            <w:tcBorders>
              <w:top w:val="nil"/>
              <w:left w:val="nil"/>
              <w:bottom w:val="single" w:sz="4" w:space="0" w:color="auto"/>
              <w:right w:val="single" w:sz="4" w:space="0" w:color="auto"/>
            </w:tcBorders>
            <w:shd w:val="clear" w:color="auto" w:fill="auto"/>
            <w:noWrap/>
            <w:vAlign w:val="bottom"/>
            <w:hideMark/>
          </w:tcPr>
          <w:p w14:paraId="53B2C4B7"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0.255</w:t>
            </w:r>
          </w:p>
        </w:tc>
        <w:tc>
          <w:tcPr>
            <w:tcW w:w="960" w:type="dxa"/>
            <w:tcBorders>
              <w:top w:val="nil"/>
              <w:left w:val="nil"/>
              <w:bottom w:val="single" w:sz="4" w:space="0" w:color="auto"/>
              <w:right w:val="single" w:sz="4" w:space="0" w:color="auto"/>
            </w:tcBorders>
            <w:shd w:val="clear" w:color="auto" w:fill="auto"/>
            <w:noWrap/>
            <w:vAlign w:val="bottom"/>
            <w:hideMark/>
          </w:tcPr>
          <w:p w14:paraId="0C3189D5"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0.745</w:t>
            </w:r>
          </w:p>
        </w:tc>
        <w:tc>
          <w:tcPr>
            <w:tcW w:w="960" w:type="dxa"/>
            <w:tcBorders>
              <w:top w:val="nil"/>
              <w:left w:val="nil"/>
              <w:bottom w:val="single" w:sz="4" w:space="0" w:color="auto"/>
              <w:right w:val="single" w:sz="4" w:space="0" w:color="auto"/>
            </w:tcBorders>
            <w:shd w:val="clear" w:color="auto" w:fill="auto"/>
            <w:noWrap/>
            <w:vAlign w:val="bottom"/>
            <w:hideMark/>
          </w:tcPr>
          <w:p w14:paraId="638172B0"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0.389</w:t>
            </w:r>
          </w:p>
        </w:tc>
        <w:tc>
          <w:tcPr>
            <w:tcW w:w="960" w:type="dxa"/>
            <w:tcBorders>
              <w:top w:val="nil"/>
              <w:left w:val="nil"/>
              <w:bottom w:val="single" w:sz="4" w:space="0" w:color="auto"/>
              <w:right w:val="single" w:sz="4" w:space="0" w:color="auto"/>
            </w:tcBorders>
            <w:shd w:val="clear" w:color="auto" w:fill="auto"/>
            <w:noWrap/>
            <w:vAlign w:val="bottom"/>
            <w:hideMark/>
          </w:tcPr>
          <w:p w14:paraId="7819C09F"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0.611</w:t>
            </w:r>
          </w:p>
        </w:tc>
      </w:tr>
      <w:tr w:rsidR="004730B7" w:rsidRPr="004730B7" w14:paraId="43A05519"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7C3E4F19"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N_26</w:t>
            </w:r>
          </w:p>
        </w:tc>
        <w:tc>
          <w:tcPr>
            <w:tcW w:w="5060" w:type="dxa"/>
            <w:tcBorders>
              <w:top w:val="nil"/>
              <w:left w:val="nil"/>
              <w:bottom w:val="single" w:sz="4" w:space="0" w:color="auto"/>
              <w:right w:val="single" w:sz="4" w:space="0" w:color="auto"/>
            </w:tcBorders>
            <w:shd w:val="clear" w:color="auto" w:fill="auto"/>
            <w:noWrap/>
            <w:vAlign w:val="bottom"/>
            <w:hideMark/>
          </w:tcPr>
          <w:p w14:paraId="7D6D646B"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Cerros de Huichahue 220-&gt;Nueva Pichirropulli 220</w:t>
            </w:r>
          </w:p>
        </w:tc>
        <w:tc>
          <w:tcPr>
            <w:tcW w:w="960" w:type="dxa"/>
            <w:tcBorders>
              <w:top w:val="nil"/>
              <w:left w:val="nil"/>
              <w:bottom w:val="single" w:sz="4" w:space="0" w:color="auto"/>
              <w:right w:val="single" w:sz="4" w:space="0" w:color="auto"/>
            </w:tcBorders>
            <w:shd w:val="clear" w:color="auto" w:fill="auto"/>
            <w:noWrap/>
            <w:vAlign w:val="bottom"/>
            <w:hideMark/>
          </w:tcPr>
          <w:p w14:paraId="68B2641D"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0.025</w:t>
            </w:r>
          </w:p>
        </w:tc>
        <w:tc>
          <w:tcPr>
            <w:tcW w:w="960" w:type="dxa"/>
            <w:tcBorders>
              <w:top w:val="nil"/>
              <w:left w:val="nil"/>
              <w:bottom w:val="single" w:sz="4" w:space="0" w:color="auto"/>
              <w:right w:val="single" w:sz="4" w:space="0" w:color="auto"/>
            </w:tcBorders>
            <w:shd w:val="clear" w:color="auto" w:fill="auto"/>
            <w:noWrap/>
            <w:vAlign w:val="bottom"/>
            <w:hideMark/>
          </w:tcPr>
          <w:p w14:paraId="1EB7A77F"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0.975</w:t>
            </w:r>
          </w:p>
        </w:tc>
        <w:tc>
          <w:tcPr>
            <w:tcW w:w="960" w:type="dxa"/>
            <w:tcBorders>
              <w:top w:val="nil"/>
              <w:left w:val="nil"/>
              <w:bottom w:val="single" w:sz="4" w:space="0" w:color="auto"/>
              <w:right w:val="single" w:sz="4" w:space="0" w:color="auto"/>
            </w:tcBorders>
            <w:shd w:val="clear" w:color="auto" w:fill="auto"/>
            <w:noWrap/>
            <w:vAlign w:val="bottom"/>
            <w:hideMark/>
          </w:tcPr>
          <w:p w14:paraId="06A16963"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0.029</w:t>
            </w:r>
          </w:p>
        </w:tc>
        <w:tc>
          <w:tcPr>
            <w:tcW w:w="960" w:type="dxa"/>
            <w:tcBorders>
              <w:top w:val="nil"/>
              <w:left w:val="nil"/>
              <w:bottom w:val="single" w:sz="4" w:space="0" w:color="auto"/>
              <w:right w:val="single" w:sz="4" w:space="0" w:color="auto"/>
            </w:tcBorders>
            <w:shd w:val="clear" w:color="auto" w:fill="auto"/>
            <w:noWrap/>
            <w:vAlign w:val="bottom"/>
            <w:hideMark/>
          </w:tcPr>
          <w:p w14:paraId="7954C1EB"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0.971</w:t>
            </w:r>
          </w:p>
        </w:tc>
      </w:tr>
      <w:tr w:rsidR="004730B7" w:rsidRPr="004730B7" w14:paraId="421E34ED"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78ED7C2A"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N_27</w:t>
            </w:r>
          </w:p>
        </w:tc>
        <w:tc>
          <w:tcPr>
            <w:tcW w:w="5060" w:type="dxa"/>
            <w:tcBorders>
              <w:top w:val="nil"/>
              <w:left w:val="nil"/>
              <w:bottom w:val="single" w:sz="4" w:space="0" w:color="auto"/>
              <w:right w:val="single" w:sz="4" w:space="0" w:color="auto"/>
            </w:tcBorders>
            <w:shd w:val="clear" w:color="auto" w:fill="auto"/>
            <w:noWrap/>
            <w:vAlign w:val="bottom"/>
            <w:hideMark/>
          </w:tcPr>
          <w:p w14:paraId="49C16087"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Charrua 220-&gt;Charrua 500</w:t>
            </w:r>
          </w:p>
        </w:tc>
        <w:tc>
          <w:tcPr>
            <w:tcW w:w="960" w:type="dxa"/>
            <w:tcBorders>
              <w:top w:val="nil"/>
              <w:left w:val="nil"/>
              <w:bottom w:val="single" w:sz="4" w:space="0" w:color="auto"/>
              <w:right w:val="single" w:sz="4" w:space="0" w:color="auto"/>
            </w:tcBorders>
            <w:shd w:val="clear" w:color="auto" w:fill="auto"/>
            <w:noWrap/>
            <w:vAlign w:val="bottom"/>
            <w:hideMark/>
          </w:tcPr>
          <w:p w14:paraId="1AA0EBE5"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0.106</w:t>
            </w:r>
          </w:p>
        </w:tc>
        <w:tc>
          <w:tcPr>
            <w:tcW w:w="960" w:type="dxa"/>
            <w:tcBorders>
              <w:top w:val="nil"/>
              <w:left w:val="nil"/>
              <w:bottom w:val="single" w:sz="4" w:space="0" w:color="auto"/>
              <w:right w:val="single" w:sz="4" w:space="0" w:color="auto"/>
            </w:tcBorders>
            <w:shd w:val="clear" w:color="auto" w:fill="auto"/>
            <w:noWrap/>
            <w:vAlign w:val="bottom"/>
            <w:hideMark/>
          </w:tcPr>
          <w:p w14:paraId="2A86634B"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0.894</w:t>
            </w:r>
          </w:p>
        </w:tc>
        <w:tc>
          <w:tcPr>
            <w:tcW w:w="960" w:type="dxa"/>
            <w:tcBorders>
              <w:top w:val="nil"/>
              <w:left w:val="nil"/>
              <w:bottom w:val="single" w:sz="4" w:space="0" w:color="auto"/>
              <w:right w:val="single" w:sz="4" w:space="0" w:color="auto"/>
            </w:tcBorders>
            <w:shd w:val="clear" w:color="auto" w:fill="auto"/>
            <w:noWrap/>
            <w:vAlign w:val="bottom"/>
            <w:hideMark/>
          </w:tcPr>
          <w:p w14:paraId="009C0972"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0.158</w:t>
            </w:r>
          </w:p>
        </w:tc>
        <w:tc>
          <w:tcPr>
            <w:tcW w:w="960" w:type="dxa"/>
            <w:tcBorders>
              <w:top w:val="nil"/>
              <w:left w:val="nil"/>
              <w:bottom w:val="single" w:sz="4" w:space="0" w:color="auto"/>
              <w:right w:val="single" w:sz="4" w:space="0" w:color="auto"/>
            </w:tcBorders>
            <w:shd w:val="clear" w:color="auto" w:fill="auto"/>
            <w:noWrap/>
            <w:vAlign w:val="bottom"/>
            <w:hideMark/>
          </w:tcPr>
          <w:p w14:paraId="7D22FBAE"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0.842</w:t>
            </w:r>
          </w:p>
        </w:tc>
      </w:tr>
      <w:tr w:rsidR="004730B7" w:rsidRPr="004730B7" w14:paraId="144B9794"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1BE150ED"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N_28</w:t>
            </w:r>
          </w:p>
        </w:tc>
        <w:tc>
          <w:tcPr>
            <w:tcW w:w="5060" w:type="dxa"/>
            <w:tcBorders>
              <w:top w:val="nil"/>
              <w:left w:val="nil"/>
              <w:bottom w:val="single" w:sz="4" w:space="0" w:color="auto"/>
              <w:right w:val="single" w:sz="4" w:space="0" w:color="auto"/>
            </w:tcBorders>
            <w:shd w:val="clear" w:color="auto" w:fill="auto"/>
            <w:noWrap/>
            <w:vAlign w:val="bottom"/>
            <w:hideMark/>
          </w:tcPr>
          <w:p w14:paraId="2DEA4BFF"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Charrua 220-&gt;Concepcion 220</w:t>
            </w:r>
          </w:p>
        </w:tc>
        <w:tc>
          <w:tcPr>
            <w:tcW w:w="960" w:type="dxa"/>
            <w:tcBorders>
              <w:top w:val="nil"/>
              <w:left w:val="nil"/>
              <w:bottom w:val="single" w:sz="4" w:space="0" w:color="auto"/>
              <w:right w:val="single" w:sz="4" w:space="0" w:color="auto"/>
            </w:tcBorders>
            <w:shd w:val="clear" w:color="auto" w:fill="auto"/>
            <w:noWrap/>
            <w:vAlign w:val="bottom"/>
            <w:hideMark/>
          </w:tcPr>
          <w:p w14:paraId="10723C72"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0.413</w:t>
            </w:r>
          </w:p>
        </w:tc>
        <w:tc>
          <w:tcPr>
            <w:tcW w:w="960" w:type="dxa"/>
            <w:tcBorders>
              <w:top w:val="nil"/>
              <w:left w:val="nil"/>
              <w:bottom w:val="single" w:sz="4" w:space="0" w:color="auto"/>
              <w:right w:val="single" w:sz="4" w:space="0" w:color="auto"/>
            </w:tcBorders>
            <w:shd w:val="clear" w:color="auto" w:fill="auto"/>
            <w:noWrap/>
            <w:vAlign w:val="bottom"/>
            <w:hideMark/>
          </w:tcPr>
          <w:p w14:paraId="0985ADD8"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0.587</w:t>
            </w:r>
          </w:p>
        </w:tc>
        <w:tc>
          <w:tcPr>
            <w:tcW w:w="960" w:type="dxa"/>
            <w:tcBorders>
              <w:top w:val="nil"/>
              <w:left w:val="nil"/>
              <w:bottom w:val="single" w:sz="4" w:space="0" w:color="auto"/>
              <w:right w:val="single" w:sz="4" w:space="0" w:color="auto"/>
            </w:tcBorders>
            <w:shd w:val="clear" w:color="auto" w:fill="auto"/>
            <w:noWrap/>
            <w:vAlign w:val="bottom"/>
            <w:hideMark/>
          </w:tcPr>
          <w:p w14:paraId="686AF56F"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0.576</w:t>
            </w:r>
          </w:p>
        </w:tc>
        <w:tc>
          <w:tcPr>
            <w:tcW w:w="960" w:type="dxa"/>
            <w:tcBorders>
              <w:top w:val="nil"/>
              <w:left w:val="nil"/>
              <w:bottom w:val="single" w:sz="4" w:space="0" w:color="auto"/>
              <w:right w:val="single" w:sz="4" w:space="0" w:color="auto"/>
            </w:tcBorders>
            <w:shd w:val="clear" w:color="auto" w:fill="auto"/>
            <w:noWrap/>
            <w:vAlign w:val="bottom"/>
            <w:hideMark/>
          </w:tcPr>
          <w:p w14:paraId="6A56857A"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0.424</w:t>
            </w:r>
          </w:p>
        </w:tc>
      </w:tr>
      <w:tr w:rsidR="004730B7" w:rsidRPr="004730B7" w14:paraId="71EC8F65"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3302BEB7"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N_29</w:t>
            </w:r>
          </w:p>
        </w:tc>
        <w:tc>
          <w:tcPr>
            <w:tcW w:w="5060" w:type="dxa"/>
            <w:tcBorders>
              <w:top w:val="nil"/>
              <w:left w:val="nil"/>
              <w:bottom w:val="single" w:sz="4" w:space="0" w:color="auto"/>
              <w:right w:val="single" w:sz="4" w:space="0" w:color="auto"/>
            </w:tcBorders>
            <w:shd w:val="clear" w:color="auto" w:fill="auto"/>
            <w:noWrap/>
            <w:vAlign w:val="bottom"/>
            <w:hideMark/>
          </w:tcPr>
          <w:p w14:paraId="0B5B43EE"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Charrua 220-&gt;El Rosal 220</w:t>
            </w:r>
          </w:p>
        </w:tc>
        <w:tc>
          <w:tcPr>
            <w:tcW w:w="960" w:type="dxa"/>
            <w:tcBorders>
              <w:top w:val="nil"/>
              <w:left w:val="nil"/>
              <w:bottom w:val="single" w:sz="4" w:space="0" w:color="auto"/>
              <w:right w:val="single" w:sz="4" w:space="0" w:color="auto"/>
            </w:tcBorders>
            <w:shd w:val="clear" w:color="auto" w:fill="auto"/>
            <w:noWrap/>
            <w:vAlign w:val="bottom"/>
            <w:hideMark/>
          </w:tcPr>
          <w:p w14:paraId="4749C5F2"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0.332</w:t>
            </w:r>
          </w:p>
        </w:tc>
        <w:tc>
          <w:tcPr>
            <w:tcW w:w="960" w:type="dxa"/>
            <w:tcBorders>
              <w:top w:val="nil"/>
              <w:left w:val="nil"/>
              <w:bottom w:val="single" w:sz="4" w:space="0" w:color="auto"/>
              <w:right w:val="single" w:sz="4" w:space="0" w:color="auto"/>
            </w:tcBorders>
            <w:shd w:val="clear" w:color="auto" w:fill="auto"/>
            <w:noWrap/>
            <w:vAlign w:val="bottom"/>
            <w:hideMark/>
          </w:tcPr>
          <w:p w14:paraId="743BAF80"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0.668</w:t>
            </w:r>
          </w:p>
        </w:tc>
        <w:tc>
          <w:tcPr>
            <w:tcW w:w="960" w:type="dxa"/>
            <w:tcBorders>
              <w:top w:val="nil"/>
              <w:left w:val="nil"/>
              <w:bottom w:val="single" w:sz="4" w:space="0" w:color="auto"/>
              <w:right w:val="single" w:sz="4" w:space="0" w:color="auto"/>
            </w:tcBorders>
            <w:shd w:val="clear" w:color="auto" w:fill="auto"/>
            <w:noWrap/>
            <w:vAlign w:val="bottom"/>
            <w:hideMark/>
          </w:tcPr>
          <w:p w14:paraId="30C8B27E"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0.495</w:t>
            </w:r>
          </w:p>
        </w:tc>
        <w:tc>
          <w:tcPr>
            <w:tcW w:w="960" w:type="dxa"/>
            <w:tcBorders>
              <w:top w:val="nil"/>
              <w:left w:val="nil"/>
              <w:bottom w:val="single" w:sz="4" w:space="0" w:color="auto"/>
              <w:right w:val="single" w:sz="4" w:space="0" w:color="auto"/>
            </w:tcBorders>
            <w:shd w:val="clear" w:color="auto" w:fill="auto"/>
            <w:noWrap/>
            <w:vAlign w:val="bottom"/>
            <w:hideMark/>
          </w:tcPr>
          <w:p w14:paraId="1E746251"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0.505</w:t>
            </w:r>
          </w:p>
        </w:tc>
      </w:tr>
      <w:tr w:rsidR="004730B7" w:rsidRPr="004730B7" w14:paraId="39FEE80A"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1B460AF5"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N_30</w:t>
            </w:r>
          </w:p>
        </w:tc>
        <w:tc>
          <w:tcPr>
            <w:tcW w:w="5060" w:type="dxa"/>
            <w:tcBorders>
              <w:top w:val="nil"/>
              <w:left w:val="nil"/>
              <w:bottom w:val="single" w:sz="4" w:space="0" w:color="auto"/>
              <w:right w:val="single" w:sz="4" w:space="0" w:color="auto"/>
            </w:tcBorders>
            <w:shd w:val="clear" w:color="auto" w:fill="auto"/>
            <w:noWrap/>
            <w:vAlign w:val="bottom"/>
            <w:hideMark/>
          </w:tcPr>
          <w:p w14:paraId="691F16D1"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Charrua 220-&gt;Lagunillas 220</w:t>
            </w:r>
          </w:p>
        </w:tc>
        <w:tc>
          <w:tcPr>
            <w:tcW w:w="960" w:type="dxa"/>
            <w:tcBorders>
              <w:top w:val="nil"/>
              <w:left w:val="nil"/>
              <w:bottom w:val="single" w:sz="4" w:space="0" w:color="auto"/>
              <w:right w:val="single" w:sz="4" w:space="0" w:color="auto"/>
            </w:tcBorders>
            <w:shd w:val="clear" w:color="auto" w:fill="auto"/>
            <w:noWrap/>
            <w:vAlign w:val="bottom"/>
            <w:hideMark/>
          </w:tcPr>
          <w:p w14:paraId="68BB4A82"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0.465</w:t>
            </w:r>
          </w:p>
        </w:tc>
        <w:tc>
          <w:tcPr>
            <w:tcW w:w="960" w:type="dxa"/>
            <w:tcBorders>
              <w:top w:val="nil"/>
              <w:left w:val="nil"/>
              <w:bottom w:val="single" w:sz="4" w:space="0" w:color="auto"/>
              <w:right w:val="single" w:sz="4" w:space="0" w:color="auto"/>
            </w:tcBorders>
            <w:shd w:val="clear" w:color="auto" w:fill="auto"/>
            <w:noWrap/>
            <w:vAlign w:val="bottom"/>
            <w:hideMark/>
          </w:tcPr>
          <w:p w14:paraId="74263D5B"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0.535</w:t>
            </w:r>
          </w:p>
        </w:tc>
        <w:tc>
          <w:tcPr>
            <w:tcW w:w="960" w:type="dxa"/>
            <w:tcBorders>
              <w:top w:val="nil"/>
              <w:left w:val="nil"/>
              <w:bottom w:val="single" w:sz="4" w:space="0" w:color="auto"/>
              <w:right w:val="single" w:sz="4" w:space="0" w:color="auto"/>
            </w:tcBorders>
            <w:shd w:val="clear" w:color="auto" w:fill="auto"/>
            <w:noWrap/>
            <w:vAlign w:val="bottom"/>
            <w:hideMark/>
          </w:tcPr>
          <w:p w14:paraId="7A0CCDFB"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0.606</w:t>
            </w:r>
          </w:p>
        </w:tc>
        <w:tc>
          <w:tcPr>
            <w:tcW w:w="960" w:type="dxa"/>
            <w:tcBorders>
              <w:top w:val="nil"/>
              <w:left w:val="nil"/>
              <w:bottom w:val="single" w:sz="4" w:space="0" w:color="auto"/>
              <w:right w:val="single" w:sz="4" w:space="0" w:color="auto"/>
            </w:tcBorders>
            <w:shd w:val="clear" w:color="auto" w:fill="auto"/>
            <w:noWrap/>
            <w:vAlign w:val="bottom"/>
            <w:hideMark/>
          </w:tcPr>
          <w:p w14:paraId="58471509"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0.394</w:t>
            </w:r>
          </w:p>
        </w:tc>
      </w:tr>
      <w:tr w:rsidR="004730B7" w:rsidRPr="004730B7" w14:paraId="3C1A1380"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0318A572"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N_31</w:t>
            </w:r>
          </w:p>
        </w:tc>
        <w:tc>
          <w:tcPr>
            <w:tcW w:w="5060" w:type="dxa"/>
            <w:tcBorders>
              <w:top w:val="nil"/>
              <w:left w:val="nil"/>
              <w:bottom w:val="single" w:sz="4" w:space="0" w:color="auto"/>
              <w:right w:val="single" w:sz="4" w:space="0" w:color="auto"/>
            </w:tcBorders>
            <w:shd w:val="clear" w:color="auto" w:fill="auto"/>
            <w:noWrap/>
            <w:vAlign w:val="bottom"/>
            <w:hideMark/>
          </w:tcPr>
          <w:p w14:paraId="638FC9C6"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Charrua 220-&gt;Mulchen 220</w:t>
            </w:r>
          </w:p>
        </w:tc>
        <w:tc>
          <w:tcPr>
            <w:tcW w:w="960" w:type="dxa"/>
            <w:tcBorders>
              <w:top w:val="nil"/>
              <w:left w:val="nil"/>
              <w:bottom w:val="single" w:sz="4" w:space="0" w:color="auto"/>
              <w:right w:val="single" w:sz="4" w:space="0" w:color="auto"/>
            </w:tcBorders>
            <w:shd w:val="clear" w:color="auto" w:fill="auto"/>
            <w:noWrap/>
            <w:vAlign w:val="bottom"/>
            <w:hideMark/>
          </w:tcPr>
          <w:p w14:paraId="1E3C9616"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0.171</w:t>
            </w:r>
          </w:p>
        </w:tc>
        <w:tc>
          <w:tcPr>
            <w:tcW w:w="960" w:type="dxa"/>
            <w:tcBorders>
              <w:top w:val="nil"/>
              <w:left w:val="nil"/>
              <w:bottom w:val="single" w:sz="4" w:space="0" w:color="auto"/>
              <w:right w:val="single" w:sz="4" w:space="0" w:color="auto"/>
            </w:tcBorders>
            <w:shd w:val="clear" w:color="auto" w:fill="auto"/>
            <w:noWrap/>
            <w:vAlign w:val="bottom"/>
            <w:hideMark/>
          </w:tcPr>
          <w:p w14:paraId="15569CB7"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0.829</w:t>
            </w:r>
          </w:p>
        </w:tc>
        <w:tc>
          <w:tcPr>
            <w:tcW w:w="960" w:type="dxa"/>
            <w:tcBorders>
              <w:top w:val="nil"/>
              <w:left w:val="nil"/>
              <w:bottom w:val="single" w:sz="4" w:space="0" w:color="auto"/>
              <w:right w:val="single" w:sz="4" w:space="0" w:color="auto"/>
            </w:tcBorders>
            <w:shd w:val="clear" w:color="auto" w:fill="auto"/>
            <w:noWrap/>
            <w:vAlign w:val="bottom"/>
            <w:hideMark/>
          </w:tcPr>
          <w:p w14:paraId="36C6E056"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0.246</w:t>
            </w:r>
          </w:p>
        </w:tc>
        <w:tc>
          <w:tcPr>
            <w:tcW w:w="960" w:type="dxa"/>
            <w:tcBorders>
              <w:top w:val="nil"/>
              <w:left w:val="nil"/>
              <w:bottom w:val="single" w:sz="4" w:space="0" w:color="auto"/>
              <w:right w:val="single" w:sz="4" w:space="0" w:color="auto"/>
            </w:tcBorders>
            <w:shd w:val="clear" w:color="auto" w:fill="auto"/>
            <w:noWrap/>
            <w:vAlign w:val="bottom"/>
            <w:hideMark/>
          </w:tcPr>
          <w:p w14:paraId="06992481"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0.754</w:t>
            </w:r>
          </w:p>
        </w:tc>
      </w:tr>
      <w:tr w:rsidR="004730B7" w:rsidRPr="004730B7" w14:paraId="5819BB9E"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4F6AD68A"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N_32</w:t>
            </w:r>
          </w:p>
        </w:tc>
        <w:tc>
          <w:tcPr>
            <w:tcW w:w="5060" w:type="dxa"/>
            <w:tcBorders>
              <w:top w:val="nil"/>
              <w:left w:val="nil"/>
              <w:bottom w:val="single" w:sz="4" w:space="0" w:color="auto"/>
              <w:right w:val="single" w:sz="4" w:space="0" w:color="auto"/>
            </w:tcBorders>
            <w:shd w:val="clear" w:color="auto" w:fill="auto"/>
            <w:noWrap/>
            <w:vAlign w:val="bottom"/>
            <w:hideMark/>
          </w:tcPr>
          <w:p w14:paraId="50B53915"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Charrua 220-&gt;Trebol 220</w:t>
            </w:r>
          </w:p>
        </w:tc>
        <w:tc>
          <w:tcPr>
            <w:tcW w:w="960" w:type="dxa"/>
            <w:tcBorders>
              <w:top w:val="nil"/>
              <w:left w:val="nil"/>
              <w:bottom w:val="single" w:sz="4" w:space="0" w:color="auto"/>
              <w:right w:val="single" w:sz="4" w:space="0" w:color="auto"/>
            </w:tcBorders>
            <w:shd w:val="clear" w:color="auto" w:fill="auto"/>
            <w:noWrap/>
            <w:vAlign w:val="bottom"/>
            <w:hideMark/>
          </w:tcPr>
          <w:p w14:paraId="535BC95F"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0.230</w:t>
            </w:r>
          </w:p>
        </w:tc>
        <w:tc>
          <w:tcPr>
            <w:tcW w:w="960" w:type="dxa"/>
            <w:tcBorders>
              <w:top w:val="nil"/>
              <w:left w:val="nil"/>
              <w:bottom w:val="single" w:sz="4" w:space="0" w:color="auto"/>
              <w:right w:val="single" w:sz="4" w:space="0" w:color="auto"/>
            </w:tcBorders>
            <w:shd w:val="clear" w:color="auto" w:fill="auto"/>
            <w:noWrap/>
            <w:vAlign w:val="bottom"/>
            <w:hideMark/>
          </w:tcPr>
          <w:p w14:paraId="03492D30"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0.770</w:t>
            </w:r>
          </w:p>
        </w:tc>
        <w:tc>
          <w:tcPr>
            <w:tcW w:w="960" w:type="dxa"/>
            <w:tcBorders>
              <w:top w:val="nil"/>
              <w:left w:val="nil"/>
              <w:bottom w:val="single" w:sz="4" w:space="0" w:color="auto"/>
              <w:right w:val="single" w:sz="4" w:space="0" w:color="auto"/>
            </w:tcBorders>
            <w:shd w:val="clear" w:color="auto" w:fill="auto"/>
            <w:noWrap/>
            <w:vAlign w:val="bottom"/>
            <w:hideMark/>
          </w:tcPr>
          <w:p w14:paraId="29573E97"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0.267</w:t>
            </w:r>
          </w:p>
        </w:tc>
        <w:tc>
          <w:tcPr>
            <w:tcW w:w="960" w:type="dxa"/>
            <w:tcBorders>
              <w:top w:val="nil"/>
              <w:left w:val="nil"/>
              <w:bottom w:val="single" w:sz="4" w:space="0" w:color="auto"/>
              <w:right w:val="single" w:sz="4" w:space="0" w:color="auto"/>
            </w:tcBorders>
            <w:shd w:val="clear" w:color="auto" w:fill="auto"/>
            <w:noWrap/>
            <w:vAlign w:val="bottom"/>
            <w:hideMark/>
          </w:tcPr>
          <w:p w14:paraId="1308EA85"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0.733</w:t>
            </w:r>
          </w:p>
        </w:tc>
      </w:tr>
      <w:tr w:rsidR="004730B7" w:rsidRPr="004730B7" w14:paraId="2A2FF284"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6E3F8B4A"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N_33</w:t>
            </w:r>
          </w:p>
        </w:tc>
        <w:tc>
          <w:tcPr>
            <w:tcW w:w="5060" w:type="dxa"/>
            <w:tcBorders>
              <w:top w:val="nil"/>
              <w:left w:val="nil"/>
              <w:bottom w:val="single" w:sz="4" w:space="0" w:color="auto"/>
              <w:right w:val="single" w:sz="4" w:space="0" w:color="auto"/>
            </w:tcBorders>
            <w:shd w:val="clear" w:color="auto" w:fill="auto"/>
            <w:noWrap/>
            <w:vAlign w:val="bottom"/>
            <w:hideMark/>
          </w:tcPr>
          <w:p w14:paraId="16CF8F7F"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Charrua 500-&gt;Nueva Charrua 500</w:t>
            </w:r>
          </w:p>
        </w:tc>
        <w:tc>
          <w:tcPr>
            <w:tcW w:w="960" w:type="dxa"/>
            <w:tcBorders>
              <w:top w:val="nil"/>
              <w:left w:val="nil"/>
              <w:bottom w:val="single" w:sz="4" w:space="0" w:color="auto"/>
              <w:right w:val="single" w:sz="4" w:space="0" w:color="auto"/>
            </w:tcBorders>
            <w:shd w:val="clear" w:color="auto" w:fill="auto"/>
            <w:noWrap/>
            <w:vAlign w:val="bottom"/>
            <w:hideMark/>
          </w:tcPr>
          <w:p w14:paraId="33C0A71F"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0.570</w:t>
            </w:r>
          </w:p>
        </w:tc>
        <w:tc>
          <w:tcPr>
            <w:tcW w:w="960" w:type="dxa"/>
            <w:tcBorders>
              <w:top w:val="nil"/>
              <w:left w:val="nil"/>
              <w:bottom w:val="single" w:sz="4" w:space="0" w:color="auto"/>
              <w:right w:val="single" w:sz="4" w:space="0" w:color="auto"/>
            </w:tcBorders>
            <w:shd w:val="clear" w:color="auto" w:fill="auto"/>
            <w:noWrap/>
            <w:vAlign w:val="bottom"/>
            <w:hideMark/>
          </w:tcPr>
          <w:p w14:paraId="00D81BA5"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0.430</w:t>
            </w:r>
          </w:p>
        </w:tc>
        <w:tc>
          <w:tcPr>
            <w:tcW w:w="960" w:type="dxa"/>
            <w:tcBorders>
              <w:top w:val="nil"/>
              <w:left w:val="nil"/>
              <w:bottom w:val="single" w:sz="4" w:space="0" w:color="auto"/>
              <w:right w:val="single" w:sz="4" w:space="0" w:color="auto"/>
            </w:tcBorders>
            <w:shd w:val="clear" w:color="auto" w:fill="auto"/>
            <w:noWrap/>
            <w:vAlign w:val="bottom"/>
            <w:hideMark/>
          </w:tcPr>
          <w:p w14:paraId="7DA93213"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0.765</w:t>
            </w:r>
          </w:p>
        </w:tc>
        <w:tc>
          <w:tcPr>
            <w:tcW w:w="960" w:type="dxa"/>
            <w:tcBorders>
              <w:top w:val="nil"/>
              <w:left w:val="nil"/>
              <w:bottom w:val="single" w:sz="4" w:space="0" w:color="auto"/>
              <w:right w:val="single" w:sz="4" w:space="0" w:color="auto"/>
            </w:tcBorders>
            <w:shd w:val="clear" w:color="auto" w:fill="auto"/>
            <w:noWrap/>
            <w:vAlign w:val="bottom"/>
            <w:hideMark/>
          </w:tcPr>
          <w:p w14:paraId="5EF2F864"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0.235</w:t>
            </w:r>
          </w:p>
        </w:tc>
      </w:tr>
      <w:tr w:rsidR="004730B7" w:rsidRPr="004730B7" w14:paraId="146B297A"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0C7771CC"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N_34</w:t>
            </w:r>
          </w:p>
        </w:tc>
        <w:tc>
          <w:tcPr>
            <w:tcW w:w="5060" w:type="dxa"/>
            <w:tcBorders>
              <w:top w:val="nil"/>
              <w:left w:val="nil"/>
              <w:bottom w:val="single" w:sz="4" w:space="0" w:color="auto"/>
              <w:right w:val="single" w:sz="4" w:space="0" w:color="auto"/>
            </w:tcBorders>
            <w:shd w:val="clear" w:color="auto" w:fill="auto"/>
            <w:noWrap/>
            <w:vAlign w:val="bottom"/>
            <w:hideMark/>
          </w:tcPr>
          <w:p w14:paraId="5D55494B"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Chena 220-&gt;Neptuno 220</w:t>
            </w:r>
          </w:p>
        </w:tc>
        <w:tc>
          <w:tcPr>
            <w:tcW w:w="960" w:type="dxa"/>
            <w:tcBorders>
              <w:top w:val="nil"/>
              <w:left w:val="nil"/>
              <w:bottom w:val="single" w:sz="4" w:space="0" w:color="auto"/>
              <w:right w:val="single" w:sz="4" w:space="0" w:color="auto"/>
            </w:tcBorders>
            <w:shd w:val="clear" w:color="auto" w:fill="auto"/>
            <w:noWrap/>
            <w:vAlign w:val="bottom"/>
            <w:hideMark/>
          </w:tcPr>
          <w:p w14:paraId="2BE9A634"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0.296</w:t>
            </w:r>
          </w:p>
        </w:tc>
        <w:tc>
          <w:tcPr>
            <w:tcW w:w="960" w:type="dxa"/>
            <w:tcBorders>
              <w:top w:val="nil"/>
              <w:left w:val="nil"/>
              <w:bottom w:val="single" w:sz="4" w:space="0" w:color="auto"/>
              <w:right w:val="single" w:sz="4" w:space="0" w:color="auto"/>
            </w:tcBorders>
            <w:shd w:val="clear" w:color="auto" w:fill="auto"/>
            <w:noWrap/>
            <w:vAlign w:val="bottom"/>
            <w:hideMark/>
          </w:tcPr>
          <w:p w14:paraId="3D99D835"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0.704</w:t>
            </w:r>
          </w:p>
        </w:tc>
        <w:tc>
          <w:tcPr>
            <w:tcW w:w="960" w:type="dxa"/>
            <w:tcBorders>
              <w:top w:val="nil"/>
              <w:left w:val="nil"/>
              <w:bottom w:val="single" w:sz="4" w:space="0" w:color="auto"/>
              <w:right w:val="single" w:sz="4" w:space="0" w:color="auto"/>
            </w:tcBorders>
            <w:shd w:val="clear" w:color="auto" w:fill="auto"/>
            <w:noWrap/>
            <w:vAlign w:val="bottom"/>
            <w:hideMark/>
          </w:tcPr>
          <w:p w14:paraId="52082F63"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0.440</w:t>
            </w:r>
          </w:p>
        </w:tc>
        <w:tc>
          <w:tcPr>
            <w:tcW w:w="960" w:type="dxa"/>
            <w:tcBorders>
              <w:top w:val="nil"/>
              <w:left w:val="nil"/>
              <w:bottom w:val="single" w:sz="4" w:space="0" w:color="auto"/>
              <w:right w:val="single" w:sz="4" w:space="0" w:color="auto"/>
            </w:tcBorders>
            <w:shd w:val="clear" w:color="auto" w:fill="auto"/>
            <w:noWrap/>
            <w:vAlign w:val="bottom"/>
            <w:hideMark/>
          </w:tcPr>
          <w:p w14:paraId="1F0EC368"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0.560</w:t>
            </w:r>
          </w:p>
        </w:tc>
      </w:tr>
      <w:tr w:rsidR="004730B7" w:rsidRPr="004730B7" w14:paraId="5939263B"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6E22E5BD"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N_35</w:t>
            </w:r>
          </w:p>
        </w:tc>
        <w:tc>
          <w:tcPr>
            <w:tcW w:w="5060" w:type="dxa"/>
            <w:tcBorders>
              <w:top w:val="nil"/>
              <w:left w:val="nil"/>
              <w:bottom w:val="single" w:sz="4" w:space="0" w:color="auto"/>
              <w:right w:val="single" w:sz="4" w:space="0" w:color="auto"/>
            </w:tcBorders>
            <w:shd w:val="clear" w:color="auto" w:fill="auto"/>
            <w:noWrap/>
            <w:vAlign w:val="bottom"/>
            <w:hideMark/>
          </w:tcPr>
          <w:p w14:paraId="4BD47B3F"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Chena 220-&gt;Tap Central Santa Marta 220</w:t>
            </w:r>
          </w:p>
        </w:tc>
        <w:tc>
          <w:tcPr>
            <w:tcW w:w="960" w:type="dxa"/>
            <w:tcBorders>
              <w:top w:val="nil"/>
              <w:left w:val="nil"/>
              <w:bottom w:val="single" w:sz="4" w:space="0" w:color="auto"/>
              <w:right w:val="single" w:sz="4" w:space="0" w:color="auto"/>
            </w:tcBorders>
            <w:shd w:val="clear" w:color="auto" w:fill="auto"/>
            <w:noWrap/>
            <w:vAlign w:val="bottom"/>
            <w:hideMark/>
          </w:tcPr>
          <w:p w14:paraId="3188F5D5"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0.774</w:t>
            </w:r>
          </w:p>
        </w:tc>
        <w:tc>
          <w:tcPr>
            <w:tcW w:w="960" w:type="dxa"/>
            <w:tcBorders>
              <w:top w:val="nil"/>
              <w:left w:val="nil"/>
              <w:bottom w:val="single" w:sz="4" w:space="0" w:color="auto"/>
              <w:right w:val="single" w:sz="4" w:space="0" w:color="auto"/>
            </w:tcBorders>
            <w:shd w:val="clear" w:color="auto" w:fill="auto"/>
            <w:noWrap/>
            <w:vAlign w:val="bottom"/>
            <w:hideMark/>
          </w:tcPr>
          <w:p w14:paraId="6E4BACF7"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0.226</w:t>
            </w:r>
          </w:p>
        </w:tc>
        <w:tc>
          <w:tcPr>
            <w:tcW w:w="960" w:type="dxa"/>
            <w:tcBorders>
              <w:top w:val="nil"/>
              <w:left w:val="nil"/>
              <w:bottom w:val="single" w:sz="4" w:space="0" w:color="auto"/>
              <w:right w:val="single" w:sz="4" w:space="0" w:color="auto"/>
            </w:tcBorders>
            <w:shd w:val="clear" w:color="auto" w:fill="auto"/>
            <w:noWrap/>
            <w:vAlign w:val="bottom"/>
            <w:hideMark/>
          </w:tcPr>
          <w:p w14:paraId="68376F99"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0.867</w:t>
            </w:r>
          </w:p>
        </w:tc>
        <w:tc>
          <w:tcPr>
            <w:tcW w:w="960" w:type="dxa"/>
            <w:tcBorders>
              <w:top w:val="nil"/>
              <w:left w:val="nil"/>
              <w:bottom w:val="single" w:sz="4" w:space="0" w:color="auto"/>
              <w:right w:val="single" w:sz="4" w:space="0" w:color="auto"/>
            </w:tcBorders>
            <w:shd w:val="clear" w:color="auto" w:fill="auto"/>
            <w:noWrap/>
            <w:vAlign w:val="bottom"/>
            <w:hideMark/>
          </w:tcPr>
          <w:p w14:paraId="31C121C4"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0.133</w:t>
            </w:r>
          </w:p>
        </w:tc>
      </w:tr>
      <w:tr w:rsidR="004730B7" w:rsidRPr="004730B7" w14:paraId="367F698F"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007C90F6"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N_36</w:t>
            </w:r>
          </w:p>
        </w:tc>
        <w:tc>
          <w:tcPr>
            <w:tcW w:w="5060" w:type="dxa"/>
            <w:tcBorders>
              <w:top w:val="nil"/>
              <w:left w:val="nil"/>
              <w:bottom w:val="single" w:sz="4" w:space="0" w:color="auto"/>
              <w:right w:val="single" w:sz="4" w:space="0" w:color="auto"/>
            </w:tcBorders>
            <w:shd w:val="clear" w:color="auto" w:fill="auto"/>
            <w:noWrap/>
            <w:vAlign w:val="bottom"/>
            <w:hideMark/>
          </w:tcPr>
          <w:p w14:paraId="45D1D395"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Chiloe 220-&gt;Nueva Ancud 220</w:t>
            </w:r>
          </w:p>
        </w:tc>
        <w:tc>
          <w:tcPr>
            <w:tcW w:w="960" w:type="dxa"/>
            <w:tcBorders>
              <w:top w:val="nil"/>
              <w:left w:val="nil"/>
              <w:bottom w:val="single" w:sz="4" w:space="0" w:color="auto"/>
              <w:right w:val="single" w:sz="4" w:space="0" w:color="auto"/>
            </w:tcBorders>
            <w:shd w:val="clear" w:color="auto" w:fill="auto"/>
            <w:noWrap/>
            <w:vAlign w:val="bottom"/>
            <w:hideMark/>
          </w:tcPr>
          <w:p w14:paraId="1DAEC709"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0.228</w:t>
            </w:r>
          </w:p>
        </w:tc>
        <w:tc>
          <w:tcPr>
            <w:tcW w:w="960" w:type="dxa"/>
            <w:tcBorders>
              <w:top w:val="nil"/>
              <w:left w:val="nil"/>
              <w:bottom w:val="single" w:sz="4" w:space="0" w:color="auto"/>
              <w:right w:val="single" w:sz="4" w:space="0" w:color="auto"/>
            </w:tcBorders>
            <w:shd w:val="clear" w:color="auto" w:fill="auto"/>
            <w:noWrap/>
            <w:vAlign w:val="bottom"/>
            <w:hideMark/>
          </w:tcPr>
          <w:p w14:paraId="55166349"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0.772</w:t>
            </w:r>
          </w:p>
        </w:tc>
        <w:tc>
          <w:tcPr>
            <w:tcW w:w="960" w:type="dxa"/>
            <w:tcBorders>
              <w:top w:val="nil"/>
              <w:left w:val="nil"/>
              <w:bottom w:val="single" w:sz="4" w:space="0" w:color="auto"/>
              <w:right w:val="single" w:sz="4" w:space="0" w:color="auto"/>
            </w:tcBorders>
            <w:shd w:val="clear" w:color="auto" w:fill="auto"/>
            <w:noWrap/>
            <w:vAlign w:val="bottom"/>
            <w:hideMark/>
          </w:tcPr>
          <w:p w14:paraId="56EBB824"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0.249</w:t>
            </w:r>
          </w:p>
        </w:tc>
        <w:tc>
          <w:tcPr>
            <w:tcW w:w="960" w:type="dxa"/>
            <w:tcBorders>
              <w:top w:val="nil"/>
              <w:left w:val="nil"/>
              <w:bottom w:val="single" w:sz="4" w:space="0" w:color="auto"/>
              <w:right w:val="single" w:sz="4" w:space="0" w:color="auto"/>
            </w:tcBorders>
            <w:shd w:val="clear" w:color="auto" w:fill="auto"/>
            <w:noWrap/>
            <w:vAlign w:val="bottom"/>
            <w:hideMark/>
          </w:tcPr>
          <w:p w14:paraId="2C042801"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0.751</w:t>
            </w:r>
          </w:p>
        </w:tc>
      </w:tr>
      <w:tr w:rsidR="004730B7" w:rsidRPr="004730B7" w14:paraId="2F632020"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51015975"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N_37</w:t>
            </w:r>
          </w:p>
        </w:tc>
        <w:tc>
          <w:tcPr>
            <w:tcW w:w="5060" w:type="dxa"/>
            <w:tcBorders>
              <w:top w:val="nil"/>
              <w:left w:val="nil"/>
              <w:bottom w:val="single" w:sz="4" w:space="0" w:color="auto"/>
              <w:right w:val="single" w:sz="4" w:space="0" w:color="auto"/>
            </w:tcBorders>
            <w:shd w:val="clear" w:color="auto" w:fill="auto"/>
            <w:noWrap/>
            <w:vAlign w:val="bottom"/>
            <w:hideMark/>
          </w:tcPr>
          <w:p w14:paraId="3BD1B46C"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Chuquicamata 220-&gt;Nueva Chuquicamata 220</w:t>
            </w:r>
          </w:p>
        </w:tc>
        <w:tc>
          <w:tcPr>
            <w:tcW w:w="960" w:type="dxa"/>
            <w:tcBorders>
              <w:top w:val="nil"/>
              <w:left w:val="nil"/>
              <w:bottom w:val="single" w:sz="4" w:space="0" w:color="auto"/>
              <w:right w:val="single" w:sz="4" w:space="0" w:color="auto"/>
            </w:tcBorders>
            <w:shd w:val="clear" w:color="auto" w:fill="auto"/>
            <w:noWrap/>
            <w:vAlign w:val="bottom"/>
            <w:hideMark/>
          </w:tcPr>
          <w:p w14:paraId="770361AE"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0.866</w:t>
            </w:r>
          </w:p>
        </w:tc>
        <w:tc>
          <w:tcPr>
            <w:tcW w:w="960" w:type="dxa"/>
            <w:tcBorders>
              <w:top w:val="nil"/>
              <w:left w:val="nil"/>
              <w:bottom w:val="single" w:sz="4" w:space="0" w:color="auto"/>
              <w:right w:val="single" w:sz="4" w:space="0" w:color="auto"/>
            </w:tcBorders>
            <w:shd w:val="clear" w:color="auto" w:fill="auto"/>
            <w:noWrap/>
            <w:vAlign w:val="bottom"/>
            <w:hideMark/>
          </w:tcPr>
          <w:p w14:paraId="57C7573B"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0.134</w:t>
            </w:r>
          </w:p>
        </w:tc>
        <w:tc>
          <w:tcPr>
            <w:tcW w:w="960" w:type="dxa"/>
            <w:tcBorders>
              <w:top w:val="nil"/>
              <w:left w:val="nil"/>
              <w:bottom w:val="single" w:sz="4" w:space="0" w:color="auto"/>
              <w:right w:val="single" w:sz="4" w:space="0" w:color="auto"/>
            </w:tcBorders>
            <w:shd w:val="clear" w:color="auto" w:fill="auto"/>
            <w:noWrap/>
            <w:vAlign w:val="bottom"/>
            <w:hideMark/>
          </w:tcPr>
          <w:p w14:paraId="156A586A"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0.938</w:t>
            </w:r>
          </w:p>
        </w:tc>
        <w:tc>
          <w:tcPr>
            <w:tcW w:w="960" w:type="dxa"/>
            <w:tcBorders>
              <w:top w:val="nil"/>
              <w:left w:val="nil"/>
              <w:bottom w:val="single" w:sz="4" w:space="0" w:color="auto"/>
              <w:right w:val="single" w:sz="4" w:space="0" w:color="auto"/>
            </w:tcBorders>
            <w:shd w:val="clear" w:color="auto" w:fill="auto"/>
            <w:noWrap/>
            <w:vAlign w:val="bottom"/>
            <w:hideMark/>
          </w:tcPr>
          <w:p w14:paraId="2BCE9627"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0.062</w:t>
            </w:r>
          </w:p>
        </w:tc>
      </w:tr>
      <w:tr w:rsidR="004730B7" w:rsidRPr="004730B7" w14:paraId="02E887E0"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08D429D2"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N_38</w:t>
            </w:r>
          </w:p>
        </w:tc>
        <w:tc>
          <w:tcPr>
            <w:tcW w:w="5060" w:type="dxa"/>
            <w:tcBorders>
              <w:top w:val="nil"/>
              <w:left w:val="nil"/>
              <w:bottom w:val="single" w:sz="4" w:space="0" w:color="auto"/>
              <w:right w:val="single" w:sz="4" w:space="0" w:color="auto"/>
            </w:tcBorders>
            <w:shd w:val="clear" w:color="auto" w:fill="auto"/>
            <w:noWrap/>
            <w:vAlign w:val="bottom"/>
            <w:hideMark/>
          </w:tcPr>
          <w:p w14:paraId="4E55079F"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Ciruelos 220-&gt;Cerros de Huichahue 220</w:t>
            </w:r>
          </w:p>
        </w:tc>
        <w:tc>
          <w:tcPr>
            <w:tcW w:w="960" w:type="dxa"/>
            <w:tcBorders>
              <w:top w:val="nil"/>
              <w:left w:val="nil"/>
              <w:bottom w:val="single" w:sz="4" w:space="0" w:color="auto"/>
              <w:right w:val="single" w:sz="4" w:space="0" w:color="auto"/>
            </w:tcBorders>
            <w:shd w:val="clear" w:color="auto" w:fill="auto"/>
            <w:noWrap/>
            <w:vAlign w:val="bottom"/>
            <w:hideMark/>
          </w:tcPr>
          <w:p w14:paraId="2F1250A7"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0.042</w:t>
            </w:r>
          </w:p>
        </w:tc>
        <w:tc>
          <w:tcPr>
            <w:tcW w:w="960" w:type="dxa"/>
            <w:tcBorders>
              <w:top w:val="nil"/>
              <w:left w:val="nil"/>
              <w:bottom w:val="single" w:sz="4" w:space="0" w:color="auto"/>
              <w:right w:val="single" w:sz="4" w:space="0" w:color="auto"/>
            </w:tcBorders>
            <w:shd w:val="clear" w:color="auto" w:fill="auto"/>
            <w:noWrap/>
            <w:vAlign w:val="bottom"/>
            <w:hideMark/>
          </w:tcPr>
          <w:p w14:paraId="6CACF41A"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0.958</w:t>
            </w:r>
          </w:p>
        </w:tc>
        <w:tc>
          <w:tcPr>
            <w:tcW w:w="960" w:type="dxa"/>
            <w:tcBorders>
              <w:top w:val="nil"/>
              <w:left w:val="nil"/>
              <w:bottom w:val="single" w:sz="4" w:space="0" w:color="auto"/>
              <w:right w:val="single" w:sz="4" w:space="0" w:color="auto"/>
            </w:tcBorders>
            <w:shd w:val="clear" w:color="auto" w:fill="auto"/>
            <w:noWrap/>
            <w:vAlign w:val="bottom"/>
            <w:hideMark/>
          </w:tcPr>
          <w:p w14:paraId="421D76B1"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0.046</w:t>
            </w:r>
          </w:p>
        </w:tc>
        <w:tc>
          <w:tcPr>
            <w:tcW w:w="960" w:type="dxa"/>
            <w:tcBorders>
              <w:top w:val="nil"/>
              <w:left w:val="nil"/>
              <w:bottom w:val="single" w:sz="4" w:space="0" w:color="auto"/>
              <w:right w:val="single" w:sz="4" w:space="0" w:color="auto"/>
            </w:tcBorders>
            <w:shd w:val="clear" w:color="auto" w:fill="auto"/>
            <w:noWrap/>
            <w:vAlign w:val="bottom"/>
            <w:hideMark/>
          </w:tcPr>
          <w:p w14:paraId="7F5F37B1"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0.954</w:t>
            </w:r>
          </w:p>
        </w:tc>
      </w:tr>
      <w:tr w:rsidR="004730B7" w:rsidRPr="004730B7" w14:paraId="0DD6B6A1"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2DB1588B"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N_39</w:t>
            </w:r>
          </w:p>
        </w:tc>
        <w:tc>
          <w:tcPr>
            <w:tcW w:w="5060" w:type="dxa"/>
            <w:tcBorders>
              <w:top w:val="nil"/>
              <w:left w:val="nil"/>
              <w:bottom w:val="single" w:sz="4" w:space="0" w:color="auto"/>
              <w:right w:val="single" w:sz="4" w:space="0" w:color="auto"/>
            </w:tcBorders>
            <w:shd w:val="clear" w:color="auto" w:fill="auto"/>
            <w:noWrap/>
            <w:vAlign w:val="bottom"/>
            <w:hideMark/>
          </w:tcPr>
          <w:p w14:paraId="079EA0DF"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Ciruelos 220-&gt;Lastarria 220</w:t>
            </w:r>
          </w:p>
        </w:tc>
        <w:tc>
          <w:tcPr>
            <w:tcW w:w="960" w:type="dxa"/>
            <w:tcBorders>
              <w:top w:val="nil"/>
              <w:left w:val="nil"/>
              <w:bottom w:val="single" w:sz="4" w:space="0" w:color="auto"/>
              <w:right w:val="single" w:sz="4" w:space="0" w:color="auto"/>
            </w:tcBorders>
            <w:shd w:val="clear" w:color="auto" w:fill="auto"/>
            <w:noWrap/>
            <w:vAlign w:val="bottom"/>
            <w:hideMark/>
          </w:tcPr>
          <w:p w14:paraId="6B8E435B"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0.300</w:t>
            </w:r>
          </w:p>
        </w:tc>
        <w:tc>
          <w:tcPr>
            <w:tcW w:w="960" w:type="dxa"/>
            <w:tcBorders>
              <w:top w:val="nil"/>
              <w:left w:val="nil"/>
              <w:bottom w:val="single" w:sz="4" w:space="0" w:color="auto"/>
              <w:right w:val="single" w:sz="4" w:space="0" w:color="auto"/>
            </w:tcBorders>
            <w:shd w:val="clear" w:color="auto" w:fill="auto"/>
            <w:noWrap/>
            <w:vAlign w:val="bottom"/>
            <w:hideMark/>
          </w:tcPr>
          <w:p w14:paraId="4BBAEAAD"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0.700</w:t>
            </w:r>
          </w:p>
        </w:tc>
        <w:tc>
          <w:tcPr>
            <w:tcW w:w="960" w:type="dxa"/>
            <w:tcBorders>
              <w:top w:val="nil"/>
              <w:left w:val="nil"/>
              <w:bottom w:val="single" w:sz="4" w:space="0" w:color="auto"/>
              <w:right w:val="single" w:sz="4" w:space="0" w:color="auto"/>
            </w:tcBorders>
            <w:shd w:val="clear" w:color="auto" w:fill="auto"/>
            <w:noWrap/>
            <w:vAlign w:val="bottom"/>
            <w:hideMark/>
          </w:tcPr>
          <w:p w14:paraId="5CC9C8FC"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0.430</w:t>
            </w:r>
          </w:p>
        </w:tc>
        <w:tc>
          <w:tcPr>
            <w:tcW w:w="960" w:type="dxa"/>
            <w:tcBorders>
              <w:top w:val="nil"/>
              <w:left w:val="nil"/>
              <w:bottom w:val="single" w:sz="4" w:space="0" w:color="auto"/>
              <w:right w:val="single" w:sz="4" w:space="0" w:color="auto"/>
            </w:tcBorders>
            <w:shd w:val="clear" w:color="auto" w:fill="auto"/>
            <w:noWrap/>
            <w:vAlign w:val="bottom"/>
            <w:hideMark/>
          </w:tcPr>
          <w:p w14:paraId="44305918"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0.570</w:t>
            </w:r>
          </w:p>
        </w:tc>
      </w:tr>
      <w:tr w:rsidR="004730B7" w:rsidRPr="004730B7" w14:paraId="690F1B9A"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0128E7DA"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N_40</w:t>
            </w:r>
          </w:p>
        </w:tc>
        <w:tc>
          <w:tcPr>
            <w:tcW w:w="5060" w:type="dxa"/>
            <w:tcBorders>
              <w:top w:val="nil"/>
              <w:left w:val="nil"/>
              <w:bottom w:val="single" w:sz="4" w:space="0" w:color="auto"/>
              <w:right w:val="single" w:sz="4" w:space="0" w:color="auto"/>
            </w:tcBorders>
            <w:shd w:val="clear" w:color="auto" w:fill="auto"/>
            <w:noWrap/>
            <w:vAlign w:val="bottom"/>
            <w:hideMark/>
          </w:tcPr>
          <w:p w14:paraId="195353DD"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Ciruelos 220-&gt;Valdivia 220</w:t>
            </w:r>
          </w:p>
        </w:tc>
        <w:tc>
          <w:tcPr>
            <w:tcW w:w="960" w:type="dxa"/>
            <w:tcBorders>
              <w:top w:val="nil"/>
              <w:left w:val="nil"/>
              <w:bottom w:val="single" w:sz="4" w:space="0" w:color="auto"/>
              <w:right w:val="single" w:sz="4" w:space="0" w:color="auto"/>
            </w:tcBorders>
            <w:shd w:val="clear" w:color="auto" w:fill="auto"/>
            <w:noWrap/>
            <w:vAlign w:val="bottom"/>
            <w:hideMark/>
          </w:tcPr>
          <w:p w14:paraId="2CC50B92"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0.310</w:t>
            </w:r>
          </w:p>
        </w:tc>
        <w:tc>
          <w:tcPr>
            <w:tcW w:w="960" w:type="dxa"/>
            <w:tcBorders>
              <w:top w:val="nil"/>
              <w:left w:val="nil"/>
              <w:bottom w:val="single" w:sz="4" w:space="0" w:color="auto"/>
              <w:right w:val="single" w:sz="4" w:space="0" w:color="auto"/>
            </w:tcBorders>
            <w:shd w:val="clear" w:color="auto" w:fill="auto"/>
            <w:noWrap/>
            <w:vAlign w:val="bottom"/>
            <w:hideMark/>
          </w:tcPr>
          <w:p w14:paraId="1E59AD8E"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0.690</w:t>
            </w:r>
          </w:p>
        </w:tc>
        <w:tc>
          <w:tcPr>
            <w:tcW w:w="960" w:type="dxa"/>
            <w:tcBorders>
              <w:top w:val="nil"/>
              <w:left w:val="nil"/>
              <w:bottom w:val="single" w:sz="4" w:space="0" w:color="auto"/>
              <w:right w:val="single" w:sz="4" w:space="0" w:color="auto"/>
            </w:tcBorders>
            <w:shd w:val="clear" w:color="auto" w:fill="auto"/>
            <w:noWrap/>
            <w:vAlign w:val="bottom"/>
            <w:hideMark/>
          </w:tcPr>
          <w:p w14:paraId="7163E3AE"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0.455</w:t>
            </w:r>
          </w:p>
        </w:tc>
        <w:tc>
          <w:tcPr>
            <w:tcW w:w="960" w:type="dxa"/>
            <w:tcBorders>
              <w:top w:val="nil"/>
              <w:left w:val="nil"/>
              <w:bottom w:val="single" w:sz="4" w:space="0" w:color="auto"/>
              <w:right w:val="single" w:sz="4" w:space="0" w:color="auto"/>
            </w:tcBorders>
            <w:shd w:val="clear" w:color="auto" w:fill="auto"/>
            <w:noWrap/>
            <w:vAlign w:val="bottom"/>
            <w:hideMark/>
          </w:tcPr>
          <w:p w14:paraId="20229086"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0.545</w:t>
            </w:r>
          </w:p>
        </w:tc>
      </w:tr>
      <w:tr w:rsidR="004730B7" w:rsidRPr="004730B7" w14:paraId="1972AA28"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03A2C242"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N_41</w:t>
            </w:r>
          </w:p>
        </w:tc>
        <w:tc>
          <w:tcPr>
            <w:tcW w:w="5060" w:type="dxa"/>
            <w:tcBorders>
              <w:top w:val="nil"/>
              <w:left w:val="nil"/>
              <w:bottom w:val="single" w:sz="4" w:space="0" w:color="auto"/>
              <w:right w:val="single" w:sz="4" w:space="0" w:color="auto"/>
            </w:tcBorders>
            <w:shd w:val="clear" w:color="auto" w:fill="auto"/>
            <w:noWrap/>
            <w:vAlign w:val="bottom"/>
            <w:hideMark/>
          </w:tcPr>
          <w:p w14:paraId="16031341"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Condores 220-&gt;Parinacota 220</w:t>
            </w:r>
          </w:p>
        </w:tc>
        <w:tc>
          <w:tcPr>
            <w:tcW w:w="960" w:type="dxa"/>
            <w:tcBorders>
              <w:top w:val="nil"/>
              <w:left w:val="nil"/>
              <w:bottom w:val="single" w:sz="4" w:space="0" w:color="auto"/>
              <w:right w:val="single" w:sz="4" w:space="0" w:color="auto"/>
            </w:tcBorders>
            <w:shd w:val="clear" w:color="auto" w:fill="auto"/>
            <w:noWrap/>
            <w:vAlign w:val="bottom"/>
            <w:hideMark/>
          </w:tcPr>
          <w:p w14:paraId="0F065DB6"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0.236</w:t>
            </w:r>
          </w:p>
        </w:tc>
        <w:tc>
          <w:tcPr>
            <w:tcW w:w="960" w:type="dxa"/>
            <w:tcBorders>
              <w:top w:val="nil"/>
              <w:left w:val="nil"/>
              <w:bottom w:val="single" w:sz="4" w:space="0" w:color="auto"/>
              <w:right w:val="single" w:sz="4" w:space="0" w:color="auto"/>
            </w:tcBorders>
            <w:shd w:val="clear" w:color="auto" w:fill="auto"/>
            <w:noWrap/>
            <w:vAlign w:val="bottom"/>
            <w:hideMark/>
          </w:tcPr>
          <w:p w14:paraId="0245D255"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0.764</w:t>
            </w:r>
          </w:p>
        </w:tc>
        <w:tc>
          <w:tcPr>
            <w:tcW w:w="960" w:type="dxa"/>
            <w:tcBorders>
              <w:top w:val="nil"/>
              <w:left w:val="nil"/>
              <w:bottom w:val="single" w:sz="4" w:space="0" w:color="auto"/>
              <w:right w:val="single" w:sz="4" w:space="0" w:color="auto"/>
            </w:tcBorders>
            <w:shd w:val="clear" w:color="auto" w:fill="auto"/>
            <w:noWrap/>
            <w:vAlign w:val="bottom"/>
            <w:hideMark/>
          </w:tcPr>
          <w:p w14:paraId="4BA2B7BB"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0.357</w:t>
            </w:r>
          </w:p>
        </w:tc>
        <w:tc>
          <w:tcPr>
            <w:tcW w:w="960" w:type="dxa"/>
            <w:tcBorders>
              <w:top w:val="nil"/>
              <w:left w:val="nil"/>
              <w:bottom w:val="single" w:sz="4" w:space="0" w:color="auto"/>
              <w:right w:val="single" w:sz="4" w:space="0" w:color="auto"/>
            </w:tcBorders>
            <w:shd w:val="clear" w:color="auto" w:fill="auto"/>
            <w:noWrap/>
            <w:vAlign w:val="bottom"/>
            <w:hideMark/>
          </w:tcPr>
          <w:p w14:paraId="3C6F6B42"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0.643</w:t>
            </w:r>
          </w:p>
        </w:tc>
      </w:tr>
      <w:tr w:rsidR="004730B7" w:rsidRPr="004730B7" w14:paraId="6121C5DC"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5EF67893"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N_42</w:t>
            </w:r>
          </w:p>
        </w:tc>
        <w:tc>
          <w:tcPr>
            <w:tcW w:w="5060" w:type="dxa"/>
            <w:tcBorders>
              <w:top w:val="nil"/>
              <w:left w:val="nil"/>
              <w:bottom w:val="single" w:sz="4" w:space="0" w:color="auto"/>
              <w:right w:val="single" w:sz="4" w:space="0" w:color="auto"/>
            </w:tcBorders>
            <w:shd w:val="clear" w:color="auto" w:fill="auto"/>
            <w:noWrap/>
            <w:vAlign w:val="bottom"/>
            <w:hideMark/>
          </w:tcPr>
          <w:p w14:paraId="307C9A83"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Crucero 220-&gt;Kimal 220</w:t>
            </w:r>
          </w:p>
        </w:tc>
        <w:tc>
          <w:tcPr>
            <w:tcW w:w="960" w:type="dxa"/>
            <w:tcBorders>
              <w:top w:val="nil"/>
              <w:left w:val="nil"/>
              <w:bottom w:val="single" w:sz="4" w:space="0" w:color="auto"/>
              <w:right w:val="single" w:sz="4" w:space="0" w:color="auto"/>
            </w:tcBorders>
            <w:shd w:val="clear" w:color="auto" w:fill="auto"/>
            <w:noWrap/>
            <w:vAlign w:val="bottom"/>
            <w:hideMark/>
          </w:tcPr>
          <w:p w14:paraId="374057C7"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0.237</w:t>
            </w:r>
          </w:p>
        </w:tc>
        <w:tc>
          <w:tcPr>
            <w:tcW w:w="960" w:type="dxa"/>
            <w:tcBorders>
              <w:top w:val="nil"/>
              <w:left w:val="nil"/>
              <w:bottom w:val="single" w:sz="4" w:space="0" w:color="auto"/>
              <w:right w:val="single" w:sz="4" w:space="0" w:color="auto"/>
            </w:tcBorders>
            <w:shd w:val="clear" w:color="auto" w:fill="auto"/>
            <w:noWrap/>
            <w:vAlign w:val="bottom"/>
            <w:hideMark/>
          </w:tcPr>
          <w:p w14:paraId="3A742C02"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0.763</w:t>
            </w:r>
          </w:p>
        </w:tc>
        <w:tc>
          <w:tcPr>
            <w:tcW w:w="960" w:type="dxa"/>
            <w:tcBorders>
              <w:top w:val="nil"/>
              <w:left w:val="nil"/>
              <w:bottom w:val="single" w:sz="4" w:space="0" w:color="auto"/>
              <w:right w:val="single" w:sz="4" w:space="0" w:color="auto"/>
            </w:tcBorders>
            <w:shd w:val="clear" w:color="auto" w:fill="auto"/>
            <w:noWrap/>
            <w:vAlign w:val="bottom"/>
            <w:hideMark/>
          </w:tcPr>
          <w:p w14:paraId="15C923D8"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0.305</w:t>
            </w:r>
          </w:p>
        </w:tc>
        <w:tc>
          <w:tcPr>
            <w:tcW w:w="960" w:type="dxa"/>
            <w:tcBorders>
              <w:top w:val="nil"/>
              <w:left w:val="nil"/>
              <w:bottom w:val="single" w:sz="4" w:space="0" w:color="auto"/>
              <w:right w:val="single" w:sz="4" w:space="0" w:color="auto"/>
            </w:tcBorders>
            <w:shd w:val="clear" w:color="auto" w:fill="auto"/>
            <w:noWrap/>
            <w:vAlign w:val="bottom"/>
            <w:hideMark/>
          </w:tcPr>
          <w:p w14:paraId="6070C426"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0.695</w:t>
            </w:r>
          </w:p>
        </w:tc>
      </w:tr>
      <w:tr w:rsidR="004730B7" w:rsidRPr="004730B7" w14:paraId="54BA31C3"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67B083E1"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N_43</w:t>
            </w:r>
          </w:p>
        </w:tc>
        <w:tc>
          <w:tcPr>
            <w:tcW w:w="5060" w:type="dxa"/>
            <w:tcBorders>
              <w:top w:val="nil"/>
              <w:left w:val="nil"/>
              <w:bottom w:val="single" w:sz="4" w:space="0" w:color="auto"/>
              <w:right w:val="single" w:sz="4" w:space="0" w:color="auto"/>
            </w:tcBorders>
            <w:shd w:val="clear" w:color="auto" w:fill="auto"/>
            <w:noWrap/>
            <w:vAlign w:val="bottom"/>
            <w:hideMark/>
          </w:tcPr>
          <w:p w14:paraId="79C02B59"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Cumbre 500-&gt;Nueva Cardones 500</w:t>
            </w:r>
          </w:p>
        </w:tc>
        <w:tc>
          <w:tcPr>
            <w:tcW w:w="960" w:type="dxa"/>
            <w:tcBorders>
              <w:top w:val="nil"/>
              <w:left w:val="nil"/>
              <w:bottom w:val="single" w:sz="4" w:space="0" w:color="auto"/>
              <w:right w:val="single" w:sz="4" w:space="0" w:color="auto"/>
            </w:tcBorders>
            <w:shd w:val="clear" w:color="auto" w:fill="auto"/>
            <w:noWrap/>
            <w:vAlign w:val="bottom"/>
            <w:hideMark/>
          </w:tcPr>
          <w:p w14:paraId="5C4BE2A7"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0.143</w:t>
            </w:r>
          </w:p>
        </w:tc>
        <w:tc>
          <w:tcPr>
            <w:tcW w:w="960" w:type="dxa"/>
            <w:tcBorders>
              <w:top w:val="nil"/>
              <w:left w:val="nil"/>
              <w:bottom w:val="single" w:sz="4" w:space="0" w:color="auto"/>
              <w:right w:val="single" w:sz="4" w:space="0" w:color="auto"/>
            </w:tcBorders>
            <w:shd w:val="clear" w:color="auto" w:fill="auto"/>
            <w:noWrap/>
            <w:vAlign w:val="bottom"/>
            <w:hideMark/>
          </w:tcPr>
          <w:p w14:paraId="6642FB1B"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0.857</w:t>
            </w:r>
          </w:p>
        </w:tc>
        <w:tc>
          <w:tcPr>
            <w:tcW w:w="960" w:type="dxa"/>
            <w:tcBorders>
              <w:top w:val="nil"/>
              <w:left w:val="nil"/>
              <w:bottom w:val="single" w:sz="4" w:space="0" w:color="auto"/>
              <w:right w:val="single" w:sz="4" w:space="0" w:color="auto"/>
            </w:tcBorders>
            <w:shd w:val="clear" w:color="auto" w:fill="auto"/>
            <w:noWrap/>
            <w:vAlign w:val="bottom"/>
            <w:hideMark/>
          </w:tcPr>
          <w:p w14:paraId="32A81DDD"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0.217</w:t>
            </w:r>
          </w:p>
        </w:tc>
        <w:tc>
          <w:tcPr>
            <w:tcW w:w="960" w:type="dxa"/>
            <w:tcBorders>
              <w:top w:val="nil"/>
              <w:left w:val="nil"/>
              <w:bottom w:val="single" w:sz="4" w:space="0" w:color="auto"/>
              <w:right w:val="single" w:sz="4" w:space="0" w:color="auto"/>
            </w:tcBorders>
            <w:shd w:val="clear" w:color="auto" w:fill="auto"/>
            <w:noWrap/>
            <w:vAlign w:val="bottom"/>
            <w:hideMark/>
          </w:tcPr>
          <w:p w14:paraId="768E8611"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0.783</w:t>
            </w:r>
          </w:p>
        </w:tc>
      </w:tr>
      <w:tr w:rsidR="004730B7" w:rsidRPr="004730B7" w14:paraId="46B03835"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0613DBC9"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lastRenderedPageBreak/>
              <w:t>N_44</w:t>
            </w:r>
          </w:p>
        </w:tc>
        <w:tc>
          <w:tcPr>
            <w:tcW w:w="5060" w:type="dxa"/>
            <w:tcBorders>
              <w:top w:val="nil"/>
              <w:left w:val="nil"/>
              <w:bottom w:val="single" w:sz="4" w:space="0" w:color="auto"/>
              <w:right w:val="single" w:sz="4" w:space="0" w:color="auto"/>
            </w:tcBorders>
            <w:shd w:val="clear" w:color="auto" w:fill="auto"/>
            <w:noWrap/>
            <w:vAlign w:val="bottom"/>
            <w:hideMark/>
          </w:tcPr>
          <w:p w14:paraId="42E36E9C"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Don Goyo 220-&gt;La Cebada 220</w:t>
            </w:r>
          </w:p>
        </w:tc>
        <w:tc>
          <w:tcPr>
            <w:tcW w:w="960" w:type="dxa"/>
            <w:tcBorders>
              <w:top w:val="nil"/>
              <w:left w:val="nil"/>
              <w:bottom w:val="single" w:sz="4" w:space="0" w:color="auto"/>
              <w:right w:val="single" w:sz="4" w:space="0" w:color="auto"/>
            </w:tcBorders>
            <w:shd w:val="clear" w:color="auto" w:fill="auto"/>
            <w:noWrap/>
            <w:vAlign w:val="bottom"/>
            <w:hideMark/>
          </w:tcPr>
          <w:p w14:paraId="2A17202E"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0.249</w:t>
            </w:r>
          </w:p>
        </w:tc>
        <w:tc>
          <w:tcPr>
            <w:tcW w:w="960" w:type="dxa"/>
            <w:tcBorders>
              <w:top w:val="nil"/>
              <w:left w:val="nil"/>
              <w:bottom w:val="single" w:sz="4" w:space="0" w:color="auto"/>
              <w:right w:val="single" w:sz="4" w:space="0" w:color="auto"/>
            </w:tcBorders>
            <w:shd w:val="clear" w:color="auto" w:fill="auto"/>
            <w:noWrap/>
            <w:vAlign w:val="bottom"/>
            <w:hideMark/>
          </w:tcPr>
          <w:p w14:paraId="543A3F74"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0.751</w:t>
            </w:r>
          </w:p>
        </w:tc>
        <w:tc>
          <w:tcPr>
            <w:tcW w:w="960" w:type="dxa"/>
            <w:tcBorders>
              <w:top w:val="nil"/>
              <w:left w:val="nil"/>
              <w:bottom w:val="single" w:sz="4" w:space="0" w:color="auto"/>
              <w:right w:val="single" w:sz="4" w:space="0" w:color="auto"/>
            </w:tcBorders>
            <w:shd w:val="clear" w:color="auto" w:fill="auto"/>
            <w:noWrap/>
            <w:vAlign w:val="bottom"/>
            <w:hideMark/>
          </w:tcPr>
          <w:p w14:paraId="59A12E90"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0.341</w:t>
            </w:r>
          </w:p>
        </w:tc>
        <w:tc>
          <w:tcPr>
            <w:tcW w:w="960" w:type="dxa"/>
            <w:tcBorders>
              <w:top w:val="nil"/>
              <w:left w:val="nil"/>
              <w:bottom w:val="single" w:sz="4" w:space="0" w:color="auto"/>
              <w:right w:val="single" w:sz="4" w:space="0" w:color="auto"/>
            </w:tcBorders>
            <w:shd w:val="clear" w:color="auto" w:fill="auto"/>
            <w:noWrap/>
            <w:vAlign w:val="bottom"/>
            <w:hideMark/>
          </w:tcPr>
          <w:p w14:paraId="178439F5"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0.659</w:t>
            </w:r>
          </w:p>
        </w:tc>
      </w:tr>
      <w:tr w:rsidR="004730B7" w:rsidRPr="004730B7" w14:paraId="3972575C"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716918AD"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N_45</w:t>
            </w:r>
          </w:p>
        </w:tc>
        <w:tc>
          <w:tcPr>
            <w:tcW w:w="5060" w:type="dxa"/>
            <w:tcBorders>
              <w:top w:val="nil"/>
              <w:left w:val="nil"/>
              <w:bottom w:val="single" w:sz="4" w:space="0" w:color="auto"/>
              <w:right w:val="single" w:sz="4" w:space="0" w:color="auto"/>
            </w:tcBorders>
            <w:shd w:val="clear" w:color="auto" w:fill="auto"/>
            <w:noWrap/>
            <w:vAlign w:val="bottom"/>
            <w:hideMark/>
          </w:tcPr>
          <w:p w14:paraId="67E4935D"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Don Hector 220-&gt;Punta Colorada 220</w:t>
            </w:r>
          </w:p>
        </w:tc>
        <w:tc>
          <w:tcPr>
            <w:tcW w:w="960" w:type="dxa"/>
            <w:tcBorders>
              <w:top w:val="nil"/>
              <w:left w:val="nil"/>
              <w:bottom w:val="single" w:sz="4" w:space="0" w:color="auto"/>
              <w:right w:val="single" w:sz="4" w:space="0" w:color="auto"/>
            </w:tcBorders>
            <w:shd w:val="clear" w:color="auto" w:fill="auto"/>
            <w:noWrap/>
            <w:vAlign w:val="bottom"/>
            <w:hideMark/>
          </w:tcPr>
          <w:p w14:paraId="46F653FD"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0.506</w:t>
            </w:r>
          </w:p>
        </w:tc>
        <w:tc>
          <w:tcPr>
            <w:tcW w:w="960" w:type="dxa"/>
            <w:tcBorders>
              <w:top w:val="nil"/>
              <w:left w:val="nil"/>
              <w:bottom w:val="single" w:sz="4" w:space="0" w:color="auto"/>
              <w:right w:val="single" w:sz="4" w:space="0" w:color="auto"/>
            </w:tcBorders>
            <w:shd w:val="clear" w:color="auto" w:fill="auto"/>
            <w:noWrap/>
            <w:vAlign w:val="bottom"/>
            <w:hideMark/>
          </w:tcPr>
          <w:p w14:paraId="7300FEC1"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0.494</w:t>
            </w:r>
          </w:p>
        </w:tc>
        <w:tc>
          <w:tcPr>
            <w:tcW w:w="960" w:type="dxa"/>
            <w:tcBorders>
              <w:top w:val="nil"/>
              <w:left w:val="nil"/>
              <w:bottom w:val="single" w:sz="4" w:space="0" w:color="auto"/>
              <w:right w:val="single" w:sz="4" w:space="0" w:color="auto"/>
            </w:tcBorders>
            <w:shd w:val="clear" w:color="auto" w:fill="auto"/>
            <w:noWrap/>
            <w:vAlign w:val="bottom"/>
            <w:hideMark/>
          </w:tcPr>
          <w:p w14:paraId="083A16E5"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0.711</w:t>
            </w:r>
          </w:p>
        </w:tc>
        <w:tc>
          <w:tcPr>
            <w:tcW w:w="960" w:type="dxa"/>
            <w:tcBorders>
              <w:top w:val="nil"/>
              <w:left w:val="nil"/>
              <w:bottom w:val="single" w:sz="4" w:space="0" w:color="auto"/>
              <w:right w:val="single" w:sz="4" w:space="0" w:color="auto"/>
            </w:tcBorders>
            <w:shd w:val="clear" w:color="auto" w:fill="auto"/>
            <w:noWrap/>
            <w:vAlign w:val="bottom"/>
            <w:hideMark/>
          </w:tcPr>
          <w:p w14:paraId="378D0E82"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0.289</w:t>
            </w:r>
          </w:p>
        </w:tc>
      </w:tr>
      <w:tr w:rsidR="004730B7" w:rsidRPr="004730B7" w14:paraId="057A5A3E"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728E3EDC"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N_46</w:t>
            </w:r>
          </w:p>
        </w:tc>
        <w:tc>
          <w:tcPr>
            <w:tcW w:w="5060" w:type="dxa"/>
            <w:tcBorders>
              <w:top w:val="nil"/>
              <w:left w:val="nil"/>
              <w:bottom w:val="single" w:sz="4" w:space="0" w:color="auto"/>
              <w:right w:val="single" w:sz="4" w:space="0" w:color="auto"/>
            </w:tcBorders>
            <w:shd w:val="clear" w:color="auto" w:fill="auto"/>
            <w:noWrap/>
            <w:vAlign w:val="bottom"/>
            <w:hideMark/>
          </w:tcPr>
          <w:p w14:paraId="560E60FA"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Duqueco 220-&gt;Bureo 220</w:t>
            </w:r>
          </w:p>
        </w:tc>
        <w:tc>
          <w:tcPr>
            <w:tcW w:w="960" w:type="dxa"/>
            <w:tcBorders>
              <w:top w:val="nil"/>
              <w:left w:val="nil"/>
              <w:bottom w:val="single" w:sz="4" w:space="0" w:color="auto"/>
              <w:right w:val="single" w:sz="4" w:space="0" w:color="auto"/>
            </w:tcBorders>
            <w:shd w:val="clear" w:color="auto" w:fill="auto"/>
            <w:noWrap/>
            <w:vAlign w:val="bottom"/>
            <w:hideMark/>
          </w:tcPr>
          <w:p w14:paraId="00AB359C"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0.477</w:t>
            </w:r>
          </w:p>
        </w:tc>
        <w:tc>
          <w:tcPr>
            <w:tcW w:w="960" w:type="dxa"/>
            <w:tcBorders>
              <w:top w:val="nil"/>
              <w:left w:val="nil"/>
              <w:bottom w:val="single" w:sz="4" w:space="0" w:color="auto"/>
              <w:right w:val="single" w:sz="4" w:space="0" w:color="auto"/>
            </w:tcBorders>
            <w:shd w:val="clear" w:color="auto" w:fill="auto"/>
            <w:noWrap/>
            <w:vAlign w:val="bottom"/>
            <w:hideMark/>
          </w:tcPr>
          <w:p w14:paraId="43344C88"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0.523</w:t>
            </w:r>
          </w:p>
        </w:tc>
        <w:tc>
          <w:tcPr>
            <w:tcW w:w="960" w:type="dxa"/>
            <w:tcBorders>
              <w:top w:val="nil"/>
              <w:left w:val="nil"/>
              <w:bottom w:val="single" w:sz="4" w:space="0" w:color="auto"/>
              <w:right w:val="single" w:sz="4" w:space="0" w:color="auto"/>
            </w:tcBorders>
            <w:shd w:val="clear" w:color="auto" w:fill="auto"/>
            <w:noWrap/>
            <w:vAlign w:val="bottom"/>
            <w:hideMark/>
          </w:tcPr>
          <w:p w14:paraId="4868D35A"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0.655</w:t>
            </w:r>
          </w:p>
        </w:tc>
        <w:tc>
          <w:tcPr>
            <w:tcW w:w="960" w:type="dxa"/>
            <w:tcBorders>
              <w:top w:val="nil"/>
              <w:left w:val="nil"/>
              <w:bottom w:val="single" w:sz="4" w:space="0" w:color="auto"/>
              <w:right w:val="single" w:sz="4" w:space="0" w:color="auto"/>
            </w:tcBorders>
            <w:shd w:val="clear" w:color="auto" w:fill="auto"/>
            <w:noWrap/>
            <w:vAlign w:val="bottom"/>
            <w:hideMark/>
          </w:tcPr>
          <w:p w14:paraId="7880EFBF"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0.345</w:t>
            </w:r>
          </w:p>
        </w:tc>
      </w:tr>
      <w:tr w:rsidR="004730B7" w:rsidRPr="004730B7" w14:paraId="37845EE1"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41E4A68F"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N_47</w:t>
            </w:r>
          </w:p>
        </w:tc>
        <w:tc>
          <w:tcPr>
            <w:tcW w:w="5060" w:type="dxa"/>
            <w:tcBorders>
              <w:top w:val="nil"/>
              <w:left w:val="nil"/>
              <w:bottom w:val="single" w:sz="4" w:space="0" w:color="auto"/>
              <w:right w:val="single" w:sz="4" w:space="0" w:color="auto"/>
            </w:tcBorders>
            <w:shd w:val="clear" w:color="auto" w:fill="auto"/>
            <w:noWrap/>
            <w:vAlign w:val="bottom"/>
            <w:hideMark/>
          </w:tcPr>
          <w:p w14:paraId="7BD691F7"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Duqueco 220-&gt;Los Varones 220</w:t>
            </w:r>
          </w:p>
        </w:tc>
        <w:tc>
          <w:tcPr>
            <w:tcW w:w="960" w:type="dxa"/>
            <w:tcBorders>
              <w:top w:val="nil"/>
              <w:left w:val="nil"/>
              <w:bottom w:val="single" w:sz="4" w:space="0" w:color="auto"/>
              <w:right w:val="single" w:sz="4" w:space="0" w:color="auto"/>
            </w:tcBorders>
            <w:shd w:val="clear" w:color="auto" w:fill="auto"/>
            <w:noWrap/>
            <w:vAlign w:val="bottom"/>
            <w:hideMark/>
          </w:tcPr>
          <w:p w14:paraId="71AA9EA6"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0.459</w:t>
            </w:r>
          </w:p>
        </w:tc>
        <w:tc>
          <w:tcPr>
            <w:tcW w:w="960" w:type="dxa"/>
            <w:tcBorders>
              <w:top w:val="nil"/>
              <w:left w:val="nil"/>
              <w:bottom w:val="single" w:sz="4" w:space="0" w:color="auto"/>
              <w:right w:val="single" w:sz="4" w:space="0" w:color="auto"/>
            </w:tcBorders>
            <w:shd w:val="clear" w:color="auto" w:fill="auto"/>
            <w:noWrap/>
            <w:vAlign w:val="bottom"/>
            <w:hideMark/>
          </w:tcPr>
          <w:p w14:paraId="39953221"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0.541</w:t>
            </w:r>
          </w:p>
        </w:tc>
        <w:tc>
          <w:tcPr>
            <w:tcW w:w="960" w:type="dxa"/>
            <w:tcBorders>
              <w:top w:val="nil"/>
              <w:left w:val="nil"/>
              <w:bottom w:val="single" w:sz="4" w:space="0" w:color="auto"/>
              <w:right w:val="single" w:sz="4" w:space="0" w:color="auto"/>
            </w:tcBorders>
            <w:shd w:val="clear" w:color="auto" w:fill="auto"/>
            <w:noWrap/>
            <w:vAlign w:val="bottom"/>
            <w:hideMark/>
          </w:tcPr>
          <w:p w14:paraId="2BB0DE27"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0.643</w:t>
            </w:r>
          </w:p>
        </w:tc>
        <w:tc>
          <w:tcPr>
            <w:tcW w:w="960" w:type="dxa"/>
            <w:tcBorders>
              <w:top w:val="nil"/>
              <w:left w:val="nil"/>
              <w:bottom w:val="single" w:sz="4" w:space="0" w:color="auto"/>
              <w:right w:val="single" w:sz="4" w:space="0" w:color="auto"/>
            </w:tcBorders>
            <w:shd w:val="clear" w:color="auto" w:fill="auto"/>
            <w:noWrap/>
            <w:vAlign w:val="bottom"/>
            <w:hideMark/>
          </w:tcPr>
          <w:p w14:paraId="3B47408E"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0.357</w:t>
            </w:r>
          </w:p>
        </w:tc>
      </w:tr>
      <w:tr w:rsidR="004730B7" w:rsidRPr="004730B7" w14:paraId="7BEB8E33"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6C38A8AA"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N_48</w:t>
            </w:r>
          </w:p>
        </w:tc>
        <w:tc>
          <w:tcPr>
            <w:tcW w:w="5060" w:type="dxa"/>
            <w:tcBorders>
              <w:top w:val="nil"/>
              <w:left w:val="nil"/>
              <w:bottom w:val="single" w:sz="4" w:space="0" w:color="auto"/>
              <w:right w:val="single" w:sz="4" w:space="0" w:color="auto"/>
            </w:tcBorders>
            <w:shd w:val="clear" w:color="auto" w:fill="auto"/>
            <w:noWrap/>
            <w:vAlign w:val="bottom"/>
            <w:hideMark/>
          </w:tcPr>
          <w:p w14:paraId="54AB742C"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El Cobre 220-&gt;Esperanza SING 220</w:t>
            </w:r>
          </w:p>
        </w:tc>
        <w:tc>
          <w:tcPr>
            <w:tcW w:w="960" w:type="dxa"/>
            <w:tcBorders>
              <w:top w:val="nil"/>
              <w:left w:val="nil"/>
              <w:bottom w:val="single" w:sz="4" w:space="0" w:color="auto"/>
              <w:right w:val="single" w:sz="4" w:space="0" w:color="auto"/>
            </w:tcBorders>
            <w:shd w:val="clear" w:color="auto" w:fill="auto"/>
            <w:noWrap/>
            <w:vAlign w:val="bottom"/>
            <w:hideMark/>
          </w:tcPr>
          <w:p w14:paraId="5094A3E9"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0.126</w:t>
            </w:r>
          </w:p>
        </w:tc>
        <w:tc>
          <w:tcPr>
            <w:tcW w:w="960" w:type="dxa"/>
            <w:tcBorders>
              <w:top w:val="nil"/>
              <w:left w:val="nil"/>
              <w:bottom w:val="single" w:sz="4" w:space="0" w:color="auto"/>
              <w:right w:val="single" w:sz="4" w:space="0" w:color="auto"/>
            </w:tcBorders>
            <w:shd w:val="clear" w:color="auto" w:fill="auto"/>
            <w:noWrap/>
            <w:vAlign w:val="bottom"/>
            <w:hideMark/>
          </w:tcPr>
          <w:p w14:paraId="7160F902"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0.874</w:t>
            </w:r>
          </w:p>
        </w:tc>
        <w:tc>
          <w:tcPr>
            <w:tcW w:w="960" w:type="dxa"/>
            <w:tcBorders>
              <w:top w:val="nil"/>
              <w:left w:val="nil"/>
              <w:bottom w:val="single" w:sz="4" w:space="0" w:color="auto"/>
              <w:right w:val="single" w:sz="4" w:space="0" w:color="auto"/>
            </w:tcBorders>
            <w:shd w:val="clear" w:color="auto" w:fill="auto"/>
            <w:noWrap/>
            <w:vAlign w:val="bottom"/>
            <w:hideMark/>
          </w:tcPr>
          <w:p w14:paraId="303DB9FD"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0.137</w:t>
            </w:r>
          </w:p>
        </w:tc>
        <w:tc>
          <w:tcPr>
            <w:tcW w:w="960" w:type="dxa"/>
            <w:tcBorders>
              <w:top w:val="nil"/>
              <w:left w:val="nil"/>
              <w:bottom w:val="single" w:sz="4" w:space="0" w:color="auto"/>
              <w:right w:val="single" w:sz="4" w:space="0" w:color="auto"/>
            </w:tcBorders>
            <w:shd w:val="clear" w:color="auto" w:fill="auto"/>
            <w:noWrap/>
            <w:vAlign w:val="bottom"/>
            <w:hideMark/>
          </w:tcPr>
          <w:p w14:paraId="4B14E6EA"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0.863</w:t>
            </w:r>
          </w:p>
        </w:tc>
      </w:tr>
      <w:tr w:rsidR="004730B7" w:rsidRPr="004730B7" w14:paraId="34E5D433"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16BB29A6"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N_49</w:t>
            </w:r>
          </w:p>
        </w:tc>
        <w:tc>
          <w:tcPr>
            <w:tcW w:w="5060" w:type="dxa"/>
            <w:tcBorders>
              <w:top w:val="nil"/>
              <w:left w:val="nil"/>
              <w:bottom w:val="single" w:sz="4" w:space="0" w:color="auto"/>
              <w:right w:val="single" w:sz="4" w:space="0" w:color="auto"/>
            </w:tcBorders>
            <w:shd w:val="clear" w:color="auto" w:fill="auto"/>
            <w:noWrap/>
            <w:vAlign w:val="bottom"/>
            <w:hideMark/>
          </w:tcPr>
          <w:p w14:paraId="2539872B"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El Rosal 220-&gt;Los Varones 220</w:t>
            </w:r>
          </w:p>
        </w:tc>
        <w:tc>
          <w:tcPr>
            <w:tcW w:w="960" w:type="dxa"/>
            <w:tcBorders>
              <w:top w:val="nil"/>
              <w:left w:val="nil"/>
              <w:bottom w:val="single" w:sz="4" w:space="0" w:color="auto"/>
              <w:right w:val="single" w:sz="4" w:space="0" w:color="auto"/>
            </w:tcBorders>
            <w:shd w:val="clear" w:color="auto" w:fill="auto"/>
            <w:noWrap/>
            <w:vAlign w:val="bottom"/>
            <w:hideMark/>
          </w:tcPr>
          <w:p w14:paraId="2B034980"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0.317</w:t>
            </w:r>
          </w:p>
        </w:tc>
        <w:tc>
          <w:tcPr>
            <w:tcW w:w="960" w:type="dxa"/>
            <w:tcBorders>
              <w:top w:val="nil"/>
              <w:left w:val="nil"/>
              <w:bottom w:val="single" w:sz="4" w:space="0" w:color="auto"/>
              <w:right w:val="single" w:sz="4" w:space="0" w:color="auto"/>
            </w:tcBorders>
            <w:shd w:val="clear" w:color="auto" w:fill="auto"/>
            <w:noWrap/>
            <w:vAlign w:val="bottom"/>
            <w:hideMark/>
          </w:tcPr>
          <w:p w14:paraId="382774EA"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0.683</w:t>
            </w:r>
          </w:p>
        </w:tc>
        <w:tc>
          <w:tcPr>
            <w:tcW w:w="960" w:type="dxa"/>
            <w:tcBorders>
              <w:top w:val="nil"/>
              <w:left w:val="nil"/>
              <w:bottom w:val="single" w:sz="4" w:space="0" w:color="auto"/>
              <w:right w:val="single" w:sz="4" w:space="0" w:color="auto"/>
            </w:tcBorders>
            <w:shd w:val="clear" w:color="auto" w:fill="auto"/>
            <w:noWrap/>
            <w:vAlign w:val="bottom"/>
            <w:hideMark/>
          </w:tcPr>
          <w:p w14:paraId="5CBCFE70"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0.469</w:t>
            </w:r>
          </w:p>
        </w:tc>
        <w:tc>
          <w:tcPr>
            <w:tcW w:w="960" w:type="dxa"/>
            <w:tcBorders>
              <w:top w:val="nil"/>
              <w:left w:val="nil"/>
              <w:bottom w:val="single" w:sz="4" w:space="0" w:color="auto"/>
              <w:right w:val="single" w:sz="4" w:space="0" w:color="auto"/>
            </w:tcBorders>
            <w:shd w:val="clear" w:color="auto" w:fill="auto"/>
            <w:noWrap/>
            <w:vAlign w:val="bottom"/>
            <w:hideMark/>
          </w:tcPr>
          <w:p w14:paraId="5979E8D3"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0.531</w:t>
            </w:r>
          </w:p>
        </w:tc>
      </w:tr>
      <w:tr w:rsidR="004730B7" w:rsidRPr="004730B7" w14:paraId="214A8085"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700A716E"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N_50</w:t>
            </w:r>
          </w:p>
        </w:tc>
        <w:tc>
          <w:tcPr>
            <w:tcW w:w="5060" w:type="dxa"/>
            <w:tcBorders>
              <w:top w:val="nil"/>
              <w:left w:val="nil"/>
              <w:bottom w:val="single" w:sz="4" w:space="0" w:color="auto"/>
              <w:right w:val="single" w:sz="4" w:space="0" w:color="auto"/>
            </w:tcBorders>
            <w:shd w:val="clear" w:color="auto" w:fill="auto"/>
            <w:noWrap/>
            <w:vAlign w:val="bottom"/>
            <w:hideMark/>
          </w:tcPr>
          <w:p w14:paraId="5BAE7F0C"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El Salto 220-&gt;Tap Chicureo 220</w:t>
            </w:r>
          </w:p>
        </w:tc>
        <w:tc>
          <w:tcPr>
            <w:tcW w:w="960" w:type="dxa"/>
            <w:tcBorders>
              <w:top w:val="nil"/>
              <w:left w:val="nil"/>
              <w:bottom w:val="single" w:sz="4" w:space="0" w:color="auto"/>
              <w:right w:val="single" w:sz="4" w:space="0" w:color="auto"/>
            </w:tcBorders>
            <w:shd w:val="clear" w:color="auto" w:fill="auto"/>
            <w:noWrap/>
            <w:vAlign w:val="bottom"/>
            <w:hideMark/>
          </w:tcPr>
          <w:p w14:paraId="504CD363"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0.172</w:t>
            </w:r>
          </w:p>
        </w:tc>
        <w:tc>
          <w:tcPr>
            <w:tcW w:w="960" w:type="dxa"/>
            <w:tcBorders>
              <w:top w:val="nil"/>
              <w:left w:val="nil"/>
              <w:bottom w:val="single" w:sz="4" w:space="0" w:color="auto"/>
              <w:right w:val="single" w:sz="4" w:space="0" w:color="auto"/>
            </w:tcBorders>
            <w:shd w:val="clear" w:color="auto" w:fill="auto"/>
            <w:noWrap/>
            <w:vAlign w:val="bottom"/>
            <w:hideMark/>
          </w:tcPr>
          <w:p w14:paraId="2E56699D"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0.828</w:t>
            </w:r>
          </w:p>
        </w:tc>
        <w:tc>
          <w:tcPr>
            <w:tcW w:w="960" w:type="dxa"/>
            <w:tcBorders>
              <w:top w:val="nil"/>
              <w:left w:val="nil"/>
              <w:bottom w:val="single" w:sz="4" w:space="0" w:color="auto"/>
              <w:right w:val="single" w:sz="4" w:space="0" w:color="auto"/>
            </w:tcBorders>
            <w:shd w:val="clear" w:color="auto" w:fill="auto"/>
            <w:noWrap/>
            <w:vAlign w:val="bottom"/>
            <w:hideMark/>
          </w:tcPr>
          <w:p w14:paraId="441E6E0C"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0.184</w:t>
            </w:r>
          </w:p>
        </w:tc>
        <w:tc>
          <w:tcPr>
            <w:tcW w:w="960" w:type="dxa"/>
            <w:tcBorders>
              <w:top w:val="nil"/>
              <w:left w:val="nil"/>
              <w:bottom w:val="single" w:sz="4" w:space="0" w:color="auto"/>
              <w:right w:val="single" w:sz="4" w:space="0" w:color="auto"/>
            </w:tcBorders>
            <w:shd w:val="clear" w:color="auto" w:fill="auto"/>
            <w:noWrap/>
            <w:vAlign w:val="bottom"/>
            <w:hideMark/>
          </w:tcPr>
          <w:p w14:paraId="5E709D2C"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0.816</w:t>
            </w:r>
          </w:p>
        </w:tc>
      </w:tr>
      <w:tr w:rsidR="004730B7" w:rsidRPr="004730B7" w14:paraId="0E1AB3F3"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4231387F"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N_51</w:t>
            </w:r>
          </w:p>
        </w:tc>
        <w:tc>
          <w:tcPr>
            <w:tcW w:w="5060" w:type="dxa"/>
            <w:tcBorders>
              <w:top w:val="nil"/>
              <w:left w:val="nil"/>
              <w:bottom w:val="single" w:sz="4" w:space="0" w:color="auto"/>
              <w:right w:val="single" w:sz="4" w:space="0" w:color="auto"/>
            </w:tcBorders>
            <w:shd w:val="clear" w:color="auto" w:fill="auto"/>
            <w:noWrap/>
            <w:vAlign w:val="bottom"/>
            <w:hideMark/>
          </w:tcPr>
          <w:p w14:paraId="7551333B"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Encuentro 220-&gt;Kimal 220</w:t>
            </w:r>
          </w:p>
        </w:tc>
        <w:tc>
          <w:tcPr>
            <w:tcW w:w="960" w:type="dxa"/>
            <w:tcBorders>
              <w:top w:val="nil"/>
              <w:left w:val="nil"/>
              <w:bottom w:val="single" w:sz="4" w:space="0" w:color="auto"/>
              <w:right w:val="single" w:sz="4" w:space="0" w:color="auto"/>
            </w:tcBorders>
            <w:shd w:val="clear" w:color="auto" w:fill="auto"/>
            <w:noWrap/>
            <w:vAlign w:val="bottom"/>
            <w:hideMark/>
          </w:tcPr>
          <w:p w14:paraId="47274922"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0.243</w:t>
            </w:r>
          </w:p>
        </w:tc>
        <w:tc>
          <w:tcPr>
            <w:tcW w:w="960" w:type="dxa"/>
            <w:tcBorders>
              <w:top w:val="nil"/>
              <w:left w:val="nil"/>
              <w:bottom w:val="single" w:sz="4" w:space="0" w:color="auto"/>
              <w:right w:val="single" w:sz="4" w:space="0" w:color="auto"/>
            </w:tcBorders>
            <w:shd w:val="clear" w:color="auto" w:fill="auto"/>
            <w:noWrap/>
            <w:vAlign w:val="bottom"/>
            <w:hideMark/>
          </w:tcPr>
          <w:p w14:paraId="492D6A01"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0.757</w:t>
            </w:r>
          </w:p>
        </w:tc>
        <w:tc>
          <w:tcPr>
            <w:tcW w:w="960" w:type="dxa"/>
            <w:tcBorders>
              <w:top w:val="nil"/>
              <w:left w:val="nil"/>
              <w:bottom w:val="single" w:sz="4" w:space="0" w:color="auto"/>
              <w:right w:val="single" w:sz="4" w:space="0" w:color="auto"/>
            </w:tcBorders>
            <w:shd w:val="clear" w:color="auto" w:fill="auto"/>
            <w:noWrap/>
            <w:vAlign w:val="bottom"/>
            <w:hideMark/>
          </w:tcPr>
          <w:p w14:paraId="6E487B3B"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0.323</w:t>
            </w:r>
          </w:p>
        </w:tc>
        <w:tc>
          <w:tcPr>
            <w:tcW w:w="960" w:type="dxa"/>
            <w:tcBorders>
              <w:top w:val="nil"/>
              <w:left w:val="nil"/>
              <w:bottom w:val="single" w:sz="4" w:space="0" w:color="auto"/>
              <w:right w:val="single" w:sz="4" w:space="0" w:color="auto"/>
            </w:tcBorders>
            <w:shd w:val="clear" w:color="auto" w:fill="auto"/>
            <w:noWrap/>
            <w:vAlign w:val="bottom"/>
            <w:hideMark/>
          </w:tcPr>
          <w:p w14:paraId="6DAC8296"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0.677</w:t>
            </w:r>
          </w:p>
        </w:tc>
      </w:tr>
      <w:tr w:rsidR="004730B7" w:rsidRPr="004730B7" w14:paraId="275BECEF"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317623B5"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N_52</w:t>
            </w:r>
          </w:p>
        </w:tc>
        <w:tc>
          <w:tcPr>
            <w:tcW w:w="5060" w:type="dxa"/>
            <w:tcBorders>
              <w:top w:val="nil"/>
              <w:left w:val="nil"/>
              <w:bottom w:val="single" w:sz="4" w:space="0" w:color="auto"/>
              <w:right w:val="single" w:sz="4" w:space="0" w:color="auto"/>
            </w:tcBorders>
            <w:shd w:val="clear" w:color="auto" w:fill="auto"/>
            <w:noWrap/>
            <w:vAlign w:val="bottom"/>
            <w:hideMark/>
          </w:tcPr>
          <w:p w14:paraId="1C449399"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Encuentro 220-&gt;Miraje 220</w:t>
            </w:r>
          </w:p>
        </w:tc>
        <w:tc>
          <w:tcPr>
            <w:tcW w:w="960" w:type="dxa"/>
            <w:tcBorders>
              <w:top w:val="nil"/>
              <w:left w:val="nil"/>
              <w:bottom w:val="single" w:sz="4" w:space="0" w:color="auto"/>
              <w:right w:val="single" w:sz="4" w:space="0" w:color="auto"/>
            </w:tcBorders>
            <w:shd w:val="clear" w:color="auto" w:fill="auto"/>
            <w:noWrap/>
            <w:vAlign w:val="bottom"/>
            <w:hideMark/>
          </w:tcPr>
          <w:p w14:paraId="0DDF1AF1"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0.128</w:t>
            </w:r>
          </w:p>
        </w:tc>
        <w:tc>
          <w:tcPr>
            <w:tcW w:w="960" w:type="dxa"/>
            <w:tcBorders>
              <w:top w:val="nil"/>
              <w:left w:val="nil"/>
              <w:bottom w:val="single" w:sz="4" w:space="0" w:color="auto"/>
              <w:right w:val="single" w:sz="4" w:space="0" w:color="auto"/>
            </w:tcBorders>
            <w:shd w:val="clear" w:color="auto" w:fill="auto"/>
            <w:noWrap/>
            <w:vAlign w:val="bottom"/>
            <w:hideMark/>
          </w:tcPr>
          <w:p w14:paraId="43195888"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0.872</w:t>
            </w:r>
          </w:p>
        </w:tc>
        <w:tc>
          <w:tcPr>
            <w:tcW w:w="960" w:type="dxa"/>
            <w:tcBorders>
              <w:top w:val="nil"/>
              <w:left w:val="nil"/>
              <w:bottom w:val="single" w:sz="4" w:space="0" w:color="auto"/>
              <w:right w:val="single" w:sz="4" w:space="0" w:color="auto"/>
            </w:tcBorders>
            <w:shd w:val="clear" w:color="auto" w:fill="auto"/>
            <w:noWrap/>
            <w:vAlign w:val="bottom"/>
            <w:hideMark/>
          </w:tcPr>
          <w:p w14:paraId="3E663019"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0.177</w:t>
            </w:r>
          </w:p>
        </w:tc>
        <w:tc>
          <w:tcPr>
            <w:tcW w:w="960" w:type="dxa"/>
            <w:tcBorders>
              <w:top w:val="nil"/>
              <w:left w:val="nil"/>
              <w:bottom w:val="single" w:sz="4" w:space="0" w:color="auto"/>
              <w:right w:val="single" w:sz="4" w:space="0" w:color="auto"/>
            </w:tcBorders>
            <w:shd w:val="clear" w:color="auto" w:fill="auto"/>
            <w:noWrap/>
            <w:vAlign w:val="bottom"/>
            <w:hideMark/>
          </w:tcPr>
          <w:p w14:paraId="71500EFD"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0.823</w:t>
            </w:r>
          </w:p>
        </w:tc>
      </w:tr>
      <w:tr w:rsidR="004730B7" w:rsidRPr="004730B7" w14:paraId="176FD693"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0C9D4B65"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N_53</w:t>
            </w:r>
          </w:p>
        </w:tc>
        <w:tc>
          <w:tcPr>
            <w:tcW w:w="5060" w:type="dxa"/>
            <w:tcBorders>
              <w:top w:val="nil"/>
              <w:left w:val="nil"/>
              <w:bottom w:val="single" w:sz="4" w:space="0" w:color="auto"/>
              <w:right w:val="single" w:sz="4" w:space="0" w:color="auto"/>
            </w:tcBorders>
            <w:shd w:val="clear" w:color="auto" w:fill="auto"/>
            <w:noWrap/>
            <w:vAlign w:val="bottom"/>
            <w:hideMark/>
          </w:tcPr>
          <w:p w14:paraId="09620882"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Encuentro 220-&gt;Tap off Sierra Gorda Eolico 220</w:t>
            </w:r>
          </w:p>
        </w:tc>
        <w:tc>
          <w:tcPr>
            <w:tcW w:w="960" w:type="dxa"/>
            <w:tcBorders>
              <w:top w:val="nil"/>
              <w:left w:val="nil"/>
              <w:bottom w:val="single" w:sz="4" w:space="0" w:color="auto"/>
              <w:right w:val="single" w:sz="4" w:space="0" w:color="auto"/>
            </w:tcBorders>
            <w:shd w:val="clear" w:color="auto" w:fill="auto"/>
            <w:noWrap/>
            <w:vAlign w:val="bottom"/>
            <w:hideMark/>
          </w:tcPr>
          <w:p w14:paraId="10ED1A27"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0.123</w:t>
            </w:r>
          </w:p>
        </w:tc>
        <w:tc>
          <w:tcPr>
            <w:tcW w:w="960" w:type="dxa"/>
            <w:tcBorders>
              <w:top w:val="nil"/>
              <w:left w:val="nil"/>
              <w:bottom w:val="single" w:sz="4" w:space="0" w:color="auto"/>
              <w:right w:val="single" w:sz="4" w:space="0" w:color="auto"/>
            </w:tcBorders>
            <w:shd w:val="clear" w:color="auto" w:fill="auto"/>
            <w:noWrap/>
            <w:vAlign w:val="bottom"/>
            <w:hideMark/>
          </w:tcPr>
          <w:p w14:paraId="7311031C"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0.877</w:t>
            </w:r>
          </w:p>
        </w:tc>
        <w:tc>
          <w:tcPr>
            <w:tcW w:w="960" w:type="dxa"/>
            <w:tcBorders>
              <w:top w:val="nil"/>
              <w:left w:val="nil"/>
              <w:bottom w:val="single" w:sz="4" w:space="0" w:color="auto"/>
              <w:right w:val="single" w:sz="4" w:space="0" w:color="auto"/>
            </w:tcBorders>
            <w:shd w:val="clear" w:color="auto" w:fill="auto"/>
            <w:noWrap/>
            <w:vAlign w:val="bottom"/>
            <w:hideMark/>
          </w:tcPr>
          <w:p w14:paraId="6EB14B2C"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0.134</w:t>
            </w:r>
          </w:p>
        </w:tc>
        <w:tc>
          <w:tcPr>
            <w:tcW w:w="960" w:type="dxa"/>
            <w:tcBorders>
              <w:top w:val="nil"/>
              <w:left w:val="nil"/>
              <w:bottom w:val="single" w:sz="4" w:space="0" w:color="auto"/>
              <w:right w:val="single" w:sz="4" w:space="0" w:color="auto"/>
            </w:tcBorders>
            <w:shd w:val="clear" w:color="auto" w:fill="auto"/>
            <w:noWrap/>
            <w:vAlign w:val="bottom"/>
            <w:hideMark/>
          </w:tcPr>
          <w:p w14:paraId="229DB685"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0.866</w:t>
            </w:r>
          </w:p>
        </w:tc>
      </w:tr>
      <w:tr w:rsidR="004730B7" w:rsidRPr="004730B7" w14:paraId="4D67E6AF"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3887791B"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N_54</w:t>
            </w:r>
          </w:p>
        </w:tc>
        <w:tc>
          <w:tcPr>
            <w:tcW w:w="5060" w:type="dxa"/>
            <w:tcBorders>
              <w:top w:val="nil"/>
              <w:left w:val="nil"/>
              <w:bottom w:val="single" w:sz="4" w:space="0" w:color="auto"/>
              <w:right w:val="single" w:sz="4" w:space="0" w:color="auto"/>
            </w:tcBorders>
            <w:shd w:val="clear" w:color="auto" w:fill="auto"/>
            <w:noWrap/>
            <w:vAlign w:val="bottom"/>
            <w:hideMark/>
          </w:tcPr>
          <w:p w14:paraId="403DC106"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Esperanza SING 220-&gt;Centinela 220</w:t>
            </w:r>
          </w:p>
        </w:tc>
        <w:tc>
          <w:tcPr>
            <w:tcW w:w="960" w:type="dxa"/>
            <w:tcBorders>
              <w:top w:val="nil"/>
              <w:left w:val="nil"/>
              <w:bottom w:val="single" w:sz="4" w:space="0" w:color="auto"/>
              <w:right w:val="single" w:sz="4" w:space="0" w:color="auto"/>
            </w:tcBorders>
            <w:shd w:val="clear" w:color="auto" w:fill="auto"/>
            <w:noWrap/>
            <w:vAlign w:val="bottom"/>
            <w:hideMark/>
          </w:tcPr>
          <w:p w14:paraId="1C22D035"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0.194</w:t>
            </w:r>
          </w:p>
        </w:tc>
        <w:tc>
          <w:tcPr>
            <w:tcW w:w="960" w:type="dxa"/>
            <w:tcBorders>
              <w:top w:val="nil"/>
              <w:left w:val="nil"/>
              <w:bottom w:val="single" w:sz="4" w:space="0" w:color="auto"/>
              <w:right w:val="single" w:sz="4" w:space="0" w:color="auto"/>
            </w:tcBorders>
            <w:shd w:val="clear" w:color="auto" w:fill="auto"/>
            <w:noWrap/>
            <w:vAlign w:val="bottom"/>
            <w:hideMark/>
          </w:tcPr>
          <w:p w14:paraId="7E9A5099"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0.806</w:t>
            </w:r>
          </w:p>
        </w:tc>
        <w:tc>
          <w:tcPr>
            <w:tcW w:w="960" w:type="dxa"/>
            <w:tcBorders>
              <w:top w:val="nil"/>
              <w:left w:val="nil"/>
              <w:bottom w:val="single" w:sz="4" w:space="0" w:color="auto"/>
              <w:right w:val="single" w:sz="4" w:space="0" w:color="auto"/>
            </w:tcBorders>
            <w:shd w:val="clear" w:color="auto" w:fill="auto"/>
            <w:noWrap/>
            <w:vAlign w:val="bottom"/>
            <w:hideMark/>
          </w:tcPr>
          <w:p w14:paraId="01130B80"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0.215</w:t>
            </w:r>
          </w:p>
        </w:tc>
        <w:tc>
          <w:tcPr>
            <w:tcW w:w="960" w:type="dxa"/>
            <w:tcBorders>
              <w:top w:val="nil"/>
              <w:left w:val="nil"/>
              <w:bottom w:val="single" w:sz="4" w:space="0" w:color="auto"/>
              <w:right w:val="single" w:sz="4" w:space="0" w:color="auto"/>
            </w:tcBorders>
            <w:shd w:val="clear" w:color="auto" w:fill="auto"/>
            <w:noWrap/>
            <w:vAlign w:val="bottom"/>
            <w:hideMark/>
          </w:tcPr>
          <w:p w14:paraId="52ACE206"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0.785</w:t>
            </w:r>
          </w:p>
        </w:tc>
      </w:tr>
      <w:tr w:rsidR="004730B7" w:rsidRPr="004730B7" w14:paraId="1A430459"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26099919"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N_55</w:t>
            </w:r>
          </w:p>
        </w:tc>
        <w:tc>
          <w:tcPr>
            <w:tcW w:w="5060" w:type="dxa"/>
            <w:tcBorders>
              <w:top w:val="nil"/>
              <w:left w:val="nil"/>
              <w:bottom w:val="single" w:sz="4" w:space="0" w:color="auto"/>
              <w:right w:val="single" w:sz="4" w:space="0" w:color="auto"/>
            </w:tcBorders>
            <w:shd w:val="clear" w:color="auto" w:fill="auto"/>
            <w:noWrap/>
            <w:vAlign w:val="bottom"/>
            <w:hideMark/>
          </w:tcPr>
          <w:p w14:paraId="59431F89"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Hualpen 220-&gt;Guindo 220</w:t>
            </w:r>
          </w:p>
        </w:tc>
        <w:tc>
          <w:tcPr>
            <w:tcW w:w="960" w:type="dxa"/>
            <w:tcBorders>
              <w:top w:val="nil"/>
              <w:left w:val="nil"/>
              <w:bottom w:val="single" w:sz="4" w:space="0" w:color="auto"/>
              <w:right w:val="single" w:sz="4" w:space="0" w:color="auto"/>
            </w:tcBorders>
            <w:shd w:val="clear" w:color="auto" w:fill="auto"/>
            <w:noWrap/>
            <w:vAlign w:val="bottom"/>
            <w:hideMark/>
          </w:tcPr>
          <w:p w14:paraId="7F1DA13C"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0.474</w:t>
            </w:r>
          </w:p>
        </w:tc>
        <w:tc>
          <w:tcPr>
            <w:tcW w:w="960" w:type="dxa"/>
            <w:tcBorders>
              <w:top w:val="nil"/>
              <w:left w:val="nil"/>
              <w:bottom w:val="single" w:sz="4" w:space="0" w:color="auto"/>
              <w:right w:val="single" w:sz="4" w:space="0" w:color="auto"/>
            </w:tcBorders>
            <w:shd w:val="clear" w:color="auto" w:fill="auto"/>
            <w:noWrap/>
            <w:vAlign w:val="bottom"/>
            <w:hideMark/>
          </w:tcPr>
          <w:p w14:paraId="2EBF6C2A"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0.526</w:t>
            </w:r>
          </w:p>
        </w:tc>
        <w:tc>
          <w:tcPr>
            <w:tcW w:w="960" w:type="dxa"/>
            <w:tcBorders>
              <w:top w:val="nil"/>
              <w:left w:val="nil"/>
              <w:bottom w:val="single" w:sz="4" w:space="0" w:color="auto"/>
              <w:right w:val="single" w:sz="4" w:space="0" w:color="auto"/>
            </w:tcBorders>
            <w:shd w:val="clear" w:color="auto" w:fill="auto"/>
            <w:noWrap/>
            <w:vAlign w:val="bottom"/>
            <w:hideMark/>
          </w:tcPr>
          <w:p w14:paraId="00A55A5C"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0.665</w:t>
            </w:r>
          </w:p>
        </w:tc>
        <w:tc>
          <w:tcPr>
            <w:tcW w:w="960" w:type="dxa"/>
            <w:tcBorders>
              <w:top w:val="nil"/>
              <w:left w:val="nil"/>
              <w:bottom w:val="single" w:sz="4" w:space="0" w:color="auto"/>
              <w:right w:val="single" w:sz="4" w:space="0" w:color="auto"/>
            </w:tcBorders>
            <w:shd w:val="clear" w:color="auto" w:fill="auto"/>
            <w:noWrap/>
            <w:vAlign w:val="bottom"/>
            <w:hideMark/>
          </w:tcPr>
          <w:p w14:paraId="62881964"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0.335</w:t>
            </w:r>
          </w:p>
        </w:tc>
      </w:tr>
      <w:tr w:rsidR="004730B7" w:rsidRPr="004730B7" w14:paraId="34798ABB"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180A824E"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N_56</w:t>
            </w:r>
          </w:p>
        </w:tc>
        <w:tc>
          <w:tcPr>
            <w:tcW w:w="5060" w:type="dxa"/>
            <w:tcBorders>
              <w:top w:val="nil"/>
              <w:left w:val="nil"/>
              <w:bottom w:val="single" w:sz="4" w:space="0" w:color="auto"/>
              <w:right w:val="single" w:sz="4" w:space="0" w:color="auto"/>
            </w:tcBorders>
            <w:shd w:val="clear" w:color="auto" w:fill="auto"/>
            <w:noWrap/>
            <w:vAlign w:val="bottom"/>
            <w:hideMark/>
          </w:tcPr>
          <w:p w14:paraId="6635B81C"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Hualpen 220-&gt;Trebol 220</w:t>
            </w:r>
          </w:p>
        </w:tc>
        <w:tc>
          <w:tcPr>
            <w:tcW w:w="960" w:type="dxa"/>
            <w:tcBorders>
              <w:top w:val="nil"/>
              <w:left w:val="nil"/>
              <w:bottom w:val="single" w:sz="4" w:space="0" w:color="auto"/>
              <w:right w:val="single" w:sz="4" w:space="0" w:color="auto"/>
            </w:tcBorders>
            <w:shd w:val="clear" w:color="auto" w:fill="auto"/>
            <w:noWrap/>
            <w:vAlign w:val="bottom"/>
            <w:hideMark/>
          </w:tcPr>
          <w:p w14:paraId="35E4F8D8"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0.458</w:t>
            </w:r>
          </w:p>
        </w:tc>
        <w:tc>
          <w:tcPr>
            <w:tcW w:w="960" w:type="dxa"/>
            <w:tcBorders>
              <w:top w:val="nil"/>
              <w:left w:val="nil"/>
              <w:bottom w:val="single" w:sz="4" w:space="0" w:color="auto"/>
              <w:right w:val="single" w:sz="4" w:space="0" w:color="auto"/>
            </w:tcBorders>
            <w:shd w:val="clear" w:color="auto" w:fill="auto"/>
            <w:noWrap/>
            <w:vAlign w:val="bottom"/>
            <w:hideMark/>
          </w:tcPr>
          <w:p w14:paraId="2C2B34D0"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0.542</w:t>
            </w:r>
          </w:p>
        </w:tc>
        <w:tc>
          <w:tcPr>
            <w:tcW w:w="960" w:type="dxa"/>
            <w:tcBorders>
              <w:top w:val="nil"/>
              <w:left w:val="nil"/>
              <w:bottom w:val="single" w:sz="4" w:space="0" w:color="auto"/>
              <w:right w:val="single" w:sz="4" w:space="0" w:color="auto"/>
            </w:tcBorders>
            <w:shd w:val="clear" w:color="auto" w:fill="auto"/>
            <w:noWrap/>
            <w:vAlign w:val="bottom"/>
            <w:hideMark/>
          </w:tcPr>
          <w:p w14:paraId="1095C7D6"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0.631</w:t>
            </w:r>
          </w:p>
        </w:tc>
        <w:tc>
          <w:tcPr>
            <w:tcW w:w="960" w:type="dxa"/>
            <w:tcBorders>
              <w:top w:val="nil"/>
              <w:left w:val="nil"/>
              <w:bottom w:val="single" w:sz="4" w:space="0" w:color="auto"/>
              <w:right w:val="single" w:sz="4" w:space="0" w:color="auto"/>
            </w:tcBorders>
            <w:shd w:val="clear" w:color="auto" w:fill="auto"/>
            <w:noWrap/>
            <w:vAlign w:val="bottom"/>
            <w:hideMark/>
          </w:tcPr>
          <w:p w14:paraId="5D202007"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0.369</w:t>
            </w:r>
          </w:p>
        </w:tc>
      </w:tr>
      <w:tr w:rsidR="004730B7" w:rsidRPr="004730B7" w14:paraId="0CED9EFD"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35CBE7C6"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N_57</w:t>
            </w:r>
          </w:p>
        </w:tc>
        <w:tc>
          <w:tcPr>
            <w:tcW w:w="5060" w:type="dxa"/>
            <w:tcBorders>
              <w:top w:val="nil"/>
              <w:left w:val="nil"/>
              <w:bottom w:val="single" w:sz="4" w:space="0" w:color="auto"/>
              <w:right w:val="single" w:sz="4" w:space="0" w:color="auto"/>
            </w:tcBorders>
            <w:shd w:val="clear" w:color="auto" w:fill="auto"/>
            <w:noWrap/>
            <w:vAlign w:val="bottom"/>
            <w:hideMark/>
          </w:tcPr>
          <w:p w14:paraId="6A87677A"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Kapatur 220-&gt;Los Changos 220</w:t>
            </w:r>
          </w:p>
        </w:tc>
        <w:tc>
          <w:tcPr>
            <w:tcW w:w="960" w:type="dxa"/>
            <w:tcBorders>
              <w:top w:val="nil"/>
              <w:left w:val="nil"/>
              <w:bottom w:val="single" w:sz="4" w:space="0" w:color="auto"/>
              <w:right w:val="single" w:sz="4" w:space="0" w:color="auto"/>
            </w:tcBorders>
            <w:shd w:val="clear" w:color="auto" w:fill="auto"/>
            <w:noWrap/>
            <w:vAlign w:val="bottom"/>
            <w:hideMark/>
          </w:tcPr>
          <w:p w14:paraId="67999746"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0A4D3E1C"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50547E4E"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547E50C6"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0.000</w:t>
            </w:r>
          </w:p>
        </w:tc>
      </w:tr>
      <w:tr w:rsidR="004730B7" w:rsidRPr="004730B7" w14:paraId="2C401134"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12F90856"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N_58</w:t>
            </w:r>
          </w:p>
        </w:tc>
        <w:tc>
          <w:tcPr>
            <w:tcW w:w="5060" w:type="dxa"/>
            <w:tcBorders>
              <w:top w:val="nil"/>
              <w:left w:val="nil"/>
              <w:bottom w:val="single" w:sz="4" w:space="0" w:color="auto"/>
              <w:right w:val="single" w:sz="4" w:space="0" w:color="auto"/>
            </w:tcBorders>
            <w:shd w:val="clear" w:color="auto" w:fill="auto"/>
            <w:noWrap/>
            <w:vAlign w:val="bottom"/>
            <w:hideMark/>
          </w:tcPr>
          <w:p w14:paraId="76C17619"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Kimal 220-&gt;Nueva Chuquicamata 220</w:t>
            </w:r>
          </w:p>
        </w:tc>
        <w:tc>
          <w:tcPr>
            <w:tcW w:w="960" w:type="dxa"/>
            <w:tcBorders>
              <w:top w:val="nil"/>
              <w:left w:val="nil"/>
              <w:bottom w:val="single" w:sz="4" w:space="0" w:color="auto"/>
              <w:right w:val="single" w:sz="4" w:space="0" w:color="auto"/>
            </w:tcBorders>
            <w:shd w:val="clear" w:color="auto" w:fill="auto"/>
            <w:noWrap/>
            <w:vAlign w:val="bottom"/>
            <w:hideMark/>
          </w:tcPr>
          <w:p w14:paraId="76DC9963"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0.395</w:t>
            </w:r>
          </w:p>
        </w:tc>
        <w:tc>
          <w:tcPr>
            <w:tcW w:w="960" w:type="dxa"/>
            <w:tcBorders>
              <w:top w:val="nil"/>
              <w:left w:val="nil"/>
              <w:bottom w:val="single" w:sz="4" w:space="0" w:color="auto"/>
              <w:right w:val="single" w:sz="4" w:space="0" w:color="auto"/>
            </w:tcBorders>
            <w:shd w:val="clear" w:color="auto" w:fill="auto"/>
            <w:noWrap/>
            <w:vAlign w:val="bottom"/>
            <w:hideMark/>
          </w:tcPr>
          <w:p w14:paraId="07F551FF"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0.605</w:t>
            </w:r>
          </w:p>
        </w:tc>
        <w:tc>
          <w:tcPr>
            <w:tcW w:w="960" w:type="dxa"/>
            <w:tcBorders>
              <w:top w:val="nil"/>
              <w:left w:val="nil"/>
              <w:bottom w:val="single" w:sz="4" w:space="0" w:color="auto"/>
              <w:right w:val="single" w:sz="4" w:space="0" w:color="auto"/>
            </w:tcBorders>
            <w:shd w:val="clear" w:color="auto" w:fill="auto"/>
            <w:noWrap/>
            <w:vAlign w:val="bottom"/>
            <w:hideMark/>
          </w:tcPr>
          <w:p w14:paraId="69574DD2"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0.579</w:t>
            </w:r>
          </w:p>
        </w:tc>
        <w:tc>
          <w:tcPr>
            <w:tcW w:w="960" w:type="dxa"/>
            <w:tcBorders>
              <w:top w:val="nil"/>
              <w:left w:val="nil"/>
              <w:bottom w:val="single" w:sz="4" w:space="0" w:color="auto"/>
              <w:right w:val="single" w:sz="4" w:space="0" w:color="auto"/>
            </w:tcBorders>
            <w:shd w:val="clear" w:color="auto" w:fill="auto"/>
            <w:noWrap/>
            <w:vAlign w:val="bottom"/>
            <w:hideMark/>
          </w:tcPr>
          <w:p w14:paraId="5551553E"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0.421</w:t>
            </w:r>
          </w:p>
        </w:tc>
      </w:tr>
      <w:tr w:rsidR="004730B7" w:rsidRPr="004730B7" w14:paraId="24050AE3"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30E0BE06"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N_59</w:t>
            </w:r>
          </w:p>
        </w:tc>
        <w:tc>
          <w:tcPr>
            <w:tcW w:w="5060" w:type="dxa"/>
            <w:tcBorders>
              <w:top w:val="nil"/>
              <w:left w:val="nil"/>
              <w:bottom w:val="single" w:sz="4" w:space="0" w:color="auto"/>
              <w:right w:val="single" w:sz="4" w:space="0" w:color="auto"/>
            </w:tcBorders>
            <w:shd w:val="clear" w:color="auto" w:fill="auto"/>
            <w:noWrap/>
            <w:vAlign w:val="bottom"/>
            <w:hideMark/>
          </w:tcPr>
          <w:p w14:paraId="38E6C69E"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Laberinto 220-&gt;El Cobre 220</w:t>
            </w:r>
          </w:p>
        </w:tc>
        <w:tc>
          <w:tcPr>
            <w:tcW w:w="960" w:type="dxa"/>
            <w:tcBorders>
              <w:top w:val="nil"/>
              <w:left w:val="nil"/>
              <w:bottom w:val="single" w:sz="4" w:space="0" w:color="auto"/>
              <w:right w:val="single" w:sz="4" w:space="0" w:color="auto"/>
            </w:tcBorders>
            <w:shd w:val="clear" w:color="auto" w:fill="auto"/>
            <w:noWrap/>
            <w:vAlign w:val="bottom"/>
            <w:hideMark/>
          </w:tcPr>
          <w:p w14:paraId="085E7E75"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0.120</w:t>
            </w:r>
          </w:p>
        </w:tc>
        <w:tc>
          <w:tcPr>
            <w:tcW w:w="960" w:type="dxa"/>
            <w:tcBorders>
              <w:top w:val="nil"/>
              <w:left w:val="nil"/>
              <w:bottom w:val="single" w:sz="4" w:space="0" w:color="auto"/>
              <w:right w:val="single" w:sz="4" w:space="0" w:color="auto"/>
            </w:tcBorders>
            <w:shd w:val="clear" w:color="auto" w:fill="auto"/>
            <w:noWrap/>
            <w:vAlign w:val="bottom"/>
            <w:hideMark/>
          </w:tcPr>
          <w:p w14:paraId="2C2606ED"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0.880</w:t>
            </w:r>
          </w:p>
        </w:tc>
        <w:tc>
          <w:tcPr>
            <w:tcW w:w="960" w:type="dxa"/>
            <w:tcBorders>
              <w:top w:val="nil"/>
              <w:left w:val="nil"/>
              <w:bottom w:val="single" w:sz="4" w:space="0" w:color="auto"/>
              <w:right w:val="single" w:sz="4" w:space="0" w:color="auto"/>
            </w:tcBorders>
            <w:shd w:val="clear" w:color="auto" w:fill="auto"/>
            <w:noWrap/>
            <w:vAlign w:val="bottom"/>
            <w:hideMark/>
          </w:tcPr>
          <w:p w14:paraId="49E48352"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0.151</w:t>
            </w:r>
          </w:p>
        </w:tc>
        <w:tc>
          <w:tcPr>
            <w:tcW w:w="960" w:type="dxa"/>
            <w:tcBorders>
              <w:top w:val="nil"/>
              <w:left w:val="nil"/>
              <w:bottom w:val="single" w:sz="4" w:space="0" w:color="auto"/>
              <w:right w:val="single" w:sz="4" w:space="0" w:color="auto"/>
            </w:tcBorders>
            <w:shd w:val="clear" w:color="auto" w:fill="auto"/>
            <w:noWrap/>
            <w:vAlign w:val="bottom"/>
            <w:hideMark/>
          </w:tcPr>
          <w:p w14:paraId="5E8EB6BB"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0.849</w:t>
            </w:r>
          </w:p>
        </w:tc>
      </w:tr>
      <w:tr w:rsidR="004730B7" w:rsidRPr="004730B7" w14:paraId="41604E31"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707F6FF8"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N_60</w:t>
            </w:r>
          </w:p>
        </w:tc>
        <w:tc>
          <w:tcPr>
            <w:tcW w:w="5060" w:type="dxa"/>
            <w:tcBorders>
              <w:top w:val="nil"/>
              <w:left w:val="nil"/>
              <w:bottom w:val="single" w:sz="4" w:space="0" w:color="auto"/>
              <w:right w:val="single" w:sz="4" w:space="0" w:color="auto"/>
            </w:tcBorders>
            <w:shd w:val="clear" w:color="auto" w:fill="auto"/>
            <w:noWrap/>
            <w:vAlign w:val="bottom"/>
            <w:hideMark/>
          </w:tcPr>
          <w:p w14:paraId="63F75E33"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Laberinto 220-&gt;Kapatur 220</w:t>
            </w:r>
          </w:p>
        </w:tc>
        <w:tc>
          <w:tcPr>
            <w:tcW w:w="960" w:type="dxa"/>
            <w:tcBorders>
              <w:top w:val="nil"/>
              <w:left w:val="nil"/>
              <w:bottom w:val="single" w:sz="4" w:space="0" w:color="auto"/>
              <w:right w:val="single" w:sz="4" w:space="0" w:color="auto"/>
            </w:tcBorders>
            <w:shd w:val="clear" w:color="auto" w:fill="auto"/>
            <w:noWrap/>
            <w:vAlign w:val="bottom"/>
            <w:hideMark/>
          </w:tcPr>
          <w:p w14:paraId="23E5B3F4"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0.063</w:t>
            </w:r>
          </w:p>
        </w:tc>
        <w:tc>
          <w:tcPr>
            <w:tcW w:w="960" w:type="dxa"/>
            <w:tcBorders>
              <w:top w:val="nil"/>
              <w:left w:val="nil"/>
              <w:bottom w:val="single" w:sz="4" w:space="0" w:color="auto"/>
              <w:right w:val="single" w:sz="4" w:space="0" w:color="auto"/>
            </w:tcBorders>
            <w:shd w:val="clear" w:color="auto" w:fill="auto"/>
            <w:noWrap/>
            <w:vAlign w:val="bottom"/>
            <w:hideMark/>
          </w:tcPr>
          <w:p w14:paraId="3E3560EC"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0.937</w:t>
            </w:r>
          </w:p>
        </w:tc>
        <w:tc>
          <w:tcPr>
            <w:tcW w:w="960" w:type="dxa"/>
            <w:tcBorders>
              <w:top w:val="nil"/>
              <w:left w:val="nil"/>
              <w:bottom w:val="single" w:sz="4" w:space="0" w:color="auto"/>
              <w:right w:val="single" w:sz="4" w:space="0" w:color="auto"/>
            </w:tcBorders>
            <w:shd w:val="clear" w:color="auto" w:fill="auto"/>
            <w:noWrap/>
            <w:vAlign w:val="bottom"/>
            <w:hideMark/>
          </w:tcPr>
          <w:p w14:paraId="20D409F0"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0.068</w:t>
            </w:r>
          </w:p>
        </w:tc>
        <w:tc>
          <w:tcPr>
            <w:tcW w:w="960" w:type="dxa"/>
            <w:tcBorders>
              <w:top w:val="nil"/>
              <w:left w:val="nil"/>
              <w:bottom w:val="single" w:sz="4" w:space="0" w:color="auto"/>
              <w:right w:val="single" w:sz="4" w:space="0" w:color="auto"/>
            </w:tcBorders>
            <w:shd w:val="clear" w:color="auto" w:fill="auto"/>
            <w:noWrap/>
            <w:vAlign w:val="bottom"/>
            <w:hideMark/>
          </w:tcPr>
          <w:p w14:paraId="018E0B9E"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0.932</w:t>
            </w:r>
          </w:p>
        </w:tc>
      </w:tr>
      <w:tr w:rsidR="004730B7" w:rsidRPr="004730B7" w14:paraId="571B9D8F"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26A48492"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N_61</w:t>
            </w:r>
          </w:p>
        </w:tc>
        <w:tc>
          <w:tcPr>
            <w:tcW w:w="5060" w:type="dxa"/>
            <w:tcBorders>
              <w:top w:val="nil"/>
              <w:left w:val="nil"/>
              <w:bottom w:val="single" w:sz="4" w:space="0" w:color="auto"/>
              <w:right w:val="single" w:sz="4" w:space="0" w:color="auto"/>
            </w:tcBorders>
            <w:shd w:val="clear" w:color="auto" w:fill="auto"/>
            <w:noWrap/>
            <w:vAlign w:val="bottom"/>
            <w:hideMark/>
          </w:tcPr>
          <w:p w14:paraId="107EA105"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Laberinto 220-&gt;Kimal 220</w:t>
            </w:r>
          </w:p>
        </w:tc>
        <w:tc>
          <w:tcPr>
            <w:tcW w:w="960" w:type="dxa"/>
            <w:tcBorders>
              <w:top w:val="nil"/>
              <w:left w:val="nil"/>
              <w:bottom w:val="single" w:sz="4" w:space="0" w:color="auto"/>
              <w:right w:val="single" w:sz="4" w:space="0" w:color="auto"/>
            </w:tcBorders>
            <w:shd w:val="clear" w:color="auto" w:fill="auto"/>
            <w:noWrap/>
            <w:vAlign w:val="bottom"/>
            <w:hideMark/>
          </w:tcPr>
          <w:p w14:paraId="64F3F755"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0.196</w:t>
            </w:r>
          </w:p>
        </w:tc>
        <w:tc>
          <w:tcPr>
            <w:tcW w:w="960" w:type="dxa"/>
            <w:tcBorders>
              <w:top w:val="nil"/>
              <w:left w:val="nil"/>
              <w:bottom w:val="single" w:sz="4" w:space="0" w:color="auto"/>
              <w:right w:val="single" w:sz="4" w:space="0" w:color="auto"/>
            </w:tcBorders>
            <w:shd w:val="clear" w:color="auto" w:fill="auto"/>
            <w:noWrap/>
            <w:vAlign w:val="bottom"/>
            <w:hideMark/>
          </w:tcPr>
          <w:p w14:paraId="7E6472C2"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0.804</w:t>
            </w:r>
          </w:p>
        </w:tc>
        <w:tc>
          <w:tcPr>
            <w:tcW w:w="960" w:type="dxa"/>
            <w:tcBorders>
              <w:top w:val="nil"/>
              <w:left w:val="nil"/>
              <w:bottom w:val="single" w:sz="4" w:space="0" w:color="auto"/>
              <w:right w:val="single" w:sz="4" w:space="0" w:color="auto"/>
            </w:tcBorders>
            <w:shd w:val="clear" w:color="auto" w:fill="auto"/>
            <w:noWrap/>
            <w:vAlign w:val="bottom"/>
            <w:hideMark/>
          </w:tcPr>
          <w:p w14:paraId="6E93787B"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0.278</w:t>
            </w:r>
          </w:p>
        </w:tc>
        <w:tc>
          <w:tcPr>
            <w:tcW w:w="960" w:type="dxa"/>
            <w:tcBorders>
              <w:top w:val="nil"/>
              <w:left w:val="nil"/>
              <w:bottom w:val="single" w:sz="4" w:space="0" w:color="auto"/>
              <w:right w:val="single" w:sz="4" w:space="0" w:color="auto"/>
            </w:tcBorders>
            <w:shd w:val="clear" w:color="auto" w:fill="auto"/>
            <w:noWrap/>
            <w:vAlign w:val="bottom"/>
            <w:hideMark/>
          </w:tcPr>
          <w:p w14:paraId="2A81F834"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0.722</w:t>
            </w:r>
          </w:p>
        </w:tc>
      </w:tr>
      <w:tr w:rsidR="004730B7" w:rsidRPr="004730B7" w14:paraId="657B5DCF"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59785967"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N_62</w:t>
            </w:r>
          </w:p>
        </w:tc>
        <w:tc>
          <w:tcPr>
            <w:tcW w:w="5060" w:type="dxa"/>
            <w:tcBorders>
              <w:top w:val="nil"/>
              <w:left w:val="nil"/>
              <w:bottom w:val="single" w:sz="4" w:space="0" w:color="auto"/>
              <w:right w:val="single" w:sz="4" w:space="0" w:color="auto"/>
            </w:tcBorders>
            <w:shd w:val="clear" w:color="auto" w:fill="auto"/>
            <w:noWrap/>
            <w:vAlign w:val="bottom"/>
            <w:hideMark/>
          </w:tcPr>
          <w:p w14:paraId="790AB82E"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Laberinto 220-&gt;Nueva Zaldivar 220</w:t>
            </w:r>
          </w:p>
        </w:tc>
        <w:tc>
          <w:tcPr>
            <w:tcW w:w="960" w:type="dxa"/>
            <w:tcBorders>
              <w:top w:val="nil"/>
              <w:left w:val="nil"/>
              <w:bottom w:val="single" w:sz="4" w:space="0" w:color="auto"/>
              <w:right w:val="single" w:sz="4" w:space="0" w:color="auto"/>
            </w:tcBorders>
            <w:shd w:val="clear" w:color="auto" w:fill="auto"/>
            <w:noWrap/>
            <w:vAlign w:val="bottom"/>
            <w:hideMark/>
          </w:tcPr>
          <w:p w14:paraId="2B48AEE7"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0.178</w:t>
            </w:r>
          </w:p>
        </w:tc>
        <w:tc>
          <w:tcPr>
            <w:tcW w:w="960" w:type="dxa"/>
            <w:tcBorders>
              <w:top w:val="nil"/>
              <w:left w:val="nil"/>
              <w:bottom w:val="single" w:sz="4" w:space="0" w:color="auto"/>
              <w:right w:val="single" w:sz="4" w:space="0" w:color="auto"/>
            </w:tcBorders>
            <w:shd w:val="clear" w:color="auto" w:fill="auto"/>
            <w:noWrap/>
            <w:vAlign w:val="bottom"/>
            <w:hideMark/>
          </w:tcPr>
          <w:p w14:paraId="1E6AA6DE"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0.822</w:t>
            </w:r>
          </w:p>
        </w:tc>
        <w:tc>
          <w:tcPr>
            <w:tcW w:w="960" w:type="dxa"/>
            <w:tcBorders>
              <w:top w:val="nil"/>
              <w:left w:val="nil"/>
              <w:bottom w:val="single" w:sz="4" w:space="0" w:color="auto"/>
              <w:right w:val="single" w:sz="4" w:space="0" w:color="auto"/>
            </w:tcBorders>
            <w:shd w:val="clear" w:color="auto" w:fill="auto"/>
            <w:noWrap/>
            <w:vAlign w:val="bottom"/>
            <w:hideMark/>
          </w:tcPr>
          <w:p w14:paraId="7C90490B"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0.254</w:t>
            </w:r>
          </w:p>
        </w:tc>
        <w:tc>
          <w:tcPr>
            <w:tcW w:w="960" w:type="dxa"/>
            <w:tcBorders>
              <w:top w:val="nil"/>
              <w:left w:val="nil"/>
              <w:bottom w:val="single" w:sz="4" w:space="0" w:color="auto"/>
              <w:right w:val="single" w:sz="4" w:space="0" w:color="auto"/>
            </w:tcBorders>
            <w:shd w:val="clear" w:color="auto" w:fill="auto"/>
            <w:noWrap/>
            <w:vAlign w:val="bottom"/>
            <w:hideMark/>
          </w:tcPr>
          <w:p w14:paraId="464F2641"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0.746</w:t>
            </w:r>
          </w:p>
        </w:tc>
      </w:tr>
      <w:tr w:rsidR="004730B7" w:rsidRPr="004730B7" w14:paraId="1565CFA9"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48CAB201"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N_63</w:t>
            </w:r>
          </w:p>
        </w:tc>
        <w:tc>
          <w:tcPr>
            <w:tcW w:w="5060" w:type="dxa"/>
            <w:tcBorders>
              <w:top w:val="nil"/>
              <w:left w:val="nil"/>
              <w:bottom w:val="single" w:sz="4" w:space="0" w:color="auto"/>
              <w:right w:val="single" w:sz="4" w:space="0" w:color="auto"/>
            </w:tcBorders>
            <w:shd w:val="clear" w:color="auto" w:fill="auto"/>
            <w:noWrap/>
            <w:vAlign w:val="bottom"/>
            <w:hideMark/>
          </w:tcPr>
          <w:p w14:paraId="231BA81B"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Lagunas 220-&gt;Encuentro 220</w:t>
            </w:r>
          </w:p>
        </w:tc>
        <w:tc>
          <w:tcPr>
            <w:tcW w:w="960" w:type="dxa"/>
            <w:tcBorders>
              <w:top w:val="nil"/>
              <w:left w:val="nil"/>
              <w:bottom w:val="single" w:sz="4" w:space="0" w:color="auto"/>
              <w:right w:val="single" w:sz="4" w:space="0" w:color="auto"/>
            </w:tcBorders>
            <w:shd w:val="clear" w:color="auto" w:fill="auto"/>
            <w:noWrap/>
            <w:vAlign w:val="bottom"/>
            <w:hideMark/>
          </w:tcPr>
          <w:p w14:paraId="770CE22E"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0.012</w:t>
            </w:r>
          </w:p>
        </w:tc>
        <w:tc>
          <w:tcPr>
            <w:tcW w:w="960" w:type="dxa"/>
            <w:tcBorders>
              <w:top w:val="nil"/>
              <w:left w:val="nil"/>
              <w:bottom w:val="single" w:sz="4" w:space="0" w:color="auto"/>
              <w:right w:val="single" w:sz="4" w:space="0" w:color="auto"/>
            </w:tcBorders>
            <w:shd w:val="clear" w:color="auto" w:fill="auto"/>
            <w:noWrap/>
            <w:vAlign w:val="bottom"/>
            <w:hideMark/>
          </w:tcPr>
          <w:p w14:paraId="444DFEC3"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0.988</w:t>
            </w:r>
          </w:p>
        </w:tc>
        <w:tc>
          <w:tcPr>
            <w:tcW w:w="960" w:type="dxa"/>
            <w:tcBorders>
              <w:top w:val="nil"/>
              <w:left w:val="nil"/>
              <w:bottom w:val="single" w:sz="4" w:space="0" w:color="auto"/>
              <w:right w:val="single" w:sz="4" w:space="0" w:color="auto"/>
            </w:tcBorders>
            <w:shd w:val="clear" w:color="auto" w:fill="auto"/>
            <w:noWrap/>
            <w:vAlign w:val="bottom"/>
            <w:hideMark/>
          </w:tcPr>
          <w:p w14:paraId="7F336902"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0.012</w:t>
            </w:r>
          </w:p>
        </w:tc>
        <w:tc>
          <w:tcPr>
            <w:tcW w:w="960" w:type="dxa"/>
            <w:tcBorders>
              <w:top w:val="nil"/>
              <w:left w:val="nil"/>
              <w:bottom w:val="single" w:sz="4" w:space="0" w:color="auto"/>
              <w:right w:val="single" w:sz="4" w:space="0" w:color="auto"/>
            </w:tcBorders>
            <w:shd w:val="clear" w:color="auto" w:fill="auto"/>
            <w:noWrap/>
            <w:vAlign w:val="bottom"/>
            <w:hideMark/>
          </w:tcPr>
          <w:p w14:paraId="725080B0"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0.988</w:t>
            </w:r>
          </w:p>
        </w:tc>
      </w:tr>
      <w:tr w:rsidR="004730B7" w:rsidRPr="004730B7" w14:paraId="5B12D16E"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7DDC3346"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N_64</w:t>
            </w:r>
          </w:p>
        </w:tc>
        <w:tc>
          <w:tcPr>
            <w:tcW w:w="5060" w:type="dxa"/>
            <w:tcBorders>
              <w:top w:val="nil"/>
              <w:left w:val="nil"/>
              <w:bottom w:val="single" w:sz="4" w:space="0" w:color="auto"/>
              <w:right w:val="single" w:sz="4" w:space="0" w:color="auto"/>
            </w:tcBorders>
            <w:shd w:val="clear" w:color="auto" w:fill="auto"/>
            <w:noWrap/>
            <w:vAlign w:val="bottom"/>
            <w:hideMark/>
          </w:tcPr>
          <w:p w14:paraId="03A7FD11"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Lagunas 220-&gt;Nueva Pozo Almonte 220</w:t>
            </w:r>
          </w:p>
        </w:tc>
        <w:tc>
          <w:tcPr>
            <w:tcW w:w="960" w:type="dxa"/>
            <w:tcBorders>
              <w:top w:val="nil"/>
              <w:left w:val="nil"/>
              <w:bottom w:val="single" w:sz="4" w:space="0" w:color="auto"/>
              <w:right w:val="single" w:sz="4" w:space="0" w:color="auto"/>
            </w:tcBorders>
            <w:shd w:val="clear" w:color="auto" w:fill="auto"/>
            <w:noWrap/>
            <w:vAlign w:val="bottom"/>
            <w:hideMark/>
          </w:tcPr>
          <w:p w14:paraId="5EA43995"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0.430</w:t>
            </w:r>
          </w:p>
        </w:tc>
        <w:tc>
          <w:tcPr>
            <w:tcW w:w="960" w:type="dxa"/>
            <w:tcBorders>
              <w:top w:val="nil"/>
              <w:left w:val="nil"/>
              <w:bottom w:val="single" w:sz="4" w:space="0" w:color="auto"/>
              <w:right w:val="single" w:sz="4" w:space="0" w:color="auto"/>
            </w:tcBorders>
            <w:shd w:val="clear" w:color="auto" w:fill="auto"/>
            <w:noWrap/>
            <w:vAlign w:val="bottom"/>
            <w:hideMark/>
          </w:tcPr>
          <w:p w14:paraId="5D42031C"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0.570</w:t>
            </w:r>
          </w:p>
        </w:tc>
        <w:tc>
          <w:tcPr>
            <w:tcW w:w="960" w:type="dxa"/>
            <w:tcBorders>
              <w:top w:val="nil"/>
              <w:left w:val="nil"/>
              <w:bottom w:val="single" w:sz="4" w:space="0" w:color="auto"/>
              <w:right w:val="single" w:sz="4" w:space="0" w:color="auto"/>
            </w:tcBorders>
            <w:shd w:val="clear" w:color="auto" w:fill="auto"/>
            <w:noWrap/>
            <w:vAlign w:val="bottom"/>
            <w:hideMark/>
          </w:tcPr>
          <w:p w14:paraId="487E3E49"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0.613</w:t>
            </w:r>
          </w:p>
        </w:tc>
        <w:tc>
          <w:tcPr>
            <w:tcW w:w="960" w:type="dxa"/>
            <w:tcBorders>
              <w:top w:val="nil"/>
              <w:left w:val="nil"/>
              <w:bottom w:val="single" w:sz="4" w:space="0" w:color="auto"/>
              <w:right w:val="single" w:sz="4" w:space="0" w:color="auto"/>
            </w:tcBorders>
            <w:shd w:val="clear" w:color="auto" w:fill="auto"/>
            <w:noWrap/>
            <w:vAlign w:val="bottom"/>
            <w:hideMark/>
          </w:tcPr>
          <w:p w14:paraId="2E284CB0"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0.387</w:t>
            </w:r>
          </w:p>
        </w:tc>
      </w:tr>
      <w:tr w:rsidR="004730B7" w:rsidRPr="004730B7" w14:paraId="6A07C98F"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7BF94C76"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N_65</w:t>
            </w:r>
          </w:p>
        </w:tc>
        <w:tc>
          <w:tcPr>
            <w:tcW w:w="5060" w:type="dxa"/>
            <w:tcBorders>
              <w:top w:val="nil"/>
              <w:left w:val="nil"/>
              <w:bottom w:val="single" w:sz="4" w:space="0" w:color="auto"/>
              <w:right w:val="single" w:sz="4" w:space="0" w:color="auto"/>
            </w:tcBorders>
            <w:shd w:val="clear" w:color="auto" w:fill="auto"/>
            <w:noWrap/>
            <w:vAlign w:val="bottom"/>
            <w:hideMark/>
          </w:tcPr>
          <w:p w14:paraId="25F75377"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Lagunas 220-&gt;Nueva Victoria 220</w:t>
            </w:r>
          </w:p>
        </w:tc>
        <w:tc>
          <w:tcPr>
            <w:tcW w:w="960" w:type="dxa"/>
            <w:tcBorders>
              <w:top w:val="nil"/>
              <w:left w:val="nil"/>
              <w:bottom w:val="single" w:sz="4" w:space="0" w:color="auto"/>
              <w:right w:val="single" w:sz="4" w:space="0" w:color="auto"/>
            </w:tcBorders>
            <w:shd w:val="clear" w:color="auto" w:fill="auto"/>
            <w:noWrap/>
            <w:vAlign w:val="bottom"/>
            <w:hideMark/>
          </w:tcPr>
          <w:p w14:paraId="1C49B4CE"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0.238</w:t>
            </w:r>
          </w:p>
        </w:tc>
        <w:tc>
          <w:tcPr>
            <w:tcW w:w="960" w:type="dxa"/>
            <w:tcBorders>
              <w:top w:val="nil"/>
              <w:left w:val="nil"/>
              <w:bottom w:val="single" w:sz="4" w:space="0" w:color="auto"/>
              <w:right w:val="single" w:sz="4" w:space="0" w:color="auto"/>
            </w:tcBorders>
            <w:shd w:val="clear" w:color="auto" w:fill="auto"/>
            <w:noWrap/>
            <w:vAlign w:val="bottom"/>
            <w:hideMark/>
          </w:tcPr>
          <w:p w14:paraId="52A9FBA1"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0.762</w:t>
            </w:r>
          </w:p>
        </w:tc>
        <w:tc>
          <w:tcPr>
            <w:tcW w:w="960" w:type="dxa"/>
            <w:tcBorders>
              <w:top w:val="nil"/>
              <w:left w:val="nil"/>
              <w:bottom w:val="single" w:sz="4" w:space="0" w:color="auto"/>
              <w:right w:val="single" w:sz="4" w:space="0" w:color="auto"/>
            </w:tcBorders>
            <w:shd w:val="clear" w:color="auto" w:fill="auto"/>
            <w:noWrap/>
            <w:vAlign w:val="bottom"/>
            <w:hideMark/>
          </w:tcPr>
          <w:p w14:paraId="5E27438D"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0.330</w:t>
            </w:r>
          </w:p>
        </w:tc>
        <w:tc>
          <w:tcPr>
            <w:tcW w:w="960" w:type="dxa"/>
            <w:tcBorders>
              <w:top w:val="nil"/>
              <w:left w:val="nil"/>
              <w:bottom w:val="single" w:sz="4" w:space="0" w:color="auto"/>
              <w:right w:val="single" w:sz="4" w:space="0" w:color="auto"/>
            </w:tcBorders>
            <w:shd w:val="clear" w:color="auto" w:fill="auto"/>
            <w:noWrap/>
            <w:vAlign w:val="bottom"/>
            <w:hideMark/>
          </w:tcPr>
          <w:p w14:paraId="23575FED"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0.670</w:t>
            </w:r>
          </w:p>
        </w:tc>
      </w:tr>
      <w:tr w:rsidR="004730B7" w:rsidRPr="004730B7" w14:paraId="67E4F115"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47CC5135"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N_66</w:t>
            </w:r>
          </w:p>
        </w:tc>
        <w:tc>
          <w:tcPr>
            <w:tcW w:w="5060" w:type="dxa"/>
            <w:tcBorders>
              <w:top w:val="nil"/>
              <w:left w:val="nil"/>
              <w:bottom w:val="single" w:sz="4" w:space="0" w:color="auto"/>
              <w:right w:val="single" w:sz="4" w:space="0" w:color="auto"/>
            </w:tcBorders>
            <w:shd w:val="clear" w:color="auto" w:fill="auto"/>
            <w:noWrap/>
            <w:vAlign w:val="bottom"/>
            <w:hideMark/>
          </w:tcPr>
          <w:p w14:paraId="04544B6E"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Lagunas 220-&gt;San Simon 220</w:t>
            </w:r>
          </w:p>
        </w:tc>
        <w:tc>
          <w:tcPr>
            <w:tcW w:w="960" w:type="dxa"/>
            <w:tcBorders>
              <w:top w:val="nil"/>
              <w:left w:val="nil"/>
              <w:bottom w:val="single" w:sz="4" w:space="0" w:color="auto"/>
              <w:right w:val="single" w:sz="4" w:space="0" w:color="auto"/>
            </w:tcBorders>
            <w:shd w:val="clear" w:color="auto" w:fill="auto"/>
            <w:noWrap/>
            <w:vAlign w:val="bottom"/>
            <w:hideMark/>
          </w:tcPr>
          <w:p w14:paraId="30DE6107"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0.185</w:t>
            </w:r>
          </w:p>
        </w:tc>
        <w:tc>
          <w:tcPr>
            <w:tcW w:w="960" w:type="dxa"/>
            <w:tcBorders>
              <w:top w:val="nil"/>
              <w:left w:val="nil"/>
              <w:bottom w:val="single" w:sz="4" w:space="0" w:color="auto"/>
              <w:right w:val="single" w:sz="4" w:space="0" w:color="auto"/>
            </w:tcBorders>
            <w:shd w:val="clear" w:color="auto" w:fill="auto"/>
            <w:noWrap/>
            <w:vAlign w:val="bottom"/>
            <w:hideMark/>
          </w:tcPr>
          <w:p w14:paraId="5E3D0782"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0.815</w:t>
            </w:r>
          </w:p>
        </w:tc>
        <w:tc>
          <w:tcPr>
            <w:tcW w:w="960" w:type="dxa"/>
            <w:tcBorders>
              <w:top w:val="nil"/>
              <w:left w:val="nil"/>
              <w:bottom w:val="single" w:sz="4" w:space="0" w:color="auto"/>
              <w:right w:val="single" w:sz="4" w:space="0" w:color="auto"/>
            </w:tcBorders>
            <w:shd w:val="clear" w:color="auto" w:fill="auto"/>
            <w:noWrap/>
            <w:vAlign w:val="bottom"/>
            <w:hideMark/>
          </w:tcPr>
          <w:p w14:paraId="6655E861"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0.253</w:t>
            </w:r>
          </w:p>
        </w:tc>
        <w:tc>
          <w:tcPr>
            <w:tcW w:w="960" w:type="dxa"/>
            <w:tcBorders>
              <w:top w:val="nil"/>
              <w:left w:val="nil"/>
              <w:bottom w:val="single" w:sz="4" w:space="0" w:color="auto"/>
              <w:right w:val="single" w:sz="4" w:space="0" w:color="auto"/>
            </w:tcBorders>
            <w:shd w:val="clear" w:color="auto" w:fill="auto"/>
            <w:noWrap/>
            <w:vAlign w:val="bottom"/>
            <w:hideMark/>
          </w:tcPr>
          <w:p w14:paraId="08C0CF7F"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0.747</w:t>
            </w:r>
          </w:p>
        </w:tc>
      </w:tr>
      <w:tr w:rsidR="004730B7" w:rsidRPr="004730B7" w14:paraId="25DF7DC0"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5501AA70"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N_67</w:t>
            </w:r>
          </w:p>
        </w:tc>
        <w:tc>
          <w:tcPr>
            <w:tcW w:w="5060" w:type="dxa"/>
            <w:tcBorders>
              <w:top w:val="nil"/>
              <w:left w:val="nil"/>
              <w:bottom w:val="single" w:sz="4" w:space="0" w:color="auto"/>
              <w:right w:val="single" w:sz="4" w:space="0" w:color="auto"/>
            </w:tcBorders>
            <w:shd w:val="clear" w:color="auto" w:fill="auto"/>
            <w:noWrap/>
            <w:vAlign w:val="bottom"/>
            <w:hideMark/>
          </w:tcPr>
          <w:p w14:paraId="3BF47589"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Lagunillas 220-&gt;Guindo 220</w:t>
            </w:r>
          </w:p>
        </w:tc>
        <w:tc>
          <w:tcPr>
            <w:tcW w:w="960" w:type="dxa"/>
            <w:tcBorders>
              <w:top w:val="nil"/>
              <w:left w:val="nil"/>
              <w:bottom w:val="single" w:sz="4" w:space="0" w:color="auto"/>
              <w:right w:val="single" w:sz="4" w:space="0" w:color="auto"/>
            </w:tcBorders>
            <w:shd w:val="clear" w:color="auto" w:fill="auto"/>
            <w:noWrap/>
            <w:vAlign w:val="bottom"/>
            <w:hideMark/>
          </w:tcPr>
          <w:p w14:paraId="2C4DE35C"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0.416</w:t>
            </w:r>
          </w:p>
        </w:tc>
        <w:tc>
          <w:tcPr>
            <w:tcW w:w="960" w:type="dxa"/>
            <w:tcBorders>
              <w:top w:val="nil"/>
              <w:left w:val="nil"/>
              <w:bottom w:val="single" w:sz="4" w:space="0" w:color="auto"/>
              <w:right w:val="single" w:sz="4" w:space="0" w:color="auto"/>
            </w:tcBorders>
            <w:shd w:val="clear" w:color="auto" w:fill="auto"/>
            <w:noWrap/>
            <w:vAlign w:val="bottom"/>
            <w:hideMark/>
          </w:tcPr>
          <w:p w14:paraId="43180B0D"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0.584</w:t>
            </w:r>
          </w:p>
        </w:tc>
        <w:tc>
          <w:tcPr>
            <w:tcW w:w="960" w:type="dxa"/>
            <w:tcBorders>
              <w:top w:val="nil"/>
              <w:left w:val="nil"/>
              <w:bottom w:val="single" w:sz="4" w:space="0" w:color="auto"/>
              <w:right w:val="single" w:sz="4" w:space="0" w:color="auto"/>
            </w:tcBorders>
            <w:shd w:val="clear" w:color="auto" w:fill="auto"/>
            <w:noWrap/>
            <w:vAlign w:val="bottom"/>
            <w:hideMark/>
          </w:tcPr>
          <w:p w14:paraId="0C6CC845"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0.590</w:t>
            </w:r>
          </w:p>
        </w:tc>
        <w:tc>
          <w:tcPr>
            <w:tcW w:w="960" w:type="dxa"/>
            <w:tcBorders>
              <w:top w:val="nil"/>
              <w:left w:val="nil"/>
              <w:bottom w:val="single" w:sz="4" w:space="0" w:color="auto"/>
              <w:right w:val="single" w:sz="4" w:space="0" w:color="auto"/>
            </w:tcBorders>
            <w:shd w:val="clear" w:color="auto" w:fill="auto"/>
            <w:noWrap/>
            <w:vAlign w:val="bottom"/>
            <w:hideMark/>
          </w:tcPr>
          <w:p w14:paraId="444BAAAD"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0.410</w:t>
            </w:r>
          </w:p>
        </w:tc>
      </w:tr>
      <w:tr w:rsidR="004730B7" w:rsidRPr="004730B7" w14:paraId="29841512"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09E7EC7F"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N_68</w:t>
            </w:r>
          </w:p>
        </w:tc>
        <w:tc>
          <w:tcPr>
            <w:tcW w:w="5060" w:type="dxa"/>
            <w:tcBorders>
              <w:top w:val="nil"/>
              <w:left w:val="nil"/>
              <w:bottom w:val="single" w:sz="4" w:space="0" w:color="auto"/>
              <w:right w:val="single" w:sz="4" w:space="0" w:color="auto"/>
            </w:tcBorders>
            <w:shd w:val="clear" w:color="auto" w:fill="auto"/>
            <w:noWrap/>
            <w:vAlign w:val="bottom"/>
            <w:hideMark/>
          </w:tcPr>
          <w:p w14:paraId="21686B07"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Lo Aguirre 220-&gt;Cerro Navia 220</w:t>
            </w:r>
          </w:p>
        </w:tc>
        <w:tc>
          <w:tcPr>
            <w:tcW w:w="960" w:type="dxa"/>
            <w:tcBorders>
              <w:top w:val="nil"/>
              <w:left w:val="nil"/>
              <w:bottom w:val="single" w:sz="4" w:space="0" w:color="auto"/>
              <w:right w:val="single" w:sz="4" w:space="0" w:color="auto"/>
            </w:tcBorders>
            <w:shd w:val="clear" w:color="auto" w:fill="auto"/>
            <w:noWrap/>
            <w:vAlign w:val="bottom"/>
            <w:hideMark/>
          </w:tcPr>
          <w:p w14:paraId="3DDEA96F"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2216E284"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62FC979A"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0F50CAE3"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0.000</w:t>
            </w:r>
          </w:p>
        </w:tc>
      </w:tr>
      <w:tr w:rsidR="004730B7" w:rsidRPr="004730B7" w14:paraId="084CC52D"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4B292CA1"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N_69</w:t>
            </w:r>
          </w:p>
        </w:tc>
        <w:tc>
          <w:tcPr>
            <w:tcW w:w="5060" w:type="dxa"/>
            <w:tcBorders>
              <w:top w:val="nil"/>
              <w:left w:val="nil"/>
              <w:bottom w:val="single" w:sz="4" w:space="0" w:color="auto"/>
              <w:right w:val="single" w:sz="4" w:space="0" w:color="auto"/>
            </w:tcBorders>
            <w:shd w:val="clear" w:color="auto" w:fill="auto"/>
            <w:noWrap/>
            <w:vAlign w:val="bottom"/>
            <w:hideMark/>
          </w:tcPr>
          <w:p w14:paraId="05A1F535"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Lo Aguirre 220-&gt;Nueva Alto Melipilla 220</w:t>
            </w:r>
          </w:p>
        </w:tc>
        <w:tc>
          <w:tcPr>
            <w:tcW w:w="960" w:type="dxa"/>
            <w:tcBorders>
              <w:top w:val="nil"/>
              <w:left w:val="nil"/>
              <w:bottom w:val="single" w:sz="4" w:space="0" w:color="auto"/>
              <w:right w:val="single" w:sz="4" w:space="0" w:color="auto"/>
            </w:tcBorders>
            <w:shd w:val="clear" w:color="auto" w:fill="auto"/>
            <w:noWrap/>
            <w:vAlign w:val="bottom"/>
            <w:hideMark/>
          </w:tcPr>
          <w:p w14:paraId="3148A821"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0.439</w:t>
            </w:r>
          </w:p>
        </w:tc>
        <w:tc>
          <w:tcPr>
            <w:tcW w:w="960" w:type="dxa"/>
            <w:tcBorders>
              <w:top w:val="nil"/>
              <w:left w:val="nil"/>
              <w:bottom w:val="single" w:sz="4" w:space="0" w:color="auto"/>
              <w:right w:val="single" w:sz="4" w:space="0" w:color="auto"/>
            </w:tcBorders>
            <w:shd w:val="clear" w:color="auto" w:fill="auto"/>
            <w:noWrap/>
            <w:vAlign w:val="bottom"/>
            <w:hideMark/>
          </w:tcPr>
          <w:p w14:paraId="4B66C477"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0.561</w:t>
            </w:r>
          </w:p>
        </w:tc>
        <w:tc>
          <w:tcPr>
            <w:tcW w:w="960" w:type="dxa"/>
            <w:tcBorders>
              <w:top w:val="nil"/>
              <w:left w:val="nil"/>
              <w:bottom w:val="single" w:sz="4" w:space="0" w:color="auto"/>
              <w:right w:val="single" w:sz="4" w:space="0" w:color="auto"/>
            </w:tcBorders>
            <w:shd w:val="clear" w:color="auto" w:fill="auto"/>
            <w:noWrap/>
            <w:vAlign w:val="bottom"/>
            <w:hideMark/>
          </w:tcPr>
          <w:p w14:paraId="408BF833"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0.618</w:t>
            </w:r>
          </w:p>
        </w:tc>
        <w:tc>
          <w:tcPr>
            <w:tcW w:w="960" w:type="dxa"/>
            <w:tcBorders>
              <w:top w:val="nil"/>
              <w:left w:val="nil"/>
              <w:bottom w:val="single" w:sz="4" w:space="0" w:color="auto"/>
              <w:right w:val="single" w:sz="4" w:space="0" w:color="auto"/>
            </w:tcBorders>
            <w:shd w:val="clear" w:color="auto" w:fill="auto"/>
            <w:noWrap/>
            <w:vAlign w:val="bottom"/>
            <w:hideMark/>
          </w:tcPr>
          <w:p w14:paraId="54BD96BD"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0.382</w:t>
            </w:r>
          </w:p>
        </w:tc>
      </w:tr>
      <w:tr w:rsidR="004730B7" w:rsidRPr="004730B7" w14:paraId="0A30E653"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04351423"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N_70</w:t>
            </w:r>
          </w:p>
        </w:tc>
        <w:tc>
          <w:tcPr>
            <w:tcW w:w="5060" w:type="dxa"/>
            <w:tcBorders>
              <w:top w:val="nil"/>
              <w:left w:val="nil"/>
              <w:bottom w:val="single" w:sz="4" w:space="0" w:color="auto"/>
              <w:right w:val="single" w:sz="4" w:space="0" w:color="auto"/>
            </w:tcBorders>
            <w:shd w:val="clear" w:color="auto" w:fill="auto"/>
            <w:noWrap/>
            <w:vAlign w:val="bottom"/>
            <w:hideMark/>
          </w:tcPr>
          <w:p w14:paraId="03522C74"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Lo Aguirre 500-&gt;Alto Jahuel 500</w:t>
            </w:r>
          </w:p>
        </w:tc>
        <w:tc>
          <w:tcPr>
            <w:tcW w:w="960" w:type="dxa"/>
            <w:tcBorders>
              <w:top w:val="nil"/>
              <w:left w:val="nil"/>
              <w:bottom w:val="single" w:sz="4" w:space="0" w:color="auto"/>
              <w:right w:val="single" w:sz="4" w:space="0" w:color="auto"/>
            </w:tcBorders>
            <w:shd w:val="clear" w:color="auto" w:fill="auto"/>
            <w:noWrap/>
            <w:vAlign w:val="bottom"/>
            <w:hideMark/>
          </w:tcPr>
          <w:p w14:paraId="0280184A"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0.274</w:t>
            </w:r>
          </w:p>
        </w:tc>
        <w:tc>
          <w:tcPr>
            <w:tcW w:w="960" w:type="dxa"/>
            <w:tcBorders>
              <w:top w:val="nil"/>
              <w:left w:val="nil"/>
              <w:bottom w:val="single" w:sz="4" w:space="0" w:color="auto"/>
              <w:right w:val="single" w:sz="4" w:space="0" w:color="auto"/>
            </w:tcBorders>
            <w:shd w:val="clear" w:color="auto" w:fill="auto"/>
            <w:noWrap/>
            <w:vAlign w:val="bottom"/>
            <w:hideMark/>
          </w:tcPr>
          <w:p w14:paraId="07308091"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0.726</w:t>
            </w:r>
          </w:p>
        </w:tc>
        <w:tc>
          <w:tcPr>
            <w:tcW w:w="960" w:type="dxa"/>
            <w:tcBorders>
              <w:top w:val="nil"/>
              <w:left w:val="nil"/>
              <w:bottom w:val="single" w:sz="4" w:space="0" w:color="auto"/>
              <w:right w:val="single" w:sz="4" w:space="0" w:color="auto"/>
            </w:tcBorders>
            <w:shd w:val="clear" w:color="auto" w:fill="auto"/>
            <w:noWrap/>
            <w:vAlign w:val="bottom"/>
            <w:hideMark/>
          </w:tcPr>
          <w:p w14:paraId="6AC0EF32"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0.412</w:t>
            </w:r>
          </w:p>
        </w:tc>
        <w:tc>
          <w:tcPr>
            <w:tcW w:w="960" w:type="dxa"/>
            <w:tcBorders>
              <w:top w:val="nil"/>
              <w:left w:val="nil"/>
              <w:bottom w:val="single" w:sz="4" w:space="0" w:color="auto"/>
              <w:right w:val="single" w:sz="4" w:space="0" w:color="auto"/>
            </w:tcBorders>
            <w:shd w:val="clear" w:color="auto" w:fill="auto"/>
            <w:noWrap/>
            <w:vAlign w:val="bottom"/>
            <w:hideMark/>
          </w:tcPr>
          <w:p w14:paraId="06A5300C"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0.588</w:t>
            </w:r>
          </w:p>
        </w:tc>
      </w:tr>
      <w:tr w:rsidR="004730B7" w:rsidRPr="004730B7" w14:paraId="3E301ABA"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1100A6D7"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N_71</w:t>
            </w:r>
          </w:p>
        </w:tc>
        <w:tc>
          <w:tcPr>
            <w:tcW w:w="5060" w:type="dxa"/>
            <w:tcBorders>
              <w:top w:val="nil"/>
              <w:left w:val="nil"/>
              <w:bottom w:val="single" w:sz="4" w:space="0" w:color="auto"/>
              <w:right w:val="single" w:sz="4" w:space="0" w:color="auto"/>
            </w:tcBorders>
            <w:shd w:val="clear" w:color="auto" w:fill="auto"/>
            <w:noWrap/>
            <w:vAlign w:val="bottom"/>
            <w:hideMark/>
          </w:tcPr>
          <w:p w14:paraId="610D51C8"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Lo Aguirre 500-&gt;Lo Aguirre 220</w:t>
            </w:r>
          </w:p>
        </w:tc>
        <w:tc>
          <w:tcPr>
            <w:tcW w:w="960" w:type="dxa"/>
            <w:tcBorders>
              <w:top w:val="nil"/>
              <w:left w:val="nil"/>
              <w:bottom w:val="single" w:sz="4" w:space="0" w:color="auto"/>
              <w:right w:val="single" w:sz="4" w:space="0" w:color="auto"/>
            </w:tcBorders>
            <w:shd w:val="clear" w:color="auto" w:fill="auto"/>
            <w:noWrap/>
            <w:vAlign w:val="bottom"/>
            <w:hideMark/>
          </w:tcPr>
          <w:p w14:paraId="57075107"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4EBC5E8C"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2B83F501"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005B0088"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0.000</w:t>
            </w:r>
          </w:p>
        </w:tc>
      </w:tr>
      <w:tr w:rsidR="004730B7" w:rsidRPr="004730B7" w14:paraId="0712E9E1"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567E29B0"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N_72</w:t>
            </w:r>
          </w:p>
        </w:tc>
        <w:tc>
          <w:tcPr>
            <w:tcW w:w="5060" w:type="dxa"/>
            <w:tcBorders>
              <w:top w:val="nil"/>
              <w:left w:val="nil"/>
              <w:bottom w:val="single" w:sz="4" w:space="0" w:color="auto"/>
              <w:right w:val="single" w:sz="4" w:space="0" w:color="auto"/>
            </w:tcBorders>
            <w:shd w:val="clear" w:color="auto" w:fill="auto"/>
            <w:noWrap/>
            <w:vAlign w:val="bottom"/>
            <w:hideMark/>
          </w:tcPr>
          <w:p w14:paraId="41121E2D"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Los Changos 500-&gt;Cumbre 500</w:t>
            </w:r>
          </w:p>
        </w:tc>
        <w:tc>
          <w:tcPr>
            <w:tcW w:w="960" w:type="dxa"/>
            <w:tcBorders>
              <w:top w:val="nil"/>
              <w:left w:val="nil"/>
              <w:bottom w:val="single" w:sz="4" w:space="0" w:color="auto"/>
              <w:right w:val="single" w:sz="4" w:space="0" w:color="auto"/>
            </w:tcBorders>
            <w:shd w:val="clear" w:color="auto" w:fill="auto"/>
            <w:noWrap/>
            <w:vAlign w:val="bottom"/>
            <w:hideMark/>
          </w:tcPr>
          <w:p w14:paraId="6F1C8AFF"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0.083</w:t>
            </w:r>
          </w:p>
        </w:tc>
        <w:tc>
          <w:tcPr>
            <w:tcW w:w="960" w:type="dxa"/>
            <w:tcBorders>
              <w:top w:val="nil"/>
              <w:left w:val="nil"/>
              <w:bottom w:val="single" w:sz="4" w:space="0" w:color="auto"/>
              <w:right w:val="single" w:sz="4" w:space="0" w:color="auto"/>
            </w:tcBorders>
            <w:shd w:val="clear" w:color="auto" w:fill="auto"/>
            <w:noWrap/>
            <w:vAlign w:val="bottom"/>
            <w:hideMark/>
          </w:tcPr>
          <w:p w14:paraId="350D52FF"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0.917</w:t>
            </w:r>
          </w:p>
        </w:tc>
        <w:tc>
          <w:tcPr>
            <w:tcW w:w="960" w:type="dxa"/>
            <w:tcBorders>
              <w:top w:val="nil"/>
              <w:left w:val="nil"/>
              <w:bottom w:val="single" w:sz="4" w:space="0" w:color="auto"/>
              <w:right w:val="single" w:sz="4" w:space="0" w:color="auto"/>
            </w:tcBorders>
            <w:shd w:val="clear" w:color="auto" w:fill="auto"/>
            <w:noWrap/>
            <w:vAlign w:val="bottom"/>
            <w:hideMark/>
          </w:tcPr>
          <w:p w14:paraId="5B35CBF0"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0.116</w:t>
            </w:r>
          </w:p>
        </w:tc>
        <w:tc>
          <w:tcPr>
            <w:tcW w:w="960" w:type="dxa"/>
            <w:tcBorders>
              <w:top w:val="nil"/>
              <w:left w:val="nil"/>
              <w:bottom w:val="single" w:sz="4" w:space="0" w:color="auto"/>
              <w:right w:val="single" w:sz="4" w:space="0" w:color="auto"/>
            </w:tcBorders>
            <w:shd w:val="clear" w:color="auto" w:fill="auto"/>
            <w:noWrap/>
            <w:vAlign w:val="bottom"/>
            <w:hideMark/>
          </w:tcPr>
          <w:p w14:paraId="39DDA515"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0.884</w:t>
            </w:r>
          </w:p>
        </w:tc>
      </w:tr>
      <w:tr w:rsidR="004730B7" w:rsidRPr="004730B7" w14:paraId="73F05562"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7BA308A5"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N_73</w:t>
            </w:r>
          </w:p>
        </w:tc>
        <w:tc>
          <w:tcPr>
            <w:tcW w:w="5060" w:type="dxa"/>
            <w:tcBorders>
              <w:top w:val="nil"/>
              <w:left w:val="nil"/>
              <w:bottom w:val="single" w:sz="4" w:space="0" w:color="auto"/>
              <w:right w:val="single" w:sz="4" w:space="0" w:color="auto"/>
            </w:tcBorders>
            <w:shd w:val="clear" w:color="auto" w:fill="auto"/>
            <w:noWrap/>
            <w:vAlign w:val="bottom"/>
            <w:hideMark/>
          </w:tcPr>
          <w:p w14:paraId="388F8CB7"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Los Changos 500-&gt;Los Changos 220</w:t>
            </w:r>
          </w:p>
        </w:tc>
        <w:tc>
          <w:tcPr>
            <w:tcW w:w="960" w:type="dxa"/>
            <w:tcBorders>
              <w:top w:val="nil"/>
              <w:left w:val="nil"/>
              <w:bottom w:val="single" w:sz="4" w:space="0" w:color="auto"/>
              <w:right w:val="single" w:sz="4" w:space="0" w:color="auto"/>
            </w:tcBorders>
            <w:shd w:val="clear" w:color="auto" w:fill="auto"/>
            <w:noWrap/>
            <w:vAlign w:val="bottom"/>
            <w:hideMark/>
          </w:tcPr>
          <w:p w14:paraId="76161C2C"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0.080</w:t>
            </w:r>
          </w:p>
        </w:tc>
        <w:tc>
          <w:tcPr>
            <w:tcW w:w="960" w:type="dxa"/>
            <w:tcBorders>
              <w:top w:val="nil"/>
              <w:left w:val="nil"/>
              <w:bottom w:val="single" w:sz="4" w:space="0" w:color="auto"/>
              <w:right w:val="single" w:sz="4" w:space="0" w:color="auto"/>
            </w:tcBorders>
            <w:shd w:val="clear" w:color="auto" w:fill="auto"/>
            <w:noWrap/>
            <w:vAlign w:val="bottom"/>
            <w:hideMark/>
          </w:tcPr>
          <w:p w14:paraId="4943C011"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0.920</w:t>
            </w:r>
          </w:p>
        </w:tc>
        <w:tc>
          <w:tcPr>
            <w:tcW w:w="960" w:type="dxa"/>
            <w:tcBorders>
              <w:top w:val="nil"/>
              <w:left w:val="nil"/>
              <w:bottom w:val="single" w:sz="4" w:space="0" w:color="auto"/>
              <w:right w:val="single" w:sz="4" w:space="0" w:color="auto"/>
            </w:tcBorders>
            <w:shd w:val="clear" w:color="auto" w:fill="auto"/>
            <w:noWrap/>
            <w:vAlign w:val="bottom"/>
            <w:hideMark/>
          </w:tcPr>
          <w:p w14:paraId="472C1E39"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0.120</w:t>
            </w:r>
          </w:p>
        </w:tc>
        <w:tc>
          <w:tcPr>
            <w:tcW w:w="960" w:type="dxa"/>
            <w:tcBorders>
              <w:top w:val="nil"/>
              <w:left w:val="nil"/>
              <w:bottom w:val="single" w:sz="4" w:space="0" w:color="auto"/>
              <w:right w:val="single" w:sz="4" w:space="0" w:color="auto"/>
            </w:tcBorders>
            <w:shd w:val="clear" w:color="auto" w:fill="auto"/>
            <w:noWrap/>
            <w:vAlign w:val="bottom"/>
            <w:hideMark/>
          </w:tcPr>
          <w:p w14:paraId="02904694"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0.880</w:t>
            </w:r>
          </w:p>
        </w:tc>
      </w:tr>
      <w:tr w:rsidR="004730B7" w:rsidRPr="004730B7" w14:paraId="275C2C8F"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66088497"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N_74</w:t>
            </w:r>
          </w:p>
        </w:tc>
        <w:tc>
          <w:tcPr>
            <w:tcW w:w="5060" w:type="dxa"/>
            <w:tcBorders>
              <w:top w:val="nil"/>
              <w:left w:val="nil"/>
              <w:bottom w:val="single" w:sz="4" w:space="0" w:color="auto"/>
              <w:right w:val="single" w:sz="4" w:space="0" w:color="auto"/>
            </w:tcBorders>
            <w:shd w:val="clear" w:color="auto" w:fill="auto"/>
            <w:noWrap/>
            <w:vAlign w:val="bottom"/>
            <w:hideMark/>
          </w:tcPr>
          <w:p w14:paraId="6FD38C83"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Los Maquis 220-&gt;Quilapilun 220</w:t>
            </w:r>
          </w:p>
        </w:tc>
        <w:tc>
          <w:tcPr>
            <w:tcW w:w="960" w:type="dxa"/>
            <w:tcBorders>
              <w:top w:val="nil"/>
              <w:left w:val="nil"/>
              <w:bottom w:val="single" w:sz="4" w:space="0" w:color="auto"/>
              <w:right w:val="single" w:sz="4" w:space="0" w:color="auto"/>
            </w:tcBorders>
            <w:shd w:val="clear" w:color="auto" w:fill="auto"/>
            <w:noWrap/>
            <w:vAlign w:val="bottom"/>
            <w:hideMark/>
          </w:tcPr>
          <w:p w14:paraId="21C280DE"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0.050</w:t>
            </w:r>
          </w:p>
        </w:tc>
        <w:tc>
          <w:tcPr>
            <w:tcW w:w="960" w:type="dxa"/>
            <w:tcBorders>
              <w:top w:val="nil"/>
              <w:left w:val="nil"/>
              <w:bottom w:val="single" w:sz="4" w:space="0" w:color="auto"/>
              <w:right w:val="single" w:sz="4" w:space="0" w:color="auto"/>
            </w:tcBorders>
            <w:shd w:val="clear" w:color="auto" w:fill="auto"/>
            <w:noWrap/>
            <w:vAlign w:val="bottom"/>
            <w:hideMark/>
          </w:tcPr>
          <w:p w14:paraId="3DD6811E"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0.950</w:t>
            </w:r>
          </w:p>
        </w:tc>
        <w:tc>
          <w:tcPr>
            <w:tcW w:w="960" w:type="dxa"/>
            <w:tcBorders>
              <w:top w:val="nil"/>
              <w:left w:val="nil"/>
              <w:bottom w:val="single" w:sz="4" w:space="0" w:color="auto"/>
              <w:right w:val="single" w:sz="4" w:space="0" w:color="auto"/>
            </w:tcBorders>
            <w:shd w:val="clear" w:color="auto" w:fill="auto"/>
            <w:noWrap/>
            <w:vAlign w:val="bottom"/>
            <w:hideMark/>
          </w:tcPr>
          <w:p w14:paraId="692425C7"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0.062</w:t>
            </w:r>
          </w:p>
        </w:tc>
        <w:tc>
          <w:tcPr>
            <w:tcW w:w="960" w:type="dxa"/>
            <w:tcBorders>
              <w:top w:val="nil"/>
              <w:left w:val="nil"/>
              <w:bottom w:val="single" w:sz="4" w:space="0" w:color="auto"/>
              <w:right w:val="single" w:sz="4" w:space="0" w:color="auto"/>
            </w:tcBorders>
            <w:shd w:val="clear" w:color="auto" w:fill="auto"/>
            <w:noWrap/>
            <w:vAlign w:val="bottom"/>
            <w:hideMark/>
          </w:tcPr>
          <w:p w14:paraId="2ACA20E1"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0.938</w:t>
            </w:r>
          </w:p>
        </w:tc>
      </w:tr>
      <w:tr w:rsidR="004730B7" w:rsidRPr="004730B7" w14:paraId="60B58891"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1626351B"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N_75</w:t>
            </w:r>
          </w:p>
        </w:tc>
        <w:tc>
          <w:tcPr>
            <w:tcW w:w="5060" w:type="dxa"/>
            <w:tcBorders>
              <w:top w:val="nil"/>
              <w:left w:val="nil"/>
              <w:bottom w:val="single" w:sz="4" w:space="0" w:color="auto"/>
              <w:right w:val="single" w:sz="4" w:space="0" w:color="auto"/>
            </w:tcBorders>
            <w:shd w:val="clear" w:color="auto" w:fill="auto"/>
            <w:noWrap/>
            <w:vAlign w:val="bottom"/>
            <w:hideMark/>
          </w:tcPr>
          <w:p w14:paraId="52D00767"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Los Vilos 220-&gt;Las Palmas 220</w:t>
            </w:r>
          </w:p>
        </w:tc>
        <w:tc>
          <w:tcPr>
            <w:tcW w:w="960" w:type="dxa"/>
            <w:tcBorders>
              <w:top w:val="nil"/>
              <w:left w:val="nil"/>
              <w:bottom w:val="single" w:sz="4" w:space="0" w:color="auto"/>
              <w:right w:val="single" w:sz="4" w:space="0" w:color="auto"/>
            </w:tcBorders>
            <w:shd w:val="clear" w:color="auto" w:fill="auto"/>
            <w:noWrap/>
            <w:vAlign w:val="bottom"/>
            <w:hideMark/>
          </w:tcPr>
          <w:p w14:paraId="11B8D5E9"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0.326</w:t>
            </w:r>
          </w:p>
        </w:tc>
        <w:tc>
          <w:tcPr>
            <w:tcW w:w="960" w:type="dxa"/>
            <w:tcBorders>
              <w:top w:val="nil"/>
              <w:left w:val="nil"/>
              <w:bottom w:val="single" w:sz="4" w:space="0" w:color="auto"/>
              <w:right w:val="single" w:sz="4" w:space="0" w:color="auto"/>
            </w:tcBorders>
            <w:shd w:val="clear" w:color="auto" w:fill="auto"/>
            <w:noWrap/>
            <w:vAlign w:val="bottom"/>
            <w:hideMark/>
          </w:tcPr>
          <w:p w14:paraId="7AF2F6CD"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0.674</w:t>
            </w:r>
          </w:p>
        </w:tc>
        <w:tc>
          <w:tcPr>
            <w:tcW w:w="960" w:type="dxa"/>
            <w:tcBorders>
              <w:top w:val="nil"/>
              <w:left w:val="nil"/>
              <w:bottom w:val="single" w:sz="4" w:space="0" w:color="auto"/>
              <w:right w:val="single" w:sz="4" w:space="0" w:color="auto"/>
            </w:tcBorders>
            <w:shd w:val="clear" w:color="auto" w:fill="auto"/>
            <w:noWrap/>
            <w:vAlign w:val="bottom"/>
            <w:hideMark/>
          </w:tcPr>
          <w:p w14:paraId="55F3084A"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0.457</w:t>
            </w:r>
          </w:p>
        </w:tc>
        <w:tc>
          <w:tcPr>
            <w:tcW w:w="960" w:type="dxa"/>
            <w:tcBorders>
              <w:top w:val="nil"/>
              <w:left w:val="nil"/>
              <w:bottom w:val="single" w:sz="4" w:space="0" w:color="auto"/>
              <w:right w:val="single" w:sz="4" w:space="0" w:color="auto"/>
            </w:tcBorders>
            <w:shd w:val="clear" w:color="auto" w:fill="auto"/>
            <w:noWrap/>
            <w:vAlign w:val="bottom"/>
            <w:hideMark/>
          </w:tcPr>
          <w:p w14:paraId="6791D56C"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0.543</w:t>
            </w:r>
          </w:p>
        </w:tc>
      </w:tr>
      <w:tr w:rsidR="004730B7" w:rsidRPr="004730B7" w14:paraId="2EF9A9AB"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2F4517F1"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N_76</w:t>
            </w:r>
          </w:p>
        </w:tc>
        <w:tc>
          <w:tcPr>
            <w:tcW w:w="5060" w:type="dxa"/>
            <w:tcBorders>
              <w:top w:val="nil"/>
              <w:left w:val="nil"/>
              <w:bottom w:val="single" w:sz="4" w:space="0" w:color="auto"/>
              <w:right w:val="single" w:sz="4" w:space="0" w:color="auto"/>
            </w:tcBorders>
            <w:shd w:val="clear" w:color="auto" w:fill="auto"/>
            <w:noWrap/>
            <w:vAlign w:val="bottom"/>
            <w:hideMark/>
          </w:tcPr>
          <w:p w14:paraId="08B4364C"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Los Vilos 220-&gt;Nogales 220</w:t>
            </w:r>
          </w:p>
        </w:tc>
        <w:tc>
          <w:tcPr>
            <w:tcW w:w="960" w:type="dxa"/>
            <w:tcBorders>
              <w:top w:val="nil"/>
              <w:left w:val="nil"/>
              <w:bottom w:val="single" w:sz="4" w:space="0" w:color="auto"/>
              <w:right w:val="single" w:sz="4" w:space="0" w:color="auto"/>
            </w:tcBorders>
            <w:shd w:val="clear" w:color="auto" w:fill="auto"/>
            <w:noWrap/>
            <w:vAlign w:val="bottom"/>
            <w:hideMark/>
          </w:tcPr>
          <w:p w14:paraId="0493A880"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0.319</w:t>
            </w:r>
          </w:p>
        </w:tc>
        <w:tc>
          <w:tcPr>
            <w:tcW w:w="960" w:type="dxa"/>
            <w:tcBorders>
              <w:top w:val="nil"/>
              <w:left w:val="nil"/>
              <w:bottom w:val="single" w:sz="4" w:space="0" w:color="auto"/>
              <w:right w:val="single" w:sz="4" w:space="0" w:color="auto"/>
            </w:tcBorders>
            <w:shd w:val="clear" w:color="auto" w:fill="auto"/>
            <w:noWrap/>
            <w:vAlign w:val="bottom"/>
            <w:hideMark/>
          </w:tcPr>
          <w:p w14:paraId="2FB3F464"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0.681</w:t>
            </w:r>
          </w:p>
        </w:tc>
        <w:tc>
          <w:tcPr>
            <w:tcW w:w="960" w:type="dxa"/>
            <w:tcBorders>
              <w:top w:val="nil"/>
              <w:left w:val="nil"/>
              <w:bottom w:val="single" w:sz="4" w:space="0" w:color="auto"/>
              <w:right w:val="single" w:sz="4" w:space="0" w:color="auto"/>
            </w:tcBorders>
            <w:shd w:val="clear" w:color="auto" w:fill="auto"/>
            <w:noWrap/>
            <w:vAlign w:val="bottom"/>
            <w:hideMark/>
          </w:tcPr>
          <w:p w14:paraId="25B37B85"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0.453</w:t>
            </w:r>
          </w:p>
        </w:tc>
        <w:tc>
          <w:tcPr>
            <w:tcW w:w="960" w:type="dxa"/>
            <w:tcBorders>
              <w:top w:val="nil"/>
              <w:left w:val="nil"/>
              <w:bottom w:val="single" w:sz="4" w:space="0" w:color="auto"/>
              <w:right w:val="single" w:sz="4" w:space="0" w:color="auto"/>
            </w:tcBorders>
            <w:shd w:val="clear" w:color="auto" w:fill="auto"/>
            <w:noWrap/>
            <w:vAlign w:val="bottom"/>
            <w:hideMark/>
          </w:tcPr>
          <w:p w14:paraId="719652F6"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0.547</w:t>
            </w:r>
          </w:p>
        </w:tc>
      </w:tr>
      <w:tr w:rsidR="004730B7" w:rsidRPr="004730B7" w14:paraId="1E38F497"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3AEEDA2A"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N_77</w:t>
            </w:r>
          </w:p>
        </w:tc>
        <w:tc>
          <w:tcPr>
            <w:tcW w:w="5060" w:type="dxa"/>
            <w:tcBorders>
              <w:top w:val="nil"/>
              <w:left w:val="nil"/>
              <w:bottom w:val="single" w:sz="4" w:space="0" w:color="auto"/>
              <w:right w:val="single" w:sz="4" w:space="0" w:color="auto"/>
            </w:tcBorders>
            <w:shd w:val="clear" w:color="auto" w:fill="auto"/>
            <w:noWrap/>
            <w:vAlign w:val="bottom"/>
            <w:hideMark/>
          </w:tcPr>
          <w:p w14:paraId="78345D50"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Los Vilos 220-&gt;Tap Doña Carmen 220</w:t>
            </w:r>
          </w:p>
        </w:tc>
        <w:tc>
          <w:tcPr>
            <w:tcW w:w="960" w:type="dxa"/>
            <w:tcBorders>
              <w:top w:val="nil"/>
              <w:left w:val="nil"/>
              <w:bottom w:val="single" w:sz="4" w:space="0" w:color="auto"/>
              <w:right w:val="single" w:sz="4" w:space="0" w:color="auto"/>
            </w:tcBorders>
            <w:shd w:val="clear" w:color="auto" w:fill="auto"/>
            <w:noWrap/>
            <w:vAlign w:val="bottom"/>
            <w:hideMark/>
          </w:tcPr>
          <w:p w14:paraId="0BECC106"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0.285</w:t>
            </w:r>
          </w:p>
        </w:tc>
        <w:tc>
          <w:tcPr>
            <w:tcW w:w="960" w:type="dxa"/>
            <w:tcBorders>
              <w:top w:val="nil"/>
              <w:left w:val="nil"/>
              <w:bottom w:val="single" w:sz="4" w:space="0" w:color="auto"/>
              <w:right w:val="single" w:sz="4" w:space="0" w:color="auto"/>
            </w:tcBorders>
            <w:shd w:val="clear" w:color="auto" w:fill="auto"/>
            <w:noWrap/>
            <w:vAlign w:val="bottom"/>
            <w:hideMark/>
          </w:tcPr>
          <w:p w14:paraId="14B5B981"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0.715</w:t>
            </w:r>
          </w:p>
        </w:tc>
        <w:tc>
          <w:tcPr>
            <w:tcW w:w="960" w:type="dxa"/>
            <w:tcBorders>
              <w:top w:val="nil"/>
              <w:left w:val="nil"/>
              <w:bottom w:val="single" w:sz="4" w:space="0" w:color="auto"/>
              <w:right w:val="single" w:sz="4" w:space="0" w:color="auto"/>
            </w:tcBorders>
            <w:shd w:val="clear" w:color="auto" w:fill="auto"/>
            <w:noWrap/>
            <w:vAlign w:val="bottom"/>
            <w:hideMark/>
          </w:tcPr>
          <w:p w14:paraId="1A9A57CB"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0.396</w:t>
            </w:r>
          </w:p>
        </w:tc>
        <w:tc>
          <w:tcPr>
            <w:tcW w:w="960" w:type="dxa"/>
            <w:tcBorders>
              <w:top w:val="nil"/>
              <w:left w:val="nil"/>
              <w:bottom w:val="single" w:sz="4" w:space="0" w:color="auto"/>
              <w:right w:val="single" w:sz="4" w:space="0" w:color="auto"/>
            </w:tcBorders>
            <w:shd w:val="clear" w:color="auto" w:fill="auto"/>
            <w:noWrap/>
            <w:vAlign w:val="bottom"/>
            <w:hideMark/>
          </w:tcPr>
          <w:p w14:paraId="2E26B6A0"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0.604</w:t>
            </w:r>
          </w:p>
        </w:tc>
      </w:tr>
      <w:tr w:rsidR="004730B7" w:rsidRPr="004730B7" w14:paraId="34EBEF71"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0A0BFDE1"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N_78</w:t>
            </w:r>
          </w:p>
        </w:tc>
        <w:tc>
          <w:tcPr>
            <w:tcW w:w="5060" w:type="dxa"/>
            <w:tcBorders>
              <w:top w:val="nil"/>
              <w:left w:val="nil"/>
              <w:bottom w:val="single" w:sz="4" w:space="0" w:color="auto"/>
              <w:right w:val="single" w:sz="4" w:space="0" w:color="auto"/>
            </w:tcBorders>
            <w:shd w:val="clear" w:color="auto" w:fill="auto"/>
            <w:noWrap/>
            <w:vAlign w:val="bottom"/>
            <w:hideMark/>
          </w:tcPr>
          <w:p w14:paraId="09175CFC"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Maitencillo 220-&gt;Algarrobal 220</w:t>
            </w:r>
          </w:p>
        </w:tc>
        <w:tc>
          <w:tcPr>
            <w:tcW w:w="960" w:type="dxa"/>
            <w:tcBorders>
              <w:top w:val="nil"/>
              <w:left w:val="nil"/>
              <w:bottom w:val="single" w:sz="4" w:space="0" w:color="auto"/>
              <w:right w:val="single" w:sz="4" w:space="0" w:color="auto"/>
            </w:tcBorders>
            <w:shd w:val="clear" w:color="auto" w:fill="auto"/>
            <w:noWrap/>
            <w:vAlign w:val="bottom"/>
            <w:hideMark/>
          </w:tcPr>
          <w:p w14:paraId="6056E485"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0.387</w:t>
            </w:r>
          </w:p>
        </w:tc>
        <w:tc>
          <w:tcPr>
            <w:tcW w:w="960" w:type="dxa"/>
            <w:tcBorders>
              <w:top w:val="nil"/>
              <w:left w:val="nil"/>
              <w:bottom w:val="single" w:sz="4" w:space="0" w:color="auto"/>
              <w:right w:val="single" w:sz="4" w:space="0" w:color="auto"/>
            </w:tcBorders>
            <w:shd w:val="clear" w:color="auto" w:fill="auto"/>
            <w:noWrap/>
            <w:vAlign w:val="bottom"/>
            <w:hideMark/>
          </w:tcPr>
          <w:p w14:paraId="0089AC45"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0.613</w:t>
            </w:r>
          </w:p>
        </w:tc>
        <w:tc>
          <w:tcPr>
            <w:tcW w:w="960" w:type="dxa"/>
            <w:tcBorders>
              <w:top w:val="nil"/>
              <w:left w:val="nil"/>
              <w:bottom w:val="single" w:sz="4" w:space="0" w:color="auto"/>
              <w:right w:val="single" w:sz="4" w:space="0" w:color="auto"/>
            </w:tcBorders>
            <w:shd w:val="clear" w:color="auto" w:fill="auto"/>
            <w:noWrap/>
            <w:vAlign w:val="bottom"/>
            <w:hideMark/>
          </w:tcPr>
          <w:p w14:paraId="3CA28066"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0.547</w:t>
            </w:r>
          </w:p>
        </w:tc>
        <w:tc>
          <w:tcPr>
            <w:tcW w:w="960" w:type="dxa"/>
            <w:tcBorders>
              <w:top w:val="nil"/>
              <w:left w:val="nil"/>
              <w:bottom w:val="single" w:sz="4" w:space="0" w:color="auto"/>
              <w:right w:val="single" w:sz="4" w:space="0" w:color="auto"/>
            </w:tcBorders>
            <w:shd w:val="clear" w:color="auto" w:fill="auto"/>
            <w:noWrap/>
            <w:vAlign w:val="bottom"/>
            <w:hideMark/>
          </w:tcPr>
          <w:p w14:paraId="41249EC6"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0.453</w:t>
            </w:r>
          </w:p>
        </w:tc>
      </w:tr>
      <w:tr w:rsidR="004730B7" w:rsidRPr="004730B7" w14:paraId="4FD8B900"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5A4D8FE6"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N_79</w:t>
            </w:r>
          </w:p>
        </w:tc>
        <w:tc>
          <w:tcPr>
            <w:tcW w:w="5060" w:type="dxa"/>
            <w:tcBorders>
              <w:top w:val="nil"/>
              <w:left w:val="nil"/>
              <w:bottom w:val="single" w:sz="4" w:space="0" w:color="auto"/>
              <w:right w:val="single" w:sz="4" w:space="0" w:color="auto"/>
            </w:tcBorders>
            <w:shd w:val="clear" w:color="auto" w:fill="auto"/>
            <w:noWrap/>
            <w:vAlign w:val="bottom"/>
            <w:hideMark/>
          </w:tcPr>
          <w:p w14:paraId="6C966031"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Maitencillo 220-&gt;Don Hector 220</w:t>
            </w:r>
          </w:p>
        </w:tc>
        <w:tc>
          <w:tcPr>
            <w:tcW w:w="960" w:type="dxa"/>
            <w:tcBorders>
              <w:top w:val="nil"/>
              <w:left w:val="nil"/>
              <w:bottom w:val="single" w:sz="4" w:space="0" w:color="auto"/>
              <w:right w:val="single" w:sz="4" w:space="0" w:color="auto"/>
            </w:tcBorders>
            <w:shd w:val="clear" w:color="auto" w:fill="auto"/>
            <w:noWrap/>
            <w:vAlign w:val="bottom"/>
            <w:hideMark/>
          </w:tcPr>
          <w:p w14:paraId="5FF51862"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0.015</w:t>
            </w:r>
          </w:p>
        </w:tc>
        <w:tc>
          <w:tcPr>
            <w:tcW w:w="960" w:type="dxa"/>
            <w:tcBorders>
              <w:top w:val="nil"/>
              <w:left w:val="nil"/>
              <w:bottom w:val="single" w:sz="4" w:space="0" w:color="auto"/>
              <w:right w:val="single" w:sz="4" w:space="0" w:color="auto"/>
            </w:tcBorders>
            <w:shd w:val="clear" w:color="auto" w:fill="auto"/>
            <w:noWrap/>
            <w:vAlign w:val="bottom"/>
            <w:hideMark/>
          </w:tcPr>
          <w:p w14:paraId="58B546AF"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0.985</w:t>
            </w:r>
          </w:p>
        </w:tc>
        <w:tc>
          <w:tcPr>
            <w:tcW w:w="960" w:type="dxa"/>
            <w:tcBorders>
              <w:top w:val="nil"/>
              <w:left w:val="nil"/>
              <w:bottom w:val="single" w:sz="4" w:space="0" w:color="auto"/>
              <w:right w:val="single" w:sz="4" w:space="0" w:color="auto"/>
            </w:tcBorders>
            <w:shd w:val="clear" w:color="auto" w:fill="auto"/>
            <w:noWrap/>
            <w:vAlign w:val="bottom"/>
            <w:hideMark/>
          </w:tcPr>
          <w:p w14:paraId="3D6594AC"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0.023</w:t>
            </w:r>
          </w:p>
        </w:tc>
        <w:tc>
          <w:tcPr>
            <w:tcW w:w="960" w:type="dxa"/>
            <w:tcBorders>
              <w:top w:val="nil"/>
              <w:left w:val="nil"/>
              <w:bottom w:val="single" w:sz="4" w:space="0" w:color="auto"/>
              <w:right w:val="single" w:sz="4" w:space="0" w:color="auto"/>
            </w:tcBorders>
            <w:shd w:val="clear" w:color="auto" w:fill="auto"/>
            <w:noWrap/>
            <w:vAlign w:val="bottom"/>
            <w:hideMark/>
          </w:tcPr>
          <w:p w14:paraId="7D054FF1"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0.977</w:t>
            </w:r>
          </w:p>
        </w:tc>
      </w:tr>
      <w:tr w:rsidR="004730B7" w:rsidRPr="004730B7" w14:paraId="263BBB9E"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483E16C8"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N_80</w:t>
            </w:r>
          </w:p>
        </w:tc>
        <w:tc>
          <w:tcPr>
            <w:tcW w:w="5060" w:type="dxa"/>
            <w:tcBorders>
              <w:top w:val="nil"/>
              <w:left w:val="nil"/>
              <w:bottom w:val="single" w:sz="4" w:space="0" w:color="auto"/>
              <w:right w:val="single" w:sz="4" w:space="0" w:color="auto"/>
            </w:tcBorders>
            <w:shd w:val="clear" w:color="auto" w:fill="auto"/>
            <w:noWrap/>
            <w:vAlign w:val="bottom"/>
            <w:hideMark/>
          </w:tcPr>
          <w:p w14:paraId="10FCD212"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Maitencillo 220-&gt;Tap El Romero 220</w:t>
            </w:r>
          </w:p>
        </w:tc>
        <w:tc>
          <w:tcPr>
            <w:tcW w:w="960" w:type="dxa"/>
            <w:tcBorders>
              <w:top w:val="nil"/>
              <w:left w:val="nil"/>
              <w:bottom w:val="single" w:sz="4" w:space="0" w:color="auto"/>
              <w:right w:val="single" w:sz="4" w:space="0" w:color="auto"/>
            </w:tcBorders>
            <w:shd w:val="clear" w:color="auto" w:fill="auto"/>
            <w:noWrap/>
            <w:vAlign w:val="bottom"/>
            <w:hideMark/>
          </w:tcPr>
          <w:p w14:paraId="4E13C718"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0.020</w:t>
            </w:r>
          </w:p>
        </w:tc>
        <w:tc>
          <w:tcPr>
            <w:tcW w:w="960" w:type="dxa"/>
            <w:tcBorders>
              <w:top w:val="nil"/>
              <w:left w:val="nil"/>
              <w:bottom w:val="single" w:sz="4" w:space="0" w:color="auto"/>
              <w:right w:val="single" w:sz="4" w:space="0" w:color="auto"/>
            </w:tcBorders>
            <w:shd w:val="clear" w:color="auto" w:fill="auto"/>
            <w:noWrap/>
            <w:vAlign w:val="bottom"/>
            <w:hideMark/>
          </w:tcPr>
          <w:p w14:paraId="67C9B34A"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0.980</w:t>
            </w:r>
          </w:p>
        </w:tc>
        <w:tc>
          <w:tcPr>
            <w:tcW w:w="960" w:type="dxa"/>
            <w:tcBorders>
              <w:top w:val="nil"/>
              <w:left w:val="nil"/>
              <w:bottom w:val="single" w:sz="4" w:space="0" w:color="auto"/>
              <w:right w:val="single" w:sz="4" w:space="0" w:color="auto"/>
            </w:tcBorders>
            <w:shd w:val="clear" w:color="auto" w:fill="auto"/>
            <w:noWrap/>
            <w:vAlign w:val="bottom"/>
            <w:hideMark/>
          </w:tcPr>
          <w:p w14:paraId="3FF01A57"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0.029</w:t>
            </w:r>
          </w:p>
        </w:tc>
        <w:tc>
          <w:tcPr>
            <w:tcW w:w="960" w:type="dxa"/>
            <w:tcBorders>
              <w:top w:val="nil"/>
              <w:left w:val="nil"/>
              <w:bottom w:val="single" w:sz="4" w:space="0" w:color="auto"/>
              <w:right w:val="single" w:sz="4" w:space="0" w:color="auto"/>
            </w:tcBorders>
            <w:shd w:val="clear" w:color="auto" w:fill="auto"/>
            <w:noWrap/>
            <w:vAlign w:val="bottom"/>
            <w:hideMark/>
          </w:tcPr>
          <w:p w14:paraId="792F4A21"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0.971</w:t>
            </w:r>
          </w:p>
        </w:tc>
      </w:tr>
      <w:tr w:rsidR="004730B7" w:rsidRPr="004730B7" w14:paraId="7243E23C"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5C9957F7"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N_81</w:t>
            </w:r>
          </w:p>
        </w:tc>
        <w:tc>
          <w:tcPr>
            <w:tcW w:w="5060" w:type="dxa"/>
            <w:tcBorders>
              <w:top w:val="nil"/>
              <w:left w:val="nil"/>
              <w:bottom w:val="single" w:sz="4" w:space="0" w:color="auto"/>
              <w:right w:val="single" w:sz="4" w:space="0" w:color="auto"/>
            </w:tcBorders>
            <w:shd w:val="clear" w:color="auto" w:fill="auto"/>
            <w:noWrap/>
            <w:vAlign w:val="bottom"/>
            <w:hideMark/>
          </w:tcPr>
          <w:p w14:paraId="01D08815"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Maria Elena 220-&gt;Kimal 220</w:t>
            </w:r>
          </w:p>
        </w:tc>
        <w:tc>
          <w:tcPr>
            <w:tcW w:w="960" w:type="dxa"/>
            <w:tcBorders>
              <w:top w:val="nil"/>
              <w:left w:val="nil"/>
              <w:bottom w:val="single" w:sz="4" w:space="0" w:color="auto"/>
              <w:right w:val="single" w:sz="4" w:space="0" w:color="auto"/>
            </w:tcBorders>
            <w:shd w:val="clear" w:color="auto" w:fill="auto"/>
            <w:noWrap/>
            <w:vAlign w:val="bottom"/>
            <w:hideMark/>
          </w:tcPr>
          <w:p w14:paraId="38014FF1"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0.200</w:t>
            </w:r>
          </w:p>
        </w:tc>
        <w:tc>
          <w:tcPr>
            <w:tcW w:w="960" w:type="dxa"/>
            <w:tcBorders>
              <w:top w:val="nil"/>
              <w:left w:val="nil"/>
              <w:bottom w:val="single" w:sz="4" w:space="0" w:color="auto"/>
              <w:right w:val="single" w:sz="4" w:space="0" w:color="auto"/>
            </w:tcBorders>
            <w:shd w:val="clear" w:color="auto" w:fill="auto"/>
            <w:noWrap/>
            <w:vAlign w:val="bottom"/>
            <w:hideMark/>
          </w:tcPr>
          <w:p w14:paraId="2564A0E1"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0.800</w:t>
            </w:r>
          </w:p>
        </w:tc>
        <w:tc>
          <w:tcPr>
            <w:tcW w:w="960" w:type="dxa"/>
            <w:tcBorders>
              <w:top w:val="nil"/>
              <w:left w:val="nil"/>
              <w:bottom w:val="single" w:sz="4" w:space="0" w:color="auto"/>
              <w:right w:val="single" w:sz="4" w:space="0" w:color="auto"/>
            </w:tcBorders>
            <w:shd w:val="clear" w:color="auto" w:fill="auto"/>
            <w:noWrap/>
            <w:vAlign w:val="bottom"/>
            <w:hideMark/>
          </w:tcPr>
          <w:p w14:paraId="207C976E"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0.308</w:t>
            </w:r>
          </w:p>
        </w:tc>
        <w:tc>
          <w:tcPr>
            <w:tcW w:w="960" w:type="dxa"/>
            <w:tcBorders>
              <w:top w:val="nil"/>
              <w:left w:val="nil"/>
              <w:bottom w:val="single" w:sz="4" w:space="0" w:color="auto"/>
              <w:right w:val="single" w:sz="4" w:space="0" w:color="auto"/>
            </w:tcBorders>
            <w:shd w:val="clear" w:color="auto" w:fill="auto"/>
            <w:noWrap/>
            <w:vAlign w:val="bottom"/>
            <w:hideMark/>
          </w:tcPr>
          <w:p w14:paraId="66CA1992"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0.692</w:t>
            </w:r>
          </w:p>
        </w:tc>
      </w:tr>
      <w:tr w:rsidR="004730B7" w:rsidRPr="004730B7" w14:paraId="3E8D6AEE"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314AFCBA"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lastRenderedPageBreak/>
              <w:t>N_82</w:t>
            </w:r>
          </w:p>
        </w:tc>
        <w:tc>
          <w:tcPr>
            <w:tcW w:w="5060" w:type="dxa"/>
            <w:tcBorders>
              <w:top w:val="nil"/>
              <w:left w:val="nil"/>
              <w:bottom w:val="single" w:sz="4" w:space="0" w:color="auto"/>
              <w:right w:val="single" w:sz="4" w:space="0" w:color="auto"/>
            </w:tcBorders>
            <w:shd w:val="clear" w:color="auto" w:fill="auto"/>
            <w:noWrap/>
            <w:vAlign w:val="bottom"/>
            <w:hideMark/>
          </w:tcPr>
          <w:p w14:paraId="24CE38D3"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Maria Elena 220-&gt;Quillagua 220</w:t>
            </w:r>
          </w:p>
        </w:tc>
        <w:tc>
          <w:tcPr>
            <w:tcW w:w="960" w:type="dxa"/>
            <w:tcBorders>
              <w:top w:val="nil"/>
              <w:left w:val="nil"/>
              <w:bottom w:val="single" w:sz="4" w:space="0" w:color="auto"/>
              <w:right w:val="single" w:sz="4" w:space="0" w:color="auto"/>
            </w:tcBorders>
            <w:shd w:val="clear" w:color="auto" w:fill="auto"/>
            <w:noWrap/>
            <w:vAlign w:val="bottom"/>
            <w:hideMark/>
          </w:tcPr>
          <w:p w14:paraId="1666B48C"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0.168</w:t>
            </w:r>
          </w:p>
        </w:tc>
        <w:tc>
          <w:tcPr>
            <w:tcW w:w="960" w:type="dxa"/>
            <w:tcBorders>
              <w:top w:val="nil"/>
              <w:left w:val="nil"/>
              <w:bottom w:val="single" w:sz="4" w:space="0" w:color="auto"/>
              <w:right w:val="single" w:sz="4" w:space="0" w:color="auto"/>
            </w:tcBorders>
            <w:shd w:val="clear" w:color="auto" w:fill="auto"/>
            <w:noWrap/>
            <w:vAlign w:val="bottom"/>
            <w:hideMark/>
          </w:tcPr>
          <w:p w14:paraId="7D2913AE"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0.832</w:t>
            </w:r>
          </w:p>
        </w:tc>
        <w:tc>
          <w:tcPr>
            <w:tcW w:w="960" w:type="dxa"/>
            <w:tcBorders>
              <w:top w:val="nil"/>
              <w:left w:val="nil"/>
              <w:bottom w:val="single" w:sz="4" w:space="0" w:color="auto"/>
              <w:right w:val="single" w:sz="4" w:space="0" w:color="auto"/>
            </w:tcBorders>
            <w:shd w:val="clear" w:color="auto" w:fill="auto"/>
            <w:noWrap/>
            <w:vAlign w:val="bottom"/>
            <w:hideMark/>
          </w:tcPr>
          <w:p w14:paraId="2BE4FC96"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0.223</w:t>
            </w:r>
          </w:p>
        </w:tc>
        <w:tc>
          <w:tcPr>
            <w:tcW w:w="960" w:type="dxa"/>
            <w:tcBorders>
              <w:top w:val="nil"/>
              <w:left w:val="nil"/>
              <w:bottom w:val="single" w:sz="4" w:space="0" w:color="auto"/>
              <w:right w:val="single" w:sz="4" w:space="0" w:color="auto"/>
            </w:tcBorders>
            <w:shd w:val="clear" w:color="auto" w:fill="auto"/>
            <w:noWrap/>
            <w:vAlign w:val="bottom"/>
            <w:hideMark/>
          </w:tcPr>
          <w:p w14:paraId="0ABAE26F"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0.777</w:t>
            </w:r>
          </w:p>
        </w:tc>
      </w:tr>
      <w:tr w:rsidR="004730B7" w:rsidRPr="004730B7" w14:paraId="4D8FCB39"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524C058D"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N_83</w:t>
            </w:r>
          </w:p>
        </w:tc>
        <w:tc>
          <w:tcPr>
            <w:tcW w:w="5060" w:type="dxa"/>
            <w:tcBorders>
              <w:top w:val="nil"/>
              <w:left w:val="nil"/>
              <w:bottom w:val="single" w:sz="4" w:space="0" w:color="auto"/>
              <w:right w:val="single" w:sz="4" w:space="0" w:color="auto"/>
            </w:tcBorders>
            <w:shd w:val="clear" w:color="auto" w:fill="auto"/>
            <w:noWrap/>
            <w:vAlign w:val="bottom"/>
            <w:hideMark/>
          </w:tcPr>
          <w:p w14:paraId="497DCAF0"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Melipulli 220-&gt;Pargua 220</w:t>
            </w:r>
          </w:p>
        </w:tc>
        <w:tc>
          <w:tcPr>
            <w:tcW w:w="960" w:type="dxa"/>
            <w:tcBorders>
              <w:top w:val="nil"/>
              <w:left w:val="nil"/>
              <w:bottom w:val="single" w:sz="4" w:space="0" w:color="auto"/>
              <w:right w:val="single" w:sz="4" w:space="0" w:color="auto"/>
            </w:tcBorders>
            <w:shd w:val="clear" w:color="auto" w:fill="auto"/>
            <w:noWrap/>
            <w:vAlign w:val="bottom"/>
            <w:hideMark/>
          </w:tcPr>
          <w:p w14:paraId="79DF356C"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0.622</w:t>
            </w:r>
          </w:p>
        </w:tc>
        <w:tc>
          <w:tcPr>
            <w:tcW w:w="960" w:type="dxa"/>
            <w:tcBorders>
              <w:top w:val="nil"/>
              <w:left w:val="nil"/>
              <w:bottom w:val="single" w:sz="4" w:space="0" w:color="auto"/>
              <w:right w:val="single" w:sz="4" w:space="0" w:color="auto"/>
            </w:tcBorders>
            <w:shd w:val="clear" w:color="auto" w:fill="auto"/>
            <w:noWrap/>
            <w:vAlign w:val="bottom"/>
            <w:hideMark/>
          </w:tcPr>
          <w:p w14:paraId="03116115"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0.378</w:t>
            </w:r>
          </w:p>
        </w:tc>
        <w:tc>
          <w:tcPr>
            <w:tcW w:w="960" w:type="dxa"/>
            <w:tcBorders>
              <w:top w:val="nil"/>
              <w:left w:val="nil"/>
              <w:bottom w:val="single" w:sz="4" w:space="0" w:color="auto"/>
              <w:right w:val="single" w:sz="4" w:space="0" w:color="auto"/>
            </w:tcBorders>
            <w:shd w:val="clear" w:color="auto" w:fill="auto"/>
            <w:noWrap/>
            <w:vAlign w:val="bottom"/>
            <w:hideMark/>
          </w:tcPr>
          <w:p w14:paraId="4CC604DF"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0.769</w:t>
            </w:r>
          </w:p>
        </w:tc>
        <w:tc>
          <w:tcPr>
            <w:tcW w:w="960" w:type="dxa"/>
            <w:tcBorders>
              <w:top w:val="nil"/>
              <w:left w:val="nil"/>
              <w:bottom w:val="single" w:sz="4" w:space="0" w:color="auto"/>
              <w:right w:val="single" w:sz="4" w:space="0" w:color="auto"/>
            </w:tcBorders>
            <w:shd w:val="clear" w:color="auto" w:fill="auto"/>
            <w:noWrap/>
            <w:vAlign w:val="bottom"/>
            <w:hideMark/>
          </w:tcPr>
          <w:p w14:paraId="63B5B93A"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0.231</w:t>
            </w:r>
          </w:p>
        </w:tc>
      </w:tr>
      <w:tr w:rsidR="004730B7" w:rsidRPr="004730B7" w14:paraId="1EB5B1C8"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20742BCA"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N_84</w:t>
            </w:r>
          </w:p>
        </w:tc>
        <w:tc>
          <w:tcPr>
            <w:tcW w:w="5060" w:type="dxa"/>
            <w:tcBorders>
              <w:top w:val="nil"/>
              <w:left w:val="nil"/>
              <w:bottom w:val="single" w:sz="4" w:space="0" w:color="auto"/>
              <w:right w:val="single" w:sz="4" w:space="0" w:color="auto"/>
            </w:tcBorders>
            <w:shd w:val="clear" w:color="auto" w:fill="auto"/>
            <w:noWrap/>
            <w:vAlign w:val="bottom"/>
            <w:hideMark/>
          </w:tcPr>
          <w:p w14:paraId="23C0B54F"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Melipulli 220-&gt;Puerto Montt 220</w:t>
            </w:r>
          </w:p>
        </w:tc>
        <w:tc>
          <w:tcPr>
            <w:tcW w:w="960" w:type="dxa"/>
            <w:tcBorders>
              <w:top w:val="nil"/>
              <w:left w:val="nil"/>
              <w:bottom w:val="single" w:sz="4" w:space="0" w:color="auto"/>
              <w:right w:val="single" w:sz="4" w:space="0" w:color="auto"/>
            </w:tcBorders>
            <w:shd w:val="clear" w:color="auto" w:fill="auto"/>
            <w:noWrap/>
            <w:vAlign w:val="bottom"/>
            <w:hideMark/>
          </w:tcPr>
          <w:p w14:paraId="32F851C5"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7B65C3A3"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1.000</w:t>
            </w:r>
          </w:p>
        </w:tc>
        <w:tc>
          <w:tcPr>
            <w:tcW w:w="960" w:type="dxa"/>
            <w:tcBorders>
              <w:top w:val="nil"/>
              <w:left w:val="nil"/>
              <w:bottom w:val="single" w:sz="4" w:space="0" w:color="auto"/>
              <w:right w:val="single" w:sz="4" w:space="0" w:color="auto"/>
            </w:tcBorders>
            <w:shd w:val="clear" w:color="auto" w:fill="auto"/>
            <w:noWrap/>
            <w:vAlign w:val="bottom"/>
            <w:hideMark/>
          </w:tcPr>
          <w:p w14:paraId="0A0F3296"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04146D67"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1.000</w:t>
            </w:r>
          </w:p>
        </w:tc>
      </w:tr>
      <w:tr w:rsidR="004730B7" w:rsidRPr="004730B7" w14:paraId="7E101192"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3B720353"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N_85</w:t>
            </w:r>
          </w:p>
        </w:tc>
        <w:tc>
          <w:tcPr>
            <w:tcW w:w="5060" w:type="dxa"/>
            <w:tcBorders>
              <w:top w:val="nil"/>
              <w:left w:val="nil"/>
              <w:bottom w:val="single" w:sz="4" w:space="0" w:color="auto"/>
              <w:right w:val="single" w:sz="4" w:space="0" w:color="auto"/>
            </w:tcBorders>
            <w:shd w:val="clear" w:color="auto" w:fill="auto"/>
            <w:noWrap/>
            <w:vAlign w:val="bottom"/>
            <w:hideMark/>
          </w:tcPr>
          <w:p w14:paraId="1FF64D70"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Miraje 220-&gt;Atacama 220</w:t>
            </w:r>
          </w:p>
        </w:tc>
        <w:tc>
          <w:tcPr>
            <w:tcW w:w="960" w:type="dxa"/>
            <w:tcBorders>
              <w:top w:val="nil"/>
              <w:left w:val="nil"/>
              <w:bottom w:val="single" w:sz="4" w:space="0" w:color="auto"/>
              <w:right w:val="single" w:sz="4" w:space="0" w:color="auto"/>
            </w:tcBorders>
            <w:shd w:val="clear" w:color="auto" w:fill="auto"/>
            <w:noWrap/>
            <w:vAlign w:val="bottom"/>
            <w:hideMark/>
          </w:tcPr>
          <w:p w14:paraId="470583B3"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0.128</w:t>
            </w:r>
          </w:p>
        </w:tc>
        <w:tc>
          <w:tcPr>
            <w:tcW w:w="960" w:type="dxa"/>
            <w:tcBorders>
              <w:top w:val="nil"/>
              <w:left w:val="nil"/>
              <w:bottom w:val="single" w:sz="4" w:space="0" w:color="auto"/>
              <w:right w:val="single" w:sz="4" w:space="0" w:color="auto"/>
            </w:tcBorders>
            <w:shd w:val="clear" w:color="auto" w:fill="auto"/>
            <w:noWrap/>
            <w:vAlign w:val="bottom"/>
            <w:hideMark/>
          </w:tcPr>
          <w:p w14:paraId="399A44D7"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0.872</w:t>
            </w:r>
          </w:p>
        </w:tc>
        <w:tc>
          <w:tcPr>
            <w:tcW w:w="960" w:type="dxa"/>
            <w:tcBorders>
              <w:top w:val="nil"/>
              <w:left w:val="nil"/>
              <w:bottom w:val="single" w:sz="4" w:space="0" w:color="auto"/>
              <w:right w:val="single" w:sz="4" w:space="0" w:color="auto"/>
            </w:tcBorders>
            <w:shd w:val="clear" w:color="auto" w:fill="auto"/>
            <w:noWrap/>
            <w:vAlign w:val="bottom"/>
            <w:hideMark/>
          </w:tcPr>
          <w:p w14:paraId="6E4FCBA3"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0.182</w:t>
            </w:r>
          </w:p>
        </w:tc>
        <w:tc>
          <w:tcPr>
            <w:tcW w:w="960" w:type="dxa"/>
            <w:tcBorders>
              <w:top w:val="nil"/>
              <w:left w:val="nil"/>
              <w:bottom w:val="single" w:sz="4" w:space="0" w:color="auto"/>
              <w:right w:val="single" w:sz="4" w:space="0" w:color="auto"/>
            </w:tcBorders>
            <w:shd w:val="clear" w:color="auto" w:fill="auto"/>
            <w:noWrap/>
            <w:vAlign w:val="bottom"/>
            <w:hideMark/>
          </w:tcPr>
          <w:p w14:paraId="06441CC3"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0.818</w:t>
            </w:r>
          </w:p>
        </w:tc>
      </w:tr>
      <w:tr w:rsidR="004730B7" w:rsidRPr="004730B7" w14:paraId="66C05FF8"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497EF8BD"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N_86</w:t>
            </w:r>
          </w:p>
        </w:tc>
        <w:tc>
          <w:tcPr>
            <w:tcW w:w="5060" w:type="dxa"/>
            <w:tcBorders>
              <w:top w:val="nil"/>
              <w:left w:val="nil"/>
              <w:bottom w:val="single" w:sz="4" w:space="0" w:color="auto"/>
              <w:right w:val="single" w:sz="4" w:space="0" w:color="auto"/>
            </w:tcBorders>
            <w:shd w:val="clear" w:color="auto" w:fill="auto"/>
            <w:noWrap/>
            <w:vAlign w:val="bottom"/>
            <w:hideMark/>
          </w:tcPr>
          <w:p w14:paraId="27193750"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Miraje 220-&gt;Tap Enlace 220</w:t>
            </w:r>
          </w:p>
        </w:tc>
        <w:tc>
          <w:tcPr>
            <w:tcW w:w="960" w:type="dxa"/>
            <w:tcBorders>
              <w:top w:val="nil"/>
              <w:left w:val="nil"/>
              <w:bottom w:val="single" w:sz="4" w:space="0" w:color="auto"/>
              <w:right w:val="single" w:sz="4" w:space="0" w:color="auto"/>
            </w:tcBorders>
            <w:shd w:val="clear" w:color="auto" w:fill="auto"/>
            <w:noWrap/>
            <w:vAlign w:val="bottom"/>
            <w:hideMark/>
          </w:tcPr>
          <w:p w14:paraId="0D6BCAF0"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0.157</w:t>
            </w:r>
          </w:p>
        </w:tc>
        <w:tc>
          <w:tcPr>
            <w:tcW w:w="960" w:type="dxa"/>
            <w:tcBorders>
              <w:top w:val="nil"/>
              <w:left w:val="nil"/>
              <w:bottom w:val="single" w:sz="4" w:space="0" w:color="auto"/>
              <w:right w:val="single" w:sz="4" w:space="0" w:color="auto"/>
            </w:tcBorders>
            <w:shd w:val="clear" w:color="auto" w:fill="auto"/>
            <w:noWrap/>
            <w:vAlign w:val="bottom"/>
            <w:hideMark/>
          </w:tcPr>
          <w:p w14:paraId="7B55089D"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0.843</w:t>
            </w:r>
          </w:p>
        </w:tc>
        <w:tc>
          <w:tcPr>
            <w:tcW w:w="960" w:type="dxa"/>
            <w:tcBorders>
              <w:top w:val="nil"/>
              <w:left w:val="nil"/>
              <w:bottom w:val="single" w:sz="4" w:space="0" w:color="auto"/>
              <w:right w:val="single" w:sz="4" w:space="0" w:color="auto"/>
            </w:tcBorders>
            <w:shd w:val="clear" w:color="auto" w:fill="auto"/>
            <w:noWrap/>
            <w:vAlign w:val="bottom"/>
            <w:hideMark/>
          </w:tcPr>
          <w:p w14:paraId="08386E6B"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0.254</w:t>
            </w:r>
          </w:p>
        </w:tc>
        <w:tc>
          <w:tcPr>
            <w:tcW w:w="960" w:type="dxa"/>
            <w:tcBorders>
              <w:top w:val="nil"/>
              <w:left w:val="nil"/>
              <w:bottom w:val="single" w:sz="4" w:space="0" w:color="auto"/>
              <w:right w:val="single" w:sz="4" w:space="0" w:color="auto"/>
            </w:tcBorders>
            <w:shd w:val="clear" w:color="auto" w:fill="auto"/>
            <w:noWrap/>
            <w:vAlign w:val="bottom"/>
            <w:hideMark/>
          </w:tcPr>
          <w:p w14:paraId="77F0AA40"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0.746</w:t>
            </w:r>
          </w:p>
        </w:tc>
      </w:tr>
      <w:tr w:rsidR="004730B7" w:rsidRPr="004730B7" w14:paraId="28785F1C"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7D2E9D8F"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N_87</w:t>
            </w:r>
          </w:p>
        </w:tc>
        <w:tc>
          <w:tcPr>
            <w:tcW w:w="5060" w:type="dxa"/>
            <w:tcBorders>
              <w:top w:val="nil"/>
              <w:left w:val="nil"/>
              <w:bottom w:val="single" w:sz="4" w:space="0" w:color="auto"/>
              <w:right w:val="single" w:sz="4" w:space="0" w:color="auto"/>
            </w:tcBorders>
            <w:shd w:val="clear" w:color="auto" w:fill="auto"/>
            <w:noWrap/>
            <w:vAlign w:val="bottom"/>
            <w:hideMark/>
          </w:tcPr>
          <w:p w14:paraId="005F6972"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Mulchen 220-&gt;Rio Malleco 220</w:t>
            </w:r>
          </w:p>
        </w:tc>
        <w:tc>
          <w:tcPr>
            <w:tcW w:w="960" w:type="dxa"/>
            <w:tcBorders>
              <w:top w:val="nil"/>
              <w:left w:val="nil"/>
              <w:bottom w:val="single" w:sz="4" w:space="0" w:color="auto"/>
              <w:right w:val="single" w:sz="4" w:space="0" w:color="auto"/>
            </w:tcBorders>
            <w:shd w:val="clear" w:color="auto" w:fill="auto"/>
            <w:noWrap/>
            <w:vAlign w:val="bottom"/>
            <w:hideMark/>
          </w:tcPr>
          <w:p w14:paraId="675CDC81"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0.176</w:t>
            </w:r>
          </w:p>
        </w:tc>
        <w:tc>
          <w:tcPr>
            <w:tcW w:w="960" w:type="dxa"/>
            <w:tcBorders>
              <w:top w:val="nil"/>
              <w:left w:val="nil"/>
              <w:bottom w:val="single" w:sz="4" w:space="0" w:color="auto"/>
              <w:right w:val="single" w:sz="4" w:space="0" w:color="auto"/>
            </w:tcBorders>
            <w:shd w:val="clear" w:color="auto" w:fill="auto"/>
            <w:noWrap/>
            <w:vAlign w:val="bottom"/>
            <w:hideMark/>
          </w:tcPr>
          <w:p w14:paraId="70843381"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0.824</w:t>
            </w:r>
          </w:p>
        </w:tc>
        <w:tc>
          <w:tcPr>
            <w:tcW w:w="960" w:type="dxa"/>
            <w:tcBorders>
              <w:top w:val="nil"/>
              <w:left w:val="nil"/>
              <w:bottom w:val="single" w:sz="4" w:space="0" w:color="auto"/>
              <w:right w:val="single" w:sz="4" w:space="0" w:color="auto"/>
            </w:tcBorders>
            <w:shd w:val="clear" w:color="auto" w:fill="auto"/>
            <w:noWrap/>
            <w:vAlign w:val="bottom"/>
            <w:hideMark/>
          </w:tcPr>
          <w:p w14:paraId="1AB8C0A5"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0.253</w:t>
            </w:r>
          </w:p>
        </w:tc>
        <w:tc>
          <w:tcPr>
            <w:tcW w:w="960" w:type="dxa"/>
            <w:tcBorders>
              <w:top w:val="nil"/>
              <w:left w:val="nil"/>
              <w:bottom w:val="single" w:sz="4" w:space="0" w:color="auto"/>
              <w:right w:val="single" w:sz="4" w:space="0" w:color="auto"/>
            </w:tcBorders>
            <w:shd w:val="clear" w:color="auto" w:fill="auto"/>
            <w:noWrap/>
            <w:vAlign w:val="bottom"/>
            <w:hideMark/>
          </w:tcPr>
          <w:p w14:paraId="3CC33942"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0.747</w:t>
            </w:r>
          </w:p>
        </w:tc>
      </w:tr>
      <w:tr w:rsidR="004730B7" w:rsidRPr="004730B7" w14:paraId="1EF1C0FB"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2CE58F9D"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N_88</w:t>
            </w:r>
          </w:p>
        </w:tc>
        <w:tc>
          <w:tcPr>
            <w:tcW w:w="5060" w:type="dxa"/>
            <w:tcBorders>
              <w:top w:val="nil"/>
              <w:left w:val="nil"/>
              <w:bottom w:val="single" w:sz="4" w:space="0" w:color="auto"/>
              <w:right w:val="single" w:sz="4" w:space="0" w:color="auto"/>
            </w:tcBorders>
            <w:shd w:val="clear" w:color="auto" w:fill="auto"/>
            <w:noWrap/>
            <w:vAlign w:val="bottom"/>
            <w:hideMark/>
          </w:tcPr>
          <w:p w14:paraId="7DC336B9"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Nogales 220-&gt;Quillota 220</w:t>
            </w:r>
          </w:p>
        </w:tc>
        <w:tc>
          <w:tcPr>
            <w:tcW w:w="960" w:type="dxa"/>
            <w:tcBorders>
              <w:top w:val="nil"/>
              <w:left w:val="nil"/>
              <w:bottom w:val="single" w:sz="4" w:space="0" w:color="auto"/>
              <w:right w:val="single" w:sz="4" w:space="0" w:color="auto"/>
            </w:tcBorders>
            <w:shd w:val="clear" w:color="auto" w:fill="auto"/>
            <w:noWrap/>
            <w:vAlign w:val="bottom"/>
            <w:hideMark/>
          </w:tcPr>
          <w:p w14:paraId="45175C5B"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0.308</w:t>
            </w:r>
          </w:p>
        </w:tc>
        <w:tc>
          <w:tcPr>
            <w:tcW w:w="960" w:type="dxa"/>
            <w:tcBorders>
              <w:top w:val="nil"/>
              <w:left w:val="nil"/>
              <w:bottom w:val="single" w:sz="4" w:space="0" w:color="auto"/>
              <w:right w:val="single" w:sz="4" w:space="0" w:color="auto"/>
            </w:tcBorders>
            <w:shd w:val="clear" w:color="auto" w:fill="auto"/>
            <w:noWrap/>
            <w:vAlign w:val="bottom"/>
            <w:hideMark/>
          </w:tcPr>
          <w:p w14:paraId="2C3EE05B"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0.692</w:t>
            </w:r>
          </w:p>
        </w:tc>
        <w:tc>
          <w:tcPr>
            <w:tcW w:w="960" w:type="dxa"/>
            <w:tcBorders>
              <w:top w:val="nil"/>
              <w:left w:val="nil"/>
              <w:bottom w:val="single" w:sz="4" w:space="0" w:color="auto"/>
              <w:right w:val="single" w:sz="4" w:space="0" w:color="auto"/>
            </w:tcBorders>
            <w:shd w:val="clear" w:color="auto" w:fill="auto"/>
            <w:noWrap/>
            <w:vAlign w:val="bottom"/>
            <w:hideMark/>
          </w:tcPr>
          <w:p w14:paraId="0331DFF9"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0.446</w:t>
            </w:r>
          </w:p>
        </w:tc>
        <w:tc>
          <w:tcPr>
            <w:tcW w:w="960" w:type="dxa"/>
            <w:tcBorders>
              <w:top w:val="nil"/>
              <w:left w:val="nil"/>
              <w:bottom w:val="single" w:sz="4" w:space="0" w:color="auto"/>
              <w:right w:val="single" w:sz="4" w:space="0" w:color="auto"/>
            </w:tcBorders>
            <w:shd w:val="clear" w:color="auto" w:fill="auto"/>
            <w:noWrap/>
            <w:vAlign w:val="bottom"/>
            <w:hideMark/>
          </w:tcPr>
          <w:p w14:paraId="2B6A0FED"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0.554</w:t>
            </w:r>
          </w:p>
        </w:tc>
      </w:tr>
      <w:tr w:rsidR="004730B7" w:rsidRPr="004730B7" w14:paraId="1117EFE5"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3B852B69"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N_89</w:t>
            </w:r>
          </w:p>
        </w:tc>
        <w:tc>
          <w:tcPr>
            <w:tcW w:w="5060" w:type="dxa"/>
            <w:tcBorders>
              <w:top w:val="nil"/>
              <w:left w:val="nil"/>
              <w:bottom w:val="single" w:sz="4" w:space="0" w:color="auto"/>
              <w:right w:val="single" w:sz="4" w:space="0" w:color="auto"/>
            </w:tcBorders>
            <w:shd w:val="clear" w:color="auto" w:fill="auto"/>
            <w:noWrap/>
            <w:vAlign w:val="bottom"/>
            <w:hideMark/>
          </w:tcPr>
          <w:p w14:paraId="7EDF26E5"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Nogales 220-&gt;Rio Aconcagua 220</w:t>
            </w:r>
          </w:p>
        </w:tc>
        <w:tc>
          <w:tcPr>
            <w:tcW w:w="960" w:type="dxa"/>
            <w:tcBorders>
              <w:top w:val="nil"/>
              <w:left w:val="nil"/>
              <w:bottom w:val="single" w:sz="4" w:space="0" w:color="auto"/>
              <w:right w:val="single" w:sz="4" w:space="0" w:color="auto"/>
            </w:tcBorders>
            <w:shd w:val="clear" w:color="auto" w:fill="auto"/>
            <w:noWrap/>
            <w:vAlign w:val="bottom"/>
            <w:hideMark/>
          </w:tcPr>
          <w:p w14:paraId="51E41188"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35816F4A"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41973E67"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6241CB0F"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0.000</w:t>
            </w:r>
          </w:p>
        </w:tc>
      </w:tr>
      <w:tr w:rsidR="004730B7" w:rsidRPr="004730B7" w14:paraId="77F0681F"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5E5AD7D1"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N_90</w:t>
            </w:r>
          </w:p>
        </w:tc>
        <w:tc>
          <w:tcPr>
            <w:tcW w:w="5060" w:type="dxa"/>
            <w:tcBorders>
              <w:top w:val="nil"/>
              <w:left w:val="nil"/>
              <w:bottom w:val="single" w:sz="4" w:space="0" w:color="auto"/>
              <w:right w:val="single" w:sz="4" w:space="0" w:color="auto"/>
            </w:tcBorders>
            <w:shd w:val="clear" w:color="auto" w:fill="auto"/>
            <w:noWrap/>
            <w:vAlign w:val="bottom"/>
            <w:hideMark/>
          </w:tcPr>
          <w:p w14:paraId="5E164C88"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Nogales 220-&gt;Tap Doña Carmen 220</w:t>
            </w:r>
          </w:p>
        </w:tc>
        <w:tc>
          <w:tcPr>
            <w:tcW w:w="960" w:type="dxa"/>
            <w:tcBorders>
              <w:top w:val="nil"/>
              <w:left w:val="nil"/>
              <w:bottom w:val="single" w:sz="4" w:space="0" w:color="auto"/>
              <w:right w:val="single" w:sz="4" w:space="0" w:color="auto"/>
            </w:tcBorders>
            <w:shd w:val="clear" w:color="auto" w:fill="auto"/>
            <w:noWrap/>
            <w:vAlign w:val="bottom"/>
            <w:hideMark/>
          </w:tcPr>
          <w:p w14:paraId="1882F4EB"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0.377</w:t>
            </w:r>
          </w:p>
        </w:tc>
        <w:tc>
          <w:tcPr>
            <w:tcW w:w="960" w:type="dxa"/>
            <w:tcBorders>
              <w:top w:val="nil"/>
              <w:left w:val="nil"/>
              <w:bottom w:val="single" w:sz="4" w:space="0" w:color="auto"/>
              <w:right w:val="single" w:sz="4" w:space="0" w:color="auto"/>
            </w:tcBorders>
            <w:shd w:val="clear" w:color="auto" w:fill="auto"/>
            <w:noWrap/>
            <w:vAlign w:val="bottom"/>
            <w:hideMark/>
          </w:tcPr>
          <w:p w14:paraId="72FAAA58"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0.623</w:t>
            </w:r>
          </w:p>
        </w:tc>
        <w:tc>
          <w:tcPr>
            <w:tcW w:w="960" w:type="dxa"/>
            <w:tcBorders>
              <w:top w:val="nil"/>
              <w:left w:val="nil"/>
              <w:bottom w:val="single" w:sz="4" w:space="0" w:color="auto"/>
              <w:right w:val="single" w:sz="4" w:space="0" w:color="auto"/>
            </w:tcBorders>
            <w:shd w:val="clear" w:color="auto" w:fill="auto"/>
            <w:noWrap/>
            <w:vAlign w:val="bottom"/>
            <w:hideMark/>
          </w:tcPr>
          <w:p w14:paraId="1565DD0B"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0.542</w:t>
            </w:r>
          </w:p>
        </w:tc>
        <w:tc>
          <w:tcPr>
            <w:tcW w:w="960" w:type="dxa"/>
            <w:tcBorders>
              <w:top w:val="nil"/>
              <w:left w:val="nil"/>
              <w:bottom w:val="single" w:sz="4" w:space="0" w:color="auto"/>
              <w:right w:val="single" w:sz="4" w:space="0" w:color="auto"/>
            </w:tcBorders>
            <w:shd w:val="clear" w:color="auto" w:fill="auto"/>
            <w:noWrap/>
            <w:vAlign w:val="bottom"/>
            <w:hideMark/>
          </w:tcPr>
          <w:p w14:paraId="7FDDB833"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0.458</w:t>
            </w:r>
          </w:p>
        </w:tc>
      </w:tr>
      <w:tr w:rsidR="004730B7" w:rsidRPr="004730B7" w14:paraId="5E379ECD"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5CD7672B"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N_91</w:t>
            </w:r>
          </w:p>
        </w:tc>
        <w:tc>
          <w:tcPr>
            <w:tcW w:w="5060" w:type="dxa"/>
            <w:tcBorders>
              <w:top w:val="nil"/>
              <w:left w:val="nil"/>
              <w:bottom w:val="single" w:sz="4" w:space="0" w:color="auto"/>
              <w:right w:val="single" w:sz="4" w:space="0" w:color="auto"/>
            </w:tcBorders>
            <w:shd w:val="clear" w:color="auto" w:fill="auto"/>
            <w:noWrap/>
            <w:vAlign w:val="bottom"/>
            <w:hideMark/>
          </w:tcPr>
          <w:p w14:paraId="4E9DCAD7"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Nueva Alto Melipilla 220-&gt;Alto Melipilla 220</w:t>
            </w:r>
          </w:p>
        </w:tc>
        <w:tc>
          <w:tcPr>
            <w:tcW w:w="960" w:type="dxa"/>
            <w:tcBorders>
              <w:top w:val="nil"/>
              <w:left w:val="nil"/>
              <w:bottom w:val="single" w:sz="4" w:space="0" w:color="auto"/>
              <w:right w:val="single" w:sz="4" w:space="0" w:color="auto"/>
            </w:tcBorders>
            <w:shd w:val="clear" w:color="auto" w:fill="auto"/>
            <w:noWrap/>
            <w:vAlign w:val="bottom"/>
            <w:hideMark/>
          </w:tcPr>
          <w:p w14:paraId="167B7B5E"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0.570</w:t>
            </w:r>
          </w:p>
        </w:tc>
        <w:tc>
          <w:tcPr>
            <w:tcW w:w="960" w:type="dxa"/>
            <w:tcBorders>
              <w:top w:val="nil"/>
              <w:left w:val="nil"/>
              <w:bottom w:val="single" w:sz="4" w:space="0" w:color="auto"/>
              <w:right w:val="single" w:sz="4" w:space="0" w:color="auto"/>
            </w:tcBorders>
            <w:shd w:val="clear" w:color="auto" w:fill="auto"/>
            <w:noWrap/>
            <w:vAlign w:val="bottom"/>
            <w:hideMark/>
          </w:tcPr>
          <w:p w14:paraId="1A386FC9"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0.430</w:t>
            </w:r>
          </w:p>
        </w:tc>
        <w:tc>
          <w:tcPr>
            <w:tcW w:w="960" w:type="dxa"/>
            <w:tcBorders>
              <w:top w:val="nil"/>
              <w:left w:val="nil"/>
              <w:bottom w:val="single" w:sz="4" w:space="0" w:color="auto"/>
              <w:right w:val="single" w:sz="4" w:space="0" w:color="auto"/>
            </w:tcBorders>
            <w:shd w:val="clear" w:color="auto" w:fill="auto"/>
            <w:noWrap/>
            <w:vAlign w:val="bottom"/>
            <w:hideMark/>
          </w:tcPr>
          <w:p w14:paraId="02253310"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0.628</w:t>
            </w:r>
          </w:p>
        </w:tc>
        <w:tc>
          <w:tcPr>
            <w:tcW w:w="960" w:type="dxa"/>
            <w:tcBorders>
              <w:top w:val="nil"/>
              <w:left w:val="nil"/>
              <w:bottom w:val="single" w:sz="4" w:space="0" w:color="auto"/>
              <w:right w:val="single" w:sz="4" w:space="0" w:color="auto"/>
            </w:tcBorders>
            <w:shd w:val="clear" w:color="auto" w:fill="auto"/>
            <w:noWrap/>
            <w:vAlign w:val="bottom"/>
            <w:hideMark/>
          </w:tcPr>
          <w:p w14:paraId="68249366"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0.372</w:t>
            </w:r>
          </w:p>
        </w:tc>
      </w:tr>
      <w:tr w:rsidR="004730B7" w:rsidRPr="004730B7" w14:paraId="3F840D28"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16D3FACA"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N_92</w:t>
            </w:r>
          </w:p>
        </w:tc>
        <w:tc>
          <w:tcPr>
            <w:tcW w:w="5060" w:type="dxa"/>
            <w:tcBorders>
              <w:top w:val="nil"/>
              <w:left w:val="nil"/>
              <w:bottom w:val="single" w:sz="4" w:space="0" w:color="auto"/>
              <w:right w:val="single" w:sz="4" w:space="0" w:color="auto"/>
            </w:tcBorders>
            <w:shd w:val="clear" w:color="auto" w:fill="auto"/>
            <w:noWrap/>
            <w:vAlign w:val="bottom"/>
            <w:hideMark/>
          </w:tcPr>
          <w:p w14:paraId="5D48C277"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Nueva Alto Melipilla 220-&gt;Rapel 220</w:t>
            </w:r>
          </w:p>
        </w:tc>
        <w:tc>
          <w:tcPr>
            <w:tcW w:w="960" w:type="dxa"/>
            <w:tcBorders>
              <w:top w:val="nil"/>
              <w:left w:val="nil"/>
              <w:bottom w:val="single" w:sz="4" w:space="0" w:color="auto"/>
              <w:right w:val="single" w:sz="4" w:space="0" w:color="auto"/>
            </w:tcBorders>
            <w:shd w:val="clear" w:color="auto" w:fill="auto"/>
            <w:noWrap/>
            <w:vAlign w:val="bottom"/>
            <w:hideMark/>
          </w:tcPr>
          <w:p w14:paraId="4B593A14"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0.375</w:t>
            </w:r>
          </w:p>
        </w:tc>
        <w:tc>
          <w:tcPr>
            <w:tcW w:w="960" w:type="dxa"/>
            <w:tcBorders>
              <w:top w:val="nil"/>
              <w:left w:val="nil"/>
              <w:bottom w:val="single" w:sz="4" w:space="0" w:color="auto"/>
              <w:right w:val="single" w:sz="4" w:space="0" w:color="auto"/>
            </w:tcBorders>
            <w:shd w:val="clear" w:color="auto" w:fill="auto"/>
            <w:noWrap/>
            <w:vAlign w:val="bottom"/>
            <w:hideMark/>
          </w:tcPr>
          <w:p w14:paraId="3915EBDB"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0.625</w:t>
            </w:r>
          </w:p>
        </w:tc>
        <w:tc>
          <w:tcPr>
            <w:tcW w:w="960" w:type="dxa"/>
            <w:tcBorders>
              <w:top w:val="nil"/>
              <w:left w:val="nil"/>
              <w:bottom w:val="single" w:sz="4" w:space="0" w:color="auto"/>
              <w:right w:val="single" w:sz="4" w:space="0" w:color="auto"/>
            </w:tcBorders>
            <w:shd w:val="clear" w:color="auto" w:fill="auto"/>
            <w:noWrap/>
            <w:vAlign w:val="bottom"/>
            <w:hideMark/>
          </w:tcPr>
          <w:p w14:paraId="1905FB31"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0.557</w:t>
            </w:r>
          </w:p>
        </w:tc>
        <w:tc>
          <w:tcPr>
            <w:tcW w:w="960" w:type="dxa"/>
            <w:tcBorders>
              <w:top w:val="nil"/>
              <w:left w:val="nil"/>
              <w:bottom w:val="single" w:sz="4" w:space="0" w:color="auto"/>
              <w:right w:val="single" w:sz="4" w:space="0" w:color="auto"/>
            </w:tcBorders>
            <w:shd w:val="clear" w:color="auto" w:fill="auto"/>
            <w:noWrap/>
            <w:vAlign w:val="bottom"/>
            <w:hideMark/>
          </w:tcPr>
          <w:p w14:paraId="158236FC"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0.443</w:t>
            </w:r>
          </w:p>
        </w:tc>
      </w:tr>
      <w:tr w:rsidR="004730B7" w:rsidRPr="004730B7" w14:paraId="01D4D3FA"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47F9866E"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N_93</w:t>
            </w:r>
          </w:p>
        </w:tc>
        <w:tc>
          <w:tcPr>
            <w:tcW w:w="5060" w:type="dxa"/>
            <w:tcBorders>
              <w:top w:val="nil"/>
              <w:left w:val="nil"/>
              <w:bottom w:val="single" w:sz="4" w:space="0" w:color="auto"/>
              <w:right w:val="single" w:sz="4" w:space="0" w:color="auto"/>
            </w:tcBorders>
            <w:shd w:val="clear" w:color="auto" w:fill="auto"/>
            <w:noWrap/>
            <w:vAlign w:val="bottom"/>
            <w:hideMark/>
          </w:tcPr>
          <w:p w14:paraId="4AA70E11"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Nueva Cardones 220-&gt;Nueva Cardones 500</w:t>
            </w:r>
          </w:p>
        </w:tc>
        <w:tc>
          <w:tcPr>
            <w:tcW w:w="960" w:type="dxa"/>
            <w:tcBorders>
              <w:top w:val="nil"/>
              <w:left w:val="nil"/>
              <w:bottom w:val="single" w:sz="4" w:space="0" w:color="auto"/>
              <w:right w:val="single" w:sz="4" w:space="0" w:color="auto"/>
            </w:tcBorders>
            <w:shd w:val="clear" w:color="auto" w:fill="auto"/>
            <w:noWrap/>
            <w:vAlign w:val="bottom"/>
            <w:hideMark/>
          </w:tcPr>
          <w:p w14:paraId="05D36F6E"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1B668CDB"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48366262"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6969259C"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0.000</w:t>
            </w:r>
          </w:p>
        </w:tc>
      </w:tr>
      <w:tr w:rsidR="004730B7" w:rsidRPr="004730B7" w14:paraId="25C2B4E9"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5CD4CC6D"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N_94</w:t>
            </w:r>
          </w:p>
        </w:tc>
        <w:tc>
          <w:tcPr>
            <w:tcW w:w="5060" w:type="dxa"/>
            <w:tcBorders>
              <w:top w:val="nil"/>
              <w:left w:val="nil"/>
              <w:bottom w:val="single" w:sz="4" w:space="0" w:color="auto"/>
              <w:right w:val="single" w:sz="4" w:space="0" w:color="auto"/>
            </w:tcBorders>
            <w:shd w:val="clear" w:color="auto" w:fill="auto"/>
            <w:noWrap/>
            <w:vAlign w:val="bottom"/>
            <w:hideMark/>
          </w:tcPr>
          <w:p w14:paraId="6AB34AB0"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Nueva Diego de Almagro 220-&gt;Diego de Almagro 220</w:t>
            </w:r>
          </w:p>
        </w:tc>
        <w:tc>
          <w:tcPr>
            <w:tcW w:w="960" w:type="dxa"/>
            <w:tcBorders>
              <w:top w:val="nil"/>
              <w:left w:val="nil"/>
              <w:bottom w:val="single" w:sz="4" w:space="0" w:color="auto"/>
              <w:right w:val="single" w:sz="4" w:space="0" w:color="auto"/>
            </w:tcBorders>
            <w:shd w:val="clear" w:color="auto" w:fill="auto"/>
            <w:noWrap/>
            <w:vAlign w:val="bottom"/>
            <w:hideMark/>
          </w:tcPr>
          <w:p w14:paraId="7B4531A7"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0.218</w:t>
            </w:r>
          </w:p>
        </w:tc>
        <w:tc>
          <w:tcPr>
            <w:tcW w:w="960" w:type="dxa"/>
            <w:tcBorders>
              <w:top w:val="nil"/>
              <w:left w:val="nil"/>
              <w:bottom w:val="single" w:sz="4" w:space="0" w:color="auto"/>
              <w:right w:val="single" w:sz="4" w:space="0" w:color="auto"/>
            </w:tcBorders>
            <w:shd w:val="clear" w:color="auto" w:fill="auto"/>
            <w:noWrap/>
            <w:vAlign w:val="bottom"/>
            <w:hideMark/>
          </w:tcPr>
          <w:p w14:paraId="288ECD34"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0.782</w:t>
            </w:r>
          </w:p>
        </w:tc>
        <w:tc>
          <w:tcPr>
            <w:tcW w:w="960" w:type="dxa"/>
            <w:tcBorders>
              <w:top w:val="nil"/>
              <w:left w:val="nil"/>
              <w:bottom w:val="single" w:sz="4" w:space="0" w:color="auto"/>
              <w:right w:val="single" w:sz="4" w:space="0" w:color="auto"/>
            </w:tcBorders>
            <w:shd w:val="clear" w:color="auto" w:fill="auto"/>
            <w:noWrap/>
            <w:vAlign w:val="bottom"/>
            <w:hideMark/>
          </w:tcPr>
          <w:p w14:paraId="09630F32"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0.329</w:t>
            </w:r>
          </w:p>
        </w:tc>
        <w:tc>
          <w:tcPr>
            <w:tcW w:w="960" w:type="dxa"/>
            <w:tcBorders>
              <w:top w:val="nil"/>
              <w:left w:val="nil"/>
              <w:bottom w:val="single" w:sz="4" w:space="0" w:color="auto"/>
              <w:right w:val="single" w:sz="4" w:space="0" w:color="auto"/>
            </w:tcBorders>
            <w:shd w:val="clear" w:color="auto" w:fill="auto"/>
            <w:noWrap/>
            <w:vAlign w:val="bottom"/>
            <w:hideMark/>
          </w:tcPr>
          <w:p w14:paraId="384AB9B2"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0.671</w:t>
            </w:r>
          </w:p>
        </w:tc>
      </w:tr>
      <w:tr w:rsidR="004730B7" w:rsidRPr="004730B7" w14:paraId="26E2ECC2"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39A320EB"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N_95</w:t>
            </w:r>
          </w:p>
        </w:tc>
        <w:tc>
          <w:tcPr>
            <w:tcW w:w="5060" w:type="dxa"/>
            <w:tcBorders>
              <w:top w:val="nil"/>
              <w:left w:val="nil"/>
              <w:bottom w:val="single" w:sz="4" w:space="0" w:color="auto"/>
              <w:right w:val="single" w:sz="4" w:space="0" w:color="auto"/>
            </w:tcBorders>
            <w:shd w:val="clear" w:color="auto" w:fill="auto"/>
            <w:noWrap/>
            <w:vAlign w:val="bottom"/>
            <w:hideMark/>
          </w:tcPr>
          <w:p w14:paraId="42329BC8"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Nueva Lampa 220-&gt;Cerro Navia Desf 220</w:t>
            </w:r>
          </w:p>
        </w:tc>
        <w:tc>
          <w:tcPr>
            <w:tcW w:w="960" w:type="dxa"/>
            <w:tcBorders>
              <w:top w:val="nil"/>
              <w:left w:val="nil"/>
              <w:bottom w:val="single" w:sz="4" w:space="0" w:color="auto"/>
              <w:right w:val="single" w:sz="4" w:space="0" w:color="auto"/>
            </w:tcBorders>
            <w:shd w:val="clear" w:color="auto" w:fill="auto"/>
            <w:noWrap/>
            <w:vAlign w:val="bottom"/>
            <w:hideMark/>
          </w:tcPr>
          <w:p w14:paraId="2A8F1B47"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0.360</w:t>
            </w:r>
          </w:p>
        </w:tc>
        <w:tc>
          <w:tcPr>
            <w:tcW w:w="960" w:type="dxa"/>
            <w:tcBorders>
              <w:top w:val="nil"/>
              <w:left w:val="nil"/>
              <w:bottom w:val="single" w:sz="4" w:space="0" w:color="auto"/>
              <w:right w:val="single" w:sz="4" w:space="0" w:color="auto"/>
            </w:tcBorders>
            <w:shd w:val="clear" w:color="auto" w:fill="auto"/>
            <w:noWrap/>
            <w:vAlign w:val="bottom"/>
            <w:hideMark/>
          </w:tcPr>
          <w:p w14:paraId="4F16418B"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0.640</w:t>
            </w:r>
          </w:p>
        </w:tc>
        <w:tc>
          <w:tcPr>
            <w:tcW w:w="960" w:type="dxa"/>
            <w:tcBorders>
              <w:top w:val="nil"/>
              <w:left w:val="nil"/>
              <w:bottom w:val="single" w:sz="4" w:space="0" w:color="auto"/>
              <w:right w:val="single" w:sz="4" w:space="0" w:color="auto"/>
            </w:tcBorders>
            <w:shd w:val="clear" w:color="auto" w:fill="auto"/>
            <w:noWrap/>
            <w:vAlign w:val="bottom"/>
            <w:hideMark/>
          </w:tcPr>
          <w:p w14:paraId="23DD47AA"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0.510</w:t>
            </w:r>
          </w:p>
        </w:tc>
        <w:tc>
          <w:tcPr>
            <w:tcW w:w="960" w:type="dxa"/>
            <w:tcBorders>
              <w:top w:val="nil"/>
              <w:left w:val="nil"/>
              <w:bottom w:val="single" w:sz="4" w:space="0" w:color="auto"/>
              <w:right w:val="single" w:sz="4" w:space="0" w:color="auto"/>
            </w:tcBorders>
            <w:shd w:val="clear" w:color="auto" w:fill="auto"/>
            <w:noWrap/>
            <w:vAlign w:val="bottom"/>
            <w:hideMark/>
          </w:tcPr>
          <w:p w14:paraId="7B131A3F"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0.490</w:t>
            </w:r>
          </w:p>
        </w:tc>
      </w:tr>
      <w:tr w:rsidR="004730B7" w:rsidRPr="004730B7" w14:paraId="1C070A60"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6AA18A58"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N_96</w:t>
            </w:r>
          </w:p>
        </w:tc>
        <w:tc>
          <w:tcPr>
            <w:tcW w:w="5060" w:type="dxa"/>
            <w:tcBorders>
              <w:top w:val="nil"/>
              <w:left w:val="nil"/>
              <w:bottom w:val="single" w:sz="4" w:space="0" w:color="auto"/>
              <w:right w:val="single" w:sz="4" w:space="0" w:color="auto"/>
            </w:tcBorders>
            <w:shd w:val="clear" w:color="auto" w:fill="auto"/>
            <w:noWrap/>
            <w:vAlign w:val="bottom"/>
            <w:hideMark/>
          </w:tcPr>
          <w:p w14:paraId="524530D4"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Nueva Lampa 220-&gt;Polpaico 220</w:t>
            </w:r>
          </w:p>
        </w:tc>
        <w:tc>
          <w:tcPr>
            <w:tcW w:w="960" w:type="dxa"/>
            <w:tcBorders>
              <w:top w:val="nil"/>
              <w:left w:val="nil"/>
              <w:bottom w:val="single" w:sz="4" w:space="0" w:color="auto"/>
              <w:right w:val="single" w:sz="4" w:space="0" w:color="auto"/>
            </w:tcBorders>
            <w:shd w:val="clear" w:color="auto" w:fill="auto"/>
            <w:noWrap/>
            <w:vAlign w:val="bottom"/>
            <w:hideMark/>
          </w:tcPr>
          <w:p w14:paraId="436F0D35"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0.333</w:t>
            </w:r>
          </w:p>
        </w:tc>
        <w:tc>
          <w:tcPr>
            <w:tcW w:w="960" w:type="dxa"/>
            <w:tcBorders>
              <w:top w:val="nil"/>
              <w:left w:val="nil"/>
              <w:bottom w:val="single" w:sz="4" w:space="0" w:color="auto"/>
              <w:right w:val="single" w:sz="4" w:space="0" w:color="auto"/>
            </w:tcBorders>
            <w:shd w:val="clear" w:color="auto" w:fill="auto"/>
            <w:noWrap/>
            <w:vAlign w:val="bottom"/>
            <w:hideMark/>
          </w:tcPr>
          <w:p w14:paraId="165A7C14"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0.667</w:t>
            </w:r>
          </w:p>
        </w:tc>
        <w:tc>
          <w:tcPr>
            <w:tcW w:w="960" w:type="dxa"/>
            <w:tcBorders>
              <w:top w:val="nil"/>
              <w:left w:val="nil"/>
              <w:bottom w:val="single" w:sz="4" w:space="0" w:color="auto"/>
              <w:right w:val="single" w:sz="4" w:space="0" w:color="auto"/>
            </w:tcBorders>
            <w:shd w:val="clear" w:color="auto" w:fill="auto"/>
            <w:noWrap/>
            <w:vAlign w:val="bottom"/>
            <w:hideMark/>
          </w:tcPr>
          <w:p w14:paraId="2856CC3B"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0.474</w:t>
            </w:r>
          </w:p>
        </w:tc>
        <w:tc>
          <w:tcPr>
            <w:tcW w:w="960" w:type="dxa"/>
            <w:tcBorders>
              <w:top w:val="nil"/>
              <w:left w:val="nil"/>
              <w:bottom w:val="single" w:sz="4" w:space="0" w:color="auto"/>
              <w:right w:val="single" w:sz="4" w:space="0" w:color="auto"/>
            </w:tcBorders>
            <w:shd w:val="clear" w:color="auto" w:fill="auto"/>
            <w:noWrap/>
            <w:vAlign w:val="bottom"/>
            <w:hideMark/>
          </w:tcPr>
          <w:p w14:paraId="24E5B96B"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0.526</w:t>
            </w:r>
          </w:p>
        </w:tc>
      </w:tr>
      <w:tr w:rsidR="004730B7" w:rsidRPr="004730B7" w14:paraId="26F00D07"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5525C9CF"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N_97</w:t>
            </w:r>
          </w:p>
        </w:tc>
        <w:tc>
          <w:tcPr>
            <w:tcW w:w="5060" w:type="dxa"/>
            <w:tcBorders>
              <w:top w:val="nil"/>
              <w:left w:val="nil"/>
              <w:bottom w:val="single" w:sz="4" w:space="0" w:color="auto"/>
              <w:right w:val="single" w:sz="4" w:space="0" w:color="auto"/>
            </w:tcBorders>
            <w:shd w:val="clear" w:color="auto" w:fill="auto"/>
            <w:noWrap/>
            <w:vAlign w:val="bottom"/>
            <w:hideMark/>
          </w:tcPr>
          <w:p w14:paraId="25BBE83C"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Nueva Pan de Azucar 500-&gt;Polpaico 500</w:t>
            </w:r>
          </w:p>
        </w:tc>
        <w:tc>
          <w:tcPr>
            <w:tcW w:w="960" w:type="dxa"/>
            <w:tcBorders>
              <w:top w:val="nil"/>
              <w:left w:val="nil"/>
              <w:bottom w:val="single" w:sz="4" w:space="0" w:color="auto"/>
              <w:right w:val="single" w:sz="4" w:space="0" w:color="auto"/>
            </w:tcBorders>
            <w:shd w:val="clear" w:color="auto" w:fill="auto"/>
            <w:noWrap/>
            <w:vAlign w:val="bottom"/>
            <w:hideMark/>
          </w:tcPr>
          <w:p w14:paraId="34C91E10"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2293249B"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01F00B28"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70E89D86"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0.000</w:t>
            </w:r>
          </w:p>
        </w:tc>
      </w:tr>
      <w:tr w:rsidR="004730B7" w:rsidRPr="004730B7" w14:paraId="712E6E2D"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62308CCC"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N_98</w:t>
            </w:r>
          </w:p>
        </w:tc>
        <w:tc>
          <w:tcPr>
            <w:tcW w:w="5060" w:type="dxa"/>
            <w:tcBorders>
              <w:top w:val="nil"/>
              <w:left w:val="nil"/>
              <w:bottom w:val="single" w:sz="4" w:space="0" w:color="auto"/>
              <w:right w:val="single" w:sz="4" w:space="0" w:color="auto"/>
            </w:tcBorders>
            <w:shd w:val="clear" w:color="auto" w:fill="auto"/>
            <w:noWrap/>
            <w:vAlign w:val="bottom"/>
            <w:hideMark/>
          </w:tcPr>
          <w:p w14:paraId="7B966458"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Nueva Pichirropulli 220-&gt;Nueva Valdivia 220</w:t>
            </w:r>
          </w:p>
        </w:tc>
        <w:tc>
          <w:tcPr>
            <w:tcW w:w="960" w:type="dxa"/>
            <w:tcBorders>
              <w:top w:val="nil"/>
              <w:left w:val="nil"/>
              <w:bottom w:val="single" w:sz="4" w:space="0" w:color="auto"/>
              <w:right w:val="single" w:sz="4" w:space="0" w:color="auto"/>
            </w:tcBorders>
            <w:shd w:val="clear" w:color="auto" w:fill="auto"/>
            <w:noWrap/>
            <w:vAlign w:val="bottom"/>
            <w:hideMark/>
          </w:tcPr>
          <w:p w14:paraId="539475EF"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0.266</w:t>
            </w:r>
          </w:p>
        </w:tc>
        <w:tc>
          <w:tcPr>
            <w:tcW w:w="960" w:type="dxa"/>
            <w:tcBorders>
              <w:top w:val="nil"/>
              <w:left w:val="nil"/>
              <w:bottom w:val="single" w:sz="4" w:space="0" w:color="auto"/>
              <w:right w:val="single" w:sz="4" w:space="0" w:color="auto"/>
            </w:tcBorders>
            <w:shd w:val="clear" w:color="auto" w:fill="auto"/>
            <w:noWrap/>
            <w:vAlign w:val="bottom"/>
            <w:hideMark/>
          </w:tcPr>
          <w:p w14:paraId="017D364F"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0.734</w:t>
            </w:r>
          </w:p>
        </w:tc>
        <w:tc>
          <w:tcPr>
            <w:tcW w:w="960" w:type="dxa"/>
            <w:tcBorders>
              <w:top w:val="nil"/>
              <w:left w:val="nil"/>
              <w:bottom w:val="single" w:sz="4" w:space="0" w:color="auto"/>
              <w:right w:val="single" w:sz="4" w:space="0" w:color="auto"/>
            </w:tcBorders>
            <w:shd w:val="clear" w:color="auto" w:fill="auto"/>
            <w:noWrap/>
            <w:vAlign w:val="bottom"/>
            <w:hideMark/>
          </w:tcPr>
          <w:p w14:paraId="3B991811"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0.352</w:t>
            </w:r>
          </w:p>
        </w:tc>
        <w:tc>
          <w:tcPr>
            <w:tcW w:w="960" w:type="dxa"/>
            <w:tcBorders>
              <w:top w:val="nil"/>
              <w:left w:val="nil"/>
              <w:bottom w:val="single" w:sz="4" w:space="0" w:color="auto"/>
              <w:right w:val="single" w:sz="4" w:space="0" w:color="auto"/>
            </w:tcBorders>
            <w:shd w:val="clear" w:color="auto" w:fill="auto"/>
            <w:noWrap/>
            <w:vAlign w:val="bottom"/>
            <w:hideMark/>
          </w:tcPr>
          <w:p w14:paraId="7B3D13D3"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0.648</w:t>
            </w:r>
          </w:p>
        </w:tc>
      </w:tr>
      <w:tr w:rsidR="004730B7" w:rsidRPr="004730B7" w14:paraId="1AB14CBC"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1D459D2D"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N_99</w:t>
            </w:r>
          </w:p>
        </w:tc>
        <w:tc>
          <w:tcPr>
            <w:tcW w:w="5060" w:type="dxa"/>
            <w:tcBorders>
              <w:top w:val="nil"/>
              <w:left w:val="nil"/>
              <w:bottom w:val="single" w:sz="4" w:space="0" w:color="auto"/>
              <w:right w:val="single" w:sz="4" w:space="0" w:color="auto"/>
            </w:tcBorders>
            <w:shd w:val="clear" w:color="auto" w:fill="auto"/>
            <w:noWrap/>
            <w:vAlign w:val="bottom"/>
            <w:hideMark/>
          </w:tcPr>
          <w:p w14:paraId="12AB7F52"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Nueva Puerto Montt 220-&gt;Frutillar Norte 220</w:t>
            </w:r>
          </w:p>
        </w:tc>
        <w:tc>
          <w:tcPr>
            <w:tcW w:w="960" w:type="dxa"/>
            <w:tcBorders>
              <w:top w:val="nil"/>
              <w:left w:val="nil"/>
              <w:bottom w:val="single" w:sz="4" w:space="0" w:color="auto"/>
              <w:right w:val="single" w:sz="4" w:space="0" w:color="auto"/>
            </w:tcBorders>
            <w:shd w:val="clear" w:color="auto" w:fill="auto"/>
            <w:noWrap/>
            <w:vAlign w:val="bottom"/>
            <w:hideMark/>
          </w:tcPr>
          <w:p w14:paraId="58403A90"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0.177</w:t>
            </w:r>
          </w:p>
        </w:tc>
        <w:tc>
          <w:tcPr>
            <w:tcW w:w="960" w:type="dxa"/>
            <w:tcBorders>
              <w:top w:val="nil"/>
              <w:left w:val="nil"/>
              <w:bottom w:val="single" w:sz="4" w:space="0" w:color="auto"/>
              <w:right w:val="single" w:sz="4" w:space="0" w:color="auto"/>
            </w:tcBorders>
            <w:shd w:val="clear" w:color="auto" w:fill="auto"/>
            <w:noWrap/>
            <w:vAlign w:val="bottom"/>
            <w:hideMark/>
          </w:tcPr>
          <w:p w14:paraId="331394FC"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0.823</w:t>
            </w:r>
          </w:p>
        </w:tc>
        <w:tc>
          <w:tcPr>
            <w:tcW w:w="960" w:type="dxa"/>
            <w:tcBorders>
              <w:top w:val="nil"/>
              <w:left w:val="nil"/>
              <w:bottom w:val="single" w:sz="4" w:space="0" w:color="auto"/>
              <w:right w:val="single" w:sz="4" w:space="0" w:color="auto"/>
            </w:tcBorders>
            <w:shd w:val="clear" w:color="auto" w:fill="auto"/>
            <w:noWrap/>
            <w:vAlign w:val="bottom"/>
            <w:hideMark/>
          </w:tcPr>
          <w:p w14:paraId="114745E4"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0.185</w:t>
            </w:r>
          </w:p>
        </w:tc>
        <w:tc>
          <w:tcPr>
            <w:tcW w:w="960" w:type="dxa"/>
            <w:tcBorders>
              <w:top w:val="nil"/>
              <w:left w:val="nil"/>
              <w:bottom w:val="single" w:sz="4" w:space="0" w:color="auto"/>
              <w:right w:val="single" w:sz="4" w:space="0" w:color="auto"/>
            </w:tcBorders>
            <w:shd w:val="clear" w:color="auto" w:fill="auto"/>
            <w:noWrap/>
            <w:vAlign w:val="bottom"/>
            <w:hideMark/>
          </w:tcPr>
          <w:p w14:paraId="7650F419"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0.815</w:t>
            </w:r>
          </w:p>
        </w:tc>
      </w:tr>
      <w:tr w:rsidR="004730B7" w:rsidRPr="004730B7" w14:paraId="5C32878A"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1ED9801F"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N_100</w:t>
            </w:r>
          </w:p>
        </w:tc>
        <w:tc>
          <w:tcPr>
            <w:tcW w:w="5060" w:type="dxa"/>
            <w:tcBorders>
              <w:top w:val="nil"/>
              <w:left w:val="nil"/>
              <w:bottom w:val="single" w:sz="4" w:space="0" w:color="auto"/>
              <w:right w:val="single" w:sz="4" w:space="0" w:color="auto"/>
            </w:tcBorders>
            <w:shd w:val="clear" w:color="auto" w:fill="auto"/>
            <w:noWrap/>
            <w:vAlign w:val="bottom"/>
            <w:hideMark/>
          </w:tcPr>
          <w:p w14:paraId="1914E51A"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Nueva Puerto Montt 220-&gt;Llanquihue 220</w:t>
            </w:r>
          </w:p>
        </w:tc>
        <w:tc>
          <w:tcPr>
            <w:tcW w:w="960" w:type="dxa"/>
            <w:tcBorders>
              <w:top w:val="nil"/>
              <w:left w:val="nil"/>
              <w:bottom w:val="single" w:sz="4" w:space="0" w:color="auto"/>
              <w:right w:val="single" w:sz="4" w:space="0" w:color="auto"/>
            </w:tcBorders>
            <w:shd w:val="clear" w:color="auto" w:fill="auto"/>
            <w:noWrap/>
            <w:vAlign w:val="bottom"/>
            <w:hideMark/>
          </w:tcPr>
          <w:p w14:paraId="51A5E6FE"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0.178</w:t>
            </w:r>
          </w:p>
        </w:tc>
        <w:tc>
          <w:tcPr>
            <w:tcW w:w="960" w:type="dxa"/>
            <w:tcBorders>
              <w:top w:val="nil"/>
              <w:left w:val="nil"/>
              <w:bottom w:val="single" w:sz="4" w:space="0" w:color="auto"/>
              <w:right w:val="single" w:sz="4" w:space="0" w:color="auto"/>
            </w:tcBorders>
            <w:shd w:val="clear" w:color="auto" w:fill="auto"/>
            <w:noWrap/>
            <w:vAlign w:val="bottom"/>
            <w:hideMark/>
          </w:tcPr>
          <w:p w14:paraId="649B823A"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0.822</w:t>
            </w:r>
          </w:p>
        </w:tc>
        <w:tc>
          <w:tcPr>
            <w:tcW w:w="960" w:type="dxa"/>
            <w:tcBorders>
              <w:top w:val="nil"/>
              <w:left w:val="nil"/>
              <w:bottom w:val="single" w:sz="4" w:space="0" w:color="auto"/>
              <w:right w:val="single" w:sz="4" w:space="0" w:color="auto"/>
            </w:tcBorders>
            <w:shd w:val="clear" w:color="auto" w:fill="auto"/>
            <w:noWrap/>
            <w:vAlign w:val="bottom"/>
            <w:hideMark/>
          </w:tcPr>
          <w:p w14:paraId="3CDFD0C0"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0.186</w:t>
            </w:r>
          </w:p>
        </w:tc>
        <w:tc>
          <w:tcPr>
            <w:tcW w:w="960" w:type="dxa"/>
            <w:tcBorders>
              <w:top w:val="nil"/>
              <w:left w:val="nil"/>
              <w:bottom w:val="single" w:sz="4" w:space="0" w:color="auto"/>
              <w:right w:val="single" w:sz="4" w:space="0" w:color="auto"/>
            </w:tcBorders>
            <w:shd w:val="clear" w:color="auto" w:fill="auto"/>
            <w:noWrap/>
            <w:vAlign w:val="bottom"/>
            <w:hideMark/>
          </w:tcPr>
          <w:p w14:paraId="71581BE1"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0.814</w:t>
            </w:r>
          </w:p>
        </w:tc>
      </w:tr>
      <w:tr w:rsidR="004730B7" w:rsidRPr="004730B7" w14:paraId="66CBC5B6"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19869C44"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N_101</w:t>
            </w:r>
          </w:p>
        </w:tc>
        <w:tc>
          <w:tcPr>
            <w:tcW w:w="5060" w:type="dxa"/>
            <w:tcBorders>
              <w:top w:val="nil"/>
              <w:left w:val="nil"/>
              <w:bottom w:val="single" w:sz="4" w:space="0" w:color="auto"/>
              <w:right w:val="single" w:sz="4" w:space="0" w:color="auto"/>
            </w:tcBorders>
            <w:shd w:val="clear" w:color="auto" w:fill="auto"/>
            <w:noWrap/>
            <w:vAlign w:val="bottom"/>
            <w:hideMark/>
          </w:tcPr>
          <w:p w14:paraId="5C259C17"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Nueva Puerto Montt 220-&gt;Puerto Montt 220</w:t>
            </w:r>
          </w:p>
        </w:tc>
        <w:tc>
          <w:tcPr>
            <w:tcW w:w="960" w:type="dxa"/>
            <w:tcBorders>
              <w:top w:val="nil"/>
              <w:left w:val="nil"/>
              <w:bottom w:val="single" w:sz="4" w:space="0" w:color="auto"/>
              <w:right w:val="single" w:sz="4" w:space="0" w:color="auto"/>
            </w:tcBorders>
            <w:shd w:val="clear" w:color="auto" w:fill="auto"/>
            <w:noWrap/>
            <w:vAlign w:val="bottom"/>
            <w:hideMark/>
          </w:tcPr>
          <w:p w14:paraId="29E211D2"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0.174</w:t>
            </w:r>
          </w:p>
        </w:tc>
        <w:tc>
          <w:tcPr>
            <w:tcW w:w="960" w:type="dxa"/>
            <w:tcBorders>
              <w:top w:val="nil"/>
              <w:left w:val="nil"/>
              <w:bottom w:val="single" w:sz="4" w:space="0" w:color="auto"/>
              <w:right w:val="single" w:sz="4" w:space="0" w:color="auto"/>
            </w:tcBorders>
            <w:shd w:val="clear" w:color="auto" w:fill="auto"/>
            <w:noWrap/>
            <w:vAlign w:val="bottom"/>
            <w:hideMark/>
          </w:tcPr>
          <w:p w14:paraId="60D27B9B"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0.826</w:t>
            </w:r>
          </w:p>
        </w:tc>
        <w:tc>
          <w:tcPr>
            <w:tcW w:w="960" w:type="dxa"/>
            <w:tcBorders>
              <w:top w:val="nil"/>
              <w:left w:val="nil"/>
              <w:bottom w:val="single" w:sz="4" w:space="0" w:color="auto"/>
              <w:right w:val="single" w:sz="4" w:space="0" w:color="auto"/>
            </w:tcBorders>
            <w:shd w:val="clear" w:color="auto" w:fill="auto"/>
            <w:noWrap/>
            <w:vAlign w:val="bottom"/>
            <w:hideMark/>
          </w:tcPr>
          <w:p w14:paraId="05DCCCBE"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0.205</w:t>
            </w:r>
          </w:p>
        </w:tc>
        <w:tc>
          <w:tcPr>
            <w:tcW w:w="960" w:type="dxa"/>
            <w:tcBorders>
              <w:top w:val="nil"/>
              <w:left w:val="nil"/>
              <w:bottom w:val="single" w:sz="4" w:space="0" w:color="auto"/>
              <w:right w:val="single" w:sz="4" w:space="0" w:color="auto"/>
            </w:tcBorders>
            <w:shd w:val="clear" w:color="auto" w:fill="auto"/>
            <w:noWrap/>
            <w:vAlign w:val="bottom"/>
            <w:hideMark/>
          </w:tcPr>
          <w:p w14:paraId="02A749ED"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0.795</w:t>
            </w:r>
          </w:p>
        </w:tc>
      </w:tr>
      <w:tr w:rsidR="004730B7" w:rsidRPr="004730B7" w14:paraId="1472A75D"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326CD54D"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N_102</w:t>
            </w:r>
          </w:p>
        </w:tc>
        <w:tc>
          <w:tcPr>
            <w:tcW w:w="5060" w:type="dxa"/>
            <w:tcBorders>
              <w:top w:val="nil"/>
              <w:left w:val="nil"/>
              <w:bottom w:val="single" w:sz="4" w:space="0" w:color="auto"/>
              <w:right w:val="single" w:sz="4" w:space="0" w:color="auto"/>
            </w:tcBorders>
            <w:shd w:val="clear" w:color="auto" w:fill="auto"/>
            <w:noWrap/>
            <w:vAlign w:val="bottom"/>
            <w:hideMark/>
          </w:tcPr>
          <w:p w14:paraId="143FB0F5"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O Higgins 220-&gt;Atacama 220</w:t>
            </w:r>
          </w:p>
        </w:tc>
        <w:tc>
          <w:tcPr>
            <w:tcW w:w="960" w:type="dxa"/>
            <w:tcBorders>
              <w:top w:val="nil"/>
              <w:left w:val="nil"/>
              <w:bottom w:val="single" w:sz="4" w:space="0" w:color="auto"/>
              <w:right w:val="single" w:sz="4" w:space="0" w:color="auto"/>
            </w:tcBorders>
            <w:shd w:val="clear" w:color="auto" w:fill="auto"/>
            <w:noWrap/>
            <w:vAlign w:val="bottom"/>
            <w:hideMark/>
          </w:tcPr>
          <w:p w14:paraId="6A747381"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1080072A"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1.000</w:t>
            </w:r>
          </w:p>
        </w:tc>
        <w:tc>
          <w:tcPr>
            <w:tcW w:w="960" w:type="dxa"/>
            <w:tcBorders>
              <w:top w:val="nil"/>
              <w:left w:val="nil"/>
              <w:bottom w:val="single" w:sz="4" w:space="0" w:color="auto"/>
              <w:right w:val="single" w:sz="4" w:space="0" w:color="auto"/>
            </w:tcBorders>
            <w:shd w:val="clear" w:color="auto" w:fill="auto"/>
            <w:noWrap/>
            <w:vAlign w:val="bottom"/>
            <w:hideMark/>
          </w:tcPr>
          <w:p w14:paraId="1A9F8DEF"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7614BBB9"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1.000</w:t>
            </w:r>
          </w:p>
        </w:tc>
      </w:tr>
      <w:tr w:rsidR="004730B7" w:rsidRPr="004730B7" w14:paraId="4F09B040"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0D8B57B5"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N_103</w:t>
            </w:r>
          </w:p>
        </w:tc>
        <w:tc>
          <w:tcPr>
            <w:tcW w:w="5060" w:type="dxa"/>
            <w:tcBorders>
              <w:top w:val="nil"/>
              <w:left w:val="nil"/>
              <w:bottom w:val="single" w:sz="4" w:space="0" w:color="auto"/>
              <w:right w:val="single" w:sz="4" w:space="0" w:color="auto"/>
            </w:tcBorders>
            <w:shd w:val="clear" w:color="auto" w:fill="auto"/>
            <w:noWrap/>
            <w:vAlign w:val="bottom"/>
            <w:hideMark/>
          </w:tcPr>
          <w:p w14:paraId="35B061B8"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O Higgins 220-&gt;Kapatur 220</w:t>
            </w:r>
          </w:p>
        </w:tc>
        <w:tc>
          <w:tcPr>
            <w:tcW w:w="960" w:type="dxa"/>
            <w:tcBorders>
              <w:top w:val="nil"/>
              <w:left w:val="nil"/>
              <w:bottom w:val="single" w:sz="4" w:space="0" w:color="auto"/>
              <w:right w:val="single" w:sz="4" w:space="0" w:color="auto"/>
            </w:tcBorders>
            <w:shd w:val="clear" w:color="auto" w:fill="auto"/>
            <w:noWrap/>
            <w:vAlign w:val="bottom"/>
            <w:hideMark/>
          </w:tcPr>
          <w:p w14:paraId="4AA194B4"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0.039</w:t>
            </w:r>
          </w:p>
        </w:tc>
        <w:tc>
          <w:tcPr>
            <w:tcW w:w="960" w:type="dxa"/>
            <w:tcBorders>
              <w:top w:val="nil"/>
              <w:left w:val="nil"/>
              <w:bottom w:val="single" w:sz="4" w:space="0" w:color="auto"/>
              <w:right w:val="single" w:sz="4" w:space="0" w:color="auto"/>
            </w:tcBorders>
            <w:shd w:val="clear" w:color="auto" w:fill="auto"/>
            <w:noWrap/>
            <w:vAlign w:val="bottom"/>
            <w:hideMark/>
          </w:tcPr>
          <w:p w14:paraId="33D29475"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0.961</w:t>
            </w:r>
          </w:p>
        </w:tc>
        <w:tc>
          <w:tcPr>
            <w:tcW w:w="960" w:type="dxa"/>
            <w:tcBorders>
              <w:top w:val="nil"/>
              <w:left w:val="nil"/>
              <w:bottom w:val="single" w:sz="4" w:space="0" w:color="auto"/>
              <w:right w:val="single" w:sz="4" w:space="0" w:color="auto"/>
            </w:tcBorders>
            <w:shd w:val="clear" w:color="auto" w:fill="auto"/>
            <w:noWrap/>
            <w:vAlign w:val="bottom"/>
            <w:hideMark/>
          </w:tcPr>
          <w:p w14:paraId="309628E4"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0.041</w:t>
            </w:r>
          </w:p>
        </w:tc>
        <w:tc>
          <w:tcPr>
            <w:tcW w:w="960" w:type="dxa"/>
            <w:tcBorders>
              <w:top w:val="nil"/>
              <w:left w:val="nil"/>
              <w:bottom w:val="single" w:sz="4" w:space="0" w:color="auto"/>
              <w:right w:val="single" w:sz="4" w:space="0" w:color="auto"/>
            </w:tcBorders>
            <w:shd w:val="clear" w:color="auto" w:fill="auto"/>
            <w:noWrap/>
            <w:vAlign w:val="bottom"/>
            <w:hideMark/>
          </w:tcPr>
          <w:p w14:paraId="0BAB8B3F"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0.959</w:t>
            </w:r>
          </w:p>
        </w:tc>
      </w:tr>
      <w:tr w:rsidR="004730B7" w:rsidRPr="004730B7" w14:paraId="512C75CF"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41BB6237"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N_104</w:t>
            </w:r>
          </w:p>
        </w:tc>
        <w:tc>
          <w:tcPr>
            <w:tcW w:w="5060" w:type="dxa"/>
            <w:tcBorders>
              <w:top w:val="nil"/>
              <w:left w:val="nil"/>
              <w:bottom w:val="single" w:sz="4" w:space="0" w:color="auto"/>
              <w:right w:val="single" w:sz="4" w:space="0" w:color="auto"/>
            </w:tcBorders>
            <w:shd w:val="clear" w:color="auto" w:fill="auto"/>
            <w:noWrap/>
            <w:vAlign w:val="bottom"/>
            <w:hideMark/>
          </w:tcPr>
          <w:p w14:paraId="4CB39F16"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Pan de Azucar 220-&gt;Don Goyo 220</w:t>
            </w:r>
          </w:p>
        </w:tc>
        <w:tc>
          <w:tcPr>
            <w:tcW w:w="960" w:type="dxa"/>
            <w:tcBorders>
              <w:top w:val="nil"/>
              <w:left w:val="nil"/>
              <w:bottom w:val="single" w:sz="4" w:space="0" w:color="auto"/>
              <w:right w:val="single" w:sz="4" w:space="0" w:color="auto"/>
            </w:tcBorders>
            <w:shd w:val="clear" w:color="auto" w:fill="auto"/>
            <w:noWrap/>
            <w:vAlign w:val="bottom"/>
            <w:hideMark/>
          </w:tcPr>
          <w:p w14:paraId="21EAF74B"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0.311</w:t>
            </w:r>
          </w:p>
        </w:tc>
        <w:tc>
          <w:tcPr>
            <w:tcW w:w="960" w:type="dxa"/>
            <w:tcBorders>
              <w:top w:val="nil"/>
              <w:left w:val="nil"/>
              <w:bottom w:val="single" w:sz="4" w:space="0" w:color="auto"/>
              <w:right w:val="single" w:sz="4" w:space="0" w:color="auto"/>
            </w:tcBorders>
            <w:shd w:val="clear" w:color="auto" w:fill="auto"/>
            <w:noWrap/>
            <w:vAlign w:val="bottom"/>
            <w:hideMark/>
          </w:tcPr>
          <w:p w14:paraId="4E1DCC17"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0.689</w:t>
            </w:r>
          </w:p>
        </w:tc>
        <w:tc>
          <w:tcPr>
            <w:tcW w:w="960" w:type="dxa"/>
            <w:tcBorders>
              <w:top w:val="nil"/>
              <w:left w:val="nil"/>
              <w:bottom w:val="single" w:sz="4" w:space="0" w:color="auto"/>
              <w:right w:val="single" w:sz="4" w:space="0" w:color="auto"/>
            </w:tcBorders>
            <w:shd w:val="clear" w:color="auto" w:fill="auto"/>
            <w:noWrap/>
            <w:vAlign w:val="bottom"/>
            <w:hideMark/>
          </w:tcPr>
          <w:p w14:paraId="682B7202"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0.445</w:t>
            </w:r>
          </w:p>
        </w:tc>
        <w:tc>
          <w:tcPr>
            <w:tcW w:w="960" w:type="dxa"/>
            <w:tcBorders>
              <w:top w:val="nil"/>
              <w:left w:val="nil"/>
              <w:bottom w:val="single" w:sz="4" w:space="0" w:color="auto"/>
              <w:right w:val="single" w:sz="4" w:space="0" w:color="auto"/>
            </w:tcBorders>
            <w:shd w:val="clear" w:color="auto" w:fill="auto"/>
            <w:noWrap/>
            <w:vAlign w:val="bottom"/>
            <w:hideMark/>
          </w:tcPr>
          <w:p w14:paraId="65C1A6E4"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0.555</w:t>
            </w:r>
          </w:p>
        </w:tc>
      </w:tr>
      <w:tr w:rsidR="004730B7" w:rsidRPr="004730B7" w14:paraId="6C4D875E"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31B05F24"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N_105</w:t>
            </w:r>
          </w:p>
        </w:tc>
        <w:tc>
          <w:tcPr>
            <w:tcW w:w="5060" w:type="dxa"/>
            <w:tcBorders>
              <w:top w:val="nil"/>
              <w:left w:val="nil"/>
              <w:bottom w:val="single" w:sz="4" w:space="0" w:color="auto"/>
              <w:right w:val="single" w:sz="4" w:space="0" w:color="auto"/>
            </w:tcBorders>
            <w:shd w:val="clear" w:color="auto" w:fill="auto"/>
            <w:noWrap/>
            <w:vAlign w:val="bottom"/>
            <w:hideMark/>
          </w:tcPr>
          <w:p w14:paraId="563EB2DB"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Pan de Azucar 220-&gt;Punta Colorada 220</w:t>
            </w:r>
          </w:p>
        </w:tc>
        <w:tc>
          <w:tcPr>
            <w:tcW w:w="960" w:type="dxa"/>
            <w:tcBorders>
              <w:top w:val="nil"/>
              <w:left w:val="nil"/>
              <w:bottom w:val="single" w:sz="4" w:space="0" w:color="auto"/>
              <w:right w:val="single" w:sz="4" w:space="0" w:color="auto"/>
            </w:tcBorders>
            <w:shd w:val="clear" w:color="auto" w:fill="auto"/>
            <w:noWrap/>
            <w:vAlign w:val="bottom"/>
            <w:hideMark/>
          </w:tcPr>
          <w:p w14:paraId="3E60600A"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0.312</w:t>
            </w:r>
          </w:p>
        </w:tc>
        <w:tc>
          <w:tcPr>
            <w:tcW w:w="960" w:type="dxa"/>
            <w:tcBorders>
              <w:top w:val="nil"/>
              <w:left w:val="nil"/>
              <w:bottom w:val="single" w:sz="4" w:space="0" w:color="auto"/>
              <w:right w:val="single" w:sz="4" w:space="0" w:color="auto"/>
            </w:tcBorders>
            <w:shd w:val="clear" w:color="auto" w:fill="auto"/>
            <w:noWrap/>
            <w:vAlign w:val="bottom"/>
            <w:hideMark/>
          </w:tcPr>
          <w:p w14:paraId="1251295E"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0.688</w:t>
            </w:r>
          </w:p>
        </w:tc>
        <w:tc>
          <w:tcPr>
            <w:tcW w:w="960" w:type="dxa"/>
            <w:tcBorders>
              <w:top w:val="nil"/>
              <w:left w:val="nil"/>
              <w:bottom w:val="single" w:sz="4" w:space="0" w:color="auto"/>
              <w:right w:val="single" w:sz="4" w:space="0" w:color="auto"/>
            </w:tcBorders>
            <w:shd w:val="clear" w:color="auto" w:fill="auto"/>
            <w:noWrap/>
            <w:vAlign w:val="bottom"/>
            <w:hideMark/>
          </w:tcPr>
          <w:p w14:paraId="4EACA46F"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0.434</w:t>
            </w:r>
          </w:p>
        </w:tc>
        <w:tc>
          <w:tcPr>
            <w:tcW w:w="960" w:type="dxa"/>
            <w:tcBorders>
              <w:top w:val="nil"/>
              <w:left w:val="nil"/>
              <w:bottom w:val="single" w:sz="4" w:space="0" w:color="auto"/>
              <w:right w:val="single" w:sz="4" w:space="0" w:color="auto"/>
            </w:tcBorders>
            <w:shd w:val="clear" w:color="auto" w:fill="auto"/>
            <w:noWrap/>
            <w:vAlign w:val="bottom"/>
            <w:hideMark/>
          </w:tcPr>
          <w:p w14:paraId="502D1362"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0.566</w:t>
            </w:r>
          </w:p>
        </w:tc>
      </w:tr>
      <w:tr w:rsidR="004730B7" w:rsidRPr="004730B7" w14:paraId="36271FB8"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754F0925"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N_106</w:t>
            </w:r>
          </w:p>
        </w:tc>
        <w:tc>
          <w:tcPr>
            <w:tcW w:w="5060" w:type="dxa"/>
            <w:tcBorders>
              <w:top w:val="nil"/>
              <w:left w:val="nil"/>
              <w:bottom w:val="single" w:sz="4" w:space="0" w:color="auto"/>
              <w:right w:val="single" w:sz="4" w:space="0" w:color="auto"/>
            </w:tcBorders>
            <w:shd w:val="clear" w:color="auto" w:fill="auto"/>
            <w:noWrap/>
            <w:vAlign w:val="bottom"/>
            <w:hideMark/>
          </w:tcPr>
          <w:p w14:paraId="741ED523"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Pargua 220-&gt;Nueva Ancud 220</w:t>
            </w:r>
          </w:p>
        </w:tc>
        <w:tc>
          <w:tcPr>
            <w:tcW w:w="960" w:type="dxa"/>
            <w:tcBorders>
              <w:top w:val="nil"/>
              <w:left w:val="nil"/>
              <w:bottom w:val="single" w:sz="4" w:space="0" w:color="auto"/>
              <w:right w:val="single" w:sz="4" w:space="0" w:color="auto"/>
            </w:tcBorders>
            <w:shd w:val="clear" w:color="auto" w:fill="auto"/>
            <w:noWrap/>
            <w:vAlign w:val="bottom"/>
            <w:hideMark/>
          </w:tcPr>
          <w:p w14:paraId="5DE393ED"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0.256</w:t>
            </w:r>
          </w:p>
        </w:tc>
        <w:tc>
          <w:tcPr>
            <w:tcW w:w="960" w:type="dxa"/>
            <w:tcBorders>
              <w:top w:val="nil"/>
              <w:left w:val="nil"/>
              <w:bottom w:val="single" w:sz="4" w:space="0" w:color="auto"/>
              <w:right w:val="single" w:sz="4" w:space="0" w:color="auto"/>
            </w:tcBorders>
            <w:shd w:val="clear" w:color="auto" w:fill="auto"/>
            <w:noWrap/>
            <w:vAlign w:val="bottom"/>
            <w:hideMark/>
          </w:tcPr>
          <w:p w14:paraId="7EAEE0CE"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0.744</w:t>
            </w:r>
          </w:p>
        </w:tc>
        <w:tc>
          <w:tcPr>
            <w:tcW w:w="960" w:type="dxa"/>
            <w:tcBorders>
              <w:top w:val="nil"/>
              <w:left w:val="nil"/>
              <w:bottom w:val="single" w:sz="4" w:space="0" w:color="auto"/>
              <w:right w:val="single" w:sz="4" w:space="0" w:color="auto"/>
            </w:tcBorders>
            <w:shd w:val="clear" w:color="auto" w:fill="auto"/>
            <w:noWrap/>
            <w:vAlign w:val="bottom"/>
            <w:hideMark/>
          </w:tcPr>
          <w:p w14:paraId="15F34CC1"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0.273</w:t>
            </w:r>
          </w:p>
        </w:tc>
        <w:tc>
          <w:tcPr>
            <w:tcW w:w="960" w:type="dxa"/>
            <w:tcBorders>
              <w:top w:val="nil"/>
              <w:left w:val="nil"/>
              <w:bottom w:val="single" w:sz="4" w:space="0" w:color="auto"/>
              <w:right w:val="single" w:sz="4" w:space="0" w:color="auto"/>
            </w:tcBorders>
            <w:shd w:val="clear" w:color="auto" w:fill="auto"/>
            <w:noWrap/>
            <w:vAlign w:val="bottom"/>
            <w:hideMark/>
          </w:tcPr>
          <w:p w14:paraId="31D43CA4"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0.727</w:t>
            </w:r>
          </w:p>
        </w:tc>
      </w:tr>
      <w:tr w:rsidR="004730B7" w:rsidRPr="004730B7" w14:paraId="1DF1F1A8"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15F89BE8"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N_107</w:t>
            </w:r>
          </w:p>
        </w:tc>
        <w:tc>
          <w:tcPr>
            <w:tcW w:w="5060" w:type="dxa"/>
            <w:tcBorders>
              <w:top w:val="nil"/>
              <w:left w:val="nil"/>
              <w:bottom w:val="single" w:sz="4" w:space="0" w:color="auto"/>
              <w:right w:val="single" w:sz="4" w:space="0" w:color="auto"/>
            </w:tcBorders>
            <w:shd w:val="clear" w:color="auto" w:fill="auto"/>
            <w:noWrap/>
            <w:vAlign w:val="bottom"/>
            <w:hideMark/>
          </w:tcPr>
          <w:p w14:paraId="7D81C062"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Polpaico 220-&gt;Quilapilun 220</w:t>
            </w:r>
          </w:p>
        </w:tc>
        <w:tc>
          <w:tcPr>
            <w:tcW w:w="960" w:type="dxa"/>
            <w:tcBorders>
              <w:top w:val="nil"/>
              <w:left w:val="nil"/>
              <w:bottom w:val="single" w:sz="4" w:space="0" w:color="auto"/>
              <w:right w:val="single" w:sz="4" w:space="0" w:color="auto"/>
            </w:tcBorders>
            <w:shd w:val="clear" w:color="auto" w:fill="auto"/>
            <w:noWrap/>
            <w:vAlign w:val="bottom"/>
            <w:hideMark/>
          </w:tcPr>
          <w:p w14:paraId="75BE7D23"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0.009</w:t>
            </w:r>
          </w:p>
        </w:tc>
        <w:tc>
          <w:tcPr>
            <w:tcW w:w="960" w:type="dxa"/>
            <w:tcBorders>
              <w:top w:val="nil"/>
              <w:left w:val="nil"/>
              <w:bottom w:val="single" w:sz="4" w:space="0" w:color="auto"/>
              <w:right w:val="single" w:sz="4" w:space="0" w:color="auto"/>
            </w:tcBorders>
            <w:shd w:val="clear" w:color="auto" w:fill="auto"/>
            <w:noWrap/>
            <w:vAlign w:val="bottom"/>
            <w:hideMark/>
          </w:tcPr>
          <w:p w14:paraId="27D3AC91"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0.991</w:t>
            </w:r>
          </w:p>
        </w:tc>
        <w:tc>
          <w:tcPr>
            <w:tcW w:w="960" w:type="dxa"/>
            <w:tcBorders>
              <w:top w:val="nil"/>
              <w:left w:val="nil"/>
              <w:bottom w:val="single" w:sz="4" w:space="0" w:color="auto"/>
              <w:right w:val="single" w:sz="4" w:space="0" w:color="auto"/>
            </w:tcBorders>
            <w:shd w:val="clear" w:color="auto" w:fill="auto"/>
            <w:noWrap/>
            <w:vAlign w:val="bottom"/>
            <w:hideMark/>
          </w:tcPr>
          <w:p w14:paraId="7E8FEC19"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0.013</w:t>
            </w:r>
          </w:p>
        </w:tc>
        <w:tc>
          <w:tcPr>
            <w:tcW w:w="960" w:type="dxa"/>
            <w:tcBorders>
              <w:top w:val="nil"/>
              <w:left w:val="nil"/>
              <w:bottom w:val="single" w:sz="4" w:space="0" w:color="auto"/>
              <w:right w:val="single" w:sz="4" w:space="0" w:color="auto"/>
            </w:tcBorders>
            <w:shd w:val="clear" w:color="auto" w:fill="auto"/>
            <w:noWrap/>
            <w:vAlign w:val="bottom"/>
            <w:hideMark/>
          </w:tcPr>
          <w:p w14:paraId="72616879"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0.987</w:t>
            </w:r>
          </w:p>
        </w:tc>
      </w:tr>
      <w:tr w:rsidR="004730B7" w:rsidRPr="004730B7" w14:paraId="68BF563B"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65D06BB5"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N_108</w:t>
            </w:r>
          </w:p>
        </w:tc>
        <w:tc>
          <w:tcPr>
            <w:tcW w:w="5060" w:type="dxa"/>
            <w:tcBorders>
              <w:top w:val="nil"/>
              <w:left w:val="nil"/>
              <w:bottom w:val="single" w:sz="4" w:space="0" w:color="auto"/>
              <w:right w:val="single" w:sz="4" w:space="0" w:color="auto"/>
            </w:tcBorders>
            <w:shd w:val="clear" w:color="auto" w:fill="auto"/>
            <w:noWrap/>
            <w:vAlign w:val="bottom"/>
            <w:hideMark/>
          </w:tcPr>
          <w:p w14:paraId="07C0E902"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Polpaico 220-&gt;Rio Aconcagua 220</w:t>
            </w:r>
          </w:p>
        </w:tc>
        <w:tc>
          <w:tcPr>
            <w:tcW w:w="960" w:type="dxa"/>
            <w:tcBorders>
              <w:top w:val="nil"/>
              <w:left w:val="nil"/>
              <w:bottom w:val="single" w:sz="4" w:space="0" w:color="auto"/>
              <w:right w:val="single" w:sz="4" w:space="0" w:color="auto"/>
            </w:tcBorders>
            <w:shd w:val="clear" w:color="auto" w:fill="auto"/>
            <w:noWrap/>
            <w:vAlign w:val="bottom"/>
            <w:hideMark/>
          </w:tcPr>
          <w:p w14:paraId="0EB79492"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33CB6A46"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1DB8D2FA"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5682889A"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0.000</w:t>
            </w:r>
          </w:p>
        </w:tc>
      </w:tr>
      <w:tr w:rsidR="004730B7" w:rsidRPr="004730B7" w14:paraId="54F94B6F"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0F5C10EB"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N_109</w:t>
            </w:r>
          </w:p>
        </w:tc>
        <w:tc>
          <w:tcPr>
            <w:tcW w:w="5060" w:type="dxa"/>
            <w:tcBorders>
              <w:top w:val="nil"/>
              <w:left w:val="nil"/>
              <w:bottom w:val="single" w:sz="4" w:space="0" w:color="auto"/>
              <w:right w:val="single" w:sz="4" w:space="0" w:color="auto"/>
            </w:tcBorders>
            <w:shd w:val="clear" w:color="auto" w:fill="auto"/>
            <w:noWrap/>
            <w:vAlign w:val="bottom"/>
            <w:hideMark/>
          </w:tcPr>
          <w:p w14:paraId="5A01C808"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Polpaico 220-&gt;Tap El Manzano 220</w:t>
            </w:r>
          </w:p>
        </w:tc>
        <w:tc>
          <w:tcPr>
            <w:tcW w:w="960" w:type="dxa"/>
            <w:tcBorders>
              <w:top w:val="nil"/>
              <w:left w:val="nil"/>
              <w:bottom w:val="single" w:sz="4" w:space="0" w:color="auto"/>
              <w:right w:val="single" w:sz="4" w:space="0" w:color="auto"/>
            </w:tcBorders>
            <w:shd w:val="clear" w:color="auto" w:fill="auto"/>
            <w:noWrap/>
            <w:vAlign w:val="bottom"/>
            <w:hideMark/>
          </w:tcPr>
          <w:p w14:paraId="1163D1BF"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0.242</w:t>
            </w:r>
          </w:p>
        </w:tc>
        <w:tc>
          <w:tcPr>
            <w:tcW w:w="960" w:type="dxa"/>
            <w:tcBorders>
              <w:top w:val="nil"/>
              <w:left w:val="nil"/>
              <w:bottom w:val="single" w:sz="4" w:space="0" w:color="auto"/>
              <w:right w:val="single" w:sz="4" w:space="0" w:color="auto"/>
            </w:tcBorders>
            <w:shd w:val="clear" w:color="auto" w:fill="auto"/>
            <w:noWrap/>
            <w:vAlign w:val="bottom"/>
            <w:hideMark/>
          </w:tcPr>
          <w:p w14:paraId="3D724303"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0.758</w:t>
            </w:r>
          </w:p>
        </w:tc>
        <w:tc>
          <w:tcPr>
            <w:tcW w:w="960" w:type="dxa"/>
            <w:tcBorders>
              <w:top w:val="nil"/>
              <w:left w:val="nil"/>
              <w:bottom w:val="single" w:sz="4" w:space="0" w:color="auto"/>
              <w:right w:val="single" w:sz="4" w:space="0" w:color="auto"/>
            </w:tcBorders>
            <w:shd w:val="clear" w:color="auto" w:fill="auto"/>
            <w:noWrap/>
            <w:vAlign w:val="bottom"/>
            <w:hideMark/>
          </w:tcPr>
          <w:p w14:paraId="63818D86"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0.342</w:t>
            </w:r>
          </w:p>
        </w:tc>
        <w:tc>
          <w:tcPr>
            <w:tcW w:w="960" w:type="dxa"/>
            <w:tcBorders>
              <w:top w:val="nil"/>
              <w:left w:val="nil"/>
              <w:bottom w:val="single" w:sz="4" w:space="0" w:color="auto"/>
              <w:right w:val="single" w:sz="4" w:space="0" w:color="auto"/>
            </w:tcBorders>
            <w:shd w:val="clear" w:color="auto" w:fill="auto"/>
            <w:noWrap/>
            <w:vAlign w:val="bottom"/>
            <w:hideMark/>
          </w:tcPr>
          <w:p w14:paraId="7C1F39CC"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0.658</w:t>
            </w:r>
          </w:p>
        </w:tc>
      </w:tr>
      <w:tr w:rsidR="004730B7" w:rsidRPr="004730B7" w14:paraId="57C2DDBD"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7ACFB29E"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N_110</w:t>
            </w:r>
          </w:p>
        </w:tc>
        <w:tc>
          <w:tcPr>
            <w:tcW w:w="5060" w:type="dxa"/>
            <w:tcBorders>
              <w:top w:val="nil"/>
              <w:left w:val="nil"/>
              <w:bottom w:val="single" w:sz="4" w:space="0" w:color="auto"/>
              <w:right w:val="single" w:sz="4" w:space="0" w:color="auto"/>
            </w:tcBorders>
            <w:shd w:val="clear" w:color="auto" w:fill="auto"/>
            <w:noWrap/>
            <w:vAlign w:val="bottom"/>
            <w:hideMark/>
          </w:tcPr>
          <w:p w14:paraId="0D045AAD"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Polpaico 500-&gt;Lo Aguirre 500</w:t>
            </w:r>
          </w:p>
        </w:tc>
        <w:tc>
          <w:tcPr>
            <w:tcW w:w="960" w:type="dxa"/>
            <w:tcBorders>
              <w:top w:val="nil"/>
              <w:left w:val="nil"/>
              <w:bottom w:val="single" w:sz="4" w:space="0" w:color="auto"/>
              <w:right w:val="single" w:sz="4" w:space="0" w:color="auto"/>
            </w:tcBorders>
            <w:shd w:val="clear" w:color="auto" w:fill="auto"/>
            <w:noWrap/>
            <w:vAlign w:val="bottom"/>
            <w:hideMark/>
          </w:tcPr>
          <w:p w14:paraId="7B175B50"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0.266</w:t>
            </w:r>
          </w:p>
        </w:tc>
        <w:tc>
          <w:tcPr>
            <w:tcW w:w="960" w:type="dxa"/>
            <w:tcBorders>
              <w:top w:val="nil"/>
              <w:left w:val="nil"/>
              <w:bottom w:val="single" w:sz="4" w:space="0" w:color="auto"/>
              <w:right w:val="single" w:sz="4" w:space="0" w:color="auto"/>
            </w:tcBorders>
            <w:shd w:val="clear" w:color="auto" w:fill="auto"/>
            <w:noWrap/>
            <w:vAlign w:val="bottom"/>
            <w:hideMark/>
          </w:tcPr>
          <w:p w14:paraId="4A16FC4E"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0.734</w:t>
            </w:r>
          </w:p>
        </w:tc>
        <w:tc>
          <w:tcPr>
            <w:tcW w:w="960" w:type="dxa"/>
            <w:tcBorders>
              <w:top w:val="nil"/>
              <w:left w:val="nil"/>
              <w:bottom w:val="single" w:sz="4" w:space="0" w:color="auto"/>
              <w:right w:val="single" w:sz="4" w:space="0" w:color="auto"/>
            </w:tcBorders>
            <w:shd w:val="clear" w:color="auto" w:fill="auto"/>
            <w:noWrap/>
            <w:vAlign w:val="bottom"/>
            <w:hideMark/>
          </w:tcPr>
          <w:p w14:paraId="6EDA19EB"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0.422</w:t>
            </w:r>
          </w:p>
        </w:tc>
        <w:tc>
          <w:tcPr>
            <w:tcW w:w="960" w:type="dxa"/>
            <w:tcBorders>
              <w:top w:val="nil"/>
              <w:left w:val="nil"/>
              <w:bottom w:val="single" w:sz="4" w:space="0" w:color="auto"/>
              <w:right w:val="single" w:sz="4" w:space="0" w:color="auto"/>
            </w:tcBorders>
            <w:shd w:val="clear" w:color="auto" w:fill="auto"/>
            <w:noWrap/>
            <w:vAlign w:val="bottom"/>
            <w:hideMark/>
          </w:tcPr>
          <w:p w14:paraId="4021478E"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0.578</w:t>
            </w:r>
          </w:p>
        </w:tc>
      </w:tr>
      <w:tr w:rsidR="004730B7" w:rsidRPr="004730B7" w14:paraId="6762D06B"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69C17C9D"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N_111</w:t>
            </w:r>
          </w:p>
        </w:tc>
        <w:tc>
          <w:tcPr>
            <w:tcW w:w="5060" w:type="dxa"/>
            <w:tcBorders>
              <w:top w:val="nil"/>
              <w:left w:val="nil"/>
              <w:bottom w:val="single" w:sz="4" w:space="0" w:color="auto"/>
              <w:right w:val="single" w:sz="4" w:space="0" w:color="auto"/>
            </w:tcBorders>
            <w:shd w:val="clear" w:color="auto" w:fill="auto"/>
            <w:noWrap/>
            <w:vAlign w:val="bottom"/>
            <w:hideMark/>
          </w:tcPr>
          <w:p w14:paraId="3ED694E3"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Polpaico 500-&gt;Polpaico 220</w:t>
            </w:r>
          </w:p>
        </w:tc>
        <w:tc>
          <w:tcPr>
            <w:tcW w:w="960" w:type="dxa"/>
            <w:tcBorders>
              <w:top w:val="nil"/>
              <w:left w:val="nil"/>
              <w:bottom w:val="single" w:sz="4" w:space="0" w:color="auto"/>
              <w:right w:val="single" w:sz="4" w:space="0" w:color="auto"/>
            </w:tcBorders>
            <w:shd w:val="clear" w:color="auto" w:fill="auto"/>
            <w:noWrap/>
            <w:vAlign w:val="bottom"/>
            <w:hideMark/>
          </w:tcPr>
          <w:p w14:paraId="491A99FD"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0.079</w:t>
            </w:r>
          </w:p>
        </w:tc>
        <w:tc>
          <w:tcPr>
            <w:tcW w:w="960" w:type="dxa"/>
            <w:tcBorders>
              <w:top w:val="nil"/>
              <w:left w:val="nil"/>
              <w:bottom w:val="single" w:sz="4" w:space="0" w:color="auto"/>
              <w:right w:val="single" w:sz="4" w:space="0" w:color="auto"/>
            </w:tcBorders>
            <w:shd w:val="clear" w:color="auto" w:fill="auto"/>
            <w:noWrap/>
            <w:vAlign w:val="bottom"/>
            <w:hideMark/>
          </w:tcPr>
          <w:p w14:paraId="1C924A5E"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0.921</w:t>
            </w:r>
          </w:p>
        </w:tc>
        <w:tc>
          <w:tcPr>
            <w:tcW w:w="960" w:type="dxa"/>
            <w:tcBorders>
              <w:top w:val="nil"/>
              <w:left w:val="nil"/>
              <w:bottom w:val="single" w:sz="4" w:space="0" w:color="auto"/>
              <w:right w:val="single" w:sz="4" w:space="0" w:color="auto"/>
            </w:tcBorders>
            <w:shd w:val="clear" w:color="auto" w:fill="auto"/>
            <w:noWrap/>
            <w:vAlign w:val="bottom"/>
            <w:hideMark/>
          </w:tcPr>
          <w:p w14:paraId="333BA841"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0.119</w:t>
            </w:r>
          </w:p>
        </w:tc>
        <w:tc>
          <w:tcPr>
            <w:tcW w:w="960" w:type="dxa"/>
            <w:tcBorders>
              <w:top w:val="nil"/>
              <w:left w:val="nil"/>
              <w:bottom w:val="single" w:sz="4" w:space="0" w:color="auto"/>
              <w:right w:val="single" w:sz="4" w:space="0" w:color="auto"/>
            </w:tcBorders>
            <w:shd w:val="clear" w:color="auto" w:fill="auto"/>
            <w:noWrap/>
            <w:vAlign w:val="bottom"/>
            <w:hideMark/>
          </w:tcPr>
          <w:p w14:paraId="12B2909F"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0.881</w:t>
            </w:r>
          </w:p>
        </w:tc>
      </w:tr>
      <w:tr w:rsidR="004730B7" w:rsidRPr="004730B7" w14:paraId="0A653069"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54E27C9A"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N_112</w:t>
            </w:r>
          </w:p>
        </w:tc>
        <w:tc>
          <w:tcPr>
            <w:tcW w:w="5060" w:type="dxa"/>
            <w:tcBorders>
              <w:top w:val="nil"/>
              <w:left w:val="nil"/>
              <w:bottom w:val="single" w:sz="4" w:space="0" w:color="auto"/>
              <w:right w:val="single" w:sz="4" w:space="0" w:color="auto"/>
            </w:tcBorders>
            <w:shd w:val="clear" w:color="auto" w:fill="auto"/>
            <w:noWrap/>
            <w:vAlign w:val="bottom"/>
            <w:hideMark/>
          </w:tcPr>
          <w:p w14:paraId="0FD2F0B9"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Pozo Almonte 220-&gt;Nueva Pozo Almonte 220</w:t>
            </w:r>
          </w:p>
        </w:tc>
        <w:tc>
          <w:tcPr>
            <w:tcW w:w="960" w:type="dxa"/>
            <w:tcBorders>
              <w:top w:val="nil"/>
              <w:left w:val="nil"/>
              <w:bottom w:val="single" w:sz="4" w:space="0" w:color="auto"/>
              <w:right w:val="single" w:sz="4" w:space="0" w:color="auto"/>
            </w:tcBorders>
            <w:shd w:val="clear" w:color="auto" w:fill="auto"/>
            <w:noWrap/>
            <w:vAlign w:val="bottom"/>
            <w:hideMark/>
          </w:tcPr>
          <w:p w14:paraId="2A699557"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0.750</w:t>
            </w:r>
          </w:p>
        </w:tc>
        <w:tc>
          <w:tcPr>
            <w:tcW w:w="960" w:type="dxa"/>
            <w:tcBorders>
              <w:top w:val="nil"/>
              <w:left w:val="nil"/>
              <w:bottom w:val="single" w:sz="4" w:space="0" w:color="auto"/>
              <w:right w:val="single" w:sz="4" w:space="0" w:color="auto"/>
            </w:tcBorders>
            <w:shd w:val="clear" w:color="auto" w:fill="auto"/>
            <w:noWrap/>
            <w:vAlign w:val="bottom"/>
            <w:hideMark/>
          </w:tcPr>
          <w:p w14:paraId="2F9303EC"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0.250</w:t>
            </w:r>
          </w:p>
        </w:tc>
        <w:tc>
          <w:tcPr>
            <w:tcW w:w="960" w:type="dxa"/>
            <w:tcBorders>
              <w:top w:val="nil"/>
              <w:left w:val="nil"/>
              <w:bottom w:val="single" w:sz="4" w:space="0" w:color="auto"/>
              <w:right w:val="single" w:sz="4" w:space="0" w:color="auto"/>
            </w:tcBorders>
            <w:shd w:val="clear" w:color="auto" w:fill="auto"/>
            <w:noWrap/>
            <w:vAlign w:val="bottom"/>
            <w:hideMark/>
          </w:tcPr>
          <w:p w14:paraId="360A3BFE"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0.883</w:t>
            </w:r>
          </w:p>
        </w:tc>
        <w:tc>
          <w:tcPr>
            <w:tcW w:w="960" w:type="dxa"/>
            <w:tcBorders>
              <w:top w:val="nil"/>
              <w:left w:val="nil"/>
              <w:bottom w:val="single" w:sz="4" w:space="0" w:color="auto"/>
              <w:right w:val="single" w:sz="4" w:space="0" w:color="auto"/>
            </w:tcBorders>
            <w:shd w:val="clear" w:color="auto" w:fill="auto"/>
            <w:noWrap/>
            <w:vAlign w:val="bottom"/>
            <w:hideMark/>
          </w:tcPr>
          <w:p w14:paraId="41AC4F26"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0.117</w:t>
            </w:r>
          </w:p>
        </w:tc>
      </w:tr>
      <w:tr w:rsidR="004730B7" w:rsidRPr="004730B7" w14:paraId="7C70E48C"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66FEEA2F"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N_113</w:t>
            </w:r>
          </w:p>
        </w:tc>
        <w:tc>
          <w:tcPr>
            <w:tcW w:w="5060" w:type="dxa"/>
            <w:tcBorders>
              <w:top w:val="nil"/>
              <w:left w:val="nil"/>
              <w:bottom w:val="single" w:sz="4" w:space="0" w:color="auto"/>
              <w:right w:val="single" w:sz="4" w:space="0" w:color="auto"/>
            </w:tcBorders>
            <w:shd w:val="clear" w:color="auto" w:fill="auto"/>
            <w:noWrap/>
            <w:vAlign w:val="bottom"/>
            <w:hideMark/>
          </w:tcPr>
          <w:p w14:paraId="5C6AF632"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Puente Negro 220-&gt;Colbun 220</w:t>
            </w:r>
          </w:p>
        </w:tc>
        <w:tc>
          <w:tcPr>
            <w:tcW w:w="960" w:type="dxa"/>
            <w:tcBorders>
              <w:top w:val="nil"/>
              <w:left w:val="nil"/>
              <w:bottom w:val="single" w:sz="4" w:space="0" w:color="auto"/>
              <w:right w:val="single" w:sz="4" w:space="0" w:color="auto"/>
            </w:tcBorders>
            <w:shd w:val="clear" w:color="auto" w:fill="auto"/>
            <w:noWrap/>
            <w:vAlign w:val="bottom"/>
            <w:hideMark/>
          </w:tcPr>
          <w:p w14:paraId="0E73D64D"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0.042</w:t>
            </w:r>
          </w:p>
        </w:tc>
        <w:tc>
          <w:tcPr>
            <w:tcW w:w="960" w:type="dxa"/>
            <w:tcBorders>
              <w:top w:val="nil"/>
              <w:left w:val="nil"/>
              <w:bottom w:val="single" w:sz="4" w:space="0" w:color="auto"/>
              <w:right w:val="single" w:sz="4" w:space="0" w:color="auto"/>
            </w:tcBorders>
            <w:shd w:val="clear" w:color="auto" w:fill="auto"/>
            <w:noWrap/>
            <w:vAlign w:val="bottom"/>
            <w:hideMark/>
          </w:tcPr>
          <w:p w14:paraId="0CF0FE4D"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0.958</w:t>
            </w:r>
          </w:p>
        </w:tc>
        <w:tc>
          <w:tcPr>
            <w:tcW w:w="960" w:type="dxa"/>
            <w:tcBorders>
              <w:top w:val="nil"/>
              <w:left w:val="nil"/>
              <w:bottom w:val="single" w:sz="4" w:space="0" w:color="auto"/>
              <w:right w:val="single" w:sz="4" w:space="0" w:color="auto"/>
            </w:tcBorders>
            <w:shd w:val="clear" w:color="auto" w:fill="auto"/>
            <w:noWrap/>
            <w:vAlign w:val="bottom"/>
            <w:hideMark/>
          </w:tcPr>
          <w:p w14:paraId="1458778A"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0.049</w:t>
            </w:r>
          </w:p>
        </w:tc>
        <w:tc>
          <w:tcPr>
            <w:tcW w:w="960" w:type="dxa"/>
            <w:tcBorders>
              <w:top w:val="nil"/>
              <w:left w:val="nil"/>
              <w:bottom w:val="single" w:sz="4" w:space="0" w:color="auto"/>
              <w:right w:val="single" w:sz="4" w:space="0" w:color="auto"/>
            </w:tcBorders>
            <w:shd w:val="clear" w:color="auto" w:fill="auto"/>
            <w:noWrap/>
            <w:vAlign w:val="bottom"/>
            <w:hideMark/>
          </w:tcPr>
          <w:p w14:paraId="20EE9904"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0.951</w:t>
            </w:r>
          </w:p>
        </w:tc>
      </w:tr>
      <w:tr w:rsidR="004730B7" w:rsidRPr="004730B7" w14:paraId="05760F26"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11FCD49C"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N_114</w:t>
            </w:r>
          </w:p>
        </w:tc>
        <w:tc>
          <w:tcPr>
            <w:tcW w:w="5060" w:type="dxa"/>
            <w:tcBorders>
              <w:top w:val="nil"/>
              <w:left w:val="nil"/>
              <w:bottom w:val="single" w:sz="4" w:space="0" w:color="auto"/>
              <w:right w:val="single" w:sz="4" w:space="0" w:color="auto"/>
            </w:tcBorders>
            <w:shd w:val="clear" w:color="auto" w:fill="auto"/>
            <w:noWrap/>
            <w:vAlign w:val="bottom"/>
            <w:hideMark/>
          </w:tcPr>
          <w:p w14:paraId="2B7520FE"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Puente Negro 220-&gt;Tinguiririca 220</w:t>
            </w:r>
          </w:p>
        </w:tc>
        <w:tc>
          <w:tcPr>
            <w:tcW w:w="960" w:type="dxa"/>
            <w:tcBorders>
              <w:top w:val="nil"/>
              <w:left w:val="nil"/>
              <w:bottom w:val="single" w:sz="4" w:space="0" w:color="auto"/>
              <w:right w:val="single" w:sz="4" w:space="0" w:color="auto"/>
            </w:tcBorders>
            <w:shd w:val="clear" w:color="auto" w:fill="auto"/>
            <w:noWrap/>
            <w:vAlign w:val="bottom"/>
            <w:hideMark/>
          </w:tcPr>
          <w:p w14:paraId="477F6C37"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7E675FCE"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5ED35C44"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6D879543"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0.000</w:t>
            </w:r>
          </w:p>
        </w:tc>
      </w:tr>
      <w:tr w:rsidR="004730B7" w:rsidRPr="004730B7" w14:paraId="2C5CA2F4"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1D2FD62F"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N_115</w:t>
            </w:r>
          </w:p>
        </w:tc>
        <w:tc>
          <w:tcPr>
            <w:tcW w:w="5060" w:type="dxa"/>
            <w:tcBorders>
              <w:top w:val="nil"/>
              <w:left w:val="nil"/>
              <w:bottom w:val="single" w:sz="4" w:space="0" w:color="auto"/>
              <w:right w:val="single" w:sz="4" w:space="0" w:color="auto"/>
            </w:tcBorders>
            <w:shd w:val="clear" w:color="auto" w:fill="auto"/>
            <w:noWrap/>
            <w:vAlign w:val="bottom"/>
            <w:hideMark/>
          </w:tcPr>
          <w:p w14:paraId="4F389773"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Puerto Montt 220-&gt;Llanquihue 220</w:t>
            </w:r>
          </w:p>
        </w:tc>
        <w:tc>
          <w:tcPr>
            <w:tcW w:w="960" w:type="dxa"/>
            <w:tcBorders>
              <w:top w:val="nil"/>
              <w:left w:val="nil"/>
              <w:bottom w:val="single" w:sz="4" w:space="0" w:color="auto"/>
              <w:right w:val="single" w:sz="4" w:space="0" w:color="auto"/>
            </w:tcBorders>
            <w:shd w:val="clear" w:color="auto" w:fill="auto"/>
            <w:noWrap/>
            <w:vAlign w:val="bottom"/>
            <w:hideMark/>
          </w:tcPr>
          <w:p w14:paraId="4916F077"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0.180</w:t>
            </w:r>
          </w:p>
        </w:tc>
        <w:tc>
          <w:tcPr>
            <w:tcW w:w="960" w:type="dxa"/>
            <w:tcBorders>
              <w:top w:val="nil"/>
              <w:left w:val="nil"/>
              <w:bottom w:val="single" w:sz="4" w:space="0" w:color="auto"/>
              <w:right w:val="single" w:sz="4" w:space="0" w:color="auto"/>
            </w:tcBorders>
            <w:shd w:val="clear" w:color="auto" w:fill="auto"/>
            <w:noWrap/>
            <w:vAlign w:val="bottom"/>
            <w:hideMark/>
          </w:tcPr>
          <w:p w14:paraId="1013EF55"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0.820</w:t>
            </w:r>
          </w:p>
        </w:tc>
        <w:tc>
          <w:tcPr>
            <w:tcW w:w="960" w:type="dxa"/>
            <w:tcBorders>
              <w:top w:val="nil"/>
              <w:left w:val="nil"/>
              <w:bottom w:val="single" w:sz="4" w:space="0" w:color="auto"/>
              <w:right w:val="single" w:sz="4" w:space="0" w:color="auto"/>
            </w:tcBorders>
            <w:shd w:val="clear" w:color="auto" w:fill="auto"/>
            <w:noWrap/>
            <w:vAlign w:val="bottom"/>
            <w:hideMark/>
          </w:tcPr>
          <w:p w14:paraId="67D14B25"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0.221</w:t>
            </w:r>
          </w:p>
        </w:tc>
        <w:tc>
          <w:tcPr>
            <w:tcW w:w="960" w:type="dxa"/>
            <w:tcBorders>
              <w:top w:val="nil"/>
              <w:left w:val="nil"/>
              <w:bottom w:val="single" w:sz="4" w:space="0" w:color="auto"/>
              <w:right w:val="single" w:sz="4" w:space="0" w:color="auto"/>
            </w:tcBorders>
            <w:shd w:val="clear" w:color="auto" w:fill="auto"/>
            <w:noWrap/>
            <w:vAlign w:val="bottom"/>
            <w:hideMark/>
          </w:tcPr>
          <w:p w14:paraId="633CBE47"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0.779</w:t>
            </w:r>
          </w:p>
        </w:tc>
      </w:tr>
      <w:tr w:rsidR="004730B7" w:rsidRPr="004730B7" w14:paraId="635F28EB"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78E43976"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N_116</w:t>
            </w:r>
          </w:p>
        </w:tc>
        <w:tc>
          <w:tcPr>
            <w:tcW w:w="5060" w:type="dxa"/>
            <w:tcBorders>
              <w:top w:val="nil"/>
              <w:left w:val="nil"/>
              <w:bottom w:val="single" w:sz="4" w:space="0" w:color="auto"/>
              <w:right w:val="single" w:sz="4" w:space="0" w:color="auto"/>
            </w:tcBorders>
            <w:shd w:val="clear" w:color="auto" w:fill="auto"/>
            <w:noWrap/>
            <w:vAlign w:val="bottom"/>
            <w:hideMark/>
          </w:tcPr>
          <w:p w14:paraId="667D675D"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Punta Sierra 220-&gt;La Cebada 220</w:t>
            </w:r>
          </w:p>
        </w:tc>
        <w:tc>
          <w:tcPr>
            <w:tcW w:w="960" w:type="dxa"/>
            <w:tcBorders>
              <w:top w:val="nil"/>
              <w:left w:val="nil"/>
              <w:bottom w:val="single" w:sz="4" w:space="0" w:color="auto"/>
              <w:right w:val="single" w:sz="4" w:space="0" w:color="auto"/>
            </w:tcBorders>
            <w:shd w:val="clear" w:color="auto" w:fill="auto"/>
            <w:noWrap/>
            <w:vAlign w:val="bottom"/>
            <w:hideMark/>
          </w:tcPr>
          <w:p w14:paraId="73F35298"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0.450</w:t>
            </w:r>
          </w:p>
        </w:tc>
        <w:tc>
          <w:tcPr>
            <w:tcW w:w="960" w:type="dxa"/>
            <w:tcBorders>
              <w:top w:val="nil"/>
              <w:left w:val="nil"/>
              <w:bottom w:val="single" w:sz="4" w:space="0" w:color="auto"/>
              <w:right w:val="single" w:sz="4" w:space="0" w:color="auto"/>
            </w:tcBorders>
            <w:shd w:val="clear" w:color="auto" w:fill="auto"/>
            <w:noWrap/>
            <w:vAlign w:val="bottom"/>
            <w:hideMark/>
          </w:tcPr>
          <w:p w14:paraId="58B47C11"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0.550</w:t>
            </w:r>
          </w:p>
        </w:tc>
        <w:tc>
          <w:tcPr>
            <w:tcW w:w="960" w:type="dxa"/>
            <w:tcBorders>
              <w:top w:val="nil"/>
              <w:left w:val="nil"/>
              <w:bottom w:val="single" w:sz="4" w:space="0" w:color="auto"/>
              <w:right w:val="single" w:sz="4" w:space="0" w:color="auto"/>
            </w:tcBorders>
            <w:shd w:val="clear" w:color="auto" w:fill="auto"/>
            <w:noWrap/>
            <w:vAlign w:val="bottom"/>
            <w:hideMark/>
          </w:tcPr>
          <w:p w14:paraId="1F0872C4"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0.620</w:t>
            </w:r>
          </w:p>
        </w:tc>
        <w:tc>
          <w:tcPr>
            <w:tcW w:w="960" w:type="dxa"/>
            <w:tcBorders>
              <w:top w:val="nil"/>
              <w:left w:val="nil"/>
              <w:bottom w:val="single" w:sz="4" w:space="0" w:color="auto"/>
              <w:right w:val="single" w:sz="4" w:space="0" w:color="auto"/>
            </w:tcBorders>
            <w:shd w:val="clear" w:color="auto" w:fill="auto"/>
            <w:noWrap/>
            <w:vAlign w:val="bottom"/>
            <w:hideMark/>
          </w:tcPr>
          <w:p w14:paraId="222793D5"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0.380</w:t>
            </w:r>
          </w:p>
        </w:tc>
      </w:tr>
      <w:tr w:rsidR="004730B7" w:rsidRPr="004730B7" w14:paraId="0CB25D63"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54B1B7B4"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N_117</w:t>
            </w:r>
          </w:p>
        </w:tc>
        <w:tc>
          <w:tcPr>
            <w:tcW w:w="5060" w:type="dxa"/>
            <w:tcBorders>
              <w:top w:val="nil"/>
              <w:left w:val="nil"/>
              <w:bottom w:val="single" w:sz="4" w:space="0" w:color="auto"/>
              <w:right w:val="single" w:sz="4" w:space="0" w:color="auto"/>
            </w:tcBorders>
            <w:shd w:val="clear" w:color="auto" w:fill="auto"/>
            <w:noWrap/>
            <w:vAlign w:val="bottom"/>
            <w:hideMark/>
          </w:tcPr>
          <w:p w14:paraId="40E169A7"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Punta Sierra 220-&gt;Las Palmas 220</w:t>
            </w:r>
          </w:p>
        </w:tc>
        <w:tc>
          <w:tcPr>
            <w:tcW w:w="960" w:type="dxa"/>
            <w:tcBorders>
              <w:top w:val="nil"/>
              <w:left w:val="nil"/>
              <w:bottom w:val="single" w:sz="4" w:space="0" w:color="auto"/>
              <w:right w:val="single" w:sz="4" w:space="0" w:color="auto"/>
            </w:tcBorders>
            <w:shd w:val="clear" w:color="auto" w:fill="auto"/>
            <w:noWrap/>
            <w:vAlign w:val="bottom"/>
            <w:hideMark/>
          </w:tcPr>
          <w:p w14:paraId="229F0FC6"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0.350</w:t>
            </w:r>
          </w:p>
        </w:tc>
        <w:tc>
          <w:tcPr>
            <w:tcW w:w="960" w:type="dxa"/>
            <w:tcBorders>
              <w:top w:val="nil"/>
              <w:left w:val="nil"/>
              <w:bottom w:val="single" w:sz="4" w:space="0" w:color="auto"/>
              <w:right w:val="single" w:sz="4" w:space="0" w:color="auto"/>
            </w:tcBorders>
            <w:shd w:val="clear" w:color="auto" w:fill="auto"/>
            <w:noWrap/>
            <w:vAlign w:val="bottom"/>
            <w:hideMark/>
          </w:tcPr>
          <w:p w14:paraId="4B2CEC2E"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0.650</w:t>
            </w:r>
          </w:p>
        </w:tc>
        <w:tc>
          <w:tcPr>
            <w:tcW w:w="960" w:type="dxa"/>
            <w:tcBorders>
              <w:top w:val="nil"/>
              <w:left w:val="nil"/>
              <w:bottom w:val="single" w:sz="4" w:space="0" w:color="auto"/>
              <w:right w:val="single" w:sz="4" w:space="0" w:color="auto"/>
            </w:tcBorders>
            <w:shd w:val="clear" w:color="auto" w:fill="auto"/>
            <w:noWrap/>
            <w:vAlign w:val="bottom"/>
            <w:hideMark/>
          </w:tcPr>
          <w:p w14:paraId="156D84F8"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0.508</w:t>
            </w:r>
          </w:p>
        </w:tc>
        <w:tc>
          <w:tcPr>
            <w:tcW w:w="960" w:type="dxa"/>
            <w:tcBorders>
              <w:top w:val="nil"/>
              <w:left w:val="nil"/>
              <w:bottom w:val="single" w:sz="4" w:space="0" w:color="auto"/>
              <w:right w:val="single" w:sz="4" w:space="0" w:color="auto"/>
            </w:tcBorders>
            <w:shd w:val="clear" w:color="auto" w:fill="auto"/>
            <w:noWrap/>
            <w:vAlign w:val="bottom"/>
            <w:hideMark/>
          </w:tcPr>
          <w:p w14:paraId="2592D2EC"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0.492</w:t>
            </w:r>
          </w:p>
        </w:tc>
      </w:tr>
      <w:tr w:rsidR="004730B7" w:rsidRPr="004730B7" w14:paraId="33F061E8"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31B5548A"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N_118</w:t>
            </w:r>
          </w:p>
        </w:tc>
        <w:tc>
          <w:tcPr>
            <w:tcW w:w="5060" w:type="dxa"/>
            <w:tcBorders>
              <w:top w:val="nil"/>
              <w:left w:val="nil"/>
              <w:bottom w:val="single" w:sz="4" w:space="0" w:color="auto"/>
              <w:right w:val="single" w:sz="4" w:space="0" w:color="auto"/>
            </w:tcBorders>
            <w:shd w:val="clear" w:color="auto" w:fill="auto"/>
            <w:noWrap/>
            <w:vAlign w:val="bottom"/>
            <w:hideMark/>
          </w:tcPr>
          <w:p w14:paraId="1479071B"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Quillota 220-&gt;Polpaico 220</w:t>
            </w:r>
          </w:p>
        </w:tc>
        <w:tc>
          <w:tcPr>
            <w:tcW w:w="960" w:type="dxa"/>
            <w:tcBorders>
              <w:top w:val="nil"/>
              <w:left w:val="nil"/>
              <w:bottom w:val="single" w:sz="4" w:space="0" w:color="auto"/>
              <w:right w:val="single" w:sz="4" w:space="0" w:color="auto"/>
            </w:tcBorders>
            <w:shd w:val="clear" w:color="auto" w:fill="auto"/>
            <w:noWrap/>
            <w:vAlign w:val="bottom"/>
            <w:hideMark/>
          </w:tcPr>
          <w:p w14:paraId="0212498A"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0.239</w:t>
            </w:r>
          </w:p>
        </w:tc>
        <w:tc>
          <w:tcPr>
            <w:tcW w:w="960" w:type="dxa"/>
            <w:tcBorders>
              <w:top w:val="nil"/>
              <w:left w:val="nil"/>
              <w:bottom w:val="single" w:sz="4" w:space="0" w:color="auto"/>
              <w:right w:val="single" w:sz="4" w:space="0" w:color="auto"/>
            </w:tcBorders>
            <w:shd w:val="clear" w:color="auto" w:fill="auto"/>
            <w:noWrap/>
            <w:vAlign w:val="bottom"/>
            <w:hideMark/>
          </w:tcPr>
          <w:p w14:paraId="129BE57D"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0.761</w:t>
            </w:r>
          </w:p>
        </w:tc>
        <w:tc>
          <w:tcPr>
            <w:tcW w:w="960" w:type="dxa"/>
            <w:tcBorders>
              <w:top w:val="nil"/>
              <w:left w:val="nil"/>
              <w:bottom w:val="single" w:sz="4" w:space="0" w:color="auto"/>
              <w:right w:val="single" w:sz="4" w:space="0" w:color="auto"/>
            </w:tcBorders>
            <w:shd w:val="clear" w:color="auto" w:fill="auto"/>
            <w:noWrap/>
            <w:vAlign w:val="bottom"/>
            <w:hideMark/>
          </w:tcPr>
          <w:p w14:paraId="01BFA24A"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0.376</w:t>
            </w:r>
          </w:p>
        </w:tc>
        <w:tc>
          <w:tcPr>
            <w:tcW w:w="960" w:type="dxa"/>
            <w:tcBorders>
              <w:top w:val="nil"/>
              <w:left w:val="nil"/>
              <w:bottom w:val="single" w:sz="4" w:space="0" w:color="auto"/>
              <w:right w:val="single" w:sz="4" w:space="0" w:color="auto"/>
            </w:tcBorders>
            <w:shd w:val="clear" w:color="auto" w:fill="auto"/>
            <w:noWrap/>
            <w:vAlign w:val="bottom"/>
            <w:hideMark/>
          </w:tcPr>
          <w:p w14:paraId="2FC1AC01"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0.624</w:t>
            </w:r>
          </w:p>
        </w:tc>
      </w:tr>
      <w:tr w:rsidR="004730B7" w:rsidRPr="004730B7" w14:paraId="7062C114"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27E8CCF6"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N_119</w:t>
            </w:r>
          </w:p>
        </w:tc>
        <w:tc>
          <w:tcPr>
            <w:tcW w:w="5060" w:type="dxa"/>
            <w:tcBorders>
              <w:top w:val="nil"/>
              <w:left w:val="nil"/>
              <w:bottom w:val="single" w:sz="4" w:space="0" w:color="auto"/>
              <w:right w:val="single" w:sz="4" w:space="0" w:color="auto"/>
            </w:tcBorders>
            <w:shd w:val="clear" w:color="auto" w:fill="auto"/>
            <w:noWrap/>
            <w:vAlign w:val="bottom"/>
            <w:hideMark/>
          </w:tcPr>
          <w:p w14:paraId="290BBE61"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Quillota 220-&gt;San Luis 220</w:t>
            </w:r>
          </w:p>
        </w:tc>
        <w:tc>
          <w:tcPr>
            <w:tcW w:w="960" w:type="dxa"/>
            <w:tcBorders>
              <w:top w:val="nil"/>
              <w:left w:val="nil"/>
              <w:bottom w:val="single" w:sz="4" w:space="0" w:color="auto"/>
              <w:right w:val="single" w:sz="4" w:space="0" w:color="auto"/>
            </w:tcBorders>
            <w:shd w:val="clear" w:color="auto" w:fill="auto"/>
            <w:noWrap/>
            <w:vAlign w:val="bottom"/>
            <w:hideMark/>
          </w:tcPr>
          <w:p w14:paraId="42934DE1"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0.076</w:t>
            </w:r>
          </w:p>
        </w:tc>
        <w:tc>
          <w:tcPr>
            <w:tcW w:w="960" w:type="dxa"/>
            <w:tcBorders>
              <w:top w:val="nil"/>
              <w:left w:val="nil"/>
              <w:bottom w:val="single" w:sz="4" w:space="0" w:color="auto"/>
              <w:right w:val="single" w:sz="4" w:space="0" w:color="auto"/>
            </w:tcBorders>
            <w:shd w:val="clear" w:color="auto" w:fill="auto"/>
            <w:noWrap/>
            <w:vAlign w:val="bottom"/>
            <w:hideMark/>
          </w:tcPr>
          <w:p w14:paraId="281F84E2"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0.924</w:t>
            </w:r>
          </w:p>
        </w:tc>
        <w:tc>
          <w:tcPr>
            <w:tcW w:w="960" w:type="dxa"/>
            <w:tcBorders>
              <w:top w:val="nil"/>
              <w:left w:val="nil"/>
              <w:bottom w:val="single" w:sz="4" w:space="0" w:color="auto"/>
              <w:right w:val="single" w:sz="4" w:space="0" w:color="auto"/>
            </w:tcBorders>
            <w:shd w:val="clear" w:color="auto" w:fill="auto"/>
            <w:noWrap/>
            <w:vAlign w:val="bottom"/>
            <w:hideMark/>
          </w:tcPr>
          <w:p w14:paraId="5C39AB44"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0.082</w:t>
            </w:r>
          </w:p>
        </w:tc>
        <w:tc>
          <w:tcPr>
            <w:tcW w:w="960" w:type="dxa"/>
            <w:tcBorders>
              <w:top w:val="nil"/>
              <w:left w:val="nil"/>
              <w:bottom w:val="single" w:sz="4" w:space="0" w:color="auto"/>
              <w:right w:val="single" w:sz="4" w:space="0" w:color="auto"/>
            </w:tcBorders>
            <w:shd w:val="clear" w:color="auto" w:fill="auto"/>
            <w:noWrap/>
            <w:vAlign w:val="bottom"/>
            <w:hideMark/>
          </w:tcPr>
          <w:p w14:paraId="2B6C2F63"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0.918</w:t>
            </w:r>
          </w:p>
        </w:tc>
      </w:tr>
      <w:tr w:rsidR="004730B7" w:rsidRPr="004730B7" w14:paraId="7B2573FA"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17960D7C"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lastRenderedPageBreak/>
              <w:t>N_120</w:t>
            </w:r>
          </w:p>
        </w:tc>
        <w:tc>
          <w:tcPr>
            <w:tcW w:w="5060" w:type="dxa"/>
            <w:tcBorders>
              <w:top w:val="nil"/>
              <w:left w:val="nil"/>
              <w:bottom w:val="single" w:sz="4" w:space="0" w:color="auto"/>
              <w:right w:val="single" w:sz="4" w:space="0" w:color="auto"/>
            </w:tcBorders>
            <w:shd w:val="clear" w:color="auto" w:fill="auto"/>
            <w:noWrap/>
            <w:vAlign w:val="bottom"/>
            <w:hideMark/>
          </w:tcPr>
          <w:p w14:paraId="72901334"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Rahue 220-&gt;Frutillar Norte 220</w:t>
            </w:r>
          </w:p>
        </w:tc>
        <w:tc>
          <w:tcPr>
            <w:tcW w:w="960" w:type="dxa"/>
            <w:tcBorders>
              <w:top w:val="nil"/>
              <w:left w:val="nil"/>
              <w:bottom w:val="single" w:sz="4" w:space="0" w:color="auto"/>
              <w:right w:val="single" w:sz="4" w:space="0" w:color="auto"/>
            </w:tcBorders>
            <w:shd w:val="clear" w:color="auto" w:fill="auto"/>
            <w:noWrap/>
            <w:vAlign w:val="bottom"/>
            <w:hideMark/>
          </w:tcPr>
          <w:p w14:paraId="1C3DA4D5"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0.175</w:t>
            </w:r>
          </w:p>
        </w:tc>
        <w:tc>
          <w:tcPr>
            <w:tcW w:w="960" w:type="dxa"/>
            <w:tcBorders>
              <w:top w:val="nil"/>
              <w:left w:val="nil"/>
              <w:bottom w:val="single" w:sz="4" w:space="0" w:color="auto"/>
              <w:right w:val="single" w:sz="4" w:space="0" w:color="auto"/>
            </w:tcBorders>
            <w:shd w:val="clear" w:color="auto" w:fill="auto"/>
            <w:noWrap/>
            <w:vAlign w:val="bottom"/>
            <w:hideMark/>
          </w:tcPr>
          <w:p w14:paraId="03E94B49"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0.825</w:t>
            </w:r>
          </w:p>
        </w:tc>
        <w:tc>
          <w:tcPr>
            <w:tcW w:w="960" w:type="dxa"/>
            <w:tcBorders>
              <w:top w:val="nil"/>
              <w:left w:val="nil"/>
              <w:bottom w:val="single" w:sz="4" w:space="0" w:color="auto"/>
              <w:right w:val="single" w:sz="4" w:space="0" w:color="auto"/>
            </w:tcBorders>
            <w:shd w:val="clear" w:color="auto" w:fill="auto"/>
            <w:noWrap/>
            <w:vAlign w:val="bottom"/>
            <w:hideMark/>
          </w:tcPr>
          <w:p w14:paraId="27F9E312"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0.187</w:t>
            </w:r>
          </w:p>
        </w:tc>
        <w:tc>
          <w:tcPr>
            <w:tcW w:w="960" w:type="dxa"/>
            <w:tcBorders>
              <w:top w:val="nil"/>
              <w:left w:val="nil"/>
              <w:bottom w:val="single" w:sz="4" w:space="0" w:color="auto"/>
              <w:right w:val="single" w:sz="4" w:space="0" w:color="auto"/>
            </w:tcBorders>
            <w:shd w:val="clear" w:color="auto" w:fill="auto"/>
            <w:noWrap/>
            <w:vAlign w:val="bottom"/>
            <w:hideMark/>
          </w:tcPr>
          <w:p w14:paraId="3889022E"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0.813</w:t>
            </w:r>
          </w:p>
        </w:tc>
      </w:tr>
      <w:tr w:rsidR="004730B7" w:rsidRPr="004730B7" w14:paraId="4560A292"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66DF32C8"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N_121</w:t>
            </w:r>
          </w:p>
        </w:tc>
        <w:tc>
          <w:tcPr>
            <w:tcW w:w="5060" w:type="dxa"/>
            <w:tcBorders>
              <w:top w:val="nil"/>
              <w:left w:val="nil"/>
              <w:bottom w:val="single" w:sz="4" w:space="0" w:color="auto"/>
              <w:right w:val="single" w:sz="4" w:space="0" w:color="auto"/>
            </w:tcBorders>
            <w:shd w:val="clear" w:color="auto" w:fill="auto"/>
            <w:noWrap/>
            <w:vAlign w:val="bottom"/>
            <w:hideMark/>
          </w:tcPr>
          <w:p w14:paraId="1BAC1154"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Rahue 220-&gt;Nueva Pichirropulli 220</w:t>
            </w:r>
          </w:p>
        </w:tc>
        <w:tc>
          <w:tcPr>
            <w:tcW w:w="960" w:type="dxa"/>
            <w:tcBorders>
              <w:top w:val="nil"/>
              <w:left w:val="nil"/>
              <w:bottom w:val="single" w:sz="4" w:space="0" w:color="auto"/>
              <w:right w:val="single" w:sz="4" w:space="0" w:color="auto"/>
            </w:tcBorders>
            <w:shd w:val="clear" w:color="auto" w:fill="auto"/>
            <w:noWrap/>
            <w:vAlign w:val="bottom"/>
            <w:hideMark/>
          </w:tcPr>
          <w:p w14:paraId="332181DB"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0.248</w:t>
            </w:r>
          </w:p>
        </w:tc>
        <w:tc>
          <w:tcPr>
            <w:tcW w:w="960" w:type="dxa"/>
            <w:tcBorders>
              <w:top w:val="nil"/>
              <w:left w:val="nil"/>
              <w:bottom w:val="single" w:sz="4" w:space="0" w:color="auto"/>
              <w:right w:val="single" w:sz="4" w:space="0" w:color="auto"/>
            </w:tcBorders>
            <w:shd w:val="clear" w:color="auto" w:fill="auto"/>
            <w:noWrap/>
            <w:vAlign w:val="bottom"/>
            <w:hideMark/>
          </w:tcPr>
          <w:p w14:paraId="277F8D32"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0.752</w:t>
            </w:r>
          </w:p>
        </w:tc>
        <w:tc>
          <w:tcPr>
            <w:tcW w:w="960" w:type="dxa"/>
            <w:tcBorders>
              <w:top w:val="nil"/>
              <w:left w:val="nil"/>
              <w:bottom w:val="single" w:sz="4" w:space="0" w:color="auto"/>
              <w:right w:val="single" w:sz="4" w:space="0" w:color="auto"/>
            </w:tcBorders>
            <w:shd w:val="clear" w:color="auto" w:fill="auto"/>
            <w:noWrap/>
            <w:vAlign w:val="bottom"/>
            <w:hideMark/>
          </w:tcPr>
          <w:p w14:paraId="63587A73"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0.344</w:t>
            </w:r>
          </w:p>
        </w:tc>
        <w:tc>
          <w:tcPr>
            <w:tcW w:w="960" w:type="dxa"/>
            <w:tcBorders>
              <w:top w:val="nil"/>
              <w:left w:val="nil"/>
              <w:bottom w:val="single" w:sz="4" w:space="0" w:color="auto"/>
              <w:right w:val="single" w:sz="4" w:space="0" w:color="auto"/>
            </w:tcBorders>
            <w:shd w:val="clear" w:color="auto" w:fill="auto"/>
            <w:noWrap/>
            <w:vAlign w:val="bottom"/>
            <w:hideMark/>
          </w:tcPr>
          <w:p w14:paraId="545E6BF6"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0.656</w:t>
            </w:r>
          </w:p>
        </w:tc>
      </w:tr>
      <w:tr w:rsidR="004730B7" w:rsidRPr="004730B7" w14:paraId="51D14F11"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27498B97"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N_122</w:t>
            </w:r>
          </w:p>
        </w:tc>
        <w:tc>
          <w:tcPr>
            <w:tcW w:w="5060" w:type="dxa"/>
            <w:tcBorders>
              <w:top w:val="nil"/>
              <w:left w:val="nil"/>
              <w:bottom w:val="single" w:sz="4" w:space="0" w:color="auto"/>
              <w:right w:val="single" w:sz="4" w:space="0" w:color="auto"/>
            </w:tcBorders>
            <w:shd w:val="clear" w:color="auto" w:fill="auto"/>
            <w:noWrap/>
            <w:vAlign w:val="bottom"/>
            <w:hideMark/>
          </w:tcPr>
          <w:p w14:paraId="4B7CDD72"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Rio Malleco 220-&gt;Cautin 220</w:t>
            </w:r>
          </w:p>
        </w:tc>
        <w:tc>
          <w:tcPr>
            <w:tcW w:w="960" w:type="dxa"/>
            <w:tcBorders>
              <w:top w:val="nil"/>
              <w:left w:val="nil"/>
              <w:bottom w:val="single" w:sz="4" w:space="0" w:color="auto"/>
              <w:right w:val="single" w:sz="4" w:space="0" w:color="auto"/>
            </w:tcBorders>
            <w:shd w:val="clear" w:color="auto" w:fill="auto"/>
            <w:noWrap/>
            <w:vAlign w:val="bottom"/>
            <w:hideMark/>
          </w:tcPr>
          <w:p w14:paraId="10484418"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3F6912DA"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3D050FA2"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06359CE9"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0.000</w:t>
            </w:r>
          </w:p>
        </w:tc>
      </w:tr>
      <w:tr w:rsidR="004730B7" w:rsidRPr="004730B7" w14:paraId="068567E1"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65D31065"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N_123</w:t>
            </w:r>
          </w:p>
        </w:tc>
        <w:tc>
          <w:tcPr>
            <w:tcW w:w="5060" w:type="dxa"/>
            <w:tcBorders>
              <w:top w:val="nil"/>
              <w:left w:val="nil"/>
              <w:bottom w:val="single" w:sz="4" w:space="0" w:color="auto"/>
              <w:right w:val="single" w:sz="4" w:space="0" w:color="auto"/>
            </w:tcBorders>
            <w:shd w:val="clear" w:color="auto" w:fill="auto"/>
            <w:noWrap/>
            <w:vAlign w:val="bottom"/>
            <w:hideMark/>
          </w:tcPr>
          <w:p w14:paraId="6D28EEFF"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Rio Tolten 220-&gt;Lastarria 220</w:t>
            </w:r>
          </w:p>
        </w:tc>
        <w:tc>
          <w:tcPr>
            <w:tcW w:w="960" w:type="dxa"/>
            <w:tcBorders>
              <w:top w:val="nil"/>
              <w:left w:val="nil"/>
              <w:bottom w:val="single" w:sz="4" w:space="0" w:color="auto"/>
              <w:right w:val="single" w:sz="4" w:space="0" w:color="auto"/>
            </w:tcBorders>
            <w:shd w:val="clear" w:color="auto" w:fill="auto"/>
            <w:noWrap/>
            <w:vAlign w:val="bottom"/>
            <w:hideMark/>
          </w:tcPr>
          <w:p w14:paraId="56659396"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0.303</w:t>
            </w:r>
          </w:p>
        </w:tc>
        <w:tc>
          <w:tcPr>
            <w:tcW w:w="960" w:type="dxa"/>
            <w:tcBorders>
              <w:top w:val="nil"/>
              <w:left w:val="nil"/>
              <w:bottom w:val="single" w:sz="4" w:space="0" w:color="auto"/>
              <w:right w:val="single" w:sz="4" w:space="0" w:color="auto"/>
            </w:tcBorders>
            <w:shd w:val="clear" w:color="auto" w:fill="auto"/>
            <w:noWrap/>
            <w:vAlign w:val="bottom"/>
            <w:hideMark/>
          </w:tcPr>
          <w:p w14:paraId="11DBD15D"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0.697</w:t>
            </w:r>
          </w:p>
        </w:tc>
        <w:tc>
          <w:tcPr>
            <w:tcW w:w="960" w:type="dxa"/>
            <w:tcBorders>
              <w:top w:val="nil"/>
              <w:left w:val="nil"/>
              <w:bottom w:val="single" w:sz="4" w:space="0" w:color="auto"/>
              <w:right w:val="single" w:sz="4" w:space="0" w:color="auto"/>
            </w:tcBorders>
            <w:shd w:val="clear" w:color="auto" w:fill="auto"/>
            <w:noWrap/>
            <w:vAlign w:val="bottom"/>
            <w:hideMark/>
          </w:tcPr>
          <w:p w14:paraId="38FB9788"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0.416</w:t>
            </w:r>
          </w:p>
        </w:tc>
        <w:tc>
          <w:tcPr>
            <w:tcW w:w="960" w:type="dxa"/>
            <w:tcBorders>
              <w:top w:val="nil"/>
              <w:left w:val="nil"/>
              <w:bottom w:val="single" w:sz="4" w:space="0" w:color="auto"/>
              <w:right w:val="single" w:sz="4" w:space="0" w:color="auto"/>
            </w:tcBorders>
            <w:shd w:val="clear" w:color="auto" w:fill="auto"/>
            <w:noWrap/>
            <w:vAlign w:val="bottom"/>
            <w:hideMark/>
          </w:tcPr>
          <w:p w14:paraId="26F0FF78"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0.584</w:t>
            </w:r>
          </w:p>
        </w:tc>
      </w:tr>
      <w:tr w:rsidR="004730B7" w:rsidRPr="004730B7" w14:paraId="45050781"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46EEC894"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N_124</w:t>
            </w:r>
          </w:p>
        </w:tc>
        <w:tc>
          <w:tcPr>
            <w:tcW w:w="5060" w:type="dxa"/>
            <w:tcBorders>
              <w:top w:val="nil"/>
              <w:left w:val="nil"/>
              <w:bottom w:val="single" w:sz="4" w:space="0" w:color="auto"/>
              <w:right w:val="single" w:sz="4" w:space="0" w:color="auto"/>
            </w:tcBorders>
            <w:shd w:val="clear" w:color="auto" w:fill="auto"/>
            <w:noWrap/>
            <w:vAlign w:val="bottom"/>
            <w:hideMark/>
          </w:tcPr>
          <w:p w14:paraId="5191A530"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Rio Tolten 220-&gt;Metrenco 220</w:t>
            </w:r>
          </w:p>
        </w:tc>
        <w:tc>
          <w:tcPr>
            <w:tcW w:w="960" w:type="dxa"/>
            <w:tcBorders>
              <w:top w:val="nil"/>
              <w:left w:val="nil"/>
              <w:bottom w:val="single" w:sz="4" w:space="0" w:color="auto"/>
              <w:right w:val="single" w:sz="4" w:space="0" w:color="auto"/>
            </w:tcBorders>
            <w:shd w:val="clear" w:color="auto" w:fill="auto"/>
            <w:noWrap/>
            <w:vAlign w:val="bottom"/>
            <w:hideMark/>
          </w:tcPr>
          <w:p w14:paraId="5B7B10F5"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0.422</w:t>
            </w:r>
          </w:p>
        </w:tc>
        <w:tc>
          <w:tcPr>
            <w:tcW w:w="960" w:type="dxa"/>
            <w:tcBorders>
              <w:top w:val="nil"/>
              <w:left w:val="nil"/>
              <w:bottom w:val="single" w:sz="4" w:space="0" w:color="auto"/>
              <w:right w:val="single" w:sz="4" w:space="0" w:color="auto"/>
            </w:tcBorders>
            <w:shd w:val="clear" w:color="auto" w:fill="auto"/>
            <w:noWrap/>
            <w:vAlign w:val="bottom"/>
            <w:hideMark/>
          </w:tcPr>
          <w:p w14:paraId="1B465DC6"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0.578</w:t>
            </w:r>
          </w:p>
        </w:tc>
        <w:tc>
          <w:tcPr>
            <w:tcW w:w="960" w:type="dxa"/>
            <w:tcBorders>
              <w:top w:val="nil"/>
              <w:left w:val="nil"/>
              <w:bottom w:val="single" w:sz="4" w:space="0" w:color="auto"/>
              <w:right w:val="single" w:sz="4" w:space="0" w:color="auto"/>
            </w:tcBorders>
            <w:shd w:val="clear" w:color="auto" w:fill="auto"/>
            <w:noWrap/>
            <w:vAlign w:val="bottom"/>
            <w:hideMark/>
          </w:tcPr>
          <w:p w14:paraId="75883571"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0.584</w:t>
            </w:r>
          </w:p>
        </w:tc>
        <w:tc>
          <w:tcPr>
            <w:tcW w:w="960" w:type="dxa"/>
            <w:tcBorders>
              <w:top w:val="nil"/>
              <w:left w:val="nil"/>
              <w:bottom w:val="single" w:sz="4" w:space="0" w:color="auto"/>
              <w:right w:val="single" w:sz="4" w:space="0" w:color="auto"/>
            </w:tcBorders>
            <w:shd w:val="clear" w:color="auto" w:fill="auto"/>
            <w:noWrap/>
            <w:vAlign w:val="bottom"/>
            <w:hideMark/>
          </w:tcPr>
          <w:p w14:paraId="057718F4"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0.416</w:t>
            </w:r>
          </w:p>
        </w:tc>
      </w:tr>
      <w:tr w:rsidR="004730B7" w:rsidRPr="004730B7" w14:paraId="0215A18D"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6CFDC8E9"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N_125</w:t>
            </w:r>
          </w:p>
        </w:tc>
        <w:tc>
          <w:tcPr>
            <w:tcW w:w="5060" w:type="dxa"/>
            <w:tcBorders>
              <w:top w:val="nil"/>
              <w:left w:val="nil"/>
              <w:bottom w:val="single" w:sz="4" w:space="0" w:color="auto"/>
              <w:right w:val="single" w:sz="4" w:space="0" w:color="auto"/>
            </w:tcBorders>
            <w:shd w:val="clear" w:color="auto" w:fill="auto"/>
            <w:noWrap/>
            <w:vAlign w:val="bottom"/>
            <w:hideMark/>
          </w:tcPr>
          <w:p w14:paraId="5F1185CF"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S. San Andres 220-&gt;Cardones 220</w:t>
            </w:r>
          </w:p>
        </w:tc>
        <w:tc>
          <w:tcPr>
            <w:tcW w:w="960" w:type="dxa"/>
            <w:tcBorders>
              <w:top w:val="nil"/>
              <w:left w:val="nil"/>
              <w:bottom w:val="single" w:sz="4" w:space="0" w:color="auto"/>
              <w:right w:val="single" w:sz="4" w:space="0" w:color="auto"/>
            </w:tcBorders>
            <w:shd w:val="clear" w:color="auto" w:fill="auto"/>
            <w:noWrap/>
            <w:vAlign w:val="bottom"/>
            <w:hideMark/>
          </w:tcPr>
          <w:p w14:paraId="3E473715"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0.197</w:t>
            </w:r>
          </w:p>
        </w:tc>
        <w:tc>
          <w:tcPr>
            <w:tcW w:w="960" w:type="dxa"/>
            <w:tcBorders>
              <w:top w:val="nil"/>
              <w:left w:val="nil"/>
              <w:bottom w:val="single" w:sz="4" w:space="0" w:color="auto"/>
              <w:right w:val="single" w:sz="4" w:space="0" w:color="auto"/>
            </w:tcBorders>
            <w:shd w:val="clear" w:color="auto" w:fill="auto"/>
            <w:noWrap/>
            <w:vAlign w:val="bottom"/>
            <w:hideMark/>
          </w:tcPr>
          <w:p w14:paraId="4D18F526"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0.803</w:t>
            </w:r>
          </w:p>
        </w:tc>
        <w:tc>
          <w:tcPr>
            <w:tcW w:w="960" w:type="dxa"/>
            <w:tcBorders>
              <w:top w:val="nil"/>
              <w:left w:val="nil"/>
              <w:bottom w:val="single" w:sz="4" w:space="0" w:color="auto"/>
              <w:right w:val="single" w:sz="4" w:space="0" w:color="auto"/>
            </w:tcBorders>
            <w:shd w:val="clear" w:color="auto" w:fill="auto"/>
            <w:noWrap/>
            <w:vAlign w:val="bottom"/>
            <w:hideMark/>
          </w:tcPr>
          <w:p w14:paraId="51818872"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0.286</w:t>
            </w:r>
          </w:p>
        </w:tc>
        <w:tc>
          <w:tcPr>
            <w:tcW w:w="960" w:type="dxa"/>
            <w:tcBorders>
              <w:top w:val="nil"/>
              <w:left w:val="nil"/>
              <w:bottom w:val="single" w:sz="4" w:space="0" w:color="auto"/>
              <w:right w:val="single" w:sz="4" w:space="0" w:color="auto"/>
            </w:tcBorders>
            <w:shd w:val="clear" w:color="auto" w:fill="auto"/>
            <w:noWrap/>
            <w:vAlign w:val="bottom"/>
            <w:hideMark/>
          </w:tcPr>
          <w:p w14:paraId="715C6EDA"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0.714</w:t>
            </w:r>
          </w:p>
        </w:tc>
      </w:tr>
      <w:tr w:rsidR="004730B7" w:rsidRPr="004730B7" w14:paraId="3F9B450E"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12E3578C"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N_126</w:t>
            </w:r>
          </w:p>
        </w:tc>
        <w:tc>
          <w:tcPr>
            <w:tcW w:w="5060" w:type="dxa"/>
            <w:tcBorders>
              <w:top w:val="nil"/>
              <w:left w:val="nil"/>
              <w:bottom w:val="single" w:sz="4" w:space="0" w:color="auto"/>
              <w:right w:val="single" w:sz="4" w:space="0" w:color="auto"/>
            </w:tcBorders>
            <w:shd w:val="clear" w:color="auto" w:fill="auto"/>
            <w:noWrap/>
            <w:vAlign w:val="bottom"/>
            <w:hideMark/>
          </w:tcPr>
          <w:p w14:paraId="36A2479D"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Salar 220-&gt;Calama Nueva 220</w:t>
            </w:r>
          </w:p>
        </w:tc>
        <w:tc>
          <w:tcPr>
            <w:tcW w:w="960" w:type="dxa"/>
            <w:tcBorders>
              <w:top w:val="nil"/>
              <w:left w:val="nil"/>
              <w:bottom w:val="single" w:sz="4" w:space="0" w:color="auto"/>
              <w:right w:val="single" w:sz="4" w:space="0" w:color="auto"/>
            </w:tcBorders>
            <w:shd w:val="clear" w:color="auto" w:fill="auto"/>
            <w:noWrap/>
            <w:vAlign w:val="bottom"/>
            <w:hideMark/>
          </w:tcPr>
          <w:p w14:paraId="0AA233E5"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0.234</w:t>
            </w:r>
          </w:p>
        </w:tc>
        <w:tc>
          <w:tcPr>
            <w:tcW w:w="960" w:type="dxa"/>
            <w:tcBorders>
              <w:top w:val="nil"/>
              <w:left w:val="nil"/>
              <w:bottom w:val="single" w:sz="4" w:space="0" w:color="auto"/>
              <w:right w:val="single" w:sz="4" w:space="0" w:color="auto"/>
            </w:tcBorders>
            <w:shd w:val="clear" w:color="auto" w:fill="auto"/>
            <w:noWrap/>
            <w:vAlign w:val="bottom"/>
            <w:hideMark/>
          </w:tcPr>
          <w:p w14:paraId="0BAD9436"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0.766</w:t>
            </w:r>
          </w:p>
        </w:tc>
        <w:tc>
          <w:tcPr>
            <w:tcW w:w="960" w:type="dxa"/>
            <w:tcBorders>
              <w:top w:val="nil"/>
              <w:left w:val="nil"/>
              <w:bottom w:val="single" w:sz="4" w:space="0" w:color="auto"/>
              <w:right w:val="single" w:sz="4" w:space="0" w:color="auto"/>
            </w:tcBorders>
            <w:shd w:val="clear" w:color="auto" w:fill="auto"/>
            <w:noWrap/>
            <w:vAlign w:val="bottom"/>
            <w:hideMark/>
          </w:tcPr>
          <w:p w14:paraId="1D1BA20D"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0.326</w:t>
            </w:r>
          </w:p>
        </w:tc>
        <w:tc>
          <w:tcPr>
            <w:tcW w:w="960" w:type="dxa"/>
            <w:tcBorders>
              <w:top w:val="nil"/>
              <w:left w:val="nil"/>
              <w:bottom w:val="single" w:sz="4" w:space="0" w:color="auto"/>
              <w:right w:val="single" w:sz="4" w:space="0" w:color="auto"/>
            </w:tcBorders>
            <w:shd w:val="clear" w:color="auto" w:fill="auto"/>
            <w:noWrap/>
            <w:vAlign w:val="bottom"/>
            <w:hideMark/>
          </w:tcPr>
          <w:p w14:paraId="48249CAC"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0.674</w:t>
            </w:r>
          </w:p>
        </w:tc>
      </w:tr>
      <w:tr w:rsidR="004730B7" w:rsidRPr="004730B7" w14:paraId="01CA9EAE"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42B50A5E"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N_127</w:t>
            </w:r>
          </w:p>
        </w:tc>
        <w:tc>
          <w:tcPr>
            <w:tcW w:w="5060" w:type="dxa"/>
            <w:tcBorders>
              <w:top w:val="nil"/>
              <w:left w:val="nil"/>
              <w:bottom w:val="single" w:sz="4" w:space="0" w:color="auto"/>
              <w:right w:val="single" w:sz="4" w:space="0" w:color="auto"/>
            </w:tcBorders>
            <w:shd w:val="clear" w:color="auto" w:fill="auto"/>
            <w:noWrap/>
            <w:vAlign w:val="bottom"/>
            <w:hideMark/>
          </w:tcPr>
          <w:p w14:paraId="365BA1A6"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Salar 220-&gt;Chuquicamata 220</w:t>
            </w:r>
          </w:p>
        </w:tc>
        <w:tc>
          <w:tcPr>
            <w:tcW w:w="960" w:type="dxa"/>
            <w:tcBorders>
              <w:top w:val="nil"/>
              <w:left w:val="nil"/>
              <w:bottom w:val="single" w:sz="4" w:space="0" w:color="auto"/>
              <w:right w:val="single" w:sz="4" w:space="0" w:color="auto"/>
            </w:tcBorders>
            <w:shd w:val="clear" w:color="auto" w:fill="auto"/>
            <w:noWrap/>
            <w:vAlign w:val="bottom"/>
            <w:hideMark/>
          </w:tcPr>
          <w:p w14:paraId="74552D8D"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0.577</w:t>
            </w:r>
          </w:p>
        </w:tc>
        <w:tc>
          <w:tcPr>
            <w:tcW w:w="960" w:type="dxa"/>
            <w:tcBorders>
              <w:top w:val="nil"/>
              <w:left w:val="nil"/>
              <w:bottom w:val="single" w:sz="4" w:space="0" w:color="auto"/>
              <w:right w:val="single" w:sz="4" w:space="0" w:color="auto"/>
            </w:tcBorders>
            <w:shd w:val="clear" w:color="auto" w:fill="auto"/>
            <w:noWrap/>
            <w:vAlign w:val="bottom"/>
            <w:hideMark/>
          </w:tcPr>
          <w:p w14:paraId="02C168AC"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0.423</w:t>
            </w:r>
          </w:p>
        </w:tc>
        <w:tc>
          <w:tcPr>
            <w:tcW w:w="960" w:type="dxa"/>
            <w:tcBorders>
              <w:top w:val="nil"/>
              <w:left w:val="nil"/>
              <w:bottom w:val="single" w:sz="4" w:space="0" w:color="auto"/>
              <w:right w:val="single" w:sz="4" w:space="0" w:color="auto"/>
            </w:tcBorders>
            <w:shd w:val="clear" w:color="auto" w:fill="auto"/>
            <w:noWrap/>
            <w:vAlign w:val="bottom"/>
            <w:hideMark/>
          </w:tcPr>
          <w:p w14:paraId="50D937EB"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0.750</w:t>
            </w:r>
          </w:p>
        </w:tc>
        <w:tc>
          <w:tcPr>
            <w:tcW w:w="960" w:type="dxa"/>
            <w:tcBorders>
              <w:top w:val="nil"/>
              <w:left w:val="nil"/>
              <w:bottom w:val="single" w:sz="4" w:space="0" w:color="auto"/>
              <w:right w:val="single" w:sz="4" w:space="0" w:color="auto"/>
            </w:tcBorders>
            <w:shd w:val="clear" w:color="auto" w:fill="auto"/>
            <w:noWrap/>
            <w:vAlign w:val="bottom"/>
            <w:hideMark/>
          </w:tcPr>
          <w:p w14:paraId="38431D5F"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0.250</w:t>
            </w:r>
          </w:p>
        </w:tc>
      </w:tr>
      <w:tr w:rsidR="004730B7" w:rsidRPr="004730B7" w14:paraId="6D1137C3"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55363288"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N_128</w:t>
            </w:r>
          </w:p>
        </w:tc>
        <w:tc>
          <w:tcPr>
            <w:tcW w:w="5060" w:type="dxa"/>
            <w:tcBorders>
              <w:top w:val="nil"/>
              <w:left w:val="nil"/>
              <w:bottom w:val="single" w:sz="4" w:space="0" w:color="auto"/>
              <w:right w:val="single" w:sz="4" w:space="0" w:color="auto"/>
            </w:tcBorders>
            <w:shd w:val="clear" w:color="auto" w:fill="auto"/>
            <w:noWrap/>
            <w:vAlign w:val="bottom"/>
            <w:hideMark/>
          </w:tcPr>
          <w:p w14:paraId="1B3D6387"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Salar 220-&gt;Nueva Chuquicamata 220</w:t>
            </w:r>
          </w:p>
        </w:tc>
        <w:tc>
          <w:tcPr>
            <w:tcW w:w="960" w:type="dxa"/>
            <w:tcBorders>
              <w:top w:val="nil"/>
              <w:left w:val="nil"/>
              <w:bottom w:val="single" w:sz="4" w:space="0" w:color="auto"/>
              <w:right w:val="single" w:sz="4" w:space="0" w:color="auto"/>
            </w:tcBorders>
            <w:shd w:val="clear" w:color="auto" w:fill="auto"/>
            <w:noWrap/>
            <w:vAlign w:val="bottom"/>
            <w:hideMark/>
          </w:tcPr>
          <w:p w14:paraId="1D1FED8A"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0.634</w:t>
            </w:r>
          </w:p>
        </w:tc>
        <w:tc>
          <w:tcPr>
            <w:tcW w:w="960" w:type="dxa"/>
            <w:tcBorders>
              <w:top w:val="nil"/>
              <w:left w:val="nil"/>
              <w:bottom w:val="single" w:sz="4" w:space="0" w:color="auto"/>
              <w:right w:val="single" w:sz="4" w:space="0" w:color="auto"/>
            </w:tcBorders>
            <w:shd w:val="clear" w:color="auto" w:fill="auto"/>
            <w:noWrap/>
            <w:vAlign w:val="bottom"/>
            <w:hideMark/>
          </w:tcPr>
          <w:p w14:paraId="6CE88326"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0.366</w:t>
            </w:r>
          </w:p>
        </w:tc>
        <w:tc>
          <w:tcPr>
            <w:tcW w:w="960" w:type="dxa"/>
            <w:tcBorders>
              <w:top w:val="nil"/>
              <w:left w:val="nil"/>
              <w:bottom w:val="single" w:sz="4" w:space="0" w:color="auto"/>
              <w:right w:val="single" w:sz="4" w:space="0" w:color="auto"/>
            </w:tcBorders>
            <w:shd w:val="clear" w:color="auto" w:fill="auto"/>
            <w:noWrap/>
            <w:vAlign w:val="bottom"/>
            <w:hideMark/>
          </w:tcPr>
          <w:p w14:paraId="2EFC359A"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0.791</w:t>
            </w:r>
          </w:p>
        </w:tc>
        <w:tc>
          <w:tcPr>
            <w:tcW w:w="960" w:type="dxa"/>
            <w:tcBorders>
              <w:top w:val="nil"/>
              <w:left w:val="nil"/>
              <w:bottom w:val="single" w:sz="4" w:space="0" w:color="auto"/>
              <w:right w:val="single" w:sz="4" w:space="0" w:color="auto"/>
            </w:tcBorders>
            <w:shd w:val="clear" w:color="auto" w:fill="auto"/>
            <w:noWrap/>
            <w:vAlign w:val="bottom"/>
            <w:hideMark/>
          </w:tcPr>
          <w:p w14:paraId="1CA124E5"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0.209</w:t>
            </w:r>
          </w:p>
        </w:tc>
      </w:tr>
      <w:tr w:rsidR="004730B7" w:rsidRPr="004730B7" w14:paraId="42438E81"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4895141F"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N_129</w:t>
            </w:r>
          </w:p>
        </w:tc>
        <w:tc>
          <w:tcPr>
            <w:tcW w:w="5060" w:type="dxa"/>
            <w:tcBorders>
              <w:top w:val="nil"/>
              <w:left w:val="nil"/>
              <w:bottom w:val="single" w:sz="4" w:space="0" w:color="auto"/>
              <w:right w:val="single" w:sz="4" w:space="0" w:color="auto"/>
            </w:tcBorders>
            <w:shd w:val="clear" w:color="auto" w:fill="auto"/>
            <w:noWrap/>
            <w:vAlign w:val="bottom"/>
            <w:hideMark/>
          </w:tcPr>
          <w:p w14:paraId="1A31D2D7"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San Luis 220-&gt;Agua Santa 220</w:t>
            </w:r>
          </w:p>
        </w:tc>
        <w:tc>
          <w:tcPr>
            <w:tcW w:w="960" w:type="dxa"/>
            <w:tcBorders>
              <w:top w:val="nil"/>
              <w:left w:val="nil"/>
              <w:bottom w:val="single" w:sz="4" w:space="0" w:color="auto"/>
              <w:right w:val="single" w:sz="4" w:space="0" w:color="auto"/>
            </w:tcBorders>
            <w:shd w:val="clear" w:color="auto" w:fill="auto"/>
            <w:noWrap/>
            <w:vAlign w:val="bottom"/>
            <w:hideMark/>
          </w:tcPr>
          <w:p w14:paraId="047232F6"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0.561</w:t>
            </w:r>
          </w:p>
        </w:tc>
        <w:tc>
          <w:tcPr>
            <w:tcW w:w="960" w:type="dxa"/>
            <w:tcBorders>
              <w:top w:val="nil"/>
              <w:left w:val="nil"/>
              <w:bottom w:val="single" w:sz="4" w:space="0" w:color="auto"/>
              <w:right w:val="single" w:sz="4" w:space="0" w:color="auto"/>
            </w:tcBorders>
            <w:shd w:val="clear" w:color="auto" w:fill="auto"/>
            <w:noWrap/>
            <w:vAlign w:val="bottom"/>
            <w:hideMark/>
          </w:tcPr>
          <w:p w14:paraId="2C19CB54"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0.439</w:t>
            </w:r>
          </w:p>
        </w:tc>
        <w:tc>
          <w:tcPr>
            <w:tcW w:w="960" w:type="dxa"/>
            <w:tcBorders>
              <w:top w:val="nil"/>
              <w:left w:val="nil"/>
              <w:bottom w:val="single" w:sz="4" w:space="0" w:color="auto"/>
              <w:right w:val="single" w:sz="4" w:space="0" w:color="auto"/>
            </w:tcBorders>
            <w:shd w:val="clear" w:color="auto" w:fill="auto"/>
            <w:noWrap/>
            <w:vAlign w:val="bottom"/>
            <w:hideMark/>
          </w:tcPr>
          <w:p w14:paraId="749A25B0"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0.733</w:t>
            </w:r>
          </w:p>
        </w:tc>
        <w:tc>
          <w:tcPr>
            <w:tcW w:w="960" w:type="dxa"/>
            <w:tcBorders>
              <w:top w:val="nil"/>
              <w:left w:val="nil"/>
              <w:bottom w:val="single" w:sz="4" w:space="0" w:color="auto"/>
              <w:right w:val="single" w:sz="4" w:space="0" w:color="auto"/>
            </w:tcBorders>
            <w:shd w:val="clear" w:color="auto" w:fill="auto"/>
            <w:noWrap/>
            <w:vAlign w:val="bottom"/>
            <w:hideMark/>
          </w:tcPr>
          <w:p w14:paraId="58A4B86A"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0.267</w:t>
            </w:r>
          </w:p>
        </w:tc>
      </w:tr>
      <w:tr w:rsidR="004730B7" w:rsidRPr="004730B7" w14:paraId="32FC1FB5"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34BEB618"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N_130</w:t>
            </w:r>
          </w:p>
        </w:tc>
        <w:tc>
          <w:tcPr>
            <w:tcW w:w="5060" w:type="dxa"/>
            <w:tcBorders>
              <w:top w:val="nil"/>
              <w:left w:val="nil"/>
              <w:bottom w:val="single" w:sz="4" w:space="0" w:color="auto"/>
              <w:right w:val="single" w:sz="4" w:space="0" w:color="auto"/>
            </w:tcBorders>
            <w:shd w:val="clear" w:color="auto" w:fill="auto"/>
            <w:noWrap/>
            <w:vAlign w:val="bottom"/>
            <w:hideMark/>
          </w:tcPr>
          <w:p w14:paraId="135C7849"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San Simon 220-&gt;Nueva Victoria 220</w:t>
            </w:r>
          </w:p>
        </w:tc>
        <w:tc>
          <w:tcPr>
            <w:tcW w:w="960" w:type="dxa"/>
            <w:tcBorders>
              <w:top w:val="nil"/>
              <w:left w:val="nil"/>
              <w:bottom w:val="single" w:sz="4" w:space="0" w:color="auto"/>
              <w:right w:val="single" w:sz="4" w:space="0" w:color="auto"/>
            </w:tcBorders>
            <w:shd w:val="clear" w:color="auto" w:fill="auto"/>
            <w:noWrap/>
            <w:vAlign w:val="bottom"/>
            <w:hideMark/>
          </w:tcPr>
          <w:p w14:paraId="5D7F3985"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0.193</w:t>
            </w:r>
          </w:p>
        </w:tc>
        <w:tc>
          <w:tcPr>
            <w:tcW w:w="960" w:type="dxa"/>
            <w:tcBorders>
              <w:top w:val="nil"/>
              <w:left w:val="nil"/>
              <w:bottom w:val="single" w:sz="4" w:space="0" w:color="auto"/>
              <w:right w:val="single" w:sz="4" w:space="0" w:color="auto"/>
            </w:tcBorders>
            <w:shd w:val="clear" w:color="auto" w:fill="auto"/>
            <w:noWrap/>
            <w:vAlign w:val="bottom"/>
            <w:hideMark/>
          </w:tcPr>
          <w:p w14:paraId="74CE9B93"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0.807</w:t>
            </w:r>
          </w:p>
        </w:tc>
        <w:tc>
          <w:tcPr>
            <w:tcW w:w="960" w:type="dxa"/>
            <w:tcBorders>
              <w:top w:val="nil"/>
              <w:left w:val="nil"/>
              <w:bottom w:val="single" w:sz="4" w:space="0" w:color="auto"/>
              <w:right w:val="single" w:sz="4" w:space="0" w:color="auto"/>
            </w:tcBorders>
            <w:shd w:val="clear" w:color="auto" w:fill="auto"/>
            <w:noWrap/>
            <w:vAlign w:val="bottom"/>
            <w:hideMark/>
          </w:tcPr>
          <w:p w14:paraId="353344B3"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0.265</w:t>
            </w:r>
          </w:p>
        </w:tc>
        <w:tc>
          <w:tcPr>
            <w:tcW w:w="960" w:type="dxa"/>
            <w:tcBorders>
              <w:top w:val="nil"/>
              <w:left w:val="nil"/>
              <w:bottom w:val="single" w:sz="4" w:space="0" w:color="auto"/>
              <w:right w:val="single" w:sz="4" w:space="0" w:color="auto"/>
            </w:tcBorders>
            <w:shd w:val="clear" w:color="auto" w:fill="auto"/>
            <w:noWrap/>
            <w:vAlign w:val="bottom"/>
            <w:hideMark/>
          </w:tcPr>
          <w:p w14:paraId="0ADF48E5"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0.735</w:t>
            </w:r>
          </w:p>
        </w:tc>
      </w:tr>
      <w:tr w:rsidR="004730B7" w:rsidRPr="004730B7" w14:paraId="5950C0BC"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0D59242B"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N_131</w:t>
            </w:r>
          </w:p>
        </w:tc>
        <w:tc>
          <w:tcPr>
            <w:tcW w:w="5060" w:type="dxa"/>
            <w:tcBorders>
              <w:top w:val="nil"/>
              <w:left w:val="nil"/>
              <w:bottom w:val="single" w:sz="4" w:space="0" w:color="auto"/>
              <w:right w:val="single" w:sz="4" w:space="0" w:color="auto"/>
            </w:tcBorders>
            <w:shd w:val="clear" w:color="auto" w:fill="auto"/>
            <w:noWrap/>
            <w:vAlign w:val="bottom"/>
            <w:hideMark/>
          </w:tcPr>
          <w:p w14:paraId="2FCD4F0D"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San Simon 220-&gt;Quillagua 220</w:t>
            </w:r>
          </w:p>
        </w:tc>
        <w:tc>
          <w:tcPr>
            <w:tcW w:w="960" w:type="dxa"/>
            <w:tcBorders>
              <w:top w:val="nil"/>
              <w:left w:val="nil"/>
              <w:bottom w:val="single" w:sz="4" w:space="0" w:color="auto"/>
              <w:right w:val="single" w:sz="4" w:space="0" w:color="auto"/>
            </w:tcBorders>
            <w:shd w:val="clear" w:color="auto" w:fill="auto"/>
            <w:noWrap/>
            <w:vAlign w:val="bottom"/>
            <w:hideMark/>
          </w:tcPr>
          <w:p w14:paraId="725E7FDC"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0.178</w:t>
            </w:r>
          </w:p>
        </w:tc>
        <w:tc>
          <w:tcPr>
            <w:tcW w:w="960" w:type="dxa"/>
            <w:tcBorders>
              <w:top w:val="nil"/>
              <w:left w:val="nil"/>
              <w:bottom w:val="single" w:sz="4" w:space="0" w:color="auto"/>
              <w:right w:val="single" w:sz="4" w:space="0" w:color="auto"/>
            </w:tcBorders>
            <w:shd w:val="clear" w:color="auto" w:fill="auto"/>
            <w:noWrap/>
            <w:vAlign w:val="bottom"/>
            <w:hideMark/>
          </w:tcPr>
          <w:p w14:paraId="2E5C0878"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0.822</w:t>
            </w:r>
          </w:p>
        </w:tc>
        <w:tc>
          <w:tcPr>
            <w:tcW w:w="960" w:type="dxa"/>
            <w:tcBorders>
              <w:top w:val="nil"/>
              <w:left w:val="nil"/>
              <w:bottom w:val="single" w:sz="4" w:space="0" w:color="auto"/>
              <w:right w:val="single" w:sz="4" w:space="0" w:color="auto"/>
            </w:tcBorders>
            <w:shd w:val="clear" w:color="auto" w:fill="auto"/>
            <w:noWrap/>
            <w:vAlign w:val="bottom"/>
            <w:hideMark/>
          </w:tcPr>
          <w:p w14:paraId="1BBDAC80"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0.237</w:t>
            </w:r>
          </w:p>
        </w:tc>
        <w:tc>
          <w:tcPr>
            <w:tcW w:w="960" w:type="dxa"/>
            <w:tcBorders>
              <w:top w:val="nil"/>
              <w:left w:val="nil"/>
              <w:bottom w:val="single" w:sz="4" w:space="0" w:color="auto"/>
              <w:right w:val="single" w:sz="4" w:space="0" w:color="auto"/>
            </w:tcBorders>
            <w:shd w:val="clear" w:color="auto" w:fill="auto"/>
            <w:noWrap/>
            <w:vAlign w:val="bottom"/>
            <w:hideMark/>
          </w:tcPr>
          <w:p w14:paraId="568F7A39"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0.763</w:t>
            </w:r>
          </w:p>
        </w:tc>
      </w:tr>
      <w:tr w:rsidR="004730B7" w:rsidRPr="004730B7" w14:paraId="2838386F"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09FED8F2"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N_132</w:t>
            </w:r>
          </w:p>
        </w:tc>
        <w:tc>
          <w:tcPr>
            <w:tcW w:w="5060" w:type="dxa"/>
            <w:tcBorders>
              <w:top w:val="nil"/>
              <w:left w:val="nil"/>
              <w:bottom w:val="single" w:sz="4" w:space="0" w:color="auto"/>
              <w:right w:val="single" w:sz="4" w:space="0" w:color="auto"/>
            </w:tcBorders>
            <w:shd w:val="clear" w:color="auto" w:fill="auto"/>
            <w:noWrap/>
            <w:vAlign w:val="bottom"/>
            <w:hideMark/>
          </w:tcPr>
          <w:p w14:paraId="10D57DEE"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Tap El Manzano 220-&gt;Tap Chicureo 220</w:t>
            </w:r>
          </w:p>
        </w:tc>
        <w:tc>
          <w:tcPr>
            <w:tcW w:w="960" w:type="dxa"/>
            <w:tcBorders>
              <w:top w:val="nil"/>
              <w:left w:val="nil"/>
              <w:bottom w:val="single" w:sz="4" w:space="0" w:color="auto"/>
              <w:right w:val="single" w:sz="4" w:space="0" w:color="auto"/>
            </w:tcBorders>
            <w:shd w:val="clear" w:color="auto" w:fill="auto"/>
            <w:noWrap/>
            <w:vAlign w:val="bottom"/>
            <w:hideMark/>
          </w:tcPr>
          <w:p w14:paraId="694CC7E9"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0.265</w:t>
            </w:r>
          </w:p>
        </w:tc>
        <w:tc>
          <w:tcPr>
            <w:tcW w:w="960" w:type="dxa"/>
            <w:tcBorders>
              <w:top w:val="nil"/>
              <w:left w:val="nil"/>
              <w:bottom w:val="single" w:sz="4" w:space="0" w:color="auto"/>
              <w:right w:val="single" w:sz="4" w:space="0" w:color="auto"/>
            </w:tcBorders>
            <w:shd w:val="clear" w:color="auto" w:fill="auto"/>
            <w:noWrap/>
            <w:vAlign w:val="bottom"/>
            <w:hideMark/>
          </w:tcPr>
          <w:p w14:paraId="419E152E"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0.735</w:t>
            </w:r>
          </w:p>
        </w:tc>
        <w:tc>
          <w:tcPr>
            <w:tcW w:w="960" w:type="dxa"/>
            <w:tcBorders>
              <w:top w:val="nil"/>
              <w:left w:val="nil"/>
              <w:bottom w:val="single" w:sz="4" w:space="0" w:color="auto"/>
              <w:right w:val="single" w:sz="4" w:space="0" w:color="auto"/>
            </w:tcBorders>
            <w:shd w:val="clear" w:color="auto" w:fill="auto"/>
            <w:noWrap/>
            <w:vAlign w:val="bottom"/>
            <w:hideMark/>
          </w:tcPr>
          <w:p w14:paraId="689F4FE3"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0.400</w:t>
            </w:r>
          </w:p>
        </w:tc>
        <w:tc>
          <w:tcPr>
            <w:tcW w:w="960" w:type="dxa"/>
            <w:tcBorders>
              <w:top w:val="nil"/>
              <w:left w:val="nil"/>
              <w:bottom w:val="single" w:sz="4" w:space="0" w:color="auto"/>
              <w:right w:val="single" w:sz="4" w:space="0" w:color="auto"/>
            </w:tcBorders>
            <w:shd w:val="clear" w:color="auto" w:fill="auto"/>
            <w:noWrap/>
            <w:vAlign w:val="bottom"/>
            <w:hideMark/>
          </w:tcPr>
          <w:p w14:paraId="42C8B0EC"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0.600</w:t>
            </w:r>
          </w:p>
        </w:tc>
      </w:tr>
      <w:tr w:rsidR="004730B7" w:rsidRPr="004730B7" w14:paraId="4808C52A"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0FD9C6FB"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N_133</w:t>
            </w:r>
          </w:p>
        </w:tc>
        <w:tc>
          <w:tcPr>
            <w:tcW w:w="5060" w:type="dxa"/>
            <w:tcBorders>
              <w:top w:val="nil"/>
              <w:left w:val="nil"/>
              <w:bottom w:val="single" w:sz="4" w:space="0" w:color="auto"/>
              <w:right w:val="single" w:sz="4" w:space="0" w:color="auto"/>
            </w:tcBorders>
            <w:shd w:val="clear" w:color="auto" w:fill="auto"/>
            <w:noWrap/>
            <w:vAlign w:val="bottom"/>
            <w:hideMark/>
          </w:tcPr>
          <w:p w14:paraId="30B337B1"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Tap El Romero 220-&gt;Don Hector 220</w:t>
            </w:r>
          </w:p>
        </w:tc>
        <w:tc>
          <w:tcPr>
            <w:tcW w:w="960" w:type="dxa"/>
            <w:tcBorders>
              <w:top w:val="nil"/>
              <w:left w:val="nil"/>
              <w:bottom w:val="single" w:sz="4" w:space="0" w:color="auto"/>
              <w:right w:val="single" w:sz="4" w:space="0" w:color="auto"/>
            </w:tcBorders>
            <w:shd w:val="clear" w:color="auto" w:fill="auto"/>
            <w:noWrap/>
            <w:vAlign w:val="bottom"/>
            <w:hideMark/>
          </w:tcPr>
          <w:p w14:paraId="666C5717"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0.034</w:t>
            </w:r>
          </w:p>
        </w:tc>
        <w:tc>
          <w:tcPr>
            <w:tcW w:w="960" w:type="dxa"/>
            <w:tcBorders>
              <w:top w:val="nil"/>
              <w:left w:val="nil"/>
              <w:bottom w:val="single" w:sz="4" w:space="0" w:color="auto"/>
              <w:right w:val="single" w:sz="4" w:space="0" w:color="auto"/>
            </w:tcBorders>
            <w:shd w:val="clear" w:color="auto" w:fill="auto"/>
            <w:noWrap/>
            <w:vAlign w:val="bottom"/>
            <w:hideMark/>
          </w:tcPr>
          <w:p w14:paraId="65560CBB"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0.966</w:t>
            </w:r>
          </w:p>
        </w:tc>
        <w:tc>
          <w:tcPr>
            <w:tcW w:w="960" w:type="dxa"/>
            <w:tcBorders>
              <w:top w:val="nil"/>
              <w:left w:val="nil"/>
              <w:bottom w:val="single" w:sz="4" w:space="0" w:color="auto"/>
              <w:right w:val="single" w:sz="4" w:space="0" w:color="auto"/>
            </w:tcBorders>
            <w:shd w:val="clear" w:color="auto" w:fill="auto"/>
            <w:noWrap/>
            <w:vAlign w:val="bottom"/>
            <w:hideMark/>
          </w:tcPr>
          <w:p w14:paraId="31335A0B"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0.050</w:t>
            </w:r>
          </w:p>
        </w:tc>
        <w:tc>
          <w:tcPr>
            <w:tcW w:w="960" w:type="dxa"/>
            <w:tcBorders>
              <w:top w:val="nil"/>
              <w:left w:val="nil"/>
              <w:bottom w:val="single" w:sz="4" w:space="0" w:color="auto"/>
              <w:right w:val="single" w:sz="4" w:space="0" w:color="auto"/>
            </w:tcBorders>
            <w:shd w:val="clear" w:color="auto" w:fill="auto"/>
            <w:noWrap/>
            <w:vAlign w:val="bottom"/>
            <w:hideMark/>
          </w:tcPr>
          <w:p w14:paraId="1A12385B"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0.950</w:t>
            </w:r>
          </w:p>
        </w:tc>
      </w:tr>
      <w:tr w:rsidR="004730B7" w:rsidRPr="004730B7" w14:paraId="3280C46C"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1380A863"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N_134</w:t>
            </w:r>
          </w:p>
        </w:tc>
        <w:tc>
          <w:tcPr>
            <w:tcW w:w="5060" w:type="dxa"/>
            <w:tcBorders>
              <w:top w:val="nil"/>
              <w:left w:val="nil"/>
              <w:bottom w:val="single" w:sz="4" w:space="0" w:color="auto"/>
              <w:right w:val="single" w:sz="4" w:space="0" w:color="auto"/>
            </w:tcBorders>
            <w:shd w:val="clear" w:color="auto" w:fill="auto"/>
            <w:noWrap/>
            <w:vAlign w:val="bottom"/>
            <w:hideMark/>
          </w:tcPr>
          <w:p w14:paraId="49C8A66C" w14:textId="77777777" w:rsidR="004730B7" w:rsidRPr="004730B7" w:rsidRDefault="004730B7" w:rsidP="004730B7">
            <w:pPr>
              <w:spacing w:after="0" w:line="240" w:lineRule="auto"/>
              <w:jc w:val="left"/>
              <w:rPr>
                <w:rFonts w:eastAsia="Times New Roman"/>
                <w:color w:val="000000"/>
                <w:sz w:val="20"/>
                <w:szCs w:val="22"/>
                <w:lang w:val="en-US" w:eastAsia="es-CL"/>
              </w:rPr>
            </w:pPr>
            <w:r w:rsidRPr="004730B7">
              <w:rPr>
                <w:rFonts w:eastAsia="Times New Roman"/>
                <w:color w:val="000000"/>
                <w:sz w:val="20"/>
                <w:szCs w:val="22"/>
                <w:lang w:val="en-US" w:eastAsia="es-CL"/>
              </w:rPr>
              <w:t>Tap Off Santa Isabel 220-&gt;Itahue 220</w:t>
            </w:r>
          </w:p>
        </w:tc>
        <w:tc>
          <w:tcPr>
            <w:tcW w:w="960" w:type="dxa"/>
            <w:tcBorders>
              <w:top w:val="nil"/>
              <w:left w:val="nil"/>
              <w:bottom w:val="single" w:sz="4" w:space="0" w:color="auto"/>
              <w:right w:val="single" w:sz="4" w:space="0" w:color="auto"/>
            </w:tcBorders>
            <w:shd w:val="clear" w:color="auto" w:fill="auto"/>
            <w:noWrap/>
            <w:vAlign w:val="bottom"/>
            <w:hideMark/>
          </w:tcPr>
          <w:p w14:paraId="31A54983"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0.233</w:t>
            </w:r>
          </w:p>
        </w:tc>
        <w:tc>
          <w:tcPr>
            <w:tcW w:w="960" w:type="dxa"/>
            <w:tcBorders>
              <w:top w:val="nil"/>
              <w:left w:val="nil"/>
              <w:bottom w:val="single" w:sz="4" w:space="0" w:color="auto"/>
              <w:right w:val="single" w:sz="4" w:space="0" w:color="auto"/>
            </w:tcBorders>
            <w:shd w:val="clear" w:color="auto" w:fill="auto"/>
            <w:noWrap/>
            <w:vAlign w:val="bottom"/>
            <w:hideMark/>
          </w:tcPr>
          <w:p w14:paraId="2D01FCFC"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0.767</w:t>
            </w:r>
          </w:p>
        </w:tc>
        <w:tc>
          <w:tcPr>
            <w:tcW w:w="960" w:type="dxa"/>
            <w:tcBorders>
              <w:top w:val="nil"/>
              <w:left w:val="nil"/>
              <w:bottom w:val="single" w:sz="4" w:space="0" w:color="auto"/>
              <w:right w:val="single" w:sz="4" w:space="0" w:color="auto"/>
            </w:tcBorders>
            <w:shd w:val="clear" w:color="auto" w:fill="auto"/>
            <w:noWrap/>
            <w:vAlign w:val="bottom"/>
            <w:hideMark/>
          </w:tcPr>
          <w:p w14:paraId="40531395"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0.351</w:t>
            </w:r>
          </w:p>
        </w:tc>
        <w:tc>
          <w:tcPr>
            <w:tcW w:w="960" w:type="dxa"/>
            <w:tcBorders>
              <w:top w:val="nil"/>
              <w:left w:val="nil"/>
              <w:bottom w:val="single" w:sz="4" w:space="0" w:color="auto"/>
              <w:right w:val="single" w:sz="4" w:space="0" w:color="auto"/>
            </w:tcBorders>
            <w:shd w:val="clear" w:color="auto" w:fill="auto"/>
            <w:noWrap/>
            <w:vAlign w:val="bottom"/>
            <w:hideMark/>
          </w:tcPr>
          <w:p w14:paraId="4E231245"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0.649</w:t>
            </w:r>
          </w:p>
        </w:tc>
      </w:tr>
      <w:tr w:rsidR="004730B7" w:rsidRPr="004730B7" w14:paraId="10F3EF2D"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10FC3788"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N_135</w:t>
            </w:r>
          </w:p>
        </w:tc>
        <w:tc>
          <w:tcPr>
            <w:tcW w:w="5060" w:type="dxa"/>
            <w:tcBorders>
              <w:top w:val="nil"/>
              <w:left w:val="nil"/>
              <w:bottom w:val="single" w:sz="4" w:space="0" w:color="auto"/>
              <w:right w:val="single" w:sz="4" w:space="0" w:color="auto"/>
            </w:tcBorders>
            <w:shd w:val="clear" w:color="auto" w:fill="auto"/>
            <w:noWrap/>
            <w:vAlign w:val="bottom"/>
            <w:hideMark/>
          </w:tcPr>
          <w:p w14:paraId="36EB1D25"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Tap off Sierra Gorda Eolico 220-&gt;Centinela 220</w:t>
            </w:r>
          </w:p>
        </w:tc>
        <w:tc>
          <w:tcPr>
            <w:tcW w:w="960" w:type="dxa"/>
            <w:tcBorders>
              <w:top w:val="nil"/>
              <w:left w:val="nil"/>
              <w:bottom w:val="single" w:sz="4" w:space="0" w:color="auto"/>
              <w:right w:val="single" w:sz="4" w:space="0" w:color="auto"/>
            </w:tcBorders>
            <w:shd w:val="clear" w:color="auto" w:fill="auto"/>
            <w:noWrap/>
            <w:vAlign w:val="bottom"/>
            <w:hideMark/>
          </w:tcPr>
          <w:p w14:paraId="74C9EBE1"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016B15F8"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04368EE8"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3C151C85"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0.000</w:t>
            </w:r>
          </w:p>
        </w:tc>
      </w:tr>
      <w:tr w:rsidR="004730B7" w:rsidRPr="004730B7" w14:paraId="06E4644A"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792B4CD6"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N_136</w:t>
            </w:r>
          </w:p>
        </w:tc>
        <w:tc>
          <w:tcPr>
            <w:tcW w:w="5060" w:type="dxa"/>
            <w:tcBorders>
              <w:top w:val="nil"/>
              <w:left w:val="nil"/>
              <w:bottom w:val="single" w:sz="4" w:space="0" w:color="auto"/>
              <w:right w:val="single" w:sz="4" w:space="0" w:color="auto"/>
            </w:tcBorders>
            <w:shd w:val="clear" w:color="auto" w:fill="auto"/>
            <w:noWrap/>
            <w:vAlign w:val="bottom"/>
            <w:hideMark/>
          </w:tcPr>
          <w:p w14:paraId="0D2FB67D"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Tarapaca 220-&gt;Condores 220</w:t>
            </w:r>
          </w:p>
        </w:tc>
        <w:tc>
          <w:tcPr>
            <w:tcW w:w="960" w:type="dxa"/>
            <w:tcBorders>
              <w:top w:val="nil"/>
              <w:left w:val="nil"/>
              <w:bottom w:val="single" w:sz="4" w:space="0" w:color="auto"/>
              <w:right w:val="single" w:sz="4" w:space="0" w:color="auto"/>
            </w:tcBorders>
            <w:shd w:val="clear" w:color="auto" w:fill="auto"/>
            <w:noWrap/>
            <w:vAlign w:val="bottom"/>
            <w:hideMark/>
          </w:tcPr>
          <w:p w14:paraId="7A789FEA"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0.244</w:t>
            </w:r>
          </w:p>
        </w:tc>
        <w:tc>
          <w:tcPr>
            <w:tcW w:w="960" w:type="dxa"/>
            <w:tcBorders>
              <w:top w:val="nil"/>
              <w:left w:val="nil"/>
              <w:bottom w:val="single" w:sz="4" w:space="0" w:color="auto"/>
              <w:right w:val="single" w:sz="4" w:space="0" w:color="auto"/>
            </w:tcBorders>
            <w:shd w:val="clear" w:color="auto" w:fill="auto"/>
            <w:noWrap/>
            <w:vAlign w:val="bottom"/>
            <w:hideMark/>
          </w:tcPr>
          <w:p w14:paraId="009BD14B"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0.756</w:t>
            </w:r>
          </w:p>
        </w:tc>
        <w:tc>
          <w:tcPr>
            <w:tcW w:w="960" w:type="dxa"/>
            <w:tcBorders>
              <w:top w:val="nil"/>
              <w:left w:val="nil"/>
              <w:bottom w:val="single" w:sz="4" w:space="0" w:color="auto"/>
              <w:right w:val="single" w:sz="4" w:space="0" w:color="auto"/>
            </w:tcBorders>
            <w:shd w:val="clear" w:color="auto" w:fill="auto"/>
            <w:noWrap/>
            <w:vAlign w:val="bottom"/>
            <w:hideMark/>
          </w:tcPr>
          <w:p w14:paraId="74B8D254"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0.344</w:t>
            </w:r>
          </w:p>
        </w:tc>
        <w:tc>
          <w:tcPr>
            <w:tcW w:w="960" w:type="dxa"/>
            <w:tcBorders>
              <w:top w:val="nil"/>
              <w:left w:val="nil"/>
              <w:bottom w:val="single" w:sz="4" w:space="0" w:color="auto"/>
              <w:right w:val="single" w:sz="4" w:space="0" w:color="auto"/>
            </w:tcBorders>
            <w:shd w:val="clear" w:color="auto" w:fill="auto"/>
            <w:noWrap/>
            <w:vAlign w:val="bottom"/>
            <w:hideMark/>
          </w:tcPr>
          <w:p w14:paraId="7169E789"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0.656</w:t>
            </w:r>
          </w:p>
        </w:tc>
      </w:tr>
      <w:tr w:rsidR="004730B7" w:rsidRPr="004730B7" w14:paraId="3F40FC62"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02E8258E"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N_137</w:t>
            </w:r>
          </w:p>
        </w:tc>
        <w:tc>
          <w:tcPr>
            <w:tcW w:w="5060" w:type="dxa"/>
            <w:tcBorders>
              <w:top w:val="nil"/>
              <w:left w:val="nil"/>
              <w:bottom w:val="single" w:sz="4" w:space="0" w:color="auto"/>
              <w:right w:val="single" w:sz="4" w:space="0" w:color="auto"/>
            </w:tcBorders>
            <w:shd w:val="clear" w:color="auto" w:fill="auto"/>
            <w:noWrap/>
            <w:vAlign w:val="bottom"/>
            <w:hideMark/>
          </w:tcPr>
          <w:p w14:paraId="1EF574AE"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Tarapaca 220-&gt;Lagunas 220</w:t>
            </w:r>
          </w:p>
        </w:tc>
        <w:tc>
          <w:tcPr>
            <w:tcW w:w="960" w:type="dxa"/>
            <w:tcBorders>
              <w:top w:val="nil"/>
              <w:left w:val="nil"/>
              <w:bottom w:val="single" w:sz="4" w:space="0" w:color="auto"/>
              <w:right w:val="single" w:sz="4" w:space="0" w:color="auto"/>
            </w:tcBorders>
            <w:shd w:val="clear" w:color="auto" w:fill="auto"/>
            <w:noWrap/>
            <w:vAlign w:val="bottom"/>
            <w:hideMark/>
          </w:tcPr>
          <w:p w14:paraId="498A049D"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0.212</w:t>
            </w:r>
          </w:p>
        </w:tc>
        <w:tc>
          <w:tcPr>
            <w:tcW w:w="960" w:type="dxa"/>
            <w:tcBorders>
              <w:top w:val="nil"/>
              <w:left w:val="nil"/>
              <w:bottom w:val="single" w:sz="4" w:space="0" w:color="auto"/>
              <w:right w:val="single" w:sz="4" w:space="0" w:color="auto"/>
            </w:tcBorders>
            <w:shd w:val="clear" w:color="auto" w:fill="auto"/>
            <w:noWrap/>
            <w:vAlign w:val="bottom"/>
            <w:hideMark/>
          </w:tcPr>
          <w:p w14:paraId="4EDFDDDD"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0.788</w:t>
            </w:r>
          </w:p>
        </w:tc>
        <w:tc>
          <w:tcPr>
            <w:tcW w:w="960" w:type="dxa"/>
            <w:tcBorders>
              <w:top w:val="nil"/>
              <w:left w:val="nil"/>
              <w:bottom w:val="single" w:sz="4" w:space="0" w:color="auto"/>
              <w:right w:val="single" w:sz="4" w:space="0" w:color="auto"/>
            </w:tcBorders>
            <w:shd w:val="clear" w:color="auto" w:fill="auto"/>
            <w:noWrap/>
            <w:vAlign w:val="bottom"/>
            <w:hideMark/>
          </w:tcPr>
          <w:p w14:paraId="7D4F5786"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0.271</w:t>
            </w:r>
          </w:p>
        </w:tc>
        <w:tc>
          <w:tcPr>
            <w:tcW w:w="960" w:type="dxa"/>
            <w:tcBorders>
              <w:top w:val="nil"/>
              <w:left w:val="nil"/>
              <w:bottom w:val="single" w:sz="4" w:space="0" w:color="auto"/>
              <w:right w:val="single" w:sz="4" w:space="0" w:color="auto"/>
            </w:tcBorders>
            <w:shd w:val="clear" w:color="auto" w:fill="auto"/>
            <w:noWrap/>
            <w:vAlign w:val="bottom"/>
            <w:hideMark/>
          </w:tcPr>
          <w:p w14:paraId="67DDB3A0"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0.729</w:t>
            </w:r>
          </w:p>
        </w:tc>
      </w:tr>
      <w:tr w:rsidR="004730B7" w:rsidRPr="004730B7" w14:paraId="5DA3A05F"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3B1F0DB9"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N_138</w:t>
            </w:r>
          </w:p>
        </w:tc>
        <w:tc>
          <w:tcPr>
            <w:tcW w:w="5060" w:type="dxa"/>
            <w:tcBorders>
              <w:top w:val="nil"/>
              <w:left w:val="nil"/>
              <w:bottom w:val="single" w:sz="4" w:space="0" w:color="auto"/>
              <w:right w:val="single" w:sz="4" w:space="0" w:color="auto"/>
            </w:tcBorders>
            <w:shd w:val="clear" w:color="auto" w:fill="auto"/>
            <w:noWrap/>
            <w:vAlign w:val="bottom"/>
            <w:hideMark/>
          </w:tcPr>
          <w:p w14:paraId="315E4F0B"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Temuco 220-&gt;Cautin 220</w:t>
            </w:r>
          </w:p>
        </w:tc>
        <w:tc>
          <w:tcPr>
            <w:tcW w:w="960" w:type="dxa"/>
            <w:tcBorders>
              <w:top w:val="nil"/>
              <w:left w:val="nil"/>
              <w:bottom w:val="single" w:sz="4" w:space="0" w:color="auto"/>
              <w:right w:val="single" w:sz="4" w:space="0" w:color="auto"/>
            </w:tcBorders>
            <w:shd w:val="clear" w:color="auto" w:fill="auto"/>
            <w:noWrap/>
            <w:vAlign w:val="bottom"/>
            <w:hideMark/>
          </w:tcPr>
          <w:p w14:paraId="0A0B34DD"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0.316</w:t>
            </w:r>
          </w:p>
        </w:tc>
        <w:tc>
          <w:tcPr>
            <w:tcW w:w="960" w:type="dxa"/>
            <w:tcBorders>
              <w:top w:val="nil"/>
              <w:left w:val="nil"/>
              <w:bottom w:val="single" w:sz="4" w:space="0" w:color="auto"/>
              <w:right w:val="single" w:sz="4" w:space="0" w:color="auto"/>
            </w:tcBorders>
            <w:shd w:val="clear" w:color="auto" w:fill="auto"/>
            <w:noWrap/>
            <w:vAlign w:val="bottom"/>
            <w:hideMark/>
          </w:tcPr>
          <w:p w14:paraId="6AF7A9EC"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0.684</w:t>
            </w:r>
          </w:p>
        </w:tc>
        <w:tc>
          <w:tcPr>
            <w:tcW w:w="960" w:type="dxa"/>
            <w:tcBorders>
              <w:top w:val="nil"/>
              <w:left w:val="nil"/>
              <w:bottom w:val="single" w:sz="4" w:space="0" w:color="auto"/>
              <w:right w:val="single" w:sz="4" w:space="0" w:color="auto"/>
            </w:tcBorders>
            <w:shd w:val="clear" w:color="auto" w:fill="auto"/>
            <w:noWrap/>
            <w:vAlign w:val="bottom"/>
            <w:hideMark/>
          </w:tcPr>
          <w:p w14:paraId="3A3E9FF2"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0.497</w:t>
            </w:r>
          </w:p>
        </w:tc>
        <w:tc>
          <w:tcPr>
            <w:tcW w:w="960" w:type="dxa"/>
            <w:tcBorders>
              <w:top w:val="nil"/>
              <w:left w:val="nil"/>
              <w:bottom w:val="single" w:sz="4" w:space="0" w:color="auto"/>
              <w:right w:val="single" w:sz="4" w:space="0" w:color="auto"/>
            </w:tcBorders>
            <w:shd w:val="clear" w:color="auto" w:fill="auto"/>
            <w:noWrap/>
            <w:vAlign w:val="bottom"/>
            <w:hideMark/>
          </w:tcPr>
          <w:p w14:paraId="0F8ADF42"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0.503</w:t>
            </w:r>
          </w:p>
        </w:tc>
      </w:tr>
      <w:tr w:rsidR="004730B7" w:rsidRPr="004730B7" w14:paraId="7CDC01D8"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694C3B98"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N_139</w:t>
            </w:r>
          </w:p>
        </w:tc>
        <w:tc>
          <w:tcPr>
            <w:tcW w:w="5060" w:type="dxa"/>
            <w:tcBorders>
              <w:top w:val="nil"/>
              <w:left w:val="nil"/>
              <w:bottom w:val="single" w:sz="4" w:space="0" w:color="auto"/>
              <w:right w:val="single" w:sz="4" w:space="0" w:color="auto"/>
            </w:tcBorders>
            <w:shd w:val="clear" w:color="auto" w:fill="auto"/>
            <w:noWrap/>
            <w:vAlign w:val="bottom"/>
            <w:hideMark/>
          </w:tcPr>
          <w:p w14:paraId="2C972351"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Temuco 220-&gt;Los Peumos 220</w:t>
            </w:r>
          </w:p>
        </w:tc>
        <w:tc>
          <w:tcPr>
            <w:tcW w:w="960" w:type="dxa"/>
            <w:tcBorders>
              <w:top w:val="nil"/>
              <w:left w:val="nil"/>
              <w:bottom w:val="single" w:sz="4" w:space="0" w:color="auto"/>
              <w:right w:val="single" w:sz="4" w:space="0" w:color="auto"/>
            </w:tcBorders>
            <w:shd w:val="clear" w:color="auto" w:fill="auto"/>
            <w:noWrap/>
            <w:vAlign w:val="bottom"/>
            <w:hideMark/>
          </w:tcPr>
          <w:p w14:paraId="3D329FE3"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0.364</w:t>
            </w:r>
          </w:p>
        </w:tc>
        <w:tc>
          <w:tcPr>
            <w:tcW w:w="960" w:type="dxa"/>
            <w:tcBorders>
              <w:top w:val="nil"/>
              <w:left w:val="nil"/>
              <w:bottom w:val="single" w:sz="4" w:space="0" w:color="auto"/>
              <w:right w:val="single" w:sz="4" w:space="0" w:color="auto"/>
            </w:tcBorders>
            <w:shd w:val="clear" w:color="auto" w:fill="auto"/>
            <w:noWrap/>
            <w:vAlign w:val="bottom"/>
            <w:hideMark/>
          </w:tcPr>
          <w:p w14:paraId="5A2C898D"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0.636</w:t>
            </w:r>
          </w:p>
        </w:tc>
        <w:tc>
          <w:tcPr>
            <w:tcW w:w="960" w:type="dxa"/>
            <w:tcBorders>
              <w:top w:val="nil"/>
              <w:left w:val="nil"/>
              <w:bottom w:val="single" w:sz="4" w:space="0" w:color="auto"/>
              <w:right w:val="single" w:sz="4" w:space="0" w:color="auto"/>
            </w:tcBorders>
            <w:shd w:val="clear" w:color="auto" w:fill="auto"/>
            <w:noWrap/>
            <w:vAlign w:val="bottom"/>
            <w:hideMark/>
          </w:tcPr>
          <w:p w14:paraId="79A5C800"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0.534</w:t>
            </w:r>
          </w:p>
        </w:tc>
        <w:tc>
          <w:tcPr>
            <w:tcW w:w="960" w:type="dxa"/>
            <w:tcBorders>
              <w:top w:val="nil"/>
              <w:left w:val="nil"/>
              <w:bottom w:val="single" w:sz="4" w:space="0" w:color="auto"/>
              <w:right w:val="single" w:sz="4" w:space="0" w:color="auto"/>
            </w:tcBorders>
            <w:shd w:val="clear" w:color="auto" w:fill="auto"/>
            <w:noWrap/>
            <w:vAlign w:val="bottom"/>
            <w:hideMark/>
          </w:tcPr>
          <w:p w14:paraId="67F6A9C6"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0.466</w:t>
            </w:r>
          </w:p>
        </w:tc>
      </w:tr>
      <w:tr w:rsidR="004730B7" w:rsidRPr="004730B7" w14:paraId="33C946E2" w14:textId="77777777" w:rsidTr="004730B7">
        <w:trPr>
          <w:trHeight w:val="300"/>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1F3FB169"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N_140</w:t>
            </w:r>
          </w:p>
        </w:tc>
        <w:tc>
          <w:tcPr>
            <w:tcW w:w="5060" w:type="dxa"/>
            <w:tcBorders>
              <w:top w:val="nil"/>
              <w:left w:val="nil"/>
              <w:bottom w:val="single" w:sz="4" w:space="0" w:color="auto"/>
              <w:right w:val="single" w:sz="4" w:space="0" w:color="auto"/>
            </w:tcBorders>
            <w:shd w:val="clear" w:color="auto" w:fill="auto"/>
            <w:noWrap/>
            <w:vAlign w:val="bottom"/>
            <w:hideMark/>
          </w:tcPr>
          <w:p w14:paraId="6985B8DF"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Valdivia 220-&gt;Nueva Valdivia 220</w:t>
            </w:r>
          </w:p>
        </w:tc>
        <w:tc>
          <w:tcPr>
            <w:tcW w:w="960" w:type="dxa"/>
            <w:tcBorders>
              <w:top w:val="nil"/>
              <w:left w:val="nil"/>
              <w:bottom w:val="single" w:sz="4" w:space="0" w:color="auto"/>
              <w:right w:val="single" w:sz="4" w:space="0" w:color="auto"/>
            </w:tcBorders>
            <w:shd w:val="clear" w:color="auto" w:fill="auto"/>
            <w:noWrap/>
            <w:vAlign w:val="bottom"/>
            <w:hideMark/>
          </w:tcPr>
          <w:p w14:paraId="4A1237E6"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0.442</w:t>
            </w:r>
          </w:p>
        </w:tc>
        <w:tc>
          <w:tcPr>
            <w:tcW w:w="960" w:type="dxa"/>
            <w:tcBorders>
              <w:top w:val="nil"/>
              <w:left w:val="nil"/>
              <w:bottom w:val="single" w:sz="4" w:space="0" w:color="auto"/>
              <w:right w:val="single" w:sz="4" w:space="0" w:color="auto"/>
            </w:tcBorders>
            <w:shd w:val="clear" w:color="auto" w:fill="auto"/>
            <w:noWrap/>
            <w:vAlign w:val="bottom"/>
            <w:hideMark/>
          </w:tcPr>
          <w:p w14:paraId="37F75A2E"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0.558</w:t>
            </w:r>
          </w:p>
        </w:tc>
        <w:tc>
          <w:tcPr>
            <w:tcW w:w="960" w:type="dxa"/>
            <w:tcBorders>
              <w:top w:val="nil"/>
              <w:left w:val="nil"/>
              <w:bottom w:val="single" w:sz="4" w:space="0" w:color="auto"/>
              <w:right w:val="single" w:sz="4" w:space="0" w:color="auto"/>
            </w:tcBorders>
            <w:shd w:val="clear" w:color="auto" w:fill="auto"/>
            <w:noWrap/>
            <w:vAlign w:val="bottom"/>
            <w:hideMark/>
          </w:tcPr>
          <w:p w14:paraId="274B7892"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0.656</w:t>
            </w:r>
          </w:p>
        </w:tc>
        <w:tc>
          <w:tcPr>
            <w:tcW w:w="960" w:type="dxa"/>
            <w:tcBorders>
              <w:top w:val="nil"/>
              <w:left w:val="nil"/>
              <w:bottom w:val="single" w:sz="4" w:space="0" w:color="auto"/>
              <w:right w:val="single" w:sz="4" w:space="0" w:color="auto"/>
            </w:tcBorders>
            <w:shd w:val="clear" w:color="auto" w:fill="auto"/>
            <w:noWrap/>
            <w:vAlign w:val="bottom"/>
            <w:hideMark/>
          </w:tcPr>
          <w:p w14:paraId="155D350F"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0.344</w:t>
            </w:r>
          </w:p>
        </w:tc>
      </w:tr>
    </w:tbl>
    <w:p w14:paraId="24A6BE15" w14:textId="77777777" w:rsidR="00A34D3B" w:rsidRDefault="00A34D3B" w:rsidP="00680717"/>
    <w:p w14:paraId="22DD19D0" w14:textId="77777777" w:rsidR="004730B7" w:rsidRDefault="004730B7">
      <w:pPr>
        <w:spacing w:after="0" w:line="240" w:lineRule="auto"/>
        <w:jc w:val="left"/>
        <w:rPr>
          <w:b/>
          <w:iCs/>
          <w:sz w:val="22"/>
          <w:szCs w:val="20"/>
        </w:rPr>
      </w:pPr>
      <w:r>
        <w:br w:type="page"/>
      </w:r>
    </w:p>
    <w:p w14:paraId="346B920F" w14:textId="09B9401C" w:rsidR="002E0EDF" w:rsidRDefault="002E0EDF" w:rsidP="002E0EDF">
      <w:pPr>
        <w:pStyle w:val="Subttulo"/>
        <w:rPr>
          <w:bCs/>
          <w:szCs w:val="22"/>
        </w:rPr>
      </w:pPr>
      <w:bookmarkStart w:id="581" w:name="_Toc39797981"/>
      <w:r w:rsidRPr="002F3394">
        <w:lastRenderedPageBreak/>
        <w:t xml:space="preserve">Tabla </w:t>
      </w:r>
      <w:fldSimple w:instr=" SEQ Tabla \* ARABIC ">
        <w:r w:rsidR="001F3E2E">
          <w:rPr>
            <w:noProof/>
          </w:rPr>
          <w:t>71</w:t>
        </w:r>
      </w:fldSimple>
      <w:r>
        <w:t>: Coeficientes fórmulas de indexación tramos de subestación</w:t>
      </w:r>
      <w:bookmarkEnd w:id="581"/>
    </w:p>
    <w:tbl>
      <w:tblPr>
        <w:tblW w:w="8460" w:type="dxa"/>
        <w:jc w:val="center"/>
        <w:tblInd w:w="55" w:type="dxa"/>
        <w:tblCellMar>
          <w:left w:w="70" w:type="dxa"/>
          <w:right w:w="70" w:type="dxa"/>
        </w:tblCellMar>
        <w:tblLook w:val="04A0" w:firstRow="1" w:lastRow="0" w:firstColumn="1" w:lastColumn="0" w:noHBand="0" w:noVBand="1"/>
      </w:tblPr>
      <w:tblGrid>
        <w:gridCol w:w="960"/>
        <w:gridCol w:w="3660"/>
        <w:gridCol w:w="960"/>
        <w:gridCol w:w="960"/>
        <w:gridCol w:w="960"/>
        <w:gridCol w:w="960"/>
      </w:tblGrid>
      <w:tr w:rsidR="004730B7" w:rsidRPr="004730B7" w14:paraId="090A1C0A" w14:textId="77777777" w:rsidTr="004730B7">
        <w:trPr>
          <w:trHeight w:val="300"/>
          <w:tblHeader/>
          <w:jc w:val="center"/>
        </w:trPr>
        <w:tc>
          <w:tcPr>
            <w:tcW w:w="960" w:type="dxa"/>
            <w:tcBorders>
              <w:top w:val="single" w:sz="4" w:space="0" w:color="auto"/>
              <w:left w:val="single" w:sz="4" w:space="0" w:color="auto"/>
              <w:bottom w:val="single" w:sz="4" w:space="0" w:color="auto"/>
              <w:right w:val="single" w:sz="4" w:space="0" w:color="auto"/>
            </w:tcBorders>
            <w:shd w:val="clear" w:color="000000" w:fill="D9D9D9"/>
            <w:noWrap/>
            <w:vAlign w:val="bottom"/>
            <w:hideMark/>
          </w:tcPr>
          <w:p w14:paraId="12578883" w14:textId="77777777" w:rsidR="004730B7" w:rsidRPr="004730B7" w:rsidRDefault="004730B7" w:rsidP="004730B7">
            <w:pPr>
              <w:spacing w:after="0" w:line="240" w:lineRule="auto"/>
              <w:jc w:val="center"/>
              <w:rPr>
                <w:rFonts w:eastAsia="Times New Roman"/>
                <w:b/>
                <w:bCs/>
                <w:color w:val="000000"/>
                <w:sz w:val="20"/>
                <w:szCs w:val="22"/>
                <w:lang w:eastAsia="es-CL"/>
              </w:rPr>
            </w:pPr>
            <w:r w:rsidRPr="004730B7">
              <w:rPr>
                <w:rFonts w:eastAsia="Times New Roman"/>
                <w:b/>
                <w:bCs/>
                <w:color w:val="000000"/>
                <w:sz w:val="20"/>
                <w:szCs w:val="22"/>
                <w:lang w:eastAsia="es-CL"/>
              </w:rPr>
              <w:t>Código</w:t>
            </w:r>
          </w:p>
        </w:tc>
        <w:tc>
          <w:tcPr>
            <w:tcW w:w="3660" w:type="dxa"/>
            <w:tcBorders>
              <w:top w:val="single" w:sz="4" w:space="0" w:color="auto"/>
              <w:left w:val="nil"/>
              <w:bottom w:val="single" w:sz="4" w:space="0" w:color="auto"/>
              <w:right w:val="single" w:sz="4" w:space="0" w:color="auto"/>
            </w:tcBorders>
            <w:shd w:val="clear" w:color="000000" w:fill="D9D9D9"/>
            <w:noWrap/>
            <w:vAlign w:val="bottom"/>
            <w:hideMark/>
          </w:tcPr>
          <w:p w14:paraId="431CCE73" w14:textId="77777777" w:rsidR="004730B7" w:rsidRPr="004730B7" w:rsidRDefault="004730B7" w:rsidP="004730B7">
            <w:pPr>
              <w:spacing w:after="0" w:line="240" w:lineRule="auto"/>
              <w:jc w:val="center"/>
              <w:rPr>
                <w:rFonts w:eastAsia="Times New Roman"/>
                <w:b/>
                <w:bCs/>
                <w:color w:val="000000"/>
                <w:sz w:val="20"/>
                <w:szCs w:val="22"/>
                <w:lang w:eastAsia="es-CL"/>
              </w:rPr>
            </w:pPr>
            <w:r w:rsidRPr="004730B7">
              <w:rPr>
                <w:rFonts w:eastAsia="Times New Roman"/>
                <w:b/>
                <w:bCs/>
                <w:color w:val="000000"/>
                <w:sz w:val="20"/>
                <w:szCs w:val="22"/>
                <w:lang w:eastAsia="es-CL"/>
              </w:rPr>
              <w:t>Tramo</w:t>
            </w:r>
          </w:p>
        </w:tc>
        <w:tc>
          <w:tcPr>
            <w:tcW w:w="960" w:type="dxa"/>
            <w:tcBorders>
              <w:top w:val="single" w:sz="4" w:space="0" w:color="auto"/>
              <w:left w:val="nil"/>
              <w:bottom w:val="single" w:sz="4" w:space="0" w:color="auto"/>
              <w:right w:val="single" w:sz="4" w:space="0" w:color="auto"/>
            </w:tcBorders>
            <w:shd w:val="clear" w:color="000000" w:fill="D9D9D9"/>
            <w:noWrap/>
            <w:vAlign w:val="bottom"/>
            <w:hideMark/>
          </w:tcPr>
          <w:p w14:paraId="4328E8D8" w14:textId="77777777" w:rsidR="004730B7" w:rsidRPr="004730B7" w:rsidRDefault="004730B7" w:rsidP="004730B7">
            <w:pPr>
              <w:spacing w:after="0" w:line="240" w:lineRule="auto"/>
              <w:jc w:val="center"/>
              <w:rPr>
                <w:rFonts w:eastAsia="Times New Roman"/>
                <w:b/>
                <w:bCs/>
                <w:color w:val="000000"/>
                <w:sz w:val="20"/>
                <w:szCs w:val="22"/>
                <w:lang w:eastAsia="es-CL"/>
              </w:rPr>
            </w:pPr>
            <w:r w:rsidRPr="004730B7">
              <w:rPr>
                <w:rFonts w:eastAsia="Times New Roman"/>
                <w:b/>
                <w:bCs/>
                <w:color w:val="000000"/>
                <w:sz w:val="20"/>
                <w:szCs w:val="22"/>
                <w:lang w:eastAsia="es-CL"/>
              </w:rPr>
              <w:t>alfa</w:t>
            </w:r>
          </w:p>
        </w:tc>
        <w:tc>
          <w:tcPr>
            <w:tcW w:w="960" w:type="dxa"/>
            <w:tcBorders>
              <w:top w:val="single" w:sz="4" w:space="0" w:color="auto"/>
              <w:left w:val="nil"/>
              <w:bottom w:val="single" w:sz="4" w:space="0" w:color="auto"/>
              <w:right w:val="single" w:sz="4" w:space="0" w:color="auto"/>
            </w:tcBorders>
            <w:shd w:val="clear" w:color="000000" w:fill="D9D9D9"/>
            <w:noWrap/>
            <w:vAlign w:val="bottom"/>
            <w:hideMark/>
          </w:tcPr>
          <w:p w14:paraId="137982DC" w14:textId="77777777" w:rsidR="004730B7" w:rsidRPr="004730B7" w:rsidRDefault="004730B7" w:rsidP="004730B7">
            <w:pPr>
              <w:spacing w:after="0" w:line="240" w:lineRule="auto"/>
              <w:jc w:val="center"/>
              <w:rPr>
                <w:rFonts w:eastAsia="Times New Roman"/>
                <w:b/>
                <w:bCs/>
                <w:color w:val="000000"/>
                <w:sz w:val="20"/>
                <w:szCs w:val="22"/>
                <w:lang w:eastAsia="es-CL"/>
              </w:rPr>
            </w:pPr>
            <w:r w:rsidRPr="004730B7">
              <w:rPr>
                <w:rFonts w:eastAsia="Times New Roman"/>
                <w:b/>
                <w:bCs/>
                <w:color w:val="000000"/>
                <w:sz w:val="20"/>
                <w:szCs w:val="22"/>
                <w:lang w:eastAsia="es-CL"/>
              </w:rPr>
              <w:t>beta</w:t>
            </w:r>
          </w:p>
        </w:tc>
        <w:tc>
          <w:tcPr>
            <w:tcW w:w="960" w:type="dxa"/>
            <w:tcBorders>
              <w:top w:val="single" w:sz="4" w:space="0" w:color="auto"/>
              <w:left w:val="nil"/>
              <w:bottom w:val="single" w:sz="4" w:space="0" w:color="auto"/>
              <w:right w:val="single" w:sz="4" w:space="0" w:color="auto"/>
            </w:tcBorders>
            <w:shd w:val="clear" w:color="000000" w:fill="D9D9D9"/>
            <w:noWrap/>
            <w:vAlign w:val="bottom"/>
            <w:hideMark/>
          </w:tcPr>
          <w:p w14:paraId="379DE3FA" w14:textId="77777777" w:rsidR="004730B7" w:rsidRPr="004730B7" w:rsidRDefault="004730B7" w:rsidP="004730B7">
            <w:pPr>
              <w:spacing w:after="0" w:line="240" w:lineRule="auto"/>
              <w:jc w:val="center"/>
              <w:rPr>
                <w:rFonts w:eastAsia="Times New Roman"/>
                <w:b/>
                <w:bCs/>
                <w:color w:val="000000"/>
                <w:sz w:val="20"/>
                <w:szCs w:val="22"/>
                <w:lang w:eastAsia="es-CL"/>
              </w:rPr>
            </w:pPr>
            <w:r w:rsidRPr="004730B7">
              <w:rPr>
                <w:rFonts w:eastAsia="Times New Roman"/>
                <w:b/>
                <w:bCs/>
                <w:color w:val="000000"/>
                <w:sz w:val="20"/>
                <w:szCs w:val="22"/>
                <w:lang w:eastAsia="es-CL"/>
              </w:rPr>
              <w:t>gama</w:t>
            </w:r>
          </w:p>
        </w:tc>
        <w:tc>
          <w:tcPr>
            <w:tcW w:w="960" w:type="dxa"/>
            <w:tcBorders>
              <w:top w:val="single" w:sz="4" w:space="0" w:color="auto"/>
              <w:left w:val="nil"/>
              <w:bottom w:val="single" w:sz="4" w:space="0" w:color="auto"/>
              <w:right w:val="single" w:sz="4" w:space="0" w:color="auto"/>
            </w:tcBorders>
            <w:shd w:val="clear" w:color="000000" w:fill="D9D9D9"/>
            <w:noWrap/>
            <w:vAlign w:val="bottom"/>
            <w:hideMark/>
          </w:tcPr>
          <w:p w14:paraId="3F3FAE2F" w14:textId="77777777" w:rsidR="004730B7" w:rsidRPr="004730B7" w:rsidRDefault="004730B7" w:rsidP="004730B7">
            <w:pPr>
              <w:spacing w:after="0" w:line="240" w:lineRule="auto"/>
              <w:jc w:val="center"/>
              <w:rPr>
                <w:rFonts w:eastAsia="Times New Roman"/>
                <w:b/>
                <w:bCs/>
                <w:color w:val="000000"/>
                <w:sz w:val="20"/>
                <w:szCs w:val="22"/>
                <w:lang w:eastAsia="es-CL"/>
              </w:rPr>
            </w:pPr>
            <w:r w:rsidRPr="004730B7">
              <w:rPr>
                <w:rFonts w:eastAsia="Times New Roman"/>
                <w:b/>
                <w:bCs/>
                <w:color w:val="000000"/>
                <w:sz w:val="20"/>
                <w:szCs w:val="22"/>
                <w:lang w:eastAsia="es-CL"/>
              </w:rPr>
              <w:t>delta</w:t>
            </w:r>
          </w:p>
        </w:tc>
      </w:tr>
      <w:tr w:rsidR="004730B7" w:rsidRPr="004730B7" w14:paraId="731303B7" w14:textId="77777777" w:rsidTr="004730B7">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63E272BD"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SE-N_1</w:t>
            </w:r>
          </w:p>
        </w:tc>
        <w:tc>
          <w:tcPr>
            <w:tcW w:w="3660" w:type="dxa"/>
            <w:tcBorders>
              <w:top w:val="nil"/>
              <w:left w:val="nil"/>
              <w:bottom w:val="single" w:sz="4" w:space="0" w:color="auto"/>
              <w:right w:val="single" w:sz="4" w:space="0" w:color="auto"/>
            </w:tcBorders>
            <w:shd w:val="clear" w:color="auto" w:fill="auto"/>
            <w:noWrap/>
            <w:vAlign w:val="bottom"/>
            <w:hideMark/>
          </w:tcPr>
          <w:p w14:paraId="0158A4F7"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Alto Jahuel</w:t>
            </w:r>
          </w:p>
        </w:tc>
        <w:tc>
          <w:tcPr>
            <w:tcW w:w="960" w:type="dxa"/>
            <w:tcBorders>
              <w:top w:val="nil"/>
              <w:left w:val="nil"/>
              <w:bottom w:val="single" w:sz="4" w:space="0" w:color="auto"/>
              <w:right w:val="single" w:sz="4" w:space="0" w:color="auto"/>
            </w:tcBorders>
            <w:shd w:val="clear" w:color="auto" w:fill="auto"/>
            <w:noWrap/>
            <w:vAlign w:val="bottom"/>
            <w:hideMark/>
          </w:tcPr>
          <w:p w14:paraId="40BD4536"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0.202</w:t>
            </w:r>
          </w:p>
        </w:tc>
        <w:tc>
          <w:tcPr>
            <w:tcW w:w="960" w:type="dxa"/>
            <w:tcBorders>
              <w:top w:val="nil"/>
              <w:left w:val="nil"/>
              <w:bottom w:val="single" w:sz="4" w:space="0" w:color="auto"/>
              <w:right w:val="single" w:sz="4" w:space="0" w:color="auto"/>
            </w:tcBorders>
            <w:shd w:val="clear" w:color="auto" w:fill="auto"/>
            <w:noWrap/>
            <w:vAlign w:val="bottom"/>
            <w:hideMark/>
          </w:tcPr>
          <w:p w14:paraId="38150C46"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0.798</w:t>
            </w:r>
          </w:p>
        </w:tc>
        <w:tc>
          <w:tcPr>
            <w:tcW w:w="960" w:type="dxa"/>
            <w:tcBorders>
              <w:top w:val="nil"/>
              <w:left w:val="nil"/>
              <w:bottom w:val="single" w:sz="4" w:space="0" w:color="auto"/>
              <w:right w:val="single" w:sz="4" w:space="0" w:color="auto"/>
            </w:tcBorders>
            <w:shd w:val="clear" w:color="auto" w:fill="auto"/>
            <w:noWrap/>
            <w:vAlign w:val="bottom"/>
            <w:hideMark/>
          </w:tcPr>
          <w:p w14:paraId="1A84AEB3"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0.366</w:t>
            </w:r>
          </w:p>
        </w:tc>
        <w:tc>
          <w:tcPr>
            <w:tcW w:w="960" w:type="dxa"/>
            <w:tcBorders>
              <w:top w:val="nil"/>
              <w:left w:val="nil"/>
              <w:bottom w:val="single" w:sz="4" w:space="0" w:color="auto"/>
              <w:right w:val="single" w:sz="4" w:space="0" w:color="auto"/>
            </w:tcBorders>
            <w:shd w:val="clear" w:color="auto" w:fill="auto"/>
            <w:noWrap/>
            <w:vAlign w:val="bottom"/>
            <w:hideMark/>
          </w:tcPr>
          <w:p w14:paraId="6F2ED7A0"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0.634</w:t>
            </w:r>
          </w:p>
        </w:tc>
      </w:tr>
      <w:tr w:rsidR="004730B7" w:rsidRPr="004730B7" w14:paraId="1B5EC92B" w14:textId="77777777" w:rsidTr="004730B7">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3B828794"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SE-N_2</w:t>
            </w:r>
          </w:p>
        </w:tc>
        <w:tc>
          <w:tcPr>
            <w:tcW w:w="3660" w:type="dxa"/>
            <w:tcBorders>
              <w:top w:val="nil"/>
              <w:left w:val="nil"/>
              <w:bottom w:val="single" w:sz="4" w:space="0" w:color="auto"/>
              <w:right w:val="single" w:sz="4" w:space="0" w:color="auto"/>
            </w:tcBorders>
            <w:shd w:val="clear" w:color="auto" w:fill="auto"/>
            <w:noWrap/>
            <w:vAlign w:val="bottom"/>
            <w:hideMark/>
          </w:tcPr>
          <w:p w14:paraId="19981B99"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Ancoa</w:t>
            </w:r>
          </w:p>
        </w:tc>
        <w:tc>
          <w:tcPr>
            <w:tcW w:w="960" w:type="dxa"/>
            <w:tcBorders>
              <w:top w:val="nil"/>
              <w:left w:val="nil"/>
              <w:bottom w:val="single" w:sz="4" w:space="0" w:color="auto"/>
              <w:right w:val="single" w:sz="4" w:space="0" w:color="auto"/>
            </w:tcBorders>
            <w:shd w:val="clear" w:color="auto" w:fill="auto"/>
            <w:noWrap/>
            <w:vAlign w:val="bottom"/>
            <w:hideMark/>
          </w:tcPr>
          <w:p w14:paraId="7B678675"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0.045</w:t>
            </w:r>
          </w:p>
        </w:tc>
        <w:tc>
          <w:tcPr>
            <w:tcW w:w="960" w:type="dxa"/>
            <w:tcBorders>
              <w:top w:val="nil"/>
              <w:left w:val="nil"/>
              <w:bottom w:val="single" w:sz="4" w:space="0" w:color="auto"/>
              <w:right w:val="single" w:sz="4" w:space="0" w:color="auto"/>
            </w:tcBorders>
            <w:shd w:val="clear" w:color="auto" w:fill="auto"/>
            <w:noWrap/>
            <w:vAlign w:val="bottom"/>
            <w:hideMark/>
          </w:tcPr>
          <w:p w14:paraId="4D9E3A74"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0.955</w:t>
            </w:r>
          </w:p>
        </w:tc>
        <w:tc>
          <w:tcPr>
            <w:tcW w:w="960" w:type="dxa"/>
            <w:tcBorders>
              <w:top w:val="nil"/>
              <w:left w:val="nil"/>
              <w:bottom w:val="single" w:sz="4" w:space="0" w:color="auto"/>
              <w:right w:val="single" w:sz="4" w:space="0" w:color="auto"/>
            </w:tcBorders>
            <w:shd w:val="clear" w:color="auto" w:fill="auto"/>
            <w:noWrap/>
            <w:vAlign w:val="bottom"/>
            <w:hideMark/>
          </w:tcPr>
          <w:p w14:paraId="4A354909"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0.109</w:t>
            </w:r>
          </w:p>
        </w:tc>
        <w:tc>
          <w:tcPr>
            <w:tcW w:w="960" w:type="dxa"/>
            <w:tcBorders>
              <w:top w:val="nil"/>
              <w:left w:val="nil"/>
              <w:bottom w:val="single" w:sz="4" w:space="0" w:color="auto"/>
              <w:right w:val="single" w:sz="4" w:space="0" w:color="auto"/>
            </w:tcBorders>
            <w:shd w:val="clear" w:color="auto" w:fill="auto"/>
            <w:noWrap/>
            <w:vAlign w:val="bottom"/>
            <w:hideMark/>
          </w:tcPr>
          <w:p w14:paraId="793FB063"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0.891</w:t>
            </w:r>
          </w:p>
        </w:tc>
      </w:tr>
      <w:tr w:rsidR="004730B7" w:rsidRPr="004730B7" w14:paraId="05E57904" w14:textId="77777777" w:rsidTr="004730B7">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1E582C32"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SE-N_3</w:t>
            </w:r>
          </w:p>
        </w:tc>
        <w:tc>
          <w:tcPr>
            <w:tcW w:w="3660" w:type="dxa"/>
            <w:tcBorders>
              <w:top w:val="nil"/>
              <w:left w:val="nil"/>
              <w:bottom w:val="single" w:sz="4" w:space="0" w:color="auto"/>
              <w:right w:val="single" w:sz="4" w:space="0" w:color="auto"/>
            </w:tcBorders>
            <w:shd w:val="clear" w:color="auto" w:fill="auto"/>
            <w:noWrap/>
            <w:vAlign w:val="bottom"/>
            <w:hideMark/>
          </w:tcPr>
          <w:p w14:paraId="37A44F22"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Atacama</w:t>
            </w:r>
          </w:p>
        </w:tc>
        <w:tc>
          <w:tcPr>
            <w:tcW w:w="960" w:type="dxa"/>
            <w:tcBorders>
              <w:top w:val="nil"/>
              <w:left w:val="nil"/>
              <w:bottom w:val="single" w:sz="4" w:space="0" w:color="auto"/>
              <w:right w:val="single" w:sz="4" w:space="0" w:color="auto"/>
            </w:tcBorders>
            <w:shd w:val="clear" w:color="auto" w:fill="auto"/>
            <w:noWrap/>
            <w:vAlign w:val="bottom"/>
            <w:hideMark/>
          </w:tcPr>
          <w:p w14:paraId="357CA471"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0.557</w:t>
            </w:r>
          </w:p>
        </w:tc>
        <w:tc>
          <w:tcPr>
            <w:tcW w:w="960" w:type="dxa"/>
            <w:tcBorders>
              <w:top w:val="nil"/>
              <w:left w:val="nil"/>
              <w:bottom w:val="single" w:sz="4" w:space="0" w:color="auto"/>
              <w:right w:val="single" w:sz="4" w:space="0" w:color="auto"/>
            </w:tcBorders>
            <w:shd w:val="clear" w:color="auto" w:fill="auto"/>
            <w:noWrap/>
            <w:vAlign w:val="bottom"/>
            <w:hideMark/>
          </w:tcPr>
          <w:p w14:paraId="09BD5BC5"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0.443</w:t>
            </w:r>
          </w:p>
        </w:tc>
        <w:tc>
          <w:tcPr>
            <w:tcW w:w="960" w:type="dxa"/>
            <w:tcBorders>
              <w:top w:val="nil"/>
              <w:left w:val="nil"/>
              <w:bottom w:val="single" w:sz="4" w:space="0" w:color="auto"/>
              <w:right w:val="single" w:sz="4" w:space="0" w:color="auto"/>
            </w:tcBorders>
            <w:shd w:val="clear" w:color="auto" w:fill="auto"/>
            <w:noWrap/>
            <w:vAlign w:val="bottom"/>
            <w:hideMark/>
          </w:tcPr>
          <w:p w14:paraId="40764A71"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0.747</w:t>
            </w:r>
          </w:p>
        </w:tc>
        <w:tc>
          <w:tcPr>
            <w:tcW w:w="960" w:type="dxa"/>
            <w:tcBorders>
              <w:top w:val="nil"/>
              <w:left w:val="nil"/>
              <w:bottom w:val="single" w:sz="4" w:space="0" w:color="auto"/>
              <w:right w:val="single" w:sz="4" w:space="0" w:color="auto"/>
            </w:tcBorders>
            <w:shd w:val="clear" w:color="auto" w:fill="auto"/>
            <w:noWrap/>
            <w:vAlign w:val="bottom"/>
            <w:hideMark/>
          </w:tcPr>
          <w:p w14:paraId="15129B88"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0.253</w:t>
            </w:r>
          </w:p>
        </w:tc>
      </w:tr>
      <w:tr w:rsidR="004730B7" w:rsidRPr="004730B7" w14:paraId="71D89942" w14:textId="77777777" w:rsidTr="004730B7">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4F60424E"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SE-N_4</w:t>
            </w:r>
          </w:p>
        </w:tc>
        <w:tc>
          <w:tcPr>
            <w:tcW w:w="3660" w:type="dxa"/>
            <w:tcBorders>
              <w:top w:val="nil"/>
              <w:left w:val="nil"/>
              <w:bottom w:val="single" w:sz="4" w:space="0" w:color="auto"/>
              <w:right w:val="single" w:sz="4" w:space="0" w:color="auto"/>
            </w:tcBorders>
            <w:shd w:val="clear" w:color="auto" w:fill="auto"/>
            <w:noWrap/>
            <w:vAlign w:val="bottom"/>
            <w:hideMark/>
          </w:tcPr>
          <w:p w14:paraId="3ADC787D"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Bureo</w:t>
            </w:r>
          </w:p>
        </w:tc>
        <w:tc>
          <w:tcPr>
            <w:tcW w:w="960" w:type="dxa"/>
            <w:tcBorders>
              <w:top w:val="nil"/>
              <w:left w:val="nil"/>
              <w:bottom w:val="single" w:sz="4" w:space="0" w:color="auto"/>
              <w:right w:val="single" w:sz="4" w:space="0" w:color="auto"/>
            </w:tcBorders>
            <w:shd w:val="clear" w:color="auto" w:fill="auto"/>
            <w:noWrap/>
            <w:vAlign w:val="bottom"/>
            <w:hideMark/>
          </w:tcPr>
          <w:p w14:paraId="37071832"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26380644"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4E5518D9"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31A714E0"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0.000</w:t>
            </w:r>
          </w:p>
        </w:tc>
      </w:tr>
      <w:tr w:rsidR="004730B7" w:rsidRPr="004730B7" w14:paraId="58BDDE5B" w14:textId="77777777" w:rsidTr="004730B7">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1D7C688C"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SE-N_5</w:t>
            </w:r>
          </w:p>
        </w:tc>
        <w:tc>
          <w:tcPr>
            <w:tcW w:w="3660" w:type="dxa"/>
            <w:tcBorders>
              <w:top w:val="nil"/>
              <w:left w:val="nil"/>
              <w:bottom w:val="single" w:sz="4" w:space="0" w:color="auto"/>
              <w:right w:val="single" w:sz="4" w:space="0" w:color="auto"/>
            </w:tcBorders>
            <w:shd w:val="clear" w:color="auto" w:fill="auto"/>
            <w:noWrap/>
            <w:vAlign w:val="bottom"/>
            <w:hideMark/>
          </w:tcPr>
          <w:p w14:paraId="48C3882B"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Calama Nueva</w:t>
            </w:r>
          </w:p>
        </w:tc>
        <w:tc>
          <w:tcPr>
            <w:tcW w:w="960" w:type="dxa"/>
            <w:tcBorders>
              <w:top w:val="nil"/>
              <w:left w:val="nil"/>
              <w:bottom w:val="single" w:sz="4" w:space="0" w:color="auto"/>
              <w:right w:val="single" w:sz="4" w:space="0" w:color="auto"/>
            </w:tcBorders>
            <w:shd w:val="clear" w:color="auto" w:fill="auto"/>
            <w:noWrap/>
            <w:vAlign w:val="bottom"/>
            <w:hideMark/>
          </w:tcPr>
          <w:p w14:paraId="104BB423"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0.355</w:t>
            </w:r>
          </w:p>
        </w:tc>
        <w:tc>
          <w:tcPr>
            <w:tcW w:w="960" w:type="dxa"/>
            <w:tcBorders>
              <w:top w:val="nil"/>
              <w:left w:val="nil"/>
              <w:bottom w:val="single" w:sz="4" w:space="0" w:color="auto"/>
              <w:right w:val="single" w:sz="4" w:space="0" w:color="auto"/>
            </w:tcBorders>
            <w:shd w:val="clear" w:color="auto" w:fill="auto"/>
            <w:noWrap/>
            <w:vAlign w:val="bottom"/>
            <w:hideMark/>
          </w:tcPr>
          <w:p w14:paraId="434A6660"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0.645</w:t>
            </w:r>
          </w:p>
        </w:tc>
        <w:tc>
          <w:tcPr>
            <w:tcW w:w="960" w:type="dxa"/>
            <w:tcBorders>
              <w:top w:val="nil"/>
              <w:left w:val="nil"/>
              <w:bottom w:val="single" w:sz="4" w:space="0" w:color="auto"/>
              <w:right w:val="single" w:sz="4" w:space="0" w:color="auto"/>
            </w:tcBorders>
            <w:shd w:val="clear" w:color="auto" w:fill="auto"/>
            <w:noWrap/>
            <w:vAlign w:val="bottom"/>
            <w:hideMark/>
          </w:tcPr>
          <w:p w14:paraId="18464B8A"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0.394</w:t>
            </w:r>
          </w:p>
        </w:tc>
        <w:tc>
          <w:tcPr>
            <w:tcW w:w="960" w:type="dxa"/>
            <w:tcBorders>
              <w:top w:val="nil"/>
              <w:left w:val="nil"/>
              <w:bottom w:val="single" w:sz="4" w:space="0" w:color="auto"/>
              <w:right w:val="single" w:sz="4" w:space="0" w:color="auto"/>
            </w:tcBorders>
            <w:shd w:val="clear" w:color="auto" w:fill="auto"/>
            <w:noWrap/>
            <w:vAlign w:val="bottom"/>
            <w:hideMark/>
          </w:tcPr>
          <w:p w14:paraId="5BCCBEBA"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0.606</w:t>
            </w:r>
          </w:p>
        </w:tc>
      </w:tr>
      <w:tr w:rsidR="004730B7" w:rsidRPr="004730B7" w14:paraId="4D5C4143" w14:textId="77777777" w:rsidTr="004730B7">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07081B69"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SE-N_6</w:t>
            </w:r>
          </w:p>
        </w:tc>
        <w:tc>
          <w:tcPr>
            <w:tcW w:w="3660" w:type="dxa"/>
            <w:tcBorders>
              <w:top w:val="nil"/>
              <w:left w:val="nil"/>
              <w:bottom w:val="single" w:sz="4" w:space="0" w:color="auto"/>
              <w:right w:val="single" w:sz="4" w:space="0" w:color="auto"/>
            </w:tcBorders>
            <w:shd w:val="clear" w:color="auto" w:fill="auto"/>
            <w:noWrap/>
            <w:vAlign w:val="bottom"/>
            <w:hideMark/>
          </w:tcPr>
          <w:p w14:paraId="5D103028"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Candelaria</w:t>
            </w:r>
          </w:p>
        </w:tc>
        <w:tc>
          <w:tcPr>
            <w:tcW w:w="960" w:type="dxa"/>
            <w:tcBorders>
              <w:top w:val="nil"/>
              <w:left w:val="nil"/>
              <w:bottom w:val="single" w:sz="4" w:space="0" w:color="auto"/>
              <w:right w:val="single" w:sz="4" w:space="0" w:color="auto"/>
            </w:tcBorders>
            <w:shd w:val="clear" w:color="auto" w:fill="auto"/>
            <w:noWrap/>
            <w:vAlign w:val="bottom"/>
            <w:hideMark/>
          </w:tcPr>
          <w:p w14:paraId="51146465"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0.218</w:t>
            </w:r>
          </w:p>
        </w:tc>
        <w:tc>
          <w:tcPr>
            <w:tcW w:w="960" w:type="dxa"/>
            <w:tcBorders>
              <w:top w:val="nil"/>
              <w:left w:val="nil"/>
              <w:bottom w:val="single" w:sz="4" w:space="0" w:color="auto"/>
              <w:right w:val="single" w:sz="4" w:space="0" w:color="auto"/>
            </w:tcBorders>
            <w:shd w:val="clear" w:color="auto" w:fill="auto"/>
            <w:noWrap/>
            <w:vAlign w:val="bottom"/>
            <w:hideMark/>
          </w:tcPr>
          <w:p w14:paraId="165C45D2"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0.782</w:t>
            </w:r>
          </w:p>
        </w:tc>
        <w:tc>
          <w:tcPr>
            <w:tcW w:w="960" w:type="dxa"/>
            <w:tcBorders>
              <w:top w:val="nil"/>
              <w:left w:val="nil"/>
              <w:bottom w:val="single" w:sz="4" w:space="0" w:color="auto"/>
              <w:right w:val="single" w:sz="4" w:space="0" w:color="auto"/>
            </w:tcBorders>
            <w:shd w:val="clear" w:color="auto" w:fill="auto"/>
            <w:noWrap/>
            <w:vAlign w:val="bottom"/>
            <w:hideMark/>
          </w:tcPr>
          <w:p w14:paraId="6CEF3592"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0.273</w:t>
            </w:r>
          </w:p>
        </w:tc>
        <w:tc>
          <w:tcPr>
            <w:tcW w:w="960" w:type="dxa"/>
            <w:tcBorders>
              <w:top w:val="nil"/>
              <w:left w:val="nil"/>
              <w:bottom w:val="single" w:sz="4" w:space="0" w:color="auto"/>
              <w:right w:val="single" w:sz="4" w:space="0" w:color="auto"/>
            </w:tcBorders>
            <w:shd w:val="clear" w:color="auto" w:fill="auto"/>
            <w:noWrap/>
            <w:vAlign w:val="bottom"/>
            <w:hideMark/>
          </w:tcPr>
          <w:p w14:paraId="2FE7094B"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0.727</w:t>
            </w:r>
          </w:p>
        </w:tc>
      </w:tr>
      <w:tr w:rsidR="004730B7" w:rsidRPr="004730B7" w14:paraId="4C02B2BD" w14:textId="77777777" w:rsidTr="004730B7">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674077F6"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SE-N_7</w:t>
            </w:r>
          </w:p>
        </w:tc>
        <w:tc>
          <w:tcPr>
            <w:tcW w:w="3660" w:type="dxa"/>
            <w:tcBorders>
              <w:top w:val="nil"/>
              <w:left w:val="nil"/>
              <w:bottom w:val="single" w:sz="4" w:space="0" w:color="auto"/>
              <w:right w:val="single" w:sz="4" w:space="0" w:color="auto"/>
            </w:tcBorders>
            <w:shd w:val="clear" w:color="auto" w:fill="auto"/>
            <w:noWrap/>
            <w:vAlign w:val="bottom"/>
            <w:hideMark/>
          </w:tcPr>
          <w:p w14:paraId="2F47034B"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Cardones</w:t>
            </w:r>
          </w:p>
        </w:tc>
        <w:tc>
          <w:tcPr>
            <w:tcW w:w="960" w:type="dxa"/>
            <w:tcBorders>
              <w:top w:val="nil"/>
              <w:left w:val="nil"/>
              <w:bottom w:val="single" w:sz="4" w:space="0" w:color="auto"/>
              <w:right w:val="single" w:sz="4" w:space="0" w:color="auto"/>
            </w:tcBorders>
            <w:shd w:val="clear" w:color="auto" w:fill="auto"/>
            <w:noWrap/>
            <w:vAlign w:val="bottom"/>
            <w:hideMark/>
          </w:tcPr>
          <w:p w14:paraId="52560F70"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0.265</w:t>
            </w:r>
          </w:p>
        </w:tc>
        <w:tc>
          <w:tcPr>
            <w:tcW w:w="960" w:type="dxa"/>
            <w:tcBorders>
              <w:top w:val="nil"/>
              <w:left w:val="nil"/>
              <w:bottom w:val="single" w:sz="4" w:space="0" w:color="auto"/>
              <w:right w:val="single" w:sz="4" w:space="0" w:color="auto"/>
            </w:tcBorders>
            <w:shd w:val="clear" w:color="auto" w:fill="auto"/>
            <w:noWrap/>
            <w:vAlign w:val="bottom"/>
            <w:hideMark/>
          </w:tcPr>
          <w:p w14:paraId="4A9B288F"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0.735</w:t>
            </w:r>
          </w:p>
        </w:tc>
        <w:tc>
          <w:tcPr>
            <w:tcW w:w="960" w:type="dxa"/>
            <w:tcBorders>
              <w:top w:val="nil"/>
              <w:left w:val="nil"/>
              <w:bottom w:val="single" w:sz="4" w:space="0" w:color="auto"/>
              <w:right w:val="single" w:sz="4" w:space="0" w:color="auto"/>
            </w:tcBorders>
            <w:shd w:val="clear" w:color="auto" w:fill="auto"/>
            <w:noWrap/>
            <w:vAlign w:val="bottom"/>
            <w:hideMark/>
          </w:tcPr>
          <w:p w14:paraId="3D6FCCDE"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0.396</w:t>
            </w:r>
          </w:p>
        </w:tc>
        <w:tc>
          <w:tcPr>
            <w:tcW w:w="960" w:type="dxa"/>
            <w:tcBorders>
              <w:top w:val="nil"/>
              <w:left w:val="nil"/>
              <w:bottom w:val="single" w:sz="4" w:space="0" w:color="auto"/>
              <w:right w:val="single" w:sz="4" w:space="0" w:color="auto"/>
            </w:tcBorders>
            <w:shd w:val="clear" w:color="auto" w:fill="auto"/>
            <w:noWrap/>
            <w:vAlign w:val="bottom"/>
            <w:hideMark/>
          </w:tcPr>
          <w:p w14:paraId="05132F1A"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0.604</w:t>
            </w:r>
          </w:p>
        </w:tc>
      </w:tr>
      <w:tr w:rsidR="004730B7" w:rsidRPr="004730B7" w14:paraId="59C893C4" w14:textId="77777777" w:rsidTr="004730B7">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1E8FE2A4"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SE-N_8</w:t>
            </w:r>
          </w:p>
        </w:tc>
        <w:tc>
          <w:tcPr>
            <w:tcW w:w="3660" w:type="dxa"/>
            <w:tcBorders>
              <w:top w:val="nil"/>
              <w:left w:val="nil"/>
              <w:bottom w:val="single" w:sz="4" w:space="0" w:color="auto"/>
              <w:right w:val="single" w:sz="4" w:space="0" w:color="auto"/>
            </w:tcBorders>
            <w:shd w:val="clear" w:color="auto" w:fill="auto"/>
            <w:noWrap/>
            <w:vAlign w:val="bottom"/>
            <w:hideMark/>
          </w:tcPr>
          <w:p w14:paraId="10F66939"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Carrera Pinto</w:t>
            </w:r>
          </w:p>
        </w:tc>
        <w:tc>
          <w:tcPr>
            <w:tcW w:w="960" w:type="dxa"/>
            <w:tcBorders>
              <w:top w:val="nil"/>
              <w:left w:val="nil"/>
              <w:bottom w:val="single" w:sz="4" w:space="0" w:color="auto"/>
              <w:right w:val="single" w:sz="4" w:space="0" w:color="auto"/>
            </w:tcBorders>
            <w:shd w:val="clear" w:color="auto" w:fill="auto"/>
            <w:noWrap/>
            <w:vAlign w:val="bottom"/>
            <w:hideMark/>
          </w:tcPr>
          <w:p w14:paraId="582F79A9"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0.199</w:t>
            </w:r>
          </w:p>
        </w:tc>
        <w:tc>
          <w:tcPr>
            <w:tcW w:w="960" w:type="dxa"/>
            <w:tcBorders>
              <w:top w:val="nil"/>
              <w:left w:val="nil"/>
              <w:bottom w:val="single" w:sz="4" w:space="0" w:color="auto"/>
              <w:right w:val="single" w:sz="4" w:space="0" w:color="auto"/>
            </w:tcBorders>
            <w:shd w:val="clear" w:color="auto" w:fill="auto"/>
            <w:noWrap/>
            <w:vAlign w:val="bottom"/>
            <w:hideMark/>
          </w:tcPr>
          <w:p w14:paraId="305B2CF3"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0.801</w:t>
            </w:r>
          </w:p>
        </w:tc>
        <w:tc>
          <w:tcPr>
            <w:tcW w:w="960" w:type="dxa"/>
            <w:tcBorders>
              <w:top w:val="nil"/>
              <w:left w:val="nil"/>
              <w:bottom w:val="single" w:sz="4" w:space="0" w:color="auto"/>
              <w:right w:val="single" w:sz="4" w:space="0" w:color="auto"/>
            </w:tcBorders>
            <w:shd w:val="clear" w:color="auto" w:fill="auto"/>
            <w:noWrap/>
            <w:vAlign w:val="bottom"/>
            <w:hideMark/>
          </w:tcPr>
          <w:p w14:paraId="34D836FA"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0.316</w:t>
            </w:r>
          </w:p>
        </w:tc>
        <w:tc>
          <w:tcPr>
            <w:tcW w:w="960" w:type="dxa"/>
            <w:tcBorders>
              <w:top w:val="nil"/>
              <w:left w:val="nil"/>
              <w:bottom w:val="single" w:sz="4" w:space="0" w:color="auto"/>
              <w:right w:val="single" w:sz="4" w:space="0" w:color="auto"/>
            </w:tcBorders>
            <w:shd w:val="clear" w:color="auto" w:fill="auto"/>
            <w:noWrap/>
            <w:vAlign w:val="bottom"/>
            <w:hideMark/>
          </w:tcPr>
          <w:p w14:paraId="65C1E059"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0.684</w:t>
            </w:r>
          </w:p>
        </w:tc>
      </w:tr>
      <w:tr w:rsidR="004730B7" w:rsidRPr="004730B7" w14:paraId="3F88220A" w14:textId="77777777" w:rsidTr="004730B7">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7ED9B372"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SE-N_9</w:t>
            </w:r>
          </w:p>
        </w:tc>
        <w:tc>
          <w:tcPr>
            <w:tcW w:w="3660" w:type="dxa"/>
            <w:tcBorders>
              <w:top w:val="nil"/>
              <w:left w:val="nil"/>
              <w:bottom w:val="single" w:sz="4" w:space="0" w:color="auto"/>
              <w:right w:val="single" w:sz="4" w:space="0" w:color="auto"/>
            </w:tcBorders>
            <w:shd w:val="clear" w:color="auto" w:fill="auto"/>
            <w:noWrap/>
            <w:vAlign w:val="bottom"/>
            <w:hideMark/>
          </w:tcPr>
          <w:p w14:paraId="00C6162D"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Cautin</w:t>
            </w:r>
          </w:p>
        </w:tc>
        <w:tc>
          <w:tcPr>
            <w:tcW w:w="960" w:type="dxa"/>
            <w:tcBorders>
              <w:top w:val="nil"/>
              <w:left w:val="nil"/>
              <w:bottom w:val="single" w:sz="4" w:space="0" w:color="auto"/>
              <w:right w:val="single" w:sz="4" w:space="0" w:color="auto"/>
            </w:tcBorders>
            <w:shd w:val="clear" w:color="auto" w:fill="auto"/>
            <w:noWrap/>
            <w:vAlign w:val="bottom"/>
            <w:hideMark/>
          </w:tcPr>
          <w:p w14:paraId="4A4D7644"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0.348</w:t>
            </w:r>
          </w:p>
        </w:tc>
        <w:tc>
          <w:tcPr>
            <w:tcW w:w="960" w:type="dxa"/>
            <w:tcBorders>
              <w:top w:val="nil"/>
              <w:left w:val="nil"/>
              <w:bottom w:val="single" w:sz="4" w:space="0" w:color="auto"/>
              <w:right w:val="single" w:sz="4" w:space="0" w:color="auto"/>
            </w:tcBorders>
            <w:shd w:val="clear" w:color="auto" w:fill="auto"/>
            <w:noWrap/>
            <w:vAlign w:val="bottom"/>
            <w:hideMark/>
          </w:tcPr>
          <w:p w14:paraId="18BEF835"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0.652</w:t>
            </w:r>
          </w:p>
        </w:tc>
        <w:tc>
          <w:tcPr>
            <w:tcW w:w="960" w:type="dxa"/>
            <w:tcBorders>
              <w:top w:val="nil"/>
              <w:left w:val="nil"/>
              <w:bottom w:val="single" w:sz="4" w:space="0" w:color="auto"/>
              <w:right w:val="single" w:sz="4" w:space="0" w:color="auto"/>
            </w:tcBorders>
            <w:shd w:val="clear" w:color="auto" w:fill="auto"/>
            <w:noWrap/>
            <w:vAlign w:val="bottom"/>
            <w:hideMark/>
          </w:tcPr>
          <w:p w14:paraId="7144BE9A"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0.557</w:t>
            </w:r>
          </w:p>
        </w:tc>
        <w:tc>
          <w:tcPr>
            <w:tcW w:w="960" w:type="dxa"/>
            <w:tcBorders>
              <w:top w:val="nil"/>
              <w:left w:val="nil"/>
              <w:bottom w:val="single" w:sz="4" w:space="0" w:color="auto"/>
              <w:right w:val="single" w:sz="4" w:space="0" w:color="auto"/>
            </w:tcBorders>
            <w:shd w:val="clear" w:color="auto" w:fill="auto"/>
            <w:noWrap/>
            <w:vAlign w:val="bottom"/>
            <w:hideMark/>
          </w:tcPr>
          <w:p w14:paraId="7551005F"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0.443</w:t>
            </w:r>
          </w:p>
        </w:tc>
      </w:tr>
      <w:tr w:rsidR="004730B7" w:rsidRPr="004730B7" w14:paraId="5EA1E8F2" w14:textId="77777777" w:rsidTr="004730B7">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648EB844"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SE-N_10</w:t>
            </w:r>
          </w:p>
        </w:tc>
        <w:tc>
          <w:tcPr>
            <w:tcW w:w="3660" w:type="dxa"/>
            <w:tcBorders>
              <w:top w:val="nil"/>
              <w:left w:val="nil"/>
              <w:bottom w:val="single" w:sz="4" w:space="0" w:color="auto"/>
              <w:right w:val="single" w:sz="4" w:space="0" w:color="auto"/>
            </w:tcBorders>
            <w:shd w:val="clear" w:color="auto" w:fill="auto"/>
            <w:noWrap/>
            <w:vAlign w:val="bottom"/>
            <w:hideMark/>
          </w:tcPr>
          <w:p w14:paraId="523FF25A"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Cerro Navia</w:t>
            </w:r>
          </w:p>
        </w:tc>
        <w:tc>
          <w:tcPr>
            <w:tcW w:w="960" w:type="dxa"/>
            <w:tcBorders>
              <w:top w:val="nil"/>
              <w:left w:val="nil"/>
              <w:bottom w:val="single" w:sz="4" w:space="0" w:color="auto"/>
              <w:right w:val="single" w:sz="4" w:space="0" w:color="auto"/>
            </w:tcBorders>
            <w:shd w:val="clear" w:color="auto" w:fill="auto"/>
            <w:noWrap/>
            <w:vAlign w:val="bottom"/>
            <w:hideMark/>
          </w:tcPr>
          <w:p w14:paraId="7A4144E0"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0.210</w:t>
            </w:r>
          </w:p>
        </w:tc>
        <w:tc>
          <w:tcPr>
            <w:tcW w:w="960" w:type="dxa"/>
            <w:tcBorders>
              <w:top w:val="nil"/>
              <w:left w:val="nil"/>
              <w:bottom w:val="single" w:sz="4" w:space="0" w:color="auto"/>
              <w:right w:val="single" w:sz="4" w:space="0" w:color="auto"/>
            </w:tcBorders>
            <w:shd w:val="clear" w:color="auto" w:fill="auto"/>
            <w:noWrap/>
            <w:vAlign w:val="bottom"/>
            <w:hideMark/>
          </w:tcPr>
          <w:p w14:paraId="34FC51F1"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0.790</w:t>
            </w:r>
          </w:p>
        </w:tc>
        <w:tc>
          <w:tcPr>
            <w:tcW w:w="960" w:type="dxa"/>
            <w:tcBorders>
              <w:top w:val="nil"/>
              <w:left w:val="nil"/>
              <w:bottom w:val="single" w:sz="4" w:space="0" w:color="auto"/>
              <w:right w:val="single" w:sz="4" w:space="0" w:color="auto"/>
            </w:tcBorders>
            <w:shd w:val="clear" w:color="auto" w:fill="auto"/>
            <w:noWrap/>
            <w:vAlign w:val="bottom"/>
            <w:hideMark/>
          </w:tcPr>
          <w:p w14:paraId="4EE05B19"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0.435</w:t>
            </w:r>
          </w:p>
        </w:tc>
        <w:tc>
          <w:tcPr>
            <w:tcW w:w="960" w:type="dxa"/>
            <w:tcBorders>
              <w:top w:val="nil"/>
              <w:left w:val="nil"/>
              <w:bottom w:val="single" w:sz="4" w:space="0" w:color="auto"/>
              <w:right w:val="single" w:sz="4" w:space="0" w:color="auto"/>
            </w:tcBorders>
            <w:shd w:val="clear" w:color="auto" w:fill="auto"/>
            <w:noWrap/>
            <w:vAlign w:val="bottom"/>
            <w:hideMark/>
          </w:tcPr>
          <w:p w14:paraId="1013B20A"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0.565</w:t>
            </w:r>
          </w:p>
        </w:tc>
      </w:tr>
      <w:tr w:rsidR="004730B7" w:rsidRPr="004730B7" w14:paraId="6E1FAEA0" w14:textId="77777777" w:rsidTr="004730B7">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0472786A"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SE-N_11</w:t>
            </w:r>
          </w:p>
        </w:tc>
        <w:tc>
          <w:tcPr>
            <w:tcW w:w="3660" w:type="dxa"/>
            <w:tcBorders>
              <w:top w:val="nil"/>
              <w:left w:val="nil"/>
              <w:bottom w:val="single" w:sz="4" w:space="0" w:color="auto"/>
              <w:right w:val="single" w:sz="4" w:space="0" w:color="auto"/>
            </w:tcBorders>
            <w:shd w:val="clear" w:color="auto" w:fill="auto"/>
            <w:noWrap/>
            <w:vAlign w:val="bottom"/>
            <w:hideMark/>
          </w:tcPr>
          <w:p w14:paraId="36822E95"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Charrua</w:t>
            </w:r>
          </w:p>
        </w:tc>
        <w:tc>
          <w:tcPr>
            <w:tcW w:w="960" w:type="dxa"/>
            <w:tcBorders>
              <w:top w:val="nil"/>
              <w:left w:val="nil"/>
              <w:bottom w:val="single" w:sz="4" w:space="0" w:color="auto"/>
              <w:right w:val="single" w:sz="4" w:space="0" w:color="auto"/>
            </w:tcBorders>
            <w:shd w:val="clear" w:color="auto" w:fill="auto"/>
            <w:noWrap/>
            <w:vAlign w:val="bottom"/>
            <w:hideMark/>
          </w:tcPr>
          <w:p w14:paraId="3B41ED2F"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0.176</w:t>
            </w:r>
          </w:p>
        </w:tc>
        <w:tc>
          <w:tcPr>
            <w:tcW w:w="960" w:type="dxa"/>
            <w:tcBorders>
              <w:top w:val="nil"/>
              <w:left w:val="nil"/>
              <w:bottom w:val="single" w:sz="4" w:space="0" w:color="auto"/>
              <w:right w:val="single" w:sz="4" w:space="0" w:color="auto"/>
            </w:tcBorders>
            <w:shd w:val="clear" w:color="auto" w:fill="auto"/>
            <w:noWrap/>
            <w:vAlign w:val="bottom"/>
            <w:hideMark/>
          </w:tcPr>
          <w:p w14:paraId="6B3502DB"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0.824</w:t>
            </w:r>
          </w:p>
        </w:tc>
        <w:tc>
          <w:tcPr>
            <w:tcW w:w="960" w:type="dxa"/>
            <w:tcBorders>
              <w:top w:val="nil"/>
              <w:left w:val="nil"/>
              <w:bottom w:val="single" w:sz="4" w:space="0" w:color="auto"/>
              <w:right w:val="single" w:sz="4" w:space="0" w:color="auto"/>
            </w:tcBorders>
            <w:shd w:val="clear" w:color="auto" w:fill="auto"/>
            <w:noWrap/>
            <w:vAlign w:val="bottom"/>
            <w:hideMark/>
          </w:tcPr>
          <w:p w14:paraId="6BBB8324"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0.253</w:t>
            </w:r>
          </w:p>
        </w:tc>
        <w:tc>
          <w:tcPr>
            <w:tcW w:w="960" w:type="dxa"/>
            <w:tcBorders>
              <w:top w:val="nil"/>
              <w:left w:val="nil"/>
              <w:bottom w:val="single" w:sz="4" w:space="0" w:color="auto"/>
              <w:right w:val="single" w:sz="4" w:space="0" w:color="auto"/>
            </w:tcBorders>
            <w:shd w:val="clear" w:color="auto" w:fill="auto"/>
            <w:noWrap/>
            <w:vAlign w:val="bottom"/>
            <w:hideMark/>
          </w:tcPr>
          <w:p w14:paraId="13A2F863"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0.747</w:t>
            </w:r>
          </w:p>
        </w:tc>
      </w:tr>
      <w:tr w:rsidR="004730B7" w:rsidRPr="004730B7" w14:paraId="11A12D25" w14:textId="77777777" w:rsidTr="004730B7">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507B26F6"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SE-N_12</w:t>
            </w:r>
          </w:p>
        </w:tc>
        <w:tc>
          <w:tcPr>
            <w:tcW w:w="3660" w:type="dxa"/>
            <w:tcBorders>
              <w:top w:val="nil"/>
              <w:left w:val="nil"/>
              <w:bottom w:val="single" w:sz="4" w:space="0" w:color="auto"/>
              <w:right w:val="single" w:sz="4" w:space="0" w:color="auto"/>
            </w:tcBorders>
            <w:shd w:val="clear" w:color="auto" w:fill="auto"/>
            <w:noWrap/>
            <w:vAlign w:val="bottom"/>
            <w:hideMark/>
          </w:tcPr>
          <w:p w14:paraId="1F92885B"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Chena</w:t>
            </w:r>
          </w:p>
        </w:tc>
        <w:tc>
          <w:tcPr>
            <w:tcW w:w="960" w:type="dxa"/>
            <w:tcBorders>
              <w:top w:val="nil"/>
              <w:left w:val="nil"/>
              <w:bottom w:val="single" w:sz="4" w:space="0" w:color="auto"/>
              <w:right w:val="single" w:sz="4" w:space="0" w:color="auto"/>
            </w:tcBorders>
            <w:shd w:val="clear" w:color="auto" w:fill="auto"/>
            <w:noWrap/>
            <w:vAlign w:val="bottom"/>
            <w:hideMark/>
          </w:tcPr>
          <w:p w14:paraId="5385CE7E"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0.446</w:t>
            </w:r>
          </w:p>
        </w:tc>
        <w:tc>
          <w:tcPr>
            <w:tcW w:w="960" w:type="dxa"/>
            <w:tcBorders>
              <w:top w:val="nil"/>
              <w:left w:val="nil"/>
              <w:bottom w:val="single" w:sz="4" w:space="0" w:color="auto"/>
              <w:right w:val="single" w:sz="4" w:space="0" w:color="auto"/>
            </w:tcBorders>
            <w:shd w:val="clear" w:color="auto" w:fill="auto"/>
            <w:noWrap/>
            <w:vAlign w:val="bottom"/>
            <w:hideMark/>
          </w:tcPr>
          <w:p w14:paraId="4F4FA3E5"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0.554</w:t>
            </w:r>
          </w:p>
        </w:tc>
        <w:tc>
          <w:tcPr>
            <w:tcW w:w="960" w:type="dxa"/>
            <w:tcBorders>
              <w:top w:val="nil"/>
              <w:left w:val="nil"/>
              <w:bottom w:val="single" w:sz="4" w:space="0" w:color="auto"/>
              <w:right w:val="single" w:sz="4" w:space="0" w:color="auto"/>
            </w:tcBorders>
            <w:shd w:val="clear" w:color="auto" w:fill="auto"/>
            <w:noWrap/>
            <w:vAlign w:val="bottom"/>
            <w:hideMark/>
          </w:tcPr>
          <w:p w14:paraId="3D4F6627"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0.614</w:t>
            </w:r>
          </w:p>
        </w:tc>
        <w:tc>
          <w:tcPr>
            <w:tcW w:w="960" w:type="dxa"/>
            <w:tcBorders>
              <w:top w:val="nil"/>
              <w:left w:val="nil"/>
              <w:bottom w:val="single" w:sz="4" w:space="0" w:color="auto"/>
              <w:right w:val="single" w:sz="4" w:space="0" w:color="auto"/>
            </w:tcBorders>
            <w:shd w:val="clear" w:color="auto" w:fill="auto"/>
            <w:noWrap/>
            <w:vAlign w:val="bottom"/>
            <w:hideMark/>
          </w:tcPr>
          <w:p w14:paraId="2A0EB778"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0.386</w:t>
            </w:r>
          </w:p>
        </w:tc>
      </w:tr>
      <w:tr w:rsidR="004730B7" w:rsidRPr="004730B7" w14:paraId="78A6E0BA" w14:textId="77777777" w:rsidTr="004730B7">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6F4DA0E8"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SE-N_13</w:t>
            </w:r>
          </w:p>
        </w:tc>
        <w:tc>
          <w:tcPr>
            <w:tcW w:w="3660" w:type="dxa"/>
            <w:tcBorders>
              <w:top w:val="nil"/>
              <w:left w:val="nil"/>
              <w:bottom w:val="single" w:sz="4" w:space="0" w:color="auto"/>
              <w:right w:val="single" w:sz="4" w:space="0" w:color="auto"/>
            </w:tcBorders>
            <w:shd w:val="clear" w:color="auto" w:fill="auto"/>
            <w:noWrap/>
            <w:vAlign w:val="bottom"/>
            <w:hideMark/>
          </w:tcPr>
          <w:p w14:paraId="1022D487"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Chiloe</w:t>
            </w:r>
          </w:p>
        </w:tc>
        <w:tc>
          <w:tcPr>
            <w:tcW w:w="960" w:type="dxa"/>
            <w:tcBorders>
              <w:top w:val="nil"/>
              <w:left w:val="nil"/>
              <w:bottom w:val="single" w:sz="4" w:space="0" w:color="auto"/>
              <w:right w:val="single" w:sz="4" w:space="0" w:color="auto"/>
            </w:tcBorders>
            <w:shd w:val="clear" w:color="auto" w:fill="auto"/>
            <w:noWrap/>
            <w:vAlign w:val="bottom"/>
            <w:hideMark/>
          </w:tcPr>
          <w:p w14:paraId="233FF644"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0.486</w:t>
            </w:r>
          </w:p>
        </w:tc>
        <w:tc>
          <w:tcPr>
            <w:tcW w:w="960" w:type="dxa"/>
            <w:tcBorders>
              <w:top w:val="nil"/>
              <w:left w:val="nil"/>
              <w:bottom w:val="single" w:sz="4" w:space="0" w:color="auto"/>
              <w:right w:val="single" w:sz="4" w:space="0" w:color="auto"/>
            </w:tcBorders>
            <w:shd w:val="clear" w:color="auto" w:fill="auto"/>
            <w:noWrap/>
            <w:vAlign w:val="bottom"/>
            <w:hideMark/>
          </w:tcPr>
          <w:p w14:paraId="67D76385"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0.514</w:t>
            </w:r>
          </w:p>
        </w:tc>
        <w:tc>
          <w:tcPr>
            <w:tcW w:w="960" w:type="dxa"/>
            <w:tcBorders>
              <w:top w:val="nil"/>
              <w:left w:val="nil"/>
              <w:bottom w:val="single" w:sz="4" w:space="0" w:color="auto"/>
              <w:right w:val="single" w:sz="4" w:space="0" w:color="auto"/>
            </w:tcBorders>
            <w:shd w:val="clear" w:color="auto" w:fill="auto"/>
            <w:noWrap/>
            <w:vAlign w:val="bottom"/>
            <w:hideMark/>
          </w:tcPr>
          <w:p w14:paraId="4D11D6D5"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0.600</w:t>
            </w:r>
          </w:p>
        </w:tc>
        <w:tc>
          <w:tcPr>
            <w:tcW w:w="960" w:type="dxa"/>
            <w:tcBorders>
              <w:top w:val="nil"/>
              <w:left w:val="nil"/>
              <w:bottom w:val="single" w:sz="4" w:space="0" w:color="auto"/>
              <w:right w:val="single" w:sz="4" w:space="0" w:color="auto"/>
            </w:tcBorders>
            <w:shd w:val="clear" w:color="auto" w:fill="auto"/>
            <w:noWrap/>
            <w:vAlign w:val="bottom"/>
            <w:hideMark/>
          </w:tcPr>
          <w:p w14:paraId="406B8A56"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0.400</w:t>
            </w:r>
          </w:p>
        </w:tc>
      </w:tr>
      <w:tr w:rsidR="004730B7" w:rsidRPr="004730B7" w14:paraId="1950D170" w14:textId="77777777" w:rsidTr="004730B7">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35083775"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SE-N_14</w:t>
            </w:r>
          </w:p>
        </w:tc>
        <w:tc>
          <w:tcPr>
            <w:tcW w:w="3660" w:type="dxa"/>
            <w:tcBorders>
              <w:top w:val="nil"/>
              <w:left w:val="nil"/>
              <w:bottom w:val="single" w:sz="4" w:space="0" w:color="auto"/>
              <w:right w:val="single" w:sz="4" w:space="0" w:color="auto"/>
            </w:tcBorders>
            <w:shd w:val="clear" w:color="auto" w:fill="auto"/>
            <w:noWrap/>
            <w:vAlign w:val="bottom"/>
            <w:hideMark/>
          </w:tcPr>
          <w:p w14:paraId="17444EF6"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Chuquicamata</w:t>
            </w:r>
          </w:p>
        </w:tc>
        <w:tc>
          <w:tcPr>
            <w:tcW w:w="960" w:type="dxa"/>
            <w:tcBorders>
              <w:top w:val="nil"/>
              <w:left w:val="nil"/>
              <w:bottom w:val="single" w:sz="4" w:space="0" w:color="auto"/>
              <w:right w:val="single" w:sz="4" w:space="0" w:color="auto"/>
            </w:tcBorders>
            <w:shd w:val="clear" w:color="auto" w:fill="auto"/>
            <w:noWrap/>
            <w:vAlign w:val="bottom"/>
            <w:hideMark/>
          </w:tcPr>
          <w:p w14:paraId="3295E379"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0.112</w:t>
            </w:r>
          </w:p>
        </w:tc>
        <w:tc>
          <w:tcPr>
            <w:tcW w:w="960" w:type="dxa"/>
            <w:tcBorders>
              <w:top w:val="nil"/>
              <w:left w:val="nil"/>
              <w:bottom w:val="single" w:sz="4" w:space="0" w:color="auto"/>
              <w:right w:val="single" w:sz="4" w:space="0" w:color="auto"/>
            </w:tcBorders>
            <w:shd w:val="clear" w:color="auto" w:fill="auto"/>
            <w:noWrap/>
            <w:vAlign w:val="bottom"/>
            <w:hideMark/>
          </w:tcPr>
          <w:p w14:paraId="3B4463F6"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0.888</w:t>
            </w:r>
          </w:p>
        </w:tc>
        <w:tc>
          <w:tcPr>
            <w:tcW w:w="960" w:type="dxa"/>
            <w:tcBorders>
              <w:top w:val="nil"/>
              <w:left w:val="nil"/>
              <w:bottom w:val="single" w:sz="4" w:space="0" w:color="auto"/>
              <w:right w:val="single" w:sz="4" w:space="0" w:color="auto"/>
            </w:tcBorders>
            <w:shd w:val="clear" w:color="auto" w:fill="auto"/>
            <w:noWrap/>
            <w:vAlign w:val="bottom"/>
            <w:hideMark/>
          </w:tcPr>
          <w:p w14:paraId="49BBA763"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0.164</w:t>
            </w:r>
          </w:p>
        </w:tc>
        <w:tc>
          <w:tcPr>
            <w:tcW w:w="960" w:type="dxa"/>
            <w:tcBorders>
              <w:top w:val="nil"/>
              <w:left w:val="nil"/>
              <w:bottom w:val="single" w:sz="4" w:space="0" w:color="auto"/>
              <w:right w:val="single" w:sz="4" w:space="0" w:color="auto"/>
            </w:tcBorders>
            <w:shd w:val="clear" w:color="auto" w:fill="auto"/>
            <w:noWrap/>
            <w:vAlign w:val="bottom"/>
            <w:hideMark/>
          </w:tcPr>
          <w:p w14:paraId="3F1164B2"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0.836</w:t>
            </w:r>
          </w:p>
        </w:tc>
      </w:tr>
      <w:tr w:rsidR="004730B7" w:rsidRPr="004730B7" w14:paraId="50172D4B" w14:textId="77777777" w:rsidTr="004730B7">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4C7F882F"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SE-N_15</w:t>
            </w:r>
          </w:p>
        </w:tc>
        <w:tc>
          <w:tcPr>
            <w:tcW w:w="3660" w:type="dxa"/>
            <w:tcBorders>
              <w:top w:val="nil"/>
              <w:left w:val="nil"/>
              <w:bottom w:val="single" w:sz="4" w:space="0" w:color="auto"/>
              <w:right w:val="single" w:sz="4" w:space="0" w:color="auto"/>
            </w:tcBorders>
            <w:shd w:val="clear" w:color="auto" w:fill="auto"/>
            <w:noWrap/>
            <w:vAlign w:val="bottom"/>
            <w:hideMark/>
          </w:tcPr>
          <w:p w14:paraId="53984C63"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Ciruelos</w:t>
            </w:r>
          </w:p>
        </w:tc>
        <w:tc>
          <w:tcPr>
            <w:tcW w:w="960" w:type="dxa"/>
            <w:tcBorders>
              <w:top w:val="nil"/>
              <w:left w:val="nil"/>
              <w:bottom w:val="single" w:sz="4" w:space="0" w:color="auto"/>
              <w:right w:val="single" w:sz="4" w:space="0" w:color="auto"/>
            </w:tcBorders>
            <w:shd w:val="clear" w:color="auto" w:fill="auto"/>
            <w:noWrap/>
            <w:vAlign w:val="bottom"/>
            <w:hideMark/>
          </w:tcPr>
          <w:p w14:paraId="14B75F97"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0.256</w:t>
            </w:r>
          </w:p>
        </w:tc>
        <w:tc>
          <w:tcPr>
            <w:tcW w:w="960" w:type="dxa"/>
            <w:tcBorders>
              <w:top w:val="nil"/>
              <w:left w:val="nil"/>
              <w:bottom w:val="single" w:sz="4" w:space="0" w:color="auto"/>
              <w:right w:val="single" w:sz="4" w:space="0" w:color="auto"/>
            </w:tcBorders>
            <w:shd w:val="clear" w:color="auto" w:fill="auto"/>
            <w:noWrap/>
            <w:vAlign w:val="bottom"/>
            <w:hideMark/>
          </w:tcPr>
          <w:p w14:paraId="59DACD5D"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0.744</w:t>
            </w:r>
          </w:p>
        </w:tc>
        <w:tc>
          <w:tcPr>
            <w:tcW w:w="960" w:type="dxa"/>
            <w:tcBorders>
              <w:top w:val="nil"/>
              <w:left w:val="nil"/>
              <w:bottom w:val="single" w:sz="4" w:space="0" w:color="auto"/>
              <w:right w:val="single" w:sz="4" w:space="0" w:color="auto"/>
            </w:tcBorders>
            <w:shd w:val="clear" w:color="auto" w:fill="auto"/>
            <w:noWrap/>
            <w:vAlign w:val="bottom"/>
            <w:hideMark/>
          </w:tcPr>
          <w:p w14:paraId="3A055AC0"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0.419</w:t>
            </w:r>
          </w:p>
        </w:tc>
        <w:tc>
          <w:tcPr>
            <w:tcW w:w="960" w:type="dxa"/>
            <w:tcBorders>
              <w:top w:val="nil"/>
              <w:left w:val="nil"/>
              <w:bottom w:val="single" w:sz="4" w:space="0" w:color="auto"/>
              <w:right w:val="single" w:sz="4" w:space="0" w:color="auto"/>
            </w:tcBorders>
            <w:shd w:val="clear" w:color="auto" w:fill="auto"/>
            <w:noWrap/>
            <w:vAlign w:val="bottom"/>
            <w:hideMark/>
          </w:tcPr>
          <w:p w14:paraId="7A775C27"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0.581</w:t>
            </w:r>
          </w:p>
        </w:tc>
      </w:tr>
      <w:tr w:rsidR="004730B7" w:rsidRPr="004730B7" w14:paraId="2CAACE0A" w14:textId="77777777" w:rsidTr="004730B7">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24316A18"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SE-N_16</w:t>
            </w:r>
          </w:p>
        </w:tc>
        <w:tc>
          <w:tcPr>
            <w:tcW w:w="3660" w:type="dxa"/>
            <w:tcBorders>
              <w:top w:val="nil"/>
              <w:left w:val="nil"/>
              <w:bottom w:val="single" w:sz="4" w:space="0" w:color="auto"/>
              <w:right w:val="single" w:sz="4" w:space="0" w:color="auto"/>
            </w:tcBorders>
            <w:shd w:val="clear" w:color="auto" w:fill="auto"/>
            <w:noWrap/>
            <w:vAlign w:val="bottom"/>
            <w:hideMark/>
          </w:tcPr>
          <w:p w14:paraId="16BFD803"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Colbun</w:t>
            </w:r>
          </w:p>
        </w:tc>
        <w:tc>
          <w:tcPr>
            <w:tcW w:w="960" w:type="dxa"/>
            <w:tcBorders>
              <w:top w:val="nil"/>
              <w:left w:val="nil"/>
              <w:bottom w:val="single" w:sz="4" w:space="0" w:color="auto"/>
              <w:right w:val="single" w:sz="4" w:space="0" w:color="auto"/>
            </w:tcBorders>
            <w:shd w:val="clear" w:color="auto" w:fill="auto"/>
            <w:noWrap/>
            <w:vAlign w:val="bottom"/>
            <w:hideMark/>
          </w:tcPr>
          <w:p w14:paraId="58CEB4E5"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0.210</w:t>
            </w:r>
          </w:p>
        </w:tc>
        <w:tc>
          <w:tcPr>
            <w:tcW w:w="960" w:type="dxa"/>
            <w:tcBorders>
              <w:top w:val="nil"/>
              <w:left w:val="nil"/>
              <w:bottom w:val="single" w:sz="4" w:space="0" w:color="auto"/>
              <w:right w:val="single" w:sz="4" w:space="0" w:color="auto"/>
            </w:tcBorders>
            <w:shd w:val="clear" w:color="auto" w:fill="auto"/>
            <w:noWrap/>
            <w:vAlign w:val="bottom"/>
            <w:hideMark/>
          </w:tcPr>
          <w:p w14:paraId="0CFE8BD0"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0.790</w:t>
            </w:r>
          </w:p>
        </w:tc>
        <w:tc>
          <w:tcPr>
            <w:tcW w:w="960" w:type="dxa"/>
            <w:tcBorders>
              <w:top w:val="nil"/>
              <w:left w:val="nil"/>
              <w:bottom w:val="single" w:sz="4" w:space="0" w:color="auto"/>
              <w:right w:val="single" w:sz="4" w:space="0" w:color="auto"/>
            </w:tcBorders>
            <w:shd w:val="clear" w:color="auto" w:fill="auto"/>
            <w:noWrap/>
            <w:vAlign w:val="bottom"/>
            <w:hideMark/>
          </w:tcPr>
          <w:p w14:paraId="1C465D24"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0.268</w:t>
            </w:r>
          </w:p>
        </w:tc>
        <w:tc>
          <w:tcPr>
            <w:tcW w:w="960" w:type="dxa"/>
            <w:tcBorders>
              <w:top w:val="nil"/>
              <w:left w:val="nil"/>
              <w:bottom w:val="single" w:sz="4" w:space="0" w:color="auto"/>
              <w:right w:val="single" w:sz="4" w:space="0" w:color="auto"/>
            </w:tcBorders>
            <w:shd w:val="clear" w:color="auto" w:fill="auto"/>
            <w:noWrap/>
            <w:vAlign w:val="bottom"/>
            <w:hideMark/>
          </w:tcPr>
          <w:p w14:paraId="526FF8DB"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0.732</w:t>
            </w:r>
          </w:p>
        </w:tc>
      </w:tr>
      <w:tr w:rsidR="004730B7" w:rsidRPr="004730B7" w14:paraId="61F099ED" w14:textId="77777777" w:rsidTr="004730B7">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2FAF1F5D"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SE-N_17</w:t>
            </w:r>
          </w:p>
        </w:tc>
        <w:tc>
          <w:tcPr>
            <w:tcW w:w="3660" w:type="dxa"/>
            <w:tcBorders>
              <w:top w:val="nil"/>
              <w:left w:val="nil"/>
              <w:bottom w:val="single" w:sz="4" w:space="0" w:color="auto"/>
              <w:right w:val="single" w:sz="4" w:space="0" w:color="auto"/>
            </w:tcBorders>
            <w:shd w:val="clear" w:color="auto" w:fill="auto"/>
            <w:noWrap/>
            <w:vAlign w:val="bottom"/>
            <w:hideMark/>
          </w:tcPr>
          <w:p w14:paraId="6C53026E"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Concepcion</w:t>
            </w:r>
          </w:p>
        </w:tc>
        <w:tc>
          <w:tcPr>
            <w:tcW w:w="960" w:type="dxa"/>
            <w:tcBorders>
              <w:top w:val="nil"/>
              <w:left w:val="nil"/>
              <w:bottom w:val="single" w:sz="4" w:space="0" w:color="auto"/>
              <w:right w:val="single" w:sz="4" w:space="0" w:color="auto"/>
            </w:tcBorders>
            <w:shd w:val="clear" w:color="auto" w:fill="auto"/>
            <w:noWrap/>
            <w:vAlign w:val="bottom"/>
            <w:hideMark/>
          </w:tcPr>
          <w:p w14:paraId="47913963"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0.463</w:t>
            </w:r>
          </w:p>
        </w:tc>
        <w:tc>
          <w:tcPr>
            <w:tcW w:w="960" w:type="dxa"/>
            <w:tcBorders>
              <w:top w:val="nil"/>
              <w:left w:val="nil"/>
              <w:bottom w:val="single" w:sz="4" w:space="0" w:color="auto"/>
              <w:right w:val="single" w:sz="4" w:space="0" w:color="auto"/>
            </w:tcBorders>
            <w:shd w:val="clear" w:color="auto" w:fill="auto"/>
            <w:noWrap/>
            <w:vAlign w:val="bottom"/>
            <w:hideMark/>
          </w:tcPr>
          <w:p w14:paraId="2953555F"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0.537</w:t>
            </w:r>
          </w:p>
        </w:tc>
        <w:tc>
          <w:tcPr>
            <w:tcW w:w="960" w:type="dxa"/>
            <w:tcBorders>
              <w:top w:val="nil"/>
              <w:left w:val="nil"/>
              <w:bottom w:val="single" w:sz="4" w:space="0" w:color="auto"/>
              <w:right w:val="single" w:sz="4" w:space="0" w:color="auto"/>
            </w:tcBorders>
            <w:shd w:val="clear" w:color="auto" w:fill="auto"/>
            <w:noWrap/>
            <w:vAlign w:val="bottom"/>
            <w:hideMark/>
          </w:tcPr>
          <w:p w14:paraId="7CFEDF25"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0.661</w:t>
            </w:r>
          </w:p>
        </w:tc>
        <w:tc>
          <w:tcPr>
            <w:tcW w:w="960" w:type="dxa"/>
            <w:tcBorders>
              <w:top w:val="nil"/>
              <w:left w:val="nil"/>
              <w:bottom w:val="single" w:sz="4" w:space="0" w:color="auto"/>
              <w:right w:val="single" w:sz="4" w:space="0" w:color="auto"/>
            </w:tcBorders>
            <w:shd w:val="clear" w:color="auto" w:fill="auto"/>
            <w:noWrap/>
            <w:vAlign w:val="bottom"/>
            <w:hideMark/>
          </w:tcPr>
          <w:p w14:paraId="58C39323"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0.339</w:t>
            </w:r>
          </w:p>
        </w:tc>
      </w:tr>
      <w:tr w:rsidR="004730B7" w:rsidRPr="004730B7" w14:paraId="42DE84D3" w14:textId="77777777" w:rsidTr="004730B7">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664E0EBC"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SE-N_18</w:t>
            </w:r>
          </w:p>
        </w:tc>
        <w:tc>
          <w:tcPr>
            <w:tcW w:w="3660" w:type="dxa"/>
            <w:tcBorders>
              <w:top w:val="nil"/>
              <w:left w:val="nil"/>
              <w:bottom w:val="single" w:sz="4" w:space="0" w:color="auto"/>
              <w:right w:val="single" w:sz="4" w:space="0" w:color="auto"/>
            </w:tcBorders>
            <w:shd w:val="clear" w:color="auto" w:fill="auto"/>
            <w:noWrap/>
            <w:vAlign w:val="bottom"/>
            <w:hideMark/>
          </w:tcPr>
          <w:p w14:paraId="5B9822E1"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Condores</w:t>
            </w:r>
          </w:p>
        </w:tc>
        <w:tc>
          <w:tcPr>
            <w:tcW w:w="960" w:type="dxa"/>
            <w:tcBorders>
              <w:top w:val="nil"/>
              <w:left w:val="nil"/>
              <w:bottom w:val="single" w:sz="4" w:space="0" w:color="auto"/>
              <w:right w:val="single" w:sz="4" w:space="0" w:color="auto"/>
            </w:tcBorders>
            <w:shd w:val="clear" w:color="auto" w:fill="auto"/>
            <w:noWrap/>
            <w:vAlign w:val="bottom"/>
            <w:hideMark/>
          </w:tcPr>
          <w:p w14:paraId="767EF0BF"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0.724</w:t>
            </w:r>
          </w:p>
        </w:tc>
        <w:tc>
          <w:tcPr>
            <w:tcW w:w="960" w:type="dxa"/>
            <w:tcBorders>
              <w:top w:val="nil"/>
              <w:left w:val="nil"/>
              <w:bottom w:val="single" w:sz="4" w:space="0" w:color="auto"/>
              <w:right w:val="single" w:sz="4" w:space="0" w:color="auto"/>
            </w:tcBorders>
            <w:shd w:val="clear" w:color="auto" w:fill="auto"/>
            <w:noWrap/>
            <w:vAlign w:val="bottom"/>
            <w:hideMark/>
          </w:tcPr>
          <w:p w14:paraId="7EE6B583"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0.276</w:t>
            </w:r>
          </w:p>
        </w:tc>
        <w:tc>
          <w:tcPr>
            <w:tcW w:w="960" w:type="dxa"/>
            <w:tcBorders>
              <w:top w:val="nil"/>
              <w:left w:val="nil"/>
              <w:bottom w:val="single" w:sz="4" w:space="0" w:color="auto"/>
              <w:right w:val="single" w:sz="4" w:space="0" w:color="auto"/>
            </w:tcBorders>
            <w:shd w:val="clear" w:color="auto" w:fill="auto"/>
            <w:noWrap/>
            <w:vAlign w:val="bottom"/>
            <w:hideMark/>
          </w:tcPr>
          <w:p w14:paraId="73CE529B"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0.812</w:t>
            </w:r>
          </w:p>
        </w:tc>
        <w:tc>
          <w:tcPr>
            <w:tcW w:w="960" w:type="dxa"/>
            <w:tcBorders>
              <w:top w:val="nil"/>
              <w:left w:val="nil"/>
              <w:bottom w:val="single" w:sz="4" w:space="0" w:color="auto"/>
              <w:right w:val="single" w:sz="4" w:space="0" w:color="auto"/>
            </w:tcBorders>
            <w:shd w:val="clear" w:color="auto" w:fill="auto"/>
            <w:noWrap/>
            <w:vAlign w:val="bottom"/>
            <w:hideMark/>
          </w:tcPr>
          <w:p w14:paraId="4D43F36D"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0.188</w:t>
            </w:r>
          </w:p>
        </w:tc>
      </w:tr>
      <w:tr w:rsidR="004730B7" w:rsidRPr="004730B7" w14:paraId="771EFD32" w14:textId="77777777" w:rsidTr="004730B7">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6D9A5F87"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SE-N_19</w:t>
            </w:r>
          </w:p>
        </w:tc>
        <w:tc>
          <w:tcPr>
            <w:tcW w:w="3660" w:type="dxa"/>
            <w:tcBorders>
              <w:top w:val="nil"/>
              <w:left w:val="nil"/>
              <w:bottom w:val="single" w:sz="4" w:space="0" w:color="auto"/>
              <w:right w:val="single" w:sz="4" w:space="0" w:color="auto"/>
            </w:tcBorders>
            <w:shd w:val="clear" w:color="auto" w:fill="auto"/>
            <w:noWrap/>
            <w:vAlign w:val="bottom"/>
            <w:hideMark/>
          </w:tcPr>
          <w:p w14:paraId="564FA5D1"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Crucero</w:t>
            </w:r>
          </w:p>
        </w:tc>
        <w:tc>
          <w:tcPr>
            <w:tcW w:w="960" w:type="dxa"/>
            <w:tcBorders>
              <w:top w:val="nil"/>
              <w:left w:val="nil"/>
              <w:bottom w:val="single" w:sz="4" w:space="0" w:color="auto"/>
              <w:right w:val="single" w:sz="4" w:space="0" w:color="auto"/>
            </w:tcBorders>
            <w:shd w:val="clear" w:color="auto" w:fill="auto"/>
            <w:noWrap/>
            <w:vAlign w:val="bottom"/>
            <w:hideMark/>
          </w:tcPr>
          <w:p w14:paraId="489932CB"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0.382</w:t>
            </w:r>
          </w:p>
        </w:tc>
        <w:tc>
          <w:tcPr>
            <w:tcW w:w="960" w:type="dxa"/>
            <w:tcBorders>
              <w:top w:val="nil"/>
              <w:left w:val="nil"/>
              <w:bottom w:val="single" w:sz="4" w:space="0" w:color="auto"/>
              <w:right w:val="single" w:sz="4" w:space="0" w:color="auto"/>
            </w:tcBorders>
            <w:shd w:val="clear" w:color="auto" w:fill="auto"/>
            <w:noWrap/>
            <w:vAlign w:val="bottom"/>
            <w:hideMark/>
          </w:tcPr>
          <w:p w14:paraId="383E76DB"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0.618</w:t>
            </w:r>
          </w:p>
        </w:tc>
        <w:tc>
          <w:tcPr>
            <w:tcW w:w="960" w:type="dxa"/>
            <w:tcBorders>
              <w:top w:val="nil"/>
              <w:left w:val="nil"/>
              <w:bottom w:val="single" w:sz="4" w:space="0" w:color="auto"/>
              <w:right w:val="single" w:sz="4" w:space="0" w:color="auto"/>
            </w:tcBorders>
            <w:shd w:val="clear" w:color="auto" w:fill="auto"/>
            <w:noWrap/>
            <w:vAlign w:val="bottom"/>
            <w:hideMark/>
          </w:tcPr>
          <w:p w14:paraId="4F62729E"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0.470</w:t>
            </w:r>
          </w:p>
        </w:tc>
        <w:tc>
          <w:tcPr>
            <w:tcW w:w="960" w:type="dxa"/>
            <w:tcBorders>
              <w:top w:val="nil"/>
              <w:left w:val="nil"/>
              <w:bottom w:val="single" w:sz="4" w:space="0" w:color="auto"/>
              <w:right w:val="single" w:sz="4" w:space="0" w:color="auto"/>
            </w:tcBorders>
            <w:shd w:val="clear" w:color="auto" w:fill="auto"/>
            <w:noWrap/>
            <w:vAlign w:val="bottom"/>
            <w:hideMark/>
          </w:tcPr>
          <w:p w14:paraId="0ED4070B"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0.530</w:t>
            </w:r>
          </w:p>
        </w:tc>
      </w:tr>
      <w:tr w:rsidR="004730B7" w:rsidRPr="004730B7" w14:paraId="0E52E233" w14:textId="77777777" w:rsidTr="004730B7">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7AE45CF3"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SE-N_20</w:t>
            </w:r>
          </w:p>
        </w:tc>
        <w:tc>
          <w:tcPr>
            <w:tcW w:w="3660" w:type="dxa"/>
            <w:tcBorders>
              <w:top w:val="nil"/>
              <w:left w:val="nil"/>
              <w:bottom w:val="single" w:sz="4" w:space="0" w:color="auto"/>
              <w:right w:val="single" w:sz="4" w:space="0" w:color="auto"/>
            </w:tcBorders>
            <w:shd w:val="clear" w:color="auto" w:fill="auto"/>
            <w:noWrap/>
            <w:vAlign w:val="bottom"/>
            <w:hideMark/>
          </w:tcPr>
          <w:p w14:paraId="25CEC4CC"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Cumbre</w:t>
            </w:r>
          </w:p>
        </w:tc>
        <w:tc>
          <w:tcPr>
            <w:tcW w:w="960" w:type="dxa"/>
            <w:tcBorders>
              <w:top w:val="nil"/>
              <w:left w:val="nil"/>
              <w:bottom w:val="single" w:sz="4" w:space="0" w:color="auto"/>
              <w:right w:val="single" w:sz="4" w:space="0" w:color="auto"/>
            </w:tcBorders>
            <w:shd w:val="clear" w:color="auto" w:fill="auto"/>
            <w:noWrap/>
            <w:vAlign w:val="bottom"/>
            <w:hideMark/>
          </w:tcPr>
          <w:p w14:paraId="08609CF4"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0.365</w:t>
            </w:r>
          </w:p>
        </w:tc>
        <w:tc>
          <w:tcPr>
            <w:tcW w:w="960" w:type="dxa"/>
            <w:tcBorders>
              <w:top w:val="nil"/>
              <w:left w:val="nil"/>
              <w:bottom w:val="single" w:sz="4" w:space="0" w:color="auto"/>
              <w:right w:val="single" w:sz="4" w:space="0" w:color="auto"/>
            </w:tcBorders>
            <w:shd w:val="clear" w:color="auto" w:fill="auto"/>
            <w:noWrap/>
            <w:vAlign w:val="bottom"/>
            <w:hideMark/>
          </w:tcPr>
          <w:p w14:paraId="7D72041E"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0.635</w:t>
            </w:r>
          </w:p>
        </w:tc>
        <w:tc>
          <w:tcPr>
            <w:tcW w:w="960" w:type="dxa"/>
            <w:tcBorders>
              <w:top w:val="nil"/>
              <w:left w:val="nil"/>
              <w:bottom w:val="single" w:sz="4" w:space="0" w:color="auto"/>
              <w:right w:val="single" w:sz="4" w:space="0" w:color="auto"/>
            </w:tcBorders>
            <w:shd w:val="clear" w:color="auto" w:fill="auto"/>
            <w:noWrap/>
            <w:vAlign w:val="bottom"/>
            <w:hideMark/>
          </w:tcPr>
          <w:p w14:paraId="1A14FE0B"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0.462</w:t>
            </w:r>
          </w:p>
        </w:tc>
        <w:tc>
          <w:tcPr>
            <w:tcW w:w="960" w:type="dxa"/>
            <w:tcBorders>
              <w:top w:val="nil"/>
              <w:left w:val="nil"/>
              <w:bottom w:val="single" w:sz="4" w:space="0" w:color="auto"/>
              <w:right w:val="single" w:sz="4" w:space="0" w:color="auto"/>
            </w:tcBorders>
            <w:shd w:val="clear" w:color="auto" w:fill="auto"/>
            <w:noWrap/>
            <w:vAlign w:val="bottom"/>
            <w:hideMark/>
          </w:tcPr>
          <w:p w14:paraId="3262AB50"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0.538</w:t>
            </w:r>
          </w:p>
        </w:tc>
      </w:tr>
      <w:tr w:rsidR="004730B7" w:rsidRPr="004730B7" w14:paraId="7605FB93" w14:textId="77777777" w:rsidTr="004730B7">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1CBC729B"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SE-N_21</w:t>
            </w:r>
          </w:p>
        </w:tc>
        <w:tc>
          <w:tcPr>
            <w:tcW w:w="3660" w:type="dxa"/>
            <w:tcBorders>
              <w:top w:val="nil"/>
              <w:left w:val="nil"/>
              <w:bottom w:val="single" w:sz="4" w:space="0" w:color="auto"/>
              <w:right w:val="single" w:sz="4" w:space="0" w:color="auto"/>
            </w:tcBorders>
            <w:shd w:val="clear" w:color="auto" w:fill="auto"/>
            <w:noWrap/>
            <w:vAlign w:val="bottom"/>
            <w:hideMark/>
          </w:tcPr>
          <w:p w14:paraId="04856101"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Diego de Almagro</w:t>
            </w:r>
          </w:p>
        </w:tc>
        <w:tc>
          <w:tcPr>
            <w:tcW w:w="960" w:type="dxa"/>
            <w:tcBorders>
              <w:top w:val="nil"/>
              <w:left w:val="nil"/>
              <w:bottom w:val="single" w:sz="4" w:space="0" w:color="auto"/>
              <w:right w:val="single" w:sz="4" w:space="0" w:color="auto"/>
            </w:tcBorders>
            <w:shd w:val="clear" w:color="auto" w:fill="auto"/>
            <w:noWrap/>
            <w:vAlign w:val="bottom"/>
            <w:hideMark/>
          </w:tcPr>
          <w:p w14:paraId="0BE71BCA"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0.074</w:t>
            </w:r>
          </w:p>
        </w:tc>
        <w:tc>
          <w:tcPr>
            <w:tcW w:w="960" w:type="dxa"/>
            <w:tcBorders>
              <w:top w:val="nil"/>
              <w:left w:val="nil"/>
              <w:bottom w:val="single" w:sz="4" w:space="0" w:color="auto"/>
              <w:right w:val="single" w:sz="4" w:space="0" w:color="auto"/>
            </w:tcBorders>
            <w:shd w:val="clear" w:color="auto" w:fill="auto"/>
            <w:noWrap/>
            <w:vAlign w:val="bottom"/>
            <w:hideMark/>
          </w:tcPr>
          <w:p w14:paraId="3C21BF3E"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0.926</w:t>
            </w:r>
          </w:p>
        </w:tc>
        <w:tc>
          <w:tcPr>
            <w:tcW w:w="960" w:type="dxa"/>
            <w:tcBorders>
              <w:top w:val="nil"/>
              <w:left w:val="nil"/>
              <w:bottom w:val="single" w:sz="4" w:space="0" w:color="auto"/>
              <w:right w:val="single" w:sz="4" w:space="0" w:color="auto"/>
            </w:tcBorders>
            <w:shd w:val="clear" w:color="auto" w:fill="auto"/>
            <w:noWrap/>
            <w:vAlign w:val="bottom"/>
            <w:hideMark/>
          </w:tcPr>
          <w:p w14:paraId="75B28377"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0.155</w:t>
            </w:r>
          </w:p>
        </w:tc>
        <w:tc>
          <w:tcPr>
            <w:tcW w:w="960" w:type="dxa"/>
            <w:tcBorders>
              <w:top w:val="nil"/>
              <w:left w:val="nil"/>
              <w:bottom w:val="single" w:sz="4" w:space="0" w:color="auto"/>
              <w:right w:val="single" w:sz="4" w:space="0" w:color="auto"/>
            </w:tcBorders>
            <w:shd w:val="clear" w:color="auto" w:fill="auto"/>
            <w:noWrap/>
            <w:vAlign w:val="bottom"/>
            <w:hideMark/>
          </w:tcPr>
          <w:p w14:paraId="5C6A532E"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0.845</w:t>
            </w:r>
          </w:p>
        </w:tc>
      </w:tr>
      <w:tr w:rsidR="004730B7" w:rsidRPr="004730B7" w14:paraId="69C31C70" w14:textId="77777777" w:rsidTr="004730B7">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5E913DDF"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SE-N_22</w:t>
            </w:r>
          </w:p>
        </w:tc>
        <w:tc>
          <w:tcPr>
            <w:tcW w:w="3660" w:type="dxa"/>
            <w:tcBorders>
              <w:top w:val="nil"/>
              <w:left w:val="nil"/>
              <w:bottom w:val="single" w:sz="4" w:space="0" w:color="auto"/>
              <w:right w:val="single" w:sz="4" w:space="0" w:color="auto"/>
            </w:tcBorders>
            <w:shd w:val="clear" w:color="auto" w:fill="auto"/>
            <w:noWrap/>
            <w:vAlign w:val="bottom"/>
            <w:hideMark/>
          </w:tcPr>
          <w:p w14:paraId="04FF7D71"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Don Goyo</w:t>
            </w:r>
          </w:p>
        </w:tc>
        <w:tc>
          <w:tcPr>
            <w:tcW w:w="960" w:type="dxa"/>
            <w:tcBorders>
              <w:top w:val="nil"/>
              <w:left w:val="nil"/>
              <w:bottom w:val="single" w:sz="4" w:space="0" w:color="auto"/>
              <w:right w:val="single" w:sz="4" w:space="0" w:color="auto"/>
            </w:tcBorders>
            <w:shd w:val="clear" w:color="auto" w:fill="auto"/>
            <w:noWrap/>
            <w:vAlign w:val="bottom"/>
            <w:hideMark/>
          </w:tcPr>
          <w:p w14:paraId="587BFAF7"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2757C84C"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1.000</w:t>
            </w:r>
          </w:p>
        </w:tc>
        <w:tc>
          <w:tcPr>
            <w:tcW w:w="960" w:type="dxa"/>
            <w:tcBorders>
              <w:top w:val="nil"/>
              <w:left w:val="nil"/>
              <w:bottom w:val="single" w:sz="4" w:space="0" w:color="auto"/>
              <w:right w:val="single" w:sz="4" w:space="0" w:color="auto"/>
            </w:tcBorders>
            <w:shd w:val="clear" w:color="auto" w:fill="auto"/>
            <w:noWrap/>
            <w:vAlign w:val="bottom"/>
            <w:hideMark/>
          </w:tcPr>
          <w:p w14:paraId="6DABDB08"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74FEB06C"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1.000</w:t>
            </w:r>
          </w:p>
        </w:tc>
      </w:tr>
      <w:tr w:rsidR="004730B7" w:rsidRPr="004730B7" w14:paraId="26470CD3" w14:textId="77777777" w:rsidTr="004730B7">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7D26E29B"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SE-N_23</w:t>
            </w:r>
          </w:p>
        </w:tc>
        <w:tc>
          <w:tcPr>
            <w:tcW w:w="3660" w:type="dxa"/>
            <w:tcBorders>
              <w:top w:val="nil"/>
              <w:left w:val="nil"/>
              <w:bottom w:val="single" w:sz="4" w:space="0" w:color="auto"/>
              <w:right w:val="single" w:sz="4" w:space="0" w:color="auto"/>
            </w:tcBorders>
            <w:shd w:val="clear" w:color="auto" w:fill="auto"/>
            <w:noWrap/>
            <w:vAlign w:val="bottom"/>
            <w:hideMark/>
          </w:tcPr>
          <w:p w14:paraId="57D0400E"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Don Hector</w:t>
            </w:r>
          </w:p>
        </w:tc>
        <w:tc>
          <w:tcPr>
            <w:tcW w:w="960" w:type="dxa"/>
            <w:tcBorders>
              <w:top w:val="nil"/>
              <w:left w:val="nil"/>
              <w:bottom w:val="single" w:sz="4" w:space="0" w:color="auto"/>
              <w:right w:val="single" w:sz="4" w:space="0" w:color="auto"/>
            </w:tcBorders>
            <w:shd w:val="clear" w:color="auto" w:fill="auto"/>
            <w:noWrap/>
            <w:vAlign w:val="bottom"/>
            <w:hideMark/>
          </w:tcPr>
          <w:p w14:paraId="6B363A91"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0.354</w:t>
            </w:r>
          </w:p>
        </w:tc>
        <w:tc>
          <w:tcPr>
            <w:tcW w:w="960" w:type="dxa"/>
            <w:tcBorders>
              <w:top w:val="nil"/>
              <w:left w:val="nil"/>
              <w:bottom w:val="single" w:sz="4" w:space="0" w:color="auto"/>
              <w:right w:val="single" w:sz="4" w:space="0" w:color="auto"/>
            </w:tcBorders>
            <w:shd w:val="clear" w:color="auto" w:fill="auto"/>
            <w:noWrap/>
            <w:vAlign w:val="bottom"/>
            <w:hideMark/>
          </w:tcPr>
          <w:p w14:paraId="1A71B295"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0.646</w:t>
            </w:r>
          </w:p>
        </w:tc>
        <w:tc>
          <w:tcPr>
            <w:tcW w:w="960" w:type="dxa"/>
            <w:tcBorders>
              <w:top w:val="nil"/>
              <w:left w:val="nil"/>
              <w:bottom w:val="single" w:sz="4" w:space="0" w:color="auto"/>
              <w:right w:val="single" w:sz="4" w:space="0" w:color="auto"/>
            </w:tcBorders>
            <w:shd w:val="clear" w:color="auto" w:fill="auto"/>
            <w:noWrap/>
            <w:vAlign w:val="bottom"/>
            <w:hideMark/>
          </w:tcPr>
          <w:p w14:paraId="16DCB2CE"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0.452</w:t>
            </w:r>
          </w:p>
        </w:tc>
        <w:tc>
          <w:tcPr>
            <w:tcW w:w="960" w:type="dxa"/>
            <w:tcBorders>
              <w:top w:val="nil"/>
              <w:left w:val="nil"/>
              <w:bottom w:val="single" w:sz="4" w:space="0" w:color="auto"/>
              <w:right w:val="single" w:sz="4" w:space="0" w:color="auto"/>
            </w:tcBorders>
            <w:shd w:val="clear" w:color="auto" w:fill="auto"/>
            <w:noWrap/>
            <w:vAlign w:val="bottom"/>
            <w:hideMark/>
          </w:tcPr>
          <w:p w14:paraId="2BC456EA"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0.548</w:t>
            </w:r>
          </w:p>
        </w:tc>
      </w:tr>
      <w:tr w:rsidR="004730B7" w:rsidRPr="004730B7" w14:paraId="77FADCF6" w14:textId="77777777" w:rsidTr="004730B7">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0EC3CEE0"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SE-N_24</w:t>
            </w:r>
          </w:p>
        </w:tc>
        <w:tc>
          <w:tcPr>
            <w:tcW w:w="3660" w:type="dxa"/>
            <w:tcBorders>
              <w:top w:val="nil"/>
              <w:left w:val="nil"/>
              <w:bottom w:val="single" w:sz="4" w:space="0" w:color="auto"/>
              <w:right w:val="single" w:sz="4" w:space="0" w:color="auto"/>
            </w:tcBorders>
            <w:shd w:val="clear" w:color="auto" w:fill="auto"/>
            <w:noWrap/>
            <w:vAlign w:val="bottom"/>
            <w:hideMark/>
          </w:tcPr>
          <w:p w14:paraId="08E42126"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Duqueco</w:t>
            </w:r>
          </w:p>
        </w:tc>
        <w:tc>
          <w:tcPr>
            <w:tcW w:w="960" w:type="dxa"/>
            <w:tcBorders>
              <w:top w:val="nil"/>
              <w:left w:val="nil"/>
              <w:bottom w:val="single" w:sz="4" w:space="0" w:color="auto"/>
              <w:right w:val="single" w:sz="4" w:space="0" w:color="auto"/>
            </w:tcBorders>
            <w:shd w:val="clear" w:color="auto" w:fill="auto"/>
            <w:noWrap/>
            <w:vAlign w:val="bottom"/>
            <w:hideMark/>
          </w:tcPr>
          <w:p w14:paraId="32D86401"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0.128</w:t>
            </w:r>
          </w:p>
        </w:tc>
        <w:tc>
          <w:tcPr>
            <w:tcW w:w="960" w:type="dxa"/>
            <w:tcBorders>
              <w:top w:val="nil"/>
              <w:left w:val="nil"/>
              <w:bottom w:val="single" w:sz="4" w:space="0" w:color="auto"/>
              <w:right w:val="single" w:sz="4" w:space="0" w:color="auto"/>
            </w:tcBorders>
            <w:shd w:val="clear" w:color="auto" w:fill="auto"/>
            <w:noWrap/>
            <w:vAlign w:val="bottom"/>
            <w:hideMark/>
          </w:tcPr>
          <w:p w14:paraId="328152DB"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0.872</w:t>
            </w:r>
          </w:p>
        </w:tc>
        <w:tc>
          <w:tcPr>
            <w:tcW w:w="960" w:type="dxa"/>
            <w:tcBorders>
              <w:top w:val="nil"/>
              <w:left w:val="nil"/>
              <w:bottom w:val="single" w:sz="4" w:space="0" w:color="auto"/>
              <w:right w:val="single" w:sz="4" w:space="0" w:color="auto"/>
            </w:tcBorders>
            <w:shd w:val="clear" w:color="auto" w:fill="auto"/>
            <w:noWrap/>
            <w:vAlign w:val="bottom"/>
            <w:hideMark/>
          </w:tcPr>
          <w:p w14:paraId="265462E4"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0.180</w:t>
            </w:r>
          </w:p>
        </w:tc>
        <w:tc>
          <w:tcPr>
            <w:tcW w:w="960" w:type="dxa"/>
            <w:tcBorders>
              <w:top w:val="nil"/>
              <w:left w:val="nil"/>
              <w:bottom w:val="single" w:sz="4" w:space="0" w:color="auto"/>
              <w:right w:val="single" w:sz="4" w:space="0" w:color="auto"/>
            </w:tcBorders>
            <w:shd w:val="clear" w:color="auto" w:fill="auto"/>
            <w:noWrap/>
            <w:vAlign w:val="bottom"/>
            <w:hideMark/>
          </w:tcPr>
          <w:p w14:paraId="0E629BAC"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0.820</w:t>
            </w:r>
          </w:p>
        </w:tc>
      </w:tr>
      <w:tr w:rsidR="004730B7" w:rsidRPr="004730B7" w14:paraId="12335889" w14:textId="77777777" w:rsidTr="004730B7">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6DFBD482"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SE-N_25</w:t>
            </w:r>
          </w:p>
        </w:tc>
        <w:tc>
          <w:tcPr>
            <w:tcW w:w="3660" w:type="dxa"/>
            <w:tcBorders>
              <w:top w:val="nil"/>
              <w:left w:val="nil"/>
              <w:bottom w:val="single" w:sz="4" w:space="0" w:color="auto"/>
              <w:right w:val="single" w:sz="4" w:space="0" w:color="auto"/>
            </w:tcBorders>
            <w:shd w:val="clear" w:color="auto" w:fill="auto"/>
            <w:noWrap/>
            <w:vAlign w:val="bottom"/>
            <w:hideMark/>
          </w:tcPr>
          <w:p w14:paraId="711464E7"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El Cobre</w:t>
            </w:r>
          </w:p>
        </w:tc>
        <w:tc>
          <w:tcPr>
            <w:tcW w:w="960" w:type="dxa"/>
            <w:tcBorders>
              <w:top w:val="nil"/>
              <w:left w:val="nil"/>
              <w:bottom w:val="single" w:sz="4" w:space="0" w:color="auto"/>
              <w:right w:val="single" w:sz="4" w:space="0" w:color="auto"/>
            </w:tcBorders>
            <w:shd w:val="clear" w:color="auto" w:fill="auto"/>
            <w:noWrap/>
            <w:vAlign w:val="bottom"/>
            <w:hideMark/>
          </w:tcPr>
          <w:p w14:paraId="366FDE7D"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0.353</w:t>
            </w:r>
          </w:p>
        </w:tc>
        <w:tc>
          <w:tcPr>
            <w:tcW w:w="960" w:type="dxa"/>
            <w:tcBorders>
              <w:top w:val="nil"/>
              <w:left w:val="nil"/>
              <w:bottom w:val="single" w:sz="4" w:space="0" w:color="auto"/>
              <w:right w:val="single" w:sz="4" w:space="0" w:color="auto"/>
            </w:tcBorders>
            <w:shd w:val="clear" w:color="auto" w:fill="auto"/>
            <w:noWrap/>
            <w:vAlign w:val="bottom"/>
            <w:hideMark/>
          </w:tcPr>
          <w:p w14:paraId="7CB742E3"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0.647</w:t>
            </w:r>
          </w:p>
        </w:tc>
        <w:tc>
          <w:tcPr>
            <w:tcW w:w="960" w:type="dxa"/>
            <w:tcBorders>
              <w:top w:val="nil"/>
              <w:left w:val="nil"/>
              <w:bottom w:val="single" w:sz="4" w:space="0" w:color="auto"/>
              <w:right w:val="single" w:sz="4" w:space="0" w:color="auto"/>
            </w:tcBorders>
            <w:shd w:val="clear" w:color="auto" w:fill="auto"/>
            <w:noWrap/>
            <w:vAlign w:val="bottom"/>
            <w:hideMark/>
          </w:tcPr>
          <w:p w14:paraId="1D8E0ABC"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0.408</w:t>
            </w:r>
          </w:p>
        </w:tc>
        <w:tc>
          <w:tcPr>
            <w:tcW w:w="960" w:type="dxa"/>
            <w:tcBorders>
              <w:top w:val="nil"/>
              <w:left w:val="nil"/>
              <w:bottom w:val="single" w:sz="4" w:space="0" w:color="auto"/>
              <w:right w:val="single" w:sz="4" w:space="0" w:color="auto"/>
            </w:tcBorders>
            <w:shd w:val="clear" w:color="auto" w:fill="auto"/>
            <w:noWrap/>
            <w:vAlign w:val="bottom"/>
            <w:hideMark/>
          </w:tcPr>
          <w:p w14:paraId="6D3E82F8"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0.592</w:t>
            </w:r>
          </w:p>
        </w:tc>
      </w:tr>
      <w:tr w:rsidR="004730B7" w:rsidRPr="004730B7" w14:paraId="7D7DCEB6" w14:textId="77777777" w:rsidTr="004730B7">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56D83D96"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SE-N_26</w:t>
            </w:r>
          </w:p>
        </w:tc>
        <w:tc>
          <w:tcPr>
            <w:tcW w:w="3660" w:type="dxa"/>
            <w:tcBorders>
              <w:top w:val="nil"/>
              <w:left w:val="nil"/>
              <w:bottom w:val="single" w:sz="4" w:space="0" w:color="auto"/>
              <w:right w:val="single" w:sz="4" w:space="0" w:color="auto"/>
            </w:tcBorders>
            <w:shd w:val="clear" w:color="auto" w:fill="auto"/>
            <w:noWrap/>
            <w:vAlign w:val="bottom"/>
            <w:hideMark/>
          </w:tcPr>
          <w:p w14:paraId="40BF77B6"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Encuentro</w:t>
            </w:r>
          </w:p>
        </w:tc>
        <w:tc>
          <w:tcPr>
            <w:tcW w:w="960" w:type="dxa"/>
            <w:tcBorders>
              <w:top w:val="nil"/>
              <w:left w:val="nil"/>
              <w:bottom w:val="single" w:sz="4" w:space="0" w:color="auto"/>
              <w:right w:val="single" w:sz="4" w:space="0" w:color="auto"/>
            </w:tcBorders>
            <w:shd w:val="clear" w:color="auto" w:fill="auto"/>
            <w:noWrap/>
            <w:vAlign w:val="bottom"/>
            <w:hideMark/>
          </w:tcPr>
          <w:p w14:paraId="0C606141"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0.562</w:t>
            </w:r>
          </w:p>
        </w:tc>
        <w:tc>
          <w:tcPr>
            <w:tcW w:w="960" w:type="dxa"/>
            <w:tcBorders>
              <w:top w:val="nil"/>
              <w:left w:val="nil"/>
              <w:bottom w:val="single" w:sz="4" w:space="0" w:color="auto"/>
              <w:right w:val="single" w:sz="4" w:space="0" w:color="auto"/>
            </w:tcBorders>
            <w:shd w:val="clear" w:color="auto" w:fill="auto"/>
            <w:noWrap/>
            <w:vAlign w:val="bottom"/>
            <w:hideMark/>
          </w:tcPr>
          <w:p w14:paraId="687FAFCF"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0.438</w:t>
            </w:r>
          </w:p>
        </w:tc>
        <w:tc>
          <w:tcPr>
            <w:tcW w:w="960" w:type="dxa"/>
            <w:tcBorders>
              <w:top w:val="nil"/>
              <w:left w:val="nil"/>
              <w:bottom w:val="single" w:sz="4" w:space="0" w:color="auto"/>
              <w:right w:val="single" w:sz="4" w:space="0" w:color="auto"/>
            </w:tcBorders>
            <w:shd w:val="clear" w:color="auto" w:fill="auto"/>
            <w:noWrap/>
            <w:vAlign w:val="bottom"/>
            <w:hideMark/>
          </w:tcPr>
          <w:p w14:paraId="0588970F"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0.771</w:t>
            </w:r>
          </w:p>
        </w:tc>
        <w:tc>
          <w:tcPr>
            <w:tcW w:w="960" w:type="dxa"/>
            <w:tcBorders>
              <w:top w:val="nil"/>
              <w:left w:val="nil"/>
              <w:bottom w:val="single" w:sz="4" w:space="0" w:color="auto"/>
              <w:right w:val="single" w:sz="4" w:space="0" w:color="auto"/>
            </w:tcBorders>
            <w:shd w:val="clear" w:color="auto" w:fill="auto"/>
            <w:noWrap/>
            <w:vAlign w:val="bottom"/>
            <w:hideMark/>
          </w:tcPr>
          <w:p w14:paraId="6417BB6A"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0.229</w:t>
            </w:r>
          </w:p>
        </w:tc>
      </w:tr>
      <w:tr w:rsidR="004730B7" w:rsidRPr="004730B7" w14:paraId="2DCCF04E" w14:textId="77777777" w:rsidTr="004730B7">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5E7009F6"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SE-N_27</w:t>
            </w:r>
          </w:p>
        </w:tc>
        <w:tc>
          <w:tcPr>
            <w:tcW w:w="3660" w:type="dxa"/>
            <w:tcBorders>
              <w:top w:val="nil"/>
              <w:left w:val="nil"/>
              <w:bottom w:val="single" w:sz="4" w:space="0" w:color="auto"/>
              <w:right w:val="single" w:sz="4" w:space="0" w:color="auto"/>
            </w:tcBorders>
            <w:shd w:val="clear" w:color="auto" w:fill="auto"/>
            <w:noWrap/>
            <w:vAlign w:val="bottom"/>
            <w:hideMark/>
          </w:tcPr>
          <w:p w14:paraId="0B3B0726"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Esperanza SING</w:t>
            </w:r>
          </w:p>
        </w:tc>
        <w:tc>
          <w:tcPr>
            <w:tcW w:w="960" w:type="dxa"/>
            <w:tcBorders>
              <w:top w:val="nil"/>
              <w:left w:val="nil"/>
              <w:bottom w:val="single" w:sz="4" w:space="0" w:color="auto"/>
              <w:right w:val="single" w:sz="4" w:space="0" w:color="auto"/>
            </w:tcBorders>
            <w:shd w:val="clear" w:color="auto" w:fill="auto"/>
            <w:noWrap/>
            <w:vAlign w:val="bottom"/>
            <w:hideMark/>
          </w:tcPr>
          <w:p w14:paraId="728DFC0B"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4C0B1786"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1.000</w:t>
            </w:r>
          </w:p>
        </w:tc>
        <w:tc>
          <w:tcPr>
            <w:tcW w:w="960" w:type="dxa"/>
            <w:tcBorders>
              <w:top w:val="nil"/>
              <w:left w:val="nil"/>
              <w:bottom w:val="single" w:sz="4" w:space="0" w:color="auto"/>
              <w:right w:val="single" w:sz="4" w:space="0" w:color="auto"/>
            </w:tcBorders>
            <w:shd w:val="clear" w:color="auto" w:fill="auto"/>
            <w:noWrap/>
            <w:vAlign w:val="bottom"/>
            <w:hideMark/>
          </w:tcPr>
          <w:p w14:paraId="60924E50"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67D33CB6"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1.000</w:t>
            </w:r>
          </w:p>
        </w:tc>
      </w:tr>
      <w:tr w:rsidR="004730B7" w:rsidRPr="004730B7" w14:paraId="119D510C" w14:textId="77777777" w:rsidTr="004730B7">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2A2BA02D"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SE-N_28</w:t>
            </w:r>
          </w:p>
        </w:tc>
        <w:tc>
          <w:tcPr>
            <w:tcW w:w="3660" w:type="dxa"/>
            <w:tcBorders>
              <w:top w:val="nil"/>
              <w:left w:val="nil"/>
              <w:bottom w:val="single" w:sz="4" w:space="0" w:color="auto"/>
              <w:right w:val="single" w:sz="4" w:space="0" w:color="auto"/>
            </w:tcBorders>
            <w:shd w:val="clear" w:color="auto" w:fill="auto"/>
            <w:noWrap/>
            <w:vAlign w:val="bottom"/>
            <w:hideMark/>
          </w:tcPr>
          <w:p w14:paraId="66ACAEE5"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Hualpen</w:t>
            </w:r>
          </w:p>
        </w:tc>
        <w:tc>
          <w:tcPr>
            <w:tcW w:w="960" w:type="dxa"/>
            <w:tcBorders>
              <w:top w:val="nil"/>
              <w:left w:val="nil"/>
              <w:bottom w:val="single" w:sz="4" w:space="0" w:color="auto"/>
              <w:right w:val="single" w:sz="4" w:space="0" w:color="auto"/>
            </w:tcBorders>
            <w:shd w:val="clear" w:color="auto" w:fill="auto"/>
            <w:noWrap/>
            <w:vAlign w:val="bottom"/>
            <w:hideMark/>
          </w:tcPr>
          <w:p w14:paraId="09BE6B26"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0.558</w:t>
            </w:r>
          </w:p>
        </w:tc>
        <w:tc>
          <w:tcPr>
            <w:tcW w:w="960" w:type="dxa"/>
            <w:tcBorders>
              <w:top w:val="nil"/>
              <w:left w:val="nil"/>
              <w:bottom w:val="single" w:sz="4" w:space="0" w:color="auto"/>
              <w:right w:val="single" w:sz="4" w:space="0" w:color="auto"/>
            </w:tcBorders>
            <w:shd w:val="clear" w:color="auto" w:fill="auto"/>
            <w:noWrap/>
            <w:vAlign w:val="bottom"/>
            <w:hideMark/>
          </w:tcPr>
          <w:p w14:paraId="6921501E"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0.442</w:t>
            </w:r>
          </w:p>
        </w:tc>
        <w:tc>
          <w:tcPr>
            <w:tcW w:w="960" w:type="dxa"/>
            <w:tcBorders>
              <w:top w:val="nil"/>
              <w:left w:val="nil"/>
              <w:bottom w:val="single" w:sz="4" w:space="0" w:color="auto"/>
              <w:right w:val="single" w:sz="4" w:space="0" w:color="auto"/>
            </w:tcBorders>
            <w:shd w:val="clear" w:color="auto" w:fill="auto"/>
            <w:noWrap/>
            <w:vAlign w:val="bottom"/>
            <w:hideMark/>
          </w:tcPr>
          <w:p w14:paraId="3E0B7B65"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0.783</w:t>
            </w:r>
          </w:p>
        </w:tc>
        <w:tc>
          <w:tcPr>
            <w:tcW w:w="960" w:type="dxa"/>
            <w:tcBorders>
              <w:top w:val="nil"/>
              <w:left w:val="nil"/>
              <w:bottom w:val="single" w:sz="4" w:space="0" w:color="auto"/>
              <w:right w:val="single" w:sz="4" w:space="0" w:color="auto"/>
            </w:tcBorders>
            <w:shd w:val="clear" w:color="auto" w:fill="auto"/>
            <w:noWrap/>
            <w:vAlign w:val="bottom"/>
            <w:hideMark/>
          </w:tcPr>
          <w:p w14:paraId="5989AC21"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0.217</w:t>
            </w:r>
          </w:p>
        </w:tc>
      </w:tr>
      <w:tr w:rsidR="004730B7" w:rsidRPr="004730B7" w14:paraId="46D5E38A" w14:textId="77777777" w:rsidTr="004730B7">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5B3AF1C7"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SE-N_29</w:t>
            </w:r>
          </w:p>
        </w:tc>
        <w:tc>
          <w:tcPr>
            <w:tcW w:w="3660" w:type="dxa"/>
            <w:tcBorders>
              <w:top w:val="nil"/>
              <w:left w:val="nil"/>
              <w:bottom w:val="single" w:sz="4" w:space="0" w:color="auto"/>
              <w:right w:val="single" w:sz="4" w:space="0" w:color="auto"/>
            </w:tcBorders>
            <w:shd w:val="clear" w:color="auto" w:fill="auto"/>
            <w:noWrap/>
            <w:vAlign w:val="bottom"/>
            <w:hideMark/>
          </w:tcPr>
          <w:p w14:paraId="7F5A56E0"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Itahue</w:t>
            </w:r>
          </w:p>
        </w:tc>
        <w:tc>
          <w:tcPr>
            <w:tcW w:w="960" w:type="dxa"/>
            <w:tcBorders>
              <w:top w:val="nil"/>
              <w:left w:val="nil"/>
              <w:bottom w:val="single" w:sz="4" w:space="0" w:color="auto"/>
              <w:right w:val="single" w:sz="4" w:space="0" w:color="auto"/>
            </w:tcBorders>
            <w:shd w:val="clear" w:color="auto" w:fill="auto"/>
            <w:noWrap/>
            <w:vAlign w:val="bottom"/>
            <w:hideMark/>
          </w:tcPr>
          <w:p w14:paraId="47C3CBAE"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0.200</w:t>
            </w:r>
          </w:p>
        </w:tc>
        <w:tc>
          <w:tcPr>
            <w:tcW w:w="960" w:type="dxa"/>
            <w:tcBorders>
              <w:top w:val="nil"/>
              <w:left w:val="nil"/>
              <w:bottom w:val="single" w:sz="4" w:space="0" w:color="auto"/>
              <w:right w:val="single" w:sz="4" w:space="0" w:color="auto"/>
            </w:tcBorders>
            <w:shd w:val="clear" w:color="auto" w:fill="auto"/>
            <w:noWrap/>
            <w:vAlign w:val="bottom"/>
            <w:hideMark/>
          </w:tcPr>
          <w:p w14:paraId="3D69B93D"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0.800</w:t>
            </w:r>
          </w:p>
        </w:tc>
        <w:tc>
          <w:tcPr>
            <w:tcW w:w="960" w:type="dxa"/>
            <w:tcBorders>
              <w:top w:val="nil"/>
              <w:left w:val="nil"/>
              <w:bottom w:val="single" w:sz="4" w:space="0" w:color="auto"/>
              <w:right w:val="single" w:sz="4" w:space="0" w:color="auto"/>
            </w:tcBorders>
            <w:shd w:val="clear" w:color="auto" w:fill="auto"/>
            <w:noWrap/>
            <w:vAlign w:val="bottom"/>
            <w:hideMark/>
          </w:tcPr>
          <w:p w14:paraId="1BF429A3"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0.398</w:t>
            </w:r>
          </w:p>
        </w:tc>
        <w:tc>
          <w:tcPr>
            <w:tcW w:w="960" w:type="dxa"/>
            <w:tcBorders>
              <w:top w:val="nil"/>
              <w:left w:val="nil"/>
              <w:bottom w:val="single" w:sz="4" w:space="0" w:color="auto"/>
              <w:right w:val="single" w:sz="4" w:space="0" w:color="auto"/>
            </w:tcBorders>
            <w:shd w:val="clear" w:color="auto" w:fill="auto"/>
            <w:noWrap/>
            <w:vAlign w:val="bottom"/>
            <w:hideMark/>
          </w:tcPr>
          <w:p w14:paraId="00EE08D7"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0.602</w:t>
            </w:r>
          </w:p>
        </w:tc>
      </w:tr>
      <w:tr w:rsidR="004730B7" w:rsidRPr="004730B7" w14:paraId="066E60F0" w14:textId="77777777" w:rsidTr="004730B7">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16871142"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SE-N_30</w:t>
            </w:r>
          </w:p>
        </w:tc>
        <w:tc>
          <w:tcPr>
            <w:tcW w:w="3660" w:type="dxa"/>
            <w:tcBorders>
              <w:top w:val="nil"/>
              <w:left w:val="nil"/>
              <w:bottom w:val="single" w:sz="4" w:space="0" w:color="auto"/>
              <w:right w:val="single" w:sz="4" w:space="0" w:color="auto"/>
            </w:tcBorders>
            <w:shd w:val="clear" w:color="auto" w:fill="auto"/>
            <w:noWrap/>
            <w:vAlign w:val="bottom"/>
            <w:hideMark/>
          </w:tcPr>
          <w:p w14:paraId="56ADD409"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Kapatur</w:t>
            </w:r>
          </w:p>
        </w:tc>
        <w:tc>
          <w:tcPr>
            <w:tcW w:w="960" w:type="dxa"/>
            <w:tcBorders>
              <w:top w:val="nil"/>
              <w:left w:val="nil"/>
              <w:bottom w:val="single" w:sz="4" w:space="0" w:color="auto"/>
              <w:right w:val="single" w:sz="4" w:space="0" w:color="auto"/>
            </w:tcBorders>
            <w:shd w:val="clear" w:color="auto" w:fill="auto"/>
            <w:noWrap/>
            <w:vAlign w:val="bottom"/>
            <w:hideMark/>
          </w:tcPr>
          <w:p w14:paraId="65AC4CE9"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0.152</w:t>
            </w:r>
          </w:p>
        </w:tc>
        <w:tc>
          <w:tcPr>
            <w:tcW w:w="960" w:type="dxa"/>
            <w:tcBorders>
              <w:top w:val="nil"/>
              <w:left w:val="nil"/>
              <w:bottom w:val="single" w:sz="4" w:space="0" w:color="auto"/>
              <w:right w:val="single" w:sz="4" w:space="0" w:color="auto"/>
            </w:tcBorders>
            <w:shd w:val="clear" w:color="auto" w:fill="auto"/>
            <w:noWrap/>
            <w:vAlign w:val="bottom"/>
            <w:hideMark/>
          </w:tcPr>
          <w:p w14:paraId="1E0F7936"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0.848</w:t>
            </w:r>
          </w:p>
        </w:tc>
        <w:tc>
          <w:tcPr>
            <w:tcW w:w="960" w:type="dxa"/>
            <w:tcBorders>
              <w:top w:val="nil"/>
              <w:left w:val="nil"/>
              <w:bottom w:val="single" w:sz="4" w:space="0" w:color="auto"/>
              <w:right w:val="single" w:sz="4" w:space="0" w:color="auto"/>
            </w:tcBorders>
            <w:shd w:val="clear" w:color="auto" w:fill="auto"/>
            <w:noWrap/>
            <w:vAlign w:val="bottom"/>
            <w:hideMark/>
          </w:tcPr>
          <w:p w14:paraId="52A9DC0A"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0.217</w:t>
            </w:r>
          </w:p>
        </w:tc>
        <w:tc>
          <w:tcPr>
            <w:tcW w:w="960" w:type="dxa"/>
            <w:tcBorders>
              <w:top w:val="nil"/>
              <w:left w:val="nil"/>
              <w:bottom w:val="single" w:sz="4" w:space="0" w:color="auto"/>
              <w:right w:val="single" w:sz="4" w:space="0" w:color="auto"/>
            </w:tcBorders>
            <w:shd w:val="clear" w:color="auto" w:fill="auto"/>
            <w:noWrap/>
            <w:vAlign w:val="bottom"/>
            <w:hideMark/>
          </w:tcPr>
          <w:p w14:paraId="596B5A27"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0.783</w:t>
            </w:r>
          </w:p>
        </w:tc>
      </w:tr>
      <w:tr w:rsidR="004730B7" w:rsidRPr="004730B7" w14:paraId="3F5B2D98" w14:textId="77777777" w:rsidTr="004730B7">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538997B3"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SE-N_31</w:t>
            </w:r>
          </w:p>
        </w:tc>
        <w:tc>
          <w:tcPr>
            <w:tcW w:w="3660" w:type="dxa"/>
            <w:tcBorders>
              <w:top w:val="nil"/>
              <w:left w:val="nil"/>
              <w:bottom w:val="single" w:sz="4" w:space="0" w:color="auto"/>
              <w:right w:val="single" w:sz="4" w:space="0" w:color="auto"/>
            </w:tcBorders>
            <w:shd w:val="clear" w:color="auto" w:fill="auto"/>
            <w:noWrap/>
            <w:vAlign w:val="bottom"/>
            <w:hideMark/>
          </w:tcPr>
          <w:p w14:paraId="608D96ED"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La Cebada</w:t>
            </w:r>
          </w:p>
        </w:tc>
        <w:tc>
          <w:tcPr>
            <w:tcW w:w="960" w:type="dxa"/>
            <w:tcBorders>
              <w:top w:val="nil"/>
              <w:left w:val="nil"/>
              <w:bottom w:val="single" w:sz="4" w:space="0" w:color="auto"/>
              <w:right w:val="single" w:sz="4" w:space="0" w:color="auto"/>
            </w:tcBorders>
            <w:shd w:val="clear" w:color="auto" w:fill="auto"/>
            <w:noWrap/>
            <w:vAlign w:val="bottom"/>
            <w:hideMark/>
          </w:tcPr>
          <w:p w14:paraId="32E3E754"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6C2E4433"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1.000</w:t>
            </w:r>
          </w:p>
        </w:tc>
        <w:tc>
          <w:tcPr>
            <w:tcW w:w="960" w:type="dxa"/>
            <w:tcBorders>
              <w:top w:val="nil"/>
              <w:left w:val="nil"/>
              <w:bottom w:val="single" w:sz="4" w:space="0" w:color="auto"/>
              <w:right w:val="single" w:sz="4" w:space="0" w:color="auto"/>
            </w:tcBorders>
            <w:shd w:val="clear" w:color="auto" w:fill="auto"/>
            <w:noWrap/>
            <w:vAlign w:val="bottom"/>
            <w:hideMark/>
          </w:tcPr>
          <w:p w14:paraId="45FB4BB1"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5493A62F"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1.000</w:t>
            </w:r>
          </w:p>
        </w:tc>
      </w:tr>
      <w:tr w:rsidR="004730B7" w:rsidRPr="004730B7" w14:paraId="4ECB7B01" w14:textId="77777777" w:rsidTr="004730B7">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27F0F5DD"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SE-N_32</w:t>
            </w:r>
          </w:p>
        </w:tc>
        <w:tc>
          <w:tcPr>
            <w:tcW w:w="3660" w:type="dxa"/>
            <w:tcBorders>
              <w:top w:val="nil"/>
              <w:left w:val="nil"/>
              <w:bottom w:val="single" w:sz="4" w:space="0" w:color="auto"/>
              <w:right w:val="single" w:sz="4" w:space="0" w:color="auto"/>
            </w:tcBorders>
            <w:shd w:val="clear" w:color="auto" w:fill="auto"/>
            <w:noWrap/>
            <w:vAlign w:val="bottom"/>
            <w:hideMark/>
          </w:tcPr>
          <w:p w14:paraId="6214EA5D"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Laberinto</w:t>
            </w:r>
          </w:p>
        </w:tc>
        <w:tc>
          <w:tcPr>
            <w:tcW w:w="960" w:type="dxa"/>
            <w:tcBorders>
              <w:top w:val="nil"/>
              <w:left w:val="nil"/>
              <w:bottom w:val="single" w:sz="4" w:space="0" w:color="auto"/>
              <w:right w:val="single" w:sz="4" w:space="0" w:color="auto"/>
            </w:tcBorders>
            <w:shd w:val="clear" w:color="auto" w:fill="auto"/>
            <w:noWrap/>
            <w:vAlign w:val="bottom"/>
            <w:hideMark/>
          </w:tcPr>
          <w:p w14:paraId="576FCBC6"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0.431</w:t>
            </w:r>
          </w:p>
        </w:tc>
        <w:tc>
          <w:tcPr>
            <w:tcW w:w="960" w:type="dxa"/>
            <w:tcBorders>
              <w:top w:val="nil"/>
              <w:left w:val="nil"/>
              <w:bottom w:val="single" w:sz="4" w:space="0" w:color="auto"/>
              <w:right w:val="single" w:sz="4" w:space="0" w:color="auto"/>
            </w:tcBorders>
            <w:shd w:val="clear" w:color="auto" w:fill="auto"/>
            <w:noWrap/>
            <w:vAlign w:val="bottom"/>
            <w:hideMark/>
          </w:tcPr>
          <w:p w14:paraId="76E94A89"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0.569</w:t>
            </w:r>
          </w:p>
        </w:tc>
        <w:tc>
          <w:tcPr>
            <w:tcW w:w="960" w:type="dxa"/>
            <w:tcBorders>
              <w:top w:val="nil"/>
              <w:left w:val="nil"/>
              <w:bottom w:val="single" w:sz="4" w:space="0" w:color="auto"/>
              <w:right w:val="single" w:sz="4" w:space="0" w:color="auto"/>
            </w:tcBorders>
            <w:shd w:val="clear" w:color="auto" w:fill="auto"/>
            <w:noWrap/>
            <w:vAlign w:val="bottom"/>
            <w:hideMark/>
          </w:tcPr>
          <w:p w14:paraId="6EDD6147"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0.539</w:t>
            </w:r>
          </w:p>
        </w:tc>
        <w:tc>
          <w:tcPr>
            <w:tcW w:w="960" w:type="dxa"/>
            <w:tcBorders>
              <w:top w:val="nil"/>
              <w:left w:val="nil"/>
              <w:bottom w:val="single" w:sz="4" w:space="0" w:color="auto"/>
              <w:right w:val="single" w:sz="4" w:space="0" w:color="auto"/>
            </w:tcBorders>
            <w:shd w:val="clear" w:color="auto" w:fill="auto"/>
            <w:noWrap/>
            <w:vAlign w:val="bottom"/>
            <w:hideMark/>
          </w:tcPr>
          <w:p w14:paraId="3DE9D635"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0.461</w:t>
            </w:r>
          </w:p>
        </w:tc>
      </w:tr>
      <w:tr w:rsidR="004730B7" w:rsidRPr="004730B7" w14:paraId="6B0EAE33" w14:textId="77777777" w:rsidTr="004730B7">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6F3AC7B4"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SE-N_33</w:t>
            </w:r>
          </w:p>
        </w:tc>
        <w:tc>
          <w:tcPr>
            <w:tcW w:w="3660" w:type="dxa"/>
            <w:tcBorders>
              <w:top w:val="nil"/>
              <w:left w:val="nil"/>
              <w:bottom w:val="single" w:sz="4" w:space="0" w:color="auto"/>
              <w:right w:val="single" w:sz="4" w:space="0" w:color="auto"/>
            </w:tcBorders>
            <w:shd w:val="clear" w:color="auto" w:fill="auto"/>
            <w:noWrap/>
            <w:vAlign w:val="bottom"/>
            <w:hideMark/>
          </w:tcPr>
          <w:p w14:paraId="3D0C2546"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Lagunas</w:t>
            </w:r>
          </w:p>
        </w:tc>
        <w:tc>
          <w:tcPr>
            <w:tcW w:w="960" w:type="dxa"/>
            <w:tcBorders>
              <w:top w:val="nil"/>
              <w:left w:val="nil"/>
              <w:bottom w:val="single" w:sz="4" w:space="0" w:color="auto"/>
              <w:right w:val="single" w:sz="4" w:space="0" w:color="auto"/>
            </w:tcBorders>
            <w:shd w:val="clear" w:color="auto" w:fill="auto"/>
            <w:noWrap/>
            <w:vAlign w:val="bottom"/>
            <w:hideMark/>
          </w:tcPr>
          <w:p w14:paraId="15FEC307"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0.270</w:t>
            </w:r>
          </w:p>
        </w:tc>
        <w:tc>
          <w:tcPr>
            <w:tcW w:w="960" w:type="dxa"/>
            <w:tcBorders>
              <w:top w:val="nil"/>
              <w:left w:val="nil"/>
              <w:bottom w:val="single" w:sz="4" w:space="0" w:color="auto"/>
              <w:right w:val="single" w:sz="4" w:space="0" w:color="auto"/>
            </w:tcBorders>
            <w:shd w:val="clear" w:color="auto" w:fill="auto"/>
            <w:noWrap/>
            <w:vAlign w:val="bottom"/>
            <w:hideMark/>
          </w:tcPr>
          <w:p w14:paraId="698C99CA"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0.730</w:t>
            </w:r>
          </w:p>
        </w:tc>
        <w:tc>
          <w:tcPr>
            <w:tcW w:w="960" w:type="dxa"/>
            <w:tcBorders>
              <w:top w:val="nil"/>
              <w:left w:val="nil"/>
              <w:bottom w:val="single" w:sz="4" w:space="0" w:color="auto"/>
              <w:right w:val="single" w:sz="4" w:space="0" w:color="auto"/>
            </w:tcBorders>
            <w:shd w:val="clear" w:color="auto" w:fill="auto"/>
            <w:noWrap/>
            <w:vAlign w:val="bottom"/>
            <w:hideMark/>
          </w:tcPr>
          <w:p w14:paraId="51F4C7B4"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0.436</w:t>
            </w:r>
          </w:p>
        </w:tc>
        <w:tc>
          <w:tcPr>
            <w:tcW w:w="960" w:type="dxa"/>
            <w:tcBorders>
              <w:top w:val="nil"/>
              <w:left w:val="nil"/>
              <w:bottom w:val="single" w:sz="4" w:space="0" w:color="auto"/>
              <w:right w:val="single" w:sz="4" w:space="0" w:color="auto"/>
            </w:tcBorders>
            <w:shd w:val="clear" w:color="auto" w:fill="auto"/>
            <w:noWrap/>
            <w:vAlign w:val="bottom"/>
            <w:hideMark/>
          </w:tcPr>
          <w:p w14:paraId="369E1EC1"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0.564</w:t>
            </w:r>
          </w:p>
        </w:tc>
      </w:tr>
      <w:tr w:rsidR="004730B7" w:rsidRPr="004730B7" w14:paraId="71514201" w14:textId="77777777" w:rsidTr="004730B7">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2D3DBD6F"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SE-N_34</w:t>
            </w:r>
          </w:p>
        </w:tc>
        <w:tc>
          <w:tcPr>
            <w:tcW w:w="3660" w:type="dxa"/>
            <w:tcBorders>
              <w:top w:val="nil"/>
              <w:left w:val="nil"/>
              <w:bottom w:val="single" w:sz="4" w:space="0" w:color="auto"/>
              <w:right w:val="single" w:sz="4" w:space="0" w:color="auto"/>
            </w:tcBorders>
            <w:shd w:val="clear" w:color="auto" w:fill="auto"/>
            <w:noWrap/>
            <w:vAlign w:val="bottom"/>
            <w:hideMark/>
          </w:tcPr>
          <w:p w14:paraId="34991C2C"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Lagunillas</w:t>
            </w:r>
          </w:p>
        </w:tc>
        <w:tc>
          <w:tcPr>
            <w:tcW w:w="960" w:type="dxa"/>
            <w:tcBorders>
              <w:top w:val="nil"/>
              <w:left w:val="nil"/>
              <w:bottom w:val="single" w:sz="4" w:space="0" w:color="auto"/>
              <w:right w:val="single" w:sz="4" w:space="0" w:color="auto"/>
            </w:tcBorders>
            <w:shd w:val="clear" w:color="auto" w:fill="auto"/>
            <w:noWrap/>
            <w:vAlign w:val="bottom"/>
            <w:hideMark/>
          </w:tcPr>
          <w:p w14:paraId="70DA9D72"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0.422</w:t>
            </w:r>
          </w:p>
        </w:tc>
        <w:tc>
          <w:tcPr>
            <w:tcW w:w="960" w:type="dxa"/>
            <w:tcBorders>
              <w:top w:val="nil"/>
              <w:left w:val="nil"/>
              <w:bottom w:val="single" w:sz="4" w:space="0" w:color="auto"/>
              <w:right w:val="single" w:sz="4" w:space="0" w:color="auto"/>
            </w:tcBorders>
            <w:shd w:val="clear" w:color="auto" w:fill="auto"/>
            <w:noWrap/>
            <w:vAlign w:val="bottom"/>
            <w:hideMark/>
          </w:tcPr>
          <w:p w14:paraId="0DD719F9"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0.578</w:t>
            </w:r>
          </w:p>
        </w:tc>
        <w:tc>
          <w:tcPr>
            <w:tcW w:w="960" w:type="dxa"/>
            <w:tcBorders>
              <w:top w:val="nil"/>
              <w:left w:val="nil"/>
              <w:bottom w:val="single" w:sz="4" w:space="0" w:color="auto"/>
              <w:right w:val="single" w:sz="4" w:space="0" w:color="auto"/>
            </w:tcBorders>
            <w:shd w:val="clear" w:color="auto" w:fill="auto"/>
            <w:noWrap/>
            <w:vAlign w:val="bottom"/>
            <w:hideMark/>
          </w:tcPr>
          <w:p w14:paraId="100C2D2B"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0.648</w:t>
            </w:r>
          </w:p>
        </w:tc>
        <w:tc>
          <w:tcPr>
            <w:tcW w:w="960" w:type="dxa"/>
            <w:tcBorders>
              <w:top w:val="nil"/>
              <w:left w:val="nil"/>
              <w:bottom w:val="single" w:sz="4" w:space="0" w:color="auto"/>
              <w:right w:val="single" w:sz="4" w:space="0" w:color="auto"/>
            </w:tcBorders>
            <w:shd w:val="clear" w:color="auto" w:fill="auto"/>
            <w:noWrap/>
            <w:vAlign w:val="bottom"/>
            <w:hideMark/>
          </w:tcPr>
          <w:p w14:paraId="3E2D7794"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0.352</w:t>
            </w:r>
          </w:p>
        </w:tc>
      </w:tr>
      <w:tr w:rsidR="004730B7" w:rsidRPr="004730B7" w14:paraId="012B11BD" w14:textId="77777777" w:rsidTr="004730B7">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555E0704"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SE-N_35</w:t>
            </w:r>
          </w:p>
        </w:tc>
        <w:tc>
          <w:tcPr>
            <w:tcW w:w="3660" w:type="dxa"/>
            <w:tcBorders>
              <w:top w:val="nil"/>
              <w:left w:val="nil"/>
              <w:bottom w:val="single" w:sz="4" w:space="0" w:color="auto"/>
              <w:right w:val="single" w:sz="4" w:space="0" w:color="auto"/>
            </w:tcBorders>
            <w:shd w:val="clear" w:color="auto" w:fill="auto"/>
            <w:noWrap/>
            <w:vAlign w:val="bottom"/>
            <w:hideMark/>
          </w:tcPr>
          <w:p w14:paraId="133FF873"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Las Palmas</w:t>
            </w:r>
          </w:p>
        </w:tc>
        <w:tc>
          <w:tcPr>
            <w:tcW w:w="960" w:type="dxa"/>
            <w:tcBorders>
              <w:top w:val="nil"/>
              <w:left w:val="nil"/>
              <w:bottom w:val="single" w:sz="4" w:space="0" w:color="auto"/>
              <w:right w:val="single" w:sz="4" w:space="0" w:color="auto"/>
            </w:tcBorders>
            <w:shd w:val="clear" w:color="auto" w:fill="auto"/>
            <w:noWrap/>
            <w:vAlign w:val="bottom"/>
            <w:hideMark/>
          </w:tcPr>
          <w:p w14:paraId="182B1F02"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0.223</w:t>
            </w:r>
          </w:p>
        </w:tc>
        <w:tc>
          <w:tcPr>
            <w:tcW w:w="960" w:type="dxa"/>
            <w:tcBorders>
              <w:top w:val="nil"/>
              <w:left w:val="nil"/>
              <w:bottom w:val="single" w:sz="4" w:space="0" w:color="auto"/>
              <w:right w:val="single" w:sz="4" w:space="0" w:color="auto"/>
            </w:tcBorders>
            <w:shd w:val="clear" w:color="auto" w:fill="auto"/>
            <w:noWrap/>
            <w:vAlign w:val="bottom"/>
            <w:hideMark/>
          </w:tcPr>
          <w:p w14:paraId="4951514A"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0.777</w:t>
            </w:r>
          </w:p>
        </w:tc>
        <w:tc>
          <w:tcPr>
            <w:tcW w:w="960" w:type="dxa"/>
            <w:tcBorders>
              <w:top w:val="nil"/>
              <w:left w:val="nil"/>
              <w:bottom w:val="single" w:sz="4" w:space="0" w:color="auto"/>
              <w:right w:val="single" w:sz="4" w:space="0" w:color="auto"/>
            </w:tcBorders>
            <w:shd w:val="clear" w:color="auto" w:fill="auto"/>
            <w:noWrap/>
            <w:vAlign w:val="bottom"/>
            <w:hideMark/>
          </w:tcPr>
          <w:p w14:paraId="4FA85B40"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0.330</w:t>
            </w:r>
          </w:p>
        </w:tc>
        <w:tc>
          <w:tcPr>
            <w:tcW w:w="960" w:type="dxa"/>
            <w:tcBorders>
              <w:top w:val="nil"/>
              <w:left w:val="nil"/>
              <w:bottom w:val="single" w:sz="4" w:space="0" w:color="auto"/>
              <w:right w:val="single" w:sz="4" w:space="0" w:color="auto"/>
            </w:tcBorders>
            <w:shd w:val="clear" w:color="auto" w:fill="auto"/>
            <w:noWrap/>
            <w:vAlign w:val="bottom"/>
            <w:hideMark/>
          </w:tcPr>
          <w:p w14:paraId="08C17826"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0.670</w:t>
            </w:r>
          </w:p>
        </w:tc>
      </w:tr>
      <w:tr w:rsidR="004730B7" w:rsidRPr="004730B7" w14:paraId="6E657ECF" w14:textId="77777777" w:rsidTr="004730B7">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6C544185"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SE-N_36</w:t>
            </w:r>
          </w:p>
        </w:tc>
        <w:tc>
          <w:tcPr>
            <w:tcW w:w="3660" w:type="dxa"/>
            <w:tcBorders>
              <w:top w:val="nil"/>
              <w:left w:val="nil"/>
              <w:bottom w:val="single" w:sz="4" w:space="0" w:color="auto"/>
              <w:right w:val="single" w:sz="4" w:space="0" w:color="auto"/>
            </w:tcBorders>
            <w:shd w:val="clear" w:color="auto" w:fill="auto"/>
            <w:noWrap/>
            <w:vAlign w:val="bottom"/>
            <w:hideMark/>
          </w:tcPr>
          <w:p w14:paraId="77627E8E"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Lo Aguirre</w:t>
            </w:r>
          </w:p>
        </w:tc>
        <w:tc>
          <w:tcPr>
            <w:tcW w:w="960" w:type="dxa"/>
            <w:tcBorders>
              <w:top w:val="nil"/>
              <w:left w:val="nil"/>
              <w:bottom w:val="single" w:sz="4" w:space="0" w:color="auto"/>
              <w:right w:val="single" w:sz="4" w:space="0" w:color="auto"/>
            </w:tcBorders>
            <w:shd w:val="clear" w:color="auto" w:fill="auto"/>
            <w:noWrap/>
            <w:vAlign w:val="bottom"/>
            <w:hideMark/>
          </w:tcPr>
          <w:p w14:paraId="189E00E7"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00956661"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7E853D26"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5887D78F"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0.000</w:t>
            </w:r>
          </w:p>
        </w:tc>
      </w:tr>
      <w:tr w:rsidR="004730B7" w:rsidRPr="004730B7" w14:paraId="19A43F38" w14:textId="77777777" w:rsidTr="004730B7">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46BEC0B0"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SE-N_37</w:t>
            </w:r>
          </w:p>
        </w:tc>
        <w:tc>
          <w:tcPr>
            <w:tcW w:w="3660" w:type="dxa"/>
            <w:tcBorders>
              <w:top w:val="nil"/>
              <w:left w:val="nil"/>
              <w:bottom w:val="single" w:sz="4" w:space="0" w:color="auto"/>
              <w:right w:val="single" w:sz="4" w:space="0" w:color="auto"/>
            </w:tcBorders>
            <w:shd w:val="clear" w:color="auto" w:fill="auto"/>
            <w:noWrap/>
            <w:vAlign w:val="bottom"/>
            <w:hideMark/>
          </w:tcPr>
          <w:p w14:paraId="1EF2F296"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Los Changos</w:t>
            </w:r>
          </w:p>
        </w:tc>
        <w:tc>
          <w:tcPr>
            <w:tcW w:w="960" w:type="dxa"/>
            <w:tcBorders>
              <w:top w:val="nil"/>
              <w:left w:val="nil"/>
              <w:bottom w:val="single" w:sz="4" w:space="0" w:color="auto"/>
              <w:right w:val="single" w:sz="4" w:space="0" w:color="auto"/>
            </w:tcBorders>
            <w:shd w:val="clear" w:color="auto" w:fill="auto"/>
            <w:noWrap/>
            <w:vAlign w:val="bottom"/>
            <w:hideMark/>
          </w:tcPr>
          <w:p w14:paraId="69512561"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0.358</w:t>
            </w:r>
          </w:p>
        </w:tc>
        <w:tc>
          <w:tcPr>
            <w:tcW w:w="960" w:type="dxa"/>
            <w:tcBorders>
              <w:top w:val="nil"/>
              <w:left w:val="nil"/>
              <w:bottom w:val="single" w:sz="4" w:space="0" w:color="auto"/>
              <w:right w:val="single" w:sz="4" w:space="0" w:color="auto"/>
            </w:tcBorders>
            <w:shd w:val="clear" w:color="auto" w:fill="auto"/>
            <w:noWrap/>
            <w:vAlign w:val="bottom"/>
            <w:hideMark/>
          </w:tcPr>
          <w:p w14:paraId="6913DF9D"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0.642</w:t>
            </w:r>
          </w:p>
        </w:tc>
        <w:tc>
          <w:tcPr>
            <w:tcW w:w="960" w:type="dxa"/>
            <w:tcBorders>
              <w:top w:val="nil"/>
              <w:left w:val="nil"/>
              <w:bottom w:val="single" w:sz="4" w:space="0" w:color="auto"/>
              <w:right w:val="single" w:sz="4" w:space="0" w:color="auto"/>
            </w:tcBorders>
            <w:shd w:val="clear" w:color="auto" w:fill="auto"/>
            <w:noWrap/>
            <w:vAlign w:val="bottom"/>
            <w:hideMark/>
          </w:tcPr>
          <w:p w14:paraId="3A768106"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0.476</w:t>
            </w:r>
          </w:p>
        </w:tc>
        <w:tc>
          <w:tcPr>
            <w:tcW w:w="960" w:type="dxa"/>
            <w:tcBorders>
              <w:top w:val="nil"/>
              <w:left w:val="nil"/>
              <w:bottom w:val="single" w:sz="4" w:space="0" w:color="auto"/>
              <w:right w:val="single" w:sz="4" w:space="0" w:color="auto"/>
            </w:tcBorders>
            <w:shd w:val="clear" w:color="auto" w:fill="auto"/>
            <w:noWrap/>
            <w:vAlign w:val="bottom"/>
            <w:hideMark/>
          </w:tcPr>
          <w:p w14:paraId="6F4087BD"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0.524</w:t>
            </w:r>
          </w:p>
        </w:tc>
      </w:tr>
      <w:tr w:rsidR="004730B7" w:rsidRPr="004730B7" w14:paraId="18241E31" w14:textId="77777777" w:rsidTr="004730B7">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4D1A0DDA"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lastRenderedPageBreak/>
              <w:t>SE-N_38</w:t>
            </w:r>
          </w:p>
        </w:tc>
        <w:tc>
          <w:tcPr>
            <w:tcW w:w="3660" w:type="dxa"/>
            <w:tcBorders>
              <w:top w:val="nil"/>
              <w:left w:val="nil"/>
              <w:bottom w:val="single" w:sz="4" w:space="0" w:color="auto"/>
              <w:right w:val="single" w:sz="4" w:space="0" w:color="auto"/>
            </w:tcBorders>
            <w:shd w:val="clear" w:color="auto" w:fill="auto"/>
            <w:noWrap/>
            <w:vAlign w:val="bottom"/>
            <w:hideMark/>
          </w:tcPr>
          <w:p w14:paraId="7B923B1C"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Los Maquis</w:t>
            </w:r>
          </w:p>
        </w:tc>
        <w:tc>
          <w:tcPr>
            <w:tcW w:w="960" w:type="dxa"/>
            <w:tcBorders>
              <w:top w:val="nil"/>
              <w:left w:val="nil"/>
              <w:bottom w:val="single" w:sz="4" w:space="0" w:color="auto"/>
              <w:right w:val="single" w:sz="4" w:space="0" w:color="auto"/>
            </w:tcBorders>
            <w:shd w:val="clear" w:color="auto" w:fill="auto"/>
            <w:noWrap/>
            <w:vAlign w:val="bottom"/>
            <w:hideMark/>
          </w:tcPr>
          <w:p w14:paraId="33F295FC"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0.279</w:t>
            </w:r>
          </w:p>
        </w:tc>
        <w:tc>
          <w:tcPr>
            <w:tcW w:w="960" w:type="dxa"/>
            <w:tcBorders>
              <w:top w:val="nil"/>
              <w:left w:val="nil"/>
              <w:bottom w:val="single" w:sz="4" w:space="0" w:color="auto"/>
              <w:right w:val="single" w:sz="4" w:space="0" w:color="auto"/>
            </w:tcBorders>
            <w:shd w:val="clear" w:color="auto" w:fill="auto"/>
            <w:noWrap/>
            <w:vAlign w:val="bottom"/>
            <w:hideMark/>
          </w:tcPr>
          <w:p w14:paraId="7C70C547"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0.721</w:t>
            </w:r>
          </w:p>
        </w:tc>
        <w:tc>
          <w:tcPr>
            <w:tcW w:w="960" w:type="dxa"/>
            <w:tcBorders>
              <w:top w:val="nil"/>
              <w:left w:val="nil"/>
              <w:bottom w:val="single" w:sz="4" w:space="0" w:color="auto"/>
              <w:right w:val="single" w:sz="4" w:space="0" w:color="auto"/>
            </w:tcBorders>
            <w:shd w:val="clear" w:color="auto" w:fill="auto"/>
            <w:noWrap/>
            <w:vAlign w:val="bottom"/>
            <w:hideMark/>
          </w:tcPr>
          <w:p w14:paraId="0D4D21BE"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0.382</w:t>
            </w:r>
          </w:p>
        </w:tc>
        <w:tc>
          <w:tcPr>
            <w:tcW w:w="960" w:type="dxa"/>
            <w:tcBorders>
              <w:top w:val="nil"/>
              <w:left w:val="nil"/>
              <w:bottom w:val="single" w:sz="4" w:space="0" w:color="auto"/>
              <w:right w:val="single" w:sz="4" w:space="0" w:color="auto"/>
            </w:tcBorders>
            <w:shd w:val="clear" w:color="auto" w:fill="auto"/>
            <w:noWrap/>
            <w:vAlign w:val="bottom"/>
            <w:hideMark/>
          </w:tcPr>
          <w:p w14:paraId="63142D8B"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0.618</w:t>
            </w:r>
          </w:p>
        </w:tc>
      </w:tr>
      <w:tr w:rsidR="004730B7" w:rsidRPr="004730B7" w14:paraId="4368111A" w14:textId="77777777" w:rsidTr="004730B7">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3CA6F878"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SE-N_39</w:t>
            </w:r>
          </w:p>
        </w:tc>
        <w:tc>
          <w:tcPr>
            <w:tcW w:w="3660" w:type="dxa"/>
            <w:tcBorders>
              <w:top w:val="nil"/>
              <w:left w:val="nil"/>
              <w:bottom w:val="single" w:sz="4" w:space="0" w:color="auto"/>
              <w:right w:val="single" w:sz="4" w:space="0" w:color="auto"/>
            </w:tcBorders>
            <w:shd w:val="clear" w:color="auto" w:fill="auto"/>
            <w:noWrap/>
            <w:vAlign w:val="bottom"/>
            <w:hideMark/>
          </w:tcPr>
          <w:p w14:paraId="6C96F60C"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Los Peumos</w:t>
            </w:r>
          </w:p>
        </w:tc>
        <w:tc>
          <w:tcPr>
            <w:tcW w:w="960" w:type="dxa"/>
            <w:tcBorders>
              <w:top w:val="nil"/>
              <w:left w:val="nil"/>
              <w:bottom w:val="single" w:sz="4" w:space="0" w:color="auto"/>
              <w:right w:val="single" w:sz="4" w:space="0" w:color="auto"/>
            </w:tcBorders>
            <w:shd w:val="clear" w:color="auto" w:fill="auto"/>
            <w:noWrap/>
            <w:vAlign w:val="bottom"/>
            <w:hideMark/>
          </w:tcPr>
          <w:p w14:paraId="766A1E1F"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0.404</w:t>
            </w:r>
          </w:p>
        </w:tc>
        <w:tc>
          <w:tcPr>
            <w:tcW w:w="960" w:type="dxa"/>
            <w:tcBorders>
              <w:top w:val="nil"/>
              <w:left w:val="nil"/>
              <w:bottom w:val="single" w:sz="4" w:space="0" w:color="auto"/>
              <w:right w:val="single" w:sz="4" w:space="0" w:color="auto"/>
            </w:tcBorders>
            <w:shd w:val="clear" w:color="auto" w:fill="auto"/>
            <w:noWrap/>
            <w:vAlign w:val="bottom"/>
            <w:hideMark/>
          </w:tcPr>
          <w:p w14:paraId="60127D87"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0.596</w:t>
            </w:r>
          </w:p>
        </w:tc>
        <w:tc>
          <w:tcPr>
            <w:tcW w:w="960" w:type="dxa"/>
            <w:tcBorders>
              <w:top w:val="nil"/>
              <w:left w:val="nil"/>
              <w:bottom w:val="single" w:sz="4" w:space="0" w:color="auto"/>
              <w:right w:val="single" w:sz="4" w:space="0" w:color="auto"/>
            </w:tcBorders>
            <w:shd w:val="clear" w:color="auto" w:fill="auto"/>
            <w:noWrap/>
            <w:vAlign w:val="bottom"/>
            <w:hideMark/>
          </w:tcPr>
          <w:p w14:paraId="40667E08"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0.487</w:t>
            </w:r>
          </w:p>
        </w:tc>
        <w:tc>
          <w:tcPr>
            <w:tcW w:w="960" w:type="dxa"/>
            <w:tcBorders>
              <w:top w:val="nil"/>
              <w:left w:val="nil"/>
              <w:bottom w:val="single" w:sz="4" w:space="0" w:color="auto"/>
              <w:right w:val="single" w:sz="4" w:space="0" w:color="auto"/>
            </w:tcBorders>
            <w:shd w:val="clear" w:color="auto" w:fill="auto"/>
            <w:noWrap/>
            <w:vAlign w:val="bottom"/>
            <w:hideMark/>
          </w:tcPr>
          <w:p w14:paraId="36FDD884"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0.513</w:t>
            </w:r>
          </w:p>
        </w:tc>
      </w:tr>
      <w:tr w:rsidR="004730B7" w:rsidRPr="004730B7" w14:paraId="66D5950D" w14:textId="77777777" w:rsidTr="004730B7">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0A64E16C"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SE-N_40</w:t>
            </w:r>
          </w:p>
        </w:tc>
        <w:tc>
          <w:tcPr>
            <w:tcW w:w="3660" w:type="dxa"/>
            <w:tcBorders>
              <w:top w:val="nil"/>
              <w:left w:val="nil"/>
              <w:bottom w:val="single" w:sz="4" w:space="0" w:color="auto"/>
              <w:right w:val="single" w:sz="4" w:space="0" w:color="auto"/>
            </w:tcBorders>
            <w:shd w:val="clear" w:color="auto" w:fill="auto"/>
            <w:noWrap/>
            <w:vAlign w:val="bottom"/>
            <w:hideMark/>
          </w:tcPr>
          <w:p w14:paraId="5B28B0F1"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Los Vilos</w:t>
            </w:r>
          </w:p>
        </w:tc>
        <w:tc>
          <w:tcPr>
            <w:tcW w:w="960" w:type="dxa"/>
            <w:tcBorders>
              <w:top w:val="nil"/>
              <w:left w:val="nil"/>
              <w:bottom w:val="single" w:sz="4" w:space="0" w:color="auto"/>
              <w:right w:val="single" w:sz="4" w:space="0" w:color="auto"/>
            </w:tcBorders>
            <w:shd w:val="clear" w:color="auto" w:fill="auto"/>
            <w:noWrap/>
            <w:vAlign w:val="bottom"/>
            <w:hideMark/>
          </w:tcPr>
          <w:p w14:paraId="4318FD0B"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0.240</w:t>
            </w:r>
          </w:p>
        </w:tc>
        <w:tc>
          <w:tcPr>
            <w:tcW w:w="960" w:type="dxa"/>
            <w:tcBorders>
              <w:top w:val="nil"/>
              <w:left w:val="nil"/>
              <w:bottom w:val="single" w:sz="4" w:space="0" w:color="auto"/>
              <w:right w:val="single" w:sz="4" w:space="0" w:color="auto"/>
            </w:tcBorders>
            <w:shd w:val="clear" w:color="auto" w:fill="auto"/>
            <w:noWrap/>
            <w:vAlign w:val="bottom"/>
            <w:hideMark/>
          </w:tcPr>
          <w:p w14:paraId="30B073A0"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0.760</w:t>
            </w:r>
          </w:p>
        </w:tc>
        <w:tc>
          <w:tcPr>
            <w:tcW w:w="960" w:type="dxa"/>
            <w:tcBorders>
              <w:top w:val="nil"/>
              <w:left w:val="nil"/>
              <w:bottom w:val="single" w:sz="4" w:space="0" w:color="auto"/>
              <w:right w:val="single" w:sz="4" w:space="0" w:color="auto"/>
            </w:tcBorders>
            <w:shd w:val="clear" w:color="auto" w:fill="auto"/>
            <w:noWrap/>
            <w:vAlign w:val="bottom"/>
            <w:hideMark/>
          </w:tcPr>
          <w:p w14:paraId="7C5098CA"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0.399</w:t>
            </w:r>
          </w:p>
        </w:tc>
        <w:tc>
          <w:tcPr>
            <w:tcW w:w="960" w:type="dxa"/>
            <w:tcBorders>
              <w:top w:val="nil"/>
              <w:left w:val="nil"/>
              <w:bottom w:val="single" w:sz="4" w:space="0" w:color="auto"/>
              <w:right w:val="single" w:sz="4" w:space="0" w:color="auto"/>
            </w:tcBorders>
            <w:shd w:val="clear" w:color="auto" w:fill="auto"/>
            <w:noWrap/>
            <w:vAlign w:val="bottom"/>
            <w:hideMark/>
          </w:tcPr>
          <w:p w14:paraId="3B026B27"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0.601</w:t>
            </w:r>
          </w:p>
        </w:tc>
      </w:tr>
      <w:tr w:rsidR="004730B7" w:rsidRPr="004730B7" w14:paraId="5BAB1196" w14:textId="77777777" w:rsidTr="004730B7">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2AC4046B"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SE-N_41</w:t>
            </w:r>
          </w:p>
        </w:tc>
        <w:tc>
          <w:tcPr>
            <w:tcW w:w="3660" w:type="dxa"/>
            <w:tcBorders>
              <w:top w:val="nil"/>
              <w:left w:val="nil"/>
              <w:bottom w:val="single" w:sz="4" w:space="0" w:color="auto"/>
              <w:right w:val="single" w:sz="4" w:space="0" w:color="auto"/>
            </w:tcBorders>
            <w:shd w:val="clear" w:color="auto" w:fill="auto"/>
            <w:noWrap/>
            <w:vAlign w:val="bottom"/>
            <w:hideMark/>
          </w:tcPr>
          <w:p w14:paraId="3CEA378A"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Maipo</w:t>
            </w:r>
          </w:p>
        </w:tc>
        <w:tc>
          <w:tcPr>
            <w:tcW w:w="960" w:type="dxa"/>
            <w:tcBorders>
              <w:top w:val="nil"/>
              <w:left w:val="nil"/>
              <w:bottom w:val="single" w:sz="4" w:space="0" w:color="auto"/>
              <w:right w:val="single" w:sz="4" w:space="0" w:color="auto"/>
            </w:tcBorders>
            <w:shd w:val="clear" w:color="auto" w:fill="auto"/>
            <w:noWrap/>
            <w:vAlign w:val="bottom"/>
            <w:hideMark/>
          </w:tcPr>
          <w:p w14:paraId="00618B98"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0.293</w:t>
            </w:r>
          </w:p>
        </w:tc>
        <w:tc>
          <w:tcPr>
            <w:tcW w:w="960" w:type="dxa"/>
            <w:tcBorders>
              <w:top w:val="nil"/>
              <w:left w:val="nil"/>
              <w:bottom w:val="single" w:sz="4" w:space="0" w:color="auto"/>
              <w:right w:val="single" w:sz="4" w:space="0" w:color="auto"/>
            </w:tcBorders>
            <w:shd w:val="clear" w:color="auto" w:fill="auto"/>
            <w:noWrap/>
            <w:vAlign w:val="bottom"/>
            <w:hideMark/>
          </w:tcPr>
          <w:p w14:paraId="3934ED42"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0.707</w:t>
            </w:r>
          </w:p>
        </w:tc>
        <w:tc>
          <w:tcPr>
            <w:tcW w:w="960" w:type="dxa"/>
            <w:tcBorders>
              <w:top w:val="nil"/>
              <w:left w:val="nil"/>
              <w:bottom w:val="single" w:sz="4" w:space="0" w:color="auto"/>
              <w:right w:val="single" w:sz="4" w:space="0" w:color="auto"/>
            </w:tcBorders>
            <w:shd w:val="clear" w:color="auto" w:fill="auto"/>
            <w:noWrap/>
            <w:vAlign w:val="bottom"/>
            <w:hideMark/>
          </w:tcPr>
          <w:p w14:paraId="3E7EC8CE"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0.459</w:t>
            </w:r>
          </w:p>
        </w:tc>
        <w:tc>
          <w:tcPr>
            <w:tcW w:w="960" w:type="dxa"/>
            <w:tcBorders>
              <w:top w:val="nil"/>
              <w:left w:val="nil"/>
              <w:bottom w:val="single" w:sz="4" w:space="0" w:color="auto"/>
              <w:right w:val="single" w:sz="4" w:space="0" w:color="auto"/>
            </w:tcBorders>
            <w:shd w:val="clear" w:color="auto" w:fill="auto"/>
            <w:noWrap/>
            <w:vAlign w:val="bottom"/>
            <w:hideMark/>
          </w:tcPr>
          <w:p w14:paraId="20EA682C"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0.541</w:t>
            </w:r>
          </w:p>
        </w:tc>
      </w:tr>
      <w:tr w:rsidR="004730B7" w:rsidRPr="004730B7" w14:paraId="76724D01" w14:textId="77777777" w:rsidTr="004730B7">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4CCE8AC6"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SE-N_42</w:t>
            </w:r>
          </w:p>
        </w:tc>
        <w:tc>
          <w:tcPr>
            <w:tcW w:w="3660" w:type="dxa"/>
            <w:tcBorders>
              <w:top w:val="nil"/>
              <w:left w:val="nil"/>
              <w:bottom w:val="single" w:sz="4" w:space="0" w:color="auto"/>
              <w:right w:val="single" w:sz="4" w:space="0" w:color="auto"/>
            </w:tcBorders>
            <w:shd w:val="clear" w:color="auto" w:fill="auto"/>
            <w:noWrap/>
            <w:vAlign w:val="bottom"/>
            <w:hideMark/>
          </w:tcPr>
          <w:p w14:paraId="2AAE9B42"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Maitencillo</w:t>
            </w:r>
          </w:p>
        </w:tc>
        <w:tc>
          <w:tcPr>
            <w:tcW w:w="960" w:type="dxa"/>
            <w:tcBorders>
              <w:top w:val="nil"/>
              <w:left w:val="nil"/>
              <w:bottom w:val="single" w:sz="4" w:space="0" w:color="auto"/>
              <w:right w:val="single" w:sz="4" w:space="0" w:color="auto"/>
            </w:tcBorders>
            <w:shd w:val="clear" w:color="auto" w:fill="auto"/>
            <w:noWrap/>
            <w:vAlign w:val="bottom"/>
            <w:hideMark/>
          </w:tcPr>
          <w:p w14:paraId="0786F7D7"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0.094</w:t>
            </w:r>
          </w:p>
        </w:tc>
        <w:tc>
          <w:tcPr>
            <w:tcW w:w="960" w:type="dxa"/>
            <w:tcBorders>
              <w:top w:val="nil"/>
              <w:left w:val="nil"/>
              <w:bottom w:val="single" w:sz="4" w:space="0" w:color="auto"/>
              <w:right w:val="single" w:sz="4" w:space="0" w:color="auto"/>
            </w:tcBorders>
            <w:shd w:val="clear" w:color="auto" w:fill="auto"/>
            <w:noWrap/>
            <w:vAlign w:val="bottom"/>
            <w:hideMark/>
          </w:tcPr>
          <w:p w14:paraId="5FDEA3CF"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0.906</w:t>
            </w:r>
          </w:p>
        </w:tc>
        <w:tc>
          <w:tcPr>
            <w:tcW w:w="960" w:type="dxa"/>
            <w:tcBorders>
              <w:top w:val="nil"/>
              <w:left w:val="nil"/>
              <w:bottom w:val="single" w:sz="4" w:space="0" w:color="auto"/>
              <w:right w:val="single" w:sz="4" w:space="0" w:color="auto"/>
            </w:tcBorders>
            <w:shd w:val="clear" w:color="auto" w:fill="auto"/>
            <w:noWrap/>
            <w:vAlign w:val="bottom"/>
            <w:hideMark/>
          </w:tcPr>
          <w:p w14:paraId="7B3F1895"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0.190</w:t>
            </w:r>
          </w:p>
        </w:tc>
        <w:tc>
          <w:tcPr>
            <w:tcW w:w="960" w:type="dxa"/>
            <w:tcBorders>
              <w:top w:val="nil"/>
              <w:left w:val="nil"/>
              <w:bottom w:val="single" w:sz="4" w:space="0" w:color="auto"/>
              <w:right w:val="single" w:sz="4" w:space="0" w:color="auto"/>
            </w:tcBorders>
            <w:shd w:val="clear" w:color="auto" w:fill="auto"/>
            <w:noWrap/>
            <w:vAlign w:val="bottom"/>
            <w:hideMark/>
          </w:tcPr>
          <w:p w14:paraId="3E9F0AE8"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0.810</w:t>
            </w:r>
          </w:p>
        </w:tc>
      </w:tr>
      <w:tr w:rsidR="004730B7" w:rsidRPr="004730B7" w14:paraId="3667999D" w14:textId="77777777" w:rsidTr="004730B7">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1A0120B1"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SE-N_43</w:t>
            </w:r>
          </w:p>
        </w:tc>
        <w:tc>
          <w:tcPr>
            <w:tcW w:w="3660" w:type="dxa"/>
            <w:tcBorders>
              <w:top w:val="nil"/>
              <w:left w:val="nil"/>
              <w:bottom w:val="single" w:sz="4" w:space="0" w:color="auto"/>
              <w:right w:val="single" w:sz="4" w:space="0" w:color="auto"/>
            </w:tcBorders>
            <w:shd w:val="clear" w:color="auto" w:fill="auto"/>
            <w:noWrap/>
            <w:vAlign w:val="bottom"/>
            <w:hideMark/>
          </w:tcPr>
          <w:p w14:paraId="384FED69"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Maria Elena</w:t>
            </w:r>
          </w:p>
        </w:tc>
        <w:tc>
          <w:tcPr>
            <w:tcW w:w="960" w:type="dxa"/>
            <w:tcBorders>
              <w:top w:val="nil"/>
              <w:left w:val="nil"/>
              <w:bottom w:val="single" w:sz="4" w:space="0" w:color="auto"/>
              <w:right w:val="single" w:sz="4" w:space="0" w:color="auto"/>
            </w:tcBorders>
            <w:shd w:val="clear" w:color="auto" w:fill="auto"/>
            <w:noWrap/>
            <w:vAlign w:val="bottom"/>
            <w:hideMark/>
          </w:tcPr>
          <w:p w14:paraId="6D539714"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0.084</w:t>
            </w:r>
          </w:p>
        </w:tc>
        <w:tc>
          <w:tcPr>
            <w:tcW w:w="960" w:type="dxa"/>
            <w:tcBorders>
              <w:top w:val="nil"/>
              <w:left w:val="nil"/>
              <w:bottom w:val="single" w:sz="4" w:space="0" w:color="auto"/>
              <w:right w:val="single" w:sz="4" w:space="0" w:color="auto"/>
            </w:tcBorders>
            <w:shd w:val="clear" w:color="auto" w:fill="auto"/>
            <w:noWrap/>
            <w:vAlign w:val="bottom"/>
            <w:hideMark/>
          </w:tcPr>
          <w:p w14:paraId="3AD7D479"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0.916</w:t>
            </w:r>
          </w:p>
        </w:tc>
        <w:tc>
          <w:tcPr>
            <w:tcW w:w="960" w:type="dxa"/>
            <w:tcBorders>
              <w:top w:val="nil"/>
              <w:left w:val="nil"/>
              <w:bottom w:val="single" w:sz="4" w:space="0" w:color="auto"/>
              <w:right w:val="single" w:sz="4" w:space="0" w:color="auto"/>
            </w:tcBorders>
            <w:shd w:val="clear" w:color="auto" w:fill="auto"/>
            <w:noWrap/>
            <w:vAlign w:val="bottom"/>
            <w:hideMark/>
          </w:tcPr>
          <w:p w14:paraId="04FF09B1"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0.126</w:t>
            </w:r>
          </w:p>
        </w:tc>
        <w:tc>
          <w:tcPr>
            <w:tcW w:w="960" w:type="dxa"/>
            <w:tcBorders>
              <w:top w:val="nil"/>
              <w:left w:val="nil"/>
              <w:bottom w:val="single" w:sz="4" w:space="0" w:color="auto"/>
              <w:right w:val="single" w:sz="4" w:space="0" w:color="auto"/>
            </w:tcBorders>
            <w:shd w:val="clear" w:color="auto" w:fill="auto"/>
            <w:noWrap/>
            <w:vAlign w:val="bottom"/>
            <w:hideMark/>
          </w:tcPr>
          <w:p w14:paraId="472375B6"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0.874</w:t>
            </w:r>
          </w:p>
        </w:tc>
      </w:tr>
      <w:tr w:rsidR="004730B7" w:rsidRPr="004730B7" w14:paraId="469BCA0A" w14:textId="77777777" w:rsidTr="004730B7">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3F7CF55A"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SE-N_44</w:t>
            </w:r>
          </w:p>
        </w:tc>
        <w:tc>
          <w:tcPr>
            <w:tcW w:w="3660" w:type="dxa"/>
            <w:tcBorders>
              <w:top w:val="nil"/>
              <w:left w:val="nil"/>
              <w:bottom w:val="single" w:sz="4" w:space="0" w:color="auto"/>
              <w:right w:val="single" w:sz="4" w:space="0" w:color="auto"/>
            </w:tcBorders>
            <w:shd w:val="clear" w:color="auto" w:fill="auto"/>
            <w:noWrap/>
            <w:vAlign w:val="bottom"/>
            <w:hideMark/>
          </w:tcPr>
          <w:p w14:paraId="37DD44F4"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Melipulli</w:t>
            </w:r>
          </w:p>
        </w:tc>
        <w:tc>
          <w:tcPr>
            <w:tcW w:w="960" w:type="dxa"/>
            <w:tcBorders>
              <w:top w:val="nil"/>
              <w:left w:val="nil"/>
              <w:bottom w:val="single" w:sz="4" w:space="0" w:color="auto"/>
              <w:right w:val="single" w:sz="4" w:space="0" w:color="auto"/>
            </w:tcBorders>
            <w:shd w:val="clear" w:color="auto" w:fill="auto"/>
            <w:noWrap/>
            <w:vAlign w:val="bottom"/>
            <w:hideMark/>
          </w:tcPr>
          <w:p w14:paraId="3EAB1484"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0.227</w:t>
            </w:r>
          </w:p>
        </w:tc>
        <w:tc>
          <w:tcPr>
            <w:tcW w:w="960" w:type="dxa"/>
            <w:tcBorders>
              <w:top w:val="nil"/>
              <w:left w:val="nil"/>
              <w:bottom w:val="single" w:sz="4" w:space="0" w:color="auto"/>
              <w:right w:val="single" w:sz="4" w:space="0" w:color="auto"/>
            </w:tcBorders>
            <w:shd w:val="clear" w:color="auto" w:fill="auto"/>
            <w:noWrap/>
            <w:vAlign w:val="bottom"/>
            <w:hideMark/>
          </w:tcPr>
          <w:p w14:paraId="443ED78E"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0.773</w:t>
            </w:r>
          </w:p>
        </w:tc>
        <w:tc>
          <w:tcPr>
            <w:tcW w:w="960" w:type="dxa"/>
            <w:tcBorders>
              <w:top w:val="nil"/>
              <w:left w:val="nil"/>
              <w:bottom w:val="single" w:sz="4" w:space="0" w:color="auto"/>
              <w:right w:val="single" w:sz="4" w:space="0" w:color="auto"/>
            </w:tcBorders>
            <w:shd w:val="clear" w:color="auto" w:fill="auto"/>
            <w:noWrap/>
            <w:vAlign w:val="bottom"/>
            <w:hideMark/>
          </w:tcPr>
          <w:p w14:paraId="39E046FE"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0.382</w:t>
            </w:r>
          </w:p>
        </w:tc>
        <w:tc>
          <w:tcPr>
            <w:tcW w:w="960" w:type="dxa"/>
            <w:tcBorders>
              <w:top w:val="nil"/>
              <w:left w:val="nil"/>
              <w:bottom w:val="single" w:sz="4" w:space="0" w:color="auto"/>
              <w:right w:val="single" w:sz="4" w:space="0" w:color="auto"/>
            </w:tcBorders>
            <w:shd w:val="clear" w:color="auto" w:fill="auto"/>
            <w:noWrap/>
            <w:vAlign w:val="bottom"/>
            <w:hideMark/>
          </w:tcPr>
          <w:p w14:paraId="6C104108"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0.618</w:t>
            </w:r>
          </w:p>
        </w:tc>
      </w:tr>
      <w:tr w:rsidR="004730B7" w:rsidRPr="004730B7" w14:paraId="03FB2CEF" w14:textId="77777777" w:rsidTr="004730B7">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61A2BE51"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SE-N_45</w:t>
            </w:r>
          </w:p>
        </w:tc>
        <w:tc>
          <w:tcPr>
            <w:tcW w:w="3660" w:type="dxa"/>
            <w:tcBorders>
              <w:top w:val="nil"/>
              <w:left w:val="nil"/>
              <w:bottom w:val="single" w:sz="4" w:space="0" w:color="auto"/>
              <w:right w:val="single" w:sz="4" w:space="0" w:color="auto"/>
            </w:tcBorders>
            <w:shd w:val="clear" w:color="auto" w:fill="auto"/>
            <w:noWrap/>
            <w:vAlign w:val="bottom"/>
            <w:hideMark/>
          </w:tcPr>
          <w:p w14:paraId="3B6C1DB7"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Miraje</w:t>
            </w:r>
          </w:p>
        </w:tc>
        <w:tc>
          <w:tcPr>
            <w:tcW w:w="960" w:type="dxa"/>
            <w:tcBorders>
              <w:top w:val="nil"/>
              <w:left w:val="nil"/>
              <w:bottom w:val="single" w:sz="4" w:space="0" w:color="auto"/>
              <w:right w:val="single" w:sz="4" w:space="0" w:color="auto"/>
            </w:tcBorders>
            <w:shd w:val="clear" w:color="auto" w:fill="auto"/>
            <w:noWrap/>
            <w:vAlign w:val="bottom"/>
            <w:hideMark/>
          </w:tcPr>
          <w:p w14:paraId="3DBCCBB9"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0.095</w:t>
            </w:r>
          </w:p>
        </w:tc>
        <w:tc>
          <w:tcPr>
            <w:tcW w:w="960" w:type="dxa"/>
            <w:tcBorders>
              <w:top w:val="nil"/>
              <w:left w:val="nil"/>
              <w:bottom w:val="single" w:sz="4" w:space="0" w:color="auto"/>
              <w:right w:val="single" w:sz="4" w:space="0" w:color="auto"/>
            </w:tcBorders>
            <w:shd w:val="clear" w:color="auto" w:fill="auto"/>
            <w:noWrap/>
            <w:vAlign w:val="bottom"/>
            <w:hideMark/>
          </w:tcPr>
          <w:p w14:paraId="0EE054AC"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0.905</w:t>
            </w:r>
          </w:p>
        </w:tc>
        <w:tc>
          <w:tcPr>
            <w:tcW w:w="960" w:type="dxa"/>
            <w:tcBorders>
              <w:top w:val="nil"/>
              <w:left w:val="nil"/>
              <w:bottom w:val="single" w:sz="4" w:space="0" w:color="auto"/>
              <w:right w:val="single" w:sz="4" w:space="0" w:color="auto"/>
            </w:tcBorders>
            <w:shd w:val="clear" w:color="auto" w:fill="auto"/>
            <w:noWrap/>
            <w:vAlign w:val="bottom"/>
            <w:hideMark/>
          </w:tcPr>
          <w:p w14:paraId="4F1D0381"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0.195</w:t>
            </w:r>
          </w:p>
        </w:tc>
        <w:tc>
          <w:tcPr>
            <w:tcW w:w="960" w:type="dxa"/>
            <w:tcBorders>
              <w:top w:val="nil"/>
              <w:left w:val="nil"/>
              <w:bottom w:val="single" w:sz="4" w:space="0" w:color="auto"/>
              <w:right w:val="single" w:sz="4" w:space="0" w:color="auto"/>
            </w:tcBorders>
            <w:shd w:val="clear" w:color="auto" w:fill="auto"/>
            <w:noWrap/>
            <w:vAlign w:val="bottom"/>
            <w:hideMark/>
          </w:tcPr>
          <w:p w14:paraId="271C4E79"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0.805</w:t>
            </w:r>
          </w:p>
        </w:tc>
      </w:tr>
      <w:tr w:rsidR="004730B7" w:rsidRPr="004730B7" w14:paraId="0BAB8C71" w14:textId="77777777" w:rsidTr="004730B7">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55F79069"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SE-N_46</w:t>
            </w:r>
          </w:p>
        </w:tc>
        <w:tc>
          <w:tcPr>
            <w:tcW w:w="3660" w:type="dxa"/>
            <w:tcBorders>
              <w:top w:val="nil"/>
              <w:left w:val="nil"/>
              <w:bottom w:val="single" w:sz="4" w:space="0" w:color="auto"/>
              <w:right w:val="single" w:sz="4" w:space="0" w:color="auto"/>
            </w:tcBorders>
            <w:shd w:val="clear" w:color="auto" w:fill="auto"/>
            <w:noWrap/>
            <w:vAlign w:val="bottom"/>
            <w:hideMark/>
          </w:tcPr>
          <w:p w14:paraId="156BDFD8"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Mulchen</w:t>
            </w:r>
          </w:p>
        </w:tc>
        <w:tc>
          <w:tcPr>
            <w:tcW w:w="960" w:type="dxa"/>
            <w:tcBorders>
              <w:top w:val="nil"/>
              <w:left w:val="nil"/>
              <w:bottom w:val="single" w:sz="4" w:space="0" w:color="auto"/>
              <w:right w:val="single" w:sz="4" w:space="0" w:color="auto"/>
            </w:tcBorders>
            <w:shd w:val="clear" w:color="auto" w:fill="auto"/>
            <w:noWrap/>
            <w:vAlign w:val="bottom"/>
            <w:hideMark/>
          </w:tcPr>
          <w:p w14:paraId="667710D2"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0.179</w:t>
            </w:r>
          </w:p>
        </w:tc>
        <w:tc>
          <w:tcPr>
            <w:tcW w:w="960" w:type="dxa"/>
            <w:tcBorders>
              <w:top w:val="nil"/>
              <w:left w:val="nil"/>
              <w:bottom w:val="single" w:sz="4" w:space="0" w:color="auto"/>
              <w:right w:val="single" w:sz="4" w:space="0" w:color="auto"/>
            </w:tcBorders>
            <w:shd w:val="clear" w:color="auto" w:fill="auto"/>
            <w:noWrap/>
            <w:vAlign w:val="bottom"/>
            <w:hideMark/>
          </w:tcPr>
          <w:p w14:paraId="00CD40B4"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0.821</w:t>
            </w:r>
          </w:p>
        </w:tc>
        <w:tc>
          <w:tcPr>
            <w:tcW w:w="960" w:type="dxa"/>
            <w:tcBorders>
              <w:top w:val="nil"/>
              <w:left w:val="nil"/>
              <w:bottom w:val="single" w:sz="4" w:space="0" w:color="auto"/>
              <w:right w:val="single" w:sz="4" w:space="0" w:color="auto"/>
            </w:tcBorders>
            <w:shd w:val="clear" w:color="auto" w:fill="auto"/>
            <w:noWrap/>
            <w:vAlign w:val="bottom"/>
            <w:hideMark/>
          </w:tcPr>
          <w:p w14:paraId="5D37E8E5"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0.226</w:t>
            </w:r>
          </w:p>
        </w:tc>
        <w:tc>
          <w:tcPr>
            <w:tcW w:w="960" w:type="dxa"/>
            <w:tcBorders>
              <w:top w:val="nil"/>
              <w:left w:val="nil"/>
              <w:bottom w:val="single" w:sz="4" w:space="0" w:color="auto"/>
              <w:right w:val="single" w:sz="4" w:space="0" w:color="auto"/>
            </w:tcBorders>
            <w:shd w:val="clear" w:color="auto" w:fill="auto"/>
            <w:noWrap/>
            <w:vAlign w:val="bottom"/>
            <w:hideMark/>
          </w:tcPr>
          <w:p w14:paraId="44EE792D"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0.774</w:t>
            </w:r>
          </w:p>
        </w:tc>
      </w:tr>
      <w:tr w:rsidR="004730B7" w:rsidRPr="004730B7" w14:paraId="18F7D131" w14:textId="77777777" w:rsidTr="004730B7">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4F377D67"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SE-N_47</w:t>
            </w:r>
          </w:p>
        </w:tc>
        <w:tc>
          <w:tcPr>
            <w:tcW w:w="3660" w:type="dxa"/>
            <w:tcBorders>
              <w:top w:val="nil"/>
              <w:left w:val="nil"/>
              <w:bottom w:val="single" w:sz="4" w:space="0" w:color="auto"/>
              <w:right w:val="single" w:sz="4" w:space="0" w:color="auto"/>
            </w:tcBorders>
            <w:shd w:val="clear" w:color="auto" w:fill="auto"/>
            <w:noWrap/>
            <w:vAlign w:val="bottom"/>
            <w:hideMark/>
          </w:tcPr>
          <w:p w14:paraId="1ED2B4A8"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Neptuno</w:t>
            </w:r>
          </w:p>
        </w:tc>
        <w:tc>
          <w:tcPr>
            <w:tcW w:w="960" w:type="dxa"/>
            <w:tcBorders>
              <w:top w:val="nil"/>
              <w:left w:val="nil"/>
              <w:bottom w:val="single" w:sz="4" w:space="0" w:color="auto"/>
              <w:right w:val="single" w:sz="4" w:space="0" w:color="auto"/>
            </w:tcBorders>
            <w:shd w:val="clear" w:color="auto" w:fill="auto"/>
            <w:noWrap/>
            <w:vAlign w:val="bottom"/>
            <w:hideMark/>
          </w:tcPr>
          <w:p w14:paraId="14695B83"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0.489</w:t>
            </w:r>
          </w:p>
        </w:tc>
        <w:tc>
          <w:tcPr>
            <w:tcW w:w="960" w:type="dxa"/>
            <w:tcBorders>
              <w:top w:val="nil"/>
              <w:left w:val="nil"/>
              <w:bottom w:val="single" w:sz="4" w:space="0" w:color="auto"/>
              <w:right w:val="single" w:sz="4" w:space="0" w:color="auto"/>
            </w:tcBorders>
            <w:shd w:val="clear" w:color="auto" w:fill="auto"/>
            <w:noWrap/>
            <w:vAlign w:val="bottom"/>
            <w:hideMark/>
          </w:tcPr>
          <w:p w14:paraId="28E87932"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0.511</w:t>
            </w:r>
          </w:p>
        </w:tc>
        <w:tc>
          <w:tcPr>
            <w:tcW w:w="960" w:type="dxa"/>
            <w:tcBorders>
              <w:top w:val="nil"/>
              <w:left w:val="nil"/>
              <w:bottom w:val="single" w:sz="4" w:space="0" w:color="auto"/>
              <w:right w:val="single" w:sz="4" w:space="0" w:color="auto"/>
            </w:tcBorders>
            <w:shd w:val="clear" w:color="auto" w:fill="auto"/>
            <w:noWrap/>
            <w:vAlign w:val="bottom"/>
            <w:hideMark/>
          </w:tcPr>
          <w:p w14:paraId="797E4D60"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0.588</w:t>
            </w:r>
          </w:p>
        </w:tc>
        <w:tc>
          <w:tcPr>
            <w:tcW w:w="960" w:type="dxa"/>
            <w:tcBorders>
              <w:top w:val="nil"/>
              <w:left w:val="nil"/>
              <w:bottom w:val="single" w:sz="4" w:space="0" w:color="auto"/>
              <w:right w:val="single" w:sz="4" w:space="0" w:color="auto"/>
            </w:tcBorders>
            <w:shd w:val="clear" w:color="auto" w:fill="auto"/>
            <w:noWrap/>
            <w:vAlign w:val="bottom"/>
            <w:hideMark/>
          </w:tcPr>
          <w:p w14:paraId="7D6B5063"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0.412</w:t>
            </w:r>
          </w:p>
        </w:tc>
      </w:tr>
      <w:tr w:rsidR="004730B7" w:rsidRPr="004730B7" w14:paraId="40BCF19E" w14:textId="77777777" w:rsidTr="004730B7">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7620F593"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SE-N_48</w:t>
            </w:r>
          </w:p>
        </w:tc>
        <w:tc>
          <w:tcPr>
            <w:tcW w:w="3660" w:type="dxa"/>
            <w:tcBorders>
              <w:top w:val="nil"/>
              <w:left w:val="nil"/>
              <w:bottom w:val="single" w:sz="4" w:space="0" w:color="auto"/>
              <w:right w:val="single" w:sz="4" w:space="0" w:color="auto"/>
            </w:tcBorders>
            <w:shd w:val="clear" w:color="auto" w:fill="auto"/>
            <w:noWrap/>
            <w:vAlign w:val="bottom"/>
            <w:hideMark/>
          </w:tcPr>
          <w:p w14:paraId="697A121E"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Nogales</w:t>
            </w:r>
          </w:p>
        </w:tc>
        <w:tc>
          <w:tcPr>
            <w:tcW w:w="960" w:type="dxa"/>
            <w:tcBorders>
              <w:top w:val="nil"/>
              <w:left w:val="nil"/>
              <w:bottom w:val="single" w:sz="4" w:space="0" w:color="auto"/>
              <w:right w:val="single" w:sz="4" w:space="0" w:color="auto"/>
            </w:tcBorders>
            <w:shd w:val="clear" w:color="auto" w:fill="auto"/>
            <w:noWrap/>
            <w:vAlign w:val="bottom"/>
            <w:hideMark/>
          </w:tcPr>
          <w:p w14:paraId="0B16038F"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0.270</w:t>
            </w:r>
          </w:p>
        </w:tc>
        <w:tc>
          <w:tcPr>
            <w:tcW w:w="960" w:type="dxa"/>
            <w:tcBorders>
              <w:top w:val="nil"/>
              <w:left w:val="nil"/>
              <w:bottom w:val="single" w:sz="4" w:space="0" w:color="auto"/>
              <w:right w:val="single" w:sz="4" w:space="0" w:color="auto"/>
            </w:tcBorders>
            <w:shd w:val="clear" w:color="auto" w:fill="auto"/>
            <w:noWrap/>
            <w:vAlign w:val="bottom"/>
            <w:hideMark/>
          </w:tcPr>
          <w:p w14:paraId="669345AF"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0.730</w:t>
            </w:r>
          </w:p>
        </w:tc>
        <w:tc>
          <w:tcPr>
            <w:tcW w:w="960" w:type="dxa"/>
            <w:tcBorders>
              <w:top w:val="nil"/>
              <w:left w:val="nil"/>
              <w:bottom w:val="single" w:sz="4" w:space="0" w:color="auto"/>
              <w:right w:val="single" w:sz="4" w:space="0" w:color="auto"/>
            </w:tcBorders>
            <w:shd w:val="clear" w:color="auto" w:fill="auto"/>
            <w:noWrap/>
            <w:vAlign w:val="bottom"/>
            <w:hideMark/>
          </w:tcPr>
          <w:p w14:paraId="3AE54861"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0.364</w:t>
            </w:r>
          </w:p>
        </w:tc>
        <w:tc>
          <w:tcPr>
            <w:tcW w:w="960" w:type="dxa"/>
            <w:tcBorders>
              <w:top w:val="nil"/>
              <w:left w:val="nil"/>
              <w:bottom w:val="single" w:sz="4" w:space="0" w:color="auto"/>
              <w:right w:val="single" w:sz="4" w:space="0" w:color="auto"/>
            </w:tcBorders>
            <w:shd w:val="clear" w:color="auto" w:fill="auto"/>
            <w:noWrap/>
            <w:vAlign w:val="bottom"/>
            <w:hideMark/>
          </w:tcPr>
          <w:p w14:paraId="09168A1B"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0.636</w:t>
            </w:r>
          </w:p>
        </w:tc>
      </w:tr>
      <w:tr w:rsidR="004730B7" w:rsidRPr="004730B7" w14:paraId="33CD70A2" w14:textId="77777777" w:rsidTr="004730B7">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2B8E2300"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SE-N_49</w:t>
            </w:r>
          </w:p>
        </w:tc>
        <w:tc>
          <w:tcPr>
            <w:tcW w:w="3660" w:type="dxa"/>
            <w:tcBorders>
              <w:top w:val="nil"/>
              <w:left w:val="nil"/>
              <w:bottom w:val="single" w:sz="4" w:space="0" w:color="auto"/>
              <w:right w:val="single" w:sz="4" w:space="0" w:color="auto"/>
            </w:tcBorders>
            <w:shd w:val="clear" w:color="auto" w:fill="auto"/>
            <w:noWrap/>
            <w:vAlign w:val="bottom"/>
            <w:hideMark/>
          </w:tcPr>
          <w:p w14:paraId="06E1805C"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Nueva Alto Melipilla</w:t>
            </w:r>
          </w:p>
        </w:tc>
        <w:tc>
          <w:tcPr>
            <w:tcW w:w="960" w:type="dxa"/>
            <w:tcBorders>
              <w:top w:val="nil"/>
              <w:left w:val="nil"/>
              <w:bottom w:val="single" w:sz="4" w:space="0" w:color="auto"/>
              <w:right w:val="single" w:sz="4" w:space="0" w:color="auto"/>
            </w:tcBorders>
            <w:shd w:val="clear" w:color="auto" w:fill="auto"/>
            <w:noWrap/>
            <w:vAlign w:val="bottom"/>
            <w:hideMark/>
          </w:tcPr>
          <w:p w14:paraId="1405F63B"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43C400BD"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515D1B31"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7BE8FA0B"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0.000</w:t>
            </w:r>
          </w:p>
        </w:tc>
      </w:tr>
      <w:tr w:rsidR="004730B7" w:rsidRPr="004730B7" w14:paraId="29338D5C" w14:textId="77777777" w:rsidTr="004730B7">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6B66BB42"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SE-N_50</w:t>
            </w:r>
          </w:p>
        </w:tc>
        <w:tc>
          <w:tcPr>
            <w:tcW w:w="3660" w:type="dxa"/>
            <w:tcBorders>
              <w:top w:val="nil"/>
              <w:left w:val="nil"/>
              <w:bottom w:val="single" w:sz="4" w:space="0" w:color="auto"/>
              <w:right w:val="single" w:sz="4" w:space="0" w:color="auto"/>
            </w:tcBorders>
            <w:shd w:val="clear" w:color="auto" w:fill="auto"/>
            <w:noWrap/>
            <w:vAlign w:val="bottom"/>
            <w:hideMark/>
          </w:tcPr>
          <w:p w14:paraId="5F2ACCF5"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Nueva Cardones</w:t>
            </w:r>
          </w:p>
        </w:tc>
        <w:tc>
          <w:tcPr>
            <w:tcW w:w="960" w:type="dxa"/>
            <w:tcBorders>
              <w:top w:val="nil"/>
              <w:left w:val="nil"/>
              <w:bottom w:val="single" w:sz="4" w:space="0" w:color="auto"/>
              <w:right w:val="single" w:sz="4" w:space="0" w:color="auto"/>
            </w:tcBorders>
            <w:shd w:val="clear" w:color="auto" w:fill="auto"/>
            <w:noWrap/>
            <w:vAlign w:val="bottom"/>
            <w:hideMark/>
          </w:tcPr>
          <w:p w14:paraId="0805C81F"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0.333</w:t>
            </w:r>
          </w:p>
        </w:tc>
        <w:tc>
          <w:tcPr>
            <w:tcW w:w="960" w:type="dxa"/>
            <w:tcBorders>
              <w:top w:val="nil"/>
              <w:left w:val="nil"/>
              <w:bottom w:val="single" w:sz="4" w:space="0" w:color="auto"/>
              <w:right w:val="single" w:sz="4" w:space="0" w:color="auto"/>
            </w:tcBorders>
            <w:shd w:val="clear" w:color="auto" w:fill="auto"/>
            <w:noWrap/>
            <w:vAlign w:val="bottom"/>
            <w:hideMark/>
          </w:tcPr>
          <w:p w14:paraId="60DAFD10"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0.667</w:t>
            </w:r>
          </w:p>
        </w:tc>
        <w:tc>
          <w:tcPr>
            <w:tcW w:w="960" w:type="dxa"/>
            <w:tcBorders>
              <w:top w:val="nil"/>
              <w:left w:val="nil"/>
              <w:bottom w:val="single" w:sz="4" w:space="0" w:color="auto"/>
              <w:right w:val="single" w:sz="4" w:space="0" w:color="auto"/>
            </w:tcBorders>
            <w:shd w:val="clear" w:color="auto" w:fill="auto"/>
            <w:noWrap/>
            <w:vAlign w:val="bottom"/>
            <w:hideMark/>
          </w:tcPr>
          <w:p w14:paraId="4C2B4AAB"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0.438</w:t>
            </w:r>
          </w:p>
        </w:tc>
        <w:tc>
          <w:tcPr>
            <w:tcW w:w="960" w:type="dxa"/>
            <w:tcBorders>
              <w:top w:val="nil"/>
              <w:left w:val="nil"/>
              <w:bottom w:val="single" w:sz="4" w:space="0" w:color="auto"/>
              <w:right w:val="single" w:sz="4" w:space="0" w:color="auto"/>
            </w:tcBorders>
            <w:shd w:val="clear" w:color="auto" w:fill="auto"/>
            <w:noWrap/>
            <w:vAlign w:val="bottom"/>
            <w:hideMark/>
          </w:tcPr>
          <w:p w14:paraId="33DC65A0"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0.562</w:t>
            </w:r>
          </w:p>
        </w:tc>
      </w:tr>
      <w:tr w:rsidR="004730B7" w:rsidRPr="004730B7" w14:paraId="04473235" w14:textId="77777777" w:rsidTr="004730B7">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39C2BAEB"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SE-N_51</w:t>
            </w:r>
          </w:p>
        </w:tc>
        <w:tc>
          <w:tcPr>
            <w:tcW w:w="3660" w:type="dxa"/>
            <w:tcBorders>
              <w:top w:val="nil"/>
              <w:left w:val="nil"/>
              <w:bottom w:val="single" w:sz="4" w:space="0" w:color="auto"/>
              <w:right w:val="single" w:sz="4" w:space="0" w:color="auto"/>
            </w:tcBorders>
            <w:shd w:val="clear" w:color="auto" w:fill="auto"/>
            <w:noWrap/>
            <w:vAlign w:val="bottom"/>
            <w:hideMark/>
          </w:tcPr>
          <w:p w14:paraId="7E89A18F"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Nueva Pichirropulli</w:t>
            </w:r>
          </w:p>
        </w:tc>
        <w:tc>
          <w:tcPr>
            <w:tcW w:w="960" w:type="dxa"/>
            <w:tcBorders>
              <w:top w:val="nil"/>
              <w:left w:val="nil"/>
              <w:bottom w:val="single" w:sz="4" w:space="0" w:color="auto"/>
              <w:right w:val="single" w:sz="4" w:space="0" w:color="auto"/>
            </w:tcBorders>
            <w:shd w:val="clear" w:color="auto" w:fill="auto"/>
            <w:noWrap/>
            <w:vAlign w:val="bottom"/>
            <w:hideMark/>
          </w:tcPr>
          <w:p w14:paraId="0107E323"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0.051</w:t>
            </w:r>
          </w:p>
        </w:tc>
        <w:tc>
          <w:tcPr>
            <w:tcW w:w="960" w:type="dxa"/>
            <w:tcBorders>
              <w:top w:val="nil"/>
              <w:left w:val="nil"/>
              <w:bottom w:val="single" w:sz="4" w:space="0" w:color="auto"/>
              <w:right w:val="single" w:sz="4" w:space="0" w:color="auto"/>
            </w:tcBorders>
            <w:shd w:val="clear" w:color="auto" w:fill="auto"/>
            <w:noWrap/>
            <w:vAlign w:val="bottom"/>
            <w:hideMark/>
          </w:tcPr>
          <w:p w14:paraId="26A176AE"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0.949</w:t>
            </w:r>
          </w:p>
        </w:tc>
        <w:tc>
          <w:tcPr>
            <w:tcW w:w="960" w:type="dxa"/>
            <w:tcBorders>
              <w:top w:val="nil"/>
              <w:left w:val="nil"/>
              <w:bottom w:val="single" w:sz="4" w:space="0" w:color="auto"/>
              <w:right w:val="single" w:sz="4" w:space="0" w:color="auto"/>
            </w:tcBorders>
            <w:shd w:val="clear" w:color="auto" w:fill="auto"/>
            <w:noWrap/>
            <w:vAlign w:val="bottom"/>
            <w:hideMark/>
          </w:tcPr>
          <w:p w14:paraId="1B52B733"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0.078</w:t>
            </w:r>
          </w:p>
        </w:tc>
        <w:tc>
          <w:tcPr>
            <w:tcW w:w="960" w:type="dxa"/>
            <w:tcBorders>
              <w:top w:val="nil"/>
              <w:left w:val="nil"/>
              <w:bottom w:val="single" w:sz="4" w:space="0" w:color="auto"/>
              <w:right w:val="single" w:sz="4" w:space="0" w:color="auto"/>
            </w:tcBorders>
            <w:shd w:val="clear" w:color="auto" w:fill="auto"/>
            <w:noWrap/>
            <w:vAlign w:val="bottom"/>
            <w:hideMark/>
          </w:tcPr>
          <w:p w14:paraId="4F4AD12B"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0.922</w:t>
            </w:r>
          </w:p>
        </w:tc>
      </w:tr>
      <w:tr w:rsidR="004730B7" w:rsidRPr="004730B7" w14:paraId="5121B215" w14:textId="77777777" w:rsidTr="004730B7">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3A5DD360"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SE-N_52</w:t>
            </w:r>
          </w:p>
        </w:tc>
        <w:tc>
          <w:tcPr>
            <w:tcW w:w="3660" w:type="dxa"/>
            <w:tcBorders>
              <w:top w:val="nil"/>
              <w:left w:val="nil"/>
              <w:bottom w:val="single" w:sz="4" w:space="0" w:color="auto"/>
              <w:right w:val="single" w:sz="4" w:space="0" w:color="auto"/>
            </w:tcBorders>
            <w:shd w:val="clear" w:color="auto" w:fill="auto"/>
            <w:noWrap/>
            <w:vAlign w:val="bottom"/>
            <w:hideMark/>
          </w:tcPr>
          <w:p w14:paraId="3C82E596"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Nueva Victoria</w:t>
            </w:r>
          </w:p>
        </w:tc>
        <w:tc>
          <w:tcPr>
            <w:tcW w:w="960" w:type="dxa"/>
            <w:tcBorders>
              <w:top w:val="nil"/>
              <w:left w:val="nil"/>
              <w:bottom w:val="single" w:sz="4" w:space="0" w:color="auto"/>
              <w:right w:val="single" w:sz="4" w:space="0" w:color="auto"/>
            </w:tcBorders>
            <w:shd w:val="clear" w:color="auto" w:fill="auto"/>
            <w:noWrap/>
            <w:vAlign w:val="bottom"/>
            <w:hideMark/>
          </w:tcPr>
          <w:p w14:paraId="04AE91EC"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3820C9D3"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5CEB7B3E"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50E3E053"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0.000</w:t>
            </w:r>
          </w:p>
        </w:tc>
      </w:tr>
      <w:tr w:rsidR="004730B7" w:rsidRPr="004730B7" w14:paraId="3CC574F0" w14:textId="77777777" w:rsidTr="004730B7">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14B9B8FB"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SE-N_53</w:t>
            </w:r>
          </w:p>
        </w:tc>
        <w:tc>
          <w:tcPr>
            <w:tcW w:w="3660" w:type="dxa"/>
            <w:tcBorders>
              <w:top w:val="nil"/>
              <w:left w:val="nil"/>
              <w:bottom w:val="single" w:sz="4" w:space="0" w:color="auto"/>
              <w:right w:val="single" w:sz="4" w:space="0" w:color="auto"/>
            </w:tcBorders>
            <w:shd w:val="clear" w:color="auto" w:fill="auto"/>
            <w:noWrap/>
            <w:vAlign w:val="bottom"/>
            <w:hideMark/>
          </w:tcPr>
          <w:p w14:paraId="33FA377F"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O Higgins</w:t>
            </w:r>
          </w:p>
        </w:tc>
        <w:tc>
          <w:tcPr>
            <w:tcW w:w="960" w:type="dxa"/>
            <w:tcBorders>
              <w:top w:val="nil"/>
              <w:left w:val="nil"/>
              <w:bottom w:val="single" w:sz="4" w:space="0" w:color="auto"/>
              <w:right w:val="single" w:sz="4" w:space="0" w:color="auto"/>
            </w:tcBorders>
            <w:shd w:val="clear" w:color="auto" w:fill="auto"/>
            <w:noWrap/>
            <w:vAlign w:val="bottom"/>
            <w:hideMark/>
          </w:tcPr>
          <w:p w14:paraId="212FD376"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42D024EB"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1.000</w:t>
            </w:r>
          </w:p>
        </w:tc>
        <w:tc>
          <w:tcPr>
            <w:tcW w:w="960" w:type="dxa"/>
            <w:tcBorders>
              <w:top w:val="nil"/>
              <w:left w:val="nil"/>
              <w:bottom w:val="single" w:sz="4" w:space="0" w:color="auto"/>
              <w:right w:val="single" w:sz="4" w:space="0" w:color="auto"/>
            </w:tcBorders>
            <w:shd w:val="clear" w:color="auto" w:fill="auto"/>
            <w:noWrap/>
            <w:vAlign w:val="bottom"/>
            <w:hideMark/>
          </w:tcPr>
          <w:p w14:paraId="4625170C"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17F212BC"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1.000</w:t>
            </w:r>
          </w:p>
        </w:tc>
      </w:tr>
      <w:tr w:rsidR="004730B7" w:rsidRPr="004730B7" w14:paraId="0AE59A32" w14:textId="77777777" w:rsidTr="004730B7">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7E23EF54"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SE-N_54</w:t>
            </w:r>
          </w:p>
        </w:tc>
        <w:tc>
          <w:tcPr>
            <w:tcW w:w="3660" w:type="dxa"/>
            <w:tcBorders>
              <w:top w:val="nil"/>
              <w:left w:val="nil"/>
              <w:bottom w:val="single" w:sz="4" w:space="0" w:color="auto"/>
              <w:right w:val="single" w:sz="4" w:space="0" w:color="auto"/>
            </w:tcBorders>
            <w:shd w:val="clear" w:color="auto" w:fill="auto"/>
            <w:noWrap/>
            <w:vAlign w:val="bottom"/>
            <w:hideMark/>
          </w:tcPr>
          <w:p w14:paraId="43A1690B"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Pan de Azucar</w:t>
            </w:r>
          </w:p>
        </w:tc>
        <w:tc>
          <w:tcPr>
            <w:tcW w:w="960" w:type="dxa"/>
            <w:tcBorders>
              <w:top w:val="nil"/>
              <w:left w:val="nil"/>
              <w:bottom w:val="single" w:sz="4" w:space="0" w:color="auto"/>
              <w:right w:val="single" w:sz="4" w:space="0" w:color="auto"/>
            </w:tcBorders>
            <w:shd w:val="clear" w:color="auto" w:fill="auto"/>
            <w:noWrap/>
            <w:vAlign w:val="bottom"/>
            <w:hideMark/>
          </w:tcPr>
          <w:p w14:paraId="2247AAAF"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0.111</w:t>
            </w:r>
          </w:p>
        </w:tc>
        <w:tc>
          <w:tcPr>
            <w:tcW w:w="960" w:type="dxa"/>
            <w:tcBorders>
              <w:top w:val="nil"/>
              <w:left w:val="nil"/>
              <w:bottom w:val="single" w:sz="4" w:space="0" w:color="auto"/>
              <w:right w:val="single" w:sz="4" w:space="0" w:color="auto"/>
            </w:tcBorders>
            <w:shd w:val="clear" w:color="auto" w:fill="auto"/>
            <w:noWrap/>
            <w:vAlign w:val="bottom"/>
            <w:hideMark/>
          </w:tcPr>
          <w:p w14:paraId="326BAD54"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0.889</w:t>
            </w:r>
          </w:p>
        </w:tc>
        <w:tc>
          <w:tcPr>
            <w:tcW w:w="960" w:type="dxa"/>
            <w:tcBorders>
              <w:top w:val="nil"/>
              <w:left w:val="nil"/>
              <w:bottom w:val="single" w:sz="4" w:space="0" w:color="auto"/>
              <w:right w:val="single" w:sz="4" w:space="0" w:color="auto"/>
            </w:tcBorders>
            <w:shd w:val="clear" w:color="auto" w:fill="auto"/>
            <w:noWrap/>
            <w:vAlign w:val="bottom"/>
            <w:hideMark/>
          </w:tcPr>
          <w:p w14:paraId="67E53A5E"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0.241</w:t>
            </w:r>
          </w:p>
        </w:tc>
        <w:tc>
          <w:tcPr>
            <w:tcW w:w="960" w:type="dxa"/>
            <w:tcBorders>
              <w:top w:val="nil"/>
              <w:left w:val="nil"/>
              <w:bottom w:val="single" w:sz="4" w:space="0" w:color="auto"/>
              <w:right w:val="single" w:sz="4" w:space="0" w:color="auto"/>
            </w:tcBorders>
            <w:shd w:val="clear" w:color="auto" w:fill="auto"/>
            <w:noWrap/>
            <w:vAlign w:val="bottom"/>
            <w:hideMark/>
          </w:tcPr>
          <w:p w14:paraId="5FFD1398"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0.759</w:t>
            </w:r>
          </w:p>
        </w:tc>
      </w:tr>
      <w:tr w:rsidR="004730B7" w:rsidRPr="004730B7" w14:paraId="77126F06" w14:textId="77777777" w:rsidTr="004730B7">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255919D3"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SE-N_55</w:t>
            </w:r>
          </w:p>
        </w:tc>
        <w:tc>
          <w:tcPr>
            <w:tcW w:w="3660" w:type="dxa"/>
            <w:tcBorders>
              <w:top w:val="nil"/>
              <w:left w:val="nil"/>
              <w:bottom w:val="single" w:sz="4" w:space="0" w:color="auto"/>
              <w:right w:val="single" w:sz="4" w:space="0" w:color="auto"/>
            </w:tcBorders>
            <w:shd w:val="clear" w:color="auto" w:fill="auto"/>
            <w:noWrap/>
            <w:vAlign w:val="bottom"/>
            <w:hideMark/>
          </w:tcPr>
          <w:p w14:paraId="66408D31"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Parinacota</w:t>
            </w:r>
          </w:p>
        </w:tc>
        <w:tc>
          <w:tcPr>
            <w:tcW w:w="960" w:type="dxa"/>
            <w:tcBorders>
              <w:top w:val="nil"/>
              <w:left w:val="nil"/>
              <w:bottom w:val="single" w:sz="4" w:space="0" w:color="auto"/>
              <w:right w:val="single" w:sz="4" w:space="0" w:color="auto"/>
            </w:tcBorders>
            <w:shd w:val="clear" w:color="auto" w:fill="auto"/>
            <w:noWrap/>
            <w:vAlign w:val="bottom"/>
            <w:hideMark/>
          </w:tcPr>
          <w:p w14:paraId="55756CF6"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0.804</w:t>
            </w:r>
          </w:p>
        </w:tc>
        <w:tc>
          <w:tcPr>
            <w:tcW w:w="960" w:type="dxa"/>
            <w:tcBorders>
              <w:top w:val="nil"/>
              <w:left w:val="nil"/>
              <w:bottom w:val="single" w:sz="4" w:space="0" w:color="auto"/>
              <w:right w:val="single" w:sz="4" w:space="0" w:color="auto"/>
            </w:tcBorders>
            <w:shd w:val="clear" w:color="auto" w:fill="auto"/>
            <w:noWrap/>
            <w:vAlign w:val="bottom"/>
            <w:hideMark/>
          </w:tcPr>
          <w:p w14:paraId="14E2033E"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0.196</w:t>
            </w:r>
          </w:p>
        </w:tc>
        <w:tc>
          <w:tcPr>
            <w:tcW w:w="960" w:type="dxa"/>
            <w:tcBorders>
              <w:top w:val="nil"/>
              <w:left w:val="nil"/>
              <w:bottom w:val="single" w:sz="4" w:space="0" w:color="auto"/>
              <w:right w:val="single" w:sz="4" w:space="0" w:color="auto"/>
            </w:tcBorders>
            <w:shd w:val="clear" w:color="auto" w:fill="auto"/>
            <w:noWrap/>
            <w:vAlign w:val="bottom"/>
            <w:hideMark/>
          </w:tcPr>
          <w:p w14:paraId="3DA32E40"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0.876</w:t>
            </w:r>
          </w:p>
        </w:tc>
        <w:tc>
          <w:tcPr>
            <w:tcW w:w="960" w:type="dxa"/>
            <w:tcBorders>
              <w:top w:val="nil"/>
              <w:left w:val="nil"/>
              <w:bottom w:val="single" w:sz="4" w:space="0" w:color="auto"/>
              <w:right w:val="single" w:sz="4" w:space="0" w:color="auto"/>
            </w:tcBorders>
            <w:shd w:val="clear" w:color="auto" w:fill="auto"/>
            <w:noWrap/>
            <w:vAlign w:val="bottom"/>
            <w:hideMark/>
          </w:tcPr>
          <w:p w14:paraId="38322717"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0.124</w:t>
            </w:r>
          </w:p>
        </w:tc>
      </w:tr>
      <w:tr w:rsidR="004730B7" w:rsidRPr="004730B7" w14:paraId="3EF604CC" w14:textId="77777777" w:rsidTr="004730B7">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193A38EF"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SE-N_56</w:t>
            </w:r>
          </w:p>
        </w:tc>
        <w:tc>
          <w:tcPr>
            <w:tcW w:w="3660" w:type="dxa"/>
            <w:tcBorders>
              <w:top w:val="nil"/>
              <w:left w:val="nil"/>
              <w:bottom w:val="single" w:sz="4" w:space="0" w:color="auto"/>
              <w:right w:val="single" w:sz="4" w:space="0" w:color="auto"/>
            </w:tcBorders>
            <w:shd w:val="clear" w:color="auto" w:fill="auto"/>
            <w:noWrap/>
            <w:vAlign w:val="bottom"/>
            <w:hideMark/>
          </w:tcPr>
          <w:p w14:paraId="69A6F71F"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Polpaico</w:t>
            </w:r>
          </w:p>
        </w:tc>
        <w:tc>
          <w:tcPr>
            <w:tcW w:w="960" w:type="dxa"/>
            <w:tcBorders>
              <w:top w:val="nil"/>
              <w:left w:val="nil"/>
              <w:bottom w:val="single" w:sz="4" w:space="0" w:color="auto"/>
              <w:right w:val="single" w:sz="4" w:space="0" w:color="auto"/>
            </w:tcBorders>
            <w:shd w:val="clear" w:color="auto" w:fill="auto"/>
            <w:noWrap/>
            <w:vAlign w:val="bottom"/>
            <w:hideMark/>
          </w:tcPr>
          <w:p w14:paraId="45635959"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0.161</w:t>
            </w:r>
          </w:p>
        </w:tc>
        <w:tc>
          <w:tcPr>
            <w:tcW w:w="960" w:type="dxa"/>
            <w:tcBorders>
              <w:top w:val="nil"/>
              <w:left w:val="nil"/>
              <w:bottom w:val="single" w:sz="4" w:space="0" w:color="auto"/>
              <w:right w:val="single" w:sz="4" w:space="0" w:color="auto"/>
            </w:tcBorders>
            <w:shd w:val="clear" w:color="auto" w:fill="auto"/>
            <w:noWrap/>
            <w:vAlign w:val="bottom"/>
            <w:hideMark/>
          </w:tcPr>
          <w:p w14:paraId="0F677331"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0.839</w:t>
            </w:r>
          </w:p>
        </w:tc>
        <w:tc>
          <w:tcPr>
            <w:tcW w:w="960" w:type="dxa"/>
            <w:tcBorders>
              <w:top w:val="nil"/>
              <w:left w:val="nil"/>
              <w:bottom w:val="single" w:sz="4" w:space="0" w:color="auto"/>
              <w:right w:val="single" w:sz="4" w:space="0" w:color="auto"/>
            </w:tcBorders>
            <w:shd w:val="clear" w:color="auto" w:fill="auto"/>
            <w:noWrap/>
            <w:vAlign w:val="bottom"/>
            <w:hideMark/>
          </w:tcPr>
          <w:p w14:paraId="0EBAD9B3"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0.286</w:t>
            </w:r>
          </w:p>
        </w:tc>
        <w:tc>
          <w:tcPr>
            <w:tcW w:w="960" w:type="dxa"/>
            <w:tcBorders>
              <w:top w:val="nil"/>
              <w:left w:val="nil"/>
              <w:bottom w:val="single" w:sz="4" w:space="0" w:color="auto"/>
              <w:right w:val="single" w:sz="4" w:space="0" w:color="auto"/>
            </w:tcBorders>
            <w:shd w:val="clear" w:color="auto" w:fill="auto"/>
            <w:noWrap/>
            <w:vAlign w:val="bottom"/>
            <w:hideMark/>
          </w:tcPr>
          <w:p w14:paraId="313E52AA"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0.714</w:t>
            </w:r>
          </w:p>
        </w:tc>
      </w:tr>
      <w:tr w:rsidR="004730B7" w:rsidRPr="004730B7" w14:paraId="3ACA8C9D" w14:textId="77777777" w:rsidTr="004730B7">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7F22D30F"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SE-N_57</w:t>
            </w:r>
          </w:p>
        </w:tc>
        <w:tc>
          <w:tcPr>
            <w:tcW w:w="3660" w:type="dxa"/>
            <w:tcBorders>
              <w:top w:val="nil"/>
              <w:left w:val="nil"/>
              <w:bottom w:val="single" w:sz="4" w:space="0" w:color="auto"/>
              <w:right w:val="single" w:sz="4" w:space="0" w:color="auto"/>
            </w:tcBorders>
            <w:shd w:val="clear" w:color="auto" w:fill="auto"/>
            <w:noWrap/>
            <w:vAlign w:val="bottom"/>
            <w:hideMark/>
          </w:tcPr>
          <w:p w14:paraId="7607D531"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Pozo Almonte</w:t>
            </w:r>
          </w:p>
        </w:tc>
        <w:tc>
          <w:tcPr>
            <w:tcW w:w="960" w:type="dxa"/>
            <w:tcBorders>
              <w:top w:val="nil"/>
              <w:left w:val="nil"/>
              <w:bottom w:val="single" w:sz="4" w:space="0" w:color="auto"/>
              <w:right w:val="single" w:sz="4" w:space="0" w:color="auto"/>
            </w:tcBorders>
            <w:shd w:val="clear" w:color="auto" w:fill="auto"/>
            <w:noWrap/>
            <w:vAlign w:val="bottom"/>
            <w:hideMark/>
          </w:tcPr>
          <w:p w14:paraId="258AA47A"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0.496</w:t>
            </w:r>
          </w:p>
        </w:tc>
        <w:tc>
          <w:tcPr>
            <w:tcW w:w="960" w:type="dxa"/>
            <w:tcBorders>
              <w:top w:val="nil"/>
              <w:left w:val="nil"/>
              <w:bottom w:val="single" w:sz="4" w:space="0" w:color="auto"/>
              <w:right w:val="single" w:sz="4" w:space="0" w:color="auto"/>
            </w:tcBorders>
            <w:shd w:val="clear" w:color="auto" w:fill="auto"/>
            <w:noWrap/>
            <w:vAlign w:val="bottom"/>
            <w:hideMark/>
          </w:tcPr>
          <w:p w14:paraId="52D4908B"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0.504</w:t>
            </w:r>
          </w:p>
        </w:tc>
        <w:tc>
          <w:tcPr>
            <w:tcW w:w="960" w:type="dxa"/>
            <w:tcBorders>
              <w:top w:val="nil"/>
              <w:left w:val="nil"/>
              <w:bottom w:val="single" w:sz="4" w:space="0" w:color="auto"/>
              <w:right w:val="single" w:sz="4" w:space="0" w:color="auto"/>
            </w:tcBorders>
            <w:shd w:val="clear" w:color="auto" w:fill="auto"/>
            <w:noWrap/>
            <w:vAlign w:val="bottom"/>
            <w:hideMark/>
          </w:tcPr>
          <w:p w14:paraId="3FBA157D"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0.565</w:t>
            </w:r>
          </w:p>
        </w:tc>
        <w:tc>
          <w:tcPr>
            <w:tcW w:w="960" w:type="dxa"/>
            <w:tcBorders>
              <w:top w:val="nil"/>
              <w:left w:val="nil"/>
              <w:bottom w:val="single" w:sz="4" w:space="0" w:color="auto"/>
              <w:right w:val="single" w:sz="4" w:space="0" w:color="auto"/>
            </w:tcBorders>
            <w:shd w:val="clear" w:color="auto" w:fill="auto"/>
            <w:noWrap/>
            <w:vAlign w:val="bottom"/>
            <w:hideMark/>
          </w:tcPr>
          <w:p w14:paraId="60D732F3"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0.435</w:t>
            </w:r>
          </w:p>
        </w:tc>
      </w:tr>
      <w:tr w:rsidR="004730B7" w:rsidRPr="004730B7" w14:paraId="08197ED2" w14:textId="77777777" w:rsidTr="004730B7">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078131F0"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SE-N_58</w:t>
            </w:r>
          </w:p>
        </w:tc>
        <w:tc>
          <w:tcPr>
            <w:tcW w:w="3660" w:type="dxa"/>
            <w:tcBorders>
              <w:top w:val="nil"/>
              <w:left w:val="nil"/>
              <w:bottom w:val="single" w:sz="4" w:space="0" w:color="auto"/>
              <w:right w:val="single" w:sz="4" w:space="0" w:color="auto"/>
            </w:tcBorders>
            <w:shd w:val="clear" w:color="auto" w:fill="auto"/>
            <w:noWrap/>
            <w:vAlign w:val="bottom"/>
            <w:hideMark/>
          </w:tcPr>
          <w:p w14:paraId="026581EF"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Puente Negro</w:t>
            </w:r>
          </w:p>
        </w:tc>
        <w:tc>
          <w:tcPr>
            <w:tcW w:w="960" w:type="dxa"/>
            <w:tcBorders>
              <w:top w:val="nil"/>
              <w:left w:val="nil"/>
              <w:bottom w:val="single" w:sz="4" w:space="0" w:color="auto"/>
              <w:right w:val="single" w:sz="4" w:space="0" w:color="auto"/>
            </w:tcBorders>
            <w:shd w:val="clear" w:color="auto" w:fill="auto"/>
            <w:noWrap/>
            <w:vAlign w:val="bottom"/>
            <w:hideMark/>
          </w:tcPr>
          <w:p w14:paraId="0B3654B7"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3E5CAE60"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049A64B2"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3215C453"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0.000</w:t>
            </w:r>
          </w:p>
        </w:tc>
      </w:tr>
      <w:tr w:rsidR="004730B7" w:rsidRPr="004730B7" w14:paraId="48955365" w14:textId="77777777" w:rsidTr="004730B7">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5522E986"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SE-N_59</w:t>
            </w:r>
          </w:p>
        </w:tc>
        <w:tc>
          <w:tcPr>
            <w:tcW w:w="3660" w:type="dxa"/>
            <w:tcBorders>
              <w:top w:val="nil"/>
              <w:left w:val="nil"/>
              <w:bottom w:val="single" w:sz="4" w:space="0" w:color="auto"/>
              <w:right w:val="single" w:sz="4" w:space="0" w:color="auto"/>
            </w:tcBorders>
            <w:shd w:val="clear" w:color="auto" w:fill="auto"/>
            <w:noWrap/>
            <w:vAlign w:val="bottom"/>
            <w:hideMark/>
          </w:tcPr>
          <w:p w14:paraId="37658C1A"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Puerto Montt</w:t>
            </w:r>
          </w:p>
        </w:tc>
        <w:tc>
          <w:tcPr>
            <w:tcW w:w="960" w:type="dxa"/>
            <w:tcBorders>
              <w:top w:val="nil"/>
              <w:left w:val="nil"/>
              <w:bottom w:val="single" w:sz="4" w:space="0" w:color="auto"/>
              <w:right w:val="single" w:sz="4" w:space="0" w:color="auto"/>
            </w:tcBorders>
            <w:shd w:val="clear" w:color="auto" w:fill="auto"/>
            <w:noWrap/>
            <w:vAlign w:val="bottom"/>
            <w:hideMark/>
          </w:tcPr>
          <w:p w14:paraId="4DBC93CA"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0.340</w:t>
            </w:r>
          </w:p>
        </w:tc>
        <w:tc>
          <w:tcPr>
            <w:tcW w:w="960" w:type="dxa"/>
            <w:tcBorders>
              <w:top w:val="nil"/>
              <w:left w:val="nil"/>
              <w:bottom w:val="single" w:sz="4" w:space="0" w:color="auto"/>
              <w:right w:val="single" w:sz="4" w:space="0" w:color="auto"/>
            </w:tcBorders>
            <w:shd w:val="clear" w:color="auto" w:fill="auto"/>
            <w:noWrap/>
            <w:vAlign w:val="bottom"/>
            <w:hideMark/>
          </w:tcPr>
          <w:p w14:paraId="567E9E1F"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0.660</w:t>
            </w:r>
          </w:p>
        </w:tc>
        <w:tc>
          <w:tcPr>
            <w:tcW w:w="960" w:type="dxa"/>
            <w:tcBorders>
              <w:top w:val="nil"/>
              <w:left w:val="nil"/>
              <w:bottom w:val="single" w:sz="4" w:space="0" w:color="auto"/>
              <w:right w:val="single" w:sz="4" w:space="0" w:color="auto"/>
            </w:tcBorders>
            <w:shd w:val="clear" w:color="auto" w:fill="auto"/>
            <w:noWrap/>
            <w:vAlign w:val="bottom"/>
            <w:hideMark/>
          </w:tcPr>
          <w:p w14:paraId="52850120"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0.587</w:t>
            </w:r>
          </w:p>
        </w:tc>
        <w:tc>
          <w:tcPr>
            <w:tcW w:w="960" w:type="dxa"/>
            <w:tcBorders>
              <w:top w:val="nil"/>
              <w:left w:val="nil"/>
              <w:bottom w:val="single" w:sz="4" w:space="0" w:color="auto"/>
              <w:right w:val="single" w:sz="4" w:space="0" w:color="auto"/>
            </w:tcBorders>
            <w:shd w:val="clear" w:color="auto" w:fill="auto"/>
            <w:noWrap/>
            <w:vAlign w:val="bottom"/>
            <w:hideMark/>
          </w:tcPr>
          <w:p w14:paraId="5388F7C0"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0.413</w:t>
            </w:r>
          </w:p>
        </w:tc>
      </w:tr>
      <w:tr w:rsidR="004730B7" w:rsidRPr="004730B7" w14:paraId="280AC611" w14:textId="77777777" w:rsidTr="004730B7">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23AD30F2"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SE-N_60</w:t>
            </w:r>
          </w:p>
        </w:tc>
        <w:tc>
          <w:tcPr>
            <w:tcW w:w="3660" w:type="dxa"/>
            <w:tcBorders>
              <w:top w:val="nil"/>
              <w:left w:val="nil"/>
              <w:bottom w:val="single" w:sz="4" w:space="0" w:color="auto"/>
              <w:right w:val="single" w:sz="4" w:space="0" w:color="auto"/>
            </w:tcBorders>
            <w:shd w:val="clear" w:color="auto" w:fill="auto"/>
            <w:noWrap/>
            <w:vAlign w:val="bottom"/>
            <w:hideMark/>
          </w:tcPr>
          <w:p w14:paraId="463B72EE"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Punta Colorada</w:t>
            </w:r>
          </w:p>
        </w:tc>
        <w:tc>
          <w:tcPr>
            <w:tcW w:w="960" w:type="dxa"/>
            <w:tcBorders>
              <w:top w:val="nil"/>
              <w:left w:val="nil"/>
              <w:bottom w:val="single" w:sz="4" w:space="0" w:color="auto"/>
              <w:right w:val="single" w:sz="4" w:space="0" w:color="auto"/>
            </w:tcBorders>
            <w:shd w:val="clear" w:color="auto" w:fill="auto"/>
            <w:noWrap/>
            <w:vAlign w:val="bottom"/>
            <w:hideMark/>
          </w:tcPr>
          <w:p w14:paraId="71B4E515"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0.195</w:t>
            </w:r>
          </w:p>
        </w:tc>
        <w:tc>
          <w:tcPr>
            <w:tcW w:w="960" w:type="dxa"/>
            <w:tcBorders>
              <w:top w:val="nil"/>
              <w:left w:val="nil"/>
              <w:bottom w:val="single" w:sz="4" w:space="0" w:color="auto"/>
              <w:right w:val="single" w:sz="4" w:space="0" w:color="auto"/>
            </w:tcBorders>
            <w:shd w:val="clear" w:color="auto" w:fill="auto"/>
            <w:noWrap/>
            <w:vAlign w:val="bottom"/>
            <w:hideMark/>
          </w:tcPr>
          <w:p w14:paraId="43C5418D"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0.805</w:t>
            </w:r>
          </w:p>
        </w:tc>
        <w:tc>
          <w:tcPr>
            <w:tcW w:w="960" w:type="dxa"/>
            <w:tcBorders>
              <w:top w:val="nil"/>
              <w:left w:val="nil"/>
              <w:bottom w:val="single" w:sz="4" w:space="0" w:color="auto"/>
              <w:right w:val="single" w:sz="4" w:space="0" w:color="auto"/>
            </w:tcBorders>
            <w:shd w:val="clear" w:color="auto" w:fill="auto"/>
            <w:noWrap/>
            <w:vAlign w:val="bottom"/>
            <w:hideMark/>
          </w:tcPr>
          <w:p w14:paraId="01709FDC"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0.260</w:t>
            </w:r>
          </w:p>
        </w:tc>
        <w:tc>
          <w:tcPr>
            <w:tcW w:w="960" w:type="dxa"/>
            <w:tcBorders>
              <w:top w:val="nil"/>
              <w:left w:val="nil"/>
              <w:bottom w:val="single" w:sz="4" w:space="0" w:color="auto"/>
              <w:right w:val="single" w:sz="4" w:space="0" w:color="auto"/>
            </w:tcBorders>
            <w:shd w:val="clear" w:color="auto" w:fill="auto"/>
            <w:noWrap/>
            <w:vAlign w:val="bottom"/>
            <w:hideMark/>
          </w:tcPr>
          <w:p w14:paraId="58B16209"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0.740</w:t>
            </w:r>
          </w:p>
        </w:tc>
      </w:tr>
      <w:tr w:rsidR="004730B7" w:rsidRPr="004730B7" w14:paraId="01C3FD91" w14:textId="77777777" w:rsidTr="004730B7">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405D5477"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SE-N_61</w:t>
            </w:r>
          </w:p>
        </w:tc>
        <w:tc>
          <w:tcPr>
            <w:tcW w:w="3660" w:type="dxa"/>
            <w:tcBorders>
              <w:top w:val="nil"/>
              <w:left w:val="nil"/>
              <w:bottom w:val="single" w:sz="4" w:space="0" w:color="auto"/>
              <w:right w:val="single" w:sz="4" w:space="0" w:color="auto"/>
            </w:tcBorders>
            <w:shd w:val="clear" w:color="auto" w:fill="auto"/>
            <w:noWrap/>
            <w:vAlign w:val="bottom"/>
            <w:hideMark/>
          </w:tcPr>
          <w:p w14:paraId="577E2E59"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Punta Sierra</w:t>
            </w:r>
          </w:p>
        </w:tc>
        <w:tc>
          <w:tcPr>
            <w:tcW w:w="960" w:type="dxa"/>
            <w:tcBorders>
              <w:top w:val="nil"/>
              <w:left w:val="nil"/>
              <w:bottom w:val="single" w:sz="4" w:space="0" w:color="auto"/>
              <w:right w:val="single" w:sz="4" w:space="0" w:color="auto"/>
            </w:tcBorders>
            <w:shd w:val="clear" w:color="auto" w:fill="auto"/>
            <w:noWrap/>
            <w:vAlign w:val="bottom"/>
            <w:hideMark/>
          </w:tcPr>
          <w:p w14:paraId="1EC4F35C"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04B8E0E6"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43988E2D"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4E933E25"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0.000</w:t>
            </w:r>
          </w:p>
        </w:tc>
      </w:tr>
      <w:tr w:rsidR="004730B7" w:rsidRPr="004730B7" w14:paraId="21BD1A09" w14:textId="77777777" w:rsidTr="004730B7">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56E35B46"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SE-N_62</w:t>
            </w:r>
          </w:p>
        </w:tc>
        <w:tc>
          <w:tcPr>
            <w:tcW w:w="3660" w:type="dxa"/>
            <w:tcBorders>
              <w:top w:val="nil"/>
              <w:left w:val="nil"/>
              <w:bottom w:val="single" w:sz="4" w:space="0" w:color="auto"/>
              <w:right w:val="single" w:sz="4" w:space="0" w:color="auto"/>
            </w:tcBorders>
            <w:shd w:val="clear" w:color="auto" w:fill="auto"/>
            <w:noWrap/>
            <w:vAlign w:val="bottom"/>
            <w:hideMark/>
          </w:tcPr>
          <w:p w14:paraId="6B315DBA"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Quilapilun</w:t>
            </w:r>
          </w:p>
        </w:tc>
        <w:tc>
          <w:tcPr>
            <w:tcW w:w="960" w:type="dxa"/>
            <w:tcBorders>
              <w:top w:val="nil"/>
              <w:left w:val="nil"/>
              <w:bottom w:val="single" w:sz="4" w:space="0" w:color="auto"/>
              <w:right w:val="single" w:sz="4" w:space="0" w:color="auto"/>
            </w:tcBorders>
            <w:shd w:val="clear" w:color="auto" w:fill="auto"/>
            <w:noWrap/>
            <w:vAlign w:val="bottom"/>
            <w:hideMark/>
          </w:tcPr>
          <w:p w14:paraId="5FE59C7C"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06B11AE4"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1.000</w:t>
            </w:r>
          </w:p>
        </w:tc>
        <w:tc>
          <w:tcPr>
            <w:tcW w:w="960" w:type="dxa"/>
            <w:tcBorders>
              <w:top w:val="nil"/>
              <w:left w:val="nil"/>
              <w:bottom w:val="single" w:sz="4" w:space="0" w:color="auto"/>
              <w:right w:val="single" w:sz="4" w:space="0" w:color="auto"/>
            </w:tcBorders>
            <w:shd w:val="clear" w:color="auto" w:fill="auto"/>
            <w:noWrap/>
            <w:vAlign w:val="bottom"/>
            <w:hideMark/>
          </w:tcPr>
          <w:p w14:paraId="53614823"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5619401A"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1.000</w:t>
            </w:r>
          </w:p>
        </w:tc>
      </w:tr>
      <w:tr w:rsidR="004730B7" w:rsidRPr="004730B7" w14:paraId="7394CAF0" w14:textId="77777777" w:rsidTr="004730B7">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6E9C9705"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SE-N_63</w:t>
            </w:r>
          </w:p>
        </w:tc>
        <w:tc>
          <w:tcPr>
            <w:tcW w:w="3660" w:type="dxa"/>
            <w:tcBorders>
              <w:top w:val="nil"/>
              <w:left w:val="nil"/>
              <w:bottom w:val="single" w:sz="4" w:space="0" w:color="auto"/>
              <w:right w:val="single" w:sz="4" w:space="0" w:color="auto"/>
            </w:tcBorders>
            <w:shd w:val="clear" w:color="auto" w:fill="auto"/>
            <w:noWrap/>
            <w:vAlign w:val="bottom"/>
            <w:hideMark/>
          </w:tcPr>
          <w:p w14:paraId="085A8D29"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Quillagua</w:t>
            </w:r>
          </w:p>
        </w:tc>
        <w:tc>
          <w:tcPr>
            <w:tcW w:w="960" w:type="dxa"/>
            <w:tcBorders>
              <w:top w:val="nil"/>
              <w:left w:val="nil"/>
              <w:bottom w:val="single" w:sz="4" w:space="0" w:color="auto"/>
              <w:right w:val="single" w:sz="4" w:space="0" w:color="auto"/>
            </w:tcBorders>
            <w:shd w:val="clear" w:color="auto" w:fill="auto"/>
            <w:noWrap/>
            <w:vAlign w:val="bottom"/>
            <w:hideMark/>
          </w:tcPr>
          <w:p w14:paraId="14E6186B"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5A436F07"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1.000</w:t>
            </w:r>
          </w:p>
        </w:tc>
        <w:tc>
          <w:tcPr>
            <w:tcW w:w="960" w:type="dxa"/>
            <w:tcBorders>
              <w:top w:val="nil"/>
              <w:left w:val="nil"/>
              <w:bottom w:val="single" w:sz="4" w:space="0" w:color="auto"/>
              <w:right w:val="single" w:sz="4" w:space="0" w:color="auto"/>
            </w:tcBorders>
            <w:shd w:val="clear" w:color="auto" w:fill="auto"/>
            <w:noWrap/>
            <w:vAlign w:val="bottom"/>
            <w:hideMark/>
          </w:tcPr>
          <w:p w14:paraId="6807352F"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77903D83"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1.000</w:t>
            </w:r>
          </w:p>
        </w:tc>
      </w:tr>
      <w:tr w:rsidR="004730B7" w:rsidRPr="004730B7" w14:paraId="701A3BDA" w14:textId="77777777" w:rsidTr="004730B7">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2E3A5F3C"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SE-N_64</w:t>
            </w:r>
          </w:p>
        </w:tc>
        <w:tc>
          <w:tcPr>
            <w:tcW w:w="3660" w:type="dxa"/>
            <w:tcBorders>
              <w:top w:val="nil"/>
              <w:left w:val="nil"/>
              <w:bottom w:val="single" w:sz="4" w:space="0" w:color="auto"/>
              <w:right w:val="single" w:sz="4" w:space="0" w:color="auto"/>
            </w:tcBorders>
            <w:shd w:val="clear" w:color="auto" w:fill="auto"/>
            <w:noWrap/>
            <w:vAlign w:val="bottom"/>
            <w:hideMark/>
          </w:tcPr>
          <w:p w14:paraId="106458FE"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Quillota</w:t>
            </w:r>
          </w:p>
        </w:tc>
        <w:tc>
          <w:tcPr>
            <w:tcW w:w="960" w:type="dxa"/>
            <w:tcBorders>
              <w:top w:val="nil"/>
              <w:left w:val="nil"/>
              <w:bottom w:val="single" w:sz="4" w:space="0" w:color="auto"/>
              <w:right w:val="single" w:sz="4" w:space="0" w:color="auto"/>
            </w:tcBorders>
            <w:shd w:val="clear" w:color="auto" w:fill="auto"/>
            <w:noWrap/>
            <w:vAlign w:val="bottom"/>
            <w:hideMark/>
          </w:tcPr>
          <w:p w14:paraId="74B6B3BB"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0.311</w:t>
            </w:r>
          </w:p>
        </w:tc>
        <w:tc>
          <w:tcPr>
            <w:tcW w:w="960" w:type="dxa"/>
            <w:tcBorders>
              <w:top w:val="nil"/>
              <w:left w:val="nil"/>
              <w:bottom w:val="single" w:sz="4" w:space="0" w:color="auto"/>
              <w:right w:val="single" w:sz="4" w:space="0" w:color="auto"/>
            </w:tcBorders>
            <w:shd w:val="clear" w:color="auto" w:fill="auto"/>
            <w:noWrap/>
            <w:vAlign w:val="bottom"/>
            <w:hideMark/>
          </w:tcPr>
          <w:p w14:paraId="2019F443"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0.689</w:t>
            </w:r>
          </w:p>
        </w:tc>
        <w:tc>
          <w:tcPr>
            <w:tcW w:w="960" w:type="dxa"/>
            <w:tcBorders>
              <w:top w:val="nil"/>
              <w:left w:val="nil"/>
              <w:bottom w:val="single" w:sz="4" w:space="0" w:color="auto"/>
              <w:right w:val="single" w:sz="4" w:space="0" w:color="auto"/>
            </w:tcBorders>
            <w:shd w:val="clear" w:color="auto" w:fill="auto"/>
            <w:noWrap/>
            <w:vAlign w:val="bottom"/>
            <w:hideMark/>
          </w:tcPr>
          <w:p w14:paraId="1EBC7466"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0.437</w:t>
            </w:r>
          </w:p>
        </w:tc>
        <w:tc>
          <w:tcPr>
            <w:tcW w:w="960" w:type="dxa"/>
            <w:tcBorders>
              <w:top w:val="nil"/>
              <w:left w:val="nil"/>
              <w:bottom w:val="single" w:sz="4" w:space="0" w:color="auto"/>
              <w:right w:val="single" w:sz="4" w:space="0" w:color="auto"/>
            </w:tcBorders>
            <w:shd w:val="clear" w:color="auto" w:fill="auto"/>
            <w:noWrap/>
            <w:vAlign w:val="bottom"/>
            <w:hideMark/>
          </w:tcPr>
          <w:p w14:paraId="3ECA4086"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0.563</w:t>
            </w:r>
          </w:p>
        </w:tc>
      </w:tr>
      <w:tr w:rsidR="004730B7" w:rsidRPr="004730B7" w14:paraId="60D745A0" w14:textId="77777777" w:rsidTr="004730B7">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39771EF8"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SE-N_65</w:t>
            </w:r>
          </w:p>
        </w:tc>
        <w:tc>
          <w:tcPr>
            <w:tcW w:w="3660" w:type="dxa"/>
            <w:tcBorders>
              <w:top w:val="nil"/>
              <w:left w:val="nil"/>
              <w:bottom w:val="single" w:sz="4" w:space="0" w:color="auto"/>
              <w:right w:val="single" w:sz="4" w:space="0" w:color="auto"/>
            </w:tcBorders>
            <w:shd w:val="clear" w:color="auto" w:fill="auto"/>
            <w:noWrap/>
            <w:vAlign w:val="bottom"/>
            <w:hideMark/>
          </w:tcPr>
          <w:p w14:paraId="29EBE4D7"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Rahue</w:t>
            </w:r>
          </w:p>
        </w:tc>
        <w:tc>
          <w:tcPr>
            <w:tcW w:w="960" w:type="dxa"/>
            <w:tcBorders>
              <w:top w:val="nil"/>
              <w:left w:val="nil"/>
              <w:bottom w:val="single" w:sz="4" w:space="0" w:color="auto"/>
              <w:right w:val="single" w:sz="4" w:space="0" w:color="auto"/>
            </w:tcBorders>
            <w:shd w:val="clear" w:color="auto" w:fill="auto"/>
            <w:noWrap/>
            <w:vAlign w:val="bottom"/>
            <w:hideMark/>
          </w:tcPr>
          <w:p w14:paraId="59B6D04A"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0.345</w:t>
            </w:r>
          </w:p>
        </w:tc>
        <w:tc>
          <w:tcPr>
            <w:tcW w:w="960" w:type="dxa"/>
            <w:tcBorders>
              <w:top w:val="nil"/>
              <w:left w:val="nil"/>
              <w:bottom w:val="single" w:sz="4" w:space="0" w:color="auto"/>
              <w:right w:val="single" w:sz="4" w:space="0" w:color="auto"/>
            </w:tcBorders>
            <w:shd w:val="clear" w:color="auto" w:fill="auto"/>
            <w:noWrap/>
            <w:vAlign w:val="bottom"/>
            <w:hideMark/>
          </w:tcPr>
          <w:p w14:paraId="55618BF6"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0.655</w:t>
            </w:r>
          </w:p>
        </w:tc>
        <w:tc>
          <w:tcPr>
            <w:tcW w:w="960" w:type="dxa"/>
            <w:tcBorders>
              <w:top w:val="nil"/>
              <w:left w:val="nil"/>
              <w:bottom w:val="single" w:sz="4" w:space="0" w:color="auto"/>
              <w:right w:val="single" w:sz="4" w:space="0" w:color="auto"/>
            </w:tcBorders>
            <w:shd w:val="clear" w:color="auto" w:fill="auto"/>
            <w:noWrap/>
            <w:vAlign w:val="bottom"/>
            <w:hideMark/>
          </w:tcPr>
          <w:p w14:paraId="1A43377C"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0.605</w:t>
            </w:r>
          </w:p>
        </w:tc>
        <w:tc>
          <w:tcPr>
            <w:tcW w:w="960" w:type="dxa"/>
            <w:tcBorders>
              <w:top w:val="nil"/>
              <w:left w:val="nil"/>
              <w:bottom w:val="single" w:sz="4" w:space="0" w:color="auto"/>
              <w:right w:val="single" w:sz="4" w:space="0" w:color="auto"/>
            </w:tcBorders>
            <w:shd w:val="clear" w:color="auto" w:fill="auto"/>
            <w:noWrap/>
            <w:vAlign w:val="bottom"/>
            <w:hideMark/>
          </w:tcPr>
          <w:p w14:paraId="1FB43EBB"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0.395</w:t>
            </w:r>
          </w:p>
        </w:tc>
      </w:tr>
      <w:tr w:rsidR="004730B7" w:rsidRPr="004730B7" w14:paraId="13BED8A4" w14:textId="77777777" w:rsidTr="004730B7">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3D970615"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SE-N_66</w:t>
            </w:r>
          </w:p>
        </w:tc>
        <w:tc>
          <w:tcPr>
            <w:tcW w:w="3660" w:type="dxa"/>
            <w:tcBorders>
              <w:top w:val="nil"/>
              <w:left w:val="nil"/>
              <w:bottom w:val="single" w:sz="4" w:space="0" w:color="auto"/>
              <w:right w:val="single" w:sz="4" w:space="0" w:color="auto"/>
            </w:tcBorders>
            <w:shd w:val="clear" w:color="auto" w:fill="auto"/>
            <w:noWrap/>
            <w:vAlign w:val="bottom"/>
            <w:hideMark/>
          </w:tcPr>
          <w:p w14:paraId="65D1303D"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Rapel</w:t>
            </w:r>
          </w:p>
        </w:tc>
        <w:tc>
          <w:tcPr>
            <w:tcW w:w="960" w:type="dxa"/>
            <w:tcBorders>
              <w:top w:val="nil"/>
              <w:left w:val="nil"/>
              <w:bottom w:val="single" w:sz="4" w:space="0" w:color="auto"/>
              <w:right w:val="single" w:sz="4" w:space="0" w:color="auto"/>
            </w:tcBorders>
            <w:shd w:val="clear" w:color="auto" w:fill="auto"/>
            <w:noWrap/>
            <w:vAlign w:val="bottom"/>
            <w:hideMark/>
          </w:tcPr>
          <w:p w14:paraId="2534817C"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0.362</w:t>
            </w:r>
          </w:p>
        </w:tc>
        <w:tc>
          <w:tcPr>
            <w:tcW w:w="960" w:type="dxa"/>
            <w:tcBorders>
              <w:top w:val="nil"/>
              <w:left w:val="nil"/>
              <w:bottom w:val="single" w:sz="4" w:space="0" w:color="auto"/>
              <w:right w:val="single" w:sz="4" w:space="0" w:color="auto"/>
            </w:tcBorders>
            <w:shd w:val="clear" w:color="auto" w:fill="auto"/>
            <w:noWrap/>
            <w:vAlign w:val="bottom"/>
            <w:hideMark/>
          </w:tcPr>
          <w:p w14:paraId="6A58260B"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0.638</w:t>
            </w:r>
          </w:p>
        </w:tc>
        <w:tc>
          <w:tcPr>
            <w:tcW w:w="960" w:type="dxa"/>
            <w:tcBorders>
              <w:top w:val="nil"/>
              <w:left w:val="nil"/>
              <w:bottom w:val="single" w:sz="4" w:space="0" w:color="auto"/>
              <w:right w:val="single" w:sz="4" w:space="0" w:color="auto"/>
            </w:tcBorders>
            <w:shd w:val="clear" w:color="auto" w:fill="auto"/>
            <w:noWrap/>
            <w:vAlign w:val="bottom"/>
            <w:hideMark/>
          </w:tcPr>
          <w:p w14:paraId="52B87672"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0.469</w:t>
            </w:r>
          </w:p>
        </w:tc>
        <w:tc>
          <w:tcPr>
            <w:tcW w:w="960" w:type="dxa"/>
            <w:tcBorders>
              <w:top w:val="nil"/>
              <w:left w:val="nil"/>
              <w:bottom w:val="single" w:sz="4" w:space="0" w:color="auto"/>
              <w:right w:val="single" w:sz="4" w:space="0" w:color="auto"/>
            </w:tcBorders>
            <w:shd w:val="clear" w:color="auto" w:fill="auto"/>
            <w:noWrap/>
            <w:vAlign w:val="bottom"/>
            <w:hideMark/>
          </w:tcPr>
          <w:p w14:paraId="09A4D653"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0.531</w:t>
            </w:r>
          </w:p>
        </w:tc>
      </w:tr>
      <w:tr w:rsidR="004730B7" w:rsidRPr="004730B7" w14:paraId="4A604FD7" w14:textId="77777777" w:rsidTr="004730B7">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1B89BEAF"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SE-N_67</w:t>
            </w:r>
          </w:p>
        </w:tc>
        <w:tc>
          <w:tcPr>
            <w:tcW w:w="3660" w:type="dxa"/>
            <w:tcBorders>
              <w:top w:val="nil"/>
              <w:left w:val="nil"/>
              <w:bottom w:val="single" w:sz="4" w:space="0" w:color="auto"/>
              <w:right w:val="single" w:sz="4" w:space="0" w:color="auto"/>
            </w:tcBorders>
            <w:shd w:val="clear" w:color="auto" w:fill="auto"/>
            <w:noWrap/>
            <w:vAlign w:val="bottom"/>
            <w:hideMark/>
          </w:tcPr>
          <w:p w14:paraId="0E64EE68"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S. San Andres</w:t>
            </w:r>
          </w:p>
        </w:tc>
        <w:tc>
          <w:tcPr>
            <w:tcW w:w="960" w:type="dxa"/>
            <w:tcBorders>
              <w:top w:val="nil"/>
              <w:left w:val="nil"/>
              <w:bottom w:val="single" w:sz="4" w:space="0" w:color="auto"/>
              <w:right w:val="single" w:sz="4" w:space="0" w:color="auto"/>
            </w:tcBorders>
            <w:shd w:val="clear" w:color="auto" w:fill="auto"/>
            <w:noWrap/>
            <w:vAlign w:val="bottom"/>
            <w:hideMark/>
          </w:tcPr>
          <w:p w14:paraId="511AD369"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0.776</w:t>
            </w:r>
          </w:p>
        </w:tc>
        <w:tc>
          <w:tcPr>
            <w:tcW w:w="960" w:type="dxa"/>
            <w:tcBorders>
              <w:top w:val="nil"/>
              <w:left w:val="nil"/>
              <w:bottom w:val="single" w:sz="4" w:space="0" w:color="auto"/>
              <w:right w:val="single" w:sz="4" w:space="0" w:color="auto"/>
            </w:tcBorders>
            <w:shd w:val="clear" w:color="auto" w:fill="auto"/>
            <w:noWrap/>
            <w:vAlign w:val="bottom"/>
            <w:hideMark/>
          </w:tcPr>
          <w:p w14:paraId="0D2D55DD"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0.224</w:t>
            </w:r>
          </w:p>
        </w:tc>
        <w:tc>
          <w:tcPr>
            <w:tcW w:w="960" w:type="dxa"/>
            <w:tcBorders>
              <w:top w:val="nil"/>
              <w:left w:val="nil"/>
              <w:bottom w:val="single" w:sz="4" w:space="0" w:color="auto"/>
              <w:right w:val="single" w:sz="4" w:space="0" w:color="auto"/>
            </w:tcBorders>
            <w:shd w:val="clear" w:color="auto" w:fill="auto"/>
            <w:noWrap/>
            <w:vAlign w:val="bottom"/>
            <w:hideMark/>
          </w:tcPr>
          <w:p w14:paraId="1F43B649"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0.911</w:t>
            </w:r>
          </w:p>
        </w:tc>
        <w:tc>
          <w:tcPr>
            <w:tcW w:w="960" w:type="dxa"/>
            <w:tcBorders>
              <w:top w:val="nil"/>
              <w:left w:val="nil"/>
              <w:bottom w:val="single" w:sz="4" w:space="0" w:color="auto"/>
              <w:right w:val="single" w:sz="4" w:space="0" w:color="auto"/>
            </w:tcBorders>
            <w:shd w:val="clear" w:color="auto" w:fill="auto"/>
            <w:noWrap/>
            <w:vAlign w:val="bottom"/>
            <w:hideMark/>
          </w:tcPr>
          <w:p w14:paraId="03B4CE70"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0.089</w:t>
            </w:r>
          </w:p>
        </w:tc>
      </w:tr>
      <w:tr w:rsidR="004730B7" w:rsidRPr="004730B7" w14:paraId="654BF03C" w14:textId="77777777" w:rsidTr="004730B7">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6BE3CAF0"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SE-N_68</w:t>
            </w:r>
          </w:p>
        </w:tc>
        <w:tc>
          <w:tcPr>
            <w:tcW w:w="3660" w:type="dxa"/>
            <w:tcBorders>
              <w:top w:val="nil"/>
              <w:left w:val="nil"/>
              <w:bottom w:val="single" w:sz="4" w:space="0" w:color="auto"/>
              <w:right w:val="single" w:sz="4" w:space="0" w:color="auto"/>
            </w:tcBorders>
            <w:shd w:val="clear" w:color="auto" w:fill="auto"/>
            <w:noWrap/>
            <w:vAlign w:val="bottom"/>
            <w:hideMark/>
          </w:tcPr>
          <w:p w14:paraId="1CED3F3E"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Salar</w:t>
            </w:r>
          </w:p>
        </w:tc>
        <w:tc>
          <w:tcPr>
            <w:tcW w:w="960" w:type="dxa"/>
            <w:tcBorders>
              <w:top w:val="nil"/>
              <w:left w:val="nil"/>
              <w:bottom w:val="single" w:sz="4" w:space="0" w:color="auto"/>
              <w:right w:val="single" w:sz="4" w:space="0" w:color="auto"/>
            </w:tcBorders>
            <w:shd w:val="clear" w:color="auto" w:fill="auto"/>
            <w:noWrap/>
            <w:vAlign w:val="bottom"/>
            <w:hideMark/>
          </w:tcPr>
          <w:p w14:paraId="549FF022"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0.131</w:t>
            </w:r>
          </w:p>
        </w:tc>
        <w:tc>
          <w:tcPr>
            <w:tcW w:w="960" w:type="dxa"/>
            <w:tcBorders>
              <w:top w:val="nil"/>
              <w:left w:val="nil"/>
              <w:bottom w:val="single" w:sz="4" w:space="0" w:color="auto"/>
              <w:right w:val="single" w:sz="4" w:space="0" w:color="auto"/>
            </w:tcBorders>
            <w:shd w:val="clear" w:color="auto" w:fill="auto"/>
            <w:noWrap/>
            <w:vAlign w:val="bottom"/>
            <w:hideMark/>
          </w:tcPr>
          <w:p w14:paraId="16CC348D"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0.869</w:t>
            </w:r>
          </w:p>
        </w:tc>
        <w:tc>
          <w:tcPr>
            <w:tcW w:w="960" w:type="dxa"/>
            <w:tcBorders>
              <w:top w:val="nil"/>
              <w:left w:val="nil"/>
              <w:bottom w:val="single" w:sz="4" w:space="0" w:color="auto"/>
              <w:right w:val="single" w:sz="4" w:space="0" w:color="auto"/>
            </w:tcBorders>
            <w:shd w:val="clear" w:color="auto" w:fill="auto"/>
            <w:noWrap/>
            <w:vAlign w:val="bottom"/>
            <w:hideMark/>
          </w:tcPr>
          <w:p w14:paraId="3308C3CA"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0.191</w:t>
            </w:r>
          </w:p>
        </w:tc>
        <w:tc>
          <w:tcPr>
            <w:tcW w:w="960" w:type="dxa"/>
            <w:tcBorders>
              <w:top w:val="nil"/>
              <w:left w:val="nil"/>
              <w:bottom w:val="single" w:sz="4" w:space="0" w:color="auto"/>
              <w:right w:val="single" w:sz="4" w:space="0" w:color="auto"/>
            </w:tcBorders>
            <w:shd w:val="clear" w:color="auto" w:fill="auto"/>
            <w:noWrap/>
            <w:vAlign w:val="bottom"/>
            <w:hideMark/>
          </w:tcPr>
          <w:p w14:paraId="724BE98E"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0.809</w:t>
            </w:r>
          </w:p>
        </w:tc>
      </w:tr>
      <w:tr w:rsidR="004730B7" w:rsidRPr="004730B7" w14:paraId="4E22D999" w14:textId="77777777" w:rsidTr="004730B7">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2D4C0D2F"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SE-N_69</w:t>
            </w:r>
          </w:p>
        </w:tc>
        <w:tc>
          <w:tcPr>
            <w:tcW w:w="3660" w:type="dxa"/>
            <w:tcBorders>
              <w:top w:val="nil"/>
              <w:left w:val="nil"/>
              <w:bottom w:val="single" w:sz="4" w:space="0" w:color="auto"/>
              <w:right w:val="single" w:sz="4" w:space="0" w:color="auto"/>
            </w:tcBorders>
            <w:shd w:val="clear" w:color="auto" w:fill="auto"/>
            <w:noWrap/>
            <w:vAlign w:val="bottom"/>
            <w:hideMark/>
          </w:tcPr>
          <w:p w14:paraId="59A28051"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San Luis</w:t>
            </w:r>
          </w:p>
        </w:tc>
        <w:tc>
          <w:tcPr>
            <w:tcW w:w="960" w:type="dxa"/>
            <w:tcBorders>
              <w:top w:val="nil"/>
              <w:left w:val="nil"/>
              <w:bottom w:val="single" w:sz="4" w:space="0" w:color="auto"/>
              <w:right w:val="single" w:sz="4" w:space="0" w:color="auto"/>
            </w:tcBorders>
            <w:shd w:val="clear" w:color="auto" w:fill="auto"/>
            <w:noWrap/>
            <w:vAlign w:val="bottom"/>
            <w:hideMark/>
          </w:tcPr>
          <w:p w14:paraId="4A217EC3"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0.348</w:t>
            </w:r>
          </w:p>
        </w:tc>
        <w:tc>
          <w:tcPr>
            <w:tcW w:w="960" w:type="dxa"/>
            <w:tcBorders>
              <w:top w:val="nil"/>
              <w:left w:val="nil"/>
              <w:bottom w:val="single" w:sz="4" w:space="0" w:color="auto"/>
              <w:right w:val="single" w:sz="4" w:space="0" w:color="auto"/>
            </w:tcBorders>
            <w:shd w:val="clear" w:color="auto" w:fill="auto"/>
            <w:noWrap/>
            <w:vAlign w:val="bottom"/>
            <w:hideMark/>
          </w:tcPr>
          <w:p w14:paraId="0208E8CB"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0.652</w:t>
            </w:r>
          </w:p>
        </w:tc>
        <w:tc>
          <w:tcPr>
            <w:tcW w:w="960" w:type="dxa"/>
            <w:tcBorders>
              <w:top w:val="nil"/>
              <w:left w:val="nil"/>
              <w:bottom w:val="single" w:sz="4" w:space="0" w:color="auto"/>
              <w:right w:val="single" w:sz="4" w:space="0" w:color="auto"/>
            </w:tcBorders>
            <w:shd w:val="clear" w:color="auto" w:fill="auto"/>
            <w:noWrap/>
            <w:vAlign w:val="bottom"/>
            <w:hideMark/>
          </w:tcPr>
          <w:p w14:paraId="2AD76114"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0.449</w:t>
            </w:r>
          </w:p>
        </w:tc>
        <w:tc>
          <w:tcPr>
            <w:tcW w:w="960" w:type="dxa"/>
            <w:tcBorders>
              <w:top w:val="nil"/>
              <w:left w:val="nil"/>
              <w:bottom w:val="single" w:sz="4" w:space="0" w:color="auto"/>
              <w:right w:val="single" w:sz="4" w:space="0" w:color="auto"/>
            </w:tcBorders>
            <w:shd w:val="clear" w:color="auto" w:fill="auto"/>
            <w:noWrap/>
            <w:vAlign w:val="bottom"/>
            <w:hideMark/>
          </w:tcPr>
          <w:p w14:paraId="23B411FD"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0.551</w:t>
            </w:r>
          </w:p>
        </w:tc>
      </w:tr>
      <w:tr w:rsidR="004730B7" w:rsidRPr="004730B7" w14:paraId="113053CA" w14:textId="77777777" w:rsidTr="004730B7">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2A028F63"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SE-N_70</w:t>
            </w:r>
          </w:p>
        </w:tc>
        <w:tc>
          <w:tcPr>
            <w:tcW w:w="3660" w:type="dxa"/>
            <w:tcBorders>
              <w:top w:val="nil"/>
              <w:left w:val="nil"/>
              <w:bottom w:val="single" w:sz="4" w:space="0" w:color="auto"/>
              <w:right w:val="single" w:sz="4" w:space="0" w:color="auto"/>
            </w:tcBorders>
            <w:shd w:val="clear" w:color="auto" w:fill="auto"/>
            <w:noWrap/>
            <w:vAlign w:val="bottom"/>
            <w:hideMark/>
          </w:tcPr>
          <w:p w14:paraId="3F438369"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San Simon</w:t>
            </w:r>
          </w:p>
        </w:tc>
        <w:tc>
          <w:tcPr>
            <w:tcW w:w="960" w:type="dxa"/>
            <w:tcBorders>
              <w:top w:val="nil"/>
              <w:left w:val="nil"/>
              <w:bottom w:val="single" w:sz="4" w:space="0" w:color="auto"/>
              <w:right w:val="single" w:sz="4" w:space="0" w:color="auto"/>
            </w:tcBorders>
            <w:shd w:val="clear" w:color="auto" w:fill="auto"/>
            <w:noWrap/>
            <w:vAlign w:val="bottom"/>
            <w:hideMark/>
          </w:tcPr>
          <w:p w14:paraId="1C1520B3"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7194266D"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5B9314AA"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348C9B58"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0.000</w:t>
            </w:r>
          </w:p>
        </w:tc>
      </w:tr>
      <w:tr w:rsidR="004730B7" w:rsidRPr="004730B7" w14:paraId="0947CFA3" w14:textId="77777777" w:rsidTr="004730B7">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060B378A"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SE-N_71</w:t>
            </w:r>
          </w:p>
        </w:tc>
        <w:tc>
          <w:tcPr>
            <w:tcW w:w="3660" w:type="dxa"/>
            <w:tcBorders>
              <w:top w:val="nil"/>
              <w:left w:val="nil"/>
              <w:bottom w:val="single" w:sz="4" w:space="0" w:color="auto"/>
              <w:right w:val="single" w:sz="4" w:space="0" w:color="auto"/>
            </w:tcBorders>
            <w:shd w:val="clear" w:color="auto" w:fill="auto"/>
            <w:noWrap/>
            <w:vAlign w:val="bottom"/>
            <w:hideMark/>
          </w:tcPr>
          <w:p w14:paraId="775E63B9"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Tap Central Santa Marta</w:t>
            </w:r>
          </w:p>
        </w:tc>
        <w:tc>
          <w:tcPr>
            <w:tcW w:w="960" w:type="dxa"/>
            <w:tcBorders>
              <w:top w:val="nil"/>
              <w:left w:val="nil"/>
              <w:bottom w:val="single" w:sz="4" w:space="0" w:color="auto"/>
              <w:right w:val="single" w:sz="4" w:space="0" w:color="auto"/>
            </w:tcBorders>
            <w:shd w:val="clear" w:color="auto" w:fill="auto"/>
            <w:noWrap/>
            <w:vAlign w:val="bottom"/>
            <w:hideMark/>
          </w:tcPr>
          <w:p w14:paraId="7B24B20E"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49CFBB0C"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41478DDB"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7119E3DF"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0.000</w:t>
            </w:r>
          </w:p>
        </w:tc>
      </w:tr>
      <w:tr w:rsidR="004730B7" w:rsidRPr="004730B7" w14:paraId="7A09F024" w14:textId="77777777" w:rsidTr="004730B7">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22F549CD"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SE-N_72</w:t>
            </w:r>
          </w:p>
        </w:tc>
        <w:tc>
          <w:tcPr>
            <w:tcW w:w="3660" w:type="dxa"/>
            <w:tcBorders>
              <w:top w:val="nil"/>
              <w:left w:val="nil"/>
              <w:bottom w:val="single" w:sz="4" w:space="0" w:color="auto"/>
              <w:right w:val="single" w:sz="4" w:space="0" w:color="auto"/>
            </w:tcBorders>
            <w:shd w:val="clear" w:color="auto" w:fill="auto"/>
            <w:noWrap/>
            <w:vAlign w:val="bottom"/>
            <w:hideMark/>
          </w:tcPr>
          <w:p w14:paraId="371D100B"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Tap Chicureo</w:t>
            </w:r>
          </w:p>
        </w:tc>
        <w:tc>
          <w:tcPr>
            <w:tcW w:w="960" w:type="dxa"/>
            <w:tcBorders>
              <w:top w:val="nil"/>
              <w:left w:val="nil"/>
              <w:bottom w:val="single" w:sz="4" w:space="0" w:color="auto"/>
              <w:right w:val="single" w:sz="4" w:space="0" w:color="auto"/>
            </w:tcBorders>
            <w:shd w:val="clear" w:color="auto" w:fill="auto"/>
            <w:noWrap/>
            <w:vAlign w:val="bottom"/>
            <w:hideMark/>
          </w:tcPr>
          <w:p w14:paraId="70FD5647"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41E3CB4B"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5AFACC7E"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6283EC37"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0.000</w:t>
            </w:r>
          </w:p>
        </w:tc>
      </w:tr>
      <w:tr w:rsidR="004730B7" w:rsidRPr="004730B7" w14:paraId="4541B091" w14:textId="77777777" w:rsidTr="004730B7">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6A4E8013"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SE-N_73</w:t>
            </w:r>
          </w:p>
        </w:tc>
        <w:tc>
          <w:tcPr>
            <w:tcW w:w="3660" w:type="dxa"/>
            <w:tcBorders>
              <w:top w:val="nil"/>
              <w:left w:val="nil"/>
              <w:bottom w:val="single" w:sz="4" w:space="0" w:color="auto"/>
              <w:right w:val="single" w:sz="4" w:space="0" w:color="auto"/>
            </w:tcBorders>
            <w:shd w:val="clear" w:color="auto" w:fill="auto"/>
            <w:noWrap/>
            <w:vAlign w:val="bottom"/>
            <w:hideMark/>
          </w:tcPr>
          <w:p w14:paraId="6094416D"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Tap Doña Carmen</w:t>
            </w:r>
          </w:p>
        </w:tc>
        <w:tc>
          <w:tcPr>
            <w:tcW w:w="960" w:type="dxa"/>
            <w:tcBorders>
              <w:top w:val="nil"/>
              <w:left w:val="nil"/>
              <w:bottom w:val="single" w:sz="4" w:space="0" w:color="auto"/>
              <w:right w:val="single" w:sz="4" w:space="0" w:color="auto"/>
            </w:tcBorders>
            <w:shd w:val="clear" w:color="auto" w:fill="auto"/>
            <w:noWrap/>
            <w:vAlign w:val="bottom"/>
            <w:hideMark/>
          </w:tcPr>
          <w:p w14:paraId="329EDB59"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1351BCA0"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41BE110E"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33A11224"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0.000</w:t>
            </w:r>
          </w:p>
        </w:tc>
      </w:tr>
      <w:tr w:rsidR="004730B7" w:rsidRPr="004730B7" w14:paraId="26621DF9" w14:textId="77777777" w:rsidTr="004730B7">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041F7B14"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SE-N_74</w:t>
            </w:r>
          </w:p>
        </w:tc>
        <w:tc>
          <w:tcPr>
            <w:tcW w:w="3660" w:type="dxa"/>
            <w:tcBorders>
              <w:top w:val="nil"/>
              <w:left w:val="nil"/>
              <w:bottom w:val="single" w:sz="4" w:space="0" w:color="auto"/>
              <w:right w:val="single" w:sz="4" w:space="0" w:color="auto"/>
            </w:tcBorders>
            <w:shd w:val="clear" w:color="auto" w:fill="auto"/>
            <w:noWrap/>
            <w:vAlign w:val="bottom"/>
            <w:hideMark/>
          </w:tcPr>
          <w:p w14:paraId="46C15DEC"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Tap El Manzano</w:t>
            </w:r>
          </w:p>
        </w:tc>
        <w:tc>
          <w:tcPr>
            <w:tcW w:w="960" w:type="dxa"/>
            <w:tcBorders>
              <w:top w:val="nil"/>
              <w:left w:val="nil"/>
              <w:bottom w:val="single" w:sz="4" w:space="0" w:color="auto"/>
              <w:right w:val="single" w:sz="4" w:space="0" w:color="auto"/>
            </w:tcBorders>
            <w:shd w:val="clear" w:color="auto" w:fill="auto"/>
            <w:noWrap/>
            <w:vAlign w:val="bottom"/>
            <w:hideMark/>
          </w:tcPr>
          <w:p w14:paraId="033CEE4C"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538E78A1"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1BB699FA"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473DBC00"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0.000</w:t>
            </w:r>
          </w:p>
        </w:tc>
      </w:tr>
      <w:tr w:rsidR="004730B7" w:rsidRPr="004730B7" w14:paraId="5ABCB41E" w14:textId="77777777" w:rsidTr="004730B7">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1D24A85C"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SE-N_75</w:t>
            </w:r>
          </w:p>
        </w:tc>
        <w:tc>
          <w:tcPr>
            <w:tcW w:w="3660" w:type="dxa"/>
            <w:tcBorders>
              <w:top w:val="nil"/>
              <w:left w:val="nil"/>
              <w:bottom w:val="single" w:sz="4" w:space="0" w:color="auto"/>
              <w:right w:val="single" w:sz="4" w:space="0" w:color="auto"/>
            </w:tcBorders>
            <w:shd w:val="clear" w:color="auto" w:fill="auto"/>
            <w:noWrap/>
            <w:vAlign w:val="bottom"/>
            <w:hideMark/>
          </w:tcPr>
          <w:p w14:paraId="225B8F2A"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Tap El Romero</w:t>
            </w:r>
          </w:p>
        </w:tc>
        <w:tc>
          <w:tcPr>
            <w:tcW w:w="960" w:type="dxa"/>
            <w:tcBorders>
              <w:top w:val="nil"/>
              <w:left w:val="nil"/>
              <w:bottom w:val="single" w:sz="4" w:space="0" w:color="auto"/>
              <w:right w:val="single" w:sz="4" w:space="0" w:color="auto"/>
            </w:tcBorders>
            <w:shd w:val="clear" w:color="auto" w:fill="auto"/>
            <w:noWrap/>
            <w:vAlign w:val="bottom"/>
            <w:hideMark/>
          </w:tcPr>
          <w:p w14:paraId="2D900B83"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0A165E7C"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17336FE0"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2B579A06"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0.000</w:t>
            </w:r>
          </w:p>
        </w:tc>
      </w:tr>
      <w:tr w:rsidR="004730B7" w:rsidRPr="004730B7" w14:paraId="0B913CAB" w14:textId="77777777" w:rsidTr="004730B7">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1456B7DF"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lastRenderedPageBreak/>
              <w:t>SE-N_76</w:t>
            </w:r>
          </w:p>
        </w:tc>
        <w:tc>
          <w:tcPr>
            <w:tcW w:w="3660" w:type="dxa"/>
            <w:tcBorders>
              <w:top w:val="nil"/>
              <w:left w:val="nil"/>
              <w:bottom w:val="single" w:sz="4" w:space="0" w:color="auto"/>
              <w:right w:val="single" w:sz="4" w:space="0" w:color="auto"/>
            </w:tcBorders>
            <w:shd w:val="clear" w:color="auto" w:fill="auto"/>
            <w:noWrap/>
            <w:vAlign w:val="bottom"/>
            <w:hideMark/>
          </w:tcPr>
          <w:p w14:paraId="5DD898BD"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Tap Enlace</w:t>
            </w:r>
          </w:p>
        </w:tc>
        <w:tc>
          <w:tcPr>
            <w:tcW w:w="960" w:type="dxa"/>
            <w:tcBorders>
              <w:top w:val="nil"/>
              <w:left w:val="nil"/>
              <w:bottom w:val="single" w:sz="4" w:space="0" w:color="auto"/>
              <w:right w:val="single" w:sz="4" w:space="0" w:color="auto"/>
            </w:tcBorders>
            <w:shd w:val="clear" w:color="auto" w:fill="auto"/>
            <w:noWrap/>
            <w:vAlign w:val="bottom"/>
            <w:hideMark/>
          </w:tcPr>
          <w:p w14:paraId="59686360"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14B9361D"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205DC104"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47C27F0F"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0.000</w:t>
            </w:r>
          </w:p>
        </w:tc>
      </w:tr>
      <w:tr w:rsidR="004730B7" w:rsidRPr="004730B7" w14:paraId="14C35618" w14:textId="77777777" w:rsidTr="004730B7">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5DD113E8"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SE-N_77</w:t>
            </w:r>
          </w:p>
        </w:tc>
        <w:tc>
          <w:tcPr>
            <w:tcW w:w="3660" w:type="dxa"/>
            <w:tcBorders>
              <w:top w:val="nil"/>
              <w:left w:val="nil"/>
              <w:bottom w:val="single" w:sz="4" w:space="0" w:color="auto"/>
              <w:right w:val="single" w:sz="4" w:space="0" w:color="auto"/>
            </w:tcBorders>
            <w:shd w:val="clear" w:color="auto" w:fill="auto"/>
            <w:noWrap/>
            <w:vAlign w:val="bottom"/>
            <w:hideMark/>
          </w:tcPr>
          <w:p w14:paraId="38F5966E"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Tap off Sierra Gorda Eolico</w:t>
            </w:r>
          </w:p>
        </w:tc>
        <w:tc>
          <w:tcPr>
            <w:tcW w:w="960" w:type="dxa"/>
            <w:tcBorders>
              <w:top w:val="nil"/>
              <w:left w:val="nil"/>
              <w:bottom w:val="single" w:sz="4" w:space="0" w:color="auto"/>
              <w:right w:val="single" w:sz="4" w:space="0" w:color="auto"/>
            </w:tcBorders>
            <w:shd w:val="clear" w:color="auto" w:fill="auto"/>
            <w:noWrap/>
            <w:vAlign w:val="bottom"/>
            <w:hideMark/>
          </w:tcPr>
          <w:p w14:paraId="4098CA0F"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408C81F5"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69626C0B"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0.000</w:t>
            </w:r>
          </w:p>
        </w:tc>
        <w:tc>
          <w:tcPr>
            <w:tcW w:w="960" w:type="dxa"/>
            <w:tcBorders>
              <w:top w:val="nil"/>
              <w:left w:val="nil"/>
              <w:bottom w:val="single" w:sz="4" w:space="0" w:color="auto"/>
              <w:right w:val="single" w:sz="4" w:space="0" w:color="auto"/>
            </w:tcBorders>
            <w:shd w:val="clear" w:color="auto" w:fill="auto"/>
            <w:noWrap/>
            <w:vAlign w:val="bottom"/>
            <w:hideMark/>
          </w:tcPr>
          <w:p w14:paraId="7FD7CC3E"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0.000</w:t>
            </w:r>
          </w:p>
        </w:tc>
      </w:tr>
      <w:tr w:rsidR="004730B7" w:rsidRPr="004730B7" w14:paraId="6527CBE3" w14:textId="77777777" w:rsidTr="004730B7">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24CA9C08"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SE-N_78</w:t>
            </w:r>
          </w:p>
        </w:tc>
        <w:tc>
          <w:tcPr>
            <w:tcW w:w="3660" w:type="dxa"/>
            <w:tcBorders>
              <w:top w:val="nil"/>
              <w:left w:val="nil"/>
              <w:bottom w:val="single" w:sz="4" w:space="0" w:color="auto"/>
              <w:right w:val="single" w:sz="4" w:space="0" w:color="auto"/>
            </w:tcBorders>
            <w:shd w:val="clear" w:color="auto" w:fill="auto"/>
            <w:noWrap/>
            <w:vAlign w:val="bottom"/>
            <w:hideMark/>
          </w:tcPr>
          <w:p w14:paraId="0BD0930F"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Tarapaca</w:t>
            </w:r>
          </w:p>
        </w:tc>
        <w:tc>
          <w:tcPr>
            <w:tcW w:w="960" w:type="dxa"/>
            <w:tcBorders>
              <w:top w:val="nil"/>
              <w:left w:val="nil"/>
              <w:bottom w:val="single" w:sz="4" w:space="0" w:color="auto"/>
              <w:right w:val="single" w:sz="4" w:space="0" w:color="auto"/>
            </w:tcBorders>
            <w:shd w:val="clear" w:color="auto" w:fill="auto"/>
            <w:noWrap/>
            <w:vAlign w:val="bottom"/>
            <w:hideMark/>
          </w:tcPr>
          <w:p w14:paraId="5BA66A1C"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0.301</w:t>
            </w:r>
          </w:p>
        </w:tc>
        <w:tc>
          <w:tcPr>
            <w:tcW w:w="960" w:type="dxa"/>
            <w:tcBorders>
              <w:top w:val="nil"/>
              <w:left w:val="nil"/>
              <w:bottom w:val="single" w:sz="4" w:space="0" w:color="auto"/>
              <w:right w:val="single" w:sz="4" w:space="0" w:color="auto"/>
            </w:tcBorders>
            <w:shd w:val="clear" w:color="auto" w:fill="auto"/>
            <w:noWrap/>
            <w:vAlign w:val="bottom"/>
            <w:hideMark/>
          </w:tcPr>
          <w:p w14:paraId="1A418ED6"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0.699</w:t>
            </w:r>
          </w:p>
        </w:tc>
        <w:tc>
          <w:tcPr>
            <w:tcW w:w="960" w:type="dxa"/>
            <w:tcBorders>
              <w:top w:val="nil"/>
              <w:left w:val="nil"/>
              <w:bottom w:val="single" w:sz="4" w:space="0" w:color="auto"/>
              <w:right w:val="single" w:sz="4" w:space="0" w:color="auto"/>
            </w:tcBorders>
            <w:shd w:val="clear" w:color="auto" w:fill="auto"/>
            <w:noWrap/>
            <w:vAlign w:val="bottom"/>
            <w:hideMark/>
          </w:tcPr>
          <w:p w14:paraId="60117956"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0.411</w:t>
            </w:r>
          </w:p>
        </w:tc>
        <w:tc>
          <w:tcPr>
            <w:tcW w:w="960" w:type="dxa"/>
            <w:tcBorders>
              <w:top w:val="nil"/>
              <w:left w:val="nil"/>
              <w:bottom w:val="single" w:sz="4" w:space="0" w:color="auto"/>
              <w:right w:val="single" w:sz="4" w:space="0" w:color="auto"/>
            </w:tcBorders>
            <w:shd w:val="clear" w:color="auto" w:fill="auto"/>
            <w:noWrap/>
            <w:vAlign w:val="bottom"/>
            <w:hideMark/>
          </w:tcPr>
          <w:p w14:paraId="1968D107"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0.589</w:t>
            </w:r>
          </w:p>
        </w:tc>
      </w:tr>
      <w:tr w:rsidR="004730B7" w:rsidRPr="004730B7" w14:paraId="6F997FE5" w14:textId="77777777" w:rsidTr="004730B7">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42C5B535"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SE-N_79</w:t>
            </w:r>
          </w:p>
        </w:tc>
        <w:tc>
          <w:tcPr>
            <w:tcW w:w="3660" w:type="dxa"/>
            <w:tcBorders>
              <w:top w:val="nil"/>
              <w:left w:val="nil"/>
              <w:bottom w:val="single" w:sz="4" w:space="0" w:color="auto"/>
              <w:right w:val="single" w:sz="4" w:space="0" w:color="auto"/>
            </w:tcBorders>
            <w:shd w:val="clear" w:color="auto" w:fill="auto"/>
            <w:noWrap/>
            <w:vAlign w:val="bottom"/>
            <w:hideMark/>
          </w:tcPr>
          <w:p w14:paraId="35C581C1"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Temuco</w:t>
            </w:r>
          </w:p>
        </w:tc>
        <w:tc>
          <w:tcPr>
            <w:tcW w:w="960" w:type="dxa"/>
            <w:tcBorders>
              <w:top w:val="nil"/>
              <w:left w:val="nil"/>
              <w:bottom w:val="single" w:sz="4" w:space="0" w:color="auto"/>
              <w:right w:val="single" w:sz="4" w:space="0" w:color="auto"/>
            </w:tcBorders>
            <w:shd w:val="clear" w:color="auto" w:fill="auto"/>
            <w:noWrap/>
            <w:vAlign w:val="bottom"/>
            <w:hideMark/>
          </w:tcPr>
          <w:p w14:paraId="750F983C"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0.586</w:t>
            </w:r>
          </w:p>
        </w:tc>
        <w:tc>
          <w:tcPr>
            <w:tcW w:w="960" w:type="dxa"/>
            <w:tcBorders>
              <w:top w:val="nil"/>
              <w:left w:val="nil"/>
              <w:bottom w:val="single" w:sz="4" w:space="0" w:color="auto"/>
              <w:right w:val="single" w:sz="4" w:space="0" w:color="auto"/>
            </w:tcBorders>
            <w:shd w:val="clear" w:color="auto" w:fill="auto"/>
            <w:noWrap/>
            <w:vAlign w:val="bottom"/>
            <w:hideMark/>
          </w:tcPr>
          <w:p w14:paraId="72502ECE"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0.414</w:t>
            </w:r>
          </w:p>
        </w:tc>
        <w:tc>
          <w:tcPr>
            <w:tcW w:w="960" w:type="dxa"/>
            <w:tcBorders>
              <w:top w:val="nil"/>
              <w:left w:val="nil"/>
              <w:bottom w:val="single" w:sz="4" w:space="0" w:color="auto"/>
              <w:right w:val="single" w:sz="4" w:space="0" w:color="auto"/>
            </w:tcBorders>
            <w:shd w:val="clear" w:color="auto" w:fill="auto"/>
            <w:noWrap/>
            <w:vAlign w:val="bottom"/>
            <w:hideMark/>
          </w:tcPr>
          <w:p w14:paraId="09207C2A"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0.804</w:t>
            </w:r>
          </w:p>
        </w:tc>
        <w:tc>
          <w:tcPr>
            <w:tcW w:w="960" w:type="dxa"/>
            <w:tcBorders>
              <w:top w:val="nil"/>
              <w:left w:val="nil"/>
              <w:bottom w:val="single" w:sz="4" w:space="0" w:color="auto"/>
              <w:right w:val="single" w:sz="4" w:space="0" w:color="auto"/>
            </w:tcBorders>
            <w:shd w:val="clear" w:color="auto" w:fill="auto"/>
            <w:noWrap/>
            <w:vAlign w:val="bottom"/>
            <w:hideMark/>
          </w:tcPr>
          <w:p w14:paraId="3E481D51"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0.196</w:t>
            </w:r>
          </w:p>
        </w:tc>
      </w:tr>
      <w:tr w:rsidR="004730B7" w:rsidRPr="004730B7" w14:paraId="4AC9DCCC" w14:textId="77777777" w:rsidTr="004730B7">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6ECC5B5D"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SE-N_80</w:t>
            </w:r>
          </w:p>
        </w:tc>
        <w:tc>
          <w:tcPr>
            <w:tcW w:w="3660" w:type="dxa"/>
            <w:tcBorders>
              <w:top w:val="nil"/>
              <w:left w:val="nil"/>
              <w:bottom w:val="single" w:sz="4" w:space="0" w:color="auto"/>
              <w:right w:val="single" w:sz="4" w:space="0" w:color="auto"/>
            </w:tcBorders>
            <w:shd w:val="clear" w:color="auto" w:fill="auto"/>
            <w:noWrap/>
            <w:vAlign w:val="bottom"/>
            <w:hideMark/>
          </w:tcPr>
          <w:p w14:paraId="30DA03A2"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Tinguiririca</w:t>
            </w:r>
          </w:p>
        </w:tc>
        <w:tc>
          <w:tcPr>
            <w:tcW w:w="960" w:type="dxa"/>
            <w:tcBorders>
              <w:top w:val="nil"/>
              <w:left w:val="nil"/>
              <w:bottom w:val="single" w:sz="4" w:space="0" w:color="auto"/>
              <w:right w:val="single" w:sz="4" w:space="0" w:color="auto"/>
            </w:tcBorders>
            <w:shd w:val="clear" w:color="auto" w:fill="auto"/>
            <w:noWrap/>
            <w:vAlign w:val="bottom"/>
            <w:hideMark/>
          </w:tcPr>
          <w:p w14:paraId="36CA39A4"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0.304</w:t>
            </w:r>
          </w:p>
        </w:tc>
        <w:tc>
          <w:tcPr>
            <w:tcW w:w="960" w:type="dxa"/>
            <w:tcBorders>
              <w:top w:val="nil"/>
              <w:left w:val="nil"/>
              <w:bottom w:val="single" w:sz="4" w:space="0" w:color="auto"/>
              <w:right w:val="single" w:sz="4" w:space="0" w:color="auto"/>
            </w:tcBorders>
            <w:shd w:val="clear" w:color="auto" w:fill="auto"/>
            <w:noWrap/>
            <w:vAlign w:val="bottom"/>
            <w:hideMark/>
          </w:tcPr>
          <w:p w14:paraId="07120F9D"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0.696</w:t>
            </w:r>
          </w:p>
        </w:tc>
        <w:tc>
          <w:tcPr>
            <w:tcW w:w="960" w:type="dxa"/>
            <w:tcBorders>
              <w:top w:val="nil"/>
              <w:left w:val="nil"/>
              <w:bottom w:val="single" w:sz="4" w:space="0" w:color="auto"/>
              <w:right w:val="single" w:sz="4" w:space="0" w:color="auto"/>
            </w:tcBorders>
            <w:shd w:val="clear" w:color="auto" w:fill="auto"/>
            <w:noWrap/>
            <w:vAlign w:val="bottom"/>
            <w:hideMark/>
          </w:tcPr>
          <w:p w14:paraId="5AEDB501"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0.413</w:t>
            </w:r>
          </w:p>
        </w:tc>
        <w:tc>
          <w:tcPr>
            <w:tcW w:w="960" w:type="dxa"/>
            <w:tcBorders>
              <w:top w:val="nil"/>
              <w:left w:val="nil"/>
              <w:bottom w:val="single" w:sz="4" w:space="0" w:color="auto"/>
              <w:right w:val="single" w:sz="4" w:space="0" w:color="auto"/>
            </w:tcBorders>
            <w:shd w:val="clear" w:color="auto" w:fill="auto"/>
            <w:noWrap/>
            <w:vAlign w:val="bottom"/>
            <w:hideMark/>
          </w:tcPr>
          <w:p w14:paraId="6C45BF54"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0.587</w:t>
            </w:r>
          </w:p>
        </w:tc>
      </w:tr>
      <w:tr w:rsidR="004730B7" w:rsidRPr="004730B7" w14:paraId="72037555" w14:textId="77777777" w:rsidTr="004730B7">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3D284B83"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SE-N_81</w:t>
            </w:r>
          </w:p>
        </w:tc>
        <w:tc>
          <w:tcPr>
            <w:tcW w:w="3660" w:type="dxa"/>
            <w:tcBorders>
              <w:top w:val="nil"/>
              <w:left w:val="nil"/>
              <w:bottom w:val="single" w:sz="4" w:space="0" w:color="auto"/>
              <w:right w:val="single" w:sz="4" w:space="0" w:color="auto"/>
            </w:tcBorders>
            <w:shd w:val="clear" w:color="auto" w:fill="auto"/>
            <w:noWrap/>
            <w:vAlign w:val="bottom"/>
            <w:hideMark/>
          </w:tcPr>
          <w:p w14:paraId="4DE5AC6B" w14:textId="77777777" w:rsidR="004730B7" w:rsidRPr="004730B7" w:rsidRDefault="004730B7" w:rsidP="004730B7">
            <w:pPr>
              <w:spacing w:after="0" w:line="240" w:lineRule="auto"/>
              <w:jc w:val="left"/>
              <w:rPr>
                <w:rFonts w:eastAsia="Times New Roman"/>
                <w:color w:val="000000"/>
                <w:sz w:val="20"/>
                <w:szCs w:val="22"/>
                <w:lang w:eastAsia="es-CL"/>
              </w:rPr>
            </w:pPr>
            <w:r w:rsidRPr="004730B7">
              <w:rPr>
                <w:rFonts w:eastAsia="Times New Roman"/>
                <w:color w:val="000000"/>
                <w:sz w:val="20"/>
                <w:szCs w:val="22"/>
                <w:lang w:eastAsia="es-CL"/>
              </w:rPr>
              <w:t>Valdivia</w:t>
            </w:r>
          </w:p>
        </w:tc>
        <w:tc>
          <w:tcPr>
            <w:tcW w:w="960" w:type="dxa"/>
            <w:tcBorders>
              <w:top w:val="nil"/>
              <w:left w:val="nil"/>
              <w:bottom w:val="single" w:sz="4" w:space="0" w:color="auto"/>
              <w:right w:val="single" w:sz="4" w:space="0" w:color="auto"/>
            </w:tcBorders>
            <w:shd w:val="clear" w:color="auto" w:fill="auto"/>
            <w:noWrap/>
            <w:vAlign w:val="bottom"/>
            <w:hideMark/>
          </w:tcPr>
          <w:p w14:paraId="7F1457D0"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0.422</w:t>
            </w:r>
          </w:p>
        </w:tc>
        <w:tc>
          <w:tcPr>
            <w:tcW w:w="960" w:type="dxa"/>
            <w:tcBorders>
              <w:top w:val="nil"/>
              <w:left w:val="nil"/>
              <w:bottom w:val="single" w:sz="4" w:space="0" w:color="auto"/>
              <w:right w:val="single" w:sz="4" w:space="0" w:color="auto"/>
            </w:tcBorders>
            <w:shd w:val="clear" w:color="auto" w:fill="auto"/>
            <w:noWrap/>
            <w:vAlign w:val="bottom"/>
            <w:hideMark/>
          </w:tcPr>
          <w:p w14:paraId="4A79C9B0"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0.578</w:t>
            </w:r>
          </w:p>
        </w:tc>
        <w:tc>
          <w:tcPr>
            <w:tcW w:w="960" w:type="dxa"/>
            <w:tcBorders>
              <w:top w:val="nil"/>
              <w:left w:val="nil"/>
              <w:bottom w:val="single" w:sz="4" w:space="0" w:color="auto"/>
              <w:right w:val="single" w:sz="4" w:space="0" w:color="auto"/>
            </w:tcBorders>
            <w:shd w:val="clear" w:color="auto" w:fill="auto"/>
            <w:noWrap/>
            <w:vAlign w:val="bottom"/>
            <w:hideMark/>
          </w:tcPr>
          <w:p w14:paraId="3D3B39D5"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0.603</w:t>
            </w:r>
          </w:p>
        </w:tc>
        <w:tc>
          <w:tcPr>
            <w:tcW w:w="960" w:type="dxa"/>
            <w:tcBorders>
              <w:top w:val="nil"/>
              <w:left w:val="nil"/>
              <w:bottom w:val="single" w:sz="4" w:space="0" w:color="auto"/>
              <w:right w:val="single" w:sz="4" w:space="0" w:color="auto"/>
            </w:tcBorders>
            <w:shd w:val="clear" w:color="auto" w:fill="auto"/>
            <w:noWrap/>
            <w:vAlign w:val="bottom"/>
            <w:hideMark/>
          </w:tcPr>
          <w:p w14:paraId="24267281" w14:textId="77777777" w:rsidR="004730B7" w:rsidRPr="004730B7" w:rsidRDefault="004730B7" w:rsidP="004730B7">
            <w:pPr>
              <w:spacing w:after="0" w:line="240" w:lineRule="auto"/>
              <w:jc w:val="center"/>
              <w:rPr>
                <w:rFonts w:eastAsia="Times New Roman"/>
                <w:color w:val="000000"/>
                <w:sz w:val="20"/>
                <w:szCs w:val="22"/>
                <w:lang w:eastAsia="es-CL"/>
              </w:rPr>
            </w:pPr>
            <w:r w:rsidRPr="004730B7">
              <w:rPr>
                <w:rFonts w:eastAsia="Times New Roman"/>
                <w:color w:val="000000"/>
                <w:sz w:val="20"/>
                <w:szCs w:val="22"/>
                <w:lang w:eastAsia="es-CL"/>
              </w:rPr>
              <w:t>0.397</w:t>
            </w:r>
          </w:p>
        </w:tc>
      </w:tr>
    </w:tbl>
    <w:p w14:paraId="76F52ACD" w14:textId="77777777" w:rsidR="00ED0E24" w:rsidRDefault="00ED0E24" w:rsidP="006E081A">
      <w:pPr>
        <w:spacing w:after="120"/>
      </w:pPr>
    </w:p>
    <w:p w14:paraId="2E57D1A7" w14:textId="6F81CA73" w:rsidR="00ED0E24" w:rsidRPr="008F4158" w:rsidRDefault="00ED0E24" w:rsidP="00ED0E24">
      <w:r w:rsidRPr="008F4158">
        <w:t>El cálculo que sustenta estos coeficientes de indexación se encuentra en el archivo “</w:t>
      </w:r>
      <w:r w:rsidR="004730B7" w:rsidRPr="008F4158">
        <w:t>Cálculo coeficientes de indexación tercera versión Informe N°2</w:t>
      </w:r>
      <w:r w:rsidRPr="008F4158">
        <w:t xml:space="preserve">.xlsx”, en la subcarpeta Anexos VATT\Anexo Fórmula de Indexación. La misma subcarpeta contiene la </w:t>
      </w:r>
      <w:r w:rsidRPr="008F4158">
        <w:rPr>
          <w:i/>
        </w:rPr>
        <w:t>query</w:t>
      </w:r>
      <w:r w:rsidRPr="008F4158">
        <w:t xml:space="preserve"> “Codigo VI, AVI TOTAL y AEIR por VU.sql” que entrega el AVI Total y el AEIR por vida útil utilizados en el cálculo de </w:t>
      </w:r>
      <w:r w:rsidR="003F2259" w:rsidRPr="008F4158">
        <w:t>los coeficientes de indexación</w:t>
      </w:r>
      <w:r w:rsidR="004730B7" w:rsidRPr="008F4158">
        <w:t>, y el archivo “Resultado por VU 07MAY2020 v2” con los AVI y AEIR que dan origen a los cálculos</w:t>
      </w:r>
      <w:r w:rsidR="003F2259" w:rsidRPr="008F4158">
        <w:t>.</w:t>
      </w:r>
    </w:p>
    <w:p w14:paraId="0D76EF22" w14:textId="33E07E18" w:rsidR="006E081A" w:rsidRDefault="005C2D74" w:rsidP="00ED0E24">
      <w:r w:rsidRPr="008F4158">
        <w:t xml:space="preserve">En relación con la valorización de instalaciones no declaradas en la base de datos, y que el Comité ha solicitado sea eliminada de los resultados formales del estudio, sin perjuicio que el consultor las evalúe fuera de dicha base, se preparó el </w:t>
      </w:r>
      <w:r w:rsidR="00417E7B" w:rsidRPr="008F4158">
        <w:t>archivo Excel “VATT Total Tramos con instalaciones fuera de la BD.xlsx”</w:t>
      </w:r>
      <w:r w:rsidRPr="008F4158">
        <w:t xml:space="preserve"> incorporado en la carpeta Anexos VATT, en la que se determina el VATT de estas instalaciones y se totaliza éste con el VATT del tramo al que pertenece, el que ha sido determinado para las instalaciones declaradas. Estas instalaciones corresponden a tres líneas de transmisión y a las plataformas de 67 subestaciones.</w:t>
      </w:r>
    </w:p>
    <w:p w14:paraId="60AEE661" w14:textId="4B0CE1F5" w:rsidR="003D4D76" w:rsidRDefault="005821AA" w:rsidP="00D67B9F">
      <w:pPr>
        <w:pStyle w:val="Ttulo1"/>
      </w:pPr>
      <w:bookmarkStart w:id="582" w:name="_Toc39797910"/>
      <w:r w:rsidRPr="00EE2F47">
        <w:t>A</w:t>
      </w:r>
      <w:r w:rsidR="00E8341C">
        <w:t>nexos</w:t>
      </w:r>
      <w:bookmarkEnd w:id="582"/>
    </w:p>
    <w:p w14:paraId="61222A34" w14:textId="77777777" w:rsidR="00ED0E24" w:rsidRDefault="00ED0E24" w:rsidP="00ED0E24">
      <w:r>
        <w:t>Como se indicó en el Capítulo 1 Introducción, dado el gran volumen del material que soporta los resultados del estudio, y con el objeto de facilitar su lectura y compresión, se optó por presentar el estudio en versión electrónica, estructurándolo en la forma de un documento principal y ejecutivo -el presente documento- y un cuerpo de anexos conformado por carpetas según se detalla a continuación:</w:t>
      </w:r>
    </w:p>
    <w:p w14:paraId="76B9FD0E" w14:textId="77777777" w:rsidR="00ED0E24" w:rsidRDefault="00ED0E24" w:rsidP="00273FE4">
      <w:pPr>
        <w:pStyle w:val="Prrafodelista"/>
        <w:numPr>
          <w:ilvl w:val="0"/>
          <w:numId w:val="78"/>
        </w:numPr>
        <w:ind w:left="567" w:hanging="567"/>
      </w:pPr>
      <w:r>
        <w:t>Anexo Normativo</w:t>
      </w:r>
    </w:p>
    <w:p w14:paraId="582DFF11" w14:textId="77777777" w:rsidR="00ED0E24" w:rsidRDefault="00ED0E24" w:rsidP="00273FE4">
      <w:pPr>
        <w:pStyle w:val="Prrafodelista"/>
        <w:numPr>
          <w:ilvl w:val="0"/>
          <w:numId w:val="78"/>
        </w:numPr>
        <w:ind w:left="567" w:hanging="567"/>
      </w:pPr>
      <w:r>
        <w:t>Anexos COMA</w:t>
      </w:r>
    </w:p>
    <w:p w14:paraId="779F081D" w14:textId="77777777" w:rsidR="00ED0E24" w:rsidRDefault="00ED0E24" w:rsidP="00273FE4">
      <w:pPr>
        <w:pStyle w:val="Prrafodelista"/>
        <w:numPr>
          <w:ilvl w:val="0"/>
          <w:numId w:val="78"/>
        </w:numPr>
        <w:ind w:left="567" w:hanging="567"/>
      </w:pPr>
      <w:r>
        <w:t>Anexos VATT</w:t>
      </w:r>
    </w:p>
    <w:p w14:paraId="2B0731AE" w14:textId="77777777" w:rsidR="00ED0E24" w:rsidRPr="006D5AAE" w:rsidRDefault="00ED0E24" w:rsidP="00273FE4">
      <w:pPr>
        <w:pStyle w:val="Prrafodelista"/>
        <w:numPr>
          <w:ilvl w:val="0"/>
          <w:numId w:val="78"/>
        </w:numPr>
        <w:ind w:left="567" w:hanging="567"/>
        <w:rPr>
          <w:rFonts w:cs="Arial"/>
          <w:szCs w:val="22"/>
        </w:rPr>
      </w:pPr>
      <w:r>
        <w:t>Anexos VI</w:t>
      </w:r>
    </w:p>
    <w:p w14:paraId="4E099E7A" w14:textId="77777777" w:rsidR="00ED0E24" w:rsidRPr="006D5AAE" w:rsidRDefault="00ED0E24" w:rsidP="00273FE4">
      <w:pPr>
        <w:pStyle w:val="Prrafodelista"/>
        <w:numPr>
          <w:ilvl w:val="0"/>
          <w:numId w:val="78"/>
        </w:numPr>
        <w:ind w:left="567" w:hanging="567"/>
        <w:rPr>
          <w:rFonts w:cs="Arial"/>
          <w:szCs w:val="22"/>
        </w:rPr>
      </w:pPr>
      <w:r>
        <w:t>Deflactores</w:t>
      </w:r>
    </w:p>
    <w:p w14:paraId="470331BE" w14:textId="621185FC" w:rsidR="003400E0" w:rsidRPr="003400E0" w:rsidRDefault="00ED0E24" w:rsidP="00273FE4">
      <w:pPr>
        <w:pStyle w:val="Prrafodelista"/>
        <w:numPr>
          <w:ilvl w:val="0"/>
          <w:numId w:val="78"/>
        </w:numPr>
        <w:ind w:left="567" w:hanging="567"/>
      </w:pPr>
      <w:r>
        <w:lastRenderedPageBreak/>
        <w:t>Informe</w:t>
      </w:r>
    </w:p>
    <w:sectPr w:rsidR="003400E0" w:rsidRPr="003400E0" w:rsidSect="0053093A">
      <w:pgSz w:w="12242" w:h="15842" w:code="1"/>
      <w:pgMar w:top="1134" w:right="1134" w:bottom="1134" w:left="1418" w:header="851" w:footer="1134"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D5A3EC9" w14:textId="77777777" w:rsidR="0088072F" w:rsidRDefault="0088072F" w:rsidP="00FE3577">
      <w:pPr>
        <w:spacing w:after="0" w:line="240" w:lineRule="auto"/>
      </w:pPr>
      <w:r>
        <w:separator/>
      </w:r>
    </w:p>
    <w:p w14:paraId="2A2754E6" w14:textId="77777777" w:rsidR="0088072F" w:rsidRDefault="0088072F"/>
    <w:p w14:paraId="41F0D804" w14:textId="77777777" w:rsidR="0088072F" w:rsidRDefault="0088072F"/>
    <w:p w14:paraId="4F9BF0D6" w14:textId="77777777" w:rsidR="0088072F" w:rsidRDefault="0088072F"/>
  </w:endnote>
  <w:endnote w:type="continuationSeparator" w:id="0">
    <w:p w14:paraId="584645AB" w14:textId="77777777" w:rsidR="0088072F" w:rsidRDefault="0088072F" w:rsidP="00FE3577">
      <w:pPr>
        <w:spacing w:after="0" w:line="240" w:lineRule="auto"/>
      </w:pPr>
      <w:r>
        <w:continuationSeparator/>
      </w:r>
    </w:p>
    <w:p w14:paraId="1AEB9B13" w14:textId="77777777" w:rsidR="0088072F" w:rsidRDefault="0088072F"/>
    <w:p w14:paraId="5BA8D53C" w14:textId="77777777" w:rsidR="0088072F" w:rsidRDefault="0088072F"/>
    <w:p w14:paraId="77093483" w14:textId="77777777" w:rsidR="0088072F" w:rsidRDefault="0088072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notTrueType/>
    <w:pitch w:val="fixed"/>
    <w:sig w:usb0="00000001" w:usb1="08070000" w:usb2="00000010" w:usb3="00000000" w:csb0="00020000" w:csb1="00000000"/>
  </w:font>
  <w:font w:name="Arial Narrow">
    <w:panose1 w:val="020B0606020202030204"/>
    <w:charset w:val="00"/>
    <w:family w:val="swiss"/>
    <w:pitch w:val="variable"/>
    <w:sig w:usb0="00000287" w:usb1="00000800" w:usb2="00000000" w:usb3="00000000" w:csb0="0000009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633684105"/>
      <w:docPartObj>
        <w:docPartGallery w:val="Page Numbers (Bottom of Page)"/>
        <w:docPartUnique/>
      </w:docPartObj>
    </w:sdtPr>
    <w:sdtEndPr/>
    <w:sdtContent>
      <w:p w14:paraId="4B1676ED" w14:textId="3475A337" w:rsidR="006107A8" w:rsidRDefault="006107A8" w:rsidP="00893C83">
        <w:pPr>
          <w:spacing w:before="60" w:after="0"/>
          <w:jc w:val="right"/>
        </w:pPr>
        <w:r w:rsidRPr="00E04582">
          <w:fldChar w:fldCharType="begin"/>
        </w:r>
        <w:r w:rsidRPr="00E04582">
          <w:instrText>PAGE   \* MERGEFORMAT</w:instrText>
        </w:r>
        <w:r w:rsidRPr="00E04582">
          <w:fldChar w:fldCharType="separate"/>
        </w:r>
        <w:r w:rsidR="001F3E2E">
          <w:rPr>
            <w:noProof/>
          </w:rPr>
          <w:t>64</w:t>
        </w:r>
        <w:r w:rsidRPr="00E04582">
          <w:fldChar w:fldCharType="end"/>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679478584"/>
      <w:docPartObj>
        <w:docPartGallery w:val="Page Numbers (Bottom of Page)"/>
        <w:docPartUnique/>
      </w:docPartObj>
    </w:sdtPr>
    <w:sdtEndPr/>
    <w:sdtContent>
      <w:p w14:paraId="38DADC5A" w14:textId="77777777" w:rsidR="006107A8" w:rsidRDefault="006107A8" w:rsidP="00F836AC">
        <w:pPr>
          <w:spacing w:before="60" w:after="0"/>
          <w:jc w:val="right"/>
        </w:pPr>
        <w:r w:rsidRPr="00E04582">
          <w:fldChar w:fldCharType="begin"/>
        </w:r>
        <w:r w:rsidRPr="00E04582">
          <w:instrText>PAGE   \* MERGEFORMAT</w:instrText>
        </w:r>
        <w:r w:rsidRPr="00E04582">
          <w:fldChar w:fldCharType="separate"/>
        </w:r>
        <w:r w:rsidR="001F3E2E">
          <w:rPr>
            <w:noProof/>
          </w:rPr>
          <w:t>1</w:t>
        </w:r>
        <w:r w:rsidRPr="00E04582">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D6937CA" w14:textId="77777777" w:rsidR="0088072F" w:rsidRPr="00033904" w:rsidRDefault="0088072F" w:rsidP="006310DC">
      <w:pPr>
        <w:spacing w:after="0" w:line="240" w:lineRule="auto"/>
        <w:rPr>
          <w:sz w:val="22"/>
          <w:szCs w:val="22"/>
        </w:rPr>
      </w:pPr>
      <w:r w:rsidRPr="00033904">
        <w:rPr>
          <w:sz w:val="22"/>
          <w:szCs w:val="22"/>
        </w:rPr>
        <w:separator/>
      </w:r>
    </w:p>
  </w:footnote>
  <w:footnote w:type="continuationSeparator" w:id="0">
    <w:p w14:paraId="6187AC3C" w14:textId="77777777" w:rsidR="0088072F" w:rsidRPr="00033904" w:rsidRDefault="0088072F" w:rsidP="00FE3577">
      <w:pPr>
        <w:spacing w:after="0" w:line="240" w:lineRule="auto"/>
        <w:rPr>
          <w:sz w:val="22"/>
          <w:szCs w:val="22"/>
        </w:rPr>
      </w:pPr>
      <w:r w:rsidRPr="00033904">
        <w:rPr>
          <w:sz w:val="22"/>
          <w:szCs w:val="22"/>
        </w:rPr>
        <w:continuationSeparator/>
      </w:r>
    </w:p>
    <w:p w14:paraId="2CE76BC4" w14:textId="77777777" w:rsidR="0088072F" w:rsidRDefault="0088072F"/>
  </w:footnote>
  <w:footnote w:type="continuationNotice" w:id="1">
    <w:p w14:paraId="2A62BFA6" w14:textId="77777777" w:rsidR="0088072F" w:rsidRPr="00E079FE" w:rsidRDefault="0088072F" w:rsidP="00E079FE">
      <w:pPr>
        <w:pStyle w:val="Piedepgina"/>
      </w:pPr>
    </w:p>
    <w:p w14:paraId="295F1714" w14:textId="77777777" w:rsidR="0088072F" w:rsidRDefault="0088072F"/>
  </w:footnote>
  <w:footnote w:id="2">
    <w:p w14:paraId="07310076" w14:textId="77777777" w:rsidR="00DE3E6F" w:rsidRPr="002C2818" w:rsidRDefault="00DE3E6F" w:rsidP="00DE3E6F">
      <w:pPr>
        <w:spacing w:after="0" w:line="240" w:lineRule="auto"/>
        <w:ind w:left="284" w:hanging="284"/>
        <w:rPr>
          <w:rFonts w:cs="Calibri"/>
          <w:sz w:val="20"/>
          <w:szCs w:val="20"/>
        </w:rPr>
      </w:pPr>
      <w:r w:rsidRPr="004571A5">
        <w:rPr>
          <w:rFonts w:cs="Calibri"/>
          <w:vertAlign w:val="superscript"/>
        </w:rPr>
        <w:footnoteRef/>
      </w:r>
      <w:r w:rsidRPr="002C2818">
        <w:rPr>
          <w:rFonts w:cs="Calibri"/>
          <w:sz w:val="20"/>
          <w:szCs w:val="20"/>
        </w:rPr>
        <w:t xml:space="preserve"> </w:t>
      </w:r>
      <w:r w:rsidRPr="002C2818">
        <w:rPr>
          <w:rFonts w:cs="Calibri"/>
          <w:sz w:val="20"/>
          <w:szCs w:val="20"/>
        </w:rPr>
        <w:tab/>
        <w:t>La Ley N°20.936 modificó las regulaciones introducidas en 2004 en la LGSE por la Ley N°19.940.</w:t>
      </w:r>
    </w:p>
  </w:footnote>
  <w:footnote w:id="3">
    <w:p w14:paraId="7DEB6CD4" w14:textId="77777777" w:rsidR="00DE3E6F" w:rsidRPr="002C2818" w:rsidRDefault="00DE3E6F" w:rsidP="00DE3E6F">
      <w:pPr>
        <w:spacing w:after="0" w:line="240" w:lineRule="auto"/>
        <w:ind w:left="284" w:hanging="284"/>
        <w:rPr>
          <w:rFonts w:cs="Calibri"/>
          <w:sz w:val="20"/>
          <w:szCs w:val="20"/>
        </w:rPr>
      </w:pPr>
      <w:r w:rsidRPr="004571A5">
        <w:rPr>
          <w:rFonts w:cs="Calibri"/>
          <w:vertAlign w:val="superscript"/>
        </w:rPr>
        <w:footnoteRef/>
      </w:r>
      <w:r w:rsidRPr="004571A5">
        <w:rPr>
          <w:rFonts w:cs="Calibri"/>
          <w:vertAlign w:val="superscript"/>
        </w:rPr>
        <w:t xml:space="preserve"> </w:t>
      </w:r>
      <w:r w:rsidRPr="002C2818">
        <w:rPr>
          <w:rFonts w:cs="Calibri"/>
          <w:sz w:val="20"/>
          <w:szCs w:val="20"/>
        </w:rPr>
        <w:tab/>
        <w:t>En efecto, a partir de un esquema que asignaba los pagos del sistema de transmisión a la generación y a la demanda de acuerdo al uso estimado, se avanzó a uno más simple en que los costos de transmisión son cubiertos totalmente por la demanda mediante la aplicación de un cargo único.</w:t>
      </w:r>
    </w:p>
  </w:footnote>
  <w:footnote w:id="4">
    <w:p w14:paraId="4BBB0989" w14:textId="77777777" w:rsidR="00DE3E6F" w:rsidRPr="002C2818" w:rsidRDefault="00DE3E6F" w:rsidP="00DE3E6F">
      <w:pPr>
        <w:spacing w:after="0" w:line="240" w:lineRule="auto"/>
        <w:ind w:left="284" w:hanging="284"/>
        <w:rPr>
          <w:rFonts w:cs="Calibri"/>
          <w:sz w:val="20"/>
          <w:szCs w:val="20"/>
        </w:rPr>
      </w:pPr>
      <w:r w:rsidRPr="004571A5">
        <w:rPr>
          <w:rFonts w:cs="Calibri"/>
          <w:vertAlign w:val="superscript"/>
        </w:rPr>
        <w:footnoteRef/>
      </w:r>
      <w:r w:rsidRPr="002C2818">
        <w:rPr>
          <w:rFonts w:cs="Calibri"/>
          <w:sz w:val="20"/>
          <w:szCs w:val="20"/>
        </w:rPr>
        <w:t xml:space="preserve"> </w:t>
      </w:r>
      <w:r w:rsidRPr="002C2818">
        <w:rPr>
          <w:rFonts w:cs="Calibri"/>
          <w:sz w:val="20"/>
          <w:szCs w:val="20"/>
        </w:rPr>
        <w:tab/>
        <w:t>Los polos de desarrollo corresponden a zonas territorialmente identificables en el país, ubicadas en las regiones en las que se emplaza el sistema eléctrico nacional, donde existen recursos para la producción de energía con energías renovables, cuyo aprovechamiento, utilizando un único sistema de transmisión, resulte de interés público por considerarse económicamente eficiente desde el punto de vista del suministro. Corresponde al Ministerio de Energía identificar, en su planificación energética de largo plazo, las áreas donde pueden existir polos de desarrollo de generación eléctrica (Artículo 105° de la LGSE). El Ministerio no identificó áreas con potenciales polos de desarrollo en la planificación energética vigente.</w:t>
      </w:r>
    </w:p>
  </w:footnote>
  <w:footnote w:id="5">
    <w:p w14:paraId="6169A4A9" w14:textId="77777777" w:rsidR="00DE3E6F" w:rsidRPr="005F38A2" w:rsidRDefault="00DE3E6F" w:rsidP="00DE3E6F">
      <w:pPr>
        <w:spacing w:after="0" w:line="240" w:lineRule="auto"/>
        <w:ind w:left="284" w:hanging="284"/>
        <w:rPr>
          <w:rFonts w:cs="Calibri"/>
          <w:sz w:val="20"/>
          <w:szCs w:val="20"/>
        </w:rPr>
      </w:pPr>
      <w:r w:rsidRPr="004571A5">
        <w:rPr>
          <w:vertAlign w:val="superscript"/>
        </w:rPr>
        <w:footnoteRef/>
      </w:r>
      <w:r w:rsidRPr="004571A5">
        <w:rPr>
          <w:rFonts w:cs="Calibri"/>
          <w:vertAlign w:val="superscript"/>
        </w:rPr>
        <w:t xml:space="preserve"> </w:t>
      </w:r>
      <w:r>
        <w:rPr>
          <w:rFonts w:cs="Calibri"/>
          <w:sz w:val="22"/>
          <w:szCs w:val="22"/>
        </w:rPr>
        <w:tab/>
      </w:r>
      <w:r w:rsidRPr="00027F60">
        <w:rPr>
          <w:rFonts w:cs="Calibri"/>
          <w:sz w:val="20"/>
          <w:szCs w:val="20"/>
        </w:rPr>
        <w:t>Artículo 102° de la LGSE.</w:t>
      </w:r>
    </w:p>
  </w:footnote>
  <w:footnote w:id="6">
    <w:p w14:paraId="2CDEC3B5" w14:textId="77777777" w:rsidR="00DE3E6F" w:rsidRPr="002C2818" w:rsidRDefault="00DE3E6F" w:rsidP="00DE3E6F">
      <w:pPr>
        <w:spacing w:after="0" w:line="240" w:lineRule="auto"/>
        <w:ind w:left="284" w:hanging="284"/>
        <w:rPr>
          <w:rFonts w:cs="Calibri"/>
          <w:sz w:val="20"/>
          <w:szCs w:val="20"/>
        </w:rPr>
      </w:pPr>
      <w:r w:rsidRPr="004571A5">
        <w:rPr>
          <w:rFonts w:cs="Calibri"/>
          <w:vertAlign w:val="superscript"/>
        </w:rPr>
        <w:footnoteRef/>
      </w:r>
      <w:r w:rsidRPr="005F38A2">
        <w:rPr>
          <w:rFonts w:cs="Calibri"/>
          <w:sz w:val="20"/>
          <w:szCs w:val="20"/>
        </w:rPr>
        <w:t xml:space="preserve"> </w:t>
      </w:r>
      <w:r w:rsidRPr="002C2818">
        <w:rPr>
          <w:rFonts w:cs="Calibri"/>
          <w:sz w:val="20"/>
          <w:szCs w:val="20"/>
        </w:rPr>
        <w:t>Punto 16.1 del CAPÍTULO I de las Bases.</w:t>
      </w:r>
    </w:p>
  </w:footnote>
  <w:footnote w:id="7">
    <w:p w14:paraId="7906C833" w14:textId="77777777" w:rsidR="00DE3E6F" w:rsidRPr="00887D2D" w:rsidRDefault="00DE3E6F" w:rsidP="00DE3E6F">
      <w:pPr>
        <w:pStyle w:val="Textonotapie"/>
      </w:pPr>
      <w:r>
        <w:rPr>
          <w:rStyle w:val="Refdenotaalpie"/>
        </w:rPr>
        <w:footnoteRef/>
      </w:r>
      <w:r>
        <w:t xml:space="preserve"> Punto 16.2 del CAPÍTULO II de las Bases.</w:t>
      </w:r>
    </w:p>
  </w:footnote>
  <w:footnote w:id="8">
    <w:p w14:paraId="20827A1D" w14:textId="3E4733AF" w:rsidR="006107A8" w:rsidRPr="00B83B8B" w:rsidRDefault="006107A8" w:rsidP="00945458">
      <w:pPr>
        <w:pStyle w:val="Piedepgina"/>
      </w:pPr>
      <w:r w:rsidRPr="00B83B8B">
        <w:footnoteRef/>
      </w:r>
      <w:r>
        <w:tab/>
      </w:r>
      <w:r w:rsidRPr="00B83B8B">
        <w:t>Capítulo II, Punto 3.1 de las Bases.</w:t>
      </w:r>
    </w:p>
  </w:footnote>
  <w:footnote w:id="9">
    <w:p w14:paraId="48935BEA" w14:textId="46AEFD33" w:rsidR="006107A8" w:rsidRPr="00B83B8B" w:rsidRDefault="006107A8" w:rsidP="00945458">
      <w:pPr>
        <w:pStyle w:val="Piedepgina"/>
      </w:pPr>
      <w:r w:rsidRPr="00B83B8B">
        <w:footnoteRef/>
      </w:r>
      <w:r>
        <w:tab/>
      </w:r>
      <w:r w:rsidRPr="00B83B8B">
        <w:t>Capítulo II, Punto 3.3 de las Bases.</w:t>
      </w:r>
    </w:p>
  </w:footnote>
  <w:footnote w:id="10">
    <w:p w14:paraId="5839EE62" w14:textId="2149D963" w:rsidR="006107A8" w:rsidRPr="00865002" w:rsidRDefault="006107A8" w:rsidP="00945458">
      <w:pPr>
        <w:pStyle w:val="Piedepgina"/>
        <w:rPr>
          <w:rFonts w:cs="Calibri"/>
        </w:rPr>
      </w:pPr>
      <w:r w:rsidRPr="00B83B8B">
        <w:footnoteRef/>
      </w:r>
      <w:r>
        <w:tab/>
      </w:r>
      <w:r w:rsidRPr="00B83B8B">
        <w:t>Capítulo II, Punto 3.3 de las Bases.</w:t>
      </w:r>
    </w:p>
  </w:footnote>
  <w:footnote w:id="11">
    <w:p w14:paraId="417AFF4A" w14:textId="390BF638" w:rsidR="006107A8" w:rsidRPr="00B83B8B" w:rsidRDefault="006107A8" w:rsidP="00945458">
      <w:pPr>
        <w:pStyle w:val="Piedepgina"/>
      </w:pPr>
      <w:r w:rsidRPr="00B83B8B">
        <w:footnoteRef/>
      </w:r>
      <w:r>
        <w:tab/>
      </w:r>
      <w:r w:rsidRPr="00B83B8B">
        <w:t>Las Bases rigen tanto el desarrollo del estudio de valorización del sistema nacional, como de los estudios de valorización de los sistemas zonales y los sistemas dedicados que abastece clientes regulados, todo mediante un texto consolidado. (Capítulo II, Punto 3.3 de las Bases).</w:t>
      </w:r>
    </w:p>
  </w:footnote>
  <w:footnote w:id="12">
    <w:p w14:paraId="26A0A3FC" w14:textId="38557AE4" w:rsidR="006107A8" w:rsidRPr="00B83B8B" w:rsidRDefault="006107A8" w:rsidP="00945458">
      <w:pPr>
        <w:pStyle w:val="Piedepgina"/>
      </w:pPr>
      <w:r w:rsidRPr="00B83B8B">
        <w:footnoteRef/>
      </w:r>
      <w:r>
        <w:tab/>
      </w:r>
      <w:r w:rsidRPr="00B83B8B">
        <w:t>Capítulo II, Punto 3.4 de las Bases.</w:t>
      </w:r>
    </w:p>
  </w:footnote>
  <w:footnote w:id="13">
    <w:p w14:paraId="7BBFB5D0" w14:textId="4FA04B36" w:rsidR="006107A8" w:rsidRPr="00865002" w:rsidRDefault="006107A8" w:rsidP="00945458">
      <w:pPr>
        <w:pStyle w:val="Piedepgina"/>
        <w:rPr>
          <w:rFonts w:cs="Calibri"/>
        </w:rPr>
      </w:pPr>
      <w:r w:rsidRPr="00B83B8B">
        <w:footnoteRef/>
      </w:r>
      <w:r>
        <w:tab/>
      </w:r>
      <w:r w:rsidRPr="00B83B8B">
        <w:t>Capítulo II, Punto 3.4 de las Bases.</w:t>
      </w:r>
    </w:p>
  </w:footnote>
  <w:footnote w:id="14">
    <w:p w14:paraId="04AEE068" w14:textId="5D5B19F4" w:rsidR="006107A8" w:rsidRPr="00B83B8B" w:rsidRDefault="006107A8" w:rsidP="00945458">
      <w:pPr>
        <w:pStyle w:val="Piedepgina"/>
      </w:pPr>
      <w:r w:rsidRPr="00B83B8B">
        <w:footnoteRef/>
      </w:r>
      <w:r>
        <w:tab/>
      </w:r>
      <w:r w:rsidRPr="00B83B8B">
        <w:t>Capítulo II, Punto 1 de las Bases.</w:t>
      </w:r>
    </w:p>
  </w:footnote>
  <w:footnote w:id="15">
    <w:p w14:paraId="43E3A25D" w14:textId="07545D27" w:rsidR="006107A8" w:rsidRPr="00B83B8B" w:rsidRDefault="006107A8" w:rsidP="00945458">
      <w:pPr>
        <w:pStyle w:val="Piedepgina"/>
      </w:pPr>
      <w:r w:rsidRPr="00B83B8B">
        <w:footnoteRef/>
      </w:r>
      <w:r>
        <w:tab/>
      </w:r>
      <w:r w:rsidRPr="00B83B8B">
        <w:t>Capítulo II, Punto 3.3 de las Bases.</w:t>
      </w:r>
    </w:p>
  </w:footnote>
  <w:footnote w:id="16">
    <w:p w14:paraId="0ED8A68D" w14:textId="1D72DABD" w:rsidR="006107A8" w:rsidRPr="00865002" w:rsidRDefault="006107A8" w:rsidP="00945458">
      <w:pPr>
        <w:pStyle w:val="Piedepgina"/>
        <w:rPr>
          <w:rFonts w:cs="Calibri"/>
        </w:rPr>
      </w:pPr>
      <w:r w:rsidRPr="00B83B8B">
        <w:footnoteRef/>
      </w:r>
      <w:r>
        <w:tab/>
      </w:r>
      <w:r w:rsidRPr="00B83B8B">
        <w:t>Capítulo II, Punto 3.4 de las Bases.</w:t>
      </w:r>
    </w:p>
  </w:footnote>
  <w:footnote w:id="17">
    <w:p w14:paraId="0644E6B5" w14:textId="77777777" w:rsidR="00EC4B36" w:rsidRPr="005C0F79" w:rsidRDefault="00EC4B36" w:rsidP="00EC4B36">
      <w:pPr>
        <w:pStyle w:val="Piedepgina"/>
      </w:pPr>
      <w:r w:rsidRPr="005C0F79">
        <w:footnoteRef/>
      </w:r>
      <w:r w:rsidRPr="005C0F79">
        <w:t xml:space="preserve"> </w:t>
      </w:r>
      <w:r>
        <w:tab/>
      </w:r>
      <w:r w:rsidRPr="005C0F79">
        <w:t>Engineering, Procurement and Construction (Ingeniería, Suministro y Construcción)</w:t>
      </w:r>
    </w:p>
  </w:footnote>
  <w:footnote w:id="18">
    <w:p w14:paraId="1C535192" w14:textId="77777777" w:rsidR="00EC4B36" w:rsidRPr="009261DB" w:rsidRDefault="00EC4B36" w:rsidP="00EC4B36">
      <w:pPr>
        <w:pStyle w:val="Piedepgina"/>
      </w:pPr>
      <w:r w:rsidRPr="009261DB">
        <w:footnoteRef/>
      </w:r>
      <w:r w:rsidRPr="009261DB">
        <w:t xml:space="preserve"> </w:t>
      </w:r>
      <w:r>
        <w:tab/>
      </w:r>
      <w:r w:rsidRPr="009261DB">
        <w:t>https://www.sbif.cl/sbifweb/servlet/InfoFinanciera?indice=4.2.1&amp;FECHA=31/12/2017</w:t>
      </w:r>
    </w:p>
  </w:footnote>
  <w:footnote w:id="19">
    <w:p w14:paraId="32512644" w14:textId="1A130938" w:rsidR="006107A8" w:rsidRPr="005A6F95" w:rsidRDefault="006107A8" w:rsidP="00373F06">
      <w:pPr>
        <w:pStyle w:val="Piedepgina"/>
      </w:pPr>
      <w:r w:rsidRPr="005A6F95">
        <w:footnoteRef/>
      </w:r>
      <w:r>
        <w:tab/>
        <w:t>NTSy</w:t>
      </w:r>
      <w:r w:rsidRPr="005A6F95">
        <w:t>CS: Norma Técnica de Seguridad y Calidad de Servicio</w:t>
      </w:r>
    </w:p>
  </w:footnote>
  <w:footnote w:id="20">
    <w:p w14:paraId="287A1DC1" w14:textId="4694B1D5" w:rsidR="006107A8" w:rsidRPr="00575034" w:rsidRDefault="006107A8" w:rsidP="00484B50">
      <w:pPr>
        <w:pStyle w:val="Piedepgina"/>
      </w:pPr>
      <w:r w:rsidRPr="00575034">
        <w:footnoteRef/>
      </w:r>
      <w:r w:rsidRPr="00575034">
        <w:tab/>
        <w:t>Por exigencia de PWC, la muestra mínima a considerar debe ser de 10 empresas.</w:t>
      </w:r>
    </w:p>
  </w:footnote>
  <w:footnote w:id="21">
    <w:p w14:paraId="6FD4473B" w14:textId="361D9283" w:rsidR="006107A8" w:rsidRPr="005A6F95" w:rsidRDefault="006107A8" w:rsidP="00484B50">
      <w:pPr>
        <w:pStyle w:val="Piedepgina"/>
      </w:pPr>
      <w:r w:rsidRPr="005A6F95">
        <w:footnoteRef/>
      </w:r>
      <w:r>
        <w:tab/>
      </w:r>
      <w:r w:rsidRPr="005A6F95">
        <w:t>En este punto se ha incluido conceptos que buscan dar respuesta a las observaciones del Comité efectuadas mediante correo electrónico del 27 de septiembre de 2019.</w:t>
      </w:r>
    </w:p>
  </w:footnote>
  <w:footnote w:id="22">
    <w:p w14:paraId="3DBDA5A2" w14:textId="057E9D8C" w:rsidR="006107A8" w:rsidRPr="003E7CBF" w:rsidRDefault="006107A8" w:rsidP="00484B50">
      <w:pPr>
        <w:pStyle w:val="Piedepgina"/>
        <w:rPr>
          <w:szCs w:val="20"/>
        </w:rPr>
      </w:pPr>
      <w:r w:rsidRPr="005A6F95">
        <w:footnoteRef/>
      </w:r>
      <w:r>
        <w:tab/>
      </w:r>
      <w:r w:rsidRPr="005A6F95">
        <w:t>El criterio definido por PWC para asignar el tamaño a las empresas, es el de ventas anuales en USD. Esta clasificación es realizada por la misma PWC, de acuerdo a la información que cada empresa participante informa. La muestra de 79 empresas consideradas en la encuesta PWC incluye empresas de tamaños grande (sobre 250 MMUSD), medio grande (entre 100 y 250 MMUSD), mediano (entre 30 y 100 MMUSD) y pequeño (menos de 30 MMUSD)</w:t>
      </w:r>
    </w:p>
  </w:footnote>
  <w:footnote w:id="23">
    <w:p w14:paraId="2F8813CA" w14:textId="77777777" w:rsidR="006107A8" w:rsidRPr="00204436" w:rsidRDefault="006107A8" w:rsidP="00484B50">
      <w:pPr>
        <w:pStyle w:val="Piedepgina"/>
      </w:pPr>
      <w:r w:rsidRPr="00204436">
        <w:footnoteRef/>
      </w:r>
      <w:r w:rsidRPr="00204436">
        <w:t xml:space="preserve"> </w:t>
      </w:r>
      <w:r w:rsidRPr="00204436">
        <w:tab/>
        <w:t>Kit: se refiere a un conjunto de elementos específicos requeridos para ejecutar la labor del operario.</w:t>
      </w:r>
    </w:p>
  </w:footnote>
  <w:footnote w:id="24">
    <w:p w14:paraId="2BD8E8FA" w14:textId="6D7E912C" w:rsidR="006107A8" w:rsidRPr="00575034" w:rsidRDefault="006107A8" w:rsidP="00484B50">
      <w:pPr>
        <w:pStyle w:val="Piedepgina"/>
      </w:pPr>
      <w:r w:rsidRPr="00575034">
        <w:footnoteRef/>
      </w:r>
      <w:r>
        <w:tab/>
      </w:r>
      <w:r w:rsidRPr="00575034">
        <w:t>La asignación del estudio de valorización del sistema nacional fue realizada a cada propietario en función de su participación en el pago total del estudio de acuerdo a la información contenida en la RESOLUCIÓN CNE N°467. Dicho proceso no pudo asignar la parte del estudio que corresponde a los siguientes propietarios: Centinela Transmisión, EPM Transmisión, Transchile y Zaldívar Transmisión, dado que los mismos no aparecen en la base de datos ni total ni parcialmente como propietarios de los tramos de transporte y subestación que forman parte del estudio VAT.</w:t>
      </w:r>
    </w:p>
  </w:footnote>
  <w:footnote w:id="25">
    <w:p w14:paraId="5C6D2A9E" w14:textId="5A0A8E71" w:rsidR="006107A8" w:rsidRPr="002E27DD" w:rsidRDefault="006107A8" w:rsidP="00191EBB">
      <w:pPr>
        <w:pStyle w:val="Piedepgina"/>
      </w:pPr>
      <w:r w:rsidRPr="002E27DD">
        <w:footnoteRef/>
      </w:r>
      <w:r>
        <w:tab/>
      </w:r>
      <w:r w:rsidRPr="002E27DD">
        <w:t>El Grupo SAESA incluyó en su respuesta una descripción general de las obras de ampliación, así como otras consideraciones conceptuales de tipo general, pero no se refirió a la existencia de labores de ampliación vinculadas a los proyectos que informa.</w:t>
      </w:r>
    </w:p>
  </w:footnote>
  <w:footnote w:id="26">
    <w:p w14:paraId="6308CBA2" w14:textId="50BEB7C4" w:rsidR="006107A8" w:rsidRPr="002E27DD" w:rsidRDefault="006107A8" w:rsidP="00191EBB">
      <w:pPr>
        <w:pStyle w:val="Piedepgina"/>
      </w:pPr>
      <w:r w:rsidRPr="002E27DD">
        <w:footnoteRef/>
      </w:r>
      <w:r>
        <w:tab/>
      </w:r>
      <w:r w:rsidRPr="002E27DD">
        <w:t>En comunicación del 9 de abril 2020, la secretaría solicitó al Consultor considerar que:</w:t>
      </w:r>
    </w:p>
    <w:p w14:paraId="6378F6B1" w14:textId="3F9CB6D1" w:rsidR="006107A8" w:rsidRPr="002E27DD" w:rsidRDefault="006107A8" w:rsidP="00191EBB">
      <w:pPr>
        <w:pStyle w:val="Piedepgina"/>
      </w:pPr>
      <w:r>
        <w:tab/>
      </w:r>
      <w:r w:rsidRPr="002E27DD">
        <w:t>“i) Para determinar el monto ya recuperado de las labores de ampliación se debe utilizar una tasa de descuento de 10% (antes de impuesto), dado que el A.V.I. recaudado de la obra de ampliación hasta el 31 de diciembre de 2019 fue determinado con dicha tasa.</w:t>
      </w:r>
    </w:p>
    <w:p w14:paraId="329CD345" w14:textId="7A1E36E1" w:rsidR="006107A8" w:rsidRPr="002E27DD" w:rsidRDefault="006107A8" w:rsidP="00191EBB">
      <w:pPr>
        <w:pStyle w:val="Piedepgina"/>
      </w:pPr>
      <w:r>
        <w:tab/>
      </w:r>
      <w:r w:rsidRPr="002E27DD">
        <w:t>ii)  Por su parte, para determinar la anualidad del V.I. resultante (el V.I. de las labores de ampliación descontado el monto recuperado) se debe utilizar una tasa de descuento de 7% (después de impuesto), puesto que los A.V.I. de las instalaciones ampliadas (instalaciones existentes) para el período 2020-2023 se determinarán con dicha tasa”.</w:t>
      </w:r>
    </w:p>
  </w:footnote>
  <w:footnote w:id="27">
    <w:p w14:paraId="4561D848" w14:textId="63FDEF77" w:rsidR="006107A8" w:rsidRPr="00462355" w:rsidRDefault="006107A8" w:rsidP="00191EBB">
      <w:pPr>
        <w:pStyle w:val="Piedepgina"/>
      </w:pPr>
      <w:r w:rsidRPr="002E27DD">
        <w:footnoteRef/>
      </w:r>
      <w:r>
        <w:tab/>
      </w:r>
      <w:r w:rsidRPr="002E27DD">
        <w:t>El Consultor, en una primera versión del presente informe, había considerado preliminarmente una tasa de 10% antes de impuesto para todo el horizonte.</w:t>
      </w:r>
    </w:p>
  </w:footnote>
  <w:footnote w:id="28">
    <w:p w14:paraId="55B3104E" w14:textId="6D9616DA" w:rsidR="006107A8" w:rsidRPr="002E27DD" w:rsidRDefault="006107A8" w:rsidP="00191EBB">
      <w:pPr>
        <w:pStyle w:val="Piedepgina"/>
      </w:pPr>
      <w:r w:rsidRPr="002E27DD">
        <w:footnoteRef/>
      </w:r>
      <w:r>
        <w:tab/>
      </w:r>
      <w:r w:rsidRPr="002E27DD">
        <w:t>La empresa Transelec señaló que los precios y recursos informados corresponden a valores contenidos en la oferta adjudicada de cada proyecto, por lo que se ha entendido que los costos indirectos informados corresponden a los del proyecto de ampliación completo y no a costos indirectos asignables a labores de ampliación (Transelec no acompañó los documentos de cada licitación). La empresa Interchile, por su parte, acompañó los documentos correspondientes de los cuales se desprende que los costos indirectos corresponden a los de la obra de ampliación completa.</w:t>
      </w:r>
    </w:p>
  </w:footnote>
  <w:footnote w:id="29">
    <w:p w14:paraId="51856B7C" w14:textId="00B27347" w:rsidR="006107A8" w:rsidRPr="002E27DD" w:rsidRDefault="006107A8" w:rsidP="00191EBB">
      <w:pPr>
        <w:pStyle w:val="Piedepgina"/>
      </w:pPr>
      <w:r w:rsidRPr="002E27DD">
        <w:footnoteRef/>
      </w:r>
      <w:r>
        <w:tab/>
      </w:r>
      <w:r w:rsidRPr="002E27DD">
        <w:t>En general los costos indirectos fueron informados con itemizados disímiles. El Consultor los consideró tal como fueron informados, incluyendo sólo un costo por utilidad del contratista cuando el mismo no fue informado. Para ello se adoptó un valor de 10%.</w:t>
      </w:r>
    </w:p>
  </w:footnote>
  <w:footnote w:id="30">
    <w:p w14:paraId="06794426" w14:textId="010EF3CA" w:rsidR="006107A8" w:rsidRPr="002E27DD" w:rsidRDefault="006107A8" w:rsidP="00191EBB">
      <w:pPr>
        <w:pStyle w:val="Piedepgina"/>
      </w:pPr>
      <w:r w:rsidRPr="002E27DD">
        <w:footnoteRef/>
      </w:r>
      <w:r>
        <w:tab/>
      </w:r>
      <w:r w:rsidRPr="002E27DD">
        <w:t>Los valores originalmente informados en unidades de fomento (UF), se transformaron en dólares utilizando el valor del dólar y de la UF informados por las empresas para cada obra de ampliación.</w:t>
      </w:r>
    </w:p>
  </w:footnote>
  <w:footnote w:id="31">
    <w:p w14:paraId="75381FF2" w14:textId="02BB4F42" w:rsidR="006107A8" w:rsidRPr="002E27DD" w:rsidRDefault="006107A8" w:rsidP="00191EBB">
      <w:pPr>
        <w:pStyle w:val="Piedepgina"/>
      </w:pPr>
      <w:r w:rsidRPr="002E27DD">
        <w:footnoteRef/>
      </w:r>
      <w:r>
        <w:tab/>
      </w:r>
      <w:r w:rsidRPr="002E27DD">
        <w:t>Sólo Transelec informó la fecha de adjudicación. En los demás casos se utilizó el “mes base” establecido en el decreto de valorización correspondiente a cada obra de ampliación.</w:t>
      </w:r>
    </w:p>
  </w:footnote>
  <w:footnote w:id="32">
    <w:p w14:paraId="052E8552" w14:textId="1F1491D9" w:rsidR="006107A8" w:rsidRDefault="006107A8" w:rsidP="00191EBB">
      <w:pPr>
        <w:pStyle w:val="Piedepgina"/>
      </w:pPr>
      <w:r w:rsidRPr="002E27DD">
        <w:footnoteRef/>
      </w:r>
      <w:r>
        <w:tab/>
      </w:r>
      <w:r w:rsidRPr="002E27DD">
        <w:t>Informadas mediante correo electrónico de la secretariatxnacional.cne.cl.</w:t>
      </w:r>
    </w:p>
  </w:footnote>
  <w:footnote w:id="33">
    <w:p w14:paraId="56BD032C" w14:textId="77777777" w:rsidR="001838B6" w:rsidRPr="002F3394" w:rsidRDefault="001838B6" w:rsidP="001838B6">
      <w:pPr>
        <w:pStyle w:val="Piedepgina"/>
      </w:pPr>
      <w:r w:rsidRPr="002F3394">
        <w:footnoteRef/>
      </w:r>
      <w:r>
        <w:tab/>
      </w:r>
      <w:r w:rsidRPr="002F3394">
        <w:t>Los costos directos de líneas no incluyen el costo correspondiente a la componente línea (Estructura, conductor, aislador, etc.) de los tramos N_61, N_62 y N_102, en virtud que dichos componentes no están incorporados en la base de datos del estudio.</w:t>
      </w:r>
    </w:p>
  </w:footnote>
  <w:footnote w:id="34">
    <w:p w14:paraId="126C015B" w14:textId="47A68CCC" w:rsidR="006107A8" w:rsidRPr="003A0B8A" w:rsidRDefault="006107A8" w:rsidP="0053093A">
      <w:pPr>
        <w:pStyle w:val="Piedepgina"/>
      </w:pPr>
      <w:r w:rsidRPr="003A0B8A">
        <w:footnoteRef/>
      </w:r>
      <w:r>
        <w:tab/>
      </w:r>
      <w:r w:rsidRPr="003A0B8A">
        <w:t>Punto 3 de las Bases “DE LA DETERMINACIÓN DEL V.A.T.T., página 34.</w:t>
      </w:r>
    </w:p>
  </w:footnote>
  <w:footnote w:id="35">
    <w:p w14:paraId="547CB2C9" w14:textId="45B41C4F" w:rsidR="006107A8" w:rsidRPr="003A0B8A" w:rsidRDefault="006107A8" w:rsidP="0053093A">
      <w:pPr>
        <w:pStyle w:val="Piedepgina"/>
      </w:pPr>
      <w:r w:rsidRPr="003A0B8A">
        <w:footnoteRef/>
      </w:r>
      <w:r>
        <w:tab/>
      </w:r>
      <w:r w:rsidRPr="003A0B8A">
        <w:t>Informe Técnico Definitivo (CNE), “Que Fija la Tasa de Descuento a que se refiere el Artículo 119° de la Ley General de Servicios Eléctricos”, cuadrienio 2020-2023, de abril de 2019.</w:t>
      </w:r>
    </w:p>
  </w:footnote>
  <w:footnote w:id="36">
    <w:p w14:paraId="4EE3A1BC" w14:textId="371E0B79" w:rsidR="006107A8" w:rsidRPr="00027F60" w:rsidRDefault="006107A8" w:rsidP="0053093A">
      <w:pPr>
        <w:pStyle w:val="Piedepgina"/>
        <w:rPr>
          <w:szCs w:val="20"/>
        </w:rPr>
      </w:pPr>
      <w:r w:rsidRPr="003A0B8A">
        <w:footnoteRef/>
      </w:r>
      <w:r>
        <w:tab/>
      </w:r>
      <w:r w:rsidRPr="003A0B8A">
        <w:t>Resolución Exenta N°412, del 5 de junio de 2018, CNE, que “Aprueba Informe Técnico Definitivo de Vidas Útiles a que se refiere el artículo 104° de la Ley General de Servicios Eléctricos y determina las vidas útiles de las instalaciones de transmisión que indica, aplicables por tres períodos tarifarios consecutivos”.</w:t>
      </w:r>
    </w:p>
  </w:footnote>
  <w:footnote w:id="37">
    <w:p w14:paraId="2DCFA340" w14:textId="3927ACFD" w:rsidR="006107A8" w:rsidRPr="003A0B8A" w:rsidRDefault="006107A8" w:rsidP="004268A9">
      <w:pPr>
        <w:pStyle w:val="Piedepgina"/>
      </w:pPr>
      <w:r w:rsidRPr="003A0B8A">
        <w:footnoteRef/>
      </w:r>
      <w:r>
        <w:tab/>
      </w:r>
      <w:r w:rsidRPr="003A0B8A">
        <w:t>Punto 3 de las Bases “DE LA DETERMINACIÓN DEL V.A.T.T., página 34.</w:t>
      </w:r>
    </w:p>
  </w:footnote>
  <w:footnote w:id="38">
    <w:p w14:paraId="11B696DC" w14:textId="01DCCF60" w:rsidR="006107A8" w:rsidRPr="002D4B20" w:rsidRDefault="006107A8" w:rsidP="004268A9">
      <w:pPr>
        <w:pStyle w:val="Piedepgina"/>
      </w:pPr>
      <w:r w:rsidRPr="002D4B20">
        <w:footnoteRef/>
      </w:r>
      <w:r>
        <w:tab/>
      </w:r>
      <w:r w:rsidRPr="002D4B20">
        <w:t>Punto 3.9 de las Bases “DE LAS COMPONENTES DEL V.A.T.T., página 57.</w:t>
      </w:r>
    </w:p>
  </w:footnote>
  <w:footnote w:id="39">
    <w:p w14:paraId="2882AF75" w14:textId="67A5B981" w:rsidR="006107A8" w:rsidRPr="00BA26CC" w:rsidRDefault="006107A8" w:rsidP="004268A9">
      <w:pPr>
        <w:pStyle w:val="Piedepgina"/>
      </w:pPr>
      <w:r w:rsidRPr="00BA26CC">
        <w:footnoteRef/>
      </w:r>
      <w:r>
        <w:tab/>
      </w:r>
      <w:r w:rsidRPr="00BA26CC">
        <w:t>Por instalación económicamente identificable, se entenderá a aquéllas a que se refiere el Artículo 5° de la Resolución Exenta N°380 de julio de 2017, de la CNE.</w:t>
      </w:r>
    </w:p>
  </w:footnote>
  <w:footnote w:id="40">
    <w:p w14:paraId="0A756D6B" w14:textId="1BCF62D6" w:rsidR="006107A8" w:rsidRPr="00027F60" w:rsidRDefault="006107A8" w:rsidP="004268A9">
      <w:pPr>
        <w:pStyle w:val="Piedepgina"/>
        <w:rPr>
          <w:szCs w:val="20"/>
        </w:rPr>
      </w:pPr>
      <w:r w:rsidRPr="00BA26CC">
        <w:footnoteRef/>
      </w:r>
      <w:r>
        <w:tab/>
      </w:r>
      <w:r w:rsidRPr="00BA26CC">
        <w:t>Punto 3.7 de las Bases “</w:t>
      </w:r>
      <w:r>
        <w:t>A</w:t>
      </w:r>
      <w:r w:rsidRPr="00BA26CC">
        <w:t>juste por efectos de impuesto a la renta”, página 54.</w:t>
      </w:r>
    </w:p>
  </w:footnote>
  <w:footnote w:id="41">
    <w:p w14:paraId="55F34B9B" w14:textId="2E93B560" w:rsidR="006107A8" w:rsidRPr="000E4E9A" w:rsidRDefault="006107A8" w:rsidP="004268A9">
      <w:pPr>
        <w:pStyle w:val="Piedepgina"/>
      </w:pPr>
      <w:r w:rsidRPr="000E4E9A">
        <w:footnoteRef/>
      </w:r>
      <w:r>
        <w:tab/>
      </w:r>
      <w:r w:rsidRPr="000E4E9A">
        <w:t xml:space="preserve">La formulación para el cálculo de </w:t>
      </w:r>
      <m:oMath>
        <m:sSub>
          <m:sSubPr>
            <m:ctrlPr>
              <w:rPr>
                <w:rFonts w:ascii="Cambria Math" w:hAnsi="Cambria Math"/>
              </w:rPr>
            </m:ctrlPr>
          </m:sSubPr>
          <m:e>
            <m:r>
              <w:rPr>
                <w:rFonts w:ascii="Cambria Math" w:hAnsi="Cambria Math"/>
              </w:rPr>
              <m:t>D</m:t>
            </m:r>
          </m:e>
          <m:sub>
            <m:r>
              <w:rPr>
                <w:rFonts w:ascii="Cambria Math" w:hAnsi="Cambria Math"/>
              </w:rPr>
              <m:t>i</m:t>
            </m:r>
          </m:sub>
        </m:sSub>
      </m:oMath>
      <w:r w:rsidRPr="000E4E9A">
        <w:t xml:space="preserve"> que se exhibe no corresponde a la originalmente contenida al efecto en las Bases. El Consultor, y sin entrar en el análisis de su lógica financiera, observó que la misma se encontraba mal estructurada, cuestión que la CNE subsanó mediante la Resolución Exenta N°766 del 11 de diciembre de 2019, estableciéndola en forma en que se muestra. La Resolución N°766 se encuentra en el Anexo Normativo.</w:t>
      </w:r>
    </w:p>
  </w:footnote>
  <w:footnote w:id="42">
    <w:p w14:paraId="05494D43" w14:textId="269DDD87" w:rsidR="006107A8" w:rsidRPr="004268A9" w:rsidRDefault="006107A8" w:rsidP="004268A9">
      <w:pPr>
        <w:pStyle w:val="Piedepgina"/>
      </w:pPr>
      <w:r w:rsidRPr="003A0B8A">
        <w:footnoteRef/>
      </w:r>
      <w:r>
        <w:tab/>
      </w:r>
      <w:r w:rsidRPr="003A0B8A">
        <w:t xml:space="preserve">Informe Técnico Definitivo (CNE), “Que Fija la Tasa de Descuento a que se refiere el Artículo 119° de la Ley General </w:t>
      </w:r>
      <w:r w:rsidRPr="004268A9">
        <w:t>de Servicios Eléctricos”, cuadrienio 2020-2023, de abril de 2019. Ver Resolución N°747 en Anexo Normativo.</w:t>
      </w:r>
    </w:p>
  </w:footnote>
  <w:footnote w:id="43">
    <w:p w14:paraId="6825C49A" w14:textId="1DD3D4F8" w:rsidR="006107A8" w:rsidRPr="00847C84" w:rsidRDefault="006107A8" w:rsidP="004268A9">
      <w:pPr>
        <w:pStyle w:val="Piedepgina"/>
      </w:pPr>
      <w:r w:rsidRPr="003A0B8A">
        <w:footnoteRef/>
      </w:r>
      <w:r>
        <w:tab/>
      </w:r>
      <w:r w:rsidRPr="003A0B8A">
        <w:t>Ver Resolución N°412 en Anexo Normativo.</w:t>
      </w:r>
    </w:p>
  </w:footnote>
  <w:footnote w:id="44">
    <w:p w14:paraId="0BF429CE" w14:textId="5EFCCBF8" w:rsidR="006107A8" w:rsidRPr="00F727A2" w:rsidRDefault="006107A8" w:rsidP="004268A9">
      <w:pPr>
        <w:pStyle w:val="Piedepgina"/>
      </w:pPr>
      <w:r w:rsidRPr="00F727A2">
        <w:footnoteRef/>
      </w:r>
      <w:r>
        <w:tab/>
      </w:r>
      <w:r w:rsidRPr="00F727A2">
        <w:t>Artículo 1°, Apartado E “Sector Energético”, Sub Apartado E.1 “Empresas Eléctricas”. La resolución completa se muestra en el Anexo Normativo.</w:t>
      </w:r>
    </w:p>
  </w:footnote>
  <w:footnote w:id="45">
    <w:p w14:paraId="30F47FDB" w14:textId="1F97B4FF" w:rsidR="006107A8" w:rsidRPr="00F727A2" w:rsidRDefault="006107A8" w:rsidP="00B64CE0">
      <w:pPr>
        <w:pStyle w:val="Piedepgina"/>
      </w:pPr>
      <w:r w:rsidRPr="00F727A2">
        <w:footnoteRef/>
      </w:r>
      <w:r>
        <w:tab/>
      </w:r>
      <w:r w:rsidRPr="00F727A2">
        <w:t>La notación “Conductores (Líneas de alta tensión-Transporte)” se refiere al ítem “Conductores” en la subcategoría “4) Líneas de alta tensión-Transporte” del rubro “E.1 Empresas Eléctricas”.</w:t>
      </w:r>
    </w:p>
  </w:footnote>
  <w:footnote w:id="46">
    <w:p w14:paraId="2ED9BAFE" w14:textId="6FE07601" w:rsidR="006107A8" w:rsidRPr="000A50F0" w:rsidRDefault="006107A8" w:rsidP="00B64CE0">
      <w:pPr>
        <w:pStyle w:val="Piedepgina"/>
      </w:pPr>
      <w:r w:rsidRPr="000A50F0">
        <w:footnoteRef/>
      </w:r>
      <w:r>
        <w:tab/>
      </w:r>
      <w:r w:rsidRPr="000A50F0">
        <w:t>Las empresas operadoras o propietarias de los sistemas de transmisión nacional deberán estar constituidas como sociedades anónimas abiertas o cerradas sujetas a las obligaciones de información y publicidad a que se refiere el inciso séptimo del artículo 2° de la ley N°18.046.” (Artículo N°7 de la LGSE, inciso cuarto).</w:t>
      </w:r>
    </w:p>
  </w:footnote>
  <w:footnote w:id="47">
    <w:p w14:paraId="71E77238" w14:textId="35131C64" w:rsidR="006107A8" w:rsidRPr="003A0B8A" w:rsidRDefault="006107A8" w:rsidP="00BF5667">
      <w:pPr>
        <w:pStyle w:val="Piedepgina"/>
      </w:pPr>
      <w:r w:rsidRPr="003A0B8A">
        <w:footnoteRef/>
      </w:r>
      <w:r>
        <w:tab/>
      </w:r>
      <w:bookmarkStart w:id="548" w:name="_Hlk24624019"/>
      <w:bookmarkStart w:id="549" w:name="_Hlk24624020"/>
      <w:r w:rsidRPr="003A0B8A">
        <w:t>El monto de la tasa de tributación -ambos guarismos- se estableció en las disposiciones transitorias de la Ley N°20.780 (Reforma Tributaria) de 2014 con un aumento progresivo, el que para los contribuyentes indicados en la letra B) del artículo 14 alcanza el 27% a partir de 2018 en adelante.</w:t>
      </w:r>
      <w:bookmarkEnd w:id="548"/>
      <w:bookmarkEnd w:id="549"/>
    </w:p>
  </w:footnote>
  <w:footnote w:id="48">
    <w:p w14:paraId="3FCD0022" w14:textId="53A1F372" w:rsidR="006107A8" w:rsidRPr="003A0B8A" w:rsidRDefault="006107A8" w:rsidP="00BF5667">
      <w:pPr>
        <w:pStyle w:val="Piedepgina"/>
      </w:pPr>
      <w:r w:rsidRPr="003A0B8A">
        <w:footnoteRef/>
      </w:r>
      <w:r>
        <w:tab/>
      </w:r>
      <w:r w:rsidRPr="003A0B8A">
        <w:t xml:space="preserve">En el Informe de Avance N°2 entregado se consideró a los activos el AVI de BM&amp;I como asignado a C.O.M.A., sin embargo, en el presente informe se optó por incluir a los activos de BM&amp;I como formando parte formalmente del VI y AVI del tramo, debido a que las Bases establecen criterios distintos para asignar a tramo el AVI de BM&amp;I y el C.O.M.A. </w:t>
      </w:r>
    </w:p>
  </w:footnote>
  <w:footnote w:id="49">
    <w:p w14:paraId="5715C747" w14:textId="2E6B3B28" w:rsidR="006107A8" w:rsidRPr="006A5733" w:rsidRDefault="006107A8" w:rsidP="00010A03">
      <w:pPr>
        <w:pStyle w:val="Piedepgina"/>
      </w:pPr>
      <w:r w:rsidRPr="006A5733">
        <w:footnoteRef/>
      </w:r>
      <w:r>
        <w:tab/>
      </w:r>
      <w:r w:rsidRPr="006A5733">
        <w:t>Esta estructura no corresponde a la incorporada originalmente en las Bases, sino que fue modificada por la CNE al detectar el Consultor un error en su formulación (comunicado al Comité mediante correo del 3 de septiembre de 2019). La corrección correspondiente fue materializada por la Comisión mediante la Resolución Exenta N°766 del 11 de diciembre de 2019.  La Resolución N°766 se encuentra en el Anexo Normativo.</w:t>
      </w:r>
    </w:p>
  </w:footnote>
  <w:footnote w:id="50">
    <w:p w14:paraId="798ACF39" w14:textId="5DA745FC" w:rsidR="006107A8" w:rsidRPr="006A5733" w:rsidRDefault="006107A8" w:rsidP="00010A03">
      <w:pPr>
        <w:pStyle w:val="Piedepgina"/>
      </w:pPr>
      <w:r w:rsidRPr="006A5733">
        <w:footnoteRef/>
      </w:r>
      <w:r>
        <w:tab/>
      </w:r>
      <w:r w:rsidRPr="006A5733">
        <w:t>Respecto a la tasa arancelaria, el Consultor observó que existen diferentes regímenes arancelarios vistos los distintos tratados bilaterales de libre comercio que Chile mantiene con otros países, cuestión que dificultaría tanto la elección de una variable de seguimiento como su valor base, proponiendo entonces asimilar el tratamiento al utilizado</w:t>
      </w:r>
      <w:r w:rsidRPr="003A0B8A">
        <w:t xml:space="preserve"> </w:t>
      </w:r>
      <w:r w:rsidRPr="006A5733">
        <w:t>en el Decreto 23T vigente, el cual prescinde del efecto arancel de importación en la correspondiente fórmula de indexación. Frente a esta observación, el presidente del Comité informó al Consultor que, si bien es correcto lo observado por éste, a los efectos de recoger el efecto de indexación de la tasa arancelaria en los distintos procesos tarifarios, se adopta la tasa de arancel general de derechos ad valorem la cual desde el año 2003 corresponde a un 6% (comunicación del 26 de noviembre 2019).</w:t>
      </w:r>
    </w:p>
  </w:footnote>
  <w:footnote w:id="51">
    <w:p w14:paraId="5D3CB524" w14:textId="692EB2CF" w:rsidR="006107A8" w:rsidRPr="00454199" w:rsidRDefault="006107A8" w:rsidP="00BC1A41">
      <w:pPr>
        <w:pStyle w:val="Piedepgina"/>
      </w:pPr>
      <w:r w:rsidRPr="00454199">
        <w:footnoteRef/>
      </w:r>
      <w:r>
        <w:tab/>
      </w:r>
      <w:r w:rsidRPr="00454199">
        <w:t xml:space="preserve">“Series empalmadas y antecedentes históricos”, Archivo Serie Histórica Empalmada IPC Diciembre 2009 a la fecha XLS, </w:t>
      </w:r>
      <w:hyperlink r:id="rId1" w:history="1">
        <w:r w:rsidRPr="00454199">
          <w:t>https://www.ine.cl/estadísticas/precios/ipc</w:t>
        </w:r>
      </w:hyperlink>
      <w:r w:rsidRPr="00454199">
        <w:t>.</w:t>
      </w:r>
    </w:p>
  </w:footnote>
  <w:footnote w:id="52">
    <w:p w14:paraId="7CFE1498" w14:textId="5C487DFD" w:rsidR="006107A8" w:rsidRPr="003E7CBF" w:rsidRDefault="006107A8" w:rsidP="00BC1A41">
      <w:pPr>
        <w:pStyle w:val="Piedepgina"/>
        <w:rPr>
          <w:szCs w:val="20"/>
        </w:rPr>
      </w:pPr>
      <w:r w:rsidRPr="00454199">
        <w:footnoteRef/>
      </w:r>
      <w:r>
        <w:tab/>
      </w:r>
      <w:hyperlink r:id="rId2" w:history="1">
        <w:r w:rsidRPr="00454199">
          <w:t>https://data.bls.gov/timeseries/CUUR0000SA0</w:t>
        </w:r>
      </w:hyperlink>
      <w:r w:rsidRPr="00454199">
        <w:t>.</w:t>
      </w:r>
    </w:p>
  </w:footnote>
  <w:footnote w:id="53">
    <w:p w14:paraId="3A69085A" w14:textId="7CA76074" w:rsidR="006107A8" w:rsidRPr="003A0B8A" w:rsidRDefault="006107A8" w:rsidP="00BC1A41">
      <w:pPr>
        <w:pStyle w:val="Piedepgina"/>
      </w:pPr>
      <w:r w:rsidRPr="003A0B8A">
        <w:footnoteRef/>
      </w:r>
      <w:r>
        <w:tab/>
      </w:r>
      <w:hyperlink r:id="rId3" w:history="1">
        <w:r w:rsidRPr="00783792">
          <w:rPr>
            <w:rStyle w:val="Hipervnculo"/>
          </w:rPr>
          <w:t>https://si3.bcentral.cl/Siete/secure/cuadros/arboles.aspx</w:t>
        </w:r>
      </w:hyperlink>
    </w:p>
  </w:footnote>
  <w:footnote w:id="54">
    <w:p w14:paraId="6A72255B" w14:textId="0927F9A6" w:rsidR="006107A8" w:rsidRPr="00BC1A41" w:rsidRDefault="006107A8" w:rsidP="00BC1A41">
      <w:pPr>
        <w:pStyle w:val="Piedepgina"/>
      </w:pPr>
      <w:r w:rsidRPr="00BC1A41">
        <w:footnoteRef/>
      </w:r>
      <w:r w:rsidRPr="00BC1A41">
        <w:tab/>
        <w:t xml:space="preserve">Valor </w:t>
      </w:r>
      <m:oMath>
        <m:r>
          <w:rPr>
            <w:rFonts w:ascii="Cambria Math" w:hAnsi="Cambria Math"/>
          </w:rPr>
          <m:t>IP</m:t>
        </m:r>
        <m:sSub>
          <m:sSubPr>
            <m:ctrlPr>
              <w:rPr>
                <w:rFonts w:ascii="Cambria Math" w:hAnsi="Cambria Math"/>
              </w:rPr>
            </m:ctrlPr>
          </m:sSubPr>
          <m:e>
            <m:r>
              <w:rPr>
                <w:rFonts w:ascii="Cambria Math" w:hAnsi="Cambria Math"/>
              </w:rPr>
              <m:t>C</m:t>
            </m:r>
          </m:e>
          <m:sub>
            <m:r>
              <m:rPr>
                <m:sty m:val="p"/>
              </m:rPr>
              <w:rPr>
                <w:rFonts w:ascii="Cambria Math" w:hAnsi="Cambria Math"/>
              </w:rPr>
              <m:t>0</m:t>
            </m:r>
          </m:sub>
        </m:sSub>
      </m:oMath>
      <w:r w:rsidRPr="00BC1A41">
        <w:t xml:space="preserve"> corresponde al valor de este índice según serie empalmada con base en 2018. </w:t>
      </w:r>
    </w:p>
  </w:footnote>
  <w:footnote w:id="55">
    <w:p w14:paraId="38100AE5" w14:textId="2673D686" w:rsidR="006107A8" w:rsidRPr="00454199" w:rsidRDefault="006107A8" w:rsidP="00BC1A41">
      <w:pPr>
        <w:pStyle w:val="Piedepgina"/>
      </w:pPr>
      <w:r w:rsidRPr="00454199">
        <w:footnoteRef/>
      </w:r>
      <w:r>
        <w:tab/>
      </w:r>
      <w:r w:rsidRPr="00454199">
        <w:t>A la fecha, el Consultor no ha recibido de parte del Comité ninguna observación que objete el tratamiento propuesto, por lo que se mantiene en esta línea.</w:t>
      </w:r>
    </w:p>
  </w:footnote>
  <w:footnote w:id="56">
    <w:p w14:paraId="5A7ED02D" w14:textId="387EE5F2" w:rsidR="006107A8" w:rsidRPr="00EB630F" w:rsidRDefault="006107A8" w:rsidP="00BC1A41">
      <w:pPr>
        <w:pStyle w:val="Piedepgina"/>
      </w:pPr>
      <w:r w:rsidRPr="00EB630F">
        <w:footnoteRef/>
      </w:r>
      <w:r>
        <w:tab/>
      </w:r>
      <w:r w:rsidRPr="00EB630F">
        <w:t>En el caso del nivel de precios dado por el IPC, la fórmula de indexación de las Bases lo expresa consistentemente en dólares afectándolo por la tasa de cambio correspondiente.</w:t>
      </w:r>
    </w:p>
  </w:footnote>
  <w:footnote w:id="57">
    <w:p w14:paraId="4E053825" w14:textId="2083652A" w:rsidR="006107A8" w:rsidRPr="00EB630F" w:rsidRDefault="006107A8" w:rsidP="00BC1A41">
      <w:pPr>
        <w:pStyle w:val="Piedepgina"/>
      </w:pPr>
      <w:r w:rsidRPr="00EB630F">
        <w:footnoteRef/>
      </w:r>
      <w:r>
        <w:tab/>
      </w:r>
      <w:r w:rsidRPr="00EB630F">
        <w:t>Lo anterior permitirá que las fórmulas de indexación recompongan aproximadamente los valores directamente cotizados cuando éstas se apliquen a la obtención de dichos valores en las fechas en que fueron cotizados, y no exactamente, como sería el caso si los valores base de los deflactores se establecieran a octubre de 2017.</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1B9063A" w14:textId="77777777" w:rsidR="006107A8" w:rsidRPr="00640F44" w:rsidRDefault="006107A8" w:rsidP="00E04582">
    <w:pPr>
      <w:spacing w:after="120"/>
      <w:rPr>
        <w:sz w:val="20"/>
        <w:szCs w:val="20"/>
      </w:rPr>
    </w:pPr>
    <w:bookmarkStart w:id="422" w:name="_Hlk38566678"/>
    <w:bookmarkStart w:id="423" w:name="_Hlk38566679"/>
  </w:p>
  <w:p w14:paraId="64BD5EBF" w14:textId="33FF3C4C" w:rsidR="006107A8" w:rsidRPr="00640F44" w:rsidRDefault="006107A8" w:rsidP="00E04582">
    <w:pPr>
      <w:spacing w:after="120"/>
      <w:rPr>
        <w:sz w:val="22"/>
        <w:szCs w:val="22"/>
      </w:rPr>
    </w:pPr>
    <w:r w:rsidRPr="00640F44">
      <w:rPr>
        <w:noProof/>
        <w:sz w:val="22"/>
        <w:szCs w:val="22"/>
        <w:lang w:eastAsia="es-CL"/>
      </w:rPr>
      <w:drawing>
        <wp:anchor distT="0" distB="0" distL="114300" distR="114300" simplePos="0" relativeHeight="251662336" behindDoc="0" locked="0" layoutInCell="1" allowOverlap="1" wp14:anchorId="0617A565" wp14:editId="0F1868AC">
          <wp:simplePos x="0" y="0"/>
          <wp:positionH relativeFrom="margin">
            <wp:align>center</wp:align>
          </wp:positionH>
          <wp:positionV relativeFrom="page">
            <wp:posOffset>360045</wp:posOffset>
          </wp:positionV>
          <wp:extent cx="6120000" cy="720000"/>
          <wp:effectExtent l="0" t="0" r="0" b="4445"/>
          <wp:wrapNone/>
          <wp:docPr id="7" name="Imagen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n 12"/>
                  <pic:cNvPicPr>
                    <a:picLocks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120000" cy="720000"/>
                  </a:xfrm>
                  <a:prstGeom prst="rect">
                    <a:avLst/>
                  </a:prstGeom>
                  <a:noFill/>
                  <a:ln>
                    <a:noFill/>
                  </a:ln>
                </pic:spPr>
              </pic:pic>
            </a:graphicData>
          </a:graphic>
          <wp14:sizeRelH relativeFrom="page">
            <wp14:pctWidth>0</wp14:pctWidth>
          </wp14:sizeRelH>
          <wp14:sizeRelV relativeFrom="page">
            <wp14:pctHeight>0</wp14:pctHeight>
          </wp14:sizeRelV>
        </wp:anchor>
      </w:drawing>
    </w:r>
  </w:p>
  <w:bookmarkEnd w:id="422"/>
  <w:bookmarkEnd w:id="423"/>
  <w:p w14:paraId="4FE8BBEC" w14:textId="77777777" w:rsidR="006107A8" w:rsidRPr="00640F44" w:rsidRDefault="006107A8" w:rsidP="00640F44">
    <w:pPr>
      <w:spacing w:after="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80A643D" w14:textId="77777777" w:rsidR="006107A8" w:rsidRPr="00640F44" w:rsidRDefault="006107A8" w:rsidP="00191EBB">
    <w:pPr>
      <w:spacing w:after="120"/>
      <w:rPr>
        <w:sz w:val="20"/>
        <w:szCs w:val="20"/>
      </w:rPr>
    </w:pPr>
  </w:p>
  <w:p w14:paraId="71B46208" w14:textId="212102ED" w:rsidR="006107A8" w:rsidRPr="00640F44" w:rsidRDefault="006107A8" w:rsidP="00191EBB">
    <w:pPr>
      <w:spacing w:after="120"/>
      <w:rPr>
        <w:sz w:val="22"/>
        <w:szCs w:val="22"/>
      </w:rPr>
    </w:pPr>
  </w:p>
  <w:p w14:paraId="3021BFFF" w14:textId="77777777" w:rsidR="006107A8" w:rsidRPr="00640F44" w:rsidRDefault="006107A8" w:rsidP="00191EBB">
    <w:pPr>
      <w:spacing w:after="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D89899C" w14:textId="77777777" w:rsidR="006107A8" w:rsidRPr="00640F44" w:rsidRDefault="006107A8" w:rsidP="00F836AC">
    <w:pPr>
      <w:spacing w:after="120"/>
      <w:rPr>
        <w:sz w:val="20"/>
        <w:szCs w:val="20"/>
      </w:rPr>
    </w:pPr>
  </w:p>
  <w:p w14:paraId="7070E37C" w14:textId="77777777" w:rsidR="006107A8" w:rsidRPr="00640F44" w:rsidRDefault="006107A8" w:rsidP="00F836AC">
    <w:pPr>
      <w:spacing w:after="120"/>
      <w:rPr>
        <w:sz w:val="22"/>
        <w:szCs w:val="22"/>
      </w:rPr>
    </w:pPr>
    <w:r w:rsidRPr="00640F44">
      <w:rPr>
        <w:noProof/>
        <w:sz w:val="22"/>
        <w:szCs w:val="22"/>
        <w:lang w:eastAsia="es-CL"/>
      </w:rPr>
      <w:drawing>
        <wp:anchor distT="0" distB="0" distL="114300" distR="114300" simplePos="0" relativeHeight="251668480" behindDoc="0" locked="0" layoutInCell="1" allowOverlap="1" wp14:anchorId="220F2EA0" wp14:editId="3B7C6553">
          <wp:simplePos x="0" y="0"/>
          <wp:positionH relativeFrom="margin">
            <wp:align>center</wp:align>
          </wp:positionH>
          <wp:positionV relativeFrom="page">
            <wp:posOffset>360045</wp:posOffset>
          </wp:positionV>
          <wp:extent cx="6120000" cy="720000"/>
          <wp:effectExtent l="0" t="0" r="0" b="4445"/>
          <wp:wrapNone/>
          <wp:docPr id="50" name="Imagen 5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n 12"/>
                  <pic:cNvPicPr>
                    <a:picLocks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120000" cy="7200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5D406A1" w14:textId="77777777" w:rsidR="006107A8" w:rsidRPr="00640F44" w:rsidRDefault="006107A8" w:rsidP="00F836AC">
    <w:pPr>
      <w:spacing w:after="0"/>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D8C08FE" w14:textId="77777777" w:rsidR="006107A8" w:rsidRPr="00640F44" w:rsidRDefault="006107A8" w:rsidP="00191EBB">
    <w:pPr>
      <w:spacing w:after="120"/>
      <w:rPr>
        <w:sz w:val="20"/>
        <w:szCs w:val="20"/>
      </w:rPr>
    </w:pPr>
  </w:p>
  <w:p w14:paraId="1041C959" w14:textId="77777777" w:rsidR="006107A8" w:rsidRPr="00640F44" w:rsidRDefault="006107A8" w:rsidP="00191EBB">
    <w:pPr>
      <w:spacing w:after="120"/>
      <w:rPr>
        <w:sz w:val="22"/>
        <w:szCs w:val="22"/>
      </w:rPr>
    </w:pPr>
    <w:r w:rsidRPr="00640F44">
      <w:rPr>
        <w:noProof/>
        <w:sz w:val="22"/>
        <w:szCs w:val="22"/>
        <w:lang w:eastAsia="es-CL"/>
      </w:rPr>
      <w:drawing>
        <wp:anchor distT="0" distB="0" distL="114300" distR="114300" simplePos="0" relativeHeight="251666432" behindDoc="0" locked="0" layoutInCell="1" allowOverlap="1" wp14:anchorId="20168970" wp14:editId="1BA35672">
          <wp:simplePos x="0" y="0"/>
          <wp:positionH relativeFrom="margin">
            <wp:align>center</wp:align>
          </wp:positionH>
          <wp:positionV relativeFrom="page">
            <wp:posOffset>360045</wp:posOffset>
          </wp:positionV>
          <wp:extent cx="6120000" cy="720000"/>
          <wp:effectExtent l="0" t="0" r="0" b="4445"/>
          <wp:wrapNone/>
          <wp:docPr id="17" name="Imagen 1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n 12"/>
                  <pic:cNvPicPr>
                    <a:picLocks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120000" cy="7200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6D62357" w14:textId="77777777" w:rsidR="006107A8" w:rsidRPr="00640F44" w:rsidRDefault="006107A8" w:rsidP="00191EBB">
    <w:pPr>
      <w:spacing w:after="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BB007FA4"/>
    <w:lvl w:ilvl="0">
      <w:start w:val="1"/>
      <w:numFmt w:val="bullet"/>
      <w:pStyle w:val="Listaconvietas"/>
      <w:lvlText w:val=""/>
      <w:lvlJc w:val="left"/>
      <w:pPr>
        <w:tabs>
          <w:tab w:val="num" w:pos="360"/>
        </w:tabs>
        <w:ind w:left="360" w:hanging="360"/>
      </w:pPr>
      <w:rPr>
        <w:rFonts w:ascii="Symbol" w:hAnsi="Symbol" w:hint="default"/>
      </w:rPr>
    </w:lvl>
  </w:abstractNum>
  <w:abstractNum w:abstractNumId="1">
    <w:nsid w:val="01111FB6"/>
    <w:multiLevelType w:val="hybridMultilevel"/>
    <w:tmpl w:val="4A18FF08"/>
    <w:lvl w:ilvl="0" w:tplc="340A0017">
      <w:start w:val="1"/>
      <w:numFmt w:val="lowerLetter"/>
      <w:lvlText w:val="%1)"/>
      <w:lvlJc w:val="left"/>
      <w:pPr>
        <w:ind w:left="720" w:hanging="360"/>
      </w:p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2">
    <w:nsid w:val="02A47F74"/>
    <w:multiLevelType w:val="hybridMultilevel"/>
    <w:tmpl w:val="A8F41CFA"/>
    <w:lvl w:ilvl="0" w:tplc="0C0A0001">
      <w:start w:val="1"/>
      <w:numFmt w:val="bullet"/>
      <w:lvlText w:val=""/>
      <w:lvlJc w:val="left"/>
      <w:pPr>
        <w:ind w:left="720" w:hanging="360"/>
      </w:pPr>
      <w:rPr>
        <w:rFonts w:ascii="Symbol" w:hAnsi="Symbol" w:cs="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
    <w:nsid w:val="04E61EBD"/>
    <w:multiLevelType w:val="hybridMultilevel"/>
    <w:tmpl w:val="EE641712"/>
    <w:lvl w:ilvl="0" w:tplc="340A000F">
      <w:start w:val="1"/>
      <w:numFmt w:val="decimal"/>
      <w:lvlText w:val="%1."/>
      <w:lvlJc w:val="left"/>
      <w:pPr>
        <w:ind w:left="720" w:hanging="360"/>
      </w:p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4">
    <w:nsid w:val="05D31107"/>
    <w:multiLevelType w:val="hybridMultilevel"/>
    <w:tmpl w:val="67BE41E8"/>
    <w:lvl w:ilvl="0" w:tplc="20E438DA">
      <w:start w:val="11"/>
      <w:numFmt w:val="bullet"/>
      <w:lvlText w:val="-"/>
      <w:lvlJc w:val="left"/>
      <w:pPr>
        <w:ind w:left="720" w:hanging="360"/>
      </w:pPr>
      <w:rPr>
        <w:rFonts w:ascii="Calibri" w:eastAsia="Calibri" w:hAnsi="Calibri" w:cs="Aria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5">
    <w:nsid w:val="060F1DB4"/>
    <w:multiLevelType w:val="hybridMultilevel"/>
    <w:tmpl w:val="795AE1B6"/>
    <w:lvl w:ilvl="0" w:tplc="0C0A0001">
      <w:start w:val="1"/>
      <w:numFmt w:val="bullet"/>
      <w:lvlText w:val=""/>
      <w:lvlJc w:val="left"/>
      <w:pPr>
        <w:ind w:left="720" w:hanging="360"/>
      </w:pPr>
      <w:rPr>
        <w:rFonts w:ascii="Symbol" w:hAnsi="Symbol" w:cs="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6">
    <w:nsid w:val="07E340D5"/>
    <w:multiLevelType w:val="hybridMultilevel"/>
    <w:tmpl w:val="CB9EE2EC"/>
    <w:lvl w:ilvl="0" w:tplc="0C0A0001">
      <w:start w:val="1"/>
      <w:numFmt w:val="bullet"/>
      <w:lvlText w:val=""/>
      <w:lvlJc w:val="left"/>
      <w:pPr>
        <w:ind w:left="720" w:hanging="360"/>
      </w:pPr>
      <w:rPr>
        <w:rFonts w:ascii="Symbol" w:hAnsi="Symbol" w:cs="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7">
    <w:nsid w:val="09535DA6"/>
    <w:multiLevelType w:val="hybridMultilevel"/>
    <w:tmpl w:val="103C1FAC"/>
    <w:lvl w:ilvl="0" w:tplc="340A000F">
      <w:start w:val="1"/>
      <w:numFmt w:val="lowerLetter"/>
      <w:lvlText w:val="%1)"/>
      <w:lvlJc w:val="left"/>
      <w:pPr>
        <w:ind w:left="720" w:hanging="360"/>
      </w:p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8">
    <w:nsid w:val="0AED47C0"/>
    <w:multiLevelType w:val="hybridMultilevel"/>
    <w:tmpl w:val="A9629E66"/>
    <w:lvl w:ilvl="0" w:tplc="0C0A0001">
      <w:start w:val="1"/>
      <w:numFmt w:val="bullet"/>
      <w:lvlText w:val=""/>
      <w:lvlJc w:val="left"/>
      <w:pPr>
        <w:ind w:left="720" w:hanging="360"/>
      </w:pPr>
      <w:rPr>
        <w:rFonts w:ascii="Symbol" w:hAnsi="Symbol" w:cs="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9">
    <w:nsid w:val="0B2A06A4"/>
    <w:multiLevelType w:val="hybridMultilevel"/>
    <w:tmpl w:val="C954118A"/>
    <w:lvl w:ilvl="0" w:tplc="0C0A0001">
      <w:start w:val="1"/>
      <w:numFmt w:val="bullet"/>
      <w:lvlText w:val=""/>
      <w:lvlJc w:val="left"/>
      <w:pPr>
        <w:ind w:left="720" w:hanging="360"/>
      </w:pPr>
      <w:rPr>
        <w:rFonts w:ascii="Symbol" w:hAnsi="Symbol" w:cs="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0">
    <w:nsid w:val="0B4E4FCE"/>
    <w:multiLevelType w:val="hybridMultilevel"/>
    <w:tmpl w:val="9D4010FE"/>
    <w:lvl w:ilvl="0" w:tplc="0C0A0001">
      <w:start w:val="1"/>
      <w:numFmt w:val="bullet"/>
      <w:lvlText w:val=""/>
      <w:lvlJc w:val="left"/>
      <w:pPr>
        <w:ind w:left="720" w:hanging="360"/>
      </w:pPr>
      <w:rPr>
        <w:rFonts w:ascii="Symbol" w:hAnsi="Symbol" w:cs="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1">
    <w:nsid w:val="0D4B1EA3"/>
    <w:multiLevelType w:val="hybridMultilevel"/>
    <w:tmpl w:val="2C260458"/>
    <w:lvl w:ilvl="0" w:tplc="0C0A0001">
      <w:start w:val="1"/>
      <w:numFmt w:val="bullet"/>
      <w:lvlText w:val=""/>
      <w:lvlJc w:val="left"/>
      <w:pPr>
        <w:ind w:left="720" w:hanging="360"/>
      </w:pPr>
      <w:rPr>
        <w:rFonts w:ascii="Symbol" w:hAnsi="Symbol" w:cs="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2">
    <w:nsid w:val="0F513802"/>
    <w:multiLevelType w:val="hybridMultilevel"/>
    <w:tmpl w:val="A8BA8CB6"/>
    <w:lvl w:ilvl="0" w:tplc="0C0A0001">
      <w:start w:val="1"/>
      <w:numFmt w:val="bullet"/>
      <w:lvlText w:val=""/>
      <w:lvlJc w:val="left"/>
      <w:pPr>
        <w:ind w:left="720" w:hanging="360"/>
      </w:pPr>
      <w:rPr>
        <w:rFonts w:ascii="Symbol" w:hAnsi="Symbol" w:cs="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3">
    <w:nsid w:val="0FF554FB"/>
    <w:multiLevelType w:val="hybridMultilevel"/>
    <w:tmpl w:val="DAC0B58E"/>
    <w:lvl w:ilvl="0" w:tplc="0C0A0001">
      <w:start w:val="1"/>
      <w:numFmt w:val="bullet"/>
      <w:lvlText w:val=""/>
      <w:lvlJc w:val="left"/>
      <w:pPr>
        <w:ind w:left="720" w:hanging="360"/>
      </w:pPr>
      <w:rPr>
        <w:rFonts w:ascii="Symbol" w:hAnsi="Symbol" w:cs="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4">
    <w:nsid w:val="114F34ED"/>
    <w:multiLevelType w:val="hybridMultilevel"/>
    <w:tmpl w:val="4C6ADF92"/>
    <w:lvl w:ilvl="0" w:tplc="0C0A0001">
      <w:start w:val="1"/>
      <w:numFmt w:val="bullet"/>
      <w:lvlText w:val=""/>
      <w:lvlJc w:val="left"/>
      <w:pPr>
        <w:ind w:left="720" w:hanging="360"/>
      </w:pPr>
      <w:rPr>
        <w:rFonts w:ascii="Symbol" w:hAnsi="Symbol" w:cs="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5">
    <w:nsid w:val="15866A86"/>
    <w:multiLevelType w:val="hybridMultilevel"/>
    <w:tmpl w:val="CCEC0F38"/>
    <w:lvl w:ilvl="0" w:tplc="0C0A0001">
      <w:start w:val="1"/>
      <w:numFmt w:val="bullet"/>
      <w:lvlText w:val=""/>
      <w:lvlJc w:val="left"/>
      <w:pPr>
        <w:ind w:left="720" w:hanging="360"/>
      </w:pPr>
      <w:rPr>
        <w:rFonts w:ascii="Symbol" w:hAnsi="Symbol" w:cs="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6">
    <w:nsid w:val="17E324A4"/>
    <w:multiLevelType w:val="hybridMultilevel"/>
    <w:tmpl w:val="D832781A"/>
    <w:lvl w:ilvl="0" w:tplc="0C0A0001">
      <w:start w:val="1"/>
      <w:numFmt w:val="bullet"/>
      <w:lvlText w:val=""/>
      <w:lvlJc w:val="left"/>
      <w:pPr>
        <w:ind w:left="720" w:hanging="360"/>
      </w:pPr>
      <w:rPr>
        <w:rFonts w:ascii="Symbol" w:hAnsi="Symbol" w:cs="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7">
    <w:nsid w:val="17E42A39"/>
    <w:multiLevelType w:val="multilevel"/>
    <w:tmpl w:val="2D440A64"/>
    <w:styleLink w:val="xxxxx"/>
    <w:lvl w:ilvl="0">
      <w:start w:val="1"/>
      <w:numFmt w:val="upperLetter"/>
      <w:lvlText w:val="%1."/>
      <w:lvlJc w:val="left"/>
      <w:pPr>
        <w:tabs>
          <w:tab w:val="num" w:pos="360"/>
        </w:tabs>
        <w:ind w:left="360" w:hanging="360"/>
      </w:pPr>
    </w:lvl>
    <w:lvl w:ilvl="1">
      <w:start w:val="1"/>
      <w:numFmt w:val="decimal"/>
      <w:isLgl/>
      <w:lvlText w:val="%1.%2"/>
      <w:lvlJc w:val="left"/>
      <w:pPr>
        <w:ind w:left="360" w:hanging="360"/>
      </w:pPr>
    </w:lvl>
    <w:lvl w:ilvl="2">
      <w:start w:val="1"/>
      <w:numFmt w:val="decimal"/>
      <w:isLgl/>
      <w:lvlText w:val="%1.%2.%3"/>
      <w:lvlJc w:val="left"/>
      <w:pPr>
        <w:ind w:left="720" w:hanging="720"/>
      </w:pPr>
    </w:lvl>
    <w:lvl w:ilvl="3">
      <w:start w:val="1"/>
      <w:numFmt w:val="decimal"/>
      <w:isLgl/>
      <w:lvlText w:val="%1.%2.%3.%4"/>
      <w:lvlJc w:val="left"/>
      <w:pPr>
        <w:ind w:left="720" w:hanging="720"/>
      </w:pPr>
    </w:lvl>
    <w:lvl w:ilvl="4">
      <w:start w:val="1"/>
      <w:numFmt w:val="decimal"/>
      <w:isLgl/>
      <w:lvlText w:val="%1.%2.%3.%4.%5"/>
      <w:lvlJc w:val="left"/>
      <w:pPr>
        <w:ind w:left="1080" w:hanging="1080"/>
      </w:pPr>
    </w:lvl>
    <w:lvl w:ilvl="5">
      <w:start w:val="1"/>
      <w:numFmt w:val="decimal"/>
      <w:isLgl/>
      <w:lvlText w:val="%1.%2.%3.%4.%5.%6"/>
      <w:lvlJc w:val="left"/>
      <w:pPr>
        <w:ind w:left="1080" w:hanging="1080"/>
      </w:pPr>
    </w:lvl>
    <w:lvl w:ilvl="6">
      <w:start w:val="1"/>
      <w:numFmt w:val="decimal"/>
      <w:isLgl/>
      <w:lvlText w:val="%1.%2.%3.%4.%5.%6.%7"/>
      <w:lvlJc w:val="left"/>
      <w:pPr>
        <w:ind w:left="1440" w:hanging="1440"/>
      </w:pPr>
    </w:lvl>
    <w:lvl w:ilvl="7">
      <w:start w:val="1"/>
      <w:numFmt w:val="decimal"/>
      <w:isLgl/>
      <w:lvlText w:val="%1.%2.%3.%4.%5.%6.%7.%8"/>
      <w:lvlJc w:val="left"/>
      <w:pPr>
        <w:ind w:left="1440" w:hanging="1440"/>
      </w:pPr>
    </w:lvl>
    <w:lvl w:ilvl="8">
      <w:start w:val="1"/>
      <w:numFmt w:val="decimal"/>
      <w:isLgl/>
      <w:lvlText w:val="%1.%2.%3.%4.%5.%6.%7.%8.%9"/>
      <w:lvlJc w:val="left"/>
      <w:pPr>
        <w:ind w:left="1800" w:hanging="1800"/>
      </w:pPr>
    </w:lvl>
  </w:abstractNum>
  <w:abstractNum w:abstractNumId="18">
    <w:nsid w:val="19656CAB"/>
    <w:multiLevelType w:val="hybridMultilevel"/>
    <w:tmpl w:val="2FC29BAA"/>
    <w:lvl w:ilvl="0" w:tplc="0C0A0001">
      <w:start w:val="1"/>
      <w:numFmt w:val="bullet"/>
      <w:lvlText w:val=""/>
      <w:lvlJc w:val="left"/>
      <w:pPr>
        <w:ind w:left="720" w:hanging="360"/>
      </w:pPr>
      <w:rPr>
        <w:rFonts w:ascii="Symbol" w:hAnsi="Symbol" w:cs="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9">
    <w:nsid w:val="199352D7"/>
    <w:multiLevelType w:val="hybridMultilevel"/>
    <w:tmpl w:val="7F14CA7E"/>
    <w:lvl w:ilvl="0" w:tplc="0C0A0001">
      <w:start w:val="1"/>
      <w:numFmt w:val="bullet"/>
      <w:lvlText w:val=""/>
      <w:lvlJc w:val="left"/>
      <w:pPr>
        <w:ind w:left="720" w:hanging="360"/>
      </w:pPr>
      <w:rPr>
        <w:rFonts w:ascii="Symbol" w:hAnsi="Symbol" w:cs="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0">
    <w:nsid w:val="1A0867C9"/>
    <w:multiLevelType w:val="hybridMultilevel"/>
    <w:tmpl w:val="103C1FAC"/>
    <w:lvl w:ilvl="0" w:tplc="340A000F">
      <w:start w:val="1"/>
      <w:numFmt w:val="lowerLetter"/>
      <w:lvlText w:val="%1)"/>
      <w:lvlJc w:val="left"/>
      <w:pPr>
        <w:ind w:left="720" w:hanging="360"/>
      </w:p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21">
    <w:nsid w:val="1E880862"/>
    <w:multiLevelType w:val="hybridMultilevel"/>
    <w:tmpl w:val="73D8C2EA"/>
    <w:lvl w:ilvl="0" w:tplc="340A000F">
      <w:start w:val="1"/>
      <w:numFmt w:val="decimal"/>
      <w:lvlText w:val="%1."/>
      <w:lvlJc w:val="left"/>
      <w:pPr>
        <w:ind w:left="720" w:hanging="360"/>
      </w:p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22">
    <w:nsid w:val="23A70346"/>
    <w:multiLevelType w:val="hybridMultilevel"/>
    <w:tmpl w:val="737834CE"/>
    <w:lvl w:ilvl="0" w:tplc="0C0A0001">
      <w:start w:val="1"/>
      <w:numFmt w:val="bullet"/>
      <w:lvlText w:val=""/>
      <w:lvlJc w:val="left"/>
      <w:pPr>
        <w:ind w:left="720" w:hanging="360"/>
      </w:pPr>
      <w:rPr>
        <w:rFonts w:ascii="Symbol" w:hAnsi="Symbol" w:cs="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3">
    <w:nsid w:val="255C011B"/>
    <w:multiLevelType w:val="hybridMultilevel"/>
    <w:tmpl w:val="38A4664E"/>
    <w:lvl w:ilvl="0" w:tplc="0C0A0001">
      <w:start w:val="1"/>
      <w:numFmt w:val="bullet"/>
      <w:lvlText w:val=""/>
      <w:lvlJc w:val="left"/>
      <w:pPr>
        <w:ind w:left="720" w:hanging="360"/>
      </w:pPr>
      <w:rPr>
        <w:rFonts w:ascii="Symbol" w:hAnsi="Symbol" w:cs="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4">
    <w:nsid w:val="26332C56"/>
    <w:multiLevelType w:val="hybridMultilevel"/>
    <w:tmpl w:val="FA60F93C"/>
    <w:lvl w:ilvl="0" w:tplc="6E0ADC96">
      <w:start w:val="5"/>
      <w:numFmt w:val="upperLetter"/>
      <w:lvlText w:val="%1."/>
      <w:lvlJc w:val="left"/>
      <w:pPr>
        <w:ind w:left="1080" w:hanging="360"/>
      </w:pPr>
      <w:rPr>
        <w:rFonts w:ascii="Calibri" w:hAnsi="Calibri" w:cs="Calibri" w:hint="default"/>
        <w:color w:val="000000"/>
      </w:rPr>
    </w:lvl>
    <w:lvl w:ilvl="1" w:tplc="340A0019" w:tentative="1">
      <w:start w:val="1"/>
      <w:numFmt w:val="lowerLetter"/>
      <w:lvlText w:val="%2."/>
      <w:lvlJc w:val="left"/>
      <w:pPr>
        <w:ind w:left="1800" w:hanging="360"/>
      </w:pPr>
    </w:lvl>
    <w:lvl w:ilvl="2" w:tplc="340A001B" w:tentative="1">
      <w:start w:val="1"/>
      <w:numFmt w:val="lowerRoman"/>
      <w:lvlText w:val="%3."/>
      <w:lvlJc w:val="right"/>
      <w:pPr>
        <w:ind w:left="2520" w:hanging="180"/>
      </w:pPr>
    </w:lvl>
    <w:lvl w:ilvl="3" w:tplc="340A000F" w:tentative="1">
      <w:start w:val="1"/>
      <w:numFmt w:val="decimal"/>
      <w:lvlText w:val="%4."/>
      <w:lvlJc w:val="left"/>
      <w:pPr>
        <w:ind w:left="3240" w:hanging="360"/>
      </w:pPr>
    </w:lvl>
    <w:lvl w:ilvl="4" w:tplc="340A0019" w:tentative="1">
      <w:start w:val="1"/>
      <w:numFmt w:val="lowerLetter"/>
      <w:lvlText w:val="%5."/>
      <w:lvlJc w:val="left"/>
      <w:pPr>
        <w:ind w:left="3960" w:hanging="360"/>
      </w:pPr>
    </w:lvl>
    <w:lvl w:ilvl="5" w:tplc="340A001B" w:tentative="1">
      <w:start w:val="1"/>
      <w:numFmt w:val="lowerRoman"/>
      <w:lvlText w:val="%6."/>
      <w:lvlJc w:val="right"/>
      <w:pPr>
        <w:ind w:left="4680" w:hanging="180"/>
      </w:pPr>
    </w:lvl>
    <w:lvl w:ilvl="6" w:tplc="340A000F" w:tentative="1">
      <w:start w:val="1"/>
      <w:numFmt w:val="decimal"/>
      <w:lvlText w:val="%7."/>
      <w:lvlJc w:val="left"/>
      <w:pPr>
        <w:ind w:left="5400" w:hanging="360"/>
      </w:pPr>
    </w:lvl>
    <w:lvl w:ilvl="7" w:tplc="340A0019" w:tentative="1">
      <w:start w:val="1"/>
      <w:numFmt w:val="lowerLetter"/>
      <w:lvlText w:val="%8."/>
      <w:lvlJc w:val="left"/>
      <w:pPr>
        <w:ind w:left="6120" w:hanging="360"/>
      </w:pPr>
    </w:lvl>
    <w:lvl w:ilvl="8" w:tplc="340A001B" w:tentative="1">
      <w:start w:val="1"/>
      <w:numFmt w:val="lowerRoman"/>
      <w:lvlText w:val="%9."/>
      <w:lvlJc w:val="right"/>
      <w:pPr>
        <w:ind w:left="6840" w:hanging="180"/>
      </w:pPr>
    </w:lvl>
  </w:abstractNum>
  <w:abstractNum w:abstractNumId="25">
    <w:nsid w:val="26413ECC"/>
    <w:multiLevelType w:val="hybridMultilevel"/>
    <w:tmpl w:val="0D7CA652"/>
    <w:lvl w:ilvl="0" w:tplc="13E69D44">
      <w:start w:val="1"/>
      <w:numFmt w:val="lowerLetter"/>
      <w:pStyle w:val="Listanumerada"/>
      <w:lvlText w:val="%1)"/>
      <w:lvlJc w:val="left"/>
      <w:pPr>
        <w:ind w:left="720" w:hanging="360"/>
      </w:p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26">
    <w:nsid w:val="26C21F5B"/>
    <w:multiLevelType w:val="multilevel"/>
    <w:tmpl w:val="C5D2B7E0"/>
    <w:lvl w:ilvl="0">
      <w:start w:val="1"/>
      <w:numFmt w:val="none"/>
      <w:suff w:val="nothing"/>
      <w:lvlText w:val="%1"/>
      <w:lvlJc w:val="left"/>
      <w:rPr>
        <w:rFonts w:cs="Times New Roman" w:hint="default"/>
      </w:rPr>
    </w:lvl>
    <w:lvl w:ilvl="1">
      <w:start w:val="1"/>
      <w:numFmt w:val="decimal"/>
      <w:lvlText w:val="%1%2."/>
      <w:lvlJc w:val="left"/>
      <w:pPr>
        <w:tabs>
          <w:tab w:val="num" w:pos="851"/>
        </w:tabs>
        <w:ind w:left="851" w:hanging="851"/>
      </w:pPr>
      <w:rPr>
        <w:rFonts w:cs="Times New Roman" w:hint="default"/>
      </w:rPr>
    </w:lvl>
    <w:lvl w:ilvl="2">
      <w:start w:val="1"/>
      <w:numFmt w:val="decimal"/>
      <w:lvlText w:val="%1%2.%3."/>
      <w:lvlJc w:val="left"/>
      <w:pPr>
        <w:tabs>
          <w:tab w:val="num" w:pos="737"/>
        </w:tabs>
        <w:ind w:left="737" w:hanging="737"/>
      </w:pPr>
      <w:rPr>
        <w:rFonts w:cs="Times New Roman" w:hint="default"/>
        <w:b/>
        <w:i w:val="0"/>
        <w:color w:val="auto"/>
      </w:rPr>
    </w:lvl>
    <w:lvl w:ilvl="3">
      <w:start w:val="1"/>
      <w:numFmt w:val="decimal"/>
      <w:lvlText w:val="%1%2.%3.%4."/>
      <w:lvlJc w:val="left"/>
      <w:pPr>
        <w:tabs>
          <w:tab w:val="num" w:pos="1647"/>
        </w:tabs>
        <w:ind w:firstLine="567"/>
      </w:pPr>
      <w:rPr>
        <w:rFonts w:cs="Times New Roman" w:hint="default"/>
        <w:b/>
        <w:color w:val="auto"/>
      </w:rPr>
    </w:lvl>
    <w:lvl w:ilvl="4">
      <w:start w:val="1"/>
      <w:numFmt w:val="lowerLetter"/>
      <w:lvlText w:val="%1%5)"/>
      <w:lvlJc w:val="left"/>
      <w:pPr>
        <w:tabs>
          <w:tab w:val="num" w:pos="1701"/>
        </w:tabs>
        <w:ind w:left="1701" w:hanging="1021"/>
      </w:pPr>
      <w:rPr>
        <w:rFonts w:cs="Times New Roman" w:hint="default"/>
      </w:rPr>
    </w:lvl>
    <w:lvl w:ilvl="5">
      <w:start w:val="1"/>
      <w:numFmt w:val="decimal"/>
      <w:lvlText w:val="%5.%6)"/>
      <w:lvlJc w:val="left"/>
      <w:pPr>
        <w:tabs>
          <w:tab w:val="num" w:pos="1701"/>
        </w:tabs>
        <w:ind w:left="1701" w:hanging="624"/>
      </w:pPr>
      <w:rPr>
        <w:rFonts w:cs="Times New Roman" w:hint="default"/>
      </w:rPr>
    </w:lvl>
    <w:lvl w:ilvl="6">
      <w:start w:val="1"/>
      <w:numFmt w:val="decimal"/>
      <w:lvlText w:val="%5.%6.%7)"/>
      <w:lvlJc w:val="left"/>
      <w:pPr>
        <w:tabs>
          <w:tab w:val="num" w:pos="2268"/>
        </w:tabs>
        <w:ind w:left="2268" w:hanging="850"/>
      </w:pPr>
      <w:rPr>
        <w:rFonts w:cs="Times New Roman" w:hint="default"/>
      </w:rPr>
    </w:lvl>
    <w:lvl w:ilvl="7">
      <w:start w:val="1"/>
      <w:numFmt w:val="lowerRoman"/>
      <w:lvlText w:val="(%8)"/>
      <w:lvlJc w:val="left"/>
      <w:pPr>
        <w:tabs>
          <w:tab w:val="num" w:pos="2421"/>
        </w:tabs>
        <w:ind w:left="2126" w:hanging="425"/>
      </w:pPr>
      <w:rPr>
        <w:rFonts w:cs="Times New Roman" w:hint="default"/>
      </w:rPr>
    </w:lvl>
    <w:lvl w:ilvl="8">
      <w:start w:val="1"/>
      <w:numFmt w:val="lowerRoman"/>
      <w:lvlText w:val="(%9)"/>
      <w:lvlJc w:val="left"/>
      <w:pPr>
        <w:tabs>
          <w:tab w:val="num" w:pos="2591"/>
        </w:tabs>
        <w:ind w:left="2495" w:hanging="624"/>
      </w:pPr>
      <w:rPr>
        <w:rFonts w:cs="Times New Roman" w:hint="default"/>
      </w:rPr>
    </w:lvl>
  </w:abstractNum>
  <w:abstractNum w:abstractNumId="27">
    <w:nsid w:val="288F2B04"/>
    <w:multiLevelType w:val="hybridMultilevel"/>
    <w:tmpl w:val="C51AEA74"/>
    <w:lvl w:ilvl="0" w:tplc="0C0A0001">
      <w:start w:val="1"/>
      <w:numFmt w:val="bullet"/>
      <w:lvlText w:val=""/>
      <w:lvlJc w:val="left"/>
      <w:pPr>
        <w:ind w:left="720" w:hanging="360"/>
      </w:pPr>
      <w:rPr>
        <w:rFonts w:ascii="Symbol" w:hAnsi="Symbol" w:cs="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cs="Wingdings" w:hint="default"/>
      </w:rPr>
    </w:lvl>
    <w:lvl w:ilvl="3" w:tplc="340A0001" w:tentative="1">
      <w:start w:val="1"/>
      <w:numFmt w:val="bullet"/>
      <w:lvlText w:val=""/>
      <w:lvlJc w:val="left"/>
      <w:pPr>
        <w:ind w:left="2880" w:hanging="360"/>
      </w:pPr>
      <w:rPr>
        <w:rFonts w:ascii="Symbol" w:hAnsi="Symbol" w:cs="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cs="Wingdings" w:hint="default"/>
      </w:rPr>
    </w:lvl>
    <w:lvl w:ilvl="6" w:tplc="340A0001" w:tentative="1">
      <w:start w:val="1"/>
      <w:numFmt w:val="bullet"/>
      <w:lvlText w:val=""/>
      <w:lvlJc w:val="left"/>
      <w:pPr>
        <w:ind w:left="5040" w:hanging="360"/>
      </w:pPr>
      <w:rPr>
        <w:rFonts w:ascii="Symbol" w:hAnsi="Symbol" w:cs="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cs="Wingdings" w:hint="default"/>
      </w:rPr>
    </w:lvl>
  </w:abstractNum>
  <w:abstractNum w:abstractNumId="28">
    <w:nsid w:val="2AD970CB"/>
    <w:multiLevelType w:val="hybridMultilevel"/>
    <w:tmpl w:val="F0B6224C"/>
    <w:lvl w:ilvl="0" w:tplc="0C0A0001">
      <w:start w:val="1"/>
      <w:numFmt w:val="bullet"/>
      <w:lvlText w:val=""/>
      <w:lvlJc w:val="left"/>
      <w:pPr>
        <w:ind w:left="720" w:hanging="360"/>
      </w:pPr>
      <w:rPr>
        <w:rFonts w:ascii="Symbol" w:hAnsi="Symbol" w:cs="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9">
    <w:nsid w:val="2B034108"/>
    <w:multiLevelType w:val="hybridMultilevel"/>
    <w:tmpl w:val="3F16C35A"/>
    <w:lvl w:ilvl="0" w:tplc="0C0A0001">
      <w:start w:val="1"/>
      <w:numFmt w:val="bullet"/>
      <w:lvlText w:val=""/>
      <w:lvlJc w:val="left"/>
      <w:pPr>
        <w:ind w:left="720" w:hanging="360"/>
      </w:pPr>
      <w:rPr>
        <w:rFonts w:ascii="Symbol" w:hAnsi="Symbol" w:cs="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0">
    <w:nsid w:val="2B0C1467"/>
    <w:multiLevelType w:val="hybridMultilevel"/>
    <w:tmpl w:val="D8607B44"/>
    <w:lvl w:ilvl="0" w:tplc="0C0A0001">
      <w:start w:val="1"/>
      <w:numFmt w:val="bullet"/>
      <w:lvlText w:val=""/>
      <w:lvlJc w:val="left"/>
      <w:pPr>
        <w:ind w:left="720" w:hanging="360"/>
      </w:pPr>
      <w:rPr>
        <w:rFonts w:ascii="Symbol" w:hAnsi="Symbol" w:cs="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1">
    <w:nsid w:val="2B133115"/>
    <w:multiLevelType w:val="hybridMultilevel"/>
    <w:tmpl w:val="72E42E0A"/>
    <w:lvl w:ilvl="0" w:tplc="0C0A0001">
      <w:start w:val="1"/>
      <w:numFmt w:val="bullet"/>
      <w:lvlText w:val=""/>
      <w:lvlJc w:val="left"/>
      <w:pPr>
        <w:ind w:left="720" w:hanging="360"/>
      </w:pPr>
      <w:rPr>
        <w:rFonts w:ascii="Symbol" w:hAnsi="Symbol" w:cs="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2">
    <w:nsid w:val="2E14692E"/>
    <w:multiLevelType w:val="hybridMultilevel"/>
    <w:tmpl w:val="CF3CB520"/>
    <w:lvl w:ilvl="0" w:tplc="0C0A0001">
      <w:start w:val="1"/>
      <w:numFmt w:val="bullet"/>
      <w:lvlText w:val=""/>
      <w:lvlJc w:val="left"/>
      <w:pPr>
        <w:ind w:left="720" w:hanging="360"/>
      </w:pPr>
      <w:rPr>
        <w:rFonts w:ascii="Symbol" w:hAnsi="Symbol" w:cs="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3">
    <w:nsid w:val="31925ED9"/>
    <w:multiLevelType w:val="hybridMultilevel"/>
    <w:tmpl w:val="D64E2EFA"/>
    <w:lvl w:ilvl="0" w:tplc="88C09892">
      <w:start w:val="1"/>
      <w:numFmt w:val="bullet"/>
      <w:pStyle w:val="Prrafodelista"/>
      <w:lvlText w:val=""/>
      <w:lvlJc w:val="left"/>
      <w:pPr>
        <w:ind w:left="720" w:hanging="360"/>
      </w:pPr>
      <w:rPr>
        <w:rFonts w:ascii="Wingdings" w:hAnsi="Wingdings"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4">
    <w:nsid w:val="32FB1203"/>
    <w:multiLevelType w:val="hybridMultilevel"/>
    <w:tmpl w:val="536840DA"/>
    <w:lvl w:ilvl="0" w:tplc="2C0A0011">
      <w:start w:val="1"/>
      <w:numFmt w:val="decimal"/>
      <w:lvlText w:val="%1)"/>
      <w:lvlJc w:val="left"/>
      <w:pPr>
        <w:ind w:left="720" w:hanging="360"/>
      </w:pPr>
      <w:rPr>
        <w:rFonts w:hint="default"/>
      </w:rPr>
    </w:lvl>
    <w:lvl w:ilvl="1" w:tplc="2C0A0019">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35">
    <w:nsid w:val="366C79FE"/>
    <w:multiLevelType w:val="hybridMultilevel"/>
    <w:tmpl w:val="D63A301E"/>
    <w:lvl w:ilvl="0" w:tplc="0C0A0001">
      <w:start w:val="1"/>
      <w:numFmt w:val="bullet"/>
      <w:lvlText w:val=""/>
      <w:lvlJc w:val="left"/>
      <w:pPr>
        <w:ind w:left="720" w:hanging="360"/>
      </w:pPr>
      <w:rPr>
        <w:rFonts w:ascii="Symbol" w:hAnsi="Symbol" w:cs="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6">
    <w:nsid w:val="37881CCC"/>
    <w:multiLevelType w:val="hybridMultilevel"/>
    <w:tmpl w:val="F4223CB8"/>
    <w:lvl w:ilvl="0" w:tplc="0C0A0001">
      <w:start w:val="1"/>
      <w:numFmt w:val="bullet"/>
      <w:lvlText w:val=""/>
      <w:lvlJc w:val="left"/>
      <w:pPr>
        <w:ind w:left="720" w:hanging="360"/>
      </w:pPr>
      <w:rPr>
        <w:rFonts w:ascii="Symbol" w:hAnsi="Symbol" w:cs="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7">
    <w:nsid w:val="39901A71"/>
    <w:multiLevelType w:val="hybridMultilevel"/>
    <w:tmpl w:val="0D2A4AA2"/>
    <w:lvl w:ilvl="0" w:tplc="0C0A0001">
      <w:start w:val="1"/>
      <w:numFmt w:val="bullet"/>
      <w:lvlText w:val=""/>
      <w:lvlJc w:val="left"/>
      <w:pPr>
        <w:ind w:left="720" w:hanging="360"/>
      </w:pPr>
      <w:rPr>
        <w:rFonts w:ascii="Symbol" w:hAnsi="Symbol" w:cs="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8">
    <w:nsid w:val="3C3C0295"/>
    <w:multiLevelType w:val="multilevel"/>
    <w:tmpl w:val="188862D4"/>
    <w:lvl w:ilvl="0">
      <w:start w:val="1"/>
      <w:numFmt w:val="decimal"/>
      <w:pStyle w:val="Ttulo1"/>
      <w:lvlText w:val="%1."/>
      <w:lvlJc w:val="left"/>
      <w:pPr>
        <w:ind w:left="851" w:hanging="851"/>
      </w:pPr>
      <w:rPr>
        <w:rFonts w:ascii="Calibri" w:hAnsi="Calibri" w:hint="default"/>
        <w:b/>
        <w:i w:val="0"/>
        <w:caps/>
        <w:strike w:val="0"/>
        <w:dstrike w:val="0"/>
        <w:vanish w:val="0"/>
        <w:color w:val="4472C4"/>
        <w:spacing w:val="0"/>
        <w:w w:val="100"/>
        <w:kern w:val="0"/>
        <w:position w:val="0"/>
        <w:sz w:val="28"/>
        <w:u w:val="none"/>
        <w:vertAlign w:val="baseline"/>
      </w:rPr>
    </w:lvl>
    <w:lvl w:ilvl="1">
      <w:start w:val="1"/>
      <w:numFmt w:val="decimal"/>
      <w:pStyle w:val="Ttulo2"/>
      <w:lvlText w:val="%1.%2"/>
      <w:lvlJc w:val="left"/>
      <w:pPr>
        <w:ind w:left="851" w:hanging="851"/>
      </w:pPr>
      <w:rPr>
        <w:rFonts w:ascii="Calibri" w:hAnsi="Calibri" w:hint="default"/>
        <w:b/>
        <w:i w:val="0"/>
        <w:caps w:val="0"/>
        <w:strike w:val="0"/>
        <w:dstrike w:val="0"/>
        <w:vanish w:val="0"/>
        <w:color w:val="4472C4"/>
        <w:spacing w:val="0"/>
        <w:w w:val="100"/>
        <w:kern w:val="0"/>
        <w:position w:val="0"/>
        <w:sz w:val="28"/>
        <w:szCs w:val="24"/>
        <w:u w:val="none"/>
        <w:vertAlign w:val="baseline"/>
      </w:rPr>
    </w:lvl>
    <w:lvl w:ilvl="2">
      <w:start w:val="1"/>
      <w:numFmt w:val="decimal"/>
      <w:pStyle w:val="Ttulo3"/>
      <w:lvlText w:val="%1.%2.%3"/>
      <w:lvlJc w:val="left"/>
      <w:pPr>
        <w:ind w:left="851" w:hanging="851"/>
      </w:pPr>
      <w:rPr>
        <w:rFonts w:ascii="Calibri" w:hAnsi="Calibri" w:hint="default"/>
        <w:caps w:val="0"/>
        <w:strike w:val="0"/>
        <w:dstrike w:val="0"/>
        <w:vanish w:val="0"/>
        <w:color w:val="0070C0"/>
        <w:spacing w:val="0"/>
        <w:w w:val="100"/>
        <w:kern w:val="0"/>
        <w:position w:val="0"/>
        <w:sz w:val="24"/>
        <w:u w:val="none"/>
        <w:vertAlign w:val="baseline"/>
        <w14:cntxtAlts w14:val="0"/>
      </w:rPr>
    </w:lvl>
    <w:lvl w:ilvl="3">
      <w:start w:val="1"/>
      <w:numFmt w:val="decimal"/>
      <w:pStyle w:val="Ttulo4"/>
      <w:lvlText w:val="%1.%2.%3.%4"/>
      <w:lvlJc w:val="left"/>
      <w:pPr>
        <w:ind w:left="864" w:hanging="864"/>
      </w:pPr>
      <w:rPr>
        <w:rFonts w:ascii="Calibri" w:hAnsi="Calibri" w:hint="default"/>
        <w:caps w:val="0"/>
        <w:strike w:val="0"/>
        <w:dstrike w:val="0"/>
        <w:vanish w:val="0"/>
        <w:color w:val="4472C4"/>
        <w:spacing w:val="0"/>
        <w:w w:val="100"/>
        <w:kern w:val="0"/>
        <w:position w:val="0"/>
        <w:sz w:val="24"/>
        <w:u w:val="none"/>
        <w:vertAlign w:val="baseline"/>
        <w14:cntxtAlts w14:val="0"/>
      </w:rPr>
    </w:lvl>
    <w:lvl w:ilvl="4">
      <w:start w:val="1"/>
      <w:numFmt w:val="decimal"/>
      <w:pStyle w:val="Ttulo5"/>
      <w:lvlText w:val="%1.%2.%3.%4.%5"/>
      <w:lvlJc w:val="left"/>
      <w:pPr>
        <w:ind w:left="1008" w:hanging="1008"/>
      </w:pPr>
      <w:rPr>
        <w:rFonts w:hint="default"/>
      </w:rPr>
    </w:lvl>
    <w:lvl w:ilvl="5">
      <w:start w:val="1"/>
      <w:numFmt w:val="decimal"/>
      <w:pStyle w:val="Ttulo6"/>
      <w:lvlText w:val="%1.%2.%3.%4.%5.%6"/>
      <w:lvlJc w:val="left"/>
      <w:pPr>
        <w:ind w:left="1152" w:hanging="1152"/>
      </w:pPr>
      <w:rPr>
        <w:rFonts w:hint="default"/>
      </w:rPr>
    </w:lvl>
    <w:lvl w:ilvl="6">
      <w:start w:val="1"/>
      <w:numFmt w:val="decimal"/>
      <w:pStyle w:val="Ttulo7"/>
      <w:lvlText w:val="%1.%2.%3.%4.%5.%6.%7"/>
      <w:lvlJc w:val="left"/>
      <w:pPr>
        <w:ind w:left="1296" w:hanging="1296"/>
      </w:pPr>
      <w:rPr>
        <w:rFonts w:hint="default"/>
      </w:rPr>
    </w:lvl>
    <w:lvl w:ilvl="7">
      <w:start w:val="1"/>
      <w:numFmt w:val="decimal"/>
      <w:pStyle w:val="Ttulo8"/>
      <w:lvlText w:val="%1.%2.%3.%4.%5.%6.%7.%8"/>
      <w:lvlJc w:val="left"/>
      <w:pPr>
        <w:ind w:left="1440" w:hanging="1440"/>
      </w:pPr>
      <w:rPr>
        <w:rFonts w:hint="default"/>
      </w:rPr>
    </w:lvl>
    <w:lvl w:ilvl="8">
      <w:start w:val="1"/>
      <w:numFmt w:val="decimal"/>
      <w:pStyle w:val="Ttulo9"/>
      <w:lvlText w:val="%1.%2.%3.%4.%5.%6.%7.%8.%9"/>
      <w:lvlJc w:val="left"/>
      <w:pPr>
        <w:ind w:left="1584" w:hanging="1584"/>
      </w:pPr>
      <w:rPr>
        <w:rFonts w:hint="default"/>
      </w:rPr>
    </w:lvl>
  </w:abstractNum>
  <w:abstractNum w:abstractNumId="39">
    <w:nsid w:val="3DD25A96"/>
    <w:multiLevelType w:val="hybridMultilevel"/>
    <w:tmpl w:val="C5A61AC2"/>
    <w:lvl w:ilvl="0" w:tplc="0C0A0001">
      <w:start w:val="1"/>
      <w:numFmt w:val="bullet"/>
      <w:lvlText w:val=""/>
      <w:lvlJc w:val="left"/>
      <w:pPr>
        <w:ind w:left="720" w:hanging="360"/>
      </w:pPr>
      <w:rPr>
        <w:rFonts w:ascii="Symbol" w:hAnsi="Symbol" w:cs="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40">
    <w:nsid w:val="3FED2D35"/>
    <w:multiLevelType w:val="hybridMultilevel"/>
    <w:tmpl w:val="FC18D3EE"/>
    <w:lvl w:ilvl="0" w:tplc="D4AC6068">
      <w:start w:val="1"/>
      <w:numFmt w:val="upperRoman"/>
      <w:pStyle w:val="Parrafodelistanumeral"/>
      <w:lvlText w:val="%1."/>
      <w:lvlJc w:val="right"/>
      <w:pPr>
        <w:ind w:left="360" w:hanging="360"/>
      </w:pPr>
    </w:lvl>
    <w:lvl w:ilvl="1" w:tplc="340A0003">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41">
    <w:nsid w:val="40D97C00"/>
    <w:multiLevelType w:val="hybridMultilevel"/>
    <w:tmpl w:val="A06E18C2"/>
    <w:lvl w:ilvl="0" w:tplc="0DC2454A">
      <w:start w:val="1"/>
      <w:numFmt w:val="lowerLetter"/>
      <w:lvlText w:val="%1)"/>
      <w:lvlJc w:val="left"/>
      <w:pPr>
        <w:ind w:left="720" w:hanging="360"/>
      </w:pPr>
      <w:rPr>
        <w:rFonts w:ascii="Calibri" w:hAnsi="Calibri" w:hint="default"/>
        <w:b w:val="0"/>
        <w:i w:val="0"/>
        <w:caps w:val="0"/>
        <w:strike w:val="0"/>
        <w:dstrike w:val="0"/>
        <w:vanish w:val="0"/>
        <w:color w:val="auto"/>
        <w:spacing w:val="0"/>
        <w:w w:val="100"/>
        <w:kern w:val="0"/>
        <w:position w:val="0"/>
        <w:sz w:val="24"/>
        <w:u w:val="none"/>
        <w:vertAlign w:val="baseline"/>
        <w14:cntxtAlts w14:val="0"/>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2">
    <w:nsid w:val="43056AF4"/>
    <w:multiLevelType w:val="hybridMultilevel"/>
    <w:tmpl w:val="E65C16EA"/>
    <w:lvl w:ilvl="0" w:tplc="0C0A0001">
      <w:start w:val="1"/>
      <w:numFmt w:val="bullet"/>
      <w:lvlText w:val=""/>
      <w:lvlJc w:val="left"/>
      <w:pPr>
        <w:ind w:left="720" w:hanging="360"/>
      </w:pPr>
      <w:rPr>
        <w:rFonts w:ascii="Symbol" w:hAnsi="Symbol" w:cs="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43">
    <w:nsid w:val="43706439"/>
    <w:multiLevelType w:val="hybridMultilevel"/>
    <w:tmpl w:val="7242AF88"/>
    <w:lvl w:ilvl="0" w:tplc="0C0A0001">
      <w:start w:val="1"/>
      <w:numFmt w:val="bullet"/>
      <w:lvlText w:val=""/>
      <w:lvlJc w:val="left"/>
      <w:pPr>
        <w:ind w:left="720" w:hanging="360"/>
      </w:pPr>
      <w:rPr>
        <w:rFonts w:ascii="Symbol" w:hAnsi="Symbol" w:cs="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44">
    <w:nsid w:val="44C57999"/>
    <w:multiLevelType w:val="hybridMultilevel"/>
    <w:tmpl w:val="8570B036"/>
    <w:lvl w:ilvl="0" w:tplc="0C0A0017">
      <w:start w:val="1"/>
      <w:numFmt w:val="lowerLetter"/>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5">
    <w:nsid w:val="46F31E71"/>
    <w:multiLevelType w:val="hybridMultilevel"/>
    <w:tmpl w:val="0846E0A8"/>
    <w:lvl w:ilvl="0" w:tplc="340A000F">
      <w:start w:val="1"/>
      <w:numFmt w:val="decimal"/>
      <w:lvlText w:val="%1."/>
      <w:lvlJc w:val="left"/>
      <w:pPr>
        <w:ind w:left="720" w:hanging="360"/>
      </w:p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46">
    <w:nsid w:val="480B185C"/>
    <w:multiLevelType w:val="hybridMultilevel"/>
    <w:tmpl w:val="70CCA652"/>
    <w:lvl w:ilvl="0" w:tplc="0C0A0001">
      <w:start w:val="1"/>
      <w:numFmt w:val="bullet"/>
      <w:lvlText w:val=""/>
      <w:lvlJc w:val="left"/>
      <w:pPr>
        <w:ind w:left="720" w:hanging="360"/>
      </w:pPr>
      <w:rPr>
        <w:rFonts w:ascii="Symbol" w:hAnsi="Symbol" w:cs="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47">
    <w:nsid w:val="4A810DBD"/>
    <w:multiLevelType w:val="hybridMultilevel"/>
    <w:tmpl w:val="8118086E"/>
    <w:lvl w:ilvl="0" w:tplc="0C0A0001">
      <w:start w:val="1"/>
      <w:numFmt w:val="bullet"/>
      <w:lvlText w:val=""/>
      <w:lvlJc w:val="left"/>
      <w:pPr>
        <w:tabs>
          <w:tab w:val="num" w:pos="720"/>
        </w:tabs>
        <w:ind w:left="720" w:hanging="360"/>
      </w:pPr>
      <w:rPr>
        <w:rFonts w:ascii="Symbol" w:hAnsi="Symbol" w:cs="Symbol" w:hint="default"/>
      </w:rPr>
    </w:lvl>
    <w:lvl w:ilvl="1" w:tplc="340A0003" w:tentative="1">
      <w:start w:val="1"/>
      <w:numFmt w:val="bullet"/>
      <w:lvlText w:val="o"/>
      <w:lvlJc w:val="left"/>
      <w:pPr>
        <w:tabs>
          <w:tab w:val="num" w:pos="1440"/>
        </w:tabs>
        <w:ind w:left="1440" w:hanging="360"/>
      </w:pPr>
      <w:rPr>
        <w:rFonts w:ascii="Courier New" w:hAnsi="Courier New" w:cs="Courier New" w:hint="default"/>
      </w:rPr>
    </w:lvl>
    <w:lvl w:ilvl="2" w:tplc="340A0005" w:tentative="1">
      <w:start w:val="1"/>
      <w:numFmt w:val="bullet"/>
      <w:lvlText w:val=""/>
      <w:lvlJc w:val="left"/>
      <w:pPr>
        <w:tabs>
          <w:tab w:val="num" w:pos="2160"/>
        </w:tabs>
        <w:ind w:left="2160" w:hanging="360"/>
      </w:pPr>
      <w:rPr>
        <w:rFonts w:ascii="Wingdings" w:hAnsi="Wingdings" w:hint="default"/>
      </w:rPr>
    </w:lvl>
    <w:lvl w:ilvl="3" w:tplc="340A0001" w:tentative="1">
      <w:start w:val="1"/>
      <w:numFmt w:val="bullet"/>
      <w:lvlText w:val=""/>
      <w:lvlJc w:val="left"/>
      <w:pPr>
        <w:tabs>
          <w:tab w:val="num" w:pos="2880"/>
        </w:tabs>
        <w:ind w:left="2880" w:hanging="360"/>
      </w:pPr>
      <w:rPr>
        <w:rFonts w:ascii="Symbol" w:hAnsi="Symbol" w:hint="default"/>
      </w:rPr>
    </w:lvl>
    <w:lvl w:ilvl="4" w:tplc="340A0003" w:tentative="1">
      <w:start w:val="1"/>
      <w:numFmt w:val="bullet"/>
      <w:lvlText w:val="o"/>
      <w:lvlJc w:val="left"/>
      <w:pPr>
        <w:tabs>
          <w:tab w:val="num" w:pos="3600"/>
        </w:tabs>
        <w:ind w:left="3600" w:hanging="360"/>
      </w:pPr>
      <w:rPr>
        <w:rFonts w:ascii="Courier New" w:hAnsi="Courier New" w:cs="Courier New" w:hint="default"/>
      </w:rPr>
    </w:lvl>
    <w:lvl w:ilvl="5" w:tplc="340A0005" w:tentative="1">
      <w:start w:val="1"/>
      <w:numFmt w:val="bullet"/>
      <w:lvlText w:val=""/>
      <w:lvlJc w:val="left"/>
      <w:pPr>
        <w:tabs>
          <w:tab w:val="num" w:pos="4320"/>
        </w:tabs>
        <w:ind w:left="4320" w:hanging="360"/>
      </w:pPr>
      <w:rPr>
        <w:rFonts w:ascii="Wingdings" w:hAnsi="Wingdings" w:hint="default"/>
      </w:rPr>
    </w:lvl>
    <w:lvl w:ilvl="6" w:tplc="340A0001" w:tentative="1">
      <w:start w:val="1"/>
      <w:numFmt w:val="bullet"/>
      <w:lvlText w:val=""/>
      <w:lvlJc w:val="left"/>
      <w:pPr>
        <w:tabs>
          <w:tab w:val="num" w:pos="5040"/>
        </w:tabs>
        <w:ind w:left="5040" w:hanging="360"/>
      </w:pPr>
      <w:rPr>
        <w:rFonts w:ascii="Symbol" w:hAnsi="Symbol" w:hint="default"/>
      </w:rPr>
    </w:lvl>
    <w:lvl w:ilvl="7" w:tplc="340A0003" w:tentative="1">
      <w:start w:val="1"/>
      <w:numFmt w:val="bullet"/>
      <w:lvlText w:val="o"/>
      <w:lvlJc w:val="left"/>
      <w:pPr>
        <w:tabs>
          <w:tab w:val="num" w:pos="5760"/>
        </w:tabs>
        <w:ind w:left="5760" w:hanging="360"/>
      </w:pPr>
      <w:rPr>
        <w:rFonts w:ascii="Courier New" w:hAnsi="Courier New" w:cs="Courier New" w:hint="default"/>
      </w:rPr>
    </w:lvl>
    <w:lvl w:ilvl="8" w:tplc="340A0005" w:tentative="1">
      <w:start w:val="1"/>
      <w:numFmt w:val="bullet"/>
      <w:lvlText w:val=""/>
      <w:lvlJc w:val="left"/>
      <w:pPr>
        <w:tabs>
          <w:tab w:val="num" w:pos="6480"/>
        </w:tabs>
        <w:ind w:left="6480" w:hanging="360"/>
      </w:pPr>
      <w:rPr>
        <w:rFonts w:ascii="Wingdings" w:hAnsi="Wingdings" w:hint="default"/>
      </w:rPr>
    </w:lvl>
  </w:abstractNum>
  <w:abstractNum w:abstractNumId="48">
    <w:nsid w:val="4D8241EF"/>
    <w:multiLevelType w:val="hybridMultilevel"/>
    <w:tmpl w:val="3D24EEB6"/>
    <w:lvl w:ilvl="0" w:tplc="340A000F">
      <w:start w:val="1"/>
      <w:numFmt w:val="decimal"/>
      <w:lvlText w:val="%1."/>
      <w:lvlJc w:val="left"/>
      <w:pPr>
        <w:ind w:left="720" w:hanging="360"/>
      </w:p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49">
    <w:nsid w:val="520E3593"/>
    <w:multiLevelType w:val="hybridMultilevel"/>
    <w:tmpl w:val="EB2CBABC"/>
    <w:lvl w:ilvl="0" w:tplc="0C0A0005">
      <w:start w:val="1"/>
      <w:numFmt w:val="bullet"/>
      <w:lvlText w:val=""/>
      <w:lvlJc w:val="left"/>
      <w:pPr>
        <w:ind w:left="720" w:hanging="360"/>
      </w:pPr>
      <w:rPr>
        <w:rFonts w:ascii="Wingdings" w:hAnsi="Wingdings" w:cs="Wingdings"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50">
    <w:nsid w:val="52844C62"/>
    <w:multiLevelType w:val="hybridMultilevel"/>
    <w:tmpl w:val="069C0A12"/>
    <w:lvl w:ilvl="0" w:tplc="BE741246">
      <w:start w:val="1"/>
      <w:numFmt w:val="lowerLetter"/>
      <w:lvlText w:val="%1)"/>
      <w:lvlJc w:val="left"/>
      <w:pPr>
        <w:ind w:left="720" w:hanging="360"/>
      </w:pPr>
      <w:rPr>
        <w:rFonts w:ascii="Calibri" w:hAnsi="Calibri" w:hint="default"/>
        <w:b w:val="0"/>
        <w:i w:val="0"/>
        <w:caps w:val="0"/>
        <w:strike w:val="0"/>
        <w:dstrike w:val="0"/>
        <w:vanish w:val="0"/>
        <w:color w:val="auto"/>
        <w:spacing w:val="0"/>
        <w:w w:val="100"/>
        <w:kern w:val="0"/>
        <w:position w:val="0"/>
        <w:sz w:val="24"/>
        <w:u w:val="none"/>
        <w:vertAlign w:val="baseline"/>
        <w14:cntxtAlts w14:val="0"/>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51">
    <w:nsid w:val="530E15A2"/>
    <w:multiLevelType w:val="hybridMultilevel"/>
    <w:tmpl w:val="21C4E512"/>
    <w:lvl w:ilvl="0" w:tplc="0C0A0001">
      <w:start w:val="1"/>
      <w:numFmt w:val="bullet"/>
      <w:lvlText w:val=""/>
      <w:lvlJc w:val="left"/>
      <w:pPr>
        <w:ind w:left="720" w:hanging="360"/>
      </w:pPr>
      <w:rPr>
        <w:rFonts w:ascii="Symbol" w:hAnsi="Symbol" w:cs="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52">
    <w:nsid w:val="54411437"/>
    <w:multiLevelType w:val="hybridMultilevel"/>
    <w:tmpl w:val="6F9E856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3">
    <w:nsid w:val="63451813"/>
    <w:multiLevelType w:val="hybridMultilevel"/>
    <w:tmpl w:val="8C7E2CA8"/>
    <w:lvl w:ilvl="0" w:tplc="0C0A0001">
      <w:start w:val="1"/>
      <w:numFmt w:val="bullet"/>
      <w:lvlText w:val=""/>
      <w:lvlJc w:val="left"/>
      <w:pPr>
        <w:ind w:left="720" w:hanging="360"/>
      </w:pPr>
      <w:rPr>
        <w:rFonts w:ascii="Symbol" w:hAnsi="Symbol" w:cs="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cs="Wingdings" w:hint="default"/>
      </w:rPr>
    </w:lvl>
    <w:lvl w:ilvl="3" w:tplc="0C0A0001" w:tentative="1">
      <w:start w:val="1"/>
      <w:numFmt w:val="bullet"/>
      <w:lvlText w:val=""/>
      <w:lvlJc w:val="left"/>
      <w:pPr>
        <w:ind w:left="2880" w:hanging="360"/>
      </w:pPr>
      <w:rPr>
        <w:rFonts w:ascii="Symbol" w:hAnsi="Symbol" w:cs="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cs="Wingdings" w:hint="default"/>
      </w:rPr>
    </w:lvl>
    <w:lvl w:ilvl="6" w:tplc="0C0A0001" w:tentative="1">
      <w:start w:val="1"/>
      <w:numFmt w:val="bullet"/>
      <w:lvlText w:val=""/>
      <w:lvlJc w:val="left"/>
      <w:pPr>
        <w:ind w:left="5040" w:hanging="360"/>
      </w:pPr>
      <w:rPr>
        <w:rFonts w:ascii="Symbol" w:hAnsi="Symbol" w:cs="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cs="Wingdings" w:hint="default"/>
      </w:rPr>
    </w:lvl>
  </w:abstractNum>
  <w:abstractNum w:abstractNumId="54">
    <w:nsid w:val="659268E9"/>
    <w:multiLevelType w:val="hybridMultilevel"/>
    <w:tmpl w:val="0A48AA00"/>
    <w:lvl w:ilvl="0" w:tplc="340A000F">
      <w:start w:val="1"/>
      <w:numFmt w:val="lowerLetter"/>
      <w:lvlText w:val="%1)"/>
      <w:lvlJc w:val="left"/>
      <w:pPr>
        <w:ind w:left="720" w:hanging="360"/>
      </w:p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55">
    <w:nsid w:val="67197ACC"/>
    <w:multiLevelType w:val="hybridMultilevel"/>
    <w:tmpl w:val="7340CE8E"/>
    <w:lvl w:ilvl="0" w:tplc="0C0A0001">
      <w:start w:val="1"/>
      <w:numFmt w:val="bullet"/>
      <w:lvlText w:val=""/>
      <w:lvlJc w:val="left"/>
      <w:pPr>
        <w:ind w:left="720" w:hanging="360"/>
      </w:pPr>
      <w:rPr>
        <w:rFonts w:ascii="Symbol" w:hAnsi="Symbol" w:cs="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56">
    <w:nsid w:val="67B273AC"/>
    <w:multiLevelType w:val="hybridMultilevel"/>
    <w:tmpl w:val="DF72D19C"/>
    <w:lvl w:ilvl="0" w:tplc="0C0A0001">
      <w:start w:val="1"/>
      <w:numFmt w:val="bullet"/>
      <w:lvlText w:val=""/>
      <w:lvlJc w:val="left"/>
      <w:pPr>
        <w:ind w:left="720" w:hanging="360"/>
      </w:pPr>
      <w:rPr>
        <w:rFonts w:ascii="Symbol" w:hAnsi="Symbol" w:cs="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57">
    <w:nsid w:val="68B06B68"/>
    <w:multiLevelType w:val="hybridMultilevel"/>
    <w:tmpl w:val="AAFABA20"/>
    <w:lvl w:ilvl="0" w:tplc="340A000F">
      <w:start w:val="1"/>
      <w:numFmt w:val="decimal"/>
      <w:lvlText w:val="%1."/>
      <w:lvlJc w:val="left"/>
      <w:pPr>
        <w:ind w:left="720" w:hanging="360"/>
      </w:p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58">
    <w:nsid w:val="6AB56EE1"/>
    <w:multiLevelType w:val="hybridMultilevel"/>
    <w:tmpl w:val="1AA0C844"/>
    <w:lvl w:ilvl="0" w:tplc="0C0A0001">
      <w:start w:val="1"/>
      <w:numFmt w:val="bullet"/>
      <w:lvlText w:val=""/>
      <w:lvlJc w:val="left"/>
      <w:pPr>
        <w:ind w:left="720" w:hanging="360"/>
      </w:pPr>
      <w:rPr>
        <w:rFonts w:ascii="Symbol" w:hAnsi="Symbol" w:cs="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59">
    <w:nsid w:val="6B6C6708"/>
    <w:multiLevelType w:val="hybridMultilevel"/>
    <w:tmpl w:val="BA362516"/>
    <w:lvl w:ilvl="0" w:tplc="340A000F">
      <w:start w:val="1"/>
      <w:numFmt w:val="lowerLetter"/>
      <w:lvlText w:val="%1)"/>
      <w:lvlJc w:val="left"/>
      <w:pPr>
        <w:ind w:left="720" w:hanging="360"/>
      </w:p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60">
    <w:nsid w:val="70AE2483"/>
    <w:multiLevelType w:val="hybridMultilevel"/>
    <w:tmpl w:val="E68872A4"/>
    <w:lvl w:ilvl="0" w:tplc="0C0A0001">
      <w:start w:val="1"/>
      <w:numFmt w:val="bullet"/>
      <w:lvlText w:val=""/>
      <w:lvlJc w:val="left"/>
      <w:pPr>
        <w:ind w:left="720" w:hanging="360"/>
      </w:pPr>
      <w:rPr>
        <w:rFonts w:ascii="Symbol" w:hAnsi="Symbol" w:cs="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61">
    <w:nsid w:val="724B71B4"/>
    <w:multiLevelType w:val="hybridMultilevel"/>
    <w:tmpl w:val="B17ECA2A"/>
    <w:lvl w:ilvl="0" w:tplc="0C0A0001">
      <w:start w:val="1"/>
      <w:numFmt w:val="bullet"/>
      <w:lvlText w:val=""/>
      <w:lvlJc w:val="left"/>
      <w:pPr>
        <w:ind w:left="720" w:hanging="360"/>
      </w:pPr>
      <w:rPr>
        <w:rFonts w:ascii="Symbol" w:hAnsi="Symbol" w:cs="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62">
    <w:nsid w:val="7B1F26E0"/>
    <w:multiLevelType w:val="hybridMultilevel"/>
    <w:tmpl w:val="53A44AB2"/>
    <w:lvl w:ilvl="0" w:tplc="0C0A0001">
      <w:start w:val="1"/>
      <w:numFmt w:val="bullet"/>
      <w:lvlText w:val=""/>
      <w:lvlJc w:val="left"/>
      <w:pPr>
        <w:ind w:left="720" w:hanging="360"/>
      </w:pPr>
      <w:rPr>
        <w:rFonts w:ascii="Symbol" w:hAnsi="Symbol" w:cs="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63">
    <w:nsid w:val="7E501085"/>
    <w:multiLevelType w:val="hybridMultilevel"/>
    <w:tmpl w:val="E5BE3DE0"/>
    <w:lvl w:ilvl="0" w:tplc="0C0A0005">
      <w:start w:val="1"/>
      <w:numFmt w:val="bullet"/>
      <w:lvlText w:val=""/>
      <w:lvlJc w:val="left"/>
      <w:pPr>
        <w:ind w:left="720" w:hanging="360"/>
      </w:pPr>
      <w:rPr>
        <w:rFonts w:ascii="Wingdings" w:hAnsi="Wingdings" w:cs="Wingdings"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64">
    <w:nsid w:val="7F2F0630"/>
    <w:multiLevelType w:val="hybridMultilevel"/>
    <w:tmpl w:val="3CB40DF8"/>
    <w:lvl w:ilvl="0" w:tplc="0C0A0001">
      <w:start w:val="1"/>
      <w:numFmt w:val="bullet"/>
      <w:lvlText w:val=""/>
      <w:lvlJc w:val="left"/>
      <w:pPr>
        <w:ind w:left="720" w:hanging="360"/>
      </w:pPr>
      <w:rPr>
        <w:rFonts w:ascii="Symbol" w:hAnsi="Symbol" w:cs="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num w:numId="1">
    <w:abstractNumId w:val="4"/>
  </w:num>
  <w:num w:numId="2">
    <w:abstractNumId w:val="17"/>
  </w:num>
  <w:num w:numId="3">
    <w:abstractNumId w:val="0"/>
  </w:num>
  <w:num w:numId="4">
    <w:abstractNumId w:val="40"/>
  </w:num>
  <w:num w:numId="5">
    <w:abstractNumId w:val="24"/>
  </w:num>
  <w:num w:numId="6">
    <w:abstractNumId w:val="57"/>
  </w:num>
  <w:num w:numId="7">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34"/>
  </w:num>
  <w:num w:numId="9">
    <w:abstractNumId w:val="38"/>
  </w:num>
  <w:num w:numId="10">
    <w:abstractNumId w:val="33"/>
  </w:num>
  <w:num w:numId="11">
    <w:abstractNumId w:val="7"/>
    <w:lvlOverride w:ilvl="0">
      <w:startOverride w:val="1"/>
    </w:lvlOverride>
  </w:num>
  <w:num w:numId="12">
    <w:abstractNumId w:val="7"/>
    <w:lvlOverride w:ilvl="0">
      <w:startOverride w:val="1"/>
    </w:lvlOverride>
  </w:num>
  <w:num w:numId="13">
    <w:abstractNumId w:val="7"/>
    <w:lvlOverride w:ilvl="0">
      <w:startOverride w:val="1"/>
    </w:lvlOverride>
  </w:num>
  <w:num w:numId="14">
    <w:abstractNumId w:val="7"/>
    <w:lvlOverride w:ilvl="0">
      <w:startOverride w:val="1"/>
    </w:lvlOverride>
  </w:num>
  <w:num w:numId="15">
    <w:abstractNumId w:val="7"/>
    <w:lvlOverride w:ilvl="0">
      <w:startOverride w:val="1"/>
    </w:lvlOverride>
  </w:num>
  <w:num w:numId="16">
    <w:abstractNumId w:val="7"/>
    <w:lvlOverride w:ilvl="0">
      <w:startOverride w:val="1"/>
    </w:lvlOverride>
  </w:num>
  <w:num w:numId="17">
    <w:abstractNumId w:val="7"/>
    <w:lvlOverride w:ilvl="0">
      <w:startOverride w:val="1"/>
    </w:lvlOverride>
  </w:num>
  <w:num w:numId="18">
    <w:abstractNumId w:val="7"/>
    <w:lvlOverride w:ilvl="0">
      <w:startOverride w:val="1"/>
    </w:lvlOverride>
  </w:num>
  <w:num w:numId="19">
    <w:abstractNumId w:val="7"/>
    <w:lvlOverride w:ilvl="0">
      <w:startOverride w:val="1"/>
    </w:lvlOverride>
  </w:num>
  <w:num w:numId="20">
    <w:abstractNumId w:val="7"/>
    <w:lvlOverride w:ilvl="0">
      <w:startOverride w:val="1"/>
    </w:lvlOverride>
  </w:num>
  <w:num w:numId="21">
    <w:abstractNumId w:val="7"/>
    <w:lvlOverride w:ilvl="0">
      <w:startOverride w:val="1"/>
    </w:lvlOverride>
  </w:num>
  <w:num w:numId="22">
    <w:abstractNumId w:val="3"/>
  </w:num>
  <w:num w:numId="23">
    <w:abstractNumId w:val="45"/>
  </w:num>
  <w:num w:numId="24">
    <w:abstractNumId w:val="20"/>
  </w:num>
  <w:num w:numId="25">
    <w:abstractNumId w:val="1"/>
  </w:num>
  <w:num w:numId="26">
    <w:abstractNumId w:val="59"/>
    <w:lvlOverride w:ilvl="0">
      <w:startOverride w:val="1"/>
    </w:lvlOverride>
  </w:num>
  <w:num w:numId="27">
    <w:abstractNumId w:val="48"/>
  </w:num>
  <w:num w:numId="28">
    <w:abstractNumId w:val="59"/>
    <w:lvlOverride w:ilvl="0">
      <w:startOverride w:val="1"/>
    </w:lvlOverride>
  </w:num>
  <w:num w:numId="29">
    <w:abstractNumId w:val="59"/>
    <w:lvlOverride w:ilvl="0">
      <w:startOverride w:val="1"/>
    </w:lvlOverride>
  </w:num>
  <w:num w:numId="30">
    <w:abstractNumId w:val="59"/>
    <w:lvlOverride w:ilvl="0">
      <w:startOverride w:val="1"/>
    </w:lvlOverride>
  </w:num>
  <w:num w:numId="31">
    <w:abstractNumId w:val="59"/>
    <w:lvlOverride w:ilvl="0">
      <w:startOverride w:val="1"/>
    </w:lvlOverride>
  </w:num>
  <w:num w:numId="32">
    <w:abstractNumId w:val="59"/>
    <w:lvlOverride w:ilvl="0">
      <w:startOverride w:val="1"/>
    </w:lvlOverride>
  </w:num>
  <w:num w:numId="33">
    <w:abstractNumId w:val="59"/>
    <w:lvlOverride w:ilvl="0">
      <w:startOverride w:val="1"/>
    </w:lvlOverride>
  </w:num>
  <w:num w:numId="34">
    <w:abstractNumId w:val="21"/>
  </w:num>
  <w:num w:numId="35">
    <w:abstractNumId w:val="25"/>
  </w:num>
  <w:num w:numId="36">
    <w:abstractNumId w:val="25"/>
    <w:lvlOverride w:ilvl="0">
      <w:startOverride w:val="1"/>
    </w:lvlOverride>
  </w:num>
  <w:num w:numId="37">
    <w:abstractNumId w:val="25"/>
    <w:lvlOverride w:ilvl="0">
      <w:startOverride w:val="1"/>
    </w:lvlOverride>
  </w:num>
  <w:num w:numId="38">
    <w:abstractNumId w:val="41"/>
  </w:num>
  <w:num w:numId="39">
    <w:abstractNumId w:val="36"/>
  </w:num>
  <w:num w:numId="40">
    <w:abstractNumId w:val="32"/>
  </w:num>
  <w:num w:numId="41">
    <w:abstractNumId w:val="60"/>
  </w:num>
  <w:num w:numId="42">
    <w:abstractNumId w:val="35"/>
  </w:num>
  <w:num w:numId="43">
    <w:abstractNumId w:val="10"/>
  </w:num>
  <w:num w:numId="44">
    <w:abstractNumId w:val="5"/>
  </w:num>
  <w:num w:numId="45">
    <w:abstractNumId w:val="64"/>
  </w:num>
  <w:num w:numId="46">
    <w:abstractNumId w:val="37"/>
  </w:num>
  <w:num w:numId="47">
    <w:abstractNumId w:val="6"/>
  </w:num>
  <w:num w:numId="48">
    <w:abstractNumId w:val="30"/>
  </w:num>
  <w:num w:numId="49">
    <w:abstractNumId w:val="9"/>
  </w:num>
  <w:num w:numId="50">
    <w:abstractNumId w:val="43"/>
  </w:num>
  <w:num w:numId="51">
    <w:abstractNumId w:val="14"/>
  </w:num>
  <w:num w:numId="52">
    <w:abstractNumId w:val="15"/>
  </w:num>
  <w:num w:numId="53">
    <w:abstractNumId w:val="11"/>
  </w:num>
  <w:num w:numId="54">
    <w:abstractNumId w:val="39"/>
  </w:num>
  <w:num w:numId="55">
    <w:abstractNumId w:val="46"/>
  </w:num>
  <w:num w:numId="56">
    <w:abstractNumId w:val="42"/>
  </w:num>
  <w:num w:numId="57">
    <w:abstractNumId w:val="13"/>
  </w:num>
  <w:num w:numId="58">
    <w:abstractNumId w:val="22"/>
  </w:num>
  <w:num w:numId="59">
    <w:abstractNumId w:val="12"/>
  </w:num>
  <w:num w:numId="60">
    <w:abstractNumId w:val="18"/>
  </w:num>
  <w:num w:numId="61">
    <w:abstractNumId w:val="16"/>
  </w:num>
  <w:num w:numId="62">
    <w:abstractNumId w:val="56"/>
  </w:num>
  <w:num w:numId="63">
    <w:abstractNumId w:val="58"/>
  </w:num>
  <w:num w:numId="64">
    <w:abstractNumId w:val="51"/>
  </w:num>
  <w:num w:numId="65">
    <w:abstractNumId w:val="55"/>
  </w:num>
  <w:num w:numId="66">
    <w:abstractNumId w:val="19"/>
  </w:num>
  <w:num w:numId="67">
    <w:abstractNumId w:val="49"/>
  </w:num>
  <w:num w:numId="68">
    <w:abstractNumId w:val="29"/>
  </w:num>
  <w:num w:numId="69">
    <w:abstractNumId w:val="31"/>
  </w:num>
  <w:num w:numId="70">
    <w:abstractNumId w:val="61"/>
  </w:num>
  <w:num w:numId="71">
    <w:abstractNumId w:val="63"/>
  </w:num>
  <w:num w:numId="72">
    <w:abstractNumId w:val="8"/>
  </w:num>
  <w:num w:numId="73">
    <w:abstractNumId w:val="62"/>
  </w:num>
  <w:num w:numId="74">
    <w:abstractNumId w:val="54"/>
  </w:num>
  <w:num w:numId="75">
    <w:abstractNumId w:val="28"/>
  </w:num>
  <w:num w:numId="76">
    <w:abstractNumId w:val="53"/>
  </w:num>
  <w:num w:numId="77">
    <w:abstractNumId w:val="47"/>
  </w:num>
  <w:num w:numId="78">
    <w:abstractNumId w:val="2"/>
  </w:num>
  <w:num w:numId="79">
    <w:abstractNumId w:val="50"/>
  </w:num>
  <w:num w:numId="80">
    <w:abstractNumId w:val="27"/>
  </w:num>
  <w:num w:numId="81">
    <w:abstractNumId w:val="23"/>
  </w:num>
  <w:num w:numId="82">
    <w:abstractNumId w:val="44"/>
  </w:num>
  <w:num w:numId="83">
    <w:abstractNumId w:val="52"/>
  </w:num>
  <w:numIdMacAtCleanup w:val="7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fullPage" w:percent="78"/>
  <w:hideSpellingErrors/>
  <w:hideGrammaticalErrors/>
  <w:activeWritingStyle w:appName="MSWord" w:lang="es-CL" w:vendorID="64" w:dllVersion="4096" w:nlCheck="1" w:checkStyle="0"/>
  <w:activeWritingStyle w:appName="MSWord" w:lang="es-ES" w:vendorID="64" w:dllVersion="4096" w:nlCheck="1" w:checkStyle="0"/>
  <w:activeWritingStyle w:appName="MSWord" w:lang="es-ES_tradnl" w:vendorID="64" w:dllVersion="4096" w:nlCheck="1" w:checkStyle="0"/>
  <w:activeWritingStyle w:appName="MSWord" w:lang="en-US" w:vendorID="64" w:dllVersion="4096" w:nlCheck="1" w:checkStyle="0"/>
  <w:activeWritingStyle w:appName="MSWord" w:lang="es-ES_tradnl" w:vendorID="64" w:dllVersion="6" w:nlCheck="1" w:checkStyle="0"/>
  <w:activeWritingStyle w:appName="MSWord" w:lang="es-CL" w:vendorID="64" w:dllVersion="6" w:nlCheck="1" w:checkStyle="0"/>
  <w:activeWritingStyle w:appName="MSWord" w:lang="es-AR" w:vendorID="64" w:dllVersion="6" w:nlCheck="1" w:checkStyle="0"/>
  <w:activeWritingStyle w:appName="MSWord" w:lang="es-ES" w:vendorID="64" w:dllVersion="6" w:nlCheck="1" w:checkStyle="0"/>
  <w:activeWritingStyle w:appName="MSWord" w:lang="en-US" w:vendorID="64" w:dllVersion="6" w:nlCheck="1" w:checkStyle="1"/>
  <w:activeWritingStyle w:appName="MSWord" w:lang="es-CL" w:vendorID="64" w:dllVersion="0" w:nlCheck="1" w:checkStyle="0"/>
  <w:activeWritingStyle w:appName="MSWord" w:lang="es-ES_tradnl" w:vendorID="64" w:dllVersion="0" w:nlCheck="1" w:checkStyle="0"/>
  <w:activeWritingStyle w:appName="MSWord" w:lang="es-AR" w:vendorID="64" w:dllVersion="0" w:nlCheck="1" w:checkStyle="0"/>
  <w:activeWritingStyle w:appName="MSWord" w:lang="es-ES" w:vendorID="64" w:dllVersion="0" w:nlCheck="1" w:checkStyle="0"/>
  <w:activeWritingStyle w:appName="MSWord" w:lang="en-US" w:vendorID="64" w:dllVersion="0" w:nlCheck="1" w:checkStyle="0"/>
  <w:activeWritingStyle w:appName="MSWord" w:lang="pt-BR" w:vendorID="64" w:dllVersion="4096" w:nlCheck="1" w:checkStyle="0"/>
  <w:activeWritingStyle w:appName="MSWord" w:lang="pt-BR" w:vendorID="64" w:dllVersion="0" w:nlCheck="1" w:checkStyle="0"/>
  <w:activeWritingStyle w:appName="MSWord" w:lang="es-AR" w:vendorID="64" w:dllVersion="4096" w:nlCheck="1" w:checkStyle="0"/>
  <w:activeWritingStyle w:appName="MSWord" w:lang="es-MX" w:vendorID="64" w:dllVersion="4096" w:nlCheck="1" w:checkStyle="0"/>
  <w:activeWritingStyle w:appName="MSWord" w:lang="es-MX" w:vendorID="64" w:dllVersion="6" w:nlCheck="1" w:checkStyle="1"/>
  <w:activeWritingStyle w:appName="MSWord" w:lang="es-UY" w:vendorID="64" w:dllVersion="0" w:nlCheck="1" w:checkStyle="0"/>
  <w:activeWritingStyle w:appName="MSWord" w:lang="es-UY" w:vendorID="64" w:dllVersion="6" w:nlCheck="1" w:checkStyle="0"/>
  <w:activeWritingStyle w:appName="MSWord" w:lang="es-UY" w:vendorID="64" w:dllVersion="4096" w:nlCheck="1" w:checkStyle="0"/>
  <w:activeWritingStyle w:appName="MSWord" w:lang="es-CL" w:vendorID="64" w:dllVersion="131078" w:nlCheck="1" w:checkStyle="1"/>
  <w:activeWritingStyle w:appName="MSWord" w:lang="es-ES" w:vendorID="64" w:dllVersion="131078" w:nlCheck="1" w:checkStyle="1"/>
  <w:activeWritingStyle w:appName="MSWord" w:lang="es-ES_tradnl" w:vendorID="64" w:dllVersion="131078" w:nlCheck="1" w:checkStyle="1"/>
  <w:activeWritingStyle w:appName="MSWord" w:lang="es-AR" w:vendorID="64" w:dllVersion="131078" w:nlCheck="1" w:checkStyle="1"/>
  <w:activeWritingStyle w:appName="MSWord" w:lang="en-US" w:vendorID="64" w:dllVersion="131078" w:nlCheck="1" w:checkStyle="1"/>
  <w:proofState w:grammar="clean"/>
  <w:stylePaneFormatFilter w:val="1001" w:allStyles="1" w:customStyles="0" w:latentStyles="0" w:stylesInUse="0" w:headingStyles="0" w:numberingStyles="0" w:tableStyles="0" w:directFormattingOnRuns="0" w:directFormattingOnParagraphs="0" w:directFormattingOnNumbering="0" w:directFormattingOnTables="0" w:clearFormatting="1" w:top3HeadingStyles="0" w:visibleStyles="0" w:alternateStyleNames="0"/>
  <w:defaultTabStop w:val="709"/>
  <w:hyphenationZone w:val="425"/>
  <w:characterSpacingControl w:val="doNotCompress"/>
  <w:hdrShapeDefaults>
    <o:shapedefaults v:ext="edit" spidmax="2049"/>
  </w:hdrShapeDefaults>
  <w:footnotePr>
    <w:footnote w:id="-1"/>
    <w:footnote w:id="0"/>
    <w:footnote w:id="1"/>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E3577"/>
    <w:rsid w:val="00000D7E"/>
    <w:rsid w:val="00002B95"/>
    <w:rsid w:val="00003B1B"/>
    <w:rsid w:val="00003F6D"/>
    <w:rsid w:val="000050ED"/>
    <w:rsid w:val="00006183"/>
    <w:rsid w:val="00007E56"/>
    <w:rsid w:val="00010A03"/>
    <w:rsid w:val="00014B3E"/>
    <w:rsid w:val="00015464"/>
    <w:rsid w:val="00017794"/>
    <w:rsid w:val="00020142"/>
    <w:rsid w:val="000214CD"/>
    <w:rsid w:val="00021CEF"/>
    <w:rsid w:val="00022381"/>
    <w:rsid w:val="00022A44"/>
    <w:rsid w:val="00024FA9"/>
    <w:rsid w:val="00025233"/>
    <w:rsid w:val="00027E17"/>
    <w:rsid w:val="00027F60"/>
    <w:rsid w:val="00030520"/>
    <w:rsid w:val="000312CE"/>
    <w:rsid w:val="00033904"/>
    <w:rsid w:val="00033B4C"/>
    <w:rsid w:val="00041186"/>
    <w:rsid w:val="00042367"/>
    <w:rsid w:val="00043842"/>
    <w:rsid w:val="00047802"/>
    <w:rsid w:val="000519D3"/>
    <w:rsid w:val="00053B4B"/>
    <w:rsid w:val="00053EB2"/>
    <w:rsid w:val="0005773E"/>
    <w:rsid w:val="00057E36"/>
    <w:rsid w:val="0006067B"/>
    <w:rsid w:val="00064680"/>
    <w:rsid w:val="00066916"/>
    <w:rsid w:val="00070907"/>
    <w:rsid w:val="000714A5"/>
    <w:rsid w:val="00071AA5"/>
    <w:rsid w:val="00073508"/>
    <w:rsid w:val="00073DF0"/>
    <w:rsid w:val="00074BF3"/>
    <w:rsid w:val="000759A7"/>
    <w:rsid w:val="00076AAA"/>
    <w:rsid w:val="000807DA"/>
    <w:rsid w:val="00081F41"/>
    <w:rsid w:val="0008253B"/>
    <w:rsid w:val="00084018"/>
    <w:rsid w:val="00084642"/>
    <w:rsid w:val="00085A19"/>
    <w:rsid w:val="00085A7D"/>
    <w:rsid w:val="00085E94"/>
    <w:rsid w:val="00086048"/>
    <w:rsid w:val="00087E20"/>
    <w:rsid w:val="0009238C"/>
    <w:rsid w:val="00093F81"/>
    <w:rsid w:val="000951EC"/>
    <w:rsid w:val="000975D2"/>
    <w:rsid w:val="000A0337"/>
    <w:rsid w:val="000A0ACA"/>
    <w:rsid w:val="000A0E6A"/>
    <w:rsid w:val="000A4CEF"/>
    <w:rsid w:val="000A50F0"/>
    <w:rsid w:val="000A5D88"/>
    <w:rsid w:val="000A7091"/>
    <w:rsid w:val="000A73E6"/>
    <w:rsid w:val="000B0F02"/>
    <w:rsid w:val="000B1AE2"/>
    <w:rsid w:val="000B3B8D"/>
    <w:rsid w:val="000C1C96"/>
    <w:rsid w:val="000C761E"/>
    <w:rsid w:val="000D04B7"/>
    <w:rsid w:val="000D3EEE"/>
    <w:rsid w:val="000D43CC"/>
    <w:rsid w:val="000E2BDA"/>
    <w:rsid w:val="000E2E85"/>
    <w:rsid w:val="000E4038"/>
    <w:rsid w:val="000E4E9A"/>
    <w:rsid w:val="000F1119"/>
    <w:rsid w:val="000F2820"/>
    <w:rsid w:val="00101270"/>
    <w:rsid w:val="001020BE"/>
    <w:rsid w:val="00103C5D"/>
    <w:rsid w:val="00106018"/>
    <w:rsid w:val="00106534"/>
    <w:rsid w:val="00106B2F"/>
    <w:rsid w:val="00106BC9"/>
    <w:rsid w:val="00106CD7"/>
    <w:rsid w:val="0010766D"/>
    <w:rsid w:val="00110699"/>
    <w:rsid w:val="00110F1B"/>
    <w:rsid w:val="00111D8C"/>
    <w:rsid w:val="00112031"/>
    <w:rsid w:val="00114C81"/>
    <w:rsid w:val="00115E74"/>
    <w:rsid w:val="00116AD9"/>
    <w:rsid w:val="00120CC9"/>
    <w:rsid w:val="00123F76"/>
    <w:rsid w:val="001251C8"/>
    <w:rsid w:val="001255F5"/>
    <w:rsid w:val="00130B22"/>
    <w:rsid w:val="00130E0C"/>
    <w:rsid w:val="001339DD"/>
    <w:rsid w:val="001376C6"/>
    <w:rsid w:val="001406A7"/>
    <w:rsid w:val="00141B4E"/>
    <w:rsid w:val="00145881"/>
    <w:rsid w:val="00147034"/>
    <w:rsid w:val="0014723F"/>
    <w:rsid w:val="00163736"/>
    <w:rsid w:val="00170165"/>
    <w:rsid w:val="001718AD"/>
    <w:rsid w:val="00172832"/>
    <w:rsid w:val="00173470"/>
    <w:rsid w:val="00175E8F"/>
    <w:rsid w:val="00176533"/>
    <w:rsid w:val="00176585"/>
    <w:rsid w:val="00177B54"/>
    <w:rsid w:val="001838B6"/>
    <w:rsid w:val="001857A6"/>
    <w:rsid w:val="00186319"/>
    <w:rsid w:val="00186B13"/>
    <w:rsid w:val="00186FDE"/>
    <w:rsid w:val="001907FF"/>
    <w:rsid w:val="0019135B"/>
    <w:rsid w:val="00191EBB"/>
    <w:rsid w:val="0019370D"/>
    <w:rsid w:val="00195524"/>
    <w:rsid w:val="001975D1"/>
    <w:rsid w:val="00197B00"/>
    <w:rsid w:val="001A11CB"/>
    <w:rsid w:val="001A42EA"/>
    <w:rsid w:val="001A4783"/>
    <w:rsid w:val="001A4F4D"/>
    <w:rsid w:val="001A677F"/>
    <w:rsid w:val="001A6E11"/>
    <w:rsid w:val="001B35D2"/>
    <w:rsid w:val="001B4185"/>
    <w:rsid w:val="001B7076"/>
    <w:rsid w:val="001B789C"/>
    <w:rsid w:val="001B7958"/>
    <w:rsid w:val="001B7BC5"/>
    <w:rsid w:val="001C02A9"/>
    <w:rsid w:val="001C37A4"/>
    <w:rsid w:val="001C50A8"/>
    <w:rsid w:val="001C5645"/>
    <w:rsid w:val="001C5E58"/>
    <w:rsid w:val="001D2046"/>
    <w:rsid w:val="001D23DB"/>
    <w:rsid w:val="001D3BB9"/>
    <w:rsid w:val="001D3F7C"/>
    <w:rsid w:val="001E13FF"/>
    <w:rsid w:val="001E657B"/>
    <w:rsid w:val="001E6DDE"/>
    <w:rsid w:val="001E76D6"/>
    <w:rsid w:val="001F1928"/>
    <w:rsid w:val="001F2BE8"/>
    <w:rsid w:val="001F3A60"/>
    <w:rsid w:val="001F3AB3"/>
    <w:rsid w:val="001F3E2E"/>
    <w:rsid w:val="0020168B"/>
    <w:rsid w:val="00202F9A"/>
    <w:rsid w:val="00203219"/>
    <w:rsid w:val="00204436"/>
    <w:rsid w:val="0020645F"/>
    <w:rsid w:val="002076E2"/>
    <w:rsid w:val="0020781A"/>
    <w:rsid w:val="00211DB8"/>
    <w:rsid w:val="00216EF8"/>
    <w:rsid w:val="002176F0"/>
    <w:rsid w:val="00220906"/>
    <w:rsid w:val="002234E7"/>
    <w:rsid w:val="00223637"/>
    <w:rsid w:val="002237F2"/>
    <w:rsid w:val="002238EE"/>
    <w:rsid w:val="00227FA0"/>
    <w:rsid w:val="00230F1D"/>
    <w:rsid w:val="002327DF"/>
    <w:rsid w:val="0023494E"/>
    <w:rsid w:val="002428D2"/>
    <w:rsid w:val="002431EA"/>
    <w:rsid w:val="002464CB"/>
    <w:rsid w:val="00254DBB"/>
    <w:rsid w:val="002568FF"/>
    <w:rsid w:val="0026027D"/>
    <w:rsid w:val="0026164C"/>
    <w:rsid w:val="002630FE"/>
    <w:rsid w:val="00263F88"/>
    <w:rsid w:val="00264870"/>
    <w:rsid w:val="002656FA"/>
    <w:rsid w:val="0026643B"/>
    <w:rsid w:val="00266954"/>
    <w:rsid w:val="0026714C"/>
    <w:rsid w:val="00267AB1"/>
    <w:rsid w:val="00267B3C"/>
    <w:rsid w:val="002709D0"/>
    <w:rsid w:val="00270F72"/>
    <w:rsid w:val="002712C6"/>
    <w:rsid w:val="00272A46"/>
    <w:rsid w:val="00273FE4"/>
    <w:rsid w:val="002753B1"/>
    <w:rsid w:val="002767C9"/>
    <w:rsid w:val="002812BD"/>
    <w:rsid w:val="0028250C"/>
    <w:rsid w:val="002838DD"/>
    <w:rsid w:val="002854A7"/>
    <w:rsid w:val="00287C8A"/>
    <w:rsid w:val="00295F26"/>
    <w:rsid w:val="002A125F"/>
    <w:rsid w:val="002A1735"/>
    <w:rsid w:val="002A274B"/>
    <w:rsid w:val="002A3409"/>
    <w:rsid w:val="002A34CE"/>
    <w:rsid w:val="002A67EE"/>
    <w:rsid w:val="002B3F62"/>
    <w:rsid w:val="002B4D06"/>
    <w:rsid w:val="002B591D"/>
    <w:rsid w:val="002B60EC"/>
    <w:rsid w:val="002C2818"/>
    <w:rsid w:val="002C47DB"/>
    <w:rsid w:val="002C5E44"/>
    <w:rsid w:val="002D03BC"/>
    <w:rsid w:val="002D2764"/>
    <w:rsid w:val="002D27DF"/>
    <w:rsid w:val="002D394B"/>
    <w:rsid w:val="002D3AB2"/>
    <w:rsid w:val="002D4568"/>
    <w:rsid w:val="002D45E6"/>
    <w:rsid w:val="002D4B20"/>
    <w:rsid w:val="002E04B6"/>
    <w:rsid w:val="002E0EDF"/>
    <w:rsid w:val="002E20CA"/>
    <w:rsid w:val="002E27DD"/>
    <w:rsid w:val="002E6C45"/>
    <w:rsid w:val="002E6FD1"/>
    <w:rsid w:val="002F0906"/>
    <w:rsid w:val="002F2C75"/>
    <w:rsid w:val="002F3394"/>
    <w:rsid w:val="002F4978"/>
    <w:rsid w:val="002F519B"/>
    <w:rsid w:val="002F5681"/>
    <w:rsid w:val="002F599A"/>
    <w:rsid w:val="002F6C89"/>
    <w:rsid w:val="002F6E04"/>
    <w:rsid w:val="00300980"/>
    <w:rsid w:val="0030131F"/>
    <w:rsid w:val="00310E95"/>
    <w:rsid w:val="00311B58"/>
    <w:rsid w:val="003129F9"/>
    <w:rsid w:val="00314088"/>
    <w:rsid w:val="00314F26"/>
    <w:rsid w:val="003155CB"/>
    <w:rsid w:val="00320944"/>
    <w:rsid w:val="00326F4D"/>
    <w:rsid w:val="00330850"/>
    <w:rsid w:val="00331F01"/>
    <w:rsid w:val="00333227"/>
    <w:rsid w:val="003350E4"/>
    <w:rsid w:val="00335606"/>
    <w:rsid w:val="00335954"/>
    <w:rsid w:val="003363C6"/>
    <w:rsid w:val="003400E0"/>
    <w:rsid w:val="003416F1"/>
    <w:rsid w:val="00342C7B"/>
    <w:rsid w:val="00343ACD"/>
    <w:rsid w:val="00344EA5"/>
    <w:rsid w:val="003453D4"/>
    <w:rsid w:val="00346384"/>
    <w:rsid w:val="003501B7"/>
    <w:rsid w:val="00353FD2"/>
    <w:rsid w:val="00354000"/>
    <w:rsid w:val="0035440A"/>
    <w:rsid w:val="00354C2E"/>
    <w:rsid w:val="00360993"/>
    <w:rsid w:val="00362A85"/>
    <w:rsid w:val="00365A19"/>
    <w:rsid w:val="003710C2"/>
    <w:rsid w:val="00371984"/>
    <w:rsid w:val="0037282D"/>
    <w:rsid w:val="00373F06"/>
    <w:rsid w:val="003763EB"/>
    <w:rsid w:val="00376725"/>
    <w:rsid w:val="003770D6"/>
    <w:rsid w:val="00377223"/>
    <w:rsid w:val="00380309"/>
    <w:rsid w:val="00380FD1"/>
    <w:rsid w:val="00381349"/>
    <w:rsid w:val="00381863"/>
    <w:rsid w:val="00386D8D"/>
    <w:rsid w:val="00386F9C"/>
    <w:rsid w:val="00392BCA"/>
    <w:rsid w:val="00392F25"/>
    <w:rsid w:val="00393DDD"/>
    <w:rsid w:val="00397C1F"/>
    <w:rsid w:val="003A0B8A"/>
    <w:rsid w:val="003A1DC2"/>
    <w:rsid w:val="003A3E91"/>
    <w:rsid w:val="003A5B99"/>
    <w:rsid w:val="003B00B2"/>
    <w:rsid w:val="003B0386"/>
    <w:rsid w:val="003B05AA"/>
    <w:rsid w:val="003B2780"/>
    <w:rsid w:val="003B32D4"/>
    <w:rsid w:val="003B4585"/>
    <w:rsid w:val="003B5116"/>
    <w:rsid w:val="003B5F3D"/>
    <w:rsid w:val="003B6602"/>
    <w:rsid w:val="003C0294"/>
    <w:rsid w:val="003C52BB"/>
    <w:rsid w:val="003C5C69"/>
    <w:rsid w:val="003C5C76"/>
    <w:rsid w:val="003C6F7B"/>
    <w:rsid w:val="003C7297"/>
    <w:rsid w:val="003C7CDD"/>
    <w:rsid w:val="003D027C"/>
    <w:rsid w:val="003D2A82"/>
    <w:rsid w:val="003D3710"/>
    <w:rsid w:val="003D37C6"/>
    <w:rsid w:val="003D398A"/>
    <w:rsid w:val="003D4507"/>
    <w:rsid w:val="003D4D76"/>
    <w:rsid w:val="003D5E6E"/>
    <w:rsid w:val="003D6F40"/>
    <w:rsid w:val="003E08AB"/>
    <w:rsid w:val="003E19A2"/>
    <w:rsid w:val="003E1E35"/>
    <w:rsid w:val="003E6B3A"/>
    <w:rsid w:val="003E7CBF"/>
    <w:rsid w:val="003F0270"/>
    <w:rsid w:val="003F2259"/>
    <w:rsid w:val="003F56C2"/>
    <w:rsid w:val="003F5C0B"/>
    <w:rsid w:val="003F7C49"/>
    <w:rsid w:val="003F7E9E"/>
    <w:rsid w:val="00401997"/>
    <w:rsid w:val="00404361"/>
    <w:rsid w:val="004057BD"/>
    <w:rsid w:val="004102B7"/>
    <w:rsid w:val="00411CA6"/>
    <w:rsid w:val="00412963"/>
    <w:rsid w:val="00412E6E"/>
    <w:rsid w:val="00413F51"/>
    <w:rsid w:val="00414276"/>
    <w:rsid w:val="004144C3"/>
    <w:rsid w:val="0041523E"/>
    <w:rsid w:val="00415AE0"/>
    <w:rsid w:val="0041630C"/>
    <w:rsid w:val="0041753A"/>
    <w:rsid w:val="00417E7B"/>
    <w:rsid w:val="00425350"/>
    <w:rsid w:val="004268A9"/>
    <w:rsid w:val="00430038"/>
    <w:rsid w:val="00431484"/>
    <w:rsid w:val="00432E2E"/>
    <w:rsid w:val="00435B73"/>
    <w:rsid w:val="0043602A"/>
    <w:rsid w:val="00436DD1"/>
    <w:rsid w:val="00441B7D"/>
    <w:rsid w:val="004445C3"/>
    <w:rsid w:val="0045136B"/>
    <w:rsid w:val="00452849"/>
    <w:rsid w:val="00453859"/>
    <w:rsid w:val="00454199"/>
    <w:rsid w:val="004571A5"/>
    <w:rsid w:val="00461027"/>
    <w:rsid w:val="00461905"/>
    <w:rsid w:val="00463600"/>
    <w:rsid w:val="004637BA"/>
    <w:rsid w:val="00464A14"/>
    <w:rsid w:val="004670D5"/>
    <w:rsid w:val="004716C6"/>
    <w:rsid w:val="00472D56"/>
    <w:rsid w:val="004730B7"/>
    <w:rsid w:val="00473E57"/>
    <w:rsid w:val="0047530B"/>
    <w:rsid w:val="004777E5"/>
    <w:rsid w:val="00481AED"/>
    <w:rsid w:val="00484B50"/>
    <w:rsid w:val="004864FF"/>
    <w:rsid w:val="00497E94"/>
    <w:rsid w:val="004A50B1"/>
    <w:rsid w:val="004B26A6"/>
    <w:rsid w:val="004B3AB3"/>
    <w:rsid w:val="004B515B"/>
    <w:rsid w:val="004B788B"/>
    <w:rsid w:val="004C0AC0"/>
    <w:rsid w:val="004C0F90"/>
    <w:rsid w:val="004C15D6"/>
    <w:rsid w:val="004C2EFB"/>
    <w:rsid w:val="004C3EB9"/>
    <w:rsid w:val="004C4981"/>
    <w:rsid w:val="004C69DD"/>
    <w:rsid w:val="004C7036"/>
    <w:rsid w:val="004D1FC5"/>
    <w:rsid w:val="004D2EAC"/>
    <w:rsid w:val="004D30C8"/>
    <w:rsid w:val="004D4185"/>
    <w:rsid w:val="004D5418"/>
    <w:rsid w:val="004D65AB"/>
    <w:rsid w:val="004D7544"/>
    <w:rsid w:val="004E08A5"/>
    <w:rsid w:val="004E19BB"/>
    <w:rsid w:val="004E3D11"/>
    <w:rsid w:val="004E7B2B"/>
    <w:rsid w:val="004F0674"/>
    <w:rsid w:val="004F1623"/>
    <w:rsid w:val="004F1A7F"/>
    <w:rsid w:val="004F3150"/>
    <w:rsid w:val="004F35CB"/>
    <w:rsid w:val="00500297"/>
    <w:rsid w:val="005004D1"/>
    <w:rsid w:val="00501414"/>
    <w:rsid w:val="005017DC"/>
    <w:rsid w:val="005019B1"/>
    <w:rsid w:val="00504AF6"/>
    <w:rsid w:val="00505D3C"/>
    <w:rsid w:val="00507569"/>
    <w:rsid w:val="00510E91"/>
    <w:rsid w:val="00511500"/>
    <w:rsid w:val="00513282"/>
    <w:rsid w:val="00513A3B"/>
    <w:rsid w:val="00513E8A"/>
    <w:rsid w:val="00514033"/>
    <w:rsid w:val="00514896"/>
    <w:rsid w:val="00516C26"/>
    <w:rsid w:val="005176BF"/>
    <w:rsid w:val="00517922"/>
    <w:rsid w:val="005255B6"/>
    <w:rsid w:val="00527A4C"/>
    <w:rsid w:val="00530585"/>
    <w:rsid w:val="0053093A"/>
    <w:rsid w:val="00530E57"/>
    <w:rsid w:val="00531260"/>
    <w:rsid w:val="005318C6"/>
    <w:rsid w:val="00532572"/>
    <w:rsid w:val="00532593"/>
    <w:rsid w:val="00532B44"/>
    <w:rsid w:val="0053312F"/>
    <w:rsid w:val="00535DF5"/>
    <w:rsid w:val="00535FE1"/>
    <w:rsid w:val="005376BC"/>
    <w:rsid w:val="00537CA4"/>
    <w:rsid w:val="00540E9B"/>
    <w:rsid w:val="0054243B"/>
    <w:rsid w:val="005427F5"/>
    <w:rsid w:val="00542BFA"/>
    <w:rsid w:val="00543900"/>
    <w:rsid w:val="00543D5C"/>
    <w:rsid w:val="005443D2"/>
    <w:rsid w:val="00546CF9"/>
    <w:rsid w:val="0055266F"/>
    <w:rsid w:val="00553F5D"/>
    <w:rsid w:val="00554DD4"/>
    <w:rsid w:val="0056039F"/>
    <w:rsid w:val="00561D57"/>
    <w:rsid w:val="00562858"/>
    <w:rsid w:val="00563615"/>
    <w:rsid w:val="00566882"/>
    <w:rsid w:val="00566D6A"/>
    <w:rsid w:val="00567A98"/>
    <w:rsid w:val="005711DB"/>
    <w:rsid w:val="005725A0"/>
    <w:rsid w:val="00572CD7"/>
    <w:rsid w:val="00573223"/>
    <w:rsid w:val="00573A1E"/>
    <w:rsid w:val="00575034"/>
    <w:rsid w:val="00575B62"/>
    <w:rsid w:val="00576446"/>
    <w:rsid w:val="005775FC"/>
    <w:rsid w:val="0058096E"/>
    <w:rsid w:val="00580B4B"/>
    <w:rsid w:val="00580CE8"/>
    <w:rsid w:val="00581908"/>
    <w:rsid w:val="00581A78"/>
    <w:rsid w:val="0058209B"/>
    <w:rsid w:val="0058219B"/>
    <w:rsid w:val="005821AA"/>
    <w:rsid w:val="005845CC"/>
    <w:rsid w:val="0059006B"/>
    <w:rsid w:val="0059056D"/>
    <w:rsid w:val="00590C9C"/>
    <w:rsid w:val="005912A6"/>
    <w:rsid w:val="00593C88"/>
    <w:rsid w:val="005947B6"/>
    <w:rsid w:val="00595C2F"/>
    <w:rsid w:val="005A051D"/>
    <w:rsid w:val="005A1E5C"/>
    <w:rsid w:val="005A2E09"/>
    <w:rsid w:val="005A3ABE"/>
    <w:rsid w:val="005A4154"/>
    <w:rsid w:val="005A6F95"/>
    <w:rsid w:val="005B1350"/>
    <w:rsid w:val="005B2D48"/>
    <w:rsid w:val="005B395F"/>
    <w:rsid w:val="005B747E"/>
    <w:rsid w:val="005C0DFC"/>
    <w:rsid w:val="005C0F79"/>
    <w:rsid w:val="005C2D74"/>
    <w:rsid w:val="005C317D"/>
    <w:rsid w:val="005C31B1"/>
    <w:rsid w:val="005C6903"/>
    <w:rsid w:val="005C7BF3"/>
    <w:rsid w:val="005D0B67"/>
    <w:rsid w:val="005D18B9"/>
    <w:rsid w:val="005D2023"/>
    <w:rsid w:val="005D40DC"/>
    <w:rsid w:val="005D5AFB"/>
    <w:rsid w:val="005D6B2C"/>
    <w:rsid w:val="005D6BF5"/>
    <w:rsid w:val="005D6C5B"/>
    <w:rsid w:val="005E16F1"/>
    <w:rsid w:val="005E36B5"/>
    <w:rsid w:val="005E36B7"/>
    <w:rsid w:val="005E422A"/>
    <w:rsid w:val="005E5EF6"/>
    <w:rsid w:val="005E68F0"/>
    <w:rsid w:val="005E6A78"/>
    <w:rsid w:val="005E6C2B"/>
    <w:rsid w:val="005E70EA"/>
    <w:rsid w:val="005E7DDD"/>
    <w:rsid w:val="005E7F2E"/>
    <w:rsid w:val="005F1465"/>
    <w:rsid w:val="005F2B80"/>
    <w:rsid w:val="005F38A2"/>
    <w:rsid w:val="005F51D7"/>
    <w:rsid w:val="005F592C"/>
    <w:rsid w:val="005F61B3"/>
    <w:rsid w:val="005F6991"/>
    <w:rsid w:val="005F6A34"/>
    <w:rsid w:val="005F7DB4"/>
    <w:rsid w:val="0060133B"/>
    <w:rsid w:val="00602330"/>
    <w:rsid w:val="006065D5"/>
    <w:rsid w:val="006102FE"/>
    <w:rsid w:val="0061035A"/>
    <w:rsid w:val="006107A8"/>
    <w:rsid w:val="006116ED"/>
    <w:rsid w:val="00611882"/>
    <w:rsid w:val="00612AE4"/>
    <w:rsid w:val="00614917"/>
    <w:rsid w:val="00614EED"/>
    <w:rsid w:val="006179B6"/>
    <w:rsid w:val="0062029F"/>
    <w:rsid w:val="006206BC"/>
    <w:rsid w:val="006206E0"/>
    <w:rsid w:val="006212F1"/>
    <w:rsid w:val="00621965"/>
    <w:rsid w:val="00622AF5"/>
    <w:rsid w:val="00622B54"/>
    <w:rsid w:val="00625199"/>
    <w:rsid w:val="00625A26"/>
    <w:rsid w:val="00625E55"/>
    <w:rsid w:val="0062619D"/>
    <w:rsid w:val="006310DC"/>
    <w:rsid w:val="006312DA"/>
    <w:rsid w:val="006319CC"/>
    <w:rsid w:val="00631DAB"/>
    <w:rsid w:val="00633E57"/>
    <w:rsid w:val="00635F7D"/>
    <w:rsid w:val="00640DE8"/>
    <w:rsid w:val="00640F44"/>
    <w:rsid w:val="006444E7"/>
    <w:rsid w:val="00644763"/>
    <w:rsid w:val="0064491B"/>
    <w:rsid w:val="00645F0A"/>
    <w:rsid w:val="00650979"/>
    <w:rsid w:val="00650CB1"/>
    <w:rsid w:val="0065196F"/>
    <w:rsid w:val="00653635"/>
    <w:rsid w:val="006537B8"/>
    <w:rsid w:val="00653A58"/>
    <w:rsid w:val="00655C27"/>
    <w:rsid w:val="0066388E"/>
    <w:rsid w:val="00663C33"/>
    <w:rsid w:val="006666A1"/>
    <w:rsid w:val="00666ACE"/>
    <w:rsid w:val="00667377"/>
    <w:rsid w:val="0067128F"/>
    <w:rsid w:val="00671B8C"/>
    <w:rsid w:val="00671BB7"/>
    <w:rsid w:val="006728D1"/>
    <w:rsid w:val="00673372"/>
    <w:rsid w:val="00673A87"/>
    <w:rsid w:val="006742DD"/>
    <w:rsid w:val="006764E9"/>
    <w:rsid w:val="006779DE"/>
    <w:rsid w:val="00677E72"/>
    <w:rsid w:val="00680717"/>
    <w:rsid w:val="00680C9D"/>
    <w:rsid w:val="00684254"/>
    <w:rsid w:val="00684304"/>
    <w:rsid w:val="0068462D"/>
    <w:rsid w:val="00685E20"/>
    <w:rsid w:val="0069031B"/>
    <w:rsid w:val="00690F81"/>
    <w:rsid w:val="00691CF0"/>
    <w:rsid w:val="006938CA"/>
    <w:rsid w:val="00694C46"/>
    <w:rsid w:val="00697FF4"/>
    <w:rsid w:val="006A24FA"/>
    <w:rsid w:val="006A403C"/>
    <w:rsid w:val="006A454A"/>
    <w:rsid w:val="006A5733"/>
    <w:rsid w:val="006A6DEE"/>
    <w:rsid w:val="006A6EDD"/>
    <w:rsid w:val="006B23A9"/>
    <w:rsid w:val="006B2448"/>
    <w:rsid w:val="006B4AFA"/>
    <w:rsid w:val="006B5F45"/>
    <w:rsid w:val="006B703C"/>
    <w:rsid w:val="006B745F"/>
    <w:rsid w:val="006C37DC"/>
    <w:rsid w:val="006C45B1"/>
    <w:rsid w:val="006C6433"/>
    <w:rsid w:val="006C73DC"/>
    <w:rsid w:val="006D02CF"/>
    <w:rsid w:val="006D22AE"/>
    <w:rsid w:val="006D28CC"/>
    <w:rsid w:val="006D3102"/>
    <w:rsid w:val="006D56B5"/>
    <w:rsid w:val="006D67EC"/>
    <w:rsid w:val="006D6E6E"/>
    <w:rsid w:val="006D750B"/>
    <w:rsid w:val="006E0750"/>
    <w:rsid w:val="006E0781"/>
    <w:rsid w:val="006E081A"/>
    <w:rsid w:val="006E3790"/>
    <w:rsid w:val="006E42B3"/>
    <w:rsid w:val="006E48BA"/>
    <w:rsid w:val="006E4ED1"/>
    <w:rsid w:val="006F2FA2"/>
    <w:rsid w:val="006F5B6D"/>
    <w:rsid w:val="006F5D3C"/>
    <w:rsid w:val="006F6EED"/>
    <w:rsid w:val="006F731F"/>
    <w:rsid w:val="006F774C"/>
    <w:rsid w:val="006F7B25"/>
    <w:rsid w:val="006F7E7A"/>
    <w:rsid w:val="00700743"/>
    <w:rsid w:val="007028E6"/>
    <w:rsid w:val="007052C0"/>
    <w:rsid w:val="0070692B"/>
    <w:rsid w:val="0070720C"/>
    <w:rsid w:val="007075D1"/>
    <w:rsid w:val="007102A8"/>
    <w:rsid w:val="00710DA9"/>
    <w:rsid w:val="007124EF"/>
    <w:rsid w:val="007137E6"/>
    <w:rsid w:val="00713943"/>
    <w:rsid w:val="00714A4A"/>
    <w:rsid w:val="0071621B"/>
    <w:rsid w:val="00717AA0"/>
    <w:rsid w:val="0072383A"/>
    <w:rsid w:val="00723B08"/>
    <w:rsid w:val="00723B4B"/>
    <w:rsid w:val="00724344"/>
    <w:rsid w:val="00725238"/>
    <w:rsid w:val="00725CE1"/>
    <w:rsid w:val="007307E2"/>
    <w:rsid w:val="00730894"/>
    <w:rsid w:val="007357AE"/>
    <w:rsid w:val="00735C00"/>
    <w:rsid w:val="00735C05"/>
    <w:rsid w:val="00736430"/>
    <w:rsid w:val="00741353"/>
    <w:rsid w:val="00742CE0"/>
    <w:rsid w:val="0074495C"/>
    <w:rsid w:val="00745B43"/>
    <w:rsid w:val="00746C39"/>
    <w:rsid w:val="00750A0D"/>
    <w:rsid w:val="0075120D"/>
    <w:rsid w:val="00754788"/>
    <w:rsid w:val="00754A4D"/>
    <w:rsid w:val="0075611D"/>
    <w:rsid w:val="0075615A"/>
    <w:rsid w:val="0075679E"/>
    <w:rsid w:val="00757CE8"/>
    <w:rsid w:val="0076342E"/>
    <w:rsid w:val="007639E8"/>
    <w:rsid w:val="00763AE2"/>
    <w:rsid w:val="00765631"/>
    <w:rsid w:val="00766204"/>
    <w:rsid w:val="00766532"/>
    <w:rsid w:val="00773553"/>
    <w:rsid w:val="007742D9"/>
    <w:rsid w:val="0077496F"/>
    <w:rsid w:val="00775CA4"/>
    <w:rsid w:val="007805A4"/>
    <w:rsid w:val="007821FE"/>
    <w:rsid w:val="00783811"/>
    <w:rsid w:val="00783A29"/>
    <w:rsid w:val="00786576"/>
    <w:rsid w:val="00786B25"/>
    <w:rsid w:val="00787145"/>
    <w:rsid w:val="0078762F"/>
    <w:rsid w:val="0079135A"/>
    <w:rsid w:val="00791F78"/>
    <w:rsid w:val="007929C6"/>
    <w:rsid w:val="0079428C"/>
    <w:rsid w:val="00795610"/>
    <w:rsid w:val="00795FD7"/>
    <w:rsid w:val="007964D5"/>
    <w:rsid w:val="007A2344"/>
    <w:rsid w:val="007A237C"/>
    <w:rsid w:val="007A2CCB"/>
    <w:rsid w:val="007A3254"/>
    <w:rsid w:val="007A4C49"/>
    <w:rsid w:val="007A50E9"/>
    <w:rsid w:val="007A7455"/>
    <w:rsid w:val="007B1893"/>
    <w:rsid w:val="007B2849"/>
    <w:rsid w:val="007B52F7"/>
    <w:rsid w:val="007C0809"/>
    <w:rsid w:val="007C19D6"/>
    <w:rsid w:val="007C416E"/>
    <w:rsid w:val="007C4A83"/>
    <w:rsid w:val="007C5CCA"/>
    <w:rsid w:val="007C6E05"/>
    <w:rsid w:val="007D7A77"/>
    <w:rsid w:val="007E10FA"/>
    <w:rsid w:val="007E27A1"/>
    <w:rsid w:val="007E29D3"/>
    <w:rsid w:val="007E5B28"/>
    <w:rsid w:val="007E6DA0"/>
    <w:rsid w:val="007E7F7F"/>
    <w:rsid w:val="007F2DC2"/>
    <w:rsid w:val="007F4559"/>
    <w:rsid w:val="007F6DDF"/>
    <w:rsid w:val="00801EE8"/>
    <w:rsid w:val="00803EF2"/>
    <w:rsid w:val="00804074"/>
    <w:rsid w:val="00804A2F"/>
    <w:rsid w:val="00805DE2"/>
    <w:rsid w:val="00805E7A"/>
    <w:rsid w:val="008102E8"/>
    <w:rsid w:val="00811926"/>
    <w:rsid w:val="00811BFE"/>
    <w:rsid w:val="008136E7"/>
    <w:rsid w:val="0081401C"/>
    <w:rsid w:val="00816BBF"/>
    <w:rsid w:val="00822FF1"/>
    <w:rsid w:val="008235E1"/>
    <w:rsid w:val="0083115A"/>
    <w:rsid w:val="008321F8"/>
    <w:rsid w:val="00833634"/>
    <w:rsid w:val="00840E94"/>
    <w:rsid w:val="00841F88"/>
    <w:rsid w:val="00842030"/>
    <w:rsid w:val="008425D4"/>
    <w:rsid w:val="00842E24"/>
    <w:rsid w:val="008440BF"/>
    <w:rsid w:val="00844DBB"/>
    <w:rsid w:val="008476E1"/>
    <w:rsid w:val="00847B5F"/>
    <w:rsid w:val="00847C84"/>
    <w:rsid w:val="00850C20"/>
    <w:rsid w:val="00852E94"/>
    <w:rsid w:val="00853220"/>
    <w:rsid w:val="008551D4"/>
    <w:rsid w:val="008560CE"/>
    <w:rsid w:val="0085763C"/>
    <w:rsid w:val="00860C2F"/>
    <w:rsid w:val="00861931"/>
    <w:rsid w:val="00862318"/>
    <w:rsid w:val="0087158B"/>
    <w:rsid w:val="00871C7A"/>
    <w:rsid w:val="008725EC"/>
    <w:rsid w:val="00872C3A"/>
    <w:rsid w:val="00872C78"/>
    <w:rsid w:val="0087314E"/>
    <w:rsid w:val="0088072F"/>
    <w:rsid w:val="008810F1"/>
    <w:rsid w:val="008845E8"/>
    <w:rsid w:val="00885D75"/>
    <w:rsid w:val="0088776A"/>
    <w:rsid w:val="00887D2D"/>
    <w:rsid w:val="00891F98"/>
    <w:rsid w:val="00893C83"/>
    <w:rsid w:val="008A12BE"/>
    <w:rsid w:val="008A1C38"/>
    <w:rsid w:val="008A2286"/>
    <w:rsid w:val="008A5FF6"/>
    <w:rsid w:val="008B0D7D"/>
    <w:rsid w:val="008B181D"/>
    <w:rsid w:val="008B4214"/>
    <w:rsid w:val="008B57FF"/>
    <w:rsid w:val="008B5C5A"/>
    <w:rsid w:val="008C1078"/>
    <w:rsid w:val="008C2F05"/>
    <w:rsid w:val="008C70E8"/>
    <w:rsid w:val="008D3DAC"/>
    <w:rsid w:val="008D4432"/>
    <w:rsid w:val="008D637B"/>
    <w:rsid w:val="008D68A8"/>
    <w:rsid w:val="008E0655"/>
    <w:rsid w:val="008E340C"/>
    <w:rsid w:val="008E5A93"/>
    <w:rsid w:val="008E7F79"/>
    <w:rsid w:val="008F013C"/>
    <w:rsid w:val="008F2388"/>
    <w:rsid w:val="008F4158"/>
    <w:rsid w:val="008F4C4C"/>
    <w:rsid w:val="008F52C7"/>
    <w:rsid w:val="008F6EDA"/>
    <w:rsid w:val="00900381"/>
    <w:rsid w:val="0090098B"/>
    <w:rsid w:val="00904836"/>
    <w:rsid w:val="009049DB"/>
    <w:rsid w:val="00904BDA"/>
    <w:rsid w:val="00907156"/>
    <w:rsid w:val="009072B2"/>
    <w:rsid w:val="0090792C"/>
    <w:rsid w:val="00912E24"/>
    <w:rsid w:val="00913F90"/>
    <w:rsid w:val="009159FF"/>
    <w:rsid w:val="00923B31"/>
    <w:rsid w:val="00924B8C"/>
    <w:rsid w:val="009261DB"/>
    <w:rsid w:val="009266E0"/>
    <w:rsid w:val="00926A9B"/>
    <w:rsid w:val="00927209"/>
    <w:rsid w:val="00930F4D"/>
    <w:rsid w:val="00932467"/>
    <w:rsid w:val="00936C96"/>
    <w:rsid w:val="00941C6D"/>
    <w:rsid w:val="00941E5E"/>
    <w:rsid w:val="00943EAF"/>
    <w:rsid w:val="00945458"/>
    <w:rsid w:val="0094637A"/>
    <w:rsid w:val="00946684"/>
    <w:rsid w:val="00947487"/>
    <w:rsid w:val="00950634"/>
    <w:rsid w:val="009506A9"/>
    <w:rsid w:val="00950755"/>
    <w:rsid w:val="00951D15"/>
    <w:rsid w:val="00960C03"/>
    <w:rsid w:val="00961FBA"/>
    <w:rsid w:val="00963711"/>
    <w:rsid w:val="00965CCB"/>
    <w:rsid w:val="00967481"/>
    <w:rsid w:val="009677F1"/>
    <w:rsid w:val="0097044E"/>
    <w:rsid w:val="00975191"/>
    <w:rsid w:val="00975725"/>
    <w:rsid w:val="009835B1"/>
    <w:rsid w:val="00983D48"/>
    <w:rsid w:val="009845FD"/>
    <w:rsid w:val="0098490B"/>
    <w:rsid w:val="0098631C"/>
    <w:rsid w:val="00987BB6"/>
    <w:rsid w:val="00990CDB"/>
    <w:rsid w:val="009919D0"/>
    <w:rsid w:val="0099217A"/>
    <w:rsid w:val="009933B7"/>
    <w:rsid w:val="009966CF"/>
    <w:rsid w:val="00997297"/>
    <w:rsid w:val="009A09ED"/>
    <w:rsid w:val="009A2A01"/>
    <w:rsid w:val="009A2C20"/>
    <w:rsid w:val="009A310A"/>
    <w:rsid w:val="009A3413"/>
    <w:rsid w:val="009A5668"/>
    <w:rsid w:val="009A743E"/>
    <w:rsid w:val="009B2F4E"/>
    <w:rsid w:val="009B33CC"/>
    <w:rsid w:val="009B341C"/>
    <w:rsid w:val="009B7693"/>
    <w:rsid w:val="009C63D7"/>
    <w:rsid w:val="009D12B8"/>
    <w:rsid w:val="009D3274"/>
    <w:rsid w:val="009D3A63"/>
    <w:rsid w:val="009D423E"/>
    <w:rsid w:val="009D59B1"/>
    <w:rsid w:val="009D6C18"/>
    <w:rsid w:val="009D7773"/>
    <w:rsid w:val="009E2753"/>
    <w:rsid w:val="009E32FD"/>
    <w:rsid w:val="009E3E63"/>
    <w:rsid w:val="009F2788"/>
    <w:rsid w:val="009F3AA0"/>
    <w:rsid w:val="009F4B9D"/>
    <w:rsid w:val="009F50EF"/>
    <w:rsid w:val="009F5751"/>
    <w:rsid w:val="00A00C82"/>
    <w:rsid w:val="00A00D9E"/>
    <w:rsid w:val="00A0215E"/>
    <w:rsid w:val="00A07E08"/>
    <w:rsid w:val="00A10869"/>
    <w:rsid w:val="00A1588E"/>
    <w:rsid w:val="00A216B0"/>
    <w:rsid w:val="00A25607"/>
    <w:rsid w:val="00A30029"/>
    <w:rsid w:val="00A32E1F"/>
    <w:rsid w:val="00A33A22"/>
    <w:rsid w:val="00A33AA3"/>
    <w:rsid w:val="00A33F18"/>
    <w:rsid w:val="00A34D3B"/>
    <w:rsid w:val="00A35E38"/>
    <w:rsid w:val="00A40108"/>
    <w:rsid w:val="00A40A31"/>
    <w:rsid w:val="00A43C8E"/>
    <w:rsid w:val="00A45B86"/>
    <w:rsid w:val="00A46893"/>
    <w:rsid w:val="00A46CE1"/>
    <w:rsid w:val="00A477D0"/>
    <w:rsid w:val="00A47BB3"/>
    <w:rsid w:val="00A5139F"/>
    <w:rsid w:val="00A5246F"/>
    <w:rsid w:val="00A549C7"/>
    <w:rsid w:val="00A54F83"/>
    <w:rsid w:val="00A60AB4"/>
    <w:rsid w:val="00A613B6"/>
    <w:rsid w:val="00A620DF"/>
    <w:rsid w:val="00A645C4"/>
    <w:rsid w:val="00A655F1"/>
    <w:rsid w:val="00A65CF4"/>
    <w:rsid w:val="00A72A95"/>
    <w:rsid w:val="00A732B0"/>
    <w:rsid w:val="00A7379F"/>
    <w:rsid w:val="00A759A6"/>
    <w:rsid w:val="00A83B8B"/>
    <w:rsid w:val="00A851CF"/>
    <w:rsid w:val="00A870C5"/>
    <w:rsid w:val="00A904A6"/>
    <w:rsid w:val="00A943FF"/>
    <w:rsid w:val="00A9758F"/>
    <w:rsid w:val="00AA0711"/>
    <w:rsid w:val="00AA0B94"/>
    <w:rsid w:val="00AA4FF2"/>
    <w:rsid w:val="00AA5242"/>
    <w:rsid w:val="00AA5569"/>
    <w:rsid w:val="00AA5898"/>
    <w:rsid w:val="00AA671D"/>
    <w:rsid w:val="00AB0DE2"/>
    <w:rsid w:val="00AB1DAE"/>
    <w:rsid w:val="00AB5F50"/>
    <w:rsid w:val="00AB7128"/>
    <w:rsid w:val="00AB786D"/>
    <w:rsid w:val="00AC403A"/>
    <w:rsid w:val="00AC4051"/>
    <w:rsid w:val="00AC4A34"/>
    <w:rsid w:val="00AC5990"/>
    <w:rsid w:val="00AD1051"/>
    <w:rsid w:val="00AD1271"/>
    <w:rsid w:val="00AD13B1"/>
    <w:rsid w:val="00AD24BF"/>
    <w:rsid w:val="00AD2C12"/>
    <w:rsid w:val="00AD3A71"/>
    <w:rsid w:val="00AD5C37"/>
    <w:rsid w:val="00AD698F"/>
    <w:rsid w:val="00AD7AC6"/>
    <w:rsid w:val="00AE2B1B"/>
    <w:rsid w:val="00AE2BB8"/>
    <w:rsid w:val="00AE51E8"/>
    <w:rsid w:val="00AE7C3C"/>
    <w:rsid w:val="00AF16D8"/>
    <w:rsid w:val="00AF2883"/>
    <w:rsid w:val="00AF3EAD"/>
    <w:rsid w:val="00AF42DA"/>
    <w:rsid w:val="00AF6DB6"/>
    <w:rsid w:val="00AF71D0"/>
    <w:rsid w:val="00B025A5"/>
    <w:rsid w:val="00B11BEE"/>
    <w:rsid w:val="00B11C3C"/>
    <w:rsid w:val="00B124FC"/>
    <w:rsid w:val="00B1285F"/>
    <w:rsid w:val="00B16204"/>
    <w:rsid w:val="00B16525"/>
    <w:rsid w:val="00B21827"/>
    <w:rsid w:val="00B239E7"/>
    <w:rsid w:val="00B24238"/>
    <w:rsid w:val="00B25FD9"/>
    <w:rsid w:val="00B2633F"/>
    <w:rsid w:val="00B30516"/>
    <w:rsid w:val="00B34194"/>
    <w:rsid w:val="00B3647A"/>
    <w:rsid w:val="00B37932"/>
    <w:rsid w:val="00B40FF5"/>
    <w:rsid w:val="00B41E97"/>
    <w:rsid w:val="00B44AB1"/>
    <w:rsid w:val="00B46484"/>
    <w:rsid w:val="00B47076"/>
    <w:rsid w:val="00B47E02"/>
    <w:rsid w:val="00B47E40"/>
    <w:rsid w:val="00B503EE"/>
    <w:rsid w:val="00B51BAA"/>
    <w:rsid w:val="00B5430D"/>
    <w:rsid w:val="00B567D0"/>
    <w:rsid w:val="00B633A3"/>
    <w:rsid w:val="00B64CE0"/>
    <w:rsid w:val="00B66B7D"/>
    <w:rsid w:val="00B73ED9"/>
    <w:rsid w:val="00B82C3E"/>
    <w:rsid w:val="00B82EE2"/>
    <w:rsid w:val="00B83449"/>
    <w:rsid w:val="00B83B8B"/>
    <w:rsid w:val="00B8575D"/>
    <w:rsid w:val="00B865EB"/>
    <w:rsid w:val="00B87896"/>
    <w:rsid w:val="00B919A9"/>
    <w:rsid w:val="00B923B9"/>
    <w:rsid w:val="00B92CF1"/>
    <w:rsid w:val="00BA0C46"/>
    <w:rsid w:val="00BA26CC"/>
    <w:rsid w:val="00BA2EDF"/>
    <w:rsid w:val="00BA3AB2"/>
    <w:rsid w:val="00BA6AD1"/>
    <w:rsid w:val="00BA7086"/>
    <w:rsid w:val="00BA7790"/>
    <w:rsid w:val="00BA7ACD"/>
    <w:rsid w:val="00BB0639"/>
    <w:rsid w:val="00BB2F3F"/>
    <w:rsid w:val="00BB5AA1"/>
    <w:rsid w:val="00BB7061"/>
    <w:rsid w:val="00BC1A41"/>
    <w:rsid w:val="00BC30D9"/>
    <w:rsid w:val="00BC416F"/>
    <w:rsid w:val="00BC4D63"/>
    <w:rsid w:val="00BD3452"/>
    <w:rsid w:val="00BD4573"/>
    <w:rsid w:val="00BD6591"/>
    <w:rsid w:val="00BE372D"/>
    <w:rsid w:val="00BE4DE4"/>
    <w:rsid w:val="00BE6005"/>
    <w:rsid w:val="00BE61C2"/>
    <w:rsid w:val="00BE6DDF"/>
    <w:rsid w:val="00BF17FE"/>
    <w:rsid w:val="00BF5667"/>
    <w:rsid w:val="00BF652D"/>
    <w:rsid w:val="00C00C2C"/>
    <w:rsid w:val="00C02887"/>
    <w:rsid w:val="00C028CD"/>
    <w:rsid w:val="00C076A4"/>
    <w:rsid w:val="00C07E6B"/>
    <w:rsid w:val="00C10AB4"/>
    <w:rsid w:val="00C16EF8"/>
    <w:rsid w:val="00C210B9"/>
    <w:rsid w:val="00C21326"/>
    <w:rsid w:val="00C220DE"/>
    <w:rsid w:val="00C22267"/>
    <w:rsid w:val="00C276D3"/>
    <w:rsid w:val="00C3099C"/>
    <w:rsid w:val="00C34553"/>
    <w:rsid w:val="00C4162A"/>
    <w:rsid w:val="00C45EBA"/>
    <w:rsid w:val="00C4683D"/>
    <w:rsid w:val="00C5074A"/>
    <w:rsid w:val="00C51EF5"/>
    <w:rsid w:val="00C5378B"/>
    <w:rsid w:val="00C543D6"/>
    <w:rsid w:val="00C54886"/>
    <w:rsid w:val="00C562E8"/>
    <w:rsid w:val="00C56A9C"/>
    <w:rsid w:val="00C56B41"/>
    <w:rsid w:val="00C610AF"/>
    <w:rsid w:val="00C636E3"/>
    <w:rsid w:val="00C66B0F"/>
    <w:rsid w:val="00C66F16"/>
    <w:rsid w:val="00C72D1F"/>
    <w:rsid w:val="00C7321B"/>
    <w:rsid w:val="00C73A5E"/>
    <w:rsid w:val="00C74232"/>
    <w:rsid w:val="00C746F4"/>
    <w:rsid w:val="00C82269"/>
    <w:rsid w:val="00C83B06"/>
    <w:rsid w:val="00C84AB8"/>
    <w:rsid w:val="00C84FEB"/>
    <w:rsid w:val="00C9210F"/>
    <w:rsid w:val="00C9295F"/>
    <w:rsid w:val="00C92A2F"/>
    <w:rsid w:val="00C93697"/>
    <w:rsid w:val="00C94F99"/>
    <w:rsid w:val="00C95AB8"/>
    <w:rsid w:val="00C961C4"/>
    <w:rsid w:val="00C97F3E"/>
    <w:rsid w:val="00CA31B0"/>
    <w:rsid w:val="00CA32E7"/>
    <w:rsid w:val="00CA35E6"/>
    <w:rsid w:val="00CA3FA0"/>
    <w:rsid w:val="00CA697A"/>
    <w:rsid w:val="00CA6CA0"/>
    <w:rsid w:val="00CA7BC8"/>
    <w:rsid w:val="00CB0BC0"/>
    <w:rsid w:val="00CC30E9"/>
    <w:rsid w:val="00CC4BBC"/>
    <w:rsid w:val="00CC4FE5"/>
    <w:rsid w:val="00CC73C8"/>
    <w:rsid w:val="00CD29F6"/>
    <w:rsid w:val="00CD36BA"/>
    <w:rsid w:val="00CD6359"/>
    <w:rsid w:val="00CE1B21"/>
    <w:rsid w:val="00CE2753"/>
    <w:rsid w:val="00CE3033"/>
    <w:rsid w:val="00CE77DA"/>
    <w:rsid w:val="00CF0562"/>
    <w:rsid w:val="00CF0B91"/>
    <w:rsid w:val="00CF1AEA"/>
    <w:rsid w:val="00CF3FD4"/>
    <w:rsid w:val="00CF4416"/>
    <w:rsid w:val="00CF547B"/>
    <w:rsid w:val="00D00894"/>
    <w:rsid w:val="00D008AE"/>
    <w:rsid w:val="00D01B12"/>
    <w:rsid w:val="00D01FF4"/>
    <w:rsid w:val="00D03F9E"/>
    <w:rsid w:val="00D04021"/>
    <w:rsid w:val="00D040A1"/>
    <w:rsid w:val="00D05636"/>
    <w:rsid w:val="00D058C9"/>
    <w:rsid w:val="00D05BCC"/>
    <w:rsid w:val="00D1280B"/>
    <w:rsid w:val="00D13B17"/>
    <w:rsid w:val="00D21C1F"/>
    <w:rsid w:val="00D21F2A"/>
    <w:rsid w:val="00D22202"/>
    <w:rsid w:val="00D22973"/>
    <w:rsid w:val="00D22F26"/>
    <w:rsid w:val="00D247B8"/>
    <w:rsid w:val="00D255AA"/>
    <w:rsid w:val="00D25C2D"/>
    <w:rsid w:val="00D30712"/>
    <w:rsid w:val="00D33CC8"/>
    <w:rsid w:val="00D3525F"/>
    <w:rsid w:val="00D35F1E"/>
    <w:rsid w:val="00D409FA"/>
    <w:rsid w:val="00D41A06"/>
    <w:rsid w:val="00D42647"/>
    <w:rsid w:val="00D46075"/>
    <w:rsid w:val="00D46168"/>
    <w:rsid w:val="00D475CC"/>
    <w:rsid w:val="00D54A2D"/>
    <w:rsid w:val="00D57B80"/>
    <w:rsid w:val="00D60F1C"/>
    <w:rsid w:val="00D6567C"/>
    <w:rsid w:val="00D657EA"/>
    <w:rsid w:val="00D6589E"/>
    <w:rsid w:val="00D67B9F"/>
    <w:rsid w:val="00D704B5"/>
    <w:rsid w:val="00D71094"/>
    <w:rsid w:val="00D71779"/>
    <w:rsid w:val="00D73D5B"/>
    <w:rsid w:val="00D7535D"/>
    <w:rsid w:val="00D76184"/>
    <w:rsid w:val="00D77A5D"/>
    <w:rsid w:val="00D80441"/>
    <w:rsid w:val="00D84230"/>
    <w:rsid w:val="00D84C43"/>
    <w:rsid w:val="00D94180"/>
    <w:rsid w:val="00D95E97"/>
    <w:rsid w:val="00D97484"/>
    <w:rsid w:val="00DA1826"/>
    <w:rsid w:val="00DA40D7"/>
    <w:rsid w:val="00DA4604"/>
    <w:rsid w:val="00DB4855"/>
    <w:rsid w:val="00DB4C97"/>
    <w:rsid w:val="00DC0FBE"/>
    <w:rsid w:val="00DC2D29"/>
    <w:rsid w:val="00DC354F"/>
    <w:rsid w:val="00DC37FE"/>
    <w:rsid w:val="00DC3DF5"/>
    <w:rsid w:val="00DC4172"/>
    <w:rsid w:val="00DD02C3"/>
    <w:rsid w:val="00DD2359"/>
    <w:rsid w:val="00DD721F"/>
    <w:rsid w:val="00DD79F8"/>
    <w:rsid w:val="00DE1503"/>
    <w:rsid w:val="00DE1815"/>
    <w:rsid w:val="00DE3E6F"/>
    <w:rsid w:val="00DE4AFA"/>
    <w:rsid w:val="00DE5740"/>
    <w:rsid w:val="00DE5D0B"/>
    <w:rsid w:val="00DE678B"/>
    <w:rsid w:val="00DE6B78"/>
    <w:rsid w:val="00DF1877"/>
    <w:rsid w:val="00DF2B5E"/>
    <w:rsid w:val="00DF5403"/>
    <w:rsid w:val="00DF73A2"/>
    <w:rsid w:val="00E010DD"/>
    <w:rsid w:val="00E0188E"/>
    <w:rsid w:val="00E02C7F"/>
    <w:rsid w:val="00E03628"/>
    <w:rsid w:val="00E04582"/>
    <w:rsid w:val="00E05708"/>
    <w:rsid w:val="00E06F39"/>
    <w:rsid w:val="00E079FE"/>
    <w:rsid w:val="00E07BE6"/>
    <w:rsid w:val="00E12D12"/>
    <w:rsid w:val="00E17F4D"/>
    <w:rsid w:val="00E17FD8"/>
    <w:rsid w:val="00E200DF"/>
    <w:rsid w:val="00E2294D"/>
    <w:rsid w:val="00E2508E"/>
    <w:rsid w:val="00E27D80"/>
    <w:rsid w:val="00E31176"/>
    <w:rsid w:val="00E31D08"/>
    <w:rsid w:val="00E32691"/>
    <w:rsid w:val="00E3403E"/>
    <w:rsid w:val="00E3404E"/>
    <w:rsid w:val="00E34835"/>
    <w:rsid w:val="00E35ABD"/>
    <w:rsid w:val="00E35D00"/>
    <w:rsid w:val="00E41AFF"/>
    <w:rsid w:val="00E43C4E"/>
    <w:rsid w:val="00E44486"/>
    <w:rsid w:val="00E45F73"/>
    <w:rsid w:val="00E47A7F"/>
    <w:rsid w:val="00E5109E"/>
    <w:rsid w:val="00E52C78"/>
    <w:rsid w:val="00E55B40"/>
    <w:rsid w:val="00E56584"/>
    <w:rsid w:val="00E57344"/>
    <w:rsid w:val="00E57D55"/>
    <w:rsid w:val="00E6353E"/>
    <w:rsid w:val="00E70FDD"/>
    <w:rsid w:val="00E715D6"/>
    <w:rsid w:val="00E7253A"/>
    <w:rsid w:val="00E72C20"/>
    <w:rsid w:val="00E73355"/>
    <w:rsid w:val="00E81133"/>
    <w:rsid w:val="00E82044"/>
    <w:rsid w:val="00E8232C"/>
    <w:rsid w:val="00E8341C"/>
    <w:rsid w:val="00E84164"/>
    <w:rsid w:val="00E903B2"/>
    <w:rsid w:val="00EA1674"/>
    <w:rsid w:val="00EA2E7C"/>
    <w:rsid w:val="00EA337B"/>
    <w:rsid w:val="00EA49D0"/>
    <w:rsid w:val="00EB2761"/>
    <w:rsid w:val="00EB4D41"/>
    <w:rsid w:val="00EB5960"/>
    <w:rsid w:val="00EB630F"/>
    <w:rsid w:val="00EB6461"/>
    <w:rsid w:val="00EB65E3"/>
    <w:rsid w:val="00EC01B4"/>
    <w:rsid w:val="00EC0909"/>
    <w:rsid w:val="00EC2800"/>
    <w:rsid w:val="00EC4B36"/>
    <w:rsid w:val="00EC552D"/>
    <w:rsid w:val="00EC6F33"/>
    <w:rsid w:val="00EC712D"/>
    <w:rsid w:val="00ED0454"/>
    <w:rsid w:val="00ED0E24"/>
    <w:rsid w:val="00EE1E49"/>
    <w:rsid w:val="00EE2C2A"/>
    <w:rsid w:val="00EE2F47"/>
    <w:rsid w:val="00EE3279"/>
    <w:rsid w:val="00EE3567"/>
    <w:rsid w:val="00EE505B"/>
    <w:rsid w:val="00EE67F5"/>
    <w:rsid w:val="00EE6D42"/>
    <w:rsid w:val="00EF26F1"/>
    <w:rsid w:val="00EF315C"/>
    <w:rsid w:val="00EF72E6"/>
    <w:rsid w:val="00F00BCF"/>
    <w:rsid w:val="00F01563"/>
    <w:rsid w:val="00F038F7"/>
    <w:rsid w:val="00F04B20"/>
    <w:rsid w:val="00F05605"/>
    <w:rsid w:val="00F077E5"/>
    <w:rsid w:val="00F1031B"/>
    <w:rsid w:val="00F146E6"/>
    <w:rsid w:val="00F14BED"/>
    <w:rsid w:val="00F15E9C"/>
    <w:rsid w:val="00F15FCA"/>
    <w:rsid w:val="00F20732"/>
    <w:rsid w:val="00F2135D"/>
    <w:rsid w:val="00F22761"/>
    <w:rsid w:val="00F23BE2"/>
    <w:rsid w:val="00F25CF2"/>
    <w:rsid w:val="00F26EA8"/>
    <w:rsid w:val="00F27D06"/>
    <w:rsid w:val="00F32585"/>
    <w:rsid w:val="00F33714"/>
    <w:rsid w:val="00F34BB1"/>
    <w:rsid w:val="00F35B84"/>
    <w:rsid w:val="00F3667E"/>
    <w:rsid w:val="00F36B5B"/>
    <w:rsid w:val="00F42593"/>
    <w:rsid w:val="00F43502"/>
    <w:rsid w:val="00F43AC2"/>
    <w:rsid w:val="00F44B99"/>
    <w:rsid w:val="00F45B0B"/>
    <w:rsid w:val="00F465C5"/>
    <w:rsid w:val="00F46F3B"/>
    <w:rsid w:val="00F4775A"/>
    <w:rsid w:val="00F47F9D"/>
    <w:rsid w:val="00F501EB"/>
    <w:rsid w:val="00F5162A"/>
    <w:rsid w:val="00F5226B"/>
    <w:rsid w:val="00F5287D"/>
    <w:rsid w:val="00F53886"/>
    <w:rsid w:val="00F53B09"/>
    <w:rsid w:val="00F55404"/>
    <w:rsid w:val="00F55E75"/>
    <w:rsid w:val="00F6077A"/>
    <w:rsid w:val="00F64D04"/>
    <w:rsid w:val="00F662B7"/>
    <w:rsid w:val="00F66B79"/>
    <w:rsid w:val="00F727A2"/>
    <w:rsid w:val="00F72C28"/>
    <w:rsid w:val="00F72CD9"/>
    <w:rsid w:val="00F738F6"/>
    <w:rsid w:val="00F74494"/>
    <w:rsid w:val="00F75EC2"/>
    <w:rsid w:val="00F77216"/>
    <w:rsid w:val="00F77796"/>
    <w:rsid w:val="00F80570"/>
    <w:rsid w:val="00F80681"/>
    <w:rsid w:val="00F813A8"/>
    <w:rsid w:val="00F813D2"/>
    <w:rsid w:val="00F82416"/>
    <w:rsid w:val="00F82755"/>
    <w:rsid w:val="00F82DB5"/>
    <w:rsid w:val="00F836AC"/>
    <w:rsid w:val="00F85966"/>
    <w:rsid w:val="00F86A41"/>
    <w:rsid w:val="00F86AAB"/>
    <w:rsid w:val="00F8770F"/>
    <w:rsid w:val="00F91D3C"/>
    <w:rsid w:val="00F926C7"/>
    <w:rsid w:val="00F94266"/>
    <w:rsid w:val="00F968F3"/>
    <w:rsid w:val="00F96DE6"/>
    <w:rsid w:val="00F97B51"/>
    <w:rsid w:val="00FA5C96"/>
    <w:rsid w:val="00FA7789"/>
    <w:rsid w:val="00FB129C"/>
    <w:rsid w:val="00FB22E9"/>
    <w:rsid w:val="00FB38EB"/>
    <w:rsid w:val="00FB4C5D"/>
    <w:rsid w:val="00FB5123"/>
    <w:rsid w:val="00FB5272"/>
    <w:rsid w:val="00FB56A2"/>
    <w:rsid w:val="00FB6AA6"/>
    <w:rsid w:val="00FB7392"/>
    <w:rsid w:val="00FC59F1"/>
    <w:rsid w:val="00FD055F"/>
    <w:rsid w:val="00FD35BE"/>
    <w:rsid w:val="00FD459C"/>
    <w:rsid w:val="00FD6270"/>
    <w:rsid w:val="00FD6483"/>
    <w:rsid w:val="00FD6857"/>
    <w:rsid w:val="00FE09F4"/>
    <w:rsid w:val="00FE12C9"/>
    <w:rsid w:val="00FE22EE"/>
    <w:rsid w:val="00FE23BF"/>
    <w:rsid w:val="00FE3577"/>
    <w:rsid w:val="00FE3B89"/>
    <w:rsid w:val="00FE735B"/>
    <w:rsid w:val="00FE7C15"/>
    <w:rsid w:val="00FF0547"/>
    <w:rsid w:val="00FF3F15"/>
    <w:rsid w:val="00FF4022"/>
    <w:rsid w:val="00FF5670"/>
    <w:rsid w:val="00FF769E"/>
  </w:rsids>
  <m:mathPr>
    <m:mathFont m:val="Cambria Math"/>
    <m:brkBin m:val="before"/>
    <m:brkBinSub m:val="--"/>
    <m:smallFrac m:val="0"/>
    <m:dispDef/>
    <m:lMargin m:val="0"/>
    <m:rMargin m:val="0"/>
    <m:defJc m:val="centerGroup"/>
    <m:wrapIndent m:val="1440"/>
    <m:intLim m:val="subSup"/>
    <m:naryLim m:val="undOvr"/>
  </m:mathPr>
  <w:themeFontLang w:val="es-C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1BB3F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s-CL" w:eastAsia="es-C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Table" w:semiHidden="0" w:unhideWhenUsed="0"/>
    <w:lsdException w:name="Table Subtle 1" w:semiHidden="0" w:unhideWhenUsed="0"/>
    <w:lsdException w:name="Table Web 2" w:semiHidden="0" w:unhideWhenUsed="0"/>
    <w:lsdException w:name="Table Web 3" w:semiHidden="0" w:unhideWhenUsed="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93C83"/>
    <w:pPr>
      <w:spacing w:after="200" w:line="264" w:lineRule="auto"/>
      <w:jc w:val="both"/>
    </w:pPr>
    <w:rPr>
      <w:sz w:val="24"/>
      <w:szCs w:val="24"/>
      <w:lang w:eastAsia="en-US"/>
    </w:rPr>
  </w:style>
  <w:style w:type="paragraph" w:styleId="Ttulo1">
    <w:name w:val="heading 1"/>
    <w:basedOn w:val="Normal"/>
    <w:next w:val="Normal"/>
    <w:link w:val="Ttulo1Car"/>
    <w:uiPriority w:val="9"/>
    <w:qFormat/>
    <w:rsid w:val="00893C83"/>
    <w:pPr>
      <w:numPr>
        <w:numId w:val="9"/>
      </w:numPr>
      <w:spacing w:before="120" w:after="240"/>
      <w:outlineLvl w:val="0"/>
    </w:pPr>
    <w:rPr>
      <w:rFonts w:eastAsia="Times New Roman"/>
      <w:b/>
      <w:caps/>
      <w:color w:val="4472C4"/>
      <w:spacing w:val="-10"/>
      <w:sz w:val="28"/>
      <w:szCs w:val="32"/>
    </w:rPr>
  </w:style>
  <w:style w:type="paragraph" w:styleId="Ttulo2">
    <w:name w:val="heading 2"/>
    <w:basedOn w:val="Normal"/>
    <w:next w:val="Normal"/>
    <w:link w:val="Ttulo2Car"/>
    <w:uiPriority w:val="9"/>
    <w:qFormat/>
    <w:rsid w:val="002E6C45"/>
    <w:pPr>
      <w:numPr>
        <w:ilvl w:val="1"/>
        <w:numId w:val="9"/>
      </w:numPr>
      <w:spacing w:before="120" w:after="240"/>
      <w:outlineLvl w:val="1"/>
    </w:pPr>
    <w:rPr>
      <w:rFonts w:eastAsia="Times New Roman"/>
      <w:b/>
      <w:color w:val="4472C4"/>
      <w:sz w:val="28"/>
      <w:szCs w:val="26"/>
    </w:rPr>
  </w:style>
  <w:style w:type="paragraph" w:styleId="Ttulo3">
    <w:name w:val="heading 3"/>
    <w:basedOn w:val="Normal"/>
    <w:next w:val="Normal"/>
    <w:link w:val="Ttulo3Car"/>
    <w:uiPriority w:val="9"/>
    <w:qFormat/>
    <w:rsid w:val="009D3A63"/>
    <w:pPr>
      <w:numPr>
        <w:ilvl w:val="2"/>
        <w:numId w:val="9"/>
      </w:numPr>
      <w:outlineLvl w:val="2"/>
    </w:pPr>
    <w:rPr>
      <w:rFonts w:eastAsia="Times New Roman"/>
      <w:b/>
      <w:color w:val="4472C4"/>
    </w:rPr>
  </w:style>
  <w:style w:type="paragraph" w:styleId="Ttulo4">
    <w:name w:val="heading 4"/>
    <w:basedOn w:val="Normal"/>
    <w:next w:val="Normal"/>
    <w:link w:val="Ttulo4Car"/>
    <w:uiPriority w:val="9"/>
    <w:qFormat/>
    <w:rsid w:val="00862318"/>
    <w:pPr>
      <w:numPr>
        <w:ilvl w:val="3"/>
        <w:numId w:val="9"/>
      </w:numPr>
      <w:ind w:left="992" w:hanging="992"/>
      <w:outlineLvl w:val="3"/>
    </w:pPr>
    <w:rPr>
      <w:rFonts w:eastAsia="Times New Roman" w:cs="Calibri"/>
      <w:iCs/>
      <w:color w:val="4472C4"/>
      <w:u w:val="single"/>
    </w:rPr>
  </w:style>
  <w:style w:type="paragraph" w:styleId="Ttulo5">
    <w:name w:val="heading 5"/>
    <w:basedOn w:val="Normal"/>
    <w:next w:val="Normal"/>
    <w:link w:val="Ttulo5Car"/>
    <w:uiPriority w:val="9"/>
    <w:qFormat/>
    <w:rsid w:val="00F91D3C"/>
    <w:pPr>
      <w:numPr>
        <w:ilvl w:val="4"/>
        <w:numId w:val="9"/>
      </w:numPr>
      <w:ind w:left="1134" w:hanging="1134"/>
      <w:outlineLvl w:val="4"/>
    </w:pPr>
    <w:rPr>
      <w:rFonts w:eastAsia="Times New Roman"/>
      <w:color w:val="0070C0"/>
    </w:rPr>
  </w:style>
  <w:style w:type="paragraph" w:styleId="Ttulo6">
    <w:name w:val="heading 6"/>
    <w:aliases w:val="Anexo 1"/>
    <w:basedOn w:val="Normal"/>
    <w:next w:val="Normal"/>
    <w:link w:val="Ttulo6Car"/>
    <w:uiPriority w:val="9"/>
    <w:qFormat/>
    <w:rsid w:val="00FE3577"/>
    <w:pPr>
      <w:keepNext/>
      <w:keepLines/>
      <w:numPr>
        <w:ilvl w:val="5"/>
        <w:numId w:val="9"/>
      </w:numPr>
      <w:spacing w:before="40" w:after="0"/>
      <w:outlineLvl w:val="5"/>
    </w:pPr>
    <w:rPr>
      <w:rFonts w:ascii="Calibri Light" w:eastAsia="Times New Roman" w:hAnsi="Calibri Light"/>
      <w:color w:val="1F3763"/>
    </w:rPr>
  </w:style>
  <w:style w:type="paragraph" w:styleId="Ttulo7">
    <w:name w:val="heading 7"/>
    <w:aliases w:val="Anexo 2"/>
    <w:basedOn w:val="Normal"/>
    <w:next w:val="Normal"/>
    <w:link w:val="Ttulo7Car"/>
    <w:uiPriority w:val="9"/>
    <w:qFormat/>
    <w:rsid w:val="00FE3577"/>
    <w:pPr>
      <w:keepNext/>
      <w:keepLines/>
      <w:numPr>
        <w:ilvl w:val="6"/>
        <w:numId w:val="9"/>
      </w:numPr>
      <w:spacing w:before="40" w:after="0"/>
      <w:outlineLvl w:val="6"/>
    </w:pPr>
    <w:rPr>
      <w:rFonts w:ascii="Calibri Light" w:eastAsia="Times New Roman" w:hAnsi="Calibri Light"/>
      <w:i/>
      <w:iCs/>
      <w:color w:val="1F3763"/>
    </w:rPr>
  </w:style>
  <w:style w:type="paragraph" w:styleId="Ttulo8">
    <w:name w:val="heading 8"/>
    <w:aliases w:val="Anexo 3"/>
    <w:basedOn w:val="Normal"/>
    <w:next w:val="Normal"/>
    <w:link w:val="Ttulo8Car"/>
    <w:uiPriority w:val="9"/>
    <w:qFormat/>
    <w:rsid w:val="00FE3577"/>
    <w:pPr>
      <w:keepNext/>
      <w:keepLines/>
      <w:numPr>
        <w:ilvl w:val="7"/>
        <w:numId w:val="9"/>
      </w:numPr>
      <w:spacing w:before="40" w:after="0"/>
      <w:outlineLvl w:val="7"/>
    </w:pPr>
    <w:rPr>
      <w:rFonts w:ascii="Calibri Light" w:eastAsia="Times New Roman" w:hAnsi="Calibri Light"/>
      <w:color w:val="272727"/>
      <w:sz w:val="21"/>
      <w:szCs w:val="21"/>
    </w:rPr>
  </w:style>
  <w:style w:type="paragraph" w:styleId="Ttulo9">
    <w:name w:val="heading 9"/>
    <w:basedOn w:val="Normal"/>
    <w:next w:val="Normal"/>
    <w:link w:val="Ttulo9Car"/>
    <w:uiPriority w:val="9"/>
    <w:qFormat/>
    <w:rsid w:val="00FE3577"/>
    <w:pPr>
      <w:keepNext/>
      <w:keepLines/>
      <w:numPr>
        <w:ilvl w:val="8"/>
        <w:numId w:val="9"/>
      </w:numPr>
      <w:spacing w:before="40" w:after="0"/>
      <w:outlineLvl w:val="8"/>
    </w:pPr>
    <w:rPr>
      <w:rFonts w:ascii="Calibri Light" w:eastAsia="Times New Roman" w:hAnsi="Calibri Light"/>
      <w:i/>
      <w:iCs/>
      <w:color w:val="272727"/>
      <w:sz w:val="21"/>
      <w:szCs w:val="2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iedepgina">
    <w:name w:val="footer"/>
    <w:basedOn w:val="Normal"/>
    <w:link w:val="PiedepginaCar"/>
    <w:uiPriority w:val="99"/>
    <w:unhideWhenUsed/>
    <w:rsid w:val="00893C83"/>
    <w:pPr>
      <w:spacing w:after="0" w:line="240" w:lineRule="auto"/>
      <w:ind w:left="425" w:hanging="425"/>
    </w:pPr>
    <w:rPr>
      <w:sz w:val="20"/>
    </w:rPr>
  </w:style>
  <w:style w:type="character" w:customStyle="1" w:styleId="PiedepginaCar">
    <w:name w:val="Pie de página Car"/>
    <w:basedOn w:val="Fuentedeprrafopredeter"/>
    <w:link w:val="Piedepgina"/>
    <w:uiPriority w:val="99"/>
    <w:rsid w:val="00893C83"/>
    <w:rPr>
      <w:szCs w:val="24"/>
      <w:lang w:eastAsia="en-US"/>
    </w:rPr>
  </w:style>
  <w:style w:type="character" w:customStyle="1" w:styleId="Ttulo1Car">
    <w:name w:val="Título 1 Car"/>
    <w:link w:val="Ttulo1"/>
    <w:uiPriority w:val="9"/>
    <w:rsid w:val="00893C83"/>
    <w:rPr>
      <w:rFonts w:eastAsia="Times New Roman"/>
      <w:b/>
      <w:caps/>
      <w:color w:val="4472C4"/>
      <w:spacing w:val="-10"/>
      <w:sz w:val="28"/>
      <w:szCs w:val="32"/>
      <w:lang w:eastAsia="en-US"/>
    </w:rPr>
  </w:style>
  <w:style w:type="character" w:customStyle="1" w:styleId="Ttulo2Car">
    <w:name w:val="Título 2 Car"/>
    <w:link w:val="Ttulo2"/>
    <w:uiPriority w:val="9"/>
    <w:rsid w:val="002E6C45"/>
    <w:rPr>
      <w:rFonts w:eastAsia="Times New Roman"/>
      <w:b/>
      <w:color w:val="4472C4"/>
      <w:sz w:val="28"/>
      <w:szCs w:val="26"/>
      <w:lang w:eastAsia="en-US"/>
    </w:rPr>
  </w:style>
  <w:style w:type="character" w:customStyle="1" w:styleId="Ttulo3Car">
    <w:name w:val="Título 3 Car"/>
    <w:link w:val="Ttulo3"/>
    <w:uiPriority w:val="9"/>
    <w:rsid w:val="009D3A63"/>
    <w:rPr>
      <w:rFonts w:eastAsia="Times New Roman"/>
      <w:b/>
      <w:color w:val="4472C4"/>
      <w:sz w:val="24"/>
      <w:szCs w:val="24"/>
      <w:lang w:eastAsia="en-US"/>
    </w:rPr>
  </w:style>
  <w:style w:type="character" w:customStyle="1" w:styleId="Ttulo4Car">
    <w:name w:val="Título 4 Car"/>
    <w:link w:val="Ttulo4"/>
    <w:uiPriority w:val="9"/>
    <w:rsid w:val="00862318"/>
    <w:rPr>
      <w:rFonts w:eastAsia="Times New Roman" w:cs="Calibri"/>
      <w:iCs/>
      <w:color w:val="4472C4"/>
      <w:sz w:val="24"/>
      <w:szCs w:val="24"/>
      <w:u w:val="single"/>
      <w:lang w:eastAsia="en-US"/>
    </w:rPr>
  </w:style>
  <w:style w:type="character" w:customStyle="1" w:styleId="Ttulo5Car">
    <w:name w:val="Título 5 Car"/>
    <w:link w:val="Ttulo5"/>
    <w:uiPriority w:val="9"/>
    <w:rsid w:val="00F91D3C"/>
    <w:rPr>
      <w:rFonts w:eastAsia="Times New Roman"/>
      <w:color w:val="0070C0"/>
      <w:sz w:val="24"/>
      <w:szCs w:val="24"/>
      <w:lang w:eastAsia="en-US"/>
    </w:rPr>
  </w:style>
  <w:style w:type="character" w:customStyle="1" w:styleId="Ttulo6Car">
    <w:name w:val="Título 6 Car"/>
    <w:aliases w:val="Anexo 1 Car"/>
    <w:link w:val="Ttulo6"/>
    <w:uiPriority w:val="9"/>
    <w:rsid w:val="00FE3577"/>
    <w:rPr>
      <w:rFonts w:ascii="Calibri Light" w:eastAsia="Times New Roman" w:hAnsi="Calibri Light"/>
      <w:color w:val="1F3763"/>
      <w:sz w:val="24"/>
      <w:szCs w:val="24"/>
      <w:lang w:eastAsia="en-US"/>
    </w:rPr>
  </w:style>
  <w:style w:type="character" w:customStyle="1" w:styleId="Ttulo7Car">
    <w:name w:val="Título 7 Car"/>
    <w:aliases w:val="Anexo 2 Car"/>
    <w:link w:val="Ttulo7"/>
    <w:uiPriority w:val="9"/>
    <w:rsid w:val="00FE3577"/>
    <w:rPr>
      <w:rFonts w:ascii="Calibri Light" w:eastAsia="Times New Roman" w:hAnsi="Calibri Light"/>
      <w:i/>
      <w:iCs/>
      <w:color w:val="1F3763"/>
      <w:sz w:val="24"/>
      <w:szCs w:val="24"/>
      <w:lang w:eastAsia="en-US"/>
    </w:rPr>
  </w:style>
  <w:style w:type="character" w:customStyle="1" w:styleId="Ttulo8Car">
    <w:name w:val="Título 8 Car"/>
    <w:aliases w:val="Anexo 3 Car"/>
    <w:link w:val="Ttulo8"/>
    <w:uiPriority w:val="9"/>
    <w:rsid w:val="00FE3577"/>
    <w:rPr>
      <w:rFonts w:ascii="Calibri Light" w:eastAsia="Times New Roman" w:hAnsi="Calibri Light"/>
      <w:color w:val="272727"/>
      <w:sz w:val="21"/>
      <w:szCs w:val="21"/>
      <w:lang w:eastAsia="en-US"/>
    </w:rPr>
  </w:style>
  <w:style w:type="character" w:customStyle="1" w:styleId="Ttulo9Car">
    <w:name w:val="Título 9 Car"/>
    <w:link w:val="Ttulo9"/>
    <w:uiPriority w:val="9"/>
    <w:rsid w:val="00FE3577"/>
    <w:rPr>
      <w:rFonts w:ascii="Calibri Light" w:eastAsia="Times New Roman" w:hAnsi="Calibri Light"/>
      <w:i/>
      <w:iCs/>
      <w:color w:val="272727"/>
      <w:sz w:val="21"/>
      <w:szCs w:val="21"/>
      <w:lang w:eastAsia="en-US"/>
    </w:rPr>
  </w:style>
  <w:style w:type="paragraph" w:styleId="Subttulo">
    <w:name w:val="Subtitle"/>
    <w:aliases w:val="Título tablas"/>
    <w:basedOn w:val="Normal"/>
    <w:next w:val="Normal"/>
    <w:link w:val="SubttuloCar"/>
    <w:uiPriority w:val="11"/>
    <w:qFormat/>
    <w:rsid w:val="009D3A63"/>
    <w:pPr>
      <w:jc w:val="center"/>
    </w:pPr>
    <w:rPr>
      <w:b/>
      <w:iCs/>
      <w:sz w:val="22"/>
      <w:szCs w:val="20"/>
    </w:rPr>
  </w:style>
  <w:style w:type="paragraph" w:customStyle="1" w:styleId="Prrafodelista1">
    <w:name w:val="Párrafo de lista1"/>
    <w:aliases w:val="Párrafo de lista numerado,List1,List Paragraph1,Numbered Indented Text,List Paragraph Char Char Char,List Paragraph Char Char,Bullet 1,lp1,List Paragraph11,Bullet Styles para,List Paragraph (numbered (a)),Bullet,Numbered Para 1,Dot pt"/>
    <w:basedOn w:val="Normal"/>
    <w:link w:val="PrrafodelistaCar"/>
    <w:qFormat/>
    <w:rsid w:val="00C84AB8"/>
    <w:pPr>
      <w:ind w:left="720"/>
      <w:contextualSpacing/>
    </w:pPr>
  </w:style>
  <w:style w:type="character" w:styleId="Refdenotaalpie">
    <w:name w:val="footnote reference"/>
    <w:uiPriority w:val="99"/>
    <w:unhideWhenUsed/>
    <w:rsid w:val="0035440A"/>
    <w:rPr>
      <w:rFonts w:ascii="Calibri" w:hAnsi="Calibri"/>
      <w:caps w:val="0"/>
      <w:smallCaps w:val="0"/>
      <w:strike w:val="0"/>
      <w:dstrike w:val="0"/>
      <w:vanish w:val="0"/>
      <w:color w:val="auto"/>
      <w:spacing w:val="0"/>
      <w:w w:val="100"/>
      <w:kern w:val="0"/>
      <w:position w:val="0"/>
      <w:sz w:val="24"/>
      <w:u w:val="none"/>
      <w:vertAlign w:val="superscript"/>
    </w:rPr>
  </w:style>
  <w:style w:type="table" w:styleId="Tablaconcuadrcula">
    <w:name w:val="Table Grid"/>
    <w:basedOn w:val="Tablanormal"/>
    <w:uiPriority w:val="39"/>
    <w:rsid w:val="007052C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Mencinsinresolver1">
    <w:name w:val="Mención sin resolver1"/>
    <w:uiPriority w:val="99"/>
    <w:semiHidden/>
    <w:unhideWhenUsed/>
    <w:rsid w:val="006B2448"/>
    <w:rPr>
      <w:color w:val="605E5C"/>
      <w:shd w:val="clear" w:color="auto" w:fill="E1DFDD"/>
    </w:rPr>
  </w:style>
  <w:style w:type="paragraph" w:styleId="TDC1">
    <w:name w:val="toc 1"/>
    <w:basedOn w:val="Normal"/>
    <w:next w:val="Normal"/>
    <w:autoRedefine/>
    <w:uiPriority w:val="39"/>
    <w:unhideWhenUsed/>
    <w:rsid w:val="00640F44"/>
    <w:pPr>
      <w:tabs>
        <w:tab w:val="right" w:pos="9639"/>
      </w:tabs>
      <w:spacing w:before="120" w:after="120" w:line="240" w:lineRule="auto"/>
      <w:ind w:left="567" w:hanging="567"/>
    </w:pPr>
    <w:rPr>
      <w:b/>
      <w:caps/>
      <w:spacing w:val="-8"/>
    </w:rPr>
  </w:style>
  <w:style w:type="paragraph" w:styleId="TDC2">
    <w:name w:val="toc 2"/>
    <w:basedOn w:val="Normal"/>
    <w:next w:val="Normal"/>
    <w:autoRedefine/>
    <w:uiPriority w:val="39"/>
    <w:unhideWhenUsed/>
    <w:rsid w:val="006E081A"/>
    <w:pPr>
      <w:tabs>
        <w:tab w:val="right" w:pos="9639"/>
      </w:tabs>
      <w:spacing w:after="60" w:line="240" w:lineRule="auto"/>
      <w:ind w:left="1134" w:hanging="567"/>
    </w:pPr>
    <w:rPr>
      <w:b/>
      <w:spacing w:val="-14"/>
      <w:sz w:val="22"/>
    </w:rPr>
  </w:style>
  <w:style w:type="paragraph" w:styleId="TDC3">
    <w:name w:val="toc 3"/>
    <w:basedOn w:val="Normal"/>
    <w:next w:val="Normal"/>
    <w:autoRedefine/>
    <w:uiPriority w:val="39"/>
    <w:unhideWhenUsed/>
    <w:rsid w:val="00E04582"/>
    <w:pPr>
      <w:tabs>
        <w:tab w:val="right" w:pos="9639"/>
      </w:tabs>
      <w:spacing w:after="0" w:line="240" w:lineRule="auto"/>
      <w:ind w:left="1701" w:hanging="567"/>
    </w:pPr>
    <w:rPr>
      <w:noProof/>
      <w:sz w:val="20"/>
    </w:rPr>
  </w:style>
  <w:style w:type="paragraph" w:styleId="TDC4">
    <w:name w:val="toc 4"/>
    <w:basedOn w:val="Normal"/>
    <w:next w:val="Normal"/>
    <w:autoRedefine/>
    <w:uiPriority w:val="39"/>
    <w:unhideWhenUsed/>
    <w:rsid w:val="00640F44"/>
    <w:pPr>
      <w:tabs>
        <w:tab w:val="right" w:pos="9639"/>
      </w:tabs>
      <w:spacing w:after="0" w:line="240" w:lineRule="auto"/>
      <w:ind w:left="2552" w:hanging="851"/>
    </w:pPr>
    <w:rPr>
      <w:noProof/>
      <w:spacing w:val="-10"/>
      <w:sz w:val="20"/>
      <w:lang w:val="es-ES_tradnl"/>
    </w:rPr>
  </w:style>
  <w:style w:type="character" w:styleId="Textodelmarcadordeposicin">
    <w:name w:val="Placeholder Text"/>
    <w:uiPriority w:val="99"/>
    <w:semiHidden/>
    <w:rsid w:val="00833634"/>
    <w:rPr>
      <w:color w:val="808080"/>
    </w:rPr>
  </w:style>
  <w:style w:type="paragraph" w:styleId="Textodeglobo">
    <w:name w:val="Balloon Text"/>
    <w:basedOn w:val="Normal"/>
    <w:link w:val="TextodegloboCar"/>
    <w:uiPriority w:val="99"/>
    <w:semiHidden/>
    <w:unhideWhenUsed/>
    <w:rsid w:val="00811926"/>
    <w:pPr>
      <w:spacing w:after="0" w:line="240" w:lineRule="auto"/>
    </w:pPr>
    <w:rPr>
      <w:rFonts w:ascii="Tahoma" w:hAnsi="Tahoma" w:cs="Tahoma"/>
      <w:sz w:val="16"/>
      <w:szCs w:val="16"/>
      <w:lang w:val="en-US"/>
    </w:rPr>
  </w:style>
  <w:style w:type="character" w:customStyle="1" w:styleId="TextodegloboCar">
    <w:name w:val="Texto de globo Car"/>
    <w:link w:val="Textodeglobo"/>
    <w:uiPriority w:val="99"/>
    <w:semiHidden/>
    <w:rsid w:val="00811926"/>
    <w:rPr>
      <w:rFonts w:ascii="Tahoma" w:eastAsia="Calibri" w:hAnsi="Tahoma" w:cs="Tahoma"/>
      <w:sz w:val="16"/>
      <w:szCs w:val="16"/>
      <w:lang w:val="en-US"/>
    </w:rPr>
  </w:style>
  <w:style w:type="paragraph" w:styleId="TDC5">
    <w:name w:val="toc 5"/>
    <w:basedOn w:val="Normal"/>
    <w:next w:val="Normal"/>
    <w:autoRedefine/>
    <w:uiPriority w:val="39"/>
    <w:unhideWhenUsed/>
    <w:rsid w:val="00811926"/>
    <w:pPr>
      <w:spacing w:after="0"/>
      <w:ind w:left="800"/>
      <w:jc w:val="left"/>
    </w:pPr>
    <w:rPr>
      <w:rFonts w:cs="Calibri"/>
      <w:sz w:val="18"/>
      <w:szCs w:val="18"/>
      <w:lang w:val="en-US"/>
    </w:rPr>
  </w:style>
  <w:style w:type="paragraph" w:styleId="TDC6">
    <w:name w:val="toc 6"/>
    <w:basedOn w:val="Normal"/>
    <w:next w:val="Normal"/>
    <w:autoRedefine/>
    <w:uiPriority w:val="39"/>
    <w:unhideWhenUsed/>
    <w:rsid w:val="00811926"/>
    <w:pPr>
      <w:spacing w:after="0"/>
      <w:ind w:left="1000"/>
      <w:jc w:val="left"/>
    </w:pPr>
    <w:rPr>
      <w:rFonts w:cs="Calibri"/>
      <w:sz w:val="18"/>
      <w:szCs w:val="18"/>
      <w:lang w:val="en-US"/>
    </w:rPr>
  </w:style>
  <w:style w:type="paragraph" w:styleId="TDC7">
    <w:name w:val="toc 7"/>
    <w:basedOn w:val="Normal"/>
    <w:next w:val="Normal"/>
    <w:autoRedefine/>
    <w:uiPriority w:val="39"/>
    <w:unhideWhenUsed/>
    <w:rsid w:val="00811926"/>
    <w:pPr>
      <w:spacing w:after="0"/>
      <w:ind w:left="1200"/>
      <w:jc w:val="left"/>
    </w:pPr>
    <w:rPr>
      <w:rFonts w:cs="Calibri"/>
      <w:sz w:val="18"/>
      <w:szCs w:val="18"/>
      <w:lang w:val="en-US"/>
    </w:rPr>
  </w:style>
  <w:style w:type="paragraph" w:styleId="TDC8">
    <w:name w:val="toc 8"/>
    <w:basedOn w:val="Normal"/>
    <w:next w:val="Normal"/>
    <w:autoRedefine/>
    <w:uiPriority w:val="39"/>
    <w:unhideWhenUsed/>
    <w:rsid w:val="00811926"/>
    <w:pPr>
      <w:spacing w:after="0"/>
      <w:ind w:left="1400"/>
      <w:jc w:val="left"/>
    </w:pPr>
    <w:rPr>
      <w:rFonts w:cs="Calibri"/>
      <w:sz w:val="18"/>
      <w:szCs w:val="18"/>
      <w:lang w:val="en-US"/>
    </w:rPr>
  </w:style>
  <w:style w:type="paragraph" w:styleId="TDC9">
    <w:name w:val="toc 9"/>
    <w:basedOn w:val="Normal"/>
    <w:next w:val="Normal"/>
    <w:autoRedefine/>
    <w:uiPriority w:val="39"/>
    <w:unhideWhenUsed/>
    <w:rsid w:val="00811926"/>
    <w:pPr>
      <w:spacing w:after="0"/>
      <w:ind w:left="1600"/>
      <w:jc w:val="left"/>
    </w:pPr>
    <w:rPr>
      <w:rFonts w:cs="Calibri"/>
      <w:sz w:val="18"/>
      <w:szCs w:val="18"/>
      <w:lang w:val="en-US"/>
    </w:rPr>
  </w:style>
  <w:style w:type="character" w:customStyle="1" w:styleId="Ttulo2Car1">
    <w:name w:val="Título 2 Car1"/>
    <w:aliases w:val="Subchapter 1.1 Car1,Subchapter 2.1 Car1"/>
    <w:uiPriority w:val="9"/>
    <w:semiHidden/>
    <w:rsid w:val="00811926"/>
    <w:rPr>
      <w:rFonts w:ascii="Cambria" w:eastAsia="MS Gothic" w:hAnsi="Cambria" w:cs="Times New Roman" w:hint="default"/>
      <w:b/>
      <w:bCs/>
      <w:color w:val="4F81BD"/>
      <w:sz w:val="26"/>
      <w:szCs w:val="26"/>
      <w:lang w:val="en-US" w:eastAsia="es-ES"/>
    </w:rPr>
  </w:style>
  <w:style w:type="character" w:customStyle="1" w:styleId="Ttulo4Car1">
    <w:name w:val="Título 4 Car1"/>
    <w:aliases w:val="( i ) Car1,o Car1"/>
    <w:uiPriority w:val="9"/>
    <w:semiHidden/>
    <w:rsid w:val="00811926"/>
    <w:rPr>
      <w:rFonts w:ascii="Cambria" w:eastAsia="MS Gothic" w:hAnsi="Cambria" w:cs="Times New Roman" w:hint="default"/>
      <w:b/>
      <w:bCs/>
      <w:i/>
      <w:iCs/>
      <w:color w:val="4F81BD"/>
      <w:sz w:val="22"/>
      <w:lang w:val="en-US" w:eastAsia="es-ES"/>
    </w:rPr>
  </w:style>
  <w:style w:type="character" w:customStyle="1" w:styleId="Ttulo5Car1">
    <w:name w:val="Título 5 Car1"/>
    <w:aliases w:val="Título de Tablas Car1"/>
    <w:uiPriority w:val="9"/>
    <w:semiHidden/>
    <w:rsid w:val="00811926"/>
    <w:rPr>
      <w:rFonts w:ascii="Cambria" w:eastAsia="MS Gothic" w:hAnsi="Cambria" w:cs="Times New Roman" w:hint="default"/>
      <w:color w:val="243F60"/>
      <w:sz w:val="22"/>
      <w:lang w:val="en-US" w:eastAsia="es-ES"/>
    </w:rPr>
  </w:style>
  <w:style w:type="character" w:customStyle="1" w:styleId="Ttulo6Car1">
    <w:name w:val="Título 6 Car1"/>
    <w:aliases w:val="Anexo 1 Car1"/>
    <w:uiPriority w:val="9"/>
    <w:semiHidden/>
    <w:rsid w:val="00811926"/>
    <w:rPr>
      <w:rFonts w:ascii="Cambria" w:eastAsia="MS Gothic" w:hAnsi="Cambria" w:cs="Times New Roman" w:hint="default"/>
      <w:i/>
      <w:iCs/>
      <w:color w:val="243F60"/>
      <w:sz w:val="22"/>
      <w:lang w:val="en-US" w:eastAsia="es-ES"/>
    </w:rPr>
  </w:style>
  <w:style w:type="character" w:customStyle="1" w:styleId="Ttulo7Car1">
    <w:name w:val="Título 7 Car1"/>
    <w:aliases w:val="Anexo 2 Car1"/>
    <w:uiPriority w:val="99"/>
    <w:semiHidden/>
    <w:rsid w:val="00811926"/>
    <w:rPr>
      <w:rFonts w:ascii="Cambria" w:eastAsia="MS Gothic" w:hAnsi="Cambria" w:cs="Times New Roman" w:hint="default"/>
      <w:i/>
      <w:iCs/>
      <w:color w:val="404040"/>
      <w:sz w:val="22"/>
      <w:lang w:val="en-US" w:eastAsia="es-ES"/>
    </w:rPr>
  </w:style>
  <w:style w:type="character" w:customStyle="1" w:styleId="Ttulo8Car1">
    <w:name w:val="Título 8 Car1"/>
    <w:aliases w:val="Anexo 3 Car1"/>
    <w:uiPriority w:val="99"/>
    <w:semiHidden/>
    <w:rsid w:val="00811926"/>
    <w:rPr>
      <w:rFonts w:ascii="Cambria" w:eastAsia="MS Gothic" w:hAnsi="Cambria" w:cs="Times New Roman" w:hint="default"/>
      <w:color w:val="404040"/>
      <w:lang w:val="en-US" w:eastAsia="es-ES"/>
    </w:rPr>
  </w:style>
  <w:style w:type="paragraph" w:styleId="Mapadeldocumento">
    <w:name w:val="Document Map"/>
    <w:basedOn w:val="Normal"/>
    <w:link w:val="MapadeldocumentoCar"/>
    <w:uiPriority w:val="99"/>
    <w:semiHidden/>
    <w:unhideWhenUsed/>
    <w:rsid w:val="00811926"/>
    <w:pPr>
      <w:shd w:val="clear" w:color="auto" w:fill="000080"/>
      <w:spacing w:after="0" w:line="240" w:lineRule="auto"/>
    </w:pPr>
    <w:rPr>
      <w:rFonts w:ascii="Tahoma" w:eastAsia="Times New Roman" w:hAnsi="Tahoma" w:cs="Tahoma"/>
      <w:sz w:val="20"/>
      <w:lang w:eastAsia="es-CL"/>
    </w:rPr>
  </w:style>
  <w:style w:type="character" w:customStyle="1" w:styleId="MapadeldocumentoCar">
    <w:name w:val="Mapa del documento Car"/>
    <w:link w:val="Mapadeldocumento"/>
    <w:uiPriority w:val="99"/>
    <w:semiHidden/>
    <w:rsid w:val="00811926"/>
    <w:rPr>
      <w:rFonts w:ascii="Tahoma" w:eastAsia="Times New Roman" w:hAnsi="Tahoma" w:cs="Tahoma"/>
      <w:sz w:val="20"/>
      <w:shd w:val="clear" w:color="auto" w:fill="000080"/>
      <w:lang w:val="es-CL" w:eastAsia="es-CL"/>
    </w:rPr>
  </w:style>
  <w:style w:type="paragraph" w:styleId="Asuntodelcomentario">
    <w:name w:val="annotation subject"/>
    <w:basedOn w:val="Normal"/>
    <w:next w:val="Normal"/>
    <w:link w:val="AsuntodelcomentarioCar"/>
    <w:uiPriority w:val="99"/>
    <w:semiHidden/>
    <w:unhideWhenUsed/>
    <w:rsid w:val="00EE2F47"/>
    <w:pPr>
      <w:spacing w:after="0" w:line="240" w:lineRule="auto"/>
    </w:pPr>
    <w:rPr>
      <w:rFonts w:ascii="Times New Roman" w:eastAsia="Times New Roman" w:hAnsi="Times New Roman"/>
      <w:b/>
      <w:bCs/>
      <w:sz w:val="20"/>
      <w:lang w:eastAsia="es-CL"/>
    </w:rPr>
  </w:style>
  <w:style w:type="character" w:customStyle="1" w:styleId="AsuntodelcomentarioCar">
    <w:name w:val="Asunto del comentario Car"/>
    <w:link w:val="Asuntodelcomentario"/>
    <w:uiPriority w:val="99"/>
    <w:semiHidden/>
    <w:rsid w:val="00EE2F47"/>
    <w:rPr>
      <w:rFonts w:ascii="Times New Roman" w:eastAsia="Times New Roman" w:hAnsi="Times New Roman" w:cs="Times New Roman"/>
      <w:b/>
      <w:bCs/>
      <w:sz w:val="20"/>
      <w:lang w:val="es-CL" w:eastAsia="es-CL"/>
    </w:rPr>
  </w:style>
  <w:style w:type="paragraph" w:styleId="Revisin">
    <w:name w:val="Revision"/>
    <w:uiPriority w:val="99"/>
    <w:semiHidden/>
    <w:rsid w:val="00811926"/>
    <w:rPr>
      <w:rFonts w:ascii="Times New Roman" w:eastAsia="Times New Roman" w:hAnsi="Times New Roman"/>
      <w:sz w:val="24"/>
      <w:szCs w:val="24"/>
      <w:lang w:val="en-US" w:eastAsia="es-ES"/>
    </w:rPr>
  </w:style>
  <w:style w:type="character" w:styleId="Refdecomentario">
    <w:name w:val="annotation reference"/>
    <w:uiPriority w:val="99"/>
    <w:semiHidden/>
    <w:unhideWhenUsed/>
    <w:rsid w:val="00811926"/>
    <w:rPr>
      <w:sz w:val="16"/>
      <w:szCs w:val="16"/>
    </w:rPr>
  </w:style>
  <w:style w:type="numbering" w:customStyle="1" w:styleId="xxxxx">
    <w:name w:val="xxxxx"/>
    <w:uiPriority w:val="99"/>
    <w:locked/>
    <w:rsid w:val="00811926"/>
    <w:pPr>
      <w:numPr>
        <w:numId w:val="2"/>
      </w:numPr>
    </w:pPr>
  </w:style>
  <w:style w:type="paragraph" w:styleId="Listaconvietas">
    <w:name w:val="List Bullet"/>
    <w:basedOn w:val="Normal"/>
    <w:uiPriority w:val="99"/>
    <w:semiHidden/>
    <w:unhideWhenUsed/>
    <w:rsid w:val="00811926"/>
    <w:pPr>
      <w:numPr>
        <w:numId w:val="3"/>
      </w:numPr>
      <w:contextualSpacing/>
    </w:pPr>
    <w:rPr>
      <w:rFonts w:ascii="Arial Narrow" w:hAnsi="Arial Narrow"/>
      <w:sz w:val="22"/>
      <w:lang w:val="en-US"/>
    </w:rPr>
  </w:style>
  <w:style w:type="character" w:customStyle="1" w:styleId="TextonotapieCar1">
    <w:name w:val="Texto nota pie Car1"/>
    <w:aliases w:val="Footnote Text Char Car1"/>
    <w:uiPriority w:val="99"/>
    <w:semiHidden/>
    <w:rsid w:val="00186FDE"/>
    <w:rPr>
      <w:rFonts w:ascii="Arial Narrow" w:eastAsia="Calibri" w:hAnsi="Arial Narrow" w:cs="Times New Roman"/>
      <w:sz w:val="20"/>
      <w:szCs w:val="20"/>
      <w:lang w:val="en-US"/>
    </w:rPr>
  </w:style>
  <w:style w:type="character" w:customStyle="1" w:styleId="SubttuloCar">
    <w:name w:val="Subtítulo Car"/>
    <w:aliases w:val="Título tablas Car"/>
    <w:basedOn w:val="Fuentedeprrafopredeter"/>
    <w:link w:val="Subttulo"/>
    <w:uiPriority w:val="11"/>
    <w:rsid w:val="009D3A63"/>
    <w:rPr>
      <w:b/>
      <w:iCs/>
      <w:sz w:val="22"/>
      <w:lang w:eastAsia="en-US"/>
    </w:rPr>
  </w:style>
  <w:style w:type="character" w:styleId="Hipervnculo">
    <w:name w:val="Hyperlink"/>
    <w:basedOn w:val="Fuentedeprrafopredeter"/>
    <w:uiPriority w:val="99"/>
    <w:unhideWhenUsed/>
    <w:rsid w:val="00B865EB"/>
    <w:rPr>
      <w:color w:val="0563C1" w:themeColor="hyperlink"/>
      <w:u w:val="single"/>
    </w:rPr>
  </w:style>
  <w:style w:type="character" w:styleId="Hipervnculovisitado">
    <w:name w:val="FollowedHyperlink"/>
    <w:uiPriority w:val="99"/>
    <w:semiHidden/>
    <w:unhideWhenUsed/>
    <w:rsid w:val="00D97484"/>
    <w:rPr>
      <w:color w:val="954F72"/>
      <w:u w:val="single"/>
    </w:rPr>
  </w:style>
  <w:style w:type="character" w:customStyle="1" w:styleId="Mencinsinresolver2">
    <w:name w:val="Mención sin resolver2"/>
    <w:uiPriority w:val="99"/>
    <w:semiHidden/>
    <w:unhideWhenUsed/>
    <w:rsid w:val="002A274B"/>
    <w:rPr>
      <w:color w:val="605E5C"/>
      <w:shd w:val="clear" w:color="auto" w:fill="E1DFDD"/>
    </w:rPr>
  </w:style>
  <w:style w:type="paragraph" w:styleId="Textocomentario">
    <w:name w:val="annotation text"/>
    <w:basedOn w:val="Normal"/>
    <w:link w:val="TextocomentarioCar"/>
    <w:uiPriority w:val="99"/>
    <w:semiHidden/>
    <w:unhideWhenUsed/>
    <w:rsid w:val="00D97484"/>
    <w:pPr>
      <w:spacing w:line="240" w:lineRule="auto"/>
    </w:pPr>
    <w:rPr>
      <w:sz w:val="20"/>
      <w:szCs w:val="20"/>
    </w:rPr>
  </w:style>
  <w:style w:type="character" w:customStyle="1" w:styleId="TextocomentarioCar">
    <w:name w:val="Texto comentario Car"/>
    <w:link w:val="Textocomentario"/>
    <w:uiPriority w:val="99"/>
    <w:semiHidden/>
    <w:rsid w:val="00D97484"/>
    <w:rPr>
      <w:sz w:val="20"/>
      <w:szCs w:val="20"/>
    </w:rPr>
  </w:style>
  <w:style w:type="paragraph" w:styleId="Encabezado">
    <w:name w:val="header"/>
    <w:basedOn w:val="Normal"/>
    <w:link w:val="EncabezadoCar"/>
    <w:uiPriority w:val="99"/>
    <w:unhideWhenUsed/>
    <w:rsid w:val="009D6C18"/>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9D6C18"/>
    <w:rPr>
      <w:sz w:val="24"/>
      <w:szCs w:val="24"/>
      <w:lang w:eastAsia="en-US"/>
    </w:rPr>
  </w:style>
  <w:style w:type="paragraph" w:styleId="Textonotapie">
    <w:name w:val="footnote text"/>
    <w:basedOn w:val="Normal"/>
    <w:link w:val="TextonotapieCar"/>
    <w:uiPriority w:val="99"/>
    <w:unhideWhenUsed/>
    <w:qFormat/>
    <w:rsid w:val="009D6C18"/>
    <w:pPr>
      <w:spacing w:after="0" w:line="240" w:lineRule="auto"/>
    </w:pPr>
    <w:rPr>
      <w:sz w:val="20"/>
      <w:szCs w:val="20"/>
    </w:rPr>
  </w:style>
  <w:style w:type="character" w:customStyle="1" w:styleId="TextonotapieCar">
    <w:name w:val="Texto nota pie Car"/>
    <w:basedOn w:val="Fuentedeprrafopredeter"/>
    <w:link w:val="Textonotapie"/>
    <w:uiPriority w:val="99"/>
    <w:rsid w:val="009D6C18"/>
    <w:rPr>
      <w:lang w:eastAsia="en-US"/>
    </w:rPr>
  </w:style>
  <w:style w:type="character" w:styleId="Referenciaintensa">
    <w:name w:val="Intense Reference"/>
    <w:basedOn w:val="Fuentedeprrafopredeter"/>
    <w:uiPriority w:val="32"/>
    <w:qFormat/>
    <w:rsid w:val="0061035A"/>
    <w:rPr>
      <w:b/>
      <w:bCs/>
      <w:smallCaps/>
      <w:color w:val="4472C4" w:themeColor="accent1"/>
      <w:spacing w:val="5"/>
    </w:rPr>
  </w:style>
  <w:style w:type="paragraph" w:customStyle="1" w:styleId="Listanumerada">
    <w:name w:val="Lista numerada"/>
    <w:basedOn w:val="Normal"/>
    <w:link w:val="ListanumeradaCar"/>
    <w:qFormat/>
    <w:rsid w:val="002D4B20"/>
    <w:pPr>
      <w:numPr>
        <w:numId w:val="35"/>
      </w:numPr>
      <w:spacing w:after="120"/>
    </w:pPr>
  </w:style>
  <w:style w:type="character" w:styleId="Ttulodellibro">
    <w:name w:val="Book Title"/>
    <w:basedOn w:val="Fuentedeprrafopredeter"/>
    <w:uiPriority w:val="33"/>
    <w:qFormat/>
    <w:rsid w:val="00B82EE2"/>
    <w:rPr>
      <w:b/>
      <w:bCs/>
      <w:i/>
      <w:iCs/>
      <w:spacing w:val="5"/>
    </w:rPr>
  </w:style>
  <w:style w:type="character" w:customStyle="1" w:styleId="ListanumeradaCar">
    <w:name w:val="Lista numerada Car"/>
    <w:basedOn w:val="Fuentedeprrafopredeter"/>
    <w:link w:val="Listanumerada"/>
    <w:rsid w:val="002D4B20"/>
    <w:rPr>
      <w:sz w:val="24"/>
      <w:szCs w:val="24"/>
      <w:lang w:eastAsia="en-US"/>
    </w:rPr>
  </w:style>
  <w:style w:type="character" w:customStyle="1" w:styleId="Mencinsinresolver10">
    <w:name w:val="Mención sin resolver1"/>
    <w:uiPriority w:val="99"/>
    <w:semiHidden/>
    <w:rsid w:val="00D97484"/>
    <w:rPr>
      <w:color w:val="605E5C"/>
      <w:shd w:val="clear" w:color="auto" w:fill="E1DFDD"/>
    </w:rPr>
  </w:style>
  <w:style w:type="character" w:customStyle="1" w:styleId="Mencinsinresolver20">
    <w:name w:val="Mención sin resolver2"/>
    <w:uiPriority w:val="99"/>
    <w:semiHidden/>
    <w:unhideWhenUsed/>
    <w:rsid w:val="00B46484"/>
    <w:rPr>
      <w:color w:val="605E5C"/>
      <w:shd w:val="clear" w:color="auto" w:fill="E1DFDD"/>
    </w:rPr>
  </w:style>
  <w:style w:type="paragraph" w:styleId="Tabladeilustraciones">
    <w:name w:val="table of figures"/>
    <w:basedOn w:val="Normal"/>
    <w:next w:val="Normal"/>
    <w:uiPriority w:val="99"/>
    <w:unhideWhenUsed/>
    <w:rsid w:val="00640F44"/>
    <w:pPr>
      <w:spacing w:after="0" w:line="240" w:lineRule="auto"/>
    </w:pPr>
    <w:rPr>
      <w:sz w:val="22"/>
    </w:rPr>
  </w:style>
  <w:style w:type="paragraph" w:styleId="ndice1">
    <w:name w:val="index 1"/>
    <w:basedOn w:val="Normal"/>
    <w:next w:val="Normal"/>
    <w:autoRedefine/>
    <w:uiPriority w:val="99"/>
    <w:semiHidden/>
    <w:unhideWhenUsed/>
    <w:rsid w:val="00D1280B"/>
    <w:pPr>
      <w:spacing w:after="0" w:line="240" w:lineRule="auto"/>
      <w:ind w:left="240" w:hanging="240"/>
    </w:pPr>
    <w:rPr>
      <w:sz w:val="22"/>
    </w:rPr>
  </w:style>
  <w:style w:type="numbering" w:customStyle="1" w:styleId="Sinlista1">
    <w:name w:val="Sin lista1"/>
    <w:next w:val="Sinlista"/>
    <w:uiPriority w:val="99"/>
    <w:semiHidden/>
    <w:unhideWhenUsed/>
    <w:rsid w:val="00B37932"/>
  </w:style>
  <w:style w:type="table" w:customStyle="1" w:styleId="Tablaconcuadrcula1">
    <w:name w:val="Tabla con cuadrícula1"/>
    <w:basedOn w:val="Tablanormal"/>
    <w:next w:val="Tablaconcuadrcula"/>
    <w:uiPriority w:val="59"/>
    <w:rsid w:val="00B37932"/>
    <w:rPr>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rrafodelistaCar">
    <w:name w:val="Párrafo de lista Car"/>
    <w:aliases w:val="Párrafo de lista numerado Car,List1 Car,List Paragraph1 Car,Numbered Indented Text Car,List Paragraph Char Char Char Car,List Paragraph Char Char Car,Bullet 1 Car,lp1 Car,List Paragraph11 Car,Bullet Styles para Car,Bullet Car"/>
    <w:link w:val="Prrafodelista1"/>
    <w:uiPriority w:val="34"/>
    <w:qFormat/>
    <w:locked/>
    <w:rsid w:val="00176585"/>
    <w:rPr>
      <w:sz w:val="24"/>
      <w:szCs w:val="24"/>
      <w:lang w:eastAsia="en-US"/>
    </w:rPr>
  </w:style>
  <w:style w:type="character" w:customStyle="1" w:styleId="Mencinsinresolver3">
    <w:name w:val="Mención sin resolver3"/>
    <w:uiPriority w:val="99"/>
    <w:semiHidden/>
    <w:unhideWhenUsed/>
    <w:rsid w:val="00F53886"/>
    <w:rPr>
      <w:color w:val="605E5C"/>
      <w:shd w:val="clear" w:color="auto" w:fill="E1DFDD"/>
    </w:rPr>
  </w:style>
  <w:style w:type="paragraph" w:customStyle="1" w:styleId="Parrafodelistanumeral">
    <w:name w:val="Parrafo de lista numeral"/>
    <w:basedOn w:val="Prrafodelista1"/>
    <w:qFormat/>
    <w:rsid w:val="00D475CC"/>
    <w:pPr>
      <w:numPr>
        <w:numId w:val="4"/>
      </w:numPr>
      <w:spacing w:before="240" w:after="240"/>
      <w:ind w:left="357" w:hanging="357"/>
      <w:contextualSpacing w:val="0"/>
    </w:pPr>
    <w:rPr>
      <w:rFonts w:ascii="Arial Narrow" w:hAnsi="Arial Narrow"/>
      <w:sz w:val="22"/>
      <w:szCs w:val="22"/>
      <w:lang w:val="en-US"/>
    </w:rPr>
  </w:style>
  <w:style w:type="paragraph" w:styleId="Prrafodelista">
    <w:name w:val="List Paragraph"/>
    <w:aliases w:val="lista en viñeta"/>
    <w:basedOn w:val="Normal"/>
    <w:uiPriority w:val="34"/>
    <w:qFormat/>
    <w:rsid w:val="009D3A63"/>
    <w:pPr>
      <w:numPr>
        <w:numId w:val="10"/>
      </w:numPr>
    </w:pPr>
  </w:style>
  <w:style w:type="table" w:customStyle="1" w:styleId="Tablaconcuadrcula2">
    <w:name w:val="Tabla con cuadrícula2"/>
    <w:basedOn w:val="Tablanormal"/>
    <w:next w:val="Tablaconcuadrcula"/>
    <w:uiPriority w:val="39"/>
    <w:rsid w:val="001A42E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3">
    <w:name w:val="Tabla con cuadrícula3"/>
    <w:basedOn w:val="Tablanormal"/>
    <w:next w:val="Tablaconcuadrcula"/>
    <w:uiPriority w:val="39"/>
    <w:rsid w:val="001A42E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Mencinsinresolver4">
    <w:name w:val="Mención sin resolver4"/>
    <w:basedOn w:val="Fuentedeprrafopredeter"/>
    <w:uiPriority w:val="99"/>
    <w:semiHidden/>
    <w:unhideWhenUsed/>
    <w:rsid w:val="003E19A2"/>
    <w:rPr>
      <w:color w:val="605E5C"/>
      <w:shd w:val="clear" w:color="auto" w:fill="E1DFDD"/>
    </w:rPr>
  </w:style>
  <w:style w:type="paragraph" w:styleId="Epgrafe">
    <w:name w:val="caption"/>
    <w:basedOn w:val="Normal"/>
    <w:next w:val="Normal"/>
    <w:uiPriority w:val="35"/>
    <w:unhideWhenUsed/>
    <w:qFormat/>
    <w:rsid w:val="003E19A2"/>
    <w:pPr>
      <w:spacing w:after="240" w:line="240" w:lineRule="auto"/>
    </w:pPr>
    <w:rPr>
      <w:rFonts w:asciiTheme="minorHAnsi" w:eastAsiaTheme="minorHAnsi" w:hAnsiTheme="minorHAnsi" w:cstheme="minorBidi"/>
      <w:i/>
      <w:iCs/>
      <w:color w:val="44546A" w:themeColor="text2"/>
      <w:sz w:val="18"/>
      <w:szCs w:val="18"/>
    </w:rPr>
  </w:style>
  <w:style w:type="character" w:customStyle="1" w:styleId="Mencinsinresolver5">
    <w:name w:val="Mención sin resolver5"/>
    <w:basedOn w:val="Fuentedeprrafopredeter"/>
    <w:uiPriority w:val="99"/>
    <w:semiHidden/>
    <w:unhideWhenUsed/>
    <w:rsid w:val="0087158B"/>
    <w:rPr>
      <w:color w:val="605E5C"/>
      <w:shd w:val="clear" w:color="auto" w:fill="E1DFDD"/>
    </w:rPr>
  </w:style>
  <w:style w:type="table" w:customStyle="1" w:styleId="Tablaconcuadrcula21">
    <w:name w:val="Tabla con cuadrícula21"/>
    <w:basedOn w:val="Tablanormal"/>
    <w:next w:val="Tablaconcuadrcula"/>
    <w:uiPriority w:val="39"/>
    <w:rsid w:val="0087158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31">
    <w:name w:val="Tabla con cuadrícula31"/>
    <w:basedOn w:val="Tablanormal"/>
    <w:next w:val="Tablaconcuadrcula"/>
    <w:uiPriority w:val="39"/>
    <w:rsid w:val="0087158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
    <w:name w:val="Unresolved Mention"/>
    <w:basedOn w:val="Fuentedeprrafopredeter"/>
    <w:uiPriority w:val="99"/>
    <w:semiHidden/>
    <w:unhideWhenUsed/>
    <w:rsid w:val="00E04582"/>
    <w:rPr>
      <w:color w:val="605E5C"/>
      <w:shd w:val="clear" w:color="auto" w:fill="E1DFDD"/>
    </w:rPr>
  </w:style>
  <w:style w:type="paragraph" w:styleId="Ttulo">
    <w:name w:val="Title"/>
    <w:basedOn w:val="Normal"/>
    <w:next w:val="Normal"/>
    <w:link w:val="TtuloCar"/>
    <w:uiPriority w:val="10"/>
    <w:qFormat/>
    <w:rsid w:val="00ED0E24"/>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10"/>
    <w:rsid w:val="00ED0E24"/>
    <w:rPr>
      <w:rFonts w:asciiTheme="majorHAnsi" w:eastAsiaTheme="majorEastAsia" w:hAnsiTheme="majorHAnsi" w:cstheme="majorBidi"/>
      <w:spacing w:val="-10"/>
      <w:kern w:val="28"/>
      <w:sz w:val="56"/>
      <w:szCs w:val="56"/>
      <w:lang w:eastAsia="en-US"/>
    </w:rPr>
  </w:style>
  <w:style w:type="character" w:customStyle="1" w:styleId="Mencinsinresolver50">
    <w:name w:val="Mención sin resolver5"/>
    <w:basedOn w:val="Fuentedeprrafopredeter"/>
    <w:uiPriority w:val="99"/>
    <w:semiHidden/>
    <w:unhideWhenUsed/>
    <w:rsid w:val="00ED0E24"/>
    <w:rPr>
      <w:color w:val="605E5C"/>
      <w:shd w:val="clear" w:color="auto" w:fill="E1DFDD"/>
    </w:rPr>
  </w:style>
  <w:style w:type="character" w:customStyle="1" w:styleId="Mencinsinresolver6">
    <w:name w:val="Mención sin resolver6"/>
    <w:basedOn w:val="Fuentedeprrafopredeter"/>
    <w:uiPriority w:val="99"/>
    <w:semiHidden/>
    <w:unhideWhenUsed/>
    <w:rsid w:val="009A09ED"/>
    <w:rPr>
      <w:color w:val="605E5C"/>
      <w:shd w:val="clear" w:color="auto" w:fill="E1DFDD"/>
    </w:rPr>
  </w:style>
  <w:style w:type="paragraph" w:customStyle="1" w:styleId="msonormal0">
    <w:name w:val="msonormal"/>
    <w:basedOn w:val="Normal"/>
    <w:rsid w:val="009A09ED"/>
    <w:pPr>
      <w:spacing w:before="100" w:beforeAutospacing="1" w:after="100" w:afterAutospacing="1" w:line="240" w:lineRule="auto"/>
      <w:jc w:val="left"/>
    </w:pPr>
    <w:rPr>
      <w:rFonts w:ascii="Times New Roman" w:eastAsia="Times New Roman" w:hAnsi="Times New Roman"/>
      <w:lang w:val="es-AR" w:eastAsia="es-AR"/>
    </w:rPr>
  </w:style>
  <w:style w:type="paragraph" w:customStyle="1" w:styleId="xl64">
    <w:name w:val="xl64"/>
    <w:basedOn w:val="Normal"/>
    <w:rsid w:val="009A09E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0"/>
      <w:szCs w:val="20"/>
      <w:lang w:val="es-AR" w:eastAsia="es-AR"/>
    </w:rPr>
  </w:style>
  <w:style w:type="paragraph" w:customStyle="1" w:styleId="xl65">
    <w:name w:val="xl65"/>
    <w:basedOn w:val="Normal"/>
    <w:rsid w:val="009A09E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0"/>
      <w:szCs w:val="20"/>
      <w:lang w:val="es-AR" w:eastAsia="es-AR"/>
    </w:rPr>
  </w:style>
  <w:style w:type="paragraph" w:customStyle="1" w:styleId="xl66">
    <w:name w:val="xl66"/>
    <w:basedOn w:val="Normal"/>
    <w:rsid w:val="009A09E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0"/>
      <w:szCs w:val="20"/>
      <w:lang w:val="es-AR" w:eastAsia="es-AR"/>
    </w:rPr>
  </w:style>
  <w:style w:type="paragraph" w:customStyle="1" w:styleId="xl63">
    <w:name w:val="xl63"/>
    <w:basedOn w:val="Normal"/>
    <w:rsid w:val="004730B7"/>
    <w:pPr>
      <w:spacing w:before="100" w:beforeAutospacing="1" w:after="100" w:afterAutospacing="1" w:line="240" w:lineRule="auto"/>
      <w:jc w:val="left"/>
    </w:pPr>
    <w:rPr>
      <w:rFonts w:ascii="Times New Roman" w:eastAsia="Times New Roman" w:hAnsi="Times New Roman"/>
      <w:b/>
      <w:bCs/>
      <w:lang w:eastAsia="es-CL"/>
    </w:rPr>
  </w:style>
  <w:style w:type="paragraph" w:customStyle="1" w:styleId="xl67">
    <w:name w:val="xl67"/>
    <w:basedOn w:val="Normal"/>
    <w:rsid w:val="004730B7"/>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pPr>
    <w:rPr>
      <w:rFonts w:ascii="Times New Roman" w:eastAsia="Times New Roman" w:hAnsi="Times New Roman"/>
      <w:b/>
      <w:bCs/>
      <w:lang w:eastAsia="es-CL"/>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s-CL" w:eastAsia="es-C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Table" w:semiHidden="0" w:unhideWhenUsed="0"/>
    <w:lsdException w:name="Table Subtle 1" w:semiHidden="0" w:unhideWhenUsed="0"/>
    <w:lsdException w:name="Table Web 2" w:semiHidden="0" w:unhideWhenUsed="0"/>
    <w:lsdException w:name="Table Web 3" w:semiHidden="0" w:unhideWhenUsed="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93C83"/>
    <w:pPr>
      <w:spacing w:after="200" w:line="264" w:lineRule="auto"/>
      <w:jc w:val="both"/>
    </w:pPr>
    <w:rPr>
      <w:sz w:val="24"/>
      <w:szCs w:val="24"/>
      <w:lang w:eastAsia="en-US"/>
    </w:rPr>
  </w:style>
  <w:style w:type="paragraph" w:styleId="Ttulo1">
    <w:name w:val="heading 1"/>
    <w:basedOn w:val="Normal"/>
    <w:next w:val="Normal"/>
    <w:link w:val="Ttulo1Car"/>
    <w:uiPriority w:val="9"/>
    <w:qFormat/>
    <w:rsid w:val="00893C83"/>
    <w:pPr>
      <w:numPr>
        <w:numId w:val="9"/>
      </w:numPr>
      <w:spacing w:before="120" w:after="240"/>
      <w:outlineLvl w:val="0"/>
    </w:pPr>
    <w:rPr>
      <w:rFonts w:eastAsia="Times New Roman"/>
      <w:b/>
      <w:caps/>
      <w:color w:val="4472C4"/>
      <w:spacing w:val="-10"/>
      <w:sz w:val="28"/>
      <w:szCs w:val="32"/>
    </w:rPr>
  </w:style>
  <w:style w:type="paragraph" w:styleId="Ttulo2">
    <w:name w:val="heading 2"/>
    <w:basedOn w:val="Normal"/>
    <w:next w:val="Normal"/>
    <w:link w:val="Ttulo2Car"/>
    <w:uiPriority w:val="9"/>
    <w:qFormat/>
    <w:rsid w:val="002E6C45"/>
    <w:pPr>
      <w:numPr>
        <w:ilvl w:val="1"/>
        <w:numId w:val="9"/>
      </w:numPr>
      <w:spacing w:before="120" w:after="240"/>
      <w:outlineLvl w:val="1"/>
    </w:pPr>
    <w:rPr>
      <w:rFonts w:eastAsia="Times New Roman"/>
      <w:b/>
      <w:color w:val="4472C4"/>
      <w:sz w:val="28"/>
      <w:szCs w:val="26"/>
    </w:rPr>
  </w:style>
  <w:style w:type="paragraph" w:styleId="Ttulo3">
    <w:name w:val="heading 3"/>
    <w:basedOn w:val="Normal"/>
    <w:next w:val="Normal"/>
    <w:link w:val="Ttulo3Car"/>
    <w:uiPriority w:val="9"/>
    <w:qFormat/>
    <w:rsid w:val="009D3A63"/>
    <w:pPr>
      <w:numPr>
        <w:ilvl w:val="2"/>
        <w:numId w:val="9"/>
      </w:numPr>
      <w:outlineLvl w:val="2"/>
    </w:pPr>
    <w:rPr>
      <w:rFonts w:eastAsia="Times New Roman"/>
      <w:b/>
      <w:color w:val="4472C4"/>
    </w:rPr>
  </w:style>
  <w:style w:type="paragraph" w:styleId="Ttulo4">
    <w:name w:val="heading 4"/>
    <w:basedOn w:val="Normal"/>
    <w:next w:val="Normal"/>
    <w:link w:val="Ttulo4Car"/>
    <w:uiPriority w:val="9"/>
    <w:qFormat/>
    <w:rsid w:val="00862318"/>
    <w:pPr>
      <w:numPr>
        <w:ilvl w:val="3"/>
        <w:numId w:val="9"/>
      </w:numPr>
      <w:ind w:left="992" w:hanging="992"/>
      <w:outlineLvl w:val="3"/>
    </w:pPr>
    <w:rPr>
      <w:rFonts w:eastAsia="Times New Roman" w:cs="Calibri"/>
      <w:iCs/>
      <w:color w:val="4472C4"/>
      <w:u w:val="single"/>
    </w:rPr>
  </w:style>
  <w:style w:type="paragraph" w:styleId="Ttulo5">
    <w:name w:val="heading 5"/>
    <w:basedOn w:val="Normal"/>
    <w:next w:val="Normal"/>
    <w:link w:val="Ttulo5Car"/>
    <w:uiPriority w:val="9"/>
    <w:qFormat/>
    <w:rsid w:val="00F91D3C"/>
    <w:pPr>
      <w:numPr>
        <w:ilvl w:val="4"/>
        <w:numId w:val="9"/>
      </w:numPr>
      <w:ind w:left="1134" w:hanging="1134"/>
      <w:outlineLvl w:val="4"/>
    </w:pPr>
    <w:rPr>
      <w:rFonts w:eastAsia="Times New Roman"/>
      <w:color w:val="0070C0"/>
    </w:rPr>
  </w:style>
  <w:style w:type="paragraph" w:styleId="Ttulo6">
    <w:name w:val="heading 6"/>
    <w:aliases w:val="Anexo 1"/>
    <w:basedOn w:val="Normal"/>
    <w:next w:val="Normal"/>
    <w:link w:val="Ttulo6Car"/>
    <w:uiPriority w:val="9"/>
    <w:qFormat/>
    <w:rsid w:val="00FE3577"/>
    <w:pPr>
      <w:keepNext/>
      <w:keepLines/>
      <w:numPr>
        <w:ilvl w:val="5"/>
        <w:numId w:val="9"/>
      </w:numPr>
      <w:spacing w:before="40" w:after="0"/>
      <w:outlineLvl w:val="5"/>
    </w:pPr>
    <w:rPr>
      <w:rFonts w:ascii="Calibri Light" w:eastAsia="Times New Roman" w:hAnsi="Calibri Light"/>
      <w:color w:val="1F3763"/>
    </w:rPr>
  </w:style>
  <w:style w:type="paragraph" w:styleId="Ttulo7">
    <w:name w:val="heading 7"/>
    <w:aliases w:val="Anexo 2"/>
    <w:basedOn w:val="Normal"/>
    <w:next w:val="Normal"/>
    <w:link w:val="Ttulo7Car"/>
    <w:uiPriority w:val="9"/>
    <w:qFormat/>
    <w:rsid w:val="00FE3577"/>
    <w:pPr>
      <w:keepNext/>
      <w:keepLines/>
      <w:numPr>
        <w:ilvl w:val="6"/>
        <w:numId w:val="9"/>
      </w:numPr>
      <w:spacing w:before="40" w:after="0"/>
      <w:outlineLvl w:val="6"/>
    </w:pPr>
    <w:rPr>
      <w:rFonts w:ascii="Calibri Light" w:eastAsia="Times New Roman" w:hAnsi="Calibri Light"/>
      <w:i/>
      <w:iCs/>
      <w:color w:val="1F3763"/>
    </w:rPr>
  </w:style>
  <w:style w:type="paragraph" w:styleId="Ttulo8">
    <w:name w:val="heading 8"/>
    <w:aliases w:val="Anexo 3"/>
    <w:basedOn w:val="Normal"/>
    <w:next w:val="Normal"/>
    <w:link w:val="Ttulo8Car"/>
    <w:uiPriority w:val="9"/>
    <w:qFormat/>
    <w:rsid w:val="00FE3577"/>
    <w:pPr>
      <w:keepNext/>
      <w:keepLines/>
      <w:numPr>
        <w:ilvl w:val="7"/>
        <w:numId w:val="9"/>
      </w:numPr>
      <w:spacing w:before="40" w:after="0"/>
      <w:outlineLvl w:val="7"/>
    </w:pPr>
    <w:rPr>
      <w:rFonts w:ascii="Calibri Light" w:eastAsia="Times New Roman" w:hAnsi="Calibri Light"/>
      <w:color w:val="272727"/>
      <w:sz w:val="21"/>
      <w:szCs w:val="21"/>
    </w:rPr>
  </w:style>
  <w:style w:type="paragraph" w:styleId="Ttulo9">
    <w:name w:val="heading 9"/>
    <w:basedOn w:val="Normal"/>
    <w:next w:val="Normal"/>
    <w:link w:val="Ttulo9Car"/>
    <w:uiPriority w:val="9"/>
    <w:qFormat/>
    <w:rsid w:val="00FE3577"/>
    <w:pPr>
      <w:keepNext/>
      <w:keepLines/>
      <w:numPr>
        <w:ilvl w:val="8"/>
        <w:numId w:val="9"/>
      </w:numPr>
      <w:spacing w:before="40" w:after="0"/>
      <w:outlineLvl w:val="8"/>
    </w:pPr>
    <w:rPr>
      <w:rFonts w:ascii="Calibri Light" w:eastAsia="Times New Roman" w:hAnsi="Calibri Light"/>
      <w:i/>
      <w:iCs/>
      <w:color w:val="272727"/>
      <w:sz w:val="21"/>
      <w:szCs w:val="2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iedepgina">
    <w:name w:val="footer"/>
    <w:basedOn w:val="Normal"/>
    <w:link w:val="PiedepginaCar"/>
    <w:uiPriority w:val="99"/>
    <w:unhideWhenUsed/>
    <w:rsid w:val="00893C83"/>
    <w:pPr>
      <w:spacing w:after="0" w:line="240" w:lineRule="auto"/>
      <w:ind w:left="425" w:hanging="425"/>
    </w:pPr>
    <w:rPr>
      <w:sz w:val="20"/>
    </w:rPr>
  </w:style>
  <w:style w:type="character" w:customStyle="1" w:styleId="PiedepginaCar">
    <w:name w:val="Pie de página Car"/>
    <w:basedOn w:val="Fuentedeprrafopredeter"/>
    <w:link w:val="Piedepgina"/>
    <w:uiPriority w:val="99"/>
    <w:rsid w:val="00893C83"/>
    <w:rPr>
      <w:szCs w:val="24"/>
      <w:lang w:eastAsia="en-US"/>
    </w:rPr>
  </w:style>
  <w:style w:type="character" w:customStyle="1" w:styleId="Ttulo1Car">
    <w:name w:val="Título 1 Car"/>
    <w:link w:val="Ttulo1"/>
    <w:uiPriority w:val="9"/>
    <w:rsid w:val="00893C83"/>
    <w:rPr>
      <w:rFonts w:eastAsia="Times New Roman"/>
      <w:b/>
      <w:caps/>
      <w:color w:val="4472C4"/>
      <w:spacing w:val="-10"/>
      <w:sz w:val="28"/>
      <w:szCs w:val="32"/>
      <w:lang w:eastAsia="en-US"/>
    </w:rPr>
  </w:style>
  <w:style w:type="character" w:customStyle="1" w:styleId="Ttulo2Car">
    <w:name w:val="Título 2 Car"/>
    <w:link w:val="Ttulo2"/>
    <w:uiPriority w:val="9"/>
    <w:rsid w:val="002E6C45"/>
    <w:rPr>
      <w:rFonts w:eastAsia="Times New Roman"/>
      <w:b/>
      <w:color w:val="4472C4"/>
      <w:sz w:val="28"/>
      <w:szCs w:val="26"/>
      <w:lang w:eastAsia="en-US"/>
    </w:rPr>
  </w:style>
  <w:style w:type="character" w:customStyle="1" w:styleId="Ttulo3Car">
    <w:name w:val="Título 3 Car"/>
    <w:link w:val="Ttulo3"/>
    <w:uiPriority w:val="9"/>
    <w:rsid w:val="009D3A63"/>
    <w:rPr>
      <w:rFonts w:eastAsia="Times New Roman"/>
      <w:b/>
      <w:color w:val="4472C4"/>
      <w:sz w:val="24"/>
      <w:szCs w:val="24"/>
      <w:lang w:eastAsia="en-US"/>
    </w:rPr>
  </w:style>
  <w:style w:type="character" w:customStyle="1" w:styleId="Ttulo4Car">
    <w:name w:val="Título 4 Car"/>
    <w:link w:val="Ttulo4"/>
    <w:uiPriority w:val="9"/>
    <w:rsid w:val="00862318"/>
    <w:rPr>
      <w:rFonts w:eastAsia="Times New Roman" w:cs="Calibri"/>
      <w:iCs/>
      <w:color w:val="4472C4"/>
      <w:sz w:val="24"/>
      <w:szCs w:val="24"/>
      <w:u w:val="single"/>
      <w:lang w:eastAsia="en-US"/>
    </w:rPr>
  </w:style>
  <w:style w:type="character" w:customStyle="1" w:styleId="Ttulo5Car">
    <w:name w:val="Título 5 Car"/>
    <w:link w:val="Ttulo5"/>
    <w:uiPriority w:val="9"/>
    <w:rsid w:val="00F91D3C"/>
    <w:rPr>
      <w:rFonts w:eastAsia="Times New Roman"/>
      <w:color w:val="0070C0"/>
      <w:sz w:val="24"/>
      <w:szCs w:val="24"/>
      <w:lang w:eastAsia="en-US"/>
    </w:rPr>
  </w:style>
  <w:style w:type="character" w:customStyle="1" w:styleId="Ttulo6Car">
    <w:name w:val="Título 6 Car"/>
    <w:aliases w:val="Anexo 1 Car"/>
    <w:link w:val="Ttulo6"/>
    <w:uiPriority w:val="9"/>
    <w:rsid w:val="00FE3577"/>
    <w:rPr>
      <w:rFonts w:ascii="Calibri Light" w:eastAsia="Times New Roman" w:hAnsi="Calibri Light"/>
      <w:color w:val="1F3763"/>
      <w:sz w:val="24"/>
      <w:szCs w:val="24"/>
      <w:lang w:eastAsia="en-US"/>
    </w:rPr>
  </w:style>
  <w:style w:type="character" w:customStyle="1" w:styleId="Ttulo7Car">
    <w:name w:val="Título 7 Car"/>
    <w:aliases w:val="Anexo 2 Car"/>
    <w:link w:val="Ttulo7"/>
    <w:uiPriority w:val="9"/>
    <w:rsid w:val="00FE3577"/>
    <w:rPr>
      <w:rFonts w:ascii="Calibri Light" w:eastAsia="Times New Roman" w:hAnsi="Calibri Light"/>
      <w:i/>
      <w:iCs/>
      <w:color w:val="1F3763"/>
      <w:sz w:val="24"/>
      <w:szCs w:val="24"/>
      <w:lang w:eastAsia="en-US"/>
    </w:rPr>
  </w:style>
  <w:style w:type="character" w:customStyle="1" w:styleId="Ttulo8Car">
    <w:name w:val="Título 8 Car"/>
    <w:aliases w:val="Anexo 3 Car"/>
    <w:link w:val="Ttulo8"/>
    <w:uiPriority w:val="9"/>
    <w:rsid w:val="00FE3577"/>
    <w:rPr>
      <w:rFonts w:ascii="Calibri Light" w:eastAsia="Times New Roman" w:hAnsi="Calibri Light"/>
      <w:color w:val="272727"/>
      <w:sz w:val="21"/>
      <w:szCs w:val="21"/>
      <w:lang w:eastAsia="en-US"/>
    </w:rPr>
  </w:style>
  <w:style w:type="character" w:customStyle="1" w:styleId="Ttulo9Car">
    <w:name w:val="Título 9 Car"/>
    <w:link w:val="Ttulo9"/>
    <w:uiPriority w:val="9"/>
    <w:rsid w:val="00FE3577"/>
    <w:rPr>
      <w:rFonts w:ascii="Calibri Light" w:eastAsia="Times New Roman" w:hAnsi="Calibri Light"/>
      <w:i/>
      <w:iCs/>
      <w:color w:val="272727"/>
      <w:sz w:val="21"/>
      <w:szCs w:val="21"/>
      <w:lang w:eastAsia="en-US"/>
    </w:rPr>
  </w:style>
  <w:style w:type="paragraph" w:styleId="Subttulo">
    <w:name w:val="Subtitle"/>
    <w:aliases w:val="Título tablas"/>
    <w:basedOn w:val="Normal"/>
    <w:next w:val="Normal"/>
    <w:link w:val="SubttuloCar"/>
    <w:uiPriority w:val="11"/>
    <w:qFormat/>
    <w:rsid w:val="009D3A63"/>
    <w:pPr>
      <w:jc w:val="center"/>
    </w:pPr>
    <w:rPr>
      <w:b/>
      <w:iCs/>
      <w:sz w:val="22"/>
      <w:szCs w:val="20"/>
    </w:rPr>
  </w:style>
  <w:style w:type="paragraph" w:customStyle="1" w:styleId="Prrafodelista1">
    <w:name w:val="Párrafo de lista1"/>
    <w:aliases w:val="Párrafo de lista numerado,List1,List Paragraph1,Numbered Indented Text,List Paragraph Char Char Char,List Paragraph Char Char,Bullet 1,lp1,List Paragraph11,Bullet Styles para,List Paragraph (numbered (a)),Bullet,Numbered Para 1,Dot pt"/>
    <w:basedOn w:val="Normal"/>
    <w:link w:val="PrrafodelistaCar"/>
    <w:qFormat/>
    <w:rsid w:val="00C84AB8"/>
    <w:pPr>
      <w:ind w:left="720"/>
      <w:contextualSpacing/>
    </w:pPr>
  </w:style>
  <w:style w:type="character" w:styleId="Refdenotaalpie">
    <w:name w:val="footnote reference"/>
    <w:uiPriority w:val="99"/>
    <w:unhideWhenUsed/>
    <w:rsid w:val="0035440A"/>
    <w:rPr>
      <w:rFonts w:ascii="Calibri" w:hAnsi="Calibri"/>
      <w:caps w:val="0"/>
      <w:smallCaps w:val="0"/>
      <w:strike w:val="0"/>
      <w:dstrike w:val="0"/>
      <w:vanish w:val="0"/>
      <w:color w:val="auto"/>
      <w:spacing w:val="0"/>
      <w:w w:val="100"/>
      <w:kern w:val="0"/>
      <w:position w:val="0"/>
      <w:sz w:val="24"/>
      <w:u w:val="none"/>
      <w:vertAlign w:val="superscript"/>
    </w:rPr>
  </w:style>
  <w:style w:type="table" w:styleId="Tablaconcuadrcula">
    <w:name w:val="Table Grid"/>
    <w:basedOn w:val="Tablanormal"/>
    <w:uiPriority w:val="39"/>
    <w:rsid w:val="007052C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Mencinsinresolver1">
    <w:name w:val="Mención sin resolver1"/>
    <w:uiPriority w:val="99"/>
    <w:semiHidden/>
    <w:unhideWhenUsed/>
    <w:rsid w:val="006B2448"/>
    <w:rPr>
      <w:color w:val="605E5C"/>
      <w:shd w:val="clear" w:color="auto" w:fill="E1DFDD"/>
    </w:rPr>
  </w:style>
  <w:style w:type="paragraph" w:styleId="TDC1">
    <w:name w:val="toc 1"/>
    <w:basedOn w:val="Normal"/>
    <w:next w:val="Normal"/>
    <w:autoRedefine/>
    <w:uiPriority w:val="39"/>
    <w:unhideWhenUsed/>
    <w:rsid w:val="00640F44"/>
    <w:pPr>
      <w:tabs>
        <w:tab w:val="right" w:pos="9639"/>
      </w:tabs>
      <w:spacing w:before="120" w:after="120" w:line="240" w:lineRule="auto"/>
      <w:ind w:left="567" w:hanging="567"/>
    </w:pPr>
    <w:rPr>
      <w:b/>
      <w:caps/>
      <w:spacing w:val="-8"/>
    </w:rPr>
  </w:style>
  <w:style w:type="paragraph" w:styleId="TDC2">
    <w:name w:val="toc 2"/>
    <w:basedOn w:val="Normal"/>
    <w:next w:val="Normal"/>
    <w:autoRedefine/>
    <w:uiPriority w:val="39"/>
    <w:unhideWhenUsed/>
    <w:rsid w:val="006E081A"/>
    <w:pPr>
      <w:tabs>
        <w:tab w:val="right" w:pos="9639"/>
      </w:tabs>
      <w:spacing w:after="60" w:line="240" w:lineRule="auto"/>
      <w:ind w:left="1134" w:hanging="567"/>
    </w:pPr>
    <w:rPr>
      <w:b/>
      <w:spacing w:val="-14"/>
      <w:sz w:val="22"/>
    </w:rPr>
  </w:style>
  <w:style w:type="paragraph" w:styleId="TDC3">
    <w:name w:val="toc 3"/>
    <w:basedOn w:val="Normal"/>
    <w:next w:val="Normal"/>
    <w:autoRedefine/>
    <w:uiPriority w:val="39"/>
    <w:unhideWhenUsed/>
    <w:rsid w:val="00E04582"/>
    <w:pPr>
      <w:tabs>
        <w:tab w:val="right" w:pos="9639"/>
      </w:tabs>
      <w:spacing w:after="0" w:line="240" w:lineRule="auto"/>
      <w:ind w:left="1701" w:hanging="567"/>
    </w:pPr>
    <w:rPr>
      <w:noProof/>
      <w:sz w:val="20"/>
    </w:rPr>
  </w:style>
  <w:style w:type="paragraph" w:styleId="TDC4">
    <w:name w:val="toc 4"/>
    <w:basedOn w:val="Normal"/>
    <w:next w:val="Normal"/>
    <w:autoRedefine/>
    <w:uiPriority w:val="39"/>
    <w:unhideWhenUsed/>
    <w:rsid w:val="00640F44"/>
    <w:pPr>
      <w:tabs>
        <w:tab w:val="right" w:pos="9639"/>
      </w:tabs>
      <w:spacing w:after="0" w:line="240" w:lineRule="auto"/>
      <w:ind w:left="2552" w:hanging="851"/>
    </w:pPr>
    <w:rPr>
      <w:noProof/>
      <w:spacing w:val="-10"/>
      <w:sz w:val="20"/>
      <w:lang w:val="es-ES_tradnl"/>
    </w:rPr>
  </w:style>
  <w:style w:type="character" w:styleId="Textodelmarcadordeposicin">
    <w:name w:val="Placeholder Text"/>
    <w:uiPriority w:val="99"/>
    <w:semiHidden/>
    <w:rsid w:val="00833634"/>
    <w:rPr>
      <w:color w:val="808080"/>
    </w:rPr>
  </w:style>
  <w:style w:type="paragraph" w:styleId="Textodeglobo">
    <w:name w:val="Balloon Text"/>
    <w:basedOn w:val="Normal"/>
    <w:link w:val="TextodegloboCar"/>
    <w:uiPriority w:val="99"/>
    <w:semiHidden/>
    <w:unhideWhenUsed/>
    <w:rsid w:val="00811926"/>
    <w:pPr>
      <w:spacing w:after="0" w:line="240" w:lineRule="auto"/>
    </w:pPr>
    <w:rPr>
      <w:rFonts w:ascii="Tahoma" w:hAnsi="Tahoma" w:cs="Tahoma"/>
      <w:sz w:val="16"/>
      <w:szCs w:val="16"/>
      <w:lang w:val="en-US"/>
    </w:rPr>
  </w:style>
  <w:style w:type="character" w:customStyle="1" w:styleId="TextodegloboCar">
    <w:name w:val="Texto de globo Car"/>
    <w:link w:val="Textodeglobo"/>
    <w:uiPriority w:val="99"/>
    <w:semiHidden/>
    <w:rsid w:val="00811926"/>
    <w:rPr>
      <w:rFonts w:ascii="Tahoma" w:eastAsia="Calibri" w:hAnsi="Tahoma" w:cs="Tahoma"/>
      <w:sz w:val="16"/>
      <w:szCs w:val="16"/>
      <w:lang w:val="en-US"/>
    </w:rPr>
  </w:style>
  <w:style w:type="paragraph" w:styleId="TDC5">
    <w:name w:val="toc 5"/>
    <w:basedOn w:val="Normal"/>
    <w:next w:val="Normal"/>
    <w:autoRedefine/>
    <w:uiPriority w:val="39"/>
    <w:unhideWhenUsed/>
    <w:rsid w:val="00811926"/>
    <w:pPr>
      <w:spacing w:after="0"/>
      <w:ind w:left="800"/>
      <w:jc w:val="left"/>
    </w:pPr>
    <w:rPr>
      <w:rFonts w:cs="Calibri"/>
      <w:sz w:val="18"/>
      <w:szCs w:val="18"/>
      <w:lang w:val="en-US"/>
    </w:rPr>
  </w:style>
  <w:style w:type="paragraph" w:styleId="TDC6">
    <w:name w:val="toc 6"/>
    <w:basedOn w:val="Normal"/>
    <w:next w:val="Normal"/>
    <w:autoRedefine/>
    <w:uiPriority w:val="39"/>
    <w:unhideWhenUsed/>
    <w:rsid w:val="00811926"/>
    <w:pPr>
      <w:spacing w:after="0"/>
      <w:ind w:left="1000"/>
      <w:jc w:val="left"/>
    </w:pPr>
    <w:rPr>
      <w:rFonts w:cs="Calibri"/>
      <w:sz w:val="18"/>
      <w:szCs w:val="18"/>
      <w:lang w:val="en-US"/>
    </w:rPr>
  </w:style>
  <w:style w:type="paragraph" w:styleId="TDC7">
    <w:name w:val="toc 7"/>
    <w:basedOn w:val="Normal"/>
    <w:next w:val="Normal"/>
    <w:autoRedefine/>
    <w:uiPriority w:val="39"/>
    <w:unhideWhenUsed/>
    <w:rsid w:val="00811926"/>
    <w:pPr>
      <w:spacing w:after="0"/>
      <w:ind w:left="1200"/>
      <w:jc w:val="left"/>
    </w:pPr>
    <w:rPr>
      <w:rFonts w:cs="Calibri"/>
      <w:sz w:val="18"/>
      <w:szCs w:val="18"/>
      <w:lang w:val="en-US"/>
    </w:rPr>
  </w:style>
  <w:style w:type="paragraph" w:styleId="TDC8">
    <w:name w:val="toc 8"/>
    <w:basedOn w:val="Normal"/>
    <w:next w:val="Normal"/>
    <w:autoRedefine/>
    <w:uiPriority w:val="39"/>
    <w:unhideWhenUsed/>
    <w:rsid w:val="00811926"/>
    <w:pPr>
      <w:spacing w:after="0"/>
      <w:ind w:left="1400"/>
      <w:jc w:val="left"/>
    </w:pPr>
    <w:rPr>
      <w:rFonts w:cs="Calibri"/>
      <w:sz w:val="18"/>
      <w:szCs w:val="18"/>
      <w:lang w:val="en-US"/>
    </w:rPr>
  </w:style>
  <w:style w:type="paragraph" w:styleId="TDC9">
    <w:name w:val="toc 9"/>
    <w:basedOn w:val="Normal"/>
    <w:next w:val="Normal"/>
    <w:autoRedefine/>
    <w:uiPriority w:val="39"/>
    <w:unhideWhenUsed/>
    <w:rsid w:val="00811926"/>
    <w:pPr>
      <w:spacing w:after="0"/>
      <w:ind w:left="1600"/>
      <w:jc w:val="left"/>
    </w:pPr>
    <w:rPr>
      <w:rFonts w:cs="Calibri"/>
      <w:sz w:val="18"/>
      <w:szCs w:val="18"/>
      <w:lang w:val="en-US"/>
    </w:rPr>
  </w:style>
  <w:style w:type="character" w:customStyle="1" w:styleId="Ttulo2Car1">
    <w:name w:val="Título 2 Car1"/>
    <w:aliases w:val="Subchapter 1.1 Car1,Subchapter 2.1 Car1"/>
    <w:uiPriority w:val="9"/>
    <w:semiHidden/>
    <w:rsid w:val="00811926"/>
    <w:rPr>
      <w:rFonts w:ascii="Cambria" w:eastAsia="MS Gothic" w:hAnsi="Cambria" w:cs="Times New Roman" w:hint="default"/>
      <w:b/>
      <w:bCs/>
      <w:color w:val="4F81BD"/>
      <w:sz w:val="26"/>
      <w:szCs w:val="26"/>
      <w:lang w:val="en-US" w:eastAsia="es-ES"/>
    </w:rPr>
  </w:style>
  <w:style w:type="character" w:customStyle="1" w:styleId="Ttulo4Car1">
    <w:name w:val="Título 4 Car1"/>
    <w:aliases w:val="( i ) Car1,o Car1"/>
    <w:uiPriority w:val="9"/>
    <w:semiHidden/>
    <w:rsid w:val="00811926"/>
    <w:rPr>
      <w:rFonts w:ascii="Cambria" w:eastAsia="MS Gothic" w:hAnsi="Cambria" w:cs="Times New Roman" w:hint="default"/>
      <w:b/>
      <w:bCs/>
      <w:i/>
      <w:iCs/>
      <w:color w:val="4F81BD"/>
      <w:sz w:val="22"/>
      <w:lang w:val="en-US" w:eastAsia="es-ES"/>
    </w:rPr>
  </w:style>
  <w:style w:type="character" w:customStyle="1" w:styleId="Ttulo5Car1">
    <w:name w:val="Título 5 Car1"/>
    <w:aliases w:val="Título de Tablas Car1"/>
    <w:uiPriority w:val="9"/>
    <w:semiHidden/>
    <w:rsid w:val="00811926"/>
    <w:rPr>
      <w:rFonts w:ascii="Cambria" w:eastAsia="MS Gothic" w:hAnsi="Cambria" w:cs="Times New Roman" w:hint="default"/>
      <w:color w:val="243F60"/>
      <w:sz w:val="22"/>
      <w:lang w:val="en-US" w:eastAsia="es-ES"/>
    </w:rPr>
  </w:style>
  <w:style w:type="character" w:customStyle="1" w:styleId="Ttulo6Car1">
    <w:name w:val="Título 6 Car1"/>
    <w:aliases w:val="Anexo 1 Car1"/>
    <w:uiPriority w:val="9"/>
    <w:semiHidden/>
    <w:rsid w:val="00811926"/>
    <w:rPr>
      <w:rFonts w:ascii="Cambria" w:eastAsia="MS Gothic" w:hAnsi="Cambria" w:cs="Times New Roman" w:hint="default"/>
      <w:i/>
      <w:iCs/>
      <w:color w:val="243F60"/>
      <w:sz w:val="22"/>
      <w:lang w:val="en-US" w:eastAsia="es-ES"/>
    </w:rPr>
  </w:style>
  <w:style w:type="character" w:customStyle="1" w:styleId="Ttulo7Car1">
    <w:name w:val="Título 7 Car1"/>
    <w:aliases w:val="Anexo 2 Car1"/>
    <w:uiPriority w:val="99"/>
    <w:semiHidden/>
    <w:rsid w:val="00811926"/>
    <w:rPr>
      <w:rFonts w:ascii="Cambria" w:eastAsia="MS Gothic" w:hAnsi="Cambria" w:cs="Times New Roman" w:hint="default"/>
      <w:i/>
      <w:iCs/>
      <w:color w:val="404040"/>
      <w:sz w:val="22"/>
      <w:lang w:val="en-US" w:eastAsia="es-ES"/>
    </w:rPr>
  </w:style>
  <w:style w:type="character" w:customStyle="1" w:styleId="Ttulo8Car1">
    <w:name w:val="Título 8 Car1"/>
    <w:aliases w:val="Anexo 3 Car1"/>
    <w:uiPriority w:val="99"/>
    <w:semiHidden/>
    <w:rsid w:val="00811926"/>
    <w:rPr>
      <w:rFonts w:ascii="Cambria" w:eastAsia="MS Gothic" w:hAnsi="Cambria" w:cs="Times New Roman" w:hint="default"/>
      <w:color w:val="404040"/>
      <w:lang w:val="en-US" w:eastAsia="es-ES"/>
    </w:rPr>
  </w:style>
  <w:style w:type="paragraph" w:styleId="Mapadeldocumento">
    <w:name w:val="Document Map"/>
    <w:basedOn w:val="Normal"/>
    <w:link w:val="MapadeldocumentoCar"/>
    <w:uiPriority w:val="99"/>
    <w:semiHidden/>
    <w:unhideWhenUsed/>
    <w:rsid w:val="00811926"/>
    <w:pPr>
      <w:shd w:val="clear" w:color="auto" w:fill="000080"/>
      <w:spacing w:after="0" w:line="240" w:lineRule="auto"/>
    </w:pPr>
    <w:rPr>
      <w:rFonts w:ascii="Tahoma" w:eastAsia="Times New Roman" w:hAnsi="Tahoma" w:cs="Tahoma"/>
      <w:sz w:val="20"/>
      <w:lang w:eastAsia="es-CL"/>
    </w:rPr>
  </w:style>
  <w:style w:type="character" w:customStyle="1" w:styleId="MapadeldocumentoCar">
    <w:name w:val="Mapa del documento Car"/>
    <w:link w:val="Mapadeldocumento"/>
    <w:uiPriority w:val="99"/>
    <w:semiHidden/>
    <w:rsid w:val="00811926"/>
    <w:rPr>
      <w:rFonts w:ascii="Tahoma" w:eastAsia="Times New Roman" w:hAnsi="Tahoma" w:cs="Tahoma"/>
      <w:sz w:val="20"/>
      <w:shd w:val="clear" w:color="auto" w:fill="000080"/>
      <w:lang w:val="es-CL" w:eastAsia="es-CL"/>
    </w:rPr>
  </w:style>
  <w:style w:type="paragraph" w:styleId="Asuntodelcomentario">
    <w:name w:val="annotation subject"/>
    <w:basedOn w:val="Normal"/>
    <w:next w:val="Normal"/>
    <w:link w:val="AsuntodelcomentarioCar"/>
    <w:uiPriority w:val="99"/>
    <w:semiHidden/>
    <w:unhideWhenUsed/>
    <w:rsid w:val="00EE2F47"/>
    <w:pPr>
      <w:spacing w:after="0" w:line="240" w:lineRule="auto"/>
    </w:pPr>
    <w:rPr>
      <w:rFonts w:ascii="Times New Roman" w:eastAsia="Times New Roman" w:hAnsi="Times New Roman"/>
      <w:b/>
      <w:bCs/>
      <w:sz w:val="20"/>
      <w:lang w:eastAsia="es-CL"/>
    </w:rPr>
  </w:style>
  <w:style w:type="character" w:customStyle="1" w:styleId="AsuntodelcomentarioCar">
    <w:name w:val="Asunto del comentario Car"/>
    <w:link w:val="Asuntodelcomentario"/>
    <w:uiPriority w:val="99"/>
    <w:semiHidden/>
    <w:rsid w:val="00EE2F47"/>
    <w:rPr>
      <w:rFonts w:ascii="Times New Roman" w:eastAsia="Times New Roman" w:hAnsi="Times New Roman" w:cs="Times New Roman"/>
      <w:b/>
      <w:bCs/>
      <w:sz w:val="20"/>
      <w:lang w:val="es-CL" w:eastAsia="es-CL"/>
    </w:rPr>
  </w:style>
  <w:style w:type="paragraph" w:styleId="Revisin">
    <w:name w:val="Revision"/>
    <w:uiPriority w:val="99"/>
    <w:semiHidden/>
    <w:rsid w:val="00811926"/>
    <w:rPr>
      <w:rFonts w:ascii="Times New Roman" w:eastAsia="Times New Roman" w:hAnsi="Times New Roman"/>
      <w:sz w:val="24"/>
      <w:szCs w:val="24"/>
      <w:lang w:val="en-US" w:eastAsia="es-ES"/>
    </w:rPr>
  </w:style>
  <w:style w:type="character" w:styleId="Refdecomentario">
    <w:name w:val="annotation reference"/>
    <w:uiPriority w:val="99"/>
    <w:semiHidden/>
    <w:unhideWhenUsed/>
    <w:rsid w:val="00811926"/>
    <w:rPr>
      <w:sz w:val="16"/>
      <w:szCs w:val="16"/>
    </w:rPr>
  </w:style>
  <w:style w:type="numbering" w:customStyle="1" w:styleId="xxxxx">
    <w:name w:val="xxxxx"/>
    <w:uiPriority w:val="99"/>
    <w:locked/>
    <w:rsid w:val="00811926"/>
    <w:pPr>
      <w:numPr>
        <w:numId w:val="2"/>
      </w:numPr>
    </w:pPr>
  </w:style>
  <w:style w:type="paragraph" w:styleId="Listaconvietas">
    <w:name w:val="List Bullet"/>
    <w:basedOn w:val="Normal"/>
    <w:uiPriority w:val="99"/>
    <w:semiHidden/>
    <w:unhideWhenUsed/>
    <w:rsid w:val="00811926"/>
    <w:pPr>
      <w:numPr>
        <w:numId w:val="3"/>
      </w:numPr>
      <w:contextualSpacing/>
    </w:pPr>
    <w:rPr>
      <w:rFonts w:ascii="Arial Narrow" w:hAnsi="Arial Narrow"/>
      <w:sz w:val="22"/>
      <w:lang w:val="en-US"/>
    </w:rPr>
  </w:style>
  <w:style w:type="character" w:customStyle="1" w:styleId="TextonotapieCar1">
    <w:name w:val="Texto nota pie Car1"/>
    <w:aliases w:val="Footnote Text Char Car1"/>
    <w:uiPriority w:val="99"/>
    <w:semiHidden/>
    <w:rsid w:val="00186FDE"/>
    <w:rPr>
      <w:rFonts w:ascii="Arial Narrow" w:eastAsia="Calibri" w:hAnsi="Arial Narrow" w:cs="Times New Roman"/>
      <w:sz w:val="20"/>
      <w:szCs w:val="20"/>
      <w:lang w:val="en-US"/>
    </w:rPr>
  </w:style>
  <w:style w:type="character" w:customStyle="1" w:styleId="SubttuloCar">
    <w:name w:val="Subtítulo Car"/>
    <w:aliases w:val="Título tablas Car"/>
    <w:basedOn w:val="Fuentedeprrafopredeter"/>
    <w:link w:val="Subttulo"/>
    <w:uiPriority w:val="11"/>
    <w:rsid w:val="009D3A63"/>
    <w:rPr>
      <w:b/>
      <w:iCs/>
      <w:sz w:val="22"/>
      <w:lang w:eastAsia="en-US"/>
    </w:rPr>
  </w:style>
  <w:style w:type="character" w:styleId="Hipervnculo">
    <w:name w:val="Hyperlink"/>
    <w:basedOn w:val="Fuentedeprrafopredeter"/>
    <w:uiPriority w:val="99"/>
    <w:unhideWhenUsed/>
    <w:rsid w:val="00B865EB"/>
    <w:rPr>
      <w:color w:val="0563C1" w:themeColor="hyperlink"/>
      <w:u w:val="single"/>
    </w:rPr>
  </w:style>
  <w:style w:type="character" w:styleId="Hipervnculovisitado">
    <w:name w:val="FollowedHyperlink"/>
    <w:uiPriority w:val="99"/>
    <w:semiHidden/>
    <w:unhideWhenUsed/>
    <w:rsid w:val="00D97484"/>
    <w:rPr>
      <w:color w:val="954F72"/>
      <w:u w:val="single"/>
    </w:rPr>
  </w:style>
  <w:style w:type="character" w:customStyle="1" w:styleId="Mencinsinresolver2">
    <w:name w:val="Mención sin resolver2"/>
    <w:uiPriority w:val="99"/>
    <w:semiHidden/>
    <w:unhideWhenUsed/>
    <w:rsid w:val="002A274B"/>
    <w:rPr>
      <w:color w:val="605E5C"/>
      <w:shd w:val="clear" w:color="auto" w:fill="E1DFDD"/>
    </w:rPr>
  </w:style>
  <w:style w:type="paragraph" w:styleId="Textocomentario">
    <w:name w:val="annotation text"/>
    <w:basedOn w:val="Normal"/>
    <w:link w:val="TextocomentarioCar"/>
    <w:uiPriority w:val="99"/>
    <w:semiHidden/>
    <w:unhideWhenUsed/>
    <w:rsid w:val="00D97484"/>
    <w:pPr>
      <w:spacing w:line="240" w:lineRule="auto"/>
    </w:pPr>
    <w:rPr>
      <w:sz w:val="20"/>
      <w:szCs w:val="20"/>
    </w:rPr>
  </w:style>
  <w:style w:type="character" w:customStyle="1" w:styleId="TextocomentarioCar">
    <w:name w:val="Texto comentario Car"/>
    <w:link w:val="Textocomentario"/>
    <w:uiPriority w:val="99"/>
    <w:semiHidden/>
    <w:rsid w:val="00D97484"/>
    <w:rPr>
      <w:sz w:val="20"/>
      <w:szCs w:val="20"/>
    </w:rPr>
  </w:style>
  <w:style w:type="paragraph" w:styleId="Encabezado">
    <w:name w:val="header"/>
    <w:basedOn w:val="Normal"/>
    <w:link w:val="EncabezadoCar"/>
    <w:uiPriority w:val="99"/>
    <w:unhideWhenUsed/>
    <w:rsid w:val="009D6C18"/>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9D6C18"/>
    <w:rPr>
      <w:sz w:val="24"/>
      <w:szCs w:val="24"/>
      <w:lang w:eastAsia="en-US"/>
    </w:rPr>
  </w:style>
  <w:style w:type="paragraph" w:styleId="Textonotapie">
    <w:name w:val="footnote text"/>
    <w:basedOn w:val="Normal"/>
    <w:link w:val="TextonotapieCar"/>
    <w:uiPriority w:val="99"/>
    <w:unhideWhenUsed/>
    <w:qFormat/>
    <w:rsid w:val="009D6C18"/>
    <w:pPr>
      <w:spacing w:after="0" w:line="240" w:lineRule="auto"/>
    </w:pPr>
    <w:rPr>
      <w:sz w:val="20"/>
      <w:szCs w:val="20"/>
    </w:rPr>
  </w:style>
  <w:style w:type="character" w:customStyle="1" w:styleId="TextonotapieCar">
    <w:name w:val="Texto nota pie Car"/>
    <w:basedOn w:val="Fuentedeprrafopredeter"/>
    <w:link w:val="Textonotapie"/>
    <w:uiPriority w:val="99"/>
    <w:rsid w:val="009D6C18"/>
    <w:rPr>
      <w:lang w:eastAsia="en-US"/>
    </w:rPr>
  </w:style>
  <w:style w:type="character" w:styleId="Referenciaintensa">
    <w:name w:val="Intense Reference"/>
    <w:basedOn w:val="Fuentedeprrafopredeter"/>
    <w:uiPriority w:val="32"/>
    <w:qFormat/>
    <w:rsid w:val="0061035A"/>
    <w:rPr>
      <w:b/>
      <w:bCs/>
      <w:smallCaps/>
      <w:color w:val="4472C4" w:themeColor="accent1"/>
      <w:spacing w:val="5"/>
    </w:rPr>
  </w:style>
  <w:style w:type="paragraph" w:customStyle="1" w:styleId="Listanumerada">
    <w:name w:val="Lista numerada"/>
    <w:basedOn w:val="Normal"/>
    <w:link w:val="ListanumeradaCar"/>
    <w:qFormat/>
    <w:rsid w:val="002D4B20"/>
    <w:pPr>
      <w:numPr>
        <w:numId w:val="35"/>
      </w:numPr>
      <w:spacing w:after="120"/>
    </w:pPr>
  </w:style>
  <w:style w:type="character" w:styleId="Ttulodellibro">
    <w:name w:val="Book Title"/>
    <w:basedOn w:val="Fuentedeprrafopredeter"/>
    <w:uiPriority w:val="33"/>
    <w:qFormat/>
    <w:rsid w:val="00B82EE2"/>
    <w:rPr>
      <w:b/>
      <w:bCs/>
      <w:i/>
      <w:iCs/>
      <w:spacing w:val="5"/>
    </w:rPr>
  </w:style>
  <w:style w:type="character" w:customStyle="1" w:styleId="ListanumeradaCar">
    <w:name w:val="Lista numerada Car"/>
    <w:basedOn w:val="Fuentedeprrafopredeter"/>
    <w:link w:val="Listanumerada"/>
    <w:rsid w:val="002D4B20"/>
    <w:rPr>
      <w:sz w:val="24"/>
      <w:szCs w:val="24"/>
      <w:lang w:eastAsia="en-US"/>
    </w:rPr>
  </w:style>
  <w:style w:type="character" w:customStyle="1" w:styleId="Mencinsinresolver10">
    <w:name w:val="Mención sin resolver1"/>
    <w:uiPriority w:val="99"/>
    <w:semiHidden/>
    <w:rsid w:val="00D97484"/>
    <w:rPr>
      <w:color w:val="605E5C"/>
      <w:shd w:val="clear" w:color="auto" w:fill="E1DFDD"/>
    </w:rPr>
  </w:style>
  <w:style w:type="character" w:customStyle="1" w:styleId="Mencinsinresolver20">
    <w:name w:val="Mención sin resolver2"/>
    <w:uiPriority w:val="99"/>
    <w:semiHidden/>
    <w:unhideWhenUsed/>
    <w:rsid w:val="00B46484"/>
    <w:rPr>
      <w:color w:val="605E5C"/>
      <w:shd w:val="clear" w:color="auto" w:fill="E1DFDD"/>
    </w:rPr>
  </w:style>
  <w:style w:type="paragraph" w:styleId="Tabladeilustraciones">
    <w:name w:val="table of figures"/>
    <w:basedOn w:val="Normal"/>
    <w:next w:val="Normal"/>
    <w:uiPriority w:val="99"/>
    <w:unhideWhenUsed/>
    <w:rsid w:val="00640F44"/>
    <w:pPr>
      <w:spacing w:after="0" w:line="240" w:lineRule="auto"/>
    </w:pPr>
    <w:rPr>
      <w:sz w:val="22"/>
    </w:rPr>
  </w:style>
  <w:style w:type="paragraph" w:styleId="ndice1">
    <w:name w:val="index 1"/>
    <w:basedOn w:val="Normal"/>
    <w:next w:val="Normal"/>
    <w:autoRedefine/>
    <w:uiPriority w:val="99"/>
    <w:semiHidden/>
    <w:unhideWhenUsed/>
    <w:rsid w:val="00D1280B"/>
    <w:pPr>
      <w:spacing w:after="0" w:line="240" w:lineRule="auto"/>
      <w:ind w:left="240" w:hanging="240"/>
    </w:pPr>
    <w:rPr>
      <w:sz w:val="22"/>
    </w:rPr>
  </w:style>
  <w:style w:type="numbering" w:customStyle="1" w:styleId="Sinlista1">
    <w:name w:val="Sin lista1"/>
    <w:next w:val="Sinlista"/>
    <w:uiPriority w:val="99"/>
    <w:semiHidden/>
    <w:unhideWhenUsed/>
    <w:rsid w:val="00B37932"/>
  </w:style>
  <w:style w:type="table" w:customStyle="1" w:styleId="Tablaconcuadrcula1">
    <w:name w:val="Tabla con cuadrícula1"/>
    <w:basedOn w:val="Tablanormal"/>
    <w:next w:val="Tablaconcuadrcula"/>
    <w:uiPriority w:val="59"/>
    <w:rsid w:val="00B37932"/>
    <w:rPr>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rrafodelistaCar">
    <w:name w:val="Párrafo de lista Car"/>
    <w:aliases w:val="Párrafo de lista numerado Car,List1 Car,List Paragraph1 Car,Numbered Indented Text Car,List Paragraph Char Char Char Car,List Paragraph Char Char Car,Bullet 1 Car,lp1 Car,List Paragraph11 Car,Bullet Styles para Car,Bullet Car"/>
    <w:link w:val="Prrafodelista1"/>
    <w:uiPriority w:val="34"/>
    <w:qFormat/>
    <w:locked/>
    <w:rsid w:val="00176585"/>
    <w:rPr>
      <w:sz w:val="24"/>
      <w:szCs w:val="24"/>
      <w:lang w:eastAsia="en-US"/>
    </w:rPr>
  </w:style>
  <w:style w:type="character" w:customStyle="1" w:styleId="Mencinsinresolver3">
    <w:name w:val="Mención sin resolver3"/>
    <w:uiPriority w:val="99"/>
    <w:semiHidden/>
    <w:unhideWhenUsed/>
    <w:rsid w:val="00F53886"/>
    <w:rPr>
      <w:color w:val="605E5C"/>
      <w:shd w:val="clear" w:color="auto" w:fill="E1DFDD"/>
    </w:rPr>
  </w:style>
  <w:style w:type="paragraph" w:customStyle="1" w:styleId="Parrafodelistanumeral">
    <w:name w:val="Parrafo de lista numeral"/>
    <w:basedOn w:val="Prrafodelista1"/>
    <w:qFormat/>
    <w:rsid w:val="00D475CC"/>
    <w:pPr>
      <w:numPr>
        <w:numId w:val="4"/>
      </w:numPr>
      <w:spacing w:before="240" w:after="240"/>
      <w:ind w:left="357" w:hanging="357"/>
      <w:contextualSpacing w:val="0"/>
    </w:pPr>
    <w:rPr>
      <w:rFonts w:ascii="Arial Narrow" w:hAnsi="Arial Narrow"/>
      <w:sz w:val="22"/>
      <w:szCs w:val="22"/>
      <w:lang w:val="en-US"/>
    </w:rPr>
  </w:style>
  <w:style w:type="paragraph" w:styleId="Prrafodelista">
    <w:name w:val="List Paragraph"/>
    <w:aliases w:val="lista en viñeta"/>
    <w:basedOn w:val="Normal"/>
    <w:uiPriority w:val="34"/>
    <w:qFormat/>
    <w:rsid w:val="009D3A63"/>
    <w:pPr>
      <w:numPr>
        <w:numId w:val="10"/>
      </w:numPr>
    </w:pPr>
  </w:style>
  <w:style w:type="table" w:customStyle="1" w:styleId="Tablaconcuadrcula2">
    <w:name w:val="Tabla con cuadrícula2"/>
    <w:basedOn w:val="Tablanormal"/>
    <w:next w:val="Tablaconcuadrcula"/>
    <w:uiPriority w:val="39"/>
    <w:rsid w:val="001A42E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3">
    <w:name w:val="Tabla con cuadrícula3"/>
    <w:basedOn w:val="Tablanormal"/>
    <w:next w:val="Tablaconcuadrcula"/>
    <w:uiPriority w:val="39"/>
    <w:rsid w:val="001A42E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Mencinsinresolver4">
    <w:name w:val="Mención sin resolver4"/>
    <w:basedOn w:val="Fuentedeprrafopredeter"/>
    <w:uiPriority w:val="99"/>
    <w:semiHidden/>
    <w:unhideWhenUsed/>
    <w:rsid w:val="003E19A2"/>
    <w:rPr>
      <w:color w:val="605E5C"/>
      <w:shd w:val="clear" w:color="auto" w:fill="E1DFDD"/>
    </w:rPr>
  </w:style>
  <w:style w:type="paragraph" w:styleId="Epgrafe">
    <w:name w:val="caption"/>
    <w:basedOn w:val="Normal"/>
    <w:next w:val="Normal"/>
    <w:uiPriority w:val="35"/>
    <w:unhideWhenUsed/>
    <w:qFormat/>
    <w:rsid w:val="003E19A2"/>
    <w:pPr>
      <w:spacing w:after="240" w:line="240" w:lineRule="auto"/>
    </w:pPr>
    <w:rPr>
      <w:rFonts w:asciiTheme="minorHAnsi" w:eastAsiaTheme="minorHAnsi" w:hAnsiTheme="minorHAnsi" w:cstheme="minorBidi"/>
      <w:i/>
      <w:iCs/>
      <w:color w:val="44546A" w:themeColor="text2"/>
      <w:sz w:val="18"/>
      <w:szCs w:val="18"/>
    </w:rPr>
  </w:style>
  <w:style w:type="character" w:customStyle="1" w:styleId="Mencinsinresolver5">
    <w:name w:val="Mención sin resolver5"/>
    <w:basedOn w:val="Fuentedeprrafopredeter"/>
    <w:uiPriority w:val="99"/>
    <w:semiHidden/>
    <w:unhideWhenUsed/>
    <w:rsid w:val="0087158B"/>
    <w:rPr>
      <w:color w:val="605E5C"/>
      <w:shd w:val="clear" w:color="auto" w:fill="E1DFDD"/>
    </w:rPr>
  </w:style>
  <w:style w:type="table" w:customStyle="1" w:styleId="Tablaconcuadrcula21">
    <w:name w:val="Tabla con cuadrícula21"/>
    <w:basedOn w:val="Tablanormal"/>
    <w:next w:val="Tablaconcuadrcula"/>
    <w:uiPriority w:val="39"/>
    <w:rsid w:val="0087158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31">
    <w:name w:val="Tabla con cuadrícula31"/>
    <w:basedOn w:val="Tablanormal"/>
    <w:next w:val="Tablaconcuadrcula"/>
    <w:uiPriority w:val="39"/>
    <w:rsid w:val="0087158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
    <w:name w:val="Unresolved Mention"/>
    <w:basedOn w:val="Fuentedeprrafopredeter"/>
    <w:uiPriority w:val="99"/>
    <w:semiHidden/>
    <w:unhideWhenUsed/>
    <w:rsid w:val="00E04582"/>
    <w:rPr>
      <w:color w:val="605E5C"/>
      <w:shd w:val="clear" w:color="auto" w:fill="E1DFDD"/>
    </w:rPr>
  </w:style>
  <w:style w:type="paragraph" w:styleId="Ttulo">
    <w:name w:val="Title"/>
    <w:basedOn w:val="Normal"/>
    <w:next w:val="Normal"/>
    <w:link w:val="TtuloCar"/>
    <w:uiPriority w:val="10"/>
    <w:qFormat/>
    <w:rsid w:val="00ED0E24"/>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10"/>
    <w:rsid w:val="00ED0E24"/>
    <w:rPr>
      <w:rFonts w:asciiTheme="majorHAnsi" w:eastAsiaTheme="majorEastAsia" w:hAnsiTheme="majorHAnsi" w:cstheme="majorBidi"/>
      <w:spacing w:val="-10"/>
      <w:kern w:val="28"/>
      <w:sz w:val="56"/>
      <w:szCs w:val="56"/>
      <w:lang w:eastAsia="en-US"/>
    </w:rPr>
  </w:style>
  <w:style w:type="character" w:customStyle="1" w:styleId="Mencinsinresolver50">
    <w:name w:val="Mención sin resolver5"/>
    <w:basedOn w:val="Fuentedeprrafopredeter"/>
    <w:uiPriority w:val="99"/>
    <w:semiHidden/>
    <w:unhideWhenUsed/>
    <w:rsid w:val="00ED0E24"/>
    <w:rPr>
      <w:color w:val="605E5C"/>
      <w:shd w:val="clear" w:color="auto" w:fill="E1DFDD"/>
    </w:rPr>
  </w:style>
  <w:style w:type="character" w:customStyle="1" w:styleId="Mencinsinresolver6">
    <w:name w:val="Mención sin resolver6"/>
    <w:basedOn w:val="Fuentedeprrafopredeter"/>
    <w:uiPriority w:val="99"/>
    <w:semiHidden/>
    <w:unhideWhenUsed/>
    <w:rsid w:val="009A09ED"/>
    <w:rPr>
      <w:color w:val="605E5C"/>
      <w:shd w:val="clear" w:color="auto" w:fill="E1DFDD"/>
    </w:rPr>
  </w:style>
  <w:style w:type="paragraph" w:customStyle="1" w:styleId="msonormal0">
    <w:name w:val="msonormal"/>
    <w:basedOn w:val="Normal"/>
    <w:rsid w:val="009A09ED"/>
    <w:pPr>
      <w:spacing w:before="100" w:beforeAutospacing="1" w:after="100" w:afterAutospacing="1" w:line="240" w:lineRule="auto"/>
      <w:jc w:val="left"/>
    </w:pPr>
    <w:rPr>
      <w:rFonts w:ascii="Times New Roman" w:eastAsia="Times New Roman" w:hAnsi="Times New Roman"/>
      <w:lang w:val="es-AR" w:eastAsia="es-AR"/>
    </w:rPr>
  </w:style>
  <w:style w:type="paragraph" w:customStyle="1" w:styleId="xl64">
    <w:name w:val="xl64"/>
    <w:basedOn w:val="Normal"/>
    <w:rsid w:val="009A09E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0"/>
      <w:szCs w:val="20"/>
      <w:lang w:val="es-AR" w:eastAsia="es-AR"/>
    </w:rPr>
  </w:style>
  <w:style w:type="paragraph" w:customStyle="1" w:styleId="xl65">
    <w:name w:val="xl65"/>
    <w:basedOn w:val="Normal"/>
    <w:rsid w:val="009A09E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0"/>
      <w:szCs w:val="20"/>
      <w:lang w:val="es-AR" w:eastAsia="es-AR"/>
    </w:rPr>
  </w:style>
  <w:style w:type="paragraph" w:customStyle="1" w:styleId="xl66">
    <w:name w:val="xl66"/>
    <w:basedOn w:val="Normal"/>
    <w:rsid w:val="009A09E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0"/>
      <w:szCs w:val="20"/>
      <w:lang w:val="es-AR" w:eastAsia="es-AR"/>
    </w:rPr>
  </w:style>
  <w:style w:type="paragraph" w:customStyle="1" w:styleId="xl63">
    <w:name w:val="xl63"/>
    <w:basedOn w:val="Normal"/>
    <w:rsid w:val="004730B7"/>
    <w:pPr>
      <w:spacing w:before="100" w:beforeAutospacing="1" w:after="100" w:afterAutospacing="1" w:line="240" w:lineRule="auto"/>
      <w:jc w:val="left"/>
    </w:pPr>
    <w:rPr>
      <w:rFonts w:ascii="Times New Roman" w:eastAsia="Times New Roman" w:hAnsi="Times New Roman"/>
      <w:b/>
      <w:bCs/>
      <w:lang w:eastAsia="es-CL"/>
    </w:rPr>
  </w:style>
  <w:style w:type="paragraph" w:customStyle="1" w:styleId="xl67">
    <w:name w:val="xl67"/>
    <w:basedOn w:val="Normal"/>
    <w:rsid w:val="004730B7"/>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pPr>
    <w:rPr>
      <w:rFonts w:ascii="Times New Roman" w:eastAsia="Times New Roman" w:hAnsi="Times New Roman"/>
      <w:b/>
      <w:bCs/>
      <w:lang w:eastAsia="es-C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983166">
      <w:bodyDiv w:val="1"/>
      <w:marLeft w:val="0"/>
      <w:marRight w:val="0"/>
      <w:marTop w:val="0"/>
      <w:marBottom w:val="0"/>
      <w:divBdr>
        <w:top w:val="none" w:sz="0" w:space="0" w:color="auto"/>
        <w:left w:val="none" w:sz="0" w:space="0" w:color="auto"/>
        <w:bottom w:val="none" w:sz="0" w:space="0" w:color="auto"/>
        <w:right w:val="none" w:sz="0" w:space="0" w:color="auto"/>
      </w:divBdr>
    </w:div>
    <w:div w:id="10644616">
      <w:bodyDiv w:val="1"/>
      <w:marLeft w:val="0"/>
      <w:marRight w:val="0"/>
      <w:marTop w:val="0"/>
      <w:marBottom w:val="0"/>
      <w:divBdr>
        <w:top w:val="none" w:sz="0" w:space="0" w:color="auto"/>
        <w:left w:val="none" w:sz="0" w:space="0" w:color="auto"/>
        <w:bottom w:val="none" w:sz="0" w:space="0" w:color="auto"/>
        <w:right w:val="none" w:sz="0" w:space="0" w:color="auto"/>
      </w:divBdr>
    </w:div>
    <w:div w:id="46607411">
      <w:bodyDiv w:val="1"/>
      <w:marLeft w:val="0"/>
      <w:marRight w:val="0"/>
      <w:marTop w:val="0"/>
      <w:marBottom w:val="0"/>
      <w:divBdr>
        <w:top w:val="none" w:sz="0" w:space="0" w:color="auto"/>
        <w:left w:val="none" w:sz="0" w:space="0" w:color="auto"/>
        <w:bottom w:val="none" w:sz="0" w:space="0" w:color="auto"/>
        <w:right w:val="none" w:sz="0" w:space="0" w:color="auto"/>
      </w:divBdr>
    </w:div>
    <w:div w:id="62534756">
      <w:bodyDiv w:val="1"/>
      <w:marLeft w:val="0"/>
      <w:marRight w:val="0"/>
      <w:marTop w:val="0"/>
      <w:marBottom w:val="0"/>
      <w:divBdr>
        <w:top w:val="none" w:sz="0" w:space="0" w:color="auto"/>
        <w:left w:val="none" w:sz="0" w:space="0" w:color="auto"/>
        <w:bottom w:val="none" w:sz="0" w:space="0" w:color="auto"/>
        <w:right w:val="none" w:sz="0" w:space="0" w:color="auto"/>
      </w:divBdr>
    </w:div>
    <w:div w:id="87435307">
      <w:bodyDiv w:val="1"/>
      <w:marLeft w:val="0"/>
      <w:marRight w:val="0"/>
      <w:marTop w:val="0"/>
      <w:marBottom w:val="0"/>
      <w:divBdr>
        <w:top w:val="none" w:sz="0" w:space="0" w:color="auto"/>
        <w:left w:val="none" w:sz="0" w:space="0" w:color="auto"/>
        <w:bottom w:val="none" w:sz="0" w:space="0" w:color="auto"/>
        <w:right w:val="none" w:sz="0" w:space="0" w:color="auto"/>
      </w:divBdr>
    </w:div>
    <w:div w:id="92286638">
      <w:bodyDiv w:val="1"/>
      <w:marLeft w:val="0"/>
      <w:marRight w:val="0"/>
      <w:marTop w:val="0"/>
      <w:marBottom w:val="0"/>
      <w:divBdr>
        <w:top w:val="none" w:sz="0" w:space="0" w:color="auto"/>
        <w:left w:val="none" w:sz="0" w:space="0" w:color="auto"/>
        <w:bottom w:val="none" w:sz="0" w:space="0" w:color="auto"/>
        <w:right w:val="none" w:sz="0" w:space="0" w:color="auto"/>
      </w:divBdr>
    </w:div>
    <w:div w:id="165486735">
      <w:bodyDiv w:val="1"/>
      <w:marLeft w:val="0"/>
      <w:marRight w:val="0"/>
      <w:marTop w:val="0"/>
      <w:marBottom w:val="0"/>
      <w:divBdr>
        <w:top w:val="none" w:sz="0" w:space="0" w:color="auto"/>
        <w:left w:val="none" w:sz="0" w:space="0" w:color="auto"/>
        <w:bottom w:val="none" w:sz="0" w:space="0" w:color="auto"/>
        <w:right w:val="none" w:sz="0" w:space="0" w:color="auto"/>
      </w:divBdr>
    </w:div>
    <w:div w:id="173544143">
      <w:bodyDiv w:val="1"/>
      <w:marLeft w:val="0"/>
      <w:marRight w:val="0"/>
      <w:marTop w:val="0"/>
      <w:marBottom w:val="0"/>
      <w:divBdr>
        <w:top w:val="none" w:sz="0" w:space="0" w:color="auto"/>
        <w:left w:val="none" w:sz="0" w:space="0" w:color="auto"/>
        <w:bottom w:val="none" w:sz="0" w:space="0" w:color="auto"/>
        <w:right w:val="none" w:sz="0" w:space="0" w:color="auto"/>
      </w:divBdr>
    </w:div>
    <w:div w:id="204148472">
      <w:bodyDiv w:val="1"/>
      <w:marLeft w:val="0"/>
      <w:marRight w:val="0"/>
      <w:marTop w:val="0"/>
      <w:marBottom w:val="0"/>
      <w:divBdr>
        <w:top w:val="none" w:sz="0" w:space="0" w:color="auto"/>
        <w:left w:val="none" w:sz="0" w:space="0" w:color="auto"/>
        <w:bottom w:val="none" w:sz="0" w:space="0" w:color="auto"/>
        <w:right w:val="none" w:sz="0" w:space="0" w:color="auto"/>
      </w:divBdr>
    </w:div>
    <w:div w:id="256058785">
      <w:bodyDiv w:val="1"/>
      <w:marLeft w:val="0"/>
      <w:marRight w:val="0"/>
      <w:marTop w:val="0"/>
      <w:marBottom w:val="0"/>
      <w:divBdr>
        <w:top w:val="none" w:sz="0" w:space="0" w:color="auto"/>
        <w:left w:val="none" w:sz="0" w:space="0" w:color="auto"/>
        <w:bottom w:val="none" w:sz="0" w:space="0" w:color="auto"/>
        <w:right w:val="none" w:sz="0" w:space="0" w:color="auto"/>
      </w:divBdr>
    </w:div>
    <w:div w:id="337391821">
      <w:bodyDiv w:val="1"/>
      <w:marLeft w:val="0"/>
      <w:marRight w:val="0"/>
      <w:marTop w:val="0"/>
      <w:marBottom w:val="0"/>
      <w:divBdr>
        <w:top w:val="none" w:sz="0" w:space="0" w:color="auto"/>
        <w:left w:val="none" w:sz="0" w:space="0" w:color="auto"/>
        <w:bottom w:val="none" w:sz="0" w:space="0" w:color="auto"/>
        <w:right w:val="none" w:sz="0" w:space="0" w:color="auto"/>
      </w:divBdr>
    </w:div>
    <w:div w:id="344720082">
      <w:bodyDiv w:val="1"/>
      <w:marLeft w:val="0"/>
      <w:marRight w:val="0"/>
      <w:marTop w:val="0"/>
      <w:marBottom w:val="0"/>
      <w:divBdr>
        <w:top w:val="none" w:sz="0" w:space="0" w:color="auto"/>
        <w:left w:val="none" w:sz="0" w:space="0" w:color="auto"/>
        <w:bottom w:val="none" w:sz="0" w:space="0" w:color="auto"/>
        <w:right w:val="none" w:sz="0" w:space="0" w:color="auto"/>
      </w:divBdr>
    </w:div>
    <w:div w:id="401752915">
      <w:bodyDiv w:val="1"/>
      <w:marLeft w:val="0"/>
      <w:marRight w:val="0"/>
      <w:marTop w:val="0"/>
      <w:marBottom w:val="0"/>
      <w:divBdr>
        <w:top w:val="none" w:sz="0" w:space="0" w:color="auto"/>
        <w:left w:val="none" w:sz="0" w:space="0" w:color="auto"/>
        <w:bottom w:val="none" w:sz="0" w:space="0" w:color="auto"/>
        <w:right w:val="none" w:sz="0" w:space="0" w:color="auto"/>
      </w:divBdr>
    </w:div>
    <w:div w:id="443234642">
      <w:bodyDiv w:val="1"/>
      <w:marLeft w:val="0"/>
      <w:marRight w:val="0"/>
      <w:marTop w:val="0"/>
      <w:marBottom w:val="0"/>
      <w:divBdr>
        <w:top w:val="none" w:sz="0" w:space="0" w:color="auto"/>
        <w:left w:val="none" w:sz="0" w:space="0" w:color="auto"/>
        <w:bottom w:val="none" w:sz="0" w:space="0" w:color="auto"/>
        <w:right w:val="none" w:sz="0" w:space="0" w:color="auto"/>
      </w:divBdr>
    </w:div>
    <w:div w:id="446587477">
      <w:bodyDiv w:val="1"/>
      <w:marLeft w:val="0"/>
      <w:marRight w:val="0"/>
      <w:marTop w:val="0"/>
      <w:marBottom w:val="0"/>
      <w:divBdr>
        <w:top w:val="none" w:sz="0" w:space="0" w:color="auto"/>
        <w:left w:val="none" w:sz="0" w:space="0" w:color="auto"/>
        <w:bottom w:val="none" w:sz="0" w:space="0" w:color="auto"/>
        <w:right w:val="none" w:sz="0" w:space="0" w:color="auto"/>
      </w:divBdr>
    </w:div>
    <w:div w:id="461584708">
      <w:bodyDiv w:val="1"/>
      <w:marLeft w:val="0"/>
      <w:marRight w:val="0"/>
      <w:marTop w:val="0"/>
      <w:marBottom w:val="0"/>
      <w:divBdr>
        <w:top w:val="none" w:sz="0" w:space="0" w:color="auto"/>
        <w:left w:val="none" w:sz="0" w:space="0" w:color="auto"/>
        <w:bottom w:val="none" w:sz="0" w:space="0" w:color="auto"/>
        <w:right w:val="none" w:sz="0" w:space="0" w:color="auto"/>
      </w:divBdr>
    </w:div>
    <w:div w:id="501824003">
      <w:bodyDiv w:val="1"/>
      <w:marLeft w:val="0"/>
      <w:marRight w:val="0"/>
      <w:marTop w:val="0"/>
      <w:marBottom w:val="0"/>
      <w:divBdr>
        <w:top w:val="none" w:sz="0" w:space="0" w:color="auto"/>
        <w:left w:val="none" w:sz="0" w:space="0" w:color="auto"/>
        <w:bottom w:val="none" w:sz="0" w:space="0" w:color="auto"/>
        <w:right w:val="none" w:sz="0" w:space="0" w:color="auto"/>
      </w:divBdr>
    </w:div>
    <w:div w:id="506411170">
      <w:bodyDiv w:val="1"/>
      <w:marLeft w:val="0"/>
      <w:marRight w:val="0"/>
      <w:marTop w:val="0"/>
      <w:marBottom w:val="0"/>
      <w:divBdr>
        <w:top w:val="none" w:sz="0" w:space="0" w:color="auto"/>
        <w:left w:val="none" w:sz="0" w:space="0" w:color="auto"/>
        <w:bottom w:val="none" w:sz="0" w:space="0" w:color="auto"/>
        <w:right w:val="none" w:sz="0" w:space="0" w:color="auto"/>
      </w:divBdr>
    </w:div>
    <w:div w:id="621303295">
      <w:bodyDiv w:val="1"/>
      <w:marLeft w:val="0"/>
      <w:marRight w:val="0"/>
      <w:marTop w:val="0"/>
      <w:marBottom w:val="0"/>
      <w:divBdr>
        <w:top w:val="none" w:sz="0" w:space="0" w:color="auto"/>
        <w:left w:val="none" w:sz="0" w:space="0" w:color="auto"/>
        <w:bottom w:val="none" w:sz="0" w:space="0" w:color="auto"/>
        <w:right w:val="none" w:sz="0" w:space="0" w:color="auto"/>
      </w:divBdr>
    </w:div>
    <w:div w:id="636032356">
      <w:bodyDiv w:val="1"/>
      <w:marLeft w:val="0"/>
      <w:marRight w:val="0"/>
      <w:marTop w:val="0"/>
      <w:marBottom w:val="0"/>
      <w:divBdr>
        <w:top w:val="none" w:sz="0" w:space="0" w:color="auto"/>
        <w:left w:val="none" w:sz="0" w:space="0" w:color="auto"/>
        <w:bottom w:val="none" w:sz="0" w:space="0" w:color="auto"/>
        <w:right w:val="none" w:sz="0" w:space="0" w:color="auto"/>
      </w:divBdr>
    </w:div>
    <w:div w:id="656688939">
      <w:bodyDiv w:val="1"/>
      <w:marLeft w:val="0"/>
      <w:marRight w:val="0"/>
      <w:marTop w:val="0"/>
      <w:marBottom w:val="0"/>
      <w:divBdr>
        <w:top w:val="none" w:sz="0" w:space="0" w:color="auto"/>
        <w:left w:val="none" w:sz="0" w:space="0" w:color="auto"/>
        <w:bottom w:val="none" w:sz="0" w:space="0" w:color="auto"/>
        <w:right w:val="none" w:sz="0" w:space="0" w:color="auto"/>
      </w:divBdr>
    </w:div>
    <w:div w:id="721368925">
      <w:bodyDiv w:val="1"/>
      <w:marLeft w:val="0"/>
      <w:marRight w:val="0"/>
      <w:marTop w:val="0"/>
      <w:marBottom w:val="0"/>
      <w:divBdr>
        <w:top w:val="none" w:sz="0" w:space="0" w:color="auto"/>
        <w:left w:val="none" w:sz="0" w:space="0" w:color="auto"/>
        <w:bottom w:val="none" w:sz="0" w:space="0" w:color="auto"/>
        <w:right w:val="none" w:sz="0" w:space="0" w:color="auto"/>
      </w:divBdr>
    </w:div>
    <w:div w:id="839154385">
      <w:bodyDiv w:val="1"/>
      <w:marLeft w:val="0"/>
      <w:marRight w:val="0"/>
      <w:marTop w:val="0"/>
      <w:marBottom w:val="0"/>
      <w:divBdr>
        <w:top w:val="none" w:sz="0" w:space="0" w:color="auto"/>
        <w:left w:val="none" w:sz="0" w:space="0" w:color="auto"/>
        <w:bottom w:val="none" w:sz="0" w:space="0" w:color="auto"/>
        <w:right w:val="none" w:sz="0" w:space="0" w:color="auto"/>
      </w:divBdr>
    </w:div>
    <w:div w:id="849107708">
      <w:bodyDiv w:val="1"/>
      <w:marLeft w:val="0"/>
      <w:marRight w:val="0"/>
      <w:marTop w:val="0"/>
      <w:marBottom w:val="0"/>
      <w:divBdr>
        <w:top w:val="none" w:sz="0" w:space="0" w:color="auto"/>
        <w:left w:val="none" w:sz="0" w:space="0" w:color="auto"/>
        <w:bottom w:val="none" w:sz="0" w:space="0" w:color="auto"/>
        <w:right w:val="none" w:sz="0" w:space="0" w:color="auto"/>
      </w:divBdr>
    </w:div>
    <w:div w:id="851803050">
      <w:bodyDiv w:val="1"/>
      <w:marLeft w:val="0"/>
      <w:marRight w:val="0"/>
      <w:marTop w:val="0"/>
      <w:marBottom w:val="0"/>
      <w:divBdr>
        <w:top w:val="none" w:sz="0" w:space="0" w:color="auto"/>
        <w:left w:val="none" w:sz="0" w:space="0" w:color="auto"/>
        <w:bottom w:val="none" w:sz="0" w:space="0" w:color="auto"/>
        <w:right w:val="none" w:sz="0" w:space="0" w:color="auto"/>
      </w:divBdr>
    </w:div>
    <w:div w:id="867330644">
      <w:bodyDiv w:val="1"/>
      <w:marLeft w:val="0"/>
      <w:marRight w:val="0"/>
      <w:marTop w:val="0"/>
      <w:marBottom w:val="0"/>
      <w:divBdr>
        <w:top w:val="none" w:sz="0" w:space="0" w:color="auto"/>
        <w:left w:val="none" w:sz="0" w:space="0" w:color="auto"/>
        <w:bottom w:val="none" w:sz="0" w:space="0" w:color="auto"/>
        <w:right w:val="none" w:sz="0" w:space="0" w:color="auto"/>
      </w:divBdr>
    </w:div>
    <w:div w:id="906457531">
      <w:bodyDiv w:val="1"/>
      <w:marLeft w:val="0"/>
      <w:marRight w:val="0"/>
      <w:marTop w:val="0"/>
      <w:marBottom w:val="0"/>
      <w:divBdr>
        <w:top w:val="none" w:sz="0" w:space="0" w:color="auto"/>
        <w:left w:val="none" w:sz="0" w:space="0" w:color="auto"/>
        <w:bottom w:val="none" w:sz="0" w:space="0" w:color="auto"/>
        <w:right w:val="none" w:sz="0" w:space="0" w:color="auto"/>
      </w:divBdr>
    </w:div>
    <w:div w:id="945307600">
      <w:bodyDiv w:val="1"/>
      <w:marLeft w:val="0"/>
      <w:marRight w:val="0"/>
      <w:marTop w:val="0"/>
      <w:marBottom w:val="0"/>
      <w:divBdr>
        <w:top w:val="none" w:sz="0" w:space="0" w:color="auto"/>
        <w:left w:val="none" w:sz="0" w:space="0" w:color="auto"/>
        <w:bottom w:val="none" w:sz="0" w:space="0" w:color="auto"/>
        <w:right w:val="none" w:sz="0" w:space="0" w:color="auto"/>
      </w:divBdr>
    </w:div>
    <w:div w:id="984116674">
      <w:bodyDiv w:val="1"/>
      <w:marLeft w:val="0"/>
      <w:marRight w:val="0"/>
      <w:marTop w:val="0"/>
      <w:marBottom w:val="0"/>
      <w:divBdr>
        <w:top w:val="none" w:sz="0" w:space="0" w:color="auto"/>
        <w:left w:val="none" w:sz="0" w:space="0" w:color="auto"/>
        <w:bottom w:val="none" w:sz="0" w:space="0" w:color="auto"/>
        <w:right w:val="none" w:sz="0" w:space="0" w:color="auto"/>
      </w:divBdr>
    </w:div>
    <w:div w:id="986012633">
      <w:bodyDiv w:val="1"/>
      <w:marLeft w:val="0"/>
      <w:marRight w:val="0"/>
      <w:marTop w:val="0"/>
      <w:marBottom w:val="0"/>
      <w:divBdr>
        <w:top w:val="none" w:sz="0" w:space="0" w:color="auto"/>
        <w:left w:val="none" w:sz="0" w:space="0" w:color="auto"/>
        <w:bottom w:val="none" w:sz="0" w:space="0" w:color="auto"/>
        <w:right w:val="none" w:sz="0" w:space="0" w:color="auto"/>
      </w:divBdr>
    </w:div>
    <w:div w:id="1058088025">
      <w:bodyDiv w:val="1"/>
      <w:marLeft w:val="0"/>
      <w:marRight w:val="0"/>
      <w:marTop w:val="0"/>
      <w:marBottom w:val="0"/>
      <w:divBdr>
        <w:top w:val="none" w:sz="0" w:space="0" w:color="auto"/>
        <w:left w:val="none" w:sz="0" w:space="0" w:color="auto"/>
        <w:bottom w:val="none" w:sz="0" w:space="0" w:color="auto"/>
        <w:right w:val="none" w:sz="0" w:space="0" w:color="auto"/>
      </w:divBdr>
    </w:div>
    <w:div w:id="1078018535">
      <w:bodyDiv w:val="1"/>
      <w:marLeft w:val="0"/>
      <w:marRight w:val="0"/>
      <w:marTop w:val="0"/>
      <w:marBottom w:val="0"/>
      <w:divBdr>
        <w:top w:val="none" w:sz="0" w:space="0" w:color="auto"/>
        <w:left w:val="none" w:sz="0" w:space="0" w:color="auto"/>
        <w:bottom w:val="none" w:sz="0" w:space="0" w:color="auto"/>
        <w:right w:val="none" w:sz="0" w:space="0" w:color="auto"/>
      </w:divBdr>
    </w:div>
    <w:div w:id="1095589342">
      <w:bodyDiv w:val="1"/>
      <w:marLeft w:val="0"/>
      <w:marRight w:val="0"/>
      <w:marTop w:val="0"/>
      <w:marBottom w:val="0"/>
      <w:divBdr>
        <w:top w:val="none" w:sz="0" w:space="0" w:color="auto"/>
        <w:left w:val="none" w:sz="0" w:space="0" w:color="auto"/>
        <w:bottom w:val="none" w:sz="0" w:space="0" w:color="auto"/>
        <w:right w:val="none" w:sz="0" w:space="0" w:color="auto"/>
      </w:divBdr>
    </w:div>
    <w:div w:id="1102140880">
      <w:bodyDiv w:val="1"/>
      <w:marLeft w:val="0"/>
      <w:marRight w:val="0"/>
      <w:marTop w:val="0"/>
      <w:marBottom w:val="0"/>
      <w:divBdr>
        <w:top w:val="none" w:sz="0" w:space="0" w:color="auto"/>
        <w:left w:val="none" w:sz="0" w:space="0" w:color="auto"/>
        <w:bottom w:val="none" w:sz="0" w:space="0" w:color="auto"/>
        <w:right w:val="none" w:sz="0" w:space="0" w:color="auto"/>
      </w:divBdr>
    </w:div>
    <w:div w:id="1107652331">
      <w:bodyDiv w:val="1"/>
      <w:marLeft w:val="0"/>
      <w:marRight w:val="0"/>
      <w:marTop w:val="0"/>
      <w:marBottom w:val="0"/>
      <w:divBdr>
        <w:top w:val="none" w:sz="0" w:space="0" w:color="auto"/>
        <w:left w:val="none" w:sz="0" w:space="0" w:color="auto"/>
        <w:bottom w:val="none" w:sz="0" w:space="0" w:color="auto"/>
        <w:right w:val="none" w:sz="0" w:space="0" w:color="auto"/>
      </w:divBdr>
    </w:div>
    <w:div w:id="1115950067">
      <w:bodyDiv w:val="1"/>
      <w:marLeft w:val="0"/>
      <w:marRight w:val="0"/>
      <w:marTop w:val="0"/>
      <w:marBottom w:val="0"/>
      <w:divBdr>
        <w:top w:val="none" w:sz="0" w:space="0" w:color="auto"/>
        <w:left w:val="none" w:sz="0" w:space="0" w:color="auto"/>
        <w:bottom w:val="none" w:sz="0" w:space="0" w:color="auto"/>
        <w:right w:val="none" w:sz="0" w:space="0" w:color="auto"/>
      </w:divBdr>
    </w:div>
    <w:div w:id="1130123299">
      <w:bodyDiv w:val="1"/>
      <w:marLeft w:val="0"/>
      <w:marRight w:val="0"/>
      <w:marTop w:val="0"/>
      <w:marBottom w:val="0"/>
      <w:divBdr>
        <w:top w:val="none" w:sz="0" w:space="0" w:color="auto"/>
        <w:left w:val="none" w:sz="0" w:space="0" w:color="auto"/>
        <w:bottom w:val="none" w:sz="0" w:space="0" w:color="auto"/>
        <w:right w:val="none" w:sz="0" w:space="0" w:color="auto"/>
      </w:divBdr>
    </w:div>
    <w:div w:id="1140270605">
      <w:bodyDiv w:val="1"/>
      <w:marLeft w:val="0"/>
      <w:marRight w:val="0"/>
      <w:marTop w:val="0"/>
      <w:marBottom w:val="0"/>
      <w:divBdr>
        <w:top w:val="none" w:sz="0" w:space="0" w:color="auto"/>
        <w:left w:val="none" w:sz="0" w:space="0" w:color="auto"/>
        <w:bottom w:val="none" w:sz="0" w:space="0" w:color="auto"/>
        <w:right w:val="none" w:sz="0" w:space="0" w:color="auto"/>
      </w:divBdr>
    </w:div>
    <w:div w:id="1181621910">
      <w:bodyDiv w:val="1"/>
      <w:marLeft w:val="0"/>
      <w:marRight w:val="0"/>
      <w:marTop w:val="0"/>
      <w:marBottom w:val="0"/>
      <w:divBdr>
        <w:top w:val="none" w:sz="0" w:space="0" w:color="auto"/>
        <w:left w:val="none" w:sz="0" w:space="0" w:color="auto"/>
        <w:bottom w:val="none" w:sz="0" w:space="0" w:color="auto"/>
        <w:right w:val="none" w:sz="0" w:space="0" w:color="auto"/>
      </w:divBdr>
    </w:div>
    <w:div w:id="1191454658">
      <w:bodyDiv w:val="1"/>
      <w:marLeft w:val="0"/>
      <w:marRight w:val="0"/>
      <w:marTop w:val="0"/>
      <w:marBottom w:val="0"/>
      <w:divBdr>
        <w:top w:val="none" w:sz="0" w:space="0" w:color="auto"/>
        <w:left w:val="none" w:sz="0" w:space="0" w:color="auto"/>
        <w:bottom w:val="none" w:sz="0" w:space="0" w:color="auto"/>
        <w:right w:val="none" w:sz="0" w:space="0" w:color="auto"/>
      </w:divBdr>
    </w:div>
    <w:div w:id="1195004603">
      <w:bodyDiv w:val="1"/>
      <w:marLeft w:val="0"/>
      <w:marRight w:val="0"/>
      <w:marTop w:val="0"/>
      <w:marBottom w:val="0"/>
      <w:divBdr>
        <w:top w:val="none" w:sz="0" w:space="0" w:color="auto"/>
        <w:left w:val="none" w:sz="0" w:space="0" w:color="auto"/>
        <w:bottom w:val="none" w:sz="0" w:space="0" w:color="auto"/>
        <w:right w:val="none" w:sz="0" w:space="0" w:color="auto"/>
      </w:divBdr>
    </w:div>
    <w:div w:id="1197155718">
      <w:bodyDiv w:val="1"/>
      <w:marLeft w:val="0"/>
      <w:marRight w:val="0"/>
      <w:marTop w:val="0"/>
      <w:marBottom w:val="0"/>
      <w:divBdr>
        <w:top w:val="none" w:sz="0" w:space="0" w:color="auto"/>
        <w:left w:val="none" w:sz="0" w:space="0" w:color="auto"/>
        <w:bottom w:val="none" w:sz="0" w:space="0" w:color="auto"/>
        <w:right w:val="none" w:sz="0" w:space="0" w:color="auto"/>
      </w:divBdr>
    </w:div>
    <w:div w:id="1238393500">
      <w:bodyDiv w:val="1"/>
      <w:marLeft w:val="0"/>
      <w:marRight w:val="0"/>
      <w:marTop w:val="0"/>
      <w:marBottom w:val="0"/>
      <w:divBdr>
        <w:top w:val="none" w:sz="0" w:space="0" w:color="auto"/>
        <w:left w:val="none" w:sz="0" w:space="0" w:color="auto"/>
        <w:bottom w:val="none" w:sz="0" w:space="0" w:color="auto"/>
        <w:right w:val="none" w:sz="0" w:space="0" w:color="auto"/>
      </w:divBdr>
    </w:div>
    <w:div w:id="1241987715">
      <w:bodyDiv w:val="1"/>
      <w:marLeft w:val="0"/>
      <w:marRight w:val="0"/>
      <w:marTop w:val="0"/>
      <w:marBottom w:val="0"/>
      <w:divBdr>
        <w:top w:val="none" w:sz="0" w:space="0" w:color="auto"/>
        <w:left w:val="none" w:sz="0" w:space="0" w:color="auto"/>
        <w:bottom w:val="none" w:sz="0" w:space="0" w:color="auto"/>
        <w:right w:val="none" w:sz="0" w:space="0" w:color="auto"/>
      </w:divBdr>
    </w:div>
    <w:div w:id="1247377095">
      <w:bodyDiv w:val="1"/>
      <w:marLeft w:val="0"/>
      <w:marRight w:val="0"/>
      <w:marTop w:val="0"/>
      <w:marBottom w:val="0"/>
      <w:divBdr>
        <w:top w:val="none" w:sz="0" w:space="0" w:color="auto"/>
        <w:left w:val="none" w:sz="0" w:space="0" w:color="auto"/>
        <w:bottom w:val="none" w:sz="0" w:space="0" w:color="auto"/>
        <w:right w:val="none" w:sz="0" w:space="0" w:color="auto"/>
      </w:divBdr>
    </w:div>
    <w:div w:id="1268662161">
      <w:bodyDiv w:val="1"/>
      <w:marLeft w:val="0"/>
      <w:marRight w:val="0"/>
      <w:marTop w:val="0"/>
      <w:marBottom w:val="0"/>
      <w:divBdr>
        <w:top w:val="none" w:sz="0" w:space="0" w:color="auto"/>
        <w:left w:val="none" w:sz="0" w:space="0" w:color="auto"/>
        <w:bottom w:val="none" w:sz="0" w:space="0" w:color="auto"/>
        <w:right w:val="none" w:sz="0" w:space="0" w:color="auto"/>
      </w:divBdr>
    </w:div>
    <w:div w:id="1316109503">
      <w:bodyDiv w:val="1"/>
      <w:marLeft w:val="0"/>
      <w:marRight w:val="0"/>
      <w:marTop w:val="0"/>
      <w:marBottom w:val="0"/>
      <w:divBdr>
        <w:top w:val="none" w:sz="0" w:space="0" w:color="auto"/>
        <w:left w:val="none" w:sz="0" w:space="0" w:color="auto"/>
        <w:bottom w:val="none" w:sz="0" w:space="0" w:color="auto"/>
        <w:right w:val="none" w:sz="0" w:space="0" w:color="auto"/>
      </w:divBdr>
    </w:div>
    <w:div w:id="1350840065">
      <w:bodyDiv w:val="1"/>
      <w:marLeft w:val="0"/>
      <w:marRight w:val="0"/>
      <w:marTop w:val="0"/>
      <w:marBottom w:val="0"/>
      <w:divBdr>
        <w:top w:val="none" w:sz="0" w:space="0" w:color="auto"/>
        <w:left w:val="none" w:sz="0" w:space="0" w:color="auto"/>
        <w:bottom w:val="none" w:sz="0" w:space="0" w:color="auto"/>
        <w:right w:val="none" w:sz="0" w:space="0" w:color="auto"/>
      </w:divBdr>
    </w:div>
    <w:div w:id="1424642931">
      <w:bodyDiv w:val="1"/>
      <w:marLeft w:val="0"/>
      <w:marRight w:val="0"/>
      <w:marTop w:val="0"/>
      <w:marBottom w:val="0"/>
      <w:divBdr>
        <w:top w:val="none" w:sz="0" w:space="0" w:color="auto"/>
        <w:left w:val="none" w:sz="0" w:space="0" w:color="auto"/>
        <w:bottom w:val="none" w:sz="0" w:space="0" w:color="auto"/>
        <w:right w:val="none" w:sz="0" w:space="0" w:color="auto"/>
      </w:divBdr>
    </w:div>
    <w:div w:id="1445424163">
      <w:bodyDiv w:val="1"/>
      <w:marLeft w:val="0"/>
      <w:marRight w:val="0"/>
      <w:marTop w:val="0"/>
      <w:marBottom w:val="0"/>
      <w:divBdr>
        <w:top w:val="none" w:sz="0" w:space="0" w:color="auto"/>
        <w:left w:val="none" w:sz="0" w:space="0" w:color="auto"/>
        <w:bottom w:val="none" w:sz="0" w:space="0" w:color="auto"/>
        <w:right w:val="none" w:sz="0" w:space="0" w:color="auto"/>
      </w:divBdr>
    </w:div>
    <w:div w:id="1504928687">
      <w:bodyDiv w:val="1"/>
      <w:marLeft w:val="0"/>
      <w:marRight w:val="0"/>
      <w:marTop w:val="0"/>
      <w:marBottom w:val="0"/>
      <w:divBdr>
        <w:top w:val="none" w:sz="0" w:space="0" w:color="auto"/>
        <w:left w:val="none" w:sz="0" w:space="0" w:color="auto"/>
        <w:bottom w:val="none" w:sz="0" w:space="0" w:color="auto"/>
        <w:right w:val="none" w:sz="0" w:space="0" w:color="auto"/>
      </w:divBdr>
    </w:div>
    <w:div w:id="1529417803">
      <w:bodyDiv w:val="1"/>
      <w:marLeft w:val="0"/>
      <w:marRight w:val="0"/>
      <w:marTop w:val="0"/>
      <w:marBottom w:val="0"/>
      <w:divBdr>
        <w:top w:val="none" w:sz="0" w:space="0" w:color="auto"/>
        <w:left w:val="none" w:sz="0" w:space="0" w:color="auto"/>
        <w:bottom w:val="none" w:sz="0" w:space="0" w:color="auto"/>
        <w:right w:val="none" w:sz="0" w:space="0" w:color="auto"/>
      </w:divBdr>
    </w:div>
    <w:div w:id="1542858483">
      <w:bodyDiv w:val="1"/>
      <w:marLeft w:val="0"/>
      <w:marRight w:val="0"/>
      <w:marTop w:val="0"/>
      <w:marBottom w:val="0"/>
      <w:divBdr>
        <w:top w:val="none" w:sz="0" w:space="0" w:color="auto"/>
        <w:left w:val="none" w:sz="0" w:space="0" w:color="auto"/>
        <w:bottom w:val="none" w:sz="0" w:space="0" w:color="auto"/>
        <w:right w:val="none" w:sz="0" w:space="0" w:color="auto"/>
      </w:divBdr>
    </w:div>
    <w:div w:id="1550461443">
      <w:bodyDiv w:val="1"/>
      <w:marLeft w:val="0"/>
      <w:marRight w:val="0"/>
      <w:marTop w:val="0"/>
      <w:marBottom w:val="0"/>
      <w:divBdr>
        <w:top w:val="none" w:sz="0" w:space="0" w:color="auto"/>
        <w:left w:val="none" w:sz="0" w:space="0" w:color="auto"/>
        <w:bottom w:val="none" w:sz="0" w:space="0" w:color="auto"/>
        <w:right w:val="none" w:sz="0" w:space="0" w:color="auto"/>
      </w:divBdr>
    </w:div>
    <w:div w:id="1572429352">
      <w:bodyDiv w:val="1"/>
      <w:marLeft w:val="0"/>
      <w:marRight w:val="0"/>
      <w:marTop w:val="0"/>
      <w:marBottom w:val="0"/>
      <w:divBdr>
        <w:top w:val="none" w:sz="0" w:space="0" w:color="auto"/>
        <w:left w:val="none" w:sz="0" w:space="0" w:color="auto"/>
        <w:bottom w:val="none" w:sz="0" w:space="0" w:color="auto"/>
        <w:right w:val="none" w:sz="0" w:space="0" w:color="auto"/>
      </w:divBdr>
    </w:div>
    <w:div w:id="1582333667">
      <w:bodyDiv w:val="1"/>
      <w:marLeft w:val="0"/>
      <w:marRight w:val="0"/>
      <w:marTop w:val="0"/>
      <w:marBottom w:val="0"/>
      <w:divBdr>
        <w:top w:val="none" w:sz="0" w:space="0" w:color="auto"/>
        <w:left w:val="none" w:sz="0" w:space="0" w:color="auto"/>
        <w:bottom w:val="none" w:sz="0" w:space="0" w:color="auto"/>
        <w:right w:val="none" w:sz="0" w:space="0" w:color="auto"/>
      </w:divBdr>
    </w:div>
    <w:div w:id="1595167819">
      <w:bodyDiv w:val="1"/>
      <w:marLeft w:val="0"/>
      <w:marRight w:val="0"/>
      <w:marTop w:val="0"/>
      <w:marBottom w:val="0"/>
      <w:divBdr>
        <w:top w:val="none" w:sz="0" w:space="0" w:color="auto"/>
        <w:left w:val="none" w:sz="0" w:space="0" w:color="auto"/>
        <w:bottom w:val="none" w:sz="0" w:space="0" w:color="auto"/>
        <w:right w:val="none" w:sz="0" w:space="0" w:color="auto"/>
      </w:divBdr>
    </w:div>
    <w:div w:id="1634363800">
      <w:bodyDiv w:val="1"/>
      <w:marLeft w:val="0"/>
      <w:marRight w:val="0"/>
      <w:marTop w:val="0"/>
      <w:marBottom w:val="0"/>
      <w:divBdr>
        <w:top w:val="none" w:sz="0" w:space="0" w:color="auto"/>
        <w:left w:val="none" w:sz="0" w:space="0" w:color="auto"/>
        <w:bottom w:val="none" w:sz="0" w:space="0" w:color="auto"/>
        <w:right w:val="none" w:sz="0" w:space="0" w:color="auto"/>
      </w:divBdr>
    </w:div>
    <w:div w:id="1646542578">
      <w:bodyDiv w:val="1"/>
      <w:marLeft w:val="0"/>
      <w:marRight w:val="0"/>
      <w:marTop w:val="0"/>
      <w:marBottom w:val="0"/>
      <w:divBdr>
        <w:top w:val="none" w:sz="0" w:space="0" w:color="auto"/>
        <w:left w:val="none" w:sz="0" w:space="0" w:color="auto"/>
        <w:bottom w:val="none" w:sz="0" w:space="0" w:color="auto"/>
        <w:right w:val="none" w:sz="0" w:space="0" w:color="auto"/>
      </w:divBdr>
    </w:div>
    <w:div w:id="1681735203">
      <w:bodyDiv w:val="1"/>
      <w:marLeft w:val="0"/>
      <w:marRight w:val="0"/>
      <w:marTop w:val="0"/>
      <w:marBottom w:val="0"/>
      <w:divBdr>
        <w:top w:val="none" w:sz="0" w:space="0" w:color="auto"/>
        <w:left w:val="none" w:sz="0" w:space="0" w:color="auto"/>
        <w:bottom w:val="none" w:sz="0" w:space="0" w:color="auto"/>
        <w:right w:val="none" w:sz="0" w:space="0" w:color="auto"/>
      </w:divBdr>
    </w:div>
    <w:div w:id="1694333387">
      <w:bodyDiv w:val="1"/>
      <w:marLeft w:val="0"/>
      <w:marRight w:val="0"/>
      <w:marTop w:val="0"/>
      <w:marBottom w:val="0"/>
      <w:divBdr>
        <w:top w:val="none" w:sz="0" w:space="0" w:color="auto"/>
        <w:left w:val="none" w:sz="0" w:space="0" w:color="auto"/>
        <w:bottom w:val="none" w:sz="0" w:space="0" w:color="auto"/>
        <w:right w:val="none" w:sz="0" w:space="0" w:color="auto"/>
      </w:divBdr>
    </w:div>
    <w:div w:id="1749842505">
      <w:bodyDiv w:val="1"/>
      <w:marLeft w:val="0"/>
      <w:marRight w:val="0"/>
      <w:marTop w:val="0"/>
      <w:marBottom w:val="0"/>
      <w:divBdr>
        <w:top w:val="none" w:sz="0" w:space="0" w:color="auto"/>
        <w:left w:val="none" w:sz="0" w:space="0" w:color="auto"/>
        <w:bottom w:val="none" w:sz="0" w:space="0" w:color="auto"/>
        <w:right w:val="none" w:sz="0" w:space="0" w:color="auto"/>
      </w:divBdr>
    </w:div>
    <w:div w:id="1829862675">
      <w:bodyDiv w:val="1"/>
      <w:marLeft w:val="0"/>
      <w:marRight w:val="0"/>
      <w:marTop w:val="0"/>
      <w:marBottom w:val="0"/>
      <w:divBdr>
        <w:top w:val="none" w:sz="0" w:space="0" w:color="auto"/>
        <w:left w:val="none" w:sz="0" w:space="0" w:color="auto"/>
        <w:bottom w:val="none" w:sz="0" w:space="0" w:color="auto"/>
        <w:right w:val="none" w:sz="0" w:space="0" w:color="auto"/>
      </w:divBdr>
    </w:div>
    <w:div w:id="1830436975">
      <w:bodyDiv w:val="1"/>
      <w:marLeft w:val="0"/>
      <w:marRight w:val="0"/>
      <w:marTop w:val="0"/>
      <w:marBottom w:val="0"/>
      <w:divBdr>
        <w:top w:val="none" w:sz="0" w:space="0" w:color="auto"/>
        <w:left w:val="none" w:sz="0" w:space="0" w:color="auto"/>
        <w:bottom w:val="none" w:sz="0" w:space="0" w:color="auto"/>
        <w:right w:val="none" w:sz="0" w:space="0" w:color="auto"/>
      </w:divBdr>
    </w:div>
    <w:div w:id="1836846977">
      <w:bodyDiv w:val="1"/>
      <w:marLeft w:val="0"/>
      <w:marRight w:val="0"/>
      <w:marTop w:val="0"/>
      <w:marBottom w:val="0"/>
      <w:divBdr>
        <w:top w:val="none" w:sz="0" w:space="0" w:color="auto"/>
        <w:left w:val="none" w:sz="0" w:space="0" w:color="auto"/>
        <w:bottom w:val="none" w:sz="0" w:space="0" w:color="auto"/>
        <w:right w:val="none" w:sz="0" w:space="0" w:color="auto"/>
      </w:divBdr>
    </w:div>
    <w:div w:id="1890993453">
      <w:bodyDiv w:val="1"/>
      <w:marLeft w:val="0"/>
      <w:marRight w:val="0"/>
      <w:marTop w:val="0"/>
      <w:marBottom w:val="0"/>
      <w:divBdr>
        <w:top w:val="none" w:sz="0" w:space="0" w:color="auto"/>
        <w:left w:val="none" w:sz="0" w:space="0" w:color="auto"/>
        <w:bottom w:val="none" w:sz="0" w:space="0" w:color="auto"/>
        <w:right w:val="none" w:sz="0" w:space="0" w:color="auto"/>
      </w:divBdr>
    </w:div>
    <w:div w:id="1896311108">
      <w:bodyDiv w:val="1"/>
      <w:marLeft w:val="0"/>
      <w:marRight w:val="0"/>
      <w:marTop w:val="0"/>
      <w:marBottom w:val="0"/>
      <w:divBdr>
        <w:top w:val="none" w:sz="0" w:space="0" w:color="auto"/>
        <w:left w:val="none" w:sz="0" w:space="0" w:color="auto"/>
        <w:bottom w:val="none" w:sz="0" w:space="0" w:color="auto"/>
        <w:right w:val="none" w:sz="0" w:space="0" w:color="auto"/>
      </w:divBdr>
    </w:div>
    <w:div w:id="2012373515">
      <w:bodyDiv w:val="1"/>
      <w:marLeft w:val="0"/>
      <w:marRight w:val="0"/>
      <w:marTop w:val="0"/>
      <w:marBottom w:val="0"/>
      <w:divBdr>
        <w:top w:val="none" w:sz="0" w:space="0" w:color="auto"/>
        <w:left w:val="none" w:sz="0" w:space="0" w:color="auto"/>
        <w:bottom w:val="none" w:sz="0" w:space="0" w:color="auto"/>
        <w:right w:val="none" w:sz="0" w:space="0" w:color="auto"/>
      </w:divBdr>
    </w:div>
    <w:div w:id="2015956576">
      <w:bodyDiv w:val="1"/>
      <w:marLeft w:val="0"/>
      <w:marRight w:val="0"/>
      <w:marTop w:val="0"/>
      <w:marBottom w:val="0"/>
      <w:divBdr>
        <w:top w:val="none" w:sz="0" w:space="0" w:color="auto"/>
        <w:left w:val="none" w:sz="0" w:space="0" w:color="auto"/>
        <w:bottom w:val="none" w:sz="0" w:space="0" w:color="auto"/>
        <w:right w:val="none" w:sz="0" w:space="0" w:color="auto"/>
      </w:divBdr>
    </w:div>
    <w:div w:id="21010994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 Type="http://schemas.openxmlformats.org/officeDocument/2006/relationships/styles" Target="styles.xml"/><Relationship Id="rId21" Type="http://schemas.openxmlformats.org/officeDocument/2006/relationships/image" Target="media/image13.emf"/><Relationship Id="rId34" Type="http://schemas.openxmlformats.org/officeDocument/2006/relationships/image" Target="media/image21.emf"/><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emf"/><Relationship Id="rId33" Type="http://schemas.openxmlformats.org/officeDocument/2006/relationships/image" Target="media/image20.emf"/><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wmf"/><Relationship Id="rId32" Type="http://schemas.openxmlformats.org/officeDocument/2006/relationships/header" Target="header4.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emf"/><Relationship Id="rId28" Type="http://schemas.openxmlformats.org/officeDocument/2006/relationships/footer" Target="footer1.xml"/><Relationship Id="rId36"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header" Target="header3.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header" Target="header1.xml"/><Relationship Id="rId30" Type="http://schemas.openxmlformats.org/officeDocument/2006/relationships/footer" Target="footer2.xml"/><Relationship Id="rId35" Type="http://schemas.openxmlformats.org/officeDocument/2006/relationships/fontTable" Target="fontTable.xml"/></Relationships>
</file>

<file path=word/_rels/footnotes.xml.rels><?xml version="1.0" encoding="UTF-8" standalone="yes"?>
<Relationships xmlns="http://schemas.openxmlformats.org/package/2006/relationships"><Relationship Id="rId3" Type="http://schemas.openxmlformats.org/officeDocument/2006/relationships/hyperlink" Target="https://si3.bcentral.cl/Siete/secure/cuadros/arboles.aspx" TargetMode="External"/><Relationship Id="rId2" Type="http://schemas.openxmlformats.org/officeDocument/2006/relationships/hyperlink" Target="https://data.bls.gov/timeseries/CUUR0000SA0" TargetMode="External"/><Relationship Id="rId1" Type="http://schemas.openxmlformats.org/officeDocument/2006/relationships/hyperlink" Target="https://www.ine.cl/estad&#237;sticas/precios/ipc"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9.png"/></Relationships>
</file>

<file path=word/_rels/header3.xml.rels><?xml version="1.0" encoding="UTF-8" standalone="yes"?>
<Relationships xmlns="http://schemas.openxmlformats.org/package/2006/relationships"><Relationship Id="rId1" Type="http://schemas.openxmlformats.org/officeDocument/2006/relationships/image" Target="media/image19.png"/></Relationships>
</file>

<file path=word/_rels/header4.xml.rels><?xml version="1.0" encoding="UTF-8" standalone="yes"?>
<Relationships xmlns="http://schemas.openxmlformats.org/package/2006/relationships"><Relationship Id="rId1" Type="http://schemas.openxmlformats.org/officeDocument/2006/relationships/image" Target="media/image19.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5AEC650-A1DE-4B64-A03A-12F8C15FC09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1682</TotalTime>
  <Pages>238</Pages>
  <Words>73401</Words>
  <Characters>403709</Characters>
  <Application>Microsoft Office Word</Application>
  <DocSecurity>0</DocSecurity>
  <Lines>3364</Lines>
  <Paragraphs>952</Paragraphs>
  <ScaleCrop>false</ScaleCrop>
  <HeadingPairs>
    <vt:vector size="2" baseType="variant">
      <vt:variant>
        <vt:lpstr>Título</vt:lpstr>
      </vt:variant>
      <vt:variant>
        <vt:i4>1</vt:i4>
      </vt:variant>
    </vt:vector>
  </HeadingPairs>
  <TitlesOfParts>
    <vt:vector size="1" baseType="lpstr">
      <vt:lpstr/>
    </vt:vector>
  </TitlesOfParts>
  <Company>Microsoft</Company>
  <LinksUpToDate>false</LinksUpToDate>
  <CharactersWithSpaces>476158</CharactersWithSpaces>
  <SharedDoc>false</SharedDoc>
  <HLinks>
    <vt:vector size="288" baseType="variant">
      <vt:variant>
        <vt:i4>1245235</vt:i4>
      </vt:variant>
      <vt:variant>
        <vt:i4>266</vt:i4>
      </vt:variant>
      <vt:variant>
        <vt:i4>0</vt:i4>
      </vt:variant>
      <vt:variant>
        <vt:i4>5</vt:i4>
      </vt:variant>
      <vt:variant>
        <vt:lpwstr/>
      </vt:variant>
      <vt:variant>
        <vt:lpwstr>_Toc33370636</vt:lpwstr>
      </vt:variant>
      <vt:variant>
        <vt:i4>1048627</vt:i4>
      </vt:variant>
      <vt:variant>
        <vt:i4>260</vt:i4>
      </vt:variant>
      <vt:variant>
        <vt:i4>0</vt:i4>
      </vt:variant>
      <vt:variant>
        <vt:i4>5</vt:i4>
      </vt:variant>
      <vt:variant>
        <vt:lpwstr/>
      </vt:variant>
      <vt:variant>
        <vt:lpwstr>_Toc33370635</vt:lpwstr>
      </vt:variant>
      <vt:variant>
        <vt:i4>1114163</vt:i4>
      </vt:variant>
      <vt:variant>
        <vt:i4>254</vt:i4>
      </vt:variant>
      <vt:variant>
        <vt:i4>0</vt:i4>
      </vt:variant>
      <vt:variant>
        <vt:i4>5</vt:i4>
      </vt:variant>
      <vt:variant>
        <vt:lpwstr/>
      </vt:variant>
      <vt:variant>
        <vt:lpwstr>_Toc33370634</vt:lpwstr>
      </vt:variant>
      <vt:variant>
        <vt:i4>1441843</vt:i4>
      </vt:variant>
      <vt:variant>
        <vt:i4>248</vt:i4>
      </vt:variant>
      <vt:variant>
        <vt:i4>0</vt:i4>
      </vt:variant>
      <vt:variant>
        <vt:i4>5</vt:i4>
      </vt:variant>
      <vt:variant>
        <vt:lpwstr/>
      </vt:variant>
      <vt:variant>
        <vt:lpwstr>_Toc33370633</vt:lpwstr>
      </vt:variant>
      <vt:variant>
        <vt:i4>1507379</vt:i4>
      </vt:variant>
      <vt:variant>
        <vt:i4>242</vt:i4>
      </vt:variant>
      <vt:variant>
        <vt:i4>0</vt:i4>
      </vt:variant>
      <vt:variant>
        <vt:i4>5</vt:i4>
      </vt:variant>
      <vt:variant>
        <vt:lpwstr/>
      </vt:variant>
      <vt:variant>
        <vt:lpwstr>_Toc33370632</vt:lpwstr>
      </vt:variant>
      <vt:variant>
        <vt:i4>1310771</vt:i4>
      </vt:variant>
      <vt:variant>
        <vt:i4>236</vt:i4>
      </vt:variant>
      <vt:variant>
        <vt:i4>0</vt:i4>
      </vt:variant>
      <vt:variant>
        <vt:i4>5</vt:i4>
      </vt:variant>
      <vt:variant>
        <vt:lpwstr/>
      </vt:variant>
      <vt:variant>
        <vt:lpwstr>_Toc33370631</vt:lpwstr>
      </vt:variant>
      <vt:variant>
        <vt:i4>1376307</vt:i4>
      </vt:variant>
      <vt:variant>
        <vt:i4>230</vt:i4>
      </vt:variant>
      <vt:variant>
        <vt:i4>0</vt:i4>
      </vt:variant>
      <vt:variant>
        <vt:i4>5</vt:i4>
      </vt:variant>
      <vt:variant>
        <vt:lpwstr/>
      </vt:variant>
      <vt:variant>
        <vt:lpwstr>_Toc33370630</vt:lpwstr>
      </vt:variant>
      <vt:variant>
        <vt:i4>1835058</vt:i4>
      </vt:variant>
      <vt:variant>
        <vt:i4>224</vt:i4>
      </vt:variant>
      <vt:variant>
        <vt:i4>0</vt:i4>
      </vt:variant>
      <vt:variant>
        <vt:i4>5</vt:i4>
      </vt:variant>
      <vt:variant>
        <vt:lpwstr/>
      </vt:variant>
      <vt:variant>
        <vt:lpwstr>_Toc33370629</vt:lpwstr>
      </vt:variant>
      <vt:variant>
        <vt:i4>1900594</vt:i4>
      </vt:variant>
      <vt:variant>
        <vt:i4>218</vt:i4>
      </vt:variant>
      <vt:variant>
        <vt:i4>0</vt:i4>
      </vt:variant>
      <vt:variant>
        <vt:i4>5</vt:i4>
      </vt:variant>
      <vt:variant>
        <vt:lpwstr/>
      </vt:variant>
      <vt:variant>
        <vt:lpwstr>_Toc33370628</vt:lpwstr>
      </vt:variant>
      <vt:variant>
        <vt:i4>1179698</vt:i4>
      </vt:variant>
      <vt:variant>
        <vt:i4>212</vt:i4>
      </vt:variant>
      <vt:variant>
        <vt:i4>0</vt:i4>
      </vt:variant>
      <vt:variant>
        <vt:i4>5</vt:i4>
      </vt:variant>
      <vt:variant>
        <vt:lpwstr/>
      </vt:variant>
      <vt:variant>
        <vt:lpwstr>_Toc33370627</vt:lpwstr>
      </vt:variant>
      <vt:variant>
        <vt:i4>1245234</vt:i4>
      </vt:variant>
      <vt:variant>
        <vt:i4>206</vt:i4>
      </vt:variant>
      <vt:variant>
        <vt:i4>0</vt:i4>
      </vt:variant>
      <vt:variant>
        <vt:i4>5</vt:i4>
      </vt:variant>
      <vt:variant>
        <vt:lpwstr/>
      </vt:variant>
      <vt:variant>
        <vt:lpwstr>_Toc33370626</vt:lpwstr>
      </vt:variant>
      <vt:variant>
        <vt:i4>1048626</vt:i4>
      </vt:variant>
      <vt:variant>
        <vt:i4>200</vt:i4>
      </vt:variant>
      <vt:variant>
        <vt:i4>0</vt:i4>
      </vt:variant>
      <vt:variant>
        <vt:i4>5</vt:i4>
      </vt:variant>
      <vt:variant>
        <vt:lpwstr/>
      </vt:variant>
      <vt:variant>
        <vt:lpwstr>_Toc33370625</vt:lpwstr>
      </vt:variant>
      <vt:variant>
        <vt:i4>1114162</vt:i4>
      </vt:variant>
      <vt:variant>
        <vt:i4>194</vt:i4>
      </vt:variant>
      <vt:variant>
        <vt:i4>0</vt:i4>
      </vt:variant>
      <vt:variant>
        <vt:i4>5</vt:i4>
      </vt:variant>
      <vt:variant>
        <vt:lpwstr/>
      </vt:variant>
      <vt:variant>
        <vt:lpwstr>_Toc33370624</vt:lpwstr>
      </vt:variant>
      <vt:variant>
        <vt:i4>1441842</vt:i4>
      </vt:variant>
      <vt:variant>
        <vt:i4>188</vt:i4>
      </vt:variant>
      <vt:variant>
        <vt:i4>0</vt:i4>
      </vt:variant>
      <vt:variant>
        <vt:i4>5</vt:i4>
      </vt:variant>
      <vt:variant>
        <vt:lpwstr/>
      </vt:variant>
      <vt:variant>
        <vt:lpwstr>_Toc33370623</vt:lpwstr>
      </vt:variant>
      <vt:variant>
        <vt:i4>1507378</vt:i4>
      </vt:variant>
      <vt:variant>
        <vt:i4>182</vt:i4>
      </vt:variant>
      <vt:variant>
        <vt:i4>0</vt:i4>
      </vt:variant>
      <vt:variant>
        <vt:i4>5</vt:i4>
      </vt:variant>
      <vt:variant>
        <vt:lpwstr/>
      </vt:variant>
      <vt:variant>
        <vt:lpwstr>_Toc33370622</vt:lpwstr>
      </vt:variant>
      <vt:variant>
        <vt:i4>1310770</vt:i4>
      </vt:variant>
      <vt:variant>
        <vt:i4>176</vt:i4>
      </vt:variant>
      <vt:variant>
        <vt:i4>0</vt:i4>
      </vt:variant>
      <vt:variant>
        <vt:i4>5</vt:i4>
      </vt:variant>
      <vt:variant>
        <vt:lpwstr/>
      </vt:variant>
      <vt:variant>
        <vt:lpwstr>_Toc33370621</vt:lpwstr>
      </vt:variant>
      <vt:variant>
        <vt:i4>1376306</vt:i4>
      </vt:variant>
      <vt:variant>
        <vt:i4>170</vt:i4>
      </vt:variant>
      <vt:variant>
        <vt:i4>0</vt:i4>
      </vt:variant>
      <vt:variant>
        <vt:i4>5</vt:i4>
      </vt:variant>
      <vt:variant>
        <vt:lpwstr/>
      </vt:variant>
      <vt:variant>
        <vt:lpwstr>_Toc33370620</vt:lpwstr>
      </vt:variant>
      <vt:variant>
        <vt:i4>1835057</vt:i4>
      </vt:variant>
      <vt:variant>
        <vt:i4>164</vt:i4>
      </vt:variant>
      <vt:variant>
        <vt:i4>0</vt:i4>
      </vt:variant>
      <vt:variant>
        <vt:i4>5</vt:i4>
      </vt:variant>
      <vt:variant>
        <vt:lpwstr/>
      </vt:variant>
      <vt:variant>
        <vt:lpwstr>_Toc33370619</vt:lpwstr>
      </vt:variant>
      <vt:variant>
        <vt:i4>1900593</vt:i4>
      </vt:variant>
      <vt:variant>
        <vt:i4>158</vt:i4>
      </vt:variant>
      <vt:variant>
        <vt:i4>0</vt:i4>
      </vt:variant>
      <vt:variant>
        <vt:i4>5</vt:i4>
      </vt:variant>
      <vt:variant>
        <vt:lpwstr/>
      </vt:variant>
      <vt:variant>
        <vt:lpwstr>_Toc33370618</vt:lpwstr>
      </vt:variant>
      <vt:variant>
        <vt:i4>1179697</vt:i4>
      </vt:variant>
      <vt:variant>
        <vt:i4>152</vt:i4>
      </vt:variant>
      <vt:variant>
        <vt:i4>0</vt:i4>
      </vt:variant>
      <vt:variant>
        <vt:i4>5</vt:i4>
      </vt:variant>
      <vt:variant>
        <vt:lpwstr/>
      </vt:variant>
      <vt:variant>
        <vt:lpwstr>_Toc33370617</vt:lpwstr>
      </vt:variant>
      <vt:variant>
        <vt:i4>1245233</vt:i4>
      </vt:variant>
      <vt:variant>
        <vt:i4>146</vt:i4>
      </vt:variant>
      <vt:variant>
        <vt:i4>0</vt:i4>
      </vt:variant>
      <vt:variant>
        <vt:i4>5</vt:i4>
      </vt:variant>
      <vt:variant>
        <vt:lpwstr/>
      </vt:variant>
      <vt:variant>
        <vt:lpwstr>_Toc33370616</vt:lpwstr>
      </vt:variant>
      <vt:variant>
        <vt:i4>1048625</vt:i4>
      </vt:variant>
      <vt:variant>
        <vt:i4>140</vt:i4>
      </vt:variant>
      <vt:variant>
        <vt:i4>0</vt:i4>
      </vt:variant>
      <vt:variant>
        <vt:i4>5</vt:i4>
      </vt:variant>
      <vt:variant>
        <vt:lpwstr/>
      </vt:variant>
      <vt:variant>
        <vt:lpwstr>_Toc33370615</vt:lpwstr>
      </vt:variant>
      <vt:variant>
        <vt:i4>1114161</vt:i4>
      </vt:variant>
      <vt:variant>
        <vt:i4>134</vt:i4>
      </vt:variant>
      <vt:variant>
        <vt:i4>0</vt:i4>
      </vt:variant>
      <vt:variant>
        <vt:i4>5</vt:i4>
      </vt:variant>
      <vt:variant>
        <vt:lpwstr/>
      </vt:variant>
      <vt:variant>
        <vt:lpwstr>_Toc33370614</vt:lpwstr>
      </vt:variant>
      <vt:variant>
        <vt:i4>1441841</vt:i4>
      </vt:variant>
      <vt:variant>
        <vt:i4>128</vt:i4>
      </vt:variant>
      <vt:variant>
        <vt:i4>0</vt:i4>
      </vt:variant>
      <vt:variant>
        <vt:i4>5</vt:i4>
      </vt:variant>
      <vt:variant>
        <vt:lpwstr/>
      </vt:variant>
      <vt:variant>
        <vt:lpwstr>_Toc33370613</vt:lpwstr>
      </vt:variant>
      <vt:variant>
        <vt:i4>1507377</vt:i4>
      </vt:variant>
      <vt:variant>
        <vt:i4>122</vt:i4>
      </vt:variant>
      <vt:variant>
        <vt:i4>0</vt:i4>
      </vt:variant>
      <vt:variant>
        <vt:i4>5</vt:i4>
      </vt:variant>
      <vt:variant>
        <vt:lpwstr/>
      </vt:variant>
      <vt:variant>
        <vt:lpwstr>_Toc33370612</vt:lpwstr>
      </vt:variant>
      <vt:variant>
        <vt:i4>1310769</vt:i4>
      </vt:variant>
      <vt:variant>
        <vt:i4>116</vt:i4>
      </vt:variant>
      <vt:variant>
        <vt:i4>0</vt:i4>
      </vt:variant>
      <vt:variant>
        <vt:i4>5</vt:i4>
      </vt:variant>
      <vt:variant>
        <vt:lpwstr/>
      </vt:variant>
      <vt:variant>
        <vt:lpwstr>_Toc33370611</vt:lpwstr>
      </vt:variant>
      <vt:variant>
        <vt:i4>1376305</vt:i4>
      </vt:variant>
      <vt:variant>
        <vt:i4>110</vt:i4>
      </vt:variant>
      <vt:variant>
        <vt:i4>0</vt:i4>
      </vt:variant>
      <vt:variant>
        <vt:i4>5</vt:i4>
      </vt:variant>
      <vt:variant>
        <vt:lpwstr/>
      </vt:variant>
      <vt:variant>
        <vt:lpwstr>_Toc33370610</vt:lpwstr>
      </vt:variant>
      <vt:variant>
        <vt:i4>1835056</vt:i4>
      </vt:variant>
      <vt:variant>
        <vt:i4>104</vt:i4>
      </vt:variant>
      <vt:variant>
        <vt:i4>0</vt:i4>
      </vt:variant>
      <vt:variant>
        <vt:i4>5</vt:i4>
      </vt:variant>
      <vt:variant>
        <vt:lpwstr/>
      </vt:variant>
      <vt:variant>
        <vt:lpwstr>_Toc33370609</vt:lpwstr>
      </vt:variant>
      <vt:variant>
        <vt:i4>1900592</vt:i4>
      </vt:variant>
      <vt:variant>
        <vt:i4>98</vt:i4>
      </vt:variant>
      <vt:variant>
        <vt:i4>0</vt:i4>
      </vt:variant>
      <vt:variant>
        <vt:i4>5</vt:i4>
      </vt:variant>
      <vt:variant>
        <vt:lpwstr/>
      </vt:variant>
      <vt:variant>
        <vt:lpwstr>_Toc33370608</vt:lpwstr>
      </vt:variant>
      <vt:variant>
        <vt:i4>1179696</vt:i4>
      </vt:variant>
      <vt:variant>
        <vt:i4>92</vt:i4>
      </vt:variant>
      <vt:variant>
        <vt:i4>0</vt:i4>
      </vt:variant>
      <vt:variant>
        <vt:i4>5</vt:i4>
      </vt:variant>
      <vt:variant>
        <vt:lpwstr/>
      </vt:variant>
      <vt:variant>
        <vt:lpwstr>_Toc33370607</vt:lpwstr>
      </vt:variant>
      <vt:variant>
        <vt:i4>1245232</vt:i4>
      </vt:variant>
      <vt:variant>
        <vt:i4>86</vt:i4>
      </vt:variant>
      <vt:variant>
        <vt:i4>0</vt:i4>
      </vt:variant>
      <vt:variant>
        <vt:i4>5</vt:i4>
      </vt:variant>
      <vt:variant>
        <vt:lpwstr/>
      </vt:variant>
      <vt:variant>
        <vt:lpwstr>_Toc33370606</vt:lpwstr>
      </vt:variant>
      <vt:variant>
        <vt:i4>1048624</vt:i4>
      </vt:variant>
      <vt:variant>
        <vt:i4>80</vt:i4>
      </vt:variant>
      <vt:variant>
        <vt:i4>0</vt:i4>
      </vt:variant>
      <vt:variant>
        <vt:i4>5</vt:i4>
      </vt:variant>
      <vt:variant>
        <vt:lpwstr/>
      </vt:variant>
      <vt:variant>
        <vt:lpwstr>_Toc33370605</vt:lpwstr>
      </vt:variant>
      <vt:variant>
        <vt:i4>1114160</vt:i4>
      </vt:variant>
      <vt:variant>
        <vt:i4>74</vt:i4>
      </vt:variant>
      <vt:variant>
        <vt:i4>0</vt:i4>
      </vt:variant>
      <vt:variant>
        <vt:i4>5</vt:i4>
      </vt:variant>
      <vt:variant>
        <vt:lpwstr/>
      </vt:variant>
      <vt:variant>
        <vt:lpwstr>_Toc33370604</vt:lpwstr>
      </vt:variant>
      <vt:variant>
        <vt:i4>1441840</vt:i4>
      </vt:variant>
      <vt:variant>
        <vt:i4>68</vt:i4>
      </vt:variant>
      <vt:variant>
        <vt:i4>0</vt:i4>
      </vt:variant>
      <vt:variant>
        <vt:i4>5</vt:i4>
      </vt:variant>
      <vt:variant>
        <vt:lpwstr/>
      </vt:variant>
      <vt:variant>
        <vt:lpwstr>_Toc33370603</vt:lpwstr>
      </vt:variant>
      <vt:variant>
        <vt:i4>1507376</vt:i4>
      </vt:variant>
      <vt:variant>
        <vt:i4>62</vt:i4>
      </vt:variant>
      <vt:variant>
        <vt:i4>0</vt:i4>
      </vt:variant>
      <vt:variant>
        <vt:i4>5</vt:i4>
      </vt:variant>
      <vt:variant>
        <vt:lpwstr/>
      </vt:variant>
      <vt:variant>
        <vt:lpwstr>_Toc33370602</vt:lpwstr>
      </vt:variant>
      <vt:variant>
        <vt:i4>1310768</vt:i4>
      </vt:variant>
      <vt:variant>
        <vt:i4>56</vt:i4>
      </vt:variant>
      <vt:variant>
        <vt:i4>0</vt:i4>
      </vt:variant>
      <vt:variant>
        <vt:i4>5</vt:i4>
      </vt:variant>
      <vt:variant>
        <vt:lpwstr/>
      </vt:variant>
      <vt:variant>
        <vt:lpwstr>_Toc33370601</vt:lpwstr>
      </vt:variant>
      <vt:variant>
        <vt:i4>1376304</vt:i4>
      </vt:variant>
      <vt:variant>
        <vt:i4>50</vt:i4>
      </vt:variant>
      <vt:variant>
        <vt:i4>0</vt:i4>
      </vt:variant>
      <vt:variant>
        <vt:i4>5</vt:i4>
      </vt:variant>
      <vt:variant>
        <vt:lpwstr/>
      </vt:variant>
      <vt:variant>
        <vt:lpwstr>_Toc33370600</vt:lpwstr>
      </vt:variant>
      <vt:variant>
        <vt:i4>2031673</vt:i4>
      </vt:variant>
      <vt:variant>
        <vt:i4>44</vt:i4>
      </vt:variant>
      <vt:variant>
        <vt:i4>0</vt:i4>
      </vt:variant>
      <vt:variant>
        <vt:i4>5</vt:i4>
      </vt:variant>
      <vt:variant>
        <vt:lpwstr/>
      </vt:variant>
      <vt:variant>
        <vt:lpwstr>_Toc33370599</vt:lpwstr>
      </vt:variant>
      <vt:variant>
        <vt:i4>1966137</vt:i4>
      </vt:variant>
      <vt:variant>
        <vt:i4>38</vt:i4>
      </vt:variant>
      <vt:variant>
        <vt:i4>0</vt:i4>
      </vt:variant>
      <vt:variant>
        <vt:i4>5</vt:i4>
      </vt:variant>
      <vt:variant>
        <vt:lpwstr/>
      </vt:variant>
      <vt:variant>
        <vt:lpwstr>_Toc33370598</vt:lpwstr>
      </vt:variant>
      <vt:variant>
        <vt:i4>1114169</vt:i4>
      </vt:variant>
      <vt:variant>
        <vt:i4>32</vt:i4>
      </vt:variant>
      <vt:variant>
        <vt:i4>0</vt:i4>
      </vt:variant>
      <vt:variant>
        <vt:i4>5</vt:i4>
      </vt:variant>
      <vt:variant>
        <vt:lpwstr/>
      </vt:variant>
      <vt:variant>
        <vt:lpwstr>_Toc33370597</vt:lpwstr>
      </vt:variant>
      <vt:variant>
        <vt:i4>1048633</vt:i4>
      </vt:variant>
      <vt:variant>
        <vt:i4>26</vt:i4>
      </vt:variant>
      <vt:variant>
        <vt:i4>0</vt:i4>
      </vt:variant>
      <vt:variant>
        <vt:i4>5</vt:i4>
      </vt:variant>
      <vt:variant>
        <vt:lpwstr/>
      </vt:variant>
      <vt:variant>
        <vt:lpwstr>_Toc33370596</vt:lpwstr>
      </vt:variant>
      <vt:variant>
        <vt:i4>1245241</vt:i4>
      </vt:variant>
      <vt:variant>
        <vt:i4>20</vt:i4>
      </vt:variant>
      <vt:variant>
        <vt:i4>0</vt:i4>
      </vt:variant>
      <vt:variant>
        <vt:i4>5</vt:i4>
      </vt:variant>
      <vt:variant>
        <vt:lpwstr/>
      </vt:variant>
      <vt:variant>
        <vt:lpwstr>_Toc33370595</vt:lpwstr>
      </vt:variant>
      <vt:variant>
        <vt:i4>1179705</vt:i4>
      </vt:variant>
      <vt:variant>
        <vt:i4>14</vt:i4>
      </vt:variant>
      <vt:variant>
        <vt:i4>0</vt:i4>
      </vt:variant>
      <vt:variant>
        <vt:i4>5</vt:i4>
      </vt:variant>
      <vt:variant>
        <vt:lpwstr/>
      </vt:variant>
      <vt:variant>
        <vt:lpwstr>_Toc33370594</vt:lpwstr>
      </vt:variant>
      <vt:variant>
        <vt:i4>1376313</vt:i4>
      </vt:variant>
      <vt:variant>
        <vt:i4>8</vt:i4>
      </vt:variant>
      <vt:variant>
        <vt:i4>0</vt:i4>
      </vt:variant>
      <vt:variant>
        <vt:i4>5</vt:i4>
      </vt:variant>
      <vt:variant>
        <vt:lpwstr/>
      </vt:variant>
      <vt:variant>
        <vt:lpwstr>_Toc33370593</vt:lpwstr>
      </vt:variant>
      <vt:variant>
        <vt:i4>1310777</vt:i4>
      </vt:variant>
      <vt:variant>
        <vt:i4>2</vt:i4>
      </vt:variant>
      <vt:variant>
        <vt:i4>0</vt:i4>
      </vt:variant>
      <vt:variant>
        <vt:i4>5</vt:i4>
      </vt:variant>
      <vt:variant>
        <vt:lpwstr/>
      </vt:variant>
      <vt:variant>
        <vt:lpwstr>_Toc33370592</vt:lpwstr>
      </vt:variant>
      <vt:variant>
        <vt:i4>4194330</vt:i4>
      </vt:variant>
      <vt:variant>
        <vt:i4>6</vt:i4>
      </vt:variant>
      <vt:variant>
        <vt:i4>0</vt:i4>
      </vt:variant>
      <vt:variant>
        <vt:i4>5</vt:i4>
      </vt:variant>
      <vt:variant>
        <vt:lpwstr>https://si3.bcentral.cl/Siete/secure/cuadros/arboles.aspx</vt:lpwstr>
      </vt:variant>
      <vt:variant>
        <vt:lpwstr/>
      </vt:variant>
      <vt:variant>
        <vt:i4>2424938</vt:i4>
      </vt:variant>
      <vt:variant>
        <vt:i4>3</vt:i4>
      </vt:variant>
      <vt:variant>
        <vt:i4>0</vt:i4>
      </vt:variant>
      <vt:variant>
        <vt:i4>5</vt:i4>
      </vt:variant>
      <vt:variant>
        <vt:lpwstr>https://data.bls.gov/timeseries/CUUR0000SA0</vt:lpwstr>
      </vt:variant>
      <vt:variant>
        <vt:lpwstr/>
      </vt:variant>
      <vt:variant>
        <vt:i4>6553853</vt:i4>
      </vt:variant>
      <vt:variant>
        <vt:i4>0</vt:i4>
      </vt:variant>
      <vt:variant>
        <vt:i4>0</vt:i4>
      </vt:variant>
      <vt:variant>
        <vt:i4>5</vt:i4>
      </vt:variant>
      <vt:variant>
        <vt:lpwstr>https://www.ine.cl/estadísticas/precios/ipc</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Gabriel</dc:creator>
  <cp:lastModifiedBy>Patricio</cp:lastModifiedBy>
  <cp:revision>72</cp:revision>
  <cp:lastPrinted>2020-05-08T05:39:00Z</cp:lastPrinted>
  <dcterms:created xsi:type="dcterms:W3CDTF">2020-05-03T20:05:00Z</dcterms:created>
  <dcterms:modified xsi:type="dcterms:W3CDTF">2020-05-08T05:44:00Z</dcterms:modified>
</cp:coreProperties>
</file>